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61623" w14:textId="77777777" w:rsidR="00BA2DBE" w:rsidRPr="00E707C0" w:rsidRDefault="00BA2DBE">
      <w:pPr>
        <w:rPr>
          <w:rFonts w:ascii="Arial" w:hAnsi="Arial" w:cs="Arial"/>
        </w:rPr>
      </w:pPr>
      <w:bookmarkStart w:id="0" w:name="_Toc337198071"/>
      <w:bookmarkStart w:id="1" w:name="_Toc423335421"/>
    </w:p>
    <w:p w14:paraId="3BCA58F2" w14:textId="795F73E4" w:rsidR="00D9337C" w:rsidRDefault="00D9337C" w:rsidP="00117035">
      <w:pPr>
        <w:pStyle w:val="Title"/>
        <w:rPr>
          <w:rFonts w:ascii="Cambria" w:hAnsi="Cambria"/>
          <w:color w:val="auto"/>
          <w:sz w:val="48"/>
          <w:szCs w:val="48"/>
        </w:rPr>
      </w:pPr>
      <w:r>
        <w:rPr>
          <w:rFonts w:ascii="Cambria" w:hAnsi="Cambria"/>
          <w:color w:val="auto"/>
          <w:sz w:val="48"/>
          <w:szCs w:val="48"/>
        </w:rPr>
        <w:t xml:space="preserve">National </w:t>
      </w:r>
      <w:r w:rsidR="00117035" w:rsidRPr="00CD095B">
        <w:rPr>
          <w:rFonts w:ascii="Cambria" w:hAnsi="Cambria"/>
          <w:color w:val="auto"/>
          <w:sz w:val="48"/>
          <w:szCs w:val="48"/>
        </w:rPr>
        <w:t>Amyotrophic</w:t>
      </w:r>
    </w:p>
    <w:p w14:paraId="4EF501C0" w14:textId="089F5A5E" w:rsidR="00117035" w:rsidRPr="00CD095B" w:rsidRDefault="00117035" w:rsidP="00117035">
      <w:pPr>
        <w:pStyle w:val="Title"/>
        <w:rPr>
          <w:rFonts w:ascii="Cambria" w:hAnsi="Cambria"/>
          <w:color w:val="auto"/>
          <w:sz w:val="48"/>
          <w:szCs w:val="48"/>
        </w:rPr>
      </w:pPr>
      <w:r w:rsidRPr="00CD095B">
        <w:rPr>
          <w:rFonts w:ascii="Cambria" w:hAnsi="Cambria"/>
          <w:color w:val="auto"/>
          <w:sz w:val="48"/>
          <w:szCs w:val="48"/>
        </w:rPr>
        <w:t xml:space="preserve">Lateral Sclerosis (ALS) Registry </w:t>
      </w:r>
    </w:p>
    <w:p w14:paraId="2850FED7" w14:textId="77777777" w:rsidR="00117035" w:rsidRPr="00CD095B" w:rsidRDefault="00117035" w:rsidP="00117035">
      <w:pPr>
        <w:pStyle w:val="Subtitle"/>
        <w:rPr>
          <w:rFonts w:ascii="Cambria" w:hAnsi="Cambria"/>
          <w:color w:val="auto"/>
        </w:rPr>
      </w:pPr>
      <w:r w:rsidRPr="00CD095B">
        <w:rPr>
          <w:rFonts w:ascii="Cambria" w:hAnsi="Cambria"/>
          <w:color w:val="auto"/>
        </w:rPr>
        <w:t xml:space="preserve">OMB Control No. 0923-0041 (Expiration Date: 09/30/2016) </w:t>
      </w:r>
    </w:p>
    <w:p w14:paraId="464D3AA6" w14:textId="77777777" w:rsidR="00117035" w:rsidRPr="00CD095B" w:rsidRDefault="00117035" w:rsidP="00117035">
      <w:pPr>
        <w:spacing w:after="200" w:line="276" w:lineRule="auto"/>
        <w:rPr>
          <w:rFonts w:ascii="Cambria" w:hAnsi="Cambria" w:cs="Arial"/>
          <w:sz w:val="36"/>
          <w:szCs w:val="36"/>
        </w:rPr>
      </w:pPr>
      <w:r w:rsidRPr="00CD095B">
        <w:rPr>
          <w:rFonts w:ascii="Cambria" w:hAnsi="Cambria" w:cs="Arial"/>
          <w:sz w:val="36"/>
          <w:szCs w:val="36"/>
        </w:rPr>
        <w:t>Revision</w:t>
      </w:r>
    </w:p>
    <w:p w14:paraId="1BCFC328" w14:textId="47E48608" w:rsidR="00117035" w:rsidRPr="00CD095B" w:rsidRDefault="00117035" w:rsidP="00117035">
      <w:pPr>
        <w:pStyle w:val="Subtitle"/>
        <w:rPr>
          <w:rFonts w:ascii="Cambria" w:hAnsi="Cambria"/>
          <w:color w:val="auto"/>
        </w:rPr>
      </w:pPr>
      <w:r w:rsidRPr="00CD095B">
        <w:rPr>
          <w:rFonts w:ascii="Cambria" w:hAnsi="Cambria"/>
          <w:color w:val="auto"/>
        </w:rPr>
        <w:t xml:space="preserve">Supporting Statement Part B – </w:t>
      </w:r>
    </w:p>
    <w:p w14:paraId="440DEFD3" w14:textId="77777777" w:rsidR="00117035" w:rsidRPr="00EC491F" w:rsidRDefault="00117035" w:rsidP="00117035">
      <w:pPr>
        <w:pStyle w:val="Subtitle"/>
        <w:rPr>
          <w:rFonts w:ascii="Cambria" w:hAnsi="Cambria"/>
          <w:color w:val="auto"/>
        </w:rPr>
      </w:pPr>
      <w:r w:rsidRPr="00EC491F">
        <w:rPr>
          <w:rFonts w:ascii="Cambria" w:hAnsi="Cambria"/>
          <w:color w:val="auto"/>
        </w:rPr>
        <w:t>Collections of Information Employing Statistical Methods</w:t>
      </w:r>
    </w:p>
    <w:p w14:paraId="0C7E88A3" w14:textId="29051BF3" w:rsidR="00117035" w:rsidRPr="00CD095B" w:rsidRDefault="00117035" w:rsidP="00117035">
      <w:pPr>
        <w:pStyle w:val="Subtitle"/>
        <w:rPr>
          <w:rFonts w:ascii="Cambria" w:hAnsi="Cambria"/>
          <w:color w:val="auto"/>
        </w:rPr>
      </w:pPr>
    </w:p>
    <w:p w14:paraId="2B7287FE" w14:textId="77777777" w:rsidR="00117035" w:rsidRPr="00CD095B" w:rsidRDefault="00117035" w:rsidP="00117035">
      <w:pPr>
        <w:pStyle w:val="Subtitle"/>
        <w:spacing w:after="0"/>
        <w:rPr>
          <w:rFonts w:ascii="Cambria" w:hAnsi="Cambria"/>
          <w:color w:val="auto"/>
        </w:rPr>
      </w:pPr>
    </w:p>
    <w:p w14:paraId="63D7E7A0" w14:textId="77777777" w:rsidR="00117035" w:rsidRPr="00CD095B" w:rsidRDefault="00117035" w:rsidP="00117035">
      <w:pPr>
        <w:pStyle w:val="Subtitle"/>
        <w:spacing w:after="0"/>
        <w:rPr>
          <w:rFonts w:ascii="Cambria" w:hAnsi="Cambria"/>
          <w:color w:val="auto"/>
        </w:rPr>
      </w:pPr>
    </w:p>
    <w:p w14:paraId="6CDDC27C" w14:textId="77777777" w:rsidR="00117035" w:rsidRPr="00CD095B" w:rsidRDefault="00117035" w:rsidP="00117035">
      <w:pPr>
        <w:pStyle w:val="Subtitle"/>
        <w:spacing w:after="0"/>
        <w:rPr>
          <w:rFonts w:ascii="Cambria" w:hAnsi="Cambria"/>
          <w:color w:val="auto"/>
        </w:rPr>
      </w:pPr>
    </w:p>
    <w:p w14:paraId="7689679E" w14:textId="77777777" w:rsidR="0063246A" w:rsidRDefault="0063246A" w:rsidP="00117035">
      <w:pPr>
        <w:pStyle w:val="Subtitle"/>
        <w:spacing w:after="0"/>
        <w:rPr>
          <w:rFonts w:ascii="Cambria" w:hAnsi="Cambria"/>
          <w:color w:val="auto"/>
        </w:rPr>
      </w:pPr>
    </w:p>
    <w:p w14:paraId="1059008D" w14:textId="77777777" w:rsidR="0063246A" w:rsidRDefault="0063246A" w:rsidP="00117035">
      <w:pPr>
        <w:pStyle w:val="Subtitle"/>
        <w:spacing w:after="0"/>
        <w:rPr>
          <w:rFonts w:ascii="Cambria" w:hAnsi="Cambria"/>
          <w:color w:val="auto"/>
        </w:rPr>
      </w:pPr>
    </w:p>
    <w:p w14:paraId="4176E748" w14:textId="77777777" w:rsidR="0063246A" w:rsidRDefault="0063246A" w:rsidP="00117035">
      <w:pPr>
        <w:pStyle w:val="Subtitle"/>
        <w:spacing w:after="0"/>
        <w:rPr>
          <w:rFonts w:ascii="Cambria" w:hAnsi="Cambria"/>
          <w:color w:val="auto"/>
        </w:rPr>
      </w:pPr>
    </w:p>
    <w:p w14:paraId="099388A1" w14:textId="77777777" w:rsidR="0063246A" w:rsidRDefault="0063246A" w:rsidP="00117035">
      <w:pPr>
        <w:pStyle w:val="Subtitle"/>
        <w:spacing w:after="0"/>
        <w:rPr>
          <w:rFonts w:ascii="Cambria" w:hAnsi="Cambria"/>
          <w:color w:val="auto"/>
        </w:rPr>
      </w:pPr>
    </w:p>
    <w:p w14:paraId="127AF554" w14:textId="77777777" w:rsidR="00117035" w:rsidRPr="00CD095B" w:rsidRDefault="00117035" w:rsidP="00117035">
      <w:pPr>
        <w:pStyle w:val="Subtitle"/>
        <w:spacing w:after="0"/>
        <w:rPr>
          <w:rFonts w:ascii="Cambria" w:hAnsi="Cambria"/>
          <w:color w:val="auto"/>
        </w:rPr>
      </w:pPr>
      <w:r w:rsidRPr="00CD095B">
        <w:rPr>
          <w:rFonts w:ascii="Cambria" w:hAnsi="Cambria"/>
          <w:color w:val="auto"/>
        </w:rPr>
        <w:t>Principal Investigator:</w:t>
      </w:r>
    </w:p>
    <w:p w14:paraId="122248BF" w14:textId="77777777" w:rsidR="00117035" w:rsidRPr="00CD095B" w:rsidRDefault="00117035" w:rsidP="00117035">
      <w:pPr>
        <w:pStyle w:val="Subtitle"/>
        <w:spacing w:after="0"/>
        <w:rPr>
          <w:rFonts w:ascii="Cambria" w:hAnsi="Cambria"/>
          <w:color w:val="auto"/>
        </w:rPr>
      </w:pPr>
      <w:r w:rsidRPr="00CD095B">
        <w:rPr>
          <w:rFonts w:ascii="Cambria" w:hAnsi="Cambria"/>
          <w:color w:val="auto"/>
        </w:rPr>
        <w:t>Paul Mehta, MD</w:t>
      </w:r>
    </w:p>
    <w:p w14:paraId="484D87D3" w14:textId="77777777" w:rsidR="00117035" w:rsidRPr="00CD095B" w:rsidRDefault="00117035" w:rsidP="00117035">
      <w:pPr>
        <w:pStyle w:val="Subtitle"/>
        <w:spacing w:after="0"/>
        <w:rPr>
          <w:rFonts w:ascii="Cambria" w:hAnsi="Cambria"/>
          <w:color w:val="auto"/>
        </w:rPr>
      </w:pPr>
      <w:r w:rsidRPr="00CD095B">
        <w:rPr>
          <w:rFonts w:ascii="Cambria" w:hAnsi="Cambria"/>
          <w:color w:val="auto"/>
        </w:rPr>
        <w:t xml:space="preserve">Agency for Toxic Substances and Disease Registry </w:t>
      </w:r>
    </w:p>
    <w:p w14:paraId="61608B95" w14:textId="77777777" w:rsidR="00117035" w:rsidRPr="00CD095B" w:rsidRDefault="00117035" w:rsidP="00117035">
      <w:pPr>
        <w:pStyle w:val="Subtitle"/>
        <w:spacing w:after="0"/>
        <w:rPr>
          <w:rFonts w:ascii="Cambria" w:hAnsi="Cambria"/>
          <w:color w:val="auto"/>
        </w:rPr>
      </w:pPr>
      <w:r w:rsidRPr="00CD095B">
        <w:rPr>
          <w:rFonts w:ascii="Cambria" w:hAnsi="Cambria"/>
          <w:color w:val="auto"/>
        </w:rPr>
        <w:t>4770 Buford Highway, MS F-57</w:t>
      </w:r>
    </w:p>
    <w:p w14:paraId="4FD7BC7A" w14:textId="77777777" w:rsidR="00117035" w:rsidRPr="00CD095B" w:rsidRDefault="00117035" w:rsidP="00117035">
      <w:pPr>
        <w:pStyle w:val="Subtitle"/>
        <w:spacing w:after="0"/>
        <w:rPr>
          <w:rFonts w:ascii="Cambria" w:hAnsi="Cambria"/>
          <w:color w:val="auto"/>
        </w:rPr>
      </w:pPr>
      <w:r w:rsidRPr="00CD095B">
        <w:rPr>
          <w:rFonts w:ascii="Cambria" w:hAnsi="Cambria"/>
          <w:color w:val="auto"/>
        </w:rPr>
        <w:t xml:space="preserve">Atlanta, GA 30341 </w:t>
      </w:r>
    </w:p>
    <w:p w14:paraId="22667CFF" w14:textId="77777777" w:rsidR="00117035" w:rsidRPr="00CD095B" w:rsidRDefault="00117035" w:rsidP="00117035">
      <w:pPr>
        <w:pStyle w:val="Subtitle"/>
        <w:spacing w:after="0"/>
        <w:rPr>
          <w:rFonts w:ascii="Cambria" w:hAnsi="Cambria"/>
          <w:color w:val="auto"/>
        </w:rPr>
      </w:pPr>
      <w:r w:rsidRPr="00CD095B">
        <w:rPr>
          <w:rFonts w:ascii="Cambria" w:hAnsi="Cambria"/>
          <w:color w:val="auto"/>
        </w:rPr>
        <w:t>Phone: 770-488-0556</w:t>
      </w:r>
    </w:p>
    <w:p w14:paraId="50D612F6" w14:textId="77777777" w:rsidR="00117035" w:rsidRPr="00CD095B" w:rsidRDefault="00117035" w:rsidP="00117035">
      <w:pPr>
        <w:pStyle w:val="Subtitle"/>
        <w:spacing w:after="0"/>
        <w:rPr>
          <w:rFonts w:ascii="Cambria" w:hAnsi="Cambria"/>
          <w:color w:val="auto"/>
        </w:rPr>
      </w:pPr>
      <w:r w:rsidRPr="00CD095B">
        <w:rPr>
          <w:rFonts w:ascii="Cambria" w:hAnsi="Cambria"/>
          <w:color w:val="auto"/>
        </w:rPr>
        <w:t>Fax:  770-488-1537</w:t>
      </w:r>
    </w:p>
    <w:p w14:paraId="3FA2366B" w14:textId="7B9A0C96" w:rsidR="00117035" w:rsidRPr="00CD095B" w:rsidRDefault="00117035" w:rsidP="00117035">
      <w:pPr>
        <w:pStyle w:val="Subtitle"/>
        <w:spacing w:after="0"/>
        <w:rPr>
          <w:rFonts w:ascii="Cambria" w:hAnsi="Cambria"/>
          <w:color w:val="auto"/>
        </w:rPr>
      </w:pPr>
      <w:r w:rsidRPr="00CD095B">
        <w:rPr>
          <w:rFonts w:ascii="Cambria" w:hAnsi="Cambria"/>
          <w:color w:val="auto"/>
        </w:rPr>
        <w:t xml:space="preserve">Email:  </w:t>
      </w:r>
      <w:hyperlink r:id="rId8" w:history="1">
        <w:r w:rsidR="002D677D" w:rsidRPr="00564AE8">
          <w:rPr>
            <w:rStyle w:val="Hyperlink"/>
            <w:rFonts w:ascii="Cambria" w:hAnsi="Cambria"/>
          </w:rPr>
          <w:t>pum4@cdc.gov</w:t>
        </w:r>
      </w:hyperlink>
    </w:p>
    <w:p w14:paraId="4D0E728C" w14:textId="77777777" w:rsidR="00117035" w:rsidRPr="00CD095B" w:rsidRDefault="00117035" w:rsidP="00117035">
      <w:pPr>
        <w:pStyle w:val="Subtitle"/>
        <w:spacing w:after="0"/>
        <w:rPr>
          <w:rFonts w:ascii="Cambria" w:hAnsi="Cambria"/>
          <w:color w:val="auto"/>
        </w:rPr>
      </w:pPr>
    </w:p>
    <w:p w14:paraId="3E4D503B" w14:textId="4E1308F1" w:rsidR="00117035" w:rsidRPr="00CD095B" w:rsidRDefault="00117035" w:rsidP="00117035">
      <w:pPr>
        <w:pStyle w:val="Subtitle"/>
        <w:spacing w:after="0"/>
        <w:rPr>
          <w:rFonts w:ascii="Cambria" w:hAnsi="Cambria"/>
          <w:color w:val="auto"/>
        </w:rPr>
      </w:pPr>
    </w:p>
    <w:p w14:paraId="0AF7AEE6" w14:textId="29840972" w:rsidR="00117035" w:rsidRPr="00CD095B" w:rsidRDefault="00117035" w:rsidP="00117035">
      <w:pPr>
        <w:pStyle w:val="Subtitle"/>
        <w:spacing w:after="0"/>
        <w:rPr>
          <w:rFonts w:ascii="Cambria" w:hAnsi="Cambria"/>
          <w:color w:val="auto"/>
        </w:rPr>
      </w:pPr>
      <w:r w:rsidRPr="00CD095B">
        <w:rPr>
          <w:rFonts w:ascii="Cambria" w:hAnsi="Cambria"/>
          <w:color w:val="auto"/>
        </w:rPr>
        <w:t xml:space="preserve">Date: </w:t>
      </w:r>
      <w:r w:rsidR="00B812AA">
        <w:rPr>
          <w:rFonts w:ascii="Cambria" w:hAnsi="Cambria"/>
          <w:color w:val="auto"/>
        </w:rPr>
        <w:t>November</w:t>
      </w:r>
      <w:r w:rsidR="00016F8C">
        <w:rPr>
          <w:rFonts w:ascii="Cambria" w:hAnsi="Cambria"/>
          <w:color w:val="auto"/>
        </w:rPr>
        <w:t xml:space="preserve"> </w:t>
      </w:r>
      <w:r w:rsidR="00A5280D">
        <w:rPr>
          <w:rFonts w:ascii="Cambria" w:hAnsi="Cambria"/>
          <w:color w:val="auto"/>
        </w:rPr>
        <w:t>3</w:t>
      </w:r>
      <w:bookmarkStart w:id="2" w:name="_GoBack"/>
      <w:bookmarkEnd w:id="2"/>
      <w:r w:rsidR="00212BFA">
        <w:rPr>
          <w:rFonts w:ascii="Cambria" w:hAnsi="Cambria"/>
          <w:color w:val="auto"/>
        </w:rPr>
        <w:t>, 2016</w:t>
      </w:r>
    </w:p>
    <w:sdt>
      <w:sdtPr>
        <w:rPr>
          <w:rFonts w:asciiTheme="minorHAnsi" w:eastAsiaTheme="minorEastAsia" w:hAnsiTheme="minorHAnsi" w:cstheme="minorBidi"/>
          <w:color w:val="auto"/>
          <w:sz w:val="21"/>
          <w:szCs w:val="21"/>
        </w:rPr>
        <w:id w:val="-1716586037"/>
        <w:docPartObj>
          <w:docPartGallery w:val="Table of Contents"/>
          <w:docPartUnique/>
        </w:docPartObj>
      </w:sdtPr>
      <w:sdtEndPr>
        <w:rPr>
          <w:b/>
          <w:bCs/>
          <w:noProof/>
        </w:rPr>
      </w:sdtEndPr>
      <w:sdtContent>
        <w:p w14:paraId="66B68D9C" w14:textId="0B887F63" w:rsidR="00AC4C54" w:rsidRPr="00D80142" w:rsidRDefault="00D33AE3" w:rsidP="00D80142">
          <w:pPr>
            <w:pStyle w:val="TOCHeading"/>
            <w:pBdr>
              <w:bottom w:val="single" w:sz="4" w:space="1" w:color="auto"/>
            </w:pBdr>
            <w:spacing w:after="480"/>
            <w:jc w:val="center"/>
            <w:rPr>
              <w:rFonts w:ascii="Cambria" w:hAnsi="Cambria"/>
              <w:color w:val="auto"/>
            </w:rPr>
          </w:pPr>
          <w:r w:rsidRPr="00E707C0">
            <w:rPr>
              <w:rFonts w:ascii="Cambria" w:hAnsi="Cambria"/>
              <w:color w:val="auto"/>
            </w:rPr>
            <w:t>Table of Contents</w:t>
          </w:r>
        </w:p>
        <w:p w14:paraId="243A052A" w14:textId="77777777" w:rsidR="00832EEE" w:rsidRPr="00D27566" w:rsidRDefault="00D33AE3">
          <w:pPr>
            <w:pStyle w:val="TOC1"/>
            <w:tabs>
              <w:tab w:val="left" w:pos="660"/>
              <w:tab w:val="right" w:leader="dot" w:pos="9350"/>
            </w:tabs>
            <w:rPr>
              <w:noProof/>
              <w:sz w:val="22"/>
              <w:szCs w:val="22"/>
            </w:rPr>
          </w:pPr>
          <w:r w:rsidRPr="00D27566">
            <w:fldChar w:fldCharType="begin"/>
          </w:r>
          <w:r w:rsidRPr="00D27566">
            <w:instrText xml:space="preserve"> TOC \o "1-3" \h \z \u </w:instrText>
          </w:r>
          <w:r w:rsidRPr="00D27566">
            <w:fldChar w:fldCharType="separate"/>
          </w:r>
          <w:hyperlink w:anchor="_Toc465096900" w:history="1">
            <w:r w:rsidR="00832EEE" w:rsidRPr="00D27566">
              <w:rPr>
                <w:rStyle w:val="Hyperlink"/>
                <w:noProof/>
              </w:rPr>
              <w:t>B.1.</w:t>
            </w:r>
            <w:r w:rsidR="00832EEE" w:rsidRPr="00D27566">
              <w:rPr>
                <w:noProof/>
                <w:sz w:val="22"/>
                <w:szCs w:val="22"/>
              </w:rPr>
              <w:tab/>
            </w:r>
            <w:r w:rsidR="00832EEE" w:rsidRPr="00D27566">
              <w:rPr>
                <w:rStyle w:val="Hyperlink"/>
                <w:noProof/>
              </w:rPr>
              <w:t>Respondent Universe and Sampling Methods</w:t>
            </w:r>
            <w:r w:rsidR="00832EEE" w:rsidRPr="00D27566">
              <w:rPr>
                <w:noProof/>
                <w:webHidden/>
              </w:rPr>
              <w:tab/>
            </w:r>
            <w:r w:rsidR="00832EEE" w:rsidRPr="00D27566">
              <w:rPr>
                <w:noProof/>
                <w:webHidden/>
              </w:rPr>
              <w:fldChar w:fldCharType="begin"/>
            </w:r>
            <w:r w:rsidR="00832EEE" w:rsidRPr="00D27566">
              <w:rPr>
                <w:noProof/>
                <w:webHidden/>
              </w:rPr>
              <w:instrText xml:space="preserve"> PAGEREF _Toc465096900 \h </w:instrText>
            </w:r>
            <w:r w:rsidR="00832EEE" w:rsidRPr="00D27566">
              <w:rPr>
                <w:noProof/>
                <w:webHidden/>
              </w:rPr>
            </w:r>
            <w:r w:rsidR="00832EEE" w:rsidRPr="00D27566">
              <w:rPr>
                <w:noProof/>
                <w:webHidden/>
              </w:rPr>
              <w:fldChar w:fldCharType="separate"/>
            </w:r>
            <w:r w:rsidR="00E0795C">
              <w:rPr>
                <w:noProof/>
                <w:webHidden/>
              </w:rPr>
              <w:t>3</w:t>
            </w:r>
            <w:r w:rsidR="00832EEE" w:rsidRPr="00D27566">
              <w:rPr>
                <w:noProof/>
                <w:webHidden/>
              </w:rPr>
              <w:fldChar w:fldCharType="end"/>
            </w:r>
          </w:hyperlink>
        </w:p>
        <w:p w14:paraId="60E4D248" w14:textId="77777777" w:rsidR="00832EEE" w:rsidRPr="00D27566" w:rsidRDefault="008A489C">
          <w:pPr>
            <w:pStyle w:val="TOC1"/>
            <w:tabs>
              <w:tab w:val="left" w:pos="660"/>
              <w:tab w:val="right" w:leader="dot" w:pos="9350"/>
            </w:tabs>
            <w:rPr>
              <w:noProof/>
              <w:sz w:val="22"/>
              <w:szCs w:val="22"/>
            </w:rPr>
          </w:pPr>
          <w:hyperlink w:anchor="_Toc465096901" w:history="1">
            <w:r w:rsidR="00832EEE" w:rsidRPr="00D27566">
              <w:rPr>
                <w:rStyle w:val="Hyperlink"/>
                <w:noProof/>
              </w:rPr>
              <w:t>B.2.</w:t>
            </w:r>
            <w:r w:rsidR="00832EEE" w:rsidRPr="00D27566">
              <w:rPr>
                <w:noProof/>
                <w:sz w:val="22"/>
                <w:szCs w:val="22"/>
              </w:rPr>
              <w:tab/>
            </w:r>
            <w:r w:rsidR="00832EEE" w:rsidRPr="00D27566">
              <w:rPr>
                <w:rStyle w:val="Hyperlink"/>
                <w:noProof/>
              </w:rPr>
              <w:t>Procedures for the Collection of Information</w:t>
            </w:r>
            <w:r w:rsidR="00832EEE" w:rsidRPr="00D27566">
              <w:rPr>
                <w:noProof/>
                <w:webHidden/>
              </w:rPr>
              <w:tab/>
            </w:r>
            <w:r w:rsidR="00832EEE" w:rsidRPr="00D27566">
              <w:rPr>
                <w:noProof/>
                <w:webHidden/>
              </w:rPr>
              <w:fldChar w:fldCharType="begin"/>
            </w:r>
            <w:r w:rsidR="00832EEE" w:rsidRPr="00D27566">
              <w:rPr>
                <w:noProof/>
                <w:webHidden/>
              </w:rPr>
              <w:instrText xml:space="preserve"> PAGEREF _Toc465096901 \h </w:instrText>
            </w:r>
            <w:r w:rsidR="00832EEE" w:rsidRPr="00D27566">
              <w:rPr>
                <w:noProof/>
                <w:webHidden/>
              </w:rPr>
            </w:r>
            <w:r w:rsidR="00832EEE" w:rsidRPr="00D27566">
              <w:rPr>
                <w:noProof/>
                <w:webHidden/>
              </w:rPr>
              <w:fldChar w:fldCharType="separate"/>
            </w:r>
            <w:r w:rsidR="00E0795C">
              <w:rPr>
                <w:noProof/>
                <w:webHidden/>
              </w:rPr>
              <w:t>8</w:t>
            </w:r>
            <w:r w:rsidR="00832EEE" w:rsidRPr="00D27566">
              <w:rPr>
                <w:noProof/>
                <w:webHidden/>
              </w:rPr>
              <w:fldChar w:fldCharType="end"/>
            </w:r>
          </w:hyperlink>
        </w:p>
        <w:p w14:paraId="4563EC92" w14:textId="77777777" w:rsidR="00832EEE" w:rsidRPr="00D27566" w:rsidRDefault="008A489C">
          <w:pPr>
            <w:pStyle w:val="TOC1"/>
            <w:tabs>
              <w:tab w:val="left" w:pos="660"/>
              <w:tab w:val="right" w:leader="dot" w:pos="9350"/>
            </w:tabs>
            <w:rPr>
              <w:noProof/>
              <w:sz w:val="22"/>
              <w:szCs w:val="22"/>
            </w:rPr>
          </w:pPr>
          <w:hyperlink w:anchor="_Toc465096902" w:history="1">
            <w:r w:rsidR="00832EEE" w:rsidRPr="00D27566">
              <w:rPr>
                <w:rStyle w:val="Hyperlink"/>
                <w:noProof/>
              </w:rPr>
              <w:t>B.3.</w:t>
            </w:r>
            <w:r w:rsidR="00832EEE" w:rsidRPr="00D27566">
              <w:rPr>
                <w:noProof/>
                <w:sz w:val="22"/>
                <w:szCs w:val="22"/>
              </w:rPr>
              <w:tab/>
            </w:r>
            <w:r w:rsidR="00832EEE" w:rsidRPr="00D27566">
              <w:rPr>
                <w:rStyle w:val="Hyperlink"/>
                <w:noProof/>
              </w:rPr>
              <w:t>Methods to Maximize Response Rates and Deal with No Response</w:t>
            </w:r>
            <w:r w:rsidR="00832EEE" w:rsidRPr="00D27566">
              <w:rPr>
                <w:noProof/>
                <w:webHidden/>
              </w:rPr>
              <w:tab/>
            </w:r>
            <w:r w:rsidR="00832EEE" w:rsidRPr="00D27566">
              <w:rPr>
                <w:noProof/>
                <w:webHidden/>
              </w:rPr>
              <w:fldChar w:fldCharType="begin"/>
            </w:r>
            <w:r w:rsidR="00832EEE" w:rsidRPr="00D27566">
              <w:rPr>
                <w:noProof/>
                <w:webHidden/>
              </w:rPr>
              <w:instrText xml:space="preserve"> PAGEREF _Toc465096902 \h </w:instrText>
            </w:r>
            <w:r w:rsidR="00832EEE" w:rsidRPr="00D27566">
              <w:rPr>
                <w:noProof/>
                <w:webHidden/>
              </w:rPr>
            </w:r>
            <w:r w:rsidR="00832EEE" w:rsidRPr="00D27566">
              <w:rPr>
                <w:noProof/>
                <w:webHidden/>
              </w:rPr>
              <w:fldChar w:fldCharType="separate"/>
            </w:r>
            <w:r w:rsidR="00E0795C">
              <w:rPr>
                <w:noProof/>
                <w:webHidden/>
              </w:rPr>
              <w:t>9</w:t>
            </w:r>
            <w:r w:rsidR="00832EEE" w:rsidRPr="00D27566">
              <w:rPr>
                <w:noProof/>
                <w:webHidden/>
              </w:rPr>
              <w:fldChar w:fldCharType="end"/>
            </w:r>
          </w:hyperlink>
        </w:p>
        <w:p w14:paraId="257783C5" w14:textId="77777777" w:rsidR="00832EEE" w:rsidRPr="00D27566" w:rsidRDefault="008A489C">
          <w:pPr>
            <w:pStyle w:val="TOC1"/>
            <w:tabs>
              <w:tab w:val="left" w:pos="660"/>
              <w:tab w:val="right" w:leader="dot" w:pos="9350"/>
            </w:tabs>
            <w:rPr>
              <w:noProof/>
              <w:sz w:val="22"/>
              <w:szCs w:val="22"/>
            </w:rPr>
          </w:pPr>
          <w:hyperlink w:anchor="_Toc465096903" w:history="1">
            <w:r w:rsidR="00832EEE" w:rsidRPr="00D27566">
              <w:rPr>
                <w:rStyle w:val="Hyperlink"/>
                <w:noProof/>
              </w:rPr>
              <w:t>B.4.</w:t>
            </w:r>
            <w:r w:rsidR="00832EEE" w:rsidRPr="00D27566">
              <w:rPr>
                <w:noProof/>
                <w:sz w:val="22"/>
                <w:szCs w:val="22"/>
              </w:rPr>
              <w:tab/>
            </w:r>
            <w:r w:rsidR="00832EEE" w:rsidRPr="00D27566">
              <w:rPr>
                <w:rStyle w:val="Hyperlink"/>
                <w:noProof/>
              </w:rPr>
              <w:t>Test of Procedures or Methods to be Undertaken</w:t>
            </w:r>
            <w:r w:rsidR="00832EEE" w:rsidRPr="00D27566">
              <w:rPr>
                <w:noProof/>
                <w:webHidden/>
              </w:rPr>
              <w:tab/>
            </w:r>
            <w:r w:rsidR="00832EEE" w:rsidRPr="00D27566">
              <w:rPr>
                <w:noProof/>
                <w:webHidden/>
              </w:rPr>
              <w:fldChar w:fldCharType="begin"/>
            </w:r>
            <w:r w:rsidR="00832EEE" w:rsidRPr="00D27566">
              <w:rPr>
                <w:noProof/>
                <w:webHidden/>
              </w:rPr>
              <w:instrText xml:space="preserve"> PAGEREF _Toc465096903 \h </w:instrText>
            </w:r>
            <w:r w:rsidR="00832EEE" w:rsidRPr="00D27566">
              <w:rPr>
                <w:noProof/>
                <w:webHidden/>
              </w:rPr>
            </w:r>
            <w:r w:rsidR="00832EEE" w:rsidRPr="00D27566">
              <w:rPr>
                <w:noProof/>
                <w:webHidden/>
              </w:rPr>
              <w:fldChar w:fldCharType="separate"/>
            </w:r>
            <w:r w:rsidR="00E0795C">
              <w:rPr>
                <w:noProof/>
                <w:webHidden/>
              </w:rPr>
              <w:t>11</w:t>
            </w:r>
            <w:r w:rsidR="00832EEE" w:rsidRPr="00D27566">
              <w:rPr>
                <w:noProof/>
                <w:webHidden/>
              </w:rPr>
              <w:fldChar w:fldCharType="end"/>
            </w:r>
          </w:hyperlink>
        </w:p>
        <w:p w14:paraId="7506D12A" w14:textId="77777777" w:rsidR="00832EEE" w:rsidRPr="00D27566" w:rsidRDefault="008A489C">
          <w:pPr>
            <w:pStyle w:val="TOC1"/>
            <w:tabs>
              <w:tab w:val="left" w:pos="660"/>
              <w:tab w:val="right" w:leader="dot" w:pos="9350"/>
            </w:tabs>
            <w:rPr>
              <w:noProof/>
              <w:sz w:val="22"/>
              <w:szCs w:val="22"/>
            </w:rPr>
          </w:pPr>
          <w:hyperlink w:anchor="_Toc465096904" w:history="1">
            <w:r w:rsidR="00832EEE" w:rsidRPr="00D27566">
              <w:rPr>
                <w:rStyle w:val="Hyperlink"/>
                <w:noProof/>
              </w:rPr>
              <w:t>B.5.</w:t>
            </w:r>
            <w:r w:rsidR="00832EEE" w:rsidRPr="00D27566">
              <w:rPr>
                <w:noProof/>
                <w:sz w:val="22"/>
                <w:szCs w:val="22"/>
              </w:rPr>
              <w:tab/>
            </w:r>
            <w:r w:rsidR="00832EEE" w:rsidRPr="00D27566">
              <w:rPr>
                <w:rStyle w:val="Hyperlink"/>
                <w:noProof/>
              </w:rPr>
              <w:t>Individuals Consulted on Statistical Aspects and Individuals Collecting and/or Analyzing Data</w:t>
            </w:r>
            <w:r w:rsidR="00832EEE" w:rsidRPr="00D27566">
              <w:rPr>
                <w:noProof/>
                <w:webHidden/>
              </w:rPr>
              <w:tab/>
            </w:r>
            <w:r w:rsidR="00832EEE" w:rsidRPr="00D27566">
              <w:rPr>
                <w:noProof/>
                <w:webHidden/>
              </w:rPr>
              <w:fldChar w:fldCharType="begin"/>
            </w:r>
            <w:r w:rsidR="00832EEE" w:rsidRPr="00D27566">
              <w:rPr>
                <w:noProof/>
                <w:webHidden/>
              </w:rPr>
              <w:instrText xml:space="preserve"> PAGEREF _Toc465096904 \h </w:instrText>
            </w:r>
            <w:r w:rsidR="00832EEE" w:rsidRPr="00D27566">
              <w:rPr>
                <w:noProof/>
                <w:webHidden/>
              </w:rPr>
            </w:r>
            <w:r w:rsidR="00832EEE" w:rsidRPr="00D27566">
              <w:rPr>
                <w:noProof/>
                <w:webHidden/>
              </w:rPr>
              <w:fldChar w:fldCharType="separate"/>
            </w:r>
            <w:r w:rsidR="00E0795C">
              <w:rPr>
                <w:noProof/>
                <w:webHidden/>
              </w:rPr>
              <w:t>11</w:t>
            </w:r>
            <w:r w:rsidR="00832EEE" w:rsidRPr="00D27566">
              <w:rPr>
                <w:noProof/>
                <w:webHidden/>
              </w:rPr>
              <w:fldChar w:fldCharType="end"/>
            </w:r>
          </w:hyperlink>
        </w:p>
        <w:p w14:paraId="219325BB" w14:textId="77777777" w:rsidR="00832EEE" w:rsidRPr="00D27566" w:rsidRDefault="008A489C">
          <w:pPr>
            <w:pStyle w:val="TOC1"/>
            <w:tabs>
              <w:tab w:val="right" w:leader="dot" w:pos="9350"/>
            </w:tabs>
            <w:rPr>
              <w:noProof/>
              <w:sz w:val="22"/>
              <w:szCs w:val="22"/>
            </w:rPr>
          </w:pPr>
          <w:hyperlink w:anchor="_Toc465096905" w:history="1">
            <w:r w:rsidR="00832EEE" w:rsidRPr="00D27566">
              <w:rPr>
                <w:rStyle w:val="Hyperlink"/>
                <w:noProof/>
              </w:rPr>
              <w:t>References</w:t>
            </w:r>
            <w:r w:rsidR="00832EEE" w:rsidRPr="00D27566">
              <w:rPr>
                <w:noProof/>
                <w:webHidden/>
              </w:rPr>
              <w:tab/>
            </w:r>
            <w:r w:rsidR="00832EEE" w:rsidRPr="00D27566">
              <w:rPr>
                <w:noProof/>
                <w:webHidden/>
              </w:rPr>
              <w:fldChar w:fldCharType="begin"/>
            </w:r>
            <w:r w:rsidR="00832EEE" w:rsidRPr="00D27566">
              <w:rPr>
                <w:noProof/>
                <w:webHidden/>
              </w:rPr>
              <w:instrText xml:space="preserve"> PAGEREF _Toc465096905 \h </w:instrText>
            </w:r>
            <w:r w:rsidR="00832EEE" w:rsidRPr="00D27566">
              <w:rPr>
                <w:noProof/>
                <w:webHidden/>
              </w:rPr>
            </w:r>
            <w:r w:rsidR="00832EEE" w:rsidRPr="00D27566">
              <w:rPr>
                <w:noProof/>
                <w:webHidden/>
              </w:rPr>
              <w:fldChar w:fldCharType="separate"/>
            </w:r>
            <w:r w:rsidR="00E0795C">
              <w:rPr>
                <w:noProof/>
                <w:webHidden/>
              </w:rPr>
              <w:t>12</w:t>
            </w:r>
            <w:r w:rsidR="00832EEE" w:rsidRPr="00D27566">
              <w:rPr>
                <w:noProof/>
                <w:webHidden/>
              </w:rPr>
              <w:fldChar w:fldCharType="end"/>
            </w:r>
          </w:hyperlink>
        </w:p>
        <w:p w14:paraId="251B38F3" w14:textId="496B166E" w:rsidR="00832EEE" w:rsidRPr="00D27566" w:rsidRDefault="007A4D57">
          <w:pPr>
            <w:pStyle w:val="TOC1"/>
            <w:tabs>
              <w:tab w:val="right" w:leader="dot" w:pos="9350"/>
            </w:tabs>
            <w:rPr>
              <w:noProof/>
              <w:sz w:val="22"/>
              <w:szCs w:val="22"/>
            </w:rPr>
          </w:pPr>
          <w:hyperlink w:anchor="_Toc465096906" w:history="1">
            <w:r w:rsidR="00832EEE" w:rsidRPr="00D27566">
              <w:rPr>
                <w:rStyle w:val="Hyperlink"/>
                <w:noProof/>
              </w:rPr>
              <w:t>List of Attachments</w:t>
            </w:r>
            <w:r w:rsidR="00832EEE" w:rsidRPr="00D27566">
              <w:rPr>
                <w:noProof/>
                <w:webHidden/>
              </w:rPr>
              <w:tab/>
            </w:r>
            <w:r w:rsidR="00832EEE" w:rsidRPr="00D27566">
              <w:rPr>
                <w:noProof/>
                <w:webHidden/>
              </w:rPr>
              <w:fldChar w:fldCharType="begin"/>
            </w:r>
            <w:r w:rsidR="00832EEE" w:rsidRPr="00D27566">
              <w:rPr>
                <w:noProof/>
                <w:webHidden/>
              </w:rPr>
              <w:instrText xml:space="preserve"> PAGEREF _Toc465096906 \h </w:instrText>
            </w:r>
            <w:r w:rsidR="00832EEE" w:rsidRPr="00D27566">
              <w:rPr>
                <w:noProof/>
                <w:webHidden/>
              </w:rPr>
            </w:r>
            <w:r w:rsidR="00832EEE" w:rsidRPr="00D27566">
              <w:rPr>
                <w:noProof/>
                <w:webHidden/>
              </w:rPr>
              <w:fldChar w:fldCharType="separate"/>
            </w:r>
            <w:r w:rsidR="00E0795C">
              <w:rPr>
                <w:noProof/>
                <w:webHidden/>
              </w:rPr>
              <w:t>14</w:t>
            </w:r>
            <w:r w:rsidR="00832EEE" w:rsidRPr="00D27566">
              <w:rPr>
                <w:noProof/>
                <w:webHidden/>
              </w:rPr>
              <w:fldChar w:fldCharType="end"/>
            </w:r>
          </w:hyperlink>
        </w:p>
        <w:p w14:paraId="25E671BB" w14:textId="77777777" w:rsidR="00D33AE3" w:rsidRPr="00E707C0" w:rsidRDefault="00D33AE3">
          <w:r w:rsidRPr="00D27566">
            <w:rPr>
              <w:b/>
              <w:bCs/>
              <w:noProof/>
            </w:rPr>
            <w:fldChar w:fldCharType="end"/>
          </w:r>
        </w:p>
      </w:sdtContent>
    </w:sdt>
    <w:p w14:paraId="14A5EA74" w14:textId="77777777" w:rsidR="00BA2DBE" w:rsidRPr="00E707C0" w:rsidRDefault="00BA2DBE">
      <w:pPr>
        <w:spacing w:after="200" w:line="276" w:lineRule="auto"/>
        <w:rPr>
          <w:rFonts w:eastAsiaTheme="majorEastAsia" w:cs="Arial"/>
          <w:b/>
          <w:bCs/>
          <w:sz w:val="26"/>
          <w:szCs w:val="26"/>
        </w:rPr>
      </w:pPr>
    </w:p>
    <w:bookmarkEnd w:id="0"/>
    <w:bookmarkEnd w:id="1"/>
    <w:p w14:paraId="004195ED" w14:textId="77777777" w:rsidR="00F92495" w:rsidRDefault="00F92495">
      <w:r>
        <w:br w:type="page"/>
      </w:r>
    </w:p>
    <w:p w14:paraId="692674E7" w14:textId="77777777" w:rsidR="00F92495" w:rsidRPr="00E707C0" w:rsidRDefault="00F92495" w:rsidP="00F92495">
      <w:pPr>
        <w:pBdr>
          <w:bottom w:val="single" w:sz="4" w:space="1" w:color="auto"/>
        </w:pBdr>
        <w:rPr>
          <w:rFonts w:ascii="Cambria" w:hAnsi="Cambria"/>
          <w:sz w:val="36"/>
          <w:szCs w:val="36"/>
        </w:rPr>
      </w:pPr>
      <w:r w:rsidRPr="00E707C0">
        <w:rPr>
          <w:rFonts w:ascii="Cambria" w:hAnsi="Cambria"/>
          <w:sz w:val="36"/>
          <w:szCs w:val="36"/>
        </w:rPr>
        <w:lastRenderedPageBreak/>
        <w:t>Part B. Collections of Information Employing Statistical Methods</w:t>
      </w:r>
    </w:p>
    <w:p w14:paraId="3CF596FD" w14:textId="51A9F199" w:rsidR="00EF0B5A" w:rsidRDefault="00747A29" w:rsidP="00225DA9">
      <w:pPr>
        <w:spacing w:line="276" w:lineRule="auto"/>
        <w:rPr>
          <w:sz w:val="24"/>
          <w:szCs w:val="24"/>
        </w:rPr>
      </w:pPr>
      <w:r>
        <w:rPr>
          <w:sz w:val="24"/>
          <w:szCs w:val="24"/>
        </w:rPr>
        <w:t xml:space="preserve">This data collection does not involve statistical </w:t>
      </w:r>
      <w:r w:rsidR="00A35DFF">
        <w:rPr>
          <w:sz w:val="24"/>
          <w:szCs w:val="24"/>
        </w:rPr>
        <w:t>methods;</w:t>
      </w:r>
      <w:r>
        <w:rPr>
          <w:sz w:val="24"/>
          <w:szCs w:val="24"/>
        </w:rPr>
        <w:t xml:space="preserve"> however we have described the respondents.  </w:t>
      </w:r>
      <w:r w:rsidR="00CD095B">
        <w:rPr>
          <w:sz w:val="24"/>
          <w:szCs w:val="24"/>
        </w:rPr>
        <w:t>There are no proposed changes to recruitment methods.</w:t>
      </w:r>
    </w:p>
    <w:p w14:paraId="371CCFBA" w14:textId="77777777" w:rsidR="00B45002" w:rsidRPr="00E707C0" w:rsidRDefault="00D33AE3" w:rsidP="008D0F27">
      <w:pPr>
        <w:pStyle w:val="Heading1"/>
        <w:pBdr>
          <w:bottom w:val="none" w:sz="0" w:space="0" w:color="auto"/>
        </w:pBdr>
        <w:rPr>
          <w:rFonts w:ascii="Cambria" w:hAnsi="Cambria"/>
          <w:color w:val="auto"/>
        </w:rPr>
      </w:pPr>
      <w:bookmarkStart w:id="3" w:name="_Toc465096900"/>
      <w:r w:rsidRPr="00E707C0">
        <w:rPr>
          <w:rFonts w:ascii="Cambria" w:hAnsi="Cambria"/>
          <w:color w:val="auto"/>
        </w:rPr>
        <w:t>B.</w:t>
      </w:r>
      <w:r w:rsidR="00B45002" w:rsidRPr="00E707C0">
        <w:rPr>
          <w:rFonts w:ascii="Cambria" w:hAnsi="Cambria"/>
          <w:color w:val="auto"/>
        </w:rPr>
        <w:t>1.</w:t>
      </w:r>
      <w:r w:rsidR="00B45002" w:rsidRPr="00E707C0">
        <w:rPr>
          <w:rFonts w:ascii="Cambria" w:hAnsi="Cambria"/>
          <w:color w:val="auto"/>
        </w:rPr>
        <w:tab/>
        <w:t>Respondent Universe and Sampling Methods</w:t>
      </w:r>
      <w:bookmarkEnd w:id="3"/>
    </w:p>
    <w:p w14:paraId="34AE48A5" w14:textId="77777777" w:rsidR="00EF0B5A" w:rsidRDefault="00EF0B5A" w:rsidP="00A126DE">
      <w:pPr>
        <w:autoSpaceDE w:val="0"/>
        <w:autoSpaceDN w:val="0"/>
        <w:adjustRightInd w:val="0"/>
        <w:spacing w:line="240" w:lineRule="auto"/>
        <w:rPr>
          <w:rFonts w:cs="ITCFranklinGothicStd-Book"/>
          <w:sz w:val="24"/>
          <w:szCs w:val="24"/>
        </w:rPr>
      </w:pPr>
    </w:p>
    <w:p w14:paraId="22F1A57E" w14:textId="0632CC2A" w:rsidR="00A97A5B" w:rsidRDefault="00A126DE" w:rsidP="00A97A5B">
      <w:pPr>
        <w:rPr>
          <w:rFonts w:cstheme="minorHAnsi"/>
          <w:sz w:val="24"/>
        </w:rPr>
      </w:pPr>
      <w:r w:rsidRPr="00A126DE">
        <w:rPr>
          <w:rFonts w:cs="ITCFranklinGothicStd-Book"/>
          <w:sz w:val="24"/>
          <w:szCs w:val="24"/>
        </w:rPr>
        <w:t>This activity is surveillance; respondents are not sampled.  Furthermore, no sample selection</w:t>
      </w:r>
      <w:r w:rsidR="00576193">
        <w:rPr>
          <w:rFonts w:cs="ITCFranklinGothicStd-Book"/>
          <w:sz w:val="24"/>
          <w:szCs w:val="24"/>
        </w:rPr>
        <w:t xml:space="preserve"> is involved in this registry. </w:t>
      </w:r>
      <w:r w:rsidRPr="00A126DE">
        <w:rPr>
          <w:rFonts w:cs="ITCFranklinGothicStd-Book"/>
          <w:sz w:val="24"/>
          <w:szCs w:val="24"/>
        </w:rPr>
        <w:t xml:space="preserve">The </w:t>
      </w:r>
      <w:r w:rsidR="00913E9F">
        <w:rPr>
          <w:rFonts w:cs="ITCFranklinGothicStd-Book"/>
          <w:sz w:val="24"/>
          <w:szCs w:val="24"/>
        </w:rPr>
        <w:t>R</w:t>
      </w:r>
      <w:r w:rsidRPr="00A126DE">
        <w:rPr>
          <w:rFonts w:cs="ITCFranklinGothicStd-Book"/>
          <w:sz w:val="24"/>
          <w:szCs w:val="24"/>
        </w:rPr>
        <w:t xml:space="preserve">egistry will pull in both individuals with ALS from existing administrative data and will allow cases to self-identify. </w:t>
      </w:r>
      <w:r w:rsidR="00001F13">
        <w:rPr>
          <w:rFonts w:cs="ITCFranklinGothicStd-Book"/>
          <w:sz w:val="24"/>
          <w:szCs w:val="24"/>
        </w:rPr>
        <w:t>However, there will be some selection for the biorepository component of the Registry</w:t>
      </w:r>
      <w:r w:rsidR="000D3C05">
        <w:rPr>
          <w:rFonts w:cs="ITCFranklinGothicStd-Book"/>
          <w:sz w:val="24"/>
          <w:szCs w:val="24"/>
        </w:rPr>
        <w:t xml:space="preserve"> due to budget constraints.</w:t>
      </w:r>
      <w:r w:rsidR="00001F13">
        <w:rPr>
          <w:rFonts w:cs="ITCFranklinGothicStd-Book"/>
          <w:sz w:val="24"/>
          <w:szCs w:val="24"/>
        </w:rPr>
        <w:t xml:space="preserve">  </w:t>
      </w:r>
      <w:r w:rsidR="00A97A5B">
        <w:rPr>
          <w:rFonts w:cstheme="minorHAnsi"/>
          <w:sz w:val="24"/>
        </w:rPr>
        <w:t xml:space="preserve">Individuals asked to participate in the biorepository will be selected from PALS who enroll in the Registry and express and interest in learning more about the biorepository.  To better address the congressional mandate to examine genetic and environmental risk factors that may cluster by geographic area, we will select a convenience sample from those who are interested </w:t>
      </w:r>
      <w:r w:rsidR="00A97A5B" w:rsidRPr="00360A66">
        <w:rPr>
          <w:rFonts w:cstheme="minorHAnsi"/>
          <w:sz w:val="24"/>
          <w:szCs w:val="24"/>
        </w:rPr>
        <w:t>in the biorepository</w:t>
      </w:r>
      <w:r w:rsidR="00A97A5B">
        <w:rPr>
          <w:rFonts w:cstheme="minorHAnsi"/>
          <w:sz w:val="24"/>
        </w:rPr>
        <w:t xml:space="preserve"> proportional to state population and with at least one person from each state. We will recruit from the harder to fill states, e.g., Wyoming, Rhode Island, first and then distribute the cases throughout the other states. Because recruitment tends to get individuals from the same town to enroll during the same time period, selection in states where we are recruiting multiple participants will be distributed across the states in any given month</w:t>
      </w:r>
      <w:r w:rsidR="006307F9">
        <w:rPr>
          <w:rFonts w:cstheme="minorHAnsi"/>
          <w:sz w:val="24"/>
        </w:rPr>
        <w:t xml:space="preserve"> </w:t>
      </w:r>
      <w:r w:rsidR="007A4D57">
        <w:rPr>
          <w:rFonts w:cstheme="minorHAnsi"/>
          <w:sz w:val="24"/>
        </w:rPr>
        <w:t>by stratify</w:t>
      </w:r>
      <w:r w:rsidR="00E0795C">
        <w:rPr>
          <w:rFonts w:cstheme="minorHAnsi"/>
          <w:sz w:val="24"/>
        </w:rPr>
        <w:t>ing</w:t>
      </w:r>
      <w:r w:rsidR="007A4D57">
        <w:rPr>
          <w:rFonts w:cstheme="minorHAnsi"/>
          <w:sz w:val="24"/>
        </w:rPr>
        <w:t xml:space="preserve"> those interested in participating in each state by</w:t>
      </w:r>
      <w:r w:rsidR="00E0795C">
        <w:rPr>
          <w:rFonts w:cstheme="minorHAnsi"/>
          <w:sz w:val="24"/>
        </w:rPr>
        <w:t xml:space="preserve"> city and taking</w:t>
      </w:r>
      <w:r w:rsidR="007A4D57">
        <w:rPr>
          <w:rFonts w:cstheme="minorHAnsi"/>
          <w:sz w:val="24"/>
        </w:rPr>
        <w:t xml:space="preserve"> a systematic sample from the different geographic areas. </w:t>
      </w:r>
      <w:r w:rsidR="00A97A5B">
        <w:rPr>
          <w:rFonts w:cstheme="minorHAnsi"/>
          <w:sz w:val="24"/>
        </w:rPr>
        <w:t>Based on our experience with the pilot study, this will give a good distribution of those living in urban and rural areas in addition to good state representation.</w:t>
      </w:r>
    </w:p>
    <w:p w14:paraId="5A5900DB" w14:textId="36655B7B" w:rsidR="001F22D4" w:rsidRDefault="00A126DE" w:rsidP="00225DA9">
      <w:pPr>
        <w:autoSpaceDE w:val="0"/>
        <w:autoSpaceDN w:val="0"/>
        <w:adjustRightInd w:val="0"/>
        <w:spacing w:line="276" w:lineRule="auto"/>
        <w:rPr>
          <w:rFonts w:cs="ITCFranklinGothicStd-Book"/>
          <w:sz w:val="24"/>
          <w:szCs w:val="24"/>
        </w:rPr>
      </w:pPr>
      <w:r w:rsidRPr="00A126DE">
        <w:rPr>
          <w:rFonts w:cs="ITCFranklinGothicStd-Book"/>
          <w:sz w:val="24"/>
          <w:szCs w:val="24"/>
        </w:rPr>
        <w:t xml:space="preserve">The primary purpose of the </w:t>
      </w:r>
      <w:r w:rsidR="00913E9F">
        <w:rPr>
          <w:rFonts w:cs="ITCFranklinGothicStd-Book"/>
          <w:sz w:val="24"/>
          <w:szCs w:val="24"/>
        </w:rPr>
        <w:t>R</w:t>
      </w:r>
      <w:r w:rsidRPr="00A126DE">
        <w:rPr>
          <w:rFonts w:cs="ITCFranklinGothicStd-Book"/>
          <w:sz w:val="24"/>
          <w:szCs w:val="24"/>
        </w:rPr>
        <w:t xml:space="preserve">egistry is to improve estimates of likely prevalence of ALS and provide basic demographic information including, age, </w:t>
      </w:r>
      <w:r w:rsidR="00576193">
        <w:rPr>
          <w:rFonts w:cs="ITCFranklinGothicStd-Book"/>
          <w:sz w:val="24"/>
          <w:szCs w:val="24"/>
        </w:rPr>
        <w:t xml:space="preserve">race, sex and geographic area. </w:t>
      </w:r>
      <w:r w:rsidRPr="00A126DE">
        <w:rPr>
          <w:rFonts w:cs="ITCFranklinGothicStd-Book"/>
          <w:sz w:val="24"/>
          <w:szCs w:val="24"/>
        </w:rPr>
        <w:t>The tabulation of risk factor information required by Congress is for descr</w:t>
      </w:r>
      <w:r w:rsidR="00E7142F">
        <w:rPr>
          <w:rFonts w:cs="ITCFranklinGothicStd-Book"/>
          <w:sz w:val="24"/>
          <w:szCs w:val="24"/>
        </w:rPr>
        <w:t>iptive purposes only.</w:t>
      </w:r>
      <w:r w:rsidR="001F22D4">
        <w:rPr>
          <w:rFonts w:cs="ITCFranklinGothicStd-Book"/>
          <w:sz w:val="24"/>
          <w:szCs w:val="24"/>
        </w:rPr>
        <w:t xml:space="preserve">  The following table includes the distribution of selected risk factor data.</w:t>
      </w:r>
    </w:p>
    <w:p w14:paraId="51615248" w14:textId="77777777" w:rsidR="005B7CD5" w:rsidRDefault="005B7CD5" w:rsidP="001F22D4">
      <w:pPr>
        <w:autoSpaceDE w:val="0"/>
        <w:autoSpaceDN w:val="0"/>
        <w:adjustRightInd w:val="0"/>
        <w:spacing w:after="0" w:line="240" w:lineRule="auto"/>
        <w:rPr>
          <w:rFonts w:cs="ITCFranklinGothicStd-Book"/>
          <w:sz w:val="24"/>
          <w:szCs w:val="24"/>
        </w:rPr>
      </w:pPr>
    </w:p>
    <w:p w14:paraId="13979766" w14:textId="38A25664" w:rsidR="001F22D4" w:rsidRDefault="001F22D4" w:rsidP="001F22D4">
      <w:pPr>
        <w:autoSpaceDE w:val="0"/>
        <w:autoSpaceDN w:val="0"/>
        <w:adjustRightInd w:val="0"/>
        <w:spacing w:after="0" w:line="240" w:lineRule="auto"/>
        <w:rPr>
          <w:rFonts w:cs="ITCFranklinGothicStd-Book"/>
          <w:sz w:val="24"/>
          <w:szCs w:val="24"/>
        </w:rPr>
      </w:pPr>
      <w:r>
        <w:rPr>
          <w:rFonts w:cs="ITCFranklinGothicStd-Book"/>
          <w:sz w:val="24"/>
          <w:szCs w:val="24"/>
        </w:rPr>
        <w:t>Tabulation of Selected Risk Factor Data, October 18, 2010 – December 31, 2013</w:t>
      </w:r>
    </w:p>
    <w:tbl>
      <w:tblPr>
        <w:tblW w:w="6820" w:type="dxa"/>
        <w:tblInd w:w="-10" w:type="dxa"/>
        <w:tblLook w:val="04A0" w:firstRow="1" w:lastRow="0" w:firstColumn="1" w:lastColumn="0" w:noHBand="0" w:noVBand="1"/>
      </w:tblPr>
      <w:tblGrid>
        <w:gridCol w:w="4900"/>
        <w:gridCol w:w="960"/>
        <w:gridCol w:w="960"/>
      </w:tblGrid>
      <w:tr w:rsidR="00DA4ADD" w:rsidRPr="00DA4ADD" w14:paraId="0A1BA678" w14:textId="77777777" w:rsidTr="00DA4ADD">
        <w:trPr>
          <w:trHeight w:val="315"/>
        </w:trPr>
        <w:tc>
          <w:tcPr>
            <w:tcW w:w="4900" w:type="dxa"/>
            <w:tcBorders>
              <w:top w:val="single" w:sz="8" w:space="0" w:color="auto"/>
              <w:left w:val="single" w:sz="8" w:space="0" w:color="auto"/>
              <w:bottom w:val="single" w:sz="8" w:space="0" w:color="auto"/>
              <w:right w:val="single" w:sz="8" w:space="0" w:color="auto"/>
            </w:tcBorders>
            <w:shd w:val="clear" w:color="auto" w:fill="auto"/>
            <w:noWrap/>
            <w:hideMark/>
          </w:tcPr>
          <w:p w14:paraId="331348D0"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 </w:t>
            </w:r>
          </w:p>
        </w:tc>
        <w:tc>
          <w:tcPr>
            <w:tcW w:w="960" w:type="dxa"/>
            <w:tcBorders>
              <w:top w:val="single" w:sz="8" w:space="0" w:color="auto"/>
              <w:left w:val="nil"/>
              <w:bottom w:val="single" w:sz="8" w:space="0" w:color="auto"/>
              <w:right w:val="single" w:sz="8" w:space="0" w:color="auto"/>
            </w:tcBorders>
            <w:shd w:val="clear" w:color="auto" w:fill="auto"/>
            <w:noWrap/>
            <w:hideMark/>
          </w:tcPr>
          <w:p w14:paraId="05DD2FA7" w14:textId="77777777" w:rsidR="00DA4ADD" w:rsidRPr="00DA4ADD" w:rsidRDefault="00DA4ADD" w:rsidP="00DA4ADD">
            <w:pPr>
              <w:spacing w:after="0" w:line="240" w:lineRule="auto"/>
              <w:jc w:val="center"/>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No.</w:t>
            </w:r>
          </w:p>
        </w:tc>
        <w:tc>
          <w:tcPr>
            <w:tcW w:w="960" w:type="dxa"/>
            <w:tcBorders>
              <w:top w:val="single" w:sz="8" w:space="0" w:color="auto"/>
              <w:left w:val="nil"/>
              <w:bottom w:val="single" w:sz="8" w:space="0" w:color="auto"/>
              <w:right w:val="single" w:sz="8" w:space="0" w:color="auto"/>
            </w:tcBorders>
            <w:shd w:val="clear" w:color="auto" w:fill="auto"/>
            <w:noWrap/>
            <w:hideMark/>
          </w:tcPr>
          <w:p w14:paraId="1179D637" w14:textId="77777777" w:rsidR="00DA4ADD" w:rsidRPr="00DA4ADD" w:rsidRDefault="00DA4ADD" w:rsidP="00DA4ADD">
            <w:pPr>
              <w:spacing w:after="0" w:line="240" w:lineRule="auto"/>
              <w:jc w:val="center"/>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w:t>
            </w:r>
          </w:p>
        </w:tc>
      </w:tr>
      <w:tr w:rsidR="00DA4ADD" w:rsidRPr="00DA4ADD" w14:paraId="0A41ABF1" w14:textId="77777777" w:rsidTr="00DA4ADD">
        <w:trPr>
          <w:trHeight w:val="360"/>
        </w:trPr>
        <w:tc>
          <w:tcPr>
            <w:tcW w:w="4900" w:type="dxa"/>
            <w:tcBorders>
              <w:top w:val="nil"/>
              <w:left w:val="single" w:sz="8" w:space="0" w:color="auto"/>
              <w:bottom w:val="single" w:sz="8" w:space="0" w:color="auto"/>
              <w:right w:val="single" w:sz="8" w:space="0" w:color="auto"/>
            </w:tcBorders>
            <w:shd w:val="clear" w:color="auto" w:fill="auto"/>
            <w:noWrap/>
            <w:hideMark/>
          </w:tcPr>
          <w:p w14:paraId="61CDFCB1" w14:textId="77777777" w:rsidR="00DA4ADD" w:rsidRPr="00DA4ADD" w:rsidRDefault="00DA4ADD" w:rsidP="00DA4ADD">
            <w:pPr>
              <w:spacing w:after="0" w:line="240" w:lineRule="auto"/>
              <w:rPr>
                <w:rFonts w:ascii="Calibri" w:eastAsia="Times New Roman" w:hAnsi="Calibri" w:cs="Times New Roman"/>
                <w:b/>
                <w:bCs/>
                <w:color w:val="000000"/>
                <w:sz w:val="22"/>
                <w:szCs w:val="22"/>
              </w:rPr>
            </w:pPr>
            <w:r w:rsidRPr="00DA4ADD">
              <w:rPr>
                <w:rFonts w:ascii="Calibri" w:eastAsia="Times New Roman" w:hAnsi="Calibri" w:cs="Times New Roman"/>
                <w:b/>
                <w:bCs/>
                <w:color w:val="000000"/>
                <w:sz w:val="22"/>
                <w:szCs w:val="22"/>
              </w:rPr>
              <w:t>Smoking Status</w:t>
            </w:r>
            <w:r w:rsidRPr="00DA4ADD">
              <w:rPr>
                <w:rFonts w:ascii="Calibri" w:eastAsia="Times New Roman" w:hAnsi="Calibri" w:cs="Times New Roman"/>
                <w:b/>
                <w:bCs/>
                <w:color w:val="000000"/>
                <w:sz w:val="22"/>
                <w:szCs w:val="22"/>
                <w:vertAlign w:val="superscript"/>
              </w:rPr>
              <w:t>*</w:t>
            </w:r>
          </w:p>
        </w:tc>
        <w:tc>
          <w:tcPr>
            <w:tcW w:w="960" w:type="dxa"/>
            <w:tcBorders>
              <w:top w:val="nil"/>
              <w:left w:val="nil"/>
              <w:bottom w:val="single" w:sz="8" w:space="0" w:color="auto"/>
              <w:right w:val="single" w:sz="8" w:space="0" w:color="auto"/>
            </w:tcBorders>
            <w:shd w:val="clear" w:color="auto" w:fill="auto"/>
            <w:noWrap/>
            <w:hideMark/>
          </w:tcPr>
          <w:p w14:paraId="36640DDC" w14:textId="77777777" w:rsidR="00DA4ADD" w:rsidRPr="00DA4ADD" w:rsidRDefault="00DA4ADD" w:rsidP="00DA4ADD">
            <w:pPr>
              <w:spacing w:after="0" w:line="240" w:lineRule="auto"/>
              <w:jc w:val="center"/>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 </w:t>
            </w:r>
          </w:p>
        </w:tc>
        <w:tc>
          <w:tcPr>
            <w:tcW w:w="960" w:type="dxa"/>
            <w:tcBorders>
              <w:top w:val="nil"/>
              <w:left w:val="nil"/>
              <w:bottom w:val="single" w:sz="8" w:space="0" w:color="auto"/>
              <w:right w:val="single" w:sz="8" w:space="0" w:color="auto"/>
            </w:tcBorders>
            <w:shd w:val="clear" w:color="auto" w:fill="auto"/>
            <w:noWrap/>
            <w:hideMark/>
          </w:tcPr>
          <w:p w14:paraId="3774788E" w14:textId="77777777" w:rsidR="00DA4ADD" w:rsidRPr="00DA4ADD" w:rsidRDefault="00DA4ADD" w:rsidP="00DA4ADD">
            <w:pPr>
              <w:spacing w:after="0" w:line="240" w:lineRule="auto"/>
              <w:jc w:val="center"/>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 </w:t>
            </w:r>
          </w:p>
        </w:tc>
      </w:tr>
      <w:tr w:rsidR="00DA4ADD" w:rsidRPr="00DA4ADD" w14:paraId="64A01D44"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146DF38D"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Current Smoker</w:t>
            </w:r>
          </w:p>
        </w:tc>
        <w:tc>
          <w:tcPr>
            <w:tcW w:w="960" w:type="dxa"/>
            <w:tcBorders>
              <w:top w:val="nil"/>
              <w:left w:val="nil"/>
              <w:bottom w:val="single" w:sz="8" w:space="0" w:color="auto"/>
              <w:right w:val="single" w:sz="8" w:space="0" w:color="auto"/>
            </w:tcBorders>
            <w:shd w:val="clear" w:color="auto" w:fill="auto"/>
            <w:hideMark/>
          </w:tcPr>
          <w:p w14:paraId="59252823"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305</w:t>
            </w:r>
          </w:p>
        </w:tc>
        <w:tc>
          <w:tcPr>
            <w:tcW w:w="960" w:type="dxa"/>
            <w:tcBorders>
              <w:top w:val="nil"/>
              <w:left w:val="nil"/>
              <w:bottom w:val="single" w:sz="8" w:space="0" w:color="auto"/>
              <w:right w:val="single" w:sz="8" w:space="0" w:color="auto"/>
            </w:tcBorders>
            <w:shd w:val="clear" w:color="auto" w:fill="auto"/>
            <w:hideMark/>
          </w:tcPr>
          <w:p w14:paraId="01819E3C"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8.9</w:t>
            </w:r>
          </w:p>
        </w:tc>
      </w:tr>
      <w:tr w:rsidR="00DA4ADD" w:rsidRPr="00DA4ADD" w14:paraId="4682CF61"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6D8F9FC1"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Former Smoker</w:t>
            </w:r>
          </w:p>
        </w:tc>
        <w:tc>
          <w:tcPr>
            <w:tcW w:w="960" w:type="dxa"/>
            <w:tcBorders>
              <w:top w:val="nil"/>
              <w:left w:val="nil"/>
              <w:bottom w:val="single" w:sz="8" w:space="0" w:color="auto"/>
              <w:right w:val="single" w:sz="8" w:space="0" w:color="auto"/>
            </w:tcBorders>
            <w:shd w:val="clear" w:color="auto" w:fill="auto"/>
            <w:hideMark/>
          </w:tcPr>
          <w:p w14:paraId="39F0A38D"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1380</w:t>
            </w:r>
          </w:p>
        </w:tc>
        <w:tc>
          <w:tcPr>
            <w:tcW w:w="960" w:type="dxa"/>
            <w:tcBorders>
              <w:top w:val="nil"/>
              <w:left w:val="nil"/>
              <w:bottom w:val="single" w:sz="8" w:space="0" w:color="auto"/>
              <w:right w:val="single" w:sz="8" w:space="0" w:color="auto"/>
            </w:tcBorders>
            <w:shd w:val="clear" w:color="auto" w:fill="auto"/>
            <w:hideMark/>
          </w:tcPr>
          <w:p w14:paraId="5FBF3C8D"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40.4</w:t>
            </w:r>
          </w:p>
        </w:tc>
      </w:tr>
      <w:tr w:rsidR="00DA4ADD" w:rsidRPr="00DA4ADD" w14:paraId="18EDA4B9"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235A9422"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lastRenderedPageBreak/>
              <w:t>Nonsmoker</w:t>
            </w:r>
          </w:p>
        </w:tc>
        <w:tc>
          <w:tcPr>
            <w:tcW w:w="960" w:type="dxa"/>
            <w:tcBorders>
              <w:top w:val="nil"/>
              <w:left w:val="nil"/>
              <w:bottom w:val="single" w:sz="8" w:space="0" w:color="auto"/>
              <w:right w:val="single" w:sz="8" w:space="0" w:color="auto"/>
            </w:tcBorders>
            <w:shd w:val="clear" w:color="auto" w:fill="auto"/>
            <w:hideMark/>
          </w:tcPr>
          <w:p w14:paraId="64F1924C"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1720</w:t>
            </w:r>
          </w:p>
        </w:tc>
        <w:tc>
          <w:tcPr>
            <w:tcW w:w="960" w:type="dxa"/>
            <w:tcBorders>
              <w:top w:val="nil"/>
              <w:left w:val="nil"/>
              <w:bottom w:val="single" w:sz="8" w:space="0" w:color="auto"/>
              <w:right w:val="single" w:sz="8" w:space="0" w:color="auto"/>
            </w:tcBorders>
            <w:shd w:val="clear" w:color="auto" w:fill="auto"/>
            <w:hideMark/>
          </w:tcPr>
          <w:p w14:paraId="2286656C"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50.4</w:t>
            </w:r>
          </w:p>
        </w:tc>
      </w:tr>
      <w:tr w:rsidR="00DA4ADD" w:rsidRPr="00DA4ADD" w14:paraId="5317190C"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noWrap/>
            <w:hideMark/>
          </w:tcPr>
          <w:p w14:paraId="6FD5016E" w14:textId="77777777" w:rsidR="00DA4ADD" w:rsidRPr="00DA4ADD" w:rsidRDefault="00DA4ADD" w:rsidP="00DA4ADD">
            <w:pPr>
              <w:spacing w:after="0" w:line="240" w:lineRule="auto"/>
              <w:rPr>
                <w:rFonts w:ascii="Calibri" w:eastAsia="Times New Roman" w:hAnsi="Calibri" w:cs="Times New Roman"/>
                <w:b/>
                <w:bCs/>
                <w:color w:val="000000"/>
                <w:sz w:val="22"/>
                <w:szCs w:val="22"/>
              </w:rPr>
            </w:pPr>
            <w:r w:rsidRPr="00DA4ADD">
              <w:rPr>
                <w:rFonts w:ascii="Calibri" w:eastAsia="Times New Roman" w:hAnsi="Calibri" w:cs="Times New Roman"/>
                <w:b/>
                <w:bCs/>
                <w:color w:val="000000"/>
                <w:sz w:val="22"/>
                <w:szCs w:val="22"/>
              </w:rPr>
              <w:t>Ever Smoker</w:t>
            </w:r>
          </w:p>
        </w:tc>
        <w:tc>
          <w:tcPr>
            <w:tcW w:w="960" w:type="dxa"/>
            <w:tcBorders>
              <w:top w:val="nil"/>
              <w:left w:val="nil"/>
              <w:bottom w:val="single" w:sz="8" w:space="0" w:color="auto"/>
              <w:right w:val="single" w:sz="8" w:space="0" w:color="auto"/>
            </w:tcBorders>
            <w:shd w:val="clear" w:color="auto" w:fill="auto"/>
            <w:noWrap/>
            <w:hideMark/>
          </w:tcPr>
          <w:p w14:paraId="59A4C9F4"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1685</w:t>
            </w:r>
          </w:p>
        </w:tc>
        <w:tc>
          <w:tcPr>
            <w:tcW w:w="960" w:type="dxa"/>
            <w:tcBorders>
              <w:top w:val="nil"/>
              <w:left w:val="nil"/>
              <w:bottom w:val="single" w:sz="8" w:space="0" w:color="auto"/>
              <w:right w:val="single" w:sz="8" w:space="0" w:color="auto"/>
            </w:tcBorders>
            <w:shd w:val="clear" w:color="auto" w:fill="auto"/>
            <w:noWrap/>
            <w:hideMark/>
          </w:tcPr>
          <w:p w14:paraId="21E46C2F"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49.4</w:t>
            </w:r>
          </w:p>
        </w:tc>
      </w:tr>
      <w:tr w:rsidR="00DA4ADD" w:rsidRPr="00DA4ADD" w14:paraId="0EBBFDFF"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noWrap/>
            <w:hideMark/>
          </w:tcPr>
          <w:p w14:paraId="3828B042" w14:textId="77777777" w:rsidR="00DA4ADD" w:rsidRPr="00DA4ADD" w:rsidRDefault="00DA4ADD" w:rsidP="00DA4ADD">
            <w:pPr>
              <w:spacing w:after="0" w:line="240" w:lineRule="auto"/>
              <w:rPr>
                <w:rFonts w:ascii="Calibri" w:eastAsia="Times New Roman" w:hAnsi="Calibri" w:cs="Times New Roman"/>
                <w:b/>
                <w:bCs/>
                <w:color w:val="000000"/>
                <w:sz w:val="22"/>
                <w:szCs w:val="22"/>
              </w:rPr>
            </w:pPr>
            <w:r w:rsidRPr="00DA4ADD">
              <w:rPr>
                <w:rFonts w:ascii="Calibri" w:eastAsia="Times New Roman" w:hAnsi="Calibri" w:cs="Times New Roman"/>
                <w:b/>
                <w:bCs/>
                <w:color w:val="000000"/>
                <w:sz w:val="22"/>
                <w:szCs w:val="22"/>
              </w:rPr>
              <w:t>Smoking Duration</w:t>
            </w:r>
          </w:p>
        </w:tc>
        <w:tc>
          <w:tcPr>
            <w:tcW w:w="960" w:type="dxa"/>
            <w:tcBorders>
              <w:top w:val="nil"/>
              <w:left w:val="nil"/>
              <w:bottom w:val="single" w:sz="8" w:space="0" w:color="auto"/>
              <w:right w:val="single" w:sz="8" w:space="0" w:color="auto"/>
            </w:tcBorders>
            <w:shd w:val="clear" w:color="auto" w:fill="auto"/>
            <w:noWrap/>
            <w:hideMark/>
          </w:tcPr>
          <w:p w14:paraId="0BFEB816"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 </w:t>
            </w:r>
          </w:p>
        </w:tc>
        <w:tc>
          <w:tcPr>
            <w:tcW w:w="960" w:type="dxa"/>
            <w:tcBorders>
              <w:top w:val="nil"/>
              <w:left w:val="nil"/>
              <w:bottom w:val="single" w:sz="8" w:space="0" w:color="auto"/>
              <w:right w:val="single" w:sz="8" w:space="0" w:color="auto"/>
            </w:tcBorders>
            <w:shd w:val="clear" w:color="auto" w:fill="auto"/>
            <w:noWrap/>
            <w:hideMark/>
          </w:tcPr>
          <w:p w14:paraId="45E8CAE1"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 </w:t>
            </w:r>
          </w:p>
        </w:tc>
      </w:tr>
      <w:tr w:rsidR="00DA4ADD" w:rsidRPr="00DA4ADD" w14:paraId="7C9BA6D0"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5D0BD476"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&lt; 10 years</w:t>
            </w:r>
          </w:p>
        </w:tc>
        <w:tc>
          <w:tcPr>
            <w:tcW w:w="960" w:type="dxa"/>
            <w:tcBorders>
              <w:top w:val="nil"/>
              <w:left w:val="nil"/>
              <w:bottom w:val="single" w:sz="8" w:space="0" w:color="auto"/>
              <w:right w:val="single" w:sz="8" w:space="0" w:color="auto"/>
            </w:tcBorders>
            <w:shd w:val="clear" w:color="auto" w:fill="auto"/>
            <w:hideMark/>
          </w:tcPr>
          <w:p w14:paraId="29E28EE1"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354</w:t>
            </w:r>
          </w:p>
        </w:tc>
        <w:tc>
          <w:tcPr>
            <w:tcW w:w="960" w:type="dxa"/>
            <w:tcBorders>
              <w:top w:val="nil"/>
              <w:left w:val="nil"/>
              <w:bottom w:val="single" w:sz="8" w:space="0" w:color="auto"/>
              <w:right w:val="single" w:sz="8" w:space="0" w:color="auto"/>
            </w:tcBorders>
            <w:shd w:val="clear" w:color="auto" w:fill="auto"/>
            <w:hideMark/>
          </w:tcPr>
          <w:p w14:paraId="739029AC"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21</w:t>
            </w:r>
          </w:p>
        </w:tc>
      </w:tr>
      <w:tr w:rsidR="00DA4ADD" w:rsidRPr="00DA4ADD" w14:paraId="118A8492"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7A5B792A"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10- &lt;25 years</w:t>
            </w:r>
          </w:p>
        </w:tc>
        <w:tc>
          <w:tcPr>
            <w:tcW w:w="960" w:type="dxa"/>
            <w:tcBorders>
              <w:top w:val="nil"/>
              <w:left w:val="nil"/>
              <w:bottom w:val="single" w:sz="8" w:space="0" w:color="auto"/>
              <w:right w:val="single" w:sz="8" w:space="0" w:color="auto"/>
            </w:tcBorders>
            <w:shd w:val="clear" w:color="auto" w:fill="auto"/>
            <w:hideMark/>
          </w:tcPr>
          <w:p w14:paraId="224426FD"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651</w:t>
            </w:r>
          </w:p>
        </w:tc>
        <w:tc>
          <w:tcPr>
            <w:tcW w:w="960" w:type="dxa"/>
            <w:tcBorders>
              <w:top w:val="nil"/>
              <w:left w:val="nil"/>
              <w:bottom w:val="single" w:sz="8" w:space="0" w:color="auto"/>
              <w:right w:val="single" w:sz="8" w:space="0" w:color="auto"/>
            </w:tcBorders>
            <w:shd w:val="clear" w:color="auto" w:fill="auto"/>
            <w:hideMark/>
          </w:tcPr>
          <w:p w14:paraId="2B986C96"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38.6</w:t>
            </w:r>
          </w:p>
        </w:tc>
      </w:tr>
      <w:tr w:rsidR="00DA4ADD" w:rsidRPr="00DA4ADD" w14:paraId="4F024229"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0A0C92DC"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25- &lt;40 years</w:t>
            </w:r>
          </w:p>
        </w:tc>
        <w:tc>
          <w:tcPr>
            <w:tcW w:w="960" w:type="dxa"/>
            <w:tcBorders>
              <w:top w:val="nil"/>
              <w:left w:val="nil"/>
              <w:bottom w:val="single" w:sz="8" w:space="0" w:color="auto"/>
              <w:right w:val="single" w:sz="8" w:space="0" w:color="auto"/>
            </w:tcBorders>
            <w:shd w:val="clear" w:color="auto" w:fill="auto"/>
            <w:hideMark/>
          </w:tcPr>
          <w:p w14:paraId="1F6AAFC8"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445</w:t>
            </w:r>
          </w:p>
        </w:tc>
        <w:tc>
          <w:tcPr>
            <w:tcW w:w="960" w:type="dxa"/>
            <w:tcBorders>
              <w:top w:val="nil"/>
              <w:left w:val="nil"/>
              <w:bottom w:val="single" w:sz="8" w:space="0" w:color="auto"/>
              <w:right w:val="single" w:sz="8" w:space="0" w:color="auto"/>
            </w:tcBorders>
            <w:shd w:val="clear" w:color="auto" w:fill="auto"/>
            <w:hideMark/>
          </w:tcPr>
          <w:p w14:paraId="5AE6456D"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26.4</w:t>
            </w:r>
          </w:p>
        </w:tc>
      </w:tr>
      <w:tr w:rsidR="00DA4ADD" w:rsidRPr="00DA4ADD" w14:paraId="678B539F"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24B0F763"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40+ years</w:t>
            </w:r>
          </w:p>
        </w:tc>
        <w:tc>
          <w:tcPr>
            <w:tcW w:w="960" w:type="dxa"/>
            <w:tcBorders>
              <w:top w:val="nil"/>
              <w:left w:val="nil"/>
              <w:bottom w:val="single" w:sz="8" w:space="0" w:color="auto"/>
              <w:right w:val="single" w:sz="8" w:space="0" w:color="auto"/>
            </w:tcBorders>
            <w:shd w:val="clear" w:color="auto" w:fill="auto"/>
            <w:hideMark/>
          </w:tcPr>
          <w:p w14:paraId="340F584C"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223</w:t>
            </w:r>
          </w:p>
        </w:tc>
        <w:tc>
          <w:tcPr>
            <w:tcW w:w="960" w:type="dxa"/>
            <w:tcBorders>
              <w:top w:val="nil"/>
              <w:left w:val="nil"/>
              <w:bottom w:val="single" w:sz="8" w:space="0" w:color="auto"/>
              <w:right w:val="single" w:sz="8" w:space="0" w:color="auto"/>
            </w:tcBorders>
            <w:shd w:val="clear" w:color="auto" w:fill="auto"/>
            <w:hideMark/>
          </w:tcPr>
          <w:p w14:paraId="4BBB3273"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13.2</w:t>
            </w:r>
          </w:p>
        </w:tc>
      </w:tr>
      <w:tr w:rsidR="00DA4ADD" w:rsidRPr="00DA4ADD" w14:paraId="2C1C7037"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noWrap/>
            <w:hideMark/>
          </w:tcPr>
          <w:p w14:paraId="6713DF8A" w14:textId="77777777" w:rsidR="00DA4ADD" w:rsidRPr="00DA4ADD" w:rsidRDefault="00DA4ADD" w:rsidP="00DA4ADD">
            <w:pPr>
              <w:spacing w:after="0" w:line="240" w:lineRule="auto"/>
              <w:rPr>
                <w:rFonts w:ascii="Calibri" w:eastAsia="Times New Roman" w:hAnsi="Calibri" w:cs="Times New Roman"/>
                <w:b/>
                <w:bCs/>
                <w:color w:val="000000"/>
                <w:sz w:val="22"/>
                <w:szCs w:val="22"/>
              </w:rPr>
            </w:pPr>
            <w:r w:rsidRPr="00DA4ADD">
              <w:rPr>
                <w:rFonts w:ascii="Calibri" w:eastAsia="Times New Roman" w:hAnsi="Calibri" w:cs="Times New Roman"/>
                <w:b/>
                <w:bCs/>
                <w:color w:val="000000"/>
                <w:sz w:val="22"/>
                <w:szCs w:val="22"/>
              </w:rPr>
              <w:t>Smoking Intensity</w:t>
            </w:r>
          </w:p>
        </w:tc>
        <w:tc>
          <w:tcPr>
            <w:tcW w:w="960" w:type="dxa"/>
            <w:tcBorders>
              <w:top w:val="nil"/>
              <w:left w:val="nil"/>
              <w:bottom w:val="single" w:sz="8" w:space="0" w:color="auto"/>
              <w:right w:val="single" w:sz="8" w:space="0" w:color="auto"/>
            </w:tcBorders>
            <w:shd w:val="clear" w:color="auto" w:fill="auto"/>
            <w:noWrap/>
            <w:hideMark/>
          </w:tcPr>
          <w:p w14:paraId="007396BD"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 </w:t>
            </w:r>
          </w:p>
        </w:tc>
        <w:tc>
          <w:tcPr>
            <w:tcW w:w="960" w:type="dxa"/>
            <w:tcBorders>
              <w:top w:val="nil"/>
              <w:left w:val="nil"/>
              <w:bottom w:val="single" w:sz="8" w:space="0" w:color="auto"/>
              <w:right w:val="single" w:sz="8" w:space="0" w:color="auto"/>
            </w:tcBorders>
            <w:shd w:val="clear" w:color="auto" w:fill="auto"/>
            <w:noWrap/>
            <w:hideMark/>
          </w:tcPr>
          <w:p w14:paraId="6D6A8FD2"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 </w:t>
            </w:r>
          </w:p>
        </w:tc>
      </w:tr>
      <w:tr w:rsidR="00DA4ADD" w:rsidRPr="00DA4ADD" w14:paraId="2F05020A"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5A09B5D6"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&lt; 5 pack-years</w:t>
            </w:r>
          </w:p>
        </w:tc>
        <w:tc>
          <w:tcPr>
            <w:tcW w:w="960" w:type="dxa"/>
            <w:tcBorders>
              <w:top w:val="nil"/>
              <w:left w:val="nil"/>
              <w:bottom w:val="single" w:sz="8" w:space="0" w:color="auto"/>
              <w:right w:val="single" w:sz="8" w:space="0" w:color="auto"/>
            </w:tcBorders>
            <w:shd w:val="clear" w:color="auto" w:fill="auto"/>
            <w:hideMark/>
          </w:tcPr>
          <w:p w14:paraId="4191B400"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381</w:t>
            </w:r>
          </w:p>
        </w:tc>
        <w:tc>
          <w:tcPr>
            <w:tcW w:w="960" w:type="dxa"/>
            <w:tcBorders>
              <w:top w:val="nil"/>
              <w:left w:val="nil"/>
              <w:bottom w:val="single" w:sz="8" w:space="0" w:color="auto"/>
              <w:right w:val="single" w:sz="8" w:space="0" w:color="auto"/>
            </w:tcBorders>
            <w:shd w:val="clear" w:color="auto" w:fill="auto"/>
            <w:hideMark/>
          </w:tcPr>
          <w:p w14:paraId="0DB33500"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22.6</w:t>
            </w:r>
          </w:p>
        </w:tc>
      </w:tr>
      <w:tr w:rsidR="00DA4ADD" w:rsidRPr="00DA4ADD" w14:paraId="6DBB01D4"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6E2C0695"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5 to &lt;15 pack-years</w:t>
            </w:r>
          </w:p>
        </w:tc>
        <w:tc>
          <w:tcPr>
            <w:tcW w:w="960" w:type="dxa"/>
            <w:tcBorders>
              <w:top w:val="nil"/>
              <w:left w:val="nil"/>
              <w:bottom w:val="single" w:sz="8" w:space="0" w:color="auto"/>
              <w:right w:val="single" w:sz="8" w:space="0" w:color="auto"/>
            </w:tcBorders>
            <w:shd w:val="clear" w:color="auto" w:fill="auto"/>
            <w:hideMark/>
          </w:tcPr>
          <w:p w14:paraId="2A0570E0"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395</w:t>
            </w:r>
          </w:p>
        </w:tc>
        <w:tc>
          <w:tcPr>
            <w:tcW w:w="960" w:type="dxa"/>
            <w:tcBorders>
              <w:top w:val="nil"/>
              <w:left w:val="nil"/>
              <w:bottom w:val="single" w:sz="8" w:space="0" w:color="auto"/>
              <w:right w:val="single" w:sz="8" w:space="0" w:color="auto"/>
            </w:tcBorders>
            <w:shd w:val="clear" w:color="auto" w:fill="auto"/>
            <w:hideMark/>
          </w:tcPr>
          <w:p w14:paraId="2DC806D6"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23.4</w:t>
            </w:r>
          </w:p>
        </w:tc>
      </w:tr>
      <w:tr w:rsidR="00DA4ADD" w:rsidRPr="00DA4ADD" w14:paraId="2B9ADE43"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3A4203CC"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15+ pack-years</w:t>
            </w:r>
          </w:p>
        </w:tc>
        <w:tc>
          <w:tcPr>
            <w:tcW w:w="960" w:type="dxa"/>
            <w:tcBorders>
              <w:top w:val="nil"/>
              <w:left w:val="nil"/>
              <w:bottom w:val="single" w:sz="8" w:space="0" w:color="auto"/>
              <w:right w:val="single" w:sz="8" w:space="0" w:color="auto"/>
            </w:tcBorders>
            <w:shd w:val="clear" w:color="auto" w:fill="auto"/>
            <w:hideMark/>
          </w:tcPr>
          <w:p w14:paraId="1198849A"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895</w:t>
            </w:r>
          </w:p>
        </w:tc>
        <w:tc>
          <w:tcPr>
            <w:tcW w:w="960" w:type="dxa"/>
            <w:tcBorders>
              <w:top w:val="nil"/>
              <w:left w:val="nil"/>
              <w:bottom w:val="single" w:sz="8" w:space="0" w:color="auto"/>
              <w:right w:val="single" w:sz="8" w:space="0" w:color="auto"/>
            </w:tcBorders>
            <w:shd w:val="clear" w:color="auto" w:fill="auto"/>
            <w:hideMark/>
          </w:tcPr>
          <w:p w14:paraId="2323B31B"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53.1</w:t>
            </w:r>
          </w:p>
        </w:tc>
      </w:tr>
      <w:tr w:rsidR="00DA4ADD" w:rsidRPr="00DA4ADD" w14:paraId="0E27A540"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noWrap/>
            <w:hideMark/>
          </w:tcPr>
          <w:p w14:paraId="6F4D86CE" w14:textId="77777777" w:rsidR="00DA4ADD" w:rsidRPr="00DA4ADD" w:rsidRDefault="00DA4ADD" w:rsidP="00DA4ADD">
            <w:pPr>
              <w:spacing w:after="0" w:line="240" w:lineRule="auto"/>
              <w:rPr>
                <w:rFonts w:ascii="Calibri" w:eastAsia="Times New Roman" w:hAnsi="Calibri" w:cs="Times New Roman"/>
                <w:b/>
                <w:bCs/>
                <w:color w:val="000000"/>
                <w:sz w:val="22"/>
                <w:szCs w:val="22"/>
              </w:rPr>
            </w:pPr>
            <w:r w:rsidRPr="00DA4ADD">
              <w:rPr>
                <w:rFonts w:ascii="Calibri" w:eastAsia="Times New Roman" w:hAnsi="Calibri" w:cs="Times New Roman"/>
                <w:b/>
                <w:bCs/>
                <w:color w:val="000000"/>
                <w:sz w:val="22"/>
                <w:szCs w:val="22"/>
              </w:rPr>
              <w:t>Alcohol Consumption Status</w:t>
            </w:r>
          </w:p>
        </w:tc>
        <w:tc>
          <w:tcPr>
            <w:tcW w:w="960" w:type="dxa"/>
            <w:tcBorders>
              <w:top w:val="nil"/>
              <w:left w:val="nil"/>
              <w:bottom w:val="single" w:sz="8" w:space="0" w:color="auto"/>
              <w:right w:val="single" w:sz="8" w:space="0" w:color="auto"/>
            </w:tcBorders>
            <w:shd w:val="clear" w:color="auto" w:fill="auto"/>
            <w:noWrap/>
            <w:hideMark/>
          </w:tcPr>
          <w:p w14:paraId="0C397E35"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 </w:t>
            </w:r>
          </w:p>
        </w:tc>
        <w:tc>
          <w:tcPr>
            <w:tcW w:w="960" w:type="dxa"/>
            <w:tcBorders>
              <w:top w:val="nil"/>
              <w:left w:val="nil"/>
              <w:bottom w:val="single" w:sz="8" w:space="0" w:color="auto"/>
              <w:right w:val="single" w:sz="8" w:space="0" w:color="auto"/>
            </w:tcBorders>
            <w:shd w:val="clear" w:color="auto" w:fill="auto"/>
            <w:noWrap/>
            <w:hideMark/>
          </w:tcPr>
          <w:p w14:paraId="14AB63FD"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 </w:t>
            </w:r>
          </w:p>
        </w:tc>
      </w:tr>
      <w:tr w:rsidR="00DA4ADD" w:rsidRPr="00DA4ADD" w14:paraId="7495928B"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21FB2E8A"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Current Drinker</w:t>
            </w:r>
          </w:p>
        </w:tc>
        <w:tc>
          <w:tcPr>
            <w:tcW w:w="960" w:type="dxa"/>
            <w:tcBorders>
              <w:top w:val="nil"/>
              <w:left w:val="nil"/>
              <w:bottom w:val="single" w:sz="8" w:space="0" w:color="auto"/>
              <w:right w:val="single" w:sz="8" w:space="0" w:color="auto"/>
            </w:tcBorders>
            <w:shd w:val="clear" w:color="auto" w:fill="auto"/>
            <w:hideMark/>
          </w:tcPr>
          <w:p w14:paraId="3C353701"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1443</w:t>
            </w:r>
          </w:p>
        </w:tc>
        <w:tc>
          <w:tcPr>
            <w:tcW w:w="960" w:type="dxa"/>
            <w:tcBorders>
              <w:top w:val="nil"/>
              <w:left w:val="nil"/>
              <w:bottom w:val="single" w:sz="8" w:space="0" w:color="auto"/>
              <w:right w:val="single" w:sz="8" w:space="0" w:color="auto"/>
            </w:tcBorders>
            <w:shd w:val="clear" w:color="auto" w:fill="auto"/>
            <w:hideMark/>
          </w:tcPr>
          <w:p w14:paraId="608BF728"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42.3</w:t>
            </w:r>
          </w:p>
        </w:tc>
      </w:tr>
      <w:tr w:rsidR="00DA4ADD" w:rsidRPr="00DA4ADD" w14:paraId="257A0117"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2923D69C"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Former Drinker</w:t>
            </w:r>
          </w:p>
        </w:tc>
        <w:tc>
          <w:tcPr>
            <w:tcW w:w="960" w:type="dxa"/>
            <w:tcBorders>
              <w:top w:val="nil"/>
              <w:left w:val="nil"/>
              <w:bottom w:val="single" w:sz="8" w:space="0" w:color="auto"/>
              <w:right w:val="single" w:sz="8" w:space="0" w:color="auto"/>
            </w:tcBorders>
            <w:shd w:val="clear" w:color="auto" w:fill="auto"/>
            <w:hideMark/>
          </w:tcPr>
          <w:p w14:paraId="5EECD8BD"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1244</w:t>
            </w:r>
          </w:p>
        </w:tc>
        <w:tc>
          <w:tcPr>
            <w:tcW w:w="960" w:type="dxa"/>
            <w:tcBorders>
              <w:top w:val="nil"/>
              <w:left w:val="nil"/>
              <w:bottom w:val="single" w:sz="8" w:space="0" w:color="auto"/>
              <w:right w:val="single" w:sz="8" w:space="0" w:color="auto"/>
            </w:tcBorders>
            <w:shd w:val="clear" w:color="auto" w:fill="auto"/>
            <w:hideMark/>
          </w:tcPr>
          <w:p w14:paraId="3F43C219"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36.4</w:t>
            </w:r>
          </w:p>
        </w:tc>
      </w:tr>
      <w:tr w:rsidR="00DA4ADD" w:rsidRPr="00DA4ADD" w14:paraId="20927B8D"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5488982F"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Nondrinker</w:t>
            </w:r>
          </w:p>
        </w:tc>
        <w:tc>
          <w:tcPr>
            <w:tcW w:w="960" w:type="dxa"/>
            <w:tcBorders>
              <w:top w:val="nil"/>
              <w:left w:val="nil"/>
              <w:bottom w:val="single" w:sz="8" w:space="0" w:color="auto"/>
              <w:right w:val="single" w:sz="8" w:space="0" w:color="auto"/>
            </w:tcBorders>
            <w:shd w:val="clear" w:color="auto" w:fill="auto"/>
            <w:hideMark/>
          </w:tcPr>
          <w:p w14:paraId="17433232"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703</w:t>
            </w:r>
          </w:p>
        </w:tc>
        <w:tc>
          <w:tcPr>
            <w:tcW w:w="960" w:type="dxa"/>
            <w:tcBorders>
              <w:top w:val="nil"/>
              <w:left w:val="nil"/>
              <w:bottom w:val="single" w:sz="8" w:space="0" w:color="auto"/>
              <w:right w:val="single" w:sz="8" w:space="0" w:color="auto"/>
            </w:tcBorders>
            <w:shd w:val="clear" w:color="auto" w:fill="auto"/>
            <w:hideMark/>
          </w:tcPr>
          <w:p w14:paraId="07E969F4"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20.6</w:t>
            </w:r>
          </w:p>
        </w:tc>
      </w:tr>
      <w:tr w:rsidR="00DA4ADD" w:rsidRPr="00DA4ADD" w14:paraId="0176271E"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2E9A95C2" w14:textId="77777777" w:rsidR="00DA4ADD" w:rsidRPr="00DA4ADD" w:rsidRDefault="00DA4ADD" w:rsidP="00DA4ADD">
            <w:pPr>
              <w:spacing w:after="0" w:line="240" w:lineRule="auto"/>
              <w:rPr>
                <w:rFonts w:ascii="Calibri" w:eastAsia="Times New Roman" w:hAnsi="Calibri" w:cs="Times New Roman"/>
                <w:b/>
                <w:bCs/>
                <w:color w:val="000000"/>
                <w:sz w:val="22"/>
                <w:szCs w:val="22"/>
              </w:rPr>
            </w:pPr>
            <w:r w:rsidRPr="00DA4ADD">
              <w:rPr>
                <w:rFonts w:ascii="Calibri" w:eastAsia="Times New Roman" w:hAnsi="Calibri" w:cs="Times New Roman"/>
                <w:b/>
                <w:bCs/>
                <w:color w:val="000000"/>
                <w:sz w:val="22"/>
                <w:szCs w:val="22"/>
              </w:rPr>
              <w:t>Ever Drinker</w:t>
            </w:r>
          </w:p>
        </w:tc>
        <w:tc>
          <w:tcPr>
            <w:tcW w:w="960" w:type="dxa"/>
            <w:tcBorders>
              <w:top w:val="nil"/>
              <w:left w:val="nil"/>
              <w:bottom w:val="single" w:sz="8" w:space="0" w:color="auto"/>
              <w:right w:val="single" w:sz="8" w:space="0" w:color="auto"/>
            </w:tcBorders>
            <w:shd w:val="clear" w:color="auto" w:fill="auto"/>
            <w:hideMark/>
          </w:tcPr>
          <w:p w14:paraId="7B6FFC87"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2687</w:t>
            </w:r>
          </w:p>
        </w:tc>
        <w:tc>
          <w:tcPr>
            <w:tcW w:w="960" w:type="dxa"/>
            <w:tcBorders>
              <w:top w:val="nil"/>
              <w:left w:val="nil"/>
              <w:bottom w:val="single" w:sz="8" w:space="0" w:color="auto"/>
              <w:right w:val="single" w:sz="8" w:space="0" w:color="auto"/>
            </w:tcBorders>
            <w:shd w:val="clear" w:color="auto" w:fill="auto"/>
            <w:hideMark/>
          </w:tcPr>
          <w:p w14:paraId="1237CB12"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78.7</w:t>
            </w:r>
          </w:p>
        </w:tc>
      </w:tr>
      <w:tr w:rsidR="00DA4ADD" w:rsidRPr="00DA4ADD" w14:paraId="187DED7C"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2CC75881" w14:textId="77777777" w:rsidR="00DA4ADD" w:rsidRPr="00DA4ADD" w:rsidRDefault="00DA4ADD" w:rsidP="00DA4ADD">
            <w:pPr>
              <w:spacing w:after="0" w:line="240" w:lineRule="auto"/>
              <w:rPr>
                <w:rFonts w:ascii="Calibri" w:eastAsia="Times New Roman" w:hAnsi="Calibri" w:cs="Times New Roman"/>
                <w:b/>
                <w:bCs/>
                <w:color w:val="000000"/>
                <w:sz w:val="22"/>
                <w:szCs w:val="22"/>
              </w:rPr>
            </w:pPr>
            <w:r w:rsidRPr="00DA4ADD">
              <w:rPr>
                <w:rFonts w:ascii="Calibri" w:eastAsia="Times New Roman" w:hAnsi="Calibri" w:cs="Times New Roman"/>
                <w:b/>
                <w:bCs/>
                <w:color w:val="000000"/>
                <w:sz w:val="22"/>
                <w:szCs w:val="22"/>
              </w:rPr>
              <w:t>Drinking Duration</w:t>
            </w:r>
          </w:p>
        </w:tc>
        <w:tc>
          <w:tcPr>
            <w:tcW w:w="960" w:type="dxa"/>
            <w:tcBorders>
              <w:top w:val="nil"/>
              <w:left w:val="nil"/>
              <w:bottom w:val="single" w:sz="8" w:space="0" w:color="auto"/>
              <w:right w:val="single" w:sz="8" w:space="0" w:color="auto"/>
            </w:tcBorders>
            <w:shd w:val="clear" w:color="auto" w:fill="auto"/>
            <w:hideMark/>
          </w:tcPr>
          <w:p w14:paraId="769B25F4"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 </w:t>
            </w:r>
          </w:p>
        </w:tc>
        <w:tc>
          <w:tcPr>
            <w:tcW w:w="960" w:type="dxa"/>
            <w:tcBorders>
              <w:top w:val="nil"/>
              <w:left w:val="nil"/>
              <w:bottom w:val="single" w:sz="8" w:space="0" w:color="auto"/>
              <w:right w:val="single" w:sz="8" w:space="0" w:color="auto"/>
            </w:tcBorders>
            <w:shd w:val="clear" w:color="auto" w:fill="auto"/>
            <w:hideMark/>
          </w:tcPr>
          <w:p w14:paraId="390BE5DC"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 </w:t>
            </w:r>
          </w:p>
        </w:tc>
      </w:tr>
      <w:tr w:rsidR="00DA4ADD" w:rsidRPr="00DA4ADD" w14:paraId="79C21819"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320C693E"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&lt; 10 years</w:t>
            </w:r>
          </w:p>
        </w:tc>
        <w:tc>
          <w:tcPr>
            <w:tcW w:w="960" w:type="dxa"/>
            <w:tcBorders>
              <w:top w:val="nil"/>
              <w:left w:val="nil"/>
              <w:bottom w:val="single" w:sz="8" w:space="0" w:color="auto"/>
              <w:right w:val="single" w:sz="8" w:space="0" w:color="auto"/>
            </w:tcBorders>
            <w:shd w:val="clear" w:color="auto" w:fill="auto"/>
            <w:hideMark/>
          </w:tcPr>
          <w:p w14:paraId="212E3608"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361</w:t>
            </w:r>
          </w:p>
        </w:tc>
        <w:tc>
          <w:tcPr>
            <w:tcW w:w="960" w:type="dxa"/>
            <w:tcBorders>
              <w:top w:val="nil"/>
              <w:left w:val="nil"/>
              <w:bottom w:val="single" w:sz="8" w:space="0" w:color="auto"/>
              <w:right w:val="single" w:sz="8" w:space="0" w:color="auto"/>
            </w:tcBorders>
            <w:shd w:val="clear" w:color="auto" w:fill="auto"/>
            <w:hideMark/>
          </w:tcPr>
          <w:p w14:paraId="04DBA7D4"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13.4</w:t>
            </w:r>
          </w:p>
        </w:tc>
      </w:tr>
      <w:tr w:rsidR="00DA4ADD" w:rsidRPr="00DA4ADD" w14:paraId="0FE7EE43"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26237E1B"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10- &lt;25 years</w:t>
            </w:r>
          </w:p>
        </w:tc>
        <w:tc>
          <w:tcPr>
            <w:tcW w:w="960" w:type="dxa"/>
            <w:tcBorders>
              <w:top w:val="nil"/>
              <w:left w:val="nil"/>
              <w:bottom w:val="single" w:sz="8" w:space="0" w:color="auto"/>
              <w:right w:val="single" w:sz="8" w:space="0" w:color="auto"/>
            </w:tcBorders>
            <w:shd w:val="clear" w:color="auto" w:fill="auto"/>
            <w:noWrap/>
            <w:hideMark/>
          </w:tcPr>
          <w:p w14:paraId="3AA99193"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593</w:t>
            </w:r>
          </w:p>
        </w:tc>
        <w:tc>
          <w:tcPr>
            <w:tcW w:w="960" w:type="dxa"/>
            <w:tcBorders>
              <w:top w:val="nil"/>
              <w:left w:val="nil"/>
              <w:bottom w:val="single" w:sz="8" w:space="0" w:color="auto"/>
              <w:right w:val="single" w:sz="8" w:space="0" w:color="auto"/>
            </w:tcBorders>
            <w:shd w:val="clear" w:color="auto" w:fill="auto"/>
            <w:noWrap/>
            <w:hideMark/>
          </w:tcPr>
          <w:p w14:paraId="16427DFC"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22.1</w:t>
            </w:r>
          </w:p>
        </w:tc>
      </w:tr>
      <w:tr w:rsidR="00DA4ADD" w:rsidRPr="00DA4ADD" w14:paraId="66E475B4"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4FAC3F47"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25- &lt;40 years</w:t>
            </w:r>
          </w:p>
        </w:tc>
        <w:tc>
          <w:tcPr>
            <w:tcW w:w="960" w:type="dxa"/>
            <w:tcBorders>
              <w:top w:val="nil"/>
              <w:left w:val="nil"/>
              <w:bottom w:val="single" w:sz="8" w:space="0" w:color="auto"/>
              <w:right w:val="single" w:sz="8" w:space="0" w:color="auto"/>
            </w:tcBorders>
            <w:shd w:val="clear" w:color="auto" w:fill="auto"/>
            <w:hideMark/>
          </w:tcPr>
          <w:p w14:paraId="1E0476D0"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1084</w:t>
            </w:r>
          </w:p>
        </w:tc>
        <w:tc>
          <w:tcPr>
            <w:tcW w:w="960" w:type="dxa"/>
            <w:tcBorders>
              <w:top w:val="nil"/>
              <w:left w:val="nil"/>
              <w:bottom w:val="single" w:sz="8" w:space="0" w:color="auto"/>
              <w:right w:val="single" w:sz="8" w:space="0" w:color="auto"/>
            </w:tcBorders>
            <w:shd w:val="clear" w:color="auto" w:fill="auto"/>
            <w:hideMark/>
          </w:tcPr>
          <w:p w14:paraId="2C4ED23F"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40.3</w:t>
            </w:r>
          </w:p>
        </w:tc>
      </w:tr>
      <w:tr w:rsidR="00DA4ADD" w:rsidRPr="00DA4ADD" w14:paraId="44EC45C9"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65846AC8"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40+ years</w:t>
            </w:r>
          </w:p>
        </w:tc>
        <w:tc>
          <w:tcPr>
            <w:tcW w:w="960" w:type="dxa"/>
            <w:tcBorders>
              <w:top w:val="nil"/>
              <w:left w:val="nil"/>
              <w:bottom w:val="single" w:sz="8" w:space="0" w:color="auto"/>
              <w:right w:val="single" w:sz="8" w:space="0" w:color="auto"/>
            </w:tcBorders>
            <w:shd w:val="clear" w:color="auto" w:fill="auto"/>
            <w:hideMark/>
          </w:tcPr>
          <w:p w14:paraId="2401662E"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631</w:t>
            </w:r>
          </w:p>
        </w:tc>
        <w:tc>
          <w:tcPr>
            <w:tcW w:w="960" w:type="dxa"/>
            <w:tcBorders>
              <w:top w:val="nil"/>
              <w:left w:val="nil"/>
              <w:bottom w:val="single" w:sz="8" w:space="0" w:color="auto"/>
              <w:right w:val="single" w:sz="8" w:space="0" w:color="auto"/>
            </w:tcBorders>
            <w:shd w:val="clear" w:color="auto" w:fill="auto"/>
            <w:hideMark/>
          </w:tcPr>
          <w:p w14:paraId="64B9BF49"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23.5</w:t>
            </w:r>
          </w:p>
        </w:tc>
      </w:tr>
      <w:tr w:rsidR="00DA4ADD" w:rsidRPr="00DA4ADD" w14:paraId="55B79D19"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noWrap/>
            <w:hideMark/>
          </w:tcPr>
          <w:p w14:paraId="373E09EF" w14:textId="77777777" w:rsidR="00DA4ADD" w:rsidRPr="00DA4ADD" w:rsidRDefault="00DA4ADD" w:rsidP="00DA4ADD">
            <w:pPr>
              <w:spacing w:after="0" w:line="240" w:lineRule="auto"/>
              <w:rPr>
                <w:rFonts w:ascii="Calibri" w:eastAsia="Times New Roman" w:hAnsi="Calibri" w:cs="Times New Roman"/>
                <w:b/>
                <w:bCs/>
                <w:color w:val="000000"/>
                <w:sz w:val="22"/>
                <w:szCs w:val="22"/>
              </w:rPr>
            </w:pPr>
            <w:r w:rsidRPr="00DA4ADD">
              <w:rPr>
                <w:rFonts w:ascii="Calibri" w:eastAsia="Times New Roman" w:hAnsi="Calibri" w:cs="Times New Roman"/>
                <w:b/>
                <w:bCs/>
                <w:color w:val="000000"/>
                <w:sz w:val="22"/>
                <w:szCs w:val="22"/>
              </w:rPr>
              <w:t>Drinking Intensity</w:t>
            </w:r>
          </w:p>
        </w:tc>
        <w:tc>
          <w:tcPr>
            <w:tcW w:w="960" w:type="dxa"/>
            <w:tcBorders>
              <w:top w:val="nil"/>
              <w:left w:val="nil"/>
              <w:bottom w:val="single" w:sz="8" w:space="0" w:color="auto"/>
              <w:right w:val="single" w:sz="8" w:space="0" w:color="auto"/>
            </w:tcBorders>
            <w:shd w:val="clear" w:color="auto" w:fill="auto"/>
            <w:noWrap/>
            <w:hideMark/>
          </w:tcPr>
          <w:p w14:paraId="620FEE76"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 </w:t>
            </w:r>
          </w:p>
        </w:tc>
        <w:tc>
          <w:tcPr>
            <w:tcW w:w="960" w:type="dxa"/>
            <w:tcBorders>
              <w:top w:val="nil"/>
              <w:left w:val="nil"/>
              <w:bottom w:val="single" w:sz="8" w:space="0" w:color="auto"/>
              <w:right w:val="single" w:sz="8" w:space="0" w:color="auto"/>
            </w:tcBorders>
            <w:shd w:val="clear" w:color="auto" w:fill="auto"/>
            <w:noWrap/>
            <w:hideMark/>
          </w:tcPr>
          <w:p w14:paraId="183C2080"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 </w:t>
            </w:r>
          </w:p>
        </w:tc>
      </w:tr>
      <w:tr w:rsidR="00DA4ADD" w:rsidRPr="00DA4ADD" w14:paraId="7C219B02"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0012B6AE"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Light Drinker</w:t>
            </w:r>
          </w:p>
        </w:tc>
        <w:tc>
          <w:tcPr>
            <w:tcW w:w="960" w:type="dxa"/>
            <w:tcBorders>
              <w:top w:val="nil"/>
              <w:left w:val="nil"/>
              <w:bottom w:val="single" w:sz="8" w:space="0" w:color="auto"/>
              <w:right w:val="single" w:sz="8" w:space="0" w:color="auto"/>
            </w:tcBorders>
            <w:shd w:val="clear" w:color="auto" w:fill="auto"/>
            <w:hideMark/>
          </w:tcPr>
          <w:p w14:paraId="68F6E895"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1846</w:t>
            </w:r>
          </w:p>
        </w:tc>
        <w:tc>
          <w:tcPr>
            <w:tcW w:w="960" w:type="dxa"/>
            <w:tcBorders>
              <w:top w:val="nil"/>
              <w:left w:val="nil"/>
              <w:bottom w:val="single" w:sz="8" w:space="0" w:color="auto"/>
              <w:right w:val="single" w:sz="8" w:space="0" w:color="auto"/>
            </w:tcBorders>
            <w:shd w:val="clear" w:color="auto" w:fill="auto"/>
            <w:hideMark/>
          </w:tcPr>
          <w:p w14:paraId="63457EE2"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68.7</w:t>
            </w:r>
          </w:p>
        </w:tc>
      </w:tr>
      <w:tr w:rsidR="00DA4ADD" w:rsidRPr="00DA4ADD" w14:paraId="284B5668"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3044A60C"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Moderate Drinker</w:t>
            </w:r>
          </w:p>
        </w:tc>
        <w:tc>
          <w:tcPr>
            <w:tcW w:w="960" w:type="dxa"/>
            <w:tcBorders>
              <w:top w:val="nil"/>
              <w:left w:val="nil"/>
              <w:bottom w:val="single" w:sz="8" w:space="0" w:color="auto"/>
              <w:right w:val="single" w:sz="8" w:space="0" w:color="auto"/>
            </w:tcBorders>
            <w:shd w:val="clear" w:color="auto" w:fill="auto"/>
            <w:hideMark/>
          </w:tcPr>
          <w:p w14:paraId="54A2D9D3"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415</w:t>
            </w:r>
          </w:p>
        </w:tc>
        <w:tc>
          <w:tcPr>
            <w:tcW w:w="960" w:type="dxa"/>
            <w:tcBorders>
              <w:top w:val="nil"/>
              <w:left w:val="nil"/>
              <w:bottom w:val="single" w:sz="8" w:space="0" w:color="auto"/>
              <w:right w:val="single" w:sz="8" w:space="0" w:color="auto"/>
            </w:tcBorders>
            <w:shd w:val="clear" w:color="auto" w:fill="auto"/>
            <w:hideMark/>
          </w:tcPr>
          <w:p w14:paraId="068B47BA"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15.4</w:t>
            </w:r>
          </w:p>
        </w:tc>
      </w:tr>
      <w:tr w:rsidR="00DA4ADD" w:rsidRPr="00DA4ADD" w14:paraId="1C1FFABB"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6D3E9138"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Heavy Drinker</w:t>
            </w:r>
          </w:p>
        </w:tc>
        <w:tc>
          <w:tcPr>
            <w:tcW w:w="960" w:type="dxa"/>
            <w:tcBorders>
              <w:top w:val="nil"/>
              <w:left w:val="nil"/>
              <w:bottom w:val="single" w:sz="8" w:space="0" w:color="auto"/>
              <w:right w:val="single" w:sz="8" w:space="0" w:color="auto"/>
            </w:tcBorders>
            <w:shd w:val="clear" w:color="auto" w:fill="auto"/>
            <w:hideMark/>
          </w:tcPr>
          <w:p w14:paraId="14560F73"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337</w:t>
            </w:r>
          </w:p>
        </w:tc>
        <w:tc>
          <w:tcPr>
            <w:tcW w:w="960" w:type="dxa"/>
            <w:tcBorders>
              <w:top w:val="nil"/>
              <w:left w:val="nil"/>
              <w:bottom w:val="single" w:sz="8" w:space="0" w:color="auto"/>
              <w:right w:val="single" w:sz="8" w:space="0" w:color="auto"/>
            </w:tcBorders>
            <w:shd w:val="clear" w:color="auto" w:fill="auto"/>
            <w:hideMark/>
          </w:tcPr>
          <w:p w14:paraId="449B7D3A"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12.5</w:t>
            </w:r>
          </w:p>
        </w:tc>
      </w:tr>
      <w:tr w:rsidR="00DA4ADD" w:rsidRPr="00DA4ADD" w14:paraId="1659BD81"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11E2978D" w14:textId="77777777" w:rsidR="00DA4ADD" w:rsidRPr="00DA4ADD" w:rsidRDefault="00DA4ADD" w:rsidP="00DA4ADD">
            <w:pPr>
              <w:spacing w:after="0" w:line="240" w:lineRule="auto"/>
              <w:rPr>
                <w:rFonts w:ascii="Calibri" w:eastAsia="Times New Roman" w:hAnsi="Calibri" w:cs="Times New Roman"/>
                <w:b/>
                <w:bCs/>
                <w:color w:val="000000"/>
                <w:sz w:val="22"/>
                <w:szCs w:val="22"/>
              </w:rPr>
            </w:pPr>
            <w:r w:rsidRPr="00DA4ADD">
              <w:rPr>
                <w:rFonts w:ascii="Calibri" w:eastAsia="Times New Roman" w:hAnsi="Calibri" w:cs="Times New Roman"/>
                <w:b/>
                <w:bCs/>
                <w:color w:val="000000"/>
                <w:sz w:val="22"/>
                <w:szCs w:val="22"/>
              </w:rPr>
              <w:t>Military Service History</w:t>
            </w:r>
          </w:p>
        </w:tc>
        <w:tc>
          <w:tcPr>
            <w:tcW w:w="960" w:type="dxa"/>
            <w:tcBorders>
              <w:top w:val="nil"/>
              <w:left w:val="nil"/>
              <w:bottom w:val="single" w:sz="8" w:space="0" w:color="auto"/>
              <w:right w:val="single" w:sz="8" w:space="0" w:color="auto"/>
            </w:tcBorders>
            <w:shd w:val="clear" w:color="auto" w:fill="auto"/>
            <w:hideMark/>
          </w:tcPr>
          <w:p w14:paraId="3CDCB7DE" w14:textId="77777777" w:rsidR="00DA4ADD" w:rsidRPr="00DA4ADD" w:rsidRDefault="00DA4ADD" w:rsidP="00DA4ADD">
            <w:pPr>
              <w:spacing w:after="0" w:line="240" w:lineRule="auto"/>
              <w:jc w:val="center"/>
              <w:rPr>
                <w:rFonts w:ascii="Calibri" w:eastAsia="Times New Roman" w:hAnsi="Calibri" w:cs="Times New Roman"/>
                <w:b/>
                <w:bCs/>
                <w:color w:val="000000"/>
                <w:sz w:val="22"/>
                <w:szCs w:val="22"/>
              </w:rPr>
            </w:pPr>
            <w:r w:rsidRPr="00DA4ADD">
              <w:rPr>
                <w:rFonts w:ascii="Calibri" w:eastAsia="Times New Roman" w:hAnsi="Calibri" w:cs="Times New Roman"/>
                <w:b/>
                <w:bCs/>
                <w:color w:val="000000"/>
                <w:sz w:val="22"/>
                <w:szCs w:val="22"/>
              </w:rPr>
              <w:t> </w:t>
            </w:r>
          </w:p>
        </w:tc>
        <w:tc>
          <w:tcPr>
            <w:tcW w:w="960" w:type="dxa"/>
            <w:tcBorders>
              <w:top w:val="nil"/>
              <w:left w:val="nil"/>
              <w:bottom w:val="single" w:sz="8" w:space="0" w:color="auto"/>
              <w:right w:val="single" w:sz="8" w:space="0" w:color="auto"/>
            </w:tcBorders>
            <w:shd w:val="clear" w:color="auto" w:fill="auto"/>
            <w:hideMark/>
          </w:tcPr>
          <w:p w14:paraId="7A868999" w14:textId="77777777" w:rsidR="00DA4ADD" w:rsidRPr="00DA4ADD" w:rsidRDefault="00DA4ADD" w:rsidP="00DA4ADD">
            <w:pPr>
              <w:spacing w:after="0" w:line="240" w:lineRule="auto"/>
              <w:jc w:val="center"/>
              <w:rPr>
                <w:rFonts w:ascii="Calibri" w:eastAsia="Times New Roman" w:hAnsi="Calibri" w:cs="Times New Roman"/>
                <w:b/>
                <w:bCs/>
                <w:color w:val="000000"/>
                <w:sz w:val="22"/>
                <w:szCs w:val="22"/>
              </w:rPr>
            </w:pPr>
            <w:r w:rsidRPr="00DA4ADD">
              <w:rPr>
                <w:rFonts w:ascii="Calibri" w:eastAsia="Times New Roman" w:hAnsi="Calibri" w:cs="Times New Roman"/>
                <w:b/>
                <w:bCs/>
                <w:color w:val="000000"/>
                <w:sz w:val="22"/>
                <w:szCs w:val="22"/>
              </w:rPr>
              <w:t> </w:t>
            </w:r>
          </w:p>
        </w:tc>
      </w:tr>
      <w:tr w:rsidR="00DA4ADD" w:rsidRPr="00DA4ADD" w14:paraId="468F11F8"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0BC7A85A"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Veterans</w:t>
            </w:r>
          </w:p>
        </w:tc>
        <w:tc>
          <w:tcPr>
            <w:tcW w:w="960" w:type="dxa"/>
            <w:tcBorders>
              <w:top w:val="nil"/>
              <w:left w:val="nil"/>
              <w:bottom w:val="single" w:sz="8" w:space="0" w:color="auto"/>
              <w:right w:val="single" w:sz="8" w:space="0" w:color="auto"/>
            </w:tcBorders>
            <w:shd w:val="clear" w:color="auto" w:fill="auto"/>
            <w:hideMark/>
          </w:tcPr>
          <w:p w14:paraId="059237CD"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813</w:t>
            </w:r>
          </w:p>
        </w:tc>
        <w:tc>
          <w:tcPr>
            <w:tcW w:w="960" w:type="dxa"/>
            <w:tcBorders>
              <w:top w:val="nil"/>
              <w:left w:val="nil"/>
              <w:bottom w:val="single" w:sz="8" w:space="0" w:color="auto"/>
              <w:right w:val="single" w:sz="8" w:space="0" w:color="auto"/>
            </w:tcBorders>
            <w:shd w:val="clear" w:color="auto" w:fill="auto"/>
            <w:hideMark/>
          </w:tcPr>
          <w:p w14:paraId="5573624D"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23.5</w:t>
            </w:r>
          </w:p>
        </w:tc>
      </w:tr>
      <w:tr w:rsidR="00DA4ADD" w:rsidRPr="00DA4ADD" w14:paraId="5C384383"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79B12371"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Nonveterans</w:t>
            </w:r>
          </w:p>
        </w:tc>
        <w:tc>
          <w:tcPr>
            <w:tcW w:w="960" w:type="dxa"/>
            <w:tcBorders>
              <w:top w:val="nil"/>
              <w:left w:val="nil"/>
              <w:bottom w:val="single" w:sz="8" w:space="0" w:color="auto"/>
              <w:right w:val="single" w:sz="8" w:space="0" w:color="auto"/>
            </w:tcBorders>
            <w:shd w:val="clear" w:color="auto" w:fill="auto"/>
            <w:hideMark/>
          </w:tcPr>
          <w:p w14:paraId="1BA9A9C7"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2637</w:t>
            </w:r>
          </w:p>
        </w:tc>
        <w:tc>
          <w:tcPr>
            <w:tcW w:w="960" w:type="dxa"/>
            <w:tcBorders>
              <w:top w:val="nil"/>
              <w:left w:val="nil"/>
              <w:bottom w:val="single" w:sz="8" w:space="0" w:color="auto"/>
              <w:right w:val="single" w:sz="8" w:space="0" w:color="auto"/>
            </w:tcBorders>
            <w:shd w:val="clear" w:color="auto" w:fill="auto"/>
            <w:hideMark/>
          </w:tcPr>
          <w:p w14:paraId="56E2F75B"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76.2</w:t>
            </w:r>
          </w:p>
        </w:tc>
      </w:tr>
      <w:tr w:rsidR="00DA4ADD" w:rsidRPr="00DA4ADD" w14:paraId="0BD9E1AB"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7582D02E" w14:textId="77777777" w:rsidR="00DA4ADD" w:rsidRPr="00DA4ADD" w:rsidRDefault="00DA4ADD" w:rsidP="00DA4ADD">
            <w:pPr>
              <w:spacing w:after="0" w:line="240" w:lineRule="auto"/>
              <w:rPr>
                <w:rFonts w:ascii="Calibri" w:eastAsia="Times New Roman" w:hAnsi="Calibri" w:cs="Times New Roman"/>
                <w:b/>
                <w:bCs/>
                <w:color w:val="000000"/>
                <w:sz w:val="22"/>
                <w:szCs w:val="22"/>
              </w:rPr>
            </w:pPr>
            <w:r w:rsidRPr="00DA4ADD">
              <w:rPr>
                <w:rFonts w:ascii="Calibri" w:eastAsia="Times New Roman" w:hAnsi="Calibri" w:cs="Times New Roman"/>
                <w:b/>
                <w:bCs/>
                <w:color w:val="000000"/>
                <w:sz w:val="22"/>
                <w:szCs w:val="22"/>
              </w:rPr>
              <w:t>Branch of Military Service</w:t>
            </w:r>
          </w:p>
        </w:tc>
        <w:tc>
          <w:tcPr>
            <w:tcW w:w="960" w:type="dxa"/>
            <w:tcBorders>
              <w:top w:val="nil"/>
              <w:left w:val="nil"/>
              <w:bottom w:val="single" w:sz="8" w:space="0" w:color="auto"/>
              <w:right w:val="single" w:sz="8" w:space="0" w:color="auto"/>
            </w:tcBorders>
            <w:shd w:val="clear" w:color="auto" w:fill="auto"/>
            <w:hideMark/>
          </w:tcPr>
          <w:p w14:paraId="36795B83"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 </w:t>
            </w:r>
          </w:p>
        </w:tc>
        <w:tc>
          <w:tcPr>
            <w:tcW w:w="960" w:type="dxa"/>
            <w:tcBorders>
              <w:top w:val="nil"/>
              <w:left w:val="nil"/>
              <w:bottom w:val="single" w:sz="8" w:space="0" w:color="auto"/>
              <w:right w:val="single" w:sz="8" w:space="0" w:color="auto"/>
            </w:tcBorders>
            <w:shd w:val="clear" w:color="auto" w:fill="auto"/>
            <w:hideMark/>
          </w:tcPr>
          <w:p w14:paraId="68B89285"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 </w:t>
            </w:r>
          </w:p>
        </w:tc>
      </w:tr>
      <w:tr w:rsidR="00DA4ADD" w:rsidRPr="00DA4ADD" w14:paraId="65C51EBC"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40B31F6F"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Army</w:t>
            </w:r>
          </w:p>
        </w:tc>
        <w:tc>
          <w:tcPr>
            <w:tcW w:w="960" w:type="dxa"/>
            <w:tcBorders>
              <w:top w:val="nil"/>
              <w:left w:val="nil"/>
              <w:bottom w:val="single" w:sz="8" w:space="0" w:color="auto"/>
              <w:right w:val="single" w:sz="8" w:space="0" w:color="auto"/>
            </w:tcBorders>
            <w:shd w:val="clear" w:color="auto" w:fill="auto"/>
            <w:hideMark/>
          </w:tcPr>
          <w:p w14:paraId="32C9B5A6"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280</w:t>
            </w:r>
          </w:p>
        </w:tc>
        <w:tc>
          <w:tcPr>
            <w:tcW w:w="960" w:type="dxa"/>
            <w:tcBorders>
              <w:top w:val="nil"/>
              <w:left w:val="nil"/>
              <w:bottom w:val="single" w:sz="8" w:space="0" w:color="auto"/>
              <w:right w:val="single" w:sz="8" w:space="0" w:color="auto"/>
            </w:tcBorders>
            <w:shd w:val="clear" w:color="auto" w:fill="auto"/>
            <w:hideMark/>
          </w:tcPr>
          <w:p w14:paraId="7F4A705A"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34.6</w:t>
            </w:r>
          </w:p>
        </w:tc>
      </w:tr>
      <w:tr w:rsidR="00DA4ADD" w:rsidRPr="00DA4ADD" w14:paraId="4CF82023"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5638FDD1"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Navy</w:t>
            </w:r>
          </w:p>
        </w:tc>
        <w:tc>
          <w:tcPr>
            <w:tcW w:w="960" w:type="dxa"/>
            <w:tcBorders>
              <w:top w:val="nil"/>
              <w:left w:val="nil"/>
              <w:bottom w:val="single" w:sz="8" w:space="0" w:color="auto"/>
              <w:right w:val="single" w:sz="8" w:space="0" w:color="auto"/>
            </w:tcBorders>
            <w:shd w:val="clear" w:color="auto" w:fill="auto"/>
            <w:hideMark/>
          </w:tcPr>
          <w:p w14:paraId="636E2DDD"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181</w:t>
            </w:r>
          </w:p>
        </w:tc>
        <w:tc>
          <w:tcPr>
            <w:tcW w:w="960" w:type="dxa"/>
            <w:tcBorders>
              <w:top w:val="nil"/>
              <w:left w:val="nil"/>
              <w:bottom w:val="single" w:sz="8" w:space="0" w:color="auto"/>
              <w:right w:val="single" w:sz="8" w:space="0" w:color="auto"/>
            </w:tcBorders>
            <w:shd w:val="clear" w:color="auto" w:fill="auto"/>
            <w:hideMark/>
          </w:tcPr>
          <w:p w14:paraId="14E2698E"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22.4</w:t>
            </w:r>
          </w:p>
        </w:tc>
      </w:tr>
      <w:tr w:rsidR="00DA4ADD" w:rsidRPr="00DA4ADD" w14:paraId="5C6DC321"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65F5B75A"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Marines</w:t>
            </w:r>
          </w:p>
        </w:tc>
        <w:tc>
          <w:tcPr>
            <w:tcW w:w="960" w:type="dxa"/>
            <w:tcBorders>
              <w:top w:val="nil"/>
              <w:left w:val="nil"/>
              <w:bottom w:val="single" w:sz="8" w:space="0" w:color="auto"/>
              <w:right w:val="single" w:sz="8" w:space="0" w:color="auto"/>
            </w:tcBorders>
            <w:shd w:val="clear" w:color="auto" w:fill="auto"/>
            <w:hideMark/>
          </w:tcPr>
          <w:p w14:paraId="1E87F354"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56</w:t>
            </w:r>
          </w:p>
        </w:tc>
        <w:tc>
          <w:tcPr>
            <w:tcW w:w="960" w:type="dxa"/>
            <w:tcBorders>
              <w:top w:val="nil"/>
              <w:left w:val="nil"/>
              <w:bottom w:val="single" w:sz="8" w:space="0" w:color="auto"/>
              <w:right w:val="single" w:sz="8" w:space="0" w:color="auto"/>
            </w:tcBorders>
            <w:shd w:val="clear" w:color="auto" w:fill="auto"/>
            <w:hideMark/>
          </w:tcPr>
          <w:p w14:paraId="608EAC1D"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6.9</w:t>
            </w:r>
          </w:p>
        </w:tc>
      </w:tr>
      <w:tr w:rsidR="00DA4ADD" w:rsidRPr="00DA4ADD" w14:paraId="5F171406"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79E3A6B8"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Air Force</w:t>
            </w:r>
          </w:p>
        </w:tc>
        <w:tc>
          <w:tcPr>
            <w:tcW w:w="960" w:type="dxa"/>
            <w:tcBorders>
              <w:top w:val="nil"/>
              <w:left w:val="nil"/>
              <w:bottom w:val="single" w:sz="8" w:space="0" w:color="auto"/>
              <w:right w:val="single" w:sz="8" w:space="0" w:color="auto"/>
            </w:tcBorders>
            <w:shd w:val="clear" w:color="auto" w:fill="auto"/>
            <w:hideMark/>
          </w:tcPr>
          <w:p w14:paraId="2D7FE9F7"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155</w:t>
            </w:r>
          </w:p>
        </w:tc>
        <w:tc>
          <w:tcPr>
            <w:tcW w:w="960" w:type="dxa"/>
            <w:tcBorders>
              <w:top w:val="nil"/>
              <w:left w:val="nil"/>
              <w:bottom w:val="single" w:sz="8" w:space="0" w:color="auto"/>
              <w:right w:val="single" w:sz="8" w:space="0" w:color="auto"/>
            </w:tcBorders>
            <w:shd w:val="clear" w:color="auto" w:fill="auto"/>
            <w:hideMark/>
          </w:tcPr>
          <w:p w14:paraId="1F3F6BCB"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19.2</w:t>
            </w:r>
          </w:p>
        </w:tc>
      </w:tr>
      <w:tr w:rsidR="00DA4ADD" w:rsidRPr="00DA4ADD" w14:paraId="46D79A9C"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13681CC0"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Reserves</w:t>
            </w:r>
          </w:p>
        </w:tc>
        <w:tc>
          <w:tcPr>
            <w:tcW w:w="960" w:type="dxa"/>
            <w:tcBorders>
              <w:top w:val="nil"/>
              <w:left w:val="nil"/>
              <w:bottom w:val="single" w:sz="8" w:space="0" w:color="auto"/>
              <w:right w:val="single" w:sz="8" w:space="0" w:color="auto"/>
            </w:tcBorders>
            <w:shd w:val="clear" w:color="auto" w:fill="auto"/>
            <w:hideMark/>
          </w:tcPr>
          <w:p w14:paraId="1C239AD0"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72</w:t>
            </w:r>
          </w:p>
        </w:tc>
        <w:tc>
          <w:tcPr>
            <w:tcW w:w="960" w:type="dxa"/>
            <w:tcBorders>
              <w:top w:val="nil"/>
              <w:left w:val="nil"/>
              <w:bottom w:val="single" w:sz="8" w:space="0" w:color="auto"/>
              <w:right w:val="single" w:sz="8" w:space="0" w:color="auto"/>
            </w:tcBorders>
            <w:shd w:val="clear" w:color="auto" w:fill="auto"/>
            <w:hideMark/>
          </w:tcPr>
          <w:p w14:paraId="1CF6E5B9"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8.9</w:t>
            </w:r>
          </w:p>
        </w:tc>
      </w:tr>
      <w:tr w:rsidR="00DA4ADD" w:rsidRPr="00DA4ADD" w14:paraId="1C6AF571"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5853398C"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Coast Guard</w:t>
            </w:r>
          </w:p>
        </w:tc>
        <w:tc>
          <w:tcPr>
            <w:tcW w:w="960" w:type="dxa"/>
            <w:tcBorders>
              <w:top w:val="nil"/>
              <w:left w:val="nil"/>
              <w:bottom w:val="single" w:sz="8" w:space="0" w:color="auto"/>
              <w:right w:val="single" w:sz="8" w:space="0" w:color="auto"/>
            </w:tcBorders>
            <w:shd w:val="clear" w:color="auto" w:fill="auto"/>
            <w:hideMark/>
          </w:tcPr>
          <w:p w14:paraId="0BD398C3"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17</w:t>
            </w:r>
          </w:p>
        </w:tc>
        <w:tc>
          <w:tcPr>
            <w:tcW w:w="960" w:type="dxa"/>
            <w:tcBorders>
              <w:top w:val="nil"/>
              <w:left w:val="nil"/>
              <w:bottom w:val="single" w:sz="8" w:space="0" w:color="auto"/>
              <w:right w:val="single" w:sz="8" w:space="0" w:color="auto"/>
            </w:tcBorders>
            <w:shd w:val="clear" w:color="auto" w:fill="auto"/>
            <w:hideMark/>
          </w:tcPr>
          <w:p w14:paraId="4F982FB4"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2.1</w:t>
            </w:r>
          </w:p>
        </w:tc>
      </w:tr>
      <w:tr w:rsidR="00DA4ADD" w:rsidRPr="00DA4ADD" w14:paraId="04A6C9DA"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4E56BCDA"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More than one branch of military service</w:t>
            </w:r>
          </w:p>
        </w:tc>
        <w:tc>
          <w:tcPr>
            <w:tcW w:w="960" w:type="dxa"/>
            <w:tcBorders>
              <w:top w:val="nil"/>
              <w:left w:val="nil"/>
              <w:bottom w:val="single" w:sz="8" w:space="0" w:color="auto"/>
              <w:right w:val="single" w:sz="8" w:space="0" w:color="auto"/>
            </w:tcBorders>
            <w:shd w:val="clear" w:color="auto" w:fill="auto"/>
            <w:hideMark/>
          </w:tcPr>
          <w:p w14:paraId="7097D800"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48</w:t>
            </w:r>
          </w:p>
        </w:tc>
        <w:tc>
          <w:tcPr>
            <w:tcW w:w="960" w:type="dxa"/>
            <w:tcBorders>
              <w:top w:val="nil"/>
              <w:left w:val="nil"/>
              <w:bottom w:val="single" w:sz="8" w:space="0" w:color="auto"/>
              <w:right w:val="single" w:sz="8" w:space="0" w:color="auto"/>
            </w:tcBorders>
            <w:shd w:val="clear" w:color="auto" w:fill="auto"/>
            <w:hideMark/>
          </w:tcPr>
          <w:p w14:paraId="0C466BEB"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5.9</w:t>
            </w:r>
          </w:p>
        </w:tc>
      </w:tr>
      <w:tr w:rsidR="00DA4ADD" w:rsidRPr="00DA4ADD" w14:paraId="075567DD"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0D9A5B82" w14:textId="77777777" w:rsidR="00DA4ADD" w:rsidRPr="00DA4ADD" w:rsidRDefault="00DA4ADD" w:rsidP="00DA4ADD">
            <w:pPr>
              <w:spacing w:after="0" w:line="240" w:lineRule="auto"/>
              <w:rPr>
                <w:rFonts w:ascii="Calibri" w:eastAsia="Times New Roman" w:hAnsi="Calibri" w:cs="Times New Roman"/>
                <w:b/>
                <w:bCs/>
                <w:color w:val="000000"/>
                <w:sz w:val="22"/>
                <w:szCs w:val="22"/>
              </w:rPr>
            </w:pPr>
            <w:r w:rsidRPr="00DA4ADD">
              <w:rPr>
                <w:rFonts w:ascii="Calibri" w:eastAsia="Times New Roman" w:hAnsi="Calibri" w:cs="Times New Roman"/>
                <w:b/>
                <w:bCs/>
                <w:color w:val="000000"/>
                <w:sz w:val="22"/>
                <w:szCs w:val="22"/>
              </w:rPr>
              <w:lastRenderedPageBreak/>
              <w:t>Deployment to a War Arena</w:t>
            </w:r>
          </w:p>
        </w:tc>
        <w:tc>
          <w:tcPr>
            <w:tcW w:w="960" w:type="dxa"/>
            <w:tcBorders>
              <w:top w:val="nil"/>
              <w:left w:val="nil"/>
              <w:bottom w:val="single" w:sz="8" w:space="0" w:color="auto"/>
              <w:right w:val="single" w:sz="8" w:space="0" w:color="auto"/>
            </w:tcBorders>
            <w:shd w:val="clear" w:color="auto" w:fill="auto"/>
            <w:hideMark/>
          </w:tcPr>
          <w:p w14:paraId="75B53D40"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 </w:t>
            </w:r>
          </w:p>
        </w:tc>
        <w:tc>
          <w:tcPr>
            <w:tcW w:w="960" w:type="dxa"/>
            <w:tcBorders>
              <w:top w:val="nil"/>
              <w:left w:val="nil"/>
              <w:bottom w:val="single" w:sz="8" w:space="0" w:color="auto"/>
              <w:right w:val="single" w:sz="8" w:space="0" w:color="auto"/>
            </w:tcBorders>
            <w:shd w:val="clear" w:color="auto" w:fill="auto"/>
            <w:hideMark/>
          </w:tcPr>
          <w:p w14:paraId="44FBB4D7"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 </w:t>
            </w:r>
          </w:p>
        </w:tc>
      </w:tr>
      <w:tr w:rsidR="00DA4ADD" w:rsidRPr="00DA4ADD" w14:paraId="08B2ADD9"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727E2EE5"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Yes</w:t>
            </w:r>
          </w:p>
        </w:tc>
        <w:tc>
          <w:tcPr>
            <w:tcW w:w="960" w:type="dxa"/>
            <w:tcBorders>
              <w:top w:val="nil"/>
              <w:left w:val="nil"/>
              <w:bottom w:val="single" w:sz="8" w:space="0" w:color="auto"/>
              <w:right w:val="single" w:sz="8" w:space="0" w:color="auto"/>
            </w:tcBorders>
            <w:shd w:val="clear" w:color="auto" w:fill="auto"/>
            <w:hideMark/>
          </w:tcPr>
          <w:p w14:paraId="6DDA0E6F"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270</w:t>
            </w:r>
          </w:p>
        </w:tc>
        <w:tc>
          <w:tcPr>
            <w:tcW w:w="960" w:type="dxa"/>
            <w:tcBorders>
              <w:top w:val="nil"/>
              <w:left w:val="nil"/>
              <w:bottom w:val="single" w:sz="8" w:space="0" w:color="auto"/>
              <w:right w:val="single" w:sz="8" w:space="0" w:color="auto"/>
            </w:tcBorders>
            <w:shd w:val="clear" w:color="auto" w:fill="auto"/>
            <w:hideMark/>
          </w:tcPr>
          <w:p w14:paraId="6168B348"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33.2</w:t>
            </w:r>
          </w:p>
        </w:tc>
      </w:tr>
      <w:tr w:rsidR="00DA4ADD" w:rsidRPr="00DA4ADD" w14:paraId="603E79E7"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49C40565"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No</w:t>
            </w:r>
          </w:p>
        </w:tc>
        <w:tc>
          <w:tcPr>
            <w:tcW w:w="960" w:type="dxa"/>
            <w:tcBorders>
              <w:top w:val="nil"/>
              <w:left w:val="nil"/>
              <w:bottom w:val="single" w:sz="8" w:space="0" w:color="auto"/>
              <w:right w:val="single" w:sz="8" w:space="0" w:color="auto"/>
            </w:tcBorders>
            <w:shd w:val="clear" w:color="auto" w:fill="auto"/>
            <w:hideMark/>
          </w:tcPr>
          <w:p w14:paraId="000FC9F0"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542</w:t>
            </w:r>
          </w:p>
        </w:tc>
        <w:tc>
          <w:tcPr>
            <w:tcW w:w="960" w:type="dxa"/>
            <w:tcBorders>
              <w:top w:val="nil"/>
              <w:left w:val="nil"/>
              <w:bottom w:val="single" w:sz="8" w:space="0" w:color="auto"/>
              <w:right w:val="single" w:sz="8" w:space="0" w:color="auto"/>
            </w:tcBorders>
            <w:shd w:val="clear" w:color="auto" w:fill="auto"/>
            <w:hideMark/>
          </w:tcPr>
          <w:p w14:paraId="78C2B248"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66.7</w:t>
            </w:r>
          </w:p>
        </w:tc>
      </w:tr>
      <w:tr w:rsidR="00DA4ADD" w:rsidRPr="00DA4ADD" w14:paraId="73ADE838"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57D7833C" w14:textId="77777777" w:rsidR="00DA4ADD" w:rsidRPr="00DA4ADD" w:rsidRDefault="00DA4ADD" w:rsidP="00DA4ADD">
            <w:pPr>
              <w:spacing w:after="0" w:line="240" w:lineRule="auto"/>
              <w:rPr>
                <w:rFonts w:ascii="Calibri" w:eastAsia="Times New Roman" w:hAnsi="Calibri" w:cs="Times New Roman"/>
                <w:b/>
                <w:bCs/>
                <w:color w:val="000000"/>
                <w:sz w:val="22"/>
                <w:szCs w:val="22"/>
              </w:rPr>
            </w:pPr>
            <w:r w:rsidRPr="00DA4ADD">
              <w:rPr>
                <w:rFonts w:ascii="Calibri" w:eastAsia="Times New Roman" w:hAnsi="Calibri" w:cs="Times New Roman"/>
                <w:b/>
                <w:bCs/>
                <w:color w:val="000000"/>
                <w:sz w:val="22"/>
                <w:szCs w:val="22"/>
              </w:rPr>
              <w:t>Employment Status</w:t>
            </w:r>
          </w:p>
        </w:tc>
        <w:tc>
          <w:tcPr>
            <w:tcW w:w="960" w:type="dxa"/>
            <w:tcBorders>
              <w:top w:val="nil"/>
              <w:left w:val="nil"/>
              <w:bottom w:val="single" w:sz="8" w:space="0" w:color="auto"/>
              <w:right w:val="single" w:sz="8" w:space="0" w:color="auto"/>
            </w:tcBorders>
            <w:shd w:val="clear" w:color="auto" w:fill="auto"/>
            <w:hideMark/>
          </w:tcPr>
          <w:p w14:paraId="01D2795B"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 </w:t>
            </w:r>
          </w:p>
        </w:tc>
        <w:tc>
          <w:tcPr>
            <w:tcW w:w="960" w:type="dxa"/>
            <w:tcBorders>
              <w:top w:val="nil"/>
              <w:left w:val="nil"/>
              <w:bottom w:val="single" w:sz="8" w:space="0" w:color="auto"/>
              <w:right w:val="single" w:sz="8" w:space="0" w:color="auto"/>
            </w:tcBorders>
            <w:shd w:val="clear" w:color="auto" w:fill="auto"/>
            <w:hideMark/>
          </w:tcPr>
          <w:p w14:paraId="02864266"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 </w:t>
            </w:r>
          </w:p>
        </w:tc>
      </w:tr>
      <w:tr w:rsidR="00DA4ADD" w:rsidRPr="00DA4ADD" w14:paraId="46BC855C"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71B2A0C6"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Full-time employed</w:t>
            </w:r>
          </w:p>
        </w:tc>
        <w:tc>
          <w:tcPr>
            <w:tcW w:w="960" w:type="dxa"/>
            <w:tcBorders>
              <w:top w:val="nil"/>
              <w:left w:val="nil"/>
              <w:bottom w:val="single" w:sz="8" w:space="0" w:color="auto"/>
              <w:right w:val="single" w:sz="8" w:space="0" w:color="auto"/>
            </w:tcBorders>
            <w:shd w:val="clear" w:color="auto" w:fill="auto"/>
            <w:hideMark/>
          </w:tcPr>
          <w:p w14:paraId="6CCECEFA"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610</w:t>
            </w:r>
          </w:p>
        </w:tc>
        <w:tc>
          <w:tcPr>
            <w:tcW w:w="960" w:type="dxa"/>
            <w:tcBorders>
              <w:top w:val="nil"/>
              <w:left w:val="nil"/>
              <w:bottom w:val="single" w:sz="8" w:space="0" w:color="auto"/>
              <w:right w:val="single" w:sz="8" w:space="0" w:color="auto"/>
            </w:tcBorders>
            <w:shd w:val="clear" w:color="auto" w:fill="auto"/>
            <w:hideMark/>
          </w:tcPr>
          <w:p w14:paraId="54E7412F"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17.4</w:t>
            </w:r>
          </w:p>
        </w:tc>
      </w:tr>
      <w:tr w:rsidR="00DA4ADD" w:rsidRPr="00DA4ADD" w14:paraId="0BA637B7"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4954F9BB"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Part-time employed</w:t>
            </w:r>
          </w:p>
        </w:tc>
        <w:tc>
          <w:tcPr>
            <w:tcW w:w="960" w:type="dxa"/>
            <w:tcBorders>
              <w:top w:val="nil"/>
              <w:left w:val="nil"/>
              <w:bottom w:val="single" w:sz="8" w:space="0" w:color="auto"/>
              <w:right w:val="single" w:sz="8" w:space="0" w:color="auto"/>
            </w:tcBorders>
            <w:shd w:val="clear" w:color="auto" w:fill="auto"/>
            <w:hideMark/>
          </w:tcPr>
          <w:p w14:paraId="5BFD5692"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168</w:t>
            </w:r>
          </w:p>
        </w:tc>
        <w:tc>
          <w:tcPr>
            <w:tcW w:w="960" w:type="dxa"/>
            <w:tcBorders>
              <w:top w:val="nil"/>
              <w:left w:val="nil"/>
              <w:bottom w:val="single" w:sz="8" w:space="0" w:color="auto"/>
              <w:right w:val="single" w:sz="8" w:space="0" w:color="auto"/>
            </w:tcBorders>
            <w:shd w:val="clear" w:color="auto" w:fill="auto"/>
            <w:hideMark/>
          </w:tcPr>
          <w:p w14:paraId="20EEFE80"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4.8</w:t>
            </w:r>
          </w:p>
        </w:tc>
      </w:tr>
      <w:tr w:rsidR="00DA4ADD" w:rsidRPr="00DA4ADD" w14:paraId="59414A4A"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02B41856"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Retired</w:t>
            </w:r>
          </w:p>
        </w:tc>
        <w:tc>
          <w:tcPr>
            <w:tcW w:w="960" w:type="dxa"/>
            <w:tcBorders>
              <w:top w:val="nil"/>
              <w:left w:val="nil"/>
              <w:bottom w:val="single" w:sz="8" w:space="0" w:color="auto"/>
              <w:right w:val="single" w:sz="8" w:space="0" w:color="auto"/>
            </w:tcBorders>
            <w:shd w:val="clear" w:color="auto" w:fill="auto"/>
            <w:hideMark/>
          </w:tcPr>
          <w:p w14:paraId="52165F34"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1163</w:t>
            </w:r>
          </w:p>
        </w:tc>
        <w:tc>
          <w:tcPr>
            <w:tcW w:w="960" w:type="dxa"/>
            <w:tcBorders>
              <w:top w:val="nil"/>
              <w:left w:val="nil"/>
              <w:bottom w:val="single" w:sz="8" w:space="0" w:color="auto"/>
              <w:right w:val="single" w:sz="8" w:space="0" w:color="auto"/>
            </w:tcBorders>
            <w:shd w:val="clear" w:color="auto" w:fill="auto"/>
            <w:hideMark/>
          </w:tcPr>
          <w:p w14:paraId="3F4F1E11"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33.1</w:t>
            </w:r>
          </w:p>
        </w:tc>
      </w:tr>
      <w:tr w:rsidR="00DA4ADD" w:rsidRPr="00DA4ADD" w14:paraId="0E45A07B"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38CBEA1A"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Disabled</w:t>
            </w:r>
          </w:p>
        </w:tc>
        <w:tc>
          <w:tcPr>
            <w:tcW w:w="960" w:type="dxa"/>
            <w:tcBorders>
              <w:top w:val="nil"/>
              <w:left w:val="nil"/>
              <w:bottom w:val="single" w:sz="8" w:space="0" w:color="auto"/>
              <w:right w:val="single" w:sz="8" w:space="0" w:color="auto"/>
            </w:tcBorders>
            <w:shd w:val="clear" w:color="auto" w:fill="auto"/>
            <w:hideMark/>
          </w:tcPr>
          <w:p w14:paraId="01E0AC89"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1351</w:t>
            </w:r>
          </w:p>
        </w:tc>
        <w:tc>
          <w:tcPr>
            <w:tcW w:w="960" w:type="dxa"/>
            <w:tcBorders>
              <w:top w:val="nil"/>
              <w:left w:val="nil"/>
              <w:bottom w:val="single" w:sz="8" w:space="0" w:color="auto"/>
              <w:right w:val="single" w:sz="8" w:space="0" w:color="auto"/>
            </w:tcBorders>
            <w:shd w:val="clear" w:color="auto" w:fill="auto"/>
            <w:hideMark/>
          </w:tcPr>
          <w:p w14:paraId="2347A304"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38.5</w:t>
            </w:r>
          </w:p>
        </w:tc>
      </w:tr>
      <w:tr w:rsidR="00DA4ADD" w:rsidRPr="00DA4ADD" w14:paraId="55CE7BD7"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202A58DD"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Full-time student</w:t>
            </w:r>
          </w:p>
        </w:tc>
        <w:tc>
          <w:tcPr>
            <w:tcW w:w="960" w:type="dxa"/>
            <w:tcBorders>
              <w:top w:val="nil"/>
              <w:left w:val="nil"/>
              <w:bottom w:val="single" w:sz="8" w:space="0" w:color="auto"/>
              <w:right w:val="single" w:sz="8" w:space="0" w:color="auto"/>
            </w:tcBorders>
            <w:shd w:val="clear" w:color="auto" w:fill="auto"/>
            <w:hideMark/>
          </w:tcPr>
          <w:p w14:paraId="139FE962"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5</w:t>
            </w:r>
          </w:p>
        </w:tc>
        <w:tc>
          <w:tcPr>
            <w:tcW w:w="960" w:type="dxa"/>
            <w:tcBorders>
              <w:top w:val="nil"/>
              <w:left w:val="nil"/>
              <w:bottom w:val="single" w:sz="8" w:space="0" w:color="auto"/>
              <w:right w:val="single" w:sz="8" w:space="0" w:color="auto"/>
            </w:tcBorders>
            <w:shd w:val="clear" w:color="auto" w:fill="auto"/>
            <w:hideMark/>
          </w:tcPr>
          <w:p w14:paraId="78C918EF"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0.1</w:t>
            </w:r>
          </w:p>
        </w:tc>
      </w:tr>
      <w:tr w:rsidR="00DA4ADD" w:rsidRPr="00DA4ADD" w14:paraId="0831FD6B"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6D71BA0C"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Homemaker</w:t>
            </w:r>
          </w:p>
        </w:tc>
        <w:tc>
          <w:tcPr>
            <w:tcW w:w="960" w:type="dxa"/>
            <w:tcBorders>
              <w:top w:val="nil"/>
              <w:left w:val="nil"/>
              <w:bottom w:val="single" w:sz="8" w:space="0" w:color="auto"/>
              <w:right w:val="single" w:sz="8" w:space="0" w:color="auto"/>
            </w:tcBorders>
            <w:shd w:val="clear" w:color="auto" w:fill="auto"/>
            <w:hideMark/>
          </w:tcPr>
          <w:p w14:paraId="3EFB617C"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64</w:t>
            </w:r>
          </w:p>
        </w:tc>
        <w:tc>
          <w:tcPr>
            <w:tcW w:w="960" w:type="dxa"/>
            <w:tcBorders>
              <w:top w:val="nil"/>
              <w:left w:val="nil"/>
              <w:bottom w:val="single" w:sz="8" w:space="0" w:color="auto"/>
              <w:right w:val="single" w:sz="8" w:space="0" w:color="auto"/>
            </w:tcBorders>
            <w:shd w:val="clear" w:color="auto" w:fill="auto"/>
            <w:hideMark/>
          </w:tcPr>
          <w:p w14:paraId="4CD7A717"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1.8</w:t>
            </w:r>
          </w:p>
        </w:tc>
      </w:tr>
      <w:tr w:rsidR="00DA4ADD" w:rsidRPr="00DA4ADD" w14:paraId="40FA1B9C"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00D3A01B"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Unemployed</w:t>
            </w:r>
          </w:p>
        </w:tc>
        <w:tc>
          <w:tcPr>
            <w:tcW w:w="960" w:type="dxa"/>
            <w:tcBorders>
              <w:top w:val="nil"/>
              <w:left w:val="nil"/>
              <w:bottom w:val="single" w:sz="8" w:space="0" w:color="auto"/>
              <w:right w:val="single" w:sz="8" w:space="0" w:color="auto"/>
            </w:tcBorders>
            <w:shd w:val="clear" w:color="auto" w:fill="auto"/>
            <w:hideMark/>
          </w:tcPr>
          <w:p w14:paraId="51B1E20E"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87</w:t>
            </w:r>
          </w:p>
        </w:tc>
        <w:tc>
          <w:tcPr>
            <w:tcW w:w="960" w:type="dxa"/>
            <w:tcBorders>
              <w:top w:val="nil"/>
              <w:left w:val="nil"/>
              <w:bottom w:val="single" w:sz="8" w:space="0" w:color="auto"/>
              <w:right w:val="single" w:sz="8" w:space="0" w:color="auto"/>
            </w:tcBorders>
            <w:shd w:val="clear" w:color="auto" w:fill="auto"/>
            <w:hideMark/>
          </w:tcPr>
          <w:p w14:paraId="303A2069"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2.5</w:t>
            </w:r>
          </w:p>
        </w:tc>
      </w:tr>
      <w:tr w:rsidR="00DA4ADD" w:rsidRPr="00DA4ADD" w14:paraId="18AAA38C"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560203BE"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Other</w:t>
            </w:r>
          </w:p>
        </w:tc>
        <w:tc>
          <w:tcPr>
            <w:tcW w:w="960" w:type="dxa"/>
            <w:tcBorders>
              <w:top w:val="nil"/>
              <w:left w:val="nil"/>
              <w:bottom w:val="single" w:sz="8" w:space="0" w:color="auto"/>
              <w:right w:val="single" w:sz="8" w:space="0" w:color="auto"/>
            </w:tcBorders>
            <w:shd w:val="clear" w:color="auto" w:fill="auto"/>
            <w:hideMark/>
          </w:tcPr>
          <w:p w14:paraId="26566239"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61</w:t>
            </w:r>
          </w:p>
        </w:tc>
        <w:tc>
          <w:tcPr>
            <w:tcW w:w="960" w:type="dxa"/>
            <w:tcBorders>
              <w:top w:val="nil"/>
              <w:left w:val="nil"/>
              <w:bottom w:val="single" w:sz="8" w:space="0" w:color="auto"/>
              <w:right w:val="single" w:sz="8" w:space="0" w:color="auto"/>
            </w:tcBorders>
            <w:shd w:val="clear" w:color="auto" w:fill="auto"/>
            <w:hideMark/>
          </w:tcPr>
          <w:p w14:paraId="5B02E226"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1.7</w:t>
            </w:r>
          </w:p>
        </w:tc>
      </w:tr>
      <w:tr w:rsidR="00DA4ADD" w:rsidRPr="00DA4ADD" w14:paraId="31D35F13"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6551003B" w14:textId="77777777" w:rsidR="00DA4ADD" w:rsidRPr="00DA4ADD" w:rsidRDefault="00DA4ADD" w:rsidP="00DA4ADD">
            <w:pPr>
              <w:spacing w:after="0" w:line="240" w:lineRule="auto"/>
              <w:rPr>
                <w:rFonts w:ascii="Calibri" w:eastAsia="Times New Roman" w:hAnsi="Calibri" w:cs="Times New Roman"/>
                <w:b/>
                <w:bCs/>
                <w:color w:val="000000"/>
                <w:sz w:val="22"/>
                <w:szCs w:val="22"/>
              </w:rPr>
            </w:pPr>
            <w:r w:rsidRPr="00DA4ADD">
              <w:rPr>
                <w:rFonts w:ascii="Calibri" w:eastAsia="Times New Roman" w:hAnsi="Calibri" w:cs="Times New Roman"/>
                <w:b/>
                <w:bCs/>
                <w:color w:val="000000"/>
                <w:sz w:val="22"/>
                <w:szCs w:val="22"/>
              </w:rPr>
              <w:t>Job Title Held for the Longest Time (Top 10)</w:t>
            </w:r>
          </w:p>
        </w:tc>
        <w:tc>
          <w:tcPr>
            <w:tcW w:w="960" w:type="dxa"/>
            <w:tcBorders>
              <w:top w:val="nil"/>
              <w:left w:val="nil"/>
              <w:bottom w:val="single" w:sz="8" w:space="0" w:color="auto"/>
              <w:right w:val="single" w:sz="8" w:space="0" w:color="auto"/>
            </w:tcBorders>
            <w:shd w:val="clear" w:color="auto" w:fill="auto"/>
            <w:hideMark/>
          </w:tcPr>
          <w:p w14:paraId="6F82D77C"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 </w:t>
            </w:r>
          </w:p>
        </w:tc>
        <w:tc>
          <w:tcPr>
            <w:tcW w:w="960" w:type="dxa"/>
            <w:tcBorders>
              <w:top w:val="nil"/>
              <w:left w:val="nil"/>
              <w:bottom w:val="single" w:sz="8" w:space="0" w:color="auto"/>
              <w:right w:val="single" w:sz="8" w:space="0" w:color="auto"/>
            </w:tcBorders>
            <w:shd w:val="clear" w:color="auto" w:fill="auto"/>
            <w:hideMark/>
          </w:tcPr>
          <w:p w14:paraId="09919A26"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 </w:t>
            </w:r>
          </w:p>
        </w:tc>
      </w:tr>
      <w:tr w:rsidR="00DA4ADD" w:rsidRPr="00DA4ADD" w14:paraId="545406DB"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14F32962"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Teacher, professor or educator</w:t>
            </w:r>
          </w:p>
        </w:tc>
        <w:tc>
          <w:tcPr>
            <w:tcW w:w="960" w:type="dxa"/>
            <w:tcBorders>
              <w:top w:val="nil"/>
              <w:left w:val="nil"/>
              <w:bottom w:val="single" w:sz="8" w:space="0" w:color="auto"/>
              <w:right w:val="single" w:sz="8" w:space="0" w:color="auto"/>
            </w:tcBorders>
            <w:shd w:val="clear" w:color="auto" w:fill="auto"/>
            <w:hideMark/>
          </w:tcPr>
          <w:p w14:paraId="4F874109"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309</w:t>
            </w:r>
          </w:p>
        </w:tc>
        <w:tc>
          <w:tcPr>
            <w:tcW w:w="960" w:type="dxa"/>
            <w:tcBorders>
              <w:top w:val="nil"/>
              <w:left w:val="nil"/>
              <w:bottom w:val="single" w:sz="8" w:space="0" w:color="auto"/>
              <w:right w:val="single" w:sz="8" w:space="0" w:color="auto"/>
            </w:tcBorders>
            <w:shd w:val="clear" w:color="auto" w:fill="auto"/>
            <w:hideMark/>
          </w:tcPr>
          <w:p w14:paraId="12D6C519"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8.8</w:t>
            </w:r>
          </w:p>
        </w:tc>
      </w:tr>
      <w:tr w:rsidR="00DA4ADD" w:rsidRPr="00DA4ADD" w14:paraId="0B5EC3AF"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3697D0EE"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Physician, nurse, dental or health care worker</w:t>
            </w:r>
          </w:p>
        </w:tc>
        <w:tc>
          <w:tcPr>
            <w:tcW w:w="960" w:type="dxa"/>
            <w:tcBorders>
              <w:top w:val="nil"/>
              <w:left w:val="nil"/>
              <w:bottom w:val="single" w:sz="8" w:space="0" w:color="auto"/>
              <w:right w:val="single" w:sz="8" w:space="0" w:color="auto"/>
            </w:tcBorders>
            <w:shd w:val="clear" w:color="auto" w:fill="auto"/>
            <w:hideMark/>
          </w:tcPr>
          <w:p w14:paraId="79371E56"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252</w:t>
            </w:r>
          </w:p>
        </w:tc>
        <w:tc>
          <w:tcPr>
            <w:tcW w:w="960" w:type="dxa"/>
            <w:tcBorders>
              <w:top w:val="nil"/>
              <w:left w:val="nil"/>
              <w:bottom w:val="single" w:sz="8" w:space="0" w:color="auto"/>
              <w:right w:val="single" w:sz="8" w:space="0" w:color="auto"/>
            </w:tcBorders>
            <w:shd w:val="clear" w:color="auto" w:fill="auto"/>
            <w:hideMark/>
          </w:tcPr>
          <w:p w14:paraId="5293CE50"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7.2</w:t>
            </w:r>
          </w:p>
        </w:tc>
      </w:tr>
      <w:tr w:rsidR="00DA4ADD" w:rsidRPr="00DA4ADD" w14:paraId="17902877"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4D85C446"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Secretary, administrative assistant or receptionist</w:t>
            </w:r>
          </w:p>
        </w:tc>
        <w:tc>
          <w:tcPr>
            <w:tcW w:w="960" w:type="dxa"/>
            <w:tcBorders>
              <w:top w:val="nil"/>
              <w:left w:val="nil"/>
              <w:bottom w:val="single" w:sz="8" w:space="0" w:color="auto"/>
              <w:right w:val="single" w:sz="8" w:space="0" w:color="auto"/>
            </w:tcBorders>
            <w:shd w:val="clear" w:color="auto" w:fill="auto"/>
            <w:hideMark/>
          </w:tcPr>
          <w:p w14:paraId="1FC79802"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171</w:t>
            </w:r>
          </w:p>
        </w:tc>
        <w:tc>
          <w:tcPr>
            <w:tcW w:w="960" w:type="dxa"/>
            <w:tcBorders>
              <w:top w:val="nil"/>
              <w:left w:val="nil"/>
              <w:bottom w:val="single" w:sz="8" w:space="0" w:color="auto"/>
              <w:right w:val="single" w:sz="8" w:space="0" w:color="auto"/>
            </w:tcBorders>
            <w:shd w:val="clear" w:color="auto" w:fill="auto"/>
            <w:hideMark/>
          </w:tcPr>
          <w:p w14:paraId="471F51C1"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4.9</w:t>
            </w:r>
          </w:p>
        </w:tc>
      </w:tr>
      <w:tr w:rsidR="00DA4ADD" w:rsidRPr="00DA4ADD" w14:paraId="7A184C3D"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106D1E6C"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Engineer, architect or draftsperson</w:t>
            </w:r>
          </w:p>
        </w:tc>
        <w:tc>
          <w:tcPr>
            <w:tcW w:w="960" w:type="dxa"/>
            <w:tcBorders>
              <w:top w:val="nil"/>
              <w:left w:val="nil"/>
              <w:bottom w:val="single" w:sz="8" w:space="0" w:color="auto"/>
              <w:right w:val="single" w:sz="8" w:space="0" w:color="auto"/>
            </w:tcBorders>
            <w:shd w:val="clear" w:color="auto" w:fill="auto"/>
            <w:hideMark/>
          </w:tcPr>
          <w:p w14:paraId="4534C9C2"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158</w:t>
            </w:r>
          </w:p>
        </w:tc>
        <w:tc>
          <w:tcPr>
            <w:tcW w:w="960" w:type="dxa"/>
            <w:tcBorders>
              <w:top w:val="nil"/>
              <w:left w:val="nil"/>
              <w:bottom w:val="single" w:sz="8" w:space="0" w:color="auto"/>
              <w:right w:val="single" w:sz="8" w:space="0" w:color="auto"/>
            </w:tcBorders>
            <w:shd w:val="clear" w:color="auto" w:fill="auto"/>
            <w:hideMark/>
          </w:tcPr>
          <w:p w14:paraId="152CFDFB"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4.5</w:t>
            </w:r>
          </w:p>
        </w:tc>
      </w:tr>
      <w:tr w:rsidR="00DA4ADD" w:rsidRPr="00DA4ADD" w14:paraId="374BD7F7" w14:textId="77777777" w:rsidTr="00DA4ADD">
        <w:trPr>
          <w:trHeight w:val="615"/>
        </w:trPr>
        <w:tc>
          <w:tcPr>
            <w:tcW w:w="4900" w:type="dxa"/>
            <w:tcBorders>
              <w:top w:val="nil"/>
              <w:left w:val="single" w:sz="8" w:space="0" w:color="auto"/>
              <w:bottom w:val="single" w:sz="8" w:space="0" w:color="auto"/>
              <w:right w:val="single" w:sz="8" w:space="0" w:color="auto"/>
            </w:tcBorders>
            <w:shd w:val="clear" w:color="auto" w:fill="auto"/>
            <w:hideMark/>
          </w:tcPr>
          <w:p w14:paraId="1131B9FF"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Retail salesperson, sales clerk, or sales representative</w:t>
            </w:r>
          </w:p>
        </w:tc>
        <w:tc>
          <w:tcPr>
            <w:tcW w:w="960" w:type="dxa"/>
            <w:tcBorders>
              <w:top w:val="nil"/>
              <w:left w:val="nil"/>
              <w:bottom w:val="single" w:sz="8" w:space="0" w:color="auto"/>
              <w:right w:val="single" w:sz="8" w:space="0" w:color="auto"/>
            </w:tcBorders>
            <w:shd w:val="clear" w:color="auto" w:fill="auto"/>
            <w:hideMark/>
          </w:tcPr>
          <w:p w14:paraId="3BB92C9A"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150</w:t>
            </w:r>
          </w:p>
        </w:tc>
        <w:tc>
          <w:tcPr>
            <w:tcW w:w="960" w:type="dxa"/>
            <w:tcBorders>
              <w:top w:val="nil"/>
              <w:left w:val="nil"/>
              <w:bottom w:val="single" w:sz="8" w:space="0" w:color="auto"/>
              <w:right w:val="single" w:sz="8" w:space="0" w:color="auto"/>
            </w:tcBorders>
            <w:shd w:val="clear" w:color="auto" w:fill="auto"/>
            <w:hideMark/>
          </w:tcPr>
          <w:p w14:paraId="49F0D5EE"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4.3</w:t>
            </w:r>
          </w:p>
        </w:tc>
      </w:tr>
      <w:tr w:rsidR="00DA4ADD" w:rsidRPr="00DA4ADD" w14:paraId="3AD99DC0" w14:textId="77777777" w:rsidTr="00DA4ADD">
        <w:trPr>
          <w:trHeight w:val="615"/>
        </w:trPr>
        <w:tc>
          <w:tcPr>
            <w:tcW w:w="4900" w:type="dxa"/>
            <w:tcBorders>
              <w:top w:val="nil"/>
              <w:left w:val="single" w:sz="8" w:space="0" w:color="auto"/>
              <w:bottom w:val="single" w:sz="8" w:space="0" w:color="auto"/>
              <w:right w:val="single" w:sz="8" w:space="0" w:color="auto"/>
            </w:tcBorders>
            <w:shd w:val="clear" w:color="auto" w:fill="auto"/>
            <w:hideMark/>
          </w:tcPr>
          <w:p w14:paraId="73A8E3A9"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Manufacturing laborer, production worker, or assembler/fabricator</w:t>
            </w:r>
          </w:p>
        </w:tc>
        <w:tc>
          <w:tcPr>
            <w:tcW w:w="960" w:type="dxa"/>
            <w:tcBorders>
              <w:top w:val="nil"/>
              <w:left w:val="nil"/>
              <w:bottom w:val="single" w:sz="8" w:space="0" w:color="auto"/>
              <w:right w:val="single" w:sz="8" w:space="0" w:color="auto"/>
            </w:tcBorders>
            <w:shd w:val="clear" w:color="auto" w:fill="auto"/>
            <w:hideMark/>
          </w:tcPr>
          <w:p w14:paraId="3132CECB"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120</w:t>
            </w:r>
          </w:p>
        </w:tc>
        <w:tc>
          <w:tcPr>
            <w:tcW w:w="960" w:type="dxa"/>
            <w:tcBorders>
              <w:top w:val="nil"/>
              <w:left w:val="nil"/>
              <w:bottom w:val="single" w:sz="8" w:space="0" w:color="auto"/>
              <w:right w:val="single" w:sz="8" w:space="0" w:color="auto"/>
            </w:tcBorders>
            <w:shd w:val="clear" w:color="auto" w:fill="auto"/>
            <w:hideMark/>
          </w:tcPr>
          <w:p w14:paraId="05341A17"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3.4</w:t>
            </w:r>
          </w:p>
        </w:tc>
      </w:tr>
      <w:tr w:rsidR="00DA4ADD" w:rsidRPr="00DA4ADD" w14:paraId="20D26CBF"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4985ADD5"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Accountant, auditor, or bookkeeper</w:t>
            </w:r>
          </w:p>
        </w:tc>
        <w:tc>
          <w:tcPr>
            <w:tcW w:w="960" w:type="dxa"/>
            <w:tcBorders>
              <w:top w:val="nil"/>
              <w:left w:val="nil"/>
              <w:bottom w:val="single" w:sz="8" w:space="0" w:color="auto"/>
              <w:right w:val="single" w:sz="8" w:space="0" w:color="auto"/>
            </w:tcBorders>
            <w:shd w:val="clear" w:color="auto" w:fill="auto"/>
            <w:hideMark/>
          </w:tcPr>
          <w:p w14:paraId="286AB17A"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111</w:t>
            </w:r>
          </w:p>
        </w:tc>
        <w:tc>
          <w:tcPr>
            <w:tcW w:w="960" w:type="dxa"/>
            <w:tcBorders>
              <w:top w:val="nil"/>
              <w:left w:val="nil"/>
              <w:bottom w:val="single" w:sz="8" w:space="0" w:color="auto"/>
              <w:right w:val="single" w:sz="8" w:space="0" w:color="auto"/>
            </w:tcBorders>
            <w:shd w:val="clear" w:color="auto" w:fill="auto"/>
            <w:hideMark/>
          </w:tcPr>
          <w:p w14:paraId="20275AC8"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3.2</w:t>
            </w:r>
          </w:p>
        </w:tc>
      </w:tr>
      <w:tr w:rsidR="00DA4ADD" w:rsidRPr="00DA4ADD" w14:paraId="21B6E369" w14:textId="77777777" w:rsidTr="00DA4ADD">
        <w:trPr>
          <w:trHeight w:val="615"/>
        </w:trPr>
        <w:tc>
          <w:tcPr>
            <w:tcW w:w="4900" w:type="dxa"/>
            <w:tcBorders>
              <w:top w:val="nil"/>
              <w:left w:val="single" w:sz="8" w:space="0" w:color="auto"/>
              <w:bottom w:val="single" w:sz="8" w:space="0" w:color="auto"/>
              <w:right w:val="single" w:sz="8" w:space="0" w:color="auto"/>
            </w:tcBorders>
            <w:shd w:val="clear" w:color="auto" w:fill="auto"/>
            <w:hideMark/>
          </w:tcPr>
          <w:p w14:paraId="43A296CE"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Supervisor or manager of financial or marketing workers</w:t>
            </w:r>
          </w:p>
        </w:tc>
        <w:tc>
          <w:tcPr>
            <w:tcW w:w="960" w:type="dxa"/>
            <w:tcBorders>
              <w:top w:val="nil"/>
              <w:left w:val="nil"/>
              <w:bottom w:val="single" w:sz="8" w:space="0" w:color="auto"/>
              <w:right w:val="single" w:sz="8" w:space="0" w:color="auto"/>
            </w:tcBorders>
            <w:shd w:val="clear" w:color="auto" w:fill="auto"/>
            <w:hideMark/>
          </w:tcPr>
          <w:p w14:paraId="4F80383F"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108</w:t>
            </w:r>
          </w:p>
        </w:tc>
        <w:tc>
          <w:tcPr>
            <w:tcW w:w="960" w:type="dxa"/>
            <w:tcBorders>
              <w:top w:val="nil"/>
              <w:left w:val="nil"/>
              <w:bottom w:val="single" w:sz="8" w:space="0" w:color="auto"/>
              <w:right w:val="single" w:sz="8" w:space="0" w:color="auto"/>
            </w:tcBorders>
            <w:shd w:val="clear" w:color="auto" w:fill="auto"/>
            <w:hideMark/>
          </w:tcPr>
          <w:p w14:paraId="04FAB9CF"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3.1</w:t>
            </w:r>
          </w:p>
        </w:tc>
      </w:tr>
      <w:tr w:rsidR="00DA4ADD" w:rsidRPr="00DA4ADD" w14:paraId="7859C0C2"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003F093E"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Chief executive or owner</w:t>
            </w:r>
          </w:p>
        </w:tc>
        <w:tc>
          <w:tcPr>
            <w:tcW w:w="960" w:type="dxa"/>
            <w:tcBorders>
              <w:top w:val="nil"/>
              <w:left w:val="nil"/>
              <w:bottom w:val="single" w:sz="8" w:space="0" w:color="auto"/>
              <w:right w:val="single" w:sz="8" w:space="0" w:color="auto"/>
            </w:tcBorders>
            <w:shd w:val="clear" w:color="auto" w:fill="auto"/>
            <w:hideMark/>
          </w:tcPr>
          <w:p w14:paraId="0D5237B0"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94</w:t>
            </w:r>
          </w:p>
        </w:tc>
        <w:tc>
          <w:tcPr>
            <w:tcW w:w="960" w:type="dxa"/>
            <w:tcBorders>
              <w:top w:val="nil"/>
              <w:left w:val="nil"/>
              <w:bottom w:val="single" w:sz="8" w:space="0" w:color="auto"/>
              <w:right w:val="single" w:sz="8" w:space="0" w:color="auto"/>
            </w:tcBorders>
            <w:shd w:val="clear" w:color="auto" w:fill="auto"/>
            <w:hideMark/>
          </w:tcPr>
          <w:p w14:paraId="262F1C34"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2.7</w:t>
            </w:r>
          </w:p>
        </w:tc>
      </w:tr>
      <w:tr w:rsidR="00DA4ADD" w:rsidRPr="00DA4ADD" w14:paraId="246866D2" w14:textId="77777777" w:rsidTr="00DA4ADD">
        <w:trPr>
          <w:trHeight w:val="615"/>
        </w:trPr>
        <w:tc>
          <w:tcPr>
            <w:tcW w:w="4900" w:type="dxa"/>
            <w:tcBorders>
              <w:top w:val="nil"/>
              <w:left w:val="single" w:sz="8" w:space="0" w:color="auto"/>
              <w:bottom w:val="single" w:sz="8" w:space="0" w:color="auto"/>
              <w:right w:val="single" w:sz="8" w:space="0" w:color="auto"/>
            </w:tcBorders>
            <w:shd w:val="clear" w:color="auto" w:fill="auto"/>
            <w:hideMark/>
          </w:tcPr>
          <w:p w14:paraId="2644C72E"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Supervisor or manager of manufacturing or production workers</w:t>
            </w:r>
          </w:p>
        </w:tc>
        <w:tc>
          <w:tcPr>
            <w:tcW w:w="960" w:type="dxa"/>
            <w:tcBorders>
              <w:top w:val="nil"/>
              <w:left w:val="nil"/>
              <w:bottom w:val="single" w:sz="8" w:space="0" w:color="auto"/>
              <w:right w:val="single" w:sz="8" w:space="0" w:color="auto"/>
            </w:tcBorders>
            <w:shd w:val="clear" w:color="auto" w:fill="auto"/>
            <w:hideMark/>
          </w:tcPr>
          <w:p w14:paraId="3799F2C6"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89</w:t>
            </w:r>
          </w:p>
        </w:tc>
        <w:tc>
          <w:tcPr>
            <w:tcW w:w="960" w:type="dxa"/>
            <w:tcBorders>
              <w:top w:val="nil"/>
              <w:left w:val="nil"/>
              <w:bottom w:val="single" w:sz="8" w:space="0" w:color="auto"/>
              <w:right w:val="single" w:sz="8" w:space="0" w:color="auto"/>
            </w:tcBorders>
            <w:shd w:val="clear" w:color="auto" w:fill="auto"/>
            <w:hideMark/>
          </w:tcPr>
          <w:p w14:paraId="28035F36"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2.5</w:t>
            </w:r>
          </w:p>
        </w:tc>
      </w:tr>
      <w:tr w:rsidR="00DA4ADD" w:rsidRPr="00DA4ADD" w14:paraId="6B3D580F"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543D55B6" w14:textId="77777777" w:rsidR="00DA4ADD" w:rsidRPr="00DA4ADD" w:rsidRDefault="00DA4ADD" w:rsidP="00DA4ADD">
            <w:pPr>
              <w:spacing w:after="0" w:line="240" w:lineRule="auto"/>
              <w:rPr>
                <w:rFonts w:ascii="Calibri" w:eastAsia="Times New Roman" w:hAnsi="Calibri" w:cs="Times New Roman"/>
                <w:b/>
                <w:bCs/>
                <w:color w:val="000000"/>
                <w:sz w:val="22"/>
                <w:szCs w:val="22"/>
              </w:rPr>
            </w:pPr>
            <w:r w:rsidRPr="00DA4ADD">
              <w:rPr>
                <w:rFonts w:ascii="Calibri" w:eastAsia="Times New Roman" w:hAnsi="Calibri" w:cs="Times New Roman"/>
                <w:b/>
                <w:bCs/>
                <w:color w:val="000000"/>
                <w:sz w:val="22"/>
                <w:szCs w:val="22"/>
              </w:rPr>
              <w:t>Industry Worked in for the Longest Time (Top 10)</w:t>
            </w:r>
          </w:p>
        </w:tc>
        <w:tc>
          <w:tcPr>
            <w:tcW w:w="960" w:type="dxa"/>
            <w:tcBorders>
              <w:top w:val="nil"/>
              <w:left w:val="nil"/>
              <w:bottom w:val="single" w:sz="8" w:space="0" w:color="auto"/>
              <w:right w:val="single" w:sz="8" w:space="0" w:color="auto"/>
            </w:tcBorders>
            <w:shd w:val="clear" w:color="auto" w:fill="auto"/>
            <w:hideMark/>
          </w:tcPr>
          <w:p w14:paraId="500E15A3"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 </w:t>
            </w:r>
          </w:p>
        </w:tc>
        <w:tc>
          <w:tcPr>
            <w:tcW w:w="960" w:type="dxa"/>
            <w:tcBorders>
              <w:top w:val="nil"/>
              <w:left w:val="nil"/>
              <w:bottom w:val="single" w:sz="8" w:space="0" w:color="auto"/>
              <w:right w:val="single" w:sz="8" w:space="0" w:color="auto"/>
            </w:tcBorders>
            <w:shd w:val="clear" w:color="auto" w:fill="auto"/>
            <w:hideMark/>
          </w:tcPr>
          <w:p w14:paraId="4760E4FB"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 </w:t>
            </w:r>
          </w:p>
        </w:tc>
      </w:tr>
      <w:tr w:rsidR="00DA4ADD" w:rsidRPr="00DA4ADD" w14:paraId="4BA05ACD"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2B68205A"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Professional, Scientific, and Technical Services</w:t>
            </w:r>
          </w:p>
        </w:tc>
        <w:tc>
          <w:tcPr>
            <w:tcW w:w="960" w:type="dxa"/>
            <w:tcBorders>
              <w:top w:val="nil"/>
              <w:left w:val="nil"/>
              <w:bottom w:val="single" w:sz="8" w:space="0" w:color="auto"/>
              <w:right w:val="single" w:sz="8" w:space="0" w:color="auto"/>
            </w:tcBorders>
            <w:shd w:val="clear" w:color="auto" w:fill="auto"/>
            <w:hideMark/>
          </w:tcPr>
          <w:p w14:paraId="54ADDB8F"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392</w:t>
            </w:r>
          </w:p>
        </w:tc>
        <w:tc>
          <w:tcPr>
            <w:tcW w:w="960" w:type="dxa"/>
            <w:tcBorders>
              <w:top w:val="nil"/>
              <w:left w:val="nil"/>
              <w:bottom w:val="single" w:sz="8" w:space="0" w:color="auto"/>
              <w:right w:val="single" w:sz="8" w:space="0" w:color="auto"/>
            </w:tcBorders>
            <w:shd w:val="clear" w:color="auto" w:fill="auto"/>
            <w:hideMark/>
          </w:tcPr>
          <w:p w14:paraId="2CCCE600"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11.2</w:t>
            </w:r>
          </w:p>
        </w:tc>
      </w:tr>
      <w:tr w:rsidR="00DA4ADD" w:rsidRPr="00DA4ADD" w14:paraId="751E3404"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61C84B47"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Educational Services</w:t>
            </w:r>
          </w:p>
        </w:tc>
        <w:tc>
          <w:tcPr>
            <w:tcW w:w="960" w:type="dxa"/>
            <w:tcBorders>
              <w:top w:val="nil"/>
              <w:left w:val="nil"/>
              <w:bottom w:val="single" w:sz="8" w:space="0" w:color="auto"/>
              <w:right w:val="single" w:sz="8" w:space="0" w:color="auto"/>
            </w:tcBorders>
            <w:shd w:val="clear" w:color="auto" w:fill="auto"/>
            <w:hideMark/>
          </w:tcPr>
          <w:p w14:paraId="5BFCD6B5"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372</w:t>
            </w:r>
          </w:p>
        </w:tc>
        <w:tc>
          <w:tcPr>
            <w:tcW w:w="960" w:type="dxa"/>
            <w:tcBorders>
              <w:top w:val="nil"/>
              <w:left w:val="nil"/>
              <w:bottom w:val="single" w:sz="8" w:space="0" w:color="auto"/>
              <w:right w:val="single" w:sz="8" w:space="0" w:color="auto"/>
            </w:tcBorders>
            <w:shd w:val="clear" w:color="auto" w:fill="auto"/>
            <w:hideMark/>
          </w:tcPr>
          <w:p w14:paraId="0DC5B785"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10.6</w:t>
            </w:r>
          </w:p>
        </w:tc>
      </w:tr>
      <w:tr w:rsidR="00DA4ADD" w:rsidRPr="00DA4ADD" w14:paraId="692449D1"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22BE8154"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Health Care and Social Assistance</w:t>
            </w:r>
          </w:p>
        </w:tc>
        <w:tc>
          <w:tcPr>
            <w:tcW w:w="960" w:type="dxa"/>
            <w:tcBorders>
              <w:top w:val="nil"/>
              <w:left w:val="nil"/>
              <w:bottom w:val="single" w:sz="8" w:space="0" w:color="auto"/>
              <w:right w:val="single" w:sz="8" w:space="0" w:color="auto"/>
            </w:tcBorders>
            <w:shd w:val="clear" w:color="auto" w:fill="auto"/>
            <w:hideMark/>
          </w:tcPr>
          <w:p w14:paraId="0174415F"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367</w:t>
            </w:r>
          </w:p>
        </w:tc>
        <w:tc>
          <w:tcPr>
            <w:tcW w:w="960" w:type="dxa"/>
            <w:tcBorders>
              <w:top w:val="nil"/>
              <w:left w:val="nil"/>
              <w:bottom w:val="single" w:sz="8" w:space="0" w:color="auto"/>
              <w:right w:val="single" w:sz="8" w:space="0" w:color="auto"/>
            </w:tcBorders>
            <w:shd w:val="clear" w:color="auto" w:fill="auto"/>
            <w:hideMark/>
          </w:tcPr>
          <w:p w14:paraId="63FC826C"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10.4</w:t>
            </w:r>
          </w:p>
        </w:tc>
      </w:tr>
      <w:tr w:rsidR="00DA4ADD" w:rsidRPr="00DA4ADD" w14:paraId="0EF35C72" w14:textId="77777777" w:rsidTr="00DA4ADD">
        <w:trPr>
          <w:trHeight w:val="615"/>
        </w:trPr>
        <w:tc>
          <w:tcPr>
            <w:tcW w:w="4900" w:type="dxa"/>
            <w:tcBorders>
              <w:top w:val="nil"/>
              <w:left w:val="single" w:sz="8" w:space="0" w:color="auto"/>
              <w:bottom w:val="single" w:sz="8" w:space="0" w:color="auto"/>
              <w:right w:val="single" w:sz="8" w:space="0" w:color="auto"/>
            </w:tcBorders>
            <w:shd w:val="clear" w:color="auto" w:fill="auto"/>
            <w:hideMark/>
          </w:tcPr>
          <w:p w14:paraId="3030C166"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Manufacturing (Metal, Electrical, Transport, Professional)</w:t>
            </w:r>
          </w:p>
        </w:tc>
        <w:tc>
          <w:tcPr>
            <w:tcW w:w="960" w:type="dxa"/>
            <w:tcBorders>
              <w:top w:val="nil"/>
              <w:left w:val="nil"/>
              <w:bottom w:val="single" w:sz="8" w:space="0" w:color="auto"/>
              <w:right w:val="single" w:sz="8" w:space="0" w:color="auto"/>
            </w:tcBorders>
            <w:shd w:val="clear" w:color="auto" w:fill="auto"/>
            <w:hideMark/>
          </w:tcPr>
          <w:p w14:paraId="5978442A"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271</w:t>
            </w:r>
          </w:p>
        </w:tc>
        <w:tc>
          <w:tcPr>
            <w:tcW w:w="960" w:type="dxa"/>
            <w:tcBorders>
              <w:top w:val="nil"/>
              <w:left w:val="nil"/>
              <w:bottom w:val="single" w:sz="8" w:space="0" w:color="auto"/>
              <w:right w:val="single" w:sz="8" w:space="0" w:color="auto"/>
            </w:tcBorders>
            <w:shd w:val="clear" w:color="auto" w:fill="auto"/>
            <w:hideMark/>
          </w:tcPr>
          <w:p w14:paraId="75DBDE7D"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7.7</w:t>
            </w:r>
          </w:p>
        </w:tc>
      </w:tr>
      <w:tr w:rsidR="00DA4ADD" w:rsidRPr="00DA4ADD" w14:paraId="38ABBEE5"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292E3EC8"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Other Services (except Public Administration)</w:t>
            </w:r>
          </w:p>
        </w:tc>
        <w:tc>
          <w:tcPr>
            <w:tcW w:w="960" w:type="dxa"/>
            <w:tcBorders>
              <w:top w:val="nil"/>
              <w:left w:val="nil"/>
              <w:bottom w:val="single" w:sz="8" w:space="0" w:color="auto"/>
              <w:right w:val="single" w:sz="8" w:space="0" w:color="auto"/>
            </w:tcBorders>
            <w:shd w:val="clear" w:color="auto" w:fill="auto"/>
            <w:hideMark/>
          </w:tcPr>
          <w:p w14:paraId="6E2B4F6D"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222</w:t>
            </w:r>
          </w:p>
        </w:tc>
        <w:tc>
          <w:tcPr>
            <w:tcW w:w="960" w:type="dxa"/>
            <w:tcBorders>
              <w:top w:val="nil"/>
              <w:left w:val="nil"/>
              <w:bottom w:val="single" w:sz="8" w:space="0" w:color="auto"/>
              <w:right w:val="single" w:sz="8" w:space="0" w:color="auto"/>
            </w:tcBorders>
            <w:shd w:val="clear" w:color="auto" w:fill="auto"/>
            <w:hideMark/>
          </w:tcPr>
          <w:p w14:paraId="0E930176"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6.3</w:t>
            </w:r>
          </w:p>
        </w:tc>
      </w:tr>
      <w:tr w:rsidR="00DA4ADD" w:rsidRPr="00DA4ADD" w14:paraId="2DC2E154"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2FC7256B"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Construction</w:t>
            </w:r>
          </w:p>
        </w:tc>
        <w:tc>
          <w:tcPr>
            <w:tcW w:w="960" w:type="dxa"/>
            <w:tcBorders>
              <w:top w:val="nil"/>
              <w:left w:val="nil"/>
              <w:bottom w:val="single" w:sz="8" w:space="0" w:color="auto"/>
              <w:right w:val="single" w:sz="8" w:space="0" w:color="auto"/>
            </w:tcBorders>
            <w:shd w:val="clear" w:color="auto" w:fill="auto"/>
            <w:hideMark/>
          </w:tcPr>
          <w:p w14:paraId="05F345A1"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216</w:t>
            </w:r>
          </w:p>
        </w:tc>
        <w:tc>
          <w:tcPr>
            <w:tcW w:w="960" w:type="dxa"/>
            <w:tcBorders>
              <w:top w:val="nil"/>
              <w:left w:val="nil"/>
              <w:bottom w:val="single" w:sz="8" w:space="0" w:color="auto"/>
              <w:right w:val="single" w:sz="8" w:space="0" w:color="auto"/>
            </w:tcBorders>
            <w:shd w:val="clear" w:color="auto" w:fill="auto"/>
            <w:hideMark/>
          </w:tcPr>
          <w:p w14:paraId="60C2D71A"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6.1</w:t>
            </w:r>
          </w:p>
        </w:tc>
      </w:tr>
      <w:tr w:rsidR="00DA4ADD" w:rsidRPr="00DA4ADD" w14:paraId="16EAF7FC" w14:textId="77777777" w:rsidTr="00DA4ADD">
        <w:trPr>
          <w:trHeight w:val="615"/>
        </w:trPr>
        <w:tc>
          <w:tcPr>
            <w:tcW w:w="4900" w:type="dxa"/>
            <w:tcBorders>
              <w:top w:val="nil"/>
              <w:left w:val="single" w:sz="8" w:space="0" w:color="auto"/>
              <w:bottom w:val="single" w:sz="8" w:space="0" w:color="auto"/>
              <w:right w:val="single" w:sz="8" w:space="0" w:color="auto"/>
            </w:tcBorders>
            <w:shd w:val="clear" w:color="auto" w:fill="auto"/>
            <w:hideMark/>
          </w:tcPr>
          <w:p w14:paraId="284B2809"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lastRenderedPageBreak/>
              <w:t>Retail Trade I (Cars, Gas, Furniture, Electronics, Food-Beverage, Clothing)</w:t>
            </w:r>
          </w:p>
        </w:tc>
        <w:tc>
          <w:tcPr>
            <w:tcW w:w="960" w:type="dxa"/>
            <w:tcBorders>
              <w:top w:val="nil"/>
              <w:left w:val="nil"/>
              <w:bottom w:val="single" w:sz="8" w:space="0" w:color="auto"/>
              <w:right w:val="single" w:sz="8" w:space="0" w:color="auto"/>
            </w:tcBorders>
            <w:shd w:val="clear" w:color="auto" w:fill="auto"/>
            <w:hideMark/>
          </w:tcPr>
          <w:p w14:paraId="664BB6E9"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214</w:t>
            </w:r>
          </w:p>
        </w:tc>
        <w:tc>
          <w:tcPr>
            <w:tcW w:w="960" w:type="dxa"/>
            <w:tcBorders>
              <w:top w:val="nil"/>
              <w:left w:val="nil"/>
              <w:bottom w:val="single" w:sz="8" w:space="0" w:color="auto"/>
              <w:right w:val="single" w:sz="8" w:space="0" w:color="auto"/>
            </w:tcBorders>
            <w:shd w:val="clear" w:color="auto" w:fill="auto"/>
            <w:hideMark/>
          </w:tcPr>
          <w:p w14:paraId="01B4FA17"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6.1</w:t>
            </w:r>
          </w:p>
        </w:tc>
      </w:tr>
      <w:tr w:rsidR="00DA4ADD" w:rsidRPr="00DA4ADD" w14:paraId="08B201C5"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4F3837CB"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Finance and Insurance</w:t>
            </w:r>
          </w:p>
        </w:tc>
        <w:tc>
          <w:tcPr>
            <w:tcW w:w="960" w:type="dxa"/>
            <w:tcBorders>
              <w:top w:val="nil"/>
              <w:left w:val="nil"/>
              <w:bottom w:val="single" w:sz="8" w:space="0" w:color="auto"/>
              <w:right w:val="single" w:sz="8" w:space="0" w:color="auto"/>
            </w:tcBorders>
            <w:shd w:val="clear" w:color="auto" w:fill="auto"/>
            <w:hideMark/>
          </w:tcPr>
          <w:p w14:paraId="3AC14EE6"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185</w:t>
            </w:r>
          </w:p>
        </w:tc>
        <w:tc>
          <w:tcPr>
            <w:tcW w:w="960" w:type="dxa"/>
            <w:tcBorders>
              <w:top w:val="nil"/>
              <w:left w:val="nil"/>
              <w:bottom w:val="single" w:sz="8" w:space="0" w:color="auto"/>
              <w:right w:val="single" w:sz="8" w:space="0" w:color="auto"/>
            </w:tcBorders>
            <w:shd w:val="clear" w:color="auto" w:fill="auto"/>
            <w:hideMark/>
          </w:tcPr>
          <w:p w14:paraId="24FC9377"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5.3</w:t>
            </w:r>
          </w:p>
        </w:tc>
      </w:tr>
      <w:tr w:rsidR="00DA4ADD" w:rsidRPr="00DA4ADD" w14:paraId="57959465" w14:textId="77777777" w:rsidTr="00DA4ADD">
        <w:trPr>
          <w:trHeight w:val="615"/>
        </w:trPr>
        <w:tc>
          <w:tcPr>
            <w:tcW w:w="4900" w:type="dxa"/>
            <w:tcBorders>
              <w:top w:val="nil"/>
              <w:left w:val="single" w:sz="8" w:space="0" w:color="auto"/>
              <w:bottom w:val="single" w:sz="8" w:space="0" w:color="auto"/>
              <w:right w:val="single" w:sz="8" w:space="0" w:color="auto"/>
            </w:tcBorders>
            <w:shd w:val="clear" w:color="auto" w:fill="auto"/>
            <w:hideMark/>
          </w:tcPr>
          <w:p w14:paraId="2FFA8542"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Manufacturing - (Paper, Printing, Chemicals, Petroleum, Leather, Lumber, Stone)</w:t>
            </w:r>
          </w:p>
        </w:tc>
        <w:tc>
          <w:tcPr>
            <w:tcW w:w="960" w:type="dxa"/>
            <w:tcBorders>
              <w:top w:val="nil"/>
              <w:left w:val="nil"/>
              <w:bottom w:val="single" w:sz="8" w:space="0" w:color="auto"/>
              <w:right w:val="single" w:sz="8" w:space="0" w:color="auto"/>
            </w:tcBorders>
            <w:shd w:val="clear" w:color="auto" w:fill="auto"/>
            <w:hideMark/>
          </w:tcPr>
          <w:p w14:paraId="38D712A3"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145</w:t>
            </w:r>
          </w:p>
        </w:tc>
        <w:tc>
          <w:tcPr>
            <w:tcW w:w="960" w:type="dxa"/>
            <w:tcBorders>
              <w:top w:val="nil"/>
              <w:left w:val="nil"/>
              <w:bottom w:val="single" w:sz="8" w:space="0" w:color="auto"/>
              <w:right w:val="single" w:sz="8" w:space="0" w:color="auto"/>
            </w:tcBorders>
            <w:shd w:val="clear" w:color="auto" w:fill="auto"/>
            <w:hideMark/>
          </w:tcPr>
          <w:p w14:paraId="2DF2D301"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4.1</w:t>
            </w:r>
          </w:p>
        </w:tc>
      </w:tr>
      <w:tr w:rsidR="00DA4ADD" w:rsidRPr="00DA4ADD" w14:paraId="38949289" w14:textId="77777777" w:rsidTr="00DA4ADD">
        <w:trPr>
          <w:trHeight w:val="615"/>
        </w:trPr>
        <w:tc>
          <w:tcPr>
            <w:tcW w:w="4900" w:type="dxa"/>
            <w:tcBorders>
              <w:top w:val="nil"/>
              <w:left w:val="single" w:sz="8" w:space="0" w:color="auto"/>
              <w:bottom w:val="single" w:sz="8" w:space="0" w:color="auto"/>
              <w:right w:val="single" w:sz="8" w:space="0" w:color="auto"/>
            </w:tcBorders>
            <w:shd w:val="clear" w:color="auto" w:fill="auto"/>
            <w:hideMark/>
          </w:tcPr>
          <w:p w14:paraId="206AC807"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Transportation and Warehousing I (Air, Rail, Water, Ground, Pipeline)</w:t>
            </w:r>
          </w:p>
        </w:tc>
        <w:tc>
          <w:tcPr>
            <w:tcW w:w="960" w:type="dxa"/>
            <w:tcBorders>
              <w:top w:val="nil"/>
              <w:left w:val="nil"/>
              <w:bottom w:val="single" w:sz="8" w:space="0" w:color="auto"/>
              <w:right w:val="single" w:sz="8" w:space="0" w:color="auto"/>
            </w:tcBorders>
            <w:shd w:val="clear" w:color="auto" w:fill="auto"/>
            <w:hideMark/>
          </w:tcPr>
          <w:p w14:paraId="3B886625"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121</w:t>
            </w:r>
          </w:p>
        </w:tc>
        <w:tc>
          <w:tcPr>
            <w:tcW w:w="960" w:type="dxa"/>
            <w:tcBorders>
              <w:top w:val="nil"/>
              <w:left w:val="nil"/>
              <w:bottom w:val="single" w:sz="8" w:space="0" w:color="auto"/>
              <w:right w:val="single" w:sz="8" w:space="0" w:color="auto"/>
            </w:tcBorders>
            <w:shd w:val="clear" w:color="auto" w:fill="auto"/>
            <w:hideMark/>
          </w:tcPr>
          <w:p w14:paraId="7AC37CB8"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3.4</w:t>
            </w:r>
          </w:p>
        </w:tc>
      </w:tr>
      <w:tr w:rsidR="00DA4ADD" w:rsidRPr="00DA4ADD" w14:paraId="523B7CF2"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36C656A1" w14:textId="77777777" w:rsidR="00DA4ADD" w:rsidRPr="00DA4ADD" w:rsidRDefault="00DA4ADD" w:rsidP="00DA4ADD">
            <w:pPr>
              <w:spacing w:after="0" w:line="240" w:lineRule="auto"/>
              <w:rPr>
                <w:rFonts w:ascii="Calibri" w:eastAsia="Times New Roman" w:hAnsi="Calibri" w:cs="Times New Roman"/>
                <w:b/>
                <w:bCs/>
                <w:color w:val="000000"/>
                <w:sz w:val="22"/>
                <w:szCs w:val="22"/>
              </w:rPr>
            </w:pPr>
            <w:r w:rsidRPr="00DA4ADD">
              <w:rPr>
                <w:rFonts w:ascii="Calibri" w:eastAsia="Times New Roman" w:hAnsi="Calibri" w:cs="Times New Roman"/>
                <w:b/>
                <w:bCs/>
                <w:color w:val="000000"/>
                <w:sz w:val="22"/>
                <w:szCs w:val="22"/>
              </w:rPr>
              <w:t>Years of Employment at Longest Held Occupation</w:t>
            </w:r>
          </w:p>
        </w:tc>
        <w:tc>
          <w:tcPr>
            <w:tcW w:w="960" w:type="dxa"/>
            <w:tcBorders>
              <w:top w:val="nil"/>
              <w:left w:val="nil"/>
              <w:bottom w:val="single" w:sz="8" w:space="0" w:color="auto"/>
              <w:right w:val="single" w:sz="8" w:space="0" w:color="auto"/>
            </w:tcBorders>
            <w:shd w:val="clear" w:color="auto" w:fill="auto"/>
            <w:hideMark/>
          </w:tcPr>
          <w:p w14:paraId="71F6358D"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 </w:t>
            </w:r>
          </w:p>
        </w:tc>
        <w:tc>
          <w:tcPr>
            <w:tcW w:w="960" w:type="dxa"/>
            <w:tcBorders>
              <w:top w:val="nil"/>
              <w:left w:val="nil"/>
              <w:bottom w:val="single" w:sz="8" w:space="0" w:color="auto"/>
              <w:right w:val="single" w:sz="8" w:space="0" w:color="auto"/>
            </w:tcBorders>
            <w:shd w:val="clear" w:color="auto" w:fill="auto"/>
            <w:hideMark/>
          </w:tcPr>
          <w:p w14:paraId="0D7164FA"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 </w:t>
            </w:r>
          </w:p>
        </w:tc>
      </w:tr>
      <w:tr w:rsidR="00DA4ADD" w:rsidRPr="00DA4ADD" w14:paraId="4AE7DA1A"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4F353D9C"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&lt;= 10 years</w:t>
            </w:r>
          </w:p>
        </w:tc>
        <w:tc>
          <w:tcPr>
            <w:tcW w:w="960" w:type="dxa"/>
            <w:tcBorders>
              <w:top w:val="nil"/>
              <w:left w:val="nil"/>
              <w:bottom w:val="single" w:sz="8" w:space="0" w:color="auto"/>
              <w:right w:val="single" w:sz="8" w:space="0" w:color="auto"/>
            </w:tcBorders>
            <w:shd w:val="clear" w:color="auto" w:fill="auto"/>
            <w:hideMark/>
          </w:tcPr>
          <w:p w14:paraId="48896083"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514</w:t>
            </w:r>
          </w:p>
        </w:tc>
        <w:tc>
          <w:tcPr>
            <w:tcW w:w="960" w:type="dxa"/>
            <w:tcBorders>
              <w:top w:val="nil"/>
              <w:left w:val="nil"/>
              <w:bottom w:val="single" w:sz="8" w:space="0" w:color="auto"/>
              <w:right w:val="single" w:sz="8" w:space="0" w:color="auto"/>
            </w:tcBorders>
            <w:shd w:val="clear" w:color="auto" w:fill="auto"/>
            <w:hideMark/>
          </w:tcPr>
          <w:p w14:paraId="59486F6F"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14.6</w:t>
            </w:r>
          </w:p>
        </w:tc>
      </w:tr>
      <w:tr w:rsidR="00DA4ADD" w:rsidRPr="00DA4ADD" w14:paraId="3DE929DC"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3BA6FD0C"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10 &lt; time &lt;= 20 years</w:t>
            </w:r>
          </w:p>
        </w:tc>
        <w:tc>
          <w:tcPr>
            <w:tcW w:w="960" w:type="dxa"/>
            <w:tcBorders>
              <w:top w:val="nil"/>
              <w:left w:val="nil"/>
              <w:bottom w:val="single" w:sz="8" w:space="0" w:color="auto"/>
              <w:right w:val="single" w:sz="8" w:space="0" w:color="auto"/>
            </w:tcBorders>
            <w:shd w:val="clear" w:color="auto" w:fill="auto"/>
            <w:hideMark/>
          </w:tcPr>
          <w:p w14:paraId="10469AE4"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994</w:t>
            </w:r>
          </w:p>
        </w:tc>
        <w:tc>
          <w:tcPr>
            <w:tcW w:w="960" w:type="dxa"/>
            <w:tcBorders>
              <w:top w:val="nil"/>
              <w:left w:val="nil"/>
              <w:bottom w:val="single" w:sz="8" w:space="0" w:color="auto"/>
              <w:right w:val="single" w:sz="8" w:space="0" w:color="auto"/>
            </w:tcBorders>
            <w:shd w:val="clear" w:color="auto" w:fill="auto"/>
            <w:hideMark/>
          </w:tcPr>
          <w:p w14:paraId="7FB0D505"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28.3</w:t>
            </w:r>
          </w:p>
        </w:tc>
      </w:tr>
      <w:tr w:rsidR="00DA4ADD" w:rsidRPr="00DA4ADD" w14:paraId="2480DC87"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34F7BF4E"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20 &lt; time &lt;=30 years</w:t>
            </w:r>
          </w:p>
        </w:tc>
        <w:tc>
          <w:tcPr>
            <w:tcW w:w="960" w:type="dxa"/>
            <w:tcBorders>
              <w:top w:val="nil"/>
              <w:left w:val="nil"/>
              <w:bottom w:val="single" w:sz="8" w:space="0" w:color="auto"/>
              <w:right w:val="single" w:sz="8" w:space="0" w:color="auto"/>
            </w:tcBorders>
            <w:shd w:val="clear" w:color="auto" w:fill="auto"/>
            <w:hideMark/>
          </w:tcPr>
          <w:p w14:paraId="1F72D9C5"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1033</w:t>
            </w:r>
          </w:p>
        </w:tc>
        <w:tc>
          <w:tcPr>
            <w:tcW w:w="960" w:type="dxa"/>
            <w:tcBorders>
              <w:top w:val="nil"/>
              <w:left w:val="nil"/>
              <w:bottom w:val="single" w:sz="8" w:space="0" w:color="auto"/>
              <w:right w:val="single" w:sz="8" w:space="0" w:color="auto"/>
            </w:tcBorders>
            <w:shd w:val="clear" w:color="auto" w:fill="auto"/>
            <w:hideMark/>
          </w:tcPr>
          <w:p w14:paraId="14192A85"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29.4</w:t>
            </w:r>
          </w:p>
        </w:tc>
      </w:tr>
      <w:tr w:rsidR="00DA4ADD" w:rsidRPr="00DA4ADD" w14:paraId="2D2359A3" w14:textId="77777777" w:rsidTr="00DA4ADD">
        <w:trPr>
          <w:trHeight w:val="315"/>
        </w:trPr>
        <w:tc>
          <w:tcPr>
            <w:tcW w:w="4900" w:type="dxa"/>
            <w:tcBorders>
              <w:top w:val="nil"/>
              <w:left w:val="single" w:sz="8" w:space="0" w:color="auto"/>
              <w:bottom w:val="single" w:sz="8" w:space="0" w:color="auto"/>
              <w:right w:val="single" w:sz="8" w:space="0" w:color="auto"/>
            </w:tcBorders>
            <w:shd w:val="clear" w:color="auto" w:fill="auto"/>
            <w:hideMark/>
          </w:tcPr>
          <w:p w14:paraId="7E98E0F6"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&gt; 30 years</w:t>
            </w:r>
          </w:p>
        </w:tc>
        <w:tc>
          <w:tcPr>
            <w:tcW w:w="960" w:type="dxa"/>
            <w:tcBorders>
              <w:top w:val="nil"/>
              <w:left w:val="nil"/>
              <w:bottom w:val="single" w:sz="8" w:space="0" w:color="auto"/>
              <w:right w:val="single" w:sz="8" w:space="0" w:color="auto"/>
            </w:tcBorders>
            <w:shd w:val="clear" w:color="auto" w:fill="auto"/>
            <w:hideMark/>
          </w:tcPr>
          <w:p w14:paraId="49FB26DE"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896</w:t>
            </w:r>
          </w:p>
        </w:tc>
        <w:tc>
          <w:tcPr>
            <w:tcW w:w="960" w:type="dxa"/>
            <w:tcBorders>
              <w:top w:val="nil"/>
              <w:left w:val="nil"/>
              <w:bottom w:val="single" w:sz="8" w:space="0" w:color="auto"/>
              <w:right w:val="single" w:sz="8" w:space="0" w:color="auto"/>
            </w:tcBorders>
            <w:shd w:val="clear" w:color="auto" w:fill="auto"/>
            <w:hideMark/>
          </w:tcPr>
          <w:p w14:paraId="430EE2E6" w14:textId="77777777" w:rsidR="00DA4ADD" w:rsidRPr="00DA4ADD" w:rsidRDefault="00DA4ADD" w:rsidP="00DA4ADD">
            <w:pPr>
              <w:spacing w:after="0" w:line="240" w:lineRule="auto"/>
              <w:jc w:val="right"/>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25.5</w:t>
            </w:r>
          </w:p>
        </w:tc>
      </w:tr>
    </w:tbl>
    <w:p w14:paraId="695A7E2E" w14:textId="77777777" w:rsidR="001F22D4" w:rsidRDefault="001F22D4" w:rsidP="00225DA9">
      <w:pPr>
        <w:autoSpaceDE w:val="0"/>
        <w:autoSpaceDN w:val="0"/>
        <w:adjustRightInd w:val="0"/>
        <w:spacing w:line="276" w:lineRule="auto"/>
        <w:rPr>
          <w:rFonts w:cs="ITCFranklinGothicStd-Book"/>
          <w:sz w:val="24"/>
          <w:szCs w:val="24"/>
        </w:rPr>
      </w:pPr>
    </w:p>
    <w:p w14:paraId="342704EF" w14:textId="6A6205A1" w:rsidR="00001F13" w:rsidRPr="00C67283" w:rsidRDefault="00E7142F" w:rsidP="00FA68CD">
      <w:pPr>
        <w:autoSpaceDE w:val="0"/>
        <w:autoSpaceDN w:val="0"/>
        <w:adjustRightInd w:val="0"/>
        <w:spacing w:line="276" w:lineRule="auto"/>
        <w:rPr>
          <w:rFonts w:eastAsiaTheme="minorHAnsi" w:cs="Adobe Garamond Pro"/>
          <w:color w:val="000000"/>
          <w:sz w:val="24"/>
          <w:szCs w:val="24"/>
        </w:rPr>
      </w:pPr>
      <w:r>
        <w:rPr>
          <w:rFonts w:cs="ITCFranklinGothicStd-Book"/>
          <w:sz w:val="24"/>
          <w:szCs w:val="24"/>
        </w:rPr>
        <w:t xml:space="preserve"> </w:t>
      </w:r>
      <w:r w:rsidR="00A126DE" w:rsidRPr="00A126DE">
        <w:rPr>
          <w:rFonts w:cs="ITCFranklinGothicStd-Book"/>
          <w:sz w:val="24"/>
          <w:szCs w:val="24"/>
        </w:rPr>
        <w:t xml:space="preserve">As the </w:t>
      </w:r>
      <w:r w:rsidR="00913E9F">
        <w:rPr>
          <w:rFonts w:cs="ITCFranklinGothicStd-Book"/>
          <w:sz w:val="24"/>
          <w:szCs w:val="24"/>
        </w:rPr>
        <w:t>R</w:t>
      </w:r>
      <w:r w:rsidR="00A126DE" w:rsidRPr="00A126DE">
        <w:rPr>
          <w:rFonts w:cs="ITCFranklinGothicStd-Book"/>
          <w:sz w:val="24"/>
          <w:szCs w:val="24"/>
        </w:rPr>
        <w:t>egistry matures and more individuals self-register, the information could be used for research (i.e., hypothesis generation).  ATSDR allows approved researchers to provide registrants with information about ongoing studies for which they might be eligible.  ATSDR plans to compare those individuals who self-register with those identified in the administrative data.  ATSDR will then begin to analyze the data provided in the surveys.</w:t>
      </w:r>
      <w:r w:rsidR="00001F13">
        <w:rPr>
          <w:rFonts w:cs="ITCFranklinGothicStd-Book"/>
          <w:sz w:val="24"/>
          <w:szCs w:val="24"/>
        </w:rPr>
        <w:t xml:space="preserve">  </w:t>
      </w:r>
      <w:r w:rsidR="00001F13" w:rsidRPr="00C67283">
        <w:rPr>
          <w:rFonts w:eastAsiaTheme="minorHAnsi" w:cs="Adobe Garamond Pro"/>
          <w:color w:val="000000"/>
          <w:sz w:val="24"/>
          <w:szCs w:val="24"/>
        </w:rPr>
        <w:t>The National ALS Registry uses a two-pronged approach to identify prevalent cases of ALS in the United States.  The first approach used to identify prevalent cases relies on existing administrative data (from the Centers for Medicare and Medicaid Services, the Veterans Hea</w:t>
      </w:r>
      <w:r w:rsidR="00120831">
        <w:rPr>
          <w:rFonts w:eastAsiaTheme="minorHAnsi" w:cs="Adobe Garamond Pro"/>
          <w:color w:val="000000"/>
          <w:sz w:val="24"/>
          <w:szCs w:val="24"/>
        </w:rPr>
        <w:t>l</w:t>
      </w:r>
      <w:r w:rsidR="00001F13" w:rsidRPr="00C67283">
        <w:rPr>
          <w:rFonts w:eastAsiaTheme="minorHAnsi" w:cs="Adobe Garamond Pro"/>
          <w:color w:val="000000"/>
          <w:sz w:val="24"/>
          <w:szCs w:val="24"/>
        </w:rPr>
        <w:t>th Administration [VHA], and the Veterans Benefits Administration [VBA]). A pilot tested algorithm is applied to the administrative data that identifies persons with ALS on the basis of encounter codes such as having ALS listed as a code in the visit record or having such a code and having seen a neurologist, a death certificate listing ALS as a cause or contributing cause of death, and prescription for Riluzole.</w:t>
      </w:r>
      <w:r w:rsidR="00CF1DCB">
        <w:rPr>
          <w:rFonts w:eastAsiaTheme="minorHAnsi" w:cs="Adobe Garamond Pro"/>
          <w:color w:val="000000"/>
          <w:sz w:val="24"/>
          <w:szCs w:val="24"/>
          <w:vertAlign w:val="superscript"/>
        </w:rPr>
        <w:t>1</w:t>
      </w:r>
      <w:r w:rsidR="00001F13" w:rsidRPr="00C67283">
        <w:rPr>
          <w:rFonts w:eastAsiaTheme="minorHAnsi" w:cs="Adobe Garamond Pro"/>
          <w:color w:val="000000"/>
          <w:sz w:val="24"/>
          <w:szCs w:val="24"/>
        </w:rPr>
        <w:t xml:space="preserve"> The second approach, which was launched to the public on October 19, 2010, uses a secure web portal (https://www.cdc. gov/als) to identify cases that are not included in the national administrative databases. This approach allows patients to self-identify and enroll in the National ALS Registry if screening criteria are met. An additional advantage of this approach is those who self-enroll in the Registry can take brief surveys that are used to evaluate possible risk factors for ALS.</w:t>
      </w:r>
      <w:r w:rsidR="00CF1DCB">
        <w:rPr>
          <w:rFonts w:eastAsiaTheme="minorHAnsi" w:cs="Adobe Garamond Pro"/>
          <w:color w:val="000000"/>
          <w:sz w:val="24"/>
          <w:szCs w:val="24"/>
          <w:vertAlign w:val="superscript"/>
        </w:rPr>
        <w:t>2</w:t>
      </w:r>
      <w:r w:rsidR="00001F13" w:rsidRPr="00074F39">
        <w:rPr>
          <w:rFonts w:eastAsiaTheme="minorHAnsi" w:cs="Adobe Garamond Pro"/>
          <w:color w:val="000000"/>
          <w:sz w:val="24"/>
          <w:szCs w:val="24"/>
          <w:vertAlign w:val="superscript"/>
        </w:rPr>
        <w:t xml:space="preserve"> </w:t>
      </w:r>
      <w:r w:rsidR="00001F13" w:rsidRPr="00C67283">
        <w:rPr>
          <w:rFonts w:eastAsiaTheme="minorHAnsi" w:cs="Adobe Garamond Pro"/>
          <w:color w:val="000000"/>
          <w:sz w:val="24"/>
          <w:szCs w:val="24"/>
        </w:rPr>
        <w:t xml:space="preserve">Information is merged into a single record for each person. Merging records for persons identified as having ALS from the administrative databases with those persons who enrolled in the National ALS Registry web portal creates a unique record after data are de-duplicated by using a combination of the last five digits of the person’s Social Security number, sex, month and year of birth, and first and last name. This process </w:t>
      </w:r>
      <w:r w:rsidR="00001F13" w:rsidRPr="00C67283">
        <w:rPr>
          <w:rFonts w:eastAsiaTheme="minorHAnsi" w:cs="Adobe Garamond Pro"/>
          <w:color w:val="000000"/>
          <w:sz w:val="24"/>
          <w:szCs w:val="24"/>
        </w:rPr>
        <w:lastRenderedPageBreak/>
        <w:t xml:space="preserve">ensures that persons who are identified in both the administrative databases and the web portal, and those who have records in multiple years, are not counted twice. </w:t>
      </w:r>
    </w:p>
    <w:p w14:paraId="57F51346" w14:textId="77777777" w:rsidR="00001F13" w:rsidRPr="00C67283" w:rsidRDefault="00001F13" w:rsidP="00FA68CD">
      <w:pPr>
        <w:autoSpaceDE w:val="0"/>
        <w:autoSpaceDN w:val="0"/>
        <w:adjustRightInd w:val="0"/>
        <w:spacing w:line="276" w:lineRule="auto"/>
        <w:rPr>
          <w:rFonts w:eastAsiaTheme="minorHAnsi" w:cs="Adobe Garamond Pro"/>
          <w:color w:val="000000"/>
          <w:sz w:val="24"/>
          <w:szCs w:val="24"/>
        </w:rPr>
      </w:pPr>
    </w:p>
    <w:p w14:paraId="6FF14516" w14:textId="0916B2D0" w:rsidR="00001F13" w:rsidRPr="00C67283" w:rsidRDefault="00001F13" w:rsidP="00FA68CD">
      <w:pPr>
        <w:autoSpaceDE w:val="0"/>
        <w:autoSpaceDN w:val="0"/>
        <w:adjustRightInd w:val="0"/>
        <w:spacing w:line="276" w:lineRule="auto"/>
        <w:rPr>
          <w:rFonts w:eastAsiaTheme="minorHAnsi" w:cs="Adobe Garamond Pro"/>
          <w:color w:val="000000"/>
          <w:sz w:val="24"/>
          <w:szCs w:val="24"/>
        </w:rPr>
      </w:pPr>
      <w:r w:rsidRPr="00C67283">
        <w:rPr>
          <w:rFonts w:eastAsiaTheme="minorHAnsi" w:cs="Adobe Garamond Pro"/>
          <w:color w:val="000000"/>
          <w:sz w:val="24"/>
          <w:szCs w:val="24"/>
        </w:rPr>
        <w:t>In the second report published in the MMWR, August 2016, we report that during 2012 and 2013, the Registry identified 14,713 and 15,908 persons, respectively, who met the surveillance case definition of ALS. The estimated ALS prevalence rate was 4.7 cases per 100,000 U.S. population for 2012 and 5.0 per 100,000 for 2013. Due to revisions to the algorithm and use of death data from the National Death Index, an updated prevalence estimate has been calculated retrospectively for October 19, 2010–December 31, 2011. This updated estimate showed a prevalence rate of 4.3 per 100,000 population and a total of 13,282 cases. Since the inception of the Registry, the pattern of characteristics (e.g., age, sex, and race/ethnicity) among persons with ALS have remained unchanged. Overall, ALS was more common among whites, males, and persons aged 60–69 years. The age groups with the lowest number of ALS cases were persons aged 18–39 years and those aged ≥80 years. Males had a higher prevalence rate of ALS than females overall and across all data sources. These findings remained consistent during October 2010–December 2013.</w:t>
      </w:r>
      <w:r w:rsidR="002E4D3A">
        <w:rPr>
          <w:rFonts w:eastAsiaTheme="minorHAnsi" w:cs="Adobe Garamond Pro"/>
          <w:color w:val="000000"/>
          <w:sz w:val="24"/>
          <w:szCs w:val="24"/>
          <w:vertAlign w:val="superscript"/>
        </w:rPr>
        <w:t>3</w:t>
      </w:r>
    </w:p>
    <w:p w14:paraId="15F442F9" w14:textId="77777777" w:rsidR="00001F13" w:rsidRPr="00C67283" w:rsidRDefault="00001F13" w:rsidP="00FA68CD">
      <w:pPr>
        <w:autoSpaceDE w:val="0"/>
        <w:autoSpaceDN w:val="0"/>
        <w:adjustRightInd w:val="0"/>
        <w:spacing w:line="276" w:lineRule="auto"/>
        <w:rPr>
          <w:rFonts w:eastAsiaTheme="minorHAnsi" w:cs="Adobe Garamond Pro"/>
          <w:color w:val="000000"/>
          <w:sz w:val="24"/>
          <w:szCs w:val="24"/>
        </w:rPr>
      </w:pPr>
    </w:p>
    <w:p w14:paraId="56BA062C" w14:textId="77777777" w:rsidR="00001F13" w:rsidRPr="00C67283" w:rsidRDefault="00001F13" w:rsidP="00FA68CD">
      <w:pPr>
        <w:autoSpaceDE w:val="0"/>
        <w:autoSpaceDN w:val="0"/>
        <w:adjustRightInd w:val="0"/>
        <w:spacing w:line="276" w:lineRule="auto"/>
        <w:rPr>
          <w:rFonts w:eastAsiaTheme="minorHAnsi" w:cs="Adobe Garamond Pro"/>
          <w:color w:val="000000"/>
          <w:sz w:val="24"/>
          <w:szCs w:val="24"/>
        </w:rPr>
      </w:pPr>
      <w:r w:rsidRPr="00C67283">
        <w:rPr>
          <w:rFonts w:eastAsiaTheme="minorHAnsi" w:cs="Adobe Garamond Pro"/>
          <w:color w:val="000000"/>
          <w:sz w:val="24"/>
          <w:szCs w:val="24"/>
        </w:rPr>
        <w:t>Per the terms of clearance, the following limitations were included in the MMWR:</w:t>
      </w:r>
    </w:p>
    <w:p w14:paraId="398BBD45" w14:textId="2EE11B7B" w:rsidR="00001F13" w:rsidRPr="00C67283" w:rsidRDefault="00001F13" w:rsidP="00FA68CD">
      <w:pPr>
        <w:autoSpaceDE w:val="0"/>
        <w:autoSpaceDN w:val="0"/>
        <w:adjustRightInd w:val="0"/>
        <w:spacing w:line="276" w:lineRule="auto"/>
        <w:ind w:left="720"/>
        <w:rPr>
          <w:rFonts w:eastAsiaTheme="minorHAnsi" w:cs="Adobe Garamond Pro"/>
          <w:color w:val="000000"/>
          <w:sz w:val="24"/>
          <w:szCs w:val="24"/>
        </w:rPr>
      </w:pPr>
      <w:r w:rsidRPr="00C67283">
        <w:rPr>
          <w:rFonts w:eastAsiaTheme="minorHAnsi" w:cs="Adobe Garamond Pro"/>
          <w:color w:val="000000"/>
          <w:sz w:val="24"/>
          <w:szCs w:val="24"/>
        </w:rPr>
        <w:t>‘”The findings in this report are subject to at least four limitations. First, because ALS is not a notifiable disease, ensuring that all newly diagnosed and prevalent ALS cases in the United States are captured in the Registry is challenging and therefore the possibility of under-ascertainment exists. However, the large administrative database methodology that ATSDR is using was vetted through a pilot effort and is expected to identify most of the ALS cases in the United States, given its high sensitivity and specificity.</w:t>
      </w:r>
      <w:r w:rsidRPr="00074F39">
        <w:rPr>
          <w:rFonts w:eastAsiaTheme="minorHAnsi" w:cs="Adobe Garamond Pro"/>
          <w:color w:val="000000"/>
          <w:sz w:val="24"/>
          <w:szCs w:val="24"/>
          <w:vertAlign w:val="superscript"/>
        </w:rPr>
        <w:t>2</w:t>
      </w:r>
      <w:r w:rsidRPr="00C67283">
        <w:rPr>
          <w:rFonts w:eastAsiaTheme="minorHAnsi" w:cs="Adobe Garamond Pro"/>
          <w:color w:val="000000"/>
          <w:sz w:val="24"/>
          <w:szCs w:val="24"/>
        </w:rPr>
        <w:t xml:space="preserve"> In addition, ATSDR is partnering with national stakeholders to promote the Registry to persons with the disease so they can self-enroll through the Registry’s web portal. Second, although every attempt was made to de-duplicate the files, differences in fields collected by the different sources, misspellings of names, and data entry errors could have prevented records from merging correctly. However, it is unlikely that this occurred in numbers sufficient to affect the overall conclusions. Third, the calculation of ALS incidence with Registry data is not possible at this time because the date of diagnosis is not captured through the large administrative database approach, and cases without a date of diagnosis comprise 68% of cases in the Registry. However, through a separate Registry project, incidence has been calculated and the findings published for </w:t>
      </w:r>
      <w:r w:rsidRPr="00C67283">
        <w:rPr>
          <w:rFonts w:eastAsiaTheme="minorHAnsi" w:cs="Adobe Garamond Pro"/>
          <w:color w:val="000000"/>
          <w:sz w:val="24"/>
          <w:szCs w:val="24"/>
        </w:rPr>
        <w:lastRenderedPageBreak/>
        <w:t>ALS incidence in smaller defined geographic areas of the United States.</w:t>
      </w:r>
      <w:r w:rsidR="002E4D3A">
        <w:rPr>
          <w:rFonts w:eastAsiaTheme="minorHAnsi" w:cs="Adobe Garamond Pro"/>
          <w:color w:val="000000"/>
          <w:sz w:val="24"/>
          <w:szCs w:val="24"/>
          <w:vertAlign w:val="superscript"/>
        </w:rPr>
        <w:t>4-9</w:t>
      </w:r>
      <w:r w:rsidRPr="00C67283">
        <w:rPr>
          <w:rFonts w:eastAsiaTheme="minorHAnsi" w:cs="Adobe Garamond Pro"/>
          <w:color w:val="000000"/>
          <w:sz w:val="24"/>
          <w:szCs w:val="24"/>
        </w:rPr>
        <w:t xml:space="preserve"> Finally, the Registry has been officially active since October 2009 and is still being enhanced. As more persons with ALS enroll and complete surveys, a better understanding of possible risk factors might emerge.”</w:t>
      </w:r>
    </w:p>
    <w:p w14:paraId="70E66877" w14:textId="77777777" w:rsidR="00001F13" w:rsidRDefault="00001F13" w:rsidP="00001F13">
      <w:pPr>
        <w:pStyle w:val="Heading1"/>
        <w:pBdr>
          <w:bottom w:val="none" w:sz="0" w:space="0" w:color="auto"/>
        </w:pBdr>
        <w:rPr>
          <w:rFonts w:cs="ITCFranklinGothicStd-Book"/>
          <w:sz w:val="24"/>
          <w:szCs w:val="24"/>
        </w:rPr>
      </w:pPr>
    </w:p>
    <w:p w14:paraId="1D25A887" w14:textId="42BCA2C0" w:rsidR="00EF0B5A" w:rsidRDefault="00D33AE3" w:rsidP="00001F13">
      <w:pPr>
        <w:pStyle w:val="Heading1"/>
        <w:pBdr>
          <w:bottom w:val="none" w:sz="0" w:space="0" w:color="auto"/>
        </w:pBdr>
      </w:pPr>
      <w:bookmarkStart w:id="4" w:name="_Toc465096901"/>
      <w:r w:rsidRPr="00E707C0">
        <w:rPr>
          <w:rFonts w:ascii="Cambria" w:hAnsi="Cambria"/>
          <w:color w:val="auto"/>
        </w:rPr>
        <w:t>B.</w:t>
      </w:r>
      <w:r w:rsidR="00B45002" w:rsidRPr="00E707C0">
        <w:rPr>
          <w:rFonts w:ascii="Cambria" w:hAnsi="Cambria"/>
          <w:color w:val="auto"/>
        </w:rPr>
        <w:t>2.</w:t>
      </w:r>
      <w:r w:rsidR="00B45002" w:rsidRPr="00E707C0">
        <w:rPr>
          <w:rFonts w:ascii="Cambria" w:hAnsi="Cambria"/>
          <w:color w:val="auto"/>
        </w:rPr>
        <w:tab/>
        <w:t>Procedures for the Collection of Information</w:t>
      </w:r>
      <w:bookmarkEnd w:id="4"/>
    </w:p>
    <w:p w14:paraId="5A454FB0" w14:textId="3D9B285E" w:rsidR="00BE49B6" w:rsidRPr="00BE49B6" w:rsidRDefault="00BE49B6" w:rsidP="00225DA9">
      <w:pPr>
        <w:spacing w:before="240" w:line="276" w:lineRule="auto"/>
        <w:rPr>
          <w:sz w:val="24"/>
          <w:szCs w:val="24"/>
        </w:rPr>
      </w:pPr>
      <w:r w:rsidRPr="00BE49B6">
        <w:rPr>
          <w:color w:val="000000"/>
          <w:sz w:val="24"/>
          <w:szCs w:val="24"/>
        </w:rPr>
        <w:t xml:space="preserve">ALS patients will be allowed to voluntarily register for the </w:t>
      </w:r>
      <w:r w:rsidR="00913E9F">
        <w:rPr>
          <w:color w:val="000000"/>
          <w:sz w:val="24"/>
          <w:szCs w:val="24"/>
        </w:rPr>
        <w:t>R</w:t>
      </w:r>
      <w:r w:rsidRPr="00BE49B6">
        <w:rPr>
          <w:color w:val="000000"/>
          <w:sz w:val="24"/>
          <w:szCs w:val="24"/>
        </w:rPr>
        <w:t>egistry. Case status will be validated using six questions standardized by the Veterans Administration and shown to correctly identify cases 93% of the time (</w:t>
      </w:r>
      <w:r w:rsidR="00B20800" w:rsidRPr="00B20800">
        <w:rPr>
          <w:b/>
          <w:color w:val="000000"/>
          <w:sz w:val="24"/>
          <w:szCs w:val="24"/>
        </w:rPr>
        <w:t>Attachment</w:t>
      </w:r>
      <w:r w:rsidRPr="00BE49B6">
        <w:rPr>
          <w:color w:val="000000"/>
          <w:sz w:val="24"/>
          <w:szCs w:val="24"/>
        </w:rPr>
        <w:t xml:space="preserve"> </w:t>
      </w:r>
      <w:r w:rsidR="00E73C95" w:rsidRPr="00E73C95">
        <w:rPr>
          <w:b/>
          <w:color w:val="000000"/>
          <w:sz w:val="24"/>
          <w:szCs w:val="24"/>
        </w:rPr>
        <w:t>4</w:t>
      </w:r>
      <w:r w:rsidRPr="00BE49B6">
        <w:rPr>
          <w:color w:val="000000"/>
          <w:sz w:val="24"/>
          <w:szCs w:val="24"/>
        </w:rPr>
        <w:t>).  Once an individual passes validation, he will be permitted to register (</w:t>
      </w:r>
      <w:r w:rsidR="00B20800" w:rsidRPr="00B20800">
        <w:rPr>
          <w:b/>
          <w:color w:val="000000"/>
          <w:sz w:val="24"/>
          <w:szCs w:val="24"/>
        </w:rPr>
        <w:t>Attachment</w:t>
      </w:r>
      <w:r w:rsidRPr="00BE49B6">
        <w:rPr>
          <w:color w:val="000000"/>
          <w:sz w:val="24"/>
          <w:szCs w:val="24"/>
        </w:rPr>
        <w:t xml:space="preserve"> </w:t>
      </w:r>
      <w:r w:rsidR="00E73C95" w:rsidRPr="00E73C95">
        <w:rPr>
          <w:b/>
          <w:color w:val="000000"/>
          <w:sz w:val="24"/>
          <w:szCs w:val="24"/>
        </w:rPr>
        <w:t>5</w:t>
      </w:r>
      <w:r w:rsidRPr="00BE49B6">
        <w:rPr>
          <w:color w:val="000000"/>
          <w:sz w:val="24"/>
          <w:szCs w:val="24"/>
        </w:rPr>
        <w:t xml:space="preserve">).  </w:t>
      </w:r>
      <w:r w:rsidRPr="00BE49B6">
        <w:rPr>
          <w:sz w:val="24"/>
          <w:szCs w:val="24"/>
        </w:rPr>
        <w:t>To enable the collection of additional information from registr</w:t>
      </w:r>
      <w:r w:rsidR="0083397B">
        <w:rPr>
          <w:sz w:val="24"/>
          <w:szCs w:val="24"/>
        </w:rPr>
        <w:t>ants who volunteer, a series of</w:t>
      </w:r>
      <w:r w:rsidR="000B39C8">
        <w:rPr>
          <w:sz w:val="24"/>
          <w:szCs w:val="24"/>
        </w:rPr>
        <w:t xml:space="preserve"> </w:t>
      </w:r>
      <w:r w:rsidRPr="00BE49B6">
        <w:rPr>
          <w:sz w:val="24"/>
          <w:szCs w:val="24"/>
        </w:rPr>
        <w:t xml:space="preserve">short </w:t>
      </w:r>
      <w:r w:rsidR="00BF527E">
        <w:rPr>
          <w:sz w:val="24"/>
          <w:szCs w:val="24"/>
        </w:rPr>
        <w:t xml:space="preserve">voluntary </w:t>
      </w:r>
      <w:r w:rsidRPr="00BE49B6">
        <w:rPr>
          <w:sz w:val="24"/>
          <w:szCs w:val="24"/>
        </w:rPr>
        <w:t>survey modules will be available for completion via a secure web portal (</w:t>
      </w:r>
      <w:r w:rsidR="00B20800" w:rsidRPr="00B20800">
        <w:rPr>
          <w:b/>
          <w:sz w:val="24"/>
          <w:szCs w:val="24"/>
        </w:rPr>
        <w:t>Attachment</w:t>
      </w:r>
      <w:r w:rsidRPr="00BE49B6">
        <w:rPr>
          <w:sz w:val="24"/>
          <w:szCs w:val="24"/>
        </w:rPr>
        <w:t xml:space="preserve"> </w:t>
      </w:r>
      <w:r w:rsidRPr="00E73C95">
        <w:rPr>
          <w:b/>
          <w:sz w:val="24"/>
          <w:szCs w:val="24"/>
        </w:rPr>
        <w:t>6</w:t>
      </w:r>
      <w:r w:rsidRPr="00BE49B6">
        <w:rPr>
          <w:sz w:val="24"/>
          <w:szCs w:val="24"/>
        </w:rPr>
        <w:t>).  All surveys are designed to be answered onl</w:t>
      </w:r>
      <w:r w:rsidR="00BF527E">
        <w:rPr>
          <w:sz w:val="24"/>
          <w:szCs w:val="24"/>
        </w:rPr>
        <w:t xml:space="preserve">y once </w:t>
      </w:r>
      <w:r w:rsidR="00BF527E" w:rsidRPr="00286C60">
        <w:rPr>
          <w:sz w:val="24"/>
          <w:szCs w:val="24"/>
        </w:rPr>
        <w:t>except for the disease progression s</w:t>
      </w:r>
      <w:r w:rsidRPr="00286C60">
        <w:rPr>
          <w:sz w:val="24"/>
          <w:szCs w:val="24"/>
        </w:rPr>
        <w:t xml:space="preserve">urvey </w:t>
      </w:r>
      <w:r w:rsidR="00BF527E" w:rsidRPr="00286C60">
        <w:rPr>
          <w:sz w:val="24"/>
          <w:szCs w:val="24"/>
        </w:rPr>
        <w:t>(</w:t>
      </w:r>
      <w:r w:rsidR="00BF527E" w:rsidRPr="00286C60">
        <w:rPr>
          <w:b/>
          <w:sz w:val="24"/>
          <w:szCs w:val="24"/>
        </w:rPr>
        <w:t xml:space="preserve">Attachment </w:t>
      </w:r>
      <w:r w:rsidR="00BF527E" w:rsidRPr="00286C60">
        <w:rPr>
          <w:sz w:val="24"/>
          <w:szCs w:val="24"/>
        </w:rPr>
        <w:t xml:space="preserve">6 – ALSFRS module only) </w:t>
      </w:r>
      <w:r w:rsidRPr="00286C60">
        <w:rPr>
          <w:sz w:val="24"/>
          <w:szCs w:val="24"/>
        </w:rPr>
        <w:t xml:space="preserve">which can be answered </w:t>
      </w:r>
      <w:r w:rsidR="00286C60" w:rsidRPr="00286C60">
        <w:rPr>
          <w:rFonts w:cs="ITCFranklinGothicStd-Book"/>
          <w:sz w:val="24"/>
          <w:szCs w:val="24"/>
          <w:highlight w:val="lightGray"/>
        </w:rPr>
        <w:t>three times the first year and twice a year thereafter (rounded up to 3 times per year</w:t>
      </w:r>
      <w:r w:rsidR="00286C60">
        <w:rPr>
          <w:rFonts w:cs="ITCFranklinGothicStd-Book"/>
          <w:sz w:val="24"/>
          <w:szCs w:val="24"/>
          <w:highlight w:val="lightGray"/>
        </w:rPr>
        <w:t xml:space="preserve"> for burden estimation</w:t>
      </w:r>
      <w:r w:rsidR="00286C60" w:rsidRPr="00286C60">
        <w:rPr>
          <w:rFonts w:cs="ITCFranklinGothicStd-Book"/>
          <w:sz w:val="24"/>
          <w:szCs w:val="24"/>
          <w:highlight w:val="lightGray"/>
        </w:rPr>
        <w:t>)</w:t>
      </w:r>
      <w:r w:rsidRPr="00286C60">
        <w:rPr>
          <w:sz w:val="24"/>
          <w:szCs w:val="24"/>
        </w:rPr>
        <w:t>.  It is anticipated that most participants would complete</w:t>
      </w:r>
      <w:r w:rsidRPr="00BE49B6">
        <w:rPr>
          <w:sz w:val="24"/>
          <w:szCs w:val="24"/>
        </w:rPr>
        <w:t xml:space="preserve"> the </w:t>
      </w:r>
      <w:r w:rsidR="00BF527E">
        <w:rPr>
          <w:sz w:val="24"/>
          <w:szCs w:val="24"/>
        </w:rPr>
        <w:t>disease progression s</w:t>
      </w:r>
      <w:r w:rsidR="00BF527E" w:rsidRPr="00BE49B6">
        <w:rPr>
          <w:sz w:val="24"/>
          <w:szCs w:val="24"/>
        </w:rPr>
        <w:t xml:space="preserve">urvey </w:t>
      </w:r>
      <w:r w:rsidRPr="00BE49B6">
        <w:rPr>
          <w:sz w:val="24"/>
          <w:szCs w:val="24"/>
        </w:rPr>
        <w:t xml:space="preserve">3-4 times at most because the average life expectancy of an individual diagnosed with ALS is 2-3 years and the disease is quite debilitating. For the </w:t>
      </w:r>
      <w:r w:rsidR="00BF527E">
        <w:rPr>
          <w:sz w:val="24"/>
          <w:szCs w:val="24"/>
        </w:rPr>
        <w:t>disease progression s</w:t>
      </w:r>
      <w:r w:rsidR="00BF527E" w:rsidRPr="00BE49B6">
        <w:rPr>
          <w:sz w:val="24"/>
          <w:szCs w:val="24"/>
        </w:rPr>
        <w:t xml:space="preserve">urvey </w:t>
      </w:r>
      <w:r w:rsidRPr="00BE49B6">
        <w:rPr>
          <w:sz w:val="24"/>
          <w:szCs w:val="24"/>
        </w:rPr>
        <w:t>we will use the ALS Functional Rating Scale-Revised (ALSFRS-R)</w:t>
      </w:r>
      <w:r w:rsidR="00DE362E">
        <w:rPr>
          <w:sz w:val="24"/>
          <w:szCs w:val="24"/>
        </w:rPr>
        <w:t xml:space="preserve"> (</w:t>
      </w:r>
      <w:r w:rsidR="00BF527E">
        <w:rPr>
          <w:b/>
          <w:sz w:val="24"/>
          <w:szCs w:val="24"/>
        </w:rPr>
        <w:t xml:space="preserve">Attachment </w:t>
      </w:r>
      <w:r w:rsidR="00BF527E" w:rsidRPr="00286C60">
        <w:rPr>
          <w:b/>
          <w:sz w:val="24"/>
          <w:szCs w:val="24"/>
        </w:rPr>
        <w:t>6</w:t>
      </w:r>
      <w:r w:rsidR="00BF527E">
        <w:rPr>
          <w:sz w:val="24"/>
          <w:szCs w:val="24"/>
        </w:rPr>
        <w:t xml:space="preserve"> – ALSFRS module only</w:t>
      </w:r>
      <w:r w:rsidR="00DE362E">
        <w:rPr>
          <w:sz w:val="24"/>
          <w:szCs w:val="24"/>
        </w:rPr>
        <w:t>)</w:t>
      </w:r>
      <w:r w:rsidRPr="00BE49B6">
        <w:rPr>
          <w:sz w:val="24"/>
          <w:szCs w:val="24"/>
        </w:rPr>
        <w:t>, a standard set of questions used by physicians to measure function overtime.  Researchers have developed and tested a self-administered version of the ALSFRS-R which showed excellent reliability to change over time.  This test is scored in a standard fashion (</w:t>
      </w:r>
      <w:r w:rsidR="00B20800" w:rsidRPr="00B20800">
        <w:rPr>
          <w:b/>
          <w:sz w:val="24"/>
          <w:szCs w:val="24"/>
        </w:rPr>
        <w:t>Attachment</w:t>
      </w:r>
      <w:r w:rsidRPr="00BE49B6">
        <w:rPr>
          <w:sz w:val="24"/>
          <w:szCs w:val="24"/>
        </w:rPr>
        <w:t xml:space="preserve"> </w:t>
      </w:r>
      <w:r w:rsidR="00747A29" w:rsidRPr="00747A29">
        <w:rPr>
          <w:b/>
          <w:sz w:val="24"/>
          <w:szCs w:val="24"/>
        </w:rPr>
        <w:t>6A</w:t>
      </w:r>
      <w:r w:rsidRPr="00BE49B6">
        <w:rPr>
          <w:sz w:val="24"/>
          <w:szCs w:val="24"/>
        </w:rPr>
        <w:t>)</w:t>
      </w:r>
      <w:r w:rsidR="003305CC">
        <w:rPr>
          <w:sz w:val="24"/>
          <w:szCs w:val="24"/>
        </w:rPr>
        <w:t>.</w:t>
      </w:r>
      <w:r w:rsidRPr="00BE49B6">
        <w:rPr>
          <w:sz w:val="24"/>
          <w:szCs w:val="24"/>
        </w:rPr>
        <w:t xml:space="preserve"> </w:t>
      </w:r>
    </w:p>
    <w:p w14:paraId="407E0646" w14:textId="785AEA55" w:rsidR="00727BD6" w:rsidRPr="00ED463E" w:rsidRDefault="00BE49B6" w:rsidP="00225DA9">
      <w:pPr>
        <w:spacing w:line="276" w:lineRule="auto"/>
        <w:rPr>
          <w:sz w:val="24"/>
          <w:szCs w:val="24"/>
        </w:rPr>
      </w:pPr>
      <w:r w:rsidRPr="00BE49B6">
        <w:rPr>
          <w:sz w:val="24"/>
          <w:szCs w:val="24"/>
        </w:rPr>
        <w:t>Individuals will be consented prior to registering with the National ALS Registry and completing any survey modules.  Participants will not be contacted to take surveys.  For all surveys the individual will have to visit the website and log in to his/her personal account.  Therefore, if a participant doesn’t want to take part any longer, he/she just doesn’t log in to the system.</w:t>
      </w:r>
    </w:p>
    <w:p w14:paraId="759E1822" w14:textId="39675A7F" w:rsidR="00727BD6" w:rsidRPr="00BE1F46" w:rsidRDefault="00727BD6" w:rsidP="00225DA9">
      <w:pPr>
        <w:spacing w:line="276" w:lineRule="auto"/>
        <w:rPr>
          <w:sz w:val="24"/>
          <w:szCs w:val="24"/>
        </w:rPr>
      </w:pPr>
      <w:r w:rsidRPr="00ED463E">
        <w:rPr>
          <w:rFonts w:cs="ITCFranklinGothicStd-Book"/>
          <w:sz w:val="24"/>
          <w:szCs w:val="24"/>
        </w:rPr>
        <w:t xml:space="preserve">In addition to fulfilling the two-part Congressional mandate, the Registry is designed to be a tool for ALS researchers.  </w:t>
      </w:r>
      <w:r w:rsidRPr="00F774A9">
        <w:rPr>
          <w:rFonts w:cs="ITCFranklinGothicStd-Book"/>
          <w:sz w:val="24"/>
          <w:szCs w:val="24"/>
          <w:highlight w:val="lightGray"/>
        </w:rPr>
        <w:t xml:space="preserve">Now that the Registry has matured, ATSDR will make data and specimens available to approved researchers. </w:t>
      </w:r>
      <w:r w:rsidRPr="00F774A9">
        <w:rPr>
          <w:color w:val="000000"/>
          <w:sz w:val="24"/>
          <w:szCs w:val="24"/>
          <w:highlight w:val="lightGray"/>
        </w:rPr>
        <w:t>A respondent type was added to allow researchers to access data and specimens collected by the Registry (</w:t>
      </w:r>
      <w:r w:rsidRPr="00F774A9">
        <w:rPr>
          <w:b/>
          <w:color w:val="000000"/>
          <w:sz w:val="24"/>
          <w:szCs w:val="24"/>
          <w:highlight w:val="lightGray"/>
        </w:rPr>
        <w:t>Attachment 11A and 11B</w:t>
      </w:r>
      <w:r w:rsidRPr="00F774A9">
        <w:rPr>
          <w:color w:val="000000"/>
          <w:sz w:val="24"/>
          <w:szCs w:val="24"/>
          <w:highlight w:val="lightGray"/>
        </w:rPr>
        <w:t xml:space="preserve">). </w:t>
      </w:r>
      <w:r w:rsidR="00A97A5B">
        <w:rPr>
          <w:color w:val="000000"/>
          <w:sz w:val="24"/>
          <w:szCs w:val="24"/>
          <w:highlight w:val="lightGray"/>
        </w:rPr>
        <w:t xml:space="preserve">For those who agree to participate in the </w:t>
      </w:r>
      <w:r w:rsidR="00F5080B">
        <w:rPr>
          <w:color w:val="000000"/>
          <w:sz w:val="24"/>
          <w:szCs w:val="24"/>
          <w:highlight w:val="lightGray"/>
        </w:rPr>
        <w:t xml:space="preserve">in-home portion of the </w:t>
      </w:r>
      <w:r w:rsidR="00A97A5B">
        <w:rPr>
          <w:color w:val="000000"/>
          <w:sz w:val="24"/>
          <w:szCs w:val="24"/>
          <w:highlight w:val="lightGray"/>
        </w:rPr>
        <w:t xml:space="preserve">biorepository, we will schedule an appointment for a trained phlebotomist to come to their homes at a convenient </w:t>
      </w:r>
      <w:r w:rsidR="00A97A5B">
        <w:rPr>
          <w:color w:val="000000"/>
          <w:sz w:val="24"/>
          <w:szCs w:val="24"/>
          <w:highlight w:val="lightGray"/>
        </w:rPr>
        <w:lastRenderedPageBreak/>
        <w:t>time to collect the specimens</w:t>
      </w:r>
      <w:r w:rsidR="0013503C">
        <w:rPr>
          <w:color w:val="000000"/>
          <w:sz w:val="24"/>
          <w:szCs w:val="24"/>
          <w:highlight w:val="lightGray"/>
        </w:rPr>
        <w:t xml:space="preserve"> (</w:t>
      </w:r>
      <w:r w:rsidR="0013503C">
        <w:rPr>
          <w:b/>
          <w:color w:val="000000"/>
          <w:sz w:val="24"/>
          <w:szCs w:val="24"/>
          <w:highlight w:val="lightGray"/>
        </w:rPr>
        <w:t>Attachment 12A</w:t>
      </w:r>
      <w:r w:rsidR="0013503C">
        <w:rPr>
          <w:color w:val="000000"/>
          <w:sz w:val="24"/>
          <w:szCs w:val="24"/>
          <w:highlight w:val="lightGray"/>
        </w:rPr>
        <w:t>)</w:t>
      </w:r>
      <w:r w:rsidR="00A97A5B">
        <w:rPr>
          <w:color w:val="000000"/>
          <w:sz w:val="24"/>
          <w:szCs w:val="24"/>
          <w:highlight w:val="lightGray"/>
        </w:rPr>
        <w:t xml:space="preserve">.  Because we have to get specimens to the lab the next day, appointments are only scheduled Monday through Thursday at a time that would allow the phlebotomist to deliver the specimens to a FedEx facility for next day shipping.  </w:t>
      </w:r>
      <w:r w:rsidR="00F5080B">
        <w:rPr>
          <w:color w:val="000000"/>
          <w:sz w:val="24"/>
          <w:szCs w:val="24"/>
          <w:highlight w:val="lightGray"/>
        </w:rPr>
        <w:t>For those who agree to provide a saliva specimen, we will mail them a self-collection kit with instructions for the collection and pre-paid postage to return the kit to the laboratory</w:t>
      </w:r>
      <w:r w:rsidR="00357163">
        <w:rPr>
          <w:color w:val="000000"/>
          <w:sz w:val="24"/>
          <w:szCs w:val="24"/>
          <w:highlight w:val="lightGray"/>
        </w:rPr>
        <w:t xml:space="preserve"> (</w:t>
      </w:r>
      <w:r w:rsidR="00357163" w:rsidRPr="0013503C">
        <w:rPr>
          <w:b/>
          <w:color w:val="000000"/>
          <w:sz w:val="24"/>
          <w:szCs w:val="24"/>
          <w:highlight w:val="lightGray"/>
        </w:rPr>
        <w:t>Attachment 12B</w:t>
      </w:r>
      <w:r w:rsidR="00357163">
        <w:rPr>
          <w:color w:val="000000"/>
          <w:sz w:val="24"/>
          <w:szCs w:val="24"/>
          <w:highlight w:val="lightGray"/>
        </w:rPr>
        <w:t>)</w:t>
      </w:r>
      <w:r w:rsidR="00F5080B">
        <w:rPr>
          <w:color w:val="000000"/>
          <w:sz w:val="24"/>
          <w:szCs w:val="24"/>
          <w:highlight w:val="lightGray"/>
        </w:rPr>
        <w:t xml:space="preserve">.  </w:t>
      </w:r>
      <w:r w:rsidRPr="00F774A9">
        <w:rPr>
          <w:sz w:val="24"/>
          <w:szCs w:val="24"/>
          <w:highlight w:val="lightGray"/>
        </w:rPr>
        <w:t xml:space="preserve">In addition, </w:t>
      </w:r>
      <w:r w:rsidRPr="00F774A9">
        <w:rPr>
          <w:rFonts w:cs="Courier New"/>
          <w:sz w:val="24"/>
          <w:szCs w:val="24"/>
          <w:highlight w:val="lightGray"/>
        </w:rPr>
        <w:t xml:space="preserve">ATSDR is also collaborating with ALS service organizations to conduct outreach activities through their local chapters and districts as well as on a national level. ATSDR will collect summary information on their outreach efforts in support of the Registry </w:t>
      </w:r>
      <w:r w:rsidRPr="00F774A9">
        <w:rPr>
          <w:color w:val="000000"/>
          <w:sz w:val="24"/>
          <w:szCs w:val="24"/>
          <w:highlight w:val="lightGray"/>
        </w:rPr>
        <w:t>(</w:t>
      </w:r>
      <w:r w:rsidRPr="00F774A9">
        <w:rPr>
          <w:b/>
          <w:color w:val="000000"/>
          <w:sz w:val="24"/>
          <w:szCs w:val="24"/>
          <w:highlight w:val="lightGray"/>
        </w:rPr>
        <w:t>Attachment 13A and 13B</w:t>
      </w:r>
      <w:r w:rsidRPr="00F774A9">
        <w:rPr>
          <w:color w:val="000000"/>
          <w:sz w:val="24"/>
          <w:szCs w:val="24"/>
          <w:highlight w:val="lightGray"/>
        </w:rPr>
        <w:t>).</w:t>
      </w:r>
      <w:r>
        <w:rPr>
          <w:color w:val="000000"/>
          <w:sz w:val="24"/>
          <w:szCs w:val="24"/>
        </w:rPr>
        <w:t xml:space="preserve">  </w:t>
      </w:r>
    </w:p>
    <w:p w14:paraId="7C5431E7" w14:textId="7C3E2455" w:rsidR="00B45002" w:rsidRPr="00E707C0" w:rsidRDefault="00D33AE3" w:rsidP="008D0F27">
      <w:pPr>
        <w:pStyle w:val="Heading1"/>
        <w:pBdr>
          <w:bottom w:val="none" w:sz="0" w:space="0" w:color="auto"/>
        </w:pBdr>
        <w:rPr>
          <w:rFonts w:ascii="Cambria" w:hAnsi="Cambria"/>
          <w:color w:val="auto"/>
        </w:rPr>
      </w:pPr>
      <w:bookmarkStart w:id="5" w:name="_Toc465096902"/>
      <w:r w:rsidRPr="00E707C0">
        <w:rPr>
          <w:rFonts w:ascii="Cambria" w:hAnsi="Cambria"/>
          <w:color w:val="auto"/>
        </w:rPr>
        <w:t>B.</w:t>
      </w:r>
      <w:r w:rsidR="00B45002" w:rsidRPr="00E707C0">
        <w:rPr>
          <w:rFonts w:ascii="Cambria" w:hAnsi="Cambria"/>
          <w:color w:val="auto"/>
        </w:rPr>
        <w:t>3.</w:t>
      </w:r>
      <w:r w:rsidR="00B45002" w:rsidRPr="00E707C0">
        <w:rPr>
          <w:rFonts w:ascii="Cambria" w:hAnsi="Cambria"/>
          <w:color w:val="auto"/>
        </w:rPr>
        <w:tab/>
        <w:t>Methods to Maximize Response Rates and Deal with No</w:t>
      </w:r>
      <w:r w:rsidR="00E2405B" w:rsidRPr="00E707C0">
        <w:rPr>
          <w:rFonts w:ascii="Cambria" w:hAnsi="Cambria"/>
          <w:color w:val="auto"/>
        </w:rPr>
        <w:t xml:space="preserve"> R</w:t>
      </w:r>
      <w:r w:rsidR="00B45002" w:rsidRPr="00E707C0">
        <w:rPr>
          <w:rFonts w:ascii="Cambria" w:hAnsi="Cambria"/>
          <w:color w:val="auto"/>
        </w:rPr>
        <w:t>esponse</w:t>
      </w:r>
      <w:bookmarkEnd w:id="5"/>
    </w:p>
    <w:p w14:paraId="48BEFA91" w14:textId="77777777" w:rsidR="00EF0B5A" w:rsidRDefault="00EF0B5A" w:rsidP="00841C00">
      <w:pPr>
        <w:spacing w:line="240" w:lineRule="auto"/>
        <w:rPr>
          <w:sz w:val="24"/>
          <w:szCs w:val="24"/>
        </w:rPr>
      </w:pPr>
    </w:p>
    <w:p w14:paraId="2CE08336" w14:textId="4C50192D" w:rsidR="00841C00" w:rsidRPr="00841C00" w:rsidRDefault="00841C00" w:rsidP="00225DA9">
      <w:pPr>
        <w:spacing w:line="276" w:lineRule="auto"/>
        <w:rPr>
          <w:sz w:val="24"/>
          <w:szCs w:val="24"/>
        </w:rPr>
      </w:pPr>
      <w:r w:rsidRPr="00841C00">
        <w:rPr>
          <w:sz w:val="24"/>
          <w:szCs w:val="24"/>
        </w:rPr>
        <w:t xml:space="preserve">There is not a method to deal with non-response to joining the National ALS Registry because it is unknown who has ALS.  </w:t>
      </w:r>
      <w:r w:rsidR="00747A29" w:rsidRPr="00A126DE">
        <w:rPr>
          <w:rFonts w:cs="ITCFranklinGothicStd-Book"/>
          <w:sz w:val="24"/>
          <w:szCs w:val="24"/>
        </w:rPr>
        <w:t xml:space="preserve">ATSDR has used a multi-pronged approach for publicizing the existence of the </w:t>
      </w:r>
      <w:r w:rsidR="00913E9F">
        <w:rPr>
          <w:rFonts w:cs="ITCFranklinGothicStd-Book"/>
          <w:sz w:val="24"/>
          <w:szCs w:val="24"/>
        </w:rPr>
        <w:t>R</w:t>
      </w:r>
      <w:r w:rsidR="00747A29" w:rsidRPr="00A126DE">
        <w:rPr>
          <w:rFonts w:cs="ITCFranklinGothicStd-Book"/>
          <w:sz w:val="24"/>
          <w:szCs w:val="24"/>
        </w:rPr>
        <w:t xml:space="preserve">egistry.   First, ATSDR promoted the information on their ALS website </w:t>
      </w:r>
      <w:hyperlink r:id="rId9" w:history="1">
        <w:r w:rsidR="00747A29" w:rsidRPr="00A126DE">
          <w:rPr>
            <w:rStyle w:val="Hyperlink"/>
            <w:rFonts w:cs="ITCFranklinGothicStd-Book"/>
            <w:sz w:val="24"/>
            <w:szCs w:val="24"/>
          </w:rPr>
          <w:t>www.cdc.gov/als</w:t>
        </w:r>
      </w:hyperlink>
      <w:r w:rsidR="00747A29" w:rsidRPr="00A126DE">
        <w:rPr>
          <w:rFonts w:cs="ITCFranklinGothicStd-Book"/>
          <w:sz w:val="24"/>
          <w:szCs w:val="24"/>
        </w:rPr>
        <w:t xml:space="preserve">.  Second, ATSDR worked with two advocacy groups, the ALS Association (ALSA) and the Muscular Dystrophy Association (MDA), ALS Division, to promote the </w:t>
      </w:r>
      <w:r w:rsidR="00913E9F">
        <w:rPr>
          <w:rFonts w:cs="ITCFranklinGothicStd-Book"/>
          <w:sz w:val="24"/>
          <w:szCs w:val="24"/>
        </w:rPr>
        <w:t>R</w:t>
      </w:r>
      <w:r w:rsidR="00747A29" w:rsidRPr="00A126DE">
        <w:rPr>
          <w:rFonts w:cs="ITCFranklinGothicStd-Book"/>
          <w:sz w:val="24"/>
          <w:szCs w:val="24"/>
        </w:rPr>
        <w:t xml:space="preserve">egistry with their constituents and on their respective websites </w:t>
      </w:r>
      <w:hyperlink r:id="rId10" w:history="1">
        <w:r w:rsidR="00747A29" w:rsidRPr="00A126DE">
          <w:rPr>
            <w:rStyle w:val="Hyperlink"/>
            <w:rFonts w:cs="ITCFranklinGothicStd-Book"/>
            <w:sz w:val="24"/>
            <w:szCs w:val="24"/>
          </w:rPr>
          <w:t>http://www.alsa.org/research/</w:t>
        </w:r>
      </w:hyperlink>
      <w:r w:rsidR="00747A29" w:rsidRPr="00A126DE">
        <w:rPr>
          <w:rFonts w:cs="ITCFranklinGothicStd-Book"/>
          <w:sz w:val="24"/>
          <w:szCs w:val="24"/>
        </w:rPr>
        <w:t xml:space="preserve"> and </w:t>
      </w:r>
      <w:hyperlink r:id="rId11" w:history="1">
        <w:r w:rsidR="00747A29" w:rsidRPr="00A126DE">
          <w:rPr>
            <w:rStyle w:val="Hyperlink"/>
            <w:rFonts w:cs="ITCFranklinGothicStd-Book"/>
            <w:sz w:val="24"/>
            <w:szCs w:val="24"/>
          </w:rPr>
          <w:t>http://mda.org/disease/amyotrophic-lateral-sclerosis</w:t>
        </w:r>
      </w:hyperlink>
      <w:r w:rsidR="00747A29" w:rsidRPr="00A126DE">
        <w:rPr>
          <w:rFonts w:cs="ITCFranklinGothicStd-Book"/>
          <w:sz w:val="24"/>
          <w:szCs w:val="24"/>
        </w:rPr>
        <w:t xml:space="preserve">.  </w:t>
      </w:r>
      <w:r w:rsidR="005C1335" w:rsidRPr="00F774A9">
        <w:rPr>
          <w:rFonts w:cs="ITCFranklinGothicStd-Book"/>
          <w:sz w:val="24"/>
          <w:szCs w:val="24"/>
          <w:highlight w:val="lightGray"/>
        </w:rPr>
        <w:t xml:space="preserve">A </w:t>
      </w:r>
      <w:r w:rsidR="00F61059" w:rsidRPr="00F774A9">
        <w:rPr>
          <w:rFonts w:cs="ITCFranklinGothicStd-Book"/>
          <w:sz w:val="24"/>
          <w:szCs w:val="24"/>
          <w:highlight w:val="lightGray"/>
        </w:rPr>
        <w:t xml:space="preserve">monthly </w:t>
      </w:r>
      <w:r w:rsidR="005C1335" w:rsidRPr="00F774A9">
        <w:rPr>
          <w:rFonts w:cs="ITCFranklinGothicStd-Book"/>
          <w:sz w:val="24"/>
          <w:szCs w:val="24"/>
          <w:highlight w:val="lightGray"/>
        </w:rPr>
        <w:t>summary of outreach activities</w:t>
      </w:r>
      <w:r w:rsidR="007A3BC9" w:rsidRPr="00F774A9">
        <w:rPr>
          <w:rFonts w:cs="ITCFranklinGothicStd-Book"/>
          <w:sz w:val="24"/>
          <w:szCs w:val="24"/>
          <w:highlight w:val="lightGray"/>
        </w:rPr>
        <w:t xml:space="preserve"> will be</w:t>
      </w:r>
      <w:r w:rsidR="005C1335" w:rsidRPr="00F774A9">
        <w:rPr>
          <w:rFonts w:cs="ITCFranklinGothicStd-Book"/>
          <w:sz w:val="24"/>
          <w:szCs w:val="24"/>
          <w:highlight w:val="lightGray"/>
        </w:rPr>
        <w:t xml:space="preserve"> provided by the chapter or districts to the national organizations (</w:t>
      </w:r>
      <w:r w:rsidR="005C1335" w:rsidRPr="00F774A9">
        <w:rPr>
          <w:rFonts w:cs="ITCFranklinGothicStd-Book"/>
          <w:b/>
          <w:sz w:val="24"/>
          <w:szCs w:val="24"/>
          <w:highlight w:val="lightGray"/>
        </w:rPr>
        <w:t>Attachment 13A</w:t>
      </w:r>
      <w:r w:rsidR="005C1335" w:rsidRPr="00F774A9">
        <w:rPr>
          <w:rFonts w:cs="ITCFranklinGothicStd-Book"/>
          <w:sz w:val="24"/>
          <w:szCs w:val="24"/>
          <w:highlight w:val="lightGray"/>
        </w:rPr>
        <w:t xml:space="preserve">) who </w:t>
      </w:r>
      <w:r w:rsidR="007A3BC9" w:rsidRPr="00F774A9">
        <w:rPr>
          <w:rFonts w:cs="ITCFranklinGothicStd-Book"/>
          <w:sz w:val="24"/>
          <w:szCs w:val="24"/>
          <w:highlight w:val="lightGray"/>
        </w:rPr>
        <w:t xml:space="preserve">will </w:t>
      </w:r>
      <w:r w:rsidR="005C1335" w:rsidRPr="00F774A9">
        <w:rPr>
          <w:rFonts w:cs="ITCFranklinGothicStd-Book"/>
          <w:sz w:val="24"/>
          <w:szCs w:val="24"/>
          <w:highlight w:val="lightGray"/>
        </w:rPr>
        <w:t>report to ATSDR on a monthly basis (</w:t>
      </w:r>
      <w:r w:rsidR="005C1335" w:rsidRPr="00F774A9">
        <w:rPr>
          <w:rFonts w:cs="ITCFranklinGothicStd-Book"/>
          <w:b/>
          <w:sz w:val="24"/>
          <w:szCs w:val="24"/>
          <w:highlight w:val="lightGray"/>
        </w:rPr>
        <w:t>Attachment 13B</w:t>
      </w:r>
      <w:r w:rsidR="005C1335" w:rsidRPr="00F774A9">
        <w:rPr>
          <w:rFonts w:cs="ITCFranklinGothicStd-Book"/>
          <w:sz w:val="24"/>
          <w:szCs w:val="24"/>
          <w:highlight w:val="lightGray"/>
        </w:rPr>
        <w:t>).</w:t>
      </w:r>
      <w:r w:rsidR="005C1335">
        <w:rPr>
          <w:rFonts w:cs="ITCFranklinGothicStd-Book"/>
          <w:sz w:val="24"/>
          <w:szCs w:val="24"/>
        </w:rPr>
        <w:t xml:space="preserve">  </w:t>
      </w:r>
      <w:r w:rsidR="00747A29" w:rsidRPr="00A126DE">
        <w:rPr>
          <w:rFonts w:cs="ITCFranklinGothicStd-Book"/>
          <w:sz w:val="24"/>
          <w:szCs w:val="24"/>
        </w:rPr>
        <w:t xml:space="preserve">Third, ATSDR has worked with the NCEH-ATSDR Office of Communication to develop a media campaign which has been included in presentations at conferences, advertisements, and social media. </w:t>
      </w:r>
    </w:p>
    <w:p w14:paraId="2DF85D64" w14:textId="77777777" w:rsidR="00747A29" w:rsidRDefault="00841C00" w:rsidP="00225DA9">
      <w:pPr>
        <w:spacing w:line="276" w:lineRule="auto"/>
        <w:rPr>
          <w:sz w:val="24"/>
          <w:szCs w:val="24"/>
        </w:rPr>
      </w:pPr>
      <w:r w:rsidRPr="00841C00">
        <w:rPr>
          <w:sz w:val="24"/>
          <w:szCs w:val="24"/>
        </w:rPr>
        <w:t xml:space="preserve">As such, it is likely that not all persons with ALS will register; it will be difficult to determine the extent of nonresponse bias among those who would not be expected to show up in the administrative data sources. In addition, because we are currently seeing only a 58% response rate for the “risk factor surveys” among those who do register, it is likely that there will be nonresponse bias.  ATSDR will inform users of this likelihood, and promote the dataset for hypothesis generation rather than hypothesis testing. </w:t>
      </w:r>
    </w:p>
    <w:p w14:paraId="1CFD5407" w14:textId="2C23871E" w:rsidR="00481657" w:rsidRPr="00F92495" w:rsidRDefault="00481657" w:rsidP="00225DA9">
      <w:pPr>
        <w:spacing w:line="276" w:lineRule="auto"/>
        <w:rPr>
          <w:bCs/>
          <w:sz w:val="24"/>
          <w:szCs w:val="24"/>
        </w:rPr>
      </w:pPr>
      <w:r w:rsidRPr="00F92495">
        <w:rPr>
          <w:bCs/>
          <w:sz w:val="24"/>
          <w:szCs w:val="24"/>
        </w:rPr>
        <w:t>Basic demographic variables such as age, race, and sex will be available on all individuals regardless of how they were identified.  Individuals identified from administrative data will not have all of the OMB approved categories; however the self-reported data will have all OMB categories.</w:t>
      </w:r>
    </w:p>
    <w:p w14:paraId="3D8D5D32" w14:textId="06652E40" w:rsidR="00481657" w:rsidRPr="00F92495" w:rsidRDefault="00481657" w:rsidP="00225DA9">
      <w:pPr>
        <w:spacing w:line="276" w:lineRule="auto"/>
        <w:rPr>
          <w:rFonts w:asciiTheme="majorHAnsi" w:eastAsiaTheme="majorEastAsia" w:hAnsiTheme="majorHAnsi" w:cstheme="majorBidi"/>
          <w:sz w:val="24"/>
          <w:szCs w:val="24"/>
        </w:rPr>
      </w:pPr>
      <w:r w:rsidRPr="00F92495">
        <w:rPr>
          <w:bCs/>
          <w:sz w:val="24"/>
          <w:szCs w:val="24"/>
        </w:rPr>
        <w:lastRenderedPageBreak/>
        <w:t xml:space="preserve">Because we hypothesize that the </w:t>
      </w:r>
      <w:r>
        <w:rPr>
          <w:bCs/>
          <w:sz w:val="24"/>
          <w:szCs w:val="24"/>
        </w:rPr>
        <w:t>self-registration portion of the R</w:t>
      </w:r>
      <w:r w:rsidRPr="00F92495">
        <w:rPr>
          <w:bCs/>
          <w:sz w:val="24"/>
          <w:szCs w:val="24"/>
        </w:rPr>
        <w:t>egistry is</w:t>
      </w:r>
      <w:r>
        <w:rPr>
          <w:bCs/>
          <w:sz w:val="24"/>
          <w:szCs w:val="24"/>
        </w:rPr>
        <w:t>,</w:t>
      </w:r>
      <w:r w:rsidRPr="00F92495">
        <w:rPr>
          <w:bCs/>
          <w:sz w:val="24"/>
          <w:szCs w:val="24"/>
        </w:rPr>
        <w:t xml:space="preserve"> and</w:t>
      </w:r>
      <w:r>
        <w:rPr>
          <w:bCs/>
          <w:sz w:val="24"/>
          <w:szCs w:val="24"/>
        </w:rPr>
        <w:t xml:space="preserve"> will continue to identify</w:t>
      </w:r>
      <w:r w:rsidRPr="00F92495">
        <w:rPr>
          <w:bCs/>
          <w:sz w:val="24"/>
          <w:szCs w:val="24"/>
        </w:rPr>
        <w:t xml:space="preserve"> some individ</w:t>
      </w:r>
      <w:r>
        <w:rPr>
          <w:bCs/>
          <w:sz w:val="24"/>
          <w:szCs w:val="24"/>
        </w:rPr>
        <w:t>uals who are not identified</w:t>
      </w:r>
      <w:r w:rsidRPr="00F92495">
        <w:rPr>
          <w:bCs/>
          <w:sz w:val="24"/>
          <w:szCs w:val="24"/>
        </w:rPr>
        <w:t xml:space="preserve"> in the administrative sources, we will compare ALS cases identified from administrative sources with those ALS cases who self-register. </w:t>
      </w:r>
      <w:r>
        <w:rPr>
          <w:bCs/>
          <w:sz w:val="24"/>
          <w:szCs w:val="24"/>
        </w:rPr>
        <w:t xml:space="preserve"> All Medicare, VHA, and VBA data are only available through CY2013.  Registries need time to mature, therefore we have chosen to present this comparison for CY2013.</w:t>
      </w:r>
      <w:r w:rsidR="00C80860">
        <w:rPr>
          <w:bCs/>
          <w:sz w:val="24"/>
          <w:szCs w:val="24"/>
        </w:rPr>
        <w:t xml:space="preserve">  In addition, CY2013 is the most recent year that includes all data sources because of the lag in availability of data from CMS.</w:t>
      </w:r>
    </w:p>
    <w:p w14:paraId="64C2EDC4" w14:textId="0E48DA0B" w:rsidR="00841C00" w:rsidRPr="00841C00" w:rsidRDefault="00841C00" w:rsidP="00225DA9">
      <w:pPr>
        <w:spacing w:line="276" w:lineRule="auto"/>
        <w:rPr>
          <w:sz w:val="24"/>
          <w:szCs w:val="24"/>
        </w:rPr>
      </w:pPr>
      <w:r w:rsidRPr="00841C00">
        <w:rPr>
          <w:sz w:val="24"/>
          <w:szCs w:val="24"/>
        </w:rPr>
        <w:t xml:space="preserve">Individuals in the National ALS Registry are identified from </w:t>
      </w:r>
      <w:r w:rsidR="00B057E9">
        <w:rPr>
          <w:sz w:val="24"/>
          <w:szCs w:val="24"/>
        </w:rPr>
        <w:t>n</w:t>
      </w:r>
      <w:r w:rsidRPr="00841C00">
        <w:rPr>
          <w:sz w:val="24"/>
          <w:szCs w:val="24"/>
        </w:rPr>
        <w:t xml:space="preserve">ational databases and self-registration.  Those individuals who self-register are more likely to be younger (40-69 years of age) and </w:t>
      </w:r>
      <w:r w:rsidR="00A72DD6">
        <w:rPr>
          <w:sz w:val="24"/>
          <w:szCs w:val="24"/>
        </w:rPr>
        <w:t>fe</w:t>
      </w:r>
      <w:r w:rsidRPr="00841C00">
        <w:rPr>
          <w:sz w:val="24"/>
          <w:szCs w:val="24"/>
        </w:rPr>
        <w:t xml:space="preserve">male than those individuals identified in the </w:t>
      </w:r>
      <w:r w:rsidR="00B057E9">
        <w:rPr>
          <w:sz w:val="24"/>
          <w:szCs w:val="24"/>
        </w:rPr>
        <w:t>n</w:t>
      </w:r>
      <w:r w:rsidRPr="00841C00">
        <w:rPr>
          <w:sz w:val="24"/>
          <w:szCs w:val="24"/>
        </w:rPr>
        <w:t xml:space="preserve">ational databases.  This is likely a result of computer literacy and access.  In addition to registering, registrants can provide additional information by taking short surveys.  When comparing individuals who took at least one survey with individuals who took </w:t>
      </w:r>
      <w:r w:rsidR="00922439">
        <w:rPr>
          <w:sz w:val="24"/>
          <w:szCs w:val="24"/>
        </w:rPr>
        <w:t xml:space="preserve">no surveys, there is little difference in age and no difference in </w:t>
      </w:r>
      <w:r w:rsidRPr="00841C00">
        <w:rPr>
          <w:sz w:val="24"/>
          <w:szCs w:val="24"/>
        </w:rPr>
        <w:t>sex between takers and non-takers.</w:t>
      </w:r>
    </w:p>
    <w:p w14:paraId="1791F42A" w14:textId="77777777" w:rsidR="000413E6" w:rsidRPr="00841C00" w:rsidRDefault="000413E6" w:rsidP="00841C00">
      <w:pPr>
        <w:spacing w:line="240" w:lineRule="auto"/>
        <w:rPr>
          <w:sz w:val="24"/>
          <w:szCs w:val="24"/>
        </w:rPr>
      </w:pPr>
    </w:p>
    <w:p w14:paraId="33B96E82" w14:textId="66F0C33D" w:rsidR="00D51349" w:rsidRPr="00BB495F" w:rsidRDefault="00C436AA" w:rsidP="00841C00">
      <w:pPr>
        <w:spacing w:line="240" w:lineRule="auto"/>
        <w:rPr>
          <w:sz w:val="24"/>
          <w:szCs w:val="24"/>
        </w:rPr>
      </w:pPr>
      <w:r w:rsidRPr="00BB495F">
        <w:rPr>
          <w:sz w:val="24"/>
          <w:szCs w:val="24"/>
        </w:rPr>
        <w:t xml:space="preserve">Comparison of Registry </w:t>
      </w:r>
      <w:r w:rsidR="00E119F5" w:rsidRPr="00BB495F">
        <w:rPr>
          <w:sz w:val="24"/>
          <w:szCs w:val="24"/>
        </w:rPr>
        <w:t>Data by Source and Survey Status for CY2013</w:t>
      </w:r>
    </w:p>
    <w:tbl>
      <w:tblPr>
        <w:tblW w:w="8705" w:type="dxa"/>
        <w:tblLook w:val="04A0" w:firstRow="1" w:lastRow="0" w:firstColumn="1" w:lastColumn="0" w:noHBand="0" w:noVBand="1"/>
      </w:tblPr>
      <w:tblGrid>
        <w:gridCol w:w="1156"/>
        <w:gridCol w:w="825"/>
        <w:gridCol w:w="679"/>
        <w:gridCol w:w="885"/>
        <w:gridCol w:w="642"/>
        <w:gridCol w:w="763"/>
        <w:gridCol w:w="642"/>
        <w:gridCol w:w="422"/>
        <w:gridCol w:w="703"/>
        <w:gridCol w:w="643"/>
        <w:gridCol w:w="703"/>
        <w:gridCol w:w="642"/>
      </w:tblGrid>
      <w:tr w:rsidR="00D51349" w:rsidRPr="0089495C" w14:paraId="545415F4" w14:textId="77777777" w:rsidTr="003404B3">
        <w:trPr>
          <w:trHeight w:val="300"/>
        </w:trPr>
        <w:tc>
          <w:tcPr>
            <w:tcW w:w="5592" w:type="dxa"/>
            <w:gridSpan w:val="7"/>
            <w:tcBorders>
              <w:top w:val="single" w:sz="8" w:space="0" w:color="auto"/>
              <w:left w:val="single" w:sz="8" w:space="0" w:color="auto"/>
              <w:bottom w:val="single" w:sz="8" w:space="0" w:color="auto"/>
              <w:right w:val="single" w:sz="8" w:space="0" w:color="000000"/>
            </w:tcBorders>
            <w:shd w:val="clear" w:color="000000" w:fill="5B9BD5"/>
            <w:noWrap/>
            <w:vAlign w:val="center"/>
            <w:hideMark/>
          </w:tcPr>
          <w:p w14:paraId="6BD14F2F" w14:textId="77777777" w:rsidR="00D51349" w:rsidRPr="0089495C" w:rsidRDefault="00D51349" w:rsidP="00D51349">
            <w:pPr>
              <w:spacing w:after="0" w:line="240" w:lineRule="auto"/>
              <w:jc w:val="center"/>
              <w:rPr>
                <w:rFonts w:ascii="Calibri" w:eastAsia="Times New Roman" w:hAnsi="Calibri" w:cs="Times New Roman"/>
                <w:color w:val="FFFFFF"/>
              </w:rPr>
            </w:pPr>
            <w:r w:rsidRPr="0089495C">
              <w:rPr>
                <w:rFonts w:ascii="Calibri" w:eastAsia="Times New Roman" w:hAnsi="Calibri" w:cs="Times New Roman"/>
                <w:color w:val="FFFFFF"/>
              </w:rPr>
              <w:t>Registry</w:t>
            </w:r>
          </w:p>
        </w:tc>
        <w:tc>
          <w:tcPr>
            <w:tcW w:w="422" w:type="dxa"/>
            <w:tcBorders>
              <w:top w:val="single" w:sz="8" w:space="0" w:color="auto"/>
              <w:left w:val="nil"/>
              <w:bottom w:val="single" w:sz="8" w:space="0" w:color="auto"/>
              <w:right w:val="nil"/>
            </w:tcBorders>
            <w:shd w:val="clear" w:color="000000" w:fill="5B9BD5"/>
            <w:noWrap/>
            <w:vAlign w:val="center"/>
            <w:hideMark/>
          </w:tcPr>
          <w:p w14:paraId="57D7B5BC" w14:textId="77777777" w:rsidR="00D51349" w:rsidRPr="0089495C" w:rsidRDefault="00D51349" w:rsidP="00D51349">
            <w:pPr>
              <w:spacing w:after="0" w:line="240" w:lineRule="auto"/>
              <w:jc w:val="center"/>
              <w:rPr>
                <w:rFonts w:ascii="Calibri" w:eastAsia="Times New Roman" w:hAnsi="Calibri" w:cs="Times New Roman"/>
                <w:color w:val="FFFFFF"/>
              </w:rPr>
            </w:pPr>
            <w:r w:rsidRPr="0089495C">
              <w:rPr>
                <w:rFonts w:ascii="Calibri" w:eastAsia="Times New Roman" w:hAnsi="Calibri" w:cs="Times New Roman"/>
                <w:color w:val="FFFFFF"/>
              </w:rPr>
              <w:t> </w:t>
            </w:r>
          </w:p>
        </w:tc>
        <w:tc>
          <w:tcPr>
            <w:tcW w:w="2691" w:type="dxa"/>
            <w:gridSpan w:val="4"/>
            <w:tcBorders>
              <w:top w:val="single" w:sz="8" w:space="0" w:color="auto"/>
              <w:left w:val="single" w:sz="8" w:space="0" w:color="auto"/>
              <w:bottom w:val="single" w:sz="8" w:space="0" w:color="auto"/>
              <w:right w:val="single" w:sz="8" w:space="0" w:color="000000"/>
            </w:tcBorders>
            <w:shd w:val="clear" w:color="000000" w:fill="5B9BD5"/>
            <w:noWrap/>
            <w:vAlign w:val="center"/>
            <w:hideMark/>
          </w:tcPr>
          <w:p w14:paraId="0963CA49" w14:textId="77777777" w:rsidR="00D51349" w:rsidRPr="0089495C" w:rsidRDefault="00D51349" w:rsidP="00D51349">
            <w:pPr>
              <w:spacing w:after="0" w:line="240" w:lineRule="auto"/>
              <w:jc w:val="center"/>
              <w:rPr>
                <w:rFonts w:ascii="Calibri" w:eastAsia="Times New Roman" w:hAnsi="Calibri" w:cs="Times New Roman"/>
                <w:color w:val="FFFFFF"/>
              </w:rPr>
            </w:pPr>
            <w:r w:rsidRPr="0089495C">
              <w:rPr>
                <w:rFonts w:ascii="Calibri" w:eastAsia="Times New Roman" w:hAnsi="Calibri" w:cs="Times New Roman"/>
                <w:color w:val="FFFFFF"/>
              </w:rPr>
              <w:t>Portal</w:t>
            </w:r>
            <w:r>
              <w:rPr>
                <w:rFonts w:ascii="Calibri" w:eastAsia="Times New Roman" w:hAnsi="Calibri" w:cs="Times New Roman"/>
                <w:color w:val="FFFFFF"/>
              </w:rPr>
              <w:t>*</w:t>
            </w:r>
          </w:p>
        </w:tc>
      </w:tr>
      <w:tr w:rsidR="00D51349" w:rsidRPr="0089495C" w14:paraId="062A4EA1" w14:textId="77777777" w:rsidTr="003404B3">
        <w:trPr>
          <w:trHeight w:val="300"/>
        </w:trPr>
        <w:tc>
          <w:tcPr>
            <w:tcW w:w="1156" w:type="dxa"/>
            <w:tcBorders>
              <w:top w:val="nil"/>
              <w:left w:val="single" w:sz="8" w:space="0" w:color="auto"/>
              <w:bottom w:val="single" w:sz="8" w:space="0" w:color="auto"/>
              <w:right w:val="single" w:sz="8" w:space="0" w:color="auto"/>
            </w:tcBorders>
            <w:shd w:val="clear" w:color="000000" w:fill="5B9BD5"/>
            <w:noWrap/>
            <w:vAlign w:val="center"/>
            <w:hideMark/>
          </w:tcPr>
          <w:p w14:paraId="38DB1DC3" w14:textId="77777777" w:rsidR="00D51349" w:rsidRPr="0089495C" w:rsidRDefault="00D51349" w:rsidP="00D51349">
            <w:pPr>
              <w:spacing w:after="0" w:line="240" w:lineRule="auto"/>
              <w:rPr>
                <w:rFonts w:ascii="Calibri" w:eastAsia="Times New Roman" w:hAnsi="Calibri" w:cs="Times New Roman"/>
                <w:color w:val="FFFFFF"/>
              </w:rPr>
            </w:pPr>
            <w:r w:rsidRPr="0089495C">
              <w:rPr>
                <w:rFonts w:ascii="Calibri" w:eastAsia="Times New Roman" w:hAnsi="Calibri" w:cs="Times New Roman"/>
                <w:color w:val="FFFFFF"/>
              </w:rPr>
              <w:t> </w:t>
            </w:r>
          </w:p>
        </w:tc>
        <w:tc>
          <w:tcPr>
            <w:tcW w:w="1504" w:type="dxa"/>
            <w:gridSpan w:val="2"/>
            <w:tcBorders>
              <w:top w:val="single" w:sz="8" w:space="0" w:color="auto"/>
              <w:left w:val="nil"/>
              <w:bottom w:val="single" w:sz="8" w:space="0" w:color="auto"/>
              <w:right w:val="single" w:sz="8" w:space="0" w:color="000000"/>
            </w:tcBorders>
            <w:shd w:val="clear" w:color="000000" w:fill="5B9BD5"/>
            <w:noWrap/>
            <w:vAlign w:val="center"/>
            <w:hideMark/>
          </w:tcPr>
          <w:p w14:paraId="49119FCD" w14:textId="77777777" w:rsidR="00D51349" w:rsidRPr="0089495C" w:rsidRDefault="00D51349" w:rsidP="00D51349">
            <w:pPr>
              <w:spacing w:after="0" w:line="240" w:lineRule="auto"/>
              <w:jc w:val="center"/>
              <w:rPr>
                <w:rFonts w:ascii="Calibri" w:eastAsia="Times New Roman" w:hAnsi="Calibri" w:cs="Times New Roman"/>
                <w:color w:val="FFFFFF"/>
              </w:rPr>
            </w:pPr>
            <w:r w:rsidRPr="0089495C">
              <w:rPr>
                <w:rFonts w:ascii="Calibri" w:eastAsia="Times New Roman" w:hAnsi="Calibri" w:cs="Times New Roman"/>
                <w:color w:val="FFFFFF"/>
              </w:rPr>
              <w:t>Total</w:t>
            </w:r>
          </w:p>
        </w:tc>
        <w:tc>
          <w:tcPr>
            <w:tcW w:w="1527" w:type="dxa"/>
            <w:gridSpan w:val="2"/>
            <w:tcBorders>
              <w:top w:val="single" w:sz="8" w:space="0" w:color="auto"/>
              <w:left w:val="nil"/>
              <w:bottom w:val="single" w:sz="8" w:space="0" w:color="auto"/>
              <w:right w:val="single" w:sz="8" w:space="0" w:color="000000"/>
            </w:tcBorders>
            <w:shd w:val="clear" w:color="000000" w:fill="5B9BD5"/>
            <w:noWrap/>
            <w:vAlign w:val="center"/>
            <w:hideMark/>
          </w:tcPr>
          <w:p w14:paraId="442C4CC5" w14:textId="77777777" w:rsidR="00D51349" w:rsidRPr="0089495C" w:rsidRDefault="00D51349" w:rsidP="00D51349">
            <w:pPr>
              <w:spacing w:after="0" w:line="240" w:lineRule="auto"/>
              <w:jc w:val="center"/>
              <w:rPr>
                <w:rFonts w:ascii="Calibri" w:eastAsia="Times New Roman" w:hAnsi="Calibri" w:cs="Times New Roman"/>
                <w:color w:val="FFFFFF"/>
              </w:rPr>
            </w:pPr>
            <w:r w:rsidRPr="0089495C">
              <w:rPr>
                <w:rFonts w:ascii="Calibri" w:eastAsia="Times New Roman" w:hAnsi="Calibri" w:cs="Times New Roman"/>
                <w:color w:val="FFFFFF"/>
              </w:rPr>
              <w:t>Database Only</w:t>
            </w:r>
          </w:p>
        </w:tc>
        <w:tc>
          <w:tcPr>
            <w:tcW w:w="1405" w:type="dxa"/>
            <w:gridSpan w:val="2"/>
            <w:tcBorders>
              <w:top w:val="single" w:sz="8" w:space="0" w:color="auto"/>
              <w:left w:val="nil"/>
              <w:bottom w:val="single" w:sz="8" w:space="0" w:color="auto"/>
              <w:right w:val="single" w:sz="8" w:space="0" w:color="000000"/>
            </w:tcBorders>
            <w:shd w:val="clear" w:color="000000" w:fill="5B9BD5"/>
            <w:noWrap/>
            <w:vAlign w:val="center"/>
            <w:hideMark/>
          </w:tcPr>
          <w:p w14:paraId="7289FE7A" w14:textId="77777777" w:rsidR="00D51349" w:rsidRPr="0089495C" w:rsidRDefault="00D51349" w:rsidP="00D51349">
            <w:pPr>
              <w:spacing w:after="0" w:line="240" w:lineRule="auto"/>
              <w:jc w:val="center"/>
              <w:rPr>
                <w:rFonts w:ascii="Calibri" w:eastAsia="Times New Roman" w:hAnsi="Calibri" w:cs="Times New Roman"/>
                <w:color w:val="FFFFFF"/>
              </w:rPr>
            </w:pPr>
            <w:r w:rsidRPr="0089495C">
              <w:rPr>
                <w:rFonts w:ascii="Calibri" w:eastAsia="Times New Roman" w:hAnsi="Calibri" w:cs="Times New Roman"/>
                <w:color w:val="FFFFFF"/>
              </w:rPr>
              <w:t>Portal</w:t>
            </w:r>
          </w:p>
        </w:tc>
        <w:tc>
          <w:tcPr>
            <w:tcW w:w="422" w:type="dxa"/>
            <w:tcBorders>
              <w:top w:val="nil"/>
              <w:left w:val="nil"/>
              <w:bottom w:val="single" w:sz="8" w:space="0" w:color="auto"/>
              <w:right w:val="single" w:sz="8" w:space="0" w:color="auto"/>
            </w:tcBorders>
            <w:shd w:val="clear" w:color="000000" w:fill="5B9BD5"/>
            <w:noWrap/>
            <w:vAlign w:val="center"/>
            <w:hideMark/>
          </w:tcPr>
          <w:p w14:paraId="32F47127" w14:textId="77777777" w:rsidR="00D51349" w:rsidRPr="0089495C" w:rsidRDefault="00D51349" w:rsidP="00D51349">
            <w:pPr>
              <w:spacing w:after="0" w:line="240" w:lineRule="auto"/>
              <w:jc w:val="center"/>
              <w:rPr>
                <w:rFonts w:ascii="Calibri" w:eastAsia="Times New Roman" w:hAnsi="Calibri" w:cs="Times New Roman"/>
                <w:color w:val="FFFFFF"/>
              </w:rPr>
            </w:pPr>
            <w:r w:rsidRPr="0089495C">
              <w:rPr>
                <w:rFonts w:ascii="Calibri" w:eastAsia="Times New Roman" w:hAnsi="Calibri" w:cs="Times New Roman"/>
                <w:color w:val="FFFFFF"/>
              </w:rPr>
              <w:t> </w:t>
            </w:r>
          </w:p>
        </w:tc>
        <w:tc>
          <w:tcPr>
            <w:tcW w:w="1346" w:type="dxa"/>
            <w:gridSpan w:val="2"/>
            <w:tcBorders>
              <w:top w:val="single" w:sz="8" w:space="0" w:color="auto"/>
              <w:left w:val="nil"/>
              <w:bottom w:val="single" w:sz="8" w:space="0" w:color="auto"/>
              <w:right w:val="single" w:sz="8" w:space="0" w:color="000000"/>
            </w:tcBorders>
            <w:shd w:val="clear" w:color="000000" w:fill="5B9BD5"/>
            <w:noWrap/>
            <w:vAlign w:val="center"/>
            <w:hideMark/>
          </w:tcPr>
          <w:p w14:paraId="66A5AF1F" w14:textId="77777777" w:rsidR="00D51349" w:rsidRPr="0089495C" w:rsidRDefault="00D51349" w:rsidP="00D51349">
            <w:pPr>
              <w:spacing w:after="0" w:line="240" w:lineRule="auto"/>
              <w:jc w:val="center"/>
              <w:rPr>
                <w:rFonts w:ascii="Calibri" w:eastAsia="Times New Roman" w:hAnsi="Calibri" w:cs="Times New Roman"/>
                <w:color w:val="FFFFFF"/>
              </w:rPr>
            </w:pPr>
            <w:r w:rsidRPr="0089495C">
              <w:rPr>
                <w:rFonts w:ascii="Calibri" w:eastAsia="Times New Roman" w:hAnsi="Calibri" w:cs="Times New Roman"/>
                <w:color w:val="FFFFFF"/>
              </w:rPr>
              <w:t>Survey Takers</w:t>
            </w:r>
          </w:p>
        </w:tc>
        <w:tc>
          <w:tcPr>
            <w:tcW w:w="1345" w:type="dxa"/>
            <w:gridSpan w:val="2"/>
            <w:tcBorders>
              <w:top w:val="single" w:sz="8" w:space="0" w:color="auto"/>
              <w:left w:val="nil"/>
              <w:bottom w:val="single" w:sz="8" w:space="0" w:color="auto"/>
              <w:right w:val="single" w:sz="8" w:space="0" w:color="000000"/>
            </w:tcBorders>
            <w:shd w:val="clear" w:color="000000" w:fill="5B9BD5"/>
            <w:noWrap/>
            <w:vAlign w:val="center"/>
            <w:hideMark/>
          </w:tcPr>
          <w:p w14:paraId="7D3C1CD0" w14:textId="77777777" w:rsidR="00D51349" w:rsidRPr="0089495C" w:rsidRDefault="00D51349" w:rsidP="00D51349">
            <w:pPr>
              <w:spacing w:after="0" w:line="240" w:lineRule="auto"/>
              <w:jc w:val="center"/>
              <w:rPr>
                <w:rFonts w:ascii="Calibri" w:eastAsia="Times New Roman" w:hAnsi="Calibri" w:cs="Times New Roman"/>
                <w:color w:val="FFFFFF"/>
              </w:rPr>
            </w:pPr>
            <w:r w:rsidRPr="0089495C">
              <w:rPr>
                <w:rFonts w:ascii="Calibri" w:eastAsia="Times New Roman" w:hAnsi="Calibri" w:cs="Times New Roman"/>
                <w:color w:val="FFFFFF"/>
              </w:rPr>
              <w:t>Survey Non-Takers</w:t>
            </w:r>
          </w:p>
        </w:tc>
      </w:tr>
      <w:tr w:rsidR="00D51349" w:rsidRPr="0089495C" w14:paraId="60E3EB0F" w14:textId="77777777" w:rsidTr="003404B3">
        <w:trPr>
          <w:trHeight w:val="314"/>
        </w:trPr>
        <w:tc>
          <w:tcPr>
            <w:tcW w:w="1156" w:type="dxa"/>
            <w:tcBorders>
              <w:top w:val="nil"/>
              <w:left w:val="single" w:sz="8" w:space="0" w:color="auto"/>
              <w:bottom w:val="single" w:sz="8" w:space="0" w:color="auto"/>
              <w:right w:val="single" w:sz="8" w:space="0" w:color="auto"/>
            </w:tcBorders>
            <w:shd w:val="clear" w:color="000000" w:fill="DCE6F1"/>
            <w:noWrap/>
            <w:vAlign w:val="center"/>
            <w:hideMark/>
          </w:tcPr>
          <w:p w14:paraId="20171BBB" w14:textId="77777777" w:rsidR="00D51349" w:rsidRPr="0089495C" w:rsidRDefault="00D51349" w:rsidP="00D51349">
            <w:pPr>
              <w:spacing w:after="0" w:line="240" w:lineRule="auto"/>
              <w:rPr>
                <w:rFonts w:ascii="Calibri" w:eastAsia="Times New Roman" w:hAnsi="Calibri" w:cs="Times New Roman"/>
                <w:color w:val="000000"/>
                <w:sz w:val="24"/>
                <w:szCs w:val="24"/>
              </w:rPr>
            </w:pPr>
            <w:r w:rsidRPr="0089495C">
              <w:rPr>
                <w:rFonts w:ascii="Calibri" w:eastAsia="Times New Roman" w:hAnsi="Calibri" w:cs="Times New Roman"/>
                <w:color w:val="000000"/>
                <w:sz w:val="24"/>
                <w:szCs w:val="24"/>
              </w:rPr>
              <w:t>Age</w:t>
            </w:r>
          </w:p>
        </w:tc>
        <w:tc>
          <w:tcPr>
            <w:tcW w:w="825" w:type="dxa"/>
            <w:tcBorders>
              <w:top w:val="nil"/>
              <w:left w:val="nil"/>
              <w:bottom w:val="single" w:sz="8" w:space="0" w:color="auto"/>
              <w:right w:val="single" w:sz="8" w:space="0" w:color="auto"/>
            </w:tcBorders>
            <w:shd w:val="clear" w:color="000000" w:fill="DCE6F1"/>
            <w:noWrap/>
            <w:vAlign w:val="center"/>
            <w:hideMark/>
          </w:tcPr>
          <w:p w14:paraId="318F92FA" w14:textId="77777777" w:rsidR="00D51349" w:rsidRPr="0089495C" w:rsidRDefault="00D51349" w:rsidP="00D51349">
            <w:pPr>
              <w:spacing w:after="0" w:line="240" w:lineRule="auto"/>
              <w:jc w:val="center"/>
              <w:rPr>
                <w:rFonts w:ascii="Calibri" w:eastAsia="Times New Roman" w:hAnsi="Calibri" w:cs="Times New Roman"/>
                <w:color w:val="000000"/>
                <w:sz w:val="24"/>
                <w:szCs w:val="24"/>
              </w:rPr>
            </w:pPr>
            <w:r w:rsidRPr="0089495C">
              <w:rPr>
                <w:rFonts w:ascii="Calibri" w:eastAsia="Times New Roman" w:hAnsi="Calibri" w:cs="Times New Roman"/>
                <w:color w:val="000000"/>
                <w:sz w:val="24"/>
                <w:szCs w:val="24"/>
              </w:rPr>
              <w:t>#</w:t>
            </w:r>
          </w:p>
        </w:tc>
        <w:tc>
          <w:tcPr>
            <w:tcW w:w="679" w:type="dxa"/>
            <w:tcBorders>
              <w:top w:val="nil"/>
              <w:left w:val="nil"/>
              <w:bottom w:val="single" w:sz="8" w:space="0" w:color="auto"/>
              <w:right w:val="single" w:sz="8" w:space="0" w:color="auto"/>
            </w:tcBorders>
            <w:shd w:val="clear" w:color="000000" w:fill="DCE6F1"/>
            <w:noWrap/>
            <w:vAlign w:val="center"/>
            <w:hideMark/>
          </w:tcPr>
          <w:p w14:paraId="6C064394" w14:textId="77777777" w:rsidR="00D51349" w:rsidRPr="0089495C" w:rsidRDefault="00D51349" w:rsidP="00D51349">
            <w:pPr>
              <w:spacing w:after="0" w:line="240" w:lineRule="auto"/>
              <w:jc w:val="center"/>
              <w:rPr>
                <w:rFonts w:ascii="Calibri" w:eastAsia="Times New Roman" w:hAnsi="Calibri" w:cs="Times New Roman"/>
                <w:color w:val="000000"/>
                <w:sz w:val="24"/>
                <w:szCs w:val="24"/>
              </w:rPr>
            </w:pPr>
            <w:r w:rsidRPr="0089495C">
              <w:rPr>
                <w:rFonts w:ascii="Calibri" w:eastAsia="Times New Roman" w:hAnsi="Calibri" w:cs="Times New Roman"/>
                <w:color w:val="000000"/>
                <w:sz w:val="24"/>
                <w:szCs w:val="24"/>
              </w:rPr>
              <w:t>%</w:t>
            </w:r>
          </w:p>
        </w:tc>
        <w:tc>
          <w:tcPr>
            <w:tcW w:w="885" w:type="dxa"/>
            <w:tcBorders>
              <w:top w:val="nil"/>
              <w:left w:val="nil"/>
              <w:bottom w:val="single" w:sz="8" w:space="0" w:color="auto"/>
              <w:right w:val="single" w:sz="8" w:space="0" w:color="auto"/>
            </w:tcBorders>
            <w:shd w:val="clear" w:color="000000" w:fill="DCE6F1"/>
            <w:noWrap/>
            <w:vAlign w:val="center"/>
            <w:hideMark/>
          </w:tcPr>
          <w:p w14:paraId="475B7EE6" w14:textId="77777777" w:rsidR="00D51349" w:rsidRPr="0089495C" w:rsidRDefault="00D51349" w:rsidP="00D51349">
            <w:pPr>
              <w:spacing w:after="0" w:line="240" w:lineRule="auto"/>
              <w:jc w:val="center"/>
              <w:rPr>
                <w:rFonts w:ascii="Calibri" w:eastAsia="Times New Roman" w:hAnsi="Calibri" w:cs="Times New Roman"/>
                <w:color w:val="000000"/>
                <w:sz w:val="24"/>
                <w:szCs w:val="24"/>
              </w:rPr>
            </w:pPr>
            <w:r w:rsidRPr="0089495C">
              <w:rPr>
                <w:rFonts w:ascii="Calibri" w:eastAsia="Times New Roman" w:hAnsi="Calibri" w:cs="Times New Roman"/>
                <w:color w:val="000000"/>
                <w:sz w:val="24"/>
                <w:szCs w:val="24"/>
              </w:rPr>
              <w:t>#</w:t>
            </w:r>
          </w:p>
        </w:tc>
        <w:tc>
          <w:tcPr>
            <w:tcW w:w="642" w:type="dxa"/>
            <w:tcBorders>
              <w:top w:val="nil"/>
              <w:left w:val="nil"/>
              <w:bottom w:val="single" w:sz="8" w:space="0" w:color="auto"/>
              <w:right w:val="single" w:sz="8" w:space="0" w:color="auto"/>
            </w:tcBorders>
            <w:shd w:val="clear" w:color="000000" w:fill="DCE6F1"/>
            <w:noWrap/>
            <w:vAlign w:val="center"/>
            <w:hideMark/>
          </w:tcPr>
          <w:p w14:paraId="1C201A65" w14:textId="77777777" w:rsidR="00D51349" w:rsidRPr="0089495C" w:rsidRDefault="00D51349" w:rsidP="00D51349">
            <w:pPr>
              <w:spacing w:after="0" w:line="240" w:lineRule="auto"/>
              <w:jc w:val="center"/>
              <w:rPr>
                <w:rFonts w:ascii="Calibri" w:eastAsia="Times New Roman" w:hAnsi="Calibri" w:cs="Times New Roman"/>
                <w:color w:val="000000"/>
                <w:sz w:val="24"/>
                <w:szCs w:val="24"/>
              </w:rPr>
            </w:pPr>
            <w:r w:rsidRPr="0089495C">
              <w:rPr>
                <w:rFonts w:ascii="Calibri" w:eastAsia="Times New Roman" w:hAnsi="Calibri" w:cs="Times New Roman"/>
                <w:color w:val="000000"/>
                <w:sz w:val="24"/>
                <w:szCs w:val="24"/>
              </w:rPr>
              <w:t>%</w:t>
            </w:r>
          </w:p>
        </w:tc>
        <w:tc>
          <w:tcPr>
            <w:tcW w:w="763" w:type="dxa"/>
            <w:tcBorders>
              <w:top w:val="nil"/>
              <w:left w:val="nil"/>
              <w:bottom w:val="single" w:sz="8" w:space="0" w:color="auto"/>
              <w:right w:val="single" w:sz="8" w:space="0" w:color="auto"/>
            </w:tcBorders>
            <w:shd w:val="clear" w:color="000000" w:fill="DCE6F1"/>
            <w:noWrap/>
            <w:vAlign w:val="center"/>
            <w:hideMark/>
          </w:tcPr>
          <w:p w14:paraId="16A14A31" w14:textId="77777777" w:rsidR="00D51349" w:rsidRPr="0089495C" w:rsidRDefault="00D51349" w:rsidP="00D51349">
            <w:pPr>
              <w:spacing w:after="0" w:line="240" w:lineRule="auto"/>
              <w:jc w:val="center"/>
              <w:rPr>
                <w:rFonts w:ascii="Calibri" w:eastAsia="Times New Roman" w:hAnsi="Calibri" w:cs="Times New Roman"/>
                <w:color w:val="000000"/>
                <w:sz w:val="24"/>
                <w:szCs w:val="24"/>
              </w:rPr>
            </w:pPr>
            <w:r w:rsidRPr="0089495C">
              <w:rPr>
                <w:rFonts w:ascii="Calibri" w:eastAsia="Times New Roman" w:hAnsi="Calibri" w:cs="Times New Roman"/>
                <w:color w:val="000000"/>
                <w:sz w:val="24"/>
                <w:szCs w:val="24"/>
              </w:rPr>
              <w:t>#</w:t>
            </w:r>
          </w:p>
        </w:tc>
        <w:tc>
          <w:tcPr>
            <w:tcW w:w="642" w:type="dxa"/>
            <w:tcBorders>
              <w:top w:val="nil"/>
              <w:left w:val="nil"/>
              <w:bottom w:val="single" w:sz="8" w:space="0" w:color="auto"/>
              <w:right w:val="single" w:sz="8" w:space="0" w:color="auto"/>
            </w:tcBorders>
            <w:shd w:val="clear" w:color="000000" w:fill="DCE6F1"/>
            <w:noWrap/>
            <w:vAlign w:val="center"/>
            <w:hideMark/>
          </w:tcPr>
          <w:p w14:paraId="44A807CD" w14:textId="77777777" w:rsidR="00D51349" w:rsidRPr="0089495C" w:rsidRDefault="00D51349" w:rsidP="00D51349">
            <w:pPr>
              <w:spacing w:after="0" w:line="240" w:lineRule="auto"/>
              <w:jc w:val="center"/>
              <w:rPr>
                <w:rFonts w:ascii="Calibri" w:eastAsia="Times New Roman" w:hAnsi="Calibri" w:cs="Times New Roman"/>
                <w:color w:val="000000"/>
                <w:sz w:val="24"/>
                <w:szCs w:val="24"/>
              </w:rPr>
            </w:pPr>
            <w:r w:rsidRPr="0089495C">
              <w:rPr>
                <w:rFonts w:ascii="Calibri" w:eastAsia="Times New Roman" w:hAnsi="Calibri" w:cs="Times New Roman"/>
                <w:color w:val="000000"/>
                <w:sz w:val="24"/>
                <w:szCs w:val="24"/>
              </w:rPr>
              <w:t>%</w:t>
            </w:r>
          </w:p>
        </w:tc>
        <w:tc>
          <w:tcPr>
            <w:tcW w:w="422" w:type="dxa"/>
            <w:tcBorders>
              <w:top w:val="nil"/>
              <w:left w:val="nil"/>
              <w:bottom w:val="single" w:sz="8" w:space="0" w:color="auto"/>
              <w:right w:val="single" w:sz="8" w:space="0" w:color="auto"/>
            </w:tcBorders>
            <w:shd w:val="clear" w:color="000000" w:fill="DCE6F1"/>
            <w:noWrap/>
            <w:vAlign w:val="center"/>
            <w:hideMark/>
          </w:tcPr>
          <w:p w14:paraId="7D4020AE" w14:textId="77777777" w:rsidR="00D51349" w:rsidRPr="0089495C" w:rsidRDefault="00D51349" w:rsidP="00D51349">
            <w:pPr>
              <w:spacing w:after="0" w:line="240" w:lineRule="auto"/>
              <w:jc w:val="center"/>
              <w:rPr>
                <w:rFonts w:ascii="Calibri" w:eastAsia="Times New Roman" w:hAnsi="Calibri" w:cs="Times New Roman"/>
                <w:color w:val="000000"/>
                <w:sz w:val="24"/>
                <w:szCs w:val="24"/>
              </w:rPr>
            </w:pPr>
            <w:r w:rsidRPr="0089495C">
              <w:rPr>
                <w:rFonts w:ascii="Calibri" w:eastAsia="Times New Roman" w:hAnsi="Calibri" w:cs="Times New Roman"/>
                <w:color w:val="000000"/>
                <w:sz w:val="24"/>
                <w:szCs w:val="24"/>
              </w:rPr>
              <w:t> </w:t>
            </w:r>
          </w:p>
        </w:tc>
        <w:tc>
          <w:tcPr>
            <w:tcW w:w="703" w:type="dxa"/>
            <w:tcBorders>
              <w:top w:val="nil"/>
              <w:left w:val="nil"/>
              <w:bottom w:val="single" w:sz="8" w:space="0" w:color="auto"/>
              <w:right w:val="single" w:sz="8" w:space="0" w:color="auto"/>
            </w:tcBorders>
            <w:shd w:val="clear" w:color="000000" w:fill="DCE6F1"/>
            <w:noWrap/>
            <w:vAlign w:val="center"/>
            <w:hideMark/>
          </w:tcPr>
          <w:p w14:paraId="2032B1EB" w14:textId="77777777" w:rsidR="00D51349" w:rsidRPr="0089495C" w:rsidRDefault="00D51349" w:rsidP="00D51349">
            <w:pPr>
              <w:spacing w:after="0" w:line="240" w:lineRule="auto"/>
              <w:jc w:val="center"/>
              <w:rPr>
                <w:rFonts w:ascii="Calibri" w:eastAsia="Times New Roman" w:hAnsi="Calibri" w:cs="Times New Roman"/>
                <w:color w:val="000000"/>
                <w:sz w:val="24"/>
                <w:szCs w:val="24"/>
              </w:rPr>
            </w:pPr>
            <w:r w:rsidRPr="0089495C">
              <w:rPr>
                <w:rFonts w:ascii="Calibri" w:eastAsia="Times New Roman" w:hAnsi="Calibri" w:cs="Times New Roman"/>
                <w:color w:val="000000"/>
                <w:sz w:val="24"/>
                <w:szCs w:val="24"/>
              </w:rPr>
              <w:t>#</w:t>
            </w:r>
          </w:p>
        </w:tc>
        <w:tc>
          <w:tcPr>
            <w:tcW w:w="643" w:type="dxa"/>
            <w:tcBorders>
              <w:top w:val="nil"/>
              <w:left w:val="nil"/>
              <w:bottom w:val="single" w:sz="8" w:space="0" w:color="auto"/>
              <w:right w:val="single" w:sz="8" w:space="0" w:color="auto"/>
            </w:tcBorders>
            <w:shd w:val="clear" w:color="000000" w:fill="DCE6F1"/>
            <w:noWrap/>
            <w:vAlign w:val="center"/>
            <w:hideMark/>
          </w:tcPr>
          <w:p w14:paraId="53E03DD7" w14:textId="77777777" w:rsidR="00D51349" w:rsidRPr="0089495C" w:rsidRDefault="00D51349" w:rsidP="00D51349">
            <w:pPr>
              <w:spacing w:after="0" w:line="240" w:lineRule="auto"/>
              <w:jc w:val="center"/>
              <w:rPr>
                <w:rFonts w:ascii="Calibri" w:eastAsia="Times New Roman" w:hAnsi="Calibri" w:cs="Times New Roman"/>
                <w:color w:val="000000"/>
                <w:sz w:val="24"/>
                <w:szCs w:val="24"/>
              </w:rPr>
            </w:pPr>
            <w:r w:rsidRPr="0089495C">
              <w:rPr>
                <w:rFonts w:ascii="Calibri" w:eastAsia="Times New Roman" w:hAnsi="Calibri" w:cs="Times New Roman"/>
                <w:color w:val="000000"/>
                <w:sz w:val="24"/>
                <w:szCs w:val="24"/>
              </w:rPr>
              <w:t>%</w:t>
            </w:r>
          </w:p>
        </w:tc>
        <w:tc>
          <w:tcPr>
            <w:tcW w:w="703" w:type="dxa"/>
            <w:tcBorders>
              <w:top w:val="nil"/>
              <w:left w:val="nil"/>
              <w:bottom w:val="single" w:sz="8" w:space="0" w:color="auto"/>
              <w:right w:val="single" w:sz="8" w:space="0" w:color="auto"/>
            </w:tcBorders>
            <w:shd w:val="clear" w:color="000000" w:fill="DCE6F1"/>
            <w:noWrap/>
            <w:vAlign w:val="center"/>
            <w:hideMark/>
          </w:tcPr>
          <w:p w14:paraId="5CB14728" w14:textId="77777777" w:rsidR="00D51349" w:rsidRPr="0089495C" w:rsidRDefault="00D51349" w:rsidP="00D51349">
            <w:pPr>
              <w:spacing w:after="0" w:line="240" w:lineRule="auto"/>
              <w:jc w:val="center"/>
              <w:rPr>
                <w:rFonts w:ascii="Calibri" w:eastAsia="Times New Roman" w:hAnsi="Calibri" w:cs="Times New Roman"/>
                <w:color w:val="000000"/>
                <w:sz w:val="24"/>
                <w:szCs w:val="24"/>
              </w:rPr>
            </w:pPr>
            <w:r w:rsidRPr="0089495C">
              <w:rPr>
                <w:rFonts w:ascii="Calibri" w:eastAsia="Times New Roman" w:hAnsi="Calibri" w:cs="Times New Roman"/>
                <w:color w:val="000000"/>
                <w:sz w:val="24"/>
                <w:szCs w:val="24"/>
              </w:rPr>
              <w:t>#</w:t>
            </w:r>
          </w:p>
        </w:tc>
        <w:tc>
          <w:tcPr>
            <w:tcW w:w="642" w:type="dxa"/>
            <w:tcBorders>
              <w:top w:val="nil"/>
              <w:left w:val="nil"/>
              <w:bottom w:val="single" w:sz="8" w:space="0" w:color="auto"/>
              <w:right w:val="single" w:sz="8" w:space="0" w:color="auto"/>
            </w:tcBorders>
            <w:shd w:val="clear" w:color="000000" w:fill="DCE6F1"/>
            <w:noWrap/>
            <w:vAlign w:val="center"/>
            <w:hideMark/>
          </w:tcPr>
          <w:p w14:paraId="1803B282" w14:textId="77777777" w:rsidR="00D51349" w:rsidRPr="0089495C" w:rsidRDefault="00D51349" w:rsidP="00D51349">
            <w:pPr>
              <w:spacing w:after="0" w:line="240" w:lineRule="auto"/>
              <w:jc w:val="center"/>
              <w:rPr>
                <w:rFonts w:ascii="Calibri" w:eastAsia="Times New Roman" w:hAnsi="Calibri" w:cs="Times New Roman"/>
                <w:color w:val="000000"/>
                <w:sz w:val="24"/>
                <w:szCs w:val="24"/>
              </w:rPr>
            </w:pPr>
            <w:r w:rsidRPr="0089495C">
              <w:rPr>
                <w:rFonts w:ascii="Calibri" w:eastAsia="Times New Roman" w:hAnsi="Calibri" w:cs="Times New Roman"/>
                <w:color w:val="000000"/>
                <w:sz w:val="24"/>
                <w:szCs w:val="24"/>
              </w:rPr>
              <w:t>%</w:t>
            </w:r>
          </w:p>
        </w:tc>
      </w:tr>
      <w:tr w:rsidR="003404B3" w:rsidRPr="0089495C" w14:paraId="763BBDFE" w14:textId="77777777" w:rsidTr="003404B3">
        <w:trPr>
          <w:trHeight w:val="314"/>
        </w:trPr>
        <w:tc>
          <w:tcPr>
            <w:tcW w:w="1156" w:type="dxa"/>
            <w:tcBorders>
              <w:top w:val="nil"/>
              <w:left w:val="single" w:sz="8" w:space="0" w:color="auto"/>
              <w:bottom w:val="single" w:sz="8" w:space="0" w:color="auto"/>
              <w:right w:val="single" w:sz="8" w:space="0" w:color="auto"/>
            </w:tcBorders>
            <w:shd w:val="clear" w:color="auto" w:fill="auto"/>
            <w:noWrap/>
            <w:vAlign w:val="center"/>
            <w:hideMark/>
          </w:tcPr>
          <w:p w14:paraId="22BD8361" w14:textId="77777777" w:rsidR="003404B3" w:rsidRPr="00BB495F" w:rsidRDefault="003404B3" w:rsidP="003404B3">
            <w:pPr>
              <w:spacing w:after="0" w:line="240" w:lineRule="auto"/>
              <w:rPr>
                <w:rFonts w:eastAsia="Times New Roman" w:cs="Times New Roman"/>
                <w:color w:val="000000"/>
                <w:sz w:val="24"/>
                <w:szCs w:val="24"/>
              </w:rPr>
            </w:pPr>
            <w:r w:rsidRPr="00BB495F">
              <w:rPr>
                <w:rFonts w:eastAsia="Times New Roman" w:cs="Times New Roman"/>
                <w:color w:val="000000"/>
                <w:sz w:val="24"/>
                <w:szCs w:val="24"/>
              </w:rPr>
              <w:t>18-39</w:t>
            </w:r>
          </w:p>
        </w:tc>
        <w:tc>
          <w:tcPr>
            <w:tcW w:w="825" w:type="dxa"/>
            <w:tcBorders>
              <w:top w:val="nil"/>
              <w:left w:val="nil"/>
              <w:bottom w:val="single" w:sz="8" w:space="0" w:color="auto"/>
              <w:right w:val="single" w:sz="8" w:space="0" w:color="auto"/>
            </w:tcBorders>
            <w:shd w:val="clear" w:color="auto" w:fill="auto"/>
            <w:noWrap/>
            <w:vAlign w:val="center"/>
            <w:hideMark/>
          </w:tcPr>
          <w:p w14:paraId="5B65ED6A" w14:textId="77777777" w:rsidR="003404B3" w:rsidRPr="00BB495F" w:rsidRDefault="003404B3" w:rsidP="003404B3">
            <w:pPr>
              <w:spacing w:after="0" w:line="240" w:lineRule="auto"/>
              <w:jc w:val="right"/>
              <w:rPr>
                <w:rFonts w:eastAsia="Times New Roman" w:cs="Times New Roman"/>
                <w:color w:val="000000"/>
                <w:sz w:val="24"/>
                <w:szCs w:val="24"/>
              </w:rPr>
            </w:pPr>
            <w:r w:rsidRPr="00BB495F">
              <w:rPr>
                <w:rFonts w:eastAsia="Times New Roman" w:cs="Times New Roman"/>
                <w:color w:val="000000"/>
                <w:sz w:val="24"/>
                <w:szCs w:val="24"/>
              </w:rPr>
              <w:t>567</w:t>
            </w:r>
          </w:p>
        </w:tc>
        <w:tc>
          <w:tcPr>
            <w:tcW w:w="679" w:type="dxa"/>
            <w:tcBorders>
              <w:top w:val="nil"/>
              <w:left w:val="nil"/>
              <w:bottom w:val="single" w:sz="8" w:space="0" w:color="auto"/>
              <w:right w:val="single" w:sz="8" w:space="0" w:color="auto"/>
            </w:tcBorders>
            <w:shd w:val="clear" w:color="auto" w:fill="auto"/>
            <w:noWrap/>
            <w:vAlign w:val="center"/>
            <w:hideMark/>
          </w:tcPr>
          <w:p w14:paraId="7051D8CA" w14:textId="77777777" w:rsidR="003404B3" w:rsidRPr="00BB495F" w:rsidRDefault="003404B3" w:rsidP="003404B3">
            <w:pPr>
              <w:spacing w:after="0" w:line="240" w:lineRule="auto"/>
              <w:jc w:val="right"/>
              <w:rPr>
                <w:rFonts w:eastAsia="Times New Roman" w:cs="Times New Roman"/>
                <w:color w:val="000000"/>
                <w:sz w:val="24"/>
                <w:szCs w:val="24"/>
              </w:rPr>
            </w:pPr>
            <w:r w:rsidRPr="00BB495F">
              <w:rPr>
                <w:rFonts w:eastAsia="Times New Roman" w:cs="Times New Roman"/>
                <w:color w:val="000000"/>
                <w:sz w:val="24"/>
                <w:szCs w:val="24"/>
              </w:rPr>
              <w:t>3.6</w:t>
            </w:r>
          </w:p>
        </w:tc>
        <w:tc>
          <w:tcPr>
            <w:tcW w:w="885" w:type="dxa"/>
            <w:tcBorders>
              <w:top w:val="nil"/>
              <w:left w:val="nil"/>
              <w:bottom w:val="single" w:sz="8" w:space="0" w:color="auto"/>
              <w:right w:val="single" w:sz="8" w:space="0" w:color="auto"/>
            </w:tcBorders>
            <w:shd w:val="clear" w:color="auto" w:fill="auto"/>
            <w:noWrap/>
            <w:vAlign w:val="bottom"/>
            <w:hideMark/>
          </w:tcPr>
          <w:p w14:paraId="0EF6C30F" w14:textId="4BAD6C49" w:rsidR="003404B3" w:rsidRPr="00E9523E" w:rsidRDefault="003404B3" w:rsidP="003404B3">
            <w:pPr>
              <w:spacing w:after="0" w:line="240" w:lineRule="auto"/>
              <w:jc w:val="right"/>
              <w:rPr>
                <w:rFonts w:eastAsia="Times New Roman" w:cs="Times New Roman"/>
                <w:color w:val="000000"/>
                <w:sz w:val="24"/>
                <w:szCs w:val="24"/>
              </w:rPr>
            </w:pPr>
            <w:r w:rsidRPr="00E9523E">
              <w:rPr>
                <w:rFonts w:ascii="Calibri" w:hAnsi="Calibri"/>
                <w:color w:val="000000"/>
                <w:sz w:val="24"/>
                <w:szCs w:val="24"/>
              </w:rPr>
              <w:t>234</w:t>
            </w:r>
          </w:p>
        </w:tc>
        <w:tc>
          <w:tcPr>
            <w:tcW w:w="642" w:type="dxa"/>
            <w:tcBorders>
              <w:top w:val="nil"/>
              <w:left w:val="nil"/>
              <w:bottom w:val="single" w:sz="8" w:space="0" w:color="auto"/>
              <w:right w:val="single" w:sz="8" w:space="0" w:color="auto"/>
            </w:tcBorders>
            <w:shd w:val="clear" w:color="auto" w:fill="auto"/>
            <w:noWrap/>
            <w:vAlign w:val="bottom"/>
            <w:hideMark/>
          </w:tcPr>
          <w:p w14:paraId="2BA5CBBA" w14:textId="7D25ACEA" w:rsidR="003404B3" w:rsidRPr="003404B3" w:rsidRDefault="003404B3" w:rsidP="003404B3">
            <w:pPr>
              <w:spacing w:after="0" w:line="240" w:lineRule="auto"/>
              <w:jc w:val="right"/>
              <w:rPr>
                <w:rFonts w:eastAsia="Times New Roman" w:cs="Times New Roman"/>
                <w:color w:val="000000"/>
                <w:sz w:val="24"/>
                <w:szCs w:val="24"/>
              </w:rPr>
            </w:pPr>
            <w:r w:rsidRPr="003404B3">
              <w:rPr>
                <w:rFonts w:ascii="Calibri" w:hAnsi="Calibri"/>
                <w:color w:val="000000"/>
                <w:sz w:val="24"/>
                <w:szCs w:val="24"/>
              </w:rPr>
              <w:t>2.3</w:t>
            </w:r>
          </w:p>
        </w:tc>
        <w:tc>
          <w:tcPr>
            <w:tcW w:w="763" w:type="dxa"/>
            <w:tcBorders>
              <w:top w:val="nil"/>
              <w:left w:val="nil"/>
              <w:bottom w:val="single" w:sz="8" w:space="0" w:color="auto"/>
              <w:right w:val="single" w:sz="8" w:space="0" w:color="auto"/>
            </w:tcBorders>
            <w:shd w:val="clear" w:color="auto" w:fill="auto"/>
            <w:noWrap/>
            <w:vAlign w:val="bottom"/>
            <w:hideMark/>
          </w:tcPr>
          <w:p w14:paraId="128557AB" w14:textId="24730FD9" w:rsidR="003404B3" w:rsidRPr="003404B3" w:rsidRDefault="003404B3" w:rsidP="003404B3">
            <w:pPr>
              <w:spacing w:after="0" w:line="240" w:lineRule="auto"/>
              <w:jc w:val="right"/>
              <w:rPr>
                <w:rFonts w:eastAsia="Times New Roman" w:cs="Times New Roman"/>
                <w:color w:val="000000"/>
                <w:sz w:val="24"/>
                <w:szCs w:val="24"/>
              </w:rPr>
            </w:pPr>
            <w:r w:rsidRPr="003404B3">
              <w:rPr>
                <w:rFonts w:ascii="Calibri" w:hAnsi="Calibri"/>
                <w:color w:val="000000"/>
                <w:sz w:val="24"/>
                <w:szCs w:val="24"/>
              </w:rPr>
              <w:t>333</w:t>
            </w:r>
          </w:p>
        </w:tc>
        <w:tc>
          <w:tcPr>
            <w:tcW w:w="642" w:type="dxa"/>
            <w:tcBorders>
              <w:top w:val="nil"/>
              <w:left w:val="nil"/>
              <w:bottom w:val="single" w:sz="8" w:space="0" w:color="auto"/>
              <w:right w:val="single" w:sz="8" w:space="0" w:color="auto"/>
            </w:tcBorders>
            <w:shd w:val="clear" w:color="auto" w:fill="auto"/>
            <w:noWrap/>
            <w:vAlign w:val="bottom"/>
            <w:hideMark/>
          </w:tcPr>
          <w:p w14:paraId="2080FE56" w14:textId="7644D912" w:rsidR="003404B3" w:rsidRPr="003404B3" w:rsidRDefault="003404B3" w:rsidP="003404B3">
            <w:pPr>
              <w:spacing w:after="0" w:line="240" w:lineRule="auto"/>
              <w:jc w:val="right"/>
              <w:rPr>
                <w:rFonts w:eastAsia="Times New Roman" w:cs="Times New Roman"/>
                <w:color w:val="000000"/>
                <w:sz w:val="24"/>
                <w:szCs w:val="24"/>
              </w:rPr>
            </w:pPr>
            <w:r w:rsidRPr="003404B3">
              <w:rPr>
                <w:rFonts w:ascii="Calibri" w:hAnsi="Calibri"/>
                <w:color w:val="000000"/>
                <w:sz w:val="24"/>
                <w:szCs w:val="24"/>
              </w:rPr>
              <w:t>5.7</w:t>
            </w:r>
          </w:p>
        </w:tc>
        <w:tc>
          <w:tcPr>
            <w:tcW w:w="422" w:type="dxa"/>
            <w:tcBorders>
              <w:top w:val="nil"/>
              <w:left w:val="nil"/>
              <w:bottom w:val="single" w:sz="8" w:space="0" w:color="auto"/>
              <w:right w:val="single" w:sz="8" w:space="0" w:color="auto"/>
            </w:tcBorders>
            <w:shd w:val="clear" w:color="auto" w:fill="auto"/>
            <w:noWrap/>
            <w:vAlign w:val="center"/>
            <w:hideMark/>
          </w:tcPr>
          <w:p w14:paraId="0FA9DA19" w14:textId="77777777" w:rsidR="003404B3" w:rsidRPr="00BB495F" w:rsidRDefault="003404B3" w:rsidP="003404B3">
            <w:pPr>
              <w:spacing w:after="0" w:line="240" w:lineRule="auto"/>
              <w:rPr>
                <w:rFonts w:eastAsia="Times New Roman" w:cs="Times New Roman"/>
                <w:color w:val="000000"/>
                <w:sz w:val="24"/>
                <w:szCs w:val="24"/>
              </w:rPr>
            </w:pPr>
            <w:r w:rsidRPr="00BB495F">
              <w:rPr>
                <w:rFonts w:eastAsia="Times New Roman" w:cs="Times New Roman"/>
                <w:color w:val="000000"/>
                <w:sz w:val="24"/>
                <w:szCs w:val="24"/>
              </w:rPr>
              <w:t> </w:t>
            </w:r>
          </w:p>
        </w:tc>
        <w:tc>
          <w:tcPr>
            <w:tcW w:w="703" w:type="dxa"/>
            <w:tcBorders>
              <w:top w:val="nil"/>
              <w:left w:val="nil"/>
              <w:bottom w:val="single" w:sz="8" w:space="0" w:color="auto"/>
              <w:right w:val="single" w:sz="8" w:space="0" w:color="auto"/>
            </w:tcBorders>
            <w:shd w:val="clear" w:color="auto" w:fill="auto"/>
            <w:noWrap/>
            <w:vAlign w:val="bottom"/>
            <w:hideMark/>
          </w:tcPr>
          <w:p w14:paraId="0220B50C" w14:textId="7AE76A07" w:rsidR="003404B3" w:rsidRPr="003404B3" w:rsidRDefault="003404B3" w:rsidP="003404B3">
            <w:pPr>
              <w:spacing w:after="0" w:line="240" w:lineRule="auto"/>
              <w:jc w:val="right"/>
              <w:rPr>
                <w:rFonts w:eastAsia="Times New Roman" w:cs="Times New Roman"/>
                <w:color w:val="000000"/>
                <w:sz w:val="24"/>
                <w:szCs w:val="24"/>
              </w:rPr>
            </w:pPr>
            <w:r w:rsidRPr="003404B3">
              <w:rPr>
                <w:color w:val="000000"/>
                <w:sz w:val="24"/>
                <w:szCs w:val="24"/>
              </w:rPr>
              <w:t>178</w:t>
            </w:r>
          </w:p>
        </w:tc>
        <w:tc>
          <w:tcPr>
            <w:tcW w:w="643" w:type="dxa"/>
            <w:tcBorders>
              <w:top w:val="nil"/>
              <w:left w:val="nil"/>
              <w:bottom w:val="single" w:sz="8" w:space="0" w:color="auto"/>
              <w:right w:val="single" w:sz="8" w:space="0" w:color="auto"/>
            </w:tcBorders>
            <w:shd w:val="clear" w:color="auto" w:fill="auto"/>
            <w:noWrap/>
            <w:vAlign w:val="bottom"/>
            <w:hideMark/>
          </w:tcPr>
          <w:p w14:paraId="3BCE372C" w14:textId="711D4871" w:rsidR="003404B3" w:rsidRPr="003404B3" w:rsidRDefault="003404B3" w:rsidP="003404B3">
            <w:pPr>
              <w:spacing w:after="0" w:line="240" w:lineRule="auto"/>
              <w:jc w:val="right"/>
              <w:rPr>
                <w:rFonts w:eastAsia="Times New Roman" w:cs="Times New Roman"/>
                <w:color w:val="000000"/>
                <w:sz w:val="24"/>
                <w:szCs w:val="24"/>
              </w:rPr>
            </w:pPr>
            <w:r w:rsidRPr="003404B3">
              <w:rPr>
                <w:color w:val="000000"/>
                <w:sz w:val="24"/>
                <w:szCs w:val="24"/>
              </w:rPr>
              <w:t>5.7</w:t>
            </w:r>
          </w:p>
        </w:tc>
        <w:tc>
          <w:tcPr>
            <w:tcW w:w="703" w:type="dxa"/>
            <w:tcBorders>
              <w:top w:val="nil"/>
              <w:left w:val="nil"/>
              <w:bottom w:val="single" w:sz="8" w:space="0" w:color="auto"/>
              <w:right w:val="single" w:sz="8" w:space="0" w:color="auto"/>
            </w:tcBorders>
            <w:shd w:val="clear" w:color="auto" w:fill="auto"/>
            <w:noWrap/>
            <w:vAlign w:val="bottom"/>
            <w:hideMark/>
          </w:tcPr>
          <w:p w14:paraId="71275419" w14:textId="0C598D28" w:rsidR="003404B3" w:rsidRPr="003404B3" w:rsidRDefault="003404B3" w:rsidP="003404B3">
            <w:pPr>
              <w:spacing w:after="0" w:line="240" w:lineRule="auto"/>
              <w:jc w:val="right"/>
              <w:rPr>
                <w:rFonts w:eastAsia="Times New Roman" w:cs="Times New Roman"/>
                <w:color w:val="000000"/>
                <w:sz w:val="24"/>
                <w:szCs w:val="24"/>
              </w:rPr>
            </w:pPr>
            <w:r w:rsidRPr="003404B3">
              <w:rPr>
                <w:color w:val="000000"/>
                <w:sz w:val="24"/>
                <w:szCs w:val="24"/>
              </w:rPr>
              <w:t>155</w:t>
            </w:r>
          </w:p>
        </w:tc>
        <w:tc>
          <w:tcPr>
            <w:tcW w:w="642" w:type="dxa"/>
            <w:tcBorders>
              <w:top w:val="nil"/>
              <w:left w:val="nil"/>
              <w:bottom w:val="single" w:sz="8" w:space="0" w:color="auto"/>
              <w:right w:val="single" w:sz="8" w:space="0" w:color="auto"/>
            </w:tcBorders>
            <w:shd w:val="clear" w:color="auto" w:fill="auto"/>
            <w:noWrap/>
            <w:vAlign w:val="bottom"/>
            <w:hideMark/>
          </w:tcPr>
          <w:p w14:paraId="0CD22E02" w14:textId="376AB765" w:rsidR="003404B3" w:rsidRPr="003404B3" w:rsidRDefault="003404B3" w:rsidP="003404B3">
            <w:pPr>
              <w:spacing w:after="0" w:line="240" w:lineRule="auto"/>
              <w:jc w:val="right"/>
              <w:rPr>
                <w:rFonts w:eastAsia="Times New Roman" w:cs="Times New Roman"/>
                <w:color w:val="000000"/>
                <w:sz w:val="24"/>
                <w:szCs w:val="24"/>
              </w:rPr>
            </w:pPr>
            <w:r w:rsidRPr="003404B3">
              <w:rPr>
                <w:color w:val="000000"/>
                <w:sz w:val="24"/>
                <w:szCs w:val="24"/>
              </w:rPr>
              <w:t>5.7</w:t>
            </w:r>
          </w:p>
        </w:tc>
      </w:tr>
      <w:tr w:rsidR="003404B3" w:rsidRPr="0089495C" w14:paraId="38006908" w14:textId="77777777" w:rsidTr="003404B3">
        <w:trPr>
          <w:trHeight w:val="314"/>
        </w:trPr>
        <w:tc>
          <w:tcPr>
            <w:tcW w:w="1156" w:type="dxa"/>
            <w:tcBorders>
              <w:top w:val="nil"/>
              <w:left w:val="single" w:sz="8" w:space="0" w:color="auto"/>
              <w:bottom w:val="single" w:sz="8" w:space="0" w:color="auto"/>
              <w:right w:val="single" w:sz="8" w:space="0" w:color="auto"/>
            </w:tcBorders>
            <w:shd w:val="clear" w:color="auto" w:fill="auto"/>
            <w:noWrap/>
            <w:vAlign w:val="center"/>
            <w:hideMark/>
          </w:tcPr>
          <w:p w14:paraId="6CF4AD1C" w14:textId="77777777" w:rsidR="003404B3" w:rsidRPr="00BB495F" w:rsidRDefault="003404B3" w:rsidP="003404B3">
            <w:pPr>
              <w:spacing w:after="0" w:line="240" w:lineRule="auto"/>
              <w:rPr>
                <w:rFonts w:eastAsia="Times New Roman" w:cs="Times New Roman"/>
                <w:color w:val="000000"/>
                <w:sz w:val="24"/>
                <w:szCs w:val="24"/>
              </w:rPr>
            </w:pPr>
            <w:r w:rsidRPr="00BB495F">
              <w:rPr>
                <w:rFonts w:eastAsia="Times New Roman" w:cs="Times New Roman"/>
                <w:color w:val="000000"/>
                <w:sz w:val="24"/>
                <w:szCs w:val="24"/>
              </w:rPr>
              <w:t>40-49</w:t>
            </w:r>
          </w:p>
        </w:tc>
        <w:tc>
          <w:tcPr>
            <w:tcW w:w="825" w:type="dxa"/>
            <w:tcBorders>
              <w:top w:val="nil"/>
              <w:left w:val="nil"/>
              <w:bottom w:val="single" w:sz="8" w:space="0" w:color="auto"/>
              <w:right w:val="single" w:sz="8" w:space="0" w:color="auto"/>
            </w:tcBorders>
            <w:shd w:val="clear" w:color="auto" w:fill="auto"/>
            <w:noWrap/>
            <w:vAlign w:val="center"/>
            <w:hideMark/>
          </w:tcPr>
          <w:p w14:paraId="01A2047C" w14:textId="77777777" w:rsidR="003404B3" w:rsidRPr="00BB495F" w:rsidRDefault="003404B3" w:rsidP="003404B3">
            <w:pPr>
              <w:spacing w:after="0" w:line="240" w:lineRule="auto"/>
              <w:jc w:val="right"/>
              <w:rPr>
                <w:rFonts w:eastAsia="Times New Roman" w:cs="Times New Roman"/>
                <w:color w:val="000000"/>
                <w:sz w:val="24"/>
                <w:szCs w:val="24"/>
              </w:rPr>
            </w:pPr>
            <w:r w:rsidRPr="00BB495F">
              <w:rPr>
                <w:rFonts w:eastAsia="Times New Roman" w:cs="Times New Roman"/>
                <w:color w:val="000000"/>
                <w:sz w:val="24"/>
                <w:szCs w:val="24"/>
              </w:rPr>
              <w:t>1667</w:t>
            </w:r>
          </w:p>
        </w:tc>
        <w:tc>
          <w:tcPr>
            <w:tcW w:w="679" w:type="dxa"/>
            <w:tcBorders>
              <w:top w:val="nil"/>
              <w:left w:val="nil"/>
              <w:bottom w:val="single" w:sz="8" w:space="0" w:color="auto"/>
              <w:right w:val="single" w:sz="8" w:space="0" w:color="auto"/>
            </w:tcBorders>
            <w:shd w:val="clear" w:color="auto" w:fill="auto"/>
            <w:noWrap/>
            <w:vAlign w:val="center"/>
            <w:hideMark/>
          </w:tcPr>
          <w:p w14:paraId="3F92BF85" w14:textId="77777777" w:rsidR="003404B3" w:rsidRPr="00BB495F" w:rsidRDefault="003404B3" w:rsidP="003404B3">
            <w:pPr>
              <w:spacing w:after="0" w:line="240" w:lineRule="auto"/>
              <w:jc w:val="right"/>
              <w:rPr>
                <w:rFonts w:eastAsia="Times New Roman" w:cs="Times New Roman"/>
                <w:color w:val="000000"/>
                <w:sz w:val="24"/>
                <w:szCs w:val="24"/>
              </w:rPr>
            </w:pPr>
            <w:r w:rsidRPr="00BB495F">
              <w:rPr>
                <w:rFonts w:eastAsia="Times New Roman" w:cs="Times New Roman"/>
                <w:color w:val="000000"/>
                <w:sz w:val="24"/>
                <w:szCs w:val="24"/>
              </w:rPr>
              <w:t>10.5</w:t>
            </w:r>
          </w:p>
        </w:tc>
        <w:tc>
          <w:tcPr>
            <w:tcW w:w="885" w:type="dxa"/>
            <w:tcBorders>
              <w:top w:val="nil"/>
              <w:left w:val="nil"/>
              <w:bottom w:val="single" w:sz="8" w:space="0" w:color="auto"/>
              <w:right w:val="single" w:sz="8" w:space="0" w:color="auto"/>
            </w:tcBorders>
            <w:shd w:val="clear" w:color="auto" w:fill="auto"/>
            <w:noWrap/>
            <w:vAlign w:val="bottom"/>
            <w:hideMark/>
          </w:tcPr>
          <w:p w14:paraId="7BCA2D2D" w14:textId="01A0F49C" w:rsidR="003404B3" w:rsidRPr="00E9523E" w:rsidRDefault="003404B3" w:rsidP="003404B3">
            <w:pPr>
              <w:spacing w:after="0" w:line="240" w:lineRule="auto"/>
              <w:jc w:val="right"/>
              <w:rPr>
                <w:rFonts w:eastAsia="Times New Roman" w:cs="Times New Roman"/>
                <w:color w:val="000000"/>
                <w:sz w:val="24"/>
                <w:szCs w:val="24"/>
              </w:rPr>
            </w:pPr>
            <w:r w:rsidRPr="00E9523E">
              <w:rPr>
                <w:rFonts w:ascii="Calibri" w:hAnsi="Calibri"/>
                <w:color w:val="000000"/>
                <w:sz w:val="24"/>
                <w:szCs w:val="24"/>
              </w:rPr>
              <w:t>771</w:t>
            </w:r>
          </w:p>
        </w:tc>
        <w:tc>
          <w:tcPr>
            <w:tcW w:w="642" w:type="dxa"/>
            <w:tcBorders>
              <w:top w:val="nil"/>
              <w:left w:val="nil"/>
              <w:bottom w:val="single" w:sz="8" w:space="0" w:color="auto"/>
              <w:right w:val="single" w:sz="8" w:space="0" w:color="auto"/>
            </w:tcBorders>
            <w:shd w:val="clear" w:color="auto" w:fill="auto"/>
            <w:noWrap/>
            <w:vAlign w:val="bottom"/>
            <w:hideMark/>
          </w:tcPr>
          <w:p w14:paraId="1634172E" w14:textId="03E92AA5" w:rsidR="003404B3" w:rsidRPr="003404B3" w:rsidRDefault="003404B3" w:rsidP="003404B3">
            <w:pPr>
              <w:spacing w:after="0" w:line="240" w:lineRule="auto"/>
              <w:jc w:val="right"/>
              <w:rPr>
                <w:rFonts w:eastAsia="Times New Roman" w:cs="Times New Roman"/>
                <w:color w:val="000000"/>
                <w:sz w:val="24"/>
                <w:szCs w:val="24"/>
              </w:rPr>
            </w:pPr>
            <w:r w:rsidRPr="003404B3">
              <w:rPr>
                <w:rFonts w:ascii="Calibri" w:hAnsi="Calibri"/>
                <w:color w:val="000000"/>
                <w:sz w:val="24"/>
                <w:szCs w:val="24"/>
              </w:rPr>
              <w:t>7.7</w:t>
            </w:r>
          </w:p>
        </w:tc>
        <w:tc>
          <w:tcPr>
            <w:tcW w:w="763" w:type="dxa"/>
            <w:tcBorders>
              <w:top w:val="nil"/>
              <w:left w:val="nil"/>
              <w:bottom w:val="single" w:sz="8" w:space="0" w:color="auto"/>
              <w:right w:val="single" w:sz="8" w:space="0" w:color="auto"/>
            </w:tcBorders>
            <w:shd w:val="clear" w:color="auto" w:fill="auto"/>
            <w:noWrap/>
            <w:vAlign w:val="bottom"/>
            <w:hideMark/>
          </w:tcPr>
          <w:p w14:paraId="6769EEB0" w14:textId="58DA74CF" w:rsidR="003404B3" w:rsidRPr="003404B3" w:rsidRDefault="003404B3" w:rsidP="003404B3">
            <w:pPr>
              <w:spacing w:after="0" w:line="240" w:lineRule="auto"/>
              <w:jc w:val="right"/>
              <w:rPr>
                <w:rFonts w:eastAsia="Times New Roman" w:cs="Times New Roman"/>
                <w:color w:val="000000"/>
                <w:sz w:val="24"/>
                <w:szCs w:val="24"/>
              </w:rPr>
            </w:pPr>
            <w:r w:rsidRPr="003404B3">
              <w:rPr>
                <w:rFonts w:ascii="Calibri" w:hAnsi="Calibri"/>
                <w:color w:val="000000"/>
                <w:sz w:val="24"/>
                <w:szCs w:val="24"/>
              </w:rPr>
              <w:t>896</w:t>
            </w:r>
          </w:p>
        </w:tc>
        <w:tc>
          <w:tcPr>
            <w:tcW w:w="642" w:type="dxa"/>
            <w:tcBorders>
              <w:top w:val="nil"/>
              <w:left w:val="nil"/>
              <w:bottom w:val="single" w:sz="8" w:space="0" w:color="auto"/>
              <w:right w:val="single" w:sz="8" w:space="0" w:color="auto"/>
            </w:tcBorders>
            <w:shd w:val="clear" w:color="auto" w:fill="auto"/>
            <w:noWrap/>
            <w:vAlign w:val="bottom"/>
            <w:hideMark/>
          </w:tcPr>
          <w:p w14:paraId="65F6D1DE" w14:textId="13F98B8A" w:rsidR="003404B3" w:rsidRPr="003404B3" w:rsidRDefault="003404B3" w:rsidP="003404B3">
            <w:pPr>
              <w:spacing w:after="0" w:line="240" w:lineRule="auto"/>
              <w:jc w:val="right"/>
              <w:rPr>
                <w:rFonts w:eastAsia="Times New Roman" w:cs="Times New Roman"/>
                <w:color w:val="000000"/>
                <w:sz w:val="24"/>
                <w:szCs w:val="24"/>
              </w:rPr>
            </w:pPr>
            <w:r w:rsidRPr="003404B3">
              <w:rPr>
                <w:rFonts w:ascii="Calibri" w:hAnsi="Calibri"/>
                <w:color w:val="000000"/>
                <w:sz w:val="24"/>
                <w:szCs w:val="24"/>
              </w:rPr>
              <w:t>15.3</w:t>
            </w:r>
          </w:p>
        </w:tc>
        <w:tc>
          <w:tcPr>
            <w:tcW w:w="422" w:type="dxa"/>
            <w:tcBorders>
              <w:top w:val="nil"/>
              <w:left w:val="nil"/>
              <w:bottom w:val="single" w:sz="8" w:space="0" w:color="auto"/>
              <w:right w:val="single" w:sz="8" w:space="0" w:color="auto"/>
            </w:tcBorders>
            <w:shd w:val="clear" w:color="auto" w:fill="auto"/>
            <w:noWrap/>
            <w:vAlign w:val="center"/>
            <w:hideMark/>
          </w:tcPr>
          <w:p w14:paraId="48DE1C1F" w14:textId="77777777" w:rsidR="003404B3" w:rsidRPr="00BB495F" w:rsidRDefault="003404B3" w:rsidP="003404B3">
            <w:pPr>
              <w:spacing w:after="0" w:line="240" w:lineRule="auto"/>
              <w:rPr>
                <w:rFonts w:eastAsia="Times New Roman" w:cs="Times New Roman"/>
                <w:color w:val="000000"/>
                <w:sz w:val="24"/>
                <w:szCs w:val="24"/>
              </w:rPr>
            </w:pPr>
            <w:r w:rsidRPr="00BB495F">
              <w:rPr>
                <w:rFonts w:eastAsia="Times New Roman" w:cs="Times New Roman"/>
                <w:color w:val="000000"/>
                <w:sz w:val="24"/>
                <w:szCs w:val="24"/>
              </w:rPr>
              <w:t> </w:t>
            </w:r>
          </w:p>
        </w:tc>
        <w:tc>
          <w:tcPr>
            <w:tcW w:w="703" w:type="dxa"/>
            <w:tcBorders>
              <w:top w:val="nil"/>
              <w:left w:val="nil"/>
              <w:bottom w:val="single" w:sz="8" w:space="0" w:color="auto"/>
              <w:right w:val="single" w:sz="8" w:space="0" w:color="auto"/>
            </w:tcBorders>
            <w:shd w:val="clear" w:color="auto" w:fill="auto"/>
            <w:noWrap/>
            <w:vAlign w:val="bottom"/>
            <w:hideMark/>
          </w:tcPr>
          <w:p w14:paraId="0BE9AF60" w14:textId="6E2E69E1" w:rsidR="003404B3" w:rsidRPr="003404B3" w:rsidRDefault="003404B3" w:rsidP="003404B3">
            <w:pPr>
              <w:spacing w:after="0" w:line="240" w:lineRule="auto"/>
              <w:jc w:val="right"/>
              <w:rPr>
                <w:rFonts w:eastAsia="Times New Roman" w:cs="Times New Roman"/>
                <w:color w:val="000000"/>
                <w:sz w:val="24"/>
                <w:szCs w:val="24"/>
              </w:rPr>
            </w:pPr>
            <w:r w:rsidRPr="003404B3">
              <w:rPr>
                <w:color w:val="000000"/>
                <w:sz w:val="24"/>
                <w:szCs w:val="24"/>
              </w:rPr>
              <w:t>473</w:t>
            </w:r>
          </w:p>
        </w:tc>
        <w:tc>
          <w:tcPr>
            <w:tcW w:w="643" w:type="dxa"/>
            <w:tcBorders>
              <w:top w:val="nil"/>
              <w:left w:val="nil"/>
              <w:bottom w:val="single" w:sz="8" w:space="0" w:color="auto"/>
              <w:right w:val="single" w:sz="8" w:space="0" w:color="auto"/>
            </w:tcBorders>
            <w:shd w:val="clear" w:color="auto" w:fill="auto"/>
            <w:noWrap/>
            <w:vAlign w:val="bottom"/>
            <w:hideMark/>
          </w:tcPr>
          <w:p w14:paraId="1EF9AEBF" w14:textId="07C475D1" w:rsidR="003404B3" w:rsidRPr="003404B3" w:rsidRDefault="003404B3" w:rsidP="003404B3">
            <w:pPr>
              <w:spacing w:after="0" w:line="240" w:lineRule="auto"/>
              <w:jc w:val="right"/>
              <w:rPr>
                <w:rFonts w:eastAsia="Times New Roman" w:cs="Times New Roman"/>
                <w:color w:val="000000"/>
                <w:sz w:val="24"/>
                <w:szCs w:val="24"/>
              </w:rPr>
            </w:pPr>
            <w:r w:rsidRPr="003404B3">
              <w:rPr>
                <w:color w:val="000000"/>
                <w:sz w:val="24"/>
                <w:szCs w:val="24"/>
              </w:rPr>
              <w:t>15.1</w:t>
            </w:r>
          </w:p>
        </w:tc>
        <w:tc>
          <w:tcPr>
            <w:tcW w:w="703" w:type="dxa"/>
            <w:tcBorders>
              <w:top w:val="nil"/>
              <w:left w:val="nil"/>
              <w:bottom w:val="single" w:sz="8" w:space="0" w:color="auto"/>
              <w:right w:val="single" w:sz="8" w:space="0" w:color="auto"/>
            </w:tcBorders>
            <w:shd w:val="clear" w:color="auto" w:fill="auto"/>
            <w:noWrap/>
            <w:vAlign w:val="bottom"/>
            <w:hideMark/>
          </w:tcPr>
          <w:p w14:paraId="6BB1AA0E" w14:textId="6FEF20CE" w:rsidR="003404B3" w:rsidRPr="003404B3" w:rsidRDefault="003404B3" w:rsidP="003404B3">
            <w:pPr>
              <w:spacing w:after="0" w:line="240" w:lineRule="auto"/>
              <w:jc w:val="right"/>
              <w:rPr>
                <w:rFonts w:eastAsia="Times New Roman" w:cs="Times New Roman"/>
                <w:color w:val="000000"/>
                <w:sz w:val="24"/>
                <w:szCs w:val="24"/>
              </w:rPr>
            </w:pPr>
            <w:r w:rsidRPr="003404B3">
              <w:rPr>
                <w:color w:val="000000"/>
                <w:sz w:val="24"/>
                <w:szCs w:val="24"/>
              </w:rPr>
              <w:t>422</w:t>
            </w:r>
          </w:p>
        </w:tc>
        <w:tc>
          <w:tcPr>
            <w:tcW w:w="642" w:type="dxa"/>
            <w:tcBorders>
              <w:top w:val="nil"/>
              <w:left w:val="nil"/>
              <w:bottom w:val="single" w:sz="8" w:space="0" w:color="auto"/>
              <w:right w:val="single" w:sz="8" w:space="0" w:color="auto"/>
            </w:tcBorders>
            <w:shd w:val="clear" w:color="auto" w:fill="auto"/>
            <w:noWrap/>
            <w:vAlign w:val="bottom"/>
            <w:hideMark/>
          </w:tcPr>
          <w:p w14:paraId="19D5BEAB" w14:textId="48C667D5" w:rsidR="003404B3" w:rsidRPr="003404B3" w:rsidRDefault="003404B3" w:rsidP="003404B3">
            <w:pPr>
              <w:spacing w:after="0" w:line="240" w:lineRule="auto"/>
              <w:jc w:val="right"/>
              <w:rPr>
                <w:rFonts w:eastAsia="Times New Roman" w:cs="Times New Roman"/>
                <w:color w:val="000000"/>
                <w:sz w:val="24"/>
                <w:szCs w:val="24"/>
              </w:rPr>
            </w:pPr>
            <w:r w:rsidRPr="003404B3">
              <w:rPr>
                <w:color w:val="000000"/>
                <w:sz w:val="24"/>
                <w:szCs w:val="24"/>
              </w:rPr>
              <w:t>15.5</w:t>
            </w:r>
          </w:p>
        </w:tc>
      </w:tr>
      <w:tr w:rsidR="003404B3" w:rsidRPr="0089495C" w14:paraId="12637425" w14:textId="77777777" w:rsidTr="003404B3">
        <w:trPr>
          <w:trHeight w:val="314"/>
        </w:trPr>
        <w:tc>
          <w:tcPr>
            <w:tcW w:w="1156" w:type="dxa"/>
            <w:tcBorders>
              <w:top w:val="nil"/>
              <w:left w:val="single" w:sz="8" w:space="0" w:color="auto"/>
              <w:bottom w:val="single" w:sz="8" w:space="0" w:color="auto"/>
              <w:right w:val="single" w:sz="8" w:space="0" w:color="auto"/>
            </w:tcBorders>
            <w:shd w:val="clear" w:color="auto" w:fill="auto"/>
            <w:noWrap/>
            <w:vAlign w:val="center"/>
            <w:hideMark/>
          </w:tcPr>
          <w:p w14:paraId="02CA399E" w14:textId="77777777" w:rsidR="003404B3" w:rsidRPr="00BB495F" w:rsidRDefault="003404B3" w:rsidP="003404B3">
            <w:pPr>
              <w:spacing w:after="0" w:line="240" w:lineRule="auto"/>
              <w:rPr>
                <w:rFonts w:eastAsia="Times New Roman" w:cs="Times New Roman"/>
                <w:color w:val="000000"/>
                <w:sz w:val="24"/>
                <w:szCs w:val="24"/>
              </w:rPr>
            </w:pPr>
            <w:r w:rsidRPr="00BB495F">
              <w:rPr>
                <w:rFonts w:eastAsia="Times New Roman" w:cs="Times New Roman"/>
                <w:color w:val="000000"/>
                <w:sz w:val="24"/>
                <w:szCs w:val="24"/>
              </w:rPr>
              <w:t>50-59</w:t>
            </w:r>
          </w:p>
        </w:tc>
        <w:tc>
          <w:tcPr>
            <w:tcW w:w="825" w:type="dxa"/>
            <w:tcBorders>
              <w:top w:val="nil"/>
              <w:left w:val="nil"/>
              <w:bottom w:val="single" w:sz="8" w:space="0" w:color="auto"/>
              <w:right w:val="single" w:sz="8" w:space="0" w:color="auto"/>
            </w:tcBorders>
            <w:shd w:val="clear" w:color="auto" w:fill="auto"/>
            <w:noWrap/>
            <w:vAlign w:val="center"/>
            <w:hideMark/>
          </w:tcPr>
          <w:p w14:paraId="2311107B" w14:textId="77777777" w:rsidR="003404B3" w:rsidRPr="00BB495F" w:rsidRDefault="003404B3" w:rsidP="003404B3">
            <w:pPr>
              <w:spacing w:after="0" w:line="240" w:lineRule="auto"/>
              <w:jc w:val="right"/>
              <w:rPr>
                <w:rFonts w:eastAsia="Times New Roman" w:cs="Times New Roman"/>
                <w:color w:val="000000"/>
                <w:sz w:val="24"/>
                <w:szCs w:val="24"/>
              </w:rPr>
            </w:pPr>
            <w:r w:rsidRPr="00BB495F">
              <w:rPr>
                <w:rFonts w:eastAsia="Times New Roman" w:cs="Times New Roman"/>
                <w:color w:val="000000"/>
                <w:sz w:val="24"/>
                <w:szCs w:val="24"/>
              </w:rPr>
              <w:t>3502</w:t>
            </w:r>
          </w:p>
        </w:tc>
        <w:tc>
          <w:tcPr>
            <w:tcW w:w="679" w:type="dxa"/>
            <w:tcBorders>
              <w:top w:val="nil"/>
              <w:left w:val="nil"/>
              <w:bottom w:val="single" w:sz="8" w:space="0" w:color="auto"/>
              <w:right w:val="single" w:sz="8" w:space="0" w:color="auto"/>
            </w:tcBorders>
            <w:shd w:val="clear" w:color="auto" w:fill="auto"/>
            <w:noWrap/>
            <w:vAlign w:val="center"/>
            <w:hideMark/>
          </w:tcPr>
          <w:p w14:paraId="60B20D5C" w14:textId="77777777" w:rsidR="003404B3" w:rsidRPr="00BB495F" w:rsidRDefault="003404B3" w:rsidP="003404B3">
            <w:pPr>
              <w:spacing w:after="0" w:line="240" w:lineRule="auto"/>
              <w:jc w:val="right"/>
              <w:rPr>
                <w:rFonts w:eastAsia="Times New Roman" w:cs="Times New Roman"/>
                <w:color w:val="000000"/>
                <w:sz w:val="24"/>
                <w:szCs w:val="24"/>
              </w:rPr>
            </w:pPr>
            <w:r w:rsidRPr="00BB495F">
              <w:rPr>
                <w:rFonts w:eastAsia="Times New Roman" w:cs="Times New Roman"/>
                <w:color w:val="000000"/>
                <w:sz w:val="24"/>
                <w:szCs w:val="24"/>
              </w:rPr>
              <w:t>22.0</w:t>
            </w:r>
          </w:p>
        </w:tc>
        <w:tc>
          <w:tcPr>
            <w:tcW w:w="885" w:type="dxa"/>
            <w:tcBorders>
              <w:top w:val="nil"/>
              <w:left w:val="nil"/>
              <w:bottom w:val="single" w:sz="8" w:space="0" w:color="auto"/>
              <w:right w:val="single" w:sz="8" w:space="0" w:color="auto"/>
            </w:tcBorders>
            <w:shd w:val="clear" w:color="auto" w:fill="auto"/>
            <w:noWrap/>
            <w:vAlign w:val="bottom"/>
            <w:hideMark/>
          </w:tcPr>
          <w:p w14:paraId="29B768A0" w14:textId="77115959" w:rsidR="003404B3" w:rsidRPr="00E9523E" w:rsidRDefault="003404B3" w:rsidP="003404B3">
            <w:pPr>
              <w:spacing w:after="0" w:line="240" w:lineRule="auto"/>
              <w:jc w:val="right"/>
              <w:rPr>
                <w:rFonts w:eastAsia="Times New Roman" w:cs="Times New Roman"/>
                <w:color w:val="000000"/>
                <w:sz w:val="24"/>
                <w:szCs w:val="24"/>
              </w:rPr>
            </w:pPr>
            <w:r w:rsidRPr="00E9523E">
              <w:rPr>
                <w:rFonts w:ascii="Calibri" w:hAnsi="Calibri"/>
                <w:color w:val="000000"/>
                <w:sz w:val="24"/>
                <w:szCs w:val="24"/>
              </w:rPr>
              <w:t>1806</w:t>
            </w:r>
          </w:p>
        </w:tc>
        <w:tc>
          <w:tcPr>
            <w:tcW w:w="642" w:type="dxa"/>
            <w:tcBorders>
              <w:top w:val="nil"/>
              <w:left w:val="nil"/>
              <w:bottom w:val="single" w:sz="8" w:space="0" w:color="auto"/>
              <w:right w:val="single" w:sz="8" w:space="0" w:color="auto"/>
            </w:tcBorders>
            <w:shd w:val="clear" w:color="auto" w:fill="auto"/>
            <w:noWrap/>
            <w:vAlign w:val="bottom"/>
            <w:hideMark/>
          </w:tcPr>
          <w:p w14:paraId="7C3592AB" w14:textId="12398A92" w:rsidR="003404B3" w:rsidRPr="003404B3" w:rsidRDefault="003404B3" w:rsidP="003404B3">
            <w:pPr>
              <w:spacing w:after="0" w:line="240" w:lineRule="auto"/>
              <w:jc w:val="right"/>
              <w:rPr>
                <w:rFonts w:eastAsia="Times New Roman" w:cs="Times New Roman"/>
                <w:color w:val="000000"/>
                <w:sz w:val="24"/>
                <w:szCs w:val="24"/>
              </w:rPr>
            </w:pPr>
            <w:r w:rsidRPr="003404B3">
              <w:rPr>
                <w:rFonts w:ascii="Calibri" w:hAnsi="Calibri"/>
                <w:color w:val="000000"/>
                <w:sz w:val="24"/>
                <w:szCs w:val="24"/>
              </w:rPr>
              <w:t>18.0</w:t>
            </w:r>
          </w:p>
        </w:tc>
        <w:tc>
          <w:tcPr>
            <w:tcW w:w="763" w:type="dxa"/>
            <w:tcBorders>
              <w:top w:val="nil"/>
              <w:left w:val="nil"/>
              <w:bottom w:val="single" w:sz="8" w:space="0" w:color="auto"/>
              <w:right w:val="single" w:sz="8" w:space="0" w:color="auto"/>
            </w:tcBorders>
            <w:shd w:val="clear" w:color="auto" w:fill="auto"/>
            <w:noWrap/>
            <w:vAlign w:val="bottom"/>
            <w:hideMark/>
          </w:tcPr>
          <w:p w14:paraId="2E48B471" w14:textId="0E1745BB" w:rsidR="003404B3" w:rsidRPr="003404B3" w:rsidRDefault="003404B3" w:rsidP="003404B3">
            <w:pPr>
              <w:spacing w:after="0" w:line="240" w:lineRule="auto"/>
              <w:jc w:val="right"/>
              <w:rPr>
                <w:rFonts w:eastAsia="Times New Roman" w:cs="Times New Roman"/>
                <w:color w:val="000000"/>
                <w:sz w:val="24"/>
                <w:szCs w:val="24"/>
              </w:rPr>
            </w:pPr>
            <w:r w:rsidRPr="003404B3">
              <w:rPr>
                <w:rFonts w:ascii="Calibri" w:hAnsi="Calibri"/>
                <w:color w:val="000000"/>
                <w:sz w:val="24"/>
                <w:szCs w:val="24"/>
              </w:rPr>
              <w:t>1696</w:t>
            </w:r>
          </w:p>
        </w:tc>
        <w:tc>
          <w:tcPr>
            <w:tcW w:w="642" w:type="dxa"/>
            <w:tcBorders>
              <w:top w:val="nil"/>
              <w:left w:val="nil"/>
              <w:bottom w:val="single" w:sz="8" w:space="0" w:color="auto"/>
              <w:right w:val="single" w:sz="8" w:space="0" w:color="auto"/>
            </w:tcBorders>
            <w:shd w:val="clear" w:color="auto" w:fill="auto"/>
            <w:noWrap/>
            <w:vAlign w:val="bottom"/>
            <w:hideMark/>
          </w:tcPr>
          <w:p w14:paraId="363F1284" w14:textId="3D29949A" w:rsidR="003404B3" w:rsidRPr="003404B3" w:rsidRDefault="003404B3" w:rsidP="003404B3">
            <w:pPr>
              <w:spacing w:after="0" w:line="240" w:lineRule="auto"/>
              <w:jc w:val="right"/>
              <w:rPr>
                <w:rFonts w:eastAsia="Times New Roman" w:cs="Times New Roman"/>
                <w:color w:val="000000"/>
                <w:sz w:val="24"/>
                <w:szCs w:val="24"/>
              </w:rPr>
            </w:pPr>
            <w:r w:rsidRPr="003404B3">
              <w:rPr>
                <w:rFonts w:ascii="Calibri" w:hAnsi="Calibri"/>
                <w:color w:val="000000"/>
                <w:sz w:val="24"/>
                <w:szCs w:val="24"/>
              </w:rPr>
              <w:t>28.9</w:t>
            </w:r>
          </w:p>
        </w:tc>
        <w:tc>
          <w:tcPr>
            <w:tcW w:w="422" w:type="dxa"/>
            <w:tcBorders>
              <w:top w:val="nil"/>
              <w:left w:val="nil"/>
              <w:bottom w:val="single" w:sz="8" w:space="0" w:color="auto"/>
              <w:right w:val="single" w:sz="8" w:space="0" w:color="auto"/>
            </w:tcBorders>
            <w:shd w:val="clear" w:color="auto" w:fill="auto"/>
            <w:noWrap/>
            <w:vAlign w:val="center"/>
            <w:hideMark/>
          </w:tcPr>
          <w:p w14:paraId="2CB62606" w14:textId="77777777" w:rsidR="003404B3" w:rsidRPr="00BB495F" w:rsidRDefault="003404B3" w:rsidP="003404B3">
            <w:pPr>
              <w:spacing w:after="0" w:line="240" w:lineRule="auto"/>
              <w:rPr>
                <w:rFonts w:eastAsia="Times New Roman" w:cs="Times New Roman"/>
                <w:color w:val="000000"/>
                <w:sz w:val="24"/>
                <w:szCs w:val="24"/>
              </w:rPr>
            </w:pPr>
            <w:r w:rsidRPr="00BB495F">
              <w:rPr>
                <w:rFonts w:eastAsia="Times New Roman" w:cs="Times New Roman"/>
                <w:color w:val="000000"/>
                <w:sz w:val="24"/>
                <w:szCs w:val="24"/>
              </w:rPr>
              <w:t> </w:t>
            </w:r>
          </w:p>
        </w:tc>
        <w:tc>
          <w:tcPr>
            <w:tcW w:w="703" w:type="dxa"/>
            <w:tcBorders>
              <w:top w:val="nil"/>
              <w:left w:val="nil"/>
              <w:bottom w:val="single" w:sz="8" w:space="0" w:color="auto"/>
              <w:right w:val="single" w:sz="8" w:space="0" w:color="auto"/>
            </w:tcBorders>
            <w:shd w:val="clear" w:color="auto" w:fill="auto"/>
            <w:noWrap/>
            <w:vAlign w:val="bottom"/>
            <w:hideMark/>
          </w:tcPr>
          <w:p w14:paraId="62DD8660" w14:textId="179C382E" w:rsidR="003404B3" w:rsidRPr="003404B3" w:rsidRDefault="003404B3" w:rsidP="003404B3">
            <w:pPr>
              <w:spacing w:after="0" w:line="240" w:lineRule="auto"/>
              <w:jc w:val="right"/>
              <w:rPr>
                <w:rFonts w:eastAsia="Times New Roman" w:cs="Times New Roman"/>
                <w:color w:val="000000"/>
                <w:sz w:val="24"/>
                <w:szCs w:val="24"/>
              </w:rPr>
            </w:pPr>
            <w:r w:rsidRPr="003404B3">
              <w:rPr>
                <w:color w:val="000000"/>
                <w:sz w:val="24"/>
                <w:szCs w:val="24"/>
              </w:rPr>
              <w:t>963</w:t>
            </w:r>
          </w:p>
        </w:tc>
        <w:tc>
          <w:tcPr>
            <w:tcW w:w="643" w:type="dxa"/>
            <w:tcBorders>
              <w:top w:val="nil"/>
              <w:left w:val="nil"/>
              <w:bottom w:val="single" w:sz="8" w:space="0" w:color="auto"/>
              <w:right w:val="single" w:sz="8" w:space="0" w:color="auto"/>
            </w:tcBorders>
            <w:shd w:val="clear" w:color="auto" w:fill="auto"/>
            <w:noWrap/>
            <w:vAlign w:val="bottom"/>
            <w:hideMark/>
          </w:tcPr>
          <w:p w14:paraId="6778F4AD" w14:textId="039C5244" w:rsidR="003404B3" w:rsidRPr="003404B3" w:rsidRDefault="003404B3" w:rsidP="003404B3">
            <w:pPr>
              <w:spacing w:after="0" w:line="240" w:lineRule="auto"/>
              <w:jc w:val="right"/>
              <w:rPr>
                <w:rFonts w:eastAsia="Times New Roman" w:cs="Times New Roman"/>
                <w:color w:val="000000"/>
                <w:sz w:val="24"/>
                <w:szCs w:val="24"/>
              </w:rPr>
            </w:pPr>
            <w:r w:rsidRPr="003404B3">
              <w:rPr>
                <w:color w:val="000000"/>
                <w:sz w:val="24"/>
                <w:szCs w:val="24"/>
              </w:rPr>
              <w:t>30.7</w:t>
            </w:r>
          </w:p>
        </w:tc>
        <w:tc>
          <w:tcPr>
            <w:tcW w:w="703" w:type="dxa"/>
            <w:tcBorders>
              <w:top w:val="nil"/>
              <w:left w:val="nil"/>
              <w:bottom w:val="single" w:sz="8" w:space="0" w:color="auto"/>
              <w:right w:val="single" w:sz="8" w:space="0" w:color="auto"/>
            </w:tcBorders>
            <w:shd w:val="clear" w:color="auto" w:fill="auto"/>
            <w:noWrap/>
            <w:vAlign w:val="bottom"/>
            <w:hideMark/>
          </w:tcPr>
          <w:p w14:paraId="264F8EF4" w14:textId="42CE000A" w:rsidR="003404B3" w:rsidRPr="003404B3" w:rsidRDefault="003404B3" w:rsidP="003404B3">
            <w:pPr>
              <w:spacing w:after="0" w:line="240" w:lineRule="auto"/>
              <w:jc w:val="right"/>
              <w:rPr>
                <w:rFonts w:eastAsia="Times New Roman" w:cs="Times New Roman"/>
                <w:color w:val="000000"/>
                <w:sz w:val="24"/>
                <w:szCs w:val="24"/>
              </w:rPr>
            </w:pPr>
            <w:r w:rsidRPr="003404B3">
              <w:rPr>
                <w:color w:val="000000"/>
                <w:sz w:val="24"/>
                <w:szCs w:val="24"/>
              </w:rPr>
              <w:t>732</w:t>
            </w:r>
          </w:p>
        </w:tc>
        <w:tc>
          <w:tcPr>
            <w:tcW w:w="642" w:type="dxa"/>
            <w:tcBorders>
              <w:top w:val="nil"/>
              <w:left w:val="nil"/>
              <w:bottom w:val="single" w:sz="8" w:space="0" w:color="auto"/>
              <w:right w:val="single" w:sz="8" w:space="0" w:color="auto"/>
            </w:tcBorders>
            <w:shd w:val="clear" w:color="auto" w:fill="auto"/>
            <w:noWrap/>
            <w:vAlign w:val="bottom"/>
            <w:hideMark/>
          </w:tcPr>
          <w:p w14:paraId="552BF504" w14:textId="1C1AF3AE" w:rsidR="003404B3" w:rsidRPr="003404B3" w:rsidRDefault="003404B3" w:rsidP="003404B3">
            <w:pPr>
              <w:spacing w:after="0" w:line="240" w:lineRule="auto"/>
              <w:jc w:val="right"/>
              <w:rPr>
                <w:rFonts w:eastAsia="Times New Roman" w:cs="Times New Roman"/>
                <w:color w:val="000000"/>
                <w:sz w:val="24"/>
                <w:szCs w:val="24"/>
              </w:rPr>
            </w:pPr>
            <w:r w:rsidRPr="003404B3">
              <w:rPr>
                <w:color w:val="000000"/>
                <w:sz w:val="24"/>
                <w:szCs w:val="24"/>
              </w:rPr>
              <w:t>26.9</w:t>
            </w:r>
          </w:p>
        </w:tc>
      </w:tr>
      <w:tr w:rsidR="003404B3" w:rsidRPr="0089495C" w14:paraId="532A3158" w14:textId="77777777" w:rsidTr="003404B3">
        <w:trPr>
          <w:trHeight w:val="314"/>
        </w:trPr>
        <w:tc>
          <w:tcPr>
            <w:tcW w:w="1156" w:type="dxa"/>
            <w:tcBorders>
              <w:top w:val="nil"/>
              <w:left w:val="single" w:sz="8" w:space="0" w:color="auto"/>
              <w:bottom w:val="single" w:sz="8" w:space="0" w:color="auto"/>
              <w:right w:val="single" w:sz="8" w:space="0" w:color="auto"/>
            </w:tcBorders>
            <w:shd w:val="clear" w:color="auto" w:fill="auto"/>
            <w:noWrap/>
            <w:vAlign w:val="center"/>
            <w:hideMark/>
          </w:tcPr>
          <w:p w14:paraId="0C6B732E" w14:textId="77777777" w:rsidR="003404B3" w:rsidRPr="00BB495F" w:rsidRDefault="003404B3" w:rsidP="003404B3">
            <w:pPr>
              <w:spacing w:after="0" w:line="240" w:lineRule="auto"/>
              <w:rPr>
                <w:rFonts w:eastAsia="Times New Roman" w:cs="Times New Roman"/>
                <w:color w:val="000000"/>
                <w:sz w:val="24"/>
                <w:szCs w:val="24"/>
              </w:rPr>
            </w:pPr>
            <w:r w:rsidRPr="00BB495F">
              <w:rPr>
                <w:rFonts w:eastAsia="Times New Roman" w:cs="Times New Roman"/>
                <w:color w:val="000000"/>
                <w:sz w:val="24"/>
                <w:szCs w:val="24"/>
              </w:rPr>
              <w:t>60-69</w:t>
            </w:r>
          </w:p>
        </w:tc>
        <w:tc>
          <w:tcPr>
            <w:tcW w:w="825" w:type="dxa"/>
            <w:tcBorders>
              <w:top w:val="nil"/>
              <w:left w:val="nil"/>
              <w:bottom w:val="single" w:sz="8" w:space="0" w:color="auto"/>
              <w:right w:val="single" w:sz="8" w:space="0" w:color="auto"/>
            </w:tcBorders>
            <w:shd w:val="clear" w:color="auto" w:fill="auto"/>
            <w:noWrap/>
            <w:vAlign w:val="center"/>
            <w:hideMark/>
          </w:tcPr>
          <w:p w14:paraId="112E66FB" w14:textId="77777777" w:rsidR="003404B3" w:rsidRPr="00BB495F" w:rsidRDefault="003404B3" w:rsidP="003404B3">
            <w:pPr>
              <w:spacing w:after="0" w:line="240" w:lineRule="auto"/>
              <w:jc w:val="right"/>
              <w:rPr>
                <w:rFonts w:eastAsia="Times New Roman" w:cs="Times New Roman"/>
                <w:color w:val="000000"/>
                <w:sz w:val="24"/>
                <w:szCs w:val="24"/>
              </w:rPr>
            </w:pPr>
            <w:r w:rsidRPr="00BB495F">
              <w:rPr>
                <w:rFonts w:eastAsia="Times New Roman" w:cs="Times New Roman"/>
                <w:color w:val="000000"/>
                <w:sz w:val="24"/>
                <w:szCs w:val="24"/>
              </w:rPr>
              <w:t>4908</w:t>
            </w:r>
          </w:p>
        </w:tc>
        <w:tc>
          <w:tcPr>
            <w:tcW w:w="679" w:type="dxa"/>
            <w:tcBorders>
              <w:top w:val="nil"/>
              <w:left w:val="nil"/>
              <w:bottom w:val="single" w:sz="8" w:space="0" w:color="auto"/>
              <w:right w:val="single" w:sz="8" w:space="0" w:color="auto"/>
            </w:tcBorders>
            <w:shd w:val="clear" w:color="auto" w:fill="auto"/>
            <w:noWrap/>
            <w:vAlign w:val="center"/>
            <w:hideMark/>
          </w:tcPr>
          <w:p w14:paraId="3C3178A9" w14:textId="77777777" w:rsidR="003404B3" w:rsidRPr="00BB495F" w:rsidRDefault="003404B3" w:rsidP="003404B3">
            <w:pPr>
              <w:spacing w:after="0" w:line="240" w:lineRule="auto"/>
              <w:jc w:val="right"/>
              <w:rPr>
                <w:rFonts w:eastAsia="Times New Roman" w:cs="Times New Roman"/>
                <w:color w:val="000000"/>
                <w:sz w:val="24"/>
                <w:szCs w:val="24"/>
              </w:rPr>
            </w:pPr>
            <w:r w:rsidRPr="00BB495F">
              <w:rPr>
                <w:rFonts w:eastAsia="Times New Roman" w:cs="Times New Roman"/>
                <w:color w:val="000000"/>
                <w:sz w:val="24"/>
                <w:szCs w:val="24"/>
              </w:rPr>
              <w:t>30.9</w:t>
            </w:r>
          </w:p>
        </w:tc>
        <w:tc>
          <w:tcPr>
            <w:tcW w:w="885" w:type="dxa"/>
            <w:tcBorders>
              <w:top w:val="nil"/>
              <w:left w:val="nil"/>
              <w:bottom w:val="single" w:sz="8" w:space="0" w:color="auto"/>
              <w:right w:val="single" w:sz="8" w:space="0" w:color="auto"/>
            </w:tcBorders>
            <w:shd w:val="clear" w:color="auto" w:fill="auto"/>
            <w:noWrap/>
            <w:vAlign w:val="bottom"/>
            <w:hideMark/>
          </w:tcPr>
          <w:p w14:paraId="50EEBE31" w14:textId="0F6161B1" w:rsidR="003404B3" w:rsidRPr="00E9523E" w:rsidRDefault="003404B3" w:rsidP="003404B3">
            <w:pPr>
              <w:spacing w:after="0" w:line="240" w:lineRule="auto"/>
              <w:jc w:val="right"/>
              <w:rPr>
                <w:rFonts w:eastAsia="Times New Roman" w:cs="Times New Roman"/>
                <w:color w:val="000000"/>
                <w:sz w:val="24"/>
                <w:szCs w:val="24"/>
              </w:rPr>
            </w:pPr>
            <w:r w:rsidRPr="00E9523E">
              <w:rPr>
                <w:rFonts w:ascii="Calibri" w:hAnsi="Calibri"/>
                <w:color w:val="000000"/>
                <w:sz w:val="24"/>
                <w:szCs w:val="24"/>
              </w:rPr>
              <w:t>3090</w:t>
            </w:r>
          </w:p>
        </w:tc>
        <w:tc>
          <w:tcPr>
            <w:tcW w:w="642" w:type="dxa"/>
            <w:tcBorders>
              <w:top w:val="nil"/>
              <w:left w:val="nil"/>
              <w:bottom w:val="single" w:sz="8" w:space="0" w:color="auto"/>
              <w:right w:val="single" w:sz="8" w:space="0" w:color="auto"/>
            </w:tcBorders>
            <w:shd w:val="clear" w:color="auto" w:fill="auto"/>
            <w:noWrap/>
            <w:vAlign w:val="bottom"/>
            <w:hideMark/>
          </w:tcPr>
          <w:p w14:paraId="72032C9F" w14:textId="5BB1755A" w:rsidR="003404B3" w:rsidRPr="003404B3" w:rsidRDefault="003404B3" w:rsidP="003404B3">
            <w:pPr>
              <w:spacing w:after="0" w:line="240" w:lineRule="auto"/>
              <w:jc w:val="right"/>
              <w:rPr>
                <w:rFonts w:eastAsia="Times New Roman" w:cs="Times New Roman"/>
                <w:color w:val="000000"/>
                <w:sz w:val="24"/>
                <w:szCs w:val="24"/>
              </w:rPr>
            </w:pPr>
            <w:r w:rsidRPr="003404B3">
              <w:rPr>
                <w:rFonts w:ascii="Calibri" w:hAnsi="Calibri"/>
                <w:color w:val="000000"/>
                <w:sz w:val="24"/>
                <w:szCs w:val="24"/>
              </w:rPr>
              <w:t>30.8</w:t>
            </w:r>
          </w:p>
        </w:tc>
        <w:tc>
          <w:tcPr>
            <w:tcW w:w="763" w:type="dxa"/>
            <w:tcBorders>
              <w:top w:val="nil"/>
              <w:left w:val="nil"/>
              <w:bottom w:val="single" w:sz="8" w:space="0" w:color="auto"/>
              <w:right w:val="single" w:sz="8" w:space="0" w:color="auto"/>
            </w:tcBorders>
            <w:shd w:val="clear" w:color="auto" w:fill="auto"/>
            <w:noWrap/>
            <w:vAlign w:val="bottom"/>
            <w:hideMark/>
          </w:tcPr>
          <w:p w14:paraId="7ED3D342" w14:textId="7018A025" w:rsidR="003404B3" w:rsidRPr="003404B3" w:rsidRDefault="003404B3" w:rsidP="003404B3">
            <w:pPr>
              <w:spacing w:after="0" w:line="240" w:lineRule="auto"/>
              <w:jc w:val="right"/>
              <w:rPr>
                <w:rFonts w:eastAsia="Times New Roman" w:cs="Times New Roman"/>
                <w:color w:val="000000"/>
                <w:sz w:val="24"/>
                <w:szCs w:val="24"/>
              </w:rPr>
            </w:pPr>
            <w:r w:rsidRPr="003404B3">
              <w:rPr>
                <w:rFonts w:ascii="Calibri" w:hAnsi="Calibri"/>
                <w:color w:val="000000"/>
                <w:sz w:val="24"/>
                <w:szCs w:val="24"/>
              </w:rPr>
              <w:t>1818</w:t>
            </w:r>
          </w:p>
        </w:tc>
        <w:tc>
          <w:tcPr>
            <w:tcW w:w="642" w:type="dxa"/>
            <w:tcBorders>
              <w:top w:val="nil"/>
              <w:left w:val="nil"/>
              <w:bottom w:val="single" w:sz="8" w:space="0" w:color="auto"/>
              <w:right w:val="single" w:sz="8" w:space="0" w:color="auto"/>
            </w:tcBorders>
            <w:shd w:val="clear" w:color="auto" w:fill="auto"/>
            <w:noWrap/>
            <w:vAlign w:val="bottom"/>
            <w:hideMark/>
          </w:tcPr>
          <w:p w14:paraId="1F5C82CA" w14:textId="4327A89E" w:rsidR="003404B3" w:rsidRPr="003404B3" w:rsidRDefault="003404B3" w:rsidP="003404B3">
            <w:pPr>
              <w:spacing w:after="0" w:line="240" w:lineRule="auto"/>
              <w:jc w:val="right"/>
              <w:rPr>
                <w:rFonts w:eastAsia="Times New Roman" w:cs="Times New Roman"/>
                <w:color w:val="000000"/>
                <w:sz w:val="24"/>
                <w:szCs w:val="24"/>
              </w:rPr>
            </w:pPr>
            <w:r w:rsidRPr="003404B3">
              <w:rPr>
                <w:rFonts w:ascii="Calibri" w:hAnsi="Calibri"/>
                <w:color w:val="000000"/>
                <w:sz w:val="24"/>
                <w:szCs w:val="24"/>
              </w:rPr>
              <w:t>31.0</w:t>
            </w:r>
          </w:p>
        </w:tc>
        <w:tc>
          <w:tcPr>
            <w:tcW w:w="422" w:type="dxa"/>
            <w:tcBorders>
              <w:top w:val="nil"/>
              <w:left w:val="nil"/>
              <w:bottom w:val="single" w:sz="8" w:space="0" w:color="auto"/>
              <w:right w:val="single" w:sz="8" w:space="0" w:color="auto"/>
            </w:tcBorders>
            <w:shd w:val="clear" w:color="auto" w:fill="auto"/>
            <w:noWrap/>
            <w:vAlign w:val="center"/>
            <w:hideMark/>
          </w:tcPr>
          <w:p w14:paraId="3B1243F1" w14:textId="77777777" w:rsidR="003404B3" w:rsidRPr="00BB495F" w:rsidRDefault="003404B3" w:rsidP="003404B3">
            <w:pPr>
              <w:spacing w:after="0" w:line="240" w:lineRule="auto"/>
              <w:rPr>
                <w:rFonts w:eastAsia="Times New Roman" w:cs="Times New Roman"/>
                <w:color w:val="000000"/>
                <w:sz w:val="24"/>
                <w:szCs w:val="24"/>
              </w:rPr>
            </w:pPr>
            <w:r w:rsidRPr="00BB495F">
              <w:rPr>
                <w:rFonts w:eastAsia="Times New Roman" w:cs="Times New Roman"/>
                <w:color w:val="000000"/>
                <w:sz w:val="24"/>
                <w:szCs w:val="24"/>
              </w:rPr>
              <w:t> </w:t>
            </w:r>
          </w:p>
        </w:tc>
        <w:tc>
          <w:tcPr>
            <w:tcW w:w="703" w:type="dxa"/>
            <w:tcBorders>
              <w:top w:val="nil"/>
              <w:left w:val="nil"/>
              <w:bottom w:val="single" w:sz="8" w:space="0" w:color="auto"/>
              <w:right w:val="single" w:sz="8" w:space="0" w:color="auto"/>
            </w:tcBorders>
            <w:shd w:val="clear" w:color="auto" w:fill="auto"/>
            <w:noWrap/>
            <w:vAlign w:val="bottom"/>
            <w:hideMark/>
          </w:tcPr>
          <w:p w14:paraId="46C5561B" w14:textId="008F43D1" w:rsidR="003404B3" w:rsidRPr="003404B3" w:rsidRDefault="003404B3" w:rsidP="003404B3">
            <w:pPr>
              <w:spacing w:after="0" w:line="240" w:lineRule="auto"/>
              <w:jc w:val="right"/>
              <w:rPr>
                <w:rFonts w:eastAsia="Times New Roman" w:cs="Times New Roman"/>
                <w:color w:val="000000"/>
                <w:sz w:val="24"/>
                <w:szCs w:val="24"/>
              </w:rPr>
            </w:pPr>
            <w:r w:rsidRPr="003404B3">
              <w:rPr>
                <w:color w:val="000000"/>
                <w:sz w:val="24"/>
                <w:szCs w:val="24"/>
              </w:rPr>
              <w:t>971</w:t>
            </w:r>
          </w:p>
        </w:tc>
        <w:tc>
          <w:tcPr>
            <w:tcW w:w="643" w:type="dxa"/>
            <w:tcBorders>
              <w:top w:val="nil"/>
              <w:left w:val="nil"/>
              <w:bottom w:val="single" w:sz="8" w:space="0" w:color="auto"/>
              <w:right w:val="single" w:sz="8" w:space="0" w:color="auto"/>
            </w:tcBorders>
            <w:shd w:val="clear" w:color="auto" w:fill="auto"/>
            <w:noWrap/>
            <w:vAlign w:val="bottom"/>
            <w:hideMark/>
          </w:tcPr>
          <w:p w14:paraId="1B8536AF" w14:textId="336BFCDF" w:rsidR="003404B3" w:rsidRPr="003404B3" w:rsidRDefault="003404B3" w:rsidP="003404B3">
            <w:pPr>
              <w:spacing w:after="0" w:line="240" w:lineRule="auto"/>
              <w:jc w:val="right"/>
              <w:rPr>
                <w:rFonts w:eastAsia="Times New Roman" w:cs="Times New Roman"/>
                <w:color w:val="000000"/>
                <w:sz w:val="24"/>
                <w:szCs w:val="24"/>
              </w:rPr>
            </w:pPr>
            <w:r w:rsidRPr="003404B3">
              <w:rPr>
                <w:color w:val="000000"/>
                <w:sz w:val="24"/>
                <w:szCs w:val="24"/>
              </w:rPr>
              <w:t>31.0</w:t>
            </w:r>
          </w:p>
        </w:tc>
        <w:tc>
          <w:tcPr>
            <w:tcW w:w="703" w:type="dxa"/>
            <w:tcBorders>
              <w:top w:val="nil"/>
              <w:left w:val="nil"/>
              <w:bottom w:val="single" w:sz="8" w:space="0" w:color="auto"/>
              <w:right w:val="single" w:sz="8" w:space="0" w:color="auto"/>
            </w:tcBorders>
            <w:shd w:val="clear" w:color="auto" w:fill="auto"/>
            <w:noWrap/>
            <w:vAlign w:val="bottom"/>
            <w:hideMark/>
          </w:tcPr>
          <w:p w14:paraId="608F8820" w14:textId="726C8505" w:rsidR="003404B3" w:rsidRPr="003404B3" w:rsidRDefault="003404B3" w:rsidP="003404B3">
            <w:pPr>
              <w:spacing w:after="0" w:line="240" w:lineRule="auto"/>
              <w:jc w:val="right"/>
              <w:rPr>
                <w:rFonts w:eastAsia="Times New Roman" w:cs="Times New Roman"/>
                <w:color w:val="000000"/>
                <w:sz w:val="24"/>
                <w:szCs w:val="24"/>
              </w:rPr>
            </w:pPr>
            <w:r w:rsidRPr="003404B3">
              <w:rPr>
                <w:color w:val="000000"/>
                <w:sz w:val="24"/>
                <w:szCs w:val="24"/>
              </w:rPr>
              <w:t>846</w:t>
            </w:r>
          </w:p>
        </w:tc>
        <w:tc>
          <w:tcPr>
            <w:tcW w:w="642" w:type="dxa"/>
            <w:tcBorders>
              <w:top w:val="nil"/>
              <w:left w:val="nil"/>
              <w:bottom w:val="single" w:sz="8" w:space="0" w:color="auto"/>
              <w:right w:val="single" w:sz="8" w:space="0" w:color="auto"/>
            </w:tcBorders>
            <w:shd w:val="clear" w:color="auto" w:fill="auto"/>
            <w:noWrap/>
            <w:vAlign w:val="bottom"/>
            <w:hideMark/>
          </w:tcPr>
          <w:p w14:paraId="7D66286F" w14:textId="2908E91D" w:rsidR="003404B3" w:rsidRPr="003404B3" w:rsidRDefault="003404B3" w:rsidP="003404B3">
            <w:pPr>
              <w:spacing w:after="0" w:line="240" w:lineRule="auto"/>
              <w:jc w:val="right"/>
              <w:rPr>
                <w:rFonts w:eastAsia="Times New Roman" w:cs="Times New Roman"/>
                <w:color w:val="000000"/>
                <w:sz w:val="24"/>
                <w:szCs w:val="24"/>
              </w:rPr>
            </w:pPr>
            <w:r w:rsidRPr="003404B3">
              <w:rPr>
                <w:color w:val="000000"/>
                <w:sz w:val="24"/>
                <w:szCs w:val="24"/>
              </w:rPr>
              <w:t>31.1</w:t>
            </w:r>
          </w:p>
        </w:tc>
      </w:tr>
      <w:tr w:rsidR="003404B3" w:rsidRPr="0089495C" w14:paraId="5E03967B" w14:textId="77777777" w:rsidTr="003404B3">
        <w:trPr>
          <w:trHeight w:val="314"/>
        </w:trPr>
        <w:tc>
          <w:tcPr>
            <w:tcW w:w="1156" w:type="dxa"/>
            <w:tcBorders>
              <w:top w:val="nil"/>
              <w:left w:val="single" w:sz="8" w:space="0" w:color="auto"/>
              <w:bottom w:val="single" w:sz="8" w:space="0" w:color="auto"/>
              <w:right w:val="single" w:sz="8" w:space="0" w:color="auto"/>
            </w:tcBorders>
            <w:shd w:val="clear" w:color="auto" w:fill="auto"/>
            <w:noWrap/>
            <w:vAlign w:val="center"/>
            <w:hideMark/>
          </w:tcPr>
          <w:p w14:paraId="14B3E319" w14:textId="77777777" w:rsidR="003404B3" w:rsidRPr="00BB495F" w:rsidRDefault="003404B3" w:rsidP="003404B3">
            <w:pPr>
              <w:spacing w:after="0" w:line="240" w:lineRule="auto"/>
              <w:rPr>
                <w:rFonts w:eastAsia="Times New Roman" w:cs="Times New Roman"/>
                <w:color w:val="000000"/>
                <w:sz w:val="24"/>
                <w:szCs w:val="24"/>
              </w:rPr>
            </w:pPr>
            <w:r w:rsidRPr="00BB495F">
              <w:rPr>
                <w:rFonts w:eastAsia="Times New Roman" w:cs="Times New Roman"/>
                <w:color w:val="000000"/>
                <w:sz w:val="24"/>
                <w:szCs w:val="24"/>
              </w:rPr>
              <w:t>70-79</w:t>
            </w:r>
          </w:p>
        </w:tc>
        <w:tc>
          <w:tcPr>
            <w:tcW w:w="825" w:type="dxa"/>
            <w:tcBorders>
              <w:top w:val="nil"/>
              <w:left w:val="nil"/>
              <w:bottom w:val="single" w:sz="8" w:space="0" w:color="auto"/>
              <w:right w:val="single" w:sz="8" w:space="0" w:color="auto"/>
            </w:tcBorders>
            <w:shd w:val="clear" w:color="auto" w:fill="auto"/>
            <w:noWrap/>
            <w:vAlign w:val="center"/>
            <w:hideMark/>
          </w:tcPr>
          <w:p w14:paraId="541BFFA9" w14:textId="77777777" w:rsidR="003404B3" w:rsidRPr="00BB495F" w:rsidRDefault="003404B3" w:rsidP="003404B3">
            <w:pPr>
              <w:spacing w:after="0" w:line="240" w:lineRule="auto"/>
              <w:jc w:val="right"/>
              <w:rPr>
                <w:rFonts w:eastAsia="Times New Roman" w:cs="Times New Roman"/>
                <w:color w:val="000000"/>
                <w:sz w:val="24"/>
                <w:szCs w:val="24"/>
              </w:rPr>
            </w:pPr>
            <w:r w:rsidRPr="00BB495F">
              <w:rPr>
                <w:rFonts w:eastAsia="Times New Roman" w:cs="Times New Roman"/>
                <w:color w:val="000000"/>
                <w:sz w:val="24"/>
                <w:szCs w:val="24"/>
              </w:rPr>
              <w:t>3695</w:t>
            </w:r>
          </w:p>
        </w:tc>
        <w:tc>
          <w:tcPr>
            <w:tcW w:w="679" w:type="dxa"/>
            <w:tcBorders>
              <w:top w:val="nil"/>
              <w:left w:val="nil"/>
              <w:bottom w:val="single" w:sz="8" w:space="0" w:color="auto"/>
              <w:right w:val="single" w:sz="8" w:space="0" w:color="auto"/>
            </w:tcBorders>
            <w:shd w:val="clear" w:color="auto" w:fill="auto"/>
            <w:noWrap/>
            <w:vAlign w:val="center"/>
            <w:hideMark/>
          </w:tcPr>
          <w:p w14:paraId="512BDE78" w14:textId="77777777" w:rsidR="003404B3" w:rsidRPr="00BB495F" w:rsidRDefault="003404B3" w:rsidP="003404B3">
            <w:pPr>
              <w:spacing w:after="0" w:line="240" w:lineRule="auto"/>
              <w:jc w:val="right"/>
              <w:rPr>
                <w:rFonts w:eastAsia="Times New Roman" w:cs="Times New Roman"/>
                <w:color w:val="000000"/>
                <w:sz w:val="24"/>
                <w:szCs w:val="24"/>
              </w:rPr>
            </w:pPr>
            <w:r w:rsidRPr="00BB495F">
              <w:rPr>
                <w:rFonts w:eastAsia="Times New Roman" w:cs="Times New Roman"/>
                <w:color w:val="000000"/>
                <w:sz w:val="24"/>
                <w:szCs w:val="24"/>
              </w:rPr>
              <w:t>23.2</w:t>
            </w:r>
          </w:p>
        </w:tc>
        <w:tc>
          <w:tcPr>
            <w:tcW w:w="885" w:type="dxa"/>
            <w:tcBorders>
              <w:top w:val="nil"/>
              <w:left w:val="nil"/>
              <w:bottom w:val="single" w:sz="8" w:space="0" w:color="auto"/>
              <w:right w:val="single" w:sz="8" w:space="0" w:color="auto"/>
            </w:tcBorders>
            <w:shd w:val="clear" w:color="auto" w:fill="auto"/>
            <w:noWrap/>
            <w:vAlign w:val="bottom"/>
            <w:hideMark/>
          </w:tcPr>
          <w:p w14:paraId="1B0286E6" w14:textId="247C24BD" w:rsidR="003404B3" w:rsidRPr="00E9523E" w:rsidRDefault="003404B3" w:rsidP="003404B3">
            <w:pPr>
              <w:spacing w:after="0" w:line="240" w:lineRule="auto"/>
              <w:jc w:val="right"/>
              <w:rPr>
                <w:rFonts w:eastAsia="Times New Roman" w:cs="Times New Roman"/>
                <w:color w:val="000000"/>
                <w:sz w:val="24"/>
                <w:szCs w:val="24"/>
              </w:rPr>
            </w:pPr>
            <w:r w:rsidRPr="00E9523E">
              <w:rPr>
                <w:rFonts w:ascii="Calibri" w:hAnsi="Calibri"/>
                <w:color w:val="000000"/>
                <w:sz w:val="24"/>
                <w:szCs w:val="24"/>
              </w:rPr>
              <w:t>2832</w:t>
            </w:r>
          </w:p>
        </w:tc>
        <w:tc>
          <w:tcPr>
            <w:tcW w:w="642" w:type="dxa"/>
            <w:tcBorders>
              <w:top w:val="nil"/>
              <w:left w:val="nil"/>
              <w:bottom w:val="single" w:sz="8" w:space="0" w:color="auto"/>
              <w:right w:val="single" w:sz="8" w:space="0" w:color="auto"/>
            </w:tcBorders>
            <w:shd w:val="clear" w:color="auto" w:fill="auto"/>
            <w:noWrap/>
            <w:vAlign w:val="bottom"/>
            <w:hideMark/>
          </w:tcPr>
          <w:p w14:paraId="4AFDEF35" w14:textId="2C2BF1EA" w:rsidR="003404B3" w:rsidRPr="003404B3" w:rsidRDefault="003404B3" w:rsidP="003404B3">
            <w:pPr>
              <w:spacing w:after="0" w:line="240" w:lineRule="auto"/>
              <w:jc w:val="right"/>
              <w:rPr>
                <w:rFonts w:eastAsia="Times New Roman" w:cs="Times New Roman"/>
                <w:color w:val="000000"/>
                <w:sz w:val="24"/>
                <w:szCs w:val="24"/>
              </w:rPr>
            </w:pPr>
            <w:r w:rsidRPr="003404B3">
              <w:rPr>
                <w:rFonts w:ascii="Calibri" w:hAnsi="Calibri"/>
                <w:color w:val="000000"/>
                <w:sz w:val="24"/>
                <w:szCs w:val="24"/>
              </w:rPr>
              <w:t>28.2</w:t>
            </w:r>
          </w:p>
        </w:tc>
        <w:tc>
          <w:tcPr>
            <w:tcW w:w="763" w:type="dxa"/>
            <w:tcBorders>
              <w:top w:val="nil"/>
              <w:left w:val="nil"/>
              <w:bottom w:val="single" w:sz="8" w:space="0" w:color="auto"/>
              <w:right w:val="single" w:sz="8" w:space="0" w:color="auto"/>
            </w:tcBorders>
            <w:shd w:val="clear" w:color="auto" w:fill="auto"/>
            <w:noWrap/>
            <w:vAlign w:val="bottom"/>
            <w:hideMark/>
          </w:tcPr>
          <w:p w14:paraId="0ACEB34D" w14:textId="3F2ACAD4" w:rsidR="003404B3" w:rsidRPr="003404B3" w:rsidRDefault="003404B3" w:rsidP="003404B3">
            <w:pPr>
              <w:spacing w:after="0" w:line="240" w:lineRule="auto"/>
              <w:jc w:val="right"/>
              <w:rPr>
                <w:rFonts w:eastAsia="Times New Roman" w:cs="Times New Roman"/>
                <w:color w:val="000000"/>
                <w:sz w:val="24"/>
                <w:szCs w:val="24"/>
              </w:rPr>
            </w:pPr>
            <w:r w:rsidRPr="003404B3">
              <w:rPr>
                <w:rFonts w:ascii="Calibri" w:hAnsi="Calibri"/>
                <w:color w:val="000000"/>
                <w:sz w:val="24"/>
                <w:szCs w:val="24"/>
              </w:rPr>
              <w:t>863</w:t>
            </w:r>
          </w:p>
        </w:tc>
        <w:tc>
          <w:tcPr>
            <w:tcW w:w="642" w:type="dxa"/>
            <w:tcBorders>
              <w:top w:val="nil"/>
              <w:left w:val="nil"/>
              <w:bottom w:val="single" w:sz="8" w:space="0" w:color="auto"/>
              <w:right w:val="single" w:sz="8" w:space="0" w:color="auto"/>
            </w:tcBorders>
            <w:shd w:val="clear" w:color="auto" w:fill="auto"/>
            <w:noWrap/>
            <w:vAlign w:val="bottom"/>
            <w:hideMark/>
          </w:tcPr>
          <w:p w14:paraId="36C14BCB" w14:textId="7FF35ED4" w:rsidR="003404B3" w:rsidRPr="003404B3" w:rsidRDefault="003404B3" w:rsidP="003404B3">
            <w:pPr>
              <w:spacing w:after="0" w:line="240" w:lineRule="auto"/>
              <w:jc w:val="right"/>
              <w:rPr>
                <w:rFonts w:eastAsia="Times New Roman" w:cs="Times New Roman"/>
                <w:color w:val="000000"/>
                <w:sz w:val="24"/>
                <w:szCs w:val="24"/>
              </w:rPr>
            </w:pPr>
            <w:r w:rsidRPr="003404B3">
              <w:rPr>
                <w:rFonts w:ascii="Calibri" w:hAnsi="Calibri"/>
                <w:color w:val="000000"/>
                <w:sz w:val="24"/>
                <w:szCs w:val="24"/>
              </w:rPr>
              <w:t>14.7</w:t>
            </w:r>
          </w:p>
        </w:tc>
        <w:tc>
          <w:tcPr>
            <w:tcW w:w="422" w:type="dxa"/>
            <w:tcBorders>
              <w:top w:val="nil"/>
              <w:left w:val="nil"/>
              <w:bottom w:val="single" w:sz="8" w:space="0" w:color="auto"/>
              <w:right w:val="single" w:sz="8" w:space="0" w:color="auto"/>
            </w:tcBorders>
            <w:shd w:val="clear" w:color="auto" w:fill="auto"/>
            <w:noWrap/>
            <w:vAlign w:val="center"/>
            <w:hideMark/>
          </w:tcPr>
          <w:p w14:paraId="308574C7" w14:textId="77777777" w:rsidR="003404B3" w:rsidRPr="00BB495F" w:rsidRDefault="003404B3" w:rsidP="003404B3">
            <w:pPr>
              <w:spacing w:after="0" w:line="240" w:lineRule="auto"/>
              <w:rPr>
                <w:rFonts w:eastAsia="Times New Roman" w:cs="Times New Roman"/>
                <w:color w:val="000000"/>
                <w:sz w:val="24"/>
                <w:szCs w:val="24"/>
              </w:rPr>
            </w:pPr>
            <w:r w:rsidRPr="00BB495F">
              <w:rPr>
                <w:rFonts w:eastAsia="Times New Roman" w:cs="Times New Roman"/>
                <w:color w:val="000000"/>
                <w:sz w:val="24"/>
                <w:szCs w:val="24"/>
              </w:rPr>
              <w:t> </w:t>
            </w:r>
          </w:p>
        </w:tc>
        <w:tc>
          <w:tcPr>
            <w:tcW w:w="703" w:type="dxa"/>
            <w:tcBorders>
              <w:top w:val="nil"/>
              <w:left w:val="nil"/>
              <w:bottom w:val="single" w:sz="8" w:space="0" w:color="auto"/>
              <w:right w:val="single" w:sz="8" w:space="0" w:color="auto"/>
            </w:tcBorders>
            <w:shd w:val="clear" w:color="auto" w:fill="auto"/>
            <w:noWrap/>
            <w:vAlign w:val="bottom"/>
            <w:hideMark/>
          </w:tcPr>
          <w:p w14:paraId="0ADDBB75" w14:textId="2117EC0F" w:rsidR="003404B3" w:rsidRPr="003404B3" w:rsidRDefault="003404B3" w:rsidP="003404B3">
            <w:pPr>
              <w:spacing w:after="0" w:line="240" w:lineRule="auto"/>
              <w:jc w:val="right"/>
              <w:rPr>
                <w:rFonts w:eastAsia="Times New Roman" w:cs="Times New Roman"/>
                <w:color w:val="000000"/>
                <w:sz w:val="24"/>
                <w:szCs w:val="24"/>
              </w:rPr>
            </w:pPr>
            <w:r w:rsidRPr="003404B3">
              <w:rPr>
                <w:color w:val="000000"/>
                <w:sz w:val="24"/>
                <w:szCs w:val="24"/>
              </w:rPr>
              <w:t>448</w:t>
            </w:r>
          </w:p>
        </w:tc>
        <w:tc>
          <w:tcPr>
            <w:tcW w:w="643" w:type="dxa"/>
            <w:tcBorders>
              <w:top w:val="nil"/>
              <w:left w:val="nil"/>
              <w:bottom w:val="single" w:sz="8" w:space="0" w:color="auto"/>
              <w:right w:val="single" w:sz="8" w:space="0" w:color="auto"/>
            </w:tcBorders>
            <w:shd w:val="clear" w:color="auto" w:fill="auto"/>
            <w:noWrap/>
            <w:vAlign w:val="bottom"/>
            <w:hideMark/>
          </w:tcPr>
          <w:p w14:paraId="776D1DB7" w14:textId="610FE5F3" w:rsidR="003404B3" w:rsidRPr="003404B3" w:rsidRDefault="003404B3" w:rsidP="003404B3">
            <w:pPr>
              <w:spacing w:after="0" w:line="240" w:lineRule="auto"/>
              <w:jc w:val="right"/>
              <w:rPr>
                <w:rFonts w:eastAsia="Times New Roman" w:cs="Times New Roman"/>
                <w:color w:val="000000"/>
                <w:sz w:val="24"/>
                <w:szCs w:val="24"/>
              </w:rPr>
            </w:pPr>
            <w:r w:rsidRPr="003404B3">
              <w:rPr>
                <w:color w:val="000000"/>
                <w:sz w:val="24"/>
                <w:szCs w:val="24"/>
              </w:rPr>
              <w:t>14.3</w:t>
            </w:r>
          </w:p>
        </w:tc>
        <w:tc>
          <w:tcPr>
            <w:tcW w:w="703" w:type="dxa"/>
            <w:tcBorders>
              <w:top w:val="nil"/>
              <w:left w:val="nil"/>
              <w:bottom w:val="single" w:sz="8" w:space="0" w:color="auto"/>
              <w:right w:val="single" w:sz="8" w:space="0" w:color="auto"/>
            </w:tcBorders>
            <w:shd w:val="clear" w:color="auto" w:fill="auto"/>
            <w:noWrap/>
            <w:vAlign w:val="bottom"/>
            <w:hideMark/>
          </w:tcPr>
          <w:p w14:paraId="3019E7BF" w14:textId="197DE75B" w:rsidR="003404B3" w:rsidRPr="003404B3" w:rsidRDefault="003404B3" w:rsidP="003404B3">
            <w:pPr>
              <w:spacing w:after="0" w:line="240" w:lineRule="auto"/>
              <w:jc w:val="right"/>
              <w:rPr>
                <w:rFonts w:eastAsia="Times New Roman" w:cs="Times New Roman"/>
                <w:color w:val="000000"/>
                <w:sz w:val="24"/>
                <w:szCs w:val="24"/>
              </w:rPr>
            </w:pPr>
            <w:r w:rsidRPr="003404B3">
              <w:rPr>
                <w:color w:val="000000"/>
                <w:sz w:val="24"/>
                <w:szCs w:val="24"/>
              </w:rPr>
              <w:t>413</w:t>
            </w:r>
          </w:p>
        </w:tc>
        <w:tc>
          <w:tcPr>
            <w:tcW w:w="642" w:type="dxa"/>
            <w:tcBorders>
              <w:top w:val="nil"/>
              <w:left w:val="nil"/>
              <w:bottom w:val="single" w:sz="8" w:space="0" w:color="auto"/>
              <w:right w:val="single" w:sz="8" w:space="0" w:color="auto"/>
            </w:tcBorders>
            <w:shd w:val="clear" w:color="auto" w:fill="auto"/>
            <w:noWrap/>
            <w:vAlign w:val="bottom"/>
            <w:hideMark/>
          </w:tcPr>
          <w:p w14:paraId="6CDC6460" w14:textId="2FBEB535" w:rsidR="003404B3" w:rsidRPr="003404B3" w:rsidRDefault="003404B3" w:rsidP="003404B3">
            <w:pPr>
              <w:spacing w:after="0" w:line="240" w:lineRule="auto"/>
              <w:jc w:val="right"/>
              <w:rPr>
                <w:rFonts w:eastAsia="Times New Roman" w:cs="Times New Roman"/>
                <w:color w:val="000000"/>
                <w:sz w:val="24"/>
                <w:szCs w:val="24"/>
              </w:rPr>
            </w:pPr>
            <w:r w:rsidRPr="003404B3">
              <w:rPr>
                <w:color w:val="000000"/>
                <w:sz w:val="24"/>
                <w:szCs w:val="24"/>
              </w:rPr>
              <w:t>15.2</w:t>
            </w:r>
          </w:p>
        </w:tc>
      </w:tr>
      <w:tr w:rsidR="003404B3" w:rsidRPr="0089495C" w14:paraId="7E7F8755" w14:textId="77777777" w:rsidTr="003404B3">
        <w:trPr>
          <w:trHeight w:val="314"/>
        </w:trPr>
        <w:tc>
          <w:tcPr>
            <w:tcW w:w="1156" w:type="dxa"/>
            <w:tcBorders>
              <w:top w:val="nil"/>
              <w:left w:val="single" w:sz="8" w:space="0" w:color="auto"/>
              <w:bottom w:val="single" w:sz="8" w:space="0" w:color="auto"/>
              <w:right w:val="single" w:sz="8" w:space="0" w:color="auto"/>
            </w:tcBorders>
            <w:shd w:val="clear" w:color="auto" w:fill="auto"/>
            <w:noWrap/>
            <w:vAlign w:val="center"/>
            <w:hideMark/>
          </w:tcPr>
          <w:p w14:paraId="4AB0E432" w14:textId="77777777" w:rsidR="003404B3" w:rsidRPr="00BB495F" w:rsidRDefault="003404B3" w:rsidP="003404B3">
            <w:pPr>
              <w:spacing w:after="0" w:line="240" w:lineRule="auto"/>
              <w:rPr>
                <w:rFonts w:eastAsia="Times New Roman" w:cs="Times New Roman"/>
                <w:color w:val="000000"/>
                <w:sz w:val="24"/>
                <w:szCs w:val="24"/>
              </w:rPr>
            </w:pPr>
            <w:r w:rsidRPr="00BB495F">
              <w:rPr>
                <w:rFonts w:eastAsia="Times New Roman" w:cs="Times New Roman"/>
                <w:color w:val="000000"/>
                <w:sz w:val="24"/>
                <w:szCs w:val="24"/>
              </w:rPr>
              <w:t>80 +</w:t>
            </w:r>
          </w:p>
        </w:tc>
        <w:tc>
          <w:tcPr>
            <w:tcW w:w="825" w:type="dxa"/>
            <w:tcBorders>
              <w:top w:val="nil"/>
              <w:left w:val="nil"/>
              <w:bottom w:val="single" w:sz="8" w:space="0" w:color="auto"/>
              <w:right w:val="single" w:sz="8" w:space="0" w:color="auto"/>
            </w:tcBorders>
            <w:shd w:val="clear" w:color="auto" w:fill="auto"/>
            <w:noWrap/>
            <w:vAlign w:val="center"/>
            <w:hideMark/>
          </w:tcPr>
          <w:p w14:paraId="7F2F2123" w14:textId="77777777" w:rsidR="003404B3" w:rsidRPr="00BB495F" w:rsidRDefault="003404B3" w:rsidP="003404B3">
            <w:pPr>
              <w:spacing w:after="0" w:line="240" w:lineRule="auto"/>
              <w:jc w:val="right"/>
              <w:rPr>
                <w:rFonts w:eastAsia="Times New Roman" w:cs="Times New Roman"/>
                <w:color w:val="000000"/>
                <w:sz w:val="24"/>
                <w:szCs w:val="24"/>
              </w:rPr>
            </w:pPr>
            <w:r w:rsidRPr="00BB495F">
              <w:rPr>
                <w:rFonts w:eastAsia="Times New Roman" w:cs="Times New Roman"/>
                <w:color w:val="000000"/>
                <w:sz w:val="24"/>
                <w:szCs w:val="24"/>
              </w:rPr>
              <w:t>1513</w:t>
            </w:r>
          </w:p>
        </w:tc>
        <w:tc>
          <w:tcPr>
            <w:tcW w:w="679" w:type="dxa"/>
            <w:tcBorders>
              <w:top w:val="nil"/>
              <w:left w:val="nil"/>
              <w:bottom w:val="single" w:sz="8" w:space="0" w:color="auto"/>
              <w:right w:val="single" w:sz="8" w:space="0" w:color="auto"/>
            </w:tcBorders>
            <w:shd w:val="clear" w:color="auto" w:fill="auto"/>
            <w:noWrap/>
            <w:vAlign w:val="center"/>
            <w:hideMark/>
          </w:tcPr>
          <w:p w14:paraId="4E1726C9" w14:textId="77777777" w:rsidR="003404B3" w:rsidRPr="00BB495F" w:rsidRDefault="003404B3" w:rsidP="003404B3">
            <w:pPr>
              <w:spacing w:after="0" w:line="240" w:lineRule="auto"/>
              <w:jc w:val="right"/>
              <w:rPr>
                <w:rFonts w:eastAsia="Times New Roman" w:cs="Times New Roman"/>
                <w:color w:val="000000"/>
                <w:sz w:val="24"/>
                <w:szCs w:val="24"/>
              </w:rPr>
            </w:pPr>
            <w:r w:rsidRPr="00BB495F">
              <w:rPr>
                <w:rFonts w:eastAsia="Times New Roman" w:cs="Times New Roman"/>
                <w:color w:val="000000"/>
                <w:sz w:val="24"/>
                <w:szCs w:val="24"/>
              </w:rPr>
              <w:t>9.5</w:t>
            </w:r>
          </w:p>
        </w:tc>
        <w:tc>
          <w:tcPr>
            <w:tcW w:w="885" w:type="dxa"/>
            <w:tcBorders>
              <w:top w:val="nil"/>
              <w:left w:val="nil"/>
              <w:bottom w:val="single" w:sz="8" w:space="0" w:color="auto"/>
              <w:right w:val="single" w:sz="8" w:space="0" w:color="auto"/>
            </w:tcBorders>
            <w:shd w:val="clear" w:color="auto" w:fill="auto"/>
            <w:noWrap/>
            <w:vAlign w:val="bottom"/>
            <w:hideMark/>
          </w:tcPr>
          <w:p w14:paraId="6937DC96" w14:textId="3BFFD350" w:rsidR="003404B3" w:rsidRPr="00E9523E" w:rsidRDefault="003404B3" w:rsidP="003404B3">
            <w:pPr>
              <w:spacing w:after="0" w:line="240" w:lineRule="auto"/>
              <w:jc w:val="right"/>
              <w:rPr>
                <w:rFonts w:eastAsia="Times New Roman" w:cs="Times New Roman"/>
                <w:color w:val="000000"/>
                <w:sz w:val="24"/>
                <w:szCs w:val="24"/>
              </w:rPr>
            </w:pPr>
            <w:r w:rsidRPr="00E9523E">
              <w:rPr>
                <w:rFonts w:ascii="Calibri" w:hAnsi="Calibri"/>
                <w:color w:val="000000"/>
                <w:sz w:val="24"/>
                <w:szCs w:val="24"/>
              </w:rPr>
              <w:t>1315</w:t>
            </w:r>
          </w:p>
        </w:tc>
        <w:tc>
          <w:tcPr>
            <w:tcW w:w="642" w:type="dxa"/>
            <w:tcBorders>
              <w:top w:val="nil"/>
              <w:left w:val="nil"/>
              <w:bottom w:val="single" w:sz="8" w:space="0" w:color="auto"/>
              <w:right w:val="single" w:sz="8" w:space="0" w:color="auto"/>
            </w:tcBorders>
            <w:shd w:val="clear" w:color="auto" w:fill="auto"/>
            <w:noWrap/>
            <w:vAlign w:val="bottom"/>
            <w:hideMark/>
          </w:tcPr>
          <w:p w14:paraId="1F165217" w14:textId="02C21F6B" w:rsidR="003404B3" w:rsidRPr="003404B3" w:rsidRDefault="003404B3" w:rsidP="003404B3">
            <w:pPr>
              <w:spacing w:after="0" w:line="240" w:lineRule="auto"/>
              <w:jc w:val="right"/>
              <w:rPr>
                <w:rFonts w:eastAsia="Times New Roman" w:cs="Times New Roman"/>
                <w:color w:val="000000"/>
                <w:sz w:val="24"/>
                <w:szCs w:val="24"/>
              </w:rPr>
            </w:pPr>
            <w:r w:rsidRPr="003404B3">
              <w:rPr>
                <w:rFonts w:ascii="Calibri" w:hAnsi="Calibri"/>
                <w:color w:val="000000"/>
                <w:sz w:val="24"/>
                <w:szCs w:val="24"/>
              </w:rPr>
              <w:t>13.1</w:t>
            </w:r>
          </w:p>
        </w:tc>
        <w:tc>
          <w:tcPr>
            <w:tcW w:w="763" w:type="dxa"/>
            <w:tcBorders>
              <w:top w:val="nil"/>
              <w:left w:val="nil"/>
              <w:bottom w:val="single" w:sz="8" w:space="0" w:color="auto"/>
              <w:right w:val="single" w:sz="8" w:space="0" w:color="auto"/>
            </w:tcBorders>
            <w:shd w:val="clear" w:color="auto" w:fill="auto"/>
            <w:noWrap/>
            <w:vAlign w:val="bottom"/>
            <w:hideMark/>
          </w:tcPr>
          <w:p w14:paraId="36580FE7" w14:textId="65FFFED8" w:rsidR="003404B3" w:rsidRPr="003404B3" w:rsidRDefault="003404B3" w:rsidP="003404B3">
            <w:pPr>
              <w:spacing w:after="0" w:line="240" w:lineRule="auto"/>
              <w:jc w:val="right"/>
              <w:rPr>
                <w:rFonts w:eastAsia="Times New Roman" w:cs="Times New Roman"/>
                <w:color w:val="000000"/>
                <w:sz w:val="24"/>
                <w:szCs w:val="24"/>
              </w:rPr>
            </w:pPr>
            <w:r w:rsidRPr="003404B3">
              <w:rPr>
                <w:rFonts w:ascii="Calibri" w:hAnsi="Calibri"/>
                <w:color w:val="000000"/>
                <w:sz w:val="24"/>
                <w:szCs w:val="24"/>
              </w:rPr>
              <w:t>198</w:t>
            </w:r>
          </w:p>
        </w:tc>
        <w:tc>
          <w:tcPr>
            <w:tcW w:w="642" w:type="dxa"/>
            <w:tcBorders>
              <w:top w:val="nil"/>
              <w:left w:val="nil"/>
              <w:bottom w:val="single" w:sz="8" w:space="0" w:color="auto"/>
              <w:right w:val="single" w:sz="8" w:space="0" w:color="auto"/>
            </w:tcBorders>
            <w:shd w:val="clear" w:color="auto" w:fill="auto"/>
            <w:noWrap/>
            <w:vAlign w:val="bottom"/>
            <w:hideMark/>
          </w:tcPr>
          <w:p w14:paraId="6B66D8B2" w14:textId="4B56E076" w:rsidR="003404B3" w:rsidRPr="003404B3" w:rsidRDefault="003404B3" w:rsidP="003404B3">
            <w:pPr>
              <w:spacing w:after="0" w:line="240" w:lineRule="auto"/>
              <w:jc w:val="right"/>
              <w:rPr>
                <w:rFonts w:eastAsia="Times New Roman" w:cs="Times New Roman"/>
                <w:color w:val="000000"/>
                <w:sz w:val="24"/>
                <w:szCs w:val="24"/>
              </w:rPr>
            </w:pPr>
            <w:r w:rsidRPr="003404B3">
              <w:rPr>
                <w:rFonts w:ascii="Calibri" w:hAnsi="Calibri"/>
                <w:color w:val="000000"/>
                <w:sz w:val="24"/>
                <w:szCs w:val="24"/>
              </w:rPr>
              <w:t>3.4</w:t>
            </w:r>
          </w:p>
        </w:tc>
        <w:tc>
          <w:tcPr>
            <w:tcW w:w="422" w:type="dxa"/>
            <w:tcBorders>
              <w:top w:val="nil"/>
              <w:left w:val="nil"/>
              <w:bottom w:val="single" w:sz="8" w:space="0" w:color="auto"/>
              <w:right w:val="single" w:sz="8" w:space="0" w:color="auto"/>
            </w:tcBorders>
            <w:shd w:val="clear" w:color="auto" w:fill="auto"/>
            <w:noWrap/>
            <w:vAlign w:val="center"/>
            <w:hideMark/>
          </w:tcPr>
          <w:p w14:paraId="63942550" w14:textId="77777777" w:rsidR="003404B3" w:rsidRPr="00BB495F" w:rsidRDefault="003404B3" w:rsidP="003404B3">
            <w:pPr>
              <w:spacing w:after="0" w:line="240" w:lineRule="auto"/>
              <w:rPr>
                <w:rFonts w:eastAsia="Times New Roman" w:cs="Times New Roman"/>
                <w:color w:val="000000"/>
                <w:sz w:val="24"/>
                <w:szCs w:val="24"/>
              </w:rPr>
            </w:pPr>
            <w:r w:rsidRPr="00BB495F">
              <w:rPr>
                <w:rFonts w:eastAsia="Times New Roman" w:cs="Times New Roman"/>
                <w:color w:val="000000"/>
                <w:sz w:val="24"/>
                <w:szCs w:val="24"/>
              </w:rPr>
              <w:t> </w:t>
            </w:r>
          </w:p>
        </w:tc>
        <w:tc>
          <w:tcPr>
            <w:tcW w:w="703" w:type="dxa"/>
            <w:tcBorders>
              <w:top w:val="nil"/>
              <w:left w:val="nil"/>
              <w:bottom w:val="single" w:sz="8" w:space="0" w:color="auto"/>
              <w:right w:val="single" w:sz="8" w:space="0" w:color="auto"/>
            </w:tcBorders>
            <w:shd w:val="clear" w:color="auto" w:fill="auto"/>
            <w:noWrap/>
            <w:vAlign w:val="bottom"/>
            <w:hideMark/>
          </w:tcPr>
          <w:p w14:paraId="4568699F" w14:textId="578E0F63" w:rsidR="003404B3" w:rsidRPr="003404B3" w:rsidRDefault="003404B3" w:rsidP="003404B3">
            <w:pPr>
              <w:spacing w:after="0" w:line="240" w:lineRule="auto"/>
              <w:jc w:val="right"/>
              <w:rPr>
                <w:rFonts w:eastAsia="Times New Roman" w:cs="Times New Roman"/>
                <w:color w:val="000000"/>
                <w:sz w:val="24"/>
                <w:szCs w:val="24"/>
              </w:rPr>
            </w:pPr>
            <w:r w:rsidRPr="003404B3">
              <w:rPr>
                <w:color w:val="000000"/>
                <w:sz w:val="24"/>
                <w:szCs w:val="24"/>
              </w:rPr>
              <w:t>82</w:t>
            </w:r>
          </w:p>
        </w:tc>
        <w:tc>
          <w:tcPr>
            <w:tcW w:w="643" w:type="dxa"/>
            <w:tcBorders>
              <w:top w:val="nil"/>
              <w:left w:val="nil"/>
              <w:bottom w:val="single" w:sz="8" w:space="0" w:color="auto"/>
              <w:right w:val="single" w:sz="8" w:space="0" w:color="auto"/>
            </w:tcBorders>
            <w:shd w:val="clear" w:color="auto" w:fill="auto"/>
            <w:noWrap/>
            <w:vAlign w:val="bottom"/>
            <w:hideMark/>
          </w:tcPr>
          <w:p w14:paraId="51A8C064" w14:textId="610D67CA" w:rsidR="003404B3" w:rsidRPr="003404B3" w:rsidRDefault="003404B3" w:rsidP="003404B3">
            <w:pPr>
              <w:spacing w:after="0" w:line="240" w:lineRule="auto"/>
              <w:jc w:val="right"/>
              <w:rPr>
                <w:rFonts w:eastAsia="Times New Roman" w:cs="Times New Roman"/>
                <w:color w:val="000000"/>
                <w:sz w:val="24"/>
                <w:szCs w:val="24"/>
              </w:rPr>
            </w:pPr>
            <w:r w:rsidRPr="003404B3">
              <w:rPr>
                <w:color w:val="000000"/>
                <w:sz w:val="24"/>
                <w:szCs w:val="24"/>
              </w:rPr>
              <w:t>2.6</w:t>
            </w:r>
          </w:p>
        </w:tc>
        <w:tc>
          <w:tcPr>
            <w:tcW w:w="703" w:type="dxa"/>
            <w:tcBorders>
              <w:top w:val="nil"/>
              <w:left w:val="nil"/>
              <w:bottom w:val="single" w:sz="8" w:space="0" w:color="auto"/>
              <w:right w:val="single" w:sz="8" w:space="0" w:color="auto"/>
            </w:tcBorders>
            <w:shd w:val="clear" w:color="auto" w:fill="auto"/>
            <w:noWrap/>
            <w:vAlign w:val="bottom"/>
            <w:hideMark/>
          </w:tcPr>
          <w:p w14:paraId="51E9AF0B" w14:textId="56234DC0" w:rsidR="003404B3" w:rsidRPr="003404B3" w:rsidRDefault="003404B3" w:rsidP="003404B3">
            <w:pPr>
              <w:spacing w:after="0" w:line="240" w:lineRule="auto"/>
              <w:jc w:val="right"/>
              <w:rPr>
                <w:rFonts w:eastAsia="Times New Roman" w:cs="Times New Roman"/>
                <w:color w:val="000000"/>
                <w:sz w:val="24"/>
                <w:szCs w:val="24"/>
              </w:rPr>
            </w:pPr>
            <w:r w:rsidRPr="003404B3">
              <w:rPr>
                <w:color w:val="000000"/>
                <w:sz w:val="24"/>
                <w:szCs w:val="24"/>
              </w:rPr>
              <w:t>116</w:t>
            </w:r>
          </w:p>
        </w:tc>
        <w:tc>
          <w:tcPr>
            <w:tcW w:w="642" w:type="dxa"/>
            <w:tcBorders>
              <w:top w:val="nil"/>
              <w:left w:val="nil"/>
              <w:bottom w:val="single" w:sz="8" w:space="0" w:color="auto"/>
              <w:right w:val="single" w:sz="8" w:space="0" w:color="auto"/>
            </w:tcBorders>
            <w:shd w:val="clear" w:color="auto" w:fill="auto"/>
            <w:noWrap/>
            <w:vAlign w:val="bottom"/>
            <w:hideMark/>
          </w:tcPr>
          <w:p w14:paraId="0CED165C" w14:textId="4EDC42F4" w:rsidR="003404B3" w:rsidRPr="003404B3" w:rsidRDefault="003404B3" w:rsidP="003404B3">
            <w:pPr>
              <w:spacing w:after="0" w:line="240" w:lineRule="auto"/>
              <w:jc w:val="right"/>
              <w:rPr>
                <w:rFonts w:eastAsia="Times New Roman" w:cs="Times New Roman"/>
                <w:color w:val="000000"/>
                <w:sz w:val="24"/>
                <w:szCs w:val="24"/>
              </w:rPr>
            </w:pPr>
            <w:r w:rsidRPr="003404B3">
              <w:rPr>
                <w:color w:val="000000"/>
                <w:sz w:val="24"/>
                <w:szCs w:val="24"/>
              </w:rPr>
              <w:t>4.3</w:t>
            </w:r>
          </w:p>
        </w:tc>
      </w:tr>
      <w:tr w:rsidR="003404B3" w:rsidRPr="0089495C" w14:paraId="277571FF" w14:textId="77777777" w:rsidTr="003404B3">
        <w:trPr>
          <w:trHeight w:val="314"/>
        </w:trPr>
        <w:tc>
          <w:tcPr>
            <w:tcW w:w="1156" w:type="dxa"/>
            <w:tcBorders>
              <w:top w:val="nil"/>
              <w:left w:val="single" w:sz="8" w:space="0" w:color="auto"/>
              <w:bottom w:val="single" w:sz="8" w:space="0" w:color="auto"/>
              <w:right w:val="single" w:sz="8" w:space="0" w:color="auto"/>
            </w:tcBorders>
            <w:shd w:val="clear" w:color="auto" w:fill="auto"/>
            <w:noWrap/>
            <w:vAlign w:val="center"/>
            <w:hideMark/>
          </w:tcPr>
          <w:p w14:paraId="7D77C5C1" w14:textId="77777777" w:rsidR="003404B3" w:rsidRPr="00BB495F" w:rsidRDefault="003404B3" w:rsidP="003404B3">
            <w:pPr>
              <w:spacing w:after="0" w:line="240" w:lineRule="auto"/>
              <w:rPr>
                <w:rFonts w:eastAsia="Times New Roman" w:cs="Times New Roman"/>
                <w:color w:val="000000"/>
                <w:sz w:val="24"/>
                <w:szCs w:val="24"/>
              </w:rPr>
            </w:pPr>
            <w:r w:rsidRPr="00BB495F">
              <w:rPr>
                <w:rFonts w:eastAsia="Times New Roman" w:cs="Times New Roman"/>
                <w:color w:val="000000"/>
                <w:sz w:val="24"/>
                <w:szCs w:val="24"/>
              </w:rPr>
              <w:t>Unknown</w:t>
            </w:r>
          </w:p>
        </w:tc>
        <w:tc>
          <w:tcPr>
            <w:tcW w:w="825" w:type="dxa"/>
            <w:tcBorders>
              <w:top w:val="nil"/>
              <w:left w:val="nil"/>
              <w:bottom w:val="single" w:sz="8" w:space="0" w:color="auto"/>
              <w:right w:val="single" w:sz="8" w:space="0" w:color="auto"/>
            </w:tcBorders>
            <w:shd w:val="clear" w:color="auto" w:fill="auto"/>
            <w:noWrap/>
            <w:vAlign w:val="center"/>
            <w:hideMark/>
          </w:tcPr>
          <w:p w14:paraId="76EA834F" w14:textId="77777777" w:rsidR="003404B3" w:rsidRPr="00BB495F" w:rsidRDefault="003404B3" w:rsidP="003404B3">
            <w:pPr>
              <w:spacing w:after="0" w:line="240" w:lineRule="auto"/>
              <w:jc w:val="right"/>
              <w:rPr>
                <w:rFonts w:eastAsia="Times New Roman" w:cs="Times New Roman"/>
                <w:color w:val="000000"/>
                <w:sz w:val="24"/>
                <w:szCs w:val="24"/>
              </w:rPr>
            </w:pPr>
            <w:r w:rsidRPr="00BB495F">
              <w:rPr>
                <w:rFonts w:eastAsia="Times New Roman" w:cs="Times New Roman"/>
                <w:color w:val="000000"/>
                <w:sz w:val="24"/>
                <w:szCs w:val="24"/>
              </w:rPr>
              <w:t>56</w:t>
            </w:r>
          </w:p>
        </w:tc>
        <w:tc>
          <w:tcPr>
            <w:tcW w:w="679" w:type="dxa"/>
            <w:tcBorders>
              <w:top w:val="nil"/>
              <w:left w:val="nil"/>
              <w:bottom w:val="single" w:sz="8" w:space="0" w:color="auto"/>
              <w:right w:val="single" w:sz="8" w:space="0" w:color="auto"/>
            </w:tcBorders>
            <w:shd w:val="clear" w:color="auto" w:fill="auto"/>
            <w:noWrap/>
            <w:vAlign w:val="center"/>
            <w:hideMark/>
          </w:tcPr>
          <w:p w14:paraId="1DBC53D4" w14:textId="77777777" w:rsidR="003404B3" w:rsidRPr="00BB495F" w:rsidRDefault="003404B3" w:rsidP="003404B3">
            <w:pPr>
              <w:spacing w:after="0" w:line="240" w:lineRule="auto"/>
              <w:jc w:val="right"/>
              <w:rPr>
                <w:rFonts w:eastAsia="Times New Roman" w:cs="Times New Roman"/>
                <w:color w:val="000000"/>
                <w:sz w:val="24"/>
                <w:szCs w:val="24"/>
              </w:rPr>
            </w:pPr>
            <w:r w:rsidRPr="00BB495F">
              <w:rPr>
                <w:rFonts w:eastAsia="Times New Roman" w:cs="Times New Roman"/>
                <w:color w:val="000000"/>
                <w:sz w:val="24"/>
                <w:szCs w:val="24"/>
              </w:rPr>
              <w:t>0.4</w:t>
            </w:r>
          </w:p>
        </w:tc>
        <w:tc>
          <w:tcPr>
            <w:tcW w:w="885" w:type="dxa"/>
            <w:tcBorders>
              <w:top w:val="nil"/>
              <w:left w:val="nil"/>
              <w:bottom w:val="single" w:sz="8" w:space="0" w:color="auto"/>
              <w:right w:val="single" w:sz="8" w:space="0" w:color="auto"/>
            </w:tcBorders>
            <w:shd w:val="clear" w:color="auto" w:fill="auto"/>
            <w:noWrap/>
            <w:vAlign w:val="bottom"/>
            <w:hideMark/>
          </w:tcPr>
          <w:p w14:paraId="5CE8B5AB" w14:textId="605A798E" w:rsidR="003404B3" w:rsidRPr="00E9523E" w:rsidRDefault="003404B3" w:rsidP="003404B3">
            <w:pPr>
              <w:spacing w:after="0" w:line="240" w:lineRule="auto"/>
              <w:jc w:val="right"/>
              <w:rPr>
                <w:rFonts w:eastAsia="Times New Roman" w:cs="Times New Roman"/>
                <w:color w:val="000000"/>
                <w:sz w:val="24"/>
                <w:szCs w:val="24"/>
              </w:rPr>
            </w:pPr>
          </w:p>
        </w:tc>
        <w:tc>
          <w:tcPr>
            <w:tcW w:w="642" w:type="dxa"/>
            <w:tcBorders>
              <w:top w:val="nil"/>
              <w:left w:val="nil"/>
              <w:bottom w:val="single" w:sz="8" w:space="0" w:color="auto"/>
              <w:right w:val="single" w:sz="8" w:space="0" w:color="auto"/>
            </w:tcBorders>
            <w:shd w:val="clear" w:color="auto" w:fill="auto"/>
            <w:noWrap/>
            <w:vAlign w:val="bottom"/>
            <w:hideMark/>
          </w:tcPr>
          <w:p w14:paraId="668E502A" w14:textId="6C3C0411" w:rsidR="003404B3" w:rsidRPr="003404B3" w:rsidRDefault="003404B3" w:rsidP="003404B3">
            <w:pPr>
              <w:spacing w:after="0" w:line="240" w:lineRule="auto"/>
              <w:jc w:val="right"/>
              <w:rPr>
                <w:rFonts w:eastAsia="Times New Roman" w:cs="Times New Roman"/>
                <w:color w:val="000000"/>
                <w:sz w:val="24"/>
                <w:szCs w:val="24"/>
              </w:rPr>
            </w:pPr>
          </w:p>
        </w:tc>
        <w:tc>
          <w:tcPr>
            <w:tcW w:w="763" w:type="dxa"/>
            <w:tcBorders>
              <w:top w:val="nil"/>
              <w:left w:val="nil"/>
              <w:bottom w:val="single" w:sz="8" w:space="0" w:color="auto"/>
              <w:right w:val="single" w:sz="8" w:space="0" w:color="auto"/>
            </w:tcBorders>
            <w:shd w:val="clear" w:color="auto" w:fill="auto"/>
            <w:noWrap/>
            <w:vAlign w:val="bottom"/>
            <w:hideMark/>
          </w:tcPr>
          <w:p w14:paraId="7CA63C70" w14:textId="672DA320" w:rsidR="003404B3" w:rsidRPr="003404B3" w:rsidRDefault="003404B3" w:rsidP="003404B3">
            <w:pPr>
              <w:spacing w:after="0" w:line="240" w:lineRule="auto"/>
              <w:jc w:val="right"/>
              <w:rPr>
                <w:rFonts w:eastAsia="Times New Roman" w:cs="Times New Roman"/>
                <w:color w:val="000000"/>
                <w:sz w:val="24"/>
                <w:szCs w:val="24"/>
              </w:rPr>
            </w:pPr>
            <w:r w:rsidRPr="003404B3">
              <w:rPr>
                <w:rFonts w:ascii="Calibri" w:hAnsi="Calibri"/>
                <w:color w:val="000000"/>
                <w:sz w:val="24"/>
                <w:szCs w:val="24"/>
              </w:rPr>
              <w:t>56</w:t>
            </w:r>
          </w:p>
        </w:tc>
        <w:tc>
          <w:tcPr>
            <w:tcW w:w="642" w:type="dxa"/>
            <w:tcBorders>
              <w:top w:val="nil"/>
              <w:left w:val="nil"/>
              <w:bottom w:val="single" w:sz="8" w:space="0" w:color="auto"/>
              <w:right w:val="single" w:sz="8" w:space="0" w:color="auto"/>
            </w:tcBorders>
            <w:shd w:val="clear" w:color="auto" w:fill="auto"/>
            <w:noWrap/>
            <w:vAlign w:val="bottom"/>
            <w:hideMark/>
          </w:tcPr>
          <w:p w14:paraId="10698515" w14:textId="6073AFED" w:rsidR="003404B3" w:rsidRPr="003404B3" w:rsidRDefault="003404B3" w:rsidP="003404B3">
            <w:pPr>
              <w:spacing w:after="0" w:line="240" w:lineRule="auto"/>
              <w:jc w:val="right"/>
              <w:rPr>
                <w:rFonts w:eastAsia="Times New Roman" w:cs="Times New Roman"/>
                <w:color w:val="000000"/>
                <w:sz w:val="24"/>
                <w:szCs w:val="24"/>
              </w:rPr>
            </w:pPr>
            <w:r w:rsidRPr="003404B3">
              <w:rPr>
                <w:rFonts w:ascii="Calibri" w:hAnsi="Calibri"/>
                <w:color w:val="000000"/>
                <w:sz w:val="24"/>
                <w:szCs w:val="24"/>
              </w:rPr>
              <w:t>1.0</w:t>
            </w:r>
          </w:p>
        </w:tc>
        <w:tc>
          <w:tcPr>
            <w:tcW w:w="422" w:type="dxa"/>
            <w:tcBorders>
              <w:top w:val="nil"/>
              <w:left w:val="nil"/>
              <w:bottom w:val="single" w:sz="8" w:space="0" w:color="auto"/>
              <w:right w:val="single" w:sz="8" w:space="0" w:color="auto"/>
            </w:tcBorders>
            <w:shd w:val="clear" w:color="auto" w:fill="auto"/>
            <w:noWrap/>
            <w:vAlign w:val="center"/>
            <w:hideMark/>
          </w:tcPr>
          <w:p w14:paraId="3B233BCA" w14:textId="77777777" w:rsidR="003404B3" w:rsidRPr="00BB495F" w:rsidRDefault="003404B3" w:rsidP="003404B3">
            <w:pPr>
              <w:spacing w:after="0" w:line="240" w:lineRule="auto"/>
              <w:rPr>
                <w:rFonts w:eastAsia="Times New Roman" w:cs="Times New Roman"/>
                <w:color w:val="000000"/>
                <w:sz w:val="24"/>
                <w:szCs w:val="24"/>
              </w:rPr>
            </w:pPr>
            <w:r w:rsidRPr="00BB495F">
              <w:rPr>
                <w:rFonts w:eastAsia="Times New Roman" w:cs="Times New Roman"/>
                <w:color w:val="000000"/>
                <w:sz w:val="24"/>
                <w:szCs w:val="24"/>
              </w:rPr>
              <w:t> </w:t>
            </w:r>
          </w:p>
        </w:tc>
        <w:tc>
          <w:tcPr>
            <w:tcW w:w="703" w:type="dxa"/>
            <w:tcBorders>
              <w:top w:val="nil"/>
              <w:left w:val="nil"/>
              <w:bottom w:val="single" w:sz="8" w:space="0" w:color="auto"/>
              <w:right w:val="single" w:sz="8" w:space="0" w:color="auto"/>
            </w:tcBorders>
            <w:shd w:val="clear" w:color="auto" w:fill="auto"/>
            <w:noWrap/>
            <w:vAlign w:val="bottom"/>
            <w:hideMark/>
          </w:tcPr>
          <w:p w14:paraId="51B980F5" w14:textId="18250C99" w:rsidR="003404B3" w:rsidRPr="003404B3" w:rsidRDefault="003404B3" w:rsidP="003404B3">
            <w:pPr>
              <w:spacing w:after="0" w:line="240" w:lineRule="auto"/>
              <w:jc w:val="right"/>
              <w:rPr>
                <w:rFonts w:eastAsia="Times New Roman" w:cs="Times New Roman"/>
                <w:color w:val="000000"/>
                <w:sz w:val="24"/>
                <w:szCs w:val="24"/>
              </w:rPr>
            </w:pPr>
            <w:r w:rsidRPr="003404B3">
              <w:rPr>
                <w:color w:val="000000"/>
                <w:sz w:val="24"/>
                <w:szCs w:val="24"/>
              </w:rPr>
              <w:t>18</w:t>
            </w:r>
          </w:p>
        </w:tc>
        <w:tc>
          <w:tcPr>
            <w:tcW w:w="643" w:type="dxa"/>
            <w:tcBorders>
              <w:top w:val="nil"/>
              <w:left w:val="nil"/>
              <w:bottom w:val="single" w:sz="8" w:space="0" w:color="auto"/>
              <w:right w:val="single" w:sz="8" w:space="0" w:color="auto"/>
            </w:tcBorders>
            <w:shd w:val="clear" w:color="auto" w:fill="auto"/>
            <w:noWrap/>
            <w:vAlign w:val="bottom"/>
            <w:hideMark/>
          </w:tcPr>
          <w:p w14:paraId="54952945" w14:textId="06FDD5EA" w:rsidR="003404B3" w:rsidRPr="003404B3" w:rsidRDefault="003404B3" w:rsidP="003404B3">
            <w:pPr>
              <w:spacing w:after="0" w:line="240" w:lineRule="auto"/>
              <w:jc w:val="right"/>
              <w:rPr>
                <w:rFonts w:eastAsia="Times New Roman" w:cs="Times New Roman"/>
                <w:color w:val="000000"/>
                <w:sz w:val="24"/>
                <w:szCs w:val="24"/>
              </w:rPr>
            </w:pPr>
            <w:r w:rsidRPr="003404B3">
              <w:rPr>
                <w:color w:val="000000"/>
                <w:sz w:val="24"/>
                <w:szCs w:val="24"/>
              </w:rPr>
              <w:t>0.6</w:t>
            </w:r>
          </w:p>
        </w:tc>
        <w:tc>
          <w:tcPr>
            <w:tcW w:w="703" w:type="dxa"/>
            <w:tcBorders>
              <w:top w:val="nil"/>
              <w:left w:val="nil"/>
              <w:bottom w:val="single" w:sz="8" w:space="0" w:color="auto"/>
              <w:right w:val="single" w:sz="8" w:space="0" w:color="auto"/>
            </w:tcBorders>
            <w:shd w:val="clear" w:color="auto" w:fill="auto"/>
            <w:noWrap/>
            <w:vAlign w:val="bottom"/>
            <w:hideMark/>
          </w:tcPr>
          <w:p w14:paraId="795D15FA" w14:textId="609A9DAB" w:rsidR="003404B3" w:rsidRPr="003404B3" w:rsidRDefault="003404B3" w:rsidP="003404B3">
            <w:pPr>
              <w:spacing w:after="0" w:line="240" w:lineRule="auto"/>
              <w:jc w:val="right"/>
              <w:rPr>
                <w:rFonts w:eastAsia="Times New Roman" w:cs="Times New Roman"/>
                <w:color w:val="000000"/>
                <w:sz w:val="24"/>
                <w:szCs w:val="24"/>
              </w:rPr>
            </w:pPr>
            <w:r w:rsidRPr="003404B3">
              <w:rPr>
                <w:color w:val="000000"/>
                <w:sz w:val="24"/>
                <w:szCs w:val="24"/>
              </w:rPr>
              <w:t>38</w:t>
            </w:r>
          </w:p>
        </w:tc>
        <w:tc>
          <w:tcPr>
            <w:tcW w:w="642" w:type="dxa"/>
            <w:tcBorders>
              <w:top w:val="nil"/>
              <w:left w:val="nil"/>
              <w:bottom w:val="single" w:sz="8" w:space="0" w:color="auto"/>
              <w:right w:val="single" w:sz="8" w:space="0" w:color="auto"/>
            </w:tcBorders>
            <w:shd w:val="clear" w:color="auto" w:fill="auto"/>
            <w:noWrap/>
            <w:vAlign w:val="bottom"/>
            <w:hideMark/>
          </w:tcPr>
          <w:p w14:paraId="032116D4" w14:textId="50086DB2" w:rsidR="003404B3" w:rsidRPr="003404B3" w:rsidRDefault="003404B3" w:rsidP="003404B3">
            <w:pPr>
              <w:spacing w:after="0" w:line="240" w:lineRule="auto"/>
              <w:jc w:val="right"/>
              <w:rPr>
                <w:rFonts w:eastAsia="Times New Roman" w:cs="Times New Roman"/>
                <w:color w:val="000000"/>
                <w:sz w:val="24"/>
                <w:szCs w:val="24"/>
              </w:rPr>
            </w:pPr>
            <w:r w:rsidRPr="003404B3">
              <w:rPr>
                <w:color w:val="000000"/>
                <w:sz w:val="24"/>
                <w:szCs w:val="24"/>
              </w:rPr>
              <w:t>1.4</w:t>
            </w:r>
          </w:p>
        </w:tc>
      </w:tr>
      <w:tr w:rsidR="003404B3" w:rsidRPr="0089495C" w14:paraId="6558B3D2" w14:textId="77777777" w:rsidTr="003404B3">
        <w:trPr>
          <w:trHeight w:val="314"/>
        </w:trPr>
        <w:tc>
          <w:tcPr>
            <w:tcW w:w="1156" w:type="dxa"/>
            <w:tcBorders>
              <w:top w:val="nil"/>
              <w:left w:val="single" w:sz="8" w:space="0" w:color="auto"/>
              <w:bottom w:val="single" w:sz="8" w:space="0" w:color="auto"/>
              <w:right w:val="single" w:sz="8" w:space="0" w:color="auto"/>
            </w:tcBorders>
            <w:shd w:val="clear" w:color="auto" w:fill="auto"/>
            <w:noWrap/>
            <w:vAlign w:val="center"/>
            <w:hideMark/>
          </w:tcPr>
          <w:p w14:paraId="5FA31935" w14:textId="77777777" w:rsidR="003404B3" w:rsidRPr="00BB495F" w:rsidRDefault="003404B3" w:rsidP="003404B3">
            <w:pPr>
              <w:spacing w:after="0" w:line="240" w:lineRule="auto"/>
              <w:rPr>
                <w:rFonts w:eastAsia="Times New Roman" w:cs="Times New Roman"/>
                <w:color w:val="000000"/>
                <w:sz w:val="24"/>
                <w:szCs w:val="24"/>
              </w:rPr>
            </w:pPr>
            <w:r w:rsidRPr="00BB495F">
              <w:rPr>
                <w:rFonts w:eastAsia="Times New Roman" w:cs="Times New Roman"/>
                <w:color w:val="000000"/>
                <w:sz w:val="24"/>
                <w:szCs w:val="24"/>
              </w:rPr>
              <w:t>Total</w:t>
            </w:r>
          </w:p>
        </w:tc>
        <w:tc>
          <w:tcPr>
            <w:tcW w:w="825" w:type="dxa"/>
            <w:tcBorders>
              <w:top w:val="nil"/>
              <w:left w:val="nil"/>
              <w:bottom w:val="single" w:sz="8" w:space="0" w:color="auto"/>
              <w:right w:val="single" w:sz="8" w:space="0" w:color="auto"/>
            </w:tcBorders>
            <w:shd w:val="clear" w:color="auto" w:fill="auto"/>
            <w:noWrap/>
            <w:vAlign w:val="center"/>
            <w:hideMark/>
          </w:tcPr>
          <w:p w14:paraId="0F0AE15F" w14:textId="77777777" w:rsidR="003404B3" w:rsidRPr="00BB495F" w:rsidRDefault="003404B3" w:rsidP="003404B3">
            <w:pPr>
              <w:spacing w:after="0" w:line="240" w:lineRule="auto"/>
              <w:jc w:val="right"/>
              <w:rPr>
                <w:rFonts w:eastAsia="Times New Roman" w:cs="Times New Roman"/>
                <w:color w:val="000000"/>
                <w:sz w:val="24"/>
                <w:szCs w:val="24"/>
              </w:rPr>
            </w:pPr>
            <w:r w:rsidRPr="00BB495F">
              <w:rPr>
                <w:rFonts w:eastAsia="Times New Roman" w:cs="Times New Roman"/>
                <w:color w:val="000000"/>
                <w:sz w:val="24"/>
                <w:szCs w:val="24"/>
              </w:rPr>
              <w:t>15908</w:t>
            </w:r>
          </w:p>
        </w:tc>
        <w:tc>
          <w:tcPr>
            <w:tcW w:w="679" w:type="dxa"/>
            <w:tcBorders>
              <w:top w:val="nil"/>
              <w:left w:val="nil"/>
              <w:bottom w:val="single" w:sz="8" w:space="0" w:color="auto"/>
              <w:right w:val="single" w:sz="8" w:space="0" w:color="auto"/>
            </w:tcBorders>
            <w:shd w:val="clear" w:color="auto" w:fill="auto"/>
            <w:noWrap/>
            <w:vAlign w:val="center"/>
            <w:hideMark/>
          </w:tcPr>
          <w:p w14:paraId="2F74A832" w14:textId="77777777" w:rsidR="003404B3" w:rsidRPr="00BB495F" w:rsidRDefault="003404B3" w:rsidP="003404B3">
            <w:pPr>
              <w:spacing w:after="0" w:line="240" w:lineRule="auto"/>
              <w:rPr>
                <w:rFonts w:eastAsia="Times New Roman" w:cs="Times New Roman"/>
                <w:color w:val="000000"/>
                <w:sz w:val="24"/>
                <w:szCs w:val="24"/>
              </w:rPr>
            </w:pPr>
            <w:r w:rsidRPr="00BB495F">
              <w:rPr>
                <w:rFonts w:eastAsia="Times New Roman" w:cs="Times New Roman"/>
                <w:color w:val="000000"/>
                <w:sz w:val="24"/>
                <w:szCs w:val="24"/>
              </w:rPr>
              <w:t> </w:t>
            </w:r>
          </w:p>
        </w:tc>
        <w:tc>
          <w:tcPr>
            <w:tcW w:w="885" w:type="dxa"/>
            <w:tcBorders>
              <w:top w:val="nil"/>
              <w:left w:val="nil"/>
              <w:bottom w:val="single" w:sz="8" w:space="0" w:color="auto"/>
              <w:right w:val="single" w:sz="8" w:space="0" w:color="auto"/>
            </w:tcBorders>
            <w:shd w:val="clear" w:color="auto" w:fill="auto"/>
            <w:noWrap/>
            <w:vAlign w:val="bottom"/>
            <w:hideMark/>
          </w:tcPr>
          <w:p w14:paraId="29653FDC" w14:textId="1C16D9E1" w:rsidR="003404B3" w:rsidRPr="00E9523E" w:rsidRDefault="003404B3" w:rsidP="003404B3">
            <w:pPr>
              <w:spacing w:after="0" w:line="240" w:lineRule="auto"/>
              <w:jc w:val="right"/>
              <w:rPr>
                <w:rFonts w:eastAsia="Times New Roman" w:cs="Times New Roman"/>
                <w:color w:val="000000"/>
                <w:sz w:val="24"/>
                <w:szCs w:val="24"/>
              </w:rPr>
            </w:pPr>
            <w:r>
              <w:rPr>
                <w:rFonts w:ascii="Calibri" w:hAnsi="Calibri"/>
                <w:color w:val="000000"/>
                <w:sz w:val="24"/>
                <w:szCs w:val="24"/>
              </w:rPr>
              <w:t>10</w:t>
            </w:r>
            <w:r w:rsidRPr="00E9523E">
              <w:rPr>
                <w:rFonts w:ascii="Calibri" w:hAnsi="Calibri"/>
                <w:color w:val="000000"/>
                <w:sz w:val="24"/>
                <w:szCs w:val="24"/>
              </w:rPr>
              <w:t>048</w:t>
            </w:r>
          </w:p>
        </w:tc>
        <w:tc>
          <w:tcPr>
            <w:tcW w:w="642" w:type="dxa"/>
            <w:tcBorders>
              <w:top w:val="nil"/>
              <w:left w:val="nil"/>
              <w:bottom w:val="single" w:sz="8" w:space="0" w:color="auto"/>
              <w:right w:val="single" w:sz="8" w:space="0" w:color="auto"/>
            </w:tcBorders>
            <w:shd w:val="clear" w:color="auto" w:fill="auto"/>
            <w:noWrap/>
            <w:vAlign w:val="bottom"/>
            <w:hideMark/>
          </w:tcPr>
          <w:p w14:paraId="2C4FAF84" w14:textId="5574E2DC" w:rsidR="003404B3" w:rsidRPr="003404B3" w:rsidRDefault="003404B3" w:rsidP="003404B3">
            <w:pPr>
              <w:spacing w:after="0" w:line="240" w:lineRule="auto"/>
              <w:rPr>
                <w:rFonts w:eastAsia="Times New Roman" w:cs="Times New Roman"/>
                <w:color w:val="000000"/>
                <w:sz w:val="24"/>
                <w:szCs w:val="24"/>
              </w:rPr>
            </w:pPr>
          </w:p>
        </w:tc>
        <w:tc>
          <w:tcPr>
            <w:tcW w:w="763" w:type="dxa"/>
            <w:tcBorders>
              <w:top w:val="nil"/>
              <w:left w:val="nil"/>
              <w:bottom w:val="single" w:sz="8" w:space="0" w:color="auto"/>
              <w:right w:val="single" w:sz="8" w:space="0" w:color="auto"/>
            </w:tcBorders>
            <w:shd w:val="clear" w:color="auto" w:fill="auto"/>
            <w:noWrap/>
            <w:vAlign w:val="bottom"/>
            <w:hideMark/>
          </w:tcPr>
          <w:p w14:paraId="080D3791" w14:textId="32862951" w:rsidR="003404B3" w:rsidRPr="003404B3" w:rsidRDefault="003404B3" w:rsidP="003404B3">
            <w:pPr>
              <w:spacing w:after="0" w:line="240" w:lineRule="auto"/>
              <w:jc w:val="right"/>
              <w:rPr>
                <w:rFonts w:eastAsia="Times New Roman" w:cs="Times New Roman"/>
                <w:color w:val="000000"/>
                <w:sz w:val="24"/>
                <w:szCs w:val="24"/>
              </w:rPr>
            </w:pPr>
            <w:r>
              <w:rPr>
                <w:rFonts w:ascii="Calibri" w:hAnsi="Calibri"/>
                <w:color w:val="000000"/>
                <w:sz w:val="24"/>
                <w:szCs w:val="24"/>
              </w:rPr>
              <w:t>5</w:t>
            </w:r>
            <w:r w:rsidRPr="003404B3">
              <w:rPr>
                <w:rFonts w:ascii="Calibri" w:hAnsi="Calibri"/>
                <w:color w:val="000000"/>
                <w:sz w:val="24"/>
                <w:szCs w:val="24"/>
              </w:rPr>
              <w:t>860</w:t>
            </w:r>
          </w:p>
        </w:tc>
        <w:tc>
          <w:tcPr>
            <w:tcW w:w="642" w:type="dxa"/>
            <w:tcBorders>
              <w:top w:val="nil"/>
              <w:left w:val="nil"/>
              <w:bottom w:val="single" w:sz="8" w:space="0" w:color="auto"/>
              <w:right w:val="single" w:sz="8" w:space="0" w:color="auto"/>
            </w:tcBorders>
            <w:shd w:val="clear" w:color="auto" w:fill="auto"/>
            <w:noWrap/>
            <w:vAlign w:val="bottom"/>
            <w:hideMark/>
          </w:tcPr>
          <w:p w14:paraId="7E197CA1" w14:textId="51168656" w:rsidR="003404B3" w:rsidRPr="003404B3" w:rsidRDefault="003404B3" w:rsidP="003404B3">
            <w:pPr>
              <w:spacing w:after="0" w:line="240" w:lineRule="auto"/>
              <w:rPr>
                <w:rFonts w:eastAsia="Times New Roman" w:cs="Times New Roman"/>
                <w:color w:val="000000"/>
                <w:sz w:val="24"/>
                <w:szCs w:val="24"/>
              </w:rPr>
            </w:pPr>
          </w:p>
        </w:tc>
        <w:tc>
          <w:tcPr>
            <w:tcW w:w="422" w:type="dxa"/>
            <w:tcBorders>
              <w:top w:val="nil"/>
              <w:left w:val="nil"/>
              <w:bottom w:val="single" w:sz="8" w:space="0" w:color="auto"/>
              <w:right w:val="single" w:sz="8" w:space="0" w:color="auto"/>
            </w:tcBorders>
            <w:shd w:val="clear" w:color="auto" w:fill="auto"/>
            <w:noWrap/>
            <w:vAlign w:val="center"/>
            <w:hideMark/>
          </w:tcPr>
          <w:p w14:paraId="32CF2D37" w14:textId="77777777" w:rsidR="003404B3" w:rsidRPr="00BB495F" w:rsidRDefault="003404B3" w:rsidP="003404B3">
            <w:pPr>
              <w:spacing w:after="0" w:line="240" w:lineRule="auto"/>
              <w:rPr>
                <w:rFonts w:eastAsia="Times New Roman" w:cs="Times New Roman"/>
                <w:color w:val="000000"/>
                <w:sz w:val="24"/>
                <w:szCs w:val="24"/>
              </w:rPr>
            </w:pPr>
            <w:r w:rsidRPr="00BB495F">
              <w:rPr>
                <w:rFonts w:eastAsia="Times New Roman" w:cs="Times New Roman"/>
                <w:color w:val="000000"/>
                <w:sz w:val="24"/>
                <w:szCs w:val="24"/>
              </w:rPr>
              <w:t> </w:t>
            </w:r>
          </w:p>
        </w:tc>
        <w:tc>
          <w:tcPr>
            <w:tcW w:w="703" w:type="dxa"/>
            <w:tcBorders>
              <w:top w:val="nil"/>
              <w:left w:val="nil"/>
              <w:bottom w:val="single" w:sz="8" w:space="0" w:color="auto"/>
              <w:right w:val="single" w:sz="8" w:space="0" w:color="auto"/>
            </w:tcBorders>
            <w:shd w:val="clear" w:color="auto" w:fill="auto"/>
            <w:noWrap/>
            <w:vAlign w:val="bottom"/>
            <w:hideMark/>
          </w:tcPr>
          <w:p w14:paraId="51067337" w14:textId="75BECE9B" w:rsidR="003404B3" w:rsidRPr="003404B3" w:rsidRDefault="003404B3" w:rsidP="003404B3">
            <w:pPr>
              <w:spacing w:after="0" w:line="240" w:lineRule="auto"/>
              <w:jc w:val="right"/>
              <w:rPr>
                <w:rFonts w:eastAsia="Times New Roman" w:cs="Times New Roman"/>
                <w:color w:val="000000"/>
                <w:sz w:val="24"/>
                <w:szCs w:val="24"/>
              </w:rPr>
            </w:pPr>
            <w:r>
              <w:rPr>
                <w:color w:val="000000"/>
                <w:sz w:val="24"/>
                <w:szCs w:val="24"/>
              </w:rPr>
              <w:t>3</w:t>
            </w:r>
            <w:r w:rsidRPr="003404B3">
              <w:rPr>
                <w:color w:val="000000"/>
                <w:sz w:val="24"/>
                <w:szCs w:val="24"/>
              </w:rPr>
              <w:t>133</w:t>
            </w:r>
          </w:p>
        </w:tc>
        <w:tc>
          <w:tcPr>
            <w:tcW w:w="643" w:type="dxa"/>
            <w:tcBorders>
              <w:top w:val="nil"/>
              <w:left w:val="nil"/>
              <w:bottom w:val="single" w:sz="8" w:space="0" w:color="auto"/>
              <w:right w:val="single" w:sz="8" w:space="0" w:color="auto"/>
            </w:tcBorders>
            <w:shd w:val="clear" w:color="auto" w:fill="auto"/>
            <w:noWrap/>
            <w:vAlign w:val="bottom"/>
            <w:hideMark/>
          </w:tcPr>
          <w:p w14:paraId="7F7EF5D2" w14:textId="5160EA40" w:rsidR="003404B3" w:rsidRPr="003404B3" w:rsidRDefault="003404B3" w:rsidP="003404B3">
            <w:pPr>
              <w:spacing w:after="0" w:line="240" w:lineRule="auto"/>
              <w:rPr>
                <w:rFonts w:eastAsia="Times New Roman" w:cs="Times New Roman"/>
                <w:color w:val="000000"/>
                <w:sz w:val="24"/>
                <w:szCs w:val="24"/>
              </w:rPr>
            </w:pPr>
          </w:p>
        </w:tc>
        <w:tc>
          <w:tcPr>
            <w:tcW w:w="703" w:type="dxa"/>
            <w:tcBorders>
              <w:top w:val="nil"/>
              <w:left w:val="nil"/>
              <w:bottom w:val="single" w:sz="8" w:space="0" w:color="auto"/>
              <w:right w:val="single" w:sz="8" w:space="0" w:color="auto"/>
            </w:tcBorders>
            <w:shd w:val="clear" w:color="auto" w:fill="auto"/>
            <w:noWrap/>
            <w:vAlign w:val="bottom"/>
            <w:hideMark/>
          </w:tcPr>
          <w:p w14:paraId="44A96842" w14:textId="5B919A56" w:rsidR="003404B3" w:rsidRPr="003404B3" w:rsidRDefault="003404B3" w:rsidP="003404B3">
            <w:pPr>
              <w:spacing w:after="0" w:line="240" w:lineRule="auto"/>
              <w:jc w:val="right"/>
              <w:rPr>
                <w:rFonts w:eastAsia="Times New Roman" w:cs="Times New Roman"/>
                <w:color w:val="000000"/>
                <w:sz w:val="24"/>
                <w:szCs w:val="24"/>
              </w:rPr>
            </w:pPr>
            <w:r>
              <w:rPr>
                <w:color w:val="000000"/>
                <w:sz w:val="24"/>
                <w:szCs w:val="24"/>
              </w:rPr>
              <w:t>2</w:t>
            </w:r>
            <w:r w:rsidRPr="003404B3">
              <w:rPr>
                <w:color w:val="000000"/>
                <w:sz w:val="24"/>
                <w:szCs w:val="24"/>
              </w:rPr>
              <w:t>722</w:t>
            </w:r>
          </w:p>
        </w:tc>
        <w:tc>
          <w:tcPr>
            <w:tcW w:w="642" w:type="dxa"/>
            <w:tcBorders>
              <w:top w:val="nil"/>
              <w:left w:val="nil"/>
              <w:bottom w:val="single" w:sz="8" w:space="0" w:color="auto"/>
              <w:right w:val="single" w:sz="8" w:space="0" w:color="auto"/>
            </w:tcBorders>
            <w:shd w:val="clear" w:color="auto" w:fill="auto"/>
            <w:noWrap/>
            <w:vAlign w:val="bottom"/>
            <w:hideMark/>
          </w:tcPr>
          <w:p w14:paraId="32118644" w14:textId="113B845B" w:rsidR="003404B3" w:rsidRPr="003404B3" w:rsidRDefault="003404B3" w:rsidP="003404B3">
            <w:pPr>
              <w:spacing w:after="0" w:line="240" w:lineRule="auto"/>
              <w:rPr>
                <w:rFonts w:eastAsia="Times New Roman" w:cs="Times New Roman"/>
                <w:color w:val="000000"/>
                <w:sz w:val="24"/>
                <w:szCs w:val="24"/>
              </w:rPr>
            </w:pPr>
          </w:p>
        </w:tc>
      </w:tr>
      <w:tr w:rsidR="003404B3" w:rsidRPr="0089495C" w14:paraId="0E3AF976" w14:textId="77777777" w:rsidTr="003404B3">
        <w:trPr>
          <w:trHeight w:val="314"/>
        </w:trPr>
        <w:tc>
          <w:tcPr>
            <w:tcW w:w="1156" w:type="dxa"/>
            <w:tcBorders>
              <w:top w:val="nil"/>
              <w:left w:val="single" w:sz="8" w:space="0" w:color="auto"/>
              <w:bottom w:val="single" w:sz="8" w:space="0" w:color="auto"/>
              <w:right w:val="single" w:sz="8" w:space="0" w:color="auto"/>
            </w:tcBorders>
            <w:shd w:val="clear" w:color="auto" w:fill="auto"/>
            <w:noWrap/>
            <w:vAlign w:val="center"/>
            <w:hideMark/>
          </w:tcPr>
          <w:p w14:paraId="16F76651" w14:textId="77777777" w:rsidR="003404B3" w:rsidRPr="00BB495F" w:rsidRDefault="003404B3" w:rsidP="003404B3">
            <w:pPr>
              <w:spacing w:after="0" w:line="240" w:lineRule="auto"/>
              <w:rPr>
                <w:rFonts w:eastAsia="Times New Roman" w:cs="Times New Roman"/>
                <w:color w:val="000000"/>
                <w:sz w:val="24"/>
                <w:szCs w:val="24"/>
              </w:rPr>
            </w:pPr>
            <w:r w:rsidRPr="00BB495F">
              <w:rPr>
                <w:rFonts w:eastAsia="Times New Roman" w:cs="Times New Roman"/>
                <w:color w:val="000000"/>
                <w:sz w:val="24"/>
                <w:szCs w:val="24"/>
              </w:rPr>
              <w:t> </w:t>
            </w:r>
          </w:p>
        </w:tc>
        <w:tc>
          <w:tcPr>
            <w:tcW w:w="825" w:type="dxa"/>
            <w:tcBorders>
              <w:top w:val="nil"/>
              <w:left w:val="nil"/>
              <w:bottom w:val="single" w:sz="8" w:space="0" w:color="auto"/>
              <w:right w:val="single" w:sz="8" w:space="0" w:color="auto"/>
            </w:tcBorders>
            <w:shd w:val="clear" w:color="auto" w:fill="auto"/>
            <w:noWrap/>
            <w:vAlign w:val="center"/>
            <w:hideMark/>
          </w:tcPr>
          <w:p w14:paraId="2C1D01E6" w14:textId="77777777" w:rsidR="003404B3" w:rsidRPr="00BB495F" w:rsidRDefault="003404B3" w:rsidP="003404B3">
            <w:pPr>
              <w:spacing w:after="0" w:line="240" w:lineRule="auto"/>
              <w:rPr>
                <w:rFonts w:eastAsia="Times New Roman" w:cs="Times New Roman"/>
                <w:color w:val="000000"/>
                <w:sz w:val="24"/>
                <w:szCs w:val="24"/>
              </w:rPr>
            </w:pPr>
            <w:r w:rsidRPr="00BB495F">
              <w:rPr>
                <w:rFonts w:eastAsia="Times New Roman" w:cs="Times New Roman"/>
                <w:color w:val="000000"/>
                <w:sz w:val="24"/>
                <w:szCs w:val="24"/>
              </w:rPr>
              <w:t> </w:t>
            </w:r>
          </w:p>
        </w:tc>
        <w:tc>
          <w:tcPr>
            <w:tcW w:w="679" w:type="dxa"/>
            <w:tcBorders>
              <w:top w:val="nil"/>
              <w:left w:val="nil"/>
              <w:bottom w:val="single" w:sz="8" w:space="0" w:color="auto"/>
              <w:right w:val="single" w:sz="8" w:space="0" w:color="auto"/>
            </w:tcBorders>
            <w:shd w:val="clear" w:color="auto" w:fill="auto"/>
            <w:noWrap/>
            <w:vAlign w:val="center"/>
            <w:hideMark/>
          </w:tcPr>
          <w:p w14:paraId="6FDEB18A" w14:textId="77777777" w:rsidR="003404B3" w:rsidRPr="00BB495F" w:rsidRDefault="003404B3" w:rsidP="003404B3">
            <w:pPr>
              <w:spacing w:after="0" w:line="240" w:lineRule="auto"/>
              <w:rPr>
                <w:rFonts w:eastAsia="Times New Roman" w:cs="Times New Roman"/>
                <w:color w:val="000000"/>
                <w:sz w:val="24"/>
                <w:szCs w:val="24"/>
              </w:rPr>
            </w:pPr>
            <w:r w:rsidRPr="00BB495F">
              <w:rPr>
                <w:rFonts w:eastAsia="Times New Roman" w:cs="Times New Roman"/>
                <w:color w:val="000000"/>
                <w:sz w:val="24"/>
                <w:szCs w:val="24"/>
              </w:rPr>
              <w:t> </w:t>
            </w:r>
          </w:p>
        </w:tc>
        <w:tc>
          <w:tcPr>
            <w:tcW w:w="885" w:type="dxa"/>
            <w:tcBorders>
              <w:top w:val="nil"/>
              <w:left w:val="nil"/>
              <w:bottom w:val="single" w:sz="8" w:space="0" w:color="auto"/>
              <w:right w:val="single" w:sz="8" w:space="0" w:color="auto"/>
            </w:tcBorders>
            <w:shd w:val="clear" w:color="auto" w:fill="auto"/>
            <w:noWrap/>
            <w:vAlign w:val="bottom"/>
            <w:hideMark/>
          </w:tcPr>
          <w:p w14:paraId="4D4DE4EE" w14:textId="4468FD5A" w:rsidR="003404B3" w:rsidRPr="00E9523E" w:rsidRDefault="003404B3" w:rsidP="003404B3">
            <w:pPr>
              <w:spacing w:after="0" w:line="240" w:lineRule="auto"/>
              <w:rPr>
                <w:rFonts w:eastAsia="Times New Roman" w:cs="Times New Roman"/>
                <w:color w:val="000000"/>
                <w:sz w:val="24"/>
                <w:szCs w:val="24"/>
              </w:rPr>
            </w:pPr>
          </w:p>
        </w:tc>
        <w:tc>
          <w:tcPr>
            <w:tcW w:w="642" w:type="dxa"/>
            <w:tcBorders>
              <w:top w:val="nil"/>
              <w:left w:val="nil"/>
              <w:bottom w:val="single" w:sz="8" w:space="0" w:color="auto"/>
              <w:right w:val="single" w:sz="8" w:space="0" w:color="auto"/>
            </w:tcBorders>
            <w:shd w:val="clear" w:color="auto" w:fill="auto"/>
            <w:noWrap/>
            <w:vAlign w:val="bottom"/>
            <w:hideMark/>
          </w:tcPr>
          <w:p w14:paraId="40546A95" w14:textId="002FE4DF" w:rsidR="003404B3" w:rsidRPr="003404B3" w:rsidRDefault="003404B3" w:rsidP="003404B3">
            <w:pPr>
              <w:spacing w:after="0" w:line="240" w:lineRule="auto"/>
              <w:rPr>
                <w:rFonts w:eastAsia="Times New Roman" w:cs="Times New Roman"/>
                <w:color w:val="000000"/>
                <w:sz w:val="24"/>
                <w:szCs w:val="24"/>
              </w:rPr>
            </w:pPr>
          </w:p>
        </w:tc>
        <w:tc>
          <w:tcPr>
            <w:tcW w:w="763" w:type="dxa"/>
            <w:tcBorders>
              <w:top w:val="nil"/>
              <w:left w:val="nil"/>
              <w:bottom w:val="single" w:sz="8" w:space="0" w:color="auto"/>
              <w:right w:val="single" w:sz="8" w:space="0" w:color="auto"/>
            </w:tcBorders>
            <w:shd w:val="clear" w:color="auto" w:fill="auto"/>
            <w:noWrap/>
            <w:vAlign w:val="bottom"/>
            <w:hideMark/>
          </w:tcPr>
          <w:p w14:paraId="0189B418" w14:textId="682C7605" w:rsidR="003404B3" w:rsidRPr="003404B3" w:rsidRDefault="003404B3" w:rsidP="003404B3">
            <w:pPr>
              <w:spacing w:after="0" w:line="240" w:lineRule="auto"/>
              <w:rPr>
                <w:rFonts w:eastAsia="Times New Roman" w:cs="Times New Roman"/>
                <w:color w:val="000000"/>
                <w:sz w:val="24"/>
                <w:szCs w:val="24"/>
              </w:rPr>
            </w:pPr>
          </w:p>
        </w:tc>
        <w:tc>
          <w:tcPr>
            <w:tcW w:w="642" w:type="dxa"/>
            <w:tcBorders>
              <w:top w:val="nil"/>
              <w:left w:val="nil"/>
              <w:bottom w:val="single" w:sz="8" w:space="0" w:color="auto"/>
              <w:right w:val="single" w:sz="8" w:space="0" w:color="auto"/>
            </w:tcBorders>
            <w:shd w:val="clear" w:color="auto" w:fill="auto"/>
            <w:noWrap/>
            <w:vAlign w:val="bottom"/>
            <w:hideMark/>
          </w:tcPr>
          <w:p w14:paraId="1ACEA7A8" w14:textId="0CB8836C" w:rsidR="003404B3" w:rsidRPr="003404B3" w:rsidRDefault="003404B3" w:rsidP="003404B3">
            <w:pPr>
              <w:spacing w:after="0" w:line="240" w:lineRule="auto"/>
              <w:rPr>
                <w:rFonts w:eastAsia="Times New Roman" w:cs="Times New Roman"/>
                <w:color w:val="000000"/>
                <w:sz w:val="24"/>
                <w:szCs w:val="24"/>
              </w:rPr>
            </w:pPr>
          </w:p>
        </w:tc>
        <w:tc>
          <w:tcPr>
            <w:tcW w:w="422" w:type="dxa"/>
            <w:tcBorders>
              <w:top w:val="nil"/>
              <w:left w:val="nil"/>
              <w:bottom w:val="single" w:sz="8" w:space="0" w:color="auto"/>
              <w:right w:val="single" w:sz="8" w:space="0" w:color="auto"/>
            </w:tcBorders>
            <w:shd w:val="clear" w:color="auto" w:fill="auto"/>
            <w:noWrap/>
            <w:vAlign w:val="center"/>
            <w:hideMark/>
          </w:tcPr>
          <w:p w14:paraId="05028E96" w14:textId="77777777" w:rsidR="003404B3" w:rsidRPr="00BB495F" w:rsidRDefault="003404B3" w:rsidP="003404B3">
            <w:pPr>
              <w:spacing w:after="0" w:line="240" w:lineRule="auto"/>
              <w:rPr>
                <w:rFonts w:eastAsia="Times New Roman" w:cs="Times New Roman"/>
                <w:color w:val="000000"/>
                <w:sz w:val="24"/>
                <w:szCs w:val="24"/>
              </w:rPr>
            </w:pPr>
            <w:r w:rsidRPr="00BB495F">
              <w:rPr>
                <w:rFonts w:eastAsia="Times New Roman" w:cs="Times New Roman"/>
                <w:color w:val="000000"/>
                <w:sz w:val="24"/>
                <w:szCs w:val="24"/>
              </w:rPr>
              <w:t> </w:t>
            </w:r>
          </w:p>
        </w:tc>
        <w:tc>
          <w:tcPr>
            <w:tcW w:w="703" w:type="dxa"/>
            <w:tcBorders>
              <w:top w:val="nil"/>
              <w:left w:val="nil"/>
              <w:bottom w:val="single" w:sz="8" w:space="0" w:color="auto"/>
              <w:right w:val="single" w:sz="8" w:space="0" w:color="auto"/>
            </w:tcBorders>
            <w:shd w:val="clear" w:color="auto" w:fill="auto"/>
            <w:noWrap/>
            <w:vAlign w:val="bottom"/>
            <w:hideMark/>
          </w:tcPr>
          <w:p w14:paraId="4E24B219" w14:textId="3351606A" w:rsidR="003404B3" w:rsidRPr="003404B3" w:rsidRDefault="003404B3" w:rsidP="003404B3">
            <w:pPr>
              <w:spacing w:after="0" w:line="240" w:lineRule="auto"/>
              <w:rPr>
                <w:rFonts w:eastAsia="Times New Roman" w:cs="Times New Roman"/>
                <w:color w:val="000000"/>
                <w:sz w:val="24"/>
                <w:szCs w:val="24"/>
              </w:rPr>
            </w:pPr>
          </w:p>
        </w:tc>
        <w:tc>
          <w:tcPr>
            <w:tcW w:w="643" w:type="dxa"/>
            <w:tcBorders>
              <w:top w:val="nil"/>
              <w:left w:val="nil"/>
              <w:bottom w:val="single" w:sz="8" w:space="0" w:color="auto"/>
              <w:right w:val="single" w:sz="8" w:space="0" w:color="auto"/>
            </w:tcBorders>
            <w:shd w:val="clear" w:color="auto" w:fill="auto"/>
            <w:noWrap/>
            <w:vAlign w:val="bottom"/>
            <w:hideMark/>
          </w:tcPr>
          <w:p w14:paraId="70D1419B" w14:textId="53EC95AD" w:rsidR="003404B3" w:rsidRPr="003404B3" w:rsidRDefault="003404B3" w:rsidP="003404B3">
            <w:pPr>
              <w:spacing w:after="0" w:line="240" w:lineRule="auto"/>
              <w:rPr>
                <w:rFonts w:eastAsia="Times New Roman" w:cs="Times New Roman"/>
                <w:color w:val="000000"/>
                <w:sz w:val="24"/>
                <w:szCs w:val="24"/>
              </w:rPr>
            </w:pPr>
          </w:p>
        </w:tc>
        <w:tc>
          <w:tcPr>
            <w:tcW w:w="703" w:type="dxa"/>
            <w:tcBorders>
              <w:top w:val="nil"/>
              <w:left w:val="nil"/>
              <w:bottom w:val="single" w:sz="8" w:space="0" w:color="auto"/>
              <w:right w:val="single" w:sz="8" w:space="0" w:color="auto"/>
            </w:tcBorders>
            <w:shd w:val="clear" w:color="auto" w:fill="auto"/>
            <w:noWrap/>
            <w:vAlign w:val="bottom"/>
            <w:hideMark/>
          </w:tcPr>
          <w:p w14:paraId="26CEDBA2" w14:textId="3636FF84" w:rsidR="003404B3" w:rsidRPr="003404B3" w:rsidRDefault="003404B3" w:rsidP="003404B3">
            <w:pPr>
              <w:spacing w:after="0" w:line="240" w:lineRule="auto"/>
              <w:rPr>
                <w:rFonts w:eastAsia="Times New Roman" w:cs="Times New Roman"/>
                <w:color w:val="000000"/>
                <w:sz w:val="24"/>
                <w:szCs w:val="24"/>
              </w:rPr>
            </w:pPr>
          </w:p>
        </w:tc>
        <w:tc>
          <w:tcPr>
            <w:tcW w:w="642" w:type="dxa"/>
            <w:tcBorders>
              <w:top w:val="nil"/>
              <w:left w:val="nil"/>
              <w:bottom w:val="single" w:sz="8" w:space="0" w:color="auto"/>
              <w:right w:val="single" w:sz="8" w:space="0" w:color="auto"/>
            </w:tcBorders>
            <w:shd w:val="clear" w:color="auto" w:fill="auto"/>
            <w:noWrap/>
            <w:vAlign w:val="bottom"/>
            <w:hideMark/>
          </w:tcPr>
          <w:p w14:paraId="68CCA74C" w14:textId="76F5337B" w:rsidR="003404B3" w:rsidRPr="003404B3" w:rsidRDefault="003404B3" w:rsidP="003404B3">
            <w:pPr>
              <w:spacing w:after="0" w:line="240" w:lineRule="auto"/>
              <w:rPr>
                <w:rFonts w:eastAsia="Times New Roman" w:cs="Times New Roman"/>
                <w:color w:val="000000"/>
                <w:sz w:val="24"/>
                <w:szCs w:val="24"/>
              </w:rPr>
            </w:pPr>
          </w:p>
        </w:tc>
      </w:tr>
      <w:tr w:rsidR="003404B3" w:rsidRPr="0089495C" w14:paraId="4AF2987E" w14:textId="77777777" w:rsidTr="003404B3">
        <w:trPr>
          <w:trHeight w:val="314"/>
        </w:trPr>
        <w:tc>
          <w:tcPr>
            <w:tcW w:w="1156" w:type="dxa"/>
            <w:tcBorders>
              <w:top w:val="nil"/>
              <w:left w:val="single" w:sz="8" w:space="0" w:color="auto"/>
              <w:bottom w:val="single" w:sz="8" w:space="0" w:color="auto"/>
              <w:right w:val="single" w:sz="8" w:space="0" w:color="auto"/>
            </w:tcBorders>
            <w:shd w:val="clear" w:color="000000" w:fill="DCE6F1"/>
            <w:noWrap/>
            <w:vAlign w:val="center"/>
            <w:hideMark/>
          </w:tcPr>
          <w:p w14:paraId="0780D819" w14:textId="77777777" w:rsidR="003404B3" w:rsidRPr="00BB495F" w:rsidRDefault="003404B3" w:rsidP="003404B3">
            <w:pPr>
              <w:spacing w:after="0" w:line="240" w:lineRule="auto"/>
              <w:rPr>
                <w:rFonts w:eastAsia="Times New Roman" w:cs="Times New Roman"/>
                <w:color w:val="000000"/>
                <w:sz w:val="24"/>
                <w:szCs w:val="24"/>
              </w:rPr>
            </w:pPr>
            <w:r w:rsidRPr="00BB495F">
              <w:rPr>
                <w:rFonts w:eastAsia="Times New Roman" w:cs="Times New Roman"/>
                <w:color w:val="000000"/>
                <w:sz w:val="24"/>
                <w:szCs w:val="24"/>
              </w:rPr>
              <w:t>Sex</w:t>
            </w:r>
          </w:p>
        </w:tc>
        <w:tc>
          <w:tcPr>
            <w:tcW w:w="825" w:type="dxa"/>
            <w:tcBorders>
              <w:top w:val="nil"/>
              <w:left w:val="nil"/>
              <w:bottom w:val="single" w:sz="8" w:space="0" w:color="auto"/>
              <w:right w:val="single" w:sz="8" w:space="0" w:color="auto"/>
            </w:tcBorders>
            <w:shd w:val="clear" w:color="000000" w:fill="DCE6F1"/>
            <w:noWrap/>
            <w:vAlign w:val="center"/>
            <w:hideMark/>
          </w:tcPr>
          <w:p w14:paraId="74EEDB58" w14:textId="77777777" w:rsidR="003404B3" w:rsidRPr="00BB495F" w:rsidRDefault="003404B3" w:rsidP="003404B3">
            <w:pPr>
              <w:spacing w:after="0" w:line="240" w:lineRule="auto"/>
              <w:rPr>
                <w:rFonts w:eastAsia="Times New Roman" w:cs="Times New Roman"/>
                <w:color w:val="000000"/>
                <w:sz w:val="24"/>
                <w:szCs w:val="24"/>
              </w:rPr>
            </w:pPr>
            <w:r w:rsidRPr="00BB495F">
              <w:rPr>
                <w:rFonts w:eastAsia="Times New Roman" w:cs="Times New Roman"/>
                <w:color w:val="000000"/>
                <w:sz w:val="24"/>
                <w:szCs w:val="24"/>
              </w:rPr>
              <w:t> </w:t>
            </w:r>
          </w:p>
        </w:tc>
        <w:tc>
          <w:tcPr>
            <w:tcW w:w="679" w:type="dxa"/>
            <w:tcBorders>
              <w:top w:val="nil"/>
              <w:left w:val="nil"/>
              <w:bottom w:val="single" w:sz="8" w:space="0" w:color="auto"/>
              <w:right w:val="single" w:sz="8" w:space="0" w:color="auto"/>
            </w:tcBorders>
            <w:shd w:val="clear" w:color="000000" w:fill="DCE6F1"/>
            <w:noWrap/>
            <w:vAlign w:val="center"/>
            <w:hideMark/>
          </w:tcPr>
          <w:p w14:paraId="0A61BBE1" w14:textId="77777777" w:rsidR="003404B3" w:rsidRPr="00BB495F" w:rsidRDefault="003404B3" w:rsidP="003404B3">
            <w:pPr>
              <w:spacing w:after="0" w:line="240" w:lineRule="auto"/>
              <w:rPr>
                <w:rFonts w:eastAsia="Times New Roman" w:cs="Times New Roman"/>
                <w:color w:val="000000"/>
                <w:sz w:val="24"/>
                <w:szCs w:val="24"/>
              </w:rPr>
            </w:pPr>
            <w:r w:rsidRPr="00BB495F">
              <w:rPr>
                <w:rFonts w:eastAsia="Times New Roman" w:cs="Times New Roman"/>
                <w:color w:val="000000"/>
                <w:sz w:val="24"/>
                <w:szCs w:val="24"/>
              </w:rPr>
              <w:t> </w:t>
            </w:r>
          </w:p>
        </w:tc>
        <w:tc>
          <w:tcPr>
            <w:tcW w:w="885" w:type="dxa"/>
            <w:tcBorders>
              <w:top w:val="nil"/>
              <w:left w:val="nil"/>
              <w:bottom w:val="single" w:sz="8" w:space="0" w:color="auto"/>
              <w:right w:val="single" w:sz="8" w:space="0" w:color="auto"/>
            </w:tcBorders>
            <w:shd w:val="clear" w:color="000000" w:fill="DCE6F1"/>
            <w:noWrap/>
            <w:vAlign w:val="bottom"/>
            <w:hideMark/>
          </w:tcPr>
          <w:p w14:paraId="6271526B" w14:textId="0ACC3DE4" w:rsidR="003404B3" w:rsidRPr="00E9523E" w:rsidRDefault="003404B3" w:rsidP="003404B3">
            <w:pPr>
              <w:spacing w:after="0" w:line="240" w:lineRule="auto"/>
              <w:rPr>
                <w:rFonts w:eastAsia="Times New Roman" w:cs="Times New Roman"/>
                <w:color w:val="000000"/>
                <w:sz w:val="24"/>
                <w:szCs w:val="24"/>
              </w:rPr>
            </w:pPr>
          </w:p>
        </w:tc>
        <w:tc>
          <w:tcPr>
            <w:tcW w:w="642" w:type="dxa"/>
            <w:tcBorders>
              <w:top w:val="nil"/>
              <w:left w:val="nil"/>
              <w:bottom w:val="single" w:sz="8" w:space="0" w:color="auto"/>
              <w:right w:val="single" w:sz="8" w:space="0" w:color="auto"/>
            </w:tcBorders>
            <w:shd w:val="clear" w:color="000000" w:fill="DCE6F1"/>
            <w:noWrap/>
            <w:vAlign w:val="bottom"/>
            <w:hideMark/>
          </w:tcPr>
          <w:p w14:paraId="3073CF1A" w14:textId="486BF569" w:rsidR="003404B3" w:rsidRPr="003404B3" w:rsidRDefault="003404B3" w:rsidP="003404B3">
            <w:pPr>
              <w:spacing w:after="0" w:line="240" w:lineRule="auto"/>
              <w:rPr>
                <w:rFonts w:eastAsia="Times New Roman" w:cs="Times New Roman"/>
                <w:color w:val="000000"/>
                <w:sz w:val="24"/>
                <w:szCs w:val="24"/>
              </w:rPr>
            </w:pPr>
          </w:p>
        </w:tc>
        <w:tc>
          <w:tcPr>
            <w:tcW w:w="763" w:type="dxa"/>
            <w:tcBorders>
              <w:top w:val="nil"/>
              <w:left w:val="nil"/>
              <w:bottom w:val="single" w:sz="8" w:space="0" w:color="auto"/>
              <w:right w:val="single" w:sz="8" w:space="0" w:color="auto"/>
            </w:tcBorders>
            <w:shd w:val="clear" w:color="000000" w:fill="DCE6F1"/>
            <w:noWrap/>
            <w:vAlign w:val="bottom"/>
            <w:hideMark/>
          </w:tcPr>
          <w:p w14:paraId="65DCF86D" w14:textId="1D968567" w:rsidR="003404B3" w:rsidRPr="003404B3" w:rsidRDefault="003404B3" w:rsidP="003404B3">
            <w:pPr>
              <w:spacing w:after="0" w:line="240" w:lineRule="auto"/>
              <w:rPr>
                <w:rFonts w:eastAsia="Times New Roman" w:cs="Times New Roman"/>
                <w:color w:val="000000"/>
                <w:sz w:val="24"/>
                <w:szCs w:val="24"/>
              </w:rPr>
            </w:pPr>
          </w:p>
        </w:tc>
        <w:tc>
          <w:tcPr>
            <w:tcW w:w="642" w:type="dxa"/>
            <w:tcBorders>
              <w:top w:val="nil"/>
              <w:left w:val="nil"/>
              <w:bottom w:val="single" w:sz="8" w:space="0" w:color="auto"/>
              <w:right w:val="single" w:sz="8" w:space="0" w:color="auto"/>
            </w:tcBorders>
            <w:shd w:val="clear" w:color="000000" w:fill="DCE6F1"/>
            <w:noWrap/>
            <w:vAlign w:val="bottom"/>
            <w:hideMark/>
          </w:tcPr>
          <w:p w14:paraId="69336196" w14:textId="3288789E" w:rsidR="003404B3" w:rsidRPr="003404B3" w:rsidRDefault="003404B3" w:rsidP="003404B3">
            <w:pPr>
              <w:spacing w:after="0" w:line="240" w:lineRule="auto"/>
              <w:rPr>
                <w:rFonts w:eastAsia="Times New Roman" w:cs="Times New Roman"/>
                <w:color w:val="000000"/>
                <w:sz w:val="24"/>
                <w:szCs w:val="24"/>
              </w:rPr>
            </w:pPr>
          </w:p>
        </w:tc>
        <w:tc>
          <w:tcPr>
            <w:tcW w:w="422" w:type="dxa"/>
            <w:tcBorders>
              <w:top w:val="nil"/>
              <w:left w:val="nil"/>
              <w:bottom w:val="single" w:sz="8" w:space="0" w:color="auto"/>
              <w:right w:val="single" w:sz="8" w:space="0" w:color="auto"/>
            </w:tcBorders>
            <w:shd w:val="clear" w:color="000000" w:fill="DCE6F1"/>
            <w:noWrap/>
            <w:vAlign w:val="center"/>
            <w:hideMark/>
          </w:tcPr>
          <w:p w14:paraId="73339839" w14:textId="77777777" w:rsidR="003404B3" w:rsidRPr="00BB495F" w:rsidRDefault="003404B3" w:rsidP="003404B3">
            <w:pPr>
              <w:spacing w:after="0" w:line="240" w:lineRule="auto"/>
              <w:rPr>
                <w:rFonts w:eastAsia="Times New Roman" w:cs="Times New Roman"/>
                <w:color w:val="000000"/>
                <w:sz w:val="24"/>
                <w:szCs w:val="24"/>
              </w:rPr>
            </w:pPr>
            <w:r w:rsidRPr="00BB495F">
              <w:rPr>
                <w:rFonts w:eastAsia="Times New Roman" w:cs="Times New Roman"/>
                <w:color w:val="000000"/>
                <w:sz w:val="24"/>
                <w:szCs w:val="24"/>
              </w:rPr>
              <w:t> </w:t>
            </w:r>
          </w:p>
        </w:tc>
        <w:tc>
          <w:tcPr>
            <w:tcW w:w="703" w:type="dxa"/>
            <w:tcBorders>
              <w:top w:val="nil"/>
              <w:left w:val="nil"/>
              <w:bottom w:val="single" w:sz="8" w:space="0" w:color="auto"/>
              <w:right w:val="single" w:sz="8" w:space="0" w:color="auto"/>
            </w:tcBorders>
            <w:shd w:val="clear" w:color="000000" w:fill="DCE6F1"/>
            <w:noWrap/>
            <w:vAlign w:val="bottom"/>
            <w:hideMark/>
          </w:tcPr>
          <w:p w14:paraId="1D63AFA8" w14:textId="37C4EF4B" w:rsidR="003404B3" w:rsidRPr="003404B3" w:rsidRDefault="003404B3" w:rsidP="003404B3">
            <w:pPr>
              <w:spacing w:after="0" w:line="240" w:lineRule="auto"/>
              <w:rPr>
                <w:rFonts w:eastAsia="Times New Roman" w:cs="Times New Roman"/>
                <w:color w:val="000000"/>
                <w:sz w:val="24"/>
                <w:szCs w:val="24"/>
              </w:rPr>
            </w:pPr>
          </w:p>
        </w:tc>
        <w:tc>
          <w:tcPr>
            <w:tcW w:w="643" w:type="dxa"/>
            <w:tcBorders>
              <w:top w:val="nil"/>
              <w:left w:val="nil"/>
              <w:bottom w:val="single" w:sz="8" w:space="0" w:color="auto"/>
              <w:right w:val="single" w:sz="8" w:space="0" w:color="auto"/>
            </w:tcBorders>
            <w:shd w:val="clear" w:color="000000" w:fill="DCE6F1"/>
            <w:noWrap/>
            <w:vAlign w:val="bottom"/>
            <w:hideMark/>
          </w:tcPr>
          <w:p w14:paraId="145677B5" w14:textId="191CE298" w:rsidR="003404B3" w:rsidRPr="003404B3" w:rsidRDefault="003404B3" w:rsidP="003404B3">
            <w:pPr>
              <w:spacing w:after="0" w:line="240" w:lineRule="auto"/>
              <w:rPr>
                <w:rFonts w:eastAsia="Times New Roman" w:cs="Times New Roman"/>
                <w:color w:val="000000"/>
                <w:sz w:val="24"/>
                <w:szCs w:val="24"/>
              </w:rPr>
            </w:pPr>
          </w:p>
        </w:tc>
        <w:tc>
          <w:tcPr>
            <w:tcW w:w="703" w:type="dxa"/>
            <w:tcBorders>
              <w:top w:val="nil"/>
              <w:left w:val="nil"/>
              <w:bottom w:val="single" w:sz="8" w:space="0" w:color="auto"/>
              <w:right w:val="single" w:sz="8" w:space="0" w:color="auto"/>
            </w:tcBorders>
            <w:shd w:val="clear" w:color="000000" w:fill="DCE6F1"/>
            <w:noWrap/>
            <w:vAlign w:val="bottom"/>
            <w:hideMark/>
          </w:tcPr>
          <w:p w14:paraId="543B0CA8" w14:textId="042DAC9A" w:rsidR="003404B3" w:rsidRPr="003404B3" w:rsidRDefault="003404B3" w:rsidP="003404B3">
            <w:pPr>
              <w:spacing w:after="0" w:line="240" w:lineRule="auto"/>
              <w:rPr>
                <w:rFonts w:eastAsia="Times New Roman" w:cs="Times New Roman"/>
                <w:color w:val="000000"/>
                <w:sz w:val="24"/>
                <w:szCs w:val="24"/>
              </w:rPr>
            </w:pPr>
          </w:p>
        </w:tc>
        <w:tc>
          <w:tcPr>
            <w:tcW w:w="642" w:type="dxa"/>
            <w:tcBorders>
              <w:top w:val="nil"/>
              <w:left w:val="nil"/>
              <w:bottom w:val="single" w:sz="8" w:space="0" w:color="auto"/>
              <w:right w:val="single" w:sz="8" w:space="0" w:color="auto"/>
            </w:tcBorders>
            <w:shd w:val="clear" w:color="000000" w:fill="DCE6F1"/>
            <w:noWrap/>
            <w:vAlign w:val="bottom"/>
            <w:hideMark/>
          </w:tcPr>
          <w:p w14:paraId="786161D1" w14:textId="67433914" w:rsidR="003404B3" w:rsidRPr="003404B3" w:rsidRDefault="003404B3" w:rsidP="003404B3">
            <w:pPr>
              <w:spacing w:after="0" w:line="240" w:lineRule="auto"/>
              <w:rPr>
                <w:rFonts w:eastAsia="Times New Roman" w:cs="Times New Roman"/>
                <w:color w:val="000000"/>
                <w:sz w:val="24"/>
                <w:szCs w:val="24"/>
              </w:rPr>
            </w:pPr>
          </w:p>
        </w:tc>
      </w:tr>
      <w:tr w:rsidR="003404B3" w:rsidRPr="0089495C" w14:paraId="3CE35819" w14:textId="77777777" w:rsidTr="003404B3">
        <w:trPr>
          <w:trHeight w:val="314"/>
        </w:trPr>
        <w:tc>
          <w:tcPr>
            <w:tcW w:w="1156" w:type="dxa"/>
            <w:tcBorders>
              <w:top w:val="nil"/>
              <w:left w:val="single" w:sz="8" w:space="0" w:color="auto"/>
              <w:bottom w:val="single" w:sz="8" w:space="0" w:color="auto"/>
              <w:right w:val="single" w:sz="8" w:space="0" w:color="auto"/>
            </w:tcBorders>
            <w:shd w:val="clear" w:color="auto" w:fill="auto"/>
            <w:noWrap/>
            <w:vAlign w:val="center"/>
            <w:hideMark/>
          </w:tcPr>
          <w:p w14:paraId="57D1067E" w14:textId="77777777" w:rsidR="003404B3" w:rsidRPr="00BB495F" w:rsidRDefault="003404B3" w:rsidP="003404B3">
            <w:pPr>
              <w:spacing w:after="0" w:line="240" w:lineRule="auto"/>
              <w:rPr>
                <w:rFonts w:eastAsia="Times New Roman" w:cs="Times New Roman"/>
                <w:color w:val="000000"/>
                <w:sz w:val="24"/>
                <w:szCs w:val="24"/>
              </w:rPr>
            </w:pPr>
            <w:r w:rsidRPr="00BB495F">
              <w:rPr>
                <w:rFonts w:eastAsia="Times New Roman" w:cs="Times New Roman"/>
                <w:color w:val="000000"/>
                <w:sz w:val="24"/>
                <w:szCs w:val="24"/>
              </w:rPr>
              <w:t>Male</w:t>
            </w:r>
          </w:p>
        </w:tc>
        <w:tc>
          <w:tcPr>
            <w:tcW w:w="825" w:type="dxa"/>
            <w:tcBorders>
              <w:top w:val="nil"/>
              <w:left w:val="nil"/>
              <w:bottom w:val="single" w:sz="8" w:space="0" w:color="auto"/>
              <w:right w:val="single" w:sz="8" w:space="0" w:color="auto"/>
            </w:tcBorders>
            <w:shd w:val="clear" w:color="auto" w:fill="auto"/>
            <w:noWrap/>
            <w:vAlign w:val="bottom"/>
            <w:hideMark/>
          </w:tcPr>
          <w:p w14:paraId="08F2FF1F" w14:textId="77777777" w:rsidR="003404B3" w:rsidRPr="00BB495F" w:rsidRDefault="003404B3" w:rsidP="003404B3">
            <w:pPr>
              <w:spacing w:after="0" w:line="240" w:lineRule="auto"/>
              <w:jc w:val="right"/>
              <w:rPr>
                <w:rFonts w:eastAsia="Times New Roman" w:cs="Times New Roman"/>
                <w:color w:val="000000"/>
                <w:sz w:val="24"/>
                <w:szCs w:val="24"/>
              </w:rPr>
            </w:pPr>
            <w:r w:rsidRPr="00BB495F">
              <w:rPr>
                <w:rFonts w:eastAsia="Times New Roman" w:cs="Times New Roman"/>
                <w:color w:val="000000"/>
                <w:sz w:val="24"/>
                <w:szCs w:val="24"/>
              </w:rPr>
              <w:t>9941</w:t>
            </w:r>
          </w:p>
        </w:tc>
        <w:tc>
          <w:tcPr>
            <w:tcW w:w="679" w:type="dxa"/>
            <w:tcBorders>
              <w:top w:val="nil"/>
              <w:left w:val="nil"/>
              <w:bottom w:val="single" w:sz="8" w:space="0" w:color="auto"/>
              <w:right w:val="single" w:sz="8" w:space="0" w:color="auto"/>
            </w:tcBorders>
            <w:shd w:val="clear" w:color="auto" w:fill="auto"/>
            <w:noWrap/>
            <w:vAlign w:val="bottom"/>
            <w:hideMark/>
          </w:tcPr>
          <w:p w14:paraId="6D31F897" w14:textId="77777777" w:rsidR="003404B3" w:rsidRPr="00BB495F" w:rsidRDefault="003404B3" w:rsidP="003404B3">
            <w:pPr>
              <w:spacing w:after="0" w:line="240" w:lineRule="auto"/>
              <w:jc w:val="right"/>
              <w:rPr>
                <w:rFonts w:eastAsia="Times New Roman" w:cs="Times New Roman"/>
                <w:color w:val="000000"/>
                <w:sz w:val="24"/>
                <w:szCs w:val="24"/>
              </w:rPr>
            </w:pPr>
            <w:r w:rsidRPr="00BB495F">
              <w:rPr>
                <w:rFonts w:eastAsia="Times New Roman" w:cs="Times New Roman"/>
                <w:color w:val="000000"/>
                <w:sz w:val="24"/>
                <w:szCs w:val="24"/>
              </w:rPr>
              <w:t>62.5</w:t>
            </w:r>
          </w:p>
        </w:tc>
        <w:tc>
          <w:tcPr>
            <w:tcW w:w="885" w:type="dxa"/>
            <w:tcBorders>
              <w:top w:val="nil"/>
              <w:left w:val="nil"/>
              <w:bottom w:val="single" w:sz="8" w:space="0" w:color="auto"/>
              <w:right w:val="single" w:sz="8" w:space="0" w:color="auto"/>
            </w:tcBorders>
            <w:shd w:val="clear" w:color="auto" w:fill="auto"/>
            <w:noWrap/>
            <w:vAlign w:val="bottom"/>
            <w:hideMark/>
          </w:tcPr>
          <w:p w14:paraId="311A98C4" w14:textId="35447AD9" w:rsidR="003404B3" w:rsidRPr="00E9523E" w:rsidRDefault="003404B3" w:rsidP="003404B3">
            <w:pPr>
              <w:spacing w:after="0" w:line="240" w:lineRule="auto"/>
              <w:jc w:val="right"/>
              <w:rPr>
                <w:rFonts w:eastAsia="Times New Roman" w:cs="Times New Roman"/>
                <w:color w:val="000000"/>
                <w:sz w:val="24"/>
                <w:szCs w:val="24"/>
              </w:rPr>
            </w:pPr>
            <w:r w:rsidRPr="00E9523E">
              <w:rPr>
                <w:rFonts w:ascii="Calibri" w:hAnsi="Calibri"/>
                <w:color w:val="000000"/>
                <w:sz w:val="24"/>
                <w:szCs w:val="24"/>
              </w:rPr>
              <w:t>6417</w:t>
            </w:r>
          </w:p>
        </w:tc>
        <w:tc>
          <w:tcPr>
            <w:tcW w:w="642" w:type="dxa"/>
            <w:tcBorders>
              <w:top w:val="nil"/>
              <w:left w:val="nil"/>
              <w:bottom w:val="single" w:sz="8" w:space="0" w:color="auto"/>
              <w:right w:val="single" w:sz="8" w:space="0" w:color="auto"/>
            </w:tcBorders>
            <w:shd w:val="clear" w:color="auto" w:fill="auto"/>
            <w:noWrap/>
            <w:vAlign w:val="bottom"/>
            <w:hideMark/>
          </w:tcPr>
          <w:p w14:paraId="64635DDC" w14:textId="0D996A25" w:rsidR="003404B3" w:rsidRPr="003404B3" w:rsidRDefault="003404B3" w:rsidP="003404B3">
            <w:pPr>
              <w:spacing w:after="0" w:line="240" w:lineRule="auto"/>
              <w:jc w:val="right"/>
              <w:rPr>
                <w:rFonts w:eastAsia="Times New Roman" w:cs="Times New Roman"/>
                <w:color w:val="000000"/>
                <w:sz w:val="24"/>
                <w:szCs w:val="24"/>
              </w:rPr>
            </w:pPr>
            <w:r w:rsidRPr="003404B3">
              <w:rPr>
                <w:rFonts w:ascii="Calibri" w:hAnsi="Calibri"/>
                <w:color w:val="000000"/>
                <w:sz w:val="24"/>
                <w:szCs w:val="24"/>
              </w:rPr>
              <w:t>63.9</w:t>
            </w:r>
          </w:p>
        </w:tc>
        <w:tc>
          <w:tcPr>
            <w:tcW w:w="763" w:type="dxa"/>
            <w:tcBorders>
              <w:top w:val="nil"/>
              <w:left w:val="nil"/>
              <w:bottom w:val="single" w:sz="8" w:space="0" w:color="auto"/>
              <w:right w:val="single" w:sz="8" w:space="0" w:color="auto"/>
            </w:tcBorders>
            <w:shd w:val="clear" w:color="auto" w:fill="auto"/>
            <w:noWrap/>
            <w:vAlign w:val="bottom"/>
            <w:hideMark/>
          </w:tcPr>
          <w:p w14:paraId="5314A5C6" w14:textId="54B6ABC9" w:rsidR="003404B3" w:rsidRPr="003404B3" w:rsidRDefault="003404B3" w:rsidP="003404B3">
            <w:pPr>
              <w:spacing w:after="0" w:line="240" w:lineRule="auto"/>
              <w:jc w:val="right"/>
              <w:rPr>
                <w:rFonts w:eastAsia="Times New Roman" w:cs="Times New Roman"/>
                <w:color w:val="000000"/>
                <w:sz w:val="24"/>
                <w:szCs w:val="24"/>
              </w:rPr>
            </w:pPr>
            <w:r w:rsidRPr="003404B3">
              <w:rPr>
                <w:rFonts w:ascii="Calibri" w:hAnsi="Calibri"/>
                <w:color w:val="000000"/>
                <w:sz w:val="24"/>
                <w:szCs w:val="24"/>
              </w:rPr>
              <w:t>3524</w:t>
            </w:r>
          </w:p>
        </w:tc>
        <w:tc>
          <w:tcPr>
            <w:tcW w:w="642" w:type="dxa"/>
            <w:tcBorders>
              <w:top w:val="nil"/>
              <w:left w:val="nil"/>
              <w:bottom w:val="single" w:sz="8" w:space="0" w:color="auto"/>
              <w:right w:val="single" w:sz="8" w:space="0" w:color="auto"/>
            </w:tcBorders>
            <w:shd w:val="clear" w:color="auto" w:fill="auto"/>
            <w:noWrap/>
            <w:vAlign w:val="bottom"/>
            <w:hideMark/>
          </w:tcPr>
          <w:p w14:paraId="5A288980" w14:textId="51110FE7" w:rsidR="003404B3" w:rsidRPr="003404B3" w:rsidRDefault="003404B3" w:rsidP="003404B3">
            <w:pPr>
              <w:spacing w:after="0" w:line="240" w:lineRule="auto"/>
              <w:jc w:val="right"/>
              <w:rPr>
                <w:rFonts w:eastAsia="Times New Roman" w:cs="Times New Roman"/>
                <w:color w:val="000000"/>
                <w:sz w:val="24"/>
                <w:szCs w:val="24"/>
              </w:rPr>
            </w:pPr>
            <w:r w:rsidRPr="003404B3">
              <w:rPr>
                <w:rFonts w:ascii="Calibri" w:hAnsi="Calibri"/>
                <w:color w:val="000000"/>
                <w:sz w:val="24"/>
                <w:szCs w:val="24"/>
              </w:rPr>
              <w:t>60.1</w:t>
            </w:r>
          </w:p>
        </w:tc>
        <w:tc>
          <w:tcPr>
            <w:tcW w:w="422" w:type="dxa"/>
            <w:tcBorders>
              <w:top w:val="nil"/>
              <w:left w:val="nil"/>
              <w:bottom w:val="single" w:sz="8" w:space="0" w:color="auto"/>
              <w:right w:val="single" w:sz="8" w:space="0" w:color="auto"/>
            </w:tcBorders>
            <w:shd w:val="clear" w:color="auto" w:fill="auto"/>
            <w:noWrap/>
            <w:vAlign w:val="bottom"/>
            <w:hideMark/>
          </w:tcPr>
          <w:p w14:paraId="602FD4E8" w14:textId="77777777" w:rsidR="003404B3" w:rsidRPr="00BB495F" w:rsidRDefault="003404B3" w:rsidP="003404B3">
            <w:pPr>
              <w:spacing w:after="0" w:line="240" w:lineRule="auto"/>
              <w:rPr>
                <w:rFonts w:eastAsia="Times New Roman" w:cs="Times New Roman"/>
                <w:color w:val="000000"/>
                <w:sz w:val="24"/>
                <w:szCs w:val="24"/>
              </w:rPr>
            </w:pPr>
            <w:r w:rsidRPr="00BB495F">
              <w:rPr>
                <w:rFonts w:eastAsia="Times New Roman" w:cs="Times New Roman"/>
                <w:color w:val="000000"/>
                <w:sz w:val="24"/>
                <w:szCs w:val="24"/>
              </w:rPr>
              <w:t> </w:t>
            </w:r>
          </w:p>
        </w:tc>
        <w:tc>
          <w:tcPr>
            <w:tcW w:w="703" w:type="dxa"/>
            <w:tcBorders>
              <w:top w:val="nil"/>
              <w:left w:val="nil"/>
              <w:bottom w:val="single" w:sz="8" w:space="0" w:color="auto"/>
              <w:right w:val="single" w:sz="8" w:space="0" w:color="auto"/>
            </w:tcBorders>
            <w:shd w:val="clear" w:color="auto" w:fill="auto"/>
            <w:noWrap/>
            <w:vAlign w:val="bottom"/>
            <w:hideMark/>
          </w:tcPr>
          <w:p w14:paraId="2607A738" w14:textId="0A0A23C3" w:rsidR="003404B3" w:rsidRPr="003404B3" w:rsidRDefault="003404B3" w:rsidP="003404B3">
            <w:pPr>
              <w:spacing w:after="0" w:line="240" w:lineRule="auto"/>
              <w:jc w:val="right"/>
              <w:rPr>
                <w:rFonts w:eastAsia="Times New Roman" w:cs="Times New Roman"/>
                <w:color w:val="000000"/>
                <w:sz w:val="24"/>
                <w:szCs w:val="24"/>
              </w:rPr>
            </w:pPr>
            <w:r w:rsidRPr="003404B3">
              <w:rPr>
                <w:color w:val="000000"/>
                <w:sz w:val="24"/>
                <w:szCs w:val="24"/>
              </w:rPr>
              <w:t>1882</w:t>
            </w:r>
          </w:p>
        </w:tc>
        <w:tc>
          <w:tcPr>
            <w:tcW w:w="643" w:type="dxa"/>
            <w:tcBorders>
              <w:top w:val="nil"/>
              <w:left w:val="nil"/>
              <w:bottom w:val="single" w:sz="8" w:space="0" w:color="auto"/>
              <w:right w:val="single" w:sz="8" w:space="0" w:color="auto"/>
            </w:tcBorders>
            <w:shd w:val="clear" w:color="auto" w:fill="auto"/>
            <w:noWrap/>
            <w:vAlign w:val="bottom"/>
            <w:hideMark/>
          </w:tcPr>
          <w:p w14:paraId="0EA6C825" w14:textId="2F2AB4F3" w:rsidR="003404B3" w:rsidRPr="003404B3" w:rsidRDefault="003404B3" w:rsidP="003404B3">
            <w:pPr>
              <w:spacing w:after="0" w:line="240" w:lineRule="auto"/>
              <w:jc w:val="right"/>
              <w:rPr>
                <w:rFonts w:eastAsia="Times New Roman" w:cs="Times New Roman"/>
                <w:color w:val="000000"/>
                <w:sz w:val="24"/>
                <w:szCs w:val="24"/>
              </w:rPr>
            </w:pPr>
            <w:r w:rsidRPr="003404B3">
              <w:rPr>
                <w:color w:val="000000"/>
                <w:sz w:val="24"/>
                <w:szCs w:val="24"/>
              </w:rPr>
              <w:t>60.1</w:t>
            </w:r>
          </w:p>
        </w:tc>
        <w:tc>
          <w:tcPr>
            <w:tcW w:w="703" w:type="dxa"/>
            <w:tcBorders>
              <w:top w:val="nil"/>
              <w:left w:val="nil"/>
              <w:bottom w:val="single" w:sz="8" w:space="0" w:color="auto"/>
              <w:right w:val="single" w:sz="8" w:space="0" w:color="auto"/>
            </w:tcBorders>
            <w:shd w:val="clear" w:color="auto" w:fill="auto"/>
            <w:noWrap/>
            <w:vAlign w:val="bottom"/>
            <w:hideMark/>
          </w:tcPr>
          <w:p w14:paraId="2F58DAC8" w14:textId="2618C87B" w:rsidR="003404B3" w:rsidRPr="003404B3" w:rsidRDefault="003404B3" w:rsidP="003404B3">
            <w:pPr>
              <w:spacing w:after="0" w:line="240" w:lineRule="auto"/>
              <w:jc w:val="right"/>
              <w:rPr>
                <w:rFonts w:eastAsia="Times New Roman" w:cs="Times New Roman"/>
                <w:color w:val="000000"/>
                <w:sz w:val="24"/>
                <w:szCs w:val="24"/>
              </w:rPr>
            </w:pPr>
            <w:r w:rsidRPr="003404B3">
              <w:rPr>
                <w:color w:val="000000"/>
                <w:sz w:val="24"/>
                <w:szCs w:val="24"/>
              </w:rPr>
              <w:t>1639</w:t>
            </w:r>
          </w:p>
        </w:tc>
        <w:tc>
          <w:tcPr>
            <w:tcW w:w="642" w:type="dxa"/>
            <w:tcBorders>
              <w:top w:val="nil"/>
              <w:left w:val="nil"/>
              <w:bottom w:val="single" w:sz="8" w:space="0" w:color="auto"/>
              <w:right w:val="single" w:sz="8" w:space="0" w:color="auto"/>
            </w:tcBorders>
            <w:shd w:val="clear" w:color="auto" w:fill="auto"/>
            <w:noWrap/>
            <w:vAlign w:val="bottom"/>
            <w:hideMark/>
          </w:tcPr>
          <w:p w14:paraId="7ECDEBFD" w14:textId="02B36B40" w:rsidR="003404B3" w:rsidRPr="003404B3" w:rsidRDefault="003404B3" w:rsidP="003404B3">
            <w:pPr>
              <w:spacing w:after="0" w:line="240" w:lineRule="auto"/>
              <w:jc w:val="right"/>
              <w:rPr>
                <w:rFonts w:eastAsia="Times New Roman" w:cs="Times New Roman"/>
                <w:color w:val="000000"/>
                <w:sz w:val="24"/>
                <w:szCs w:val="24"/>
              </w:rPr>
            </w:pPr>
            <w:r w:rsidRPr="003404B3">
              <w:rPr>
                <w:color w:val="000000"/>
                <w:sz w:val="24"/>
                <w:szCs w:val="24"/>
              </w:rPr>
              <w:t>60.2</w:t>
            </w:r>
          </w:p>
        </w:tc>
      </w:tr>
      <w:tr w:rsidR="003404B3" w:rsidRPr="0089495C" w14:paraId="0E3CCC97" w14:textId="77777777" w:rsidTr="003404B3">
        <w:trPr>
          <w:trHeight w:val="314"/>
        </w:trPr>
        <w:tc>
          <w:tcPr>
            <w:tcW w:w="1156" w:type="dxa"/>
            <w:tcBorders>
              <w:top w:val="nil"/>
              <w:left w:val="single" w:sz="8" w:space="0" w:color="auto"/>
              <w:bottom w:val="single" w:sz="8" w:space="0" w:color="auto"/>
              <w:right w:val="single" w:sz="8" w:space="0" w:color="auto"/>
            </w:tcBorders>
            <w:shd w:val="clear" w:color="auto" w:fill="auto"/>
            <w:noWrap/>
            <w:vAlign w:val="center"/>
            <w:hideMark/>
          </w:tcPr>
          <w:p w14:paraId="78B7956A" w14:textId="77777777" w:rsidR="003404B3" w:rsidRPr="00BB495F" w:rsidRDefault="003404B3" w:rsidP="003404B3">
            <w:pPr>
              <w:spacing w:after="0" w:line="240" w:lineRule="auto"/>
              <w:rPr>
                <w:rFonts w:eastAsia="Times New Roman" w:cs="Times New Roman"/>
                <w:color w:val="000000"/>
                <w:sz w:val="24"/>
                <w:szCs w:val="24"/>
              </w:rPr>
            </w:pPr>
            <w:r w:rsidRPr="00BB495F">
              <w:rPr>
                <w:rFonts w:eastAsia="Times New Roman" w:cs="Times New Roman"/>
                <w:color w:val="000000"/>
                <w:sz w:val="24"/>
                <w:szCs w:val="24"/>
              </w:rPr>
              <w:t>Female</w:t>
            </w:r>
          </w:p>
        </w:tc>
        <w:tc>
          <w:tcPr>
            <w:tcW w:w="825" w:type="dxa"/>
            <w:tcBorders>
              <w:top w:val="nil"/>
              <w:left w:val="nil"/>
              <w:bottom w:val="single" w:sz="8" w:space="0" w:color="auto"/>
              <w:right w:val="single" w:sz="8" w:space="0" w:color="auto"/>
            </w:tcBorders>
            <w:shd w:val="clear" w:color="auto" w:fill="auto"/>
            <w:noWrap/>
            <w:vAlign w:val="bottom"/>
            <w:hideMark/>
          </w:tcPr>
          <w:p w14:paraId="35EBF7A6" w14:textId="77777777" w:rsidR="003404B3" w:rsidRPr="00BB495F" w:rsidRDefault="003404B3" w:rsidP="003404B3">
            <w:pPr>
              <w:spacing w:after="0" w:line="240" w:lineRule="auto"/>
              <w:jc w:val="right"/>
              <w:rPr>
                <w:rFonts w:eastAsia="Times New Roman" w:cs="Times New Roman"/>
                <w:color w:val="000000"/>
                <w:sz w:val="24"/>
                <w:szCs w:val="24"/>
              </w:rPr>
            </w:pPr>
            <w:r w:rsidRPr="00BB495F">
              <w:rPr>
                <w:rFonts w:eastAsia="Times New Roman" w:cs="Times New Roman"/>
                <w:color w:val="000000"/>
                <w:sz w:val="24"/>
                <w:szCs w:val="24"/>
              </w:rPr>
              <w:t>5947</w:t>
            </w:r>
          </w:p>
        </w:tc>
        <w:tc>
          <w:tcPr>
            <w:tcW w:w="679" w:type="dxa"/>
            <w:tcBorders>
              <w:top w:val="nil"/>
              <w:left w:val="nil"/>
              <w:bottom w:val="single" w:sz="8" w:space="0" w:color="auto"/>
              <w:right w:val="single" w:sz="8" w:space="0" w:color="auto"/>
            </w:tcBorders>
            <w:shd w:val="clear" w:color="auto" w:fill="auto"/>
            <w:noWrap/>
            <w:vAlign w:val="bottom"/>
            <w:hideMark/>
          </w:tcPr>
          <w:p w14:paraId="388863C3" w14:textId="77777777" w:rsidR="003404B3" w:rsidRPr="00BB495F" w:rsidRDefault="003404B3" w:rsidP="003404B3">
            <w:pPr>
              <w:spacing w:after="0" w:line="240" w:lineRule="auto"/>
              <w:jc w:val="right"/>
              <w:rPr>
                <w:rFonts w:eastAsia="Times New Roman" w:cs="Times New Roman"/>
                <w:color w:val="000000"/>
                <w:sz w:val="24"/>
                <w:szCs w:val="24"/>
              </w:rPr>
            </w:pPr>
            <w:r w:rsidRPr="00BB495F">
              <w:rPr>
                <w:rFonts w:eastAsia="Times New Roman" w:cs="Times New Roman"/>
                <w:color w:val="000000"/>
                <w:sz w:val="24"/>
                <w:szCs w:val="24"/>
              </w:rPr>
              <w:t>37.4</w:t>
            </w:r>
          </w:p>
        </w:tc>
        <w:tc>
          <w:tcPr>
            <w:tcW w:w="885" w:type="dxa"/>
            <w:tcBorders>
              <w:top w:val="nil"/>
              <w:left w:val="nil"/>
              <w:bottom w:val="single" w:sz="8" w:space="0" w:color="auto"/>
              <w:right w:val="single" w:sz="8" w:space="0" w:color="auto"/>
            </w:tcBorders>
            <w:shd w:val="clear" w:color="auto" w:fill="auto"/>
            <w:noWrap/>
            <w:vAlign w:val="bottom"/>
            <w:hideMark/>
          </w:tcPr>
          <w:p w14:paraId="6367FC1D" w14:textId="1A71CA6E" w:rsidR="003404B3" w:rsidRPr="00E9523E" w:rsidRDefault="003404B3" w:rsidP="003404B3">
            <w:pPr>
              <w:spacing w:after="0" w:line="240" w:lineRule="auto"/>
              <w:jc w:val="right"/>
              <w:rPr>
                <w:rFonts w:eastAsia="Times New Roman" w:cs="Times New Roman"/>
                <w:color w:val="000000"/>
                <w:sz w:val="24"/>
                <w:szCs w:val="24"/>
              </w:rPr>
            </w:pPr>
            <w:r w:rsidRPr="00E9523E">
              <w:rPr>
                <w:rFonts w:ascii="Calibri" w:hAnsi="Calibri"/>
                <w:color w:val="000000"/>
                <w:sz w:val="24"/>
                <w:szCs w:val="24"/>
              </w:rPr>
              <w:t>3611</w:t>
            </w:r>
          </w:p>
        </w:tc>
        <w:tc>
          <w:tcPr>
            <w:tcW w:w="642" w:type="dxa"/>
            <w:tcBorders>
              <w:top w:val="nil"/>
              <w:left w:val="nil"/>
              <w:bottom w:val="single" w:sz="8" w:space="0" w:color="auto"/>
              <w:right w:val="single" w:sz="8" w:space="0" w:color="auto"/>
            </w:tcBorders>
            <w:shd w:val="clear" w:color="auto" w:fill="auto"/>
            <w:noWrap/>
            <w:vAlign w:val="bottom"/>
            <w:hideMark/>
          </w:tcPr>
          <w:p w14:paraId="273FE14B" w14:textId="2C75CC26" w:rsidR="003404B3" w:rsidRPr="003404B3" w:rsidRDefault="003404B3" w:rsidP="003404B3">
            <w:pPr>
              <w:spacing w:after="0" w:line="240" w:lineRule="auto"/>
              <w:jc w:val="right"/>
              <w:rPr>
                <w:rFonts w:eastAsia="Times New Roman" w:cs="Times New Roman"/>
                <w:color w:val="000000"/>
                <w:sz w:val="24"/>
                <w:szCs w:val="24"/>
              </w:rPr>
            </w:pPr>
            <w:r w:rsidRPr="003404B3">
              <w:rPr>
                <w:rFonts w:ascii="Calibri" w:hAnsi="Calibri"/>
                <w:color w:val="000000"/>
                <w:sz w:val="24"/>
                <w:szCs w:val="24"/>
              </w:rPr>
              <w:t>35.9</w:t>
            </w:r>
          </w:p>
        </w:tc>
        <w:tc>
          <w:tcPr>
            <w:tcW w:w="763" w:type="dxa"/>
            <w:tcBorders>
              <w:top w:val="nil"/>
              <w:left w:val="nil"/>
              <w:bottom w:val="single" w:sz="8" w:space="0" w:color="auto"/>
              <w:right w:val="single" w:sz="8" w:space="0" w:color="auto"/>
            </w:tcBorders>
            <w:shd w:val="clear" w:color="auto" w:fill="auto"/>
            <w:noWrap/>
            <w:vAlign w:val="bottom"/>
            <w:hideMark/>
          </w:tcPr>
          <w:p w14:paraId="58B2BE48" w14:textId="756A7314" w:rsidR="003404B3" w:rsidRPr="003404B3" w:rsidRDefault="003404B3" w:rsidP="003404B3">
            <w:pPr>
              <w:spacing w:after="0" w:line="240" w:lineRule="auto"/>
              <w:jc w:val="right"/>
              <w:rPr>
                <w:rFonts w:eastAsia="Times New Roman" w:cs="Times New Roman"/>
                <w:color w:val="000000"/>
                <w:sz w:val="24"/>
                <w:szCs w:val="24"/>
              </w:rPr>
            </w:pPr>
            <w:r w:rsidRPr="003404B3">
              <w:rPr>
                <w:rFonts w:ascii="Calibri" w:hAnsi="Calibri"/>
                <w:color w:val="000000"/>
                <w:sz w:val="24"/>
                <w:szCs w:val="24"/>
              </w:rPr>
              <w:t>2336</w:t>
            </w:r>
          </w:p>
        </w:tc>
        <w:tc>
          <w:tcPr>
            <w:tcW w:w="642" w:type="dxa"/>
            <w:tcBorders>
              <w:top w:val="nil"/>
              <w:left w:val="nil"/>
              <w:bottom w:val="single" w:sz="8" w:space="0" w:color="auto"/>
              <w:right w:val="single" w:sz="8" w:space="0" w:color="auto"/>
            </w:tcBorders>
            <w:shd w:val="clear" w:color="auto" w:fill="auto"/>
            <w:noWrap/>
            <w:vAlign w:val="bottom"/>
            <w:hideMark/>
          </w:tcPr>
          <w:p w14:paraId="5C3AA74C" w14:textId="62B70D30" w:rsidR="003404B3" w:rsidRPr="003404B3" w:rsidRDefault="003404B3" w:rsidP="003404B3">
            <w:pPr>
              <w:spacing w:after="0" w:line="240" w:lineRule="auto"/>
              <w:jc w:val="right"/>
              <w:rPr>
                <w:rFonts w:eastAsia="Times New Roman" w:cs="Times New Roman"/>
                <w:color w:val="000000"/>
                <w:sz w:val="24"/>
                <w:szCs w:val="24"/>
              </w:rPr>
            </w:pPr>
            <w:r w:rsidRPr="003404B3">
              <w:rPr>
                <w:rFonts w:ascii="Calibri" w:hAnsi="Calibri"/>
                <w:color w:val="000000"/>
                <w:sz w:val="24"/>
                <w:szCs w:val="24"/>
              </w:rPr>
              <w:t>39.9</w:t>
            </w:r>
          </w:p>
        </w:tc>
        <w:tc>
          <w:tcPr>
            <w:tcW w:w="422" w:type="dxa"/>
            <w:tcBorders>
              <w:top w:val="nil"/>
              <w:left w:val="nil"/>
              <w:bottom w:val="single" w:sz="8" w:space="0" w:color="auto"/>
              <w:right w:val="single" w:sz="8" w:space="0" w:color="auto"/>
            </w:tcBorders>
            <w:shd w:val="clear" w:color="auto" w:fill="auto"/>
            <w:noWrap/>
            <w:vAlign w:val="bottom"/>
            <w:hideMark/>
          </w:tcPr>
          <w:p w14:paraId="5130F1F7" w14:textId="77777777" w:rsidR="003404B3" w:rsidRPr="00BB495F" w:rsidRDefault="003404B3" w:rsidP="003404B3">
            <w:pPr>
              <w:spacing w:after="0" w:line="240" w:lineRule="auto"/>
              <w:rPr>
                <w:rFonts w:eastAsia="Times New Roman" w:cs="Times New Roman"/>
                <w:color w:val="000000"/>
                <w:sz w:val="24"/>
                <w:szCs w:val="24"/>
              </w:rPr>
            </w:pPr>
            <w:r w:rsidRPr="00BB495F">
              <w:rPr>
                <w:rFonts w:eastAsia="Times New Roman" w:cs="Times New Roman"/>
                <w:color w:val="000000"/>
                <w:sz w:val="24"/>
                <w:szCs w:val="24"/>
              </w:rPr>
              <w:t> </w:t>
            </w:r>
          </w:p>
        </w:tc>
        <w:tc>
          <w:tcPr>
            <w:tcW w:w="703" w:type="dxa"/>
            <w:tcBorders>
              <w:top w:val="nil"/>
              <w:left w:val="nil"/>
              <w:bottom w:val="single" w:sz="8" w:space="0" w:color="auto"/>
              <w:right w:val="single" w:sz="8" w:space="0" w:color="auto"/>
            </w:tcBorders>
            <w:shd w:val="clear" w:color="auto" w:fill="auto"/>
            <w:noWrap/>
            <w:vAlign w:val="bottom"/>
            <w:hideMark/>
          </w:tcPr>
          <w:p w14:paraId="5DBF6506" w14:textId="2AAB7B4A" w:rsidR="003404B3" w:rsidRPr="003404B3" w:rsidRDefault="003404B3" w:rsidP="003404B3">
            <w:pPr>
              <w:spacing w:after="0" w:line="240" w:lineRule="auto"/>
              <w:jc w:val="right"/>
              <w:rPr>
                <w:rFonts w:eastAsia="Times New Roman" w:cs="Times New Roman"/>
                <w:color w:val="000000"/>
                <w:sz w:val="24"/>
                <w:szCs w:val="24"/>
              </w:rPr>
            </w:pPr>
            <w:r w:rsidRPr="003404B3">
              <w:rPr>
                <w:color w:val="000000"/>
                <w:sz w:val="24"/>
                <w:szCs w:val="24"/>
              </w:rPr>
              <w:t>1251</w:t>
            </w:r>
          </w:p>
        </w:tc>
        <w:tc>
          <w:tcPr>
            <w:tcW w:w="643" w:type="dxa"/>
            <w:tcBorders>
              <w:top w:val="nil"/>
              <w:left w:val="nil"/>
              <w:bottom w:val="single" w:sz="8" w:space="0" w:color="auto"/>
              <w:right w:val="single" w:sz="8" w:space="0" w:color="auto"/>
            </w:tcBorders>
            <w:shd w:val="clear" w:color="auto" w:fill="auto"/>
            <w:noWrap/>
            <w:vAlign w:val="bottom"/>
            <w:hideMark/>
          </w:tcPr>
          <w:p w14:paraId="12937E49" w14:textId="5EA59C9F" w:rsidR="003404B3" w:rsidRPr="003404B3" w:rsidRDefault="003404B3" w:rsidP="003404B3">
            <w:pPr>
              <w:spacing w:after="0" w:line="240" w:lineRule="auto"/>
              <w:jc w:val="right"/>
              <w:rPr>
                <w:rFonts w:eastAsia="Times New Roman" w:cs="Times New Roman"/>
                <w:color w:val="000000"/>
                <w:sz w:val="24"/>
                <w:szCs w:val="24"/>
              </w:rPr>
            </w:pPr>
            <w:r w:rsidRPr="003404B3">
              <w:rPr>
                <w:color w:val="000000"/>
                <w:sz w:val="24"/>
                <w:szCs w:val="24"/>
              </w:rPr>
              <w:t>39.9</w:t>
            </w:r>
          </w:p>
        </w:tc>
        <w:tc>
          <w:tcPr>
            <w:tcW w:w="703" w:type="dxa"/>
            <w:tcBorders>
              <w:top w:val="nil"/>
              <w:left w:val="nil"/>
              <w:bottom w:val="single" w:sz="8" w:space="0" w:color="auto"/>
              <w:right w:val="single" w:sz="8" w:space="0" w:color="auto"/>
            </w:tcBorders>
            <w:shd w:val="clear" w:color="auto" w:fill="auto"/>
            <w:noWrap/>
            <w:vAlign w:val="bottom"/>
            <w:hideMark/>
          </w:tcPr>
          <w:p w14:paraId="3F606799" w14:textId="62B12B19" w:rsidR="003404B3" w:rsidRPr="003404B3" w:rsidRDefault="003404B3" w:rsidP="003404B3">
            <w:pPr>
              <w:spacing w:after="0" w:line="240" w:lineRule="auto"/>
              <w:jc w:val="right"/>
              <w:rPr>
                <w:rFonts w:eastAsia="Times New Roman" w:cs="Times New Roman"/>
                <w:color w:val="000000"/>
                <w:sz w:val="24"/>
                <w:szCs w:val="24"/>
              </w:rPr>
            </w:pPr>
            <w:r w:rsidRPr="003404B3">
              <w:rPr>
                <w:color w:val="000000"/>
                <w:sz w:val="24"/>
                <w:szCs w:val="24"/>
              </w:rPr>
              <w:t>1083</w:t>
            </w:r>
          </w:p>
        </w:tc>
        <w:tc>
          <w:tcPr>
            <w:tcW w:w="642" w:type="dxa"/>
            <w:tcBorders>
              <w:top w:val="nil"/>
              <w:left w:val="nil"/>
              <w:bottom w:val="single" w:sz="8" w:space="0" w:color="auto"/>
              <w:right w:val="single" w:sz="8" w:space="0" w:color="auto"/>
            </w:tcBorders>
            <w:shd w:val="clear" w:color="auto" w:fill="auto"/>
            <w:noWrap/>
            <w:vAlign w:val="bottom"/>
            <w:hideMark/>
          </w:tcPr>
          <w:p w14:paraId="70733172" w14:textId="4630E3F1" w:rsidR="003404B3" w:rsidRPr="003404B3" w:rsidRDefault="003404B3" w:rsidP="003404B3">
            <w:pPr>
              <w:spacing w:after="0" w:line="240" w:lineRule="auto"/>
              <w:jc w:val="right"/>
              <w:rPr>
                <w:rFonts w:eastAsia="Times New Roman" w:cs="Times New Roman"/>
                <w:color w:val="000000"/>
                <w:sz w:val="24"/>
                <w:szCs w:val="24"/>
              </w:rPr>
            </w:pPr>
            <w:r w:rsidRPr="003404B3">
              <w:rPr>
                <w:color w:val="000000"/>
                <w:sz w:val="24"/>
                <w:szCs w:val="24"/>
              </w:rPr>
              <w:t>39.8</w:t>
            </w:r>
          </w:p>
        </w:tc>
      </w:tr>
      <w:tr w:rsidR="003404B3" w:rsidRPr="0089495C" w14:paraId="3B7740FB" w14:textId="77777777" w:rsidTr="00D97985">
        <w:trPr>
          <w:trHeight w:val="314"/>
        </w:trPr>
        <w:tc>
          <w:tcPr>
            <w:tcW w:w="1156" w:type="dxa"/>
            <w:tcBorders>
              <w:top w:val="nil"/>
              <w:left w:val="single" w:sz="8" w:space="0" w:color="auto"/>
              <w:bottom w:val="single" w:sz="4" w:space="0" w:color="auto"/>
              <w:right w:val="single" w:sz="8" w:space="0" w:color="auto"/>
            </w:tcBorders>
            <w:shd w:val="clear" w:color="auto" w:fill="auto"/>
            <w:noWrap/>
            <w:vAlign w:val="center"/>
            <w:hideMark/>
          </w:tcPr>
          <w:p w14:paraId="4D817F2B" w14:textId="77777777" w:rsidR="003404B3" w:rsidRPr="00BB495F" w:rsidRDefault="003404B3" w:rsidP="003404B3">
            <w:pPr>
              <w:spacing w:after="0" w:line="240" w:lineRule="auto"/>
              <w:rPr>
                <w:rFonts w:eastAsia="Times New Roman" w:cs="Times New Roman"/>
                <w:color w:val="000000"/>
                <w:sz w:val="24"/>
                <w:szCs w:val="24"/>
              </w:rPr>
            </w:pPr>
            <w:r w:rsidRPr="00BB495F">
              <w:rPr>
                <w:rFonts w:eastAsia="Times New Roman" w:cs="Times New Roman"/>
                <w:color w:val="000000"/>
                <w:sz w:val="24"/>
                <w:szCs w:val="24"/>
              </w:rPr>
              <w:t>Unknown</w:t>
            </w:r>
          </w:p>
        </w:tc>
        <w:tc>
          <w:tcPr>
            <w:tcW w:w="825" w:type="dxa"/>
            <w:tcBorders>
              <w:top w:val="nil"/>
              <w:left w:val="nil"/>
              <w:bottom w:val="single" w:sz="4" w:space="0" w:color="auto"/>
              <w:right w:val="single" w:sz="8" w:space="0" w:color="auto"/>
            </w:tcBorders>
            <w:shd w:val="clear" w:color="auto" w:fill="auto"/>
            <w:noWrap/>
            <w:vAlign w:val="bottom"/>
            <w:hideMark/>
          </w:tcPr>
          <w:p w14:paraId="7BF864F1" w14:textId="77777777" w:rsidR="003404B3" w:rsidRPr="00BB495F" w:rsidRDefault="003404B3" w:rsidP="003404B3">
            <w:pPr>
              <w:spacing w:after="0" w:line="240" w:lineRule="auto"/>
              <w:jc w:val="right"/>
              <w:rPr>
                <w:rFonts w:eastAsia="Times New Roman" w:cs="Times New Roman"/>
                <w:color w:val="000000"/>
                <w:sz w:val="24"/>
                <w:szCs w:val="24"/>
              </w:rPr>
            </w:pPr>
            <w:r w:rsidRPr="00BB495F">
              <w:rPr>
                <w:rFonts w:eastAsia="Times New Roman" w:cs="Times New Roman"/>
                <w:color w:val="000000"/>
                <w:sz w:val="24"/>
                <w:szCs w:val="24"/>
              </w:rPr>
              <w:t>20</w:t>
            </w:r>
          </w:p>
        </w:tc>
        <w:tc>
          <w:tcPr>
            <w:tcW w:w="679" w:type="dxa"/>
            <w:tcBorders>
              <w:top w:val="nil"/>
              <w:left w:val="nil"/>
              <w:bottom w:val="single" w:sz="4" w:space="0" w:color="auto"/>
              <w:right w:val="single" w:sz="8" w:space="0" w:color="auto"/>
            </w:tcBorders>
            <w:shd w:val="clear" w:color="auto" w:fill="auto"/>
            <w:noWrap/>
            <w:vAlign w:val="bottom"/>
            <w:hideMark/>
          </w:tcPr>
          <w:p w14:paraId="034566F8" w14:textId="77777777" w:rsidR="003404B3" w:rsidRPr="00BB495F" w:rsidRDefault="003404B3" w:rsidP="003404B3">
            <w:pPr>
              <w:spacing w:after="0" w:line="240" w:lineRule="auto"/>
              <w:jc w:val="right"/>
              <w:rPr>
                <w:rFonts w:eastAsia="Times New Roman" w:cs="Times New Roman"/>
                <w:color w:val="000000"/>
                <w:sz w:val="24"/>
                <w:szCs w:val="24"/>
              </w:rPr>
            </w:pPr>
            <w:r w:rsidRPr="00BB495F">
              <w:rPr>
                <w:rFonts w:eastAsia="Times New Roman" w:cs="Times New Roman"/>
                <w:color w:val="000000"/>
                <w:sz w:val="24"/>
                <w:szCs w:val="24"/>
              </w:rPr>
              <w:t>0.1</w:t>
            </w:r>
          </w:p>
        </w:tc>
        <w:tc>
          <w:tcPr>
            <w:tcW w:w="885" w:type="dxa"/>
            <w:tcBorders>
              <w:top w:val="nil"/>
              <w:left w:val="nil"/>
              <w:bottom w:val="single" w:sz="4" w:space="0" w:color="auto"/>
              <w:right w:val="single" w:sz="8" w:space="0" w:color="auto"/>
            </w:tcBorders>
            <w:shd w:val="clear" w:color="auto" w:fill="auto"/>
            <w:noWrap/>
            <w:vAlign w:val="bottom"/>
            <w:hideMark/>
          </w:tcPr>
          <w:p w14:paraId="188BDD7C" w14:textId="47C9093A" w:rsidR="003404B3" w:rsidRPr="00E9523E" w:rsidRDefault="003404B3" w:rsidP="003404B3">
            <w:pPr>
              <w:spacing w:after="0" w:line="240" w:lineRule="auto"/>
              <w:jc w:val="right"/>
              <w:rPr>
                <w:rFonts w:eastAsia="Times New Roman" w:cs="Times New Roman"/>
                <w:color w:val="000000"/>
                <w:sz w:val="24"/>
                <w:szCs w:val="24"/>
              </w:rPr>
            </w:pPr>
            <w:r w:rsidRPr="00E9523E">
              <w:rPr>
                <w:rFonts w:ascii="Calibri" w:hAnsi="Calibri"/>
                <w:color w:val="000000"/>
                <w:sz w:val="24"/>
                <w:szCs w:val="24"/>
              </w:rPr>
              <w:t>20</w:t>
            </w:r>
          </w:p>
        </w:tc>
        <w:tc>
          <w:tcPr>
            <w:tcW w:w="642" w:type="dxa"/>
            <w:tcBorders>
              <w:top w:val="nil"/>
              <w:left w:val="nil"/>
              <w:bottom w:val="single" w:sz="4" w:space="0" w:color="auto"/>
              <w:right w:val="single" w:sz="8" w:space="0" w:color="auto"/>
            </w:tcBorders>
            <w:shd w:val="clear" w:color="auto" w:fill="auto"/>
            <w:noWrap/>
            <w:vAlign w:val="bottom"/>
            <w:hideMark/>
          </w:tcPr>
          <w:p w14:paraId="48BCAA07" w14:textId="431F1353" w:rsidR="003404B3" w:rsidRPr="003404B3" w:rsidRDefault="003404B3" w:rsidP="003404B3">
            <w:pPr>
              <w:spacing w:after="0" w:line="240" w:lineRule="auto"/>
              <w:jc w:val="right"/>
              <w:rPr>
                <w:rFonts w:eastAsia="Times New Roman" w:cs="Times New Roman"/>
                <w:color w:val="000000"/>
                <w:sz w:val="24"/>
                <w:szCs w:val="24"/>
              </w:rPr>
            </w:pPr>
            <w:r w:rsidRPr="003404B3">
              <w:rPr>
                <w:rFonts w:ascii="Calibri" w:hAnsi="Calibri"/>
                <w:color w:val="000000"/>
                <w:sz w:val="24"/>
                <w:szCs w:val="24"/>
              </w:rPr>
              <w:t>0.2</w:t>
            </w:r>
          </w:p>
        </w:tc>
        <w:tc>
          <w:tcPr>
            <w:tcW w:w="763" w:type="dxa"/>
            <w:tcBorders>
              <w:top w:val="nil"/>
              <w:left w:val="nil"/>
              <w:bottom w:val="single" w:sz="4" w:space="0" w:color="auto"/>
              <w:right w:val="single" w:sz="8" w:space="0" w:color="auto"/>
            </w:tcBorders>
            <w:shd w:val="clear" w:color="auto" w:fill="auto"/>
            <w:noWrap/>
            <w:vAlign w:val="bottom"/>
            <w:hideMark/>
          </w:tcPr>
          <w:p w14:paraId="08D3A012" w14:textId="2381C40E" w:rsidR="003404B3" w:rsidRPr="003404B3" w:rsidRDefault="003404B3" w:rsidP="003404B3">
            <w:pPr>
              <w:spacing w:after="0" w:line="240" w:lineRule="auto"/>
              <w:rPr>
                <w:rFonts w:eastAsia="Times New Roman" w:cs="Times New Roman"/>
                <w:color w:val="000000"/>
                <w:sz w:val="24"/>
                <w:szCs w:val="24"/>
              </w:rPr>
            </w:pPr>
          </w:p>
        </w:tc>
        <w:tc>
          <w:tcPr>
            <w:tcW w:w="642" w:type="dxa"/>
            <w:tcBorders>
              <w:top w:val="nil"/>
              <w:left w:val="nil"/>
              <w:bottom w:val="single" w:sz="4" w:space="0" w:color="auto"/>
              <w:right w:val="single" w:sz="8" w:space="0" w:color="auto"/>
            </w:tcBorders>
            <w:shd w:val="clear" w:color="auto" w:fill="auto"/>
            <w:noWrap/>
            <w:vAlign w:val="bottom"/>
            <w:hideMark/>
          </w:tcPr>
          <w:p w14:paraId="39B077A1" w14:textId="444B09DA" w:rsidR="003404B3" w:rsidRPr="003404B3" w:rsidRDefault="003404B3" w:rsidP="003404B3">
            <w:pPr>
              <w:spacing w:after="0" w:line="240" w:lineRule="auto"/>
              <w:rPr>
                <w:rFonts w:eastAsia="Times New Roman" w:cs="Times New Roman"/>
                <w:color w:val="000000"/>
                <w:sz w:val="24"/>
                <w:szCs w:val="24"/>
              </w:rPr>
            </w:pPr>
          </w:p>
        </w:tc>
        <w:tc>
          <w:tcPr>
            <w:tcW w:w="422" w:type="dxa"/>
            <w:tcBorders>
              <w:top w:val="nil"/>
              <w:left w:val="nil"/>
              <w:bottom w:val="single" w:sz="4" w:space="0" w:color="auto"/>
              <w:right w:val="single" w:sz="8" w:space="0" w:color="auto"/>
            </w:tcBorders>
            <w:shd w:val="clear" w:color="auto" w:fill="auto"/>
            <w:noWrap/>
            <w:vAlign w:val="bottom"/>
            <w:hideMark/>
          </w:tcPr>
          <w:p w14:paraId="41EA31F5" w14:textId="77777777" w:rsidR="003404B3" w:rsidRPr="00BB495F" w:rsidRDefault="003404B3" w:rsidP="003404B3">
            <w:pPr>
              <w:spacing w:after="0" w:line="240" w:lineRule="auto"/>
              <w:rPr>
                <w:rFonts w:eastAsia="Times New Roman" w:cs="Times New Roman"/>
                <w:color w:val="000000"/>
                <w:sz w:val="24"/>
                <w:szCs w:val="24"/>
              </w:rPr>
            </w:pPr>
            <w:r w:rsidRPr="00BB495F">
              <w:rPr>
                <w:rFonts w:eastAsia="Times New Roman" w:cs="Times New Roman"/>
                <w:color w:val="000000"/>
                <w:sz w:val="24"/>
                <w:szCs w:val="24"/>
              </w:rPr>
              <w:t> </w:t>
            </w:r>
          </w:p>
        </w:tc>
        <w:tc>
          <w:tcPr>
            <w:tcW w:w="703" w:type="dxa"/>
            <w:tcBorders>
              <w:top w:val="nil"/>
              <w:left w:val="nil"/>
              <w:bottom w:val="single" w:sz="4" w:space="0" w:color="auto"/>
              <w:right w:val="single" w:sz="8" w:space="0" w:color="auto"/>
            </w:tcBorders>
            <w:shd w:val="clear" w:color="auto" w:fill="auto"/>
            <w:noWrap/>
            <w:vAlign w:val="bottom"/>
            <w:hideMark/>
          </w:tcPr>
          <w:p w14:paraId="508B4F02" w14:textId="5CA55FB4" w:rsidR="003404B3" w:rsidRPr="003404B3" w:rsidRDefault="003404B3" w:rsidP="003404B3">
            <w:pPr>
              <w:spacing w:after="0" w:line="240" w:lineRule="auto"/>
              <w:rPr>
                <w:rFonts w:eastAsia="Times New Roman" w:cs="Times New Roman"/>
                <w:color w:val="000000"/>
                <w:sz w:val="24"/>
                <w:szCs w:val="24"/>
              </w:rPr>
            </w:pPr>
          </w:p>
        </w:tc>
        <w:tc>
          <w:tcPr>
            <w:tcW w:w="643" w:type="dxa"/>
            <w:tcBorders>
              <w:top w:val="nil"/>
              <w:left w:val="nil"/>
              <w:bottom w:val="single" w:sz="4" w:space="0" w:color="auto"/>
              <w:right w:val="single" w:sz="8" w:space="0" w:color="auto"/>
            </w:tcBorders>
            <w:shd w:val="clear" w:color="auto" w:fill="auto"/>
            <w:noWrap/>
            <w:vAlign w:val="bottom"/>
            <w:hideMark/>
          </w:tcPr>
          <w:p w14:paraId="0B62D2C0" w14:textId="4F555D59" w:rsidR="003404B3" w:rsidRPr="003404B3" w:rsidRDefault="003404B3" w:rsidP="003404B3">
            <w:pPr>
              <w:spacing w:after="0" w:line="240" w:lineRule="auto"/>
              <w:rPr>
                <w:rFonts w:eastAsia="Times New Roman" w:cs="Times New Roman"/>
                <w:color w:val="000000"/>
                <w:sz w:val="24"/>
                <w:szCs w:val="24"/>
              </w:rPr>
            </w:pPr>
          </w:p>
        </w:tc>
        <w:tc>
          <w:tcPr>
            <w:tcW w:w="703" w:type="dxa"/>
            <w:tcBorders>
              <w:top w:val="nil"/>
              <w:left w:val="nil"/>
              <w:bottom w:val="single" w:sz="4" w:space="0" w:color="auto"/>
              <w:right w:val="single" w:sz="8" w:space="0" w:color="auto"/>
            </w:tcBorders>
            <w:shd w:val="clear" w:color="auto" w:fill="auto"/>
            <w:noWrap/>
            <w:vAlign w:val="bottom"/>
            <w:hideMark/>
          </w:tcPr>
          <w:p w14:paraId="693BCD1D" w14:textId="18EAFAD2" w:rsidR="003404B3" w:rsidRPr="003404B3" w:rsidRDefault="003404B3" w:rsidP="003404B3">
            <w:pPr>
              <w:spacing w:after="0" w:line="240" w:lineRule="auto"/>
              <w:rPr>
                <w:rFonts w:eastAsia="Times New Roman" w:cs="Times New Roman"/>
                <w:color w:val="000000"/>
                <w:sz w:val="24"/>
                <w:szCs w:val="24"/>
              </w:rPr>
            </w:pPr>
          </w:p>
        </w:tc>
        <w:tc>
          <w:tcPr>
            <w:tcW w:w="642" w:type="dxa"/>
            <w:tcBorders>
              <w:top w:val="nil"/>
              <w:left w:val="nil"/>
              <w:bottom w:val="single" w:sz="4" w:space="0" w:color="auto"/>
              <w:right w:val="single" w:sz="8" w:space="0" w:color="auto"/>
            </w:tcBorders>
            <w:shd w:val="clear" w:color="auto" w:fill="auto"/>
            <w:noWrap/>
            <w:vAlign w:val="bottom"/>
            <w:hideMark/>
          </w:tcPr>
          <w:p w14:paraId="3638C8AC" w14:textId="09A51BD1" w:rsidR="003404B3" w:rsidRPr="003404B3" w:rsidRDefault="003404B3" w:rsidP="003404B3">
            <w:pPr>
              <w:spacing w:after="0" w:line="240" w:lineRule="auto"/>
              <w:rPr>
                <w:rFonts w:eastAsia="Times New Roman" w:cs="Times New Roman"/>
                <w:color w:val="000000"/>
                <w:sz w:val="24"/>
                <w:szCs w:val="24"/>
              </w:rPr>
            </w:pPr>
          </w:p>
        </w:tc>
      </w:tr>
      <w:tr w:rsidR="003404B3" w:rsidRPr="0089495C" w14:paraId="2D65FADD" w14:textId="77777777" w:rsidTr="00D97985">
        <w:trPr>
          <w:trHeight w:val="314"/>
        </w:trPr>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4B67F" w14:textId="77777777" w:rsidR="003404B3" w:rsidRPr="00BB495F" w:rsidRDefault="003404B3" w:rsidP="003404B3">
            <w:pPr>
              <w:spacing w:after="0" w:line="240" w:lineRule="auto"/>
              <w:rPr>
                <w:rFonts w:eastAsia="Times New Roman" w:cs="Times New Roman"/>
                <w:color w:val="000000"/>
                <w:sz w:val="24"/>
                <w:szCs w:val="24"/>
              </w:rPr>
            </w:pPr>
            <w:r w:rsidRPr="00BB495F">
              <w:rPr>
                <w:rFonts w:eastAsia="Times New Roman" w:cs="Times New Roman"/>
                <w:color w:val="000000"/>
                <w:sz w:val="24"/>
                <w:szCs w:val="24"/>
              </w:rPr>
              <w:t>Total</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A13C1" w14:textId="77777777" w:rsidR="003404B3" w:rsidRPr="00BB495F" w:rsidRDefault="003404B3" w:rsidP="003404B3">
            <w:pPr>
              <w:spacing w:after="0" w:line="240" w:lineRule="auto"/>
              <w:jc w:val="right"/>
              <w:rPr>
                <w:rFonts w:eastAsia="Times New Roman" w:cs="Times New Roman"/>
                <w:color w:val="000000"/>
                <w:sz w:val="24"/>
                <w:szCs w:val="24"/>
              </w:rPr>
            </w:pPr>
            <w:r w:rsidRPr="00BB495F">
              <w:rPr>
                <w:rFonts w:eastAsia="Times New Roman" w:cs="Times New Roman"/>
                <w:color w:val="000000"/>
                <w:sz w:val="24"/>
                <w:szCs w:val="24"/>
              </w:rPr>
              <w:t>15908</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4C959" w14:textId="77777777" w:rsidR="003404B3" w:rsidRPr="00BB495F" w:rsidRDefault="003404B3" w:rsidP="003404B3">
            <w:pPr>
              <w:spacing w:after="0" w:line="240" w:lineRule="auto"/>
              <w:rPr>
                <w:rFonts w:eastAsia="Times New Roman" w:cs="Times New Roman"/>
                <w:color w:val="000000"/>
                <w:sz w:val="24"/>
                <w:szCs w:val="24"/>
              </w:rPr>
            </w:pPr>
            <w:r w:rsidRPr="00BB495F">
              <w:rPr>
                <w:rFonts w:eastAsia="Times New Roman" w:cs="Times New Roman"/>
                <w:color w:val="000000"/>
                <w:sz w:val="24"/>
                <w:szCs w:val="24"/>
              </w:rPr>
              <w:t> </w:t>
            </w:r>
          </w:p>
        </w:tc>
        <w:tc>
          <w:tcPr>
            <w:tcW w:w="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D4D73" w14:textId="7FE2763A" w:rsidR="003404B3" w:rsidRPr="00E9523E" w:rsidRDefault="003404B3" w:rsidP="003404B3">
            <w:pPr>
              <w:spacing w:after="0" w:line="240" w:lineRule="auto"/>
              <w:jc w:val="right"/>
              <w:rPr>
                <w:rFonts w:eastAsia="Times New Roman" w:cs="Times New Roman"/>
                <w:color w:val="000000"/>
                <w:sz w:val="24"/>
                <w:szCs w:val="24"/>
              </w:rPr>
            </w:pPr>
            <w:r w:rsidRPr="00E9523E">
              <w:rPr>
                <w:rFonts w:ascii="Calibri" w:hAnsi="Calibri"/>
                <w:color w:val="000000"/>
                <w:sz w:val="24"/>
                <w:szCs w:val="24"/>
              </w:rPr>
              <w:t>10048</w:t>
            </w:r>
          </w:p>
        </w:tc>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100D5" w14:textId="77777777" w:rsidR="003404B3" w:rsidRPr="00BB495F" w:rsidRDefault="003404B3" w:rsidP="003404B3">
            <w:pPr>
              <w:spacing w:after="0" w:line="240" w:lineRule="auto"/>
              <w:rPr>
                <w:rFonts w:eastAsia="Times New Roman" w:cs="Times New Roman"/>
                <w:color w:val="000000"/>
                <w:sz w:val="24"/>
                <w:szCs w:val="24"/>
              </w:rPr>
            </w:pPr>
            <w:r w:rsidRPr="00BB495F">
              <w:rPr>
                <w:rFonts w:eastAsia="Times New Roman" w:cs="Times New Roman"/>
                <w:color w:val="000000"/>
                <w:sz w:val="24"/>
                <w:szCs w:val="24"/>
              </w:rPr>
              <w:t> </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9ACDD" w14:textId="65CCE10C" w:rsidR="003404B3" w:rsidRPr="003404B3" w:rsidRDefault="003404B3" w:rsidP="003404B3">
            <w:pPr>
              <w:spacing w:after="0" w:line="240" w:lineRule="auto"/>
              <w:jc w:val="right"/>
              <w:rPr>
                <w:rFonts w:eastAsia="Times New Roman" w:cs="Times New Roman"/>
                <w:color w:val="000000"/>
                <w:sz w:val="24"/>
                <w:szCs w:val="24"/>
              </w:rPr>
            </w:pPr>
            <w:r>
              <w:rPr>
                <w:rFonts w:ascii="Calibri" w:hAnsi="Calibri"/>
                <w:color w:val="000000"/>
                <w:sz w:val="24"/>
                <w:szCs w:val="24"/>
              </w:rPr>
              <w:t>5</w:t>
            </w:r>
            <w:r w:rsidRPr="003404B3">
              <w:rPr>
                <w:rFonts w:ascii="Calibri" w:hAnsi="Calibri"/>
                <w:color w:val="000000"/>
                <w:sz w:val="24"/>
                <w:szCs w:val="24"/>
              </w:rPr>
              <w:t>860</w:t>
            </w:r>
          </w:p>
        </w:tc>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9910C" w14:textId="13BB978F" w:rsidR="003404B3" w:rsidRPr="003404B3" w:rsidRDefault="003404B3" w:rsidP="003404B3">
            <w:pPr>
              <w:spacing w:after="0" w:line="240" w:lineRule="auto"/>
              <w:rPr>
                <w:rFonts w:eastAsia="Times New Roman" w:cs="Times New Roman"/>
                <w:color w:val="000000"/>
                <w:sz w:val="24"/>
                <w:szCs w:val="24"/>
              </w:rPr>
            </w:pP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E4F60" w14:textId="77777777" w:rsidR="003404B3" w:rsidRPr="00BB495F" w:rsidRDefault="003404B3" w:rsidP="003404B3">
            <w:pPr>
              <w:spacing w:after="0" w:line="240" w:lineRule="auto"/>
              <w:rPr>
                <w:rFonts w:eastAsia="Times New Roman" w:cs="Times New Roman"/>
                <w:color w:val="000000"/>
                <w:sz w:val="24"/>
                <w:szCs w:val="24"/>
              </w:rPr>
            </w:pPr>
            <w:r w:rsidRPr="00BB495F">
              <w:rPr>
                <w:rFonts w:eastAsia="Times New Roman" w:cs="Times New Roman"/>
                <w:color w:val="000000"/>
                <w:sz w:val="24"/>
                <w:szCs w:val="24"/>
              </w:rPr>
              <w:t> </w:t>
            </w:r>
          </w:p>
        </w:tc>
        <w:tc>
          <w:tcPr>
            <w:tcW w:w="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803CC" w14:textId="317D5AB3" w:rsidR="003404B3" w:rsidRPr="003404B3" w:rsidRDefault="003404B3" w:rsidP="003404B3">
            <w:pPr>
              <w:spacing w:after="0" w:line="240" w:lineRule="auto"/>
              <w:jc w:val="right"/>
              <w:rPr>
                <w:rFonts w:eastAsia="Times New Roman" w:cs="Times New Roman"/>
                <w:color w:val="000000"/>
                <w:sz w:val="24"/>
                <w:szCs w:val="24"/>
              </w:rPr>
            </w:pPr>
            <w:r>
              <w:rPr>
                <w:color w:val="000000"/>
                <w:sz w:val="24"/>
                <w:szCs w:val="24"/>
              </w:rPr>
              <w:t>3</w:t>
            </w:r>
            <w:r w:rsidRPr="003404B3">
              <w:rPr>
                <w:color w:val="000000"/>
                <w:sz w:val="24"/>
                <w:szCs w:val="24"/>
              </w:rPr>
              <w:t>133</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66E7D" w14:textId="6FBCF1BC" w:rsidR="003404B3" w:rsidRPr="003404B3" w:rsidRDefault="003404B3" w:rsidP="003404B3">
            <w:pPr>
              <w:spacing w:after="0" w:line="240" w:lineRule="auto"/>
              <w:rPr>
                <w:rFonts w:eastAsia="Times New Roman" w:cs="Times New Roman"/>
                <w:color w:val="000000"/>
                <w:sz w:val="24"/>
                <w:szCs w:val="24"/>
              </w:rPr>
            </w:pPr>
          </w:p>
        </w:tc>
        <w:tc>
          <w:tcPr>
            <w:tcW w:w="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9B941" w14:textId="12CB8427" w:rsidR="003404B3" w:rsidRPr="003404B3" w:rsidRDefault="003404B3" w:rsidP="003404B3">
            <w:pPr>
              <w:spacing w:after="0" w:line="240" w:lineRule="auto"/>
              <w:jc w:val="right"/>
              <w:rPr>
                <w:rFonts w:eastAsia="Times New Roman" w:cs="Times New Roman"/>
                <w:color w:val="000000"/>
                <w:sz w:val="24"/>
                <w:szCs w:val="24"/>
              </w:rPr>
            </w:pPr>
            <w:r>
              <w:rPr>
                <w:color w:val="000000"/>
                <w:sz w:val="24"/>
                <w:szCs w:val="24"/>
              </w:rPr>
              <w:t>2</w:t>
            </w:r>
            <w:r w:rsidRPr="003404B3">
              <w:rPr>
                <w:color w:val="000000"/>
                <w:sz w:val="24"/>
                <w:szCs w:val="24"/>
              </w:rPr>
              <w:t>722</w:t>
            </w:r>
          </w:p>
        </w:tc>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4D897" w14:textId="7D740E52" w:rsidR="003404B3" w:rsidRPr="003404B3" w:rsidRDefault="003404B3" w:rsidP="003404B3">
            <w:pPr>
              <w:spacing w:after="0" w:line="240" w:lineRule="auto"/>
              <w:rPr>
                <w:rFonts w:eastAsia="Times New Roman" w:cs="Times New Roman"/>
                <w:color w:val="000000"/>
                <w:sz w:val="24"/>
                <w:szCs w:val="24"/>
              </w:rPr>
            </w:pPr>
          </w:p>
        </w:tc>
      </w:tr>
      <w:tr w:rsidR="00D97985" w:rsidRPr="0089495C" w14:paraId="518CD714" w14:textId="77777777" w:rsidTr="003A034C">
        <w:trPr>
          <w:trHeight w:val="314"/>
        </w:trPr>
        <w:tc>
          <w:tcPr>
            <w:tcW w:w="8705"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74C8AC74" w14:textId="77DE491C" w:rsidR="00D97985" w:rsidRPr="00D97985" w:rsidRDefault="00D97985" w:rsidP="00D97985">
            <w:pPr>
              <w:spacing w:after="0" w:line="240" w:lineRule="auto"/>
              <w:jc w:val="right"/>
              <w:rPr>
                <w:rFonts w:eastAsia="Times New Roman" w:cs="Times New Roman"/>
                <w:color w:val="000000"/>
                <w:sz w:val="24"/>
                <w:szCs w:val="24"/>
              </w:rPr>
            </w:pPr>
            <w:r>
              <w:rPr>
                <w:rFonts w:eastAsia="Times New Roman" w:cs="Times New Roman"/>
                <w:color w:val="000000"/>
                <w:sz w:val="24"/>
                <w:szCs w:val="24"/>
              </w:rPr>
              <w:t>*Unknown survey status for 5 participants</w:t>
            </w:r>
            <w:r w:rsidR="003A034C">
              <w:rPr>
                <w:rFonts w:eastAsia="Times New Roman" w:cs="Times New Roman"/>
                <w:color w:val="000000"/>
                <w:sz w:val="24"/>
                <w:szCs w:val="24"/>
              </w:rPr>
              <w:t xml:space="preserve"> because of missing or invalid SSN</w:t>
            </w:r>
            <w:r>
              <w:rPr>
                <w:rFonts w:eastAsia="Times New Roman" w:cs="Times New Roman"/>
                <w:color w:val="000000"/>
                <w:sz w:val="24"/>
                <w:szCs w:val="24"/>
              </w:rPr>
              <w:t>.</w:t>
            </w:r>
          </w:p>
        </w:tc>
      </w:tr>
    </w:tbl>
    <w:p w14:paraId="5F54988D" w14:textId="2CA7737A" w:rsidR="00C912F5" w:rsidRPr="00C912F5" w:rsidRDefault="00C912F5" w:rsidP="00E30E9D">
      <w:pPr>
        <w:rPr>
          <w:sz w:val="24"/>
          <w:szCs w:val="24"/>
        </w:rPr>
      </w:pPr>
      <w:r w:rsidRPr="00C912F5">
        <w:rPr>
          <w:sz w:val="24"/>
          <w:szCs w:val="24"/>
        </w:rPr>
        <w:lastRenderedPageBreak/>
        <w:t xml:space="preserve">The demographics of those in the biorepository pilot project were similar to those who </w:t>
      </w:r>
      <w:r>
        <w:rPr>
          <w:sz w:val="24"/>
          <w:szCs w:val="24"/>
        </w:rPr>
        <w:t>were in the self-registration</w:t>
      </w:r>
      <w:r w:rsidRPr="00C912F5">
        <w:rPr>
          <w:sz w:val="24"/>
          <w:szCs w:val="24"/>
        </w:rPr>
        <w:t xml:space="preserve"> component of the Registry.  </w:t>
      </w:r>
      <w:r w:rsidR="00F566AB" w:rsidRPr="00F566AB">
        <w:rPr>
          <w:sz w:val="24"/>
          <w:szCs w:val="24"/>
        </w:rPr>
        <w:t xml:space="preserve">Because the Biorepository participants are only taken from the self-registration component of the Registry, the differences in the demographics between those who self-registered and those identified from the Registry (administrative data plus self-registration data) also </w:t>
      </w:r>
      <w:r w:rsidR="00E30E9D">
        <w:rPr>
          <w:sz w:val="24"/>
          <w:szCs w:val="24"/>
        </w:rPr>
        <w:t xml:space="preserve">apply </w:t>
      </w:r>
      <w:r w:rsidR="00366A1F">
        <w:rPr>
          <w:sz w:val="24"/>
          <w:szCs w:val="24"/>
        </w:rPr>
        <w:t xml:space="preserve">to </w:t>
      </w:r>
      <w:r w:rsidR="00F566AB" w:rsidRPr="00F566AB">
        <w:rPr>
          <w:sz w:val="24"/>
          <w:szCs w:val="24"/>
        </w:rPr>
        <w:t xml:space="preserve">those in the Biorepository.   </w:t>
      </w:r>
      <w:r w:rsidRPr="00C912F5">
        <w:rPr>
          <w:sz w:val="24"/>
          <w:szCs w:val="24"/>
        </w:rPr>
        <w:t>We will make sure to p</w:t>
      </w:r>
      <w:r w:rsidR="00366A1F">
        <w:rPr>
          <w:sz w:val="24"/>
          <w:szCs w:val="24"/>
        </w:rPr>
        <w:t>rovide this information to researchers</w:t>
      </w:r>
      <w:r w:rsidRPr="00C912F5">
        <w:rPr>
          <w:sz w:val="24"/>
          <w:szCs w:val="24"/>
        </w:rPr>
        <w:t xml:space="preserve"> who request samples and will include this as </w:t>
      </w:r>
      <w:r w:rsidR="00366A1F">
        <w:rPr>
          <w:sz w:val="24"/>
          <w:szCs w:val="24"/>
        </w:rPr>
        <w:t>a limitation in any publication</w:t>
      </w:r>
      <w:r w:rsidRPr="00C912F5">
        <w:rPr>
          <w:sz w:val="24"/>
          <w:szCs w:val="24"/>
        </w:rPr>
        <w:t xml:space="preserve"> initiated by ATSDR.  In addition, ATSDR is working to increase minority participation in the self-registration portion of the Registry and the Biorepository.</w:t>
      </w:r>
    </w:p>
    <w:p w14:paraId="312C3B36" w14:textId="3BAB3FC0" w:rsidR="00841C00" w:rsidRPr="00841C00" w:rsidRDefault="00841C00" w:rsidP="00841C00">
      <w:pPr>
        <w:spacing w:line="240" w:lineRule="auto"/>
        <w:rPr>
          <w:sz w:val="24"/>
          <w:szCs w:val="24"/>
        </w:rPr>
      </w:pPr>
    </w:p>
    <w:p w14:paraId="450B7636" w14:textId="77777777" w:rsidR="00B45002" w:rsidRPr="00E707C0" w:rsidRDefault="00D33AE3" w:rsidP="008D0F27">
      <w:pPr>
        <w:pStyle w:val="Heading1"/>
        <w:pBdr>
          <w:bottom w:val="none" w:sz="0" w:space="0" w:color="auto"/>
        </w:pBdr>
        <w:rPr>
          <w:rFonts w:ascii="Cambria" w:hAnsi="Cambria"/>
          <w:color w:val="auto"/>
        </w:rPr>
      </w:pPr>
      <w:bookmarkStart w:id="6" w:name="_Toc465096903"/>
      <w:r w:rsidRPr="00E707C0">
        <w:rPr>
          <w:rFonts w:ascii="Cambria" w:hAnsi="Cambria"/>
          <w:color w:val="auto"/>
        </w:rPr>
        <w:t>B.</w:t>
      </w:r>
      <w:r w:rsidR="00B45002" w:rsidRPr="00E707C0">
        <w:rPr>
          <w:rFonts w:ascii="Cambria" w:hAnsi="Cambria"/>
          <w:color w:val="auto"/>
        </w:rPr>
        <w:t>4.</w:t>
      </w:r>
      <w:r w:rsidR="00B45002" w:rsidRPr="00E707C0">
        <w:rPr>
          <w:rFonts w:ascii="Cambria" w:hAnsi="Cambria"/>
          <w:color w:val="auto"/>
        </w:rPr>
        <w:tab/>
        <w:t>Test of Procedures or Methods to be Undertaken</w:t>
      </w:r>
      <w:bookmarkEnd w:id="6"/>
    </w:p>
    <w:p w14:paraId="619F5701" w14:textId="77777777" w:rsidR="00EF0B5A" w:rsidRDefault="00EF0B5A" w:rsidP="00841C00">
      <w:pPr>
        <w:autoSpaceDE w:val="0"/>
        <w:autoSpaceDN w:val="0"/>
        <w:adjustRightInd w:val="0"/>
        <w:spacing w:line="240" w:lineRule="auto"/>
        <w:rPr>
          <w:rFonts w:cs="ITCFranklinGothicStd-Book"/>
          <w:sz w:val="24"/>
          <w:szCs w:val="24"/>
        </w:rPr>
      </w:pPr>
    </w:p>
    <w:p w14:paraId="29C1DD6C" w14:textId="528B3FC9" w:rsidR="00841C00" w:rsidRPr="00841C00" w:rsidRDefault="00841C00" w:rsidP="00E30E9D">
      <w:pPr>
        <w:autoSpaceDE w:val="0"/>
        <w:autoSpaceDN w:val="0"/>
        <w:adjustRightInd w:val="0"/>
        <w:rPr>
          <w:rFonts w:cs="ITCFranklinGothicStd-Book"/>
          <w:sz w:val="24"/>
          <w:szCs w:val="24"/>
        </w:rPr>
      </w:pPr>
      <w:r w:rsidRPr="00841C00">
        <w:rPr>
          <w:rFonts w:cs="ITCFranklinGothicStd-Book"/>
          <w:sz w:val="24"/>
          <w:szCs w:val="24"/>
        </w:rPr>
        <w:t>The web site has been tested and continues to be tested to assure its usability.  No further procedures or methods are needed at this time</w:t>
      </w:r>
      <w:r w:rsidR="002025DF">
        <w:rPr>
          <w:rFonts w:cs="ITCFranklinGothicStd-Book"/>
          <w:sz w:val="24"/>
          <w:szCs w:val="24"/>
        </w:rPr>
        <w:t xml:space="preserve"> for the Registry</w:t>
      </w:r>
      <w:r w:rsidRPr="00841C00">
        <w:rPr>
          <w:rFonts w:cs="ITCFranklinGothicStd-Book"/>
          <w:sz w:val="24"/>
          <w:szCs w:val="24"/>
        </w:rPr>
        <w:t xml:space="preserve">.  </w:t>
      </w:r>
      <w:r w:rsidR="002025DF">
        <w:rPr>
          <w:rFonts w:cs="ITCFranklinGothicStd-Book"/>
          <w:sz w:val="24"/>
          <w:szCs w:val="24"/>
        </w:rPr>
        <w:t xml:space="preserve">The procedures and methods were tested as part of the pilot study.  Details about the pilot study can be found in </w:t>
      </w:r>
      <w:r w:rsidR="002025DF" w:rsidRPr="002025DF">
        <w:rPr>
          <w:rFonts w:cs="ITCFranklinGothicStd-Book"/>
          <w:b/>
          <w:sz w:val="24"/>
          <w:szCs w:val="24"/>
        </w:rPr>
        <w:t>Attachment 14</w:t>
      </w:r>
      <w:r w:rsidR="002025DF">
        <w:rPr>
          <w:rFonts w:cs="ITCFranklinGothicStd-Book"/>
          <w:sz w:val="24"/>
          <w:szCs w:val="24"/>
        </w:rPr>
        <w:t>.</w:t>
      </w:r>
    </w:p>
    <w:p w14:paraId="63C2C2DE" w14:textId="77777777" w:rsidR="00DC57CC" w:rsidRPr="00E707C0" w:rsidRDefault="00D33AE3" w:rsidP="008D0F27">
      <w:pPr>
        <w:pStyle w:val="Heading1"/>
        <w:pBdr>
          <w:bottom w:val="none" w:sz="0" w:space="0" w:color="auto"/>
        </w:pBdr>
        <w:rPr>
          <w:rFonts w:ascii="Cambria" w:hAnsi="Cambria"/>
          <w:color w:val="auto"/>
        </w:rPr>
      </w:pPr>
      <w:bookmarkStart w:id="7" w:name="_Toc465096904"/>
      <w:r w:rsidRPr="00E707C0">
        <w:rPr>
          <w:rFonts w:ascii="Cambria" w:hAnsi="Cambria"/>
          <w:color w:val="auto"/>
        </w:rPr>
        <w:t>B.</w:t>
      </w:r>
      <w:r w:rsidR="00B45002" w:rsidRPr="00E707C0">
        <w:rPr>
          <w:rFonts w:ascii="Cambria" w:hAnsi="Cambria"/>
          <w:color w:val="auto"/>
        </w:rPr>
        <w:t>5.</w:t>
      </w:r>
      <w:r w:rsidR="00B45002" w:rsidRPr="00E707C0">
        <w:rPr>
          <w:rFonts w:ascii="Cambria" w:hAnsi="Cambria"/>
          <w:color w:val="auto"/>
        </w:rPr>
        <w:tab/>
        <w:t>Individuals Consulted on Statistical Aspects and Individuals Collecting and/or Analyzing Data</w:t>
      </w:r>
      <w:bookmarkEnd w:id="7"/>
    </w:p>
    <w:p w14:paraId="11D11B5B" w14:textId="77777777" w:rsidR="00B057E9" w:rsidRDefault="00B057E9" w:rsidP="00841C00">
      <w:pPr>
        <w:autoSpaceDE w:val="0"/>
        <w:autoSpaceDN w:val="0"/>
        <w:adjustRightInd w:val="0"/>
        <w:spacing w:line="240" w:lineRule="auto"/>
        <w:rPr>
          <w:rFonts w:cs="ITCFranklinGothicStd-Book"/>
          <w:sz w:val="24"/>
          <w:szCs w:val="24"/>
        </w:rPr>
      </w:pPr>
    </w:p>
    <w:p w14:paraId="33882AA9" w14:textId="77777777" w:rsidR="00841C00" w:rsidRPr="00841C00" w:rsidRDefault="00841C00" w:rsidP="00841C00">
      <w:pPr>
        <w:autoSpaceDE w:val="0"/>
        <w:autoSpaceDN w:val="0"/>
        <w:adjustRightInd w:val="0"/>
        <w:spacing w:line="240" w:lineRule="auto"/>
        <w:rPr>
          <w:rFonts w:cs="ITCFranklinGothicStd-Book"/>
          <w:sz w:val="24"/>
          <w:szCs w:val="24"/>
        </w:rPr>
      </w:pPr>
      <w:r w:rsidRPr="00841C00">
        <w:rPr>
          <w:rFonts w:cs="ITCFranklinGothicStd-Book"/>
          <w:sz w:val="24"/>
          <w:szCs w:val="24"/>
        </w:rPr>
        <w:t xml:space="preserve">Individuals consulted on statistical aspects: </w:t>
      </w:r>
    </w:p>
    <w:p w14:paraId="79D8E0F3" w14:textId="77777777" w:rsidR="00971DE4" w:rsidRDefault="00971DE4" w:rsidP="00971DE4">
      <w:pPr>
        <w:autoSpaceDE w:val="0"/>
        <w:autoSpaceDN w:val="0"/>
        <w:adjustRightInd w:val="0"/>
        <w:spacing w:after="0" w:line="240" w:lineRule="auto"/>
        <w:rPr>
          <w:rFonts w:cs="ITCFranklinGothicStd-Book"/>
          <w:sz w:val="24"/>
          <w:szCs w:val="24"/>
        </w:rPr>
        <w:sectPr w:rsidR="00971DE4" w:rsidSect="000413E6">
          <w:footerReference w:type="default" r:id="rId12"/>
          <w:pgSz w:w="12240" w:h="15840"/>
          <w:pgMar w:top="1440" w:right="1440" w:bottom="1440" w:left="1440" w:header="1440" w:footer="1440" w:gutter="0"/>
          <w:cols w:space="720"/>
          <w:noEndnote/>
        </w:sectPr>
      </w:pPr>
    </w:p>
    <w:p w14:paraId="4E85C1A3" w14:textId="77777777" w:rsidR="003E614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Leah Bryan, MPH</w:t>
      </w:r>
    </w:p>
    <w:p w14:paraId="07594B05" w14:textId="66ADB2DC"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Senior Statistician</w:t>
      </w:r>
    </w:p>
    <w:p w14:paraId="079FBFDC"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Carter Consulting Corporation, Inc.</w:t>
      </w:r>
    </w:p>
    <w:p w14:paraId="16900183" w14:textId="59C31E84" w:rsidR="00841C00" w:rsidRPr="00841C00" w:rsidRDefault="000413E6" w:rsidP="00971DE4">
      <w:pPr>
        <w:autoSpaceDE w:val="0"/>
        <w:autoSpaceDN w:val="0"/>
        <w:adjustRightInd w:val="0"/>
        <w:spacing w:after="0" w:line="240" w:lineRule="auto"/>
        <w:rPr>
          <w:rFonts w:cs="ITCFranklinGothicStd-Book"/>
          <w:sz w:val="24"/>
          <w:szCs w:val="24"/>
        </w:rPr>
      </w:pPr>
      <w:r>
        <w:rPr>
          <w:rFonts w:cs="ITCFranklinGothicStd-Book"/>
          <w:sz w:val="24"/>
          <w:szCs w:val="24"/>
        </w:rPr>
        <w:t>ATSDR</w:t>
      </w:r>
      <w:r w:rsidR="00841C00" w:rsidRPr="00841C00">
        <w:rPr>
          <w:rFonts w:cs="ITCFranklinGothicStd-Book"/>
          <w:sz w:val="24"/>
          <w:szCs w:val="24"/>
        </w:rPr>
        <w:t xml:space="preserve"> </w:t>
      </w:r>
    </w:p>
    <w:p w14:paraId="2D96C6F9"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4770 Buford Highway, MS F-57</w:t>
      </w:r>
    </w:p>
    <w:p w14:paraId="0C5C03C5"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Atlanta, GA 30341</w:t>
      </w:r>
    </w:p>
    <w:p w14:paraId="410950B7"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Phone: 770-488-0953</w:t>
      </w:r>
    </w:p>
    <w:p w14:paraId="1D6A6682" w14:textId="2473255F" w:rsid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Email:</w:t>
      </w:r>
      <w:r w:rsidR="000B76B5">
        <w:rPr>
          <w:rFonts w:cs="ITCFranklinGothicStd-Book"/>
          <w:sz w:val="24"/>
          <w:szCs w:val="24"/>
        </w:rPr>
        <w:t xml:space="preserve"> </w:t>
      </w:r>
      <w:hyperlink r:id="rId13" w:history="1">
        <w:r w:rsidR="000B76B5" w:rsidRPr="0063759D">
          <w:rPr>
            <w:rStyle w:val="Hyperlink"/>
            <w:rFonts w:cs="ITCFranklinGothicStd-Book"/>
            <w:sz w:val="24"/>
            <w:szCs w:val="24"/>
          </w:rPr>
          <w:t>lbn4@cdc.gov</w:t>
        </w:r>
      </w:hyperlink>
    </w:p>
    <w:p w14:paraId="2CB13B5D" w14:textId="77777777" w:rsidR="00BB495F" w:rsidRDefault="00BB495F" w:rsidP="00971DE4">
      <w:pPr>
        <w:autoSpaceDE w:val="0"/>
        <w:autoSpaceDN w:val="0"/>
        <w:adjustRightInd w:val="0"/>
        <w:spacing w:after="0" w:line="240" w:lineRule="auto"/>
        <w:rPr>
          <w:rFonts w:cs="ITCFranklinGothicStd-Book"/>
          <w:sz w:val="24"/>
          <w:szCs w:val="24"/>
        </w:rPr>
      </w:pPr>
    </w:p>
    <w:p w14:paraId="7CA435A3" w14:textId="64CCA14D"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G. David Will</w:t>
      </w:r>
      <w:r w:rsidR="00A35DFF">
        <w:rPr>
          <w:rFonts w:cs="ITCFranklinGothicStd-Book"/>
          <w:sz w:val="24"/>
          <w:szCs w:val="24"/>
        </w:rPr>
        <w:t>i</w:t>
      </w:r>
      <w:r w:rsidRPr="00841C00">
        <w:rPr>
          <w:rFonts w:cs="ITCFranklinGothicStd-Book"/>
          <w:sz w:val="24"/>
          <w:szCs w:val="24"/>
        </w:rPr>
        <w:t>amson, PhD</w:t>
      </w:r>
    </w:p>
    <w:p w14:paraId="42AAA700" w14:textId="42BC154A"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A</w:t>
      </w:r>
      <w:r w:rsidR="000413E6">
        <w:rPr>
          <w:rFonts w:cs="ITCFranklinGothicStd-Book"/>
          <w:sz w:val="24"/>
          <w:szCs w:val="24"/>
        </w:rPr>
        <w:t>TSDR</w:t>
      </w:r>
      <w:r w:rsidRPr="00841C00">
        <w:rPr>
          <w:rFonts w:cs="ITCFranklinGothicStd-Book"/>
          <w:sz w:val="24"/>
          <w:szCs w:val="24"/>
        </w:rPr>
        <w:t xml:space="preserve"> </w:t>
      </w:r>
    </w:p>
    <w:p w14:paraId="27D57D59"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4770 Buford Highway, MS F-57</w:t>
      </w:r>
    </w:p>
    <w:p w14:paraId="44368AB6"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Atlanta, GA 30341</w:t>
      </w:r>
    </w:p>
    <w:p w14:paraId="7B74379D"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Phone: 770-488-3669</w:t>
      </w:r>
    </w:p>
    <w:p w14:paraId="34867786"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 xml:space="preserve">Email: </w:t>
      </w:r>
      <w:hyperlink r:id="rId14" w:history="1">
        <w:r w:rsidRPr="00841C00">
          <w:rPr>
            <w:rStyle w:val="Hyperlink"/>
            <w:rFonts w:cs="ITCFranklinGothicStd-Book"/>
            <w:sz w:val="24"/>
            <w:szCs w:val="24"/>
          </w:rPr>
          <w:t>dxw2@cdc.gov</w:t>
        </w:r>
      </w:hyperlink>
    </w:p>
    <w:p w14:paraId="65584F7C" w14:textId="77777777" w:rsidR="005D5083" w:rsidRDefault="005D5083" w:rsidP="00971DE4">
      <w:pPr>
        <w:autoSpaceDE w:val="0"/>
        <w:autoSpaceDN w:val="0"/>
        <w:adjustRightInd w:val="0"/>
        <w:spacing w:after="0" w:line="240" w:lineRule="auto"/>
        <w:rPr>
          <w:rFonts w:cs="ITCFranklinGothicStd-Book"/>
          <w:sz w:val="24"/>
          <w:szCs w:val="24"/>
        </w:rPr>
      </w:pPr>
    </w:p>
    <w:p w14:paraId="24C5B168"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Ted Larson, MS</w:t>
      </w:r>
    </w:p>
    <w:p w14:paraId="4F33A1CC"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Epidemiologist</w:t>
      </w:r>
    </w:p>
    <w:p w14:paraId="0AD2DFBC" w14:textId="5784CBB3"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A</w:t>
      </w:r>
      <w:r w:rsidR="000413E6">
        <w:rPr>
          <w:rFonts w:cs="ITCFranklinGothicStd-Book"/>
          <w:sz w:val="24"/>
          <w:szCs w:val="24"/>
        </w:rPr>
        <w:t>TSDR</w:t>
      </w:r>
      <w:r w:rsidRPr="00841C00">
        <w:rPr>
          <w:rFonts w:cs="ITCFranklinGothicStd-Book"/>
          <w:sz w:val="24"/>
          <w:szCs w:val="24"/>
        </w:rPr>
        <w:t xml:space="preserve"> </w:t>
      </w:r>
    </w:p>
    <w:p w14:paraId="56DDF3DB"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4770 Buford Highway, MS F-57</w:t>
      </w:r>
    </w:p>
    <w:p w14:paraId="1BE0FA1E"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Atlanta, GA 30341</w:t>
      </w:r>
    </w:p>
    <w:p w14:paraId="20E81768"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Phone: 770-488-3695</w:t>
      </w:r>
    </w:p>
    <w:p w14:paraId="02D6C7B4" w14:textId="5713770A"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Email:</w:t>
      </w:r>
      <w:r w:rsidR="000B76B5">
        <w:rPr>
          <w:rFonts w:cs="ITCFranklinGothicStd-Book"/>
          <w:sz w:val="24"/>
          <w:szCs w:val="24"/>
        </w:rPr>
        <w:t xml:space="preserve"> </w:t>
      </w:r>
      <w:hyperlink r:id="rId15" w:history="1">
        <w:r w:rsidR="000B76B5" w:rsidRPr="0063759D">
          <w:rPr>
            <w:rStyle w:val="Hyperlink"/>
            <w:rFonts w:cs="ITCFranklinGothicStd-Book"/>
            <w:sz w:val="24"/>
            <w:szCs w:val="24"/>
          </w:rPr>
          <w:t>thl3@cdc.gov</w:t>
        </w:r>
      </w:hyperlink>
      <w:r w:rsidR="000B76B5">
        <w:rPr>
          <w:rFonts w:cs="ITCFranklinGothicStd-Book"/>
          <w:sz w:val="24"/>
          <w:szCs w:val="24"/>
        </w:rPr>
        <w:t xml:space="preserve"> </w:t>
      </w:r>
    </w:p>
    <w:p w14:paraId="1EF7E4FC" w14:textId="77777777" w:rsidR="00841C00" w:rsidRDefault="00841C00" w:rsidP="00971DE4">
      <w:pPr>
        <w:autoSpaceDE w:val="0"/>
        <w:autoSpaceDN w:val="0"/>
        <w:adjustRightInd w:val="0"/>
        <w:spacing w:after="0" w:line="240" w:lineRule="auto"/>
        <w:rPr>
          <w:rFonts w:cs="ITCFranklinGothicStd-Book"/>
          <w:sz w:val="24"/>
          <w:szCs w:val="24"/>
        </w:rPr>
      </w:pPr>
    </w:p>
    <w:p w14:paraId="271847CB"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Lorene Nelson, PhD</w:t>
      </w:r>
    </w:p>
    <w:p w14:paraId="69870070"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 xml:space="preserve">Associate Profession </w:t>
      </w:r>
    </w:p>
    <w:p w14:paraId="7B28A808"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Division of Epidemiology</w:t>
      </w:r>
    </w:p>
    <w:p w14:paraId="61C32D3F"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Department of Health Research &amp; Policy</w:t>
      </w:r>
    </w:p>
    <w:p w14:paraId="17ABAAEC" w14:textId="6CF2E72C" w:rsidR="00841C00" w:rsidRPr="00841C00" w:rsidRDefault="00A35DFF"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Stanford</w:t>
      </w:r>
      <w:r w:rsidR="00841C00" w:rsidRPr="00841C00">
        <w:rPr>
          <w:rFonts w:cs="ITCFranklinGothicStd-Book"/>
          <w:sz w:val="24"/>
          <w:szCs w:val="24"/>
        </w:rPr>
        <w:t xml:space="preserve"> University School of Medicine</w:t>
      </w:r>
    </w:p>
    <w:p w14:paraId="2FC8DBD4"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Pasteur Drive, Room T233</w:t>
      </w:r>
    </w:p>
    <w:p w14:paraId="47A6216B"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lastRenderedPageBreak/>
        <w:t>Stanford, CA 94305-5405</w:t>
      </w:r>
    </w:p>
    <w:p w14:paraId="4B5CD1B3"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Phone: 650-723-6854</w:t>
      </w:r>
    </w:p>
    <w:p w14:paraId="6007343C" w14:textId="383D20C8" w:rsidR="00841C00" w:rsidRPr="00841C00" w:rsidRDefault="00841C00" w:rsidP="00971DE4">
      <w:pPr>
        <w:autoSpaceDE w:val="0"/>
        <w:autoSpaceDN w:val="0"/>
        <w:adjustRightInd w:val="0"/>
        <w:spacing w:after="0" w:line="240" w:lineRule="auto"/>
        <w:rPr>
          <w:rFonts w:cs="ITCFranklinGothicStd-Book"/>
          <w:sz w:val="24"/>
          <w:szCs w:val="24"/>
        </w:rPr>
        <w:sectPr w:rsidR="00841C00" w:rsidRPr="00841C00" w:rsidSect="00971DE4">
          <w:type w:val="continuous"/>
          <w:pgSz w:w="12240" w:h="15840"/>
          <w:pgMar w:top="1440" w:right="1440" w:bottom="1440" w:left="1440" w:header="1440" w:footer="1440" w:gutter="0"/>
          <w:cols w:num="2" w:space="720"/>
          <w:noEndnote/>
        </w:sectPr>
      </w:pPr>
      <w:r w:rsidRPr="00841C00">
        <w:rPr>
          <w:rFonts w:cs="ITCFranklinGothicStd-Book"/>
          <w:sz w:val="24"/>
          <w:szCs w:val="24"/>
        </w:rPr>
        <w:t xml:space="preserve">Email: </w:t>
      </w:r>
      <w:hyperlink r:id="rId16" w:history="1">
        <w:r w:rsidR="000B76B5" w:rsidRPr="0063759D">
          <w:rPr>
            <w:rStyle w:val="Hyperlink"/>
            <w:rFonts w:cs="ITCFranklinGothicStd-Book"/>
            <w:sz w:val="24"/>
            <w:szCs w:val="24"/>
          </w:rPr>
          <w:t>lnelson@stanford.edu</w:t>
        </w:r>
      </w:hyperlink>
      <w:r w:rsidRPr="00841C00">
        <w:rPr>
          <w:rFonts w:cs="ITCFranklinGothicStd-Book"/>
          <w:sz w:val="24"/>
          <w:szCs w:val="24"/>
        </w:rPr>
        <w:t xml:space="preserve"> </w:t>
      </w:r>
    </w:p>
    <w:p w14:paraId="0F6BDA5C" w14:textId="1C1F78CB" w:rsidR="00841C00" w:rsidRPr="00841C00" w:rsidRDefault="00841C00" w:rsidP="00971DE4">
      <w:pPr>
        <w:autoSpaceDE w:val="0"/>
        <w:autoSpaceDN w:val="0"/>
        <w:adjustRightInd w:val="0"/>
        <w:spacing w:after="0" w:line="240" w:lineRule="auto"/>
        <w:rPr>
          <w:rFonts w:cs="ITCFranklinGothicStd-Book"/>
          <w:sz w:val="24"/>
          <w:szCs w:val="24"/>
        </w:rPr>
        <w:sectPr w:rsidR="00841C00" w:rsidRPr="00841C00" w:rsidSect="00971DE4">
          <w:type w:val="continuous"/>
          <w:pgSz w:w="12240" w:h="15840"/>
          <w:pgMar w:top="1440" w:right="1440" w:bottom="1440" w:left="1440" w:header="1440" w:footer="1440" w:gutter="0"/>
          <w:cols w:num="2" w:space="720"/>
          <w:noEndnote/>
        </w:sectPr>
      </w:pPr>
    </w:p>
    <w:p w14:paraId="37A4B8DD"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 xml:space="preserve">Person responsible for oversight, data collection, and analysis: </w:t>
      </w:r>
    </w:p>
    <w:p w14:paraId="499FFE48" w14:textId="77777777" w:rsidR="001D525B" w:rsidRDefault="001D525B" w:rsidP="00971DE4">
      <w:pPr>
        <w:autoSpaceDE w:val="0"/>
        <w:autoSpaceDN w:val="0"/>
        <w:adjustRightInd w:val="0"/>
        <w:spacing w:after="0" w:line="240" w:lineRule="auto"/>
        <w:rPr>
          <w:rFonts w:cs="ITCFranklinGothicStd-Book"/>
          <w:sz w:val="24"/>
          <w:szCs w:val="24"/>
        </w:rPr>
        <w:sectPr w:rsidR="001D525B" w:rsidSect="002E1563">
          <w:type w:val="continuous"/>
          <w:pgSz w:w="12240" w:h="15840"/>
          <w:pgMar w:top="1440" w:right="1440" w:bottom="1440" w:left="1440" w:header="1440" w:footer="1440" w:gutter="0"/>
          <w:cols w:space="720"/>
          <w:noEndnote/>
        </w:sectPr>
      </w:pPr>
    </w:p>
    <w:p w14:paraId="34D57858" w14:textId="77777777" w:rsidR="00133503" w:rsidRDefault="00133503" w:rsidP="00971DE4">
      <w:pPr>
        <w:autoSpaceDE w:val="0"/>
        <w:autoSpaceDN w:val="0"/>
        <w:adjustRightInd w:val="0"/>
        <w:spacing w:after="0" w:line="240" w:lineRule="auto"/>
        <w:rPr>
          <w:rFonts w:cs="ITCFranklinGothicStd-Book"/>
          <w:sz w:val="24"/>
          <w:szCs w:val="24"/>
        </w:rPr>
      </w:pPr>
    </w:p>
    <w:p w14:paraId="6170B0EB"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Paul Mehta, MD</w:t>
      </w:r>
    </w:p>
    <w:p w14:paraId="3B400110"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Principal Investigator</w:t>
      </w:r>
    </w:p>
    <w:p w14:paraId="2175868D" w14:textId="20176A82"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A</w:t>
      </w:r>
      <w:r w:rsidR="000413E6">
        <w:rPr>
          <w:rFonts w:cs="ITCFranklinGothicStd-Book"/>
          <w:sz w:val="24"/>
          <w:szCs w:val="24"/>
        </w:rPr>
        <w:t>TSDR</w:t>
      </w:r>
    </w:p>
    <w:p w14:paraId="34B78A7E"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4770 Buford Highway, MS F-57</w:t>
      </w:r>
    </w:p>
    <w:p w14:paraId="0048D141"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 xml:space="preserve">Atlanta, GA 30341 </w:t>
      </w:r>
    </w:p>
    <w:p w14:paraId="0490570D"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Phone: 770-488-0556</w:t>
      </w:r>
    </w:p>
    <w:p w14:paraId="30683630"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 xml:space="preserve">Email:  </w:t>
      </w:r>
      <w:hyperlink r:id="rId17" w:history="1">
        <w:r w:rsidRPr="00841C00">
          <w:rPr>
            <w:rStyle w:val="Hyperlink"/>
            <w:rFonts w:cs="ITCFranklinGothicStd-Book"/>
            <w:sz w:val="24"/>
            <w:szCs w:val="24"/>
          </w:rPr>
          <w:t>pum4@cdc.gov</w:t>
        </w:r>
      </w:hyperlink>
    </w:p>
    <w:p w14:paraId="28F39496" w14:textId="77777777" w:rsidR="00841C00" w:rsidRPr="00841C00" w:rsidRDefault="00841C00" w:rsidP="00971DE4">
      <w:pPr>
        <w:autoSpaceDE w:val="0"/>
        <w:autoSpaceDN w:val="0"/>
        <w:adjustRightInd w:val="0"/>
        <w:spacing w:after="0" w:line="240" w:lineRule="auto"/>
        <w:rPr>
          <w:rFonts w:cs="ITCFranklinGothicStd-Book"/>
          <w:sz w:val="24"/>
          <w:szCs w:val="24"/>
        </w:rPr>
      </w:pPr>
    </w:p>
    <w:p w14:paraId="2397F42E"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Wendy E. Kaye, PhD</w:t>
      </w:r>
    </w:p>
    <w:p w14:paraId="177F54F4"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Point of Contact</w:t>
      </w:r>
    </w:p>
    <w:p w14:paraId="0AEAD45F" w14:textId="585AB1D0" w:rsid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A</w:t>
      </w:r>
      <w:r w:rsidR="005D5083">
        <w:rPr>
          <w:rFonts w:cs="ITCFranklinGothicStd-Book"/>
          <w:sz w:val="24"/>
          <w:szCs w:val="24"/>
        </w:rPr>
        <w:t>TSDR</w:t>
      </w:r>
    </w:p>
    <w:p w14:paraId="7B15DE82" w14:textId="77777777" w:rsidR="00133503" w:rsidRPr="00841C00" w:rsidRDefault="00133503" w:rsidP="00133503">
      <w:pPr>
        <w:autoSpaceDE w:val="0"/>
        <w:autoSpaceDN w:val="0"/>
        <w:adjustRightInd w:val="0"/>
        <w:spacing w:after="0" w:line="240" w:lineRule="auto"/>
        <w:rPr>
          <w:rFonts w:cs="ITCFranklinGothicStd-Book"/>
          <w:sz w:val="24"/>
          <w:szCs w:val="24"/>
        </w:rPr>
      </w:pPr>
      <w:r w:rsidRPr="00841C00">
        <w:rPr>
          <w:rFonts w:cs="ITCFranklinGothicStd-Book"/>
          <w:sz w:val="24"/>
          <w:szCs w:val="24"/>
        </w:rPr>
        <w:t>4770 Buford Highway, MS F-57</w:t>
      </w:r>
    </w:p>
    <w:p w14:paraId="11062C12" w14:textId="77777777" w:rsidR="00133503" w:rsidRPr="00841C00" w:rsidRDefault="00133503" w:rsidP="00133503">
      <w:pPr>
        <w:autoSpaceDE w:val="0"/>
        <w:autoSpaceDN w:val="0"/>
        <w:adjustRightInd w:val="0"/>
        <w:spacing w:after="0" w:line="240" w:lineRule="auto"/>
        <w:rPr>
          <w:rFonts w:cs="ITCFranklinGothicStd-Book"/>
          <w:sz w:val="24"/>
          <w:szCs w:val="24"/>
        </w:rPr>
      </w:pPr>
      <w:r w:rsidRPr="00841C00">
        <w:rPr>
          <w:rFonts w:cs="ITCFranklinGothicStd-Book"/>
          <w:sz w:val="24"/>
          <w:szCs w:val="24"/>
        </w:rPr>
        <w:t xml:space="preserve">Atlanta, GA 30341 </w:t>
      </w:r>
    </w:p>
    <w:p w14:paraId="6DE1F36C"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Phone: 770-488-3696</w:t>
      </w:r>
    </w:p>
    <w:p w14:paraId="1044738E"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 xml:space="preserve">Email: </w:t>
      </w:r>
      <w:hyperlink r:id="rId18" w:history="1">
        <w:r w:rsidRPr="00841C00">
          <w:rPr>
            <w:rStyle w:val="Hyperlink"/>
            <w:rFonts w:cs="ITCFranklinGothicStd-Book"/>
            <w:sz w:val="24"/>
            <w:szCs w:val="24"/>
          </w:rPr>
          <w:t>wek1@cdc.gov</w:t>
        </w:r>
      </w:hyperlink>
    </w:p>
    <w:p w14:paraId="1F039DD4" w14:textId="77777777" w:rsidR="00841C00" w:rsidRPr="00841C00" w:rsidRDefault="00841C00" w:rsidP="00971DE4">
      <w:pPr>
        <w:autoSpaceDE w:val="0"/>
        <w:autoSpaceDN w:val="0"/>
        <w:adjustRightInd w:val="0"/>
        <w:spacing w:after="0" w:line="240" w:lineRule="auto"/>
        <w:rPr>
          <w:rFonts w:cs="ITCFranklinGothicStd-Book"/>
          <w:sz w:val="24"/>
          <w:szCs w:val="24"/>
        </w:rPr>
        <w:sectPr w:rsidR="00841C00" w:rsidRPr="00841C00" w:rsidSect="00971DE4">
          <w:type w:val="continuous"/>
          <w:pgSz w:w="12240" w:h="15840"/>
          <w:pgMar w:top="1440" w:right="1440" w:bottom="1440" w:left="1440" w:header="1440" w:footer="1440" w:gutter="0"/>
          <w:cols w:num="2" w:space="720"/>
          <w:noEndnote/>
        </w:sectPr>
      </w:pPr>
    </w:p>
    <w:p w14:paraId="2B70A0E9" w14:textId="77777777" w:rsidR="00575177" w:rsidRDefault="00575177" w:rsidP="00575177">
      <w:pPr>
        <w:pStyle w:val="Heading1"/>
        <w:pBdr>
          <w:bottom w:val="none" w:sz="0" w:space="0" w:color="auto"/>
        </w:pBdr>
        <w:rPr>
          <w:rFonts w:ascii="Cambria" w:hAnsi="Cambria"/>
          <w:color w:val="auto"/>
        </w:rPr>
      </w:pPr>
      <w:bookmarkStart w:id="8" w:name="_Toc453945976"/>
      <w:bookmarkStart w:id="9" w:name="_Toc465096905"/>
      <w:bookmarkStart w:id="10" w:name="_Toc432356299"/>
      <w:r w:rsidRPr="00D20211">
        <w:rPr>
          <w:rFonts w:ascii="Cambria" w:hAnsi="Cambria"/>
          <w:color w:val="auto"/>
        </w:rPr>
        <w:t>References</w:t>
      </w:r>
      <w:bookmarkEnd w:id="8"/>
      <w:bookmarkEnd w:id="9"/>
    </w:p>
    <w:p w14:paraId="1AD9E144" w14:textId="77777777" w:rsidR="00575177" w:rsidRPr="00E62ACF" w:rsidRDefault="00575177" w:rsidP="00575177"/>
    <w:p w14:paraId="5FCC931A" w14:textId="77777777" w:rsidR="00CF1DCB" w:rsidRPr="00C67283" w:rsidRDefault="00CF1DCB" w:rsidP="00CF1DCB">
      <w:pPr>
        <w:pStyle w:val="ListParagraph"/>
        <w:numPr>
          <w:ilvl w:val="0"/>
          <w:numId w:val="24"/>
        </w:numPr>
        <w:spacing w:before="240"/>
        <w:contextualSpacing w:val="0"/>
        <w:rPr>
          <w:rFonts w:ascii="Calibri" w:eastAsia="Calibri" w:hAnsi="Calibri"/>
          <w:bCs/>
          <w:sz w:val="24"/>
          <w:szCs w:val="24"/>
        </w:rPr>
      </w:pPr>
      <w:r w:rsidRPr="00C67283">
        <w:rPr>
          <w:rFonts w:cs="Adobe Garamond Pro"/>
          <w:color w:val="000000"/>
          <w:sz w:val="24"/>
          <w:szCs w:val="24"/>
        </w:rPr>
        <w:t xml:space="preserve">Kaye WE, Sanchez M, Wu J. Feasibility of creating a national ALS registry using administrative data in the United States. Amyotroph Lateral Scler Frontotemporal Degener 2014;15:433–9. </w:t>
      </w:r>
      <w:hyperlink r:id="rId19" w:history="1">
        <w:r w:rsidRPr="00C67283">
          <w:rPr>
            <w:rStyle w:val="Hyperlink"/>
            <w:rFonts w:cs="Adobe Garamond Pro"/>
            <w:sz w:val="24"/>
            <w:szCs w:val="24"/>
          </w:rPr>
          <w:t>http://dx.doi.org/10.3109/2 1678421.2014.887119</w:t>
        </w:r>
      </w:hyperlink>
    </w:p>
    <w:p w14:paraId="46344245" w14:textId="77777777" w:rsidR="00CF1DCB" w:rsidRDefault="00CF1DCB" w:rsidP="00CF1DCB">
      <w:pPr>
        <w:pStyle w:val="ListParagraph"/>
        <w:numPr>
          <w:ilvl w:val="0"/>
          <w:numId w:val="24"/>
        </w:numPr>
        <w:spacing w:before="240"/>
        <w:contextualSpacing w:val="0"/>
        <w:rPr>
          <w:rFonts w:cs="Adobe Garamond Pro"/>
          <w:color w:val="000000"/>
          <w:sz w:val="24"/>
          <w:szCs w:val="24"/>
        </w:rPr>
      </w:pPr>
      <w:r w:rsidRPr="00276C6F">
        <w:rPr>
          <w:rFonts w:ascii="Calibri" w:eastAsia="Calibri" w:hAnsi="Calibri"/>
          <w:bCs/>
          <w:sz w:val="24"/>
          <w:szCs w:val="24"/>
        </w:rPr>
        <w:t xml:space="preserve">Mehta P, Antao V, </w:t>
      </w:r>
      <w:r w:rsidRPr="00BC3FAA">
        <w:rPr>
          <w:rFonts w:ascii="Calibri" w:eastAsia="Calibri" w:hAnsi="Calibri"/>
          <w:bCs/>
          <w:sz w:val="24"/>
          <w:szCs w:val="24"/>
        </w:rPr>
        <w:t>Kaye W</w:t>
      </w:r>
      <w:r w:rsidRPr="00276C6F">
        <w:rPr>
          <w:rFonts w:ascii="Calibri" w:eastAsia="Calibri" w:hAnsi="Calibri"/>
          <w:bCs/>
          <w:sz w:val="24"/>
          <w:szCs w:val="24"/>
        </w:rPr>
        <w:t>, Sanchez M, Williamson D, Bryan L, Muravov M, Horton D.  2014.  Prevalence of Amyotrophic Lateral Sclerosis – United States, 2010-2011.  MMWR Surveillance Summary 63(</w:t>
      </w:r>
      <w:r>
        <w:rPr>
          <w:rFonts w:ascii="Calibri" w:eastAsia="Calibri" w:hAnsi="Calibri"/>
          <w:bCs/>
          <w:sz w:val="24"/>
          <w:szCs w:val="24"/>
        </w:rPr>
        <w:t xml:space="preserve">No. </w:t>
      </w:r>
      <w:r w:rsidRPr="00276C6F">
        <w:rPr>
          <w:rFonts w:ascii="Calibri" w:eastAsia="Calibri" w:hAnsi="Calibri"/>
          <w:bCs/>
          <w:sz w:val="24"/>
          <w:szCs w:val="24"/>
        </w:rPr>
        <w:t>SS</w:t>
      </w:r>
      <w:r>
        <w:rPr>
          <w:rFonts w:ascii="Calibri" w:eastAsia="Calibri" w:hAnsi="Calibri"/>
          <w:bCs/>
          <w:sz w:val="24"/>
          <w:szCs w:val="24"/>
        </w:rPr>
        <w:t>-</w:t>
      </w:r>
      <w:r w:rsidRPr="00276C6F">
        <w:rPr>
          <w:rFonts w:ascii="Calibri" w:eastAsia="Calibri" w:hAnsi="Calibri"/>
          <w:bCs/>
          <w:sz w:val="24"/>
          <w:szCs w:val="24"/>
        </w:rPr>
        <w:t>07);1-14.</w:t>
      </w:r>
      <w:r w:rsidRPr="0043526E">
        <w:t xml:space="preserve"> </w:t>
      </w:r>
      <w:r>
        <w:t xml:space="preserve"> </w:t>
      </w:r>
    </w:p>
    <w:p w14:paraId="5DDF2FED" w14:textId="77777777" w:rsidR="00CF1DCB" w:rsidRPr="000D451A" w:rsidRDefault="00CF1DCB" w:rsidP="00CF1DCB">
      <w:pPr>
        <w:pStyle w:val="ListParagraph"/>
        <w:numPr>
          <w:ilvl w:val="0"/>
          <w:numId w:val="24"/>
        </w:numPr>
        <w:spacing w:before="240"/>
        <w:contextualSpacing w:val="0"/>
        <w:rPr>
          <w:rFonts w:cs="Adobe Garamond Pro"/>
          <w:bCs/>
          <w:color w:val="000000"/>
          <w:sz w:val="24"/>
          <w:szCs w:val="24"/>
        </w:rPr>
      </w:pPr>
      <w:r w:rsidRPr="000D451A">
        <w:rPr>
          <w:rFonts w:cs="Adobe Garamond Pro"/>
          <w:bCs/>
          <w:color w:val="000000"/>
          <w:sz w:val="24"/>
          <w:szCs w:val="24"/>
        </w:rPr>
        <w:t xml:space="preserve">Mehta P, Kaye W, Bryan L, Larson T, Copeland T, Wu J, Muravov M, Horton D. Prevalence of Amyotrophic Lateral Sclerosis – United States, </w:t>
      </w:r>
      <w:r>
        <w:rPr>
          <w:rFonts w:cs="Adobe Garamond Pro"/>
          <w:bCs/>
          <w:color w:val="000000"/>
          <w:sz w:val="24"/>
          <w:szCs w:val="24"/>
        </w:rPr>
        <w:t>2012-2013</w:t>
      </w:r>
      <w:r w:rsidRPr="000D451A">
        <w:rPr>
          <w:rFonts w:cs="Adobe Garamond Pro"/>
          <w:bCs/>
          <w:color w:val="000000"/>
          <w:sz w:val="24"/>
          <w:szCs w:val="24"/>
        </w:rPr>
        <w:t>.  MMWR Surveillance Summary 65(SS08);1-12.</w:t>
      </w:r>
    </w:p>
    <w:p w14:paraId="563E6F4A" w14:textId="77777777" w:rsidR="00CF1DCB" w:rsidRDefault="00CF1DCB" w:rsidP="00CF1DCB">
      <w:pPr>
        <w:pStyle w:val="ListParagraph"/>
        <w:numPr>
          <w:ilvl w:val="0"/>
          <w:numId w:val="24"/>
        </w:numPr>
        <w:spacing w:before="240"/>
        <w:contextualSpacing w:val="0"/>
        <w:rPr>
          <w:rFonts w:cs="Adobe Garamond Pro"/>
          <w:color w:val="000000"/>
          <w:sz w:val="24"/>
          <w:szCs w:val="24"/>
        </w:rPr>
      </w:pPr>
      <w:r w:rsidRPr="00C63517">
        <w:rPr>
          <w:rFonts w:cs="Adobe Garamond Pro"/>
          <w:color w:val="000000"/>
          <w:sz w:val="24"/>
          <w:szCs w:val="24"/>
        </w:rPr>
        <w:t>Jordan H, Fagliano J, Rechtman L, Lefkowitz D, Kaye W. Population-based surveillance of amyotrophic lateral sclerosis in New Jersey, 2009–2011. Neuroepidemiology 2014;43:49–56. http://dx.doi. org/10.1159/000365850</w:t>
      </w:r>
    </w:p>
    <w:p w14:paraId="34403BB5" w14:textId="77777777" w:rsidR="00CF1DCB" w:rsidRPr="00C63517" w:rsidRDefault="00CF1DCB" w:rsidP="00CF1DCB">
      <w:pPr>
        <w:pStyle w:val="ListParagraph"/>
        <w:numPr>
          <w:ilvl w:val="0"/>
          <w:numId w:val="24"/>
        </w:numPr>
        <w:spacing w:before="240"/>
        <w:contextualSpacing w:val="0"/>
        <w:rPr>
          <w:rFonts w:cs="Adobe Garamond Pro"/>
          <w:color w:val="000000"/>
          <w:sz w:val="24"/>
          <w:szCs w:val="24"/>
        </w:rPr>
      </w:pPr>
      <w:r w:rsidRPr="00C63517">
        <w:rPr>
          <w:rFonts w:cs="Adobe Garamond Pro"/>
          <w:color w:val="000000"/>
          <w:sz w:val="24"/>
          <w:szCs w:val="24"/>
        </w:rPr>
        <w:t xml:space="preserve">Jordan H, Rechtman L, Wagner L, Kaye WE. Amyotrophic lateral sclerosis surveillance in Baltimore and Philadelphia. Muscle Nerve 2015;51:815–21. </w:t>
      </w:r>
      <w:hyperlink r:id="rId20" w:history="1">
        <w:r w:rsidRPr="000D451A">
          <w:rPr>
            <w:rStyle w:val="Hyperlink"/>
            <w:rFonts w:cs="Adobe Garamond Pro"/>
            <w:sz w:val="24"/>
            <w:szCs w:val="24"/>
          </w:rPr>
          <w:t>http://dx.doi.org/10.1002/mus.24488</w:t>
        </w:r>
      </w:hyperlink>
    </w:p>
    <w:p w14:paraId="1F3F4FB8" w14:textId="77777777" w:rsidR="00CF1DCB" w:rsidRDefault="00CF1DCB" w:rsidP="00CF1DCB">
      <w:pPr>
        <w:pStyle w:val="ListParagraph"/>
        <w:numPr>
          <w:ilvl w:val="0"/>
          <w:numId w:val="24"/>
        </w:numPr>
        <w:spacing w:before="240"/>
        <w:contextualSpacing w:val="0"/>
        <w:rPr>
          <w:rFonts w:cs="Adobe Garamond Pro"/>
          <w:color w:val="000000"/>
          <w:sz w:val="24"/>
          <w:szCs w:val="24"/>
        </w:rPr>
      </w:pPr>
      <w:r w:rsidRPr="00C63517">
        <w:rPr>
          <w:rFonts w:cs="Adobe Garamond Pro"/>
          <w:color w:val="000000"/>
          <w:sz w:val="24"/>
          <w:szCs w:val="24"/>
        </w:rPr>
        <w:t>Rechtman L, Wagner L, Kaye W, Villanacci J. Updated Prevalence and Demographic Characteristics for ALS Cases in Texas, 2009–2011. South Med J 2015;108:483–6.</w:t>
      </w:r>
    </w:p>
    <w:p w14:paraId="5AE20BD3" w14:textId="77777777" w:rsidR="00CF1DCB" w:rsidRDefault="00CF1DCB" w:rsidP="00CF1DCB">
      <w:pPr>
        <w:pStyle w:val="ListParagraph"/>
        <w:numPr>
          <w:ilvl w:val="0"/>
          <w:numId w:val="24"/>
        </w:numPr>
        <w:spacing w:before="240"/>
        <w:contextualSpacing w:val="0"/>
        <w:rPr>
          <w:rFonts w:cs="Adobe Garamond Pro"/>
          <w:color w:val="000000"/>
          <w:sz w:val="24"/>
          <w:szCs w:val="24"/>
        </w:rPr>
      </w:pPr>
      <w:r w:rsidRPr="00C63517">
        <w:rPr>
          <w:rFonts w:cs="Adobe Garamond Pro"/>
          <w:color w:val="000000"/>
          <w:sz w:val="24"/>
          <w:szCs w:val="24"/>
        </w:rPr>
        <w:lastRenderedPageBreak/>
        <w:t>Freer C, Hylton T, Jordan HM, Kaye WE, Singh S, Huang Y. Results of Florida’s Amyotrophic Lateral Sclerosis Surveillance Project, 2009–2011. BMJ Open 2015;5:e007359. http://dx.doi.org/10.1136/ bmjopen-2014-007359</w:t>
      </w:r>
    </w:p>
    <w:p w14:paraId="2CEC9085" w14:textId="77777777" w:rsidR="00CF1DCB" w:rsidRPr="00C63517" w:rsidRDefault="00CF1DCB" w:rsidP="00CF1DCB">
      <w:pPr>
        <w:pStyle w:val="ListParagraph"/>
        <w:numPr>
          <w:ilvl w:val="0"/>
          <w:numId w:val="24"/>
        </w:numPr>
        <w:spacing w:before="240"/>
        <w:contextualSpacing w:val="0"/>
        <w:rPr>
          <w:rFonts w:cs="Adobe Garamond Pro"/>
          <w:color w:val="000000"/>
          <w:sz w:val="24"/>
          <w:szCs w:val="24"/>
        </w:rPr>
      </w:pPr>
      <w:r w:rsidRPr="00C63517">
        <w:rPr>
          <w:rFonts w:cs="Adobe Garamond Pro"/>
          <w:color w:val="000000"/>
          <w:sz w:val="24"/>
          <w:szCs w:val="24"/>
        </w:rPr>
        <w:t xml:space="preserve">Valle J, Roberts E, Paulukonis S, Collins N, English P, Kaye W. Epidemiology and surveillance of amyotrophic lateral sclerosis in two large metropolitan areas in California. Amyotroph Lateral Scler Frontotemporal Degener 2015;16:209–15. http://dx.doi.org/10.3109 /21678421.2015.1019516 </w:t>
      </w:r>
    </w:p>
    <w:p w14:paraId="0A710341" w14:textId="77777777" w:rsidR="00CF1DCB" w:rsidRPr="00C63517" w:rsidRDefault="00CF1DCB" w:rsidP="00CF1DCB">
      <w:pPr>
        <w:pStyle w:val="ListParagraph"/>
        <w:numPr>
          <w:ilvl w:val="0"/>
          <w:numId w:val="24"/>
        </w:numPr>
        <w:spacing w:before="240"/>
        <w:contextualSpacing w:val="0"/>
        <w:rPr>
          <w:rFonts w:cs="Adobe Garamond Pro"/>
          <w:color w:val="000000"/>
          <w:sz w:val="24"/>
          <w:szCs w:val="24"/>
        </w:rPr>
      </w:pPr>
      <w:r w:rsidRPr="00C63517">
        <w:rPr>
          <w:rFonts w:cs="Adobe Garamond Pro"/>
          <w:color w:val="000000"/>
          <w:sz w:val="24"/>
          <w:szCs w:val="24"/>
        </w:rPr>
        <w:t xml:space="preserve">Wagner L, Rechtman L, Jordan H, et al. State and metropolitan area-based amyotrophic lateral sclerosis (ALS) surveillance. Amyotroph Lateral Scler Frontotemporal Degener 2015;17:128–34. </w:t>
      </w:r>
      <w:hyperlink r:id="rId21" w:history="1">
        <w:r w:rsidRPr="000D451A">
          <w:rPr>
            <w:rStyle w:val="Hyperlink"/>
            <w:rFonts w:cs="Adobe Garamond Pro"/>
            <w:sz w:val="24"/>
            <w:szCs w:val="24"/>
          </w:rPr>
          <w:t>http://dx.doi.org/10. 3109/21678421.2015.1074699</w:t>
        </w:r>
      </w:hyperlink>
    </w:p>
    <w:p w14:paraId="3202B2D4" w14:textId="77777777" w:rsidR="00501185" w:rsidRDefault="00501185">
      <w:pPr>
        <w:rPr>
          <w:rFonts w:ascii="Cambria" w:eastAsiaTheme="majorEastAsia" w:hAnsi="Cambria" w:cstheme="majorBidi"/>
          <w:sz w:val="36"/>
          <w:szCs w:val="36"/>
        </w:rPr>
      </w:pPr>
      <w:r>
        <w:rPr>
          <w:rFonts w:ascii="Cambria" w:hAnsi="Cambria"/>
        </w:rPr>
        <w:br w:type="page"/>
      </w:r>
    </w:p>
    <w:p w14:paraId="24C1C237" w14:textId="16681538" w:rsidR="000329FE" w:rsidRPr="00D20211" w:rsidRDefault="000329FE" w:rsidP="000329FE">
      <w:pPr>
        <w:pStyle w:val="Heading1"/>
        <w:pBdr>
          <w:bottom w:val="none" w:sz="0" w:space="0" w:color="auto"/>
        </w:pBdr>
        <w:rPr>
          <w:rFonts w:ascii="Cambria" w:hAnsi="Cambria"/>
          <w:color w:val="auto"/>
        </w:rPr>
      </w:pPr>
      <w:bookmarkStart w:id="11" w:name="_Toc465096906"/>
      <w:r w:rsidRPr="00D20211">
        <w:rPr>
          <w:rFonts w:ascii="Cambria" w:hAnsi="Cambria"/>
          <w:color w:val="auto"/>
        </w:rPr>
        <w:lastRenderedPageBreak/>
        <w:t>List of Attachments</w:t>
      </w:r>
      <w:bookmarkEnd w:id="10"/>
      <w:bookmarkEnd w:id="11"/>
    </w:p>
    <w:p w14:paraId="38446FE1" w14:textId="77777777" w:rsidR="000329FE" w:rsidRPr="00D20211" w:rsidRDefault="000329FE" w:rsidP="000329FE"/>
    <w:p w14:paraId="5006AD3C" w14:textId="77777777" w:rsidR="002E1563" w:rsidRPr="00A75C60" w:rsidRDefault="002E1563" w:rsidP="002E1563">
      <w:pPr>
        <w:spacing w:after="0"/>
        <w:ind w:left="1512" w:hanging="1512"/>
        <w:rPr>
          <w:sz w:val="24"/>
          <w:szCs w:val="24"/>
        </w:rPr>
      </w:pPr>
      <w:r w:rsidRPr="004C21D3">
        <w:rPr>
          <w:b/>
          <w:sz w:val="24"/>
          <w:szCs w:val="24"/>
        </w:rPr>
        <w:t xml:space="preserve">Attachment </w:t>
      </w:r>
      <w:r w:rsidRPr="00A75C60">
        <w:rPr>
          <w:b/>
          <w:sz w:val="24"/>
          <w:szCs w:val="24"/>
        </w:rPr>
        <w:t>1</w:t>
      </w:r>
      <w:r>
        <w:rPr>
          <w:sz w:val="24"/>
          <w:szCs w:val="24"/>
        </w:rPr>
        <w:t xml:space="preserve">   </w:t>
      </w:r>
      <w:r w:rsidRPr="00A75C60">
        <w:rPr>
          <w:sz w:val="24"/>
          <w:szCs w:val="24"/>
        </w:rPr>
        <w:t>Authorizing Legislation: Public Law No</w:t>
      </w:r>
      <w:r>
        <w:rPr>
          <w:sz w:val="24"/>
          <w:szCs w:val="24"/>
        </w:rPr>
        <w:t>.</w:t>
      </w:r>
      <w:r w:rsidRPr="00A75C60">
        <w:rPr>
          <w:sz w:val="24"/>
          <w:szCs w:val="24"/>
        </w:rPr>
        <w:t xml:space="preserve"> 110-373</w:t>
      </w:r>
    </w:p>
    <w:p w14:paraId="2B30AB3E" w14:textId="77777777" w:rsidR="002E1563" w:rsidRPr="00A75C60" w:rsidRDefault="002E1563" w:rsidP="002E1563">
      <w:pPr>
        <w:spacing w:after="0"/>
        <w:rPr>
          <w:sz w:val="24"/>
          <w:szCs w:val="24"/>
        </w:rPr>
      </w:pPr>
      <w:r w:rsidRPr="004C21D3">
        <w:rPr>
          <w:b/>
          <w:sz w:val="24"/>
          <w:szCs w:val="24"/>
        </w:rPr>
        <w:t xml:space="preserve">Attachment </w:t>
      </w:r>
      <w:r w:rsidRPr="00A75C60">
        <w:rPr>
          <w:b/>
          <w:sz w:val="24"/>
          <w:szCs w:val="24"/>
        </w:rPr>
        <w:t xml:space="preserve">2 </w:t>
      </w:r>
      <w:r w:rsidRPr="00A75C60">
        <w:rPr>
          <w:sz w:val="24"/>
          <w:szCs w:val="24"/>
        </w:rPr>
        <w:t xml:space="preserve">  60-Day Federal Register Notice</w:t>
      </w:r>
    </w:p>
    <w:p w14:paraId="2646CBBA" w14:textId="77777777" w:rsidR="002E1563" w:rsidRPr="00A75C60" w:rsidRDefault="002E1563" w:rsidP="002E1563">
      <w:pPr>
        <w:spacing w:after="0"/>
        <w:rPr>
          <w:sz w:val="24"/>
          <w:szCs w:val="24"/>
        </w:rPr>
      </w:pPr>
      <w:r w:rsidRPr="004C21D3">
        <w:rPr>
          <w:b/>
          <w:sz w:val="24"/>
          <w:szCs w:val="24"/>
        </w:rPr>
        <w:t xml:space="preserve">Attachment </w:t>
      </w:r>
      <w:r>
        <w:rPr>
          <w:b/>
          <w:sz w:val="24"/>
          <w:szCs w:val="24"/>
        </w:rPr>
        <w:t>3</w:t>
      </w:r>
      <w:r w:rsidRPr="00A75C60">
        <w:rPr>
          <w:sz w:val="24"/>
          <w:szCs w:val="24"/>
        </w:rPr>
        <w:t xml:space="preserve"> </w:t>
      </w:r>
      <w:r w:rsidRPr="00A75C60">
        <w:rPr>
          <w:sz w:val="24"/>
          <w:szCs w:val="24"/>
        </w:rPr>
        <w:tab/>
        <w:t xml:space="preserve">Summary of </w:t>
      </w:r>
      <w:r>
        <w:rPr>
          <w:sz w:val="24"/>
          <w:szCs w:val="24"/>
        </w:rPr>
        <w:t>Revisions</w:t>
      </w:r>
    </w:p>
    <w:p w14:paraId="05027830" w14:textId="420E20D6" w:rsidR="002E1563" w:rsidRPr="00A75C60" w:rsidRDefault="002E1563" w:rsidP="002E1563">
      <w:pPr>
        <w:spacing w:after="0"/>
        <w:rPr>
          <w:sz w:val="24"/>
          <w:szCs w:val="24"/>
        </w:rPr>
      </w:pPr>
      <w:r w:rsidRPr="004C21D3">
        <w:rPr>
          <w:b/>
          <w:sz w:val="24"/>
          <w:szCs w:val="24"/>
        </w:rPr>
        <w:t xml:space="preserve">Attachment </w:t>
      </w:r>
      <w:r>
        <w:rPr>
          <w:b/>
          <w:sz w:val="24"/>
          <w:szCs w:val="24"/>
        </w:rPr>
        <w:t>4</w:t>
      </w:r>
      <w:r w:rsidRPr="00A75C60">
        <w:rPr>
          <w:b/>
          <w:sz w:val="24"/>
          <w:szCs w:val="24"/>
        </w:rPr>
        <w:t xml:space="preserve"> </w:t>
      </w:r>
      <w:r w:rsidR="00BD3D0F">
        <w:rPr>
          <w:sz w:val="24"/>
          <w:szCs w:val="24"/>
        </w:rPr>
        <w:t xml:space="preserve">ALS Case </w:t>
      </w:r>
      <w:r w:rsidRPr="00A75C60">
        <w:rPr>
          <w:sz w:val="24"/>
          <w:szCs w:val="24"/>
        </w:rPr>
        <w:t>Validation Questions</w:t>
      </w:r>
    </w:p>
    <w:p w14:paraId="4AC98634" w14:textId="488F134B" w:rsidR="002E1563" w:rsidRPr="00A75C60" w:rsidRDefault="002E1563" w:rsidP="002E1563">
      <w:pPr>
        <w:spacing w:after="0"/>
        <w:rPr>
          <w:sz w:val="24"/>
          <w:szCs w:val="24"/>
        </w:rPr>
      </w:pPr>
      <w:r w:rsidRPr="004C21D3">
        <w:rPr>
          <w:b/>
          <w:sz w:val="24"/>
          <w:szCs w:val="24"/>
        </w:rPr>
        <w:t xml:space="preserve">Attachment </w:t>
      </w:r>
      <w:r>
        <w:rPr>
          <w:b/>
          <w:sz w:val="24"/>
          <w:szCs w:val="24"/>
        </w:rPr>
        <w:t>5</w:t>
      </w:r>
      <w:r w:rsidRPr="00A75C60">
        <w:rPr>
          <w:sz w:val="24"/>
          <w:szCs w:val="24"/>
        </w:rPr>
        <w:t xml:space="preserve"> </w:t>
      </w:r>
      <w:r w:rsidR="00BD3D0F">
        <w:rPr>
          <w:sz w:val="24"/>
          <w:szCs w:val="24"/>
        </w:rPr>
        <w:t xml:space="preserve">ALS Case </w:t>
      </w:r>
      <w:r w:rsidRPr="00A75C60">
        <w:rPr>
          <w:sz w:val="24"/>
          <w:szCs w:val="24"/>
        </w:rPr>
        <w:t xml:space="preserve">Registration </w:t>
      </w:r>
      <w:r w:rsidR="00BD3D0F">
        <w:rPr>
          <w:sz w:val="24"/>
          <w:szCs w:val="24"/>
        </w:rPr>
        <w:t>Form (screenshots)</w:t>
      </w:r>
    </w:p>
    <w:p w14:paraId="302E5EA5" w14:textId="7E69B8F1" w:rsidR="002E1563" w:rsidRDefault="002E1563" w:rsidP="00051245">
      <w:pPr>
        <w:spacing w:after="0"/>
        <w:ind w:left="1395" w:hanging="1395"/>
        <w:rPr>
          <w:sz w:val="24"/>
          <w:szCs w:val="24"/>
        </w:rPr>
      </w:pPr>
      <w:r w:rsidRPr="004C21D3">
        <w:rPr>
          <w:b/>
          <w:sz w:val="24"/>
          <w:szCs w:val="24"/>
        </w:rPr>
        <w:t xml:space="preserve">Attachment </w:t>
      </w:r>
      <w:r>
        <w:rPr>
          <w:b/>
          <w:sz w:val="24"/>
          <w:szCs w:val="24"/>
        </w:rPr>
        <w:t>6</w:t>
      </w:r>
      <w:r w:rsidRPr="00A75C60">
        <w:rPr>
          <w:sz w:val="24"/>
          <w:szCs w:val="24"/>
        </w:rPr>
        <w:t xml:space="preserve"> </w:t>
      </w:r>
      <w:r w:rsidR="00757740">
        <w:rPr>
          <w:sz w:val="24"/>
          <w:szCs w:val="24"/>
        </w:rPr>
        <w:t xml:space="preserve">Approved </w:t>
      </w:r>
      <w:r w:rsidR="008A13CA">
        <w:rPr>
          <w:sz w:val="24"/>
          <w:szCs w:val="24"/>
        </w:rPr>
        <w:t xml:space="preserve">Surveys </w:t>
      </w:r>
      <w:r w:rsidR="00757740">
        <w:rPr>
          <w:sz w:val="24"/>
          <w:szCs w:val="24"/>
        </w:rPr>
        <w:t>(screenshots) – including 16 Voluntary Survey Modules and Disease Progression Survey</w:t>
      </w:r>
    </w:p>
    <w:p w14:paraId="7DF1AD0A" w14:textId="5BF50130" w:rsidR="002E1563" w:rsidRPr="00A75C60" w:rsidRDefault="002E1563" w:rsidP="002E1563">
      <w:pPr>
        <w:spacing w:after="0"/>
        <w:rPr>
          <w:sz w:val="24"/>
          <w:szCs w:val="24"/>
        </w:rPr>
      </w:pPr>
      <w:r>
        <w:rPr>
          <w:b/>
          <w:sz w:val="24"/>
          <w:szCs w:val="24"/>
        </w:rPr>
        <w:t xml:space="preserve">          </w:t>
      </w:r>
      <w:r w:rsidRPr="004C21D3">
        <w:rPr>
          <w:b/>
          <w:sz w:val="24"/>
          <w:szCs w:val="24"/>
        </w:rPr>
        <w:t xml:space="preserve">Attachment </w:t>
      </w:r>
      <w:r>
        <w:rPr>
          <w:b/>
          <w:sz w:val="24"/>
          <w:szCs w:val="24"/>
        </w:rPr>
        <w:t xml:space="preserve">6A </w:t>
      </w:r>
      <w:r w:rsidRPr="00A75C60">
        <w:rPr>
          <w:sz w:val="24"/>
          <w:szCs w:val="24"/>
        </w:rPr>
        <w:t>ALS Functional Rating Scale-Revised</w:t>
      </w:r>
      <w:r w:rsidR="008E6F77">
        <w:rPr>
          <w:sz w:val="24"/>
          <w:szCs w:val="24"/>
        </w:rPr>
        <w:t xml:space="preserve"> (</w:t>
      </w:r>
      <w:r w:rsidRPr="00A75C60">
        <w:rPr>
          <w:sz w:val="24"/>
          <w:szCs w:val="24"/>
        </w:rPr>
        <w:t>ALSFRS</w:t>
      </w:r>
      <w:r w:rsidR="008E6F77">
        <w:rPr>
          <w:sz w:val="24"/>
          <w:szCs w:val="24"/>
        </w:rPr>
        <w:t>)</w:t>
      </w:r>
      <w:r w:rsidRPr="00A75C60">
        <w:rPr>
          <w:sz w:val="24"/>
          <w:szCs w:val="24"/>
        </w:rPr>
        <w:t>: Scoring Sheet</w:t>
      </w:r>
    </w:p>
    <w:p w14:paraId="3B885550" w14:textId="77777777" w:rsidR="002E1563" w:rsidRPr="00A75C60" w:rsidRDefault="002E1563" w:rsidP="002E1563">
      <w:pPr>
        <w:spacing w:after="0"/>
        <w:rPr>
          <w:sz w:val="24"/>
          <w:szCs w:val="24"/>
        </w:rPr>
      </w:pPr>
      <w:r w:rsidRPr="004C21D3">
        <w:rPr>
          <w:b/>
          <w:sz w:val="24"/>
          <w:szCs w:val="24"/>
        </w:rPr>
        <w:t xml:space="preserve">Attachment </w:t>
      </w:r>
      <w:r>
        <w:rPr>
          <w:b/>
          <w:sz w:val="24"/>
          <w:szCs w:val="24"/>
        </w:rPr>
        <w:t>7</w:t>
      </w:r>
      <w:r w:rsidRPr="00A75C60">
        <w:rPr>
          <w:sz w:val="24"/>
          <w:szCs w:val="24"/>
        </w:rPr>
        <w:t xml:space="preserve"> </w:t>
      </w:r>
      <w:r w:rsidRPr="00A75C60">
        <w:rPr>
          <w:sz w:val="24"/>
          <w:szCs w:val="24"/>
        </w:rPr>
        <w:tab/>
        <w:t>Privacy Statement</w:t>
      </w:r>
    </w:p>
    <w:p w14:paraId="783DC17D" w14:textId="77777777" w:rsidR="002E1563" w:rsidRPr="00A75C60" w:rsidRDefault="002E1563" w:rsidP="002E1563">
      <w:pPr>
        <w:spacing w:after="0"/>
        <w:rPr>
          <w:sz w:val="24"/>
          <w:szCs w:val="24"/>
        </w:rPr>
      </w:pPr>
      <w:r w:rsidRPr="004C21D3">
        <w:rPr>
          <w:b/>
          <w:sz w:val="24"/>
          <w:szCs w:val="24"/>
        </w:rPr>
        <w:t xml:space="preserve">Attachment </w:t>
      </w:r>
      <w:r>
        <w:rPr>
          <w:b/>
          <w:sz w:val="24"/>
          <w:szCs w:val="24"/>
        </w:rPr>
        <w:t>8</w:t>
      </w:r>
      <w:r w:rsidRPr="00A75C60">
        <w:rPr>
          <w:sz w:val="24"/>
          <w:szCs w:val="24"/>
        </w:rPr>
        <w:t xml:space="preserve"> </w:t>
      </w:r>
      <w:r w:rsidRPr="00A75C60">
        <w:rPr>
          <w:sz w:val="24"/>
          <w:szCs w:val="24"/>
        </w:rPr>
        <w:tab/>
        <w:t>Consent Forms</w:t>
      </w:r>
    </w:p>
    <w:p w14:paraId="7434DA09" w14:textId="7E2D9B85" w:rsidR="002E1563" w:rsidRPr="00A75C60" w:rsidRDefault="002E1563" w:rsidP="002E1563">
      <w:pPr>
        <w:spacing w:after="0"/>
        <w:rPr>
          <w:sz w:val="24"/>
          <w:szCs w:val="24"/>
        </w:rPr>
      </w:pPr>
      <w:r>
        <w:rPr>
          <w:b/>
          <w:sz w:val="24"/>
          <w:szCs w:val="24"/>
        </w:rPr>
        <w:t xml:space="preserve">          Attachment 8A </w:t>
      </w:r>
      <w:r w:rsidRPr="00A75C60">
        <w:rPr>
          <w:sz w:val="24"/>
          <w:szCs w:val="24"/>
        </w:rPr>
        <w:t>National ALS Registry</w:t>
      </w:r>
    </w:p>
    <w:p w14:paraId="2A9D6E67" w14:textId="36B436B3" w:rsidR="002E1563" w:rsidRPr="00A75C60" w:rsidRDefault="002E1563" w:rsidP="002E1563">
      <w:pPr>
        <w:spacing w:after="0"/>
        <w:rPr>
          <w:sz w:val="24"/>
          <w:szCs w:val="24"/>
        </w:rPr>
      </w:pPr>
      <w:r>
        <w:rPr>
          <w:b/>
          <w:sz w:val="24"/>
          <w:szCs w:val="24"/>
        </w:rPr>
        <w:t xml:space="preserve">          Attachment 8B </w:t>
      </w:r>
      <w:r w:rsidRPr="00A75C60">
        <w:rPr>
          <w:sz w:val="24"/>
          <w:szCs w:val="24"/>
        </w:rPr>
        <w:t>National ALS Biorepository (Biospecimens)</w:t>
      </w:r>
    </w:p>
    <w:p w14:paraId="74A124E1" w14:textId="3AA354C2" w:rsidR="002E1563" w:rsidRPr="00A75C60" w:rsidRDefault="002E1563" w:rsidP="002E1563">
      <w:pPr>
        <w:spacing w:after="0"/>
        <w:rPr>
          <w:sz w:val="24"/>
          <w:szCs w:val="24"/>
        </w:rPr>
      </w:pPr>
      <w:r>
        <w:rPr>
          <w:sz w:val="24"/>
          <w:szCs w:val="24"/>
        </w:rPr>
        <w:t xml:space="preserve">          </w:t>
      </w:r>
      <w:r w:rsidRPr="00E62ACF">
        <w:rPr>
          <w:b/>
          <w:sz w:val="24"/>
          <w:szCs w:val="24"/>
        </w:rPr>
        <w:t>Attachment 8C</w:t>
      </w:r>
      <w:r>
        <w:rPr>
          <w:sz w:val="24"/>
          <w:szCs w:val="24"/>
        </w:rPr>
        <w:t xml:space="preserve"> </w:t>
      </w:r>
      <w:r w:rsidRPr="00A75C60">
        <w:rPr>
          <w:sz w:val="24"/>
          <w:szCs w:val="24"/>
        </w:rPr>
        <w:t>National ALS Biorepository (Postmortem)</w:t>
      </w:r>
    </w:p>
    <w:p w14:paraId="6510C62B" w14:textId="26F76740" w:rsidR="002E1563" w:rsidRDefault="002E1563" w:rsidP="002E1563">
      <w:pPr>
        <w:spacing w:after="0"/>
        <w:ind w:left="2160" w:hanging="2160"/>
        <w:rPr>
          <w:sz w:val="24"/>
          <w:szCs w:val="24"/>
        </w:rPr>
      </w:pPr>
      <w:r>
        <w:rPr>
          <w:sz w:val="24"/>
          <w:szCs w:val="24"/>
        </w:rPr>
        <w:t xml:space="preserve">          </w:t>
      </w:r>
      <w:r>
        <w:rPr>
          <w:b/>
          <w:sz w:val="24"/>
          <w:szCs w:val="24"/>
        </w:rPr>
        <w:t xml:space="preserve">Attachment 8D </w:t>
      </w:r>
      <w:r w:rsidRPr="00A75C60">
        <w:rPr>
          <w:sz w:val="24"/>
          <w:szCs w:val="24"/>
        </w:rPr>
        <w:t>National ALS Biorepository Consent Form Addendum (Postmortem Skin Collection)</w:t>
      </w:r>
    </w:p>
    <w:p w14:paraId="45027382" w14:textId="6A98A4AE" w:rsidR="00732BB3" w:rsidRDefault="00732BB3">
      <w:pPr>
        <w:spacing w:after="0"/>
        <w:ind w:left="2160" w:hanging="2160"/>
        <w:rPr>
          <w:sz w:val="24"/>
          <w:szCs w:val="24"/>
        </w:rPr>
      </w:pPr>
      <w:r>
        <w:rPr>
          <w:b/>
          <w:sz w:val="24"/>
          <w:szCs w:val="24"/>
        </w:rPr>
        <w:t xml:space="preserve">          </w:t>
      </w:r>
      <w:r w:rsidRPr="00B72C7A">
        <w:rPr>
          <w:b/>
          <w:sz w:val="24"/>
          <w:szCs w:val="24"/>
        </w:rPr>
        <w:t>Attachment 8E</w:t>
      </w:r>
      <w:r>
        <w:rPr>
          <w:sz w:val="24"/>
          <w:szCs w:val="24"/>
        </w:rPr>
        <w:t xml:space="preserve"> National ALS Biorepository Consent Form (Saliva)</w:t>
      </w:r>
    </w:p>
    <w:p w14:paraId="4F8F5854" w14:textId="77777777" w:rsidR="002E1563" w:rsidRPr="00A75C60" w:rsidRDefault="002E1563" w:rsidP="002E1563">
      <w:pPr>
        <w:spacing w:after="0"/>
        <w:rPr>
          <w:sz w:val="24"/>
          <w:szCs w:val="24"/>
        </w:rPr>
      </w:pPr>
      <w:r w:rsidRPr="004C21D3">
        <w:rPr>
          <w:b/>
          <w:sz w:val="24"/>
          <w:szCs w:val="24"/>
        </w:rPr>
        <w:t xml:space="preserve">Attachment </w:t>
      </w:r>
      <w:r>
        <w:rPr>
          <w:b/>
          <w:sz w:val="24"/>
          <w:szCs w:val="24"/>
        </w:rPr>
        <w:t xml:space="preserve">9 </w:t>
      </w:r>
      <w:r w:rsidRPr="00A75C60">
        <w:rPr>
          <w:sz w:val="24"/>
          <w:szCs w:val="24"/>
        </w:rPr>
        <w:t>CDC</w:t>
      </w:r>
      <w:r w:rsidRPr="00A75C60">
        <w:rPr>
          <w:b/>
          <w:sz w:val="24"/>
          <w:szCs w:val="24"/>
        </w:rPr>
        <w:t xml:space="preserve"> </w:t>
      </w:r>
      <w:r w:rsidRPr="00A75C60">
        <w:rPr>
          <w:sz w:val="24"/>
          <w:szCs w:val="24"/>
        </w:rPr>
        <w:t>IRB Approval Letter</w:t>
      </w:r>
      <w:r>
        <w:rPr>
          <w:sz w:val="24"/>
          <w:szCs w:val="24"/>
        </w:rPr>
        <w:t>s</w:t>
      </w:r>
    </w:p>
    <w:p w14:paraId="493C8042" w14:textId="77777777" w:rsidR="002E1563" w:rsidRPr="00A75C60" w:rsidRDefault="002E1563" w:rsidP="002E1563">
      <w:pPr>
        <w:spacing w:after="0"/>
        <w:rPr>
          <w:sz w:val="24"/>
          <w:szCs w:val="24"/>
        </w:rPr>
      </w:pPr>
      <w:r>
        <w:rPr>
          <w:b/>
          <w:sz w:val="24"/>
          <w:szCs w:val="24"/>
        </w:rPr>
        <w:t xml:space="preserve">          Attachment 9A </w:t>
      </w:r>
      <w:r w:rsidRPr="00A75C60">
        <w:rPr>
          <w:sz w:val="24"/>
          <w:szCs w:val="24"/>
        </w:rPr>
        <w:t>Continuation approval National ALS Registry</w:t>
      </w:r>
    </w:p>
    <w:p w14:paraId="3111337A" w14:textId="77777777" w:rsidR="002E1563" w:rsidRPr="00A75C60" w:rsidRDefault="002E1563" w:rsidP="002E1563">
      <w:pPr>
        <w:spacing w:after="0"/>
        <w:rPr>
          <w:sz w:val="24"/>
          <w:szCs w:val="24"/>
        </w:rPr>
      </w:pPr>
      <w:r>
        <w:rPr>
          <w:b/>
          <w:sz w:val="24"/>
          <w:szCs w:val="24"/>
        </w:rPr>
        <w:t xml:space="preserve">          Attachment 9B </w:t>
      </w:r>
      <w:r w:rsidRPr="00A75C60">
        <w:rPr>
          <w:sz w:val="24"/>
          <w:szCs w:val="24"/>
        </w:rPr>
        <w:t>Amendment to add the National ALS Biorepository</w:t>
      </w:r>
    </w:p>
    <w:p w14:paraId="7BF09E71" w14:textId="77777777" w:rsidR="002E1563" w:rsidRPr="00A75C60" w:rsidRDefault="002E1563" w:rsidP="002E1563">
      <w:pPr>
        <w:spacing w:after="0"/>
        <w:rPr>
          <w:sz w:val="24"/>
          <w:szCs w:val="24"/>
        </w:rPr>
      </w:pPr>
      <w:r w:rsidRPr="004C21D3">
        <w:rPr>
          <w:b/>
          <w:sz w:val="24"/>
          <w:szCs w:val="24"/>
        </w:rPr>
        <w:t xml:space="preserve">Attachment </w:t>
      </w:r>
      <w:r>
        <w:rPr>
          <w:b/>
          <w:sz w:val="24"/>
          <w:szCs w:val="24"/>
        </w:rPr>
        <w:t xml:space="preserve">10 </w:t>
      </w:r>
      <w:r w:rsidRPr="00A75C60">
        <w:rPr>
          <w:sz w:val="24"/>
          <w:szCs w:val="24"/>
        </w:rPr>
        <w:t>Privacy Impact Assessment</w:t>
      </w:r>
    </w:p>
    <w:p w14:paraId="58FB4E0F" w14:textId="77777777" w:rsidR="002E1563" w:rsidRPr="00A75C60" w:rsidRDefault="002E1563" w:rsidP="002E1563">
      <w:pPr>
        <w:spacing w:after="0"/>
        <w:rPr>
          <w:sz w:val="24"/>
          <w:szCs w:val="24"/>
        </w:rPr>
      </w:pPr>
      <w:r w:rsidRPr="004C21D3">
        <w:rPr>
          <w:b/>
          <w:sz w:val="24"/>
          <w:szCs w:val="24"/>
        </w:rPr>
        <w:t xml:space="preserve">Attachment </w:t>
      </w:r>
      <w:r>
        <w:rPr>
          <w:b/>
          <w:sz w:val="24"/>
          <w:szCs w:val="24"/>
        </w:rPr>
        <w:t xml:space="preserve">11 </w:t>
      </w:r>
      <w:r w:rsidRPr="00A75C60">
        <w:rPr>
          <w:sz w:val="24"/>
          <w:szCs w:val="24"/>
        </w:rPr>
        <w:t>Researcher Forms</w:t>
      </w:r>
    </w:p>
    <w:p w14:paraId="3BEE7CC7" w14:textId="2A3E3573" w:rsidR="002E1563" w:rsidRPr="00A75C60" w:rsidRDefault="002E1563" w:rsidP="002E1563">
      <w:pPr>
        <w:spacing w:after="0"/>
        <w:rPr>
          <w:sz w:val="24"/>
          <w:szCs w:val="24"/>
        </w:rPr>
      </w:pPr>
      <w:r>
        <w:rPr>
          <w:b/>
          <w:sz w:val="24"/>
          <w:szCs w:val="24"/>
        </w:rPr>
        <w:t xml:space="preserve">          Attachment 11A </w:t>
      </w:r>
      <w:r w:rsidR="00277C34" w:rsidRPr="0029622C">
        <w:rPr>
          <w:rFonts w:cs="Courier New"/>
          <w:color w:val="000000"/>
          <w:sz w:val="24"/>
          <w:szCs w:val="24"/>
        </w:rPr>
        <w:t>ALS Registry Research Application Form</w:t>
      </w:r>
    </w:p>
    <w:p w14:paraId="4735A447" w14:textId="77777777" w:rsidR="002E1563" w:rsidRPr="00A75C60" w:rsidRDefault="002E1563" w:rsidP="002E1563">
      <w:pPr>
        <w:spacing w:after="0"/>
        <w:rPr>
          <w:sz w:val="24"/>
          <w:szCs w:val="24"/>
        </w:rPr>
      </w:pPr>
      <w:r>
        <w:rPr>
          <w:b/>
          <w:sz w:val="24"/>
          <w:szCs w:val="24"/>
        </w:rPr>
        <w:t xml:space="preserve">          Attachment 11B </w:t>
      </w:r>
      <w:r w:rsidRPr="00A75C60">
        <w:rPr>
          <w:sz w:val="24"/>
          <w:szCs w:val="24"/>
        </w:rPr>
        <w:t>Annual update</w:t>
      </w:r>
    </w:p>
    <w:p w14:paraId="5EE4B13A" w14:textId="06A84EFD" w:rsidR="00732BB3" w:rsidRDefault="002E1563" w:rsidP="00732BB3">
      <w:pPr>
        <w:spacing w:after="0"/>
        <w:rPr>
          <w:b/>
          <w:sz w:val="24"/>
          <w:szCs w:val="24"/>
        </w:rPr>
      </w:pPr>
      <w:r w:rsidRPr="004C21D3">
        <w:rPr>
          <w:b/>
          <w:sz w:val="24"/>
          <w:szCs w:val="24"/>
        </w:rPr>
        <w:t xml:space="preserve">Attachment </w:t>
      </w:r>
      <w:r>
        <w:rPr>
          <w:b/>
          <w:sz w:val="24"/>
          <w:szCs w:val="24"/>
        </w:rPr>
        <w:t xml:space="preserve">12 </w:t>
      </w:r>
      <w:r w:rsidR="00BD3D0F">
        <w:rPr>
          <w:b/>
          <w:sz w:val="24"/>
          <w:szCs w:val="24"/>
        </w:rPr>
        <w:t xml:space="preserve">ALS </w:t>
      </w:r>
      <w:r w:rsidRPr="00A75C60">
        <w:rPr>
          <w:sz w:val="24"/>
          <w:szCs w:val="24"/>
        </w:rPr>
        <w:t>Biorepository Form</w:t>
      </w:r>
      <w:r w:rsidR="00732BB3">
        <w:rPr>
          <w:sz w:val="24"/>
          <w:szCs w:val="24"/>
        </w:rPr>
        <w:t xml:space="preserve">s and Instructions </w:t>
      </w:r>
      <w:r w:rsidR="00732BB3" w:rsidRPr="00732BB3">
        <w:rPr>
          <w:b/>
          <w:sz w:val="24"/>
          <w:szCs w:val="24"/>
        </w:rPr>
        <w:t xml:space="preserve"> </w:t>
      </w:r>
    </w:p>
    <w:p w14:paraId="122E5F62" w14:textId="0F444E95" w:rsidR="00732BB3" w:rsidRDefault="00732BB3" w:rsidP="00732BB3">
      <w:pPr>
        <w:spacing w:after="0"/>
        <w:rPr>
          <w:sz w:val="24"/>
          <w:szCs w:val="24"/>
        </w:rPr>
      </w:pPr>
      <w:r>
        <w:rPr>
          <w:b/>
          <w:sz w:val="24"/>
          <w:szCs w:val="24"/>
        </w:rPr>
        <w:t xml:space="preserve">           </w:t>
      </w:r>
      <w:r w:rsidRPr="00B72C7A">
        <w:rPr>
          <w:b/>
          <w:sz w:val="24"/>
          <w:szCs w:val="24"/>
        </w:rPr>
        <w:t>Attachment 12A</w:t>
      </w:r>
      <w:r>
        <w:rPr>
          <w:sz w:val="24"/>
          <w:szCs w:val="24"/>
        </w:rPr>
        <w:t xml:space="preserve"> </w:t>
      </w:r>
      <w:r w:rsidRPr="0029622C">
        <w:rPr>
          <w:sz w:val="24"/>
          <w:szCs w:val="24"/>
        </w:rPr>
        <w:t>ALS Biorepository Specimen</w:t>
      </w:r>
      <w:r w:rsidRPr="00A75C60">
        <w:rPr>
          <w:sz w:val="24"/>
          <w:szCs w:val="24"/>
        </w:rPr>
        <w:t xml:space="preserve"> Processing Form</w:t>
      </w:r>
    </w:p>
    <w:p w14:paraId="6FEC044B" w14:textId="180DDD9E" w:rsidR="002E1563" w:rsidRPr="00A75C60" w:rsidRDefault="00732BB3" w:rsidP="00732BB3">
      <w:pPr>
        <w:spacing w:after="0"/>
        <w:rPr>
          <w:sz w:val="24"/>
          <w:szCs w:val="24"/>
        </w:rPr>
      </w:pPr>
      <w:r>
        <w:rPr>
          <w:sz w:val="24"/>
          <w:szCs w:val="24"/>
        </w:rPr>
        <w:t xml:space="preserve">           </w:t>
      </w:r>
      <w:r w:rsidRPr="00B72C7A">
        <w:rPr>
          <w:b/>
          <w:sz w:val="24"/>
          <w:szCs w:val="24"/>
        </w:rPr>
        <w:t>Attachment 12B</w:t>
      </w:r>
      <w:r>
        <w:rPr>
          <w:sz w:val="24"/>
          <w:szCs w:val="24"/>
        </w:rPr>
        <w:t xml:space="preserve"> ALS Biorepository Saliva Collection Instructions</w:t>
      </w:r>
    </w:p>
    <w:p w14:paraId="670C5BFF" w14:textId="77777777" w:rsidR="00B03B32" w:rsidRDefault="00B03B32" w:rsidP="00B03B32">
      <w:pPr>
        <w:spacing w:after="0"/>
        <w:rPr>
          <w:sz w:val="24"/>
          <w:szCs w:val="24"/>
        </w:rPr>
      </w:pPr>
      <w:r w:rsidRPr="00FD4E93">
        <w:rPr>
          <w:b/>
          <w:sz w:val="24"/>
          <w:szCs w:val="24"/>
        </w:rPr>
        <w:t>Attachment 13</w:t>
      </w:r>
      <w:r>
        <w:rPr>
          <w:sz w:val="24"/>
          <w:szCs w:val="24"/>
        </w:rPr>
        <w:t xml:space="preserve"> Service Organization Forms</w:t>
      </w:r>
    </w:p>
    <w:p w14:paraId="6032380D" w14:textId="7C40D4BE" w:rsidR="00B03B32" w:rsidRDefault="00B03B32" w:rsidP="00B03B32">
      <w:pPr>
        <w:spacing w:after="0"/>
        <w:rPr>
          <w:b/>
          <w:sz w:val="24"/>
          <w:szCs w:val="24"/>
        </w:rPr>
      </w:pPr>
      <w:r>
        <w:rPr>
          <w:sz w:val="24"/>
          <w:szCs w:val="24"/>
        </w:rPr>
        <w:tab/>
      </w:r>
      <w:r w:rsidRPr="00FD4E93">
        <w:rPr>
          <w:b/>
          <w:sz w:val="24"/>
          <w:szCs w:val="24"/>
        </w:rPr>
        <w:t>Attachment 13</w:t>
      </w:r>
      <w:r>
        <w:rPr>
          <w:b/>
          <w:sz w:val="24"/>
          <w:szCs w:val="24"/>
        </w:rPr>
        <w:t xml:space="preserve">A </w:t>
      </w:r>
      <w:r>
        <w:rPr>
          <w:sz w:val="24"/>
          <w:szCs w:val="24"/>
        </w:rPr>
        <w:t>Outreach Reporting Form</w:t>
      </w:r>
      <w:r w:rsidRPr="00FD4E93">
        <w:rPr>
          <w:sz w:val="24"/>
          <w:szCs w:val="24"/>
        </w:rPr>
        <w:t xml:space="preserve"> for Chapters and Districts</w:t>
      </w:r>
    </w:p>
    <w:p w14:paraId="481D7A8F" w14:textId="01EAF809" w:rsidR="005B7CD5" w:rsidRPr="00A75C60" w:rsidRDefault="00B03B32" w:rsidP="00B03B32">
      <w:pPr>
        <w:spacing w:after="0"/>
        <w:ind w:firstLine="720"/>
        <w:rPr>
          <w:sz w:val="24"/>
          <w:szCs w:val="24"/>
        </w:rPr>
      </w:pPr>
      <w:r w:rsidRPr="00FD4E93">
        <w:rPr>
          <w:b/>
          <w:sz w:val="24"/>
          <w:szCs w:val="24"/>
        </w:rPr>
        <w:t>Attachment 13</w:t>
      </w:r>
      <w:r>
        <w:rPr>
          <w:b/>
          <w:sz w:val="24"/>
          <w:szCs w:val="24"/>
        </w:rPr>
        <w:t xml:space="preserve">B </w:t>
      </w:r>
      <w:r>
        <w:rPr>
          <w:sz w:val="24"/>
          <w:szCs w:val="24"/>
        </w:rPr>
        <w:t>Outreach Reporting Form for National Offices</w:t>
      </w:r>
    </w:p>
    <w:p w14:paraId="36326EE5" w14:textId="1F5F1A28" w:rsidR="00A76C6D" w:rsidRPr="00832F64" w:rsidRDefault="00832F64" w:rsidP="002025DF">
      <w:pPr>
        <w:rPr>
          <w:sz w:val="24"/>
          <w:szCs w:val="24"/>
        </w:rPr>
      </w:pPr>
      <w:r>
        <w:rPr>
          <w:b/>
          <w:sz w:val="24"/>
          <w:szCs w:val="24"/>
        </w:rPr>
        <w:t xml:space="preserve">Attachment 14 </w:t>
      </w:r>
      <w:r w:rsidRPr="00832F64">
        <w:rPr>
          <w:sz w:val="24"/>
          <w:szCs w:val="24"/>
        </w:rPr>
        <w:t>National ALS Biorepository Pilot Study Summary Report</w:t>
      </w:r>
    </w:p>
    <w:p w14:paraId="2A1B37C7" w14:textId="1E7B244F" w:rsidR="00832F64" w:rsidRPr="00832F64" w:rsidRDefault="00832F64" w:rsidP="00832F64">
      <w:pPr>
        <w:tabs>
          <w:tab w:val="left" w:pos="6990"/>
        </w:tabs>
        <w:rPr>
          <w:sz w:val="24"/>
          <w:szCs w:val="24"/>
        </w:rPr>
      </w:pPr>
      <w:r>
        <w:rPr>
          <w:sz w:val="24"/>
          <w:szCs w:val="24"/>
        </w:rPr>
        <w:tab/>
      </w:r>
    </w:p>
    <w:p w14:paraId="631101EA" w14:textId="77777777" w:rsidR="002025DF" w:rsidRPr="00E707C0" w:rsidRDefault="002025DF" w:rsidP="002025DF">
      <w:pPr>
        <w:rPr>
          <w:rFonts w:ascii="Cambria" w:hAnsi="Cambria"/>
          <w:sz w:val="36"/>
          <w:szCs w:val="36"/>
        </w:rPr>
      </w:pPr>
    </w:p>
    <w:p w14:paraId="14463714" w14:textId="77777777" w:rsidR="00984634" w:rsidRPr="00E707C0" w:rsidRDefault="00984634" w:rsidP="00984634"/>
    <w:sectPr w:rsidR="00984634" w:rsidRPr="00E707C0" w:rsidSect="00971DE4">
      <w:headerReference w:type="even" r:id="rId22"/>
      <w:headerReference w:type="default" r:id="rId23"/>
      <w:footerReference w:type="even" r:id="rId24"/>
      <w:footerReference w:type="default" r:id="rId25"/>
      <w:headerReference w:type="first" r:id="rId26"/>
      <w:footerReference w:type="first" r:id="rId27"/>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EE2C8" w14:textId="77777777" w:rsidR="00E30E9D" w:rsidRDefault="00E30E9D" w:rsidP="008B5D54">
      <w:r>
        <w:separator/>
      </w:r>
    </w:p>
  </w:endnote>
  <w:endnote w:type="continuationSeparator" w:id="0">
    <w:p w14:paraId="444FCBE9" w14:textId="77777777" w:rsidR="00E30E9D" w:rsidRDefault="00E30E9D"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4462511"/>
      <w:docPartObj>
        <w:docPartGallery w:val="Page Numbers (Bottom of Page)"/>
        <w:docPartUnique/>
      </w:docPartObj>
    </w:sdtPr>
    <w:sdtEndPr>
      <w:rPr>
        <w:noProof/>
      </w:rPr>
    </w:sdtEndPr>
    <w:sdtContent>
      <w:p w14:paraId="42EB2FC6" w14:textId="054B5F8A" w:rsidR="00E30E9D" w:rsidRDefault="00E30E9D">
        <w:pPr>
          <w:pStyle w:val="Footer"/>
          <w:jc w:val="right"/>
        </w:pPr>
        <w:r>
          <w:fldChar w:fldCharType="begin"/>
        </w:r>
        <w:r>
          <w:instrText xml:space="preserve"> PAGE   \* MERGEFORMAT </w:instrText>
        </w:r>
        <w:r>
          <w:fldChar w:fldCharType="separate"/>
        </w:r>
        <w:r w:rsidR="008A489C">
          <w:rPr>
            <w:noProof/>
          </w:rPr>
          <w:t>11</w:t>
        </w:r>
        <w:r>
          <w:rPr>
            <w:noProof/>
          </w:rPr>
          <w:fldChar w:fldCharType="end"/>
        </w:r>
      </w:p>
    </w:sdtContent>
  </w:sdt>
  <w:p w14:paraId="7F282073" w14:textId="77777777" w:rsidR="00E30E9D" w:rsidRDefault="00E30E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21A49" w14:textId="77777777" w:rsidR="00E30E9D" w:rsidRDefault="00E30E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9E56F" w14:textId="77777777" w:rsidR="00E30E9D" w:rsidRDefault="00E30E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62D04" w14:textId="77777777" w:rsidR="00E30E9D" w:rsidRDefault="00E30E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1E62A" w14:textId="77777777" w:rsidR="00E30E9D" w:rsidRDefault="00E30E9D" w:rsidP="008B5D54">
      <w:r>
        <w:separator/>
      </w:r>
    </w:p>
  </w:footnote>
  <w:footnote w:type="continuationSeparator" w:id="0">
    <w:p w14:paraId="4B8B356E" w14:textId="77777777" w:rsidR="00E30E9D" w:rsidRDefault="00E30E9D"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97F75" w14:textId="77777777" w:rsidR="00E30E9D" w:rsidRDefault="00E30E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16324" w14:textId="77777777" w:rsidR="00E30E9D" w:rsidRDefault="00E30E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E47AB" w14:textId="77777777" w:rsidR="00E30E9D" w:rsidRDefault="00E30E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06343"/>
    <w:multiLevelType w:val="hybridMultilevel"/>
    <w:tmpl w:val="9D3A260A"/>
    <w:lvl w:ilvl="0" w:tplc="B9F22512">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6FB6907"/>
    <w:multiLevelType w:val="multilevel"/>
    <w:tmpl w:val="F2CA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0E51F54"/>
    <w:multiLevelType w:val="hybridMultilevel"/>
    <w:tmpl w:val="5DE0B8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71C690C"/>
    <w:multiLevelType w:val="hybridMultilevel"/>
    <w:tmpl w:val="9ED271D8"/>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772F53"/>
    <w:multiLevelType w:val="hybridMultilevel"/>
    <w:tmpl w:val="6B0ACCAC"/>
    <w:lvl w:ilvl="0" w:tplc="D636896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3B3126"/>
    <w:multiLevelType w:val="hybridMultilevel"/>
    <w:tmpl w:val="9CF4DBA8"/>
    <w:lvl w:ilvl="0" w:tplc="D636896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091C13"/>
    <w:multiLevelType w:val="hybridMultilevel"/>
    <w:tmpl w:val="290C3C0A"/>
    <w:lvl w:ilvl="0" w:tplc="C71AC5C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392FFA"/>
    <w:multiLevelType w:val="hybridMultilevel"/>
    <w:tmpl w:val="ABC0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BC33C0"/>
    <w:multiLevelType w:val="hybridMultilevel"/>
    <w:tmpl w:val="2D0A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3C7A68"/>
    <w:multiLevelType w:val="hybridMultilevel"/>
    <w:tmpl w:val="F976A79A"/>
    <w:lvl w:ilvl="0" w:tplc="2DA8EFB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12142B"/>
    <w:multiLevelType w:val="hybridMultilevel"/>
    <w:tmpl w:val="B7E0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13"/>
  </w:num>
  <w:num w:numId="12">
    <w:abstractNumId w:val="9"/>
  </w:num>
  <w:num w:numId="13">
    <w:abstractNumId w:val="14"/>
  </w:num>
  <w:num w:numId="14">
    <w:abstractNumId w:val="11"/>
  </w:num>
  <w:num w:numId="15">
    <w:abstractNumId w:val="10"/>
  </w:num>
  <w:num w:numId="16">
    <w:abstractNumId w:val="8"/>
  </w:num>
  <w:num w:numId="17">
    <w:abstractNumId w:val="0"/>
  </w:num>
  <w:num w:numId="18">
    <w:abstractNumId w:val="7"/>
  </w:num>
  <w:num w:numId="19">
    <w:abstractNumId w:val="12"/>
  </w:num>
  <w:num w:numId="20">
    <w:abstractNumId w:val="5"/>
  </w:num>
  <w:num w:numId="21">
    <w:abstractNumId w:val="6"/>
  </w:num>
  <w:num w:numId="22">
    <w:abstractNumId w:val="4"/>
  </w:num>
  <w:num w:numId="23">
    <w:abstractNumId w:val="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oNotDisplayPageBoundaries/>
  <w:trackRevisions/>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02"/>
    <w:rsid w:val="00001F13"/>
    <w:rsid w:val="00006EDD"/>
    <w:rsid w:val="00016F8C"/>
    <w:rsid w:val="00020C74"/>
    <w:rsid w:val="00021C19"/>
    <w:rsid w:val="00026C52"/>
    <w:rsid w:val="000329FE"/>
    <w:rsid w:val="000337CA"/>
    <w:rsid w:val="000413E6"/>
    <w:rsid w:val="00051245"/>
    <w:rsid w:val="00087997"/>
    <w:rsid w:val="00092954"/>
    <w:rsid w:val="000B0740"/>
    <w:rsid w:val="000B39C8"/>
    <w:rsid w:val="000B76B5"/>
    <w:rsid w:val="000D3C05"/>
    <w:rsid w:val="000D41A0"/>
    <w:rsid w:val="00101123"/>
    <w:rsid w:val="00115B2E"/>
    <w:rsid w:val="00117035"/>
    <w:rsid w:val="00120831"/>
    <w:rsid w:val="00133503"/>
    <w:rsid w:val="0013503C"/>
    <w:rsid w:val="00143D86"/>
    <w:rsid w:val="00156EEB"/>
    <w:rsid w:val="00196116"/>
    <w:rsid w:val="001C121D"/>
    <w:rsid w:val="001C2319"/>
    <w:rsid w:val="001D525B"/>
    <w:rsid w:val="001F22D4"/>
    <w:rsid w:val="001F4FCC"/>
    <w:rsid w:val="001F57AD"/>
    <w:rsid w:val="002025DF"/>
    <w:rsid w:val="00212BFA"/>
    <w:rsid w:val="00225DA9"/>
    <w:rsid w:val="0026201D"/>
    <w:rsid w:val="002751FF"/>
    <w:rsid w:val="00277C34"/>
    <w:rsid w:val="002869DD"/>
    <w:rsid w:val="00286C60"/>
    <w:rsid w:val="002A0A94"/>
    <w:rsid w:val="002D0271"/>
    <w:rsid w:val="002D677D"/>
    <w:rsid w:val="002E1563"/>
    <w:rsid w:val="002E4D3A"/>
    <w:rsid w:val="003059A1"/>
    <w:rsid w:val="00311E7C"/>
    <w:rsid w:val="0031214F"/>
    <w:rsid w:val="00313217"/>
    <w:rsid w:val="003305CC"/>
    <w:rsid w:val="00330F29"/>
    <w:rsid w:val="003404B3"/>
    <w:rsid w:val="003567AB"/>
    <w:rsid w:val="00357163"/>
    <w:rsid w:val="00366A1F"/>
    <w:rsid w:val="003841FD"/>
    <w:rsid w:val="003912B1"/>
    <w:rsid w:val="003A034C"/>
    <w:rsid w:val="003C3345"/>
    <w:rsid w:val="003E6140"/>
    <w:rsid w:val="00401013"/>
    <w:rsid w:val="00424DB7"/>
    <w:rsid w:val="00425A8D"/>
    <w:rsid w:val="00466EC6"/>
    <w:rsid w:val="00481657"/>
    <w:rsid w:val="004A7B18"/>
    <w:rsid w:val="004C0740"/>
    <w:rsid w:val="004F0BE4"/>
    <w:rsid w:val="00500B15"/>
    <w:rsid w:val="00501185"/>
    <w:rsid w:val="00521495"/>
    <w:rsid w:val="00522073"/>
    <w:rsid w:val="005277BF"/>
    <w:rsid w:val="0054534B"/>
    <w:rsid w:val="00551CAC"/>
    <w:rsid w:val="005624FE"/>
    <w:rsid w:val="00575177"/>
    <w:rsid w:val="00576193"/>
    <w:rsid w:val="005B7CD5"/>
    <w:rsid w:val="005C1335"/>
    <w:rsid w:val="005C46C4"/>
    <w:rsid w:val="005D2EAC"/>
    <w:rsid w:val="005D5083"/>
    <w:rsid w:val="00601C41"/>
    <w:rsid w:val="00605765"/>
    <w:rsid w:val="006307F9"/>
    <w:rsid w:val="0063246A"/>
    <w:rsid w:val="00643918"/>
    <w:rsid w:val="006560B1"/>
    <w:rsid w:val="006958D8"/>
    <w:rsid w:val="006C6578"/>
    <w:rsid w:val="006E3675"/>
    <w:rsid w:val="006F2ABA"/>
    <w:rsid w:val="0070554F"/>
    <w:rsid w:val="00715BEC"/>
    <w:rsid w:val="00717257"/>
    <w:rsid w:val="007241F8"/>
    <w:rsid w:val="00727BD6"/>
    <w:rsid w:val="00732BB3"/>
    <w:rsid w:val="00747A29"/>
    <w:rsid w:val="00754B3D"/>
    <w:rsid w:val="00754E9C"/>
    <w:rsid w:val="00757740"/>
    <w:rsid w:val="007908C0"/>
    <w:rsid w:val="00792A59"/>
    <w:rsid w:val="00792E16"/>
    <w:rsid w:val="00796D76"/>
    <w:rsid w:val="007A217A"/>
    <w:rsid w:val="007A3BC9"/>
    <w:rsid w:val="007A4D57"/>
    <w:rsid w:val="007B2BCB"/>
    <w:rsid w:val="007B7F20"/>
    <w:rsid w:val="007D595C"/>
    <w:rsid w:val="007E4647"/>
    <w:rsid w:val="007F0E10"/>
    <w:rsid w:val="00832EEE"/>
    <w:rsid w:val="00832F64"/>
    <w:rsid w:val="0083397B"/>
    <w:rsid w:val="00841C00"/>
    <w:rsid w:val="008861AB"/>
    <w:rsid w:val="008A13CA"/>
    <w:rsid w:val="008A489C"/>
    <w:rsid w:val="008B5D54"/>
    <w:rsid w:val="008C71EF"/>
    <w:rsid w:val="008D0F27"/>
    <w:rsid w:val="008D3569"/>
    <w:rsid w:val="008D3BE8"/>
    <w:rsid w:val="008E6F77"/>
    <w:rsid w:val="008F28C4"/>
    <w:rsid w:val="00913E9F"/>
    <w:rsid w:val="00921257"/>
    <w:rsid w:val="00922439"/>
    <w:rsid w:val="00935FD5"/>
    <w:rsid w:val="00950258"/>
    <w:rsid w:val="00965C2A"/>
    <w:rsid w:val="00971DE4"/>
    <w:rsid w:val="00976C14"/>
    <w:rsid w:val="00984634"/>
    <w:rsid w:val="009A3ABC"/>
    <w:rsid w:val="009C2F5A"/>
    <w:rsid w:val="00A0008C"/>
    <w:rsid w:val="00A126DE"/>
    <w:rsid w:val="00A35DFF"/>
    <w:rsid w:val="00A5280D"/>
    <w:rsid w:val="00A72DD6"/>
    <w:rsid w:val="00A76C6D"/>
    <w:rsid w:val="00A9484B"/>
    <w:rsid w:val="00A97A5B"/>
    <w:rsid w:val="00AC3B7E"/>
    <w:rsid w:val="00AC4C54"/>
    <w:rsid w:val="00AE1905"/>
    <w:rsid w:val="00AE2F5E"/>
    <w:rsid w:val="00B03B32"/>
    <w:rsid w:val="00B057E9"/>
    <w:rsid w:val="00B20800"/>
    <w:rsid w:val="00B21D28"/>
    <w:rsid w:val="00B31F1B"/>
    <w:rsid w:val="00B45002"/>
    <w:rsid w:val="00B5171E"/>
    <w:rsid w:val="00B55735"/>
    <w:rsid w:val="00B608AC"/>
    <w:rsid w:val="00B73D70"/>
    <w:rsid w:val="00B8126A"/>
    <w:rsid w:val="00B812AA"/>
    <w:rsid w:val="00BA1D4B"/>
    <w:rsid w:val="00BA2DBE"/>
    <w:rsid w:val="00BA30FE"/>
    <w:rsid w:val="00BA5D6C"/>
    <w:rsid w:val="00BB495F"/>
    <w:rsid w:val="00BB4F0E"/>
    <w:rsid w:val="00BD2639"/>
    <w:rsid w:val="00BD3D0F"/>
    <w:rsid w:val="00BD51A0"/>
    <w:rsid w:val="00BE1F46"/>
    <w:rsid w:val="00BE49B6"/>
    <w:rsid w:val="00BE60BF"/>
    <w:rsid w:val="00BE6EA2"/>
    <w:rsid w:val="00BF13D5"/>
    <w:rsid w:val="00BF527E"/>
    <w:rsid w:val="00C436AA"/>
    <w:rsid w:val="00C43C7C"/>
    <w:rsid w:val="00C80860"/>
    <w:rsid w:val="00C912F5"/>
    <w:rsid w:val="00C929D2"/>
    <w:rsid w:val="00CA1403"/>
    <w:rsid w:val="00CD095B"/>
    <w:rsid w:val="00CD0E02"/>
    <w:rsid w:val="00CD43F6"/>
    <w:rsid w:val="00CF1DCB"/>
    <w:rsid w:val="00D04852"/>
    <w:rsid w:val="00D0744A"/>
    <w:rsid w:val="00D10E61"/>
    <w:rsid w:val="00D14114"/>
    <w:rsid w:val="00D27566"/>
    <w:rsid w:val="00D33AE3"/>
    <w:rsid w:val="00D42FC2"/>
    <w:rsid w:val="00D479BA"/>
    <w:rsid w:val="00D51349"/>
    <w:rsid w:val="00D80142"/>
    <w:rsid w:val="00D813EA"/>
    <w:rsid w:val="00D9337C"/>
    <w:rsid w:val="00D97985"/>
    <w:rsid w:val="00DA4ADD"/>
    <w:rsid w:val="00DA796B"/>
    <w:rsid w:val="00DC57CC"/>
    <w:rsid w:val="00DD2606"/>
    <w:rsid w:val="00DD7443"/>
    <w:rsid w:val="00DE362E"/>
    <w:rsid w:val="00E0795C"/>
    <w:rsid w:val="00E119F5"/>
    <w:rsid w:val="00E2405B"/>
    <w:rsid w:val="00E30E9D"/>
    <w:rsid w:val="00E410B4"/>
    <w:rsid w:val="00E5157D"/>
    <w:rsid w:val="00E632AF"/>
    <w:rsid w:val="00E707C0"/>
    <w:rsid w:val="00E7142F"/>
    <w:rsid w:val="00E73C95"/>
    <w:rsid w:val="00E83E03"/>
    <w:rsid w:val="00E9523E"/>
    <w:rsid w:val="00EA6E06"/>
    <w:rsid w:val="00EC491F"/>
    <w:rsid w:val="00ED463E"/>
    <w:rsid w:val="00EF0B5A"/>
    <w:rsid w:val="00EF2494"/>
    <w:rsid w:val="00EF5132"/>
    <w:rsid w:val="00F5080B"/>
    <w:rsid w:val="00F56374"/>
    <w:rsid w:val="00F566AB"/>
    <w:rsid w:val="00F61059"/>
    <w:rsid w:val="00F774A9"/>
    <w:rsid w:val="00F845F2"/>
    <w:rsid w:val="00F92495"/>
    <w:rsid w:val="00FA2BB6"/>
    <w:rsid w:val="00FA64B7"/>
    <w:rsid w:val="00FA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0943035"/>
  <w15:docId w15:val="{F9605D65-C5A9-4A19-B319-3609FEBC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99"/>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paragraph" w:styleId="Revision">
    <w:name w:val="Revision"/>
    <w:hidden/>
    <w:uiPriority w:val="99"/>
    <w:semiHidden/>
    <w:rsid w:val="002E15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642590">
      <w:bodyDiv w:val="1"/>
      <w:marLeft w:val="0"/>
      <w:marRight w:val="0"/>
      <w:marTop w:val="0"/>
      <w:marBottom w:val="0"/>
      <w:divBdr>
        <w:top w:val="none" w:sz="0" w:space="0" w:color="auto"/>
        <w:left w:val="none" w:sz="0" w:space="0" w:color="auto"/>
        <w:bottom w:val="none" w:sz="0" w:space="0" w:color="auto"/>
        <w:right w:val="none" w:sz="0" w:space="0" w:color="auto"/>
      </w:divBdr>
    </w:div>
    <w:div w:id="896665966">
      <w:bodyDiv w:val="1"/>
      <w:marLeft w:val="0"/>
      <w:marRight w:val="0"/>
      <w:marTop w:val="0"/>
      <w:marBottom w:val="0"/>
      <w:divBdr>
        <w:top w:val="none" w:sz="0" w:space="0" w:color="auto"/>
        <w:left w:val="none" w:sz="0" w:space="0" w:color="auto"/>
        <w:bottom w:val="none" w:sz="0" w:space="0" w:color="auto"/>
        <w:right w:val="none" w:sz="0" w:space="0" w:color="auto"/>
      </w:divBdr>
    </w:div>
    <w:div w:id="1129133369">
      <w:bodyDiv w:val="1"/>
      <w:marLeft w:val="0"/>
      <w:marRight w:val="0"/>
      <w:marTop w:val="0"/>
      <w:marBottom w:val="0"/>
      <w:divBdr>
        <w:top w:val="none" w:sz="0" w:space="0" w:color="auto"/>
        <w:left w:val="none" w:sz="0" w:space="0" w:color="auto"/>
        <w:bottom w:val="none" w:sz="0" w:space="0" w:color="auto"/>
        <w:right w:val="none" w:sz="0" w:space="0" w:color="auto"/>
      </w:divBdr>
    </w:div>
    <w:div w:id="1443525409">
      <w:bodyDiv w:val="1"/>
      <w:marLeft w:val="0"/>
      <w:marRight w:val="0"/>
      <w:marTop w:val="0"/>
      <w:marBottom w:val="0"/>
      <w:divBdr>
        <w:top w:val="none" w:sz="0" w:space="0" w:color="auto"/>
        <w:left w:val="none" w:sz="0" w:space="0" w:color="auto"/>
        <w:bottom w:val="none" w:sz="0" w:space="0" w:color="auto"/>
        <w:right w:val="none" w:sz="0" w:space="0" w:color="auto"/>
      </w:divBdr>
    </w:div>
    <w:div w:id="195693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um4@cdc.gov" TargetMode="External"/><Relationship Id="rId13" Type="http://schemas.openxmlformats.org/officeDocument/2006/relationships/hyperlink" Target="mailto:lbn4@cdc.gov" TargetMode="External"/><Relationship Id="rId18" Type="http://schemas.openxmlformats.org/officeDocument/2006/relationships/hyperlink" Target="mailto:wek1@cdc.gov"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dx.doi.org/10.%203109/21678421.2015.1074699"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pum4@cdc.gov"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lnelson@stanford.edu" TargetMode="External"/><Relationship Id="rId20" Type="http://schemas.openxmlformats.org/officeDocument/2006/relationships/hyperlink" Target="http://dx.doi.org/10.1002/mus.2448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da.org/disease/amyotrophic-lateral-sclerosi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thl3@cdc.gov"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alsa.org/research/" TargetMode="External"/><Relationship Id="rId19" Type="http://schemas.openxmlformats.org/officeDocument/2006/relationships/hyperlink" Target="http://dx.doi.org/10.3109/2%201678421.2014.887119" TargetMode="External"/><Relationship Id="rId4" Type="http://schemas.openxmlformats.org/officeDocument/2006/relationships/settings" Target="settings.xml"/><Relationship Id="rId9" Type="http://schemas.openxmlformats.org/officeDocument/2006/relationships/hyperlink" Target="http://www.cdc.gov/als" TargetMode="External"/><Relationship Id="rId14" Type="http://schemas.openxmlformats.org/officeDocument/2006/relationships/hyperlink" Target="mailto:dxw2@cdc.gov" TargetMode="External"/><Relationship Id="rId22" Type="http://schemas.openxmlformats.org/officeDocument/2006/relationships/header" Target="header1.xm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116B7-0D0C-435B-8A9B-D903B989C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3688</Words>
  <Characters>21024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Richardson, Tony (CDC/OD/OADS)</dc:creator>
  <cp:lastModifiedBy>Kaye, Wendy (ATSDR/DTHHS/EHSB) (CTR)</cp:lastModifiedBy>
  <cp:revision>2</cp:revision>
  <cp:lastPrinted>2016-11-02T19:12:00Z</cp:lastPrinted>
  <dcterms:created xsi:type="dcterms:W3CDTF">2016-11-03T16:53:00Z</dcterms:created>
  <dcterms:modified xsi:type="dcterms:W3CDTF">2016-11-03T16:53:00Z</dcterms:modified>
</cp:coreProperties>
</file>