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740F0" w14:textId="77777777" w:rsidR="004A6DE8" w:rsidRDefault="004A6DE8" w:rsidP="00B35EDE">
      <w:pPr>
        <w:spacing w:after="0" w:line="240" w:lineRule="auto"/>
        <w:jc w:val="center"/>
        <w:rPr>
          <w:b/>
        </w:rPr>
      </w:pPr>
    </w:p>
    <w:p w14:paraId="1DB740F1" w14:textId="77777777" w:rsidR="004A6DE8" w:rsidRDefault="004A6DE8" w:rsidP="00B35EDE">
      <w:pPr>
        <w:spacing w:after="0" w:line="240" w:lineRule="auto"/>
        <w:jc w:val="center"/>
        <w:rPr>
          <w:b/>
        </w:rPr>
      </w:pPr>
    </w:p>
    <w:p w14:paraId="6B3B7E26" w14:textId="1DA7B41F" w:rsidR="006A4CC7" w:rsidRDefault="006A4CC7" w:rsidP="00B35EDE">
      <w:pPr>
        <w:spacing w:after="0" w:line="240" w:lineRule="auto"/>
        <w:jc w:val="center"/>
        <w:rPr>
          <w:b/>
        </w:rPr>
      </w:pPr>
    </w:p>
    <w:p w14:paraId="2F7459D9" w14:textId="77777777" w:rsidR="006A4CC7" w:rsidRDefault="006A4CC7" w:rsidP="00B35EDE">
      <w:pPr>
        <w:spacing w:after="0" w:line="240" w:lineRule="auto"/>
        <w:jc w:val="center"/>
        <w:rPr>
          <w:b/>
        </w:rPr>
      </w:pPr>
    </w:p>
    <w:p w14:paraId="1DB740F2" w14:textId="77777777" w:rsidR="004A6DE8" w:rsidRDefault="004A6DE8" w:rsidP="00B35EDE">
      <w:pPr>
        <w:spacing w:after="0" w:line="240" w:lineRule="auto"/>
        <w:jc w:val="center"/>
        <w:rPr>
          <w:b/>
        </w:rPr>
      </w:pPr>
    </w:p>
    <w:p w14:paraId="1DB740F3" w14:textId="77777777" w:rsidR="004A6DE8" w:rsidRDefault="004A6DE8" w:rsidP="00B35EDE">
      <w:pPr>
        <w:spacing w:after="0" w:line="240" w:lineRule="auto"/>
        <w:jc w:val="center"/>
        <w:rPr>
          <w:b/>
        </w:rPr>
      </w:pPr>
    </w:p>
    <w:p w14:paraId="1DB740F5" w14:textId="1C045561" w:rsidR="00CE6C74" w:rsidRDefault="00FB4DEC" w:rsidP="00B35EDE">
      <w:pPr>
        <w:spacing w:after="0" w:line="240" w:lineRule="auto"/>
        <w:jc w:val="center"/>
        <w:rPr>
          <w:b/>
          <w:sz w:val="40"/>
          <w:szCs w:val="40"/>
        </w:rPr>
      </w:pPr>
      <w:proofErr w:type="spellStart"/>
      <w:r w:rsidRPr="00FB4DEC">
        <w:rPr>
          <w:b/>
          <w:sz w:val="40"/>
          <w:szCs w:val="40"/>
        </w:rPr>
        <w:t>Zika</w:t>
      </w:r>
      <w:proofErr w:type="spellEnd"/>
      <w:r w:rsidRPr="00FB4DEC">
        <w:rPr>
          <w:b/>
          <w:sz w:val="40"/>
          <w:szCs w:val="40"/>
        </w:rPr>
        <w:t xml:space="preserve"> virus persistence in body fluids of patients with </w:t>
      </w:r>
      <w:proofErr w:type="spellStart"/>
      <w:r w:rsidRPr="00FB4DEC">
        <w:rPr>
          <w:b/>
          <w:sz w:val="40"/>
          <w:szCs w:val="40"/>
        </w:rPr>
        <w:t>Zika</w:t>
      </w:r>
      <w:proofErr w:type="spellEnd"/>
      <w:r w:rsidRPr="00FB4DEC">
        <w:rPr>
          <w:b/>
          <w:sz w:val="40"/>
          <w:szCs w:val="40"/>
        </w:rPr>
        <w:t xml:space="preserve"> virus infection in Puerto Rico (ZIPER Study)</w:t>
      </w:r>
    </w:p>
    <w:p w14:paraId="3ED211DE" w14:textId="77777777" w:rsidR="00FB4DEC" w:rsidRDefault="00FB4DEC" w:rsidP="00B35EDE">
      <w:pPr>
        <w:spacing w:after="0" w:line="240" w:lineRule="auto"/>
        <w:jc w:val="center"/>
        <w:rPr>
          <w:b/>
        </w:rPr>
      </w:pPr>
    </w:p>
    <w:p w14:paraId="1DB740F6" w14:textId="73792AF0" w:rsidR="004A6DE8" w:rsidRDefault="004A6DE8" w:rsidP="00B35EDE">
      <w:pPr>
        <w:spacing w:after="0" w:line="240" w:lineRule="auto"/>
        <w:jc w:val="center"/>
        <w:rPr>
          <w:sz w:val="32"/>
          <w:szCs w:val="32"/>
        </w:rPr>
      </w:pPr>
      <w:r w:rsidRPr="00164ADC">
        <w:rPr>
          <w:sz w:val="32"/>
          <w:szCs w:val="32"/>
        </w:rPr>
        <w:t>Request for OMB approval of a</w:t>
      </w:r>
      <w:r w:rsidR="00B757DE">
        <w:rPr>
          <w:sz w:val="32"/>
          <w:szCs w:val="32"/>
        </w:rPr>
        <w:t xml:space="preserve"> New</w:t>
      </w:r>
      <w:r w:rsidR="00CE6C74" w:rsidRPr="00164ADC">
        <w:rPr>
          <w:sz w:val="32"/>
          <w:szCs w:val="32"/>
        </w:rPr>
        <w:t xml:space="preserve"> ICR</w:t>
      </w:r>
    </w:p>
    <w:p w14:paraId="324BE5EC" w14:textId="022430BB" w:rsidR="00800A94" w:rsidRPr="00164ADC" w:rsidRDefault="00800A94" w:rsidP="00B35EDE">
      <w:pPr>
        <w:spacing w:after="0" w:line="240" w:lineRule="auto"/>
        <w:jc w:val="center"/>
        <w:rPr>
          <w:sz w:val="32"/>
          <w:szCs w:val="32"/>
        </w:rPr>
      </w:pPr>
    </w:p>
    <w:p w14:paraId="1DB740F7" w14:textId="77777777" w:rsidR="004A6DE8" w:rsidRDefault="004A6DE8" w:rsidP="00B35EDE">
      <w:pPr>
        <w:spacing w:after="0" w:line="240" w:lineRule="auto"/>
        <w:jc w:val="center"/>
        <w:rPr>
          <w:b/>
        </w:rPr>
      </w:pPr>
    </w:p>
    <w:p w14:paraId="2A206302" w14:textId="6A333BE2" w:rsidR="00164ADC" w:rsidRDefault="00164ADC" w:rsidP="00B35EDE">
      <w:pPr>
        <w:spacing w:after="0" w:line="240" w:lineRule="auto"/>
        <w:jc w:val="center"/>
        <w:rPr>
          <w:b/>
        </w:rPr>
      </w:pPr>
    </w:p>
    <w:p w14:paraId="00D799C8" w14:textId="77777777" w:rsidR="00164ADC" w:rsidRDefault="00164ADC" w:rsidP="00B35EDE">
      <w:pPr>
        <w:spacing w:after="0" w:line="240" w:lineRule="auto"/>
        <w:jc w:val="center"/>
        <w:rPr>
          <w:b/>
        </w:rPr>
      </w:pPr>
    </w:p>
    <w:p w14:paraId="2E071666" w14:textId="77777777" w:rsidR="00164ADC" w:rsidRDefault="00164ADC" w:rsidP="00B35EDE">
      <w:pPr>
        <w:spacing w:after="0" w:line="240" w:lineRule="auto"/>
        <w:jc w:val="center"/>
        <w:rPr>
          <w:b/>
        </w:rPr>
      </w:pPr>
    </w:p>
    <w:p w14:paraId="41581270" w14:textId="77777777" w:rsidR="00164ADC" w:rsidRPr="00164ADC" w:rsidRDefault="00164ADC" w:rsidP="00164ADC">
      <w:pPr>
        <w:spacing w:after="0" w:line="240" w:lineRule="auto"/>
        <w:jc w:val="center"/>
        <w:rPr>
          <w:b/>
          <w:sz w:val="32"/>
          <w:szCs w:val="32"/>
        </w:rPr>
      </w:pPr>
      <w:r w:rsidRPr="00164ADC">
        <w:rPr>
          <w:b/>
          <w:sz w:val="32"/>
          <w:szCs w:val="32"/>
        </w:rPr>
        <w:t>Supporting Statement A</w:t>
      </w:r>
    </w:p>
    <w:p w14:paraId="1DB740F9" w14:textId="46EA0C9F" w:rsidR="004A6DE8" w:rsidRDefault="00B4444D" w:rsidP="00B35EDE">
      <w:pPr>
        <w:spacing w:after="0" w:line="240" w:lineRule="auto"/>
        <w:jc w:val="center"/>
        <w:rPr>
          <w:b/>
        </w:rPr>
      </w:pPr>
      <w:r>
        <w:rPr>
          <w:b/>
        </w:rPr>
        <w:fldChar w:fldCharType="begin"/>
      </w:r>
      <w:r>
        <w:rPr>
          <w:b/>
        </w:rPr>
        <w:instrText xml:space="preserve"> DATE \@ "MMMM d, yyyy" </w:instrText>
      </w:r>
      <w:r>
        <w:rPr>
          <w:b/>
        </w:rPr>
        <w:fldChar w:fldCharType="separate"/>
      </w:r>
      <w:r w:rsidR="009B3B61">
        <w:rPr>
          <w:b/>
          <w:noProof/>
        </w:rPr>
        <w:t>September 30, 2016</w:t>
      </w:r>
      <w:r>
        <w:rPr>
          <w:b/>
        </w:rPr>
        <w:fldChar w:fldCharType="end"/>
      </w:r>
    </w:p>
    <w:p w14:paraId="1DB740FA" w14:textId="77777777" w:rsidR="004A6DE8" w:rsidRDefault="004A6DE8" w:rsidP="00B35EDE">
      <w:pPr>
        <w:spacing w:after="0" w:line="240" w:lineRule="auto"/>
        <w:jc w:val="center"/>
        <w:rPr>
          <w:b/>
        </w:rPr>
      </w:pPr>
    </w:p>
    <w:p w14:paraId="1DB740FB" w14:textId="77777777" w:rsidR="004A6DE8" w:rsidRDefault="004A6DE8" w:rsidP="00B35EDE">
      <w:pPr>
        <w:spacing w:after="0" w:line="240" w:lineRule="auto"/>
        <w:jc w:val="center"/>
        <w:rPr>
          <w:b/>
        </w:rPr>
      </w:pPr>
    </w:p>
    <w:p w14:paraId="1DB740FC" w14:textId="77777777" w:rsidR="004A6DE8" w:rsidRDefault="004A6DE8" w:rsidP="00B35EDE">
      <w:pPr>
        <w:spacing w:after="0" w:line="240" w:lineRule="auto"/>
        <w:jc w:val="center"/>
        <w:rPr>
          <w:b/>
        </w:rPr>
      </w:pPr>
    </w:p>
    <w:p w14:paraId="1DB740FD" w14:textId="77777777" w:rsidR="004A6DE8" w:rsidRDefault="004A6DE8" w:rsidP="00B35EDE">
      <w:pPr>
        <w:spacing w:after="0" w:line="240" w:lineRule="auto"/>
        <w:jc w:val="center"/>
        <w:rPr>
          <w:b/>
        </w:rPr>
      </w:pPr>
    </w:p>
    <w:p w14:paraId="1DB740FE" w14:textId="77777777" w:rsidR="004A6DE8" w:rsidRDefault="004A6DE8" w:rsidP="00B35EDE">
      <w:pPr>
        <w:spacing w:after="0" w:line="240" w:lineRule="auto"/>
        <w:jc w:val="center"/>
        <w:rPr>
          <w:b/>
        </w:rPr>
      </w:pPr>
    </w:p>
    <w:p w14:paraId="1DB740FF" w14:textId="77777777" w:rsidR="004A6DE8" w:rsidRDefault="004A6DE8" w:rsidP="00B35EDE">
      <w:pPr>
        <w:spacing w:after="0" w:line="240" w:lineRule="auto"/>
        <w:jc w:val="center"/>
        <w:rPr>
          <w:b/>
        </w:rPr>
      </w:pPr>
    </w:p>
    <w:p w14:paraId="1DB74100" w14:textId="77777777" w:rsidR="004A6DE8" w:rsidRDefault="004A6DE8" w:rsidP="00B35EDE">
      <w:pPr>
        <w:spacing w:after="0" w:line="240" w:lineRule="auto"/>
        <w:jc w:val="center"/>
        <w:rPr>
          <w:b/>
        </w:rPr>
      </w:pPr>
    </w:p>
    <w:p w14:paraId="1DB74102" w14:textId="77777777" w:rsidR="004A6DE8" w:rsidRDefault="004A6DE8" w:rsidP="00B35EDE">
      <w:pPr>
        <w:spacing w:after="0" w:line="240" w:lineRule="auto"/>
        <w:rPr>
          <w:b/>
        </w:rPr>
      </w:pPr>
    </w:p>
    <w:p w14:paraId="1DB74103" w14:textId="77777777" w:rsidR="004A6DE8" w:rsidRPr="00366F20" w:rsidRDefault="004A6DE8" w:rsidP="00B35EDE">
      <w:pPr>
        <w:spacing w:after="0" w:line="240" w:lineRule="auto"/>
        <w:rPr>
          <w:b/>
          <w:vertAlign w:val="subscript"/>
        </w:rPr>
      </w:pPr>
    </w:p>
    <w:p w14:paraId="1DB74104" w14:textId="77777777" w:rsidR="004A6DE8" w:rsidRDefault="004A6DE8" w:rsidP="00B35EDE">
      <w:pPr>
        <w:spacing w:after="0" w:line="240" w:lineRule="auto"/>
        <w:rPr>
          <w:b/>
        </w:rPr>
      </w:pPr>
    </w:p>
    <w:p w14:paraId="1DB74105" w14:textId="77777777" w:rsidR="004A6DE8" w:rsidRDefault="004A6DE8" w:rsidP="00B35EDE">
      <w:pPr>
        <w:spacing w:after="0" w:line="240" w:lineRule="auto"/>
        <w:rPr>
          <w:b/>
        </w:rPr>
      </w:pPr>
    </w:p>
    <w:p w14:paraId="1DB74106" w14:textId="77777777" w:rsidR="004A6DE8" w:rsidRDefault="004A6DE8" w:rsidP="00B35EDE">
      <w:pPr>
        <w:spacing w:after="0" w:line="240" w:lineRule="auto"/>
        <w:rPr>
          <w:b/>
        </w:rPr>
      </w:pPr>
    </w:p>
    <w:p w14:paraId="1DB74107" w14:textId="77777777" w:rsidR="004A6DE8" w:rsidRDefault="004A6DE8" w:rsidP="00B35EDE">
      <w:pPr>
        <w:spacing w:after="0" w:line="240" w:lineRule="auto"/>
        <w:rPr>
          <w:b/>
        </w:rPr>
      </w:pPr>
    </w:p>
    <w:p w14:paraId="1DB74108" w14:textId="77777777" w:rsidR="004A6DE8" w:rsidRDefault="004A6DE8" w:rsidP="00B35EDE">
      <w:pPr>
        <w:spacing w:after="0" w:line="240" w:lineRule="auto"/>
        <w:rPr>
          <w:b/>
        </w:rPr>
      </w:pPr>
    </w:p>
    <w:p w14:paraId="1DB74109" w14:textId="77777777" w:rsidR="004A6DE8" w:rsidRDefault="004A6DE8" w:rsidP="00B35EDE">
      <w:pPr>
        <w:spacing w:after="0" w:line="240" w:lineRule="auto"/>
        <w:rPr>
          <w:b/>
        </w:rPr>
      </w:pPr>
    </w:p>
    <w:p w14:paraId="1DB7410A" w14:textId="77777777" w:rsidR="004A6DE8" w:rsidRDefault="004A6DE8" w:rsidP="00B35EDE">
      <w:pPr>
        <w:spacing w:after="0" w:line="240" w:lineRule="auto"/>
        <w:rPr>
          <w:b/>
        </w:rPr>
      </w:pPr>
    </w:p>
    <w:p w14:paraId="1DB7410B" w14:textId="77777777" w:rsidR="004A6DE8" w:rsidRDefault="004A6DE8" w:rsidP="00B35EDE">
      <w:pPr>
        <w:spacing w:after="0" w:line="240" w:lineRule="auto"/>
        <w:rPr>
          <w:b/>
        </w:rPr>
      </w:pPr>
    </w:p>
    <w:p w14:paraId="1D7A53CB" w14:textId="56BB5608" w:rsidR="006A4CC7" w:rsidRDefault="006A4CC7" w:rsidP="00B35EDE">
      <w:pPr>
        <w:spacing w:after="0" w:line="240" w:lineRule="auto"/>
        <w:rPr>
          <w:b/>
        </w:rPr>
      </w:pPr>
    </w:p>
    <w:p w14:paraId="492CCCD8" w14:textId="77777777" w:rsidR="006A4CC7" w:rsidRDefault="006A4CC7" w:rsidP="00B35EDE">
      <w:pPr>
        <w:spacing w:after="0" w:line="240" w:lineRule="auto"/>
        <w:rPr>
          <w:b/>
        </w:rPr>
      </w:pPr>
    </w:p>
    <w:p w14:paraId="1DB7410C" w14:textId="62CD3E7B" w:rsidR="004A6DE8" w:rsidRDefault="004A6DE8" w:rsidP="00B35EDE">
      <w:pPr>
        <w:spacing w:after="0" w:line="240" w:lineRule="auto"/>
        <w:rPr>
          <w:b/>
        </w:rPr>
      </w:pPr>
    </w:p>
    <w:p w14:paraId="1DB7410D" w14:textId="77777777" w:rsidR="004A6DE8" w:rsidRDefault="004A6DE8" w:rsidP="00B35EDE">
      <w:pPr>
        <w:spacing w:after="0" w:line="240" w:lineRule="auto"/>
        <w:rPr>
          <w:b/>
        </w:rPr>
      </w:pPr>
    </w:p>
    <w:p w14:paraId="1DB7410F" w14:textId="77777777" w:rsidR="004A6DE8" w:rsidRDefault="004A6DE8" w:rsidP="00B35EDE">
      <w:pPr>
        <w:spacing w:after="0" w:line="240" w:lineRule="auto"/>
        <w:rPr>
          <w:b/>
        </w:rPr>
      </w:pPr>
    </w:p>
    <w:p w14:paraId="1DB74118" w14:textId="77777777" w:rsidR="004A6DE8" w:rsidRPr="004A6DE8" w:rsidRDefault="004A6DE8" w:rsidP="00B35EDE">
      <w:pPr>
        <w:spacing w:after="0" w:line="240" w:lineRule="auto"/>
        <w:rPr>
          <w:b/>
        </w:rPr>
      </w:pPr>
      <w:r w:rsidRPr="004A6DE8">
        <w:rPr>
          <w:b/>
        </w:rPr>
        <w:t xml:space="preserve">Contact: </w:t>
      </w:r>
    </w:p>
    <w:p w14:paraId="1DB74119" w14:textId="77777777" w:rsidR="004A6DE8" w:rsidRPr="00C21B01" w:rsidRDefault="004A6DE8" w:rsidP="00B35EDE">
      <w:pPr>
        <w:spacing w:after="0" w:line="240" w:lineRule="auto"/>
      </w:pPr>
      <w:r w:rsidRPr="00C21B01">
        <w:t>Lee Samuel</w:t>
      </w:r>
    </w:p>
    <w:p w14:paraId="1DB7411A" w14:textId="77777777" w:rsidR="004A6DE8" w:rsidRPr="00C21B01" w:rsidRDefault="004A6DE8" w:rsidP="00B35EDE">
      <w:pPr>
        <w:spacing w:after="0" w:line="240" w:lineRule="auto"/>
      </w:pPr>
      <w:r w:rsidRPr="00C21B01">
        <w:t xml:space="preserve">National Center for Emerging and Zoonotic Infectious Diseases </w:t>
      </w:r>
    </w:p>
    <w:p w14:paraId="1DB7411B" w14:textId="77777777" w:rsidR="004A6DE8" w:rsidRPr="00C21B01" w:rsidRDefault="004A6DE8" w:rsidP="00B35EDE">
      <w:pPr>
        <w:spacing w:after="0" w:line="240" w:lineRule="auto"/>
      </w:pPr>
      <w:r w:rsidRPr="00C21B01">
        <w:t xml:space="preserve">Centers for Disease Control and Prevention </w:t>
      </w:r>
    </w:p>
    <w:p w14:paraId="1DB7411C" w14:textId="77777777" w:rsidR="004A6DE8" w:rsidRPr="00C21B01" w:rsidRDefault="00463157" w:rsidP="00B35EDE">
      <w:pPr>
        <w:spacing w:after="0" w:line="240" w:lineRule="auto"/>
      </w:pPr>
      <w:r w:rsidRPr="00C21B01">
        <w:t>1600 Clifton Road, N</w:t>
      </w:r>
      <w:r w:rsidR="004A6DE8" w:rsidRPr="00C21B01">
        <w:t xml:space="preserve">E </w:t>
      </w:r>
    </w:p>
    <w:p w14:paraId="1DB7411D" w14:textId="77777777" w:rsidR="004A6DE8" w:rsidRPr="00C21B01" w:rsidRDefault="004A6DE8" w:rsidP="00B35EDE">
      <w:pPr>
        <w:spacing w:after="0" w:line="240" w:lineRule="auto"/>
      </w:pPr>
      <w:r w:rsidRPr="00C21B01">
        <w:t xml:space="preserve">Atlanta, Georgia 30333 </w:t>
      </w:r>
    </w:p>
    <w:p w14:paraId="1DB7411E" w14:textId="77777777" w:rsidR="004A6DE8" w:rsidRPr="00C21B01" w:rsidRDefault="004A6DE8" w:rsidP="00B35EDE">
      <w:pPr>
        <w:spacing w:after="0" w:line="240" w:lineRule="auto"/>
      </w:pPr>
      <w:r w:rsidRPr="00C21B01">
        <w:t xml:space="preserve">Phone: (404) 718-1616 </w:t>
      </w:r>
    </w:p>
    <w:p w14:paraId="1DB7411F" w14:textId="77777777" w:rsidR="004A6DE8" w:rsidRPr="00C21B01" w:rsidRDefault="004A6DE8" w:rsidP="00B35EDE">
      <w:pPr>
        <w:spacing w:after="0" w:line="240" w:lineRule="auto"/>
      </w:pPr>
      <w:r w:rsidRPr="00C21B01">
        <w:t>Email: llj3@cdc.gov</w:t>
      </w:r>
    </w:p>
    <w:sdt>
      <w:sdtPr>
        <w:rPr>
          <w:b w:val="0"/>
          <w:sz w:val="32"/>
          <w:szCs w:val="32"/>
        </w:rPr>
        <w:id w:val="-1949688346"/>
        <w:docPartObj>
          <w:docPartGallery w:val="Table of Contents"/>
          <w:docPartUnique/>
        </w:docPartObj>
      </w:sdtPr>
      <w:sdtEndPr>
        <w:rPr>
          <w:bCs/>
          <w:noProof/>
          <w:sz w:val="24"/>
          <w:szCs w:val="22"/>
        </w:rPr>
      </w:sdtEndPr>
      <w:sdtContent>
        <w:p w14:paraId="1DB74120" w14:textId="77777777" w:rsidR="006E7652" w:rsidRPr="00164ADC" w:rsidRDefault="006E7652" w:rsidP="00B35EDE">
          <w:pPr>
            <w:pStyle w:val="TOCHeading"/>
            <w:numPr>
              <w:ilvl w:val="0"/>
              <w:numId w:val="0"/>
            </w:numPr>
            <w:spacing w:line="240" w:lineRule="auto"/>
            <w:jc w:val="center"/>
            <w:rPr>
              <w:sz w:val="32"/>
              <w:szCs w:val="32"/>
            </w:rPr>
          </w:pPr>
          <w:r w:rsidRPr="00164ADC">
            <w:rPr>
              <w:sz w:val="32"/>
              <w:szCs w:val="32"/>
            </w:rPr>
            <w:t>Table of Contents</w:t>
          </w:r>
        </w:p>
        <w:p w14:paraId="1DB74121" w14:textId="77777777" w:rsidR="006E7652" w:rsidRPr="006E7652" w:rsidRDefault="006E7652" w:rsidP="00B35EDE">
          <w:pPr>
            <w:spacing w:line="240" w:lineRule="auto"/>
          </w:pPr>
        </w:p>
        <w:p w14:paraId="1DB74122" w14:textId="77777777" w:rsidR="006E7652" w:rsidRDefault="006E7652" w:rsidP="00D63A27">
          <w:pPr>
            <w:pStyle w:val="TOC1"/>
            <w:tabs>
              <w:tab w:val="left" w:pos="440"/>
              <w:tab w:val="right" w:leader="dot" w:pos="10070"/>
            </w:tabs>
            <w:spacing w:line="240" w:lineRule="auto"/>
            <w:rPr>
              <w:noProof/>
            </w:rPr>
          </w:pPr>
          <w:r>
            <w:fldChar w:fldCharType="begin"/>
          </w:r>
          <w:r>
            <w:instrText xml:space="preserve"> TOC \o "1-3" \h \z \u </w:instrText>
          </w:r>
          <w:r>
            <w:fldChar w:fldCharType="separate"/>
          </w:r>
          <w:hyperlink w:anchor="_Toc441568620" w:history="1">
            <w:r>
              <w:rPr>
                <w:rStyle w:val="Hyperlink"/>
                <w:noProof/>
              </w:rPr>
              <w:t>1</w:t>
            </w:r>
            <w:r w:rsidRPr="00A60913">
              <w:rPr>
                <w:rStyle w:val="Hyperlink"/>
                <w:noProof/>
              </w:rPr>
              <w:t>.</w:t>
            </w:r>
            <w:r>
              <w:rPr>
                <w:noProof/>
              </w:rPr>
              <w:tab/>
            </w:r>
            <w:r w:rsidRPr="00A60913">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_Toc441568620 \h </w:instrText>
            </w:r>
            <w:r>
              <w:rPr>
                <w:noProof/>
                <w:webHidden/>
              </w:rPr>
            </w:r>
            <w:r>
              <w:rPr>
                <w:noProof/>
                <w:webHidden/>
              </w:rPr>
              <w:fldChar w:fldCharType="separate"/>
            </w:r>
            <w:r w:rsidR="00CC7959">
              <w:rPr>
                <w:noProof/>
                <w:webHidden/>
              </w:rPr>
              <w:t>3</w:t>
            </w:r>
            <w:r>
              <w:rPr>
                <w:noProof/>
                <w:webHidden/>
              </w:rPr>
              <w:fldChar w:fldCharType="end"/>
            </w:r>
          </w:hyperlink>
        </w:p>
        <w:p w14:paraId="1DB74123" w14:textId="77777777" w:rsidR="006E7652" w:rsidRDefault="00FD7F3E" w:rsidP="00D63A27">
          <w:pPr>
            <w:pStyle w:val="TOC1"/>
            <w:tabs>
              <w:tab w:val="left" w:pos="440"/>
              <w:tab w:val="right" w:leader="dot" w:pos="10070"/>
            </w:tabs>
            <w:spacing w:line="240" w:lineRule="auto"/>
            <w:rPr>
              <w:noProof/>
            </w:rPr>
          </w:pPr>
          <w:hyperlink w:anchor="_Toc441568621" w:history="1">
            <w:r w:rsidR="006E7652">
              <w:rPr>
                <w:rStyle w:val="Hyperlink"/>
                <w:noProof/>
              </w:rPr>
              <w:t>2</w:t>
            </w:r>
            <w:r w:rsidR="006E7652" w:rsidRPr="00A60913">
              <w:rPr>
                <w:rStyle w:val="Hyperlink"/>
                <w:noProof/>
              </w:rPr>
              <w:t>.</w:t>
            </w:r>
            <w:r w:rsidR="006E7652">
              <w:rPr>
                <w:noProof/>
              </w:rPr>
              <w:tab/>
            </w:r>
            <w:r w:rsidR="006E7652" w:rsidRPr="00A60913">
              <w:rPr>
                <w:rStyle w:val="Hyperlink"/>
                <w:noProof/>
              </w:rPr>
              <w:t>Purpose and Use of Information Collection</w:t>
            </w:r>
            <w:r w:rsidR="006E7652">
              <w:rPr>
                <w:noProof/>
                <w:webHidden/>
              </w:rPr>
              <w:tab/>
            </w:r>
            <w:r w:rsidR="006E7652">
              <w:rPr>
                <w:noProof/>
                <w:webHidden/>
              </w:rPr>
              <w:fldChar w:fldCharType="begin"/>
            </w:r>
            <w:r w:rsidR="006E7652">
              <w:rPr>
                <w:noProof/>
                <w:webHidden/>
              </w:rPr>
              <w:instrText xml:space="preserve"> PAGEREF _Toc441568621 \h </w:instrText>
            </w:r>
            <w:r w:rsidR="006E7652">
              <w:rPr>
                <w:noProof/>
                <w:webHidden/>
              </w:rPr>
            </w:r>
            <w:r w:rsidR="006E7652">
              <w:rPr>
                <w:noProof/>
                <w:webHidden/>
              </w:rPr>
              <w:fldChar w:fldCharType="separate"/>
            </w:r>
            <w:r w:rsidR="00CC7959">
              <w:rPr>
                <w:noProof/>
                <w:webHidden/>
              </w:rPr>
              <w:t>3</w:t>
            </w:r>
            <w:r w:rsidR="006E7652">
              <w:rPr>
                <w:noProof/>
                <w:webHidden/>
              </w:rPr>
              <w:fldChar w:fldCharType="end"/>
            </w:r>
          </w:hyperlink>
        </w:p>
        <w:p w14:paraId="1DB74124" w14:textId="77777777" w:rsidR="006E7652" w:rsidRDefault="00FD7F3E" w:rsidP="00D63A27">
          <w:pPr>
            <w:pStyle w:val="TOC1"/>
            <w:tabs>
              <w:tab w:val="left" w:pos="440"/>
              <w:tab w:val="right" w:leader="dot" w:pos="10070"/>
            </w:tabs>
            <w:spacing w:line="240" w:lineRule="auto"/>
            <w:rPr>
              <w:noProof/>
            </w:rPr>
          </w:pPr>
          <w:hyperlink w:anchor="_Toc441568622" w:history="1">
            <w:r w:rsidR="006E7652">
              <w:rPr>
                <w:rStyle w:val="Hyperlink"/>
                <w:noProof/>
              </w:rPr>
              <w:t>3</w:t>
            </w:r>
            <w:r w:rsidR="006E7652" w:rsidRPr="00A60913">
              <w:rPr>
                <w:rStyle w:val="Hyperlink"/>
                <w:noProof/>
              </w:rPr>
              <w:t>.</w:t>
            </w:r>
            <w:r w:rsidR="006E7652">
              <w:rPr>
                <w:noProof/>
              </w:rPr>
              <w:tab/>
            </w:r>
            <w:r w:rsidR="006E7652" w:rsidRPr="00A60913">
              <w:rPr>
                <w:rStyle w:val="Hyperlink"/>
                <w:noProof/>
              </w:rPr>
              <w:t>Use of Improved Information Technology and Burden Reduction</w:t>
            </w:r>
            <w:r w:rsidR="006E7652">
              <w:rPr>
                <w:noProof/>
                <w:webHidden/>
              </w:rPr>
              <w:tab/>
            </w:r>
            <w:r w:rsidR="006E7652">
              <w:rPr>
                <w:noProof/>
                <w:webHidden/>
              </w:rPr>
              <w:fldChar w:fldCharType="begin"/>
            </w:r>
            <w:r w:rsidR="006E7652">
              <w:rPr>
                <w:noProof/>
                <w:webHidden/>
              </w:rPr>
              <w:instrText xml:space="preserve"> PAGEREF _Toc441568622 \h </w:instrText>
            </w:r>
            <w:r w:rsidR="006E7652">
              <w:rPr>
                <w:noProof/>
                <w:webHidden/>
              </w:rPr>
            </w:r>
            <w:r w:rsidR="006E7652">
              <w:rPr>
                <w:noProof/>
                <w:webHidden/>
              </w:rPr>
              <w:fldChar w:fldCharType="separate"/>
            </w:r>
            <w:r w:rsidR="00CC7959">
              <w:rPr>
                <w:noProof/>
                <w:webHidden/>
              </w:rPr>
              <w:t>6</w:t>
            </w:r>
            <w:r w:rsidR="006E7652">
              <w:rPr>
                <w:noProof/>
                <w:webHidden/>
              </w:rPr>
              <w:fldChar w:fldCharType="end"/>
            </w:r>
          </w:hyperlink>
        </w:p>
        <w:p w14:paraId="1DB74125" w14:textId="77777777" w:rsidR="006E7652" w:rsidRDefault="00FD7F3E" w:rsidP="00D63A27">
          <w:pPr>
            <w:pStyle w:val="TOC1"/>
            <w:tabs>
              <w:tab w:val="left" w:pos="440"/>
              <w:tab w:val="right" w:leader="dot" w:pos="10070"/>
            </w:tabs>
            <w:spacing w:line="240" w:lineRule="auto"/>
            <w:rPr>
              <w:noProof/>
            </w:rPr>
          </w:pPr>
          <w:hyperlink w:anchor="_Toc441568623" w:history="1">
            <w:r w:rsidR="006E7652">
              <w:rPr>
                <w:rStyle w:val="Hyperlink"/>
                <w:noProof/>
              </w:rPr>
              <w:t>4</w:t>
            </w:r>
            <w:r w:rsidR="006E7652" w:rsidRPr="00A60913">
              <w:rPr>
                <w:rStyle w:val="Hyperlink"/>
                <w:noProof/>
              </w:rPr>
              <w:t>.</w:t>
            </w:r>
            <w:r w:rsidR="006E7652">
              <w:rPr>
                <w:noProof/>
              </w:rPr>
              <w:tab/>
            </w:r>
            <w:r w:rsidR="006E7652" w:rsidRPr="00A60913">
              <w:rPr>
                <w:rStyle w:val="Hyperlink"/>
                <w:noProof/>
              </w:rPr>
              <w:t>Efforts to Identify Duplication and Use of Similar Information</w:t>
            </w:r>
            <w:r w:rsidR="006E7652">
              <w:rPr>
                <w:noProof/>
                <w:webHidden/>
              </w:rPr>
              <w:tab/>
            </w:r>
            <w:r w:rsidR="006E7652">
              <w:rPr>
                <w:noProof/>
                <w:webHidden/>
              </w:rPr>
              <w:fldChar w:fldCharType="begin"/>
            </w:r>
            <w:r w:rsidR="006E7652">
              <w:rPr>
                <w:noProof/>
                <w:webHidden/>
              </w:rPr>
              <w:instrText xml:space="preserve"> PAGEREF _Toc441568623 \h </w:instrText>
            </w:r>
            <w:r w:rsidR="006E7652">
              <w:rPr>
                <w:noProof/>
                <w:webHidden/>
              </w:rPr>
            </w:r>
            <w:r w:rsidR="006E7652">
              <w:rPr>
                <w:noProof/>
                <w:webHidden/>
              </w:rPr>
              <w:fldChar w:fldCharType="separate"/>
            </w:r>
            <w:r w:rsidR="00CC7959">
              <w:rPr>
                <w:noProof/>
                <w:webHidden/>
              </w:rPr>
              <w:t>6</w:t>
            </w:r>
            <w:r w:rsidR="006E7652">
              <w:rPr>
                <w:noProof/>
                <w:webHidden/>
              </w:rPr>
              <w:fldChar w:fldCharType="end"/>
            </w:r>
          </w:hyperlink>
        </w:p>
        <w:p w14:paraId="1DB74126" w14:textId="77777777" w:rsidR="006E7652" w:rsidRDefault="00FD7F3E" w:rsidP="00D63A27">
          <w:pPr>
            <w:pStyle w:val="TOC1"/>
            <w:tabs>
              <w:tab w:val="left" w:pos="440"/>
              <w:tab w:val="right" w:leader="dot" w:pos="10070"/>
            </w:tabs>
            <w:spacing w:line="240" w:lineRule="auto"/>
            <w:rPr>
              <w:noProof/>
            </w:rPr>
          </w:pPr>
          <w:hyperlink w:anchor="_Toc441568624" w:history="1">
            <w:r w:rsidR="006E7652">
              <w:rPr>
                <w:rStyle w:val="Hyperlink"/>
                <w:noProof/>
              </w:rPr>
              <w:t>5</w:t>
            </w:r>
            <w:r w:rsidR="006E7652" w:rsidRPr="00A60913">
              <w:rPr>
                <w:rStyle w:val="Hyperlink"/>
                <w:noProof/>
              </w:rPr>
              <w:t>.</w:t>
            </w:r>
            <w:r w:rsidR="006E7652">
              <w:rPr>
                <w:noProof/>
              </w:rPr>
              <w:tab/>
            </w:r>
            <w:r w:rsidR="006E7652" w:rsidRPr="00A60913">
              <w:rPr>
                <w:rStyle w:val="Hyperlink"/>
                <w:noProof/>
              </w:rPr>
              <w:t>Impact on Small Businesses or Other Small Entities</w:t>
            </w:r>
            <w:r w:rsidR="006E7652">
              <w:rPr>
                <w:noProof/>
                <w:webHidden/>
              </w:rPr>
              <w:tab/>
            </w:r>
            <w:r w:rsidR="006E7652">
              <w:rPr>
                <w:noProof/>
                <w:webHidden/>
              </w:rPr>
              <w:fldChar w:fldCharType="begin"/>
            </w:r>
            <w:r w:rsidR="006E7652">
              <w:rPr>
                <w:noProof/>
                <w:webHidden/>
              </w:rPr>
              <w:instrText xml:space="preserve"> PAGEREF _Toc441568624 \h </w:instrText>
            </w:r>
            <w:r w:rsidR="006E7652">
              <w:rPr>
                <w:noProof/>
                <w:webHidden/>
              </w:rPr>
            </w:r>
            <w:r w:rsidR="006E7652">
              <w:rPr>
                <w:noProof/>
                <w:webHidden/>
              </w:rPr>
              <w:fldChar w:fldCharType="separate"/>
            </w:r>
            <w:r w:rsidR="00CC7959">
              <w:rPr>
                <w:noProof/>
                <w:webHidden/>
              </w:rPr>
              <w:t>6</w:t>
            </w:r>
            <w:r w:rsidR="006E7652">
              <w:rPr>
                <w:noProof/>
                <w:webHidden/>
              </w:rPr>
              <w:fldChar w:fldCharType="end"/>
            </w:r>
          </w:hyperlink>
        </w:p>
        <w:p w14:paraId="1DB74127" w14:textId="77777777" w:rsidR="006E7652" w:rsidRDefault="00FD7F3E" w:rsidP="00D63A27">
          <w:pPr>
            <w:pStyle w:val="TOC1"/>
            <w:tabs>
              <w:tab w:val="left" w:pos="440"/>
              <w:tab w:val="right" w:leader="dot" w:pos="10070"/>
            </w:tabs>
            <w:spacing w:line="240" w:lineRule="auto"/>
            <w:rPr>
              <w:noProof/>
            </w:rPr>
          </w:pPr>
          <w:hyperlink w:anchor="_Toc441568625" w:history="1">
            <w:r w:rsidR="006E7652">
              <w:rPr>
                <w:rStyle w:val="Hyperlink"/>
                <w:noProof/>
              </w:rPr>
              <w:t>6</w:t>
            </w:r>
            <w:r w:rsidR="006E7652" w:rsidRPr="00A60913">
              <w:rPr>
                <w:rStyle w:val="Hyperlink"/>
                <w:noProof/>
              </w:rPr>
              <w:t>.</w:t>
            </w:r>
            <w:r w:rsidR="006E7652">
              <w:rPr>
                <w:noProof/>
              </w:rPr>
              <w:tab/>
            </w:r>
            <w:r w:rsidR="006E7652" w:rsidRPr="00A60913">
              <w:rPr>
                <w:rStyle w:val="Hyperlink"/>
                <w:noProof/>
              </w:rPr>
              <w:t>Consequences of Collecting the Information Less Frequently</w:t>
            </w:r>
            <w:r w:rsidR="006E7652">
              <w:rPr>
                <w:noProof/>
                <w:webHidden/>
              </w:rPr>
              <w:tab/>
            </w:r>
            <w:r w:rsidR="006E7652">
              <w:rPr>
                <w:noProof/>
                <w:webHidden/>
              </w:rPr>
              <w:fldChar w:fldCharType="begin"/>
            </w:r>
            <w:r w:rsidR="006E7652">
              <w:rPr>
                <w:noProof/>
                <w:webHidden/>
              </w:rPr>
              <w:instrText xml:space="preserve"> PAGEREF _Toc441568625 \h </w:instrText>
            </w:r>
            <w:r w:rsidR="006E7652">
              <w:rPr>
                <w:noProof/>
                <w:webHidden/>
              </w:rPr>
            </w:r>
            <w:r w:rsidR="006E7652">
              <w:rPr>
                <w:noProof/>
                <w:webHidden/>
              </w:rPr>
              <w:fldChar w:fldCharType="separate"/>
            </w:r>
            <w:r w:rsidR="00CC7959">
              <w:rPr>
                <w:noProof/>
                <w:webHidden/>
              </w:rPr>
              <w:t>6</w:t>
            </w:r>
            <w:r w:rsidR="006E7652">
              <w:rPr>
                <w:noProof/>
                <w:webHidden/>
              </w:rPr>
              <w:fldChar w:fldCharType="end"/>
            </w:r>
          </w:hyperlink>
        </w:p>
        <w:p w14:paraId="1DB74128" w14:textId="77777777" w:rsidR="006E7652" w:rsidRDefault="00FD7F3E" w:rsidP="00D63A27">
          <w:pPr>
            <w:pStyle w:val="TOC1"/>
            <w:tabs>
              <w:tab w:val="left" w:pos="440"/>
              <w:tab w:val="right" w:leader="dot" w:pos="10070"/>
            </w:tabs>
            <w:spacing w:line="240" w:lineRule="auto"/>
            <w:rPr>
              <w:noProof/>
            </w:rPr>
          </w:pPr>
          <w:hyperlink w:anchor="_Toc441568626" w:history="1">
            <w:r w:rsidR="006E7652">
              <w:rPr>
                <w:rStyle w:val="Hyperlink"/>
                <w:noProof/>
              </w:rPr>
              <w:t>7</w:t>
            </w:r>
            <w:r w:rsidR="006E7652" w:rsidRPr="00A60913">
              <w:rPr>
                <w:rStyle w:val="Hyperlink"/>
                <w:noProof/>
              </w:rPr>
              <w:t>.</w:t>
            </w:r>
            <w:r w:rsidR="006E7652">
              <w:rPr>
                <w:noProof/>
              </w:rPr>
              <w:tab/>
            </w:r>
            <w:r w:rsidR="006E7652" w:rsidRPr="00A60913">
              <w:rPr>
                <w:rStyle w:val="Hyperlink"/>
                <w:noProof/>
              </w:rPr>
              <w:t>Special Circumstances Relating to the Guidelines of 5 CFR 1320.5</w:t>
            </w:r>
            <w:r w:rsidR="006E7652">
              <w:rPr>
                <w:noProof/>
                <w:webHidden/>
              </w:rPr>
              <w:tab/>
            </w:r>
            <w:r w:rsidR="006E7652">
              <w:rPr>
                <w:noProof/>
                <w:webHidden/>
              </w:rPr>
              <w:fldChar w:fldCharType="begin"/>
            </w:r>
            <w:r w:rsidR="006E7652">
              <w:rPr>
                <w:noProof/>
                <w:webHidden/>
              </w:rPr>
              <w:instrText xml:space="preserve"> PAGEREF _Toc441568626 \h </w:instrText>
            </w:r>
            <w:r w:rsidR="006E7652">
              <w:rPr>
                <w:noProof/>
                <w:webHidden/>
              </w:rPr>
            </w:r>
            <w:r w:rsidR="006E7652">
              <w:rPr>
                <w:noProof/>
                <w:webHidden/>
              </w:rPr>
              <w:fldChar w:fldCharType="separate"/>
            </w:r>
            <w:r w:rsidR="00CC7959">
              <w:rPr>
                <w:noProof/>
                <w:webHidden/>
              </w:rPr>
              <w:t>6</w:t>
            </w:r>
            <w:r w:rsidR="006E7652">
              <w:rPr>
                <w:noProof/>
                <w:webHidden/>
              </w:rPr>
              <w:fldChar w:fldCharType="end"/>
            </w:r>
          </w:hyperlink>
        </w:p>
        <w:p w14:paraId="1DB74129" w14:textId="77777777" w:rsidR="006E7652" w:rsidRDefault="00FD7F3E" w:rsidP="00D63A27">
          <w:pPr>
            <w:pStyle w:val="TOC1"/>
            <w:tabs>
              <w:tab w:val="left" w:pos="440"/>
              <w:tab w:val="right" w:leader="dot" w:pos="10070"/>
            </w:tabs>
            <w:spacing w:line="240" w:lineRule="auto"/>
            <w:rPr>
              <w:noProof/>
            </w:rPr>
          </w:pPr>
          <w:hyperlink w:anchor="_Toc441568627" w:history="1">
            <w:r w:rsidR="006E7652">
              <w:rPr>
                <w:rStyle w:val="Hyperlink"/>
                <w:noProof/>
              </w:rPr>
              <w:t>8</w:t>
            </w:r>
            <w:r w:rsidR="006E7652" w:rsidRPr="00A60913">
              <w:rPr>
                <w:rStyle w:val="Hyperlink"/>
                <w:noProof/>
              </w:rPr>
              <w:t>.</w:t>
            </w:r>
            <w:r w:rsidR="006E7652">
              <w:rPr>
                <w:noProof/>
              </w:rPr>
              <w:tab/>
            </w:r>
            <w:r w:rsidR="006E7652" w:rsidRPr="00A60913">
              <w:rPr>
                <w:rStyle w:val="Hyperlink"/>
                <w:noProof/>
              </w:rPr>
              <w:t>Comments in Response to the Federal Register Notice and Efforts to Consult Outside the Agency</w:t>
            </w:r>
            <w:r w:rsidR="006E7652">
              <w:rPr>
                <w:noProof/>
                <w:webHidden/>
              </w:rPr>
              <w:tab/>
            </w:r>
            <w:r w:rsidR="006E7652">
              <w:rPr>
                <w:noProof/>
                <w:webHidden/>
              </w:rPr>
              <w:fldChar w:fldCharType="begin"/>
            </w:r>
            <w:r w:rsidR="006E7652">
              <w:rPr>
                <w:noProof/>
                <w:webHidden/>
              </w:rPr>
              <w:instrText xml:space="preserve"> PAGEREF _Toc441568627 \h </w:instrText>
            </w:r>
            <w:r w:rsidR="006E7652">
              <w:rPr>
                <w:noProof/>
                <w:webHidden/>
              </w:rPr>
            </w:r>
            <w:r w:rsidR="006E7652">
              <w:rPr>
                <w:noProof/>
                <w:webHidden/>
              </w:rPr>
              <w:fldChar w:fldCharType="separate"/>
            </w:r>
            <w:r w:rsidR="00CC7959">
              <w:rPr>
                <w:noProof/>
                <w:webHidden/>
              </w:rPr>
              <w:t>6</w:t>
            </w:r>
            <w:r w:rsidR="006E7652">
              <w:rPr>
                <w:noProof/>
                <w:webHidden/>
              </w:rPr>
              <w:fldChar w:fldCharType="end"/>
            </w:r>
          </w:hyperlink>
        </w:p>
        <w:p w14:paraId="1DB7412A" w14:textId="77777777" w:rsidR="006E7652" w:rsidRDefault="00FD7F3E" w:rsidP="00D63A27">
          <w:pPr>
            <w:pStyle w:val="TOC1"/>
            <w:tabs>
              <w:tab w:val="left" w:pos="660"/>
              <w:tab w:val="right" w:leader="dot" w:pos="10070"/>
            </w:tabs>
            <w:spacing w:line="240" w:lineRule="auto"/>
            <w:rPr>
              <w:noProof/>
            </w:rPr>
          </w:pPr>
          <w:hyperlink w:anchor="_Toc441568628" w:history="1">
            <w:r w:rsidR="006E7652">
              <w:rPr>
                <w:rStyle w:val="Hyperlink"/>
                <w:noProof/>
              </w:rPr>
              <w:t>9</w:t>
            </w:r>
            <w:r w:rsidR="006E7652" w:rsidRPr="00A60913">
              <w:rPr>
                <w:rStyle w:val="Hyperlink"/>
                <w:noProof/>
              </w:rPr>
              <w:t>.</w:t>
            </w:r>
            <w:r w:rsidR="006E7652">
              <w:rPr>
                <w:noProof/>
              </w:rPr>
              <w:t xml:space="preserve">     </w:t>
            </w:r>
            <w:r w:rsidR="006E7652" w:rsidRPr="00A60913">
              <w:rPr>
                <w:rStyle w:val="Hyperlink"/>
                <w:noProof/>
              </w:rPr>
              <w:t>Explanation of Any Payment or Gift to Respondents</w:t>
            </w:r>
            <w:r w:rsidR="006E7652">
              <w:rPr>
                <w:noProof/>
                <w:webHidden/>
              </w:rPr>
              <w:tab/>
            </w:r>
            <w:r w:rsidR="006E7652">
              <w:rPr>
                <w:noProof/>
                <w:webHidden/>
              </w:rPr>
              <w:fldChar w:fldCharType="begin"/>
            </w:r>
            <w:r w:rsidR="006E7652">
              <w:rPr>
                <w:noProof/>
                <w:webHidden/>
              </w:rPr>
              <w:instrText xml:space="preserve"> PAGEREF _Toc441568628 \h </w:instrText>
            </w:r>
            <w:r w:rsidR="006E7652">
              <w:rPr>
                <w:noProof/>
                <w:webHidden/>
              </w:rPr>
            </w:r>
            <w:r w:rsidR="006E7652">
              <w:rPr>
                <w:noProof/>
                <w:webHidden/>
              </w:rPr>
              <w:fldChar w:fldCharType="separate"/>
            </w:r>
            <w:r w:rsidR="00CC7959">
              <w:rPr>
                <w:noProof/>
                <w:webHidden/>
              </w:rPr>
              <w:t>6</w:t>
            </w:r>
            <w:r w:rsidR="006E7652">
              <w:rPr>
                <w:noProof/>
                <w:webHidden/>
              </w:rPr>
              <w:fldChar w:fldCharType="end"/>
            </w:r>
          </w:hyperlink>
        </w:p>
        <w:p w14:paraId="1DB7412B" w14:textId="77777777" w:rsidR="006E7652" w:rsidRDefault="00FD7F3E" w:rsidP="00D63A27">
          <w:pPr>
            <w:pStyle w:val="TOC1"/>
            <w:tabs>
              <w:tab w:val="left" w:pos="660"/>
              <w:tab w:val="right" w:leader="dot" w:pos="10070"/>
            </w:tabs>
            <w:spacing w:line="240" w:lineRule="auto"/>
            <w:rPr>
              <w:noProof/>
            </w:rPr>
          </w:pPr>
          <w:hyperlink w:anchor="_Toc441568629" w:history="1">
            <w:r w:rsidR="006E7652" w:rsidRPr="00A60913">
              <w:rPr>
                <w:rStyle w:val="Hyperlink"/>
                <w:noProof/>
              </w:rPr>
              <w:t>1</w:t>
            </w:r>
            <w:r w:rsidR="006E7652">
              <w:rPr>
                <w:rStyle w:val="Hyperlink"/>
                <w:noProof/>
              </w:rPr>
              <w:t>0</w:t>
            </w:r>
            <w:r w:rsidR="006E7652" w:rsidRPr="00A60913">
              <w:rPr>
                <w:rStyle w:val="Hyperlink"/>
                <w:noProof/>
              </w:rPr>
              <w:t>.</w:t>
            </w:r>
            <w:r w:rsidR="006E7652">
              <w:rPr>
                <w:noProof/>
              </w:rPr>
              <w:t xml:space="preserve">   </w:t>
            </w:r>
            <w:r w:rsidR="006E7652" w:rsidRPr="00A60913">
              <w:rPr>
                <w:rStyle w:val="Hyperlink"/>
                <w:noProof/>
              </w:rPr>
              <w:t>Protection of the Privacy and Confidentiality of Information Provided by Respondents</w:t>
            </w:r>
            <w:r w:rsidR="006E7652">
              <w:rPr>
                <w:noProof/>
                <w:webHidden/>
              </w:rPr>
              <w:tab/>
            </w:r>
            <w:r w:rsidR="006E7652">
              <w:rPr>
                <w:noProof/>
                <w:webHidden/>
              </w:rPr>
              <w:fldChar w:fldCharType="begin"/>
            </w:r>
            <w:r w:rsidR="006E7652">
              <w:rPr>
                <w:noProof/>
                <w:webHidden/>
              </w:rPr>
              <w:instrText xml:space="preserve"> PAGEREF _Toc441568629 \h </w:instrText>
            </w:r>
            <w:r w:rsidR="006E7652">
              <w:rPr>
                <w:noProof/>
                <w:webHidden/>
              </w:rPr>
            </w:r>
            <w:r w:rsidR="006E7652">
              <w:rPr>
                <w:noProof/>
                <w:webHidden/>
              </w:rPr>
              <w:fldChar w:fldCharType="separate"/>
            </w:r>
            <w:r w:rsidR="00CC7959">
              <w:rPr>
                <w:noProof/>
                <w:webHidden/>
              </w:rPr>
              <w:t>7</w:t>
            </w:r>
            <w:r w:rsidR="006E7652">
              <w:rPr>
                <w:noProof/>
                <w:webHidden/>
              </w:rPr>
              <w:fldChar w:fldCharType="end"/>
            </w:r>
          </w:hyperlink>
        </w:p>
        <w:p w14:paraId="1DB7412C" w14:textId="77777777" w:rsidR="006E7652" w:rsidRDefault="00FD7F3E" w:rsidP="00D63A27">
          <w:pPr>
            <w:pStyle w:val="TOC1"/>
            <w:tabs>
              <w:tab w:val="left" w:pos="660"/>
              <w:tab w:val="right" w:leader="dot" w:pos="10070"/>
            </w:tabs>
            <w:spacing w:line="240" w:lineRule="auto"/>
            <w:rPr>
              <w:noProof/>
            </w:rPr>
          </w:pPr>
          <w:hyperlink w:anchor="_Toc441568630" w:history="1">
            <w:r w:rsidR="006E7652">
              <w:rPr>
                <w:rStyle w:val="Hyperlink"/>
                <w:noProof/>
              </w:rPr>
              <w:t>11</w:t>
            </w:r>
            <w:r w:rsidR="006E7652" w:rsidRPr="00A60913">
              <w:rPr>
                <w:rStyle w:val="Hyperlink"/>
                <w:noProof/>
              </w:rPr>
              <w:t>.</w:t>
            </w:r>
            <w:r w:rsidR="006E7652">
              <w:rPr>
                <w:noProof/>
              </w:rPr>
              <w:t xml:space="preserve">   </w:t>
            </w:r>
            <w:r w:rsidR="006E7652" w:rsidRPr="00A60913">
              <w:rPr>
                <w:rStyle w:val="Hyperlink"/>
                <w:noProof/>
              </w:rPr>
              <w:t>Institutional Review Board (IRB) and Justification for Sensitive Questions</w:t>
            </w:r>
            <w:r w:rsidR="006E7652">
              <w:rPr>
                <w:noProof/>
                <w:webHidden/>
              </w:rPr>
              <w:tab/>
            </w:r>
            <w:r w:rsidR="006E7652">
              <w:rPr>
                <w:noProof/>
                <w:webHidden/>
              </w:rPr>
              <w:fldChar w:fldCharType="begin"/>
            </w:r>
            <w:r w:rsidR="006E7652">
              <w:rPr>
                <w:noProof/>
                <w:webHidden/>
              </w:rPr>
              <w:instrText xml:space="preserve"> PAGEREF _Toc441568630 \h </w:instrText>
            </w:r>
            <w:r w:rsidR="006E7652">
              <w:rPr>
                <w:noProof/>
                <w:webHidden/>
              </w:rPr>
            </w:r>
            <w:r w:rsidR="006E7652">
              <w:rPr>
                <w:noProof/>
                <w:webHidden/>
              </w:rPr>
              <w:fldChar w:fldCharType="separate"/>
            </w:r>
            <w:r w:rsidR="00CC7959">
              <w:rPr>
                <w:noProof/>
                <w:webHidden/>
              </w:rPr>
              <w:t>8</w:t>
            </w:r>
            <w:r w:rsidR="006E7652">
              <w:rPr>
                <w:noProof/>
                <w:webHidden/>
              </w:rPr>
              <w:fldChar w:fldCharType="end"/>
            </w:r>
          </w:hyperlink>
        </w:p>
        <w:p w14:paraId="1DB7412D" w14:textId="77777777" w:rsidR="006E7652" w:rsidRDefault="00FD7F3E" w:rsidP="00D63A27">
          <w:pPr>
            <w:pStyle w:val="TOC1"/>
            <w:tabs>
              <w:tab w:val="left" w:pos="660"/>
              <w:tab w:val="right" w:leader="dot" w:pos="10070"/>
            </w:tabs>
            <w:spacing w:line="240" w:lineRule="auto"/>
            <w:rPr>
              <w:noProof/>
            </w:rPr>
          </w:pPr>
          <w:hyperlink w:anchor="_Toc441568631" w:history="1">
            <w:r w:rsidR="006E7652">
              <w:rPr>
                <w:rStyle w:val="Hyperlink"/>
                <w:noProof/>
              </w:rPr>
              <w:t>12</w:t>
            </w:r>
            <w:r w:rsidR="006E7652" w:rsidRPr="00A60913">
              <w:rPr>
                <w:rStyle w:val="Hyperlink"/>
                <w:noProof/>
              </w:rPr>
              <w:t>.</w:t>
            </w:r>
            <w:r w:rsidR="006E7652">
              <w:rPr>
                <w:noProof/>
              </w:rPr>
              <w:t xml:space="preserve">   </w:t>
            </w:r>
            <w:r w:rsidR="006E7652" w:rsidRPr="00A60913">
              <w:rPr>
                <w:rStyle w:val="Hyperlink"/>
                <w:noProof/>
              </w:rPr>
              <w:t>Estimates of Annualized Burden Hours and Costs</w:t>
            </w:r>
            <w:r w:rsidR="006E7652">
              <w:rPr>
                <w:noProof/>
                <w:webHidden/>
              </w:rPr>
              <w:tab/>
            </w:r>
            <w:r w:rsidR="006E7652">
              <w:rPr>
                <w:noProof/>
                <w:webHidden/>
              </w:rPr>
              <w:fldChar w:fldCharType="begin"/>
            </w:r>
            <w:r w:rsidR="006E7652">
              <w:rPr>
                <w:noProof/>
                <w:webHidden/>
              </w:rPr>
              <w:instrText xml:space="preserve"> PAGEREF _Toc441568631 \h </w:instrText>
            </w:r>
            <w:r w:rsidR="006E7652">
              <w:rPr>
                <w:noProof/>
                <w:webHidden/>
              </w:rPr>
            </w:r>
            <w:r w:rsidR="006E7652">
              <w:rPr>
                <w:noProof/>
                <w:webHidden/>
              </w:rPr>
              <w:fldChar w:fldCharType="separate"/>
            </w:r>
            <w:r w:rsidR="00CC7959">
              <w:rPr>
                <w:noProof/>
                <w:webHidden/>
              </w:rPr>
              <w:t>9</w:t>
            </w:r>
            <w:r w:rsidR="006E7652">
              <w:rPr>
                <w:noProof/>
                <w:webHidden/>
              </w:rPr>
              <w:fldChar w:fldCharType="end"/>
            </w:r>
          </w:hyperlink>
        </w:p>
        <w:p w14:paraId="1DB7412E" w14:textId="77777777" w:rsidR="006E7652" w:rsidRDefault="00FD7F3E" w:rsidP="00D63A27">
          <w:pPr>
            <w:pStyle w:val="TOC1"/>
            <w:tabs>
              <w:tab w:val="left" w:pos="660"/>
              <w:tab w:val="right" w:leader="dot" w:pos="10070"/>
            </w:tabs>
            <w:spacing w:line="240" w:lineRule="auto"/>
            <w:rPr>
              <w:noProof/>
            </w:rPr>
          </w:pPr>
          <w:hyperlink w:anchor="_Toc441568632" w:history="1">
            <w:r w:rsidR="006E7652">
              <w:rPr>
                <w:rStyle w:val="Hyperlink"/>
                <w:noProof/>
              </w:rPr>
              <w:t>13</w:t>
            </w:r>
            <w:r w:rsidR="006E7652" w:rsidRPr="00A60913">
              <w:rPr>
                <w:rStyle w:val="Hyperlink"/>
                <w:noProof/>
              </w:rPr>
              <w:t>.</w:t>
            </w:r>
            <w:r w:rsidR="006E7652">
              <w:rPr>
                <w:noProof/>
              </w:rPr>
              <w:t xml:space="preserve">   </w:t>
            </w:r>
            <w:r w:rsidR="006E7652" w:rsidRPr="00A60913">
              <w:rPr>
                <w:rStyle w:val="Hyperlink"/>
                <w:noProof/>
              </w:rPr>
              <w:t>Estimates of Other Total Annual Cost Burden to Respondents or Record Keepers</w:t>
            </w:r>
            <w:r w:rsidR="006E7652">
              <w:rPr>
                <w:noProof/>
                <w:webHidden/>
              </w:rPr>
              <w:tab/>
            </w:r>
            <w:r w:rsidR="006E7652">
              <w:rPr>
                <w:noProof/>
                <w:webHidden/>
              </w:rPr>
              <w:fldChar w:fldCharType="begin"/>
            </w:r>
            <w:r w:rsidR="006E7652">
              <w:rPr>
                <w:noProof/>
                <w:webHidden/>
              </w:rPr>
              <w:instrText xml:space="preserve"> PAGEREF _Toc441568632 \h </w:instrText>
            </w:r>
            <w:r w:rsidR="006E7652">
              <w:rPr>
                <w:noProof/>
                <w:webHidden/>
              </w:rPr>
            </w:r>
            <w:r w:rsidR="006E7652">
              <w:rPr>
                <w:noProof/>
                <w:webHidden/>
              </w:rPr>
              <w:fldChar w:fldCharType="separate"/>
            </w:r>
            <w:r w:rsidR="00CC7959">
              <w:rPr>
                <w:noProof/>
                <w:webHidden/>
              </w:rPr>
              <w:t>10</w:t>
            </w:r>
            <w:r w:rsidR="006E7652">
              <w:rPr>
                <w:noProof/>
                <w:webHidden/>
              </w:rPr>
              <w:fldChar w:fldCharType="end"/>
            </w:r>
          </w:hyperlink>
        </w:p>
        <w:p w14:paraId="1DB7412F" w14:textId="77777777" w:rsidR="006E7652" w:rsidRDefault="00FD7F3E" w:rsidP="00D63A27">
          <w:pPr>
            <w:pStyle w:val="TOC1"/>
            <w:tabs>
              <w:tab w:val="left" w:pos="660"/>
              <w:tab w:val="right" w:leader="dot" w:pos="10070"/>
            </w:tabs>
            <w:spacing w:line="240" w:lineRule="auto"/>
            <w:rPr>
              <w:noProof/>
            </w:rPr>
          </w:pPr>
          <w:hyperlink w:anchor="_Toc441568633" w:history="1">
            <w:r w:rsidR="006E7652">
              <w:rPr>
                <w:rStyle w:val="Hyperlink"/>
                <w:noProof/>
              </w:rPr>
              <w:t>14</w:t>
            </w:r>
            <w:r w:rsidR="006E7652" w:rsidRPr="00A60913">
              <w:rPr>
                <w:rStyle w:val="Hyperlink"/>
                <w:noProof/>
              </w:rPr>
              <w:t>.</w:t>
            </w:r>
            <w:r w:rsidR="006E7652">
              <w:rPr>
                <w:noProof/>
              </w:rPr>
              <w:t xml:space="preserve">   </w:t>
            </w:r>
            <w:r w:rsidR="006E7652" w:rsidRPr="00A60913">
              <w:rPr>
                <w:rStyle w:val="Hyperlink"/>
                <w:noProof/>
              </w:rPr>
              <w:t>Annualized Cost to the Government</w:t>
            </w:r>
            <w:r w:rsidR="006E7652">
              <w:rPr>
                <w:noProof/>
                <w:webHidden/>
              </w:rPr>
              <w:tab/>
            </w:r>
            <w:r w:rsidR="006E7652">
              <w:rPr>
                <w:noProof/>
                <w:webHidden/>
              </w:rPr>
              <w:fldChar w:fldCharType="begin"/>
            </w:r>
            <w:r w:rsidR="006E7652">
              <w:rPr>
                <w:noProof/>
                <w:webHidden/>
              </w:rPr>
              <w:instrText xml:space="preserve"> PAGEREF _Toc441568633 \h </w:instrText>
            </w:r>
            <w:r w:rsidR="006E7652">
              <w:rPr>
                <w:noProof/>
                <w:webHidden/>
              </w:rPr>
            </w:r>
            <w:r w:rsidR="006E7652">
              <w:rPr>
                <w:noProof/>
                <w:webHidden/>
              </w:rPr>
              <w:fldChar w:fldCharType="separate"/>
            </w:r>
            <w:r w:rsidR="00CC7959">
              <w:rPr>
                <w:noProof/>
                <w:webHidden/>
              </w:rPr>
              <w:t>10</w:t>
            </w:r>
            <w:r w:rsidR="006E7652">
              <w:rPr>
                <w:noProof/>
                <w:webHidden/>
              </w:rPr>
              <w:fldChar w:fldCharType="end"/>
            </w:r>
          </w:hyperlink>
        </w:p>
        <w:p w14:paraId="1DB74130" w14:textId="77777777" w:rsidR="006E7652" w:rsidRDefault="00FD7F3E" w:rsidP="00D63A27">
          <w:pPr>
            <w:pStyle w:val="TOC1"/>
            <w:tabs>
              <w:tab w:val="left" w:pos="660"/>
              <w:tab w:val="right" w:leader="dot" w:pos="10070"/>
            </w:tabs>
            <w:spacing w:line="240" w:lineRule="auto"/>
            <w:rPr>
              <w:noProof/>
            </w:rPr>
          </w:pPr>
          <w:hyperlink w:anchor="_Toc441568634" w:history="1">
            <w:r w:rsidR="006E7652">
              <w:rPr>
                <w:rStyle w:val="Hyperlink"/>
                <w:noProof/>
              </w:rPr>
              <w:t>15</w:t>
            </w:r>
            <w:r w:rsidR="006E7652" w:rsidRPr="00A60913">
              <w:rPr>
                <w:rStyle w:val="Hyperlink"/>
                <w:noProof/>
              </w:rPr>
              <w:t>.</w:t>
            </w:r>
            <w:r w:rsidR="006E7652">
              <w:rPr>
                <w:noProof/>
              </w:rPr>
              <w:t xml:space="preserve">   </w:t>
            </w:r>
            <w:r w:rsidR="006E7652" w:rsidRPr="00A60913">
              <w:rPr>
                <w:rStyle w:val="Hyperlink"/>
                <w:noProof/>
              </w:rPr>
              <w:t>Explanation for Program Changes or Adjustments</w:t>
            </w:r>
            <w:r w:rsidR="006E7652">
              <w:rPr>
                <w:noProof/>
                <w:webHidden/>
              </w:rPr>
              <w:tab/>
            </w:r>
            <w:r w:rsidR="006E7652">
              <w:rPr>
                <w:noProof/>
                <w:webHidden/>
              </w:rPr>
              <w:fldChar w:fldCharType="begin"/>
            </w:r>
            <w:r w:rsidR="006E7652">
              <w:rPr>
                <w:noProof/>
                <w:webHidden/>
              </w:rPr>
              <w:instrText xml:space="preserve"> PAGEREF _Toc441568634 \h </w:instrText>
            </w:r>
            <w:r w:rsidR="006E7652">
              <w:rPr>
                <w:noProof/>
                <w:webHidden/>
              </w:rPr>
            </w:r>
            <w:r w:rsidR="006E7652">
              <w:rPr>
                <w:noProof/>
                <w:webHidden/>
              </w:rPr>
              <w:fldChar w:fldCharType="separate"/>
            </w:r>
            <w:r w:rsidR="00CC7959">
              <w:rPr>
                <w:noProof/>
                <w:webHidden/>
              </w:rPr>
              <w:t>10</w:t>
            </w:r>
            <w:r w:rsidR="006E7652">
              <w:rPr>
                <w:noProof/>
                <w:webHidden/>
              </w:rPr>
              <w:fldChar w:fldCharType="end"/>
            </w:r>
          </w:hyperlink>
        </w:p>
        <w:p w14:paraId="1DB74131" w14:textId="77777777" w:rsidR="006E7652" w:rsidRDefault="00FD7F3E" w:rsidP="00D63A27">
          <w:pPr>
            <w:pStyle w:val="TOC1"/>
            <w:tabs>
              <w:tab w:val="left" w:pos="660"/>
              <w:tab w:val="right" w:leader="dot" w:pos="10070"/>
            </w:tabs>
            <w:spacing w:line="240" w:lineRule="auto"/>
            <w:rPr>
              <w:noProof/>
            </w:rPr>
          </w:pPr>
          <w:hyperlink w:anchor="_Toc441568635" w:history="1">
            <w:r w:rsidR="006E7652">
              <w:rPr>
                <w:rStyle w:val="Hyperlink"/>
                <w:noProof/>
              </w:rPr>
              <w:t>16</w:t>
            </w:r>
            <w:r w:rsidR="006E7652" w:rsidRPr="00A60913">
              <w:rPr>
                <w:rStyle w:val="Hyperlink"/>
                <w:noProof/>
              </w:rPr>
              <w:t>.</w:t>
            </w:r>
            <w:r w:rsidR="006E7652">
              <w:rPr>
                <w:noProof/>
              </w:rPr>
              <w:t xml:space="preserve">   </w:t>
            </w:r>
            <w:r w:rsidR="006E7652" w:rsidRPr="00A60913">
              <w:rPr>
                <w:rStyle w:val="Hyperlink"/>
                <w:noProof/>
              </w:rPr>
              <w:t>Plans for Tabulation and Publication and Project Time Schedule</w:t>
            </w:r>
            <w:r w:rsidR="006E7652">
              <w:rPr>
                <w:noProof/>
                <w:webHidden/>
              </w:rPr>
              <w:tab/>
            </w:r>
            <w:r w:rsidR="006E7652">
              <w:rPr>
                <w:noProof/>
                <w:webHidden/>
              </w:rPr>
              <w:fldChar w:fldCharType="begin"/>
            </w:r>
            <w:r w:rsidR="006E7652">
              <w:rPr>
                <w:noProof/>
                <w:webHidden/>
              </w:rPr>
              <w:instrText xml:space="preserve"> PAGEREF _Toc441568635 \h </w:instrText>
            </w:r>
            <w:r w:rsidR="006E7652">
              <w:rPr>
                <w:noProof/>
                <w:webHidden/>
              </w:rPr>
            </w:r>
            <w:r w:rsidR="006E7652">
              <w:rPr>
                <w:noProof/>
                <w:webHidden/>
              </w:rPr>
              <w:fldChar w:fldCharType="separate"/>
            </w:r>
            <w:r w:rsidR="00CC7959">
              <w:rPr>
                <w:noProof/>
                <w:webHidden/>
              </w:rPr>
              <w:t>10</w:t>
            </w:r>
            <w:r w:rsidR="006E7652">
              <w:rPr>
                <w:noProof/>
                <w:webHidden/>
              </w:rPr>
              <w:fldChar w:fldCharType="end"/>
            </w:r>
          </w:hyperlink>
        </w:p>
        <w:p w14:paraId="1DB74132" w14:textId="77777777" w:rsidR="006E7652" w:rsidRDefault="00FD7F3E" w:rsidP="00D63A27">
          <w:pPr>
            <w:pStyle w:val="TOC1"/>
            <w:tabs>
              <w:tab w:val="left" w:pos="660"/>
              <w:tab w:val="right" w:leader="dot" w:pos="10070"/>
            </w:tabs>
            <w:spacing w:line="240" w:lineRule="auto"/>
            <w:rPr>
              <w:noProof/>
            </w:rPr>
          </w:pPr>
          <w:hyperlink w:anchor="_Toc441568636" w:history="1">
            <w:r w:rsidR="006E7652">
              <w:rPr>
                <w:rStyle w:val="Hyperlink"/>
                <w:noProof/>
              </w:rPr>
              <w:t>17</w:t>
            </w:r>
            <w:r w:rsidR="006E7652" w:rsidRPr="00A60913">
              <w:rPr>
                <w:rStyle w:val="Hyperlink"/>
                <w:noProof/>
              </w:rPr>
              <w:t>.</w:t>
            </w:r>
            <w:r w:rsidR="006E7652">
              <w:rPr>
                <w:noProof/>
              </w:rPr>
              <w:t xml:space="preserve">   </w:t>
            </w:r>
            <w:r w:rsidR="006E7652" w:rsidRPr="00A60913">
              <w:rPr>
                <w:rStyle w:val="Hyperlink"/>
                <w:noProof/>
              </w:rPr>
              <w:t>Reason(s) Display of OMB Expiration Date is Inappropriate</w:t>
            </w:r>
            <w:r w:rsidR="006E7652">
              <w:rPr>
                <w:noProof/>
                <w:webHidden/>
              </w:rPr>
              <w:tab/>
            </w:r>
            <w:r w:rsidR="006E7652">
              <w:rPr>
                <w:noProof/>
                <w:webHidden/>
              </w:rPr>
              <w:fldChar w:fldCharType="begin"/>
            </w:r>
            <w:r w:rsidR="006E7652">
              <w:rPr>
                <w:noProof/>
                <w:webHidden/>
              </w:rPr>
              <w:instrText xml:space="preserve"> PAGEREF _Toc441568636 \h </w:instrText>
            </w:r>
            <w:r w:rsidR="006E7652">
              <w:rPr>
                <w:noProof/>
                <w:webHidden/>
              </w:rPr>
            </w:r>
            <w:r w:rsidR="006E7652">
              <w:rPr>
                <w:noProof/>
                <w:webHidden/>
              </w:rPr>
              <w:fldChar w:fldCharType="separate"/>
            </w:r>
            <w:r w:rsidR="00CC7959">
              <w:rPr>
                <w:noProof/>
                <w:webHidden/>
              </w:rPr>
              <w:t>10</w:t>
            </w:r>
            <w:r w:rsidR="006E7652">
              <w:rPr>
                <w:noProof/>
                <w:webHidden/>
              </w:rPr>
              <w:fldChar w:fldCharType="end"/>
            </w:r>
          </w:hyperlink>
        </w:p>
        <w:p w14:paraId="1DB74133" w14:textId="77777777" w:rsidR="006E7652" w:rsidRDefault="00FD7F3E" w:rsidP="00D63A27">
          <w:pPr>
            <w:pStyle w:val="TOC1"/>
            <w:tabs>
              <w:tab w:val="left" w:pos="660"/>
              <w:tab w:val="right" w:leader="dot" w:pos="10070"/>
            </w:tabs>
            <w:spacing w:line="240" w:lineRule="auto"/>
            <w:rPr>
              <w:noProof/>
            </w:rPr>
          </w:pPr>
          <w:hyperlink w:anchor="_Toc441568637" w:history="1">
            <w:r w:rsidR="006E7652">
              <w:rPr>
                <w:rStyle w:val="Hyperlink"/>
                <w:noProof/>
              </w:rPr>
              <w:t>18</w:t>
            </w:r>
            <w:r w:rsidR="006E7652" w:rsidRPr="00A60913">
              <w:rPr>
                <w:rStyle w:val="Hyperlink"/>
                <w:noProof/>
              </w:rPr>
              <w:t>.</w:t>
            </w:r>
            <w:r w:rsidR="006E7652">
              <w:rPr>
                <w:noProof/>
              </w:rPr>
              <w:t xml:space="preserve">   </w:t>
            </w:r>
            <w:r w:rsidR="006E7652" w:rsidRPr="00A60913">
              <w:rPr>
                <w:rStyle w:val="Hyperlink"/>
                <w:noProof/>
              </w:rPr>
              <w:t>Exceptions to Certification for Paperwork Reduction Act Submissions</w:t>
            </w:r>
            <w:r w:rsidR="006E7652">
              <w:rPr>
                <w:noProof/>
                <w:webHidden/>
              </w:rPr>
              <w:tab/>
            </w:r>
            <w:r w:rsidR="006E7652">
              <w:rPr>
                <w:noProof/>
                <w:webHidden/>
              </w:rPr>
              <w:fldChar w:fldCharType="begin"/>
            </w:r>
            <w:r w:rsidR="006E7652">
              <w:rPr>
                <w:noProof/>
                <w:webHidden/>
              </w:rPr>
              <w:instrText xml:space="preserve"> PAGEREF _Toc441568637 \h </w:instrText>
            </w:r>
            <w:r w:rsidR="006E7652">
              <w:rPr>
                <w:noProof/>
                <w:webHidden/>
              </w:rPr>
            </w:r>
            <w:r w:rsidR="006E7652">
              <w:rPr>
                <w:noProof/>
                <w:webHidden/>
              </w:rPr>
              <w:fldChar w:fldCharType="separate"/>
            </w:r>
            <w:r w:rsidR="00CC7959">
              <w:rPr>
                <w:noProof/>
                <w:webHidden/>
              </w:rPr>
              <w:t>11</w:t>
            </w:r>
            <w:r w:rsidR="006E7652">
              <w:rPr>
                <w:noProof/>
                <w:webHidden/>
              </w:rPr>
              <w:fldChar w:fldCharType="end"/>
            </w:r>
          </w:hyperlink>
        </w:p>
        <w:p w14:paraId="1DB74134" w14:textId="77777777" w:rsidR="006E7652" w:rsidRDefault="00FD7F3E" w:rsidP="00D63A27">
          <w:pPr>
            <w:pStyle w:val="TOC1"/>
            <w:tabs>
              <w:tab w:val="right" w:leader="dot" w:pos="10070"/>
            </w:tabs>
            <w:spacing w:after="0" w:line="240" w:lineRule="auto"/>
            <w:rPr>
              <w:noProof/>
            </w:rPr>
          </w:pPr>
          <w:hyperlink w:anchor="_Toc441568638" w:history="1">
            <w:r w:rsidR="006E7652" w:rsidRPr="00A60913">
              <w:rPr>
                <w:rStyle w:val="Hyperlink"/>
                <w:noProof/>
              </w:rPr>
              <w:t>Attachments</w:t>
            </w:r>
            <w:r w:rsidR="006E7652">
              <w:rPr>
                <w:noProof/>
                <w:webHidden/>
              </w:rPr>
              <w:tab/>
            </w:r>
            <w:r w:rsidR="006E7652">
              <w:rPr>
                <w:noProof/>
                <w:webHidden/>
              </w:rPr>
              <w:fldChar w:fldCharType="begin"/>
            </w:r>
            <w:r w:rsidR="006E7652">
              <w:rPr>
                <w:noProof/>
                <w:webHidden/>
              </w:rPr>
              <w:instrText xml:space="preserve"> PAGEREF _Toc441568638 \h </w:instrText>
            </w:r>
            <w:r w:rsidR="006E7652">
              <w:rPr>
                <w:noProof/>
                <w:webHidden/>
              </w:rPr>
            </w:r>
            <w:r w:rsidR="006E7652">
              <w:rPr>
                <w:noProof/>
                <w:webHidden/>
              </w:rPr>
              <w:fldChar w:fldCharType="separate"/>
            </w:r>
            <w:r w:rsidR="00CC7959">
              <w:rPr>
                <w:noProof/>
                <w:webHidden/>
              </w:rPr>
              <w:t>11</w:t>
            </w:r>
            <w:r w:rsidR="006E7652">
              <w:rPr>
                <w:noProof/>
                <w:webHidden/>
              </w:rPr>
              <w:fldChar w:fldCharType="end"/>
            </w:r>
          </w:hyperlink>
        </w:p>
        <w:p w14:paraId="49CBD457" w14:textId="0B969F25" w:rsidR="00D63A27" w:rsidRPr="00D16E82" w:rsidRDefault="006E7652" w:rsidP="00135B23">
          <w:pPr>
            <w:pStyle w:val="ListParagraph"/>
            <w:numPr>
              <w:ilvl w:val="0"/>
              <w:numId w:val="9"/>
            </w:numPr>
            <w:spacing w:before="240" w:after="0"/>
          </w:pPr>
          <w:r>
            <w:rPr>
              <w:b/>
              <w:bCs/>
              <w:noProof/>
            </w:rPr>
            <w:fldChar w:fldCharType="end"/>
          </w:r>
          <w:r w:rsidR="00D63A27" w:rsidRPr="00D16E82">
            <w:t>Public Health Service Act (42 USC 241)</w:t>
          </w:r>
        </w:p>
        <w:p w14:paraId="2B9DF442" w14:textId="7D3C00DA" w:rsidR="00D63A27" w:rsidRDefault="00D63A27" w:rsidP="00135B23">
          <w:pPr>
            <w:pStyle w:val="ListParagraph"/>
            <w:numPr>
              <w:ilvl w:val="0"/>
              <w:numId w:val="9"/>
            </w:numPr>
            <w:spacing w:after="0"/>
          </w:pPr>
          <w:r w:rsidRPr="00D16E82">
            <w:t>60-day FRN</w:t>
          </w:r>
        </w:p>
        <w:p w14:paraId="0F9C60D8" w14:textId="030490F4" w:rsidR="005935B6" w:rsidRDefault="005935B6" w:rsidP="005935B6">
          <w:pPr>
            <w:spacing w:after="0"/>
            <w:ind w:left="1080"/>
          </w:pPr>
          <w:r>
            <w:t>B1.   Public comment</w:t>
          </w:r>
        </w:p>
        <w:p w14:paraId="7EACB3F0" w14:textId="77777777" w:rsidR="00E90D78" w:rsidRDefault="00E90D78" w:rsidP="00135B23">
          <w:pPr>
            <w:pStyle w:val="ListParagraph"/>
            <w:numPr>
              <w:ilvl w:val="0"/>
              <w:numId w:val="9"/>
            </w:numPr>
            <w:spacing w:after="0"/>
          </w:pPr>
          <w:r>
            <w:t>Model Coupon</w:t>
          </w:r>
        </w:p>
        <w:p w14:paraId="524DA28B" w14:textId="427FEDE8" w:rsidR="00D63A27" w:rsidRDefault="00D63A27" w:rsidP="00135B23">
          <w:pPr>
            <w:pStyle w:val="ListParagraph"/>
            <w:numPr>
              <w:ilvl w:val="0"/>
              <w:numId w:val="9"/>
            </w:numPr>
            <w:spacing w:after="0"/>
          </w:pPr>
          <w:r>
            <w:t>Eligibility Form</w:t>
          </w:r>
        </w:p>
        <w:p w14:paraId="67CA0660" w14:textId="77777777" w:rsidR="00135B23" w:rsidRDefault="00135B23" w:rsidP="00135B23">
          <w:pPr>
            <w:pStyle w:val="ListParagraph"/>
            <w:numPr>
              <w:ilvl w:val="0"/>
              <w:numId w:val="9"/>
            </w:numPr>
            <w:spacing w:before="120" w:after="0"/>
          </w:pPr>
          <w:r>
            <w:t xml:space="preserve">Consent Forms for </w:t>
          </w:r>
          <w:proofErr w:type="spellStart"/>
          <w:r>
            <w:t>Zika</w:t>
          </w:r>
          <w:proofErr w:type="spellEnd"/>
          <w:r>
            <w:t xml:space="preserve"> Persistence Study</w:t>
          </w:r>
        </w:p>
        <w:p w14:paraId="40D6B087" w14:textId="07633F8A" w:rsidR="00E90D78" w:rsidRDefault="00E90D78" w:rsidP="00135B23">
          <w:pPr>
            <w:pStyle w:val="ListParagraph"/>
            <w:numPr>
              <w:ilvl w:val="0"/>
              <w:numId w:val="9"/>
            </w:numPr>
            <w:spacing w:before="120" w:after="0"/>
          </w:pPr>
          <w:r>
            <w:t>ZIPER Phone recruitment script</w:t>
          </w:r>
        </w:p>
        <w:p w14:paraId="19C0755D" w14:textId="6A6E18B6" w:rsidR="00E90D78" w:rsidRDefault="00E90D78" w:rsidP="00135B23">
          <w:pPr>
            <w:pStyle w:val="ListParagraph"/>
            <w:numPr>
              <w:ilvl w:val="0"/>
              <w:numId w:val="9"/>
            </w:numPr>
            <w:spacing w:before="120" w:after="0"/>
          </w:pPr>
          <w:r>
            <w:t>Contact Information Form</w:t>
          </w:r>
        </w:p>
        <w:p w14:paraId="2251028D" w14:textId="4C638BAF" w:rsidR="00D63A27" w:rsidRDefault="00D63A27" w:rsidP="00135B23">
          <w:pPr>
            <w:pStyle w:val="ListParagraph"/>
            <w:numPr>
              <w:ilvl w:val="0"/>
              <w:numId w:val="9"/>
            </w:numPr>
            <w:spacing w:before="120" w:after="0"/>
          </w:pPr>
          <w:r>
            <w:t>Baseline and follow-up questionnaires</w:t>
          </w:r>
        </w:p>
        <w:p w14:paraId="7E2EC159" w14:textId="77777777" w:rsidR="00E90D78" w:rsidRDefault="00E90D78" w:rsidP="00E90D78">
          <w:pPr>
            <w:pStyle w:val="ListParagraph"/>
            <w:numPr>
              <w:ilvl w:val="0"/>
              <w:numId w:val="9"/>
            </w:numPr>
            <w:spacing w:after="0"/>
          </w:pPr>
          <w:r>
            <w:t xml:space="preserve">Protocol for </w:t>
          </w:r>
          <w:proofErr w:type="spellStart"/>
          <w:r>
            <w:t>zika</w:t>
          </w:r>
          <w:proofErr w:type="spellEnd"/>
          <w:r>
            <w:t xml:space="preserve"> virus specimen collection</w:t>
          </w:r>
        </w:p>
        <w:p w14:paraId="1787CB56" w14:textId="4A326B5C" w:rsidR="00E90D78" w:rsidRDefault="00E90D78" w:rsidP="00135B23">
          <w:pPr>
            <w:pStyle w:val="ListParagraph"/>
            <w:numPr>
              <w:ilvl w:val="0"/>
              <w:numId w:val="9"/>
            </w:numPr>
            <w:spacing w:after="0"/>
          </w:pPr>
          <w:r>
            <w:t>Laboratory Form</w:t>
          </w:r>
        </w:p>
        <w:p w14:paraId="18DB9CA3" w14:textId="1EAEC15F" w:rsidR="00D63A27" w:rsidRDefault="00D63A27" w:rsidP="00135B23">
          <w:pPr>
            <w:pStyle w:val="ListParagraph"/>
            <w:numPr>
              <w:ilvl w:val="0"/>
              <w:numId w:val="9"/>
            </w:numPr>
            <w:spacing w:after="0"/>
          </w:pPr>
          <w:r>
            <w:t>Counseling messages for study participants</w:t>
          </w:r>
        </w:p>
        <w:p w14:paraId="1DB74141" w14:textId="5237081C" w:rsidR="006E7652" w:rsidRPr="00D63A27" w:rsidRDefault="00EC0C74" w:rsidP="00135B23">
          <w:pPr>
            <w:pStyle w:val="ListParagraph"/>
            <w:numPr>
              <w:ilvl w:val="0"/>
              <w:numId w:val="9"/>
            </w:numPr>
            <w:spacing w:after="0"/>
          </w:pPr>
          <w:r>
            <w:t>IRB Approval</w:t>
          </w:r>
        </w:p>
      </w:sdtContent>
    </w:sdt>
    <w:p w14:paraId="681EEEA8" w14:textId="166C52F1" w:rsidR="00164ADC" w:rsidRDefault="00164ADC" w:rsidP="006A4CC7">
      <w:pPr>
        <w:pStyle w:val="ListParagraph"/>
        <w:spacing w:after="0" w:line="240" w:lineRule="auto"/>
        <w:jc w:val="center"/>
        <w:rPr>
          <w:b/>
        </w:rPr>
      </w:pPr>
    </w:p>
    <w:p w14:paraId="37084B3F" w14:textId="54B6AF55" w:rsidR="00164ADC" w:rsidRDefault="006A4CC7" w:rsidP="00B35EDE">
      <w:pPr>
        <w:spacing w:after="0" w:line="240" w:lineRule="auto"/>
        <w:rPr>
          <w:b/>
        </w:rPr>
      </w:pPr>
      <w:r w:rsidRPr="006E7652">
        <w:rPr>
          <w:b/>
          <w:noProof/>
        </w:rPr>
        <w:lastRenderedPageBreak/>
        <mc:AlternateContent>
          <mc:Choice Requires="wps">
            <w:drawing>
              <wp:anchor distT="45720" distB="45720" distL="114300" distR="114300" simplePos="0" relativeHeight="251659264" behindDoc="0" locked="0" layoutInCell="1" allowOverlap="1" wp14:anchorId="1DB7416D" wp14:editId="18E4FC64">
                <wp:simplePos x="0" y="0"/>
                <wp:positionH relativeFrom="column">
                  <wp:posOffset>8890</wp:posOffset>
                </wp:positionH>
                <wp:positionV relativeFrom="paragraph">
                  <wp:posOffset>316230</wp:posOffset>
                </wp:positionV>
                <wp:extent cx="6568440" cy="5398135"/>
                <wp:effectExtent l="0" t="0" r="2286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5398135"/>
                        </a:xfrm>
                        <a:prstGeom prst="rect">
                          <a:avLst/>
                        </a:prstGeom>
                        <a:solidFill>
                          <a:srgbClr val="FFFFFF"/>
                        </a:solidFill>
                        <a:ln w="9525">
                          <a:solidFill>
                            <a:srgbClr val="000000"/>
                          </a:solidFill>
                          <a:miter lim="800000"/>
                          <a:headEnd/>
                          <a:tailEnd/>
                        </a:ln>
                      </wps:spPr>
                      <wps:txbx>
                        <w:txbxContent>
                          <w:p w14:paraId="54D8567E" w14:textId="34E29918" w:rsidR="00024A7C" w:rsidRPr="00A97397" w:rsidRDefault="00024A7C" w:rsidP="00A97397">
                            <w:pPr>
                              <w:pStyle w:val="ListParagraph"/>
                              <w:numPr>
                                <w:ilvl w:val="0"/>
                                <w:numId w:val="12"/>
                              </w:numPr>
                              <w:rPr>
                                <w:szCs w:val="24"/>
                              </w:rPr>
                            </w:pPr>
                            <w:r>
                              <w:rPr>
                                <w:b/>
                                <w:szCs w:val="24"/>
                              </w:rPr>
                              <w:t xml:space="preserve">Goals: </w:t>
                            </w:r>
                            <w:r w:rsidRPr="00A97397">
                              <w:rPr>
                                <w:szCs w:val="24"/>
                              </w:rPr>
                              <w:t xml:space="preserve">The objectives of this study are to assess among </w:t>
                            </w:r>
                            <w:proofErr w:type="spellStart"/>
                            <w:r>
                              <w:rPr>
                                <w:szCs w:val="24"/>
                              </w:rPr>
                              <w:t>Zika</w:t>
                            </w:r>
                            <w:proofErr w:type="spellEnd"/>
                            <w:r>
                              <w:rPr>
                                <w:szCs w:val="24"/>
                              </w:rPr>
                              <w:t xml:space="preserve"> Virus (</w:t>
                            </w:r>
                            <w:r w:rsidRPr="00A97397">
                              <w:rPr>
                                <w:szCs w:val="24"/>
                              </w:rPr>
                              <w:t>ZIKV</w:t>
                            </w:r>
                            <w:r>
                              <w:rPr>
                                <w:szCs w:val="24"/>
                              </w:rPr>
                              <w:t>)</w:t>
                            </w:r>
                            <w:r w:rsidRPr="00A97397">
                              <w:rPr>
                                <w:szCs w:val="24"/>
                              </w:rPr>
                              <w:t xml:space="preserve"> PCR-positive cases the:</w:t>
                            </w:r>
                          </w:p>
                          <w:p w14:paraId="0A7AF306" w14:textId="47EE34CC" w:rsidR="00024A7C" w:rsidRPr="00165748" w:rsidRDefault="00024A7C" w:rsidP="00A97397">
                            <w:pPr>
                              <w:pStyle w:val="ListParagraph"/>
                              <w:numPr>
                                <w:ilvl w:val="1"/>
                                <w:numId w:val="12"/>
                              </w:numPr>
                              <w:rPr>
                                <w:rFonts w:cs="Times New Roman"/>
                                <w:szCs w:val="24"/>
                              </w:rPr>
                            </w:pPr>
                            <w:r>
                              <w:rPr>
                                <w:szCs w:val="24"/>
                              </w:rPr>
                              <w:t>P</w:t>
                            </w:r>
                            <w:r w:rsidRPr="00A97397">
                              <w:rPr>
                                <w:szCs w:val="24"/>
                              </w:rPr>
                              <w:t>resenc</w:t>
                            </w:r>
                            <w:r w:rsidRPr="00165748">
                              <w:rPr>
                                <w:rFonts w:cs="Times New Roman"/>
                                <w:szCs w:val="24"/>
                              </w:rPr>
                              <w:t>e and duration of ZIKV RNA in body fluids including blood, semen or vaginal secretions, urine, saliva</w:t>
                            </w:r>
                            <w:r w:rsidR="00165748" w:rsidRPr="00165748">
                              <w:rPr>
                                <w:rFonts w:cs="Times New Roman"/>
                                <w:szCs w:val="24"/>
                              </w:rPr>
                              <w:t xml:space="preserve"> </w:t>
                            </w:r>
                            <w:r w:rsidR="00165748" w:rsidRPr="00232923">
                              <w:rPr>
                                <w:rFonts w:cs="Times New Roman"/>
                              </w:rPr>
                              <w:t>and breastmilk among lactating women;</w:t>
                            </w:r>
                            <w:r w:rsidRPr="00165748">
                              <w:rPr>
                                <w:rFonts w:cs="Times New Roman"/>
                                <w:szCs w:val="24"/>
                              </w:rPr>
                              <w:t>;</w:t>
                            </w:r>
                          </w:p>
                          <w:p w14:paraId="29C9D917" w14:textId="6CF4A91F" w:rsidR="00024A7C" w:rsidRPr="00165748" w:rsidRDefault="00024A7C" w:rsidP="00A97397">
                            <w:pPr>
                              <w:pStyle w:val="ListParagraph"/>
                              <w:numPr>
                                <w:ilvl w:val="1"/>
                                <w:numId w:val="12"/>
                              </w:numPr>
                              <w:rPr>
                                <w:rFonts w:cs="Times New Roman"/>
                                <w:szCs w:val="24"/>
                              </w:rPr>
                            </w:pPr>
                            <w:r w:rsidRPr="00165748">
                              <w:rPr>
                                <w:rFonts w:cs="Times New Roman"/>
                                <w:szCs w:val="24"/>
                              </w:rPr>
                              <w:t xml:space="preserve">Presence and duration of anti-ZIKV IgM antibodies and presence of anti-ZIKV IgG in serum; </w:t>
                            </w:r>
                          </w:p>
                          <w:p w14:paraId="3F9A0BC4" w14:textId="4E5FBCF7" w:rsidR="00024A7C" w:rsidRPr="00A97397" w:rsidRDefault="00024A7C" w:rsidP="00A97397">
                            <w:pPr>
                              <w:pStyle w:val="ListParagraph"/>
                              <w:numPr>
                                <w:ilvl w:val="1"/>
                                <w:numId w:val="12"/>
                              </w:numPr>
                              <w:rPr>
                                <w:szCs w:val="24"/>
                              </w:rPr>
                            </w:pPr>
                            <w:r>
                              <w:rPr>
                                <w:szCs w:val="24"/>
                              </w:rPr>
                              <w:t>C</w:t>
                            </w:r>
                            <w:r w:rsidRPr="00A97397">
                              <w:rPr>
                                <w:szCs w:val="24"/>
                              </w:rPr>
                              <w:t>oncordance between RT-PCR and virus isolation test results in body fluids; and</w:t>
                            </w:r>
                          </w:p>
                          <w:p w14:paraId="1BFE3A68" w14:textId="600CEBC4" w:rsidR="00024A7C" w:rsidRPr="00A97397" w:rsidRDefault="00024A7C" w:rsidP="00A97397">
                            <w:pPr>
                              <w:pStyle w:val="ListParagraph"/>
                              <w:numPr>
                                <w:ilvl w:val="1"/>
                                <w:numId w:val="12"/>
                              </w:numPr>
                              <w:rPr>
                                <w:szCs w:val="24"/>
                              </w:rPr>
                            </w:pPr>
                            <w:r>
                              <w:rPr>
                                <w:szCs w:val="24"/>
                              </w:rPr>
                              <w:t>A</w:t>
                            </w:r>
                            <w:r w:rsidRPr="00A97397">
                              <w:rPr>
                                <w:szCs w:val="24"/>
                              </w:rPr>
                              <w:t>ssociation between ZIKV shedding and host factors such as demographic characteristics and clinical signs and symptoms.</w:t>
                            </w:r>
                          </w:p>
                          <w:p w14:paraId="03135797" w14:textId="77777777" w:rsidR="00024A7C" w:rsidRPr="00A97397" w:rsidRDefault="00024A7C" w:rsidP="00A97397">
                            <w:pPr>
                              <w:pStyle w:val="ListParagraph"/>
                              <w:numPr>
                                <w:ilvl w:val="0"/>
                                <w:numId w:val="12"/>
                              </w:numPr>
                              <w:rPr>
                                <w:szCs w:val="24"/>
                              </w:rPr>
                            </w:pPr>
                            <w:r w:rsidRPr="00A97397">
                              <w:rPr>
                                <w:szCs w:val="24"/>
                              </w:rPr>
                              <w:t>And, among household contacts of PCR-positive ZIKV cases the:</w:t>
                            </w:r>
                          </w:p>
                          <w:p w14:paraId="1813EAFD" w14:textId="086D196D" w:rsidR="00024A7C" w:rsidRPr="00A97397" w:rsidRDefault="00024A7C" w:rsidP="00A97397">
                            <w:pPr>
                              <w:pStyle w:val="ListParagraph"/>
                              <w:numPr>
                                <w:ilvl w:val="1"/>
                                <w:numId w:val="12"/>
                              </w:numPr>
                              <w:rPr>
                                <w:szCs w:val="24"/>
                              </w:rPr>
                            </w:pPr>
                            <w:r>
                              <w:rPr>
                                <w:szCs w:val="24"/>
                              </w:rPr>
                              <w:t>P</w:t>
                            </w:r>
                            <w:r w:rsidRPr="00A97397">
                              <w:rPr>
                                <w:szCs w:val="24"/>
                              </w:rPr>
                              <w:t>oint prevalence of anti-ZIKV IgM and IgG in serum;</w:t>
                            </w:r>
                          </w:p>
                          <w:p w14:paraId="14429E58" w14:textId="6B5EA307" w:rsidR="00024A7C" w:rsidRDefault="00024A7C" w:rsidP="00A07ABB">
                            <w:pPr>
                              <w:pStyle w:val="ListParagraph"/>
                              <w:numPr>
                                <w:ilvl w:val="1"/>
                                <w:numId w:val="12"/>
                              </w:numPr>
                              <w:rPr>
                                <w:szCs w:val="24"/>
                              </w:rPr>
                            </w:pPr>
                            <w:r>
                              <w:rPr>
                                <w:szCs w:val="24"/>
                              </w:rPr>
                              <w:t>P</w:t>
                            </w:r>
                            <w:r w:rsidRPr="00A97397">
                              <w:rPr>
                                <w:szCs w:val="24"/>
                              </w:rPr>
                              <w:t>oint prevalence ZIKV RNA in body fluids.</w:t>
                            </w:r>
                          </w:p>
                          <w:p w14:paraId="7E2AB478" w14:textId="77777777" w:rsidR="00165748" w:rsidRPr="007F462A" w:rsidRDefault="00165748" w:rsidP="00232923">
                            <w:pPr>
                              <w:pStyle w:val="ListParagraph"/>
                              <w:widowControl w:val="0"/>
                              <w:numPr>
                                <w:ilvl w:val="1"/>
                                <w:numId w:val="12"/>
                              </w:numPr>
                              <w:autoSpaceDE w:val="0"/>
                              <w:autoSpaceDN w:val="0"/>
                              <w:adjustRightInd w:val="0"/>
                              <w:spacing w:after="0" w:line="234" w:lineRule="auto"/>
                              <w:rPr>
                                <w:rFonts w:asciiTheme="minorHAnsi" w:hAnsiTheme="minorHAnsi"/>
                              </w:rPr>
                            </w:pPr>
                            <w:r>
                              <w:rPr>
                                <w:rFonts w:asciiTheme="minorHAnsi" w:hAnsiTheme="minorHAnsi"/>
                              </w:rPr>
                              <w:t xml:space="preserve">Incidence of </w:t>
                            </w:r>
                            <w:proofErr w:type="spellStart"/>
                            <w:r>
                              <w:rPr>
                                <w:rFonts w:asciiTheme="minorHAnsi" w:hAnsiTheme="minorHAnsi"/>
                              </w:rPr>
                              <w:t>Zika</w:t>
                            </w:r>
                            <w:proofErr w:type="spellEnd"/>
                            <w:r>
                              <w:rPr>
                                <w:rFonts w:asciiTheme="minorHAnsi" w:hAnsiTheme="minorHAnsi"/>
                              </w:rPr>
                              <w:t xml:space="preserve"> infection.</w:t>
                            </w:r>
                          </w:p>
                          <w:p w14:paraId="67A69EE5" w14:textId="77777777" w:rsidR="00165748" w:rsidRPr="00A97397" w:rsidRDefault="00165748" w:rsidP="00232923">
                            <w:pPr>
                              <w:pStyle w:val="ListParagraph"/>
                              <w:ind w:left="1440"/>
                              <w:rPr>
                                <w:szCs w:val="24"/>
                              </w:rPr>
                            </w:pPr>
                          </w:p>
                          <w:p w14:paraId="4F83B832" w14:textId="0BD313F5" w:rsidR="00024A7C" w:rsidRDefault="00024A7C" w:rsidP="00C0242D">
                            <w:pPr>
                              <w:pStyle w:val="ListParagraph"/>
                              <w:numPr>
                                <w:ilvl w:val="0"/>
                                <w:numId w:val="12"/>
                              </w:numPr>
                              <w:rPr>
                                <w:szCs w:val="24"/>
                              </w:rPr>
                            </w:pPr>
                            <w:r w:rsidRPr="00C0242D">
                              <w:rPr>
                                <w:b/>
                                <w:szCs w:val="24"/>
                              </w:rPr>
                              <w:t>Usefulness:</w:t>
                            </w:r>
                            <w:r>
                              <w:rPr>
                                <w:szCs w:val="24"/>
                              </w:rPr>
                              <w:t xml:space="preserve"> </w:t>
                            </w:r>
                            <w:r w:rsidRPr="00C0242D">
                              <w:rPr>
                                <w:szCs w:val="24"/>
                              </w:rPr>
                              <w:t>This study will fill gaps in the scientific knowledge base for ZIKV regarding the persistence and transmissibility of ZIKV in body fluids. This information will feed back into ongoing public health response activities, as well as advance the scientific understanding of ZIKV illness and transmission.</w:t>
                            </w:r>
                          </w:p>
                          <w:p w14:paraId="7FADE722" w14:textId="446E9930" w:rsidR="00024A7C" w:rsidRDefault="00024A7C" w:rsidP="00C0242D">
                            <w:pPr>
                              <w:pStyle w:val="ListParagraph"/>
                              <w:numPr>
                                <w:ilvl w:val="0"/>
                                <w:numId w:val="12"/>
                              </w:numPr>
                              <w:rPr>
                                <w:szCs w:val="24"/>
                              </w:rPr>
                            </w:pPr>
                            <w:r w:rsidRPr="00C0242D">
                              <w:rPr>
                                <w:b/>
                                <w:szCs w:val="24"/>
                              </w:rPr>
                              <w:t>Methods:</w:t>
                            </w:r>
                            <w:r>
                              <w:rPr>
                                <w:szCs w:val="24"/>
                              </w:rPr>
                              <w:t xml:space="preserve"> </w:t>
                            </w:r>
                            <w:r w:rsidRPr="00C0242D">
                              <w:rPr>
                                <w:szCs w:val="24"/>
                              </w:rPr>
                              <w:t>This is a prospective, descriptive cohort study among individuals with ZIKV RT-PCR-positive infection and a cross-sectional study among household contacts of ZIKV cases. Participants will be residents of Puerto Rico.</w:t>
                            </w:r>
                          </w:p>
                          <w:p w14:paraId="628CB74B" w14:textId="65A4D5DC" w:rsidR="00024A7C" w:rsidRDefault="00024A7C" w:rsidP="00A97397">
                            <w:pPr>
                              <w:pStyle w:val="ListParagraph"/>
                              <w:numPr>
                                <w:ilvl w:val="0"/>
                                <w:numId w:val="12"/>
                              </w:numPr>
                              <w:rPr>
                                <w:szCs w:val="24"/>
                              </w:rPr>
                            </w:pPr>
                            <w:r>
                              <w:rPr>
                                <w:b/>
                                <w:szCs w:val="24"/>
                              </w:rPr>
                              <w:t xml:space="preserve">Subpopulation: </w:t>
                            </w:r>
                            <w:r w:rsidRPr="00C0242D">
                              <w:rPr>
                                <w:szCs w:val="24"/>
                              </w:rPr>
                              <w:t xml:space="preserve">Residents of Puerto Rico: individuals with ZIKV RT-PCR-positive infections and household contacts of ZIKV cases. </w:t>
                            </w:r>
                          </w:p>
                          <w:p w14:paraId="0F87F169" w14:textId="7C87368A" w:rsidR="00024A7C" w:rsidRPr="006A4CC7" w:rsidRDefault="00024A7C" w:rsidP="00A97397">
                            <w:pPr>
                              <w:pStyle w:val="ListParagraph"/>
                              <w:numPr>
                                <w:ilvl w:val="0"/>
                                <w:numId w:val="12"/>
                              </w:numPr>
                              <w:rPr>
                                <w:szCs w:val="24"/>
                              </w:rPr>
                            </w:pPr>
                            <w:r w:rsidRPr="00C0242D">
                              <w:rPr>
                                <w:b/>
                                <w:szCs w:val="24"/>
                              </w:rPr>
                              <w:t>Data analysis:</w:t>
                            </w:r>
                            <w:r>
                              <w:rPr>
                                <w:szCs w:val="24"/>
                              </w:rPr>
                              <w:t xml:space="preserve"> </w:t>
                            </w:r>
                            <w:r w:rsidRPr="006A4CC7">
                              <w:rPr>
                                <w:szCs w:val="24"/>
                              </w:rPr>
                              <w:t>All statistical analysis will be conducted using SAS Version 9.3. Descriptive analysis of all variables will be performed to examine the frequency and distribution of the data.</w:t>
                            </w:r>
                          </w:p>
                          <w:p w14:paraId="66D7CE2C" w14:textId="77777777" w:rsidR="00024A7C" w:rsidRPr="00866116" w:rsidRDefault="00024A7C" w:rsidP="00C81988">
                            <w:pPr>
                              <w:pStyle w:val="ListParagraph"/>
                              <w:ind w:left="1080"/>
                              <w:rPr>
                                <w:sz w:val="20"/>
                                <w:szCs w:val="20"/>
                              </w:rPr>
                            </w:pPr>
                          </w:p>
                          <w:p w14:paraId="4AF9B102" w14:textId="188B3895" w:rsidR="00024A7C" w:rsidRDefault="00024A7C" w:rsidP="00866116">
                            <w:pPr>
                              <w:pStyle w:val="ListParagraph"/>
                              <w:ind w:left="360"/>
                              <w:rPr>
                                <w:szCs w:val="24"/>
                              </w:rPr>
                            </w:pPr>
                          </w:p>
                          <w:p w14:paraId="6808664D" w14:textId="77777777" w:rsidR="00024A7C" w:rsidRPr="00866116" w:rsidRDefault="00024A7C" w:rsidP="00866116">
                            <w:pPr>
                              <w:pStyle w:val="ListParagraph"/>
                              <w:ind w:left="360"/>
                              <w:rPr>
                                <w:szCs w:val="24"/>
                              </w:rPr>
                            </w:pPr>
                          </w:p>
                          <w:p w14:paraId="1DB7417A" w14:textId="77777777" w:rsidR="00024A7C" w:rsidRDefault="00024A7C"/>
                          <w:p w14:paraId="1DB7417B" w14:textId="77777777" w:rsidR="00024A7C" w:rsidRDefault="00024A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B7416D" id="_x0000_t202" coordsize="21600,21600" o:spt="202" path="m,l,21600r21600,l21600,xe">
                <v:stroke joinstyle="miter"/>
                <v:path gradientshapeok="t" o:connecttype="rect"/>
              </v:shapetype>
              <v:shape id="Text Box 2" o:spid="_x0000_s1026" type="#_x0000_t202" style="position:absolute;margin-left:.7pt;margin-top:24.9pt;width:517.2pt;height:425.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FKyJAIAAEcEAAAOAAAAZHJzL2Uyb0RvYy54bWysU9uO2yAQfa/Uf0C8N469cTax4qy22aaq&#10;tL1Iu/0AjHGMCowLJPb26ztgb5reXqrygBhmOMycM7O5GbQiJ2GdBFPSdDanRBgOtTSHkn5+3L9a&#10;UeI8MzVTYERJn4SjN9uXLzZ9V4gMWlC1sARBjCv6rqSt912RJI63QjM3g04YdDZgNfNo2kNSW9Yj&#10;ulZJNp8vkx5s3Vngwjm8vRuddBvxm0Zw/7FpnPBElRRz83G3ca/Cnmw3rDhY1rWST2mwf8hCM2nw&#10;0zPUHfOMHK38DUpLbsFB42ccdAJNI7mINWA16fyXah5a1olYC5LjujNN7v/B8g+nT5bIuqRZek2J&#10;YRpFehSDJ69hIFngp+9cgWEPHQb6Aa9R51ir6+6Bf3HEwK5l5iBurYW+FazG/NLwMrl4OuK4AFL1&#10;76HGb9jRQwQaGqsDeUgHQXTU6emsTUiF4+UyX64WC3Rx9OVX61V6lcc/WPH8vLPOvxWgSTiU1KL4&#10;EZ6d7p0P6bDiOST85kDJei+VioY9VDtlyYlho+zjmtB/ClOG9CVd51k+MvBXiHlcf4LQ0mPHK6lL&#10;ujoHsSLw9sbUsR89k2o8Y8rKTEQG7kYW/VANkzAV1E9IqYWxs3ES8dCC/UZJj11dUvf1yKygRL0z&#10;KMs6jRz6aCzy6wwJtZee6tLDDEeoknpKxuPOx9EJhBm4RfkaGYkNOo+ZTLlit0a+p8kK43Bpx6gf&#10;87/9DgAA//8DAFBLAwQUAAYACAAAACEAc7koJd4AAAAJAQAADwAAAGRycy9kb3ducmV2LnhtbEyP&#10;wU7DMBBE70j8g7VIXBB1oKHUIU6FkED0BgXB1Y23SYS9DrGbhr9ne4LbjmY0+6ZcTd6JEYfYBdJw&#10;NctAINXBdtRoeH97vFyCiMmQNS4QavjBCKvq9KQ0hQ0HesVxkxrBJRQLo6FNqS+kjHWL3sRZ6JHY&#10;24XBm8RyaKQdzIHLvZPXWbaQ3nTEH1rT40OL9ddm7zUs8+fxM67nLx/1YudUurgdn74Hrc/Ppvs7&#10;EAmn9BeGIz6jQ8VM27AnG4VjnXNQQ654wNHO5jd8bblcKQWyKuX/BdUvAAAA//8DAFBLAQItABQA&#10;BgAIAAAAIQC2gziS/gAAAOEBAAATAAAAAAAAAAAAAAAAAAAAAABbQ29udGVudF9UeXBlc10ueG1s&#10;UEsBAi0AFAAGAAgAAAAhADj9If/WAAAAlAEAAAsAAAAAAAAAAAAAAAAALwEAAF9yZWxzLy5yZWxz&#10;UEsBAi0AFAAGAAgAAAAhAC5MUrIkAgAARwQAAA4AAAAAAAAAAAAAAAAALgIAAGRycy9lMm9Eb2Mu&#10;eG1sUEsBAi0AFAAGAAgAAAAhAHO5KCXeAAAACQEAAA8AAAAAAAAAAAAAAAAAfgQAAGRycy9kb3du&#10;cmV2LnhtbFBLBQYAAAAABAAEAPMAAACJBQAAAAA=&#10;">
                <v:textbox>
                  <w:txbxContent>
                    <w:p w14:paraId="54D8567E" w14:textId="34E29918" w:rsidR="00024A7C" w:rsidRPr="00A97397" w:rsidRDefault="00024A7C" w:rsidP="00A97397">
                      <w:pPr>
                        <w:pStyle w:val="ListParagraph"/>
                        <w:numPr>
                          <w:ilvl w:val="0"/>
                          <w:numId w:val="12"/>
                        </w:numPr>
                        <w:rPr>
                          <w:szCs w:val="24"/>
                        </w:rPr>
                      </w:pPr>
                      <w:r>
                        <w:rPr>
                          <w:b/>
                          <w:szCs w:val="24"/>
                        </w:rPr>
                        <w:t xml:space="preserve">Goals: </w:t>
                      </w:r>
                      <w:r w:rsidRPr="00A97397">
                        <w:rPr>
                          <w:szCs w:val="24"/>
                        </w:rPr>
                        <w:t xml:space="preserve">The objectives of this study are to assess among </w:t>
                      </w:r>
                      <w:r>
                        <w:rPr>
                          <w:szCs w:val="24"/>
                        </w:rPr>
                        <w:t>Zika Virus (</w:t>
                      </w:r>
                      <w:r w:rsidRPr="00A97397">
                        <w:rPr>
                          <w:szCs w:val="24"/>
                        </w:rPr>
                        <w:t>ZIKV</w:t>
                      </w:r>
                      <w:r>
                        <w:rPr>
                          <w:szCs w:val="24"/>
                        </w:rPr>
                        <w:t>)</w:t>
                      </w:r>
                      <w:r w:rsidRPr="00A97397">
                        <w:rPr>
                          <w:szCs w:val="24"/>
                        </w:rPr>
                        <w:t xml:space="preserve"> PCR-positive cases the:</w:t>
                      </w:r>
                    </w:p>
                    <w:p w14:paraId="0A7AF306" w14:textId="47EE34CC" w:rsidR="00024A7C" w:rsidRPr="00165748" w:rsidRDefault="00024A7C" w:rsidP="00A97397">
                      <w:pPr>
                        <w:pStyle w:val="ListParagraph"/>
                        <w:numPr>
                          <w:ilvl w:val="1"/>
                          <w:numId w:val="12"/>
                        </w:numPr>
                        <w:rPr>
                          <w:rFonts w:cs="Times New Roman"/>
                          <w:szCs w:val="24"/>
                        </w:rPr>
                      </w:pPr>
                      <w:r>
                        <w:rPr>
                          <w:szCs w:val="24"/>
                        </w:rPr>
                        <w:t>P</w:t>
                      </w:r>
                      <w:r w:rsidRPr="00A97397">
                        <w:rPr>
                          <w:szCs w:val="24"/>
                        </w:rPr>
                        <w:t>resenc</w:t>
                      </w:r>
                      <w:r w:rsidRPr="00165748">
                        <w:rPr>
                          <w:rFonts w:cs="Times New Roman"/>
                          <w:szCs w:val="24"/>
                        </w:rPr>
                        <w:t>e and duration of ZIKV RNA in body fluids including blood, semen or vaginal secretions, urine, saliva</w:t>
                      </w:r>
                      <w:r w:rsidR="00165748" w:rsidRPr="00165748">
                        <w:rPr>
                          <w:rFonts w:cs="Times New Roman"/>
                          <w:szCs w:val="24"/>
                        </w:rPr>
                        <w:t xml:space="preserve"> </w:t>
                      </w:r>
                      <w:r w:rsidR="00165748" w:rsidRPr="00232923">
                        <w:rPr>
                          <w:rFonts w:cs="Times New Roman"/>
                        </w:rPr>
                        <w:t>and breastmilk among lactating women;</w:t>
                      </w:r>
                      <w:r w:rsidRPr="00165748">
                        <w:rPr>
                          <w:rFonts w:cs="Times New Roman"/>
                          <w:szCs w:val="24"/>
                        </w:rPr>
                        <w:t>;</w:t>
                      </w:r>
                    </w:p>
                    <w:p w14:paraId="29C9D917" w14:textId="6CF4A91F" w:rsidR="00024A7C" w:rsidRPr="00165748" w:rsidRDefault="00024A7C" w:rsidP="00A97397">
                      <w:pPr>
                        <w:pStyle w:val="ListParagraph"/>
                        <w:numPr>
                          <w:ilvl w:val="1"/>
                          <w:numId w:val="12"/>
                        </w:numPr>
                        <w:rPr>
                          <w:rFonts w:cs="Times New Roman"/>
                          <w:szCs w:val="24"/>
                        </w:rPr>
                      </w:pPr>
                      <w:r w:rsidRPr="00165748">
                        <w:rPr>
                          <w:rFonts w:cs="Times New Roman"/>
                          <w:szCs w:val="24"/>
                        </w:rPr>
                        <w:t xml:space="preserve">Presence and duration of anti-ZIKV IgM antibodies and presence of anti-ZIKV IgG in serum; </w:t>
                      </w:r>
                    </w:p>
                    <w:p w14:paraId="3F9A0BC4" w14:textId="4E5FBCF7" w:rsidR="00024A7C" w:rsidRPr="00A97397" w:rsidRDefault="00024A7C" w:rsidP="00A97397">
                      <w:pPr>
                        <w:pStyle w:val="ListParagraph"/>
                        <w:numPr>
                          <w:ilvl w:val="1"/>
                          <w:numId w:val="12"/>
                        </w:numPr>
                        <w:rPr>
                          <w:szCs w:val="24"/>
                        </w:rPr>
                      </w:pPr>
                      <w:r>
                        <w:rPr>
                          <w:szCs w:val="24"/>
                        </w:rPr>
                        <w:t>C</w:t>
                      </w:r>
                      <w:r w:rsidRPr="00A97397">
                        <w:rPr>
                          <w:szCs w:val="24"/>
                        </w:rPr>
                        <w:t>oncordance between RT-PCR and virus isolation test results in body fluids; and</w:t>
                      </w:r>
                    </w:p>
                    <w:p w14:paraId="1BFE3A68" w14:textId="600CEBC4" w:rsidR="00024A7C" w:rsidRPr="00A97397" w:rsidRDefault="00024A7C" w:rsidP="00A97397">
                      <w:pPr>
                        <w:pStyle w:val="ListParagraph"/>
                        <w:numPr>
                          <w:ilvl w:val="1"/>
                          <w:numId w:val="12"/>
                        </w:numPr>
                        <w:rPr>
                          <w:szCs w:val="24"/>
                        </w:rPr>
                      </w:pPr>
                      <w:r>
                        <w:rPr>
                          <w:szCs w:val="24"/>
                        </w:rPr>
                        <w:t>A</w:t>
                      </w:r>
                      <w:r w:rsidRPr="00A97397">
                        <w:rPr>
                          <w:szCs w:val="24"/>
                        </w:rPr>
                        <w:t>ssociation between ZIKV shedding and host factors such as demographic characteristics and clinical signs and symptoms.</w:t>
                      </w:r>
                    </w:p>
                    <w:p w14:paraId="03135797" w14:textId="77777777" w:rsidR="00024A7C" w:rsidRPr="00A97397" w:rsidRDefault="00024A7C" w:rsidP="00A97397">
                      <w:pPr>
                        <w:pStyle w:val="ListParagraph"/>
                        <w:numPr>
                          <w:ilvl w:val="0"/>
                          <w:numId w:val="12"/>
                        </w:numPr>
                        <w:rPr>
                          <w:szCs w:val="24"/>
                        </w:rPr>
                      </w:pPr>
                      <w:r w:rsidRPr="00A97397">
                        <w:rPr>
                          <w:szCs w:val="24"/>
                        </w:rPr>
                        <w:t>And, among household contacts of PCR-positive ZIKV cases the:</w:t>
                      </w:r>
                    </w:p>
                    <w:p w14:paraId="1813EAFD" w14:textId="086D196D" w:rsidR="00024A7C" w:rsidRPr="00A97397" w:rsidRDefault="00024A7C" w:rsidP="00A97397">
                      <w:pPr>
                        <w:pStyle w:val="ListParagraph"/>
                        <w:numPr>
                          <w:ilvl w:val="1"/>
                          <w:numId w:val="12"/>
                        </w:numPr>
                        <w:rPr>
                          <w:szCs w:val="24"/>
                        </w:rPr>
                      </w:pPr>
                      <w:r>
                        <w:rPr>
                          <w:szCs w:val="24"/>
                        </w:rPr>
                        <w:t>P</w:t>
                      </w:r>
                      <w:r w:rsidRPr="00A97397">
                        <w:rPr>
                          <w:szCs w:val="24"/>
                        </w:rPr>
                        <w:t>oint prevalence of anti-ZIKV IgM and IgG in serum;</w:t>
                      </w:r>
                    </w:p>
                    <w:p w14:paraId="14429E58" w14:textId="6B5EA307" w:rsidR="00024A7C" w:rsidRDefault="00024A7C" w:rsidP="00A07ABB">
                      <w:pPr>
                        <w:pStyle w:val="ListParagraph"/>
                        <w:numPr>
                          <w:ilvl w:val="1"/>
                          <w:numId w:val="12"/>
                        </w:numPr>
                        <w:rPr>
                          <w:szCs w:val="24"/>
                        </w:rPr>
                      </w:pPr>
                      <w:r>
                        <w:rPr>
                          <w:szCs w:val="24"/>
                        </w:rPr>
                        <w:t>P</w:t>
                      </w:r>
                      <w:r w:rsidRPr="00A97397">
                        <w:rPr>
                          <w:szCs w:val="24"/>
                        </w:rPr>
                        <w:t>oint prevalence ZIKV RNA in body fluids.</w:t>
                      </w:r>
                    </w:p>
                    <w:p w14:paraId="7E2AB478" w14:textId="77777777" w:rsidR="00165748" w:rsidRPr="007F462A" w:rsidRDefault="00165748" w:rsidP="00232923">
                      <w:pPr>
                        <w:pStyle w:val="ListParagraph"/>
                        <w:widowControl w:val="0"/>
                        <w:numPr>
                          <w:ilvl w:val="1"/>
                          <w:numId w:val="12"/>
                        </w:numPr>
                        <w:autoSpaceDE w:val="0"/>
                        <w:autoSpaceDN w:val="0"/>
                        <w:adjustRightInd w:val="0"/>
                        <w:spacing w:after="0" w:line="234" w:lineRule="auto"/>
                        <w:rPr>
                          <w:rFonts w:asciiTheme="minorHAnsi" w:hAnsiTheme="minorHAnsi"/>
                        </w:rPr>
                      </w:pPr>
                      <w:r>
                        <w:rPr>
                          <w:rFonts w:asciiTheme="minorHAnsi" w:hAnsiTheme="minorHAnsi"/>
                        </w:rPr>
                        <w:t>Incidence of Zika infection.</w:t>
                      </w:r>
                    </w:p>
                    <w:p w14:paraId="67A69EE5" w14:textId="77777777" w:rsidR="00165748" w:rsidRPr="00A97397" w:rsidRDefault="00165748" w:rsidP="00232923">
                      <w:pPr>
                        <w:pStyle w:val="ListParagraph"/>
                        <w:ind w:left="1440"/>
                        <w:rPr>
                          <w:szCs w:val="24"/>
                        </w:rPr>
                      </w:pPr>
                    </w:p>
                    <w:p w14:paraId="4F83B832" w14:textId="0BD313F5" w:rsidR="00024A7C" w:rsidRDefault="00024A7C" w:rsidP="00C0242D">
                      <w:pPr>
                        <w:pStyle w:val="ListParagraph"/>
                        <w:numPr>
                          <w:ilvl w:val="0"/>
                          <w:numId w:val="12"/>
                        </w:numPr>
                        <w:rPr>
                          <w:szCs w:val="24"/>
                        </w:rPr>
                      </w:pPr>
                      <w:r w:rsidRPr="00C0242D">
                        <w:rPr>
                          <w:b/>
                          <w:szCs w:val="24"/>
                        </w:rPr>
                        <w:t>Usefulness:</w:t>
                      </w:r>
                      <w:r>
                        <w:rPr>
                          <w:szCs w:val="24"/>
                        </w:rPr>
                        <w:t xml:space="preserve"> </w:t>
                      </w:r>
                      <w:r w:rsidRPr="00C0242D">
                        <w:rPr>
                          <w:szCs w:val="24"/>
                        </w:rPr>
                        <w:t>This study will fill gaps in the scientific knowledge base for ZIKV regarding the persistence and transmissibility of ZIKV in body fluids. This information will feed back into ongoing public health response activities, as well as advance the scientific understanding of ZIKV illness and transmission.</w:t>
                      </w:r>
                    </w:p>
                    <w:p w14:paraId="7FADE722" w14:textId="446E9930" w:rsidR="00024A7C" w:rsidRDefault="00024A7C" w:rsidP="00C0242D">
                      <w:pPr>
                        <w:pStyle w:val="ListParagraph"/>
                        <w:numPr>
                          <w:ilvl w:val="0"/>
                          <w:numId w:val="12"/>
                        </w:numPr>
                        <w:rPr>
                          <w:szCs w:val="24"/>
                        </w:rPr>
                      </w:pPr>
                      <w:r w:rsidRPr="00C0242D">
                        <w:rPr>
                          <w:b/>
                          <w:szCs w:val="24"/>
                        </w:rPr>
                        <w:t>Methods:</w:t>
                      </w:r>
                      <w:r>
                        <w:rPr>
                          <w:szCs w:val="24"/>
                        </w:rPr>
                        <w:t xml:space="preserve"> </w:t>
                      </w:r>
                      <w:r w:rsidRPr="00C0242D">
                        <w:rPr>
                          <w:szCs w:val="24"/>
                        </w:rPr>
                        <w:t>This is a prospective, descriptive cohort study among individuals with ZIKV RT-PCR-positive infection and a cross-sectional study among household contacts of ZIKV cases. Participants will be residents of Puerto Rico.</w:t>
                      </w:r>
                    </w:p>
                    <w:p w14:paraId="628CB74B" w14:textId="65A4D5DC" w:rsidR="00024A7C" w:rsidRDefault="00024A7C" w:rsidP="00A97397">
                      <w:pPr>
                        <w:pStyle w:val="ListParagraph"/>
                        <w:numPr>
                          <w:ilvl w:val="0"/>
                          <w:numId w:val="12"/>
                        </w:numPr>
                        <w:rPr>
                          <w:szCs w:val="24"/>
                        </w:rPr>
                      </w:pPr>
                      <w:r>
                        <w:rPr>
                          <w:b/>
                          <w:szCs w:val="24"/>
                        </w:rPr>
                        <w:t xml:space="preserve">Subpopulation: </w:t>
                      </w:r>
                      <w:r w:rsidRPr="00C0242D">
                        <w:rPr>
                          <w:szCs w:val="24"/>
                        </w:rPr>
                        <w:t xml:space="preserve">Residents of Puerto Rico: individuals with ZIKV RT-PCR-positive infections and household contacts of ZIKV cases. </w:t>
                      </w:r>
                    </w:p>
                    <w:p w14:paraId="0F87F169" w14:textId="7C87368A" w:rsidR="00024A7C" w:rsidRPr="006A4CC7" w:rsidRDefault="00024A7C" w:rsidP="00A97397">
                      <w:pPr>
                        <w:pStyle w:val="ListParagraph"/>
                        <w:numPr>
                          <w:ilvl w:val="0"/>
                          <w:numId w:val="12"/>
                        </w:numPr>
                        <w:rPr>
                          <w:szCs w:val="24"/>
                        </w:rPr>
                      </w:pPr>
                      <w:r w:rsidRPr="00C0242D">
                        <w:rPr>
                          <w:b/>
                          <w:szCs w:val="24"/>
                        </w:rPr>
                        <w:t>Data analysis:</w:t>
                      </w:r>
                      <w:r>
                        <w:rPr>
                          <w:szCs w:val="24"/>
                        </w:rPr>
                        <w:t xml:space="preserve"> </w:t>
                      </w:r>
                      <w:r w:rsidRPr="006A4CC7">
                        <w:rPr>
                          <w:szCs w:val="24"/>
                        </w:rPr>
                        <w:t>All statistical analysis will be conducted using SAS Version 9.3. Descriptive analysis of all variables will be performed to examine the frequency and distribution of the data.</w:t>
                      </w:r>
                    </w:p>
                    <w:p w14:paraId="66D7CE2C" w14:textId="77777777" w:rsidR="00024A7C" w:rsidRPr="00866116" w:rsidRDefault="00024A7C" w:rsidP="00C81988">
                      <w:pPr>
                        <w:pStyle w:val="ListParagraph"/>
                        <w:ind w:left="1080"/>
                        <w:rPr>
                          <w:sz w:val="20"/>
                          <w:szCs w:val="20"/>
                        </w:rPr>
                      </w:pPr>
                    </w:p>
                    <w:p w14:paraId="4AF9B102" w14:textId="188B3895" w:rsidR="00024A7C" w:rsidRDefault="00024A7C" w:rsidP="00866116">
                      <w:pPr>
                        <w:pStyle w:val="ListParagraph"/>
                        <w:ind w:left="360"/>
                        <w:rPr>
                          <w:szCs w:val="24"/>
                        </w:rPr>
                      </w:pPr>
                    </w:p>
                    <w:p w14:paraId="6808664D" w14:textId="77777777" w:rsidR="00024A7C" w:rsidRPr="00866116" w:rsidRDefault="00024A7C" w:rsidP="00866116">
                      <w:pPr>
                        <w:pStyle w:val="ListParagraph"/>
                        <w:ind w:left="360"/>
                        <w:rPr>
                          <w:szCs w:val="24"/>
                        </w:rPr>
                      </w:pPr>
                    </w:p>
                    <w:p w14:paraId="1DB7417A" w14:textId="77777777" w:rsidR="00024A7C" w:rsidRDefault="00024A7C"/>
                    <w:p w14:paraId="1DB7417B" w14:textId="77777777" w:rsidR="00024A7C" w:rsidRDefault="00024A7C"/>
                  </w:txbxContent>
                </v:textbox>
                <w10:wrap type="square"/>
              </v:shape>
            </w:pict>
          </mc:Fallback>
        </mc:AlternateContent>
      </w:r>
    </w:p>
    <w:p w14:paraId="543B8AD9" w14:textId="77777777" w:rsidR="00164ADC" w:rsidRDefault="00164ADC" w:rsidP="00B35EDE">
      <w:pPr>
        <w:spacing w:after="0" w:line="240" w:lineRule="auto"/>
        <w:rPr>
          <w:b/>
        </w:rPr>
      </w:pPr>
    </w:p>
    <w:p w14:paraId="47283646" w14:textId="01FA93DA" w:rsidR="00164ADC" w:rsidRDefault="006A01F5" w:rsidP="00FF4A0D">
      <w:r>
        <w:t xml:space="preserve">This is a request for a New </w:t>
      </w:r>
      <w:r w:rsidR="00F02F64" w:rsidRPr="00F02F64">
        <w:t xml:space="preserve">ICR to continue the emergency information collection approved by OMB in </w:t>
      </w:r>
      <w:r w:rsidR="00F02F64">
        <w:t>March</w:t>
      </w:r>
      <w:r w:rsidR="00F02F64" w:rsidRPr="00F02F64">
        <w:t>, 2016 (OMB Control No. 0920-110</w:t>
      </w:r>
      <w:r w:rsidR="00F02F64">
        <w:t>6</w:t>
      </w:r>
      <w:r w:rsidR="00F02F64" w:rsidRPr="00F02F64">
        <w:t xml:space="preserve">).  This emergency clearance expires on </w:t>
      </w:r>
      <w:r w:rsidR="0097568C">
        <w:t>September 30</w:t>
      </w:r>
      <w:r w:rsidR="00F02F64" w:rsidRPr="00F02F64">
        <w:t xml:space="preserve">, 2016.  CDC requests an additional one-year of clearance to complete this </w:t>
      </w:r>
      <w:r>
        <w:t>study</w:t>
      </w:r>
      <w:r w:rsidR="00F02F64" w:rsidRPr="00F02F64">
        <w:t xml:space="preserve">.   </w:t>
      </w:r>
    </w:p>
    <w:p w14:paraId="61368624" w14:textId="02B6E722" w:rsidR="00060A55" w:rsidRDefault="00060A55" w:rsidP="00651298">
      <w:pPr>
        <w:rPr>
          <w:b/>
        </w:rPr>
      </w:pPr>
      <w:r>
        <w:t>The other project that was bundled with this one to expedite the emergency clearance process—</w:t>
      </w:r>
      <w:r w:rsidR="00C02CE3">
        <w:t>C</w:t>
      </w:r>
      <w:r w:rsidRPr="00060A55">
        <w:t xml:space="preserve">ase-control </w:t>
      </w:r>
      <w:r w:rsidR="00C02CE3">
        <w:t>I</w:t>
      </w:r>
      <w:r w:rsidRPr="00060A55">
        <w:t xml:space="preserve">nvestigation of </w:t>
      </w:r>
      <w:r w:rsidR="00C02CE3">
        <w:t>E</w:t>
      </w:r>
      <w:r w:rsidRPr="00060A55">
        <w:t xml:space="preserve">tiologic </w:t>
      </w:r>
      <w:r w:rsidR="00C02CE3">
        <w:t>A</w:t>
      </w:r>
      <w:r w:rsidRPr="00060A55">
        <w:t xml:space="preserve">gents </w:t>
      </w:r>
      <w:r w:rsidR="00C02CE3">
        <w:t>A</w:t>
      </w:r>
      <w:r w:rsidRPr="00060A55">
        <w:t xml:space="preserve">ssociated with </w:t>
      </w:r>
      <w:proofErr w:type="spellStart"/>
      <w:r w:rsidRPr="00060A55">
        <w:t>Guillain-Barré</w:t>
      </w:r>
      <w:proofErr w:type="spellEnd"/>
      <w:r w:rsidRPr="00060A55">
        <w:t xml:space="preserve"> Syndrome</w:t>
      </w:r>
      <w:r>
        <w:t>—</w:t>
      </w:r>
      <w:r w:rsidR="00412C72">
        <w:t>will be submitted to OMB for PRA clearance via a separate information collection request.</w:t>
      </w:r>
    </w:p>
    <w:p w14:paraId="6EDC7F68" w14:textId="31D255E0" w:rsidR="00925EBF" w:rsidRDefault="004A6DE8" w:rsidP="00164ADC">
      <w:pPr>
        <w:pStyle w:val="Heading1"/>
        <w:spacing w:after="240"/>
        <w:ind w:left="360"/>
      </w:pPr>
      <w:bookmarkStart w:id="0" w:name="_Toc441568620"/>
      <w:r w:rsidRPr="006E7652">
        <w:t>Circumstances Making the Collection of Information Necessary</w:t>
      </w:r>
      <w:bookmarkStart w:id="1" w:name="_Toc441568621"/>
      <w:bookmarkEnd w:id="0"/>
    </w:p>
    <w:p w14:paraId="6D74559D" w14:textId="73A3C642" w:rsidR="006A01F5" w:rsidRDefault="006A01F5" w:rsidP="00FF4A0D">
      <w:proofErr w:type="spellStart"/>
      <w:r>
        <w:t>Zika</w:t>
      </w:r>
      <w:proofErr w:type="spellEnd"/>
      <w:r>
        <w:t xml:space="preserve"> virus (ZIKV) is a mosquito-borne </w:t>
      </w:r>
      <w:proofErr w:type="spellStart"/>
      <w:r>
        <w:t>flavivirus</w:t>
      </w:r>
      <w:proofErr w:type="spellEnd"/>
      <w:r>
        <w:t xml:space="preserve"> that has recently emerged in the Americas.  Previously, outbreaks had occurred in Asia and islands in the South Pacific.  In addition to mosquito-to-human transmission, ZIKV infections have been documented through sexual transmission, blood transfusion, </w:t>
      </w:r>
      <w:proofErr w:type="gramStart"/>
      <w:r>
        <w:t>laboratory</w:t>
      </w:r>
      <w:proofErr w:type="gramEnd"/>
      <w:r>
        <w:t xml:space="preserve"> exposure, intrauterine transmission resulting in congenital infection, and </w:t>
      </w:r>
      <w:r>
        <w:lastRenderedPageBreak/>
        <w:t xml:space="preserve">intrapartum transmission from a </w:t>
      </w:r>
      <w:proofErr w:type="spellStart"/>
      <w:r>
        <w:t>viremic</w:t>
      </w:r>
      <w:proofErr w:type="spellEnd"/>
      <w:r>
        <w:t xml:space="preserve"> mother to her newborn.  Along with serum, ZIKV RNA has been detected in semen, urine, </w:t>
      </w:r>
      <w:bookmarkStart w:id="2" w:name="_GoBack"/>
      <w:r>
        <w:t>breast</w:t>
      </w:r>
      <w:bookmarkEnd w:id="2"/>
      <w:r>
        <w:t xml:space="preserve"> milk, and amniotic fluid.  ZIKV IgM antibodies are generally first detectable at 4 to 8 days after onset of illness and likely persist for weeks to months; however, the duration of persistence of anti-ZIKV IgM antibodies is unknown as well as the timing from infection to the development of IgG antibodies. The prevalence of ZIKV RNA in various body fluids among patients with acute ZIKV infection and the length of time that ZIKV RNA might persist in these body fluids is not well understood, nor the frequency with which it is infectious. Characterizing these parameters has implications both for diagnosis of ZIKV infection using specimens other than blood tha</w:t>
      </w:r>
      <w:r w:rsidR="00412C72">
        <w:t>t</w:t>
      </w:r>
      <w:r>
        <w:t xml:space="preserve"> may be more convenient to collect, as well as for potential human-to-human transmission.</w:t>
      </w:r>
    </w:p>
    <w:p w14:paraId="2176FE2B" w14:textId="6CF9D1E0" w:rsidR="006A01F5" w:rsidRDefault="006A01F5" w:rsidP="00FF4A0D">
      <w:r>
        <w:t xml:space="preserve">Our knowledge of the presence of ZIKV in semen is based on few previous case reports. In one report, of suspected sexual transmission of ZIKV, the wife of a returning traveler was believed to become infected with ZIKV after having sexual intercourse with the traveler.  The wife had no other known exposures to ZIKV, and had serologic and clinically compatible ZIKV illness. Because the wife had not traveled outside of the United States, and the couple reported sexual intercourse one day after the traveler returned, transmission of virus through semen has been suggested. The returning traveler experienced symptoms of dysuria, and prostatitis, though the presence of ZIKV RNA in the semen is not known. In a second case, a patient in Tahiti sought care for </w:t>
      </w:r>
      <w:proofErr w:type="spellStart"/>
      <w:r>
        <w:t>hematospermia</w:t>
      </w:r>
      <w:proofErr w:type="spellEnd"/>
      <w:r>
        <w:t xml:space="preserve">.  The patient experienced two </w:t>
      </w:r>
      <w:proofErr w:type="spellStart"/>
      <w:r>
        <w:t>Zika</w:t>
      </w:r>
      <w:proofErr w:type="spellEnd"/>
      <w:r w:rsidR="00412C72">
        <w:t>-</w:t>
      </w:r>
      <w:r>
        <w:t xml:space="preserve">like illnesses, the first 77 days prior to the onset of </w:t>
      </w:r>
      <w:proofErr w:type="spellStart"/>
      <w:r>
        <w:t>hematospermia</w:t>
      </w:r>
      <w:proofErr w:type="spellEnd"/>
      <w:r>
        <w:t xml:space="preserve">, and the second 21 days prior to the onset of </w:t>
      </w:r>
      <w:proofErr w:type="spellStart"/>
      <w:r>
        <w:t>hematospermia</w:t>
      </w:r>
      <w:proofErr w:type="spellEnd"/>
      <w:r>
        <w:t xml:space="preserve">. A sample collected 80 days post first illness onset and 24 days post second illness onset was found to contain infectious ZIKV. Based on these cases and case reports in additional body fluids of infected individuals we have reason to believe that ZIKV can be found in the semen of infected men.  Virus in semen could be shed intermittently as it has been suggested for other viruses, like Ebola and HIV. More recently, as part of the current outbreak of ZIKV in the Americas, there have been several reports of potential ZIKV sexual transmission. The prevalence of ZIKV RNA and antibodies (IgM and IgG) in body fluids among patients with ZIKV infection and the length of time that ZIKV RNA persists in these body fluids is not well understood. </w:t>
      </w:r>
    </w:p>
    <w:p w14:paraId="6CACB646" w14:textId="77777777" w:rsidR="006A01F5" w:rsidRDefault="006A01F5" w:rsidP="00FF4A0D">
      <w:r>
        <w:t xml:space="preserve">It is also not known if individuals with asymptomatic ZIKV infection contribute to mosquito-borne virus transmission. Learning about the presence and viral load of ZIKV RNA in the blood of asymptomatic persons would help us determine if mosquitoes can potentially be infected from asymptomatic individuals and thereby contribute to virus transmission and spread. In Puerto Rico, vector control activities are focusing in the geographic areas where symptomatic cases are reported. Determining if asymptomatic individuals can potentially infect mosquitoes would greatly inform strategies for vector control. Moreover, if asymptomatic ZIKV infection does contribute to virus transmission, messaging to household contacts of individuals with ZIKV infection regarding need for use of mosquito avoidance measures would be of public health importance. Measuring the prevalence of shedding among individuals with asymptomatic ZIKV infection in body fluids other than blood could also inform the use of different specimens for screening and diagnosis of </w:t>
      </w:r>
      <w:proofErr w:type="spellStart"/>
      <w:r>
        <w:t>Zika</w:t>
      </w:r>
      <w:proofErr w:type="spellEnd"/>
      <w:r>
        <w:t>, particularly in pregnant women.</w:t>
      </w:r>
    </w:p>
    <w:p w14:paraId="1DB74147" w14:textId="31CA7EAB" w:rsidR="00463157" w:rsidRDefault="000D4D47" w:rsidP="00FF4A0D">
      <w:r w:rsidRPr="000D4D47">
        <w:t xml:space="preserve">Authorizing Legislation comes from Section 301 of the Public Health Service Act (42 U.S.C. 241) (Attachment </w:t>
      </w:r>
      <w:r w:rsidR="00EA4AFC">
        <w:t>A</w:t>
      </w:r>
      <w:r w:rsidRPr="000D4D47">
        <w:t>).</w:t>
      </w:r>
    </w:p>
    <w:p w14:paraId="533CBAB1" w14:textId="09B3CAF4" w:rsidR="0040485E" w:rsidRDefault="004A6DE8" w:rsidP="00824298">
      <w:pPr>
        <w:pStyle w:val="Heading1"/>
        <w:spacing w:before="240" w:after="240"/>
        <w:ind w:left="360"/>
      </w:pPr>
      <w:r w:rsidRPr="006E7652">
        <w:lastRenderedPageBreak/>
        <w:t>Purpose and Use of Information Collection</w:t>
      </w:r>
      <w:bookmarkEnd w:id="1"/>
    </w:p>
    <w:p w14:paraId="18A8B441" w14:textId="28A131C4" w:rsidR="00FF4A0D" w:rsidRPr="00915501" w:rsidRDefault="00FF4A0D" w:rsidP="00915501">
      <w:pPr>
        <w:rPr>
          <w:rFonts w:cs="Times New Roman"/>
          <w:szCs w:val="24"/>
        </w:rPr>
      </w:pPr>
      <w:r>
        <w:t xml:space="preserve">The </w:t>
      </w:r>
      <w:proofErr w:type="spellStart"/>
      <w:r>
        <w:t>Zika</w:t>
      </w:r>
      <w:proofErr w:type="spellEnd"/>
      <w:r>
        <w:t xml:space="preserve"> </w:t>
      </w:r>
      <w:proofErr w:type="spellStart"/>
      <w:r>
        <w:t>PERsistence</w:t>
      </w:r>
      <w:proofErr w:type="spellEnd"/>
      <w:r>
        <w:t xml:space="preserve"> (ZIPER) study will help inform the presence and duration of ZIKV shedding in several body fluids among RT-PCR-positive ZIKV cases from Puerto Rico. It will also provide information regarding the duration of detection of anti-ZIKV IgM antibodies and the time for development of IgG antibodies among the same population. In addition, this </w:t>
      </w:r>
      <w:r w:rsidR="00BD6F7A">
        <w:t>study</w:t>
      </w:r>
      <w:r>
        <w:t xml:space="preserve"> will determine the prevalence of anti-ZIKV IgM and IgG, and virus shedding in body fluids among household contacts of ZIKV cases.</w:t>
      </w:r>
    </w:p>
    <w:p w14:paraId="50F8F787" w14:textId="77777777" w:rsidR="00FF4A0D" w:rsidRPr="00366F20" w:rsidRDefault="00FF4A0D" w:rsidP="00915501">
      <w:pPr>
        <w:rPr>
          <w:rFonts w:cs="Times New Roman"/>
          <w:szCs w:val="24"/>
        </w:rPr>
      </w:pPr>
      <w:r w:rsidRPr="00915501">
        <w:rPr>
          <w:rFonts w:cs="Times New Roman"/>
          <w:szCs w:val="24"/>
        </w:rPr>
        <w:t xml:space="preserve">We propose to investigate the persistence (shedding) of ZIKV in different body fluids and its relation to immune response to provide a basis for development of </w:t>
      </w:r>
      <w:r w:rsidRPr="00366F20">
        <w:rPr>
          <w:rFonts w:cs="Times New Roman"/>
          <w:szCs w:val="24"/>
        </w:rPr>
        <w:t>non-blood-based diagnostic tools, and target and refine public health interventions to arrest ongoing spread of infection. To do so, we will conduct a prospective cohort study of individuals with reverse transcription-polymerase chain reaction (RT-PCR) positive ZIKV infection and a cross-sectional study of their household contacts. Results and analyses will be used to update relevant counseling messages and recommendations from the CDC.</w:t>
      </w:r>
    </w:p>
    <w:p w14:paraId="43CB447A" w14:textId="389FCA61" w:rsidR="00915501" w:rsidRPr="00232923" w:rsidRDefault="00FF4A0D" w:rsidP="00366F20">
      <w:pPr>
        <w:pStyle w:val="CommentText"/>
        <w:spacing w:line="276" w:lineRule="auto"/>
        <w:rPr>
          <w:rFonts w:cs="Times New Roman"/>
          <w:sz w:val="24"/>
          <w:szCs w:val="24"/>
        </w:rPr>
      </w:pPr>
      <w:r w:rsidRPr="00366F20">
        <w:rPr>
          <w:rFonts w:cs="Times New Roman"/>
          <w:sz w:val="24"/>
          <w:szCs w:val="24"/>
        </w:rPr>
        <w:t xml:space="preserve">The study will include baseline and follow-up questionnaires and the collection of the following specimens: blood, saliva, urine from participants of all ages, and semen/vaginal secretions from adults (ages 21 years or older) and legally emancipated minors (support themselves financially, live independent of their parents, are pregnant, or have children). Individuals with RT-PCR positive ZIKV infection will be recruited through the Sentinel Enhanced Dengue Surveillance System (SEDSS) at Saint Luke’s Episcopal Hospital in Ponce, Puerto Rico and through passive surveillance in selected municipalities in Puerto Rico. SEDSS was established in 2012 through a cooperative agreement between the hospital in Consortium with the Ponce School of Medicine and Ponce Research Institute from the Ponce Health Sciences University and the Centers for Disease Control and Prevention (CDC) (Protocol # 6214). Specimens will be tested for the presence of ZIKV RNA by RT-PCR at the CDC Dengue Branch Laboratory in San Juan, and positive specimens will be further tested for virus isolation to evaluate infectivity. Each body fluid will be collected on a weekly basis for 4 weeks and biweekly thereafter until two consecutive negative RT-PCR results are obtained from all specimens. Irrespective of RNA detection, body fluids will also be collected for RT-PCT at 2, 4, </w:t>
      </w:r>
      <w:r w:rsidR="00596862" w:rsidRPr="00366F20">
        <w:rPr>
          <w:rFonts w:cs="Times New Roman"/>
          <w:sz w:val="24"/>
          <w:szCs w:val="24"/>
        </w:rPr>
        <w:t xml:space="preserve">and </w:t>
      </w:r>
      <w:r w:rsidRPr="00366F20">
        <w:rPr>
          <w:rFonts w:cs="Times New Roman"/>
          <w:sz w:val="24"/>
          <w:szCs w:val="24"/>
        </w:rPr>
        <w:t xml:space="preserve">6 months to investigate intermittent shedding. Analyses of antibody response through titers of IgM and IgG will be performed at baseline and repeated at 2, 4, </w:t>
      </w:r>
      <w:r w:rsidR="00596862" w:rsidRPr="00366F20">
        <w:rPr>
          <w:rFonts w:cs="Times New Roman"/>
          <w:sz w:val="24"/>
          <w:szCs w:val="24"/>
        </w:rPr>
        <w:t xml:space="preserve">and </w:t>
      </w:r>
      <w:r w:rsidRPr="00366F20">
        <w:rPr>
          <w:rFonts w:cs="Times New Roman"/>
          <w:sz w:val="24"/>
          <w:szCs w:val="24"/>
        </w:rPr>
        <w:t xml:space="preserve">6months. </w:t>
      </w:r>
      <w:r w:rsidR="00165748" w:rsidRPr="00366F20">
        <w:rPr>
          <w:rFonts w:cs="Times New Roman"/>
          <w:sz w:val="24"/>
          <w:szCs w:val="24"/>
        </w:rPr>
        <w:t>Among symptomatic participants s</w:t>
      </w:r>
      <w:r w:rsidRPr="00366F20">
        <w:rPr>
          <w:rFonts w:cs="Times New Roman"/>
          <w:sz w:val="24"/>
          <w:szCs w:val="24"/>
        </w:rPr>
        <w:t xml:space="preserve">even milliliters of blood will be drawn at each study visit </w:t>
      </w:r>
      <w:r w:rsidR="00165748" w:rsidRPr="00232923">
        <w:rPr>
          <w:rFonts w:cs="Times New Roman"/>
          <w:color w:val="000000"/>
          <w:sz w:val="24"/>
          <w:szCs w:val="24"/>
        </w:rPr>
        <w:t xml:space="preserve">split into a tiger top tube (5ml) and a purple top tube (2ml) </w:t>
      </w:r>
      <w:r w:rsidRPr="00232923">
        <w:rPr>
          <w:rFonts w:cs="Times New Roman"/>
          <w:sz w:val="24"/>
          <w:szCs w:val="24"/>
        </w:rPr>
        <w:t xml:space="preserve">for a total not to exceed 50 ml during any given 8-week period. </w:t>
      </w:r>
      <w:r w:rsidR="00165748" w:rsidRPr="00232923">
        <w:rPr>
          <w:rFonts w:cs="Times New Roman"/>
          <w:sz w:val="24"/>
          <w:szCs w:val="24"/>
        </w:rPr>
        <w:t xml:space="preserve">At enrollment healthy non-pregnant adults will have 20 ml of blood collected following standard procedures. Two tiger top tubes of 8.5 ml and one 3ml purple top tubes will be collected. These procedures will be repeated at each follow-up visit, see below. </w:t>
      </w:r>
      <w:r w:rsidRPr="00232923">
        <w:rPr>
          <w:rFonts w:cs="Times New Roman"/>
          <w:sz w:val="24"/>
          <w:szCs w:val="24"/>
        </w:rPr>
        <w:t xml:space="preserve">RT-PCR-positive participants will be asked to refer up to 5 household members to establish the percentage of household members with detectable and potentially infectious </w:t>
      </w:r>
      <w:proofErr w:type="spellStart"/>
      <w:r w:rsidRPr="00232923">
        <w:rPr>
          <w:rFonts w:cs="Times New Roman"/>
          <w:sz w:val="24"/>
          <w:szCs w:val="24"/>
        </w:rPr>
        <w:t>Zika</w:t>
      </w:r>
      <w:proofErr w:type="spellEnd"/>
      <w:r w:rsidRPr="00232923">
        <w:rPr>
          <w:rFonts w:cs="Times New Roman"/>
          <w:sz w:val="24"/>
          <w:szCs w:val="24"/>
        </w:rPr>
        <w:t xml:space="preserve"> virus RNA in body fluids. Household members who are found to be ZIKV RT-PCR-positive in any body fluid will be invited to participate in the cohort study.</w:t>
      </w:r>
      <w:r w:rsidR="00915501" w:rsidRPr="00232923">
        <w:rPr>
          <w:rFonts w:cs="Times New Roman"/>
          <w:sz w:val="24"/>
          <w:szCs w:val="24"/>
        </w:rPr>
        <w:t xml:space="preserve"> </w:t>
      </w:r>
      <w:r w:rsidR="00915501" w:rsidRPr="00232923">
        <w:rPr>
          <w:rStyle w:val="Heading5Char"/>
          <w:rFonts w:ascii="Times New Roman" w:hAnsi="Times New Roman" w:cs="Times New Roman"/>
          <w:color w:val="auto"/>
          <w:sz w:val="24"/>
        </w:rPr>
        <w:t>A second study visit will be scheduled with household contact at 2 or 4 months, to detect new infections and estimate incidence. Because the original study consent forms do not include this visit, household contacts will be contacted by study staff and will be consented again using the same consent form.</w:t>
      </w:r>
    </w:p>
    <w:p w14:paraId="2D940D19" w14:textId="26591D71" w:rsidR="00CF5E7E" w:rsidRPr="00915501" w:rsidRDefault="00CF5E7E" w:rsidP="00915501">
      <w:pPr>
        <w:rPr>
          <w:rFonts w:cs="Times New Roman"/>
          <w:szCs w:val="24"/>
        </w:rPr>
      </w:pPr>
    </w:p>
    <w:p w14:paraId="0F967061" w14:textId="0E25B5ED" w:rsidR="00FF4A0D" w:rsidRDefault="00FF4A0D" w:rsidP="00915501">
      <w:r w:rsidRPr="00915501">
        <w:rPr>
          <w:rFonts w:cs="Times New Roman"/>
          <w:szCs w:val="24"/>
        </w:rPr>
        <w:t>Since gaining emergency clearance on March 18, 2016, the study has made the</w:t>
      </w:r>
      <w:r>
        <w:t xml:space="preserve"> following progress: s</w:t>
      </w:r>
      <w:r w:rsidRPr="00FF4A0D">
        <w:t>taff have been hired and trained on study procedures. Recruitment of participants started on May 2</w:t>
      </w:r>
      <w:r>
        <w:t>, 2016</w:t>
      </w:r>
      <w:r w:rsidRPr="00FF4A0D">
        <w:t xml:space="preserve"> using mobile teams. </w:t>
      </w:r>
      <w:r w:rsidR="00023D8A">
        <w:t xml:space="preserve">Through </w:t>
      </w:r>
      <w:r w:rsidR="009F4DA8">
        <w:t>September</w:t>
      </w:r>
      <w:r w:rsidR="00023D8A">
        <w:t xml:space="preserve"> 22, 2016</w:t>
      </w:r>
      <w:r w:rsidRPr="00FF4A0D">
        <w:t xml:space="preserve">, </w:t>
      </w:r>
      <w:r w:rsidR="00023D8A">
        <w:t xml:space="preserve">a total of </w:t>
      </w:r>
      <w:r w:rsidR="008A23A5">
        <w:t>316</w:t>
      </w:r>
      <w:r w:rsidRPr="00FF4A0D">
        <w:t xml:space="preserve"> participants have been recruited in the Ponce</w:t>
      </w:r>
      <w:r w:rsidR="00023D8A">
        <w:t xml:space="preserve"> health region</w:t>
      </w:r>
      <w:r w:rsidRPr="00FF4A0D">
        <w:t xml:space="preserve">, including </w:t>
      </w:r>
      <w:r w:rsidR="008A23A5">
        <w:t>141</w:t>
      </w:r>
      <w:r w:rsidR="00023D8A" w:rsidRPr="00FF4A0D">
        <w:t xml:space="preserve"> </w:t>
      </w:r>
      <w:r w:rsidR="008A23A5">
        <w:t>cohort</w:t>
      </w:r>
      <w:r w:rsidRPr="00FF4A0D">
        <w:t xml:space="preserve"> patients and </w:t>
      </w:r>
      <w:r w:rsidR="00985F3E">
        <w:t>175</w:t>
      </w:r>
      <w:r w:rsidRPr="00FF4A0D">
        <w:t xml:space="preserve"> household contacts</w:t>
      </w:r>
      <w:r w:rsidR="00023D8A">
        <w:t xml:space="preserve">, of which </w:t>
      </w:r>
      <w:r w:rsidR="00985F3E">
        <w:t xml:space="preserve">23 </w:t>
      </w:r>
      <w:r w:rsidR="00023D8A">
        <w:t>were positive by RT-PCR in one or multiple specimens and hence were recruited into the cohort arm of the study</w:t>
      </w:r>
      <w:r w:rsidRPr="00FF4A0D">
        <w:t xml:space="preserve">. A </w:t>
      </w:r>
      <w:r w:rsidR="00960ECB">
        <w:t xml:space="preserve">study site has been operating in Ponce since July and a second study site is operating in San Juan. </w:t>
      </w:r>
      <w:r w:rsidRPr="00FF4A0D">
        <w:t>.</w:t>
      </w:r>
      <w:r w:rsidR="00960ECB">
        <w:t xml:space="preserve"> No analyses of study outcomes has been conducted at the time of this OMB application. </w:t>
      </w:r>
      <w:r w:rsidR="00C53D87">
        <w:t xml:space="preserve">We need to continue the study for an additional year in order to complete enrolment of cohort participants to meet the estimated sample size of 350 participants and complete follow-up for all of them. </w:t>
      </w:r>
      <w:r w:rsidRPr="00FF4A0D">
        <w:t xml:space="preserve"> </w:t>
      </w:r>
    </w:p>
    <w:p w14:paraId="6F08C12A" w14:textId="77777777" w:rsidR="004D11EC" w:rsidRDefault="004D11EC" w:rsidP="00FF4A0D"/>
    <w:p w14:paraId="1DB7414B" w14:textId="423C6DDA" w:rsidR="004A6DE8" w:rsidRDefault="004A6DE8" w:rsidP="00020570">
      <w:pPr>
        <w:pStyle w:val="Heading1"/>
        <w:spacing w:after="240"/>
        <w:ind w:left="360"/>
      </w:pPr>
      <w:bookmarkStart w:id="3" w:name="_Toc441568622"/>
      <w:r w:rsidRPr="006E7652">
        <w:t>Use of Improved Information Technology and Burden Reduction</w:t>
      </w:r>
      <w:bookmarkEnd w:id="3"/>
    </w:p>
    <w:p w14:paraId="58778A2C" w14:textId="06236018" w:rsidR="00067568" w:rsidRDefault="00067568" w:rsidP="00651298">
      <w:r w:rsidRPr="00067568">
        <w:t>Collected data will be directly recorded on computers or tablets to minimize data recording and entry errors and minimize delays in data availability. If paper forms must be used, interview responses will be entered into the database either daily or as a group at the close of data collection</w:t>
      </w:r>
      <w:r w:rsidR="007F59A0">
        <w:t>.</w:t>
      </w:r>
    </w:p>
    <w:p w14:paraId="1DB7414C" w14:textId="751DFD9E" w:rsidR="004A6DE8" w:rsidRPr="006E7652" w:rsidRDefault="004A6DE8" w:rsidP="009A39EB">
      <w:pPr>
        <w:pStyle w:val="Heading1"/>
        <w:spacing w:after="240"/>
        <w:ind w:left="360"/>
      </w:pPr>
      <w:bookmarkStart w:id="4" w:name="_Toc441568623"/>
      <w:r w:rsidRPr="006E7652">
        <w:t>Efforts to Identify Duplication and Use of Similar Information</w:t>
      </w:r>
      <w:bookmarkEnd w:id="4"/>
    </w:p>
    <w:p w14:paraId="65000DF2" w14:textId="7856C2A3" w:rsidR="001130A6" w:rsidRPr="001130A6" w:rsidRDefault="00F70CB6" w:rsidP="00232923">
      <w:pPr>
        <w:autoSpaceDE w:val="0"/>
        <w:autoSpaceDN w:val="0"/>
      </w:pPr>
      <w:r>
        <w:t xml:space="preserve">CDC is leading </w:t>
      </w:r>
      <w:r w:rsidR="00C107C9">
        <w:t>a</w:t>
      </w:r>
      <w:r>
        <w:t xml:space="preserve"> study in the United States on the persistence of </w:t>
      </w:r>
      <w:proofErr w:type="spellStart"/>
      <w:r>
        <w:t>Zika</w:t>
      </w:r>
      <w:proofErr w:type="spellEnd"/>
      <w:r>
        <w:t xml:space="preserve"> virus RNA in semen and urine of adult men</w:t>
      </w:r>
      <w:r w:rsidR="00A952E7">
        <w:t xml:space="preserve">. </w:t>
      </w:r>
      <w:r>
        <w:rPr>
          <w:szCs w:val="24"/>
        </w:rPr>
        <w:t xml:space="preserve">The purpose of this study is to determine the frequency, duration, and pattern of </w:t>
      </w:r>
      <w:proofErr w:type="spellStart"/>
      <w:r>
        <w:rPr>
          <w:szCs w:val="24"/>
        </w:rPr>
        <w:t>Zika</w:t>
      </w:r>
      <w:proofErr w:type="spellEnd"/>
      <w:r>
        <w:rPr>
          <w:szCs w:val="24"/>
        </w:rPr>
        <w:t xml:space="preserve"> virus shedding in semen and urine of infected men. Eligible participants are adult men living in the continental United States or Hawaii who have laboratory-confirmed </w:t>
      </w:r>
      <w:proofErr w:type="spellStart"/>
      <w:r>
        <w:rPr>
          <w:szCs w:val="24"/>
        </w:rPr>
        <w:t>Zika</w:t>
      </w:r>
      <w:proofErr w:type="spellEnd"/>
      <w:r>
        <w:rPr>
          <w:szCs w:val="24"/>
        </w:rPr>
        <w:t xml:space="preserve"> virus infection</w:t>
      </w:r>
      <w:r w:rsidR="00A952E7">
        <w:rPr>
          <w:szCs w:val="24"/>
        </w:rPr>
        <w:t>.</w:t>
      </w:r>
      <w:r>
        <w:rPr>
          <w:szCs w:val="24"/>
        </w:rPr>
        <w:t xml:space="preserve"> Background health information and specimens from consenting men are self-collected at home once every two weeks for up to 6 months after symptom onset. Specimens are tested for </w:t>
      </w:r>
      <w:proofErr w:type="spellStart"/>
      <w:r>
        <w:rPr>
          <w:szCs w:val="24"/>
        </w:rPr>
        <w:t>Zika</w:t>
      </w:r>
      <w:proofErr w:type="spellEnd"/>
      <w:r>
        <w:rPr>
          <w:szCs w:val="24"/>
        </w:rPr>
        <w:t xml:space="preserve"> virus RNA by RT-PCR at CDC; those testing positive are further evaluated by virus isolation techniques.  As of </w:t>
      </w:r>
      <w:r w:rsidR="00A952E7">
        <w:rPr>
          <w:szCs w:val="24"/>
        </w:rPr>
        <w:t>September 22, 2016, 96</w:t>
      </w:r>
      <w:r>
        <w:rPr>
          <w:szCs w:val="24"/>
        </w:rPr>
        <w:t xml:space="preserve"> men have consented to participate. </w:t>
      </w:r>
      <w:r w:rsidR="00A952E7">
        <w:rPr>
          <w:szCs w:val="24"/>
        </w:rPr>
        <w:t xml:space="preserve">We are closely coordinating with the study principal investigator and may conduct joint analyses for the semen outcomes. </w:t>
      </w:r>
      <w:proofErr w:type="gramStart"/>
      <w:r w:rsidR="00A952E7">
        <w:rPr>
          <w:szCs w:val="24"/>
        </w:rPr>
        <w:t>The  ma</w:t>
      </w:r>
      <w:r w:rsidR="00E215FD">
        <w:rPr>
          <w:szCs w:val="24"/>
        </w:rPr>
        <w:t>in</w:t>
      </w:r>
      <w:proofErr w:type="gramEnd"/>
      <w:r w:rsidR="00E215FD">
        <w:rPr>
          <w:szCs w:val="24"/>
        </w:rPr>
        <w:t xml:space="preserve"> differences are that the </w:t>
      </w:r>
      <w:proofErr w:type="spellStart"/>
      <w:r w:rsidR="00E215FD">
        <w:rPr>
          <w:szCs w:val="24"/>
        </w:rPr>
        <w:t>Ziper</w:t>
      </w:r>
      <w:proofErr w:type="spellEnd"/>
      <w:r w:rsidR="00E215FD">
        <w:rPr>
          <w:szCs w:val="24"/>
        </w:rPr>
        <w:t xml:space="preserve"> study in Puerto Rico includes males and females and participants of all ages. It also collects blood, saliva and vaginal secretions in addition to semen and urine.</w:t>
      </w:r>
      <w:r w:rsidR="00F80EC0" w:rsidRPr="00F80EC0">
        <w:t xml:space="preserve">      </w:t>
      </w:r>
    </w:p>
    <w:p w14:paraId="1DB7414E" w14:textId="353B9B7B" w:rsidR="004A6DE8" w:rsidRPr="0042691A" w:rsidRDefault="004A6DE8" w:rsidP="009A39EB">
      <w:pPr>
        <w:pStyle w:val="Heading1"/>
        <w:spacing w:after="240"/>
        <w:ind w:left="360"/>
      </w:pPr>
      <w:bookmarkStart w:id="5" w:name="_Toc441568624"/>
      <w:r w:rsidRPr="006E7652">
        <w:t xml:space="preserve">Impact </w:t>
      </w:r>
      <w:r w:rsidRPr="0042691A">
        <w:t>on Small Businesses or Other Small Entities</w:t>
      </w:r>
      <w:bookmarkEnd w:id="5"/>
      <w:r w:rsidRPr="0042691A">
        <w:t xml:space="preserve"> </w:t>
      </w:r>
    </w:p>
    <w:p w14:paraId="296FE4E4" w14:textId="1710BD8C" w:rsidR="00164ADC" w:rsidRPr="001130A6" w:rsidRDefault="000D4D47" w:rsidP="00651298">
      <w:r w:rsidRPr="000D4D47">
        <w:t>The collection of information does not primarily involve small entities.  However, for the small entities involved, the burdens imposed by CDC’s information collection requirements have been reduced to the minimum necessary for CDC to meet its regulatory and public health responsibilities.</w:t>
      </w:r>
    </w:p>
    <w:p w14:paraId="1DB74150" w14:textId="77777777" w:rsidR="004A6DE8" w:rsidRPr="0042691A" w:rsidRDefault="004A6DE8" w:rsidP="009A39EB">
      <w:pPr>
        <w:pStyle w:val="Heading1"/>
        <w:spacing w:after="240"/>
        <w:ind w:left="360"/>
      </w:pPr>
      <w:bookmarkStart w:id="6" w:name="_Toc441568625"/>
      <w:r w:rsidRPr="0042691A">
        <w:t>Consequences of Collecting the Information Less Frequently</w:t>
      </w:r>
      <w:bookmarkEnd w:id="6"/>
      <w:r w:rsidRPr="0042691A">
        <w:t xml:space="preserve"> </w:t>
      </w:r>
    </w:p>
    <w:p w14:paraId="59AC4AA7" w14:textId="6F96B894" w:rsidR="003B45CA" w:rsidRDefault="003B45CA" w:rsidP="00651298">
      <w:r>
        <w:t>It is necessary to collect multiple samples from each participant to increase the robustness of the scientific conclusions of the collection.</w:t>
      </w:r>
    </w:p>
    <w:p w14:paraId="1DB74152" w14:textId="77777777" w:rsidR="004A6DE8" w:rsidRPr="0042691A" w:rsidRDefault="004A6DE8" w:rsidP="009A39EB">
      <w:pPr>
        <w:pStyle w:val="Heading1"/>
        <w:spacing w:after="240"/>
        <w:ind w:left="360"/>
      </w:pPr>
      <w:bookmarkStart w:id="7" w:name="_Toc441568626"/>
      <w:r w:rsidRPr="0042691A">
        <w:t>Special Circumstances Relating to the Guidelines of 5 CFR 1320.5</w:t>
      </w:r>
      <w:bookmarkEnd w:id="7"/>
    </w:p>
    <w:p w14:paraId="5EC59498" w14:textId="1B170D2F" w:rsidR="001130A6" w:rsidRDefault="000D4D47" w:rsidP="00B35EDE">
      <w:pPr>
        <w:spacing w:line="240" w:lineRule="auto"/>
      </w:pPr>
      <w:r w:rsidRPr="000D4D47">
        <w:lastRenderedPageBreak/>
        <w:t>The activities outlined in this package fully comply with all guidelines of 5 CFR 1320.5.</w:t>
      </w:r>
    </w:p>
    <w:p w14:paraId="1DB74154" w14:textId="77777777" w:rsidR="004A6DE8" w:rsidRPr="0042691A" w:rsidRDefault="004A6DE8" w:rsidP="00B35EDE">
      <w:pPr>
        <w:pStyle w:val="Heading1"/>
        <w:ind w:left="360"/>
      </w:pPr>
      <w:bookmarkStart w:id="8" w:name="_Toc441568627"/>
      <w:r w:rsidRPr="0042691A">
        <w:t>Comments in Response to the Federal Register Notice and Efforts to Consult Outside the Agency</w:t>
      </w:r>
      <w:bookmarkEnd w:id="8"/>
    </w:p>
    <w:p w14:paraId="5827DD30" w14:textId="7CACF79E" w:rsidR="00113D09" w:rsidRDefault="00113D09" w:rsidP="00113D09">
      <w:pPr>
        <w:pStyle w:val="NormalWeb"/>
        <w:numPr>
          <w:ilvl w:val="0"/>
          <w:numId w:val="17"/>
        </w:numPr>
      </w:pPr>
      <w:r>
        <w:t xml:space="preserve">A 60-day Federal Register Notice was published in the Federal Register on Monday, May 2, 2016, Volume 81, No. 84, p. 26231 (Attachment B).  One non-substantive public comment was received (Attachment B1).      </w:t>
      </w:r>
    </w:p>
    <w:p w14:paraId="79D522FE" w14:textId="1C491786" w:rsidR="000D4D47" w:rsidRDefault="00BF4E27" w:rsidP="00113D09">
      <w:pPr>
        <w:pStyle w:val="ListParagraph"/>
        <w:numPr>
          <w:ilvl w:val="0"/>
          <w:numId w:val="17"/>
        </w:numPr>
        <w:spacing w:before="240"/>
      </w:pPr>
      <w:r w:rsidRPr="00BF4E27">
        <w:t xml:space="preserve">There was no consultation outside of the Agency.  </w:t>
      </w:r>
    </w:p>
    <w:p w14:paraId="1DB74157" w14:textId="42CE1A28" w:rsidR="006E7652" w:rsidRDefault="004A6DE8" w:rsidP="00B35EDE">
      <w:pPr>
        <w:pStyle w:val="Heading1"/>
        <w:spacing w:after="240"/>
        <w:ind w:left="360"/>
      </w:pPr>
      <w:bookmarkStart w:id="9" w:name="_Toc441568628"/>
      <w:r w:rsidRPr="0042691A">
        <w:t>Explanation of Any Payment or Gift to Respondents</w:t>
      </w:r>
      <w:bookmarkEnd w:id="9"/>
    </w:p>
    <w:p w14:paraId="1B7149E6" w14:textId="625B98A1" w:rsidR="004273A6" w:rsidRPr="00232923" w:rsidRDefault="0024523F" w:rsidP="00232923">
      <w:pPr>
        <w:pStyle w:val="CommentText"/>
        <w:spacing w:line="276" w:lineRule="auto"/>
        <w:rPr>
          <w:rFonts w:cs="Times New Roman"/>
          <w:sz w:val="24"/>
          <w:szCs w:val="24"/>
        </w:rPr>
      </w:pPr>
      <w:r w:rsidRPr="00232923">
        <w:rPr>
          <w:rFonts w:cs="Times New Roman"/>
          <w:sz w:val="24"/>
          <w:szCs w:val="24"/>
        </w:rPr>
        <w:t xml:space="preserve">Participants will be provided a </w:t>
      </w:r>
      <w:r w:rsidR="005535D0" w:rsidRPr="00232923">
        <w:rPr>
          <w:rFonts w:cs="Times New Roman"/>
          <w:sz w:val="24"/>
          <w:szCs w:val="24"/>
        </w:rPr>
        <w:t>token of appreciation for their time</w:t>
      </w:r>
      <w:r w:rsidR="003F1ED4" w:rsidRPr="00232923">
        <w:rPr>
          <w:rFonts w:cs="Times New Roman"/>
          <w:sz w:val="24"/>
          <w:szCs w:val="24"/>
        </w:rPr>
        <w:t xml:space="preserve">. </w:t>
      </w:r>
      <w:r w:rsidRPr="00232923">
        <w:rPr>
          <w:rFonts w:cs="Times New Roman"/>
          <w:sz w:val="24"/>
          <w:szCs w:val="24"/>
        </w:rPr>
        <w:t xml:space="preserve">The </w:t>
      </w:r>
      <w:r w:rsidR="00B758C4" w:rsidRPr="00232923">
        <w:rPr>
          <w:rFonts w:cs="Times New Roman"/>
          <w:sz w:val="24"/>
          <w:szCs w:val="24"/>
        </w:rPr>
        <w:t xml:space="preserve">token of appreciation </w:t>
      </w:r>
      <w:r w:rsidRPr="00232923">
        <w:rPr>
          <w:rFonts w:cs="Times New Roman"/>
          <w:sz w:val="24"/>
          <w:szCs w:val="24"/>
        </w:rPr>
        <w:t xml:space="preserve">will </w:t>
      </w:r>
      <w:r w:rsidR="00B758C4" w:rsidRPr="00232923">
        <w:rPr>
          <w:rFonts w:cs="Times New Roman"/>
          <w:sz w:val="24"/>
          <w:szCs w:val="24"/>
        </w:rPr>
        <w:t xml:space="preserve">be provided to participants in consideration </w:t>
      </w:r>
      <w:r w:rsidR="001E3B40" w:rsidRPr="00232923">
        <w:rPr>
          <w:rFonts w:cs="Times New Roman"/>
          <w:sz w:val="24"/>
          <w:szCs w:val="24"/>
        </w:rPr>
        <w:t xml:space="preserve">for </w:t>
      </w:r>
      <w:r w:rsidRPr="00232923">
        <w:rPr>
          <w:rFonts w:cs="Times New Roman"/>
          <w:sz w:val="24"/>
          <w:szCs w:val="24"/>
        </w:rPr>
        <w:t>the</w:t>
      </w:r>
      <w:r w:rsidR="00B758C4" w:rsidRPr="00232923">
        <w:rPr>
          <w:rFonts w:cs="Times New Roman"/>
          <w:sz w:val="24"/>
          <w:szCs w:val="24"/>
        </w:rPr>
        <w:t>ir</w:t>
      </w:r>
      <w:r w:rsidRPr="00232923">
        <w:rPr>
          <w:rFonts w:cs="Times New Roman"/>
          <w:sz w:val="24"/>
          <w:szCs w:val="24"/>
        </w:rPr>
        <w:t xml:space="preserve"> time off work to attend the study visit or complete procedures</w:t>
      </w:r>
      <w:r w:rsidR="00B758C4" w:rsidRPr="00232923">
        <w:rPr>
          <w:rFonts w:cs="Times New Roman"/>
          <w:sz w:val="24"/>
          <w:szCs w:val="24"/>
        </w:rPr>
        <w:t xml:space="preserve"> and</w:t>
      </w:r>
      <w:r w:rsidRPr="00232923">
        <w:rPr>
          <w:rFonts w:cs="Times New Roman"/>
          <w:sz w:val="24"/>
          <w:szCs w:val="24"/>
        </w:rPr>
        <w:t xml:space="preserve"> transportation. In the past, SEDSS parti</w:t>
      </w:r>
      <w:r w:rsidR="005535D0" w:rsidRPr="00232923">
        <w:rPr>
          <w:rFonts w:cs="Times New Roman"/>
          <w:sz w:val="24"/>
          <w:szCs w:val="24"/>
        </w:rPr>
        <w:t>cipants received an incentive of</w:t>
      </w:r>
      <w:r w:rsidRPr="00232923">
        <w:rPr>
          <w:rFonts w:cs="Times New Roman"/>
          <w:sz w:val="24"/>
          <w:szCs w:val="24"/>
        </w:rPr>
        <w:t xml:space="preserve"> $20 to return for a convalescent study visit; however, only 30% returned for the follow-up visit. Informal conversations with participants suggested that increasing incentives could help with attrition. Thus, participants</w:t>
      </w:r>
      <w:r w:rsidR="00D4678D" w:rsidRPr="00232923">
        <w:rPr>
          <w:rFonts w:cs="Times New Roman"/>
          <w:sz w:val="24"/>
          <w:szCs w:val="24"/>
        </w:rPr>
        <w:t xml:space="preserve"> </w:t>
      </w:r>
      <w:r w:rsidRPr="00232923">
        <w:rPr>
          <w:rFonts w:cs="Times New Roman"/>
          <w:sz w:val="24"/>
          <w:szCs w:val="24"/>
        </w:rPr>
        <w:t>will receive $50 dollars for each study visit.</w:t>
      </w:r>
      <w:r w:rsidR="008618F7" w:rsidRPr="00232923">
        <w:rPr>
          <w:rFonts w:cs="Times New Roman"/>
          <w:sz w:val="24"/>
          <w:szCs w:val="24"/>
        </w:rPr>
        <w:t xml:space="preserve"> All participants older than 7 years of age will receive the same incentive amount. </w:t>
      </w:r>
      <w:r w:rsidRPr="00232923">
        <w:rPr>
          <w:rFonts w:cs="Times New Roman"/>
          <w:sz w:val="24"/>
          <w:szCs w:val="24"/>
        </w:rPr>
        <w:t xml:space="preserve"> For participants under 7 years of age</w:t>
      </w:r>
      <w:r w:rsidR="003F1ED4" w:rsidRPr="00232923">
        <w:rPr>
          <w:rFonts w:cs="Times New Roman"/>
          <w:sz w:val="24"/>
          <w:szCs w:val="24"/>
        </w:rPr>
        <w:t>,</w:t>
      </w:r>
      <w:r w:rsidRPr="00232923">
        <w:rPr>
          <w:rFonts w:cs="Times New Roman"/>
          <w:sz w:val="24"/>
          <w:szCs w:val="24"/>
        </w:rPr>
        <w:t xml:space="preserve"> the parent will receive the full incentive. Participants will receive </w:t>
      </w:r>
      <w:r w:rsidR="005535D0" w:rsidRPr="00232923">
        <w:rPr>
          <w:rFonts w:cs="Times New Roman"/>
          <w:sz w:val="24"/>
          <w:szCs w:val="24"/>
        </w:rPr>
        <w:t>this token of appreciation</w:t>
      </w:r>
      <w:r w:rsidRPr="00232923">
        <w:rPr>
          <w:rFonts w:cs="Times New Roman"/>
          <w:sz w:val="24"/>
          <w:szCs w:val="24"/>
        </w:rPr>
        <w:t xml:space="preserve"> for attending the study visit even if there is incomplete specimen collection.</w:t>
      </w:r>
      <w:r w:rsidR="00A54412" w:rsidRPr="00232923">
        <w:rPr>
          <w:rFonts w:cs="Times New Roman"/>
          <w:sz w:val="24"/>
          <w:szCs w:val="24"/>
        </w:rPr>
        <w:t xml:space="preserve"> In this study</w:t>
      </w:r>
      <w:r w:rsidR="00B35D37" w:rsidRPr="00232923">
        <w:rPr>
          <w:rFonts w:cs="Times New Roman"/>
          <w:sz w:val="24"/>
          <w:szCs w:val="24"/>
        </w:rPr>
        <w:t>,</w:t>
      </w:r>
      <w:r w:rsidR="00A54412" w:rsidRPr="00232923">
        <w:rPr>
          <w:rFonts w:cs="Times New Roman"/>
          <w:sz w:val="24"/>
          <w:szCs w:val="24"/>
        </w:rPr>
        <w:t xml:space="preserve"> subjects are paid an amount that is commensurate with time and effort. Whether a subject successfully provides all</w:t>
      </w:r>
      <w:r w:rsidR="00BF1B6A" w:rsidRPr="00232923">
        <w:rPr>
          <w:rFonts w:cs="Times New Roman"/>
          <w:sz w:val="24"/>
          <w:szCs w:val="24"/>
        </w:rPr>
        <w:t xml:space="preserve"> four</w:t>
      </w:r>
      <w:r w:rsidR="00A54412" w:rsidRPr="00232923">
        <w:rPr>
          <w:rFonts w:cs="Times New Roman"/>
          <w:sz w:val="24"/>
          <w:szCs w:val="24"/>
        </w:rPr>
        <w:t xml:space="preserve"> samples or just some, he/she is still being inconvenienced, had to miss time from work or school, and had to find transportation. It would be unjust to withhold payment for time and effort based on an inability or unwillingness to provide all samples, and it would constitute a penalty for the voluntary refusal of study procedures, which is prohibited by the regulation. Therefore, incentives will be provided to all participants who attend study visits irrespective of the number of specimens collected.</w:t>
      </w:r>
      <w:r w:rsidR="008618F7" w:rsidRPr="00232923">
        <w:rPr>
          <w:rFonts w:cs="Times New Roman"/>
          <w:sz w:val="24"/>
          <w:szCs w:val="24"/>
        </w:rPr>
        <w:t xml:space="preserve"> The incentive is based on what other CDC supported projects are using in Puerto Rico. One example is the CDC National HIV Behavioral Surveillance, a cross-sectional study of populations at risk for HIV infection that pays $75 for participation. The minimum wage in Puerto Rico is $7.25.  Public transportation is not readily available in the study areas, and participants usually pay for taxis to attend follow-up visits. Participants travel distance ranges from 5km tin neighborhoods close to downtown Ponce as El Tuque to 40km from neighboring municipalities such as </w:t>
      </w:r>
      <w:proofErr w:type="spellStart"/>
      <w:r w:rsidR="008618F7" w:rsidRPr="00232923">
        <w:rPr>
          <w:rFonts w:cs="Times New Roman"/>
          <w:sz w:val="24"/>
          <w:szCs w:val="24"/>
        </w:rPr>
        <w:t>Yauco</w:t>
      </w:r>
      <w:proofErr w:type="spellEnd"/>
      <w:r w:rsidR="008618F7" w:rsidRPr="00232923">
        <w:rPr>
          <w:rFonts w:cs="Times New Roman"/>
          <w:sz w:val="24"/>
          <w:szCs w:val="24"/>
        </w:rPr>
        <w:t xml:space="preserve">. Baseline visits take on average </w:t>
      </w:r>
      <w:r w:rsidR="00915501">
        <w:rPr>
          <w:rFonts w:cs="Times New Roman"/>
          <w:sz w:val="24"/>
          <w:szCs w:val="24"/>
        </w:rPr>
        <w:t xml:space="preserve">one </w:t>
      </w:r>
      <w:proofErr w:type="gramStart"/>
      <w:r w:rsidR="00915501">
        <w:rPr>
          <w:rFonts w:cs="Times New Roman"/>
          <w:sz w:val="24"/>
          <w:szCs w:val="24"/>
        </w:rPr>
        <w:t xml:space="preserve">hour </w:t>
      </w:r>
      <w:r w:rsidR="008618F7" w:rsidRPr="00232923">
        <w:rPr>
          <w:rFonts w:cs="Times New Roman"/>
          <w:sz w:val="24"/>
          <w:szCs w:val="24"/>
        </w:rPr>
        <w:t>,</w:t>
      </w:r>
      <w:proofErr w:type="gramEnd"/>
      <w:r w:rsidR="008618F7" w:rsidRPr="00232923">
        <w:rPr>
          <w:rFonts w:cs="Times New Roman"/>
          <w:sz w:val="24"/>
          <w:szCs w:val="24"/>
        </w:rPr>
        <w:t xml:space="preserve"> while follow-up visits take about </w:t>
      </w:r>
      <w:r w:rsidR="00915501">
        <w:rPr>
          <w:rFonts w:cs="Times New Roman"/>
          <w:sz w:val="24"/>
          <w:szCs w:val="24"/>
        </w:rPr>
        <w:t>2</w:t>
      </w:r>
      <w:r w:rsidR="008618F7" w:rsidRPr="00232923">
        <w:rPr>
          <w:rFonts w:cs="Times New Roman"/>
          <w:sz w:val="24"/>
          <w:szCs w:val="24"/>
        </w:rPr>
        <w:t xml:space="preserve">0 minutes. The incentive used in </w:t>
      </w:r>
      <w:proofErr w:type="spellStart"/>
      <w:r w:rsidR="008618F7" w:rsidRPr="00232923">
        <w:rPr>
          <w:rFonts w:cs="Times New Roman"/>
          <w:sz w:val="24"/>
          <w:szCs w:val="24"/>
        </w:rPr>
        <w:t>ZiPer</w:t>
      </w:r>
      <w:proofErr w:type="spellEnd"/>
      <w:r w:rsidR="008618F7" w:rsidRPr="00232923">
        <w:rPr>
          <w:rFonts w:cs="Times New Roman"/>
          <w:sz w:val="24"/>
          <w:szCs w:val="24"/>
        </w:rPr>
        <w:t xml:space="preserve">, has contributed to greater retention. Of the 141 cohort participants enrolled so far, two have been administratively discontinued, and only one has been lost to follow-up. Visit attendance is 88% for the second study visits and from 97% to 100% attendance for the other study visits. The incentive amount is appropriate in order to compensate for time lost, travel and meals and has contributed to prevent attrition in the </w:t>
      </w:r>
      <w:proofErr w:type="spellStart"/>
      <w:r w:rsidR="008618F7" w:rsidRPr="00232923">
        <w:rPr>
          <w:rFonts w:cs="Times New Roman"/>
          <w:sz w:val="24"/>
          <w:szCs w:val="24"/>
        </w:rPr>
        <w:t>Ziper</w:t>
      </w:r>
      <w:proofErr w:type="spellEnd"/>
      <w:r w:rsidR="008618F7" w:rsidRPr="00232923">
        <w:rPr>
          <w:rFonts w:cs="Times New Roman"/>
          <w:sz w:val="24"/>
          <w:szCs w:val="24"/>
        </w:rPr>
        <w:t xml:space="preserve"> project. </w:t>
      </w:r>
      <w:r w:rsidR="004273A6" w:rsidRPr="00232923">
        <w:rPr>
          <w:rFonts w:cs="Times New Roman"/>
          <w:sz w:val="24"/>
          <w:szCs w:val="24"/>
        </w:rPr>
        <w:t xml:space="preserve">Because we do not yet know how long </w:t>
      </w:r>
      <w:proofErr w:type="spellStart"/>
      <w:r w:rsidR="004273A6" w:rsidRPr="00232923">
        <w:rPr>
          <w:rFonts w:cs="Times New Roman"/>
          <w:sz w:val="24"/>
          <w:szCs w:val="24"/>
        </w:rPr>
        <w:t>Zika</w:t>
      </w:r>
      <w:proofErr w:type="spellEnd"/>
      <w:r w:rsidR="004273A6" w:rsidRPr="00232923">
        <w:rPr>
          <w:rFonts w:cs="Times New Roman"/>
          <w:sz w:val="24"/>
          <w:szCs w:val="24"/>
        </w:rPr>
        <w:t xml:space="preserve"> virus persists in body fluids, we do not have a set time frame or a maximum number of </w:t>
      </w:r>
      <w:r w:rsidR="004273A6" w:rsidRPr="009B3B61">
        <w:rPr>
          <w:rFonts w:cs="Times New Roman"/>
          <w:sz w:val="24"/>
          <w:szCs w:val="24"/>
        </w:rPr>
        <w:t>visits for the study.  At present, the study is designed to obtain body fluids at 2, 4, and 6 months for all subjects, even if they no longer have detectable virus in their samples.  The minimum</w:t>
      </w:r>
      <w:r w:rsidR="004273A6" w:rsidRPr="00232923">
        <w:rPr>
          <w:rFonts w:cs="Times New Roman"/>
          <w:sz w:val="24"/>
          <w:szCs w:val="24"/>
        </w:rPr>
        <w:t xml:space="preserve"> number of visits will be 8, and there could be as many as 14 or more, if subjects still have detectable virus at 6 months.</w:t>
      </w:r>
    </w:p>
    <w:p w14:paraId="64EB2357" w14:textId="2F800E0B" w:rsidR="008618F7" w:rsidRPr="00232923" w:rsidRDefault="008618F7" w:rsidP="00232923">
      <w:pPr>
        <w:pStyle w:val="CommentText"/>
        <w:spacing w:line="276" w:lineRule="auto"/>
        <w:ind w:left="360"/>
        <w:rPr>
          <w:rFonts w:cs="Times New Roman"/>
          <w:sz w:val="24"/>
          <w:szCs w:val="24"/>
        </w:rPr>
      </w:pPr>
    </w:p>
    <w:p w14:paraId="3A59940E" w14:textId="5EE07B68" w:rsidR="0024523F" w:rsidRPr="00915501" w:rsidRDefault="0024523F" w:rsidP="00915501">
      <w:pPr>
        <w:rPr>
          <w:rFonts w:cs="Times New Roman"/>
          <w:szCs w:val="24"/>
        </w:rPr>
      </w:pPr>
    </w:p>
    <w:p w14:paraId="183BA0E0" w14:textId="5BD9FF9C" w:rsidR="001A1F4E" w:rsidRDefault="004A6DE8" w:rsidP="001A1F4E">
      <w:pPr>
        <w:pStyle w:val="Heading1"/>
        <w:spacing w:after="240"/>
        <w:ind w:left="360"/>
      </w:pPr>
      <w:bookmarkStart w:id="10" w:name="_Toc441568629"/>
      <w:r w:rsidRPr="0042691A">
        <w:t>Protection of the Privacy and Confidentiality of Information Provided by Respondents</w:t>
      </w:r>
      <w:bookmarkEnd w:id="10"/>
    </w:p>
    <w:p w14:paraId="3F74D98D" w14:textId="2EE2980F" w:rsidR="00E31C3C" w:rsidRDefault="00E31C3C" w:rsidP="006C6E64">
      <w:r>
        <w:t>This information collection request has been reviewed by the CDC National Center for Emerging and Zoonotic Diseases (NCEZID). NCEZID has determined that the Privacy Act appl</w:t>
      </w:r>
      <w:r w:rsidR="00A217B0">
        <w:t>ies</w:t>
      </w:r>
      <w:r>
        <w:t xml:space="preserve"> to this information collection request.  The applicable System of Records Notice is 09-20-01</w:t>
      </w:r>
      <w:r w:rsidR="00AE0F78">
        <w:t>36</w:t>
      </w:r>
      <w:r>
        <w:t xml:space="preserve">. </w:t>
      </w:r>
    </w:p>
    <w:p w14:paraId="48E32D81" w14:textId="7D6386AF" w:rsidR="00C24876" w:rsidRDefault="00C24876" w:rsidP="006C6E64">
      <w:r>
        <w:t xml:space="preserve">Only interviewers and staff trained in specimen collection will be used in the proposed study. A private environment will be used for study procedures to ensure confidentially of participant data. All participant information contained on study forms, in laboratory records and reports, and in electronic files will be kept confidential. Specimens and study forms will be linked through a unique study number only. Personally identifying information (e.g., names) will not be transmitted with specimens. </w:t>
      </w:r>
    </w:p>
    <w:p w14:paraId="716B8524" w14:textId="77777777" w:rsidR="00C24876" w:rsidRDefault="00C24876" w:rsidP="006C6E64">
      <w:r>
        <w:t>Only the Site Coordinator and authorized hospital staff will have access to the patient’s information. The study forms will be faxed or sent courier in a sealed envelope marked as confidential to the CDC Dengue Branch for data entry after the forms are reviewed and completed. Physical documents containing study data will be stored in a locked file cabinet at the CDC Site Coordinator’s Office. Questionnaires will be destroyed within one year after all data are entered and verified. Consent forms will be kept in locked cabinets for 3 years after data collection is complete. All electronic files will subsequently be stored in a password protected database on a secure network at the Dengue Branch. Only individuals with security codes will have access to electronically stored data. Additionally, only the CDC Site Coordinator, primary investigator, and co-investigators will have access to data with identifying information; collaborators will only be provided de-identified data with codes. The results from this study will be published or presented for scientific purposes in aggregate form only so that individuals cannot be identified.</w:t>
      </w:r>
    </w:p>
    <w:p w14:paraId="7F0D7669" w14:textId="2CC82F42" w:rsidR="00C36E9E" w:rsidRDefault="00C36E9E" w:rsidP="006C6E64">
      <w:pPr>
        <w:rPr>
          <w:i/>
        </w:rPr>
      </w:pPr>
      <w:r>
        <w:rPr>
          <w:i/>
        </w:rPr>
        <w:t>Informed consent</w:t>
      </w:r>
    </w:p>
    <w:p w14:paraId="4E9B8496" w14:textId="3012E720" w:rsidR="00936087" w:rsidRPr="00936087" w:rsidRDefault="00936087" w:rsidP="006C6E64">
      <w:r w:rsidRPr="00936087">
        <w:t xml:space="preserve">If the </w:t>
      </w:r>
      <w:r w:rsidR="00896C44">
        <w:t>person</w:t>
      </w:r>
      <w:r w:rsidRPr="00936087">
        <w:t xml:space="preserve"> agrees to participate, the nurse will give the </w:t>
      </w:r>
      <w:r w:rsidR="00896C44">
        <w:t>person</w:t>
      </w:r>
      <w:r w:rsidRPr="00936087">
        <w:t xml:space="preserve"> the consent form to read and asked to provide written consent (</w:t>
      </w:r>
      <w:r>
        <w:t xml:space="preserve">Attachment </w:t>
      </w:r>
      <w:r w:rsidR="00795500">
        <w:t>E</w:t>
      </w:r>
      <w:r w:rsidRPr="00936087">
        <w:t>). Informed consent wi</w:t>
      </w:r>
      <w:r w:rsidR="00896C44">
        <w:t>ll be administered in Spanish.</w:t>
      </w:r>
      <w:r w:rsidR="00896C44" w:rsidRPr="00896C44">
        <w:t xml:space="preserve"> </w:t>
      </w:r>
      <w:r w:rsidR="00896C44">
        <w:t xml:space="preserve"> </w:t>
      </w:r>
      <w:r w:rsidR="00896C44" w:rsidRPr="00896C44">
        <w:t>If the patient agrees to participate and cannot read, the nurse or CDC staff will read the consent form as the participant looks at the form being read to them. Illiterate participants will be asked to consent with their name or to write a letter “x,” which is accepted as legally effective signature.  The consent will also be available in audio/video format that will be administered in a tablet/computer. A paper copy will still be signed and a copy of the consent provided to the participant.</w:t>
      </w:r>
    </w:p>
    <w:p w14:paraId="3F3A5957" w14:textId="7925AFC6" w:rsidR="00936087" w:rsidRPr="00936087" w:rsidRDefault="00936087" w:rsidP="006C6E64">
      <w:r w:rsidRPr="00936087">
        <w:t xml:space="preserve">Parents/legal guardians will be asked to provide permission for children to participate.  In Puerto Rico the legal age for consenting for medical treatments is 21 years old. However, emancipated minors are not considered children under the law and may give legal informed consent. Patients 14 to 20 years old who fulfill one or more of the following criteria are considered emancipated and will provide independent consent to participate in the study as adults and parental permission will not be sought: 1) legally emancipated, 2) support themselves financially, 3) live independent of their parents, 4) are pregnant, or 5) have children. (Article 13, Section 13 of Regulation 7617 of the Office of Patient Ombudsman, Act #194 of August 25, 2000). All non-emancipated minors between 14 and 20 years old, </w:t>
      </w:r>
      <w:r w:rsidRPr="00936087">
        <w:lastRenderedPageBreak/>
        <w:t>will complete an assent form (</w:t>
      </w:r>
      <w:r w:rsidR="00AB272D">
        <w:t xml:space="preserve">Attachment </w:t>
      </w:r>
      <w:r w:rsidR="00135B23">
        <w:t>E</w:t>
      </w:r>
      <w:r w:rsidRPr="00936087">
        <w:t xml:space="preserve">) and if accompanied by a parent, the parent will complete the consent form.   For all non-emancipated minors 16 to 20 years old who wish to participate and are </w:t>
      </w:r>
      <w:r w:rsidRPr="00936087">
        <w:rPr>
          <w:b/>
        </w:rPr>
        <w:t xml:space="preserve">not </w:t>
      </w:r>
      <w:r w:rsidRPr="00936087">
        <w:t>accompanied by their parents, we will request a waiver of documentation for parental permission in accordance with the provision of law (Article 13, Section 13 of Regulation 7617 of the Office of Patient Ombudsman, Act #194 of August 25, 2000) that allows for them to receive medical care without written consent under emergency situations. This will be recorded in the consent form and the parents will be called by phone to request their authorization for enrollment in the study. Written assent will be sought from non-emancipated minors age 14-20. Verbal assent will be sought for those from 7 to 13 years old. Recruiter will use a script to obtain verbal assent among this group (</w:t>
      </w:r>
      <w:r w:rsidR="00AB272D">
        <w:t xml:space="preserve">Attachment </w:t>
      </w:r>
      <w:r w:rsidR="00795500">
        <w:t>E</w:t>
      </w:r>
      <w:r w:rsidRPr="00936087">
        <w:t xml:space="preserve">). Written informed consent will be obtained from all adult subjects. If the patient is undecided and/or has questions about study participation, they will be encouraged to discuss any questions with study staff. </w:t>
      </w:r>
    </w:p>
    <w:p w14:paraId="3C823932" w14:textId="77777777" w:rsidR="00936087" w:rsidRPr="00936087" w:rsidRDefault="00936087" w:rsidP="006C6E64">
      <w:r w:rsidRPr="00936087">
        <w:t xml:space="preserve">After the consent form is signed, a copy of the consent/assent form will be provided to the participant for their records. All consent and assent forms will be placed in a locked box in the triage area during the day and they will be brought by the study coordinator to a locked office and placed in a locked cabinet at the end of each day. All consent and assent forms will be destroyed 3 years after the study has been closed. </w:t>
      </w:r>
    </w:p>
    <w:p w14:paraId="218D2B4A" w14:textId="77777777" w:rsidR="00936087" w:rsidRPr="00936087" w:rsidRDefault="00936087" w:rsidP="006C6E64">
      <w:pPr>
        <w:rPr>
          <w:b/>
        </w:rPr>
      </w:pPr>
      <w:r w:rsidRPr="00936087">
        <w:rPr>
          <w:i/>
        </w:rPr>
        <w:t>Waiver for documentation of parental permission.</w:t>
      </w:r>
      <w:r w:rsidRPr="00936087">
        <w:rPr>
          <w:b/>
        </w:rPr>
        <w:t xml:space="preserve"> </w:t>
      </w:r>
    </w:p>
    <w:p w14:paraId="552A1C49" w14:textId="510EEB3C" w:rsidR="00C24876" w:rsidRDefault="00936087" w:rsidP="006C6E64">
      <w:r w:rsidRPr="00936087">
        <w:t>The Puerto Rico law (Article 13, Section 13 of Regulation 7617 of the Office of Patient Ombudsman, Act #194 of August 25, 2000) states that a non-emancipated minor 14 to 20 years old may request medical treatment for emergency situations without parent present if the physician determines that the minor has the maturity and capacity to consent for him or herself. The physician providing medical care to this minor is responsible for the proper documentation in the medical record of how he/she determined the minor’s capacity to consent for treatment. Given that this study presents no more than minimal risk of harm to subjects and involves no procedures for which written consent is normally required outside of the research context, we are requesting to have the parental permission documentation waived for non-emancipated minors age 16 (legal driving age) to 20 who are not accompanied by a parent. The nursing staff will document in the inform consent form (</w:t>
      </w:r>
      <w:r w:rsidR="00AB272D">
        <w:t xml:space="preserve">Attachment </w:t>
      </w:r>
      <w:r w:rsidR="00795500">
        <w:t>E</w:t>
      </w:r>
      <w:r w:rsidRPr="00936087">
        <w:t>) that the parent was contacted by phone and authorized the study procedures. The physician in care of the minor will attest that the patient was determined to be capable of providing informed consent by documenting this fact in the patient’s medical record.</w:t>
      </w:r>
    </w:p>
    <w:p w14:paraId="1DB7415A" w14:textId="77777777" w:rsidR="006E7652" w:rsidRPr="006E7652" w:rsidRDefault="004A6DE8" w:rsidP="00B35EDE">
      <w:pPr>
        <w:pStyle w:val="Heading1"/>
        <w:spacing w:after="240"/>
        <w:ind w:left="360"/>
      </w:pPr>
      <w:bookmarkStart w:id="11" w:name="_Toc441568630"/>
      <w:r w:rsidRPr="006E7652">
        <w:t>Institutional Review Board (IRB) and Justification for Sensitive Questions</w:t>
      </w:r>
      <w:bookmarkEnd w:id="11"/>
    </w:p>
    <w:p w14:paraId="47C6AC3E" w14:textId="68A2E4E2" w:rsidR="000D4D47" w:rsidRPr="006C6E64" w:rsidRDefault="000D4D47" w:rsidP="006C6E64">
      <w:pPr>
        <w:rPr>
          <w:i/>
        </w:rPr>
      </w:pPr>
      <w:r w:rsidRPr="006C6E64">
        <w:rPr>
          <w:i/>
        </w:rPr>
        <w:t>I</w:t>
      </w:r>
      <w:r w:rsidR="00485BE7">
        <w:rPr>
          <w:i/>
        </w:rPr>
        <w:t>nstitutional Review Board (IRB)</w:t>
      </w:r>
    </w:p>
    <w:p w14:paraId="2BCA90B4" w14:textId="247FF9D1" w:rsidR="000D4D47" w:rsidRPr="002A3486" w:rsidRDefault="000D4D47" w:rsidP="006C6E64">
      <w:r w:rsidRPr="005A1D72">
        <w:t xml:space="preserve">The protocols and tools used to conduct </w:t>
      </w:r>
      <w:r w:rsidR="0033786F">
        <w:t xml:space="preserve">the </w:t>
      </w:r>
      <w:r w:rsidR="00F02F64">
        <w:t>shedding study were</w:t>
      </w:r>
      <w:r w:rsidRPr="005A1D72">
        <w:t xml:space="preserve"> reviewed and approved by </w:t>
      </w:r>
      <w:r w:rsidR="00A96467">
        <w:t>NCEZID’s Human Subjects Advisor</w:t>
      </w:r>
      <w:r w:rsidRPr="005A1D72">
        <w:t xml:space="preserve"> who determined that </w:t>
      </w:r>
      <w:r w:rsidR="008C37D3">
        <w:t>the</w:t>
      </w:r>
      <w:r w:rsidRPr="005A1D72">
        <w:t xml:space="preserve"> data collection meet</w:t>
      </w:r>
      <w:r w:rsidR="00F02F64">
        <w:t>s</w:t>
      </w:r>
      <w:r w:rsidRPr="005A1D72">
        <w:t xml:space="preserve"> the definition of research under 45 CFR 46.102(d). </w:t>
      </w:r>
      <w:r w:rsidR="00F02F64">
        <w:t xml:space="preserve"> </w:t>
      </w:r>
      <w:r w:rsidR="0033786F">
        <w:t xml:space="preserve">The protocols and tools were approved (Attachment </w:t>
      </w:r>
      <w:r w:rsidR="00795500">
        <w:t>L</w:t>
      </w:r>
      <w:r w:rsidR="0033786F">
        <w:t xml:space="preserve">). </w:t>
      </w:r>
      <w:r w:rsidRPr="002A3486">
        <w:t xml:space="preserve">    </w:t>
      </w:r>
    </w:p>
    <w:p w14:paraId="3F37ABBF" w14:textId="77777777" w:rsidR="000D4D47" w:rsidRPr="006C6E64" w:rsidRDefault="000D4D47" w:rsidP="006C6E64">
      <w:pPr>
        <w:rPr>
          <w:i/>
        </w:rPr>
      </w:pPr>
      <w:r w:rsidRPr="006C6E64">
        <w:rPr>
          <w:i/>
        </w:rPr>
        <w:t>Justification for Sensitive Questions</w:t>
      </w:r>
    </w:p>
    <w:p w14:paraId="1DB7415B" w14:textId="3B6930FC" w:rsidR="004A6DE8" w:rsidRDefault="00F138FC" w:rsidP="006C6E64">
      <w:r>
        <w:t xml:space="preserve">Sensitive questions are essential to meeting the goals of these information collections.  </w:t>
      </w:r>
    </w:p>
    <w:p w14:paraId="27802547" w14:textId="7CF3C760" w:rsidR="00B74CFB" w:rsidRDefault="004A6DE8" w:rsidP="00B35EDE">
      <w:pPr>
        <w:pStyle w:val="Heading1"/>
        <w:spacing w:after="240"/>
        <w:ind w:left="360"/>
      </w:pPr>
      <w:bookmarkStart w:id="12" w:name="_Toc441568631"/>
      <w:r w:rsidRPr="006E7652">
        <w:lastRenderedPageBreak/>
        <w:t>Estimates of Annualized Burden Hours and Costs</w:t>
      </w:r>
      <w:bookmarkEnd w:id="12"/>
    </w:p>
    <w:p w14:paraId="1AB4374D" w14:textId="77777777" w:rsidR="006438F0" w:rsidRDefault="00B80A2B" w:rsidP="006438F0">
      <w:r w:rsidRPr="00B80A2B">
        <w:rPr>
          <w:u w:val="single"/>
        </w:rPr>
        <w:t>Estimated Annualized Burden Hours</w:t>
      </w:r>
      <w:r w:rsidR="007A15C1" w:rsidRPr="00201DC5">
        <w:t xml:space="preserve"> </w:t>
      </w:r>
    </w:p>
    <w:p w14:paraId="1B1E857D" w14:textId="0211A084" w:rsidR="00B74CFB" w:rsidRPr="00B80A2B" w:rsidRDefault="007A15C1" w:rsidP="006438F0">
      <w:pPr>
        <w:rPr>
          <w:u w:val="single"/>
        </w:rPr>
      </w:pPr>
      <w:r>
        <w:t xml:space="preserve">The total number of estimated annualized burden hours </w:t>
      </w:r>
      <w:r w:rsidR="00A96467">
        <w:t>for th</w:t>
      </w:r>
      <w:r w:rsidR="00E261D5">
        <w:t>is</w:t>
      </w:r>
      <w:r w:rsidR="00A96467">
        <w:t xml:space="preserve"> projects i</w:t>
      </w:r>
      <w:r>
        <w:t xml:space="preserve">s </w:t>
      </w:r>
      <w:r w:rsidR="00043B8E">
        <w:t>374</w:t>
      </w:r>
      <w:r>
        <w:t xml:space="preserve">. </w:t>
      </w:r>
      <w:r w:rsidR="003D2FD7">
        <w:t xml:space="preserve"> The breakdown of how this estimate was reached is in the following table.</w:t>
      </w:r>
    </w:p>
    <w:tbl>
      <w:tblPr>
        <w:tblStyle w:val="TableGrid"/>
        <w:tblW w:w="0" w:type="auto"/>
        <w:tblLook w:val="04A0" w:firstRow="1" w:lastRow="0" w:firstColumn="1" w:lastColumn="0" w:noHBand="0" w:noVBand="1"/>
      </w:tblPr>
      <w:tblGrid>
        <w:gridCol w:w="1743"/>
        <w:gridCol w:w="1942"/>
        <w:gridCol w:w="1641"/>
        <w:gridCol w:w="1742"/>
        <w:gridCol w:w="1655"/>
        <w:gridCol w:w="1347"/>
      </w:tblGrid>
      <w:tr w:rsidR="009C2387" w14:paraId="3DDA1C63" w14:textId="36F51CD7" w:rsidTr="009C2387">
        <w:tc>
          <w:tcPr>
            <w:tcW w:w="1743" w:type="dxa"/>
          </w:tcPr>
          <w:p w14:paraId="2231CA01" w14:textId="1FC98FBA" w:rsidR="007F0181" w:rsidRDefault="007F0181" w:rsidP="006438F0">
            <w:r>
              <w:t>Type of Respondent</w:t>
            </w:r>
          </w:p>
        </w:tc>
        <w:tc>
          <w:tcPr>
            <w:tcW w:w="1942" w:type="dxa"/>
          </w:tcPr>
          <w:p w14:paraId="6B1F432E" w14:textId="16E43DBA" w:rsidR="007F0181" w:rsidRDefault="007F0181" w:rsidP="006438F0">
            <w:r>
              <w:t>Form Name</w:t>
            </w:r>
          </w:p>
        </w:tc>
        <w:tc>
          <w:tcPr>
            <w:tcW w:w="1641" w:type="dxa"/>
          </w:tcPr>
          <w:p w14:paraId="29612C1B" w14:textId="78B9DBD6" w:rsidR="007F0181" w:rsidRDefault="007F0181" w:rsidP="006438F0">
            <w:r>
              <w:t>No. of Respondents</w:t>
            </w:r>
          </w:p>
        </w:tc>
        <w:tc>
          <w:tcPr>
            <w:tcW w:w="1742" w:type="dxa"/>
          </w:tcPr>
          <w:p w14:paraId="0FE5CCF8" w14:textId="13DBA7F2" w:rsidR="007F0181" w:rsidRDefault="007F0181" w:rsidP="006438F0">
            <w:r>
              <w:t>No. of Responses per Respondent</w:t>
            </w:r>
          </w:p>
        </w:tc>
        <w:tc>
          <w:tcPr>
            <w:tcW w:w="1655" w:type="dxa"/>
          </w:tcPr>
          <w:p w14:paraId="7DF512AB" w14:textId="4F0A044C" w:rsidR="007F0181" w:rsidRDefault="007F0181" w:rsidP="006438F0">
            <w:r>
              <w:t>Average Burden per Response (in hours)</w:t>
            </w:r>
          </w:p>
        </w:tc>
        <w:tc>
          <w:tcPr>
            <w:tcW w:w="1347" w:type="dxa"/>
          </w:tcPr>
          <w:p w14:paraId="74603F4A" w14:textId="161ECB27" w:rsidR="007F0181" w:rsidRDefault="007F0181" w:rsidP="006438F0">
            <w:r>
              <w:t>Total Burden Hours</w:t>
            </w:r>
          </w:p>
        </w:tc>
      </w:tr>
      <w:tr w:rsidR="00F02F64" w14:paraId="6D8619E3" w14:textId="77777777" w:rsidTr="008A2451">
        <w:trPr>
          <w:trHeight w:val="971"/>
        </w:trPr>
        <w:tc>
          <w:tcPr>
            <w:tcW w:w="1743" w:type="dxa"/>
            <w:vMerge w:val="restart"/>
            <w:vAlign w:val="center"/>
          </w:tcPr>
          <w:p w14:paraId="3BCFC2A5" w14:textId="77777777" w:rsidR="00F02F64" w:rsidRDefault="00F02F64" w:rsidP="006438F0">
            <w:r>
              <w:t>Public health personnel</w:t>
            </w:r>
          </w:p>
          <w:p w14:paraId="5F6AC3B5" w14:textId="63EA1BE9" w:rsidR="00F02F64" w:rsidRDefault="00F02F64" w:rsidP="006438F0"/>
        </w:tc>
        <w:tc>
          <w:tcPr>
            <w:tcW w:w="1942" w:type="dxa"/>
          </w:tcPr>
          <w:p w14:paraId="1DE2E07B" w14:textId="28AD589B" w:rsidR="00F02F64" w:rsidRDefault="00F02F64" w:rsidP="006438F0">
            <w:r>
              <w:t>Shedding Questionnaire (</w:t>
            </w:r>
            <w:proofErr w:type="spellStart"/>
            <w:r>
              <w:t>Symptomatics</w:t>
            </w:r>
            <w:proofErr w:type="spellEnd"/>
            <w:r>
              <w:t>)</w:t>
            </w:r>
          </w:p>
        </w:tc>
        <w:tc>
          <w:tcPr>
            <w:tcW w:w="1641" w:type="dxa"/>
          </w:tcPr>
          <w:p w14:paraId="23CA8D7A" w14:textId="3BDA2E4A" w:rsidR="00F02F64" w:rsidRDefault="00E261D5" w:rsidP="006438F0">
            <w:r>
              <w:t>200</w:t>
            </w:r>
          </w:p>
        </w:tc>
        <w:tc>
          <w:tcPr>
            <w:tcW w:w="1742" w:type="dxa"/>
          </w:tcPr>
          <w:p w14:paraId="2CA23D0A" w14:textId="77B7879D" w:rsidR="00F02F64" w:rsidRDefault="00F02F64" w:rsidP="006438F0">
            <w:r>
              <w:t>8</w:t>
            </w:r>
          </w:p>
        </w:tc>
        <w:tc>
          <w:tcPr>
            <w:tcW w:w="1655" w:type="dxa"/>
          </w:tcPr>
          <w:p w14:paraId="670C798E" w14:textId="3EEE3E65" w:rsidR="00F02F64" w:rsidRDefault="00F02F64" w:rsidP="006438F0">
            <w:r>
              <w:t>10/60</w:t>
            </w:r>
          </w:p>
        </w:tc>
        <w:tc>
          <w:tcPr>
            <w:tcW w:w="1347" w:type="dxa"/>
          </w:tcPr>
          <w:p w14:paraId="64A01D04" w14:textId="28B6C2E0" w:rsidR="00F02F64" w:rsidRDefault="00E261D5" w:rsidP="006438F0">
            <w:r>
              <w:t>2</w:t>
            </w:r>
            <w:r w:rsidR="00F02F64">
              <w:t>67</w:t>
            </w:r>
          </w:p>
        </w:tc>
      </w:tr>
      <w:tr w:rsidR="00F02F64" w:rsidRPr="00043B8E" w14:paraId="64C4F48D" w14:textId="77777777" w:rsidTr="008A2451">
        <w:trPr>
          <w:trHeight w:val="1250"/>
        </w:trPr>
        <w:tc>
          <w:tcPr>
            <w:tcW w:w="1743" w:type="dxa"/>
            <w:vMerge/>
            <w:vAlign w:val="center"/>
          </w:tcPr>
          <w:p w14:paraId="22BB0883" w14:textId="77777777" w:rsidR="00F02F64" w:rsidRDefault="00F02F64" w:rsidP="006438F0"/>
        </w:tc>
        <w:tc>
          <w:tcPr>
            <w:tcW w:w="1942" w:type="dxa"/>
          </w:tcPr>
          <w:p w14:paraId="7C425A36" w14:textId="01F87E04" w:rsidR="00F02F64" w:rsidRPr="00043B8E" w:rsidRDefault="00F02F64" w:rsidP="006438F0">
            <w:r w:rsidRPr="00043B8E">
              <w:t xml:space="preserve">Shedding Questionnaire (Cross-Sectional </w:t>
            </w:r>
            <w:proofErr w:type="spellStart"/>
            <w:r w:rsidRPr="00043B8E">
              <w:t>Asymptomatics</w:t>
            </w:r>
            <w:proofErr w:type="spellEnd"/>
            <w:r w:rsidRPr="00043B8E">
              <w:t>)</w:t>
            </w:r>
          </w:p>
        </w:tc>
        <w:tc>
          <w:tcPr>
            <w:tcW w:w="1641" w:type="dxa"/>
          </w:tcPr>
          <w:p w14:paraId="188BB48B" w14:textId="6EFB3925" w:rsidR="00F02F64" w:rsidRPr="00043B8E" w:rsidRDefault="00B54D96" w:rsidP="006438F0">
            <w:r>
              <w:t>6</w:t>
            </w:r>
            <w:r w:rsidR="00F02F64" w:rsidRPr="00043B8E">
              <w:t>00</w:t>
            </w:r>
          </w:p>
        </w:tc>
        <w:tc>
          <w:tcPr>
            <w:tcW w:w="1742" w:type="dxa"/>
          </w:tcPr>
          <w:p w14:paraId="4299F3C4" w14:textId="18D46E5E" w:rsidR="00F02F64" w:rsidRPr="00043B8E" w:rsidRDefault="00F02F64" w:rsidP="006438F0">
            <w:r w:rsidRPr="00043B8E">
              <w:t>1</w:t>
            </w:r>
          </w:p>
        </w:tc>
        <w:tc>
          <w:tcPr>
            <w:tcW w:w="1655" w:type="dxa"/>
          </w:tcPr>
          <w:p w14:paraId="272973AE" w14:textId="289ACD43" w:rsidR="00F02F64" w:rsidRPr="00043B8E" w:rsidRDefault="00F02F64" w:rsidP="006438F0">
            <w:r w:rsidRPr="00043B8E">
              <w:t>10/60</w:t>
            </w:r>
          </w:p>
        </w:tc>
        <w:tc>
          <w:tcPr>
            <w:tcW w:w="1347" w:type="dxa"/>
          </w:tcPr>
          <w:p w14:paraId="7C47AD01" w14:textId="36CC266B" w:rsidR="00F02F64" w:rsidRPr="00043B8E" w:rsidRDefault="00B54D96" w:rsidP="006438F0">
            <w:r>
              <w:t>100</w:t>
            </w:r>
          </w:p>
        </w:tc>
      </w:tr>
      <w:tr w:rsidR="002A3E8B" w:rsidRPr="00043B8E" w14:paraId="083CF25E" w14:textId="166E7DA6" w:rsidTr="008A2451">
        <w:trPr>
          <w:trHeight w:val="701"/>
        </w:trPr>
        <w:tc>
          <w:tcPr>
            <w:tcW w:w="1743" w:type="dxa"/>
            <w:vMerge w:val="restart"/>
            <w:vAlign w:val="center"/>
          </w:tcPr>
          <w:p w14:paraId="08BD5D56" w14:textId="77777777" w:rsidR="002A3E8B" w:rsidRPr="00043B8E" w:rsidRDefault="002A3E8B" w:rsidP="002A3E8B">
            <w:r w:rsidRPr="00043B8E">
              <w:t>General public</w:t>
            </w:r>
          </w:p>
          <w:p w14:paraId="409D32A2" w14:textId="72DAD169" w:rsidR="002A3E8B" w:rsidRPr="00043B8E" w:rsidRDefault="002A3E8B" w:rsidP="002A3E8B"/>
        </w:tc>
        <w:tc>
          <w:tcPr>
            <w:tcW w:w="1942" w:type="dxa"/>
          </w:tcPr>
          <w:p w14:paraId="69AC5208" w14:textId="43DA5F57" w:rsidR="002A3E8B" w:rsidRPr="00043B8E" w:rsidRDefault="002A3E8B" w:rsidP="006438F0">
            <w:r w:rsidRPr="00043B8E">
              <w:t>Shedding Eligibility Form</w:t>
            </w:r>
          </w:p>
        </w:tc>
        <w:tc>
          <w:tcPr>
            <w:tcW w:w="1641" w:type="dxa"/>
          </w:tcPr>
          <w:p w14:paraId="12D3ED4D" w14:textId="30B4459D" w:rsidR="002A3E8B" w:rsidRPr="00043B8E" w:rsidRDefault="002A3E8B" w:rsidP="006438F0">
            <w:r w:rsidRPr="00043B8E">
              <w:t>1,000</w:t>
            </w:r>
          </w:p>
        </w:tc>
        <w:tc>
          <w:tcPr>
            <w:tcW w:w="1742" w:type="dxa"/>
          </w:tcPr>
          <w:p w14:paraId="67436821" w14:textId="4381D604" w:rsidR="002A3E8B" w:rsidRPr="00043B8E" w:rsidRDefault="002A3E8B" w:rsidP="006438F0">
            <w:r w:rsidRPr="00043B8E">
              <w:t>1</w:t>
            </w:r>
          </w:p>
        </w:tc>
        <w:tc>
          <w:tcPr>
            <w:tcW w:w="1655" w:type="dxa"/>
          </w:tcPr>
          <w:p w14:paraId="1FFEACEE" w14:textId="11ED7084" w:rsidR="002A3E8B" w:rsidRPr="00043B8E" w:rsidRDefault="002A3E8B" w:rsidP="006438F0">
            <w:r w:rsidRPr="00043B8E">
              <w:t>2/60</w:t>
            </w:r>
          </w:p>
        </w:tc>
        <w:tc>
          <w:tcPr>
            <w:tcW w:w="1347" w:type="dxa"/>
          </w:tcPr>
          <w:p w14:paraId="27D718F5" w14:textId="5E975CC4" w:rsidR="002A3E8B" w:rsidRPr="00043B8E" w:rsidRDefault="002A3E8B" w:rsidP="006438F0">
            <w:r w:rsidRPr="00043B8E">
              <w:t>33</w:t>
            </w:r>
          </w:p>
        </w:tc>
      </w:tr>
      <w:tr w:rsidR="002A3E8B" w:rsidRPr="00043B8E" w14:paraId="3DD7F928" w14:textId="77777777" w:rsidTr="009C2387">
        <w:tc>
          <w:tcPr>
            <w:tcW w:w="1743" w:type="dxa"/>
            <w:vMerge/>
          </w:tcPr>
          <w:p w14:paraId="0B22A902" w14:textId="3FAABA27" w:rsidR="002A3E8B" w:rsidRPr="00043B8E" w:rsidRDefault="002A3E8B" w:rsidP="006438F0"/>
        </w:tc>
        <w:tc>
          <w:tcPr>
            <w:tcW w:w="1942" w:type="dxa"/>
          </w:tcPr>
          <w:p w14:paraId="4BBA5EAF" w14:textId="37AE2E45" w:rsidR="002A3E8B" w:rsidRPr="00043B8E" w:rsidRDefault="002A3E8B" w:rsidP="006438F0">
            <w:r w:rsidRPr="00043B8E">
              <w:t>Contact Information Form</w:t>
            </w:r>
          </w:p>
        </w:tc>
        <w:tc>
          <w:tcPr>
            <w:tcW w:w="1641" w:type="dxa"/>
          </w:tcPr>
          <w:p w14:paraId="47CF38D0" w14:textId="76AC36FE" w:rsidR="002A3E8B" w:rsidRPr="00043B8E" w:rsidRDefault="00926878" w:rsidP="006438F0">
            <w:r w:rsidRPr="00043B8E">
              <w:t>200</w:t>
            </w:r>
          </w:p>
        </w:tc>
        <w:tc>
          <w:tcPr>
            <w:tcW w:w="1742" w:type="dxa"/>
          </w:tcPr>
          <w:p w14:paraId="73C36A36" w14:textId="19ABA846" w:rsidR="002A3E8B" w:rsidRPr="00043B8E" w:rsidRDefault="002A3E8B" w:rsidP="006438F0">
            <w:r w:rsidRPr="00043B8E">
              <w:t>1</w:t>
            </w:r>
          </w:p>
        </w:tc>
        <w:tc>
          <w:tcPr>
            <w:tcW w:w="1655" w:type="dxa"/>
          </w:tcPr>
          <w:p w14:paraId="2ACE93FA" w14:textId="69633A8D" w:rsidR="002A3E8B" w:rsidRPr="00043B8E" w:rsidRDefault="002A3E8B" w:rsidP="006438F0">
            <w:r w:rsidRPr="00043B8E">
              <w:t>2/60</w:t>
            </w:r>
          </w:p>
        </w:tc>
        <w:tc>
          <w:tcPr>
            <w:tcW w:w="1347" w:type="dxa"/>
          </w:tcPr>
          <w:p w14:paraId="520FA91F" w14:textId="47C6A9AE" w:rsidR="002A3E8B" w:rsidRPr="00043B8E" w:rsidRDefault="00926878" w:rsidP="006438F0">
            <w:r w:rsidRPr="00043B8E">
              <w:t>7</w:t>
            </w:r>
          </w:p>
        </w:tc>
      </w:tr>
      <w:tr w:rsidR="00872CFD" w:rsidRPr="00043B8E" w14:paraId="68442C0C" w14:textId="77777777" w:rsidTr="009C2387">
        <w:tc>
          <w:tcPr>
            <w:tcW w:w="8723" w:type="dxa"/>
            <w:gridSpan w:val="5"/>
          </w:tcPr>
          <w:p w14:paraId="2574F39D" w14:textId="1C39051F" w:rsidR="00872CFD" w:rsidRPr="00043B8E" w:rsidRDefault="00872CFD" w:rsidP="006438F0">
            <w:pPr>
              <w:rPr>
                <w:b/>
              </w:rPr>
            </w:pPr>
            <w:r w:rsidRPr="00043B8E">
              <w:rPr>
                <w:b/>
              </w:rPr>
              <w:t>Total</w:t>
            </w:r>
          </w:p>
        </w:tc>
        <w:tc>
          <w:tcPr>
            <w:tcW w:w="1347" w:type="dxa"/>
          </w:tcPr>
          <w:p w14:paraId="12B2967E" w14:textId="50EAB8F4" w:rsidR="00872CFD" w:rsidRPr="00043B8E" w:rsidRDefault="00B54D96" w:rsidP="006438F0">
            <w:r>
              <w:t>407</w:t>
            </w:r>
          </w:p>
        </w:tc>
      </w:tr>
    </w:tbl>
    <w:p w14:paraId="65E7DA78" w14:textId="4EA250AD" w:rsidR="00B80A2B" w:rsidRPr="00B80A2B" w:rsidRDefault="00B80A2B" w:rsidP="006438F0">
      <w:pPr>
        <w:spacing w:before="240"/>
        <w:rPr>
          <w:u w:val="single"/>
        </w:rPr>
      </w:pPr>
      <w:r w:rsidRPr="00043B8E">
        <w:rPr>
          <w:u w:val="single"/>
        </w:rPr>
        <w:t>Estimated Annualized Burden Costs to Respondents</w:t>
      </w:r>
      <w:r w:rsidRPr="00B80A2B">
        <w:rPr>
          <w:u w:val="single"/>
        </w:rPr>
        <w:t xml:space="preserve"> </w:t>
      </w:r>
    </w:p>
    <w:p w14:paraId="570A35C4" w14:textId="57C63990" w:rsidR="00B80A2B" w:rsidRDefault="00B80A2B" w:rsidP="006438F0">
      <w:r w:rsidRPr="00B80A2B">
        <w:t xml:space="preserve">The average annual response burden cost is estimated to </w:t>
      </w:r>
      <w:r w:rsidRPr="008F58D5">
        <w:t xml:space="preserve">be </w:t>
      </w:r>
      <w:r w:rsidR="002B7401" w:rsidRPr="008F58D5">
        <w:t>$</w:t>
      </w:r>
      <w:r w:rsidR="00F01E8F" w:rsidRPr="008F58D5">
        <w:t>1</w:t>
      </w:r>
      <w:r w:rsidR="008F58D5" w:rsidRPr="008F58D5">
        <w:t>2,114.10</w:t>
      </w:r>
      <w:r w:rsidRPr="008F58D5">
        <w:t>.</w:t>
      </w:r>
      <w:r w:rsidRPr="00B80A2B">
        <w:t xml:space="preserve">  The hourly wage estimate</w:t>
      </w:r>
      <w:r w:rsidR="00343214">
        <w:t>s</w:t>
      </w:r>
      <w:r w:rsidRPr="00B80A2B">
        <w:t xml:space="preserve"> </w:t>
      </w:r>
      <w:r w:rsidR="00343214">
        <w:t>are</w:t>
      </w:r>
      <w:r w:rsidRPr="00B80A2B">
        <w:t xml:space="preserve"> based on the Bureau of Labor Statistics May 2014 National Occupational Employment and Wage Estimates (</w:t>
      </w:r>
      <w:r w:rsidR="004273A6" w:rsidRPr="004273A6">
        <w:t>http://www.bls.gov/oes/current/oes_pr.htm#00-0000</w:t>
      </w:r>
      <w:r w:rsidRPr="00B80A2B">
        <w:t xml:space="preserve">).  </w:t>
      </w:r>
      <w:r w:rsidR="00343214" w:rsidRPr="00343214">
        <w:t xml:space="preserve">Registered nurses are often the persons interviewed at hospitals, so their mean hourly wage ($33.55) is used to represent the </w:t>
      </w:r>
      <w:r w:rsidR="00343214">
        <w:t>public health personnel</w:t>
      </w:r>
      <w:r w:rsidR="00D3127C">
        <w:t xml:space="preserve"> wages.</w:t>
      </w:r>
    </w:p>
    <w:tbl>
      <w:tblPr>
        <w:tblStyle w:val="TableGrid"/>
        <w:tblW w:w="5000" w:type="pct"/>
        <w:tblLook w:val="04A0" w:firstRow="1" w:lastRow="0" w:firstColumn="1" w:lastColumn="0" w:noHBand="0" w:noVBand="1"/>
      </w:tblPr>
      <w:tblGrid>
        <w:gridCol w:w="2014"/>
        <w:gridCol w:w="2014"/>
        <w:gridCol w:w="2014"/>
        <w:gridCol w:w="2014"/>
        <w:gridCol w:w="2014"/>
      </w:tblGrid>
      <w:tr w:rsidR="00414634" w14:paraId="6C949823" w14:textId="77777777" w:rsidTr="00414634">
        <w:trPr>
          <w:trHeight w:val="1344"/>
        </w:trPr>
        <w:tc>
          <w:tcPr>
            <w:tcW w:w="1000" w:type="pct"/>
          </w:tcPr>
          <w:p w14:paraId="1EFBB0C1" w14:textId="1FC59844" w:rsidR="00414634" w:rsidRDefault="00414634" w:rsidP="006438F0">
            <w:r>
              <w:t>Type of Respondent</w:t>
            </w:r>
          </w:p>
        </w:tc>
        <w:tc>
          <w:tcPr>
            <w:tcW w:w="1000" w:type="pct"/>
          </w:tcPr>
          <w:p w14:paraId="38B89F06" w14:textId="15B829F1" w:rsidR="00414634" w:rsidRDefault="00414634" w:rsidP="006438F0">
            <w:r>
              <w:t>Form Name</w:t>
            </w:r>
          </w:p>
        </w:tc>
        <w:tc>
          <w:tcPr>
            <w:tcW w:w="1000" w:type="pct"/>
          </w:tcPr>
          <w:p w14:paraId="1DB98AE3" w14:textId="5F2F6F40" w:rsidR="00414634" w:rsidRDefault="00414634" w:rsidP="006438F0">
            <w:r>
              <w:t>Total Burden Hours</w:t>
            </w:r>
          </w:p>
        </w:tc>
        <w:tc>
          <w:tcPr>
            <w:tcW w:w="1000" w:type="pct"/>
          </w:tcPr>
          <w:p w14:paraId="7211FAE8" w14:textId="39CBE283" w:rsidR="00414634" w:rsidRDefault="00414634" w:rsidP="006438F0">
            <w:r>
              <w:t>Hourly Wage Rate</w:t>
            </w:r>
          </w:p>
        </w:tc>
        <w:tc>
          <w:tcPr>
            <w:tcW w:w="1000" w:type="pct"/>
          </w:tcPr>
          <w:p w14:paraId="36D38B52" w14:textId="5DBD8385" w:rsidR="00414634" w:rsidRDefault="00414634" w:rsidP="006438F0">
            <w:r>
              <w:t>Total Respondent Costs</w:t>
            </w:r>
          </w:p>
        </w:tc>
      </w:tr>
      <w:tr w:rsidR="00F02F64" w14:paraId="6E9426DC" w14:textId="77777777" w:rsidTr="00414634">
        <w:trPr>
          <w:trHeight w:val="70"/>
        </w:trPr>
        <w:tc>
          <w:tcPr>
            <w:tcW w:w="1000" w:type="pct"/>
            <w:vMerge w:val="restart"/>
            <w:vAlign w:val="center"/>
          </w:tcPr>
          <w:p w14:paraId="1B9D5E45" w14:textId="5D39F0F0" w:rsidR="00F02F64" w:rsidRDefault="00F02F64" w:rsidP="006438F0">
            <w:r>
              <w:t>Public health personnel</w:t>
            </w:r>
          </w:p>
        </w:tc>
        <w:tc>
          <w:tcPr>
            <w:tcW w:w="1000" w:type="pct"/>
          </w:tcPr>
          <w:p w14:paraId="7F3631BD" w14:textId="45D40BD7" w:rsidR="00F02F64" w:rsidRDefault="00F02F64" w:rsidP="006438F0">
            <w:r>
              <w:t>Questionnaire (</w:t>
            </w:r>
            <w:proofErr w:type="spellStart"/>
            <w:r>
              <w:t>Symptomatics</w:t>
            </w:r>
            <w:proofErr w:type="spellEnd"/>
            <w:r>
              <w:t>)</w:t>
            </w:r>
          </w:p>
        </w:tc>
        <w:tc>
          <w:tcPr>
            <w:tcW w:w="1000" w:type="pct"/>
          </w:tcPr>
          <w:p w14:paraId="5D1F1419" w14:textId="203A156E" w:rsidR="00F02F64" w:rsidRDefault="00E261D5" w:rsidP="006438F0">
            <w:r>
              <w:t>2</w:t>
            </w:r>
            <w:r w:rsidR="00F02F64">
              <w:t>67</w:t>
            </w:r>
          </w:p>
        </w:tc>
        <w:tc>
          <w:tcPr>
            <w:tcW w:w="1000" w:type="pct"/>
          </w:tcPr>
          <w:p w14:paraId="0C52E76A" w14:textId="4EEF3610" w:rsidR="00F02F64" w:rsidRDefault="00F02F64" w:rsidP="006438F0">
            <w:r>
              <w:t>$33.55</w:t>
            </w:r>
          </w:p>
        </w:tc>
        <w:tc>
          <w:tcPr>
            <w:tcW w:w="1000" w:type="pct"/>
          </w:tcPr>
          <w:p w14:paraId="6384894C" w14:textId="4CBF9016" w:rsidR="00F02F64" w:rsidRDefault="00F02F64" w:rsidP="006438F0">
            <w:r>
              <w:t>$</w:t>
            </w:r>
            <w:r w:rsidR="00E261D5">
              <w:t>8,957.85</w:t>
            </w:r>
          </w:p>
        </w:tc>
      </w:tr>
      <w:tr w:rsidR="00F02F64" w14:paraId="00489C2C" w14:textId="77777777" w:rsidTr="00414634">
        <w:trPr>
          <w:trHeight w:val="70"/>
        </w:trPr>
        <w:tc>
          <w:tcPr>
            <w:tcW w:w="1000" w:type="pct"/>
            <w:vMerge/>
          </w:tcPr>
          <w:p w14:paraId="65E68C93" w14:textId="77777777" w:rsidR="00F02F64" w:rsidRDefault="00F02F64" w:rsidP="006438F0"/>
        </w:tc>
        <w:tc>
          <w:tcPr>
            <w:tcW w:w="1000" w:type="pct"/>
          </w:tcPr>
          <w:p w14:paraId="58ABC555" w14:textId="407402B8" w:rsidR="00F02F64" w:rsidRDefault="00F02F64" w:rsidP="006438F0">
            <w:r>
              <w:t xml:space="preserve">Questionnaire (Cross-Sectional </w:t>
            </w:r>
            <w:proofErr w:type="spellStart"/>
            <w:r>
              <w:t>Asymptomatics</w:t>
            </w:r>
            <w:proofErr w:type="spellEnd"/>
            <w:r>
              <w:t>)</w:t>
            </w:r>
          </w:p>
        </w:tc>
        <w:tc>
          <w:tcPr>
            <w:tcW w:w="1000" w:type="pct"/>
          </w:tcPr>
          <w:p w14:paraId="50BE373A" w14:textId="6A9B29BE" w:rsidR="00F02F64" w:rsidRDefault="00B54D96" w:rsidP="006438F0">
            <w:r>
              <w:t>100</w:t>
            </w:r>
          </w:p>
        </w:tc>
        <w:tc>
          <w:tcPr>
            <w:tcW w:w="1000" w:type="pct"/>
          </w:tcPr>
          <w:p w14:paraId="2C5994BF" w14:textId="2F2238F1" w:rsidR="00F02F64" w:rsidRDefault="00F02F64" w:rsidP="006438F0">
            <w:r>
              <w:t>$33.55</w:t>
            </w:r>
          </w:p>
        </w:tc>
        <w:tc>
          <w:tcPr>
            <w:tcW w:w="1000" w:type="pct"/>
          </w:tcPr>
          <w:p w14:paraId="03AC33B7" w14:textId="5D9D5575" w:rsidR="00F02F64" w:rsidRDefault="00F02F64" w:rsidP="00043B8E">
            <w:r>
              <w:t>$</w:t>
            </w:r>
            <w:r w:rsidR="00B54D96">
              <w:t>3,355.00</w:t>
            </w:r>
          </w:p>
        </w:tc>
      </w:tr>
      <w:tr w:rsidR="00043B8E" w14:paraId="4777A1FA" w14:textId="77777777" w:rsidTr="00043B8E">
        <w:trPr>
          <w:trHeight w:val="70"/>
        </w:trPr>
        <w:tc>
          <w:tcPr>
            <w:tcW w:w="1000" w:type="pct"/>
            <w:vMerge w:val="restart"/>
            <w:vAlign w:val="center"/>
          </w:tcPr>
          <w:p w14:paraId="517848CF" w14:textId="2E57DFF3" w:rsidR="00043B8E" w:rsidRDefault="00043B8E" w:rsidP="00043B8E">
            <w:r>
              <w:t>General public</w:t>
            </w:r>
          </w:p>
        </w:tc>
        <w:tc>
          <w:tcPr>
            <w:tcW w:w="1000" w:type="pct"/>
          </w:tcPr>
          <w:p w14:paraId="0E8DFDC0" w14:textId="432A8804" w:rsidR="00043B8E" w:rsidRDefault="00043B8E" w:rsidP="006438F0">
            <w:r>
              <w:t>Shedding Eligibility Form</w:t>
            </w:r>
          </w:p>
        </w:tc>
        <w:tc>
          <w:tcPr>
            <w:tcW w:w="1000" w:type="pct"/>
          </w:tcPr>
          <w:p w14:paraId="784C6C57" w14:textId="0AEE91AC" w:rsidR="00043B8E" w:rsidRDefault="00043B8E" w:rsidP="006438F0">
            <w:r>
              <w:t>33</w:t>
            </w:r>
          </w:p>
        </w:tc>
        <w:tc>
          <w:tcPr>
            <w:tcW w:w="1000" w:type="pct"/>
          </w:tcPr>
          <w:p w14:paraId="26E52B49" w14:textId="49F9ECB6" w:rsidR="00043B8E" w:rsidRDefault="00043B8E" w:rsidP="006438F0">
            <w:r>
              <w:t>$22.71</w:t>
            </w:r>
          </w:p>
        </w:tc>
        <w:tc>
          <w:tcPr>
            <w:tcW w:w="1000" w:type="pct"/>
          </w:tcPr>
          <w:p w14:paraId="40BA55BA" w14:textId="42E7369E" w:rsidR="00043B8E" w:rsidRDefault="00043B8E" w:rsidP="006438F0">
            <w:r>
              <w:t>$749.43</w:t>
            </w:r>
          </w:p>
        </w:tc>
      </w:tr>
      <w:tr w:rsidR="00043B8E" w14:paraId="5774AB9B" w14:textId="77777777" w:rsidTr="00414634">
        <w:trPr>
          <w:trHeight w:val="70"/>
        </w:trPr>
        <w:tc>
          <w:tcPr>
            <w:tcW w:w="1000" w:type="pct"/>
            <w:vMerge/>
          </w:tcPr>
          <w:p w14:paraId="5D23EF02" w14:textId="77777777" w:rsidR="00043B8E" w:rsidRDefault="00043B8E" w:rsidP="006438F0"/>
        </w:tc>
        <w:tc>
          <w:tcPr>
            <w:tcW w:w="1000" w:type="pct"/>
          </w:tcPr>
          <w:p w14:paraId="4695154A" w14:textId="1BB2D062" w:rsidR="00043B8E" w:rsidRDefault="00043B8E" w:rsidP="006438F0">
            <w:r>
              <w:t>Contact Information Form</w:t>
            </w:r>
          </w:p>
        </w:tc>
        <w:tc>
          <w:tcPr>
            <w:tcW w:w="1000" w:type="pct"/>
          </w:tcPr>
          <w:p w14:paraId="605E917F" w14:textId="7AE45A22" w:rsidR="00043B8E" w:rsidRDefault="00043B8E" w:rsidP="006438F0">
            <w:r>
              <w:t>7</w:t>
            </w:r>
          </w:p>
        </w:tc>
        <w:tc>
          <w:tcPr>
            <w:tcW w:w="1000" w:type="pct"/>
          </w:tcPr>
          <w:p w14:paraId="27009845" w14:textId="2562CEE7" w:rsidR="00043B8E" w:rsidRDefault="00043B8E" w:rsidP="006438F0">
            <w:r>
              <w:t>$22.71</w:t>
            </w:r>
          </w:p>
        </w:tc>
        <w:tc>
          <w:tcPr>
            <w:tcW w:w="1000" w:type="pct"/>
          </w:tcPr>
          <w:p w14:paraId="5CDE4E74" w14:textId="5AA833D5" w:rsidR="00043B8E" w:rsidRDefault="00043B8E" w:rsidP="006438F0">
            <w:r>
              <w:t>$158.97</w:t>
            </w:r>
          </w:p>
        </w:tc>
      </w:tr>
      <w:tr w:rsidR="00C00DB8" w14:paraId="3F61B280" w14:textId="77777777" w:rsidTr="00C00DB8">
        <w:trPr>
          <w:trHeight w:val="70"/>
        </w:trPr>
        <w:tc>
          <w:tcPr>
            <w:tcW w:w="4000" w:type="pct"/>
            <w:gridSpan w:val="4"/>
          </w:tcPr>
          <w:p w14:paraId="7AED6FEA" w14:textId="7FCDF6A2" w:rsidR="00C00DB8" w:rsidRPr="00C00DB8" w:rsidRDefault="00C00DB8" w:rsidP="006438F0">
            <w:pPr>
              <w:rPr>
                <w:b/>
              </w:rPr>
            </w:pPr>
            <w:r w:rsidRPr="00C00DB8">
              <w:rPr>
                <w:b/>
              </w:rPr>
              <w:t>Total</w:t>
            </w:r>
          </w:p>
        </w:tc>
        <w:tc>
          <w:tcPr>
            <w:tcW w:w="1000" w:type="pct"/>
          </w:tcPr>
          <w:p w14:paraId="01EB6A82" w14:textId="2B7523E1" w:rsidR="00C00DB8" w:rsidRDefault="00F01E8F" w:rsidP="00B54D96">
            <w:r>
              <w:t>$1</w:t>
            </w:r>
            <w:r w:rsidR="00B54D96">
              <w:t>3</w:t>
            </w:r>
            <w:r>
              <w:t>,</w:t>
            </w:r>
            <w:r w:rsidR="00B54D96">
              <w:t>22</w:t>
            </w:r>
            <w:r w:rsidR="00043B8E">
              <w:t>1</w:t>
            </w:r>
            <w:r w:rsidR="00B54D96">
              <w:t>.25</w:t>
            </w:r>
          </w:p>
        </w:tc>
      </w:tr>
    </w:tbl>
    <w:p w14:paraId="1DB7415E" w14:textId="77777777" w:rsidR="004A6DE8" w:rsidRPr="006E7652" w:rsidRDefault="004A6DE8" w:rsidP="00C20053">
      <w:pPr>
        <w:pStyle w:val="Heading1"/>
        <w:spacing w:before="240"/>
        <w:ind w:left="360"/>
      </w:pPr>
      <w:bookmarkStart w:id="13" w:name="_Toc441568632"/>
      <w:r w:rsidRPr="006E7652">
        <w:t>Estimates of Other Total Annual Cost Burden to Respondents or Record Keepers</w:t>
      </w:r>
      <w:bookmarkEnd w:id="13"/>
    </w:p>
    <w:p w14:paraId="1755228C" w14:textId="2A5B6894" w:rsidR="001130A6" w:rsidRDefault="000D4D47" w:rsidP="00B35EDE">
      <w:pPr>
        <w:spacing w:before="240" w:line="240" w:lineRule="auto"/>
      </w:pPr>
      <w:r w:rsidRPr="000D4D47">
        <w:t>There are no costs to respondents other than their time to participate.</w:t>
      </w:r>
    </w:p>
    <w:p w14:paraId="1DB74160" w14:textId="77777777" w:rsidR="006E7652" w:rsidRDefault="004A6DE8" w:rsidP="007A2CCF">
      <w:pPr>
        <w:pStyle w:val="Heading1"/>
        <w:spacing w:after="240"/>
        <w:ind w:left="360"/>
      </w:pPr>
      <w:bookmarkStart w:id="14" w:name="_Toc441568633"/>
      <w:r w:rsidRPr="006E7652">
        <w:t>Annualized Cost to the Government</w:t>
      </w:r>
      <w:bookmarkEnd w:id="14"/>
    </w:p>
    <w:p w14:paraId="1DB74161" w14:textId="4E6AB57F" w:rsidR="006E7652" w:rsidRPr="00B22AE3" w:rsidRDefault="00B22AE3" w:rsidP="00B35EDE">
      <w:pPr>
        <w:spacing w:line="240" w:lineRule="auto"/>
        <w:rPr>
          <w:color w:val="000000"/>
        </w:rPr>
      </w:pPr>
      <w:r w:rsidRPr="00D16E82">
        <w:t xml:space="preserve">The cost to the federal government is estimated at </w:t>
      </w:r>
      <w:r>
        <w:rPr>
          <w:color w:val="000000"/>
        </w:rPr>
        <w:t>$</w:t>
      </w:r>
      <w:r w:rsidR="00E13426">
        <w:rPr>
          <w:color w:val="000000"/>
        </w:rPr>
        <w:t>1</w:t>
      </w:r>
      <w:r w:rsidR="00BC4104">
        <w:rPr>
          <w:color w:val="000000"/>
        </w:rPr>
        <w:t>09,521.60</w:t>
      </w:r>
      <w:r w:rsidRPr="00D16E82">
        <w:t xml:space="preserve">. </w:t>
      </w:r>
      <w:r w:rsidR="00DD730E">
        <w:t xml:space="preserve">The study will require one doctoral level epidemiologist for six months (50% of the time), two MPH-level contractors full-time for six months, and two nurse contractors part-time for six months.  </w:t>
      </w:r>
      <w:r w:rsidR="00E13426">
        <w:t>For the CDC employees, h</w:t>
      </w:r>
      <w:r>
        <w:t xml:space="preserve">ourly wage rates were used for step-1 FTEs for the Atlanta locality. These numbers are available at </w:t>
      </w:r>
      <w:hyperlink r:id="rId8" w:history="1">
        <w:r w:rsidRPr="00B97287">
          <w:rPr>
            <w:rStyle w:val="Hyperlink"/>
          </w:rPr>
          <w:t>https://www.opm.gov/policy-data-oversight/pay-leave/salaries-wages/salary-tables/pdf/2015/ATL.pdf</w:t>
        </w:r>
      </w:hyperlink>
      <w:r>
        <w:t>.</w:t>
      </w:r>
      <w:r w:rsidR="00E13426">
        <w:t xml:space="preserve">  The hourly wage for the nurse contractors comes from the mean national hourly wage for registered nurses.  </w:t>
      </w:r>
    </w:p>
    <w:tbl>
      <w:tblPr>
        <w:tblStyle w:val="TableGrid"/>
        <w:tblW w:w="0" w:type="auto"/>
        <w:tblLook w:val="04A0" w:firstRow="1" w:lastRow="0" w:firstColumn="1" w:lastColumn="0" w:noHBand="0" w:noVBand="1"/>
      </w:tblPr>
      <w:tblGrid>
        <w:gridCol w:w="3505"/>
        <w:gridCol w:w="1169"/>
        <w:gridCol w:w="1621"/>
        <w:gridCol w:w="1496"/>
      </w:tblGrid>
      <w:tr w:rsidR="00BC4104" w14:paraId="5D9BC5AA" w14:textId="77777777" w:rsidTr="009F4DA8">
        <w:tc>
          <w:tcPr>
            <w:tcW w:w="3505" w:type="dxa"/>
          </w:tcPr>
          <w:p w14:paraId="33C1E7BD" w14:textId="77777777" w:rsidR="00BC4104" w:rsidRPr="00D5784E" w:rsidRDefault="00BC4104" w:rsidP="00B35EDE">
            <w:pPr>
              <w:rPr>
                <w:b/>
                <w:color w:val="000000"/>
              </w:rPr>
            </w:pPr>
          </w:p>
          <w:p w14:paraId="6222D7C0" w14:textId="279FAD23" w:rsidR="00BC4104" w:rsidRPr="00D5784E" w:rsidRDefault="00BC4104" w:rsidP="00B35EDE">
            <w:pPr>
              <w:rPr>
                <w:b/>
                <w:color w:val="000000"/>
              </w:rPr>
            </w:pPr>
            <w:r>
              <w:rPr>
                <w:b/>
                <w:color w:val="000000"/>
              </w:rPr>
              <w:t>Position</w:t>
            </w:r>
          </w:p>
        </w:tc>
        <w:tc>
          <w:tcPr>
            <w:tcW w:w="1169" w:type="dxa"/>
          </w:tcPr>
          <w:p w14:paraId="6DBBD27E" w14:textId="77777777" w:rsidR="00BC4104" w:rsidRPr="00D5784E" w:rsidRDefault="00BC4104" w:rsidP="00B35EDE">
            <w:pPr>
              <w:rPr>
                <w:b/>
                <w:color w:val="000000"/>
              </w:rPr>
            </w:pPr>
            <w:r w:rsidRPr="00D5784E">
              <w:rPr>
                <w:b/>
                <w:color w:val="000000"/>
              </w:rPr>
              <w:t>Hours</w:t>
            </w:r>
          </w:p>
        </w:tc>
        <w:tc>
          <w:tcPr>
            <w:tcW w:w="1621" w:type="dxa"/>
          </w:tcPr>
          <w:p w14:paraId="59871246" w14:textId="77777777" w:rsidR="00BC4104" w:rsidRPr="00D5784E" w:rsidRDefault="00BC4104" w:rsidP="00B35EDE">
            <w:pPr>
              <w:rPr>
                <w:b/>
                <w:color w:val="000000"/>
              </w:rPr>
            </w:pPr>
            <w:r w:rsidRPr="00D5784E">
              <w:rPr>
                <w:b/>
                <w:color w:val="000000"/>
              </w:rPr>
              <w:t>Hourly Wage</w:t>
            </w:r>
          </w:p>
        </w:tc>
        <w:tc>
          <w:tcPr>
            <w:tcW w:w="1496" w:type="dxa"/>
          </w:tcPr>
          <w:p w14:paraId="2DD4F3DA" w14:textId="77777777" w:rsidR="00BC4104" w:rsidRPr="00D5784E" w:rsidRDefault="00BC4104" w:rsidP="00B35EDE">
            <w:pPr>
              <w:rPr>
                <w:b/>
                <w:color w:val="000000"/>
              </w:rPr>
            </w:pPr>
            <w:r w:rsidRPr="00D5784E">
              <w:rPr>
                <w:b/>
                <w:color w:val="000000"/>
              </w:rPr>
              <w:t>Total</w:t>
            </w:r>
          </w:p>
        </w:tc>
      </w:tr>
      <w:tr w:rsidR="00BC4104" w14:paraId="349A77FF" w14:textId="77777777" w:rsidTr="009F4DA8">
        <w:tc>
          <w:tcPr>
            <w:tcW w:w="3505" w:type="dxa"/>
          </w:tcPr>
          <w:p w14:paraId="25203C3C" w14:textId="67E692AE" w:rsidR="00BC4104" w:rsidRDefault="00BC4104" w:rsidP="00B35EDE">
            <w:pPr>
              <w:rPr>
                <w:color w:val="000000"/>
              </w:rPr>
            </w:pPr>
            <w:r>
              <w:rPr>
                <w:color w:val="000000"/>
              </w:rPr>
              <w:t>Epidemiologist</w:t>
            </w:r>
          </w:p>
        </w:tc>
        <w:tc>
          <w:tcPr>
            <w:tcW w:w="1169" w:type="dxa"/>
          </w:tcPr>
          <w:p w14:paraId="60B39E8A" w14:textId="2F80C6D7" w:rsidR="00BC4104" w:rsidRDefault="00BC4104" w:rsidP="00B35EDE">
            <w:pPr>
              <w:rPr>
                <w:color w:val="000000"/>
              </w:rPr>
            </w:pPr>
            <w:r>
              <w:rPr>
                <w:color w:val="000000"/>
              </w:rPr>
              <w:t>480</w:t>
            </w:r>
          </w:p>
        </w:tc>
        <w:tc>
          <w:tcPr>
            <w:tcW w:w="1621" w:type="dxa"/>
          </w:tcPr>
          <w:p w14:paraId="65D5FEAE" w14:textId="38DE04CF" w:rsidR="00BC4104" w:rsidRDefault="00BC4104" w:rsidP="00B35EDE">
            <w:pPr>
              <w:rPr>
                <w:color w:val="000000"/>
              </w:rPr>
            </w:pPr>
            <w:r>
              <w:rPr>
                <w:color w:val="000000"/>
              </w:rPr>
              <w:t>$42.31</w:t>
            </w:r>
          </w:p>
        </w:tc>
        <w:tc>
          <w:tcPr>
            <w:tcW w:w="1496" w:type="dxa"/>
          </w:tcPr>
          <w:p w14:paraId="5D983E4A" w14:textId="7937F6D4" w:rsidR="00BC4104" w:rsidRDefault="00BC4104" w:rsidP="00B35EDE">
            <w:pPr>
              <w:rPr>
                <w:color w:val="000000"/>
              </w:rPr>
            </w:pPr>
            <w:r>
              <w:rPr>
                <w:color w:val="000000"/>
              </w:rPr>
              <w:t>$20,308.80</w:t>
            </w:r>
          </w:p>
        </w:tc>
      </w:tr>
      <w:tr w:rsidR="00BC4104" w14:paraId="15DCB2F1" w14:textId="77777777" w:rsidTr="009F4DA8">
        <w:tc>
          <w:tcPr>
            <w:tcW w:w="3505" w:type="dxa"/>
          </w:tcPr>
          <w:p w14:paraId="30766145" w14:textId="3851D4ED" w:rsidR="00BC4104" w:rsidRDefault="00BC4104" w:rsidP="00B35EDE">
            <w:pPr>
              <w:rPr>
                <w:color w:val="000000"/>
              </w:rPr>
            </w:pPr>
            <w:r>
              <w:rPr>
                <w:color w:val="000000"/>
              </w:rPr>
              <w:t>MPH-level contractors (x2)</w:t>
            </w:r>
          </w:p>
        </w:tc>
        <w:tc>
          <w:tcPr>
            <w:tcW w:w="1169" w:type="dxa"/>
          </w:tcPr>
          <w:p w14:paraId="487E68A9" w14:textId="470C966C" w:rsidR="00BC4104" w:rsidRDefault="00BC4104" w:rsidP="00B35EDE">
            <w:pPr>
              <w:rPr>
                <w:color w:val="000000"/>
              </w:rPr>
            </w:pPr>
            <w:r>
              <w:rPr>
                <w:color w:val="000000"/>
              </w:rPr>
              <w:t>1,920</w:t>
            </w:r>
          </w:p>
        </w:tc>
        <w:tc>
          <w:tcPr>
            <w:tcW w:w="1621" w:type="dxa"/>
          </w:tcPr>
          <w:p w14:paraId="3481F802" w14:textId="26C94B21" w:rsidR="00BC4104" w:rsidRDefault="00BC4104" w:rsidP="00B35EDE">
            <w:pPr>
              <w:rPr>
                <w:color w:val="000000"/>
              </w:rPr>
            </w:pPr>
            <w:r>
              <w:rPr>
                <w:color w:val="000000"/>
              </w:rPr>
              <w:t>$29.69</w:t>
            </w:r>
          </w:p>
        </w:tc>
        <w:tc>
          <w:tcPr>
            <w:tcW w:w="1496" w:type="dxa"/>
          </w:tcPr>
          <w:p w14:paraId="79142BAE" w14:textId="28BDB679" w:rsidR="00BC4104" w:rsidRDefault="00BC4104" w:rsidP="00B35EDE">
            <w:pPr>
              <w:rPr>
                <w:color w:val="000000"/>
              </w:rPr>
            </w:pPr>
            <w:r>
              <w:rPr>
                <w:color w:val="000000"/>
              </w:rPr>
              <w:t>$57,004.80</w:t>
            </w:r>
          </w:p>
        </w:tc>
      </w:tr>
      <w:tr w:rsidR="00BC4104" w14:paraId="7F580C6E" w14:textId="77777777" w:rsidTr="009F4DA8">
        <w:tc>
          <w:tcPr>
            <w:tcW w:w="3505" w:type="dxa"/>
          </w:tcPr>
          <w:p w14:paraId="1DCD4EEF" w14:textId="3E4F73F4" w:rsidR="00BC4104" w:rsidRDefault="00BC4104" w:rsidP="00B35EDE">
            <w:pPr>
              <w:rPr>
                <w:color w:val="000000"/>
              </w:rPr>
            </w:pPr>
            <w:r>
              <w:rPr>
                <w:color w:val="000000"/>
              </w:rPr>
              <w:t>Nurse contractors (x2)</w:t>
            </w:r>
          </w:p>
        </w:tc>
        <w:tc>
          <w:tcPr>
            <w:tcW w:w="1169" w:type="dxa"/>
          </w:tcPr>
          <w:p w14:paraId="6859EE01" w14:textId="117333C4" w:rsidR="00BC4104" w:rsidRDefault="00BC4104" w:rsidP="00B35EDE">
            <w:pPr>
              <w:rPr>
                <w:color w:val="000000"/>
              </w:rPr>
            </w:pPr>
            <w:r>
              <w:rPr>
                <w:color w:val="000000"/>
              </w:rPr>
              <w:t>960</w:t>
            </w:r>
          </w:p>
        </w:tc>
        <w:tc>
          <w:tcPr>
            <w:tcW w:w="1621" w:type="dxa"/>
          </w:tcPr>
          <w:p w14:paraId="5D0C8BA1" w14:textId="2A229132" w:rsidR="00BC4104" w:rsidRDefault="00BC4104" w:rsidP="00B35EDE">
            <w:pPr>
              <w:rPr>
                <w:color w:val="000000"/>
              </w:rPr>
            </w:pPr>
            <w:r>
              <w:rPr>
                <w:color w:val="000000"/>
              </w:rPr>
              <w:t>$33.55</w:t>
            </w:r>
          </w:p>
        </w:tc>
        <w:tc>
          <w:tcPr>
            <w:tcW w:w="1496" w:type="dxa"/>
          </w:tcPr>
          <w:p w14:paraId="45559593" w14:textId="1B63B4FE" w:rsidR="00BC4104" w:rsidRDefault="00BC4104" w:rsidP="00B35EDE">
            <w:pPr>
              <w:rPr>
                <w:color w:val="000000"/>
              </w:rPr>
            </w:pPr>
            <w:r>
              <w:rPr>
                <w:color w:val="000000"/>
              </w:rPr>
              <w:t>$32,208.00</w:t>
            </w:r>
          </w:p>
        </w:tc>
      </w:tr>
      <w:tr w:rsidR="00E7241D" w14:paraId="5BE75749" w14:textId="77777777" w:rsidTr="000F65DE">
        <w:trPr>
          <w:trHeight w:val="70"/>
        </w:trPr>
        <w:tc>
          <w:tcPr>
            <w:tcW w:w="6295" w:type="dxa"/>
            <w:gridSpan w:val="3"/>
          </w:tcPr>
          <w:p w14:paraId="0DDBD6A4" w14:textId="77777777" w:rsidR="00E7241D" w:rsidRPr="00031EF7" w:rsidRDefault="00E7241D" w:rsidP="00B35EDE">
            <w:pPr>
              <w:rPr>
                <w:b/>
                <w:color w:val="000000"/>
              </w:rPr>
            </w:pPr>
            <w:r w:rsidRPr="00031EF7">
              <w:rPr>
                <w:b/>
                <w:color w:val="000000"/>
              </w:rPr>
              <w:t>Total</w:t>
            </w:r>
          </w:p>
        </w:tc>
        <w:tc>
          <w:tcPr>
            <w:tcW w:w="1496" w:type="dxa"/>
          </w:tcPr>
          <w:p w14:paraId="45C61A2F" w14:textId="341E9B12" w:rsidR="00E7241D" w:rsidRDefault="00BC4104" w:rsidP="00B35EDE">
            <w:pPr>
              <w:rPr>
                <w:color w:val="000000"/>
              </w:rPr>
            </w:pPr>
            <w:r>
              <w:rPr>
                <w:color w:val="000000"/>
              </w:rPr>
              <w:t>$109,521.60</w:t>
            </w:r>
          </w:p>
        </w:tc>
      </w:tr>
    </w:tbl>
    <w:p w14:paraId="1DB74163" w14:textId="18794991" w:rsidR="006E7652" w:rsidRDefault="004A6DE8" w:rsidP="00315D5A">
      <w:pPr>
        <w:pStyle w:val="Heading1"/>
        <w:spacing w:before="240" w:after="240"/>
        <w:ind w:left="360"/>
      </w:pPr>
      <w:bookmarkStart w:id="15" w:name="_Toc441568634"/>
      <w:r w:rsidRPr="006E7652">
        <w:t>Explanation for</w:t>
      </w:r>
      <w:r w:rsidR="006E7652" w:rsidRPr="006E7652">
        <w:t xml:space="preserve"> Program Changes or Adjustments</w:t>
      </w:r>
      <w:bookmarkEnd w:id="15"/>
    </w:p>
    <w:p w14:paraId="59E4B3B2" w14:textId="7A67B28F" w:rsidR="001130A6" w:rsidRDefault="000D4D47" w:rsidP="00B35EDE">
      <w:pPr>
        <w:spacing w:line="240" w:lineRule="auto"/>
      </w:pPr>
      <w:r w:rsidRPr="000D4D47">
        <w:t>This is a new information collection request, therefore program changes and adjustments do not apply at this time.</w:t>
      </w:r>
    </w:p>
    <w:p w14:paraId="16BE87AC" w14:textId="141D4764" w:rsidR="007A2CCF" w:rsidRPr="00C367A3" w:rsidRDefault="006E7652" w:rsidP="00C367A3">
      <w:pPr>
        <w:pStyle w:val="Heading1"/>
        <w:spacing w:after="240"/>
        <w:ind w:left="360"/>
      </w:pPr>
      <w:bookmarkStart w:id="16" w:name="_Toc441568635"/>
      <w:r w:rsidRPr="006E7652">
        <w:t>Plans for Tabulation and Publication and Project Time Schedule</w:t>
      </w:r>
      <w:bookmarkStart w:id="17" w:name="_Toc441568636"/>
      <w:bookmarkEnd w:id="16"/>
    </w:p>
    <w:p w14:paraId="3AE345E2" w14:textId="6FFD0BB0" w:rsidR="00EE4E68" w:rsidRPr="00EE4E68" w:rsidRDefault="00EE4E68" w:rsidP="00EE4E68">
      <w:pPr>
        <w:widowControl w:val="0"/>
        <w:autoSpaceDE w:val="0"/>
        <w:autoSpaceDN w:val="0"/>
        <w:adjustRightInd w:val="0"/>
        <w:spacing w:line="234" w:lineRule="auto"/>
        <w:rPr>
          <w:rFonts w:eastAsia="Times New Roman" w:cs="Times New Roman"/>
          <w:szCs w:val="24"/>
        </w:rPr>
      </w:pPr>
      <w:r w:rsidRPr="00EE4E68">
        <w:rPr>
          <w:rFonts w:eastAsia="Times New Roman" w:cs="Times New Roman"/>
          <w:szCs w:val="24"/>
        </w:rPr>
        <w:t>Estimated dates for implementin</w:t>
      </w:r>
      <w:r w:rsidR="00C45B37">
        <w:rPr>
          <w:rFonts w:eastAsia="Times New Roman" w:cs="Times New Roman"/>
          <w:szCs w:val="24"/>
        </w:rPr>
        <w:t xml:space="preserve">g and completing key activities are demonstrated in the table below.  The shaded sections are the activities that will be completed before the expiration of the emergency clearance on September 30, 2016.    </w:t>
      </w:r>
    </w:p>
    <w:tbl>
      <w:tblPr>
        <w:tblStyle w:val="TableGrid1"/>
        <w:tblW w:w="10285" w:type="dxa"/>
        <w:tblLayout w:type="fixed"/>
        <w:tblLook w:val="04A0" w:firstRow="1" w:lastRow="0" w:firstColumn="1" w:lastColumn="0" w:noHBand="0" w:noVBand="1"/>
      </w:tblPr>
      <w:tblGrid>
        <w:gridCol w:w="3145"/>
        <w:gridCol w:w="510"/>
        <w:gridCol w:w="510"/>
        <w:gridCol w:w="510"/>
        <w:gridCol w:w="510"/>
        <w:gridCol w:w="510"/>
        <w:gridCol w:w="510"/>
        <w:gridCol w:w="510"/>
        <w:gridCol w:w="510"/>
        <w:gridCol w:w="510"/>
        <w:gridCol w:w="510"/>
        <w:gridCol w:w="510"/>
        <w:gridCol w:w="510"/>
        <w:gridCol w:w="510"/>
        <w:gridCol w:w="510"/>
      </w:tblGrid>
      <w:tr w:rsidR="00EE4E68" w:rsidRPr="00EE4E68" w14:paraId="6716D369" w14:textId="77777777" w:rsidTr="007F2FEE">
        <w:tc>
          <w:tcPr>
            <w:tcW w:w="3145" w:type="dxa"/>
            <w:vMerge w:val="restart"/>
            <w:vAlign w:val="bottom"/>
          </w:tcPr>
          <w:p w14:paraId="3BFCB2FD" w14:textId="77777777" w:rsidR="00EE4E68" w:rsidRPr="002C1C56" w:rsidRDefault="00EE4E68" w:rsidP="00EE4E68">
            <w:pPr>
              <w:widowControl w:val="0"/>
              <w:autoSpaceDE w:val="0"/>
              <w:autoSpaceDN w:val="0"/>
              <w:adjustRightInd w:val="0"/>
              <w:rPr>
                <w:rFonts w:ascii="Times New Roman" w:eastAsia="Times New Roman" w:hAnsi="Times New Roman" w:cs="Times New Roman"/>
                <w:b/>
              </w:rPr>
            </w:pPr>
            <w:r w:rsidRPr="002C1C56">
              <w:rPr>
                <w:rFonts w:ascii="Times New Roman" w:eastAsia="Times New Roman" w:hAnsi="Times New Roman" w:cs="Times New Roman"/>
                <w:b/>
              </w:rPr>
              <w:t>Activities</w:t>
            </w:r>
          </w:p>
        </w:tc>
        <w:tc>
          <w:tcPr>
            <w:tcW w:w="6120" w:type="dxa"/>
            <w:gridSpan w:val="12"/>
          </w:tcPr>
          <w:p w14:paraId="686B5D1D"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18"/>
              </w:rPr>
            </w:pPr>
            <w:r w:rsidRPr="002C1C56">
              <w:rPr>
                <w:rFonts w:ascii="Times New Roman" w:eastAsia="Times New Roman" w:hAnsi="Times New Roman" w:cs="Times New Roman"/>
                <w:b/>
                <w:sz w:val="18"/>
              </w:rPr>
              <w:t>Study Timeline in Months</w:t>
            </w:r>
          </w:p>
        </w:tc>
        <w:tc>
          <w:tcPr>
            <w:tcW w:w="510" w:type="dxa"/>
          </w:tcPr>
          <w:p w14:paraId="79E00D21"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18"/>
              </w:rPr>
            </w:pPr>
          </w:p>
        </w:tc>
        <w:tc>
          <w:tcPr>
            <w:tcW w:w="510" w:type="dxa"/>
          </w:tcPr>
          <w:p w14:paraId="2364A4E6"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18"/>
              </w:rPr>
            </w:pPr>
          </w:p>
        </w:tc>
      </w:tr>
      <w:tr w:rsidR="00EE4E68" w:rsidRPr="00EE4E68" w14:paraId="69C7183A" w14:textId="77777777" w:rsidTr="00931A62">
        <w:tc>
          <w:tcPr>
            <w:tcW w:w="3145" w:type="dxa"/>
            <w:vMerge/>
          </w:tcPr>
          <w:p w14:paraId="71B94466" w14:textId="77777777" w:rsidR="00EE4E68" w:rsidRPr="002C1C56" w:rsidRDefault="00EE4E68" w:rsidP="00EE4E68">
            <w:pPr>
              <w:widowControl w:val="0"/>
              <w:autoSpaceDE w:val="0"/>
              <w:autoSpaceDN w:val="0"/>
              <w:adjustRightInd w:val="0"/>
              <w:rPr>
                <w:rFonts w:ascii="Times New Roman" w:eastAsia="Times New Roman" w:hAnsi="Times New Roman" w:cs="Times New Roman"/>
              </w:rPr>
            </w:pPr>
          </w:p>
        </w:tc>
        <w:tc>
          <w:tcPr>
            <w:tcW w:w="510" w:type="dxa"/>
            <w:shd w:val="clear" w:color="auto" w:fill="BFBFBF" w:themeFill="background1" w:themeFillShade="BF"/>
          </w:tcPr>
          <w:p w14:paraId="6B81F46A"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sz w:val="18"/>
              </w:rPr>
            </w:pPr>
            <w:r w:rsidRPr="002C1C56">
              <w:rPr>
                <w:rFonts w:ascii="Times New Roman" w:eastAsia="Times New Roman" w:hAnsi="Times New Roman" w:cs="Times New Roman"/>
                <w:sz w:val="18"/>
              </w:rPr>
              <w:t>1</w:t>
            </w:r>
          </w:p>
        </w:tc>
        <w:tc>
          <w:tcPr>
            <w:tcW w:w="510" w:type="dxa"/>
            <w:shd w:val="clear" w:color="auto" w:fill="BFBFBF" w:themeFill="background1" w:themeFillShade="BF"/>
          </w:tcPr>
          <w:p w14:paraId="738A6DFB"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sz w:val="18"/>
                <w:szCs w:val="24"/>
              </w:rPr>
            </w:pPr>
            <w:r w:rsidRPr="002C1C56">
              <w:rPr>
                <w:rFonts w:ascii="Times New Roman" w:eastAsia="Times New Roman" w:hAnsi="Times New Roman" w:cs="Times New Roman"/>
                <w:sz w:val="18"/>
                <w:szCs w:val="24"/>
              </w:rPr>
              <w:t>2</w:t>
            </w:r>
          </w:p>
        </w:tc>
        <w:tc>
          <w:tcPr>
            <w:tcW w:w="510" w:type="dxa"/>
            <w:shd w:val="clear" w:color="auto" w:fill="BFBFBF" w:themeFill="background1" w:themeFillShade="BF"/>
          </w:tcPr>
          <w:p w14:paraId="20AA308B"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sz w:val="18"/>
                <w:szCs w:val="24"/>
              </w:rPr>
            </w:pPr>
            <w:r w:rsidRPr="002C1C56">
              <w:rPr>
                <w:rFonts w:ascii="Times New Roman" w:eastAsia="Times New Roman" w:hAnsi="Times New Roman" w:cs="Times New Roman"/>
                <w:sz w:val="18"/>
                <w:szCs w:val="24"/>
              </w:rPr>
              <w:t>3</w:t>
            </w:r>
          </w:p>
        </w:tc>
        <w:tc>
          <w:tcPr>
            <w:tcW w:w="510" w:type="dxa"/>
            <w:shd w:val="clear" w:color="auto" w:fill="BFBFBF" w:themeFill="background1" w:themeFillShade="BF"/>
          </w:tcPr>
          <w:p w14:paraId="3C150FCD"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sz w:val="18"/>
                <w:szCs w:val="24"/>
              </w:rPr>
            </w:pPr>
            <w:r w:rsidRPr="002C1C56">
              <w:rPr>
                <w:rFonts w:ascii="Times New Roman" w:eastAsia="Times New Roman" w:hAnsi="Times New Roman" w:cs="Times New Roman"/>
                <w:sz w:val="18"/>
                <w:szCs w:val="24"/>
              </w:rPr>
              <w:t>4</w:t>
            </w:r>
          </w:p>
        </w:tc>
        <w:tc>
          <w:tcPr>
            <w:tcW w:w="510" w:type="dxa"/>
            <w:shd w:val="clear" w:color="auto" w:fill="BFBFBF" w:themeFill="background1" w:themeFillShade="BF"/>
          </w:tcPr>
          <w:p w14:paraId="0F0BF402"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sz w:val="18"/>
                <w:szCs w:val="24"/>
              </w:rPr>
            </w:pPr>
            <w:r w:rsidRPr="002C1C56">
              <w:rPr>
                <w:rFonts w:ascii="Times New Roman" w:eastAsia="Times New Roman" w:hAnsi="Times New Roman" w:cs="Times New Roman"/>
                <w:sz w:val="18"/>
                <w:szCs w:val="24"/>
              </w:rPr>
              <w:t>5</w:t>
            </w:r>
          </w:p>
        </w:tc>
        <w:tc>
          <w:tcPr>
            <w:tcW w:w="510" w:type="dxa"/>
          </w:tcPr>
          <w:p w14:paraId="589C9D9C"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sz w:val="18"/>
                <w:szCs w:val="24"/>
              </w:rPr>
            </w:pPr>
            <w:r w:rsidRPr="002C1C56">
              <w:rPr>
                <w:rFonts w:ascii="Times New Roman" w:eastAsia="Times New Roman" w:hAnsi="Times New Roman" w:cs="Times New Roman"/>
                <w:sz w:val="18"/>
                <w:szCs w:val="24"/>
              </w:rPr>
              <w:t>6</w:t>
            </w:r>
          </w:p>
        </w:tc>
        <w:tc>
          <w:tcPr>
            <w:tcW w:w="510" w:type="dxa"/>
          </w:tcPr>
          <w:p w14:paraId="0B573BF2"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sz w:val="18"/>
                <w:szCs w:val="24"/>
              </w:rPr>
            </w:pPr>
            <w:r w:rsidRPr="002C1C56">
              <w:rPr>
                <w:rFonts w:ascii="Times New Roman" w:eastAsia="Times New Roman" w:hAnsi="Times New Roman" w:cs="Times New Roman"/>
                <w:sz w:val="18"/>
                <w:szCs w:val="24"/>
              </w:rPr>
              <w:t>7</w:t>
            </w:r>
          </w:p>
        </w:tc>
        <w:tc>
          <w:tcPr>
            <w:tcW w:w="510" w:type="dxa"/>
          </w:tcPr>
          <w:p w14:paraId="2CA37753"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sz w:val="18"/>
                <w:szCs w:val="24"/>
              </w:rPr>
            </w:pPr>
            <w:r w:rsidRPr="002C1C56">
              <w:rPr>
                <w:rFonts w:ascii="Times New Roman" w:eastAsia="Times New Roman" w:hAnsi="Times New Roman" w:cs="Times New Roman"/>
                <w:sz w:val="18"/>
                <w:szCs w:val="24"/>
              </w:rPr>
              <w:t>8</w:t>
            </w:r>
          </w:p>
        </w:tc>
        <w:tc>
          <w:tcPr>
            <w:tcW w:w="510" w:type="dxa"/>
          </w:tcPr>
          <w:p w14:paraId="16257EC6"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sz w:val="18"/>
                <w:szCs w:val="24"/>
              </w:rPr>
            </w:pPr>
            <w:r w:rsidRPr="002C1C56">
              <w:rPr>
                <w:rFonts w:ascii="Times New Roman" w:eastAsia="Times New Roman" w:hAnsi="Times New Roman" w:cs="Times New Roman"/>
                <w:sz w:val="18"/>
                <w:szCs w:val="24"/>
              </w:rPr>
              <w:t>9</w:t>
            </w:r>
          </w:p>
        </w:tc>
        <w:tc>
          <w:tcPr>
            <w:tcW w:w="510" w:type="dxa"/>
          </w:tcPr>
          <w:p w14:paraId="377D40AE"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sz w:val="18"/>
                <w:szCs w:val="24"/>
              </w:rPr>
            </w:pPr>
            <w:r w:rsidRPr="002C1C56">
              <w:rPr>
                <w:rFonts w:ascii="Times New Roman" w:eastAsia="Times New Roman" w:hAnsi="Times New Roman" w:cs="Times New Roman"/>
                <w:sz w:val="18"/>
                <w:szCs w:val="24"/>
              </w:rPr>
              <w:t>10</w:t>
            </w:r>
          </w:p>
        </w:tc>
        <w:tc>
          <w:tcPr>
            <w:tcW w:w="510" w:type="dxa"/>
          </w:tcPr>
          <w:p w14:paraId="5B272961"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sz w:val="18"/>
                <w:szCs w:val="24"/>
              </w:rPr>
            </w:pPr>
            <w:r w:rsidRPr="002C1C56">
              <w:rPr>
                <w:rFonts w:ascii="Times New Roman" w:eastAsia="Times New Roman" w:hAnsi="Times New Roman" w:cs="Times New Roman"/>
                <w:sz w:val="18"/>
                <w:szCs w:val="24"/>
              </w:rPr>
              <w:t>11</w:t>
            </w:r>
          </w:p>
        </w:tc>
        <w:tc>
          <w:tcPr>
            <w:tcW w:w="510" w:type="dxa"/>
          </w:tcPr>
          <w:p w14:paraId="086B43BC"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sz w:val="18"/>
                <w:szCs w:val="24"/>
              </w:rPr>
            </w:pPr>
            <w:r w:rsidRPr="002C1C56">
              <w:rPr>
                <w:rFonts w:ascii="Times New Roman" w:eastAsia="Times New Roman" w:hAnsi="Times New Roman" w:cs="Times New Roman"/>
                <w:sz w:val="18"/>
                <w:szCs w:val="24"/>
              </w:rPr>
              <w:t>12</w:t>
            </w:r>
          </w:p>
        </w:tc>
        <w:tc>
          <w:tcPr>
            <w:tcW w:w="510" w:type="dxa"/>
          </w:tcPr>
          <w:p w14:paraId="16124071"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sz w:val="18"/>
                <w:szCs w:val="24"/>
              </w:rPr>
            </w:pPr>
            <w:r w:rsidRPr="002C1C56">
              <w:rPr>
                <w:rFonts w:ascii="Times New Roman" w:eastAsia="Times New Roman" w:hAnsi="Times New Roman" w:cs="Times New Roman"/>
                <w:sz w:val="18"/>
                <w:szCs w:val="24"/>
              </w:rPr>
              <w:t>13</w:t>
            </w:r>
          </w:p>
        </w:tc>
        <w:tc>
          <w:tcPr>
            <w:tcW w:w="510" w:type="dxa"/>
          </w:tcPr>
          <w:p w14:paraId="553EEAEB"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sz w:val="18"/>
                <w:szCs w:val="24"/>
              </w:rPr>
            </w:pPr>
            <w:r w:rsidRPr="002C1C56">
              <w:rPr>
                <w:rFonts w:ascii="Times New Roman" w:eastAsia="Times New Roman" w:hAnsi="Times New Roman" w:cs="Times New Roman"/>
                <w:sz w:val="18"/>
                <w:szCs w:val="24"/>
              </w:rPr>
              <w:t>14</w:t>
            </w:r>
          </w:p>
        </w:tc>
      </w:tr>
      <w:tr w:rsidR="00EE4E68" w:rsidRPr="00EE4E68" w14:paraId="24277222" w14:textId="77777777" w:rsidTr="00931A62">
        <w:tc>
          <w:tcPr>
            <w:tcW w:w="3145" w:type="dxa"/>
          </w:tcPr>
          <w:p w14:paraId="15F967A1" w14:textId="77777777" w:rsidR="00EE4E68" w:rsidRPr="002C1C56" w:rsidRDefault="00EE4E68" w:rsidP="00EE4E68">
            <w:pPr>
              <w:widowControl w:val="0"/>
              <w:autoSpaceDE w:val="0"/>
              <w:autoSpaceDN w:val="0"/>
              <w:adjustRightInd w:val="0"/>
              <w:rPr>
                <w:rFonts w:ascii="Times New Roman" w:eastAsia="Times New Roman" w:hAnsi="Times New Roman" w:cs="Times New Roman"/>
              </w:rPr>
            </w:pPr>
            <w:r w:rsidRPr="002C1C56">
              <w:rPr>
                <w:rFonts w:ascii="Times New Roman" w:eastAsia="Times New Roman" w:hAnsi="Times New Roman" w:cs="Times New Roman"/>
              </w:rPr>
              <w:t>Local Ethics Committee Review</w:t>
            </w:r>
          </w:p>
        </w:tc>
        <w:tc>
          <w:tcPr>
            <w:tcW w:w="510" w:type="dxa"/>
            <w:shd w:val="clear" w:color="auto" w:fill="BFBFBF" w:themeFill="background1" w:themeFillShade="BF"/>
          </w:tcPr>
          <w:p w14:paraId="1C0936F3"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shd w:val="clear" w:color="auto" w:fill="BFBFBF" w:themeFill="background1" w:themeFillShade="BF"/>
          </w:tcPr>
          <w:p w14:paraId="288DC93E"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shd w:val="clear" w:color="auto" w:fill="BFBFBF" w:themeFill="background1" w:themeFillShade="BF"/>
          </w:tcPr>
          <w:p w14:paraId="626E1581"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shd w:val="clear" w:color="auto" w:fill="BFBFBF" w:themeFill="background1" w:themeFillShade="BF"/>
          </w:tcPr>
          <w:p w14:paraId="343BE8BB"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shd w:val="clear" w:color="auto" w:fill="BFBFBF" w:themeFill="background1" w:themeFillShade="BF"/>
          </w:tcPr>
          <w:p w14:paraId="795C12DD"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5C4CACAF"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04898DEB"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2C1629C5"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694D2349"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4F4F949D"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3B0536DC"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52165802"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3E3B2682"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7E4124A3"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r>
      <w:tr w:rsidR="00EE4E68" w:rsidRPr="00EE4E68" w14:paraId="5280248F" w14:textId="77777777" w:rsidTr="00931A62">
        <w:tc>
          <w:tcPr>
            <w:tcW w:w="3145" w:type="dxa"/>
          </w:tcPr>
          <w:p w14:paraId="18525201" w14:textId="77777777" w:rsidR="00EE4E68" w:rsidRPr="002C1C56" w:rsidRDefault="00EE4E68" w:rsidP="00EE4E68">
            <w:pPr>
              <w:widowControl w:val="0"/>
              <w:autoSpaceDE w:val="0"/>
              <w:autoSpaceDN w:val="0"/>
              <w:adjustRightInd w:val="0"/>
              <w:rPr>
                <w:rFonts w:ascii="Times New Roman" w:eastAsia="Times New Roman" w:hAnsi="Times New Roman" w:cs="Times New Roman"/>
              </w:rPr>
            </w:pPr>
            <w:r w:rsidRPr="002C1C56">
              <w:rPr>
                <w:rFonts w:ascii="Times New Roman" w:eastAsia="Times New Roman" w:hAnsi="Times New Roman" w:cs="Times New Roman"/>
              </w:rPr>
              <w:t>Investigator Coordination Meeting</w:t>
            </w:r>
          </w:p>
        </w:tc>
        <w:tc>
          <w:tcPr>
            <w:tcW w:w="510" w:type="dxa"/>
            <w:shd w:val="clear" w:color="auto" w:fill="BFBFBF" w:themeFill="background1" w:themeFillShade="BF"/>
          </w:tcPr>
          <w:p w14:paraId="2920A710"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shd w:val="clear" w:color="auto" w:fill="BFBFBF" w:themeFill="background1" w:themeFillShade="BF"/>
          </w:tcPr>
          <w:p w14:paraId="64B5DB37"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shd w:val="clear" w:color="auto" w:fill="BFBFBF" w:themeFill="background1" w:themeFillShade="BF"/>
          </w:tcPr>
          <w:p w14:paraId="2FA7B4FB"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shd w:val="clear" w:color="auto" w:fill="BFBFBF" w:themeFill="background1" w:themeFillShade="BF"/>
          </w:tcPr>
          <w:p w14:paraId="4FD6DF85"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shd w:val="clear" w:color="auto" w:fill="BFBFBF" w:themeFill="background1" w:themeFillShade="BF"/>
          </w:tcPr>
          <w:p w14:paraId="0149BF19"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0534C407"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5450FEE2"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424F0E3C"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6DE1DE20"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0D1352A9"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3956D990"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53E53DAE"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1C7C2A48"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626EDF7A"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r>
      <w:tr w:rsidR="00EE4E68" w:rsidRPr="00EE4E68" w14:paraId="757A7092" w14:textId="77777777" w:rsidTr="00931A62">
        <w:tc>
          <w:tcPr>
            <w:tcW w:w="3145" w:type="dxa"/>
          </w:tcPr>
          <w:p w14:paraId="1907689B" w14:textId="77777777" w:rsidR="00EE4E68" w:rsidRPr="002C1C56" w:rsidRDefault="00EE4E68" w:rsidP="00EE4E68">
            <w:pPr>
              <w:widowControl w:val="0"/>
              <w:autoSpaceDE w:val="0"/>
              <w:autoSpaceDN w:val="0"/>
              <w:adjustRightInd w:val="0"/>
              <w:rPr>
                <w:rFonts w:ascii="Times New Roman" w:eastAsia="Times New Roman" w:hAnsi="Times New Roman" w:cs="Times New Roman"/>
              </w:rPr>
            </w:pPr>
            <w:r w:rsidRPr="002C1C56">
              <w:rPr>
                <w:rFonts w:ascii="Times New Roman" w:eastAsia="Times New Roman" w:hAnsi="Times New Roman" w:cs="Times New Roman"/>
              </w:rPr>
              <w:t>Questionnaire Development</w:t>
            </w:r>
          </w:p>
        </w:tc>
        <w:tc>
          <w:tcPr>
            <w:tcW w:w="510" w:type="dxa"/>
            <w:shd w:val="clear" w:color="auto" w:fill="BFBFBF" w:themeFill="background1" w:themeFillShade="BF"/>
          </w:tcPr>
          <w:p w14:paraId="4C44AFF1"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shd w:val="clear" w:color="auto" w:fill="BFBFBF" w:themeFill="background1" w:themeFillShade="BF"/>
          </w:tcPr>
          <w:p w14:paraId="021E7BC8"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shd w:val="clear" w:color="auto" w:fill="BFBFBF" w:themeFill="background1" w:themeFillShade="BF"/>
          </w:tcPr>
          <w:p w14:paraId="667F6937"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shd w:val="clear" w:color="auto" w:fill="BFBFBF" w:themeFill="background1" w:themeFillShade="BF"/>
          </w:tcPr>
          <w:p w14:paraId="40F460B6"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shd w:val="clear" w:color="auto" w:fill="BFBFBF" w:themeFill="background1" w:themeFillShade="BF"/>
          </w:tcPr>
          <w:p w14:paraId="7A2F0F03"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7A5FF1AE"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4DC78956"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7AEC7C15"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5D613BA5"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763A1942"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2DE7DD88"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332A7B41"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7FC74613"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1AD84276"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r>
      <w:tr w:rsidR="00EE4E68" w:rsidRPr="00EE4E68" w14:paraId="4AFC0E65" w14:textId="77777777" w:rsidTr="00931A62">
        <w:tc>
          <w:tcPr>
            <w:tcW w:w="3145" w:type="dxa"/>
          </w:tcPr>
          <w:p w14:paraId="753D8AB8" w14:textId="77777777" w:rsidR="00EE4E68" w:rsidRPr="002C1C56" w:rsidRDefault="00EE4E68" w:rsidP="00EE4E68">
            <w:pPr>
              <w:widowControl w:val="0"/>
              <w:autoSpaceDE w:val="0"/>
              <w:autoSpaceDN w:val="0"/>
              <w:adjustRightInd w:val="0"/>
              <w:rPr>
                <w:rFonts w:ascii="Times New Roman" w:eastAsia="Times New Roman" w:hAnsi="Times New Roman" w:cs="Times New Roman"/>
              </w:rPr>
            </w:pPr>
            <w:r w:rsidRPr="002C1C56">
              <w:rPr>
                <w:rFonts w:ascii="Times New Roman" w:eastAsia="Times New Roman" w:hAnsi="Times New Roman" w:cs="Times New Roman"/>
              </w:rPr>
              <w:t>Study Training</w:t>
            </w:r>
          </w:p>
        </w:tc>
        <w:tc>
          <w:tcPr>
            <w:tcW w:w="510" w:type="dxa"/>
            <w:shd w:val="clear" w:color="auto" w:fill="BFBFBF" w:themeFill="background1" w:themeFillShade="BF"/>
          </w:tcPr>
          <w:p w14:paraId="54FFB472"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shd w:val="clear" w:color="auto" w:fill="BFBFBF" w:themeFill="background1" w:themeFillShade="BF"/>
          </w:tcPr>
          <w:p w14:paraId="70BA6023"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shd w:val="clear" w:color="auto" w:fill="BFBFBF" w:themeFill="background1" w:themeFillShade="BF"/>
          </w:tcPr>
          <w:p w14:paraId="3907200B"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shd w:val="clear" w:color="auto" w:fill="BFBFBF" w:themeFill="background1" w:themeFillShade="BF"/>
          </w:tcPr>
          <w:p w14:paraId="61650D40"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shd w:val="clear" w:color="auto" w:fill="BFBFBF" w:themeFill="background1" w:themeFillShade="BF"/>
          </w:tcPr>
          <w:p w14:paraId="7CBA467C"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112EF504"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517A5891"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5DA4A2C4"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10052F38"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31F12E0B"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0C802667"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2B4DFF0F"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6A3E9A6B"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7EB6EF02"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r>
      <w:tr w:rsidR="00EE4E68" w:rsidRPr="00EE4E68" w14:paraId="57AE3066" w14:textId="77777777" w:rsidTr="00931A62">
        <w:tc>
          <w:tcPr>
            <w:tcW w:w="3145" w:type="dxa"/>
          </w:tcPr>
          <w:p w14:paraId="42C11D78" w14:textId="77777777" w:rsidR="00EE4E68" w:rsidRPr="002C1C56" w:rsidRDefault="00EE4E68" w:rsidP="00EE4E68">
            <w:pPr>
              <w:widowControl w:val="0"/>
              <w:autoSpaceDE w:val="0"/>
              <w:autoSpaceDN w:val="0"/>
              <w:adjustRightInd w:val="0"/>
              <w:rPr>
                <w:rFonts w:ascii="Times New Roman" w:eastAsia="Times New Roman" w:hAnsi="Times New Roman" w:cs="Times New Roman"/>
              </w:rPr>
            </w:pPr>
            <w:r w:rsidRPr="002C1C56">
              <w:rPr>
                <w:rFonts w:ascii="Times New Roman" w:eastAsia="Times New Roman" w:hAnsi="Times New Roman" w:cs="Times New Roman"/>
              </w:rPr>
              <w:t>Recruitment</w:t>
            </w:r>
          </w:p>
        </w:tc>
        <w:tc>
          <w:tcPr>
            <w:tcW w:w="510" w:type="dxa"/>
            <w:shd w:val="clear" w:color="auto" w:fill="BFBFBF" w:themeFill="background1" w:themeFillShade="BF"/>
          </w:tcPr>
          <w:p w14:paraId="05946A33"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shd w:val="clear" w:color="auto" w:fill="BFBFBF" w:themeFill="background1" w:themeFillShade="BF"/>
          </w:tcPr>
          <w:p w14:paraId="29BAE5B2"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shd w:val="clear" w:color="auto" w:fill="BFBFBF" w:themeFill="background1" w:themeFillShade="BF"/>
          </w:tcPr>
          <w:p w14:paraId="020A95DD"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shd w:val="clear" w:color="auto" w:fill="BFBFBF" w:themeFill="background1" w:themeFillShade="BF"/>
          </w:tcPr>
          <w:p w14:paraId="6B23FB9A"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shd w:val="clear" w:color="auto" w:fill="BFBFBF" w:themeFill="background1" w:themeFillShade="BF"/>
          </w:tcPr>
          <w:p w14:paraId="5E782541"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423A0528"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46E4A181"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4C14A0C3"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4E683CF2"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0FF6DD2B"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0C8F7884"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770F14C6"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189CF24F"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58087646"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r>
      <w:tr w:rsidR="00EE4E68" w:rsidRPr="00EE4E68" w14:paraId="39106B33" w14:textId="77777777" w:rsidTr="00931A62">
        <w:tc>
          <w:tcPr>
            <w:tcW w:w="3145" w:type="dxa"/>
          </w:tcPr>
          <w:p w14:paraId="50839225" w14:textId="77777777" w:rsidR="00EE4E68" w:rsidRPr="002C1C56" w:rsidRDefault="00EE4E68" w:rsidP="00EE4E68">
            <w:pPr>
              <w:widowControl w:val="0"/>
              <w:autoSpaceDE w:val="0"/>
              <w:autoSpaceDN w:val="0"/>
              <w:adjustRightInd w:val="0"/>
              <w:rPr>
                <w:rFonts w:ascii="Times New Roman" w:eastAsia="Times New Roman" w:hAnsi="Times New Roman" w:cs="Times New Roman"/>
              </w:rPr>
            </w:pPr>
            <w:r w:rsidRPr="002C1C56">
              <w:rPr>
                <w:rFonts w:ascii="Times New Roman" w:eastAsia="Times New Roman" w:hAnsi="Times New Roman" w:cs="Times New Roman"/>
              </w:rPr>
              <w:t>Data Collection</w:t>
            </w:r>
          </w:p>
        </w:tc>
        <w:tc>
          <w:tcPr>
            <w:tcW w:w="510" w:type="dxa"/>
            <w:shd w:val="clear" w:color="auto" w:fill="BFBFBF" w:themeFill="background1" w:themeFillShade="BF"/>
          </w:tcPr>
          <w:p w14:paraId="628A6E28"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shd w:val="clear" w:color="auto" w:fill="BFBFBF" w:themeFill="background1" w:themeFillShade="BF"/>
          </w:tcPr>
          <w:p w14:paraId="73B0D0C4"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shd w:val="clear" w:color="auto" w:fill="BFBFBF" w:themeFill="background1" w:themeFillShade="BF"/>
          </w:tcPr>
          <w:p w14:paraId="6145E00B"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shd w:val="clear" w:color="auto" w:fill="BFBFBF" w:themeFill="background1" w:themeFillShade="BF"/>
          </w:tcPr>
          <w:p w14:paraId="50B0F51D"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shd w:val="clear" w:color="auto" w:fill="BFBFBF" w:themeFill="background1" w:themeFillShade="BF"/>
          </w:tcPr>
          <w:p w14:paraId="2FB841B0"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4ABCC2D8"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468BC45E"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7AF91333"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40628F8D"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2029F029"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03EF29DE"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0925DC61"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0C842798"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44EFA818"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r>
      <w:tr w:rsidR="00EE4E68" w:rsidRPr="00EE4E68" w14:paraId="470B2ADD" w14:textId="77777777" w:rsidTr="00931A62">
        <w:tc>
          <w:tcPr>
            <w:tcW w:w="3145" w:type="dxa"/>
          </w:tcPr>
          <w:p w14:paraId="45ED4C22" w14:textId="77777777" w:rsidR="00EE4E68" w:rsidRPr="002C1C56" w:rsidRDefault="00EE4E68" w:rsidP="00EE4E68">
            <w:pPr>
              <w:widowControl w:val="0"/>
              <w:autoSpaceDE w:val="0"/>
              <w:autoSpaceDN w:val="0"/>
              <w:adjustRightInd w:val="0"/>
              <w:rPr>
                <w:rFonts w:ascii="Times New Roman" w:eastAsia="Times New Roman" w:hAnsi="Times New Roman" w:cs="Times New Roman"/>
              </w:rPr>
            </w:pPr>
            <w:r w:rsidRPr="002C1C56">
              <w:rPr>
                <w:rFonts w:ascii="Times New Roman" w:eastAsia="Times New Roman" w:hAnsi="Times New Roman" w:cs="Times New Roman"/>
              </w:rPr>
              <w:t>Data Management</w:t>
            </w:r>
          </w:p>
        </w:tc>
        <w:tc>
          <w:tcPr>
            <w:tcW w:w="510" w:type="dxa"/>
            <w:shd w:val="clear" w:color="auto" w:fill="BFBFBF" w:themeFill="background1" w:themeFillShade="BF"/>
          </w:tcPr>
          <w:p w14:paraId="3B8E8E91"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shd w:val="clear" w:color="auto" w:fill="BFBFBF" w:themeFill="background1" w:themeFillShade="BF"/>
          </w:tcPr>
          <w:p w14:paraId="67001ED3"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shd w:val="clear" w:color="auto" w:fill="BFBFBF" w:themeFill="background1" w:themeFillShade="BF"/>
          </w:tcPr>
          <w:p w14:paraId="0AAB6FCE"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shd w:val="clear" w:color="auto" w:fill="BFBFBF" w:themeFill="background1" w:themeFillShade="BF"/>
          </w:tcPr>
          <w:p w14:paraId="6DECDB92"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shd w:val="clear" w:color="auto" w:fill="BFBFBF" w:themeFill="background1" w:themeFillShade="BF"/>
          </w:tcPr>
          <w:p w14:paraId="32B0508C"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310EE2E7"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23237BCE"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2351570B"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0285063C"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444CD8FB"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532CDCF7"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7B25E105"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77366F3B"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7E56125B"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r>
      <w:tr w:rsidR="00EE4E68" w:rsidRPr="00EE4E68" w14:paraId="20CC04AA" w14:textId="77777777" w:rsidTr="00931A62">
        <w:tc>
          <w:tcPr>
            <w:tcW w:w="3145" w:type="dxa"/>
          </w:tcPr>
          <w:p w14:paraId="1278393A" w14:textId="77777777" w:rsidR="00EE4E68" w:rsidRPr="002C1C56" w:rsidRDefault="00EE4E68" w:rsidP="00EE4E68">
            <w:pPr>
              <w:widowControl w:val="0"/>
              <w:autoSpaceDE w:val="0"/>
              <w:autoSpaceDN w:val="0"/>
              <w:adjustRightInd w:val="0"/>
              <w:rPr>
                <w:rFonts w:ascii="Times New Roman" w:eastAsia="Times New Roman" w:hAnsi="Times New Roman" w:cs="Times New Roman"/>
              </w:rPr>
            </w:pPr>
            <w:r w:rsidRPr="002C1C56">
              <w:rPr>
                <w:rFonts w:ascii="Times New Roman" w:eastAsia="Times New Roman" w:hAnsi="Times New Roman" w:cs="Times New Roman"/>
              </w:rPr>
              <w:t>Data Analysis</w:t>
            </w:r>
          </w:p>
        </w:tc>
        <w:tc>
          <w:tcPr>
            <w:tcW w:w="510" w:type="dxa"/>
            <w:shd w:val="clear" w:color="auto" w:fill="BFBFBF" w:themeFill="background1" w:themeFillShade="BF"/>
          </w:tcPr>
          <w:p w14:paraId="293830DA"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shd w:val="clear" w:color="auto" w:fill="BFBFBF" w:themeFill="background1" w:themeFillShade="BF"/>
          </w:tcPr>
          <w:p w14:paraId="6BB6D94F"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shd w:val="clear" w:color="auto" w:fill="BFBFBF" w:themeFill="background1" w:themeFillShade="BF"/>
          </w:tcPr>
          <w:p w14:paraId="60BB9BCA"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shd w:val="clear" w:color="auto" w:fill="BFBFBF" w:themeFill="background1" w:themeFillShade="BF"/>
          </w:tcPr>
          <w:p w14:paraId="18548A66"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shd w:val="clear" w:color="auto" w:fill="BFBFBF" w:themeFill="background1" w:themeFillShade="BF"/>
          </w:tcPr>
          <w:p w14:paraId="7E4E21C0"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1671B385"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2300B708"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6D7A6CD8"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0CAE8A7D"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1F03A62B"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6A0A8168"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30135F0E"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7232619E"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11D7D9D2"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r>
      <w:tr w:rsidR="00EE4E68" w:rsidRPr="00EE4E68" w14:paraId="1838C56B" w14:textId="77777777" w:rsidTr="00931A62">
        <w:tc>
          <w:tcPr>
            <w:tcW w:w="3145" w:type="dxa"/>
          </w:tcPr>
          <w:p w14:paraId="4DDBAA26" w14:textId="77777777" w:rsidR="00EE4E68" w:rsidRPr="002C1C56" w:rsidRDefault="00EE4E68" w:rsidP="00EE4E68">
            <w:pPr>
              <w:widowControl w:val="0"/>
              <w:autoSpaceDE w:val="0"/>
              <w:autoSpaceDN w:val="0"/>
              <w:adjustRightInd w:val="0"/>
              <w:rPr>
                <w:rFonts w:ascii="Times New Roman" w:eastAsia="Times New Roman" w:hAnsi="Times New Roman" w:cs="Times New Roman"/>
              </w:rPr>
            </w:pPr>
            <w:r w:rsidRPr="002C1C56">
              <w:rPr>
                <w:rFonts w:ascii="Times New Roman" w:eastAsia="Times New Roman" w:hAnsi="Times New Roman" w:cs="Times New Roman"/>
              </w:rPr>
              <w:t>Laboratory Analysis</w:t>
            </w:r>
          </w:p>
        </w:tc>
        <w:tc>
          <w:tcPr>
            <w:tcW w:w="510" w:type="dxa"/>
            <w:shd w:val="clear" w:color="auto" w:fill="BFBFBF" w:themeFill="background1" w:themeFillShade="BF"/>
          </w:tcPr>
          <w:p w14:paraId="7F1B5D13"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shd w:val="clear" w:color="auto" w:fill="BFBFBF" w:themeFill="background1" w:themeFillShade="BF"/>
          </w:tcPr>
          <w:p w14:paraId="57CEA9F9"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shd w:val="clear" w:color="auto" w:fill="BFBFBF" w:themeFill="background1" w:themeFillShade="BF"/>
          </w:tcPr>
          <w:p w14:paraId="2E5B89E7"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shd w:val="clear" w:color="auto" w:fill="BFBFBF" w:themeFill="background1" w:themeFillShade="BF"/>
          </w:tcPr>
          <w:p w14:paraId="08C63199"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shd w:val="clear" w:color="auto" w:fill="BFBFBF" w:themeFill="background1" w:themeFillShade="BF"/>
          </w:tcPr>
          <w:p w14:paraId="3669636B"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0417D97D"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21FF4D2E"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5A409D19"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7BD7BB8B"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1E42C02E"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01D361C8"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255AEA8F"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2BE52C92"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11EBA57F"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r>
      <w:tr w:rsidR="00EE4E68" w:rsidRPr="00EE4E68" w14:paraId="2082C94D" w14:textId="77777777" w:rsidTr="00931A62">
        <w:tc>
          <w:tcPr>
            <w:tcW w:w="3145" w:type="dxa"/>
          </w:tcPr>
          <w:p w14:paraId="54FA49E6" w14:textId="77777777" w:rsidR="00EE4E68" w:rsidRPr="002C1C56" w:rsidRDefault="00EE4E68" w:rsidP="00EE4E68">
            <w:pPr>
              <w:widowControl w:val="0"/>
              <w:autoSpaceDE w:val="0"/>
              <w:autoSpaceDN w:val="0"/>
              <w:adjustRightInd w:val="0"/>
              <w:rPr>
                <w:rFonts w:ascii="Times New Roman" w:eastAsia="Times New Roman" w:hAnsi="Times New Roman" w:cs="Times New Roman"/>
              </w:rPr>
            </w:pPr>
            <w:r w:rsidRPr="002C1C56">
              <w:rPr>
                <w:rFonts w:ascii="Times New Roman" w:eastAsia="Times New Roman" w:hAnsi="Times New Roman" w:cs="Times New Roman"/>
              </w:rPr>
              <w:t>Results</w:t>
            </w:r>
          </w:p>
        </w:tc>
        <w:tc>
          <w:tcPr>
            <w:tcW w:w="510" w:type="dxa"/>
            <w:shd w:val="clear" w:color="auto" w:fill="BFBFBF" w:themeFill="background1" w:themeFillShade="BF"/>
          </w:tcPr>
          <w:p w14:paraId="20F1E6F5"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shd w:val="clear" w:color="auto" w:fill="BFBFBF" w:themeFill="background1" w:themeFillShade="BF"/>
          </w:tcPr>
          <w:p w14:paraId="7B35F5C7"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shd w:val="clear" w:color="auto" w:fill="BFBFBF" w:themeFill="background1" w:themeFillShade="BF"/>
          </w:tcPr>
          <w:p w14:paraId="6022DD02"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shd w:val="clear" w:color="auto" w:fill="BFBFBF" w:themeFill="background1" w:themeFillShade="BF"/>
          </w:tcPr>
          <w:p w14:paraId="34859089"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shd w:val="clear" w:color="auto" w:fill="BFBFBF" w:themeFill="background1" w:themeFillShade="BF"/>
          </w:tcPr>
          <w:p w14:paraId="0306A673"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312C329D"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079E8AA8"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6839FC70"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13963160"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03F0FDCE"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4F4577B7"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370E83F1"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42E893EF"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6F801A6D"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r>
      <w:tr w:rsidR="00EE4E68" w:rsidRPr="00EE4E68" w14:paraId="47025E45" w14:textId="77777777" w:rsidTr="00931A62">
        <w:tc>
          <w:tcPr>
            <w:tcW w:w="3145" w:type="dxa"/>
          </w:tcPr>
          <w:p w14:paraId="547152A2" w14:textId="77777777" w:rsidR="00EE4E68" w:rsidRPr="002C1C56" w:rsidRDefault="00EE4E68" w:rsidP="00EE4E68">
            <w:pPr>
              <w:widowControl w:val="0"/>
              <w:autoSpaceDE w:val="0"/>
              <w:autoSpaceDN w:val="0"/>
              <w:adjustRightInd w:val="0"/>
              <w:rPr>
                <w:rFonts w:ascii="Times New Roman" w:eastAsia="Times New Roman" w:hAnsi="Times New Roman" w:cs="Times New Roman"/>
              </w:rPr>
            </w:pPr>
            <w:r w:rsidRPr="002C1C56">
              <w:rPr>
                <w:rFonts w:ascii="Times New Roman" w:eastAsia="Times New Roman" w:hAnsi="Times New Roman" w:cs="Times New Roman"/>
              </w:rPr>
              <w:t>Interim Project Report</w:t>
            </w:r>
          </w:p>
        </w:tc>
        <w:tc>
          <w:tcPr>
            <w:tcW w:w="510" w:type="dxa"/>
            <w:shd w:val="clear" w:color="auto" w:fill="BFBFBF" w:themeFill="background1" w:themeFillShade="BF"/>
          </w:tcPr>
          <w:p w14:paraId="1A7BEB84"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shd w:val="clear" w:color="auto" w:fill="BFBFBF" w:themeFill="background1" w:themeFillShade="BF"/>
          </w:tcPr>
          <w:p w14:paraId="1F06F88D"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shd w:val="clear" w:color="auto" w:fill="BFBFBF" w:themeFill="background1" w:themeFillShade="BF"/>
          </w:tcPr>
          <w:p w14:paraId="697A0BA4"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shd w:val="clear" w:color="auto" w:fill="BFBFBF" w:themeFill="background1" w:themeFillShade="BF"/>
          </w:tcPr>
          <w:p w14:paraId="0A1D8B4B"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shd w:val="clear" w:color="auto" w:fill="BFBFBF" w:themeFill="background1" w:themeFillShade="BF"/>
          </w:tcPr>
          <w:p w14:paraId="2A756143"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742116D6"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3476053B"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2EB37B15"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36859585"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3DC5CE55"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68896380"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79BB106B"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1871E0CB"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63C99267"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r>
      <w:tr w:rsidR="00EE4E68" w:rsidRPr="00EE4E68" w14:paraId="758A0251" w14:textId="77777777" w:rsidTr="00931A62">
        <w:tc>
          <w:tcPr>
            <w:tcW w:w="3145" w:type="dxa"/>
          </w:tcPr>
          <w:p w14:paraId="40E769A3" w14:textId="77777777" w:rsidR="00EE4E68" w:rsidRPr="002C1C56" w:rsidRDefault="00EE4E68" w:rsidP="00EE4E68">
            <w:pPr>
              <w:widowControl w:val="0"/>
              <w:autoSpaceDE w:val="0"/>
              <w:autoSpaceDN w:val="0"/>
              <w:adjustRightInd w:val="0"/>
              <w:rPr>
                <w:rFonts w:ascii="Times New Roman" w:eastAsia="Times New Roman" w:hAnsi="Times New Roman" w:cs="Times New Roman"/>
              </w:rPr>
            </w:pPr>
            <w:r w:rsidRPr="002C1C56">
              <w:rPr>
                <w:rFonts w:ascii="Times New Roman" w:eastAsia="Times New Roman" w:hAnsi="Times New Roman" w:cs="Times New Roman"/>
              </w:rPr>
              <w:lastRenderedPageBreak/>
              <w:t>Final Project Reports</w:t>
            </w:r>
          </w:p>
        </w:tc>
        <w:tc>
          <w:tcPr>
            <w:tcW w:w="510" w:type="dxa"/>
            <w:shd w:val="clear" w:color="auto" w:fill="BFBFBF" w:themeFill="background1" w:themeFillShade="BF"/>
          </w:tcPr>
          <w:p w14:paraId="08CC73A0"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shd w:val="clear" w:color="auto" w:fill="BFBFBF" w:themeFill="background1" w:themeFillShade="BF"/>
          </w:tcPr>
          <w:p w14:paraId="267C79B3"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shd w:val="clear" w:color="auto" w:fill="BFBFBF" w:themeFill="background1" w:themeFillShade="BF"/>
          </w:tcPr>
          <w:p w14:paraId="105580D4"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shd w:val="clear" w:color="auto" w:fill="BFBFBF" w:themeFill="background1" w:themeFillShade="BF"/>
          </w:tcPr>
          <w:p w14:paraId="3B3BEC5B"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shd w:val="clear" w:color="auto" w:fill="BFBFBF" w:themeFill="background1" w:themeFillShade="BF"/>
          </w:tcPr>
          <w:p w14:paraId="04E72066"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31D2AB84"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7A0AC536"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0A3C95CB"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514B32E2"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4CEBF366"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12E56E18"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06BD40A0"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2564EC8E"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2BD3C06E"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r>
      <w:tr w:rsidR="00EE4E68" w:rsidRPr="00EE4E68" w14:paraId="0B313956" w14:textId="77777777" w:rsidTr="00931A62">
        <w:tc>
          <w:tcPr>
            <w:tcW w:w="3145" w:type="dxa"/>
          </w:tcPr>
          <w:p w14:paraId="4A87CCC5" w14:textId="77777777" w:rsidR="00EE4E68" w:rsidRPr="002C1C56" w:rsidRDefault="00EE4E68" w:rsidP="00EE4E68">
            <w:pPr>
              <w:widowControl w:val="0"/>
              <w:autoSpaceDE w:val="0"/>
              <w:autoSpaceDN w:val="0"/>
              <w:adjustRightInd w:val="0"/>
              <w:rPr>
                <w:rFonts w:ascii="Times New Roman" w:eastAsia="Times New Roman" w:hAnsi="Times New Roman" w:cs="Times New Roman"/>
              </w:rPr>
            </w:pPr>
            <w:r w:rsidRPr="002C1C56">
              <w:rPr>
                <w:rFonts w:ascii="Times New Roman" w:eastAsia="Times New Roman" w:hAnsi="Times New Roman" w:cs="Times New Roman"/>
              </w:rPr>
              <w:t>Final Project Review Process</w:t>
            </w:r>
          </w:p>
        </w:tc>
        <w:tc>
          <w:tcPr>
            <w:tcW w:w="510" w:type="dxa"/>
            <w:shd w:val="clear" w:color="auto" w:fill="BFBFBF" w:themeFill="background1" w:themeFillShade="BF"/>
          </w:tcPr>
          <w:p w14:paraId="56C77868"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shd w:val="clear" w:color="auto" w:fill="BFBFBF" w:themeFill="background1" w:themeFillShade="BF"/>
          </w:tcPr>
          <w:p w14:paraId="3D631BA0"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shd w:val="clear" w:color="auto" w:fill="BFBFBF" w:themeFill="background1" w:themeFillShade="BF"/>
          </w:tcPr>
          <w:p w14:paraId="1E27ADE8"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shd w:val="clear" w:color="auto" w:fill="BFBFBF" w:themeFill="background1" w:themeFillShade="BF"/>
          </w:tcPr>
          <w:p w14:paraId="73475C85"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shd w:val="clear" w:color="auto" w:fill="BFBFBF" w:themeFill="background1" w:themeFillShade="BF"/>
          </w:tcPr>
          <w:p w14:paraId="13B53FD9"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2B5F201B"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7B5F6F17"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1735C9E8"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058F8933"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6E8F1AAE"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02FF650C"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1AD43D20"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5B39BE35"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5142CFF8"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r>
      <w:tr w:rsidR="00EE4E68" w:rsidRPr="00EE4E68" w14:paraId="2A22AE53" w14:textId="77777777" w:rsidTr="00931A62">
        <w:tc>
          <w:tcPr>
            <w:tcW w:w="3145" w:type="dxa"/>
          </w:tcPr>
          <w:p w14:paraId="7A713C5B" w14:textId="77777777" w:rsidR="00EE4E68" w:rsidRPr="002C1C56" w:rsidRDefault="00EE4E68" w:rsidP="00EE4E68">
            <w:pPr>
              <w:widowControl w:val="0"/>
              <w:autoSpaceDE w:val="0"/>
              <w:autoSpaceDN w:val="0"/>
              <w:adjustRightInd w:val="0"/>
              <w:rPr>
                <w:rFonts w:ascii="Times New Roman" w:eastAsia="Times New Roman" w:hAnsi="Times New Roman" w:cs="Times New Roman"/>
              </w:rPr>
            </w:pPr>
            <w:r w:rsidRPr="002C1C56">
              <w:rPr>
                <w:rFonts w:ascii="Times New Roman" w:eastAsia="Times New Roman" w:hAnsi="Times New Roman" w:cs="Times New Roman"/>
              </w:rPr>
              <w:t>Dissemination of Project Outcomes</w:t>
            </w:r>
          </w:p>
        </w:tc>
        <w:tc>
          <w:tcPr>
            <w:tcW w:w="510" w:type="dxa"/>
            <w:shd w:val="clear" w:color="auto" w:fill="BFBFBF" w:themeFill="background1" w:themeFillShade="BF"/>
          </w:tcPr>
          <w:p w14:paraId="65255E07"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shd w:val="clear" w:color="auto" w:fill="BFBFBF" w:themeFill="background1" w:themeFillShade="BF"/>
          </w:tcPr>
          <w:p w14:paraId="65950CD4"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shd w:val="clear" w:color="auto" w:fill="BFBFBF" w:themeFill="background1" w:themeFillShade="BF"/>
          </w:tcPr>
          <w:p w14:paraId="221A1C80"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shd w:val="clear" w:color="auto" w:fill="BFBFBF" w:themeFill="background1" w:themeFillShade="BF"/>
          </w:tcPr>
          <w:p w14:paraId="5EC41B29"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shd w:val="clear" w:color="auto" w:fill="BFBFBF" w:themeFill="background1" w:themeFillShade="BF"/>
          </w:tcPr>
          <w:p w14:paraId="2452EABC"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1C03E4EC"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5C71F52B"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1AD75EBF"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535A7CFC"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5179A0D8"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421C5B61"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54EA7B11"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42802B6B"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4A0E8575"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r>
    </w:tbl>
    <w:p w14:paraId="0F86714F" w14:textId="77777777" w:rsidR="00EE4E68" w:rsidRDefault="00EE4E68" w:rsidP="00EE4E68">
      <w:pPr>
        <w:widowControl w:val="0"/>
        <w:autoSpaceDE w:val="0"/>
        <w:autoSpaceDN w:val="0"/>
        <w:adjustRightInd w:val="0"/>
        <w:spacing w:after="0" w:line="239" w:lineRule="auto"/>
        <w:ind w:right="68"/>
        <w:rPr>
          <w:rFonts w:asciiTheme="minorHAnsi" w:eastAsia="Arial" w:hAnsiTheme="minorHAnsi" w:cs="Times New Roman"/>
          <w:szCs w:val="24"/>
        </w:rPr>
      </w:pPr>
    </w:p>
    <w:p w14:paraId="1DB74166" w14:textId="77777777" w:rsidR="00B56AF7" w:rsidRDefault="006E7652" w:rsidP="00B35EDE">
      <w:pPr>
        <w:pStyle w:val="Heading1"/>
        <w:ind w:left="360"/>
      </w:pPr>
      <w:r w:rsidRPr="006E7652">
        <w:t>Reason(s) Display of OMB Expiration Date is Inappropriate</w:t>
      </w:r>
      <w:bookmarkStart w:id="18" w:name="_Toc441568637"/>
      <w:bookmarkEnd w:id="17"/>
    </w:p>
    <w:p w14:paraId="5436030B" w14:textId="526D8241" w:rsidR="001130A6" w:rsidRDefault="000D4D47" w:rsidP="00B35EDE">
      <w:pPr>
        <w:spacing w:before="240" w:line="240" w:lineRule="auto"/>
      </w:pPr>
      <w:r w:rsidRPr="000D4D47">
        <w:t>The OMB Expiration Date will be displayed.</w:t>
      </w:r>
    </w:p>
    <w:p w14:paraId="1DB74168" w14:textId="77777777" w:rsidR="006E7652" w:rsidRDefault="006E7652" w:rsidP="00B35EDE">
      <w:pPr>
        <w:pStyle w:val="Heading1"/>
        <w:ind w:left="360"/>
      </w:pPr>
      <w:r w:rsidRPr="006E7652">
        <w:t>Exceptions to Certification for Paperwork Reduction Act Submissions</w:t>
      </w:r>
      <w:bookmarkEnd w:id="18"/>
    </w:p>
    <w:p w14:paraId="2769BEAF" w14:textId="3C0BB2C0" w:rsidR="001130A6" w:rsidRDefault="000D4D47" w:rsidP="00B35EDE">
      <w:pPr>
        <w:spacing w:before="240" w:line="240" w:lineRule="auto"/>
      </w:pPr>
      <w:r w:rsidRPr="000D4D47">
        <w:t>There are no exceptions to the certification.</w:t>
      </w:r>
    </w:p>
    <w:p w14:paraId="1DB7416A" w14:textId="77777777" w:rsidR="006E7652" w:rsidRDefault="006E7652" w:rsidP="00B35EDE">
      <w:pPr>
        <w:pStyle w:val="Heading1"/>
        <w:numPr>
          <w:ilvl w:val="0"/>
          <w:numId w:val="0"/>
        </w:numPr>
      </w:pPr>
      <w:bookmarkStart w:id="19" w:name="_Toc441568638"/>
      <w:r>
        <w:t>Attachments</w:t>
      </w:r>
      <w:bookmarkEnd w:id="19"/>
      <w:r>
        <w:t xml:space="preserve"> </w:t>
      </w:r>
    </w:p>
    <w:p w14:paraId="63E1BB6F" w14:textId="77777777" w:rsidR="00E90D78" w:rsidRPr="00D16E82" w:rsidRDefault="00E90D78" w:rsidP="00E90D78">
      <w:pPr>
        <w:pStyle w:val="ListParagraph"/>
        <w:numPr>
          <w:ilvl w:val="0"/>
          <w:numId w:val="16"/>
        </w:numPr>
        <w:spacing w:before="240" w:after="0"/>
      </w:pPr>
      <w:r w:rsidRPr="00D16E82">
        <w:t>Public Health Service Act (42 USC 241)</w:t>
      </w:r>
    </w:p>
    <w:p w14:paraId="65E08935" w14:textId="6EA2FA57" w:rsidR="00E90D78" w:rsidRDefault="00E90D78" w:rsidP="00E90D78">
      <w:pPr>
        <w:pStyle w:val="ListParagraph"/>
        <w:numPr>
          <w:ilvl w:val="0"/>
          <w:numId w:val="16"/>
        </w:numPr>
        <w:spacing w:after="0"/>
      </w:pPr>
      <w:r w:rsidRPr="00D16E82">
        <w:t>60-day FRN</w:t>
      </w:r>
    </w:p>
    <w:p w14:paraId="20761F7E" w14:textId="2371BC1A" w:rsidR="00113D09" w:rsidRDefault="00113D09" w:rsidP="00113D09">
      <w:pPr>
        <w:spacing w:after="0"/>
        <w:ind w:left="1080"/>
      </w:pPr>
      <w:r>
        <w:t>B1.  Public comment</w:t>
      </w:r>
    </w:p>
    <w:p w14:paraId="71FCA811" w14:textId="77777777" w:rsidR="00E90D78" w:rsidRDefault="00E90D78" w:rsidP="00E90D78">
      <w:pPr>
        <w:pStyle w:val="ListParagraph"/>
        <w:numPr>
          <w:ilvl w:val="0"/>
          <w:numId w:val="16"/>
        </w:numPr>
        <w:spacing w:after="0"/>
      </w:pPr>
      <w:r>
        <w:t>Model Coupon</w:t>
      </w:r>
    </w:p>
    <w:p w14:paraId="04C89103" w14:textId="3EA398CC" w:rsidR="00E90D78" w:rsidRDefault="00E90D78" w:rsidP="00E90D78">
      <w:pPr>
        <w:pStyle w:val="ListParagraph"/>
        <w:numPr>
          <w:ilvl w:val="0"/>
          <w:numId w:val="16"/>
        </w:numPr>
        <w:spacing w:after="0"/>
      </w:pPr>
      <w:r>
        <w:t>Eligibility Form</w:t>
      </w:r>
    </w:p>
    <w:p w14:paraId="1D6FC4E2" w14:textId="6FD9D85D" w:rsidR="00E90D78" w:rsidRDefault="00E90D78" w:rsidP="00E90D78">
      <w:pPr>
        <w:pStyle w:val="ListParagraph"/>
        <w:numPr>
          <w:ilvl w:val="0"/>
          <w:numId w:val="16"/>
        </w:numPr>
        <w:spacing w:before="120" w:after="0"/>
      </w:pPr>
      <w:r>
        <w:t xml:space="preserve">Consent Forms for </w:t>
      </w:r>
      <w:proofErr w:type="spellStart"/>
      <w:r>
        <w:t>Zika</w:t>
      </w:r>
      <w:proofErr w:type="spellEnd"/>
      <w:r>
        <w:t xml:space="preserve"> Persistence Study</w:t>
      </w:r>
      <w:r w:rsidR="00BF10AD">
        <w:t xml:space="preserve"> (English and Spanish versions)</w:t>
      </w:r>
    </w:p>
    <w:p w14:paraId="63E0CCB2" w14:textId="3C62B1C8" w:rsidR="00E90D78" w:rsidRDefault="00E90D78" w:rsidP="00E90D78">
      <w:pPr>
        <w:pStyle w:val="ListParagraph"/>
        <w:numPr>
          <w:ilvl w:val="0"/>
          <w:numId w:val="16"/>
        </w:numPr>
        <w:spacing w:before="120" w:after="0"/>
      </w:pPr>
      <w:r>
        <w:t>ZIPER Phone recruitment script</w:t>
      </w:r>
      <w:r w:rsidR="00BF10AD">
        <w:t xml:space="preserve"> (English and Spanish versions)</w:t>
      </w:r>
    </w:p>
    <w:p w14:paraId="4219A427" w14:textId="06ACD875" w:rsidR="00E90D78" w:rsidRDefault="00E90D78" w:rsidP="00E90D78">
      <w:pPr>
        <w:pStyle w:val="ListParagraph"/>
        <w:numPr>
          <w:ilvl w:val="0"/>
          <w:numId w:val="16"/>
        </w:numPr>
        <w:spacing w:before="120" w:after="0"/>
      </w:pPr>
      <w:r>
        <w:t>Contact Information Form</w:t>
      </w:r>
    </w:p>
    <w:p w14:paraId="6CBB3DB0" w14:textId="41DAB9A0" w:rsidR="00E90D78" w:rsidRDefault="00E90D78" w:rsidP="00E90D78">
      <w:pPr>
        <w:pStyle w:val="ListParagraph"/>
        <w:numPr>
          <w:ilvl w:val="0"/>
          <w:numId w:val="16"/>
        </w:numPr>
        <w:spacing w:before="120" w:after="0"/>
      </w:pPr>
      <w:r>
        <w:t>Baseline and follow-up questionnaires</w:t>
      </w:r>
      <w:r w:rsidR="00BF10AD">
        <w:t xml:space="preserve"> (English and Spanish versions)</w:t>
      </w:r>
    </w:p>
    <w:p w14:paraId="663A7AC0" w14:textId="37BF9F10" w:rsidR="00E90D78" w:rsidRDefault="00E90D78" w:rsidP="00E90D78">
      <w:pPr>
        <w:pStyle w:val="ListParagraph"/>
        <w:numPr>
          <w:ilvl w:val="0"/>
          <w:numId w:val="16"/>
        </w:numPr>
        <w:spacing w:after="0"/>
      </w:pPr>
      <w:r>
        <w:t xml:space="preserve">Protocol for </w:t>
      </w:r>
      <w:proofErr w:type="spellStart"/>
      <w:r>
        <w:t>zika</w:t>
      </w:r>
      <w:proofErr w:type="spellEnd"/>
      <w:r>
        <w:t xml:space="preserve"> virus specimen collection</w:t>
      </w:r>
      <w:r w:rsidR="00BF10AD">
        <w:t xml:space="preserve"> (English and Spanish versions)</w:t>
      </w:r>
    </w:p>
    <w:p w14:paraId="6C8414A7" w14:textId="1FB6FB1D" w:rsidR="00E90D78" w:rsidRDefault="00E90D78" w:rsidP="00E90D78">
      <w:pPr>
        <w:pStyle w:val="ListParagraph"/>
        <w:numPr>
          <w:ilvl w:val="0"/>
          <w:numId w:val="16"/>
        </w:numPr>
        <w:spacing w:after="0"/>
      </w:pPr>
      <w:r>
        <w:t>Laboratory Form</w:t>
      </w:r>
    </w:p>
    <w:p w14:paraId="0B054E97" w14:textId="77777777" w:rsidR="00E90D78" w:rsidRDefault="00E90D78" w:rsidP="00E90D78">
      <w:pPr>
        <w:pStyle w:val="ListParagraph"/>
        <w:numPr>
          <w:ilvl w:val="0"/>
          <w:numId w:val="16"/>
        </w:numPr>
        <w:spacing w:after="0"/>
      </w:pPr>
      <w:r>
        <w:t>Counseling messages for study participants</w:t>
      </w:r>
    </w:p>
    <w:p w14:paraId="3901DC4A" w14:textId="201AD756" w:rsidR="0024523F" w:rsidRDefault="00E90D78" w:rsidP="00E90D78">
      <w:pPr>
        <w:pStyle w:val="ListParagraph"/>
        <w:numPr>
          <w:ilvl w:val="0"/>
          <w:numId w:val="16"/>
        </w:numPr>
        <w:spacing w:after="0"/>
      </w:pPr>
      <w:r>
        <w:t>IRB Approval</w:t>
      </w:r>
    </w:p>
    <w:p w14:paraId="3FE13B14" w14:textId="77777777" w:rsidR="00380751" w:rsidRDefault="00380751" w:rsidP="00380751">
      <w:pPr>
        <w:pStyle w:val="ListParagraph"/>
        <w:numPr>
          <w:ilvl w:val="0"/>
          <w:numId w:val="16"/>
        </w:numPr>
        <w:spacing w:after="0"/>
      </w:pPr>
      <w:r>
        <w:t>Additional pregnancy questions for baseline and follow-up questionnaire (English and Spanish versions)</w:t>
      </w:r>
    </w:p>
    <w:p w14:paraId="3EA443AF" w14:textId="77777777" w:rsidR="00380751" w:rsidRDefault="00380751" w:rsidP="00380751">
      <w:pPr>
        <w:pStyle w:val="ListParagraph"/>
        <w:numPr>
          <w:ilvl w:val="0"/>
          <w:numId w:val="16"/>
        </w:numPr>
        <w:spacing w:after="0"/>
      </w:pPr>
      <w:r>
        <w:t>Informational Flyer</w:t>
      </w:r>
    </w:p>
    <w:p w14:paraId="3300C70E" w14:textId="77777777" w:rsidR="00380751" w:rsidRPr="00D16E82" w:rsidRDefault="00380751" w:rsidP="00B748F6">
      <w:pPr>
        <w:spacing w:after="0"/>
        <w:ind w:left="360"/>
      </w:pPr>
    </w:p>
    <w:sectPr w:rsidR="00380751" w:rsidRPr="00D16E82" w:rsidSect="004A6DE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95241B" w14:textId="77777777" w:rsidR="0079743F" w:rsidRDefault="0079743F" w:rsidP="008B5D54">
      <w:pPr>
        <w:spacing w:after="0" w:line="240" w:lineRule="auto"/>
      </w:pPr>
      <w:r>
        <w:separator/>
      </w:r>
    </w:p>
  </w:endnote>
  <w:endnote w:type="continuationSeparator" w:id="0">
    <w:p w14:paraId="66FC188C" w14:textId="77777777" w:rsidR="0079743F" w:rsidRDefault="0079743F"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A28A4" w14:textId="77777777" w:rsidR="00024A7C" w:rsidRDefault="00024A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554917"/>
      <w:docPartObj>
        <w:docPartGallery w:val="Page Numbers (Bottom of Page)"/>
        <w:docPartUnique/>
      </w:docPartObj>
    </w:sdtPr>
    <w:sdtEndPr>
      <w:rPr>
        <w:noProof/>
      </w:rPr>
    </w:sdtEndPr>
    <w:sdtContent>
      <w:p w14:paraId="1DB74173" w14:textId="77777777" w:rsidR="00024A7C" w:rsidRDefault="00024A7C">
        <w:pPr>
          <w:pStyle w:val="Footer"/>
          <w:jc w:val="right"/>
        </w:pPr>
        <w:r>
          <w:fldChar w:fldCharType="begin"/>
        </w:r>
        <w:r>
          <w:instrText xml:space="preserve"> PAGE   \* MERGEFORMAT </w:instrText>
        </w:r>
        <w:r>
          <w:fldChar w:fldCharType="separate"/>
        </w:r>
        <w:r w:rsidR="00FD7F3E">
          <w:rPr>
            <w:noProof/>
          </w:rPr>
          <w:t>12</w:t>
        </w:r>
        <w:r>
          <w:rPr>
            <w:noProof/>
          </w:rPr>
          <w:fldChar w:fldCharType="end"/>
        </w:r>
      </w:p>
    </w:sdtContent>
  </w:sdt>
  <w:p w14:paraId="1DB74174" w14:textId="77777777" w:rsidR="00024A7C" w:rsidRDefault="00024A7C" w:rsidP="004A6DE8">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8E092" w14:textId="77777777" w:rsidR="00024A7C" w:rsidRDefault="00024A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341477" w14:textId="77777777" w:rsidR="0079743F" w:rsidRDefault="0079743F" w:rsidP="008B5D54">
      <w:pPr>
        <w:spacing w:after="0" w:line="240" w:lineRule="auto"/>
      </w:pPr>
      <w:r>
        <w:separator/>
      </w:r>
    </w:p>
  </w:footnote>
  <w:footnote w:type="continuationSeparator" w:id="0">
    <w:p w14:paraId="6EFE046A" w14:textId="77777777" w:rsidR="0079743F" w:rsidRDefault="0079743F"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C7CB8" w14:textId="77777777" w:rsidR="00024A7C" w:rsidRDefault="00024A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EE46C" w14:textId="77777777" w:rsidR="00024A7C" w:rsidRDefault="00024A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E8478" w14:textId="77777777" w:rsidR="00024A7C" w:rsidRDefault="00024A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782381"/>
    <w:multiLevelType w:val="hybridMultilevel"/>
    <w:tmpl w:val="39864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000FC"/>
    <w:multiLevelType w:val="hybridMultilevel"/>
    <w:tmpl w:val="C4626D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B256CA"/>
    <w:multiLevelType w:val="hybridMultilevel"/>
    <w:tmpl w:val="F3FA8616"/>
    <w:lvl w:ilvl="0" w:tplc="7E807D46">
      <w:start w:val="1"/>
      <w:numFmt w:val="decimal"/>
      <w:pStyle w:val="Heading1"/>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436A27"/>
    <w:multiLevelType w:val="hybridMultilevel"/>
    <w:tmpl w:val="6BE6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2879DE"/>
    <w:multiLevelType w:val="hybridMultilevel"/>
    <w:tmpl w:val="0C6AC2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3B070E"/>
    <w:multiLevelType w:val="hybridMultilevel"/>
    <w:tmpl w:val="A93E3E4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F32CAA"/>
    <w:multiLevelType w:val="hybridMultilevel"/>
    <w:tmpl w:val="59F80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B55A6B"/>
    <w:multiLevelType w:val="hybridMultilevel"/>
    <w:tmpl w:val="E6303BA0"/>
    <w:lvl w:ilvl="0" w:tplc="F6C68A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7B6F35"/>
    <w:multiLevelType w:val="hybridMultilevel"/>
    <w:tmpl w:val="A93E3E4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CE399B"/>
    <w:multiLevelType w:val="hybridMultilevel"/>
    <w:tmpl w:val="439C438C"/>
    <w:lvl w:ilvl="0" w:tplc="96B4FBC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463700"/>
    <w:multiLevelType w:val="hybridMultilevel"/>
    <w:tmpl w:val="573AB9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DE02CD"/>
    <w:multiLevelType w:val="hybridMultilevel"/>
    <w:tmpl w:val="4A588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FF7270"/>
    <w:multiLevelType w:val="hybridMultilevel"/>
    <w:tmpl w:val="69C8B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5A315C"/>
    <w:multiLevelType w:val="hybridMultilevel"/>
    <w:tmpl w:val="B2F4A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541097"/>
    <w:multiLevelType w:val="hybridMultilevel"/>
    <w:tmpl w:val="4D32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715FCC"/>
    <w:multiLevelType w:val="hybridMultilevel"/>
    <w:tmpl w:val="E24402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7435CB"/>
    <w:multiLevelType w:val="hybridMultilevel"/>
    <w:tmpl w:val="B59CB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C121E0"/>
    <w:multiLevelType w:val="hybridMultilevel"/>
    <w:tmpl w:val="1E96DA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5"/>
  </w:num>
  <w:num w:numId="3">
    <w:abstractNumId w:val="12"/>
  </w:num>
  <w:num w:numId="4">
    <w:abstractNumId w:val="2"/>
  </w:num>
  <w:num w:numId="5">
    <w:abstractNumId w:val="14"/>
  </w:num>
  <w:num w:numId="6">
    <w:abstractNumId w:val="17"/>
  </w:num>
  <w:num w:numId="7">
    <w:abstractNumId w:val="16"/>
  </w:num>
  <w:num w:numId="8">
    <w:abstractNumId w:val="13"/>
  </w:num>
  <w:num w:numId="9">
    <w:abstractNumId w:val="5"/>
  </w:num>
  <w:num w:numId="10">
    <w:abstractNumId w:val="7"/>
  </w:num>
  <w:num w:numId="11">
    <w:abstractNumId w:val="9"/>
  </w:num>
  <w:num w:numId="12">
    <w:abstractNumId w:val="11"/>
  </w:num>
  <w:num w:numId="13">
    <w:abstractNumId w:val="4"/>
  </w:num>
  <w:num w:numId="14">
    <w:abstractNumId w:val="3"/>
  </w:num>
  <w:num w:numId="15">
    <w:abstractNumId w:val="10"/>
  </w:num>
  <w:num w:numId="16">
    <w:abstractNumId w:val="8"/>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DE8"/>
    <w:rsid w:val="00002D5C"/>
    <w:rsid w:val="00003169"/>
    <w:rsid w:val="0000502D"/>
    <w:rsid w:val="00020570"/>
    <w:rsid w:val="00023D8A"/>
    <w:rsid w:val="00024A7C"/>
    <w:rsid w:val="00025991"/>
    <w:rsid w:val="00027D24"/>
    <w:rsid w:val="00043B8E"/>
    <w:rsid w:val="00057C01"/>
    <w:rsid w:val="00060149"/>
    <w:rsid w:val="00060A55"/>
    <w:rsid w:val="00066AB9"/>
    <w:rsid w:val="00067568"/>
    <w:rsid w:val="00073860"/>
    <w:rsid w:val="0009262A"/>
    <w:rsid w:val="0009290D"/>
    <w:rsid w:val="000971A9"/>
    <w:rsid w:val="000B11D3"/>
    <w:rsid w:val="000B4AFB"/>
    <w:rsid w:val="000C69A1"/>
    <w:rsid w:val="000D10EF"/>
    <w:rsid w:val="000D4D47"/>
    <w:rsid w:val="000F65DE"/>
    <w:rsid w:val="001130A6"/>
    <w:rsid w:val="00113D09"/>
    <w:rsid w:val="001241B3"/>
    <w:rsid w:val="001267D0"/>
    <w:rsid w:val="00135B23"/>
    <w:rsid w:val="001517AE"/>
    <w:rsid w:val="00161A96"/>
    <w:rsid w:val="00164ADC"/>
    <w:rsid w:val="00165748"/>
    <w:rsid w:val="001930AF"/>
    <w:rsid w:val="001968CD"/>
    <w:rsid w:val="001A1F4E"/>
    <w:rsid w:val="001A30C9"/>
    <w:rsid w:val="001B12E8"/>
    <w:rsid w:val="001B3C8F"/>
    <w:rsid w:val="001C4CB6"/>
    <w:rsid w:val="001E0452"/>
    <w:rsid w:val="001E3B40"/>
    <w:rsid w:val="001E4D34"/>
    <w:rsid w:val="001F7989"/>
    <w:rsid w:val="00201DC5"/>
    <w:rsid w:val="00210E41"/>
    <w:rsid w:val="00217044"/>
    <w:rsid w:val="002205C8"/>
    <w:rsid w:val="00232923"/>
    <w:rsid w:val="0024403F"/>
    <w:rsid w:val="0024523F"/>
    <w:rsid w:val="002725ED"/>
    <w:rsid w:val="002A3E8B"/>
    <w:rsid w:val="002A57D1"/>
    <w:rsid w:val="002B1CAD"/>
    <w:rsid w:val="002B7401"/>
    <w:rsid w:val="002C1C56"/>
    <w:rsid w:val="002C518E"/>
    <w:rsid w:val="002D6069"/>
    <w:rsid w:val="002E1271"/>
    <w:rsid w:val="002E206D"/>
    <w:rsid w:val="002F0679"/>
    <w:rsid w:val="002F576C"/>
    <w:rsid w:val="00315D5A"/>
    <w:rsid w:val="00317997"/>
    <w:rsid w:val="0033708A"/>
    <w:rsid w:val="0033786F"/>
    <w:rsid w:val="003429B4"/>
    <w:rsid w:val="00343214"/>
    <w:rsid w:val="003572DC"/>
    <w:rsid w:val="00362C3C"/>
    <w:rsid w:val="00366F20"/>
    <w:rsid w:val="00367FDF"/>
    <w:rsid w:val="003735C7"/>
    <w:rsid w:val="003741C5"/>
    <w:rsid w:val="00380751"/>
    <w:rsid w:val="003835B6"/>
    <w:rsid w:val="003848A6"/>
    <w:rsid w:val="00384907"/>
    <w:rsid w:val="003A2057"/>
    <w:rsid w:val="003B1D6B"/>
    <w:rsid w:val="003B45CA"/>
    <w:rsid w:val="003C4153"/>
    <w:rsid w:val="003C7045"/>
    <w:rsid w:val="003D2FD7"/>
    <w:rsid w:val="003E4237"/>
    <w:rsid w:val="003F1ED4"/>
    <w:rsid w:val="003F5328"/>
    <w:rsid w:val="0040485E"/>
    <w:rsid w:val="00412C72"/>
    <w:rsid w:val="004134C0"/>
    <w:rsid w:val="00414634"/>
    <w:rsid w:val="00424B29"/>
    <w:rsid w:val="0042691A"/>
    <w:rsid w:val="004273A6"/>
    <w:rsid w:val="0044061E"/>
    <w:rsid w:val="0044086F"/>
    <w:rsid w:val="0045752E"/>
    <w:rsid w:val="00457D62"/>
    <w:rsid w:val="00463157"/>
    <w:rsid w:val="00477BEC"/>
    <w:rsid w:val="00485BE7"/>
    <w:rsid w:val="004863A7"/>
    <w:rsid w:val="004978C3"/>
    <w:rsid w:val="004A6006"/>
    <w:rsid w:val="004A6DE8"/>
    <w:rsid w:val="004B2A63"/>
    <w:rsid w:val="004D11EC"/>
    <w:rsid w:val="004D75C4"/>
    <w:rsid w:val="004E7CF5"/>
    <w:rsid w:val="004F1DF7"/>
    <w:rsid w:val="004F5948"/>
    <w:rsid w:val="00504077"/>
    <w:rsid w:val="00510AEA"/>
    <w:rsid w:val="00511907"/>
    <w:rsid w:val="00515183"/>
    <w:rsid w:val="00535160"/>
    <w:rsid w:val="005416DC"/>
    <w:rsid w:val="00542052"/>
    <w:rsid w:val="005535D0"/>
    <w:rsid w:val="005547D5"/>
    <w:rsid w:val="005935B6"/>
    <w:rsid w:val="00596862"/>
    <w:rsid w:val="005C76EE"/>
    <w:rsid w:val="005E01CC"/>
    <w:rsid w:val="005E54A2"/>
    <w:rsid w:val="005F3302"/>
    <w:rsid w:val="005F532D"/>
    <w:rsid w:val="005F568C"/>
    <w:rsid w:val="005F69D2"/>
    <w:rsid w:val="0060479B"/>
    <w:rsid w:val="006059F6"/>
    <w:rsid w:val="00612248"/>
    <w:rsid w:val="00635E85"/>
    <w:rsid w:val="006438F0"/>
    <w:rsid w:val="006470EE"/>
    <w:rsid w:val="00651298"/>
    <w:rsid w:val="0065270E"/>
    <w:rsid w:val="00652D89"/>
    <w:rsid w:val="00662CBF"/>
    <w:rsid w:val="00695777"/>
    <w:rsid w:val="006A01F5"/>
    <w:rsid w:val="006A4CC7"/>
    <w:rsid w:val="006A60B7"/>
    <w:rsid w:val="006B20ED"/>
    <w:rsid w:val="006B2713"/>
    <w:rsid w:val="006B3A2B"/>
    <w:rsid w:val="006C01C0"/>
    <w:rsid w:val="006C6578"/>
    <w:rsid w:val="006C6E64"/>
    <w:rsid w:val="006C6FC6"/>
    <w:rsid w:val="006E7652"/>
    <w:rsid w:val="006F0863"/>
    <w:rsid w:val="0070134F"/>
    <w:rsid w:val="00705B32"/>
    <w:rsid w:val="00711C1B"/>
    <w:rsid w:val="00730845"/>
    <w:rsid w:val="00745C97"/>
    <w:rsid w:val="00755137"/>
    <w:rsid w:val="00760911"/>
    <w:rsid w:val="00775B52"/>
    <w:rsid w:val="00781993"/>
    <w:rsid w:val="00795500"/>
    <w:rsid w:val="00795892"/>
    <w:rsid w:val="0079743F"/>
    <w:rsid w:val="007A15C1"/>
    <w:rsid w:val="007A2AEC"/>
    <w:rsid w:val="007A2CCF"/>
    <w:rsid w:val="007B54C3"/>
    <w:rsid w:val="007F0181"/>
    <w:rsid w:val="007F134A"/>
    <w:rsid w:val="007F2FEE"/>
    <w:rsid w:val="007F59A0"/>
    <w:rsid w:val="00800A94"/>
    <w:rsid w:val="008024AD"/>
    <w:rsid w:val="008103E0"/>
    <w:rsid w:val="008173BC"/>
    <w:rsid w:val="00822F64"/>
    <w:rsid w:val="00824298"/>
    <w:rsid w:val="0082528E"/>
    <w:rsid w:val="00832053"/>
    <w:rsid w:val="00847516"/>
    <w:rsid w:val="008618F7"/>
    <w:rsid w:val="00866116"/>
    <w:rsid w:val="008718A7"/>
    <w:rsid w:val="00872CFD"/>
    <w:rsid w:val="00873C77"/>
    <w:rsid w:val="00875BFD"/>
    <w:rsid w:val="008925F5"/>
    <w:rsid w:val="00896C44"/>
    <w:rsid w:val="008A03B8"/>
    <w:rsid w:val="008A23A5"/>
    <w:rsid w:val="008A2451"/>
    <w:rsid w:val="008A3D3D"/>
    <w:rsid w:val="008A7D1B"/>
    <w:rsid w:val="008B06D8"/>
    <w:rsid w:val="008B538E"/>
    <w:rsid w:val="008B5D41"/>
    <w:rsid w:val="008B5D54"/>
    <w:rsid w:val="008C260E"/>
    <w:rsid w:val="008C37D3"/>
    <w:rsid w:val="008F1BAB"/>
    <w:rsid w:val="008F2AA0"/>
    <w:rsid w:val="008F58D5"/>
    <w:rsid w:val="0090481B"/>
    <w:rsid w:val="0090483E"/>
    <w:rsid w:val="0090689F"/>
    <w:rsid w:val="00915501"/>
    <w:rsid w:val="00925EBF"/>
    <w:rsid w:val="00926878"/>
    <w:rsid w:val="00927549"/>
    <w:rsid w:val="00931A62"/>
    <w:rsid w:val="00936087"/>
    <w:rsid w:val="00936860"/>
    <w:rsid w:val="00941A1D"/>
    <w:rsid w:val="00960ECB"/>
    <w:rsid w:val="0097568C"/>
    <w:rsid w:val="00983666"/>
    <w:rsid w:val="00985F3E"/>
    <w:rsid w:val="00986F62"/>
    <w:rsid w:val="009A39EB"/>
    <w:rsid w:val="009A5F44"/>
    <w:rsid w:val="009B3B61"/>
    <w:rsid w:val="009B3DED"/>
    <w:rsid w:val="009C0C23"/>
    <w:rsid w:val="009C2387"/>
    <w:rsid w:val="009D1B22"/>
    <w:rsid w:val="009D7242"/>
    <w:rsid w:val="009E0402"/>
    <w:rsid w:val="009F333D"/>
    <w:rsid w:val="009F3ED5"/>
    <w:rsid w:val="009F4DA8"/>
    <w:rsid w:val="00A07ABB"/>
    <w:rsid w:val="00A12212"/>
    <w:rsid w:val="00A217B0"/>
    <w:rsid w:val="00A24368"/>
    <w:rsid w:val="00A3463D"/>
    <w:rsid w:val="00A464DF"/>
    <w:rsid w:val="00A54412"/>
    <w:rsid w:val="00A675B7"/>
    <w:rsid w:val="00A80D1D"/>
    <w:rsid w:val="00A85B18"/>
    <w:rsid w:val="00A93E2E"/>
    <w:rsid w:val="00A952E7"/>
    <w:rsid w:val="00A96467"/>
    <w:rsid w:val="00A97397"/>
    <w:rsid w:val="00AB272D"/>
    <w:rsid w:val="00AB4E29"/>
    <w:rsid w:val="00AB767B"/>
    <w:rsid w:val="00AC1D62"/>
    <w:rsid w:val="00AC4F4E"/>
    <w:rsid w:val="00AC6C63"/>
    <w:rsid w:val="00AE0F78"/>
    <w:rsid w:val="00AE499A"/>
    <w:rsid w:val="00AF37B1"/>
    <w:rsid w:val="00AF5F1E"/>
    <w:rsid w:val="00B1164F"/>
    <w:rsid w:val="00B22AE3"/>
    <w:rsid w:val="00B2526D"/>
    <w:rsid w:val="00B35D37"/>
    <w:rsid w:val="00B35EDE"/>
    <w:rsid w:val="00B40BFF"/>
    <w:rsid w:val="00B4444D"/>
    <w:rsid w:val="00B5281A"/>
    <w:rsid w:val="00B53869"/>
    <w:rsid w:val="00B54D96"/>
    <w:rsid w:val="00B55735"/>
    <w:rsid w:val="00B56AF7"/>
    <w:rsid w:val="00B608AC"/>
    <w:rsid w:val="00B61EDC"/>
    <w:rsid w:val="00B63DB1"/>
    <w:rsid w:val="00B70AB5"/>
    <w:rsid w:val="00B748F6"/>
    <w:rsid w:val="00B74CFB"/>
    <w:rsid w:val="00B757DE"/>
    <w:rsid w:val="00B758C4"/>
    <w:rsid w:val="00B80A2B"/>
    <w:rsid w:val="00B96AD6"/>
    <w:rsid w:val="00BA6397"/>
    <w:rsid w:val="00BC385E"/>
    <w:rsid w:val="00BC4104"/>
    <w:rsid w:val="00BC458D"/>
    <w:rsid w:val="00BD6F7A"/>
    <w:rsid w:val="00BD7BDF"/>
    <w:rsid w:val="00BF10AD"/>
    <w:rsid w:val="00BF1B6A"/>
    <w:rsid w:val="00BF392D"/>
    <w:rsid w:val="00BF4E27"/>
    <w:rsid w:val="00C00DB8"/>
    <w:rsid w:val="00C0242D"/>
    <w:rsid w:val="00C02CE3"/>
    <w:rsid w:val="00C05D65"/>
    <w:rsid w:val="00C107C9"/>
    <w:rsid w:val="00C20053"/>
    <w:rsid w:val="00C21B01"/>
    <w:rsid w:val="00C24876"/>
    <w:rsid w:val="00C367A3"/>
    <w:rsid w:val="00C36E9E"/>
    <w:rsid w:val="00C4508E"/>
    <w:rsid w:val="00C45B37"/>
    <w:rsid w:val="00C52173"/>
    <w:rsid w:val="00C53042"/>
    <w:rsid w:val="00C53D87"/>
    <w:rsid w:val="00C57A1C"/>
    <w:rsid w:val="00C81988"/>
    <w:rsid w:val="00C85C61"/>
    <w:rsid w:val="00CC7959"/>
    <w:rsid w:val="00CE067F"/>
    <w:rsid w:val="00CE6702"/>
    <w:rsid w:val="00CE6C74"/>
    <w:rsid w:val="00CF5E7E"/>
    <w:rsid w:val="00D063FF"/>
    <w:rsid w:val="00D07064"/>
    <w:rsid w:val="00D125D6"/>
    <w:rsid w:val="00D125E4"/>
    <w:rsid w:val="00D159C6"/>
    <w:rsid w:val="00D16D8B"/>
    <w:rsid w:val="00D17327"/>
    <w:rsid w:val="00D255EA"/>
    <w:rsid w:val="00D3127C"/>
    <w:rsid w:val="00D433D3"/>
    <w:rsid w:val="00D44A23"/>
    <w:rsid w:val="00D4678D"/>
    <w:rsid w:val="00D54DA9"/>
    <w:rsid w:val="00D54E6F"/>
    <w:rsid w:val="00D553F7"/>
    <w:rsid w:val="00D61E39"/>
    <w:rsid w:val="00D620E8"/>
    <w:rsid w:val="00D63A27"/>
    <w:rsid w:val="00D654B0"/>
    <w:rsid w:val="00D7609D"/>
    <w:rsid w:val="00D8072F"/>
    <w:rsid w:val="00D8586D"/>
    <w:rsid w:val="00D93A68"/>
    <w:rsid w:val="00DA56B0"/>
    <w:rsid w:val="00DB6B2B"/>
    <w:rsid w:val="00DC0C1C"/>
    <w:rsid w:val="00DC57CC"/>
    <w:rsid w:val="00DD730E"/>
    <w:rsid w:val="00E13426"/>
    <w:rsid w:val="00E2139C"/>
    <w:rsid w:val="00E215FD"/>
    <w:rsid w:val="00E21BA7"/>
    <w:rsid w:val="00E25744"/>
    <w:rsid w:val="00E261D5"/>
    <w:rsid w:val="00E31C3C"/>
    <w:rsid w:val="00E350EA"/>
    <w:rsid w:val="00E51D69"/>
    <w:rsid w:val="00E7241D"/>
    <w:rsid w:val="00E817E8"/>
    <w:rsid w:val="00E90D78"/>
    <w:rsid w:val="00EA4AFC"/>
    <w:rsid w:val="00EC0C74"/>
    <w:rsid w:val="00EC2E8D"/>
    <w:rsid w:val="00EC30FC"/>
    <w:rsid w:val="00EC792F"/>
    <w:rsid w:val="00ED40C2"/>
    <w:rsid w:val="00ED55DB"/>
    <w:rsid w:val="00ED790D"/>
    <w:rsid w:val="00EE159A"/>
    <w:rsid w:val="00EE2B0C"/>
    <w:rsid w:val="00EE4E68"/>
    <w:rsid w:val="00EF4530"/>
    <w:rsid w:val="00F01E8F"/>
    <w:rsid w:val="00F02F64"/>
    <w:rsid w:val="00F1265A"/>
    <w:rsid w:val="00F138FC"/>
    <w:rsid w:val="00F22D23"/>
    <w:rsid w:val="00F239F5"/>
    <w:rsid w:val="00F25955"/>
    <w:rsid w:val="00F2650A"/>
    <w:rsid w:val="00F360F5"/>
    <w:rsid w:val="00F440B0"/>
    <w:rsid w:val="00F5069E"/>
    <w:rsid w:val="00F70CB6"/>
    <w:rsid w:val="00F75B8A"/>
    <w:rsid w:val="00F80EC0"/>
    <w:rsid w:val="00F8522B"/>
    <w:rsid w:val="00FA573A"/>
    <w:rsid w:val="00FB4DEC"/>
    <w:rsid w:val="00FB622C"/>
    <w:rsid w:val="00FD2703"/>
    <w:rsid w:val="00FD3A0F"/>
    <w:rsid w:val="00FD50FA"/>
    <w:rsid w:val="00FD5D08"/>
    <w:rsid w:val="00FD6286"/>
    <w:rsid w:val="00FD7F3E"/>
    <w:rsid w:val="00FE1138"/>
    <w:rsid w:val="00FE1B26"/>
    <w:rsid w:val="00FE25CF"/>
    <w:rsid w:val="00FE44E6"/>
    <w:rsid w:val="00FE7EAD"/>
    <w:rsid w:val="00FF4A0D"/>
    <w:rsid w:val="00FF6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B740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rsid w:val="006E7652"/>
    <w:pPr>
      <w:numPr>
        <w:numId w:val="4"/>
      </w:numPr>
      <w:spacing w:after="0" w:line="240" w:lineRule="auto"/>
      <w:ind w:left="720"/>
      <w:outlineLvl w:val="0"/>
    </w:pPr>
    <w:rPr>
      <w:b/>
    </w:rPr>
  </w:style>
  <w:style w:type="paragraph" w:styleId="Heading5">
    <w:name w:val="heading 5"/>
    <w:basedOn w:val="Normal"/>
    <w:next w:val="Normal"/>
    <w:link w:val="Heading5Char"/>
    <w:uiPriority w:val="9"/>
    <w:unhideWhenUsed/>
    <w:qFormat/>
    <w:rsid w:val="00915501"/>
    <w:pPr>
      <w:keepNext/>
      <w:keepLines/>
      <w:widowControl w:val="0"/>
      <w:autoSpaceDE w:val="0"/>
      <w:autoSpaceDN w:val="0"/>
      <w:adjustRightInd w:val="0"/>
      <w:spacing w:before="40" w:after="0" w:line="240" w:lineRule="auto"/>
      <w:outlineLvl w:val="4"/>
    </w:pPr>
    <w:rPr>
      <w:rFonts w:asciiTheme="majorHAnsi" w:eastAsiaTheme="majorEastAsia" w:hAnsiTheme="majorHAnsi" w:cstheme="majorBidi"/>
      <w:color w:val="365F91"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4A6DE8"/>
    <w:rPr>
      <w:color w:val="0000FF" w:themeColor="hyperlink"/>
      <w:u w:val="single"/>
    </w:rPr>
  </w:style>
  <w:style w:type="character" w:customStyle="1" w:styleId="Heading1Char">
    <w:name w:val="Heading 1 Char"/>
    <w:basedOn w:val="DefaultParagraphFont"/>
    <w:link w:val="Heading1"/>
    <w:uiPriority w:val="9"/>
    <w:rsid w:val="006E7652"/>
    <w:rPr>
      <w:b/>
    </w:rPr>
  </w:style>
  <w:style w:type="paragraph" w:styleId="TOCHeading">
    <w:name w:val="TOC Heading"/>
    <w:basedOn w:val="Heading1"/>
    <w:next w:val="Normal"/>
    <w:uiPriority w:val="39"/>
    <w:unhideWhenUsed/>
    <w:qFormat/>
    <w:rsid w:val="004A6DE8"/>
    <w:pPr>
      <w:spacing w:line="259" w:lineRule="auto"/>
      <w:outlineLvl w:val="9"/>
    </w:pPr>
  </w:style>
  <w:style w:type="paragraph" w:styleId="ListParagraph">
    <w:name w:val="List Paragraph"/>
    <w:basedOn w:val="Normal"/>
    <w:uiPriority w:val="34"/>
    <w:qFormat/>
    <w:rsid w:val="004A6DE8"/>
    <w:pPr>
      <w:ind w:left="720"/>
      <w:contextualSpacing/>
    </w:pPr>
  </w:style>
  <w:style w:type="paragraph" w:styleId="NormalWeb">
    <w:name w:val="Normal (Web)"/>
    <w:basedOn w:val="Normal"/>
    <w:uiPriority w:val="99"/>
    <w:unhideWhenUsed/>
    <w:rsid w:val="004A6DE8"/>
    <w:pPr>
      <w:spacing w:before="100" w:beforeAutospacing="1" w:after="100" w:afterAutospacing="1" w:line="240" w:lineRule="auto"/>
    </w:pPr>
    <w:rPr>
      <w:rFonts w:eastAsia="Times New Roman" w:cs="Times New Roman"/>
      <w:szCs w:val="24"/>
    </w:rPr>
  </w:style>
  <w:style w:type="paragraph" w:styleId="TOC1">
    <w:name w:val="toc 1"/>
    <w:basedOn w:val="Normal"/>
    <w:next w:val="Normal"/>
    <w:autoRedefine/>
    <w:uiPriority w:val="39"/>
    <w:unhideWhenUsed/>
    <w:rsid w:val="006E7652"/>
    <w:pPr>
      <w:spacing w:after="100"/>
    </w:pPr>
  </w:style>
  <w:style w:type="character" w:styleId="CommentReference">
    <w:name w:val="annotation reference"/>
    <w:basedOn w:val="DefaultParagraphFont"/>
    <w:uiPriority w:val="99"/>
    <w:semiHidden/>
    <w:unhideWhenUsed/>
    <w:rsid w:val="00477BEC"/>
    <w:rPr>
      <w:sz w:val="16"/>
      <w:szCs w:val="16"/>
    </w:rPr>
  </w:style>
  <w:style w:type="table" w:styleId="TableGrid">
    <w:name w:val="Table Grid"/>
    <w:basedOn w:val="TableNormal"/>
    <w:rsid w:val="007F0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317997"/>
    <w:pPr>
      <w:spacing w:line="240" w:lineRule="auto"/>
    </w:pPr>
    <w:rPr>
      <w:sz w:val="20"/>
      <w:szCs w:val="20"/>
    </w:rPr>
  </w:style>
  <w:style w:type="character" w:customStyle="1" w:styleId="CommentTextChar">
    <w:name w:val="Comment Text Char"/>
    <w:basedOn w:val="DefaultParagraphFont"/>
    <w:link w:val="CommentText"/>
    <w:rsid w:val="00317997"/>
    <w:rPr>
      <w:sz w:val="20"/>
      <w:szCs w:val="20"/>
    </w:rPr>
  </w:style>
  <w:style w:type="paragraph" w:styleId="CommentSubject">
    <w:name w:val="annotation subject"/>
    <w:basedOn w:val="CommentText"/>
    <w:next w:val="CommentText"/>
    <w:link w:val="CommentSubjectChar"/>
    <w:uiPriority w:val="99"/>
    <w:semiHidden/>
    <w:unhideWhenUsed/>
    <w:rsid w:val="00317997"/>
    <w:rPr>
      <w:b/>
      <w:bCs/>
    </w:rPr>
  </w:style>
  <w:style w:type="character" w:customStyle="1" w:styleId="CommentSubjectChar">
    <w:name w:val="Comment Subject Char"/>
    <w:basedOn w:val="CommentTextChar"/>
    <w:link w:val="CommentSubject"/>
    <w:uiPriority w:val="99"/>
    <w:semiHidden/>
    <w:rsid w:val="00317997"/>
    <w:rPr>
      <w:b/>
      <w:bCs/>
      <w:sz w:val="20"/>
      <w:szCs w:val="20"/>
    </w:rPr>
  </w:style>
  <w:style w:type="paragraph" w:styleId="BalloonText">
    <w:name w:val="Balloon Text"/>
    <w:basedOn w:val="Normal"/>
    <w:link w:val="BalloonTextChar"/>
    <w:uiPriority w:val="99"/>
    <w:semiHidden/>
    <w:unhideWhenUsed/>
    <w:rsid w:val="003179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997"/>
    <w:rPr>
      <w:rFonts w:ascii="Segoe UI" w:hAnsi="Segoe UI" w:cs="Segoe UI"/>
      <w:sz w:val="18"/>
      <w:szCs w:val="18"/>
    </w:rPr>
  </w:style>
  <w:style w:type="character" w:styleId="FollowedHyperlink">
    <w:name w:val="FollowedHyperlink"/>
    <w:basedOn w:val="DefaultParagraphFont"/>
    <w:uiPriority w:val="99"/>
    <w:semiHidden/>
    <w:unhideWhenUsed/>
    <w:rsid w:val="005F568C"/>
    <w:rPr>
      <w:color w:val="800080" w:themeColor="followedHyperlink"/>
      <w:u w:val="single"/>
    </w:rPr>
  </w:style>
  <w:style w:type="table" w:customStyle="1" w:styleId="TableGrid1">
    <w:name w:val="Table Grid1"/>
    <w:basedOn w:val="TableNormal"/>
    <w:next w:val="TableGrid"/>
    <w:uiPriority w:val="59"/>
    <w:rsid w:val="00EE4E6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C6E64"/>
    <w:pPr>
      <w:spacing w:after="0" w:line="240" w:lineRule="auto"/>
    </w:pPr>
  </w:style>
  <w:style w:type="character" w:customStyle="1" w:styleId="Heading5Char">
    <w:name w:val="Heading 5 Char"/>
    <w:basedOn w:val="DefaultParagraphFont"/>
    <w:link w:val="Heading5"/>
    <w:uiPriority w:val="9"/>
    <w:rsid w:val="00915501"/>
    <w:rPr>
      <w:rFonts w:asciiTheme="majorHAnsi" w:eastAsiaTheme="majorEastAsia" w:hAnsiTheme="majorHAnsi" w:cstheme="majorBidi"/>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6160">
      <w:bodyDiv w:val="1"/>
      <w:marLeft w:val="0"/>
      <w:marRight w:val="0"/>
      <w:marTop w:val="0"/>
      <w:marBottom w:val="0"/>
      <w:divBdr>
        <w:top w:val="none" w:sz="0" w:space="0" w:color="auto"/>
        <w:left w:val="none" w:sz="0" w:space="0" w:color="auto"/>
        <w:bottom w:val="none" w:sz="0" w:space="0" w:color="auto"/>
        <w:right w:val="none" w:sz="0" w:space="0" w:color="auto"/>
      </w:divBdr>
    </w:div>
    <w:div w:id="422653789">
      <w:bodyDiv w:val="1"/>
      <w:marLeft w:val="0"/>
      <w:marRight w:val="0"/>
      <w:marTop w:val="0"/>
      <w:marBottom w:val="0"/>
      <w:divBdr>
        <w:top w:val="none" w:sz="0" w:space="0" w:color="auto"/>
        <w:left w:val="none" w:sz="0" w:space="0" w:color="auto"/>
        <w:bottom w:val="none" w:sz="0" w:space="0" w:color="auto"/>
        <w:right w:val="none" w:sz="0" w:space="0" w:color="auto"/>
      </w:divBdr>
    </w:div>
    <w:div w:id="424033244">
      <w:bodyDiv w:val="1"/>
      <w:marLeft w:val="0"/>
      <w:marRight w:val="0"/>
      <w:marTop w:val="0"/>
      <w:marBottom w:val="0"/>
      <w:divBdr>
        <w:top w:val="none" w:sz="0" w:space="0" w:color="auto"/>
        <w:left w:val="none" w:sz="0" w:space="0" w:color="auto"/>
        <w:bottom w:val="none" w:sz="0" w:space="0" w:color="auto"/>
        <w:right w:val="none" w:sz="0" w:space="0" w:color="auto"/>
      </w:divBdr>
    </w:div>
    <w:div w:id="730889886">
      <w:bodyDiv w:val="1"/>
      <w:marLeft w:val="0"/>
      <w:marRight w:val="0"/>
      <w:marTop w:val="0"/>
      <w:marBottom w:val="0"/>
      <w:divBdr>
        <w:top w:val="none" w:sz="0" w:space="0" w:color="auto"/>
        <w:left w:val="none" w:sz="0" w:space="0" w:color="auto"/>
        <w:bottom w:val="none" w:sz="0" w:space="0" w:color="auto"/>
        <w:right w:val="none" w:sz="0" w:space="0" w:color="auto"/>
      </w:divBdr>
    </w:div>
    <w:div w:id="854343983">
      <w:bodyDiv w:val="1"/>
      <w:marLeft w:val="0"/>
      <w:marRight w:val="0"/>
      <w:marTop w:val="0"/>
      <w:marBottom w:val="0"/>
      <w:divBdr>
        <w:top w:val="none" w:sz="0" w:space="0" w:color="auto"/>
        <w:left w:val="none" w:sz="0" w:space="0" w:color="auto"/>
        <w:bottom w:val="none" w:sz="0" w:space="0" w:color="auto"/>
        <w:right w:val="none" w:sz="0" w:space="0" w:color="auto"/>
      </w:divBdr>
    </w:div>
    <w:div w:id="874348449">
      <w:bodyDiv w:val="1"/>
      <w:marLeft w:val="0"/>
      <w:marRight w:val="0"/>
      <w:marTop w:val="0"/>
      <w:marBottom w:val="0"/>
      <w:divBdr>
        <w:top w:val="none" w:sz="0" w:space="0" w:color="auto"/>
        <w:left w:val="none" w:sz="0" w:space="0" w:color="auto"/>
        <w:bottom w:val="none" w:sz="0" w:space="0" w:color="auto"/>
        <w:right w:val="none" w:sz="0" w:space="0" w:color="auto"/>
      </w:divBdr>
    </w:div>
    <w:div w:id="930699706">
      <w:bodyDiv w:val="1"/>
      <w:marLeft w:val="0"/>
      <w:marRight w:val="0"/>
      <w:marTop w:val="0"/>
      <w:marBottom w:val="0"/>
      <w:divBdr>
        <w:top w:val="none" w:sz="0" w:space="0" w:color="auto"/>
        <w:left w:val="none" w:sz="0" w:space="0" w:color="auto"/>
        <w:bottom w:val="none" w:sz="0" w:space="0" w:color="auto"/>
        <w:right w:val="none" w:sz="0" w:space="0" w:color="auto"/>
      </w:divBdr>
    </w:div>
    <w:div w:id="989752954">
      <w:bodyDiv w:val="1"/>
      <w:marLeft w:val="0"/>
      <w:marRight w:val="0"/>
      <w:marTop w:val="0"/>
      <w:marBottom w:val="0"/>
      <w:divBdr>
        <w:top w:val="none" w:sz="0" w:space="0" w:color="auto"/>
        <w:left w:val="none" w:sz="0" w:space="0" w:color="auto"/>
        <w:bottom w:val="none" w:sz="0" w:space="0" w:color="auto"/>
        <w:right w:val="none" w:sz="0" w:space="0" w:color="auto"/>
      </w:divBdr>
    </w:div>
    <w:div w:id="1033729099">
      <w:bodyDiv w:val="1"/>
      <w:marLeft w:val="0"/>
      <w:marRight w:val="0"/>
      <w:marTop w:val="0"/>
      <w:marBottom w:val="0"/>
      <w:divBdr>
        <w:top w:val="none" w:sz="0" w:space="0" w:color="auto"/>
        <w:left w:val="none" w:sz="0" w:space="0" w:color="auto"/>
        <w:bottom w:val="none" w:sz="0" w:space="0" w:color="auto"/>
        <w:right w:val="none" w:sz="0" w:space="0" w:color="auto"/>
      </w:divBdr>
    </w:div>
    <w:div w:id="1136333875">
      <w:bodyDiv w:val="1"/>
      <w:marLeft w:val="0"/>
      <w:marRight w:val="0"/>
      <w:marTop w:val="0"/>
      <w:marBottom w:val="0"/>
      <w:divBdr>
        <w:top w:val="none" w:sz="0" w:space="0" w:color="auto"/>
        <w:left w:val="none" w:sz="0" w:space="0" w:color="auto"/>
        <w:bottom w:val="none" w:sz="0" w:space="0" w:color="auto"/>
        <w:right w:val="none" w:sz="0" w:space="0" w:color="auto"/>
      </w:divBdr>
    </w:div>
    <w:div w:id="1149520063">
      <w:bodyDiv w:val="1"/>
      <w:marLeft w:val="0"/>
      <w:marRight w:val="0"/>
      <w:marTop w:val="0"/>
      <w:marBottom w:val="0"/>
      <w:divBdr>
        <w:top w:val="none" w:sz="0" w:space="0" w:color="auto"/>
        <w:left w:val="none" w:sz="0" w:space="0" w:color="auto"/>
        <w:bottom w:val="none" w:sz="0" w:space="0" w:color="auto"/>
        <w:right w:val="none" w:sz="0" w:space="0" w:color="auto"/>
      </w:divBdr>
    </w:div>
    <w:div w:id="1166549861">
      <w:bodyDiv w:val="1"/>
      <w:marLeft w:val="0"/>
      <w:marRight w:val="0"/>
      <w:marTop w:val="0"/>
      <w:marBottom w:val="0"/>
      <w:divBdr>
        <w:top w:val="none" w:sz="0" w:space="0" w:color="auto"/>
        <w:left w:val="none" w:sz="0" w:space="0" w:color="auto"/>
        <w:bottom w:val="none" w:sz="0" w:space="0" w:color="auto"/>
        <w:right w:val="none" w:sz="0" w:space="0" w:color="auto"/>
      </w:divBdr>
    </w:div>
    <w:div w:id="1200896734">
      <w:bodyDiv w:val="1"/>
      <w:marLeft w:val="0"/>
      <w:marRight w:val="0"/>
      <w:marTop w:val="0"/>
      <w:marBottom w:val="0"/>
      <w:divBdr>
        <w:top w:val="none" w:sz="0" w:space="0" w:color="auto"/>
        <w:left w:val="none" w:sz="0" w:space="0" w:color="auto"/>
        <w:bottom w:val="none" w:sz="0" w:space="0" w:color="auto"/>
        <w:right w:val="none" w:sz="0" w:space="0" w:color="auto"/>
      </w:divBdr>
    </w:div>
    <w:div w:id="1240485240">
      <w:bodyDiv w:val="1"/>
      <w:marLeft w:val="0"/>
      <w:marRight w:val="0"/>
      <w:marTop w:val="0"/>
      <w:marBottom w:val="0"/>
      <w:divBdr>
        <w:top w:val="none" w:sz="0" w:space="0" w:color="auto"/>
        <w:left w:val="none" w:sz="0" w:space="0" w:color="auto"/>
        <w:bottom w:val="none" w:sz="0" w:space="0" w:color="auto"/>
        <w:right w:val="none" w:sz="0" w:space="0" w:color="auto"/>
      </w:divBdr>
    </w:div>
    <w:div w:id="1251696110">
      <w:bodyDiv w:val="1"/>
      <w:marLeft w:val="0"/>
      <w:marRight w:val="0"/>
      <w:marTop w:val="0"/>
      <w:marBottom w:val="0"/>
      <w:divBdr>
        <w:top w:val="none" w:sz="0" w:space="0" w:color="auto"/>
        <w:left w:val="none" w:sz="0" w:space="0" w:color="auto"/>
        <w:bottom w:val="none" w:sz="0" w:space="0" w:color="auto"/>
        <w:right w:val="none" w:sz="0" w:space="0" w:color="auto"/>
      </w:divBdr>
    </w:div>
    <w:div w:id="1284656915">
      <w:bodyDiv w:val="1"/>
      <w:marLeft w:val="0"/>
      <w:marRight w:val="0"/>
      <w:marTop w:val="0"/>
      <w:marBottom w:val="0"/>
      <w:divBdr>
        <w:top w:val="none" w:sz="0" w:space="0" w:color="auto"/>
        <w:left w:val="none" w:sz="0" w:space="0" w:color="auto"/>
        <w:bottom w:val="none" w:sz="0" w:space="0" w:color="auto"/>
        <w:right w:val="none" w:sz="0" w:space="0" w:color="auto"/>
      </w:divBdr>
    </w:div>
    <w:div w:id="1320428904">
      <w:bodyDiv w:val="1"/>
      <w:marLeft w:val="0"/>
      <w:marRight w:val="0"/>
      <w:marTop w:val="0"/>
      <w:marBottom w:val="0"/>
      <w:divBdr>
        <w:top w:val="none" w:sz="0" w:space="0" w:color="auto"/>
        <w:left w:val="none" w:sz="0" w:space="0" w:color="auto"/>
        <w:bottom w:val="none" w:sz="0" w:space="0" w:color="auto"/>
        <w:right w:val="none" w:sz="0" w:space="0" w:color="auto"/>
      </w:divBdr>
    </w:div>
    <w:div w:id="1379092137">
      <w:bodyDiv w:val="1"/>
      <w:marLeft w:val="0"/>
      <w:marRight w:val="0"/>
      <w:marTop w:val="0"/>
      <w:marBottom w:val="0"/>
      <w:divBdr>
        <w:top w:val="none" w:sz="0" w:space="0" w:color="auto"/>
        <w:left w:val="none" w:sz="0" w:space="0" w:color="auto"/>
        <w:bottom w:val="none" w:sz="0" w:space="0" w:color="auto"/>
        <w:right w:val="none" w:sz="0" w:space="0" w:color="auto"/>
      </w:divBdr>
    </w:div>
    <w:div w:id="1419137640">
      <w:bodyDiv w:val="1"/>
      <w:marLeft w:val="0"/>
      <w:marRight w:val="0"/>
      <w:marTop w:val="0"/>
      <w:marBottom w:val="0"/>
      <w:divBdr>
        <w:top w:val="none" w:sz="0" w:space="0" w:color="auto"/>
        <w:left w:val="none" w:sz="0" w:space="0" w:color="auto"/>
        <w:bottom w:val="none" w:sz="0" w:space="0" w:color="auto"/>
        <w:right w:val="none" w:sz="0" w:space="0" w:color="auto"/>
      </w:divBdr>
    </w:div>
    <w:div w:id="1432241946">
      <w:bodyDiv w:val="1"/>
      <w:marLeft w:val="0"/>
      <w:marRight w:val="0"/>
      <w:marTop w:val="0"/>
      <w:marBottom w:val="0"/>
      <w:divBdr>
        <w:top w:val="none" w:sz="0" w:space="0" w:color="auto"/>
        <w:left w:val="none" w:sz="0" w:space="0" w:color="auto"/>
        <w:bottom w:val="none" w:sz="0" w:space="0" w:color="auto"/>
        <w:right w:val="none" w:sz="0" w:space="0" w:color="auto"/>
      </w:divBdr>
    </w:div>
    <w:div w:id="1453939975">
      <w:bodyDiv w:val="1"/>
      <w:marLeft w:val="0"/>
      <w:marRight w:val="0"/>
      <w:marTop w:val="0"/>
      <w:marBottom w:val="0"/>
      <w:divBdr>
        <w:top w:val="none" w:sz="0" w:space="0" w:color="auto"/>
        <w:left w:val="none" w:sz="0" w:space="0" w:color="auto"/>
        <w:bottom w:val="none" w:sz="0" w:space="0" w:color="auto"/>
        <w:right w:val="none" w:sz="0" w:space="0" w:color="auto"/>
      </w:divBdr>
    </w:div>
    <w:div w:id="1550454090">
      <w:bodyDiv w:val="1"/>
      <w:marLeft w:val="0"/>
      <w:marRight w:val="0"/>
      <w:marTop w:val="0"/>
      <w:marBottom w:val="0"/>
      <w:divBdr>
        <w:top w:val="none" w:sz="0" w:space="0" w:color="auto"/>
        <w:left w:val="none" w:sz="0" w:space="0" w:color="auto"/>
        <w:bottom w:val="none" w:sz="0" w:space="0" w:color="auto"/>
        <w:right w:val="none" w:sz="0" w:space="0" w:color="auto"/>
      </w:divBdr>
    </w:div>
    <w:div w:id="1572082380">
      <w:bodyDiv w:val="1"/>
      <w:marLeft w:val="0"/>
      <w:marRight w:val="0"/>
      <w:marTop w:val="0"/>
      <w:marBottom w:val="0"/>
      <w:divBdr>
        <w:top w:val="none" w:sz="0" w:space="0" w:color="auto"/>
        <w:left w:val="none" w:sz="0" w:space="0" w:color="auto"/>
        <w:bottom w:val="none" w:sz="0" w:space="0" w:color="auto"/>
        <w:right w:val="none" w:sz="0" w:space="0" w:color="auto"/>
      </w:divBdr>
    </w:div>
    <w:div w:id="1605729379">
      <w:bodyDiv w:val="1"/>
      <w:marLeft w:val="0"/>
      <w:marRight w:val="0"/>
      <w:marTop w:val="0"/>
      <w:marBottom w:val="0"/>
      <w:divBdr>
        <w:top w:val="none" w:sz="0" w:space="0" w:color="auto"/>
        <w:left w:val="none" w:sz="0" w:space="0" w:color="auto"/>
        <w:bottom w:val="none" w:sz="0" w:space="0" w:color="auto"/>
        <w:right w:val="none" w:sz="0" w:space="0" w:color="auto"/>
      </w:divBdr>
    </w:div>
    <w:div w:id="1613974637">
      <w:bodyDiv w:val="1"/>
      <w:marLeft w:val="0"/>
      <w:marRight w:val="0"/>
      <w:marTop w:val="0"/>
      <w:marBottom w:val="0"/>
      <w:divBdr>
        <w:top w:val="none" w:sz="0" w:space="0" w:color="auto"/>
        <w:left w:val="none" w:sz="0" w:space="0" w:color="auto"/>
        <w:bottom w:val="none" w:sz="0" w:space="0" w:color="auto"/>
        <w:right w:val="none" w:sz="0" w:space="0" w:color="auto"/>
      </w:divBdr>
    </w:div>
    <w:div w:id="1809204139">
      <w:bodyDiv w:val="1"/>
      <w:marLeft w:val="0"/>
      <w:marRight w:val="0"/>
      <w:marTop w:val="0"/>
      <w:marBottom w:val="0"/>
      <w:divBdr>
        <w:top w:val="none" w:sz="0" w:space="0" w:color="auto"/>
        <w:left w:val="none" w:sz="0" w:space="0" w:color="auto"/>
        <w:bottom w:val="none" w:sz="0" w:space="0" w:color="auto"/>
        <w:right w:val="none" w:sz="0" w:space="0" w:color="auto"/>
      </w:divBdr>
    </w:div>
    <w:div w:id="1824615090">
      <w:bodyDiv w:val="1"/>
      <w:marLeft w:val="0"/>
      <w:marRight w:val="0"/>
      <w:marTop w:val="0"/>
      <w:marBottom w:val="0"/>
      <w:divBdr>
        <w:top w:val="none" w:sz="0" w:space="0" w:color="auto"/>
        <w:left w:val="none" w:sz="0" w:space="0" w:color="auto"/>
        <w:bottom w:val="none" w:sz="0" w:space="0" w:color="auto"/>
        <w:right w:val="none" w:sz="0" w:space="0" w:color="auto"/>
      </w:divBdr>
    </w:div>
    <w:div w:id="1853758845">
      <w:bodyDiv w:val="1"/>
      <w:marLeft w:val="0"/>
      <w:marRight w:val="0"/>
      <w:marTop w:val="0"/>
      <w:marBottom w:val="0"/>
      <w:divBdr>
        <w:top w:val="none" w:sz="0" w:space="0" w:color="auto"/>
        <w:left w:val="none" w:sz="0" w:space="0" w:color="auto"/>
        <w:bottom w:val="none" w:sz="0" w:space="0" w:color="auto"/>
        <w:right w:val="none" w:sz="0" w:space="0" w:color="auto"/>
      </w:divBdr>
    </w:div>
    <w:div w:id="1899432234">
      <w:bodyDiv w:val="1"/>
      <w:marLeft w:val="0"/>
      <w:marRight w:val="0"/>
      <w:marTop w:val="0"/>
      <w:marBottom w:val="0"/>
      <w:divBdr>
        <w:top w:val="none" w:sz="0" w:space="0" w:color="auto"/>
        <w:left w:val="none" w:sz="0" w:space="0" w:color="auto"/>
        <w:bottom w:val="none" w:sz="0" w:space="0" w:color="auto"/>
        <w:right w:val="none" w:sz="0" w:space="0" w:color="auto"/>
      </w:divBdr>
    </w:div>
    <w:div w:id="1954440404">
      <w:bodyDiv w:val="1"/>
      <w:marLeft w:val="0"/>
      <w:marRight w:val="0"/>
      <w:marTop w:val="0"/>
      <w:marBottom w:val="0"/>
      <w:divBdr>
        <w:top w:val="none" w:sz="0" w:space="0" w:color="auto"/>
        <w:left w:val="none" w:sz="0" w:space="0" w:color="auto"/>
        <w:bottom w:val="none" w:sz="0" w:space="0" w:color="auto"/>
        <w:right w:val="none" w:sz="0" w:space="0" w:color="auto"/>
      </w:divBdr>
    </w:div>
    <w:div w:id="1992977452">
      <w:bodyDiv w:val="1"/>
      <w:marLeft w:val="0"/>
      <w:marRight w:val="0"/>
      <w:marTop w:val="0"/>
      <w:marBottom w:val="0"/>
      <w:divBdr>
        <w:top w:val="none" w:sz="0" w:space="0" w:color="auto"/>
        <w:left w:val="none" w:sz="0" w:space="0" w:color="auto"/>
        <w:bottom w:val="none" w:sz="0" w:space="0" w:color="auto"/>
        <w:right w:val="none" w:sz="0" w:space="0" w:color="auto"/>
      </w:divBdr>
    </w:div>
    <w:div w:id="2004308944">
      <w:bodyDiv w:val="1"/>
      <w:marLeft w:val="0"/>
      <w:marRight w:val="0"/>
      <w:marTop w:val="0"/>
      <w:marBottom w:val="0"/>
      <w:divBdr>
        <w:top w:val="none" w:sz="0" w:space="0" w:color="auto"/>
        <w:left w:val="none" w:sz="0" w:space="0" w:color="auto"/>
        <w:bottom w:val="none" w:sz="0" w:space="0" w:color="auto"/>
        <w:right w:val="none" w:sz="0" w:space="0" w:color="auto"/>
      </w:divBdr>
    </w:div>
    <w:div w:id="2038190927">
      <w:bodyDiv w:val="1"/>
      <w:marLeft w:val="0"/>
      <w:marRight w:val="0"/>
      <w:marTop w:val="0"/>
      <w:marBottom w:val="0"/>
      <w:divBdr>
        <w:top w:val="none" w:sz="0" w:space="0" w:color="auto"/>
        <w:left w:val="none" w:sz="0" w:space="0" w:color="auto"/>
        <w:bottom w:val="none" w:sz="0" w:space="0" w:color="auto"/>
        <w:right w:val="none" w:sz="0" w:space="0" w:color="auto"/>
      </w:divBdr>
    </w:div>
    <w:div w:id="2051033132">
      <w:bodyDiv w:val="1"/>
      <w:marLeft w:val="0"/>
      <w:marRight w:val="0"/>
      <w:marTop w:val="0"/>
      <w:marBottom w:val="0"/>
      <w:divBdr>
        <w:top w:val="none" w:sz="0" w:space="0" w:color="auto"/>
        <w:left w:val="none" w:sz="0" w:space="0" w:color="auto"/>
        <w:bottom w:val="none" w:sz="0" w:space="0" w:color="auto"/>
        <w:right w:val="none" w:sz="0" w:space="0" w:color="auto"/>
      </w:divBdr>
    </w:div>
    <w:div w:id="2118286096">
      <w:bodyDiv w:val="1"/>
      <w:marLeft w:val="0"/>
      <w:marRight w:val="0"/>
      <w:marTop w:val="0"/>
      <w:marBottom w:val="0"/>
      <w:divBdr>
        <w:top w:val="none" w:sz="0" w:space="0" w:color="auto"/>
        <w:left w:val="none" w:sz="0" w:space="0" w:color="auto"/>
        <w:bottom w:val="none" w:sz="0" w:space="0" w:color="auto"/>
        <w:right w:val="none" w:sz="0" w:space="0" w:color="auto"/>
      </w:divBdr>
    </w:div>
    <w:div w:id="2137217390">
      <w:bodyDiv w:val="1"/>
      <w:marLeft w:val="0"/>
      <w:marRight w:val="0"/>
      <w:marTop w:val="0"/>
      <w:marBottom w:val="0"/>
      <w:divBdr>
        <w:top w:val="none" w:sz="0" w:space="0" w:color="auto"/>
        <w:left w:val="none" w:sz="0" w:space="0" w:color="auto"/>
        <w:bottom w:val="none" w:sz="0" w:space="0" w:color="auto"/>
        <w:right w:val="none" w:sz="0" w:space="0" w:color="auto"/>
      </w:divBdr>
    </w:div>
    <w:div w:id="2142264874">
      <w:bodyDiv w:val="1"/>
      <w:marLeft w:val="0"/>
      <w:marRight w:val="0"/>
      <w:marTop w:val="0"/>
      <w:marBottom w:val="0"/>
      <w:divBdr>
        <w:top w:val="none" w:sz="0" w:space="0" w:color="auto"/>
        <w:left w:val="none" w:sz="0" w:space="0" w:color="auto"/>
        <w:bottom w:val="none" w:sz="0" w:space="0" w:color="auto"/>
        <w:right w:val="none" w:sz="0" w:space="0" w:color="auto"/>
      </w:divBdr>
    </w:div>
    <w:div w:id="2142919717">
      <w:bodyDiv w:val="1"/>
      <w:marLeft w:val="0"/>
      <w:marRight w:val="0"/>
      <w:marTop w:val="0"/>
      <w:marBottom w:val="0"/>
      <w:divBdr>
        <w:top w:val="none" w:sz="0" w:space="0" w:color="auto"/>
        <w:left w:val="none" w:sz="0" w:space="0" w:color="auto"/>
        <w:bottom w:val="none" w:sz="0" w:space="0" w:color="auto"/>
        <w:right w:val="none" w:sz="0" w:space="0" w:color="auto"/>
      </w:divBdr>
    </w:div>
    <w:div w:id="214553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15/ATL.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64FE8-1A2D-46D3-A9F6-C3395D341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4445</Words>
  <Characters>25343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2016-09-28T17:16:00Z</dcterms:created>
  <dcterms:modified xsi:type="dcterms:W3CDTF">2016-09-30T18:33:00Z</dcterms:modified>
</cp:coreProperties>
</file>