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4B6F5" w14:textId="77777777" w:rsidR="0093270B" w:rsidRPr="00B504FE" w:rsidRDefault="000D68AB" w:rsidP="000F03B3">
      <w:pPr>
        <w:spacing w:after="120"/>
        <w:jc w:val="center"/>
        <w:rPr>
          <w:b/>
          <w:szCs w:val="24"/>
        </w:rPr>
      </w:pPr>
      <w:r w:rsidRPr="00B504FE">
        <w:rPr>
          <w:b/>
          <w:szCs w:val="24"/>
        </w:rPr>
        <w:t>Evaluation of Enhancing HIV Prevention Communication and Mobilization Efforts through Strategic Partnerships</w:t>
      </w:r>
    </w:p>
    <w:p w14:paraId="1AFBAB66" w14:textId="0793E843" w:rsidR="00745F55" w:rsidRPr="00B504FE" w:rsidRDefault="00745F55" w:rsidP="000F03B3">
      <w:pPr>
        <w:spacing w:after="120"/>
        <w:jc w:val="center"/>
        <w:rPr>
          <w:b/>
          <w:szCs w:val="24"/>
        </w:rPr>
      </w:pPr>
      <w:r w:rsidRPr="00B504FE">
        <w:rPr>
          <w:b/>
          <w:szCs w:val="24"/>
        </w:rPr>
        <w:t>OMB No. 0920-</w:t>
      </w:r>
      <w:r w:rsidR="006650D8" w:rsidRPr="00B504FE">
        <w:rPr>
          <w:b/>
          <w:szCs w:val="24"/>
        </w:rPr>
        <w:t>16LL</w:t>
      </w:r>
    </w:p>
    <w:p w14:paraId="43EB2C17" w14:textId="77777777" w:rsidR="00745F55" w:rsidRPr="00B504FE" w:rsidRDefault="00745F55" w:rsidP="000F03B3">
      <w:pPr>
        <w:spacing w:after="120"/>
        <w:jc w:val="center"/>
        <w:rPr>
          <w:b/>
          <w:szCs w:val="24"/>
        </w:rPr>
      </w:pPr>
    </w:p>
    <w:p w14:paraId="30074580" w14:textId="77777777" w:rsidR="00745F55" w:rsidRPr="00B504FE" w:rsidRDefault="00745F55" w:rsidP="000F03B3">
      <w:pPr>
        <w:spacing w:after="120"/>
        <w:jc w:val="center"/>
        <w:rPr>
          <w:b/>
          <w:szCs w:val="24"/>
        </w:rPr>
      </w:pPr>
    </w:p>
    <w:p w14:paraId="2201FC7E" w14:textId="77777777" w:rsidR="0093270B" w:rsidRPr="00B504FE" w:rsidRDefault="0093270B" w:rsidP="000F03B3">
      <w:pPr>
        <w:spacing w:after="120"/>
        <w:jc w:val="center"/>
        <w:rPr>
          <w:b/>
          <w:szCs w:val="24"/>
        </w:rPr>
      </w:pPr>
      <w:r w:rsidRPr="00B504FE">
        <w:rPr>
          <w:b/>
          <w:szCs w:val="24"/>
        </w:rPr>
        <w:t>Supporting Statement A</w:t>
      </w:r>
    </w:p>
    <w:p w14:paraId="41404211" w14:textId="77777777" w:rsidR="00745F55" w:rsidRPr="00B504FE" w:rsidRDefault="00745F55" w:rsidP="000F03B3">
      <w:pPr>
        <w:spacing w:after="120"/>
        <w:jc w:val="center"/>
        <w:rPr>
          <w:b/>
          <w:szCs w:val="24"/>
        </w:rPr>
      </w:pPr>
    </w:p>
    <w:p w14:paraId="59336D47" w14:textId="77777777" w:rsidR="00745F55" w:rsidRPr="00B504FE" w:rsidRDefault="00745F55" w:rsidP="000F03B3">
      <w:pPr>
        <w:spacing w:after="120"/>
        <w:jc w:val="center"/>
        <w:rPr>
          <w:b/>
          <w:szCs w:val="24"/>
        </w:rPr>
      </w:pPr>
    </w:p>
    <w:p w14:paraId="24F4143C" w14:textId="77777777" w:rsidR="00745F55" w:rsidRPr="00B504FE" w:rsidRDefault="00745F55" w:rsidP="000F03B3">
      <w:pPr>
        <w:spacing w:after="120"/>
        <w:jc w:val="center"/>
        <w:rPr>
          <w:b/>
          <w:szCs w:val="24"/>
        </w:rPr>
      </w:pPr>
    </w:p>
    <w:p w14:paraId="42B91AA9" w14:textId="77777777" w:rsidR="00E66675" w:rsidRPr="00B504FE" w:rsidRDefault="00E66675" w:rsidP="000F03B3">
      <w:pPr>
        <w:spacing w:after="120"/>
        <w:jc w:val="center"/>
        <w:rPr>
          <w:b/>
          <w:szCs w:val="24"/>
        </w:rPr>
      </w:pPr>
    </w:p>
    <w:p w14:paraId="5240AF91" w14:textId="4A02205E" w:rsidR="00E66675" w:rsidRPr="00B504FE" w:rsidRDefault="000B1E1E" w:rsidP="000F03B3">
      <w:pPr>
        <w:spacing w:after="120"/>
        <w:jc w:val="center"/>
        <w:rPr>
          <w:b/>
          <w:szCs w:val="24"/>
        </w:rPr>
      </w:pPr>
      <w:r>
        <w:rPr>
          <w:b/>
          <w:szCs w:val="24"/>
        </w:rPr>
        <w:t>February 2</w:t>
      </w:r>
      <w:r w:rsidR="000E42F6" w:rsidRPr="00B504FE">
        <w:rPr>
          <w:b/>
          <w:szCs w:val="24"/>
        </w:rPr>
        <w:t xml:space="preserve">, </w:t>
      </w:r>
      <w:r w:rsidRPr="00B504FE">
        <w:rPr>
          <w:b/>
          <w:szCs w:val="24"/>
        </w:rPr>
        <w:t>201</w:t>
      </w:r>
      <w:r>
        <w:rPr>
          <w:b/>
          <w:szCs w:val="24"/>
        </w:rPr>
        <w:t>7</w:t>
      </w:r>
    </w:p>
    <w:p w14:paraId="169C3647" w14:textId="77777777" w:rsidR="000E17DF" w:rsidRPr="00B504FE" w:rsidRDefault="000E17DF" w:rsidP="000F03B3">
      <w:pPr>
        <w:spacing w:after="120"/>
        <w:jc w:val="center"/>
        <w:rPr>
          <w:szCs w:val="24"/>
        </w:rPr>
      </w:pPr>
    </w:p>
    <w:p w14:paraId="01DB0B27" w14:textId="77777777" w:rsidR="00745F55" w:rsidRPr="00B504FE" w:rsidRDefault="00745F55" w:rsidP="000F03B3">
      <w:pPr>
        <w:spacing w:after="120"/>
        <w:jc w:val="center"/>
        <w:rPr>
          <w:szCs w:val="24"/>
        </w:rPr>
      </w:pPr>
    </w:p>
    <w:p w14:paraId="4B4783FA" w14:textId="77777777" w:rsidR="00745F55" w:rsidRPr="00B504FE" w:rsidRDefault="00745F55" w:rsidP="000F03B3">
      <w:pPr>
        <w:spacing w:after="120"/>
        <w:jc w:val="center"/>
        <w:rPr>
          <w:szCs w:val="24"/>
        </w:rPr>
      </w:pPr>
    </w:p>
    <w:p w14:paraId="119ED921" w14:textId="77777777" w:rsidR="00745F55" w:rsidRPr="00B504FE" w:rsidRDefault="00745F55" w:rsidP="000F03B3">
      <w:pPr>
        <w:spacing w:after="120"/>
        <w:jc w:val="center"/>
        <w:rPr>
          <w:szCs w:val="24"/>
        </w:rPr>
      </w:pPr>
    </w:p>
    <w:p w14:paraId="15FC8029" w14:textId="77777777" w:rsidR="00745F55" w:rsidRPr="00B504FE" w:rsidRDefault="00745F55" w:rsidP="000F03B3">
      <w:pPr>
        <w:spacing w:after="120"/>
        <w:jc w:val="center"/>
        <w:rPr>
          <w:szCs w:val="24"/>
        </w:rPr>
      </w:pPr>
    </w:p>
    <w:p w14:paraId="12CD6F14" w14:textId="77777777" w:rsidR="0093270B" w:rsidRPr="00B504FE" w:rsidRDefault="0093270B" w:rsidP="000F03B3">
      <w:pPr>
        <w:spacing w:after="120"/>
        <w:contextualSpacing/>
        <w:jc w:val="center"/>
        <w:rPr>
          <w:szCs w:val="24"/>
        </w:rPr>
      </w:pPr>
      <w:r w:rsidRPr="00B504FE">
        <w:rPr>
          <w:szCs w:val="24"/>
        </w:rPr>
        <w:t>Contact Person:</w:t>
      </w:r>
    </w:p>
    <w:p w14:paraId="6E2AFEFF" w14:textId="77777777" w:rsidR="0093270B" w:rsidRPr="00B504FE" w:rsidRDefault="00506F0B" w:rsidP="000F03B3">
      <w:pPr>
        <w:spacing w:after="120"/>
        <w:contextualSpacing/>
        <w:jc w:val="center"/>
        <w:rPr>
          <w:szCs w:val="24"/>
        </w:rPr>
      </w:pPr>
      <w:r w:rsidRPr="00B504FE">
        <w:rPr>
          <w:szCs w:val="24"/>
        </w:rPr>
        <w:t>Euna M. August</w:t>
      </w:r>
      <w:r w:rsidR="0093270B" w:rsidRPr="00B504FE">
        <w:rPr>
          <w:szCs w:val="24"/>
        </w:rPr>
        <w:t>, PhD</w:t>
      </w:r>
      <w:r w:rsidR="00694306" w:rsidRPr="00B504FE">
        <w:rPr>
          <w:szCs w:val="24"/>
        </w:rPr>
        <w:t>, MPH</w:t>
      </w:r>
    </w:p>
    <w:p w14:paraId="02856757" w14:textId="77777777" w:rsidR="00343605" w:rsidRPr="00B504FE" w:rsidRDefault="00343605" w:rsidP="000F03B3">
      <w:pPr>
        <w:spacing w:after="120"/>
        <w:contextualSpacing/>
        <w:jc w:val="center"/>
        <w:rPr>
          <w:szCs w:val="24"/>
        </w:rPr>
      </w:pPr>
      <w:r w:rsidRPr="00B504FE">
        <w:rPr>
          <w:szCs w:val="24"/>
        </w:rPr>
        <w:t>Prevention Communication Branch</w:t>
      </w:r>
    </w:p>
    <w:p w14:paraId="52DA1AE5" w14:textId="77777777" w:rsidR="0093270B" w:rsidRPr="00B504FE" w:rsidRDefault="0093270B" w:rsidP="000F03B3">
      <w:pPr>
        <w:spacing w:after="120"/>
        <w:contextualSpacing/>
        <w:jc w:val="center"/>
        <w:rPr>
          <w:szCs w:val="24"/>
        </w:rPr>
      </w:pPr>
      <w:r w:rsidRPr="00B504FE">
        <w:rPr>
          <w:szCs w:val="24"/>
        </w:rPr>
        <w:t>Division for HIV/AIDS Prevention</w:t>
      </w:r>
    </w:p>
    <w:p w14:paraId="14469611" w14:textId="77777777" w:rsidR="0093270B" w:rsidRPr="00B504FE" w:rsidRDefault="0093270B" w:rsidP="000F03B3">
      <w:pPr>
        <w:spacing w:after="120"/>
        <w:contextualSpacing/>
        <w:jc w:val="center"/>
        <w:rPr>
          <w:szCs w:val="24"/>
        </w:rPr>
      </w:pPr>
      <w:r w:rsidRPr="00B504FE">
        <w:rPr>
          <w:szCs w:val="24"/>
        </w:rPr>
        <w:t>Centers for Disease Control and Prevention</w:t>
      </w:r>
    </w:p>
    <w:p w14:paraId="72F7D09B" w14:textId="77777777" w:rsidR="0093270B" w:rsidRPr="00B504FE" w:rsidRDefault="00561A60" w:rsidP="000F03B3">
      <w:pPr>
        <w:spacing w:after="120"/>
        <w:contextualSpacing/>
        <w:jc w:val="center"/>
        <w:rPr>
          <w:szCs w:val="24"/>
        </w:rPr>
      </w:pPr>
      <w:r w:rsidRPr="00561A60">
        <w:rPr>
          <w:szCs w:val="24"/>
        </w:rPr>
        <w:t>1600 Clifton Road NE, MS E-49</w:t>
      </w:r>
      <w:r w:rsidR="0093270B" w:rsidRPr="00B504FE">
        <w:rPr>
          <w:szCs w:val="24"/>
        </w:rPr>
        <w:t xml:space="preserve"> </w:t>
      </w:r>
    </w:p>
    <w:p w14:paraId="280AC09F" w14:textId="77777777" w:rsidR="0093270B" w:rsidRPr="00B504FE" w:rsidRDefault="0093270B" w:rsidP="000F03B3">
      <w:pPr>
        <w:spacing w:after="120"/>
        <w:contextualSpacing/>
        <w:jc w:val="center"/>
        <w:rPr>
          <w:szCs w:val="24"/>
        </w:rPr>
      </w:pPr>
      <w:r w:rsidRPr="00B504FE">
        <w:rPr>
          <w:szCs w:val="24"/>
        </w:rPr>
        <w:t xml:space="preserve">Atlanta, GA </w:t>
      </w:r>
      <w:r w:rsidR="00561A60" w:rsidRPr="00B504FE">
        <w:rPr>
          <w:szCs w:val="24"/>
        </w:rPr>
        <w:t>303</w:t>
      </w:r>
      <w:r w:rsidR="00561A60">
        <w:rPr>
          <w:szCs w:val="24"/>
        </w:rPr>
        <w:t>33</w:t>
      </w:r>
    </w:p>
    <w:p w14:paraId="3F8C6668" w14:textId="77777777" w:rsidR="0093270B" w:rsidRPr="00B504FE" w:rsidRDefault="00603DBB" w:rsidP="000F03B3">
      <w:pPr>
        <w:spacing w:after="120"/>
        <w:contextualSpacing/>
        <w:jc w:val="center"/>
        <w:rPr>
          <w:szCs w:val="24"/>
        </w:rPr>
      </w:pPr>
      <w:r w:rsidRPr="00B504FE">
        <w:rPr>
          <w:szCs w:val="24"/>
        </w:rPr>
        <w:t>Telephone: (404) 639-</w:t>
      </w:r>
      <w:r w:rsidR="00506F0B" w:rsidRPr="00B504FE">
        <w:rPr>
          <w:szCs w:val="24"/>
        </w:rPr>
        <w:t>8297</w:t>
      </w:r>
    </w:p>
    <w:p w14:paraId="08418B09" w14:textId="77777777" w:rsidR="0093270B" w:rsidRPr="00B504FE" w:rsidRDefault="0093270B" w:rsidP="000F03B3">
      <w:pPr>
        <w:spacing w:after="120"/>
        <w:contextualSpacing/>
        <w:jc w:val="center"/>
        <w:rPr>
          <w:szCs w:val="24"/>
        </w:rPr>
      </w:pPr>
      <w:r w:rsidRPr="00B504FE">
        <w:rPr>
          <w:szCs w:val="24"/>
        </w:rPr>
        <w:t>Fax: (404) 639-2007</w:t>
      </w:r>
    </w:p>
    <w:p w14:paraId="557F9749" w14:textId="77777777" w:rsidR="0093270B" w:rsidRPr="00561A60" w:rsidRDefault="00603DBB" w:rsidP="000F03B3">
      <w:pPr>
        <w:spacing w:after="120"/>
        <w:contextualSpacing/>
        <w:jc w:val="center"/>
        <w:rPr>
          <w:szCs w:val="24"/>
        </w:rPr>
      </w:pPr>
      <w:r w:rsidRPr="00561A60">
        <w:rPr>
          <w:szCs w:val="24"/>
        </w:rPr>
        <w:t xml:space="preserve">Email: </w:t>
      </w:r>
      <w:r w:rsidR="00561A60" w:rsidRPr="00561A60">
        <w:rPr>
          <w:szCs w:val="24"/>
        </w:rPr>
        <w:t>wvj3@cdc.gov</w:t>
      </w:r>
    </w:p>
    <w:p w14:paraId="1ADB9C25" w14:textId="77777777" w:rsidR="007E6CF5" w:rsidRPr="00B504FE" w:rsidRDefault="004920ED" w:rsidP="000F03B3">
      <w:pPr>
        <w:jc w:val="center"/>
        <w:rPr>
          <w:b/>
          <w:szCs w:val="24"/>
        </w:rPr>
      </w:pPr>
      <w:r w:rsidRPr="00B504FE">
        <w:rPr>
          <w:b/>
          <w:caps/>
          <w:szCs w:val="24"/>
        </w:rPr>
        <w:br w:type="page"/>
      </w:r>
      <w:r w:rsidR="007E6CF5" w:rsidRPr="00B504FE">
        <w:rPr>
          <w:b/>
          <w:szCs w:val="24"/>
        </w:rPr>
        <w:lastRenderedPageBreak/>
        <w:t>Table of Contents</w:t>
      </w:r>
    </w:p>
    <w:p w14:paraId="7601FBFF" w14:textId="77777777" w:rsidR="00343605" w:rsidRPr="00B504FE" w:rsidRDefault="00343605" w:rsidP="000F03B3">
      <w:pPr>
        <w:rPr>
          <w:b/>
          <w:szCs w:val="24"/>
        </w:rPr>
      </w:pPr>
    </w:p>
    <w:p w14:paraId="452D6D8F" w14:textId="77777777" w:rsidR="007E6CF5" w:rsidRPr="00B504FE" w:rsidRDefault="007E6CF5" w:rsidP="000F03B3">
      <w:pPr>
        <w:rPr>
          <w:b/>
          <w:szCs w:val="24"/>
        </w:rPr>
      </w:pPr>
      <w:r w:rsidRPr="00B504FE">
        <w:rPr>
          <w:b/>
          <w:szCs w:val="24"/>
        </w:rPr>
        <w:t>A.</w:t>
      </w:r>
      <w:r w:rsidRPr="00B504FE">
        <w:rPr>
          <w:b/>
          <w:szCs w:val="24"/>
        </w:rPr>
        <w:tab/>
        <w:t>J</w:t>
      </w:r>
      <w:bookmarkStart w:id="0" w:name="_Hlt183338538"/>
      <w:bookmarkStart w:id="1" w:name="_Hlt183338539"/>
      <w:r w:rsidRPr="00B504FE">
        <w:rPr>
          <w:b/>
          <w:szCs w:val="24"/>
        </w:rPr>
        <w:t>u</w:t>
      </w:r>
      <w:bookmarkEnd w:id="0"/>
      <w:bookmarkEnd w:id="1"/>
      <w:r w:rsidRPr="00B504FE">
        <w:rPr>
          <w:b/>
          <w:szCs w:val="24"/>
        </w:rPr>
        <w:t>stification</w:t>
      </w:r>
    </w:p>
    <w:p w14:paraId="7AD0CD9A" w14:textId="77777777" w:rsidR="007E6CF5" w:rsidRPr="00B504FE" w:rsidRDefault="007E6CF5" w:rsidP="000F03B3">
      <w:pPr>
        <w:numPr>
          <w:ilvl w:val="0"/>
          <w:numId w:val="22"/>
        </w:numPr>
        <w:autoSpaceDE/>
        <w:autoSpaceDN/>
        <w:adjustRightInd/>
        <w:rPr>
          <w:szCs w:val="24"/>
        </w:rPr>
      </w:pPr>
      <w:r w:rsidRPr="00B504FE">
        <w:rPr>
          <w:szCs w:val="24"/>
        </w:rPr>
        <w:t>Circumstances Making</w:t>
      </w:r>
      <w:bookmarkStart w:id="2" w:name="_Hlt181421206"/>
      <w:r w:rsidRPr="00B504FE">
        <w:rPr>
          <w:szCs w:val="24"/>
        </w:rPr>
        <w:t xml:space="preserve"> </w:t>
      </w:r>
      <w:bookmarkEnd w:id="2"/>
      <w:r w:rsidRPr="00B504FE">
        <w:rPr>
          <w:szCs w:val="24"/>
        </w:rPr>
        <w:t xml:space="preserve">the Collection of Information Necessary </w:t>
      </w:r>
    </w:p>
    <w:p w14:paraId="376C982A" w14:textId="77777777" w:rsidR="007E6CF5" w:rsidRPr="00B504FE" w:rsidRDefault="007E6CF5" w:rsidP="000F03B3">
      <w:pPr>
        <w:numPr>
          <w:ilvl w:val="0"/>
          <w:numId w:val="22"/>
        </w:numPr>
        <w:autoSpaceDE/>
        <w:autoSpaceDN/>
        <w:adjustRightInd/>
        <w:rPr>
          <w:szCs w:val="24"/>
        </w:rPr>
      </w:pPr>
      <w:r w:rsidRPr="00B504FE">
        <w:rPr>
          <w:szCs w:val="24"/>
        </w:rPr>
        <w:t xml:space="preserve">Purpose and Use of Information Collection </w:t>
      </w:r>
    </w:p>
    <w:p w14:paraId="5C16499D" w14:textId="77777777" w:rsidR="007E6CF5" w:rsidRPr="00B504FE" w:rsidRDefault="007E6CF5" w:rsidP="00FD64D1">
      <w:pPr>
        <w:numPr>
          <w:ilvl w:val="0"/>
          <w:numId w:val="22"/>
        </w:numPr>
        <w:autoSpaceDE/>
        <w:autoSpaceDN/>
        <w:adjustRightInd/>
        <w:rPr>
          <w:szCs w:val="24"/>
        </w:rPr>
      </w:pPr>
      <w:r w:rsidRPr="00B504FE">
        <w:rPr>
          <w:szCs w:val="24"/>
        </w:rPr>
        <w:t>Use of Improved Information Technology and Burden Reduction</w:t>
      </w:r>
    </w:p>
    <w:p w14:paraId="5E12FB61" w14:textId="77777777" w:rsidR="007E6CF5" w:rsidRPr="00B504FE" w:rsidRDefault="007E6CF5" w:rsidP="00FD64D1">
      <w:pPr>
        <w:numPr>
          <w:ilvl w:val="0"/>
          <w:numId w:val="22"/>
        </w:numPr>
        <w:autoSpaceDE/>
        <w:autoSpaceDN/>
        <w:adjustRightInd/>
        <w:rPr>
          <w:szCs w:val="24"/>
        </w:rPr>
      </w:pPr>
      <w:r w:rsidRPr="00B504FE">
        <w:rPr>
          <w:szCs w:val="24"/>
        </w:rPr>
        <w:t xml:space="preserve">Efforts to Identify Duplication and Use of Similar Information </w:t>
      </w:r>
    </w:p>
    <w:p w14:paraId="19428EEF" w14:textId="77777777" w:rsidR="007E6CF5" w:rsidRPr="00B504FE" w:rsidRDefault="007E6CF5" w:rsidP="00FD64D1">
      <w:pPr>
        <w:numPr>
          <w:ilvl w:val="0"/>
          <w:numId w:val="22"/>
        </w:numPr>
        <w:autoSpaceDE/>
        <w:autoSpaceDN/>
        <w:adjustRightInd/>
        <w:rPr>
          <w:szCs w:val="24"/>
        </w:rPr>
      </w:pPr>
      <w:r w:rsidRPr="00B504FE">
        <w:rPr>
          <w:szCs w:val="24"/>
        </w:rPr>
        <w:t>Impact on Small Businesses or Other Small Entities</w:t>
      </w:r>
    </w:p>
    <w:p w14:paraId="2972205F" w14:textId="77777777" w:rsidR="007E6CF5" w:rsidRPr="00B504FE" w:rsidRDefault="007E6CF5" w:rsidP="00FD64D1">
      <w:pPr>
        <w:numPr>
          <w:ilvl w:val="0"/>
          <w:numId w:val="22"/>
        </w:numPr>
        <w:autoSpaceDE/>
        <w:autoSpaceDN/>
        <w:adjustRightInd/>
        <w:rPr>
          <w:szCs w:val="24"/>
        </w:rPr>
      </w:pPr>
      <w:r w:rsidRPr="00B504FE">
        <w:rPr>
          <w:szCs w:val="24"/>
        </w:rPr>
        <w:t xml:space="preserve">Consequences of Collecting the Information Less frequently </w:t>
      </w:r>
    </w:p>
    <w:p w14:paraId="1A50A32C" w14:textId="77777777" w:rsidR="007E6CF5" w:rsidRPr="00B504FE" w:rsidRDefault="007E6CF5" w:rsidP="00FD64D1">
      <w:pPr>
        <w:numPr>
          <w:ilvl w:val="0"/>
          <w:numId w:val="22"/>
        </w:numPr>
        <w:autoSpaceDE/>
        <w:autoSpaceDN/>
        <w:adjustRightInd/>
        <w:rPr>
          <w:szCs w:val="24"/>
        </w:rPr>
      </w:pPr>
      <w:r w:rsidRPr="00B504FE">
        <w:rPr>
          <w:szCs w:val="24"/>
        </w:rPr>
        <w:t xml:space="preserve">Special Circumstances Relating to the Guidelines of 5 CFR 1320.5 </w:t>
      </w:r>
    </w:p>
    <w:p w14:paraId="22908D7A" w14:textId="77777777" w:rsidR="007E6CF5" w:rsidRPr="00B504FE" w:rsidRDefault="007E6CF5" w:rsidP="00FD64D1">
      <w:pPr>
        <w:numPr>
          <w:ilvl w:val="0"/>
          <w:numId w:val="22"/>
        </w:numPr>
        <w:autoSpaceDE/>
        <w:autoSpaceDN/>
        <w:adjustRightInd/>
        <w:rPr>
          <w:szCs w:val="24"/>
        </w:rPr>
      </w:pPr>
      <w:r w:rsidRPr="00B504FE">
        <w:rPr>
          <w:szCs w:val="24"/>
        </w:rPr>
        <w:t xml:space="preserve">Comments in Response to the Federal Register Notice and Efforts to Consult Outside the Agency </w:t>
      </w:r>
    </w:p>
    <w:p w14:paraId="1E904788" w14:textId="77777777" w:rsidR="003D4780" w:rsidRPr="00B504FE" w:rsidRDefault="007E6CF5" w:rsidP="00FD64D1">
      <w:pPr>
        <w:numPr>
          <w:ilvl w:val="0"/>
          <w:numId w:val="22"/>
        </w:numPr>
        <w:autoSpaceDE/>
        <w:autoSpaceDN/>
        <w:adjustRightInd/>
        <w:rPr>
          <w:szCs w:val="24"/>
        </w:rPr>
      </w:pPr>
      <w:r w:rsidRPr="00B504FE">
        <w:rPr>
          <w:szCs w:val="24"/>
        </w:rPr>
        <w:t xml:space="preserve">Explanation of Any </w:t>
      </w:r>
      <w:r w:rsidR="003D4780" w:rsidRPr="00B504FE">
        <w:rPr>
          <w:szCs w:val="24"/>
        </w:rPr>
        <w:t xml:space="preserve">Payment or Gift to Respondents </w:t>
      </w:r>
    </w:p>
    <w:p w14:paraId="2014E774" w14:textId="77777777" w:rsidR="007E6CF5" w:rsidRPr="00B504FE" w:rsidRDefault="009E2331" w:rsidP="00FD64D1">
      <w:pPr>
        <w:numPr>
          <w:ilvl w:val="0"/>
          <w:numId w:val="22"/>
        </w:numPr>
        <w:autoSpaceDE/>
        <w:autoSpaceDN/>
        <w:adjustRightInd/>
        <w:rPr>
          <w:szCs w:val="24"/>
        </w:rPr>
      </w:pPr>
      <w:r w:rsidRPr="00B504FE">
        <w:rPr>
          <w:szCs w:val="24"/>
        </w:rPr>
        <w:t>Protection of the Privacy and Confidentiality of Information Provided by Respondents</w:t>
      </w:r>
    </w:p>
    <w:p w14:paraId="5D0005B6" w14:textId="77777777" w:rsidR="007E6CF5" w:rsidRPr="00B504FE" w:rsidRDefault="009E2331" w:rsidP="00FD64D1">
      <w:pPr>
        <w:numPr>
          <w:ilvl w:val="0"/>
          <w:numId w:val="22"/>
        </w:numPr>
        <w:autoSpaceDE/>
        <w:autoSpaceDN/>
        <w:adjustRightInd/>
        <w:rPr>
          <w:szCs w:val="24"/>
        </w:rPr>
      </w:pPr>
      <w:r w:rsidRPr="00B504FE">
        <w:rPr>
          <w:szCs w:val="24"/>
        </w:rPr>
        <w:t xml:space="preserve">Institutional Review Board (IRB) and </w:t>
      </w:r>
      <w:r w:rsidR="007E6CF5" w:rsidRPr="00B504FE">
        <w:rPr>
          <w:szCs w:val="24"/>
        </w:rPr>
        <w:t xml:space="preserve">Justification for Sensitive Questions </w:t>
      </w:r>
    </w:p>
    <w:p w14:paraId="64E7F646" w14:textId="77777777" w:rsidR="007E6CF5" w:rsidRPr="00B504FE" w:rsidRDefault="007E6CF5" w:rsidP="00FD64D1">
      <w:pPr>
        <w:numPr>
          <w:ilvl w:val="0"/>
          <w:numId w:val="22"/>
        </w:numPr>
        <w:autoSpaceDE/>
        <w:autoSpaceDN/>
        <w:adjustRightInd/>
        <w:rPr>
          <w:szCs w:val="24"/>
        </w:rPr>
      </w:pPr>
      <w:r w:rsidRPr="00B504FE">
        <w:rPr>
          <w:szCs w:val="24"/>
        </w:rPr>
        <w:t xml:space="preserve">Estimates of Annualized Burden Hours and Costs </w:t>
      </w:r>
    </w:p>
    <w:p w14:paraId="31DFCF7F" w14:textId="77777777" w:rsidR="007E6CF5" w:rsidRPr="00B504FE" w:rsidRDefault="007E6CF5" w:rsidP="00FD64D1">
      <w:pPr>
        <w:numPr>
          <w:ilvl w:val="0"/>
          <w:numId w:val="22"/>
        </w:numPr>
        <w:autoSpaceDE/>
        <w:autoSpaceDN/>
        <w:adjustRightInd/>
        <w:rPr>
          <w:szCs w:val="24"/>
        </w:rPr>
      </w:pPr>
      <w:r w:rsidRPr="00B504FE">
        <w:rPr>
          <w:szCs w:val="24"/>
        </w:rPr>
        <w:t xml:space="preserve">Estimates of Other Total Annual Cost Burden to Respondents and Record Keepers </w:t>
      </w:r>
    </w:p>
    <w:p w14:paraId="7227FC79" w14:textId="77777777" w:rsidR="007E6CF5" w:rsidRPr="00B504FE" w:rsidRDefault="007E6CF5" w:rsidP="00FD64D1">
      <w:pPr>
        <w:numPr>
          <w:ilvl w:val="0"/>
          <w:numId w:val="22"/>
        </w:numPr>
        <w:autoSpaceDE/>
        <w:autoSpaceDN/>
        <w:adjustRightInd/>
        <w:rPr>
          <w:szCs w:val="24"/>
        </w:rPr>
      </w:pPr>
      <w:r w:rsidRPr="00B504FE">
        <w:rPr>
          <w:szCs w:val="24"/>
        </w:rPr>
        <w:t xml:space="preserve">Annualized Cost to the Government </w:t>
      </w:r>
    </w:p>
    <w:p w14:paraId="030D96C9" w14:textId="77777777" w:rsidR="007E6CF5" w:rsidRPr="00B504FE" w:rsidRDefault="007E6CF5" w:rsidP="00FD64D1">
      <w:pPr>
        <w:numPr>
          <w:ilvl w:val="0"/>
          <w:numId w:val="22"/>
        </w:numPr>
        <w:autoSpaceDE/>
        <w:autoSpaceDN/>
        <w:adjustRightInd/>
        <w:rPr>
          <w:szCs w:val="24"/>
        </w:rPr>
      </w:pPr>
      <w:r w:rsidRPr="00B504FE">
        <w:rPr>
          <w:szCs w:val="24"/>
        </w:rPr>
        <w:t xml:space="preserve">Explanation for Program Changes or Adjustments </w:t>
      </w:r>
    </w:p>
    <w:p w14:paraId="3B5E54FE" w14:textId="77777777" w:rsidR="007E6CF5" w:rsidRPr="00B504FE" w:rsidRDefault="007E6CF5" w:rsidP="00FD64D1">
      <w:pPr>
        <w:numPr>
          <w:ilvl w:val="0"/>
          <w:numId w:val="22"/>
        </w:numPr>
        <w:autoSpaceDE/>
        <w:autoSpaceDN/>
        <w:adjustRightInd/>
        <w:rPr>
          <w:szCs w:val="24"/>
        </w:rPr>
      </w:pPr>
      <w:r w:rsidRPr="00B504FE">
        <w:rPr>
          <w:szCs w:val="24"/>
        </w:rPr>
        <w:t xml:space="preserve">Plans for Tabulation and Publication and Project Time Schedule </w:t>
      </w:r>
    </w:p>
    <w:p w14:paraId="2CEF620E" w14:textId="77777777" w:rsidR="00603DBB" w:rsidRPr="00B504FE" w:rsidRDefault="007E6CF5" w:rsidP="00FD64D1">
      <w:pPr>
        <w:numPr>
          <w:ilvl w:val="0"/>
          <w:numId w:val="22"/>
        </w:numPr>
        <w:autoSpaceDE/>
        <w:autoSpaceDN/>
        <w:adjustRightInd/>
        <w:rPr>
          <w:szCs w:val="24"/>
        </w:rPr>
      </w:pPr>
      <w:r w:rsidRPr="00B504FE">
        <w:rPr>
          <w:szCs w:val="24"/>
        </w:rPr>
        <w:t>Reason(s) Display of OMB Expiration Date is Inappropriate</w:t>
      </w:r>
    </w:p>
    <w:p w14:paraId="76916C07" w14:textId="77777777" w:rsidR="00A57A04" w:rsidRPr="00B504FE" w:rsidRDefault="007E6CF5" w:rsidP="00FD64D1">
      <w:pPr>
        <w:numPr>
          <w:ilvl w:val="0"/>
          <w:numId w:val="22"/>
        </w:numPr>
        <w:autoSpaceDE/>
        <w:autoSpaceDN/>
        <w:adjustRightInd/>
        <w:rPr>
          <w:szCs w:val="24"/>
        </w:rPr>
      </w:pPr>
      <w:r w:rsidRPr="00B504FE">
        <w:rPr>
          <w:szCs w:val="24"/>
        </w:rPr>
        <w:t xml:space="preserve">Exceptions to Certification for Paperwork Reduction Act Submissions </w:t>
      </w:r>
    </w:p>
    <w:p w14:paraId="43EA4A8B" w14:textId="77777777" w:rsidR="00F645B8" w:rsidRPr="00B504FE" w:rsidRDefault="00F645B8" w:rsidP="000F03B3">
      <w:pPr>
        <w:autoSpaceDE/>
        <w:autoSpaceDN/>
        <w:adjustRightInd/>
        <w:rPr>
          <w:szCs w:val="24"/>
        </w:rPr>
      </w:pPr>
    </w:p>
    <w:p w14:paraId="0E3A9608" w14:textId="77777777" w:rsidR="00C36FB2" w:rsidRPr="00B504FE" w:rsidRDefault="00C36FB2" w:rsidP="000F03B3">
      <w:pPr>
        <w:rPr>
          <w:b/>
          <w:szCs w:val="24"/>
        </w:rPr>
      </w:pPr>
      <w:r w:rsidRPr="00B504FE">
        <w:rPr>
          <w:b/>
          <w:szCs w:val="24"/>
        </w:rPr>
        <w:t>B.</w:t>
      </w:r>
      <w:r w:rsidRPr="00B504FE">
        <w:rPr>
          <w:b/>
          <w:szCs w:val="24"/>
        </w:rPr>
        <w:tab/>
        <w:t>Statistical Methods</w:t>
      </w:r>
    </w:p>
    <w:p w14:paraId="789A7B15" w14:textId="77777777" w:rsidR="00C36FB2" w:rsidRPr="00B504FE" w:rsidRDefault="00C36FB2" w:rsidP="000F03B3">
      <w:pPr>
        <w:numPr>
          <w:ilvl w:val="0"/>
          <w:numId w:val="23"/>
        </w:numPr>
        <w:rPr>
          <w:szCs w:val="24"/>
        </w:rPr>
      </w:pPr>
      <w:r w:rsidRPr="00B504FE">
        <w:rPr>
          <w:szCs w:val="24"/>
        </w:rPr>
        <w:t>Respondent Universe and Sampling Methods</w:t>
      </w:r>
    </w:p>
    <w:p w14:paraId="5970CE16" w14:textId="77777777" w:rsidR="00C36FB2" w:rsidRPr="00B504FE" w:rsidRDefault="00C36FB2" w:rsidP="00FD64D1">
      <w:pPr>
        <w:numPr>
          <w:ilvl w:val="0"/>
          <w:numId w:val="23"/>
        </w:numPr>
        <w:rPr>
          <w:szCs w:val="24"/>
        </w:rPr>
      </w:pPr>
      <w:r w:rsidRPr="00B504FE">
        <w:rPr>
          <w:szCs w:val="24"/>
        </w:rPr>
        <w:t>Procedures for the Collection of Information</w:t>
      </w:r>
    </w:p>
    <w:p w14:paraId="579F0CC4" w14:textId="77777777" w:rsidR="00C36FB2" w:rsidRPr="00B504FE" w:rsidRDefault="00C36FB2" w:rsidP="00FD64D1">
      <w:pPr>
        <w:numPr>
          <w:ilvl w:val="0"/>
          <w:numId w:val="23"/>
        </w:numPr>
        <w:rPr>
          <w:szCs w:val="24"/>
        </w:rPr>
      </w:pPr>
      <w:r w:rsidRPr="00B504FE">
        <w:rPr>
          <w:szCs w:val="24"/>
        </w:rPr>
        <w:t>Methods to Maximize Response Rates and Deal with Nonresponse</w:t>
      </w:r>
    </w:p>
    <w:p w14:paraId="0BB98ED4" w14:textId="77777777" w:rsidR="00C36FB2" w:rsidRPr="00B504FE" w:rsidRDefault="00C36FB2" w:rsidP="00FD64D1">
      <w:pPr>
        <w:numPr>
          <w:ilvl w:val="0"/>
          <w:numId w:val="23"/>
        </w:numPr>
        <w:rPr>
          <w:szCs w:val="24"/>
        </w:rPr>
      </w:pPr>
      <w:r w:rsidRPr="00B504FE">
        <w:rPr>
          <w:szCs w:val="24"/>
        </w:rPr>
        <w:t>Test of Procedures or Methods to Be Undertaken</w:t>
      </w:r>
    </w:p>
    <w:p w14:paraId="68A90366" w14:textId="77777777" w:rsidR="00C36FB2" w:rsidRPr="00B504FE" w:rsidRDefault="00C36FB2" w:rsidP="00FD64D1">
      <w:pPr>
        <w:numPr>
          <w:ilvl w:val="0"/>
          <w:numId w:val="23"/>
        </w:numPr>
        <w:rPr>
          <w:b/>
          <w:szCs w:val="24"/>
        </w:rPr>
      </w:pPr>
      <w:r w:rsidRPr="00B504FE">
        <w:rPr>
          <w:szCs w:val="24"/>
        </w:rPr>
        <w:t>Individuals Consulted on Statistical Aspects and Individuals Collecting and/or Analyzing Data</w:t>
      </w:r>
    </w:p>
    <w:p w14:paraId="36F45C96" w14:textId="77777777" w:rsidR="00A57A04" w:rsidRPr="00B504FE" w:rsidRDefault="00A57A04" w:rsidP="000F03B3">
      <w:pPr>
        <w:rPr>
          <w:b/>
          <w:szCs w:val="24"/>
        </w:rPr>
      </w:pPr>
    </w:p>
    <w:p w14:paraId="5790BBFC" w14:textId="77777777" w:rsidR="004648B3" w:rsidRPr="00B504FE" w:rsidRDefault="00A64B7D" w:rsidP="000F03B3">
      <w:pPr>
        <w:ind w:left="900" w:hanging="900"/>
        <w:rPr>
          <w:b/>
          <w:szCs w:val="24"/>
        </w:rPr>
      </w:pPr>
      <w:r w:rsidRPr="00B504FE">
        <w:rPr>
          <w:b/>
          <w:szCs w:val="24"/>
        </w:rPr>
        <w:t>Tables</w:t>
      </w:r>
    </w:p>
    <w:p w14:paraId="6688960D" w14:textId="77777777" w:rsidR="00253964" w:rsidRPr="00B504FE" w:rsidRDefault="00253964" w:rsidP="000F03B3">
      <w:pPr>
        <w:ind w:left="907" w:hanging="907"/>
        <w:rPr>
          <w:szCs w:val="24"/>
        </w:rPr>
      </w:pPr>
      <w:r w:rsidRPr="00B504FE">
        <w:rPr>
          <w:szCs w:val="24"/>
        </w:rPr>
        <w:t>Table A.6.1</w:t>
      </w:r>
      <w:r w:rsidRPr="00B504FE">
        <w:rPr>
          <w:szCs w:val="24"/>
        </w:rPr>
        <w:tab/>
      </w:r>
      <w:r w:rsidR="000D739C" w:rsidRPr="00B504FE">
        <w:rPr>
          <w:szCs w:val="24"/>
        </w:rPr>
        <w:t>Frequency of Data Collection and Justification for Frequency, by Data Source</w:t>
      </w:r>
    </w:p>
    <w:p w14:paraId="20F152F5" w14:textId="77777777" w:rsidR="007E6CF5" w:rsidRPr="00B504FE" w:rsidRDefault="00F157CF" w:rsidP="00FD64D1">
      <w:pPr>
        <w:ind w:left="907" w:hanging="907"/>
        <w:rPr>
          <w:szCs w:val="24"/>
        </w:rPr>
      </w:pPr>
      <w:r w:rsidRPr="00B504FE">
        <w:rPr>
          <w:szCs w:val="24"/>
        </w:rPr>
        <w:t>Table</w:t>
      </w:r>
      <w:r w:rsidR="007E6CF5" w:rsidRPr="00B504FE">
        <w:rPr>
          <w:szCs w:val="24"/>
        </w:rPr>
        <w:t xml:space="preserve"> </w:t>
      </w:r>
      <w:r w:rsidR="00A64B7D" w:rsidRPr="00B504FE">
        <w:rPr>
          <w:szCs w:val="24"/>
        </w:rPr>
        <w:t>A.</w:t>
      </w:r>
      <w:r w:rsidR="007E6CF5" w:rsidRPr="00B504FE">
        <w:rPr>
          <w:szCs w:val="24"/>
        </w:rPr>
        <w:t>1</w:t>
      </w:r>
      <w:r w:rsidRPr="00B504FE">
        <w:rPr>
          <w:szCs w:val="24"/>
        </w:rPr>
        <w:t>2.1</w:t>
      </w:r>
      <w:r w:rsidR="007E6CF5" w:rsidRPr="00B504FE">
        <w:rPr>
          <w:szCs w:val="24"/>
        </w:rPr>
        <w:tab/>
        <w:t>Annualized Burden Hours</w:t>
      </w:r>
    </w:p>
    <w:p w14:paraId="6508397F" w14:textId="77777777" w:rsidR="007E6CF5" w:rsidRPr="00B504FE" w:rsidRDefault="00F157CF" w:rsidP="00FD64D1">
      <w:pPr>
        <w:ind w:left="907" w:hanging="907"/>
        <w:rPr>
          <w:szCs w:val="24"/>
        </w:rPr>
      </w:pPr>
      <w:r w:rsidRPr="00B504FE">
        <w:rPr>
          <w:szCs w:val="24"/>
        </w:rPr>
        <w:t xml:space="preserve">Table </w:t>
      </w:r>
      <w:r w:rsidR="00A64B7D" w:rsidRPr="00B504FE">
        <w:rPr>
          <w:szCs w:val="24"/>
        </w:rPr>
        <w:t>A.</w:t>
      </w:r>
      <w:r w:rsidRPr="00B504FE">
        <w:rPr>
          <w:szCs w:val="24"/>
        </w:rPr>
        <w:t>12.2</w:t>
      </w:r>
      <w:r w:rsidR="007E6CF5" w:rsidRPr="00B504FE">
        <w:rPr>
          <w:szCs w:val="24"/>
        </w:rPr>
        <w:tab/>
        <w:t>Estimated Annualized Burden Costs</w:t>
      </w:r>
    </w:p>
    <w:p w14:paraId="0792BBB2" w14:textId="77777777" w:rsidR="007E6CF5" w:rsidRPr="00B504FE" w:rsidRDefault="00F157CF" w:rsidP="00FD64D1">
      <w:pPr>
        <w:ind w:left="907" w:hanging="907"/>
        <w:rPr>
          <w:szCs w:val="24"/>
        </w:rPr>
      </w:pPr>
      <w:r w:rsidRPr="00B504FE">
        <w:rPr>
          <w:szCs w:val="24"/>
        </w:rPr>
        <w:t xml:space="preserve">Table </w:t>
      </w:r>
      <w:r w:rsidR="00A64B7D" w:rsidRPr="00B504FE">
        <w:rPr>
          <w:szCs w:val="24"/>
        </w:rPr>
        <w:t>A.</w:t>
      </w:r>
      <w:r w:rsidRPr="00B504FE">
        <w:rPr>
          <w:szCs w:val="24"/>
        </w:rPr>
        <w:t>14.1</w:t>
      </w:r>
      <w:r w:rsidR="007E6CF5" w:rsidRPr="00B504FE">
        <w:rPr>
          <w:szCs w:val="24"/>
        </w:rPr>
        <w:tab/>
      </w:r>
      <w:r w:rsidR="000D739C" w:rsidRPr="00B504FE">
        <w:rPr>
          <w:szCs w:val="24"/>
        </w:rPr>
        <w:t>Government Costs</w:t>
      </w:r>
    </w:p>
    <w:p w14:paraId="23374720" w14:textId="77777777" w:rsidR="007E6CF5" w:rsidRPr="00B504FE" w:rsidRDefault="00F157CF" w:rsidP="00FD64D1">
      <w:pPr>
        <w:ind w:left="907" w:hanging="907"/>
        <w:rPr>
          <w:szCs w:val="24"/>
        </w:rPr>
      </w:pPr>
      <w:r w:rsidRPr="00B504FE">
        <w:rPr>
          <w:szCs w:val="24"/>
        </w:rPr>
        <w:t xml:space="preserve">Table </w:t>
      </w:r>
      <w:r w:rsidR="00A64B7D" w:rsidRPr="00B504FE">
        <w:rPr>
          <w:szCs w:val="24"/>
        </w:rPr>
        <w:t>A.</w:t>
      </w:r>
      <w:r w:rsidRPr="00B504FE">
        <w:rPr>
          <w:szCs w:val="24"/>
        </w:rPr>
        <w:t>16.1</w:t>
      </w:r>
      <w:r w:rsidR="007E6CF5" w:rsidRPr="00B504FE">
        <w:rPr>
          <w:szCs w:val="24"/>
        </w:rPr>
        <w:tab/>
      </w:r>
      <w:r w:rsidR="000D739C" w:rsidRPr="00B504FE">
        <w:rPr>
          <w:szCs w:val="24"/>
        </w:rPr>
        <w:t xml:space="preserve">Annual </w:t>
      </w:r>
      <w:r w:rsidR="007E6CF5" w:rsidRPr="00B504FE">
        <w:rPr>
          <w:szCs w:val="24"/>
        </w:rPr>
        <w:t>Project Time Schedule</w:t>
      </w:r>
    </w:p>
    <w:p w14:paraId="1AB05797" w14:textId="77777777" w:rsidR="00CF64E1" w:rsidRPr="00B504FE" w:rsidRDefault="00CF64E1" w:rsidP="000F03B3">
      <w:pPr>
        <w:pStyle w:val="TOC1"/>
        <w:spacing w:before="0"/>
        <w:ind w:left="900" w:hanging="900"/>
      </w:pPr>
    </w:p>
    <w:p w14:paraId="7A1D01D6" w14:textId="77777777" w:rsidR="006F1763" w:rsidRPr="00B504FE" w:rsidRDefault="006F1763" w:rsidP="000F03B3">
      <w:pPr>
        <w:pStyle w:val="TOC1"/>
        <w:spacing w:before="0"/>
        <w:ind w:left="900" w:hanging="900"/>
      </w:pPr>
      <w:r w:rsidRPr="00B504FE">
        <w:t>List of Attachments</w:t>
      </w:r>
    </w:p>
    <w:p w14:paraId="45DC619B" w14:textId="77777777" w:rsidR="00AB1DCE" w:rsidRPr="00B504FE" w:rsidRDefault="00AB1DCE" w:rsidP="000F03B3">
      <w:pPr>
        <w:numPr>
          <w:ilvl w:val="3"/>
          <w:numId w:val="24"/>
        </w:numPr>
        <w:rPr>
          <w:szCs w:val="24"/>
        </w:rPr>
      </w:pPr>
      <w:r w:rsidRPr="00B504FE">
        <w:rPr>
          <w:szCs w:val="24"/>
        </w:rPr>
        <w:t xml:space="preserve">Authorizing Legislation </w:t>
      </w:r>
    </w:p>
    <w:p w14:paraId="329962AF" w14:textId="1581B2C4" w:rsidR="005C4589" w:rsidRPr="00B504FE" w:rsidRDefault="005C4589" w:rsidP="000F03B3">
      <w:pPr>
        <w:numPr>
          <w:ilvl w:val="3"/>
          <w:numId w:val="24"/>
        </w:numPr>
        <w:rPr>
          <w:szCs w:val="24"/>
        </w:rPr>
      </w:pPr>
      <w:r w:rsidRPr="00B504FE">
        <w:rPr>
          <w:szCs w:val="24"/>
        </w:rPr>
        <w:t xml:space="preserve">60 Day FRN </w:t>
      </w:r>
      <w:r w:rsidR="00E664D2">
        <w:rPr>
          <w:szCs w:val="24"/>
        </w:rPr>
        <w:br/>
        <w:t>2a. Public Comments</w:t>
      </w:r>
    </w:p>
    <w:p w14:paraId="416B9237" w14:textId="77777777" w:rsidR="00631E69" w:rsidRPr="00B504FE" w:rsidRDefault="00631E69" w:rsidP="00FD64D1">
      <w:pPr>
        <w:numPr>
          <w:ilvl w:val="3"/>
          <w:numId w:val="24"/>
        </w:numPr>
        <w:rPr>
          <w:szCs w:val="24"/>
        </w:rPr>
      </w:pPr>
      <w:r w:rsidRPr="00B504FE">
        <w:rPr>
          <w:szCs w:val="24"/>
        </w:rPr>
        <w:t>Data Collection Instruments</w:t>
      </w:r>
    </w:p>
    <w:p w14:paraId="56D51C20" w14:textId="283D0347" w:rsidR="005C4589" w:rsidRPr="00B504FE" w:rsidRDefault="00631E69" w:rsidP="00FD64D1">
      <w:pPr>
        <w:ind w:left="720"/>
        <w:rPr>
          <w:szCs w:val="24"/>
        </w:rPr>
      </w:pPr>
      <w:r w:rsidRPr="00B504FE">
        <w:rPr>
          <w:szCs w:val="24"/>
        </w:rPr>
        <w:t>3a.</w:t>
      </w:r>
      <w:r w:rsidR="00E71878" w:rsidRPr="00B504FE">
        <w:rPr>
          <w:szCs w:val="24"/>
        </w:rPr>
        <w:t xml:space="preserve">Screenshots of </w:t>
      </w:r>
      <w:r w:rsidR="00066C90" w:rsidRPr="00B504FE">
        <w:rPr>
          <w:szCs w:val="24"/>
        </w:rPr>
        <w:t>Metrics</w:t>
      </w:r>
      <w:r w:rsidR="00E71878" w:rsidRPr="00B504FE">
        <w:rPr>
          <w:szCs w:val="24"/>
        </w:rPr>
        <w:t xml:space="preserve"> Database</w:t>
      </w:r>
    </w:p>
    <w:p w14:paraId="48A4D0CA" w14:textId="47B3856C" w:rsidR="00631E69" w:rsidRPr="00B504FE" w:rsidRDefault="00631E69" w:rsidP="00FD64D1">
      <w:pPr>
        <w:ind w:left="720"/>
        <w:rPr>
          <w:szCs w:val="24"/>
        </w:rPr>
      </w:pPr>
      <w:r w:rsidRPr="00B504FE">
        <w:rPr>
          <w:szCs w:val="24"/>
        </w:rPr>
        <w:t>3b. Metrics Data Dictionary</w:t>
      </w:r>
    </w:p>
    <w:p w14:paraId="75EAB510" w14:textId="4D1256C7" w:rsidR="005C4589" w:rsidRPr="00B504FE" w:rsidRDefault="00631E69" w:rsidP="00FD64D1">
      <w:pPr>
        <w:ind w:left="720"/>
        <w:rPr>
          <w:szCs w:val="24"/>
        </w:rPr>
      </w:pPr>
      <w:r w:rsidRPr="00B504FE">
        <w:rPr>
          <w:szCs w:val="24"/>
        </w:rPr>
        <w:t xml:space="preserve">3c. </w:t>
      </w:r>
      <w:r w:rsidR="00E71878" w:rsidRPr="00B504FE">
        <w:rPr>
          <w:szCs w:val="24"/>
        </w:rPr>
        <w:t>Key Informant Interview Guide</w:t>
      </w:r>
    </w:p>
    <w:p w14:paraId="4831254B" w14:textId="5397E243" w:rsidR="005C4589" w:rsidRPr="00B504FE" w:rsidRDefault="00631E69" w:rsidP="00FD64D1">
      <w:pPr>
        <w:ind w:left="720"/>
        <w:rPr>
          <w:szCs w:val="24"/>
        </w:rPr>
      </w:pPr>
      <w:r w:rsidRPr="00B504FE">
        <w:rPr>
          <w:szCs w:val="24"/>
        </w:rPr>
        <w:lastRenderedPageBreak/>
        <w:t xml:space="preserve">3d. </w:t>
      </w:r>
      <w:r w:rsidR="00A75E40" w:rsidRPr="00B504FE">
        <w:rPr>
          <w:szCs w:val="24"/>
        </w:rPr>
        <w:t>Interim</w:t>
      </w:r>
      <w:r w:rsidR="00992FF7" w:rsidRPr="00B504FE">
        <w:rPr>
          <w:szCs w:val="24"/>
        </w:rPr>
        <w:t xml:space="preserve"> Progress Report </w:t>
      </w:r>
    </w:p>
    <w:p w14:paraId="2070791A" w14:textId="04D0199B" w:rsidR="005C4589" w:rsidRPr="00B504FE" w:rsidRDefault="00631E69" w:rsidP="00FD64D1">
      <w:pPr>
        <w:ind w:left="720"/>
        <w:rPr>
          <w:szCs w:val="24"/>
        </w:rPr>
      </w:pPr>
      <w:r w:rsidRPr="00B504FE">
        <w:rPr>
          <w:szCs w:val="24"/>
        </w:rPr>
        <w:t xml:space="preserve">3e. </w:t>
      </w:r>
      <w:r w:rsidR="00522510" w:rsidRPr="00B504FE">
        <w:rPr>
          <w:szCs w:val="24"/>
        </w:rPr>
        <w:t>Partner</w:t>
      </w:r>
      <w:r w:rsidR="009668ED" w:rsidRPr="00B504FE">
        <w:rPr>
          <w:szCs w:val="24"/>
        </w:rPr>
        <w:t xml:space="preserve"> Survey</w:t>
      </w:r>
    </w:p>
    <w:p w14:paraId="15E29F88" w14:textId="3E730D0D" w:rsidR="00631E69" w:rsidRPr="00B504FE" w:rsidRDefault="00631E69" w:rsidP="00FD64D1">
      <w:pPr>
        <w:ind w:left="720"/>
        <w:rPr>
          <w:szCs w:val="24"/>
        </w:rPr>
      </w:pPr>
      <w:r w:rsidRPr="00B504FE">
        <w:rPr>
          <w:szCs w:val="24"/>
        </w:rPr>
        <w:t xml:space="preserve">3f. Partnership Activities Form </w:t>
      </w:r>
    </w:p>
    <w:p w14:paraId="320EEA04" w14:textId="5EC878F9" w:rsidR="00DD3D4B" w:rsidRPr="00B504FE" w:rsidRDefault="00631E69" w:rsidP="00FD64D1">
      <w:pPr>
        <w:ind w:left="720"/>
        <w:rPr>
          <w:szCs w:val="24"/>
        </w:rPr>
      </w:pPr>
      <w:r w:rsidRPr="00B504FE">
        <w:rPr>
          <w:szCs w:val="24"/>
        </w:rPr>
        <w:t xml:space="preserve">3g. </w:t>
      </w:r>
      <w:r w:rsidR="00DD3D4B" w:rsidRPr="00B504FE">
        <w:rPr>
          <w:szCs w:val="24"/>
        </w:rPr>
        <w:t>Partner Survey Screener</w:t>
      </w:r>
    </w:p>
    <w:p w14:paraId="01346B7B" w14:textId="62BD3C5F" w:rsidR="00DD3D4B" w:rsidRPr="00B504FE" w:rsidRDefault="00631E69" w:rsidP="00FD64D1">
      <w:pPr>
        <w:numPr>
          <w:ilvl w:val="3"/>
          <w:numId w:val="24"/>
        </w:numPr>
        <w:rPr>
          <w:szCs w:val="24"/>
        </w:rPr>
      </w:pPr>
      <w:r w:rsidRPr="00B504FE">
        <w:rPr>
          <w:szCs w:val="24"/>
        </w:rPr>
        <w:t>Partner Survey Consent</w:t>
      </w:r>
    </w:p>
    <w:p w14:paraId="530C00DC" w14:textId="17511724" w:rsidR="00745F55" w:rsidRPr="00B504FE" w:rsidRDefault="00150D42" w:rsidP="000F03B3">
      <w:pPr>
        <w:pStyle w:val="Heading1"/>
        <w:spacing w:after="0"/>
      </w:pPr>
      <w:r w:rsidRPr="00B504FE">
        <w:rPr>
          <w:noProof/>
          <w:lang w:val="en-US"/>
        </w:rPr>
        <mc:AlternateContent>
          <mc:Choice Requires="wps">
            <w:drawing>
              <wp:anchor distT="45720" distB="45720" distL="114300" distR="114300" simplePos="0" relativeHeight="251661824" behindDoc="0" locked="0" layoutInCell="1" allowOverlap="1" wp14:anchorId="50BE1C14" wp14:editId="3385A361">
                <wp:simplePos x="0" y="0"/>
                <wp:positionH relativeFrom="column">
                  <wp:posOffset>-114300</wp:posOffset>
                </wp:positionH>
                <wp:positionV relativeFrom="paragraph">
                  <wp:posOffset>228600</wp:posOffset>
                </wp:positionV>
                <wp:extent cx="6309360" cy="5166360"/>
                <wp:effectExtent l="0" t="0" r="15240" b="152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166360"/>
                        </a:xfrm>
                        <a:prstGeom prst="rect">
                          <a:avLst/>
                        </a:prstGeom>
                        <a:solidFill>
                          <a:srgbClr val="FFFFFF"/>
                        </a:solidFill>
                        <a:ln w="9525">
                          <a:solidFill>
                            <a:srgbClr val="000000"/>
                          </a:solidFill>
                          <a:miter lim="800000"/>
                          <a:headEnd/>
                          <a:tailEnd/>
                        </a:ln>
                      </wps:spPr>
                      <wps:txbx>
                        <w:txbxContent>
                          <w:p w14:paraId="576FB95B" w14:textId="4EA0A112" w:rsidR="00EB7F2D" w:rsidRPr="00833508" w:rsidRDefault="00EB7F2D" w:rsidP="00745F55">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Goal:</w:t>
                            </w:r>
                            <w:r w:rsidRPr="009873FF">
                              <w:rPr>
                                <w:rFonts w:ascii="Times New Roman" w:hAnsi="Times New Roman"/>
                              </w:rPr>
                              <w:t xml:space="preserve"> </w:t>
                            </w:r>
                            <w:r w:rsidRPr="00833508">
                              <w:rPr>
                                <w:rFonts w:ascii="Times New Roman" w:hAnsi="Times New Roman"/>
                              </w:rPr>
                              <w:t xml:space="preserve">To assess the extent to which partnership activities meet the overarching goals for dissemination and communication and implementation of national engagement efforts, namely examining their </w:t>
                            </w:r>
                            <w:r w:rsidR="00AA096E">
                              <w:rPr>
                                <w:rFonts w:ascii="Times New Roman" w:hAnsi="Times New Roman"/>
                              </w:rPr>
                              <w:t>potential</w:t>
                            </w:r>
                            <w:r w:rsidR="00AA096E" w:rsidRPr="00833508">
                              <w:rPr>
                                <w:rFonts w:ascii="Times New Roman" w:hAnsi="Times New Roman"/>
                              </w:rPr>
                              <w:t xml:space="preserve"> </w:t>
                            </w:r>
                            <w:r w:rsidRPr="00833508">
                              <w:rPr>
                                <w:rFonts w:ascii="Times New Roman" w:hAnsi="Times New Roman"/>
                              </w:rPr>
                              <w:t>to</w:t>
                            </w:r>
                            <w:r>
                              <w:rPr>
                                <w:rFonts w:ascii="Times New Roman" w:hAnsi="Times New Roman"/>
                              </w:rPr>
                              <w:t>:</w:t>
                            </w:r>
                          </w:p>
                          <w:p w14:paraId="7426AD66" w14:textId="77777777" w:rsidR="00EB7F2D" w:rsidRPr="009873FF" w:rsidRDefault="00EB7F2D" w:rsidP="00745F55">
                            <w:pPr>
                              <w:pStyle w:val="ListParagraph"/>
                              <w:numPr>
                                <w:ilvl w:val="1"/>
                                <w:numId w:val="38"/>
                              </w:numPr>
                              <w:spacing w:after="200" w:line="276" w:lineRule="auto"/>
                              <w:contextualSpacing/>
                              <w:rPr>
                                <w:rFonts w:ascii="Times New Roman" w:hAnsi="Times New Roman"/>
                              </w:rPr>
                            </w:pPr>
                            <w:r w:rsidRPr="009873FF">
                              <w:rPr>
                                <w:rFonts w:ascii="Times New Roman" w:hAnsi="Times New Roman"/>
                              </w:rPr>
                              <w:t>increase HIV awareness among the general public, reduce new HIV infections among disproportionately impacted populations, and improve health outcomes for people living with HIV and AIDS in United States and its territories</w:t>
                            </w:r>
                            <w:r>
                              <w:rPr>
                                <w:rFonts w:ascii="Times New Roman" w:hAnsi="Times New Roman"/>
                              </w:rPr>
                              <w:t>;</w:t>
                            </w:r>
                          </w:p>
                          <w:p w14:paraId="0AD71DFD" w14:textId="77777777" w:rsidR="00EB7F2D" w:rsidRPr="006048A3" w:rsidRDefault="00EB7F2D" w:rsidP="00745F55">
                            <w:pPr>
                              <w:pStyle w:val="ListParagraph"/>
                              <w:numPr>
                                <w:ilvl w:val="1"/>
                                <w:numId w:val="38"/>
                              </w:numPr>
                              <w:spacing w:after="200" w:line="276" w:lineRule="auto"/>
                              <w:contextualSpacing/>
                              <w:rPr>
                                <w:rFonts w:ascii="Times New Roman" w:hAnsi="Times New Roman"/>
                              </w:rPr>
                            </w:pPr>
                            <w:r w:rsidRPr="009873FF">
                              <w:rPr>
                                <w:rFonts w:ascii="Times New Roman" w:hAnsi="Times New Roman"/>
                              </w:rPr>
                              <w:t xml:space="preserve">influence attitudes, beliefs, and knowledge about HIV; receptivity to AAA campaign messages; perceived credibility; perceived risks of HIV and importance of HIV prevention and testing; intentions related to HIV prevention and testing; and HIV testing related behaviors among those who report exposure to the various AAA </w:t>
                            </w:r>
                            <w:r w:rsidRPr="006048A3">
                              <w:rPr>
                                <w:rFonts w:ascii="Times New Roman" w:hAnsi="Times New Roman"/>
                              </w:rPr>
                              <w:t>messages.</w:t>
                            </w:r>
                          </w:p>
                          <w:p w14:paraId="79A6372B" w14:textId="77777777" w:rsidR="00EB7F2D" w:rsidRPr="006048A3" w:rsidRDefault="00EB7F2D" w:rsidP="00745F55">
                            <w:pPr>
                              <w:pStyle w:val="ListParagraph"/>
                              <w:ind w:left="360"/>
                              <w:rPr>
                                <w:rFonts w:ascii="Times New Roman" w:hAnsi="Times New Roman"/>
                              </w:rPr>
                            </w:pPr>
                          </w:p>
                          <w:p w14:paraId="789F58AA" w14:textId="77777777" w:rsidR="00EB7F2D" w:rsidRPr="00833508" w:rsidRDefault="00EB7F2D" w:rsidP="00745F55">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Intended use of the resulting data:</w:t>
                            </w:r>
                            <w:r>
                              <w:rPr>
                                <w:rFonts w:ascii="Times New Roman" w:hAnsi="Times New Roman"/>
                              </w:rPr>
                              <w:t xml:space="preserve"> </w:t>
                            </w:r>
                            <w:r w:rsidRPr="00833508">
                              <w:rPr>
                                <w:rFonts w:ascii="Times New Roman" w:hAnsi="Times New Roman"/>
                              </w:rPr>
                              <w:t>The information obtained from the proposed study will be used by federal policy makers to assess the effectiveness of the partnership activities and the appropriateness of continued or expanded funding of partnership projects.</w:t>
                            </w:r>
                          </w:p>
                          <w:p w14:paraId="14196F44" w14:textId="77777777" w:rsidR="00EB7F2D" w:rsidRPr="00C60BD8" w:rsidRDefault="00EB7F2D" w:rsidP="00745F55">
                            <w:pPr>
                              <w:pStyle w:val="ListParagraph"/>
                              <w:ind w:left="360"/>
                              <w:rPr>
                                <w:rFonts w:ascii="Times New Roman" w:hAnsi="Times New Roman"/>
                              </w:rPr>
                            </w:pPr>
                          </w:p>
                          <w:p w14:paraId="2ECE40C5" w14:textId="77777777" w:rsidR="00EB7F2D" w:rsidRPr="00833508" w:rsidRDefault="00EB7F2D" w:rsidP="00745F55">
                            <w:pPr>
                              <w:pStyle w:val="ListParagraph"/>
                              <w:numPr>
                                <w:ilvl w:val="0"/>
                                <w:numId w:val="38"/>
                              </w:numPr>
                              <w:spacing w:after="200" w:line="276" w:lineRule="auto"/>
                              <w:contextualSpacing/>
                              <w:rPr>
                                <w:rFonts w:ascii="Times New Roman" w:hAnsi="Times New Roman"/>
                                <w:b/>
                              </w:rPr>
                            </w:pPr>
                            <w:r w:rsidRPr="00833508">
                              <w:rPr>
                                <w:rFonts w:ascii="Times New Roman" w:hAnsi="Times New Roman"/>
                                <w:b/>
                              </w:rPr>
                              <w:t>Methods to be used to collect data:</w:t>
                            </w:r>
                            <w:r>
                              <w:rPr>
                                <w:rFonts w:ascii="Times New Roman" w:hAnsi="Times New Roman"/>
                                <w:b/>
                              </w:rPr>
                              <w:t xml:space="preserve"> </w:t>
                            </w:r>
                            <w:r w:rsidRPr="00833508">
                              <w:rPr>
                                <w:rFonts w:ascii="Times New Roman" w:hAnsi="Times New Roman"/>
                              </w:rPr>
                              <w:t>Repeated cross-sectional study design for some aspects, longitudinal design for others</w:t>
                            </w:r>
                          </w:p>
                          <w:p w14:paraId="3997A0D4" w14:textId="77777777" w:rsidR="00EB7F2D" w:rsidRPr="00973586" w:rsidRDefault="00EB7F2D" w:rsidP="00745F55">
                            <w:pPr>
                              <w:pStyle w:val="ListParagraph"/>
                              <w:ind w:left="360"/>
                              <w:rPr>
                                <w:rFonts w:ascii="Times New Roman" w:hAnsi="Times New Roman"/>
                              </w:rPr>
                            </w:pPr>
                          </w:p>
                          <w:p w14:paraId="0901C800" w14:textId="0350111A" w:rsidR="00EB7F2D" w:rsidRPr="00833508" w:rsidRDefault="00EB7F2D" w:rsidP="00745F55">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The subpopulation to be studied:</w:t>
                            </w:r>
                            <w:r>
                              <w:rPr>
                                <w:rFonts w:ascii="Times New Roman" w:hAnsi="Times New Roman"/>
                              </w:rPr>
                              <w:t xml:space="preserve"> </w:t>
                            </w:r>
                            <w:r w:rsidR="00676D20">
                              <w:rPr>
                                <w:rFonts w:ascii="Times New Roman" w:hAnsi="Times New Roman"/>
                              </w:rPr>
                              <w:t>CDC’s HIV prevention, dissemination, and implementation partners, including partners from CDC-funded programs and organizations external to CDC (e.g., state and local health departments, colleges and universities, community health care centers, community-based organizations, AIDS-serving organizations)</w:t>
                            </w:r>
                            <w:r w:rsidR="0042043C">
                              <w:rPr>
                                <w:rFonts w:ascii="Times New Roman" w:hAnsi="Times New Roman"/>
                              </w:rPr>
                              <w:t>, as well as collaborators who do not receive CDC funding who</w:t>
                            </w:r>
                            <w:r w:rsidR="00676D20">
                              <w:rPr>
                                <w:rFonts w:ascii="Times New Roman" w:hAnsi="Times New Roman"/>
                              </w:rPr>
                              <w:t xml:space="preserve"> promote improved</w:t>
                            </w:r>
                            <w:r w:rsidR="00AA096E">
                              <w:rPr>
                                <w:rFonts w:ascii="Times New Roman" w:hAnsi="Times New Roman"/>
                              </w:rPr>
                              <w:t xml:space="preserve"> HIV and AIDS</w:t>
                            </w:r>
                            <w:r w:rsidR="00676D20">
                              <w:rPr>
                                <w:rFonts w:ascii="Times New Roman" w:hAnsi="Times New Roman"/>
                              </w:rPr>
                              <w:t xml:space="preserve"> health outcomes for the general public.</w:t>
                            </w:r>
                          </w:p>
                          <w:p w14:paraId="24625974" w14:textId="77777777" w:rsidR="00EB7F2D" w:rsidRPr="000E17DF" w:rsidRDefault="00EB7F2D" w:rsidP="00745F55">
                            <w:pPr>
                              <w:pStyle w:val="ListParagraph"/>
                              <w:spacing w:after="200" w:line="276" w:lineRule="auto"/>
                              <w:ind w:left="0"/>
                              <w:contextualSpacing/>
                              <w:rPr>
                                <w:rFonts w:ascii="Times New Roman" w:hAnsi="Times New Roman"/>
                              </w:rPr>
                            </w:pPr>
                          </w:p>
                          <w:p w14:paraId="6C0E8C7B" w14:textId="77777777" w:rsidR="00EB7F2D" w:rsidRPr="00F645B8" w:rsidRDefault="00EB7F2D" w:rsidP="00745F55">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How data will be analyzed:</w:t>
                            </w:r>
                            <w:r>
                              <w:rPr>
                                <w:rFonts w:ascii="Times New Roman" w:hAnsi="Times New Roman"/>
                              </w:rPr>
                              <w:t xml:space="preserve"> </w:t>
                            </w:r>
                            <w:r w:rsidRPr="00833508">
                              <w:rPr>
                                <w:rFonts w:ascii="Times New Roman" w:hAnsi="Times New Roman"/>
                              </w:rPr>
                              <w:t>Descriptive analyses, Multivariate models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BE1C14" id="_x0000_t202" coordsize="21600,21600" o:spt="202" path="m,l,21600r21600,l21600,xe">
                <v:stroke joinstyle="miter"/>
                <v:path gradientshapeok="t" o:connecttype="rect"/>
              </v:shapetype>
              <v:shape id="Text Box 2" o:spid="_x0000_s1026" type="#_x0000_t202" style="position:absolute;left:0;text-align:left;margin-left:-9pt;margin-top:18pt;width:496.8pt;height:406.8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">
                <v:textbox>
                  <w:txbxContent>
                    <w:p w14:paraId="576FB95B" w14:textId="4EA0A112" w:rsidR="00EB7F2D" w:rsidRPr="00833508" w:rsidRDefault="00EB7F2D" w:rsidP="00745F55">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Goal:</w:t>
                      </w:r>
                      <w:r w:rsidRPr="009873FF">
                        <w:rPr>
                          <w:rFonts w:ascii="Times New Roman" w:hAnsi="Times New Roman"/>
                        </w:rPr>
                        <w:t xml:space="preserve"> </w:t>
                      </w:r>
                      <w:r w:rsidRPr="00833508">
                        <w:rPr>
                          <w:rFonts w:ascii="Times New Roman" w:hAnsi="Times New Roman"/>
                        </w:rPr>
                        <w:t xml:space="preserve">To assess the extent to which partnership activities meet the overarching goals for dissemination and communication and implementation of national engagement efforts, namely examining their </w:t>
                      </w:r>
                      <w:r w:rsidR="00AA096E">
                        <w:rPr>
                          <w:rFonts w:ascii="Times New Roman" w:hAnsi="Times New Roman"/>
                        </w:rPr>
                        <w:t>potential</w:t>
                      </w:r>
                      <w:r w:rsidR="00AA096E" w:rsidRPr="00833508">
                        <w:rPr>
                          <w:rFonts w:ascii="Times New Roman" w:hAnsi="Times New Roman"/>
                        </w:rPr>
                        <w:t xml:space="preserve"> </w:t>
                      </w:r>
                      <w:r w:rsidRPr="00833508">
                        <w:rPr>
                          <w:rFonts w:ascii="Times New Roman" w:hAnsi="Times New Roman"/>
                        </w:rPr>
                        <w:t>to</w:t>
                      </w:r>
                      <w:r>
                        <w:rPr>
                          <w:rFonts w:ascii="Times New Roman" w:hAnsi="Times New Roman"/>
                        </w:rPr>
                        <w:t>:</w:t>
                      </w:r>
                    </w:p>
                    <w:p w14:paraId="7426AD66" w14:textId="77777777" w:rsidR="00EB7F2D" w:rsidRPr="009873FF" w:rsidRDefault="00EB7F2D" w:rsidP="00745F55">
                      <w:pPr>
                        <w:pStyle w:val="ListParagraph"/>
                        <w:numPr>
                          <w:ilvl w:val="1"/>
                          <w:numId w:val="38"/>
                        </w:numPr>
                        <w:spacing w:after="200" w:line="276" w:lineRule="auto"/>
                        <w:contextualSpacing/>
                        <w:rPr>
                          <w:rFonts w:ascii="Times New Roman" w:hAnsi="Times New Roman"/>
                        </w:rPr>
                      </w:pPr>
                      <w:r w:rsidRPr="009873FF">
                        <w:rPr>
                          <w:rFonts w:ascii="Times New Roman" w:hAnsi="Times New Roman"/>
                        </w:rPr>
                        <w:t>increase HIV awareness among the general public, reduce new HIV infections among disproportionately impacted populations, and improve health outcomes for people living with HIV and AIDS in United States and its territories</w:t>
                      </w:r>
                      <w:r>
                        <w:rPr>
                          <w:rFonts w:ascii="Times New Roman" w:hAnsi="Times New Roman"/>
                        </w:rPr>
                        <w:t>;</w:t>
                      </w:r>
                    </w:p>
                    <w:p w14:paraId="0AD71DFD" w14:textId="77777777" w:rsidR="00EB7F2D" w:rsidRPr="006048A3" w:rsidRDefault="00EB7F2D" w:rsidP="00745F55">
                      <w:pPr>
                        <w:pStyle w:val="ListParagraph"/>
                        <w:numPr>
                          <w:ilvl w:val="1"/>
                          <w:numId w:val="38"/>
                        </w:numPr>
                        <w:spacing w:after="200" w:line="276" w:lineRule="auto"/>
                        <w:contextualSpacing/>
                        <w:rPr>
                          <w:rFonts w:ascii="Times New Roman" w:hAnsi="Times New Roman"/>
                        </w:rPr>
                      </w:pPr>
                      <w:r w:rsidRPr="009873FF">
                        <w:rPr>
                          <w:rFonts w:ascii="Times New Roman" w:hAnsi="Times New Roman"/>
                        </w:rPr>
                        <w:t xml:space="preserve">influence attitudes, beliefs, and knowledge about HIV; receptivity to AAA campaign messages; perceived credibility; perceived risks of HIV and importance of HIV prevention and testing; intentions related to HIV prevention and testing; and HIV testing related behaviors among those who report exposure to the various AAA </w:t>
                      </w:r>
                      <w:r w:rsidRPr="006048A3">
                        <w:rPr>
                          <w:rFonts w:ascii="Times New Roman" w:hAnsi="Times New Roman"/>
                        </w:rPr>
                        <w:t>messages.</w:t>
                      </w:r>
                    </w:p>
                    <w:p w14:paraId="79A6372B" w14:textId="77777777" w:rsidR="00EB7F2D" w:rsidRPr="006048A3" w:rsidRDefault="00EB7F2D" w:rsidP="00745F55">
                      <w:pPr>
                        <w:pStyle w:val="ListParagraph"/>
                        <w:ind w:left="360"/>
                        <w:rPr>
                          <w:rFonts w:ascii="Times New Roman" w:hAnsi="Times New Roman"/>
                        </w:rPr>
                      </w:pPr>
                    </w:p>
                    <w:p w14:paraId="789F58AA" w14:textId="77777777" w:rsidR="00EB7F2D" w:rsidRPr="00833508" w:rsidRDefault="00EB7F2D" w:rsidP="00745F55">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Intended use of the resulting data:</w:t>
                      </w:r>
                      <w:r>
                        <w:rPr>
                          <w:rFonts w:ascii="Times New Roman" w:hAnsi="Times New Roman"/>
                        </w:rPr>
                        <w:t xml:space="preserve"> </w:t>
                      </w:r>
                      <w:r w:rsidRPr="00833508">
                        <w:rPr>
                          <w:rFonts w:ascii="Times New Roman" w:hAnsi="Times New Roman"/>
                        </w:rPr>
                        <w:t>The information obtained from the proposed study will be used by federal policy makers to assess the effectiveness of the partnership activities and the appropriateness of continued or expanded funding of partnership projects.</w:t>
                      </w:r>
                    </w:p>
                    <w:p w14:paraId="14196F44" w14:textId="77777777" w:rsidR="00EB7F2D" w:rsidRPr="00C60BD8" w:rsidRDefault="00EB7F2D" w:rsidP="00745F55">
                      <w:pPr>
                        <w:pStyle w:val="ListParagraph"/>
                        <w:ind w:left="360"/>
                        <w:rPr>
                          <w:rFonts w:ascii="Times New Roman" w:hAnsi="Times New Roman"/>
                        </w:rPr>
                      </w:pPr>
                    </w:p>
                    <w:p w14:paraId="2ECE40C5" w14:textId="77777777" w:rsidR="00EB7F2D" w:rsidRPr="00833508" w:rsidRDefault="00EB7F2D" w:rsidP="00745F55">
                      <w:pPr>
                        <w:pStyle w:val="ListParagraph"/>
                        <w:numPr>
                          <w:ilvl w:val="0"/>
                          <w:numId w:val="38"/>
                        </w:numPr>
                        <w:spacing w:after="200" w:line="276" w:lineRule="auto"/>
                        <w:contextualSpacing/>
                        <w:rPr>
                          <w:rFonts w:ascii="Times New Roman" w:hAnsi="Times New Roman"/>
                          <w:b/>
                        </w:rPr>
                      </w:pPr>
                      <w:r w:rsidRPr="00833508">
                        <w:rPr>
                          <w:rFonts w:ascii="Times New Roman" w:hAnsi="Times New Roman"/>
                          <w:b/>
                        </w:rPr>
                        <w:t>Methods to be used to collect data:</w:t>
                      </w:r>
                      <w:r>
                        <w:rPr>
                          <w:rFonts w:ascii="Times New Roman" w:hAnsi="Times New Roman"/>
                          <w:b/>
                        </w:rPr>
                        <w:t xml:space="preserve"> </w:t>
                      </w:r>
                      <w:r w:rsidRPr="00833508">
                        <w:rPr>
                          <w:rFonts w:ascii="Times New Roman" w:hAnsi="Times New Roman"/>
                        </w:rPr>
                        <w:t>Repeated cross-sectional study design for some aspects, longitudinal design for others</w:t>
                      </w:r>
                    </w:p>
                    <w:p w14:paraId="3997A0D4" w14:textId="77777777" w:rsidR="00EB7F2D" w:rsidRPr="00973586" w:rsidRDefault="00EB7F2D" w:rsidP="00745F55">
                      <w:pPr>
                        <w:pStyle w:val="ListParagraph"/>
                        <w:ind w:left="360"/>
                        <w:rPr>
                          <w:rFonts w:ascii="Times New Roman" w:hAnsi="Times New Roman"/>
                        </w:rPr>
                      </w:pPr>
                    </w:p>
                    <w:p w14:paraId="0901C800" w14:textId="0350111A" w:rsidR="00EB7F2D" w:rsidRPr="00833508" w:rsidRDefault="00EB7F2D" w:rsidP="00745F55">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The subpopulation to be studied:</w:t>
                      </w:r>
                      <w:r>
                        <w:rPr>
                          <w:rFonts w:ascii="Times New Roman" w:hAnsi="Times New Roman"/>
                        </w:rPr>
                        <w:t xml:space="preserve"> </w:t>
                      </w:r>
                      <w:r w:rsidR="00676D20">
                        <w:rPr>
                          <w:rFonts w:ascii="Times New Roman" w:hAnsi="Times New Roman"/>
                        </w:rPr>
                        <w:t>CDC’s HIV prevention, dissemination, and implementation partners, including partners from CDC-funded programs and organizations external to CDC (e.g., state and local health departments, colleges and universities, community health care centers, community-based organizations, AIDS-serving organizations)</w:t>
                      </w:r>
                      <w:r w:rsidR="0042043C">
                        <w:rPr>
                          <w:rFonts w:ascii="Times New Roman" w:hAnsi="Times New Roman"/>
                        </w:rPr>
                        <w:t>, as well as collaborators who do not receive CDC funding who</w:t>
                      </w:r>
                      <w:r w:rsidR="00676D20">
                        <w:rPr>
                          <w:rFonts w:ascii="Times New Roman" w:hAnsi="Times New Roman"/>
                        </w:rPr>
                        <w:t xml:space="preserve"> promote improved</w:t>
                      </w:r>
                      <w:r w:rsidR="00AA096E">
                        <w:rPr>
                          <w:rFonts w:ascii="Times New Roman" w:hAnsi="Times New Roman"/>
                        </w:rPr>
                        <w:t xml:space="preserve"> HIV and AIDS</w:t>
                      </w:r>
                      <w:r w:rsidR="00676D20">
                        <w:rPr>
                          <w:rFonts w:ascii="Times New Roman" w:hAnsi="Times New Roman"/>
                        </w:rPr>
                        <w:t xml:space="preserve"> health outcomes for the general public.</w:t>
                      </w:r>
                    </w:p>
                    <w:p w14:paraId="24625974" w14:textId="77777777" w:rsidR="00EB7F2D" w:rsidRPr="000E17DF" w:rsidRDefault="00EB7F2D" w:rsidP="00745F55">
                      <w:pPr>
                        <w:pStyle w:val="ListParagraph"/>
                        <w:spacing w:after="200" w:line="276" w:lineRule="auto"/>
                        <w:ind w:left="0"/>
                        <w:contextualSpacing/>
                        <w:rPr>
                          <w:rFonts w:ascii="Times New Roman" w:hAnsi="Times New Roman"/>
                        </w:rPr>
                      </w:pPr>
                    </w:p>
                    <w:p w14:paraId="6C0E8C7B" w14:textId="77777777" w:rsidR="00EB7F2D" w:rsidRPr="00F645B8" w:rsidRDefault="00EB7F2D" w:rsidP="00745F55">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How data will be analyzed:</w:t>
                      </w:r>
                      <w:r>
                        <w:rPr>
                          <w:rFonts w:ascii="Times New Roman" w:hAnsi="Times New Roman"/>
                        </w:rPr>
                        <w:t xml:space="preserve"> </w:t>
                      </w:r>
                      <w:r w:rsidRPr="00833508">
                        <w:rPr>
                          <w:rFonts w:ascii="Times New Roman" w:hAnsi="Times New Roman"/>
                        </w:rPr>
                        <w:t>Descriptive analyses, Multivariate models</w:t>
                      </w:r>
                    </w:p>
                  </w:txbxContent>
                </v:textbox>
                <w10:wrap type="topAndBottom"/>
              </v:shape>
            </w:pict>
          </mc:Fallback>
        </mc:AlternateContent>
      </w:r>
      <w:r w:rsidR="00722C8B" w:rsidRPr="00B504FE">
        <w:br w:type="page"/>
      </w:r>
      <w:bookmarkStart w:id="3" w:name="_Toc99430975"/>
      <w:bookmarkStart w:id="4" w:name="_Toc143058435"/>
      <w:bookmarkStart w:id="5" w:name="_Toc146088433"/>
      <w:bookmarkStart w:id="6" w:name="_Toc231290962"/>
    </w:p>
    <w:p w14:paraId="0E89D417" w14:textId="69FF2D31" w:rsidR="00E949EF" w:rsidRDefault="00E949EF" w:rsidP="000F03B3">
      <w:pPr>
        <w:pStyle w:val="Heading1"/>
        <w:spacing w:after="0"/>
        <w:rPr>
          <w:u w:val="none"/>
          <w:lang w:val="en-US"/>
        </w:rPr>
      </w:pPr>
      <w:r w:rsidRPr="00B504FE">
        <w:rPr>
          <w:u w:val="none"/>
          <w:lang w:val="en-US"/>
        </w:rPr>
        <w:lastRenderedPageBreak/>
        <w:t>A.</w:t>
      </w:r>
      <w:r w:rsidRPr="00B504FE">
        <w:rPr>
          <w:u w:val="none"/>
          <w:lang w:val="en-US"/>
        </w:rPr>
        <w:tab/>
        <w:t>Justification</w:t>
      </w:r>
      <w:bookmarkEnd w:id="3"/>
      <w:bookmarkEnd w:id="4"/>
      <w:bookmarkEnd w:id="5"/>
      <w:bookmarkEnd w:id="6"/>
    </w:p>
    <w:p w14:paraId="0848C01F" w14:textId="77777777" w:rsidR="00F57B18" w:rsidRPr="00FD64D1" w:rsidRDefault="00F57B18" w:rsidP="00C425CC"/>
    <w:p w14:paraId="589A1EF7" w14:textId="77777777" w:rsidR="007C6079" w:rsidRPr="00B504FE" w:rsidRDefault="007C6079" w:rsidP="000F03B3">
      <w:pPr>
        <w:pStyle w:val="Heading2"/>
        <w:spacing w:after="0"/>
        <w:rPr>
          <w:szCs w:val="24"/>
        </w:rPr>
      </w:pPr>
      <w:bookmarkStart w:id="7" w:name="_Toc99430976"/>
      <w:bookmarkStart w:id="8" w:name="_Toc143058436"/>
      <w:bookmarkStart w:id="9" w:name="_Toc146088434"/>
      <w:bookmarkStart w:id="10" w:name="_Toc231290963"/>
      <w:r w:rsidRPr="00B504FE">
        <w:rPr>
          <w:szCs w:val="24"/>
        </w:rPr>
        <w:t>1</w:t>
      </w:r>
      <w:r w:rsidR="00343605" w:rsidRPr="00B504FE">
        <w:rPr>
          <w:szCs w:val="24"/>
        </w:rPr>
        <w:t>.</w:t>
      </w:r>
      <w:r w:rsidRPr="00B504FE">
        <w:rPr>
          <w:szCs w:val="24"/>
        </w:rPr>
        <w:tab/>
        <w:t>Circumstances Making the Collection of Information Necessary</w:t>
      </w:r>
      <w:bookmarkEnd w:id="7"/>
      <w:bookmarkEnd w:id="8"/>
      <w:bookmarkEnd w:id="9"/>
      <w:bookmarkEnd w:id="10"/>
      <w:r w:rsidRPr="00B504FE">
        <w:rPr>
          <w:szCs w:val="24"/>
        </w:rPr>
        <w:t xml:space="preserve"> </w:t>
      </w:r>
    </w:p>
    <w:p w14:paraId="2BA2D4CE" w14:textId="372923E1" w:rsidR="000B39B5" w:rsidRPr="00B504FE" w:rsidRDefault="000B39B5" w:rsidP="000F03B3">
      <w:pPr>
        <w:pStyle w:val="BodyText2"/>
        <w:spacing w:after="0" w:line="240" w:lineRule="auto"/>
        <w:rPr>
          <w:sz w:val="24"/>
          <w:szCs w:val="24"/>
        </w:rPr>
      </w:pPr>
      <w:r w:rsidRPr="00B504FE">
        <w:rPr>
          <w:sz w:val="24"/>
          <w:szCs w:val="24"/>
        </w:rPr>
        <w:t xml:space="preserve">The Centers for Disease Control and Prevention </w:t>
      </w:r>
      <w:r w:rsidR="000F03B3">
        <w:rPr>
          <w:sz w:val="24"/>
          <w:szCs w:val="24"/>
        </w:rPr>
        <w:t xml:space="preserve">(CDC) </w:t>
      </w:r>
      <w:r w:rsidRPr="00B504FE">
        <w:rPr>
          <w:sz w:val="24"/>
          <w:szCs w:val="24"/>
        </w:rPr>
        <w:t xml:space="preserve">requests a </w:t>
      </w:r>
      <w:r w:rsidR="000F03B3">
        <w:rPr>
          <w:sz w:val="24"/>
          <w:szCs w:val="24"/>
        </w:rPr>
        <w:t>three</w:t>
      </w:r>
      <w:r w:rsidRPr="00B504FE">
        <w:rPr>
          <w:sz w:val="24"/>
          <w:szCs w:val="24"/>
        </w:rPr>
        <w:t>-year OMB approval for a new information collection request (ICR) entitled “Evaluation of Enhancing HIV Prevention Communication and Mobilization Efforts through Strategic Partnerships”.  The data collection is authorized under Section 301 of the Public Health Service Act (42 U.S.C. 241) (</w:t>
      </w:r>
      <w:r w:rsidR="000F5C6B" w:rsidRPr="00B504FE">
        <w:rPr>
          <w:b/>
          <w:sz w:val="24"/>
          <w:szCs w:val="24"/>
        </w:rPr>
        <w:t>a</w:t>
      </w:r>
      <w:r w:rsidRPr="00B504FE">
        <w:rPr>
          <w:b/>
          <w:sz w:val="24"/>
          <w:szCs w:val="24"/>
        </w:rPr>
        <w:t>ttachment 1).</w:t>
      </w:r>
    </w:p>
    <w:p w14:paraId="20CAABF8" w14:textId="71752B5E" w:rsidR="00237544" w:rsidRPr="00B504FE" w:rsidRDefault="008C360A" w:rsidP="000F03B3">
      <w:pPr>
        <w:pStyle w:val="BodyText2"/>
        <w:spacing w:after="0" w:line="240" w:lineRule="auto"/>
        <w:rPr>
          <w:sz w:val="24"/>
          <w:szCs w:val="24"/>
        </w:rPr>
      </w:pPr>
      <w:r w:rsidRPr="00B504FE">
        <w:rPr>
          <w:sz w:val="24"/>
          <w:szCs w:val="24"/>
        </w:rPr>
        <w:t>I</w:t>
      </w:r>
      <w:r w:rsidR="00237544" w:rsidRPr="00B504FE">
        <w:rPr>
          <w:sz w:val="24"/>
          <w:szCs w:val="24"/>
        </w:rPr>
        <w:t xml:space="preserve">n July 2010, the White House released the National HIV/AIDS Strategy (NHAS). </w:t>
      </w:r>
      <w:r w:rsidR="00B47859" w:rsidRPr="00B504FE">
        <w:rPr>
          <w:sz w:val="24"/>
          <w:szCs w:val="24"/>
        </w:rPr>
        <w:t>The</w:t>
      </w:r>
      <w:r w:rsidR="00237544" w:rsidRPr="00B504FE">
        <w:rPr>
          <w:sz w:val="24"/>
          <w:szCs w:val="24"/>
        </w:rPr>
        <w:t xml:space="preserve"> </w:t>
      </w:r>
      <w:r w:rsidR="00B47859" w:rsidRPr="00B504FE">
        <w:rPr>
          <w:sz w:val="24"/>
          <w:szCs w:val="24"/>
        </w:rPr>
        <w:t xml:space="preserve">purpose of </w:t>
      </w:r>
      <w:r w:rsidR="00237544" w:rsidRPr="00B504FE">
        <w:rPr>
          <w:sz w:val="24"/>
          <w:szCs w:val="24"/>
        </w:rPr>
        <w:t xml:space="preserve">NHAS is </w:t>
      </w:r>
      <w:r w:rsidR="00B47859" w:rsidRPr="00B504FE">
        <w:rPr>
          <w:sz w:val="24"/>
          <w:szCs w:val="24"/>
        </w:rPr>
        <w:t xml:space="preserve">two-fold:  “Refocus existing efforts and deliver better results to the American people within current funding levels, as well as make the case for new investments” and "set clear priorities and provide leadership for all public and private stake-holders to align their efforts toward a common purpose.”  </w:t>
      </w:r>
      <w:r w:rsidR="00343605" w:rsidRPr="00B504FE">
        <w:rPr>
          <w:sz w:val="24"/>
          <w:szCs w:val="24"/>
        </w:rPr>
        <w:t xml:space="preserve">In July 2015, this plan was updated to reflect work accomplished and new scientific developments. </w:t>
      </w:r>
      <w:r w:rsidR="00237544" w:rsidRPr="00B504FE">
        <w:rPr>
          <w:sz w:val="24"/>
          <w:szCs w:val="24"/>
        </w:rPr>
        <w:t xml:space="preserve">The </w:t>
      </w:r>
      <w:r w:rsidR="00343605" w:rsidRPr="00B504FE">
        <w:rPr>
          <w:sz w:val="24"/>
          <w:szCs w:val="24"/>
        </w:rPr>
        <w:t xml:space="preserve">four </w:t>
      </w:r>
      <w:r w:rsidR="00237544" w:rsidRPr="00B504FE">
        <w:rPr>
          <w:sz w:val="24"/>
          <w:szCs w:val="24"/>
        </w:rPr>
        <w:t xml:space="preserve">goals </w:t>
      </w:r>
      <w:r w:rsidR="00B47859" w:rsidRPr="00B504FE">
        <w:rPr>
          <w:sz w:val="24"/>
          <w:szCs w:val="24"/>
        </w:rPr>
        <w:t xml:space="preserve">of NHAS </w:t>
      </w:r>
      <w:r w:rsidR="00343605" w:rsidRPr="00B504FE">
        <w:rPr>
          <w:sz w:val="24"/>
          <w:szCs w:val="24"/>
        </w:rPr>
        <w:t xml:space="preserve">2020 </w:t>
      </w:r>
      <w:r w:rsidR="00237544" w:rsidRPr="00B504FE">
        <w:rPr>
          <w:sz w:val="24"/>
          <w:szCs w:val="24"/>
        </w:rPr>
        <w:t>are: 1) reducing the number of people who become infected with HIV; 2) increasing access to care and improving health outcomes for people living with HIV; 3) reducing HIV-related health disparities</w:t>
      </w:r>
      <w:r w:rsidR="00F72042" w:rsidRPr="00B504FE">
        <w:rPr>
          <w:sz w:val="24"/>
          <w:szCs w:val="24"/>
        </w:rPr>
        <w:t xml:space="preserve"> and health inequities; and 4) achieving a more coordinated national response to the HIV epidemic</w:t>
      </w:r>
      <w:r w:rsidR="00237544" w:rsidRPr="00B504FE">
        <w:rPr>
          <w:sz w:val="24"/>
          <w:szCs w:val="24"/>
        </w:rPr>
        <w:t xml:space="preserve">. </w:t>
      </w:r>
    </w:p>
    <w:p w14:paraId="43B9A2B2" w14:textId="25B52FFD" w:rsidR="00237544" w:rsidRPr="00B504FE" w:rsidRDefault="00237544" w:rsidP="000F03B3">
      <w:pPr>
        <w:pStyle w:val="BodyText2"/>
        <w:spacing w:after="0" w:line="240" w:lineRule="auto"/>
        <w:rPr>
          <w:sz w:val="24"/>
          <w:szCs w:val="24"/>
        </w:rPr>
      </w:pPr>
      <w:r w:rsidRPr="00B504FE">
        <w:rPr>
          <w:sz w:val="24"/>
          <w:szCs w:val="24"/>
        </w:rPr>
        <w:t>In an effort to refocus attention on domestic HIV</w:t>
      </w:r>
      <w:r w:rsidR="00F57B18">
        <w:rPr>
          <w:sz w:val="24"/>
          <w:szCs w:val="24"/>
        </w:rPr>
        <w:t>/</w:t>
      </w:r>
      <w:r w:rsidRPr="00B504FE">
        <w:rPr>
          <w:sz w:val="24"/>
          <w:szCs w:val="24"/>
        </w:rPr>
        <w:t>AIDS, CDC launched the Act Against AIDS (AAA) initiative in 2009 with the White House and the US Department of Health and Human Services. AAA is a multifaceted national communication initiative that supports reduction of HIV incidence in the US through multiple, concurrent communication and education campaigns for a variety of audiences</w:t>
      </w:r>
      <w:r w:rsidR="000F03B3">
        <w:rPr>
          <w:sz w:val="24"/>
          <w:szCs w:val="24"/>
        </w:rPr>
        <w:t>,</w:t>
      </w:r>
      <w:r w:rsidRPr="00B504FE">
        <w:rPr>
          <w:sz w:val="24"/>
          <w:szCs w:val="24"/>
        </w:rPr>
        <w:t xml:space="preserve"> including the general public, populations most affected by HIV</w:t>
      </w:r>
      <w:r w:rsidR="000F03B3">
        <w:rPr>
          <w:sz w:val="24"/>
          <w:szCs w:val="24"/>
        </w:rPr>
        <w:t>,</w:t>
      </w:r>
      <w:r w:rsidRPr="00B504FE">
        <w:rPr>
          <w:sz w:val="24"/>
          <w:szCs w:val="24"/>
        </w:rPr>
        <w:t xml:space="preserve"> and health care providers. All campaigns support the comprehensive HIV prevention efforts of CDC and </w:t>
      </w:r>
      <w:r w:rsidR="000F03B3">
        <w:rPr>
          <w:sz w:val="24"/>
          <w:szCs w:val="24"/>
        </w:rPr>
        <w:t>NHAS</w:t>
      </w:r>
      <w:r w:rsidRPr="00B504FE">
        <w:rPr>
          <w:sz w:val="24"/>
          <w:szCs w:val="24"/>
        </w:rPr>
        <w:t>.</w:t>
      </w:r>
    </w:p>
    <w:p w14:paraId="43A368BF" w14:textId="00E34D35" w:rsidR="00924FCA" w:rsidRPr="00B504FE" w:rsidRDefault="00DB7B79" w:rsidP="000F03B3">
      <w:pPr>
        <w:pStyle w:val="BodyText2"/>
        <w:spacing w:after="0" w:line="240" w:lineRule="auto"/>
        <w:rPr>
          <w:sz w:val="24"/>
          <w:szCs w:val="24"/>
        </w:rPr>
      </w:pPr>
      <w:r w:rsidRPr="00B504FE">
        <w:rPr>
          <w:sz w:val="24"/>
          <w:szCs w:val="24"/>
        </w:rPr>
        <w:t xml:space="preserve">Within this context, </w:t>
      </w:r>
      <w:r w:rsidR="000F03B3">
        <w:rPr>
          <w:sz w:val="24"/>
          <w:szCs w:val="24"/>
        </w:rPr>
        <w:t>CDC</w:t>
      </w:r>
      <w:r w:rsidRPr="00B504FE">
        <w:rPr>
          <w:sz w:val="24"/>
          <w:szCs w:val="24"/>
        </w:rPr>
        <w:t xml:space="preserve">’s Division of HIV/AIDS Prevention (DHAP) is </w:t>
      </w:r>
      <w:r w:rsidR="00924FCA" w:rsidRPr="00B504FE">
        <w:rPr>
          <w:sz w:val="24"/>
          <w:szCs w:val="24"/>
        </w:rPr>
        <w:t xml:space="preserve">implementing various partnership activities to </w:t>
      </w:r>
      <w:r w:rsidR="00FC5975" w:rsidRPr="00B504FE">
        <w:rPr>
          <w:sz w:val="24"/>
          <w:szCs w:val="24"/>
        </w:rPr>
        <w:t>increase HIV awareness among the general public, reduce new HIV infections among disproportionately impacted populations, and improve health outcomes for people living with HIV</w:t>
      </w:r>
      <w:r w:rsidR="00F57B18">
        <w:rPr>
          <w:sz w:val="24"/>
          <w:szCs w:val="24"/>
        </w:rPr>
        <w:t>/</w:t>
      </w:r>
      <w:r w:rsidR="00FC5975" w:rsidRPr="00B504FE">
        <w:rPr>
          <w:sz w:val="24"/>
          <w:szCs w:val="24"/>
        </w:rPr>
        <w:t xml:space="preserve">AIDS in </w:t>
      </w:r>
      <w:r w:rsidR="000F03B3">
        <w:rPr>
          <w:sz w:val="24"/>
          <w:szCs w:val="24"/>
        </w:rPr>
        <w:t>the US</w:t>
      </w:r>
      <w:r w:rsidR="00FC5975" w:rsidRPr="00B504FE">
        <w:rPr>
          <w:sz w:val="24"/>
          <w:szCs w:val="24"/>
        </w:rPr>
        <w:t xml:space="preserve"> and its territories. </w:t>
      </w:r>
      <w:r w:rsidR="002E219F" w:rsidRPr="00B504FE">
        <w:rPr>
          <w:sz w:val="24"/>
          <w:szCs w:val="24"/>
        </w:rPr>
        <w:t>DHAP is</w:t>
      </w:r>
      <w:r w:rsidR="00924FCA" w:rsidRPr="00B504FE">
        <w:rPr>
          <w:sz w:val="24"/>
          <w:szCs w:val="24"/>
        </w:rPr>
        <w:t xml:space="preserve"> </w:t>
      </w:r>
      <w:r w:rsidRPr="00B504FE">
        <w:rPr>
          <w:sz w:val="24"/>
          <w:szCs w:val="24"/>
        </w:rPr>
        <w:t>funding the “</w:t>
      </w:r>
      <w:r w:rsidR="00655FEB" w:rsidRPr="00B504FE">
        <w:rPr>
          <w:sz w:val="24"/>
          <w:szCs w:val="24"/>
        </w:rPr>
        <w:t xml:space="preserve">PS15-1505: </w:t>
      </w:r>
      <w:r w:rsidRPr="00B504FE">
        <w:rPr>
          <w:sz w:val="24"/>
          <w:szCs w:val="24"/>
        </w:rPr>
        <w:t xml:space="preserve">Enhancing HIV Prevention Communication and Mobilization Efforts through Strategic Partnerships” program. </w:t>
      </w:r>
      <w:r w:rsidR="00500E3F" w:rsidRPr="00B504FE">
        <w:rPr>
          <w:sz w:val="24"/>
          <w:szCs w:val="24"/>
        </w:rPr>
        <w:t xml:space="preserve">Partners </w:t>
      </w:r>
      <w:r w:rsidR="00237544" w:rsidRPr="00B504FE">
        <w:rPr>
          <w:sz w:val="24"/>
          <w:szCs w:val="24"/>
        </w:rPr>
        <w:t>funded under the partnership program will (1) support the dissemination of AAA campaign materials, messaging</w:t>
      </w:r>
      <w:r w:rsidR="008D6B28" w:rsidRPr="00B504FE">
        <w:rPr>
          <w:sz w:val="24"/>
          <w:szCs w:val="24"/>
        </w:rPr>
        <w:t>,</w:t>
      </w:r>
      <w:r w:rsidR="00237544" w:rsidRPr="00B504FE">
        <w:rPr>
          <w:sz w:val="24"/>
          <w:szCs w:val="24"/>
        </w:rPr>
        <w:t xml:space="preserve"> and other CDC resources that support HIV prevention and (2) implement national engagement efforts focusing on HIV prevention and awareness. </w:t>
      </w:r>
      <w:r w:rsidR="00500E3F" w:rsidRPr="00B504FE">
        <w:rPr>
          <w:sz w:val="24"/>
          <w:szCs w:val="24"/>
        </w:rPr>
        <w:t xml:space="preserve">Partners </w:t>
      </w:r>
      <w:r w:rsidR="00FC5975" w:rsidRPr="00B504FE">
        <w:rPr>
          <w:sz w:val="24"/>
          <w:szCs w:val="24"/>
        </w:rPr>
        <w:t xml:space="preserve">represent civil, media, and LGBT-focused organizations. </w:t>
      </w:r>
      <w:r w:rsidR="00924FCA" w:rsidRPr="00B504FE">
        <w:rPr>
          <w:sz w:val="24"/>
          <w:szCs w:val="24"/>
        </w:rPr>
        <w:t xml:space="preserve">In addition, </w:t>
      </w:r>
      <w:r w:rsidR="002E219F" w:rsidRPr="00B504FE">
        <w:rPr>
          <w:sz w:val="24"/>
          <w:szCs w:val="24"/>
        </w:rPr>
        <w:t>DHAP</w:t>
      </w:r>
      <w:r w:rsidR="00924FCA" w:rsidRPr="00B504FE">
        <w:rPr>
          <w:sz w:val="24"/>
          <w:szCs w:val="24"/>
        </w:rPr>
        <w:t xml:space="preserve"> will continue to support the Business Responds to AIDS (BRTA) program</w:t>
      </w:r>
      <w:r w:rsidR="002E219F" w:rsidRPr="00B504FE">
        <w:rPr>
          <w:sz w:val="24"/>
          <w:szCs w:val="24"/>
        </w:rPr>
        <w:t xml:space="preserve">. </w:t>
      </w:r>
      <w:r w:rsidR="00924FCA" w:rsidRPr="00B504FE">
        <w:rPr>
          <w:sz w:val="24"/>
          <w:szCs w:val="24"/>
        </w:rPr>
        <w:t xml:space="preserve">Founded in 1992, the purpose of the BRTA program is to engage and support </w:t>
      </w:r>
      <w:r w:rsidR="002E219F" w:rsidRPr="00B504FE">
        <w:rPr>
          <w:sz w:val="24"/>
          <w:szCs w:val="24"/>
        </w:rPr>
        <w:t>the private sector in promoting HIV education, awareness, and policies in the workpla</w:t>
      </w:r>
      <w:r w:rsidR="0017273A" w:rsidRPr="00B504FE">
        <w:rPr>
          <w:sz w:val="24"/>
          <w:szCs w:val="24"/>
        </w:rPr>
        <w:t xml:space="preserve">ce. </w:t>
      </w:r>
      <w:r w:rsidR="00924FCA" w:rsidRPr="00B504FE">
        <w:rPr>
          <w:sz w:val="24"/>
          <w:szCs w:val="24"/>
        </w:rPr>
        <w:t xml:space="preserve">This </w:t>
      </w:r>
      <w:r w:rsidR="00F57B18">
        <w:rPr>
          <w:sz w:val="24"/>
          <w:szCs w:val="24"/>
        </w:rPr>
        <w:t xml:space="preserve">program </w:t>
      </w:r>
      <w:r w:rsidR="00924FCA" w:rsidRPr="00B504FE">
        <w:rPr>
          <w:sz w:val="24"/>
          <w:szCs w:val="24"/>
        </w:rPr>
        <w:t>aims to encourage businesses to implement HIV/AIDS policies and education programs in the workplace</w:t>
      </w:r>
      <w:r w:rsidR="002E219F" w:rsidRPr="00B504FE">
        <w:rPr>
          <w:sz w:val="24"/>
          <w:szCs w:val="24"/>
        </w:rPr>
        <w:t xml:space="preserve"> with the overarching goal of increasing public understanding of, involvement in, and support for HIV prevention</w:t>
      </w:r>
      <w:r w:rsidR="008B7E17" w:rsidRPr="00B504FE">
        <w:rPr>
          <w:sz w:val="24"/>
          <w:szCs w:val="24"/>
        </w:rPr>
        <w:t>.</w:t>
      </w:r>
      <w:r w:rsidR="008B7E17" w:rsidRPr="00B504FE">
        <w:rPr>
          <w:rStyle w:val="FootnoteReference"/>
          <w:sz w:val="24"/>
          <w:szCs w:val="24"/>
        </w:rPr>
        <w:footnoteReference w:id="2"/>
      </w:r>
      <w:r w:rsidR="009D2756" w:rsidRPr="00B504FE">
        <w:rPr>
          <w:sz w:val="24"/>
          <w:szCs w:val="24"/>
        </w:rPr>
        <w:t xml:space="preserve"> </w:t>
      </w:r>
    </w:p>
    <w:p w14:paraId="6EF6384F" w14:textId="2FFCE4F5" w:rsidR="00BB744F" w:rsidRDefault="002206D2" w:rsidP="000F03B3">
      <w:pPr>
        <w:pStyle w:val="BodyText2"/>
        <w:spacing w:after="0" w:line="240" w:lineRule="auto"/>
        <w:rPr>
          <w:sz w:val="24"/>
          <w:szCs w:val="24"/>
        </w:rPr>
      </w:pPr>
      <w:r w:rsidRPr="00B504FE">
        <w:rPr>
          <w:sz w:val="24"/>
          <w:szCs w:val="24"/>
        </w:rPr>
        <w:t xml:space="preserve">The </w:t>
      </w:r>
      <w:r w:rsidR="00F57B18">
        <w:rPr>
          <w:sz w:val="24"/>
          <w:szCs w:val="24"/>
        </w:rPr>
        <w:t>purpose</w:t>
      </w:r>
      <w:r w:rsidR="00F57B18" w:rsidRPr="00B504FE">
        <w:rPr>
          <w:sz w:val="24"/>
          <w:szCs w:val="24"/>
        </w:rPr>
        <w:t xml:space="preserve"> </w:t>
      </w:r>
      <w:r w:rsidRPr="00B504FE">
        <w:rPr>
          <w:sz w:val="24"/>
          <w:szCs w:val="24"/>
        </w:rPr>
        <w:t xml:space="preserve">of the </w:t>
      </w:r>
      <w:r w:rsidR="005745EB">
        <w:rPr>
          <w:sz w:val="24"/>
          <w:szCs w:val="24"/>
        </w:rPr>
        <w:t>project</w:t>
      </w:r>
      <w:r w:rsidR="005745EB" w:rsidRPr="00B504FE">
        <w:rPr>
          <w:sz w:val="24"/>
          <w:szCs w:val="24"/>
        </w:rPr>
        <w:t xml:space="preserve"> </w:t>
      </w:r>
      <w:r w:rsidRPr="00B504FE">
        <w:rPr>
          <w:sz w:val="24"/>
          <w:szCs w:val="24"/>
        </w:rPr>
        <w:t xml:space="preserve">is to </w:t>
      </w:r>
      <w:bookmarkStart w:id="11" w:name="OLE_LINK1"/>
      <w:r w:rsidRPr="00B504FE">
        <w:rPr>
          <w:sz w:val="24"/>
          <w:szCs w:val="24"/>
        </w:rPr>
        <w:t xml:space="preserve">assess the extent to which partnership activities meet the overarching goals for </w:t>
      </w:r>
      <w:r w:rsidR="00F57B18">
        <w:rPr>
          <w:sz w:val="24"/>
          <w:szCs w:val="24"/>
        </w:rPr>
        <w:t xml:space="preserve">message </w:t>
      </w:r>
      <w:r w:rsidRPr="00B504FE">
        <w:rPr>
          <w:sz w:val="24"/>
          <w:szCs w:val="24"/>
        </w:rPr>
        <w:t xml:space="preserve">dissemination and implementation of national engagement </w:t>
      </w:r>
      <w:r w:rsidR="00F57B18">
        <w:rPr>
          <w:sz w:val="24"/>
          <w:szCs w:val="24"/>
        </w:rPr>
        <w:t xml:space="preserve">and communication </w:t>
      </w:r>
      <w:r w:rsidRPr="00B504FE">
        <w:rPr>
          <w:sz w:val="24"/>
          <w:szCs w:val="24"/>
        </w:rPr>
        <w:t>efforts for HIV prevention and awareness</w:t>
      </w:r>
      <w:bookmarkEnd w:id="11"/>
      <w:r w:rsidRPr="00B504FE">
        <w:rPr>
          <w:sz w:val="24"/>
          <w:szCs w:val="24"/>
        </w:rPr>
        <w:t xml:space="preserve">. </w:t>
      </w:r>
      <w:r w:rsidR="00EC242B" w:rsidRPr="00B504FE">
        <w:rPr>
          <w:sz w:val="24"/>
          <w:szCs w:val="24"/>
        </w:rPr>
        <w:t>The objective is to collect information from partners on their activities for disseminating HIV messages; barriers and facilitators to implementation of these activities</w:t>
      </w:r>
      <w:r w:rsidR="00F57B18">
        <w:rPr>
          <w:sz w:val="24"/>
          <w:szCs w:val="24"/>
        </w:rPr>
        <w:t>;</w:t>
      </w:r>
      <w:r w:rsidR="00EC242B" w:rsidRPr="00B504FE">
        <w:rPr>
          <w:sz w:val="24"/>
          <w:szCs w:val="24"/>
        </w:rPr>
        <w:t xml:space="preserve"> factors that may help contextualize their progress towards meeting the initiative’s goals; and their involvement in promoting HIV education, awareness, and policies in their organization. </w:t>
      </w:r>
    </w:p>
    <w:p w14:paraId="221B318D" w14:textId="77777777" w:rsidR="00F57B18" w:rsidRDefault="00F57B18" w:rsidP="00FD64D1">
      <w:pPr>
        <w:pStyle w:val="BodyText2"/>
        <w:spacing w:after="0" w:line="240" w:lineRule="auto"/>
        <w:ind w:firstLine="0"/>
        <w:rPr>
          <w:sz w:val="24"/>
          <w:szCs w:val="24"/>
        </w:rPr>
      </w:pPr>
    </w:p>
    <w:p w14:paraId="5649698C" w14:textId="77777777" w:rsidR="00E949EF" w:rsidRPr="00EB5AE2" w:rsidRDefault="00E949EF" w:rsidP="000F03B3">
      <w:pPr>
        <w:pStyle w:val="Heading2"/>
        <w:spacing w:after="0"/>
        <w:rPr>
          <w:szCs w:val="24"/>
        </w:rPr>
      </w:pPr>
      <w:bookmarkStart w:id="12" w:name="_Toc143058437"/>
      <w:bookmarkStart w:id="13" w:name="_Toc146088435"/>
      <w:bookmarkStart w:id="14" w:name="_Toc231290964"/>
      <w:r w:rsidRPr="00EB5AE2">
        <w:rPr>
          <w:szCs w:val="24"/>
        </w:rPr>
        <w:t>2.</w:t>
      </w:r>
      <w:r w:rsidRPr="00EB5AE2">
        <w:rPr>
          <w:szCs w:val="24"/>
        </w:rPr>
        <w:tab/>
        <w:t>Purpose and Use of the Information Collection</w:t>
      </w:r>
      <w:bookmarkEnd w:id="12"/>
      <w:bookmarkEnd w:id="13"/>
      <w:bookmarkEnd w:id="14"/>
      <w:r w:rsidRPr="00EB5AE2">
        <w:rPr>
          <w:szCs w:val="24"/>
        </w:rPr>
        <w:t xml:space="preserve"> </w:t>
      </w:r>
    </w:p>
    <w:p w14:paraId="596311E6" w14:textId="0372E188" w:rsidR="007126F6" w:rsidRPr="00EB5AE2" w:rsidRDefault="00C774E4" w:rsidP="000F03B3">
      <w:pPr>
        <w:pStyle w:val="BodyText1"/>
        <w:spacing w:after="0" w:line="240" w:lineRule="auto"/>
        <w:rPr>
          <w:szCs w:val="24"/>
        </w:rPr>
      </w:pPr>
      <w:r w:rsidRPr="00EB5AE2">
        <w:rPr>
          <w:szCs w:val="24"/>
        </w:rPr>
        <w:t xml:space="preserve">The overall goal of </w:t>
      </w:r>
      <w:r w:rsidR="008D6B28" w:rsidRPr="00EB5AE2">
        <w:rPr>
          <w:szCs w:val="24"/>
        </w:rPr>
        <w:t xml:space="preserve">the </w:t>
      </w:r>
      <w:r w:rsidR="00A87E0E">
        <w:rPr>
          <w:szCs w:val="24"/>
        </w:rPr>
        <w:t>project</w:t>
      </w:r>
      <w:r w:rsidRPr="00EB5AE2">
        <w:rPr>
          <w:szCs w:val="24"/>
        </w:rPr>
        <w:t xml:space="preserve"> is to determine the extent to which the </w:t>
      </w:r>
      <w:r w:rsidR="00FC5975" w:rsidRPr="00EB5AE2">
        <w:rPr>
          <w:szCs w:val="24"/>
        </w:rPr>
        <w:t>upcoming partnership activities</w:t>
      </w:r>
      <w:r w:rsidRPr="00EB5AE2">
        <w:rPr>
          <w:szCs w:val="24"/>
        </w:rPr>
        <w:t xml:space="preserve"> </w:t>
      </w:r>
      <w:r w:rsidR="008D6B28" w:rsidRPr="00EB5AE2">
        <w:rPr>
          <w:szCs w:val="24"/>
        </w:rPr>
        <w:t xml:space="preserve">meet </w:t>
      </w:r>
      <w:r w:rsidR="00FC5975" w:rsidRPr="00EB5AE2">
        <w:rPr>
          <w:szCs w:val="24"/>
        </w:rPr>
        <w:t xml:space="preserve">the </w:t>
      </w:r>
      <w:r w:rsidR="007021B3" w:rsidRPr="00EB5AE2">
        <w:rPr>
          <w:szCs w:val="24"/>
        </w:rPr>
        <w:t xml:space="preserve">initiative’s </w:t>
      </w:r>
      <w:r w:rsidR="00FC5975" w:rsidRPr="00EB5AE2">
        <w:rPr>
          <w:szCs w:val="24"/>
        </w:rPr>
        <w:t>overarching goals for</w:t>
      </w:r>
      <w:r w:rsidR="007126F6" w:rsidRPr="00EB5AE2">
        <w:rPr>
          <w:szCs w:val="24"/>
        </w:rPr>
        <w:t xml:space="preserve"> dissemination and communication and implementation of national engagement efforts. </w:t>
      </w:r>
      <w:r w:rsidR="007021B3" w:rsidRPr="00EB5AE2">
        <w:rPr>
          <w:szCs w:val="24"/>
        </w:rPr>
        <w:t>To do so, the</w:t>
      </w:r>
      <w:r w:rsidR="006A2C87" w:rsidRPr="00EB5AE2">
        <w:rPr>
          <w:szCs w:val="24"/>
        </w:rPr>
        <w:t xml:space="preserve"> evaluation will </w:t>
      </w:r>
      <w:r w:rsidR="007021B3" w:rsidRPr="00EB5AE2">
        <w:rPr>
          <w:szCs w:val="24"/>
        </w:rPr>
        <w:t xml:space="preserve">collect data from partners via completion of a metrics database, </w:t>
      </w:r>
      <w:r w:rsidR="008D5E61" w:rsidRPr="00EB5AE2">
        <w:rPr>
          <w:szCs w:val="24"/>
        </w:rPr>
        <w:t xml:space="preserve">key informant interviews, interim progress reports, a survey, and an activities form </w:t>
      </w:r>
      <w:r w:rsidR="005804B2" w:rsidRPr="00EB5AE2">
        <w:rPr>
          <w:szCs w:val="24"/>
        </w:rPr>
        <w:t>on the following outcomes</w:t>
      </w:r>
      <w:r w:rsidR="007126F6" w:rsidRPr="00EB5AE2">
        <w:rPr>
          <w:szCs w:val="24"/>
        </w:rPr>
        <w:t>:</w:t>
      </w:r>
    </w:p>
    <w:p w14:paraId="48B28FED" w14:textId="77777777" w:rsidR="007126F6" w:rsidRPr="00EB5AE2" w:rsidRDefault="007126F6" w:rsidP="000F03B3">
      <w:pPr>
        <w:pStyle w:val="BodyText1"/>
        <w:numPr>
          <w:ilvl w:val="0"/>
          <w:numId w:val="28"/>
        </w:numPr>
        <w:spacing w:after="0" w:line="240" w:lineRule="auto"/>
        <w:rPr>
          <w:szCs w:val="24"/>
        </w:rPr>
      </w:pPr>
      <w:r w:rsidRPr="00FD64D1">
        <w:rPr>
          <w:b/>
          <w:i/>
          <w:szCs w:val="24"/>
        </w:rPr>
        <w:t>Short-term outcomes:</w:t>
      </w:r>
      <w:r w:rsidRPr="00EB5AE2">
        <w:rPr>
          <w:szCs w:val="24"/>
        </w:rPr>
        <w:t xml:space="preserve">  (1) </w:t>
      </w:r>
      <w:r w:rsidR="00792823" w:rsidRPr="00EB5AE2">
        <w:rPr>
          <w:szCs w:val="24"/>
        </w:rPr>
        <w:t>exposure to AAA campaigns and corresponding HIV-related messaging among target audiences</w:t>
      </w:r>
      <w:r w:rsidR="005958B7" w:rsidRPr="00EB5AE2">
        <w:rPr>
          <w:szCs w:val="24"/>
        </w:rPr>
        <w:t xml:space="preserve">; </w:t>
      </w:r>
      <w:r w:rsidR="00792823" w:rsidRPr="00EB5AE2">
        <w:rPr>
          <w:szCs w:val="24"/>
        </w:rPr>
        <w:t>(2) facilitation of HIV testing among target audiences</w:t>
      </w:r>
      <w:r w:rsidR="005958B7" w:rsidRPr="00EB5AE2">
        <w:rPr>
          <w:szCs w:val="24"/>
        </w:rPr>
        <w:t xml:space="preserve">; </w:t>
      </w:r>
      <w:r w:rsidR="001F6CA0" w:rsidRPr="00EB5AE2">
        <w:rPr>
          <w:szCs w:val="24"/>
        </w:rPr>
        <w:t xml:space="preserve">and </w:t>
      </w:r>
      <w:r w:rsidR="00792823" w:rsidRPr="00EB5AE2">
        <w:rPr>
          <w:szCs w:val="24"/>
        </w:rPr>
        <w:t>(3) community partnerships promoting HIV prevention strategies</w:t>
      </w:r>
      <w:r w:rsidR="001F6CA0" w:rsidRPr="00EB5AE2">
        <w:rPr>
          <w:szCs w:val="24"/>
        </w:rPr>
        <w:t xml:space="preserve">. </w:t>
      </w:r>
    </w:p>
    <w:p w14:paraId="05485C1B" w14:textId="77777777" w:rsidR="00792823" w:rsidRPr="00EB5AE2" w:rsidRDefault="00792823" w:rsidP="000F03B3">
      <w:pPr>
        <w:pStyle w:val="BodyText1"/>
        <w:numPr>
          <w:ilvl w:val="0"/>
          <w:numId w:val="28"/>
        </w:numPr>
        <w:spacing w:after="0" w:line="240" w:lineRule="auto"/>
        <w:rPr>
          <w:szCs w:val="24"/>
        </w:rPr>
      </w:pPr>
      <w:r w:rsidRPr="00FD64D1">
        <w:rPr>
          <w:b/>
          <w:i/>
          <w:szCs w:val="24"/>
        </w:rPr>
        <w:t xml:space="preserve">Intermediate outcomes: </w:t>
      </w:r>
      <w:r w:rsidRPr="00EB5AE2">
        <w:rPr>
          <w:szCs w:val="24"/>
        </w:rPr>
        <w:t xml:space="preserve"> (1) HIV-related information-seeking behaviors</w:t>
      </w:r>
      <w:r w:rsidR="005958B7" w:rsidRPr="00EB5AE2">
        <w:rPr>
          <w:szCs w:val="24"/>
        </w:rPr>
        <w:t xml:space="preserve">; (2) </w:t>
      </w:r>
      <w:r w:rsidR="0095459B" w:rsidRPr="00EB5AE2">
        <w:rPr>
          <w:szCs w:val="24"/>
        </w:rPr>
        <w:t>awareness and knowledge about HIV</w:t>
      </w:r>
      <w:r w:rsidR="005958B7" w:rsidRPr="00EB5AE2">
        <w:rPr>
          <w:szCs w:val="24"/>
        </w:rPr>
        <w:t xml:space="preserve">; </w:t>
      </w:r>
      <w:r w:rsidRPr="00EB5AE2">
        <w:rPr>
          <w:szCs w:val="24"/>
        </w:rPr>
        <w:t>(</w:t>
      </w:r>
      <w:r w:rsidR="005958B7" w:rsidRPr="00EB5AE2">
        <w:rPr>
          <w:szCs w:val="24"/>
        </w:rPr>
        <w:t>3</w:t>
      </w:r>
      <w:r w:rsidRPr="00EB5AE2">
        <w:rPr>
          <w:szCs w:val="24"/>
        </w:rPr>
        <w:t>) number/percentage who receive an HIV test, both among target audiences</w:t>
      </w:r>
      <w:r w:rsidR="005958B7" w:rsidRPr="00EB5AE2">
        <w:rPr>
          <w:szCs w:val="24"/>
        </w:rPr>
        <w:t xml:space="preserve">; </w:t>
      </w:r>
      <w:r w:rsidR="00997A01" w:rsidRPr="00EB5AE2">
        <w:rPr>
          <w:szCs w:val="24"/>
        </w:rPr>
        <w:t>and (</w:t>
      </w:r>
      <w:r w:rsidR="005958B7" w:rsidRPr="00EB5AE2">
        <w:rPr>
          <w:szCs w:val="24"/>
        </w:rPr>
        <w:t>4</w:t>
      </w:r>
      <w:r w:rsidR="00997A01" w:rsidRPr="00EB5AE2">
        <w:rPr>
          <w:szCs w:val="24"/>
        </w:rPr>
        <w:t>) the extent to which the private sector promotes HIV education, awareness, and policies in</w:t>
      </w:r>
      <w:r w:rsidR="0068621B" w:rsidRPr="00EB5AE2">
        <w:rPr>
          <w:szCs w:val="24"/>
        </w:rPr>
        <w:t>to their organization</w:t>
      </w:r>
      <w:r w:rsidR="00997A01" w:rsidRPr="00EB5AE2">
        <w:rPr>
          <w:szCs w:val="24"/>
        </w:rPr>
        <w:t xml:space="preserve">.  </w:t>
      </w:r>
    </w:p>
    <w:p w14:paraId="44022597" w14:textId="77777777" w:rsidR="00F01221" w:rsidRPr="00EB5AE2" w:rsidRDefault="00792823" w:rsidP="000F03B3">
      <w:pPr>
        <w:pStyle w:val="BodyText1"/>
        <w:numPr>
          <w:ilvl w:val="0"/>
          <w:numId w:val="28"/>
        </w:numPr>
        <w:spacing w:after="0" w:line="240" w:lineRule="auto"/>
        <w:rPr>
          <w:szCs w:val="24"/>
        </w:rPr>
      </w:pPr>
      <w:r w:rsidRPr="00FD64D1">
        <w:rPr>
          <w:b/>
          <w:i/>
          <w:szCs w:val="24"/>
        </w:rPr>
        <w:t>Long-term outcomes:</w:t>
      </w:r>
      <w:r w:rsidRPr="00EB5AE2">
        <w:rPr>
          <w:szCs w:val="24"/>
        </w:rPr>
        <w:t xml:space="preserve">  (1) HIV preventive and testing behaviors among target audiences; (2) undiagnosed HIV infection among target audiences; (3) cross-community support for HIV prevention, testing, and referral strategies;</w:t>
      </w:r>
      <w:r w:rsidR="00997A01" w:rsidRPr="00EB5AE2">
        <w:rPr>
          <w:szCs w:val="24"/>
        </w:rPr>
        <w:t xml:space="preserve"> and</w:t>
      </w:r>
      <w:r w:rsidRPr="00EB5AE2">
        <w:rPr>
          <w:szCs w:val="24"/>
        </w:rPr>
        <w:t xml:space="preserve"> (4) HIV incidence among target audiences</w:t>
      </w:r>
      <w:r w:rsidR="00997A01" w:rsidRPr="00EB5AE2">
        <w:rPr>
          <w:szCs w:val="24"/>
        </w:rPr>
        <w:t>.</w:t>
      </w:r>
      <w:r w:rsidR="005958B7" w:rsidRPr="00EB5AE2" w:rsidDel="005958B7">
        <w:rPr>
          <w:szCs w:val="24"/>
        </w:rPr>
        <w:t xml:space="preserve"> </w:t>
      </w:r>
    </w:p>
    <w:p w14:paraId="52D60547" w14:textId="77777777" w:rsidR="00BF2E7F" w:rsidRPr="00EB5AE2" w:rsidRDefault="00BF2E7F" w:rsidP="000F03B3">
      <w:pPr>
        <w:pStyle w:val="BodyText2"/>
        <w:spacing w:after="0" w:line="240" w:lineRule="auto"/>
        <w:rPr>
          <w:sz w:val="24"/>
          <w:szCs w:val="24"/>
        </w:rPr>
      </w:pPr>
      <w:r w:rsidRPr="00EB5AE2">
        <w:rPr>
          <w:sz w:val="24"/>
          <w:szCs w:val="24"/>
        </w:rPr>
        <w:t xml:space="preserve">Information will be collected from partners and their collaborators (i.e., individuals and entities that work with partners to carry out programmatic activities). Specifically, 50 partner organizations will be asked to report on metrics data on a quarterly basis; one representative from 25 partner organizations will be asked to participate in key informant interviews, and to complete interim progress reports; 300 partner organizations and their collaborator organizations will be asked to complete a one-time survey on their organization’s involvement in promoting HIV education, awareness, and policies in their organization; and 500 partner organizations and their collaborator organizations will be asked to complete a partnership activities form for each activity that they complete related to this initiative, describing the activity. </w:t>
      </w:r>
    </w:p>
    <w:p w14:paraId="77955A78" w14:textId="77777777" w:rsidR="00BF2E7F" w:rsidRPr="00EB5AE2" w:rsidRDefault="00BF2E7F" w:rsidP="000F03B3">
      <w:pPr>
        <w:pStyle w:val="BodyText2"/>
        <w:spacing w:after="0" w:line="240" w:lineRule="auto"/>
        <w:rPr>
          <w:sz w:val="24"/>
          <w:szCs w:val="24"/>
        </w:rPr>
      </w:pPr>
      <w:r w:rsidRPr="00EB5AE2">
        <w:rPr>
          <w:sz w:val="24"/>
          <w:szCs w:val="24"/>
        </w:rPr>
        <w:t xml:space="preserve">The data gathered for this </w:t>
      </w:r>
      <w:r>
        <w:rPr>
          <w:sz w:val="24"/>
          <w:szCs w:val="24"/>
        </w:rPr>
        <w:t>project</w:t>
      </w:r>
      <w:r w:rsidRPr="00EB5AE2">
        <w:rPr>
          <w:sz w:val="24"/>
          <w:szCs w:val="24"/>
        </w:rPr>
        <w:t xml:space="preserve"> will be summarized in reports prepared for CDC by its contractor, such as biannual reports, annual reports, and final reports. It is possible that data from this </w:t>
      </w:r>
      <w:r>
        <w:rPr>
          <w:sz w:val="24"/>
          <w:szCs w:val="24"/>
        </w:rPr>
        <w:t>project</w:t>
      </w:r>
      <w:r w:rsidRPr="00EB5AE2">
        <w:rPr>
          <w:sz w:val="24"/>
          <w:szCs w:val="24"/>
        </w:rPr>
        <w:t xml:space="preserve"> will be published in peer-reviewed manuscripts or presented at conferences; the manuscripts and conference presentations may appear on the Internet. Specific plans for peer-reviewed publications and conference presentations have not yet been developed, but potential publication and presentation topics include the development, implementation or evaluation of partnership efforts. CDC National Center for HIV/AIDS, Viral Hepatitis, STD, and TB Prevention is funding the data collection.</w:t>
      </w:r>
    </w:p>
    <w:p w14:paraId="2168EB06" w14:textId="77777777" w:rsidR="00F14658" w:rsidRPr="00EB5AE2" w:rsidRDefault="00F14658" w:rsidP="000F03B3">
      <w:pPr>
        <w:pStyle w:val="BodyText1"/>
        <w:spacing w:after="0" w:line="240" w:lineRule="auto"/>
        <w:rPr>
          <w:szCs w:val="24"/>
        </w:rPr>
      </w:pPr>
      <w:r w:rsidRPr="00EB5AE2">
        <w:rPr>
          <w:szCs w:val="24"/>
        </w:rPr>
        <w:t xml:space="preserve">There </w:t>
      </w:r>
      <w:r w:rsidR="002F63B9" w:rsidRPr="00EB5AE2">
        <w:rPr>
          <w:szCs w:val="24"/>
        </w:rPr>
        <w:t>is one</w:t>
      </w:r>
      <w:r w:rsidR="00CE0FE2" w:rsidRPr="00EB5AE2">
        <w:rPr>
          <w:szCs w:val="24"/>
        </w:rPr>
        <w:t xml:space="preserve"> respondent universe for this data collection: </w:t>
      </w:r>
      <w:r w:rsidR="002F63B9" w:rsidRPr="00EB5AE2">
        <w:rPr>
          <w:szCs w:val="24"/>
        </w:rPr>
        <w:t xml:space="preserve">Partners </w:t>
      </w:r>
      <w:r w:rsidR="00CE0FE2" w:rsidRPr="00EB5AE2">
        <w:rPr>
          <w:szCs w:val="24"/>
        </w:rPr>
        <w:t>and their collaborators</w:t>
      </w:r>
      <w:r w:rsidR="003167DD" w:rsidRPr="00EB5AE2">
        <w:rPr>
          <w:szCs w:val="24"/>
        </w:rPr>
        <w:t xml:space="preserve"> (i.e., individuals and entities that work with </w:t>
      </w:r>
      <w:r w:rsidR="002F63B9" w:rsidRPr="00EB5AE2">
        <w:rPr>
          <w:szCs w:val="24"/>
        </w:rPr>
        <w:t xml:space="preserve">partners </w:t>
      </w:r>
      <w:r w:rsidR="003167DD" w:rsidRPr="00EB5AE2">
        <w:rPr>
          <w:szCs w:val="24"/>
        </w:rPr>
        <w:t>to carry out program</w:t>
      </w:r>
      <w:r w:rsidR="005958B7" w:rsidRPr="00EB5AE2">
        <w:rPr>
          <w:szCs w:val="24"/>
        </w:rPr>
        <w:t>matic</w:t>
      </w:r>
      <w:r w:rsidR="003167DD" w:rsidRPr="00EB5AE2">
        <w:rPr>
          <w:szCs w:val="24"/>
        </w:rPr>
        <w:t xml:space="preserve"> activities)</w:t>
      </w:r>
      <w:r w:rsidR="00CE0FE2" w:rsidRPr="00EB5AE2">
        <w:rPr>
          <w:szCs w:val="24"/>
        </w:rPr>
        <w:t xml:space="preserve">. </w:t>
      </w:r>
      <w:r w:rsidR="000F1EE2" w:rsidRPr="00EB5AE2">
        <w:rPr>
          <w:szCs w:val="24"/>
        </w:rPr>
        <w:t xml:space="preserve">Data from </w:t>
      </w:r>
      <w:r w:rsidR="0014205A" w:rsidRPr="00EB5AE2">
        <w:rPr>
          <w:szCs w:val="24"/>
        </w:rPr>
        <w:t xml:space="preserve">five </w:t>
      </w:r>
      <w:r w:rsidR="000F1EE2" w:rsidRPr="00EB5AE2">
        <w:rPr>
          <w:szCs w:val="24"/>
        </w:rPr>
        <w:t xml:space="preserve">sources will be </w:t>
      </w:r>
      <w:r w:rsidR="0009145C" w:rsidRPr="00EB5AE2">
        <w:rPr>
          <w:szCs w:val="24"/>
        </w:rPr>
        <w:t xml:space="preserve">integrated </w:t>
      </w:r>
      <w:r w:rsidR="000F1EE2" w:rsidRPr="00EB5AE2">
        <w:rPr>
          <w:szCs w:val="24"/>
        </w:rPr>
        <w:t xml:space="preserve">to </w:t>
      </w:r>
      <w:r w:rsidR="00792823" w:rsidRPr="00EB5AE2">
        <w:rPr>
          <w:szCs w:val="24"/>
        </w:rPr>
        <w:t>enrich and strengthen evaluation findings</w:t>
      </w:r>
      <w:r w:rsidR="000F1EE2" w:rsidRPr="00EB5AE2">
        <w:rPr>
          <w:szCs w:val="24"/>
        </w:rPr>
        <w:t>.</w:t>
      </w:r>
      <w:r w:rsidR="001D362C" w:rsidRPr="00EB5AE2">
        <w:rPr>
          <w:szCs w:val="24"/>
        </w:rPr>
        <w:t xml:space="preserve"> The data sources include the following:</w:t>
      </w:r>
    </w:p>
    <w:p w14:paraId="510CFE80" w14:textId="77777777" w:rsidR="001D362C" w:rsidRPr="00EB5AE2" w:rsidRDefault="00CE0FE2" w:rsidP="000F03B3">
      <w:pPr>
        <w:pStyle w:val="BodyText1"/>
        <w:numPr>
          <w:ilvl w:val="0"/>
          <w:numId w:val="40"/>
        </w:numPr>
        <w:spacing w:after="0" w:line="240" w:lineRule="auto"/>
        <w:rPr>
          <w:szCs w:val="24"/>
        </w:rPr>
      </w:pPr>
      <w:r w:rsidRPr="00FD64D1">
        <w:rPr>
          <w:b/>
          <w:i/>
          <w:szCs w:val="24"/>
        </w:rPr>
        <w:t xml:space="preserve">Metrics </w:t>
      </w:r>
      <w:r w:rsidR="005958B7" w:rsidRPr="00FD64D1">
        <w:rPr>
          <w:b/>
          <w:i/>
          <w:szCs w:val="24"/>
        </w:rPr>
        <w:t>D</w:t>
      </w:r>
      <w:r w:rsidRPr="00FD64D1">
        <w:rPr>
          <w:b/>
          <w:i/>
          <w:szCs w:val="24"/>
        </w:rPr>
        <w:t xml:space="preserve">atabase: </w:t>
      </w:r>
      <w:r w:rsidR="008B7E17" w:rsidRPr="00EB5AE2">
        <w:rPr>
          <w:szCs w:val="24"/>
        </w:rPr>
        <w:t xml:space="preserve">Partners </w:t>
      </w:r>
      <w:r w:rsidRPr="00EB5AE2">
        <w:rPr>
          <w:szCs w:val="24"/>
        </w:rPr>
        <w:t xml:space="preserve">will be </w:t>
      </w:r>
      <w:r w:rsidR="008C588C" w:rsidRPr="00EB5AE2">
        <w:rPr>
          <w:szCs w:val="24"/>
        </w:rPr>
        <w:t xml:space="preserve">required to </w:t>
      </w:r>
      <w:r w:rsidR="009B3DDC" w:rsidRPr="00EB5AE2">
        <w:rPr>
          <w:szCs w:val="24"/>
        </w:rPr>
        <w:t>report</w:t>
      </w:r>
      <w:r w:rsidR="003167DD" w:rsidRPr="00EB5AE2">
        <w:rPr>
          <w:szCs w:val="24"/>
        </w:rPr>
        <w:t xml:space="preserve"> quarterly data</w:t>
      </w:r>
      <w:r w:rsidR="009B3DDC" w:rsidRPr="00EB5AE2">
        <w:rPr>
          <w:szCs w:val="24"/>
        </w:rPr>
        <w:t xml:space="preserve"> to CDC</w:t>
      </w:r>
      <w:r w:rsidRPr="00EB5AE2">
        <w:rPr>
          <w:szCs w:val="24"/>
        </w:rPr>
        <w:t xml:space="preserve"> and CDC’s evaluation contractor </w:t>
      </w:r>
      <w:r w:rsidR="007B3906" w:rsidRPr="00EB5AE2">
        <w:rPr>
          <w:szCs w:val="24"/>
        </w:rPr>
        <w:t xml:space="preserve">through a </w:t>
      </w:r>
      <w:r w:rsidR="00671D1D" w:rsidRPr="00EB5AE2">
        <w:rPr>
          <w:szCs w:val="24"/>
        </w:rPr>
        <w:t>metrics</w:t>
      </w:r>
      <w:r w:rsidR="007B3906" w:rsidRPr="00EB5AE2">
        <w:rPr>
          <w:szCs w:val="24"/>
        </w:rPr>
        <w:t xml:space="preserve"> database</w:t>
      </w:r>
      <w:r w:rsidR="00AB1DCE" w:rsidRPr="00EB5AE2">
        <w:rPr>
          <w:szCs w:val="24"/>
        </w:rPr>
        <w:t xml:space="preserve"> (see </w:t>
      </w:r>
      <w:r w:rsidR="00DD3D4B" w:rsidRPr="00EB5AE2">
        <w:rPr>
          <w:b/>
          <w:szCs w:val="24"/>
        </w:rPr>
        <w:t>a</w:t>
      </w:r>
      <w:r w:rsidR="00AB1DCE" w:rsidRPr="00EB5AE2">
        <w:rPr>
          <w:b/>
          <w:szCs w:val="24"/>
        </w:rPr>
        <w:t xml:space="preserve">ttachment </w:t>
      </w:r>
      <w:r w:rsidR="00F051BB" w:rsidRPr="00EB5AE2">
        <w:rPr>
          <w:b/>
          <w:szCs w:val="24"/>
        </w:rPr>
        <w:t>3a</w:t>
      </w:r>
      <w:r w:rsidR="005C4589" w:rsidRPr="00EB5AE2">
        <w:rPr>
          <w:szCs w:val="24"/>
        </w:rPr>
        <w:t xml:space="preserve"> </w:t>
      </w:r>
      <w:r w:rsidR="00AB1DCE" w:rsidRPr="00EB5AE2">
        <w:rPr>
          <w:szCs w:val="24"/>
        </w:rPr>
        <w:t>for screenshots)</w:t>
      </w:r>
      <w:r w:rsidR="009B3DDC" w:rsidRPr="00EB5AE2">
        <w:rPr>
          <w:szCs w:val="24"/>
        </w:rPr>
        <w:t xml:space="preserve">. </w:t>
      </w:r>
      <w:r w:rsidR="00FF3C5E" w:rsidRPr="00EB5AE2">
        <w:rPr>
          <w:szCs w:val="24"/>
        </w:rPr>
        <w:t>The database will gather information on dissemination of HIV messaging and communication, including materials distribution; media and advertising impressions; and message channels</w:t>
      </w:r>
      <w:r w:rsidR="001B7A18" w:rsidRPr="00EB5AE2">
        <w:rPr>
          <w:szCs w:val="24"/>
        </w:rPr>
        <w:t>. The database will also collect</w:t>
      </w:r>
      <w:r w:rsidR="00FF3C5E" w:rsidRPr="00EB5AE2">
        <w:rPr>
          <w:szCs w:val="24"/>
        </w:rPr>
        <w:t xml:space="preserve"> information on implementation of national engagement efforts, including dissemination of materials at national </w:t>
      </w:r>
      <w:r w:rsidR="00B56A42" w:rsidRPr="00EB5AE2">
        <w:rPr>
          <w:szCs w:val="24"/>
        </w:rPr>
        <w:t xml:space="preserve">and local </w:t>
      </w:r>
      <w:r w:rsidR="00FF3C5E" w:rsidRPr="00EB5AE2">
        <w:rPr>
          <w:szCs w:val="24"/>
        </w:rPr>
        <w:t>events, HIV testing facilitation, and formation and coordination of strategic partnerships</w:t>
      </w:r>
      <w:r w:rsidR="00207DDE" w:rsidRPr="00EB5AE2">
        <w:rPr>
          <w:szCs w:val="24"/>
        </w:rPr>
        <w:t xml:space="preserve"> </w:t>
      </w:r>
      <w:r w:rsidR="00207DDE" w:rsidRPr="00EB5AE2">
        <w:rPr>
          <w:szCs w:val="24"/>
        </w:rPr>
        <w:lastRenderedPageBreak/>
        <w:t xml:space="preserve">(see </w:t>
      </w:r>
      <w:r w:rsidR="00DD3D4B" w:rsidRPr="00EB5AE2">
        <w:rPr>
          <w:b/>
          <w:szCs w:val="24"/>
        </w:rPr>
        <w:t>a</w:t>
      </w:r>
      <w:r w:rsidR="00207DDE" w:rsidRPr="00EB5AE2">
        <w:rPr>
          <w:b/>
          <w:szCs w:val="24"/>
        </w:rPr>
        <w:t xml:space="preserve">ttachment </w:t>
      </w:r>
      <w:r w:rsidR="00F051BB" w:rsidRPr="00EB5AE2">
        <w:rPr>
          <w:b/>
          <w:szCs w:val="24"/>
        </w:rPr>
        <w:t>3b</w:t>
      </w:r>
      <w:r w:rsidR="005C4589" w:rsidRPr="00EB5AE2">
        <w:rPr>
          <w:szCs w:val="24"/>
        </w:rPr>
        <w:t xml:space="preserve"> </w:t>
      </w:r>
      <w:r w:rsidR="00207DDE" w:rsidRPr="00EB5AE2">
        <w:rPr>
          <w:szCs w:val="24"/>
        </w:rPr>
        <w:t>for a uniform description of all metrics and relevant examples)</w:t>
      </w:r>
      <w:r w:rsidR="00FF3C5E" w:rsidRPr="00EB5AE2">
        <w:rPr>
          <w:szCs w:val="24"/>
        </w:rPr>
        <w:t xml:space="preserve">. </w:t>
      </w:r>
      <w:r w:rsidR="009B3DDC" w:rsidRPr="00EB5AE2">
        <w:rPr>
          <w:szCs w:val="24"/>
        </w:rPr>
        <w:t xml:space="preserve">CDC will use the </w:t>
      </w:r>
      <w:r w:rsidR="00671D1D" w:rsidRPr="00EB5AE2">
        <w:rPr>
          <w:szCs w:val="24"/>
        </w:rPr>
        <w:t>metrics</w:t>
      </w:r>
      <w:r w:rsidR="009B3DDC" w:rsidRPr="00EB5AE2">
        <w:rPr>
          <w:szCs w:val="24"/>
        </w:rPr>
        <w:t xml:space="preserve"> data to measure </w:t>
      </w:r>
      <w:r w:rsidR="008B7E17" w:rsidRPr="00EB5AE2">
        <w:rPr>
          <w:szCs w:val="24"/>
        </w:rPr>
        <w:t xml:space="preserve">partners’ </w:t>
      </w:r>
      <w:r w:rsidR="008C588C" w:rsidRPr="00EB5AE2">
        <w:rPr>
          <w:szCs w:val="24"/>
        </w:rPr>
        <w:t>individual and</w:t>
      </w:r>
      <w:r w:rsidR="009B3DDC" w:rsidRPr="00EB5AE2">
        <w:rPr>
          <w:szCs w:val="24"/>
        </w:rPr>
        <w:t xml:space="preserve"> collective </w:t>
      </w:r>
      <w:r w:rsidR="008C588C" w:rsidRPr="00EB5AE2">
        <w:rPr>
          <w:szCs w:val="24"/>
        </w:rPr>
        <w:t xml:space="preserve">(both overall and by sector/funding category) </w:t>
      </w:r>
      <w:r w:rsidR="009B3DDC" w:rsidRPr="00EB5AE2">
        <w:rPr>
          <w:szCs w:val="24"/>
        </w:rPr>
        <w:t xml:space="preserve">progress towards program objectives. </w:t>
      </w:r>
    </w:p>
    <w:p w14:paraId="7A8C4C9D" w14:textId="77777777" w:rsidR="001D362C" w:rsidRPr="00EB5AE2" w:rsidRDefault="002C6B1F" w:rsidP="000F03B3">
      <w:pPr>
        <w:pStyle w:val="BodyText1"/>
        <w:numPr>
          <w:ilvl w:val="0"/>
          <w:numId w:val="40"/>
        </w:numPr>
        <w:spacing w:after="0" w:line="240" w:lineRule="auto"/>
        <w:rPr>
          <w:szCs w:val="24"/>
        </w:rPr>
      </w:pPr>
      <w:r w:rsidRPr="00FD64D1">
        <w:rPr>
          <w:b/>
          <w:i/>
          <w:szCs w:val="24"/>
        </w:rPr>
        <w:t>K</w:t>
      </w:r>
      <w:r w:rsidR="00CE0FE2" w:rsidRPr="00FD64D1">
        <w:rPr>
          <w:b/>
          <w:i/>
          <w:szCs w:val="24"/>
        </w:rPr>
        <w:t xml:space="preserve">ey informant interviews:  </w:t>
      </w:r>
      <w:r w:rsidR="00CE0FE2" w:rsidRPr="00EB5AE2">
        <w:rPr>
          <w:szCs w:val="24"/>
        </w:rPr>
        <w:t xml:space="preserve">The </w:t>
      </w:r>
      <w:r w:rsidR="002F63B9" w:rsidRPr="00EB5AE2">
        <w:rPr>
          <w:szCs w:val="24"/>
        </w:rPr>
        <w:t>point of contact</w:t>
      </w:r>
      <w:r w:rsidR="00FC5975" w:rsidRPr="00EB5AE2">
        <w:rPr>
          <w:szCs w:val="24"/>
        </w:rPr>
        <w:t>s</w:t>
      </w:r>
      <w:r w:rsidR="00CE0FE2" w:rsidRPr="00EB5AE2">
        <w:rPr>
          <w:szCs w:val="24"/>
        </w:rPr>
        <w:t xml:space="preserve"> </w:t>
      </w:r>
      <w:r w:rsidR="00FC5975" w:rsidRPr="00EB5AE2">
        <w:rPr>
          <w:szCs w:val="24"/>
        </w:rPr>
        <w:t xml:space="preserve">(POCs) </w:t>
      </w:r>
      <w:r w:rsidR="00CE0FE2" w:rsidRPr="00EB5AE2">
        <w:rPr>
          <w:szCs w:val="24"/>
        </w:rPr>
        <w:t xml:space="preserve">from </w:t>
      </w:r>
      <w:r w:rsidR="00FC5975" w:rsidRPr="00EB5AE2">
        <w:rPr>
          <w:szCs w:val="24"/>
        </w:rPr>
        <w:t xml:space="preserve">some </w:t>
      </w:r>
      <w:r w:rsidR="002F63B9" w:rsidRPr="00EB5AE2">
        <w:rPr>
          <w:szCs w:val="24"/>
        </w:rPr>
        <w:t xml:space="preserve">partner </w:t>
      </w:r>
      <w:r w:rsidR="00CE0FE2" w:rsidRPr="00EB5AE2">
        <w:rPr>
          <w:szCs w:val="24"/>
        </w:rPr>
        <w:t>organization</w:t>
      </w:r>
      <w:r w:rsidR="00FC5975" w:rsidRPr="00EB5AE2">
        <w:rPr>
          <w:szCs w:val="24"/>
        </w:rPr>
        <w:t>s</w:t>
      </w:r>
      <w:r w:rsidR="00CE0FE2" w:rsidRPr="00EB5AE2">
        <w:rPr>
          <w:szCs w:val="24"/>
        </w:rPr>
        <w:t xml:space="preserve"> </w:t>
      </w:r>
      <w:r w:rsidR="009B3DDC" w:rsidRPr="00EB5AE2">
        <w:rPr>
          <w:szCs w:val="24"/>
        </w:rPr>
        <w:t xml:space="preserve">will </w:t>
      </w:r>
      <w:r w:rsidR="00CE0FE2" w:rsidRPr="00EB5AE2">
        <w:rPr>
          <w:szCs w:val="24"/>
        </w:rPr>
        <w:t>be interviewed twice yearly</w:t>
      </w:r>
      <w:r w:rsidR="009B3DDC" w:rsidRPr="00EB5AE2">
        <w:rPr>
          <w:szCs w:val="24"/>
        </w:rPr>
        <w:t xml:space="preserve">. </w:t>
      </w:r>
      <w:r w:rsidR="00CE0FE2" w:rsidRPr="00EB5AE2">
        <w:rPr>
          <w:szCs w:val="24"/>
        </w:rPr>
        <w:t>CDC’s evaluation</w:t>
      </w:r>
      <w:r w:rsidR="009B3DDC" w:rsidRPr="00EB5AE2">
        <w:rPr>
          <w:szCs w:val="24"/>
        </w:rPr>
        <w:t xml:space="preserve"> contractor will </w:t>
      </w:r>
      <w:r w:rsidR="00CE0FE2" w:rsidRPr="00EB5AE2">
        <w:rPr>
          <w:szCs w:val="24"/>
        </w:rPr>
        <w:t>conduct the interviews</w:t>
      </w:r>
      <w:r w:rsidR="009B3DDC" w:rsidRPr="00EB5AE2">
        <w:rPr>
          <w:szCs w:val="24"/>
        </w:rPr>
        <w:t xml:space="preserve"> via </w:t>
      </w:r>
      <w:r w:rsidR="00D1393B" w:rsidRPr="00EB5AE2">
        <w:rPr>
          <w:szCs w:val="24"/>
        </w:rPr>
        <w:t>tele</w:t>
      </w:r>
      <w:r w:rsidR="009B3DDC" w:rsidRPr="00EB5AE2">
        <w:rPr>
          <w:szCs w:val="24"/>
        </w:rPr>
        <w:t xml:space="preserve">phone </w:t>
      </w:r>
      <w:r w:rsidR="006F4844" w:rsidRPr="00EB5AE2">
        <w:rPr>
          <w:szCs w:val="24"/>
        </w:rPr>
        <w:t>to qualitatively assess</w:t>
      </w:r>
      <w:r w:rsidR="00CE0FE2" w:rsidRPr="00EB5AE2">
        <w:rPr>
          <w:szCs w:val="24"/>
        </w:rPr>
        <w:t xml:space="preserve"> </w:t>
      </w:r>
      <w:r w:rsidR="006F4844" w:rsidRPr="00EB5AE2">
        <w:rPr>
          <w:szCs w:val="24"/>
        </w:rPr>
        <w:t xml:space="preserve">the degree to </w:t>
      </w:r>
      <w:r w:rsidR="004B4C49" w:rsidRPr="00EB5AE2">
        <w:rPr>
          <w:szCs w:val="24"/>
        </w:rPr>
        <w:t xml:space="preserve">which </w:t>
      </w:r>
      <w:r w:rsidR="006F4844" w:rsidRPr="00EB5AE2">
        <w:rPr>
          <w:szCs w:val="24"/>
        </w:rPr>
        <w:t>program objectives are being achieved</w:t>
      </w:r>
      <w:r w:rsidR="00CE0FE2" w:rsidRPr="00EB5AE2">
        <w:rPr>
          <w:szCs w:val="24"/>
        </w:rPr>
        <w:t xml:space="preserve">, implementation practices, training and technical assistance (T&amp;TA) needs, barriers and facilitators to implementation, and factors that may help contextualize progress towards meeting objectives </w:t>
      </w:r>
      <w:r w:rsidR="006F4844" w:rsidRPr="00EB5AE2">
        <w:rPr>
          <w:szCs w:val="24"/>
        </w:rPr>
        <w:t xml:space="preserve">(see </w:t>
      </w:r>
      <w:r w:rsidR="00DD3D4B" w:rsidRPr="00EB5AE2">
        <w:rPr>
          <w:b/>
          <w:szCs w:val="24"/>
        </w:rPr>
        <w:t>a</w:t>
      </w:r>
      <w:r w:rsidR="006F4844" w:rsidRPr="00EB5AE2">
        <w:rPr>
          <w:b/>
          <w:szCs w:val="24"/>
        </w:rPr>
        <w:t xml:space="preserve">ttachment </w:t>
      </w:r>
      <w:r w:rsidR="00F051BB" w:rsidRPr="00EB5AE2">
        <w:rPr>
          <w:b/>
          <w:szCs w:val="24"/>
        </w:rPr>
        <w:t>3c</w:t>
      </w:r>
      <w:r w:rsidR="005C4589" w:rsidRPr="00EB5AE2">
        <w:rPr>
          <w:szCs w:val="24"/>
        </w:rPr>
        <w:t xml:space="preserve"> </w:t>
      </w:r>
      <w:r w:rsidR="006F4844" w:rsidRPr="00EB5AE2">
        <w:rPr>
          <w:szCs w:val="24"/>
        </w:rPr>
        <w:t xml:space="preserve">for </w:t>
      </w:r>
      <w:r w:rsidR="005D7B46" w:rsidRPr="00EB5AE2">
        <w:rPr>
          <w:szCs w:val="24"/>
        </w:rPr>
        <w:t xml:space="preserve">the </w:t>
      </w:r>
      <w:r w:rsidR="005958B7" w:rsidRPr="00EB5AE2">
        <w:rPr>
          <w:szCs w:val="24"/>
        </w:rPr>
        <w:t xml:space="preserve">interview </w:t>
      </w:r>
      <w:r w:rsidR="006F4844" w:rsidRPr="00EB5AE2">
        <w:rPr>
          <w:szCs w:val="24"/>
        </w:rPr>
        <w:t xml:space="preserve">guide). </w:t>
      </w:r>
    </w:p>
    <w:p w14:paraId="73641440" w14:textId="77777777" w:rsidR="001D362C" w:rsidRPr="00EB5AE2" w:rsidRDefault="009A046E" w:rsidP="000F03B3">
      <w:pPr>
        <w:pStyle w:val="BodyText1"/>
        <w:numPr>
          <w:ilvl w:val="0"/>
          <w:numId w:val="40"/>
        </w:numPr>
        <w:spacing w:after="0" w:line="240" w:lineRule="auto"/>
        <w:rPr>
          <w:szCs w:val="24"/>
        </w:rPr>
      </w:pPr>
      <w:r w:rsidRPr="00FD64D1">
        <w:rPr>
          <w:b/>
          <w:i/>
          <w:szCs w:val="24"/>
        </w:rPr>
        <w:t>Interim</w:t>
      </w:r>
      <w:r w:rsidR="00CE0FE2" w:rsidRPr="00FD64D1">
        <w:rPr>
          <w:b/>
          <w:i/>
          <w:szCs w:val="24"/>
        </w:rPr>
        <w:t xml:space="preserve"> </w:t>
      </w:r>
      <w:r w:rsidR="005958B7" w:rsidRPr="00FD64D1">
        <w:rPr>
          <w:b/>
          <w:i/>
          <w:szCs w:val="24"/>
        </w:rPr>
        <w:t>P</w:t>
      </w:r>
      <w:r w:rsidR="00CE0FE2" w:rsidRPr="00FD64D1">
        <w:rPr>
          <w:b/>
          <w:i/>
          <w:szCs w:val="24"/>
        </w:rPr>
        <w:t xml:space="preserve">rogress </w:t>
      </w:r>
      <w:r w:rsidR="005958B7" w:rsidRPr="00FD64D1">
        <w:rPr>
          <w:b/>
          <w:i/>
          <w:szCs w:val="24"/>
        </w:rPr>
        <w:t>R</w:t>
      </w:r>
      <w:r w:rsidR="00CE0FE2" w:rsidRPr="00FD64D1">
        <w:rPr>
          <w:b/>
          <w:i/>
          <w:szCs w:val="24"/>
        </w:rPr>
        <w:t>eport:</w:t>
      </w:r>
      <w:r w:rsidR="00CE0FE2" w:rsidRPr="00EB5AE2">
        <w:rPr>
          <w:szCs w:val="24"/>
        </w:rPr>
        <w:t xml:space="preserve"> </w:t>
      </w:r>
      <w:r w:rsidR="002F63B9" w:rsidRPr="00EB5AE2">
        <w:rPr>
          <w:szCs w:val="24"/>
        </w:rPr>
        <w:t xml:space="preserve">Partners </w:t>
      </w:r>
      <w:r w:rsidR="00E85616" w:rsidRPr="00EB5AE2">
        <w:rPr>
          <w:szCs w:val="24"/>
        </w:rPr>
        <w:t xml:space="preserve">will complete </w:t>
      </w:r>
      <w:r w:rsidR="00CE0FE2" w:rsidRPr="00EB5AE2">
        <w:rPr>
          <w:szCs w:val="24"/>
        </w:rPr>
        <w:t>a standardized progress report on a</w:t>
      </w:r>
      <w:r w:rsidRPr="00EB5AE2">
        <w:rPr>
          <w:szCs w:val="24"/>
        </w:rPr>
        <w:t xml:space="preserve"> biannual </w:t>
      </w:r>
      <w:r w:rsidR="00CE0FE2" w:rsidRPr="00EB5AE2">
        <w:rPr>
          <w:szCs w:val="24"/>
        </w:rPr>
        <w:t xml:space="preserve">basis </w:t>
      </w:r>
      <w:r w:rsidR="00992FF7" w:rsidRPr="00EB5AE2">
        <w:rPr>
          <w:szCs w:val="24"/>
        </w:rPr>
        <w:t xml:space="preserve">(see </w:t>
      </w:r>
      <w:r w:rsidR="00DD3D4B" w:rsidRPr="00EB5AE2">
        <w:rPr>
          <w:b/>
          <w:szCs w:val="24"/>
        </w:rPr>
        <w:t>a</w:t>
      </w:r>
      <w:r w:rsidR="00992FF7" w:rsidRPr="00EB5AE2">
        <w:rPr>
          <w:b/>
          <w:szCs w:val="24"/>
        </w:rPr>
        <w:t xml:space="preserve">ttachment </w:t>
      </w:r>
      <w:r w:rsidR="00F051BB" w:rsidRPr="00EB5AE2">
        <w:rPr>
          <w:b/>
          <w:szCs w:val="24"/>
        </w:rPr>
        <w:t>3d</w:t>
      </w:r>
      <w:r w:rsidR="005C4589" w:rsidRPr="00EB5AE2">
        <w:rPr>
          <w:szCs w:val="24"/>
        </w:rPr>
        <w:t xml:space="preserve"> </w:t>
      </w:r>
      <w:r w:rsidR="00992FF7" w:rsidRPr="00EB5AE2">
        <w:rPr>
          <w:szCs w:val="24"/>
        </w:rPr>
        <w:t xml:space="preserve">for </w:t>
      </w:r>
      <w:r w:rsidR="009531B5" w:rsidRPr="00EB5AE2">
        <w:rPr>
          <w:szCs w:val="24"/>
        </w:rPr>
        <w:t xml:space="preserve">the </w:t>
      </w:r>
      <w:r w:rsidR="00992FF7" w:rsidRPr="00EB5AE2">
        <w:rPr>
          <w:szCs w:val="24"/>
        </w:rPr>
        <w:t>template)</w:t>
      </w:r>
      <w:r w:rsidR="00270A78" w:rsidRPr="00EB5AE2">
        <w:rPr>
          <w:szCs w:val="24"/>
        </w:rPr>
        <w:t xml:space="preserve"> via a </w:t>
      </w:r>
      <w:r w:rsidR="00201A86" w:rsidRPr="00EB5AE2">
        <w:rPr>
          <w:szCs w:val="24"/>
        </w:rPr>
        <w:t xml:space="preserve">user-friendly </w:t>
      </w:r>
      <w:r w:rsidR="00DC6028" w:rsidRPr="00EB5AE2">
        <w:rPr>
          <w:szCs w:val="24"/>
        </w:rPr>
        <w:t>electronic form</w:t>
      </w:r>
      <w:r w:rsidR="00270A78" w:rsidRPr="00EB5AE2">
        <w:rPr>
          <w:szCs w:val="24"/>
        </w:rPr>
        <w:t>,</w:t>
      </w:r>
      <w:r w:rsidR="00FE470D" w:rsidRPr="00EB5AE2">
        <w:rPr>
          <w:szCs w:val="24"/>
        </w:rPr>
        <w:t xml:space="preserve"> eliminating the use of paper entirely. </w:t>
      </w:r>
      <w:r w:rsidR="004305A3" w:rsidRPr="00EB5AE2">
        <w:rPr>
          <w:szCs w:val="24"/>
        </w:rPr>
        <w:t xml:space="preserve">The progress reports will gather information on </w:t>
      </w:r>
      <w:r w:rsidR="00C56D76" w:rsidRPr="00EB5AE2">
        <w:rPr>
          <w:szCs w:val="24"/>
        </w:rPr>
        <w:t>key successes, facilitators and barriers, and major achievements</w:t>
      </w:r>
      <w:r w:rsidR="00BD0B88" w:rsidRPr="00EB5AE2">
        <w:rPr>
          <w:szCs w:val="24"/>
        </w:rPr>
        <w:t>; organizational and key staff changes; and innovative practices and lessons learned.</w:t>
      </w:r>
      <w:r w:rsidR="00FE470D" w:rsidRPr="00EB5AE2">
        <w:rPr>
          <w:szCs w:val="24"/>
        </w:rPr>
        <w:t xml:space="preserve"> </w:t>
      </w:r>
    </w:p>
    <w:p w14:paraId="6169C6C5" w14:textId="77777777" w:rsidR="001A1849" w:rsidRPr="00EB5AE2" w:rsidRDefault="00522510" w:rsidP="000F03B3">
      <w:pPr>
        <w:numPr>
          <w:ilvl w:val="0"/>
          <w:numId w:val="40"/>
        </w:numPr>
        <w:rPr>
          <w:szCs w:val="24"/>
        </w:rPr>
      </w:pPr>
      <w:r w:rsidRPr="00FD64D1">
        <w:rPr>
          <w:b/>
          <w:i/>
          <w:szCs w:val="24"/>
        </w:rPr>
        <w:t xml:space="preserve">Partner </w:t>
      </w:r>
      <w:r w:rsidR="005958B7" w:rsidRPr="00FD64D1">
        <w:rPr>
          <w:b/>
          <w:i/>
          <w:szCs w:val="24"/>
        </w:rPr>
        <w:t>Survey</w:t>
      </w:r>
      <w:r w:rsidR="003167DD" w:rsidRPr="00FD64D1">
        <w:rPr>
          <w:b/>
          <w:i/>
          <w:szCs w:val="24"/>
        </w:rPr>
        <w:t xml:space="preserve">: </w:t>
      </w:r>
      <w:r w:rsidR="00FC5975" w:rsidRPr="00EB5AE2">
        <w:rPr>
          <w:szCs w:val="24"/>
        </w:rPr>
        <w:t>Partners</w:t>
      </w:r>
      <w:r w:rsidR="001D362C" w:rsidRPr="00EB5AE2">
        <w:rPr>
          <w:szCs w:val="24"/>
        </w:rPr>
        <w:t xml:space="preserve"> </w:t>
      </w:r>
      <w:r w:rsidR="004305A3" w:rsidRPr="00EB5AE2">
        <w:rPr>
          <w:szCs w:val="24"/>
        </w:rPr>
        <w:t xml:space="preserve">will be administered a brief </w:t>
      </w:r>
      <w:r w:rsidR="002E219F" w:rsidRPr="00EB5AE2">
        <w:rPr>
          <w:szCs w:val="24"/>
        </w:rPr>
        <w:t xml:space="preserve">online </w:t>
      </w:r>
      <w:r w:rsidR="004305A3" w:rsidRPr="00EB5AE2">
        <w:rPr>
          <w:szCs w:val="24"/>
        </w:rPr>
        <w:t>survey to assess</w:t>
      </w:r>
      <w:r w:rsidR="00F10301" w:rsidRPr="00EB5AE2">
        <w:rPr>
          <w:szCs w:val="24"/>
        </w:rPr>
        <w:t xml:space="preserve"> their involvement in promoting HIV education, awareness, and policies in the</w:t>
      </w:r>
      <w:r w:rsidR="00836B88" w:rsidRPr="00EB5AE2">
        <w:rPr>
          <w:szCs w:val="24"/>
        </w:rPr>
        <w:t>ir</w:t>
      </w:r>
      <w:r w:rsidR="00F10301" w:rsidRPr="00EB5AE2">
        <w:rPr>
          <w:szCs w:val="24"/>
        </w:rPr>
        <w:t xml:space="preserve"> </w:t>
      </w:r>
      <w:r w:rsidR="00836B88" w:rsidRPr="00EB5AE2">
        <w:rPr>
          <w:szCs w:val="24"/>
        </w:rPr>
        <w:t>organization</w:t>
      </w:r>
      <w:r w:rsidR="00F10301" w:rsidRPr="00EB5AE2">
        <w:rPr>
          <w:szCs w:val="24"/>
        </w:rPr>
        <w:t xml:space="preserve">. The </w:t>
      </w:r>
      <w:r w:rsidR="00CE32E8" w:rsidRPr="00EB5AE2">
        <w:rPr>
          <w:szCs w:val="24"/>
        </w:rPr>
        <w:t xml:space="preserve">survey is organized into six main sections: demographic information; </w:t>
      </w:r>
      <w:r w:rsidR="005958B7" w:rsidRPr="00EB5AE2">
        <w:rPr>
          <w:szCs w:val="24"/>
        </w:rPr>
        <w:t xml:space="preserve">organizational </w:t>
      </w:r>
      <w:r w:rsidR="00CE32E8" w:rsidRPr="00EB5AE2">
        <w:rPr>
          <w:szCs w:val="24"/>
        </w:rPr>
        <w:t xml:space="preserve">policies addressing health, safety, and disability, including HIV/AIDS; </w:t>
      </w:r>
      <w:r w:rsidR="00836B88" w:rsidRPr="00EB5AE2">
        <w:rPr>
          <w:szCs w:val="24"/>
        </w:rPr>
        <w:t xml:space="preserve">organizational </w:t>
      </w:r>
      <w:r w:rsidR="00CE32E8" w:rsidRPr="00EB5AE2">
        <w:rPr>
          <w:szCs w:val="24"/>
        </w:rPr>
        <w:t>health and safety issues, including exposure to blood and bodily fluids; the availability and implementation of health promotion and wellness programs; philanthropic and charitable efforts for health-related causes and for HIV/AIDS</w:t>
      </w:r>
      <w:r w:rsidR="00621DD2" w:rsidRPr="00EB5AE2">
        <w:rPr>
          <w:szCs w:val="24"/>
        </w:rPr>
        <w:t>, and awareness and engagement with CDC’s HIV communication initiatives</w:t>
      </w:r>
      <w:r w:rsidR="001510E4" w:rsidRPr="00EB5AE2">
        <w:rPr>
          <w:szCs w:val="24"/>
        </w:rPr>
        <w:t xml:space="preserve"> (see </w:t>
      </w:r>
      <w:r w:rsidR="00DD3D4B" w:rsidRPr="00EB5AE2">
        <w:rPr>
          <w:szCs w:val="24"/>
        </w:rPr>
        <w:t>a</w:t>
      </w:r>
      <w:r w:rsidR="001510E4" w:rsidRPr="00EB5AE2">
        <w:rPr>
          <w:b/>
          <w:szCs w:val="24"/>
        </w:rPr>
        <w:t xml:space="preserve">ttachment </w:t>
      </w:r>
      <w:r w:rsidR="00F051BB" w:rsidRPr="00EB5AE2">
        <w:rPr>
          <w:b/>
          <w:szCs w:val="24"/>
        </w:rPr>
        <w:t>3e</w:t>
      </w:r>
      <w:r w:rsidR="001510E4" w:rsidRPr="00EB5AE2">
        <w:rPr>
          <w:szCs w:val="24"/>
        </w:rPr>
        <w:t>)</w:t>
      </w:r>
      <w:r w:rsidR="00CE32E8" w:rsidRPr="00EB5AE2">
        <w:rPr>
          <w:szCs w:val="24"/>
        </w:rPr>
        <w:t>.</w:t>
      </w:r>
      <w:r w:rsidR="001510E4" w:rsidRPr="00EB5AE2">
        <w:rPr>
          <w:szCs w:val="24"/>
        </w:rPr>
        <w:t xml:space="preserve"> </w:t>
      </w:r>
      <w:r w:rsidR="00C46765" w:rsidRPr="00EB5AE2">
        <w:rPr>
          <w:b/>
          <w:szCs w:val="24"/>
        </w:rPr>
        <w:t xml:space="preserve"> </w:t>
      </w:r>
    </w:p>
    <w:p w14:paraId="31FB6695" w14:textId="77777777" w:rsidR="003A5CCE" w:rsidRDefault="003A5CCE" w:rsidP="000F03B3">
      <w:pPr>
        <w:numPr>
          <w:ilvl w:val="0"/>
          <w:numId w:val="40"/>
        </w:numPr>
        <w:rPr>
          <w:szCs w:val="24"/>
        </w:rPr>
      </w:pPr>
      <w:r w:rsidRPr="00FD64D1">
        <w:rPr>
          <w:b/>
          <w:i/>
          <w:szCs w:val="24"/>
        </w:rPr>
        <w:t xml:space="preserve">Partnership </w:t>
      </w:r>
      <w:r w:rsidR="005958B7" w:rsidRPr="00FD64D1">
        <w:rPr>
          <w:b/>
          <w:i/>
          <w:szCs w:val="24"/>
        </w:rPr>
        <w:t>A</w:t>
      </w:r>
      <w:r w:rsidRPr="00FD64D1">
        <w:rPr>
          <w:b/>
          <w:i/>
          <w:szCs w:val="24"/>
        </w:rPr>
        <w:t xml:space="preserve">ctivities </w:t>
      </w:r>
      <w:r w:rsidR="005958B7" w:rsidRPr="00FD64D1">
        <w:rPr>
          <w:b/>
          <w:i/>
          <w:szCs w:val="24"/>
        </w:rPr>
        <w:t>F</w:t>
      </w:r>
      <w:r w:rsidRPr="00FD64D1">
        <w:rPr>
          <w:b/>
          <w:i/>
          <w:szCs w:val="24"/>
        </w:rPr>
        <w:t>orm</w:t>
      </w:r>
      <w:r w:rsidR="00EA122A" w:rsidRPr="00FD64D1">
        <w:rPr>
          <w:b/>
          <w:i/>
          <w:szCs w:val="24"/>
        </w:rPr>
        <w:t xml:space="preserve">: </w:t>
      </w:r>
      <w:r w:rsidR="00EA122A" w:rsidRPr="00EB5AE2">
        <w:rPr>
          <w:szCs w:val="24"/>
        </w:rPr>
        <w:t xml:space="preserve">Partners </w:t>
      </w:r>
      <w:r w:rsidR="00BF64C1" w:rsidRPr="00EB5AE2">
        <w:rPr>
          <w:szCs w:val="24"/>
        </w:rPr>
        <w:t>may</w:t>
      </w:r>
      <w:r w:rsidR="00EA122A" w:rsidRPr="00EB5AE2">
        <w:rPr>
          <w:szCs w:val="24"/>
        </w:rPr>
        <w:t xml:space="preserve"> be asked to complete a brief </w:t>
      </w:r>
      <w:r w:rsidR="00BF64C1" w:rsidRPr="00EB5AE2">
        <w:rPr>
          <w:szCs w:val="24"/>
        </w:rPr>
        <w:t>electronic</w:t>
      </w:r>
      <w:r w:rsidR="00EA122A" w:rsidRPr="00EB5AE2">
        <w:rPr>
          <w:szCs w:val="24"/>
        </w:rPr>
        <w:t xml:space="preserve"> form </w:t>
      </w:r>
      <w:r w:rsidR="007D4328" w:rsidRPr="00EB5AE2">
        <w:rPr>
          <w:szCs w:val="24"/>
        </w:rPr>
        <w:t xml:space="preserve">to provide information </w:t>
      </w:r>
      <w:r w:rsidR="00EA122A" w:rsidRPr="00EB5AE2">
        <w:rPr>
          <w:szCs w:val="24"/>
        </w:rPr>
        <w:t xml:space="preserve">on each partner activity that they complete. </w:t>
      </w:r>
      <w:r w:rsidR="007D4328" w:rsidRPr="00EB5AE2">
        <w:rPr>
          <w:szCs w:val="24"/>
        </w:rPr>
        <w:t xml:space="preserve">The form will collect information on the type of event, the audience, </w:t>
      </w:r>
      <w:r w:rsidR="001526FA" w:rsidRPr="00EB5AE2">
        <w:rPr>
          <w:szCs w:val="24"/>
        </w:rPr>
        <w:t xml:space="preserve">and </w:t>
      </w:r>
      <w:r w:rsidR="007D4328" w:rsidRPr="00EB5AE2">
        <w:rPr>
          <w:szCs w:val="24"/>
        </w:rPr>
        <w:t xml:space="preserve">key highlights; </w:t>
      </w:r>
      <w:r w:rsidR="001526FA" w:rsidRPr="00EB5AE2">
        <w:rPr>
          <w:szCs w:val="24"/>
        </w:rPr>
        <w:t xml:space="preserve">the </w:t>
      </w:r>
      <w:r w:rsidR="007D4328" w:rsidRPr="00EB5AE2">
        <w:rPr>
          <w:szCs w:val="24"/>
        </w:rPr>
        <w:t>number of HIV tests administered (if any)</w:t>
      </w:r>
      <w:r w:rsidR="001526FA" w:rsidRPr="00EB5AE2">
        <w:rPr>
          <w:szCs w:val="24"/>
        </w:rPr>
        <w:t xml:space="preserve"> and the number of preliminary positives</w:t>
      </w:r>
      <w:r w:rsidR="007D4328" w:rsidRPr="00EB5AE2">
        <w:rPr>
          <w:szCs w:val="24"/>
        </w:rPr>
        <w:t xml:space="preserve">; the number and type of materials distributed </w:t>
      </w:r>
      <w:r w:rsidR="001526FA" w:rsidRPr="00EB5AE2">
        <w:rPr>
          <w:szCs w:val="24"/>
        </w:rPr>
        <w:t>(</w:t>
      </w:r>
      <w:r w:rsidR="007D4328" w:rsidRPr="00EB5AE2">
        <w:rPr>
          <w:szCs w:val="24"/>
        </w:rPr>
        <w:t xml:space="preserve">if </w:t>
      </w:r>
      <w:r w:rsidR="00B30AAF" w:rsidRPr="00EB5AE2">
        <w:rPr>
          <w:szCs w:val="24"/>
        </w:rPr>
        <w:t xml:space="preserve">platforms used (if any) and related metrics; and the number and type of media activities (if any) </w:t>
      </w:r>
      <w:r w:rsidR="007D4328" w:rsidRPr="00EB5AE2">
        <w:rPr>
          <w:szCs w:val="24"/>
        </w:rPr>
        <w:t>any);</w:t>
      </w:r>
      <w:r w:rsidR="001526FA" w:rsidRPr="00EB5AE2">
        <w:rPr>
          <w:szCs w:val="24"/>
        </w:rPr>
        <w:t xml:space="preserve"> the number of Internet ads placed (if any) and related metrics; the types of social media and related metrics</w:t>
      </w:r>
      <w:r w:rsidR="005958B7" w:rsidRPr="00EB5AE2">
        <w:rPr>
          <w:szCs w:val="24"/>
        </w:rPr>
        <w:t xml:space="preserve"> </w:t>
      </w:r>
      <w:r w:rsidR="00BF64C1" w:rsidRPr="00EB5AE2">
        <w:rPr>
          <w:szCs w:val="24"/>
        </w:rPr>
        <w:t xml:space="preserve">(see </w:t>
      </w:r>
      <w:r w:rsidR="00DD3D4B" w:rsidRPr="00EB5AE2">
        <w:rPr>
          <w:b/>
          <w:szCs w:val="24"/>
        </w:rPr>
        <w:t>a</w:t>
      </w:r>
      <w:r w:rsidR="00BF64C1" w:rsidRPr="00EB5AE2">
        <w:rPr>
          <w:b/>
          <w:szCs w:val="24"/>
        </w:rPr>
        <w:t xml:space="preserve">ttachment </w:t>
      </w:r>
      <w:r w:rsidR="00F051BB" w:rsidRPr="00EB5AE2">
        <w:rPr>
          <w:b/>
          <w:szCs w:val="24"/>
        </w:rPr>
        <w:t>3f</w:t>
      </w:r>
      <w:r w:rsidR="00BF64C1" w:rsidRPr="00EB5AE2">
        <w:rPr>
          <w:szCs w:val="24"/>
        </w:rPr>
        <w:t>).</w:t>
      </w:r>
    </w:p>
    <w:p w14:paraId="25D7E86F" w14:textId="77777777" w:rsidR="00F57B18" w:rsidRPr="00EB5AE2" w:rsidRDefault="00F57B18" w:rsidP="00FD64D1">
      <w:pPr>
        <w:rPr>
          <w:szCs w:val="24"/>
        </w:rPr>
      </w:pPr>
    </w:p>
    <w:p w14:paraId="149B3501" w14:textId="77777777" w:rsidR="00A07D4E" w:rsidRPr="00EB5AE2" w:rsidRDefault="00E949EF" w:rsidP="000F03B3">
      <w:pPr>
        <w:pStyle w:val="Heading2"/>
        <w:spacing w:after="0"/>
        <w:rPr>
          <w:szCs w:val="24"/>
        </w:rPr>
      </w:pPr>
      <w:bookmarkStart w:id="15" w:name="_Toc143058438"/>
      <w:bookmarkStart w:id="16" w:name="_Toc146088436"/>
      <w:bookmarkStart w:id="17" w:name="_Toc231290965"/>
      <w:r w:rsidRPr="00EB5AE2">
        <w:rPr>
          <w:szCs w:val="24"/>
        </w:rPr>
        <w:t>3.</w:t>
      </w:r>
      <w:r w:rsidRPr="00EB5AE2">
        <w:rPr>
          <w:szCs w:val="24"/>
        </w:rPr>
        <w:tab/>
        <w:t>Use of Improved Information Technology and Burden Reduction</w:t>
      </w:r>
      <w:bookmarkEnd w:id="15"/>
      <w:bookmarkEnd w:id="16"/>
      <w:bookmarkEnd w:id="17"/>
      <w:r w:rsidRPr="00EB5AE2">
        <w:rPr>
          <w:szCs w:val="24"/>
        </w:rPr>
        <w:t xml:space="preserve"> </w:t>
      </w:r>
      <w:bookmarkStart w:id="18" w:name="_Toc143058439"/>
      <w:bookmarkStart w:id="19" w:name="_Toc146088437"/>
      <w:bookmarkStart w:id="20" w:name="_Toc231290966"/>
    </w:p>
    <w:p w14:paraId="214D16CC" w14:textId="3709B599" w:rsidR="00270A78" w:rsidRPr="00EB5AE2" w:rsidRDefault="00270A78" w:rsidP="000F03B3">
      <w:pPr>
        <w:pStyle w:val="BodyText2"/>
        <w:spacing w:after="0" w:line="240" w:lineRule="auto"/>
        <w:rPr>
          <w:sz w:val="24"/>
          <w:szCs w:val="24"/>
        </w:rPr>
      </w:pPr>
      <w:r w:rsidRPr="00EB5AE2">
        <w:rPr>
          <w:sz w:val="24"/>
          <w:szCs w:val="24"/>
        </w:rPr>
        <w:t xml:space="preserve">Collection of information will take place electronically for the metrics database, </w:t>
      </w:r>
      <w:r w:rsidR="00BD7209" w:rsidRPr="00EB5AE2">
        <w:rPr>
          <w:sz w:val="24"/>
          <w:szCs w:val="24"/>
        </w:rPr>
        <w:t>Interim Progress Report</w:t>
      </w:r>
      <w:r w:rsidRPr="00EB5AE2">
        <w:rPr>
          <w:sz w:val="24"/>
          <w:szCs w:val="24"/>
        </w:rPr>
        <w:t xml:space="preserve">, </w:t>
      </w:r>
      <w:r w:rsidR="005958B7" w:rsidRPr="00EB5AE2">
        <w:rPr>
          <w:sz w:val="24"/>
          <w:szCs w:val="24"/>
        </w:rPr>
        <w:t>P</w:t>
      </w:r>
      <w:r w:rsidR="00AD3B17" w:rsidRPr="00EB5AE2">
        <w:rPr>
          <w:sz w:val="24"/>
          <w:szCs w:val="24"/>
        </w:rPr>
        <w:t xml:space="preserve">artner </w:t>
      </w:r>
      <w:r w:rsidR="005958B7" w:rsidRPr="00EB5AE2">
        <w:rPr>
          <w:sz w:val="24"/>
          <w:szCs w:val="24"/>
        </w:rPr>
        <w:t>S</w:t>
      </w:r>
      <w:r w:rsidRPr="00EB5AE2">
        <w:rPr>
          <w:sz w:val="24"/>
          <w:szCs w:val="24"/>
        </w:rPr>
        <w:t>urvey</w:t>
      </w:r>
      <w:r w:rsidR="005F0ADB" w:rsidRPr="00EB5AE2">
        <w:rPr>
          <w:sz w:val="24"/>
          <w:szCs w:val="24"/>
        </w:rPr>
        <w:t xml:space="preserve">, and </w:t>
      </w:r>
      <w:r w:rsidR="005958B7" w:rsidRPr="00EB5AE2">
        <w:rPr>
          <w:sz w:val="24"/>
          <w:szCs w:val="24"/>
        </w:rPr>
        <w:t>P</w:t>
      </w:r>
      <w:r w:rsidR="005F0ADB" w:rsidRPr="00EB5AE2">
        <w:rPr>
          <w:sz w:val="24"/>
          <w:szCs w:val="24"/>
        </w:rPr>
        <w:t xml:space="preserve">artnerships </w:t>
      </w:r>
      <w:r w:rsidR="005958B7" w:rsidRPr="00EB5AE2">
        <w:rPr>
          <w:sz w:val="24"/>
          <w:szCs w:val="24"/>
        </w:rPr>
        <w:t>A</w:t>
      </w:r>
      <w:r w:rsidR="005F0ADB" w:rsidRPr="00EB5AE2">
        <w:rPr>
          <w:sz w:val="24"/>
          <w:szCs w:val="24"/>
        </w:rPr>
        <w:t xml:space="preserve">ctivities </w:t>
      </w:r>
      <w:r w:rsidR="005958B7" w:rsidRPr="00EB5AE2">
        <w:rPr>
          <w:sz w:val="24"/>
          <w:szCs w:val="24"/>
        </w:rPr>
        <w:t>F</w:t>
      </w:r>
      <w:r w:rsidR="005F0ADB" w:rsidRPr="00EB5AE2">
        <w:rPr>
          <w:sz w:val="24"/>
          <w:szCs w:val="24"/>
        </w:rPr>
        <w:t>orm</w:t>
      </w:r>
      <w:r w:rsidRPr="00EB5AE2">
        <w:rPr>
          <w:sz w:val="24"/>
          <w:szCs w:val="24"/>
        </w:rPr>
        <w:t xml:space="preserve">.  </w:t>
      </w:r>
      <w:r w:rsidR="00AB2CAA">
        <w:rPr>
          <w:sz w:val="24"/>
          <w:szCs w:val="24"/>
        </w:rPr>
        <w:t xml:space="preserve">These data collection instruments allow for 100% of respondents to submit information through electronic means to increase efficiency and decrease error and cost.  </w:t>
      </w:r>
    </w:p>
    <w:p w14:paraId="257042C3" w14:textId="77777777" w:rsidR="006554C6" w:rsidRPr="00EB5AE2" w:rsidRDefault="00270A78" w:rsidP="000F03B3">
      <w:pPr>
        <w:pStyle w:val="BodyText2"/>
        <w:numPr>
          <w:ilvl w:val="0"/>
          <w:numId w:val="35"/>
        </w:numPr>
        <w:spacing w:after="0" w:line="240" w:lineRule="auto"/>
        <w:rPr>
          <w:sz w:val="24"/>
          <w:szCs w:val="24"/>
        </w:rPr>
      </w:pPr>
      <w:r w:rsidRPr="00FD64D1">
        <w:rPr>
          <w:b/>
          <w:i/>
          <w:sz w:val="24"/>
          <w:szCs w:val="24"/>
        </w:rPr>
        <w:t xml:space="preserve">Metrics </w:t>
      </w:r>
      <w:r w:rsidR="005958B7" w:rsidRPr="00FD64D1">
        <w:rPr>
          <w:b/>
          <w:i/>
          <w:sz w:val="24"/>
          <w:szCs w:val="24"/>
        </w:rPr>
        <w:t>D</w:t>
      </w:r>
      <w:r w:rsidRPr="00FD64D1">
        <w:rPr>
          <w:b/>
          <w:i/>
          <w:sz w:val="24"/>
          <w:szCs w:val="24"/>
        </w:rPr>
        <w:t>atabase:</w:t>
      </w:r>
      <w:r w:rsidRPr="00EB5AE2">
        <w:rPr>
          <w:sz w:val="24"/>
          <w:szCs w:val="24"/>
        </w:rPr>
        <w:t xml:space="preserve">  P</w:t>
      </w:r>
      <w:r w:rsidR="002F63B9" w:rsidRPr="00EB5AE2">
        <w:rPr>
          <w:sz w:val="24"/>
          <w:szCs w:val="24"/>
        </w:rPr>
        <w:t xml:space="preserve">artners </w:t>
      </w:r>
      <w:r w:rsidR="00C35FB7" w:rsidRPr="00EB5AE2">
        <w:rPr>
          <w:sz w:val="24"/>
          <w:szCs w:val="24"/>
        </w:rPr>
        <w:t xml:space="preserve">will </w:t>
      </w:r>
      <w:r w:rsidR="00A07D4E" w:rsidRPr="00EB5AE2">
        <w:rPr>
          <w:sz w:val="24"/>
          <w:szCs w:val="24"/>
        </w:rPr>
        <w:t xml:space="preserve">enter </w:t>
      </w:r>
      <w:r w:rsidR="00BE5291" w:rsidRPr="00EB5AE2">
        <w:rPr>
          <w:sz w:val="24"/>
          <w:szCs w:val="24"/>
        </w:rPr>
        <w:t>metrics</w:t>
      </w:r>
      <w:r w:rsidR="00A07D4E" w:rsidRPr="00EB5AE2">
        <w:rPr>
          <w:sz w:val="24"/>
          <w:szCs w:val="24"/>
        </w:rPr>
        <w:t xml:space="preserve"> data into a user-friendly </w:t>
      </w:r>
      <w:r w:rsidR="00C35FB7" w:rsidRPr="00EB5AE2">
        <w:rPr>
          <w:sz w:val="24"/>
          <w:szCs w:val="24"/>
        </w:rPr>
        <w:t xml:space="preserve">online </w:t>
      </w:r>
      <w:r w:rsidR="00A07D4E" w:rsidRPr="00EB5AE2">
        <w:rPr>
          <w:sz w:val="24"/>
          <w:szCs w:val="24"/>
        </w:rPr>
        <w:t>database</w:t>
      </w:r>
      <w:r w:rsidRPr="00EB5AE2">
        <w:rPr>
          <w:sz w:val="24"/>
          <w:szCs w:val="24"/>
        </w:rPr>
        <w:t xml:space="preserve"> quarterly</w:t>
      </w:r>
      <w:r w:rsidR="00950552" w:rsidRPr="00EB5AE2">
        <w:rPr>
          <w:sz w:val="24"/>
          <w:szCs w:val="24"/>
        </w:rPr>
        <w:t xml:space="preserve"> (see </w:t>
      </w:r>
      <w:r w:rsidR="00DD3D4B" w:rsidRPr="00EB5AE2">
        <w:rPr>
          <w:b/>
          <w:sz w:val="24"/>
          <w:szCs w:val="24"/>
        </w:rPr>
        <w:t>a</w:t>
      </w:r>
      <w:r w:rsidR="00950552" w:rsidRPr="00EB5AE2">
        <w:rPr>
          <w:b/>
          <w:sz w:val="24"/>
          <w:szCs w:val="24"/>
        </w:rPr>
        <w:t xml:space="preserve">ttachment </w:t>
      </w:r>
      <w:r w:rsidR="00F051BB" w:rsidRPr="00EB5AE2">
        <w:rPr>
          <w:b/>
          <w:sz w:val="24"/>
          <w:szCs w:val="24"/>
        </w:rPr>
        <w:t>3a</w:t>
      </w:r>
      <w:r w:rsidR="005C4589" w:rsidRPr="00EB5AE2">
        <w:rPr>
          <w:b/>
          <w:sz w:val="24"/>
          <w:szCs w:val="24"/>
        </w:rPr>
        <w:t xml:space="preserve"> </w:t>
      </w:r>
      <w:r w:rsidR="003167DD" w:rsidRPr="00EB5AE2">
        <w:rPr>
          <w:sz w:val="24"/>
          <w:szCs w:val="24"/>
        </w:rPr>
        <w:t>for screenshots</w:t>
      </w:r>
      <w:r w:rsidR="00EA122A" w:rsidRPr="00EB5AE2">
        <w:rPr>
          <w:sz w:val="24"/>
          <w:szCs w:val="24"/>
        </w:rPr>
        <w:t xml:space="preserve"> and see </w:t>
      </w:r>
      <w:r w:rsidR="00DD3D4B" w:rsidRPr="00EB5AE2">
        <w:rPr>
          <w:b/>
          <w:sz w:val="24"/>
          <w:szCs w:val="24"/>
        </w:rPr>
        <w:t>a</w:t>
      </w:r>
      <w:r w:rsidR="00EA122A" w:rsidRPr="00EB5AE2">
        <w:rPr>
          <w:b/>
          <w:sz w:val="24"/>
          <w:szCs w:val="24"/>
        </w:rPr>
        <w:t xml:space="preserve">ttachment </w:t>
      </w:r>
      <w:r w:rsidR="00F051BB" w:rsidRPr="00EB5AE2">
        <w:rPr>
          <w:b/>
          <w:sz w:val="24"/>
          <w:szCs w:val="24"/>
        </w:rPr>
        <w:t>3b</w:t>
      </w:r>
      <w:r w:rsidR="005C4589" w:rsidRPr="00EB5AE2">
        <w:rPr>
          <w:sz w:val="24"/>
          <w:szCs w:val="24"/>
        </w:rPr>
        <w:t xml:space="preserve"> </w:t>
      </w:r>
      <w:r w:rsidR="00EA122A" w:rsidRPr="00EB5AE2">
        <w:rPr>
          <w:sz w:val="24"/>
          <w:szCs w:val="24"/>
        </w:rPr>
        <w:t>for the metrics being collected</w:t>
      </w:r>
      <w:r w:rsidR="003167DD" w:rsidRPr="00EB5AE2">
        <w:rPr>
          <w:sz w:val="24"/>
          <w:szCs w:val="24"/>
        </w:rPr>
        <w:t>)</w:t>
      </w:r>
      <w:r w:rsidR="00950552" w:rsidRPr="00EB5AE2">
        <w:rPr>
          <w:sz w:val="24"/>
          <w:szCs w:val="24"/>
        </w:rPr>
        <w:t xml:space="preserve">. </w:t>
      </w:r>
      <w:r w:rsidR="00EE7EBE" w:rsidRPr="00EB5AE2">
        <w:rPr>
          <w:sz w:val="24"/>
          <w:szCs w:val="24"/>
        </w:rPr>
        <w:t xml:space="preserve">CDC and the evaluation contractor will provide </w:t>
      </w:r>
      <w:r w:rsidR="00950552" w:rsidRPr="00EB5AE2">
        <w:rPr>
          <w:sz w:val="24"/>
          <w:szCs w:val="24"/>
        </w:rPr>
        <w:t xml:space="preserve">T&amp;TA to </w:t>
      </w:r>
      <w:r w:rsidR="002F63B9" w:rsidRPr="00EB5AE2">
        <w:rPr>
          <w:sz w:val="24"/>
          <w:szCs w:val="24"/>
        </w:rPr>
        <w:t xml:space="preserve">partners </w:t>
      </w:r>
      <w:r w:rsidR="00950552" w:rsidRPr="00EB5AE2">
        <w:rPr>
          <w:sz w:val="24"/>
          <w:szCs w:val="24"/>
        </w:rPr>
        <w:t>to ensure data completeness and quality (e.g., via scheduled webinars</w:t>
      </w:r>
      <w:r w:rsidR="00EE7EBE" w:rsidRPr="00EB5AE2">
        <w:rPr>
          <w:sz w:val="24"/>
          <w:szCs w:val="24"/>
        </w:rPr>
        <w:t>)</w:t>
      </w:r>
      <w:r w:rsidR="00950552" w:rsidRPr="00EB5AE2">
        <w:rPr>
          <w:sz w:val="24"/>
          <w:szCs w:val="24"/>
        </w:rPr>
        <w:t xml:space="preserve"> as well as on an </w:t>
      </w:r>
      <w:r w:rsidR="00EE7EBE" w:rsidRPr="00EB5AE2">
        <w:rPr>
          <w:sz w:val="24"/>
          <w:szCs w:val="24"/>
        </w:rPr>
        <w:t xml:space="preserve">informal, </w:t>
      </w:r>
      <w:r w:rsidR="00950552" w:rsidRPr="00EB5AE2">
        <w:rPr>
          <w:sz w:val="24"/>
          <w:szCs w:val="24"/>
        </w:rPr>
        <w:t xml:space="preserve">as-needed basis. </w:t>
      </w:r>
      <w:r w:rsidR="0072497C" w:rsidRPr="00EB5AE2">
        <w:rPr>
          <w:sz w:val="24"/>
          <w:szCs w:val="24"/>
        </w:rPr>
        <w:t xml:space="preserve">The database has separate worksheets (tabs) for different types of </w:t>
      </w:r>
      <w:r w:rsidR="00671D1D" w:rsidRPr="00EB5AE2">
        <w:rPr>
          <w:sz w:val="24"/>
          <w:szCs w:val="24"/>
        </w:rPr>
        <w:t>metrics</w:t>
      </w:r>
      <w:r w:rsidR="0072497C" w:rsidRPr="00EB5AE2">
        <w:rPr>
          <w:sz w:val="24"/>
          <w:szCs w:val="24"/>
        </w:rPr>
        <w:t xml:space="preserve"> (e.g., events, social media) and when possible, includes pull-down menus from which </w:t>
      </w:r>
      <w:r w:rsidR="002F63B9" w:rsidRPr="00EB5AE2">
        <w:rPr>
          <w:sz w:val="24"/>
          <w:szCs w:val="24"/>
        </w:rPr>
        <w:t xml:space="preserve">partners </w:t>
      </w:r>
      <w:r w:rsidR="0072497C" w:rsidRPr="00EB5AE2">
        <w:rPr>
          <w:sz w:val="24"/>
          <w:szCs w:val="24"/>
        </w:rPr>
        <w:t xml:space="preserve">can easily select data options.  </w:t>
      </w:r>
      <w:r w:rsidR="003167DD" w:rsidRPr="00EB5AE2">
        <w:rPr>
          <w:sz w:val="24"/>
          <w:szCs w:val="24"/>
        </w:rPr>
        <w:t>This feature has several advantages:</w:t>
      </w:r>
      <w:r w:rsidR="0072497C" w:rsidRPr="00EB5AE2">
        <w:rPr>
          <w:sz w:val="24"/>
          <w:szCs w:val="24"/>
        </w:rPr>
        <w:t xml:space="preserve"> </w:t>
      </w:r>
      <w:r w:rsidR="008C092D" w:rsidRPr="00EB5AE2">
        <w:rPr>
          <w:sz w:val="24"/>
          <w:szCs w:val="24"/>
        </w:rPr>
        <w:t xml:space="preserve">(1) </w:t>
      </w:r>
      <w:r w:rsidR="00535BC9" w:rsidRPr="00EB5AE2">
        <w:rPr>
          <w:sz w:val="24"/>
          <w:szCs w:val="24"/>
        </w:rPr>
        <w:t>reduce</w:t>
      </w:r>
      <w:r w:rsidR="003167DD" w:rsidRPr="00EB5AE2">
        <w:rPr>
          <w:sz w:val="24"/>
          <w:szCs w:val="24"/>
        </w:rPr>
        <w:t>s</w:t>
      </w:r>
      <w:r w:rsidR="00535BC9" w:rsidRPr="00EB5AE2">
        <w:rPr>
          <w:sz w:val="24"/>
          <w:szCs w:val="24"/>
        </w:rPr>
        <w:t xml:space="preserve"> </w:t>
      </w:r>
      <w:r w:rsidR="008C092D" w:rsidRPr="00EB5AE2">
        <w:rPr>
          <w:sz w:val="24"/>
          <w:szCs w:val="24"/>
        </w:rPr>
        <w:t xml:space="preserve">reporting </w:t>
      </w:r>
      <w:r w:rsidR="00535BC9" w:rsidRPr="00EB5AE2">
        <w:rPr>
          <w:sz w:val="24"/>
          <w:szCs w:val="24"/>
        </w:rPr>
        <w:t xml:space="preserve">burden for the </w:t>
      </w:r>
      <w:r w:rsidR="002F63B9" w:rsidRPr="00EB5AE2">
        <w:rPr>
          <w:sz w:val="24"/>
          <w:szCs w:val="24"/>
        </w:rPr>
        <w:t>partners</w:t>
      </w:r>
      <w:r w:rsidR="008C092D" w:rsidRPr="00EB5AE2">
        <w:rPr>
          <w:sz w:val="24"/>
          <w:szCs w:val="24"/>
        </w:rPr>
        <w:t>, (2) improve</w:t>
      </w:r>
      <w:r w:rsidR="003167DD" w:rsidRPr="00EB5AE2">
        <w:rPr>
          <w:sz w:val="24"/>
          <w:szCs w:val="24"/>
        </w:rPr>
        <w:t>s</w:t>
      </w:r>
      <w:r w:rsidR="008C092D" w:rsidRPr="00EB5AE2">
        <w:rPr>
          <w:sz w:val="24"/>
          <w:szCs w:val="24"/>
        </w:rPr>
        <w:t xml:space="preserve"> accuracy and completeness, and (3)</w:t>
      </w:r>
      <w:r w:rsidR="00535BC9" w:rsidRPr="00EB5AE2">
        <w:rPr>
          <w:sz w:val="24"/>
          <w:szCs w:val="24"/>
        </w:rPr>
        <w:t xml:space="preserve"> </w:t>
      </w:r>
      <w:r w:rsidR="0072497C" w:rsidRPr="00EB5AE2">
        <w:rPr>
          <w:sz w:val="24"/>
          <w:szCs w:val="24"/>
        </w:rPr>
        <w:t>facilitate</w:t>
      </w:r>
      <w:r w:rsidR="003167DD" w:rsidRPr="00EB5AE2">
        <w:rPr>
          <w:sz w:val="24"/>
          <w:szCs w:val="24"/>
        </w:rPr>
        <w:t>s</w:t>
      </w:r>
      <w:r w:rsidR="0072497C" w:rsidRPr="00EB5AE2">
        <w:rPr>
          <w:sz w:val="24"/>
          <w:szCs w:val="24"/>
        </w:rPr>
        <w:t xml:space="preserve"> evaluation analyses. </w:t>
      </w:r>
      <w:r w:rsidR="00FD4F53" w:rsidRPr="00EB5AE2">
        <w:rPr>
          <w:sz w:val="24"/>
          <w:szCs w:val="24"/>
        </w:rPr>
        <w:t xml:space="preserve"> T&amp;TA </w:t>
      </w:r>
      <w:r w:rsidR="00C35FB7" w:rsidRPr="00EB5AE2">
        <w:rPr>
          <w:sz w:val="24"/>
          <w:szCs w:val="24"/>
        </w:rPr>
        <w:t xml:space="preserve">materials will be shared with </w:t>
      </w:r>
      <w:r w:rsidR="002F63B9" w:rsidRPr="00EB5AE2">
        <w:rPr>
          <w:sz w:val="24"/>
          <w:szCs w:val="24"/>
        </w:rPr>
        <w:t>partners</w:t>
      </w:r>
      <w:r w:rsidR="00C35FB7" w:rsidRPr="00EB5AE2">
        <w:rPr>
          <w:sz w:val="24"/>
          <w:szCs w:val="24"/>
        </w:rPr>
        <w:t xml:space="preserve"> and updated as needed. CDC and the </w:t>
      </w:r>
      <w:r w:rsidR="00E40E4C" w:rsidRPr="00EB5AE2">
        <w:rPr>
          <w:sz w:val="24"/>
          <w:szCs w:val="24"/>
        </w:rPr>
        <w:t xml:space="preserve">evaluation </w:t>
      </w:r>
      <w:r w:rsidR="00C35FB7" w:rsidRPr="00EB5AE2">
        <w:rPr>
          <w:sz w:val="24"/>
          <w:szCs w:val="24"/>
        </w:rPr>
        <w:t xml:space="preserve">contractor will work with </w:t>
      </w:r>
      <w:r w:rsidR="002F63B9" w:rsidRPr="00EB5AE2">
        <w:rPr>
          <w:sz w:val="24"/>
          <w:szCs w:val="24"/>
        </w:rPr>
        <w:t xml:space="preserve">partners </w:t>
      </w:r>
      <w:r w:rsidR="00C35FB7" w:rsidRPr="00EB5AE2">
        <w:rPr>
          <w:sz w:val="24"/>
          <w:szCs w:val="24"/>
        </w:rPr>
        <w:t xml:space="preserve">to </w:t>
      </w:r>
      <w:r w:rsidR="00C35FB7" w:rsidRPr="00EB5AE2">
        <w:rPr>
          <w:sz w:val="24"/>
          <w:szCs w:val="24"/>
        </w:rPr>
        <w:lastRenderedPageBreak/>
        <w:t>facilitate reporting and</w:t>
      </w:r>
      <w:r w:rsidR="00E40E4C" w:rsidRPr="00EB5AE2">
        <w:rPr>
          <w:sz w:val="24"/>
          <w:szCs w:val="24"/>
        </w:rPr>
        <w:t>,</w:t>
      </w:r>
      <w:r w:rsidR="00C35FB7" w:rsidRPr="00EB5AE2">
        <w:rPr>
          <w:sz w:val="24"/>
          <w:szCs w:val="24"/>
        </w:rPr>
        <w:t xml:space="preserve"> thus</w:t>
      </w:r>
      <w:r w:rsidR="00E40E4C" w:rsidRPr="00EB5AE2">
        <w:rPr>
          <w:sz w:val="24"/>
          <w:szCs w:val="24"/>
        </w:rPr>
        <w:t>,</w:t>
      </w:r>
      <w:r w:rsidR="00C35FB7" w:rsidRPr="00EB5AE2">
        <w:rPr>
          <w:sz w:val="24"/>
          <w:szCs w:val="24"/>
        </w:rPr>
        <w:t xml:space="preserve"> reduce the burden of reporting. In addition, analyses used to support program evaluation are automated, reducing the burden on CDC and contractors and ensuring maximum efficiency.</w:t>
      </w:r>
      <w:r w:rsidR="00702FDB" w:rsidRPr="00EB5AE2">
        <w:rPr>
          <w:sz w:val="24"/>
          <w:szCs w:val="24"/>
        </w:rPr>
        <w:t xml:space="preserve"> </w:t>
      </w:r>
      <w:r w:rsidR="002F63B9" w:rsidRPr="00EB5AE2">
        <w:rPr>
          <w:sz w:val="24"/>
          <w:szCs w:val="24"/>
        </w:rPr>
        <w:t xml:space="preserve"> </w:t>
      </w:r>
    </w:p>
    <w:p w14:paraId="5EBE0496" w14:textId="77777777" w:rsidR="006554C6" w:rsidRPr="00EB5AE2" w:rsidRDefault="00BD7209" w:rsidP="000F03B3">
      <w:pPr>
        <w:pStyle w:val="BodyText2"/>
        <w:numPr>
          <w:ilvl w:val="0"/>
          <w:numId w:val="35"/>
        </w:numPr>
        <w:spacing w:after="0" w:line="240" w:lineRule="auto"/>
        <w:rPr>
          <w:sz w:val="24"/>
          <w:szCs w:val="24"/>
        </w:rPr>
      </w:pPr>
      <w:r w:rsidRPr="00FD64D1">
        <w:rPr>
          <w:b/>
          <w:i/>
          <w:sz w:val="24"/>
          <w:szCs w:val="24"/>
        </w:rPr>
        <w:t>Interim Progress Report</w:t>
      </w:r>
      <w:r w:rsidR="00270A78" w:rsidRPr="00FD64D1">
        <w:rPr>
          <w:b/>
          <w:i/>
          <w:sz w:val="24"/>
          <w:szCs w:val="24"/>
        </w:rPr>
        <w:t xml:space="preserve">: </w:t>
      </w:r>
      <w:r w:rsidR="00270A78" w:rsidRPr="00EB5AE2">
        <w:rPr>
          <w:sz w:val="24"/>
          <w:szCs w:val="24"/>
        </w:rPr>
        <w:t xml:space="preserve"> The</w:t>
      </w:r>
      <w:r w:rsidR="00E40E4C" w:rsidRPr="00EB5AE2">
        <w:rPr>
          <w:sz w:val="24"/>
          <w:szCs w:val="24"/>
        </w:rPr>
        <w:t xml:space="preserve"> </w:t>
      </w:r>
      <w:r w:rsidRPr="00EB5AE2">
        <w:rPr>
          <w:sz w:val="24"/>
          <w:szCs w:val="24"/>
        </w:rPr>
        <w:t>Interim Progress Report</w:t>
      </w:r>
      <w:r w:rsidRPr="00EB5AE2" w:rsidDel="00BD7209">
        <w:rPr>
          <w:sz w:val="24"/>
          <w:szCs w:val="24"/>
        </w:rPr>
        <w:t xml:space="preserve"> </w:t>
      </w:r>
      <w:r w:rsidR="00270A78" w:rsidRPr="00EB5AE2">
        <w:rPr>
          <w:sz w:val="24"/>
          <w:szCs w:val="24"/>
        </w:rPr>
        <w:t>asks qualitative and quantitative questions necessitating narrative text and aggregated counts to facilitate process evaluation</w:t>
      </w:r>
      <w:r w:rsidR="006554C6" w:rsidRPr="00EB5AE2">
        <w:rPr>
          <w:sz w:val="24"/>
          <w:szCs w:val="24"/>
        </w:rPr>
        <w:t xml:space="preserve">.  The </w:t>
      </w:r>
      <w:r w:rsidRPr="00EB5AE2">
        <w:rPr>
          <w:sz w:val="24"/>
          <w:szCs w:val="24"/>
        </w:rPr>
        <w:t>Interim Progress Report</w:t>
      </w:r>
      <w:r w:rsidRPr="00EB5AE2" w:rsidDel="00BD7209">
        <w:rPr>
          <w:sz w:val="24"/>
          <w:szCs w:val="24"/>
        </w:rPr>
        <w:t xml:space="preserve"> </w:t>
      </w:r>
      <w:r w:rsidR="006554C6" w:rsidRPr="00EB5AE2">
        <w:rPr>
          <w:sz w:val="24"/>
          <w:szCs w:val="24"/>
        </w:rPr>
        <w:t xml:space="preserve">is flexible so that partners will only be required to answer questions applicable to their organization and/or partnership </w:t>
      </w:r>
      <w:r w:rsidR="00E40E4C" w:rsidRPr="00EB5AE2">
        <w:rPr>
          <w:sz w:val="24"/>
          <w:szCs w:val="24"/>
        </w:rPr>
        <w:t>activities</w:t>
      </w:r>
      <w:r w:rsidR="006554C6" w:rsidRPr="00EB5AE2">
        <w:rPr>
          <w:sz w:val="24"/>
          <w:szCs w:val="24"/>
        </w:rPr>
        <w:t xml:space="preserve">.  </w:t>
      </w:r>
    </w:p>
    <w:p w14:paraId="3AC2CEDA" w14:textId="77777777" w:rsidR="00C35FB7" w:rsidRPr="00EB5AE2" w:rsidRDefault="00FD4F53" w:rsidP="000F03B3">
      <w:pPr>
        <w:pStyle w:val="BodyText2"/>
        <w:numPr>
          <w:ilvl w:val="0"/>
          <w:numId w:val="35"/>
        </w:numPr>
        <w:spacing w:after="0" w:line="240" w:lineRule="auto"/>
        <w:rPr>
          <w:sz w:val="24"/>
          <w:szCs w:val="24"/>
        </w:rPr>
      </w:pPr>
      <w:r w:rsidRPr="00FD64D1">
        <w:rPr>
          <w:b/>
          <w:i/>
          <w:sz w:val="24"/>
          <w:szCs w:val="24"/>
        </w:rPr>
        <w:t xml:space="preserve">Partner </w:t>
      </w:r>
      <w:r w:rsidR="00E40E4C" w:rsidRPr="00FD64D1">
        <w:rPr>
          <w:b/>
          <w:i/>
          <w:sz w:val="24"/>
          <w:szCs w:val="24"/>
        </w:rPr>
        <w:t>S</w:t>
      </w:r>
      <w:r w:rsidR="006554C6" w:rsidRPr="00FD64D1">
        <w:rPr>
          <w:b/>
          <w:i/>
          <w:sz w:val="24"/>
          <w:szCs w:val="24"/>
        </w:rPr>
        <w:t xml:space="preserve">urvey: </w:t>
      </w:r>
      <w:r w:rsidR="006554C6" w:rsidRPr="00EB5AE2">
        <w:rPr>
          <w:sz w:val="24"/>
          <w:szCs w:val="24"/>
        </w:rPr>
        <w:t xml:space="preserve"> </w:t>
      </w:r>
      <w:r w:rsidR="00FD3060" w:rsidRPr="00EB5AE2">
        <w:rPr>
          <w:sz w:val="24"/>
          <w:szCs w:val="24"/>
        </w:rPr>
        <w:t>On a rolling basis</w:t>
      </w:r>
      <w:r w:rsidR="00E40E4C" w:rsidRPr="00EB5AE2">
        <w:rPr>
          <w:sz w:val="24"/>
          <w:szCs w:val="24"/>
        </w:rPr>
        <w:t>,</w:t>
      </w:r>
      <w:r w:rsidR="00FD3060" w:rsidRPr="00EB5AE2">
        <w:rPr>
          <w:sz w:val="24"/>
          <w:szCs w:val="24"/>
        </w:rPr>
        <w:t xml:space="preserve"> as </w:t>
      </w:r>
      <w:r w:rsidR="00FC5975" w:rsidRPr="00EB5AE2">
        <w:rPr>
          <w:sz w:val="24"/>
          <w:szCs w:val="24"/>
        </w:rPr>
        <w:t>partners</w:t>
      </w:r>
      <w:r w:rsidR="00FD3060" w:rsidRPr="00EB5AE2">
        <w:rPr>
          <w:sz w:val="24"/>
          <w:szCs w:val="24"/>
        </w:rPr>
        <w:t xml:space="preserve"> </w:t>
      </w:r>
      <w:r w:rsidR="00FC5975" w:rsidRPr="00EB5AE2">
        <w:rPr>
          <w:sz w:val="24"/>
          <w:szCs w:val="24"/>
        </w:rPr>
        <w:t>on</w:t>
      </w:r>
      <w:r w:rsidR="00FD3060" w:rsidRPr="00EB5AE2">
        <w:rPr>
          <w:sz w:val="24"/>
          <w:szCs w:val="24"/>
        </w:rPr>
        <w:t xml:space="preserve">board, </w:t>
      </w:r>
      <w:r w:rsidR="00FC5975" w:rsidRPr="00EB5AE2">
        <w:rPr>
          <w:sz w:val="24"/>
          <w:szCs w:val="24"/>
        </w:rPr>
        <w:t>some</w:t>
      </w:r>
      <w:r w:rsidR="00FD3060" w:rsidRPr="00EB5AE2">
        <w:rPr>
          <w:sz w:val="24"/>
          <w:szCs w:val="24"/>
        </w:rPr>
        <w:t xml:space="preserve"> will </w:t>
      </w:r>
      <w:r w:rsidR="00FC5975" w:rsidRPr="00EB5AE2">
        <w:rPr>
          <w:sz w:val="24"/>
          <w:szCs w:val="24"/>
        </w:rPr>
        <w:t xml:space="preserve">be asked to </w:t>
      </w:r>
      <w:r w:rsidR="00FD3060" w:rsidRPr="00EB5AE2">
        <w:rPr>
          <w:sz w:val="24"/>
          <w:szCs w:val="24"/>
        </w:rPr>
        <w:t xml:space="preserve">complete the </w:t>
      </w:r>
      <w:r w:rsidR="00AD3B17" w:rsidRPr="00EB5AE2">
        <w:rPr>
          <w:sz w:val="24"/>
          <w:szCs w:val="24"/>
        </w:rPr>
        <w:t xml:space="preserve">partner </w:t>
      </w:r>
      <w:r w:rsidR="00FD3060" w:rsidRPr="00EB5AE2">
        <w:rPr>
          <w:sz w:val="24"/>
          <w:szCs w:val="24"/>
        </w:rPr>
        <w:t xml:space="preserve">survey </w:t>
      </w:r>
      <w:r w:rsidR="00DB20CF" w:rsidRPr="00EB5AE2">
        <w:rPr>
          <w:sz w:val="24"/>
          <w:szCs w:val="24"/>
        </w:rPr>
        <w:t xml:space="preserve">on a </w:t>
      </w:r>
      <w:r w:rsidR="00FC5975" w:rsidRPr="00EB5AE2">
        <w:rPr>
          <w:sz w:val="24"/>
          <w:szCs w:val="24"/>
        </w:rPr>
        <w:t>secure</w:t>
      </w:r>
      <w:r w:rsidR="00DB20CF" w:rsidRPr="00EB5AE2">
        <w:rPr>
          <w:sz w:val="24"/>
          <w:szCs w:val="24"/>
        </w:rPr>
        <w:t xml:space="preserve"> website</w:t>
      </w:r>
      <w:r w:rsidR="009F0955" w:rsidRPr="00EB5AE2">
        <w:rPr>
          <w:sz w:val="24"/>
          <w:szCs w:val="24"/>
        </w:rPr>
        <w:t>. This will minimize the burden to respondents</w:t>
      </w:r>
      <w:r w:rsidR="00FD3060" w:rsidRPr="00EB5AE2">
        <w:rPr>
          <w:sz w:val="24"/>
          <w:szCs w:val="24"/>
        </w:rPr>
        <w:t xml:space="preserve"> </w:t>
      </w:r>
      <w:r w:rsidR="00EE027E" w:rsidRPr="00EB5AE2">
        <w:rPr>
          <w:sz w:val="24"/>
          <w:szCs w:val="24"/>
        </w:rPr>
        <w:t>and facilitate/</w:t>
      </w:r>
      <w:r w:rsidR="009F0955" w:rsidRPr="00EB5AE2">
        <w:rPr>
          <w:sz w:val="24"/>
          <w:szCs w:val="24"/>
        </w:rPr>
        <w:t>the efficiency of</w:t>
      </w:r>
      <w:r w:rsidR="00EE027E" w:rsidRPr="00EB5AE2">
        <w:rPr>
          <w:sz w:val="24"/>
          <w:szCs w:val="24"/>
        </w:rPr>
        <w:t xml:space="preserve"> the contractor’s evaluation analyses</w:t>
      </w:r>
      <w:r w:rsidR="009F0955" w:rsidRPr="00EB5AE2">
        <w:rPr>
          <w:sz w:val="24"/>
          <w:szCs w:val="24"/>
        </w:rPr>
        <w:t>.</w:t>
      </w:r>
    </w:p>
    <w:p w14:paraId="5E864B4C" w14:textId="77777777" w:rsidR="005F0ADB" w:rsidRPr="00EB5AE2" w:rsidRDefault="005F0ADB" w:rsidP="000F03B3">
      <w:pPr>
        <w:pStyle w:val="BodyText2"/>
        <w:numPr>
          <w:ilvl w:val="0"/>
          <w:numId w:val="35"/>
        </w:numPr>
        <w:spacing w:after="0" w:line="240" w:lineRule="auto"/>
        <w:rPr>
          <w:sz w:val="24"/>
          <w:szCs w:val="24"/>
        </w:rPr>
      </w:pPr>
      <w:r w:rsidRPr="00FD64D1">
        <w:rPr>
          <w:b/>
          <w:i/>
          <w:sz w:val="24"/>
          <w:szCs w:val="24"/>
        </w:rPr>
        <w:t>Partnership Activities Form:</w:t>
      </w:r>
      <w:r w:rsidRPr="00EB5AE2">
        <w:rPr>
          <w:sz w:val="24"/>
          <w:szCs w:val="24"/>
        </w:rPr>
        <w:t xml:space="preserve"> On a rolling basis</w:t>
      </w:r>
      <w:r w:rsidR="00E40E4C" w:rsidRPr="00EB5AE2">
        <w:rPr>
          <w:sz w:val="24"/>
          <w:szCs w:val="24"/>
        </w:rPr>
        <w:t>,</w:t>
      </w:r>
      <w:r w:rsidRPr="00EB5AE2">
        <w:rPr>
          <w:sz w:val="24"/>
          <w:szCs w:val="24"/>
        </w:rPr>
        <w:t xml:space="preserve"> as partners hold events, some will be asked to complete the form and send it to CDC. The form is flexible so that partners will only be required to answer questions applicable to their partnership activity.</w:t>
      </w:r>
    </w:p>
    <w:p w14:paraId="61039519" w14:textId="77777777" w:rsidR="00C7398F" w:rsidRDefault="00500898" w:rsidP="000F03B3">
      <w:pPr>
        <w:pStyle w:val="BodyText2"/>
        <w:spacing w:after="0" w:line="240" w:lineRule="auto"/>
        <w:rPr>
          <w:sz w:val="24"/>
          <w:szCs w:val="24"/>
        </w:rPr>
      </w:pPr>
      <w:r w:rsidRPr="00EB5AE2">
        <w:rPr>
          <w:sz w:val="24"/>
          <w:szCs w:val="24"/>
        </w:rPr>
        <w:t xml:space="preserve">Our data collection also requires that we employ qualitative research methods </w:t>
      </w:r>
      <w:r w:rsidR="006554C6" w:rsidRPr="00EB5AE2">
        <w:rPr>
          <w:sz w:val="24"/>
          <w:szCs w:val="24"/>
        </w:rPr>
        <w:t xml:space="preserve">for the </w:t>
      </w:r>
      <w:r w:rsidR="00971E57" w:rsidRPr="00EB5AE2">
        <w:rPr>
          <w:sz w:val="24"/>
          <w:szCs w:val="24"/>
        </w:rPr>
        <w:t xml:space="preserve">biannual key informant interviews. </w:t>
      </w:r>
      <w:r w:rsidR="006554C6" w:rsidRPr="00EB5AE2">
        <w:rPr>
          <w:sz w:val="24"/>
          <w:szCs w:val="24"/>
        </w:rPr>
        <w:t>The foci of interviews do not lend themselves to electronic reporting; hence, electronic reporting will not be utiliz</w:t>
      </w:r>
      <w:r w:rsidR="006554C6" w:rsidRPr="00B504FE">
        <w:rPr>
          <w:sz w:val="24"/>
          <w:szCs w:val="24"/>
        </w:rPr>
        <w:t xml:space="preserve">ed. </w:t>
      </w:r>
      <w:r w:rsidR="006554C6" w:rsidRPr="00B504FE">
        <w:rPr>
          <w:sz w:val="24"/>
          <w:szCs w:val="24"/>
          <w:shd w:val="clear" w:color="auto" w:fill="FFFFFF"/>
        </w:rPr>
        <w:t xml:space="preserve"> </w:t>
      </w:r>
      <w:r w:rsidR="00971E57" w:rsidRPr="00B504FE">
        <w:rPr>
          <w:sz w:val="24"/>
          <w:szCs w:val="24"/>
        </w:rPr>
        <w:t xml:space="preserve">The qualitative data are crucial as they will provide information </w:t>
      </w:r>
      <w:r w:rsidR="00034FE9" w:rsidRPr="00B504FE">
        <w:rPr>
          <w:sz w:val="24"/>
          <w:szCs w:val="24"/>
        </w:rPr>
        <w:t>not gathered through other means</w:t>
      </w:r>
      <w:r w:rsidR="00E40E4C" w:rsidRPr="00B504FE">
        <w:rPr>
          <w:sz w:val="24"/>
          <w:szCs w:val="24"/>
        </w:rPr>
        <w:t>, such as the</w:t>
      </w:r>
      <w:r w:rsidR="00034FE9" w:rsidRPr="00B504FE">
        <w:rPr>
          <w:sz w:val="24"/>
          <w:szCs w:val="24"/>
        </w:rPr>
        <w:t xml:space="preserve"> </w:t>
      </w:r>
      <w:r w:rsidR="00971E57" w:rsidRPr="00B504FE">
        <w:rPr>
          <w:sz w:val="24"/>
          <w:szCs w:val="24"/>
        </w:rPr>
        <w:t xml:space="preserve">context of program implementation, including </w:t>
      </w:r>
      <w:r w:rsidR="002F63B9" w:rsidRPr="00B504FE">
        <w:rPr>
          <w:sz w:val="24"/>
          <w:szCs w:val="24"/>
        </w:rPr>
        <w:t xml:space="preserve">partner’s </w:t>
      </w:r>
      <w:r w:rsidR="00971E57" w:rsidRPr="00B504FE">
        <w:rPr>
          <w:sz w:val="24"/>
          <w:szCs w:val="24"/>
        </w:rPr>
        <w:t xml:space="preserve">successes and challenges; rich detail on </w:t>
      </w:r>
      <w:r w:rsidR="002F63B9" w:rsidRPr="00B504FE">
        <w:rPr>
          <w:sz w:val="24"/>
          <w:szCs w:val="24"/>
        </w:rPr>
        <w:t xml:space="preserve">partners’ </w:t>
      </w:r>
      <w:r w:rsidR="00971E57" w:rsidRPr="00B504FE">
        <w:rPr>
          <w:sz w:val="24"/>
          <w:szCs w:val="24"/>
        </w:rPr>
        <w:t xml:space="preserve">program activities; and often, explanations or other information to interpret results </w:t>
      </w:r>
      <w:r w:rsidR="00C15DB1" w:rsidRPr="00B504FE">
        <w:rPr>
          <w:sz w:val="24"/>
          <w:szCs w:val="24"/>
        </w:rPr>
        <w:t xml:space="preserve">(trends, patterns, etc.) </w:t>
      </w:r>
      <w:r w:rsidR="00971E57" w:rsidRPr="00B504FE">
        <w:rPr>
          <w:sz w:val="24"/>
          <w:szCs w:val="24"/>
        </w:rPr>
        <w:t>suggested by the quantitative (</w:t>
      </w:r>
      <w:r w:rsidR="00BE5291" w:rsidRPr="00B504FE">
        <w:rPr>
          <w:sz w:val="24"/>
          <w:szCs w:val="24"/>
        </w:rPr>
        <w:t>metrics</w:t>
      </w:r>
      <w:r w:rsidR="00971E57" w:rsidRPr="00B504FE">
        <w:rPr>
          <w:sz w:val="24"/>
          <w:szCs w:val="24"/>
        </w:rPr>
        <w:t xml:space="preserve">) data. </w:t>
      </w:r>
    </w:p>
    <w:p w14:paraId="66FCB34D" w14:textId="77777777" w:rsidR="00F57B18" w:rsidRPr="00B504FE" w:rsidRDefault="00F57B18" w:rsidP="00FD64D1">
      <w:pPr>
        <w:pStyle w:val="BodyText2"/>
        <w:spacing w:after="0" w:line="240" w:lineRule="auto"/>
        <w:ind w:firstLine="0"/>
        <w:rPr>
          <w:sz w:val="24"/>
          <w:szCs w:val="24"/>
        </w:rPr>
      </w:pPr>
    </w:p>
    <w:p w14:paraId="617BCEE6" w14:textId="77777777" w:rsidR="00E949EF" w:rsidRPr="00B504FE" w:rsidRDefault="00E949EF" w:rsidP="000F03B3">
      <w:pPr>
        <w:pStyle w:val="Heading2"/>
        <w:spacing w:after="0"/>
        <w:rPr>
          <w:szCs w:val="24"/>
        </w:rPr>
      </w:pPr>
      <w:r w:rsidRPr="00B504FE">
        <w:rPr>
          <w:szCs w:val="24"/>
        </w:rPr>
        <w:t>4.</w:t>
      </w:r>
      <w:r w:rsidRPr="00B504FE">
        <w:rPr>
          <w:szCs w:val="24"/>
        </w:rPr>
        <w:tab/>
        <w:t>Efforts to Identify Duplication and Use of Similar Information</w:t>
      </w:r>
      <w:bookmarkEnd w:id="18"/>
      <w:bookmarkEnd w:id="19"/>
      <w:bookmarkEnd w:id="20"/>
      <w:r w:rsidRPr="00B504FE">
        <w:rPr>
          <w:szCs w:val="24"/>
        </w:rPr>
        <w:t xml:space="preserve"> </w:t>
      </w:r>
    </w:p>
    <w:p w14:paraId="12E962CD" w14:textId="44246006" w:rsidR="00F57B18" w:rsidRDefault="000D0EE0" w:rsidP="000F03B3">
      <w:pPr>
        <w:pStyle w:val="BodyText2"/>
        <w:spacing w:after="0" w:line="240" w:lineRule="auto"/>
        <w:rPr>
          <w:iCs/>
          <w:sz w:val="24"/>
          <w:szCs w:val="24"/>
        </w:rPr>
      </w:pPr>
      <w:bookmarkStart w:id="21" w:name="_Toc143058440"/>
      <w:bookmarkStart w:id="22" w:name="_Toc146088438"/>
      <w:bookmarkStart w:id="23" w:name="_Toc231290967"/>
      <w:r w:rsidRPr="00B504FE">
        <w:rPr>
          <w:iCs/>
          <w:sz w:val="24"/>
          <w:szCs w:val="24"/>
        </w:rPr>
        <w:t>I</w:t>
      </w:r>
      <w:r w:rsidR="00390540" w:rsidRPr="00B504FE">
        <w:rPr>
          <w:iCs/>
          <w:sz w:val="24"/>
          <w:szCs w:val="24"/>
        </w:rPr>
        <w:t xml:space="preserve">nformation </w:t>
      </w:r>
      <w:r w:rsidR="00CA3677" w:rsidRPr="00B504FE">
        <w:rPr>
          <w:iCs/>
          <w:sz w:val="24"/>
          <w:szCs w:val="24"/>
        </w:rPr>
        <w:t>on the particular experience</w:t>
      </w:r>
      <w:r w:rsidR="00E40E4C" w:rsidRPr="00B504FE">
        <w:rPr>
          <w:iCs/>
          <w:sz w:val="24"/>
          <w:szCs w:val="24"/>
        </w:rPr>
        <w:t>s</w:t>
      </w:r>
      <w:r w:rsidR="00CA3677" w:rsidRPr="00B504FE">
        <w:rPr>
          <w:iCs/>
          <w:sz w:val="24"/>
          <w:szCs w:val="24"/>
        </w:rPr>
        <w:t xml:space="preserve"> and outcomes of </w:t>
      </w:r>
      <w:r w:rsidR="00390540" w:rsidRPr="00B504FE">
        <w:rPr>
          <w:iCs/>
          <w:sz w:val="24"/>
          <w:szCs w:val="24"/>
        </w:rPr>
        <w:t xml:space="preserve">the </w:t>
      </w:r>
      <w:r w:rsidR="002F63B9" w:rsidRPr="00B504FE">
        <w:rPr>
          <w:sz w:val="24"/>
          <w:szCs w:val="24"/>
        </w:rPr>
        <w:t xml:space="preserve">partners </w:t>
      </w:r>
      <w:r w:rsidRPr="00B504FE">
        <w:rPr>
          <w:sz w:val="24"/>
          <w:szCs w:val="24"/>
        </w:rPr>
        <w:t xml:space="preserve">involved with these campaigns </w:t>
      </w:r>
      <w:r w:rsidR="00E40E4C" w:rsidRPr="00B504FE">
        <w:rPr>
          <w:rStyle w:val="CommentReference"/>
          <w:sz w:val="24"/>
          <w:szCs w:val="24"/>
        </w:rPr>
        <w:t>are</w:t>
      </w:r>
      <w:r w:rsidR="00E40E4C" w:rsidRPr="00B504FE">
        <w:rPr>
          <w:iCs/>
          <w:sz w:val="24"/>
          <w:szCs w:val="24"/>
        </w:rPr>
        <w:t xml:space="preserve"> </w:t>
      </w:r>
      <w:r w:rsidR="00CA3677" w:rsidRPr="00B504FE">
        <w:rPr>
          <w:iCs/>
          <w:sz w:val="24"/>
          <w:szCs w:val="24"/>
        </w:rPr>
        <w:t xml:space="preserve">not available via any means other than the ones proposed here. </w:t>
      </w:r>
      <w:r w:rsidR="00BA2AFC" w:rsidRPr="00B504FE">
        <w:rPr>
          <w:iCs/>
          <w:sz w:val="24"/>
          <w:szCs w:val="24"/>
        </w:rPr>
        <w:t xml:space="preserve">In addition, the </w:t>
      </w:r>
      <w:r w:rsidR="00E40E4C" w:rsidRPr="00B504FE">
        <w:rPr>
          <w:iCs/>
          <w:sz w:val="24"/>
          <w:szCs w:val="24"/>
        </w:rPr>
        <w:t>P</w:t>
      </w:r>
      <w:r w:rsidR="00FD4F53" w:rsidRPr="00B504FE">
        <w:rPr>
          <w:iCs/>
          <w:sz w:val="24"/>
          <w:szCs w:val="24"/>
        </w:rPr>
        <w:t>artner</w:t>
      </w:r>
      <w:r w:rsidR="00BA2AFC" w:rsidRPr="00B504FE">
        <w:rPr>
          <w:iCs/>
          <w:sz w:val="24"/>
          <w:szCs w:val="24"/>
        </w:rPr>
        <w:t xml:space="preserve"> Survey</w:t>
      </w:r>
      <w:r w:rsidRPr="00B504FE">
        <w:rPr>
          <w:iCs/>
          <w:sz w:val="24"/>
          <w:szCs w:val="24"/>
        </w:rPr>
        <w:t>,</w:t>
      </w:r>
      <w:r w:rsidR="003A5CCE" w:rsidRPr="00B504FE">
        <w:rPr>
          <w:iCs/>
          <w:sz w:val="24"/>
          <w:szCs w:val="24"/>
        </w:rPr>
        <w:t xml:space="preserve"> </w:t>
      </w:r>
      <w:r w:rsidR="00E40E4C" w:rsidRPr="00B504FE">
        <w:rPr>
          <w:iCs/>
          <w:sz w:val="24"/>
          <w:szCs w:val="24"/>
        </w:rPr>
        <w:t>P</w:t>
      </w:r>
      <w:r w:rsidR="003A5CCE" w:rsidRPr="00B504FE">
        <w:rPr>
          <w:iCs/>
          <w:sz w:val="24"/>
          <w:szCs w:val="24"/>
        </w:rPr>
        <w:t>artnership</w:t>
      </w:r>
      <w:r w:rsidRPr="00B504FE">
        <w:rPr>
          <w:iCs/>
          <w:sz w:val="24"/>
          <w:szCs w:val="24"/>
        </w:rPr>
        <w:t>s</w:t>
      </w:r>
      <w:r w:rsidR="003A5CCE" w:rsidRPr="00B504FE">
        <w:rPr>
          <w:iCs/>
          <w:sz w:val="24"/>
          <w:szCs w:val="24"/>
        </w:rPr>
        <w:t xml:space="preserve"> </w:t>
      </w:r>
      <w:r w:rsidR="00E40E4C" w:rsidRPr="00B504FE">
        <w:rPr>
          <w:iCs/>
          <w:sz w:val="24"/>
          <w:szCs w:val="24"/>
        </w:rPr>
        <w:t>A</w:t>
      </w:r>
      <w:r w:rsidRPr="00B504FE">
        <w:rPr>
          <w:iCs/>
          <w:sz w:val="24"/>
          <w:szCs w:val="24"/>
        </w:rPr>
        <w:t>ctivities</w:t>
      </w:r>
      <w:r w:rsidR="003A5CCE" w:rsidRPr="00B504FE">
        <w:rPr>
          <w:iCs/>
          <w:sz w:val="24"/>
          <w:szCs w:val="24"/>
        </w:rPr>
        <w:t xml:space="preserve"> </w:t>
      </w:r>
      <w:r w:rsidR="00E40E4C" w:rsidRPr="00B504FE">
        <w:rPr>
          <w:iCs/>
          <w:sz w:val="24"/>
          <w:szCs w:val="24"/>
        </w:rPr>
        <w:t>F</w:t>
      </w:r>
      <w:r w:rsidR="003A5CCE" w:rsidRPr="00B504FE">
        <w:rPr>
          <w:iCs/>
          <w:sz w:val="24"/>
          <w:szCs w:val="24"/>
        </w:rPr>
        <w:t>orm</w:t>
      </w:r>
      <w:r w:rsidRPr="00B504FE">
        <w:rPr>
          <w:iCs/>
          <w:sz w:val="24"/>
          <w:szCs w:val="24"/>
        </w:rPr>
        <w:t>,</w:t>
      </w:r>
      <w:r w:rsidR="003A5CCE" w:rsidRPr="00B504FE">
        <w:rPr>
          <w:iCs/>
          <w:sz w:val="24"/>
          <w:szCs w:val="24"/>
        </w:rPr>
        <w:t xml:space="preserve"> and </w:t>
      </w:r>
      <w:r w:rsidR="00E40E4C" w:rsidRPr="00B504FE">
        <w:rPr>
          <w:iCs/>
          <w:sz w:val="24"/>
          <w:szCs w:val="24"/>
        </w:rPr>
        <w:t>M</w:t>
      </w:r>
      <w:r w:rsidRPr="00B504FE">
        <w:rPr>
          <w:iCs/>
          <w:sz w:val="24"/>
          <w:szCs w:val="24"/>
        </w:rPr>
        <w:t xml:space="preserve">etrics </w:t>
      </w:r>
      <w:r w:rsidR="00E40E4C" w:rsidRPr="00B504FE">
        <w:rPr>
          <w:iCs/>
          <w:sz w:val="24"/>
          <w:szCs w:val="24"/>
        </w:rPr>
        <w:t>D</w:t>
      </w:r>
      <w:r w:rsidR="003A5CCE" w:rsidRPr="00B504FE">
        <w:rPr>
          <w:iCs/>
          <w:sz w:val="24"/>
          <w:szCs w:val="24"/>
        </w:rPr>
        <w:t xml:space="preserve">atabase </w:t>
      </w:r>
      <w:r w:rsidRPr="00B504FE">
        <w:rPr>
          <w:iCs/>
          <w:sz w:val="24"/>
          <w:szCs w:val="24"/>
        </w:rPr>
        <w:t xml:space="preserve">are </w:t>
      </w:r>
      <w:r w:rsidR="00BA2AFC" w:rsidRPr="00B504FE">
        <w:rPr>
          <w:iCs/>
          <w:sz w:val="24"/>
          <w:szCs w:val="24"/>
        </w:rPr>
        <w:t>new type</w:t>
      </w:r>
      <w:r w:rsidRPr="00B504FE">
        <w:rPr>
          <w:iCs/>
          <w:sz w:val="24"/>
          <w:szCs w:val="24"/>
        </w:rPr>
        <w:t>s</w:t>
      </w:r>
      <w:r w:rsidR="00BA2AFC" w:rsidRPr="00B504FE">
        <w:rPr>
          <w:iCs/>
          <w:sz w:val="24"/>
          <w:szCs w:val="24"/>
        </w:rPr>
        <w:t xml:space="preserve"> of data collection</w:t>
      </w:r>
      <w:r w:rsidR="00390540" w:rsidRPr="00B504FE">
        <w:rPr>
          <w:iCs/>
          <w:sz w:val="24"/>
          <w:szCs w:val="24"/>
        </w:rPr>
        <w:t xml:space="preserve"> that </w:t>
      </w:r>
      <w:r w:rsidRPr="00B504FE">
        <w:rPr>
          <w:iCs/>
          <w:sz w:val="24"/>
          <w:szCs w:val="24"/>
        </w:rPr>
        <w:t xml:space="preserve">were </w:t>
      </w:r>
      <w:r w:rsidR="00390540" w:rsidRPr="00B504FE">
        <w:rPr>
          <w:iCs/>
          <w:sz w:val="24"/>
          <w:szCs w:val="24"/>
        </w:rPr>
        <w:t xml:space="preserve">not used in </w:t>
      </w:r>
      <w:r w:rsidR="003A5CCE" w:rsidRPr="00B504FE">
        <w:rPr>
          <w:iCs/>
          <w:sz w:val="24"/>
          <w:szCs w:val="24"/>
        </w:rPr>
        <w:t xml:space="preserve">previous partner </w:t>
      </w:r>
      <w:r w:rsidR="00390540" w:rsidRPr="00B504FE">
        <w:rPr>
          <w:iCs/>
          <w:sz w:val="24"/>
          <w:szCs w:val="24"/>
        </w:rPr>
        <w:t>evaluation</w:t>
      </w:r>
      <w:r w:rsidR="003A5CCE" w:rsidRPr="00B504FE">
        <w:rPr>
          <w:iCs/>
          <w:sz w:val="24"/>
          <w:szCs w:val="24"/>
        </w:rPr>
        <w:t>s</w:t>
      </w:r>
      <w:r w:rsidR="00CF553A" w:rsidRPr="00B504FE">
        <w:rPr>
          <w:iCs/>
          <w:sz w:val="24"/>
          <w:szCs w:val="24"/>
        </w:rPr>
        <w:t>.</w:t>
      </w:r>
      <w:r w:rsidR="00AB2CAA">
        <w:rPr>
          <w:iCs/>
          <w:sz w:val="24"/>
          <w:szCs w:val="24"/>
        </w:rPr>
        <w:t xml:space="preserve"> </w:t>
      </w:r>
      <w:r w:rsidR="001322B4">
        <w:rPr>
          <w:iCs/>
          <w:sz w:val="24"/>
          <w:szCs w:val="24"/>
        </w:rPr>
        <w:t>Since</w:t>
      </w:r>
      <w:r w:rsidR="00AB2CAA">
        <w:rPr>
          <w:iCs/>
          <w:sz w:val="24"/>
          <w:szCs w:val="24"/>
        </w:rPr>
        <w:t xml:space="preserve"> data collection is conducted electronically, </w:t>
      </w:r>
      <w:r w:rsidR="001322B4">
        <w:rPr>
          <w:iCs/>
          <w:sz w:val="24"/>
          <w:szCs w:val="24"/>
        </w:rPr>
        <w:t xml:space="preserve">mechanisms have been established to streamline efforts and reduce the likelihood of the submission of duplicate data. Each partner will </w:t>
      </w:r>
      <w:r w:rsidR="00FD64D1">
        <w:rPr>
          <w:iCs/>
          <w:sz w:val="24"/>
          <w:szCs w:val="24"/>
        </w:rPr>
        <w:t xml:space="preserve">have separate logins for the Metrics Database and will </w:t>
      </w:r>
      <w:r w:rsidR="001322B4">
        <w:rPr>
          <w:iCs/>
          <w:sz w:val="24"/>
          <w:szCs w:val="24"/>
        </w:rPr>
        <w:t>only be allowed to</w:t>
      </w:r>
      <w:r w:rsidR="00FD64D1">
        <w:rPr>
          <w:iCs/>
          <w:sz w:val="24"/>
          <w:szCs w:val="24"/>
        </w:rPr>
        <w:t xml:space="preserve"> participate in data collection only once during the collection period (e.g., only one key informant interview per partner). These activities will aid in the assessing the extent to which partnership activities aid in message dissemination and </w:t>
      </w:r>
      <w:r w:rsidR="00FD64D1" w:rsidRPr="00FD64D1">
        <w:rPr>
          <w:iCs/>
          <w:sz w:val="24"/>
          <w:szCs w:val="24"/>
        </w:rPr>
        <w:t xml:space="preserve">implementation of national engagement and communication efforts for HIV prevention and awareness. </w:t>
      </w:r>
      <w:r w:rsidR="00FD64D1">
        <w:rPr>
          <w:iCs/>
          <w:sz w:val="24"/>
          <w:szCs w:val="24"/>
        </w:rPr>
        <w:t>Presently, there are no other known evaluation activities to determine the level of engagement and reach of community and/or business partners in CDC’s HIV prevention communication efforts.</w:t>
      </w:r>
    </w:p>
    <w:p w14:paraId="65BD4031" w14:textId="711739CF" w:rsidR="00EB1296" w:rsidRPr="00B504FE" w:rsidRDefault="00EB1296" w:rsidP="00FD64D1">
      <w:pPr>
        <w:pStyle w:val="BodyText2"/>
        <w:spacing w:after="0" w:line="240" w:lineRule="auto"/>
        <w:ind w:firstLine="0"/>
        <w:rPr>
          <w:iCs/>
          <w:sz w:val="24"/>
          <w:szCs w:val="24"/>
        </w:rPr>
      </w:pPr>
    </w:p>
    <w:p w14:paraId="2854948F" w14:textId="77777777" w:rsidR="00E949EF" w:rsidRPr="00B504FE" w:rsidRDefault="00E949EF" w:rsidP="000F03B3">
      <w:pPr>
        <w:pStyle w:val="Heading2"/>
        <w:spacing w:after="0"/>
        <w:rPr>
          <w:szCs w:val="24"/>
        </w:rPr>
      </w:pPr>
      <w:r w:rsidRPr="00B504FE">
        <w:rPr>
          <w:szCs w:val="24"/>
        </w:rPr>
        <w:t>5.</w:t>
      </w:r>
      <w:r w:rsidRPr="00B504FE">
        <w:rPr>
          <w:szCs w:val="24"/>
        </w:rPr>
        <w:tab/>
        <w:t>Impact on Small Businesses or Other Small Entities</w:t>
      </w:r>
      <w:bookmarkEnd w:id="21"/>
      <w:bookmarkEnd w:id="22"/>
      <w:bookmarkEnd w:id="23"/>
      <w:r w:rsidRPr="00B504FE">
        <w:rPr>
          <w:szCs w:val="24"/>
        </w:rPr>
        <w:t xml:space="preserve"> </w:t>
      </w:r>
    </w:p>
    <w:p w14:paraId="321799F1" w14:textId="77777777" w:rsidR="00F57B18" w:rsidRPr="00FD64D1" w:rsidRDefault="007F11E6" w:rsidP="000F03B3">
      <w:pPr>
        <w:pStyle w:val="Heading2"/>
        <w:spacing w:after="0"/>
        <w:rPr>
          <w:rFonts w:cs="ITC Franklin Gothic Std Book"/>
          <w:b w:val="0"/>
          <w:color w:val="000000"/>
          <w:szCs w:val="24"/>
        </w:rPr>
      </w:pPr>
      <w:r w:rsidRPr="00FD64D1">
        <w:rPr>
          <w:rFonts w:cs="ITC Franklin Gothic Std Book"/>
          <w:b w:val="0"/>
          <w:color w:val="000000"/>
          <w:szCs w:val="24"/>
        </w:rPr>
        <w:t xml:space="preserve">“This data collection will not involve small businesses.” </w:t>
      </w:r>
    </w:p>
    <w:p w14:paraId="236E3F28" w14:textId="77777777" w:rsidR="00F57B18" w:rsidRPr="00FD64D1" w:rsidRDefault="00F57B18" w:rsidP="000F03B3">
      <w:pPr>
        <w:pStyle w:val="Heading2"/>
        <w:spacing w:after="0"/>
        <w:rPr>
          <w:rFonts w:cs="ITC Franklin Gothic Std Book"/>
          <w:color w:val="000000"/>
          <w:szCs w:val="24"/>
        </w:rPr>
      </w:pPr>
    </w:p>
    <w:p w14:paraId="11909BB1" w14:textId="77777777" w:rsidR="00E949EF" w:rsidRPr="00B504FE" w:rsidRDefault="00E949EF" w:rsidP="000F03B3">
      <w:pPr>
        <w:pStyle w:val="Heading2"/>
        <w:spacing w:after="0"/>
        <w:rPr>
          <w:szCs w:val="24"/>
        </w:rPr>
      </w:pPr>
      <w:bookmarkStart w:id="24" w:name="_Toc143058441"/>
      <w:bookmarkStart w:id="25" w:name="_Toc146088439"/>
      <w:bookmarkStart w:id="26" w:name="_Toc231290968"/>
      <w:r w:rsidRPr="00B504FE">
        <w:rPr>
          <w:szCs w:val="24"/>
        </w:rPr>
        <w:t>6.</w:t>
      </w:r>
      <w:r w:rsidRPr="00B504FE">
        <w:rPr>
          <w:szCs w:val="24"/>
        </w:rPr>
        <w:tab/>
        <w:t>Consequences of Collecting the Information Less Frequently</w:t>
      </w:r>
      <w:bookmarkEnd w:id="24"/>
      <w:bookmarkEnd w:id="25"/>
      <w:bookmarkEnd w:id="26"/>
      <w:r w:rsidRPr="00B504FE">
        <w:rPr>
          <w:szCs w:val="24"/>
        </w:rPr>
        <w:t xml:space="preserve"> </w:t>
      </w:r>
    </w:p>
    <w:p w14:paraId="656CD259" w14:textId="3A64F574" w:rsidR="00E02FAC" w:rsidRDefault="006302F6" w:rsidP="000F03B3">
      <w:pPr>
        <w:pStyle w:val="BodyText2"/>
        <w:spacing w:after="0" w:line="240" w:lineRule="auto"/>
        <w:rPr>
          <w:sz w:val="24"/>
          <w:szCs w:val="24"/>
        </w:rPr>
      </w:pPr>
      <w:bookmarkStart w:id="27" w:name="_Toc143058442"/>
      <w:bookmarkStart w:id="28" w:name="_Toc146088440"/>
      <w:bookmarkStart w:id="29" w:name="_Toc231290969"/>
      <w:r w:rsidRPr="00B504FE">
        <w:rPr>
          <w:sz w:val="24"/>
          <w:szCs w:val="24"/>
        </w:rPr>
        <w:t>Table A.6</w:t>
      </w:r>
      <w:r w:rsidR="00253964" w:rsidRPr="00B504FE">
        <w:rPr>
          <w:sz w:val="24"/>
          <w:szCs w:val="24"/>
        </w:rPr>
        <w:t>.1</w:t>
      </w:r>
      <w:r w:rsidRPr="00B504FE">
        <w:rPr>
          <w:sz w:val="24"/>
          <w:szCs w:val="24"/>
        </w:rPr>
        <w:t xml:space="preserve"> shows the planned data collections, the frequency of each collection, and a justification for the stated frequency.</w:t>
      </w:r>
      <w:r w:rsidR="005F7AF8" w:rsidRPr="00B504FE">
        <w:rPr>
          <w:sz w:val="24"/>
          <w:szCs w:val="24"/>
        </w:rPr>
        <w:t xml:space="preserve"> </w:t>
      </w:r>
      <w:r w:rsidR="00E02FAC">
        <w:rPr>
          <w:sz w:val="24"/>
          <w:szCs w:val="24"/>
        </w:rPr>
        <w:t xml:space="preserve">The monitoring and evaluation of partner engagement in CDC’s HIV prevention communication efforts will aid in the assessment of its overarching progress in attaining its goals and objectives. This is instrumental in determining the appropriateness and effectiveness of CDC’s ongoing programs and activities. The frequency of data collection has been based on previous information collection activities that have been </w:t>
      </w:r>
      <w:r w:rsidR="00E02FAC">
        <w:rPr>
          <w:sz w:val="24"/>
          <w:szCs w:val="24"/>
        </w:rPr>
        <w:lastRenderedPageBreak/>
        <w:t>considered to be of minimal burden to project partners. Furthermore, electronic systems have been established to streamline data collection, reducing time and effort required to provide information.</w:t>
      </w:r>
    </w:p>
    <w:p w14:paraId="73B1924A" w14:textId="4430EF22" w:rsidR="00671025" w:rsidRPr="00B504FE" w:rsidRDefault="00671025" w:rsidP="00E02FAC">
      <w:pPr>
        <w:pStyle w:val="BodyText2"/>
        <w:spacing w:after="0" w:line="240" w:lineRule="auto"/>
        <w:ind w:firstLine="0"/>
        <w:rPr>
          <w:sz w:val="24"/>
          <w:szCs w:val="24"/>
        </w:rPr>
      </w:pPr>
    </w:p>
    <w:p w14:paraId="7E461B89" w14:textId="77777777" w:rsidR="00671025" w:rsidRPr="00B504FE" w:rsidRDefault="00157BB8" w:rsidP="000F03B3">
      <w:pPr>
        <w:pStyle w:val="BodyText2"/>
        <w:spacing w:after="0" w:line="240" w:lineRule="auto"/>
        <w:ind w:firstLine="0"/>
        <w:rPr>
          <w:b/>
          <w:sz w:val="24"/>
          <w:szCs w:val="24"/>
        </w:rPr>
      </w:pPr>
      <w:r w:rsidRPr="00B504FE">
        <w:rPr>
          <w:b/>
          <w:sz w:val="24"/>
          <w:szCs w:val="24"/>
        </w:rPr>
        <w:t xml:space="preserve">Table A.6.1 </w:t>
      </w:r>
      <w:r w:rsidR="00671025" w:rsidRPr="00B504FE">
        <w:rPr>
          <w:b/>
          <w:sz w:val="24"/>
          <w:szCs w:val="24"/>
        </w:rPr>
        <w:t>Frequency of Data Collection and Justification for Frequency, by Data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2909"/>
        <w:gridCol w:w="2032"/>
        <w:gridCol w:w="4409"/>
      </w:tblGrid>
      <w:tr w:rsidR="00783ED8" w:rsidRPr="00B504FE" w14:paraId="33B9A473" w14:textId="77777777" w:rsidTr="00B01BA9">
        <w:trPr>
          <w:cantSplit/>
          <w:tblHeader/>
        </w:trPr>
        <w:tc>
          <w:tcPr>
            <w:tcW w:w="2966" w:type="dxa"/>
            <w:shd w:val="clear" w:color="auto" w:fill="D9D9D9"/>
            <w:vAlign w:val="bottom"/>
          </w:tcPr>
          <w:p w14:paraId="629B644F" w14:textId="77777777" w:rsidR="00253964" w:rsidRPr="00B504FE" w:rsidRDefault="00253964" w:rsidP="000F03B3">
            <w:pPr>
              <w:widowControl w:val="0"/>
              <w:autoSpaceDE/>
              <w:autoSpaceDN/>
              <w:adjustRightInd/>
              <w:rPr>
                <w:b/>
                <w:szCs w:val="24"/>
              </w:rPr>
            </w:pPr>
            <w:r w:rsidRPr="00B504FE">
              <w:rPr>
                <w:b/>
                <w:szCs w:val="24"/>
              </w:rPr>
              <w:t xml:space="preserve">Data </w:t>
            </w:r>
            <w:r w:rsidR="00671025" w:rsidRPr="00B504FE">
              <w:rPr>
                <w:b/>
                <w:szCs w:val="24"/>
              </w:rPr>
              <w:t>Sources</w:t>
            </w:r>
          </w:p>
        </w:tc>
        <w:tc>
          <w:tcPr>
            <w:tcW w:w="2070" w:type="dxa"/>
            <w:shd w:val="clear" w:color="auto" w:fill="D9D9D9"/>
            <w:vAlign w:val="bottom"/>
          </w:tcPr>
          <w:p w14:paraId="7E64092E" w14:textId="77777777" w:rsidR="00253964" w:rsidRPr="00B504FE" w:rsidRDefault="00253964" w:rsidP="000F03B3">
            <w:pPr>
              <w:widowControl w:val="0"/>
              <w:autoSpaceDE/>
              <w:autoSpaceDN/>
              <w:adjustRightInd/>
              <w:jc w:val="center"/>
              <w:rPr>
                <w:b/>
                <w:szCs w:val="24"/>
              </w:rPr>
            </w:pPr>
            <w:r w:rsidRPr="00B504FE">
              <w:rPr>
                <w:b/>
                <w:szCs w:val="24"/>
              </w:rPr>
              <w:t xml:space="preserve">Frequency </w:t>
            </w:r>
          </w:p>
        </w:tc>
        <w:tc>
          <w:tcPr>
            <w:tcW w:w="4496" w:type="dxa"/>
            <w:shd w:val="clear" w:color="auto" w:fill="D9D9D9"/>
            <w:vAlign w:val="bottom"/>
          </w:tcPr>
          <w:p w14:paraId="5EC12BC9" w14:textId="77777777" w:rsidR="00253964" w:rsidRPr="00B504FE" w:rsidRDefault="00253964" w:rsidP="000F03B3">
            <w:pPr>
              <w:widowControl w:val="0"/>
              <w:autoSpaceDE/>
              <w:autoSpaceDN/>
              <w:adjustRightInd/>
              <w:jc w:val="center"/>
              <w:rPr>
                <w:b/>
                <w:szCs w:val="24"/>
              </w:rPr>
            </w:pPr>
            <w:r w:rsidRPr="00B504FE">
              <w:rPr>
                <w:b/>
                <w:szCs w:val="24"/>
              </w:rPr>
              <w:t>Justification for Frequency</w:t>
            </w:r>
          </w:p>
        </w:tc>
      </w:tr>
      <w:tr w:rsidR="00B504FE" w:rsidRPr="00B504FE" w14:paraId="6A03033E" w14:textId="77777777" w:rsidTr="009B2BE9">
        <w:trPr>
          <w:cantSplit/>
        </w:trPr>
        <w:tc>
          <w:tcPr>
            <w:tcW w:w="2966" w:type="dxa"/>
            <w:shd w:val="clear" w:color="auto" w:fill="auto"/>
          </w:tcPr>
          <w:p w14:paraId="73E68EDD" w14:textId="77777777" w:rsidR="008D3319" w:rsidRPr="00B504FE" w:rsidRDefault="008D3319" w:rsidP="00FD64D1">
            <w:pPr>
              <w:widowControl w:val="0"/>
              <w:rPr>
                <w:szCs w:val="24"/>
              </w:rPr>
            </w:pPr>
            <w:r w:rsidRPr="00B504FE">
              <w:rPr>
                <w:szCs w:val="24"/>
              </w:rPr>
              <w:t>Metric</w:t>
            </w:r>
            <w:r w:rsidR="00B674C8" w:rsidRPr="00B504FE">
              <w:rPr>
                <w:szCs w:val="24"/>
              </w:rPr>
              <w:t>s</w:t>
            </w:r>
            <w:r w:rsidRPr="00B504FE">
              <w:rPr>
                <w:szCs w:val="24"/>
              </w:rPr>
              <w:t xml:space="preserve"> Data </w:t>
            </w:r>
            <w:r w:rsidR="00C70592" w:rsidRPr="00B504FE">
              <w:rPr>
                <w:szCs w:val="24"/>
              </w:rPr>
              <w:t>Reporting</w:t>
            </w:r>
          </w:p>
        </w:tc>
        <w:tc>
          <w:tcPr>
            <w:tcW w:w="2070" w:type="dxa"/>
            <w:shd w:val="clear" w:color="auto" w:fill="auto"/>
          </w:tcPr>
          <w:p w14:paraId="6F03B23D" w14:textId="77777777" w:rsidR="008D3319" w:rsidRPr="00B504FE" w:rsidRDefault="008D3319" w:rsidP="00FD64D1">
            <w:pPr>
              <w:widowControl w:val="0"/>
              <w:autoSpaceDE/>
              <w:autoSpaceDN/>
              <w:adjustRightInd/>
              <w:rPr>
                <w:szCs w:val="24"/>
              </w:rPr>
            </w:pPr>
            <w:r w:rsidRPr="00B504FE">
              <w:rPr>
                <w:szCs w:val="24"/>
              </w:rPr>
              <w:t>Quarterly</w:t>
            </w:r>
          </w:p>
        </w:tc>
        <w:tc>
          <w:tcPr>
            <w:tcW w:w="4496" w:type="dxa"/>
            <w:shd w:val="clear" w:color="auto" w:fill="auto"/>
          </w:tcPr>
          <w:p w14:paraId="7BD9B509" w14:textId="77777777" w:rsidR="008D3319" w:rsidRPr="00B504FE" w:rsidRDefault="00351BBB" w:rsidP="00FD64D1">
            <w:pPr>
              <w:widowControl w:val="0"/>
              <w:autoSpaceDE/>
              <w:autoSpaceDN/>
              <w:adjustRightInd/>
              <w:rPr>
                <w:szCs w:val="24"/>
              </w:rPr>
            </w:pPr>
            <w:r w:rsidRPr="00B504FE">
              <w:rPr>
                <w:szCs w:val="24"/>
              </w:rPr>
              <w:t>(1)</w:t>
            </w:r>
            <w:r w:rsidR="004305A3" w:rsidRPr="00B504FE">
              <w:rPr>
                <w:szCs w:val="24"/>
              </w:rPr>
              <w:t xml:space="preserve"> </w:t>
            </w:r>
            <w:r w:rsidRPr="00B504FE">
              <w:rPr>
                <w:szCs w:val="24"/>
              </w:rPr>
              <w:t>Assess</w:t>
            </w:r>
            <w:r w:rsidR="008D3319" w:rsidRPr="00B504FE">
              <w:rPr>
                <w:szCs w:val="24"/>
              </w:rPr>
              <w:t xml:space="preserve"> interim and long-term progress </w:t>
            </w:r>
            <w:r w:rsidR="006B11FD" w:rsidRPr="00B504FE">
              <w:rPr>
                <w:szCs w:val="24"/>
              </w:rPr>
              <w:t>toward meeting program objectives</w:t>
            </w:r>
            <w:r w:rsidR="004305A3" w:rsidRPr="00B504FE">
              <w:rPr>
                <w:szCs w:val="24"/>
              </w:rPr>
              <w:t>.</w:t>
            </w:r>
            <w:r w:rsidR="006B11FD" w:rsidRPr="00B504FE">
              <w:rPr>
                <w:szCs w:val="24"/>
              </w:rPr>
              <w:t xml:space="preserve"> </w:t>
            </w:r>
            <w:r w:rsidRPr="00B504FE">
              <w:rPr>
                <w:szCs w:val="24"/>
              </w:rPr>
              <w:t>(2) I</w:t>
            </w:r>
            <w:r w:rsidR="00D42BE0" w:rsidRPr="00B504FE">
              <w:rPr>
                <w:szCs w:val="24"/>
              </w:rPr>
              <w:t xml:space="preserve">dentify areas </w:t>
            </w:r>
            <w:r w:rsidR="004305A3" w:rsidRPr="00B504FE">
              <w:rPr>
                <w:szCs w:val="24"/>
              </w:rPr>
              <w:t>for program</w:t>
            </w:r>
            <w:r w:rsidR="008D3319" w:rsidRPr="00B504FE">
              <w:rPr>
                <w:szCs w:val="24"/>
              </w:rPr>
              <w:t xml:space="preserve"> improvement</w:t>
            </w:r>
            <w:r w:rsidR="00066C90" w:rsidRPr="00B504FE">
              <w:rPr>
                <w:szCs w:val="24"/>
              </w:rPr>
              <w:t xml:space="preserve"> and</w:t>
            </w:r>
            <w:r w:rsidR="008D3319" w:rsidRPr="00B504FE">
              <w:rPr>
                <w:szCs w:val="24"/>
              </w:rPr>
              <w:t xml:space="preserve"> best practices </w:t>
            </w:r>
            <w:r w:rsidR="00066C90" w:rsidRPr="00B504FE">
              <w:rPr>
                <w:szCs w:val="24"/>
              </w:rPr>
              <w:t>to guide delivery of</w:t>
            </w:r>
            <w:r w:rsidR="008D3319" w:rsidRPr="00B504FE">
              <w:rPr>
                <w:szCs w:val="24"/>
              </w:rPr>
              <w:t xml:space="preserve"> </w:t>
            </w:r>
            <w:r w:rsidR="006B11FD" w:rsidRPr="00B504FE">
              <w:rPr>
                <w:szCs w:val="24"/>
              </w:rPr>
              <w:t>T&amp;TA</w:t>
            </w:r>
            <w:r w:rsidR="008D3319" w:rsidRPr="00B504FE">
              <w:rPr>
                <w:szCs w:val="24"/>
              </w:rPr>
              <w:t xml:space="preserve">. </w:t>
            </w:r>
          </w:p>
        </w:tc>
      </w:tr>
      <w:tr w:rsidR="00B504FE" w:rsidRPr="00B504FE" w14:paraId="4CAB1E5F" w14:textId="77777777" w:rsidTr="009B2BE9">
        <w:trPr>
          <w:cantSplit/>
        </w:trPr>
        <w:tc>
          <w:tcPr>
            <w:tcW w:w="2966" w:type="dxa"/>
            <w:shd w:val="clear" w:color="auto" w:fill="auto"/>
          </w:tcPr>
          <w:p w14:paraId="10A04DCC" w14:textId="77777777" w:rsidR="008D3319" w:rsidRPr="00B504FE" w:rsidRDefault="008D3319" w:rsidP="00FD64D1">
            <w:pPr>
              <w:widowControl w:val="0"/>
              <w:rPr>
                <w:szCs w:val="24"/>
              </w:rPr>
            </w:pPr>
            <w:r w:rsidRPr="00B504FE">
              <w:rPr>
                <w:szCs w:val="24"/>
              </w:rPr>
              <w:t>Key Informant Interviews</w:t>
            </w:r>
          </w:p>
        </w:tc>
        <w:tc>
          <w:tcPr>
            <w:tcW w:w="2070" w:type="dxa"/>
            <w:shd w:val="clear" w:color="auto" w:fill="auto"/>
          </w:tcPr>
          <w:p w14:paraId="70D550A4" w14:textId="77777777" w:rsidR="008D3319" w:rsidRPr="00B504FE" w:rsidRDefault="008D3319" w:rsidP="00FD64D1">
            <w:pPr>
              <w:widowControl w:val="0"/>
              <w:autoSpaceDE/>
              <w:autoSpaceDN/>
              <w:adjustRightInd/>
              <w:rPr>
                <w:szCs w:val="24"/>
              </w:rPr>
            </w:pPr>
            <w:r w:rsidRPr="00B504FE">
              <w:rPr>
                <w:szCs w:val="24"/>
              </w:rPr>
              <w:t>Twice a year</w:t>
            </w:r>
          </w:p>
        </w:tc>
        <w:tc>
          <w:tcPr>
            <w:tcW w:w="4496" w:type="dxa"/>
            <w:shd w:val="clear" w:color="auto" w:fill="auto"/>
          </w:tcPr>
          <w:p w14:paraId="428392FF" w14:textId="77777777" w:rsidR="008D3319" w:rsidRPr="00B504FE" w:rsidRDefault="00351BBB" w:rsidP="00FD64D1">
            <w:pPr>
              <w:widowControl w:val="0"/>
              <w:autoSpaceDE/>
              <w:autoSpaceDN/>
              <w:adjustRightInd/>
              <w:rPr>
                <w:szCs w:val="24"/>
              </w:rPr>
            </w:pPr>
            <w:r w:rsidRPr="00B504FE">
              <w:rPr>
                <w:szCs w:val="24"/>
              </w:rPr>
              <w:t>(1)</w:t>
            </w:r>
            <w:r w:rsidR="004305A3" w:rsidRPr="00B504FE">
              <w:rPr>
                <w:szCs w:val="24"/>
              </w:rPr>
              <w:t xml:space="preserve"> </w:t>
            </w:r>
            <w:r w:rsidRPr="00B504FE">
              <w:rPr>
                <w:szCs w:val="24"/>
              </w:rPr>
              <w:t>Q</w:t>
            </w:r>
            <w:r w:rsidR="006B11FD" w:rsidRPr="00B504FE">
              <w:rPr>
                <w:szCs w:val="24"/>
              </w:rPr>
              <w:t xml:space="preserve">ualitatively </w:t>
            </w:r>
            <w:r w:rsidR="008D3319" w:rsidRPr="00B504FE">
              <w:rPr>
                <w:szCs w:val="24"/>
              </w:rPr>
              <w:t xml:space="preserve">assess </w:t>
            </w:r>
            <w:r w:rsidR="00D42BE0" w:rsidRPr="00B504FE">
              <w:rPr>
                <w:szCs w:val="24"/>
              </w:rPr>
              <w:t xml:space="preserve">and describe </w:t>
            </w:r>
            <w:r w:rsidR="004305A3" w:rsidRPr="00B504FE">
              <w:rPr>
                <w:szCs w:val="24"/>
              </w:rPr>
              <w:t>implementation practices</w:t>
            </w:r>
            <w:r w:rsidR="00D42BE0" w:rsidRPr="00B504FE">
              <w:rPr>
                <w:szCs w:val="24"/>
              </w:rPr>
              <w:t xml:space="preserve"> and activities</w:t>
            </w:r>
            <w:r w:rsidRPr="00B504FE">
              <w:rPr>
                <w:szCs w:val="24"/>
              </w:rPr>
              <w:t xml:space="preserve"> and follow up on any issues identified through review of </w:t>
            </w:r>
            <w:r w:rsidR="00BE5291" w:rsidRPr="00B504FE">
              <w:rPr>
                <w:szCs w:val="24"/>
              </w:rPr>
              <w:t>metrics</w:t>
            </w:r>
            <w:r w:rsidRPr="00B504FE">
              <w:rPr>
                <w:szCs w:val="24"/>
              </w:rPr>
              <w:t xml:space="preserve"> data and </w:t>
            </w:r>
            <w:r w:rsidR="00BD7209" w:rsidRPr="00B504FE">
              <w:rPr>
                <w:szCs w:val="24"/>
              </w:rPr>
              <w:t>Interim Progress Reports</w:t>
            </w:r>
            <w:r w:rsidR="00D42BE0" w:rsidRPr="00B504FE">
              <w:rPr>
                <w:szCs w:val="24"/>
              </w:rPr>
              <w:t xml:space="preserve">. </w:t>
            </w:r>
            <w:r w:rsidRPr="00B504FE">
              <w:rPr>
                <w:szCs w:val="24"/>
              </w:rPr>
              <w:t>(2) Identify areas for program</w:t>
            </w:r>
            <w:r w:rsidR="00066C90" w:rsidRPr="00B504FE">
              <w:rPr>
                <w:szCs w:val="24"/>
              </w:rPr>
              <w:t xml:space="preserve"> improvement and</w:t>
            </w:r>
            <w:r w:rsidRPr="00B504FE">
              <w:rPr>
                <w:szCs w:val="24"/>
              </w:rPr>
              <w:t xml:space="preserve"> best practices </w:t>
            </w:r>
            <w:r w:rsidR="00066C90" w:rsidRPr="00B504FE">
              <w:rPr>
                <w:szCs w:val="24"/>
              </w:rPr>
              <w:t>to guide delivery of</w:t>
            </w:r>
            <w:r w:rsidRPr="00B504FE">
              <w:rPr>
                <w:szCs w:val="24"/>
              </w:rPr>
              <w:t xml:space="preserve"> T&amp;TA. (3) P</w:t>
            </w:r>
            <w:r w:rsidR="008D3319" w:rsidRPr="00B504FE">
              <w:rPr>
                <w:szCs w:val="24"/>
              </w:rPr>
              <w:t xml:space="preserve">rovide additional context and detail for </w:t>
            </w:r>
            <w:r w:rsidR="00066C90" w:rsidRPr="00B504FE">
              <w:rPr>
                <w:szCs w:val="24"/>
              </w:rPr>
              <w:t xml:space="preserve">interpreting </w:t>
            </w:r>
            <w:r w:rsidR="00671D1D" w:rsidRPr="00B504FE">
              <w:rPr>
                <w:szCs w:val="24"/>
              </w:rPr>
              <w:t>metrics</w:t>
            </w:r>
            <w:r w:rsidR="008D3319" w:rsidRPr="00B504FE">
              <w:rPr>
                <w:szCs w:val="24"/>
              </w:rPr>
              <w:t xml:space="preserve"> data.</w:t>
            </w:r>
          </w:p>
        </w:tc>
      </w:tr>
      <w:tr w:rsidR="00B504FE" w:rsidRPr="00B504FE" w14:paraId="6497C17C" w14:textId="77777777" w:rsidTr="009B2BE9">
        <w:trPr>
          <w:cantSplit/>
        </w:trPr>
        <w:tc>
          <w:tcPr>
            <w:tcW w:w="2966" w:type="dxa"/>
            <w:shd w:val="clear" w:color="auto" w:fill="auto"/>
          </w:tcPr>
          <w:p w14:paraId="5BB90544" w14:textId="77777777" w:rsidR="00997A01" w:rsidRPr="00B504FE" w:rsidRDefault="00725726" w:rsidP="00FD64D1">
            <w:pPr>
              <w:widowControl w:val="0"/>
              <w:rPr>
                <w:szCs w:val="24"/>
              </w:rPr>
            </w:pPr>
            <w:r w:rsidRPr="00B504FE">
              <w:rPr>
                <w:szCs w:val="24"/>
              </w:rPr>
              <w:t>Interim</w:t>
            </w:r>
            <w:r w:rsidR="00997A01" w:rsidRPr="00B504FE">
              <w:rPr>
                <w:szCs w:val="24"/>
              </w:rPr>
              <w:t xml:space="preserve"> Progress Reports</w:t>
            </w:r>
          </w:p>
        </w:tc>
        <w:tc>
          <w:tcPr>
            <w:tcW w:w="2070" w:type="dxa"/>
            <w:shd w:val="clear" w:color="auto" w:fill="auto"/>
          </w:tcPr>
          <w:p w14:paraId="640BEAFA" w14:textId="77777777" w:rsidR="00997A01" w:rsidRPr="00B504FE" w:rsidDel="005D5CFC" w:rsidRDefault="00D6716F" w:rsidP="00FD64D1">
            <w:pPr>
              <w:widowControl w:val="0"/>
              <w:autoSpaceDE/>
              <w:autoSpaceDN/>
              <w:adjustRightInd/>
              <w:rPr>
                <w:szCs w:val="24"/>
              </w:rPr>
            </w:pPr>
            <w:r w:rsidRPr="00B504FE">
              <w:rPr>
                <w:szCs w:val="24"/>
              </w:rPr>
              <w:t>Bia</w:t>
            </w:r>
            <w:r w:rsidR="00997A01" w:rsidRPr="00B504FE">
              <w:rPr>
                <w:szCs w:val="24"/>
              </w:rPr>
              <w:t>nnually</w:t>
            </w:r>
          </w:p>
        </w:tc>
        <w:tc>
          <w:tcPr>
            <w:tcW w:w="4496" w:type="dxa"/>
            <w:shd w:val="clear" w:color="auto" w:fill="auto"/>
          </w:tcPr>
          <w:p w14:paraId="38425A87" w14:textId="77777777" w:rsidR="00997A01" w:rsidRPr="00B504FE" w:rsidRDefault="00997A01" w:rsidP="00FD64D1">
            <w:pPr>
              <w:widowControl w:val="0"/>
              <w:autoSpaceDE/>
              <w:autoSpaceDN/>
              <w:adjustRightInd/>
              <w:rPr>
                <w:szCs w:val="24"/>
              </w:rPr>
            </w:pPr>
            <w:r w:rsidRPr="00B504FE">
              <w:rPr>
                <w:szCs w:val="24"/>
              </w:rPr>
              <w:t xml:space="preserve">(1) Assess interim and long-term progress toward meeting program objectives. (2) Provide data to </w:t>
            </w:r>
            <w:r w:rsidR="00C12AD6" w:rsidRPr="00B504FE">
              <w:rPr>
                <w:szCs w:val="24"/>
              </w:rPr>
              <w:t>partners</w:t>
            </w:r>
            <w:r w:rsidRPr="00B504FE">
              <w:rPr>
                <w:szCs w:val="24"/>
              </w:rPr>
              <w:t xml:space="preserve"> and CDC that can be used to identify areas for program improvement and best practices to guide delivery of (CDC) or requests for (</w:t>
            </w:r>
            <w:r w:rsidR="00C12AD6" w:rsidRPr="00B504FE">
              <w:rPr>
                <w:szCs w:val="24"/>
              </w:rPr>
              <w:t>partners</w:t>
            </w:r>
            <w:r w:rsidRPr="00B504FE">
              <w:rPr>
                <w:szCs w:val="24"/>
              </w:rPr>
              <w:t>) T&amp;TA. (3) Provide additional context and detail for interpreting metrics data.</w:t>
            </w:r>
          </w:p>
        </w:tc>
      </w:tr>
      <w:tr w:rsidR="00B504FE" w:rsidRPr="00B504FE" w14:paraId="714608A3" w14:textId="77777777" w:rsidTr="009B2BE9">
        <w:trPr>
          <w:cantSplit/>
        </w:trPr>
        <w:tc>
          <w:tcPr>
            <w:tcW w:w="2966" w:type="dxa"/>
            <w:shd w:val="clear" w:color="auto" w:fill="auto"/>
          </w:tcPr>
          <w:p w14:paraId="2CE6A716" w14:textId="77777777" w:rsidR="00997A01" w:rsidRPr="00B504FE" w:rsidRDefault="00ED5F44" w:rsidP="00FD64D1">
            <w:pPr>
              <w:widowControl w:val="0"/>
              <w:rPr>
                <w:szCs w:val="24"/>
              </w:rPr>
            </w:pPr>
            <w:r w:rsidRPr="00B504FE">
              <w:rPr>
                <w:szCs w:val="24"/>
              </w:rPr>
              <w:t>Partner</w:t>
            </w:r>
            <w:r w:rsidR="00CF0EFC" w:rsidRPr="00B504FE">
              <w:rPr>
                <w:szCs w:val="24"/>
              </w:rPr>
              <w:t xml:space="preserve"> </w:t>
            </w:r>
            <w:r w:rsidR="00997A01" w:rsidRPr="00B504FE">
              <w:rPr>
                <w:szCs w:val="24"/>
              </w:rPr>
              <w:t>Survey</w:t>
            </w:r>
          </w:p>
        </w:tc>
        <w:tc>
          <w:tcPr>
            <w:tcW w:w="2070" w:type="dxa"/>
            <w:shd w:val="clear" w:color="auto" w:fill="auto"/>
          </w:tcPr>
          <w:p w14:paraId="27A4C631" w14:textId="77777777" w:rsidR="00997A01" w:rsidRPr="00B504FE" w:rsidRDefault="00997A01" w:rsidP="00FD64D1">
            <w:pPr>
              <w:widowControl w:val="0"/>
              <w:autoSpaceDE/>
              <w:autoSpaceDN/>
              <w:adjustRightInd/>
              <w:rPr>
                <w:szCs w:val="24"/>
              </w:rPr>
            </w:pPr>
            <w:r w:rsidRPr="00B504FE">
              <w:rPr>
                <w:szCs w:val="24"/>
              </w:rPr>
              <w:t>Once, on a rolling basis when collaborators on-board</w:t>
            </w:r>
          </w:p>
        </w:tc>
        <w:tc>
          <w:tcPr>
            <w:tcW w:w="4496" w:type="dxa"/>
            <w:shd w:val="clear" w:color="auto" w:fill="auto"/>
          </w:tcPr>
          <w:p w14:paraId="77541F69" w14:textId="77777777" w:rsidR="00584BC8" w:rsidRPr="00B504FE" w:rsidRDefault="001815C4" w:rsidP="00FD64D1">
            <w:pPr>
              <w:widowControl w:val="0"/>
              <w:autoSpaceDE/>
              <w:autoSpaceDN/>
              <w:adjustRightInd/>
              <w:rPr>
                <w:szCs w:val="24"/>
              </w:rPr>
            </w:pPr>
            <w:r w:rsidRPr="00B504FE">
              <w:rPr>
                <w:szCs w:val="24"/>
              </w:rPr>
              <w:t>O</w:t>
            </w:r>
            <w:r w:rsidR="003A5CCE" w:rsidRPr="00B504FE">
              <w:rPr>
                <w:szCs w:val="24"/>
              </w:rPr>
              <w:t xml:space="preserve">btain insight </w:t>
            </w:r>
            <w:r w:rsidR="0068621B" w:rsidRPr="00B504FE">
              <w:rPr>
                <w:szCs w:val="24"/>
              </w:rPr>
              <w:t>into</w:t>
            </w:r>
            <w:r w:rsidR="003A5CCE" w:rsidRPr="00B504FE">
              <w:rPr>
                <w:szCs w:val="24"/>
              </w:rPr>
              <w:t xml:space="preserve"> what partners are doing to </w:t>
            </w:r>
            <w:r w:rsidR="00A93CA9" w:rsidRPr="00B504FE">
              <w:rPr>
                <w:szCs w:val="24"/>
              </w:rPr>
              <w:t>promote HIV prevention and awareness and decrease HIV-related stigma and discrimination.</w:t>
            </w:r>
          </w:p>
        </w:tc>
      </w:tr>
      <w:tr w:rsidR="00B504FE" w:rsidRPr="00B504FE" w14:paraId="5B51A135" w14:textId="77777777" w:rsidTr="009B2BE9">
        <w:trPr>
          <w:cantSplit/>
        </w:trPr>
        <w:tc>
          <w:tcPr>
            <w:tcW w:w="2966" w:type="dxa"/>
            <w:shd w:val="clear" w:color="auto" w:fill="auto"/>
          </w:tcPr>
          <w:p w14:paraId="26C63B0B" w14:textId="77777777" w:rsidR="001815C4" w:rsidRPr="00B504FE" w:rsidDel="00ED5F44" w:rsidRDefault="001815C4" w:rsidP="00FD64D1">
            <w:pPr>
              <w:widowControl w:val="0"/>
              <w:rPr>
                <w:szCs w:val="24"/>
              </w:rPr>
            </w:pPr>
            <w:r w:rsidRPr="00B504FE">
              <w:rPr>
                <w:szCs w:val="24"/>
              </w:rPr>
              <w:t>Partnership Activities Form</w:t>
            </w:r>
          </w:p>
        </w:tc>
        <w:tc>
          <w:tcPr>
            <w:tcW w:w="2070" w:type="dxa"/>
            <w:shd w:val="clear" w:color="auto" w:fill="auto"/>
          </w:tcPr>
          <w:p w14:paraId="1DD3E925" w14:textId="77777777" w:rsidR="001815C4" w:rsidRPr="00B504FE" w:rsidRDefault="001815C4" w:rsidP="00FD64D1">
            <w:pPr>
              <w:widowControl w:val="0"/>
              <w:autoSpaceDE/>
              <w:autoSpaceDN/>
              <w:adjustRightInd/>
              <w:rPr>
                <w:szCs w:val="24"/>
              </w:rPr>
            </w:pPr>
            <w:r w:rsidRPr="00B504FE">
              <w:rPr>
                <w:szCs w:val="24"/>
              </w:rPr>
              <w:t>Once, on a rolling basis when partners complete an event</w:t>
            </w:r>
          </w:p>
        </w:tc>
        <w:tc>
          <w:tcPr>
            <w:tcW w:w="4496" w:type="dxa"/>
            <w:shd w:val="clear" w:color="auto" w:fill="auto"/>
          </w:tcPr>
          <w:p w14:paraId="65A3E33E" w14:textId="77777777" w:rsidR="001815C4" w:rsidRPr="00B504FE" w:rsidRDefault="00C12AD6" w:rsidP="00FD64D1">
            <w:pPr>
              <w:widowControl w:val="0"/>
              <w:autoSpaceDE/>
              <w:autoSpaceDN/>
              <w:adjustRightInd/>
              <w:rPr>
                <w:szCs w:val="24"/>
              </w:rPr>
            </w:pPr>
            <w:r w:rsidRPr="00B504FE">
              <w:rPr>
                <w:szCs w:val="24"/>
              </w:rPr>
              <w:t>Assess and describe activities and follow up on any issues identified through review of data.</w:t>
            </w:r>
          </w:p>
        </w:tc>
      </w:tr>
    </w:tbl>
    <w:p w14:paraId="65A2465E" w14:textId="77777777" w:rsidR="00253964" w:rsidRPr="00B504FE" w:rsidRDefault="00253964" w:rsidP="00FD64D1">
      <w:pPr>
        <w:pStyle w:val="BodyText2"/>
        <w:spacing w:after="0" w:line="240" w:lineRule="auto"/>
        <w:rPr>
          <w:sz w:val="24"/>
          <w:szCs w:val="24"/>
        </w:rPr>
      </w:pPr>
    </w:p>
    <w:p w14:paraId="1D72755E" w14:textId="77777777" w:rsidR="00E949EF" w:rsidRPr="00B504FE" w:rsidRDefault="00E949EF" w:rsidP="00FD64D1">
      <w:pPr>
        <w:pStyle w:val="Heading2"/>
        <w:spacing w:after="0"/>
        <w:rPr>
          <w:szCs w:val="24"/>
        </w:rPr>
      </w:pPr>
      <w:r w:rsidRPr="00B504FE">
        <w:rPr>
          <w:szCs w:val="24"/>
        </w:rPr>
        <w:t>7.</w:t>
      </w:r>
      <w:r w:rsidRPr="00B504FE">
        <w:rPr>
          <w:szCs w:val="24"/>
        </w:rPr>
        <w:tab/>
        <w:t>Special Circumstances Relating to the Guidelines of 5 CFR 1320.5</w:t>
      </w:r>
      <w:bookmarkEnd w:id="27"/>
      <w:bookmarkEnd w:id="28"/>
      <w:bookmarkEnd w:id="29"/>
      <w:r w:rsidRPr="00B504FE">
        <w:rPr>
          <w:szCs w:val="24"/>
        </w:rPr>
        <w:t xml:space="preserve"> </w:t>
      </w:r>
    </w:p>
    <w:p w14:paraId="4B0D5C3B" w14:textId="395A8628" w:rsidR="00E949EF" w:rsidRDefault="00E949EF" w:rsidP="00FD64D1">
      <w:pPr>
        <w:pStyle w:val="BodyText1"/>
        <w:spacing w:after="0" w:line="240" w:lineRule="auto"/>
        <w:rPr>
          <w:szCs w:val="24"/>
        </w:rPr>
      </w:pPr>
      <w:r w:rsidRPr="00B504FE">
        <w:rPr>
          <w:szCs w:val="24"/>
        </w:rPr>
        <w:t>There are no other special circumstances that require the data collection to be conducted in a manner inconsistent with 5 CRF 1320.5 (d)(2). This request fully complies with the regulation</w:t>
      </w:r>
      <w:r w:rsidR="00C91FAC">
        <w:rPr>
          <w:szCs w:val="24"/>
        </w:rPr>
        <w:t xml:space="preserve"> 5 CFR 1320.5</w:t>
      </w:r>
      <w:r w:rsidRPr="00B504FE">
        <w:rPr>
          <w:szCs w:val="24"/>
        </w:rPr>
        <w:t>.</w:t>
      </w:r>
    </w:p>
    <w:p w14:paraId="57799A53" w14:textId="77777777" w:rsidR="00F57B18" w:rsidRPr="00B504FE" w:rsidRDefault="00F57B18" w:rsidP="00FD64D1">
      <w:pPr>
        <w:pStyle w:val="BodyText1"/>
        <w:spacing w:after="0" w:line="240" w:lineRule="auto"/>
        <w:rPr>
          <w:szCs w:val="24"/>
        </w:rPr>
      </w:pPr>
    </w:p>
    <w:p w14:paraId="5A982F67" w14:textId="77777777" w:rsidR="00E949EF" w:rsidRPr="00B504FE" w:rsidRDefault="00E949EF" w:rsidP="00FD64D1">
      <w:pPr>
        <w:pStyle w:val="Heading2"/>
        <w:spacing w:after="0"/>
        <w:rPr>
          <w:szCs w:val="24"/>
        </w:rPr>
      </w:pPr>
      <w:bookmarkStart w:id="30" w:name="_Toc143058443"/>
      <w:bookmarkStart w:id="31" w:name="_Toc146088441"/>
      <w:bookmarkStart w:id="32" w:name="_Toc231290970"/>
      <w:r w:rsidRPr="00B504FE">
        <w:rPr>
          <w:szCs w:val="24"/>
        </w:rPr>
        <w:lastRenderedPageBreak/>
        <w:t>8.</w:t>
      </w:r>
      <w:r w:rsidRPr="00B504FE">
        <w:rPr>
          <w:szCs w:val="24"/>
        </w:rPr>
        <w:tab/>
        <w:t>Comments in Response to the Federal Register Notice and Efforts to Consult Outside the Agency</w:t>
      </w:r>
      <w:bookmarkEnd w:id="30"/>
      <w:bookmarkEnd w:id="31"/>
      <w:bookmarkEnd w:id="32"/>
      <w:r w:rsidRPr="00B504FE">
        <w:rPr>
          <w:szCs w:val="24"/>
        </w:rPr>
        <w:t xml:space="preserve"> </w:t>
      </w:r>
    </w:p>
    <w:p w14:paraId="2BB3D901" w14:textId="1F6027A9" w:rsidR="00E664D2" w:rsidRDefault="00194259" w:rsidP="00FD64D1">
      <w:pPr>
        <w:ind w:firstLine="720"/>
        <w:rPr>
          <w:szCs w:val="24"/>
        </w:rPr>
      </w:pPr>
      <w:r w:rsidRPr="00B504FE">
        <w:rPr>
          <w:szCs w:val="24"/>
        </w:rPr>
        <w:t xml:space="preserve">A 60-day Federal Register Notice was published in the Federal Register on </w:t>
      </w:r>
      <w:r w:rsidR="00DD4974" w:rsidRPr="00B504FE">
        <w:rPr>
          <w:szCs w:val="24"/>
        </w:rPr>
        <w:t>02/01/2016</w:t>
      </w:r>
      <w:r w:rsidRPr="00B504FE">
        <w:rPr>
          <w:szCs w:val="24"/>
        </w:rPr>
        <w:t xml:space="preserve">, </w:t>
      </w:r>
      <w:r w:rsidR="00F1223D" w:rsidRPr="00B504FE">
        <w:rPr>
          <w:szCs w:val="24"/>
        </w:rPr>
        <w:t>Vol</w:t>
      </w:r>
      <w:r w:rsidRPr="00B504FE">
        <w:rPr>
          <w:szCs w:val="24"/>
        </w:rPr>
        <w:t xml:space="preserve">. </w:t>
      </w:r>
      <w:r w:rsidR="00DD4974" w:rsidRPr="00B504FE">
        <w:rPr>
          <w:szCs w:val="24"/>
        </w:rPr>
        <w:t>81</w:t>
      </w:r>
      <w:r w:rsidRPr="00B504FE">
        <w:rPr>
          <w:szCs w:val="24"/>
        </w:rPr>
        <w:t xml:space="preserve">, No. </w:t>
      </w:r>
      <w:r w:rsidR="00DD4974" w:rsidRPr="00B504FE">
        <w:rPr>
          <w:szCs w:val="24"/>
        </w:rPr>
        <w:t>20</w:t>
      </w:r>
      <w:r w:rsidRPr="00B504FE">
        <w:rPr>
          <w:szCs w:val="24"/>
        </w:rPr>
        <w:t xml:space="preserve">; pp. </w:t>
      </w:r>
      <w:r w:rsidR="00F1223D" w:rsidRPr="00B504FE">
        <w:rPr>
          <w:szCs w:val="24"/>
        </w:rPr>
        <w:t>5125</w:t>
      </w:r>
      <w:r w:rsidR="00DD4974" w:rsidRPr="00B504FE">
        <w:rPr>
          <w:szCs w:val="24"/>
        </w:rPr>
        <w:t xml:space="preserve">-5126 </w:t>
      </w:r>
      <w:r w:rsidRPr="00B504FE">
        <w:rPr>
          <w:szCs w:val="24"/>
        </w:rPr>
        <w:t>(</w:t>
      </w:r>
      <w:r w:rsidR="005241FA" w:rsidRPr="00B504FE">
        <w:rPr>
          <w:b/>
          <w:szCs w:val="24"/>
        </w:rPr>
        <w:t>Attachment 2</w:t>
      </w:r>
      <w:r w:rsidRPr="00B504FE">
        <w:rPr>
          <w:szCs w:val="24"/>
        </w:rPr>
        <w:t>).</w:t>
      </w:r>
      <w:r w:rsidR="00E664D2">
        <w:rPr>
          <w:szCs w:val="24"/>
        </w:rPr>
        <w:t xml:space="preserve">  We received one non-substantive public comment (</w:t>
      </w:r>
      <w:r w:rsidR="00E664D2">
        <w:rPr>
          <w:b/>
          <w:szCs w:val="24"/>
        </w:rPr>
        <w:t>Attachment 2a</w:t>
      </w:r>
      <w:r w:rsidR="00E664D2">
        <w:rPr>
          <w:szCs w:val="24"/>
        </w:rPr>
        <w:t xml:space="preserve">). </w:t>
      </w:r>
    </w:p>
    <w:p w14:paraId="38AA5060" w14:textId="77777777" w:rsidR="0092642C" w:rsidRDefault="00DA165C" w:rsidP="00FD64D1">
      <w:pPr>
        <w:ind w:firstLine="720"/>
        <w:rPr>
          <w:szCs w:val="24"/>
        </w:rPr>
      </w:pPr>
      <w:r w:rsidRPr="00B504FE">
        <w:rPr>
          <w:szCs w:val="24"/>
        </w:rPr>
        <w:t>No one was consulted out</w:t>
      </w:r>
      <w:r w:rsidR="001D0DEE" w:rsidRPr="00B504FE">
        <w:rPr>
          <w:szCs w:val="24"/>
        </w:rPr>
        <w:t>side</w:t>
      </w:r>
      <w:r w:rsidRPr="00B504FE">
        <w:rPr>
          <w:szCs w:val="24"/>
        </w:rPr>
        <w:t xml:space="preserve"> the agency</w:t>
      </w:r>
      <w:r w:rsidR="00410D3A" w:rsidRPr="00B504FE">
        <w:rPr>
          <w:szCs w:val="24"/>
        </w:rPr>
        <w:t xml:space="preserve"> to obtain their views on the reporting format or the data elements to be reported. </w:t>
      </w:r>
    </w:p>
    <w:p w14:paraId="6F225637" w14:textId="77777777" w:rsidR="00F57B18" w:rsidRPr="00B504FE" w:rsidRDefault="00F57B18" w:rsidP="00FD64D1">
      <w:pPr>
        <w:ind w:firstLine="720"/>
        <w:rPr>
          <w:szCs w:val="24"/>
          <w:lang w:val="fr-FR"/>
        </w:rPr>
      </w:pPr>
    </w:p>
    <w:p w14:paraId="78DA4F09" w14:textId="77777777" w:rsidR="00E949EF" w:rsidRPr="00B504FE" w:rsidRDefault="00E949EF" w:rsidP="00FD64D1">
      <w:pPr>
        <w:pStyle w:val="Heading2"/>
        <w:spacing w:after="0"/>
        <w:rPr>
          <w:szCs w:val="24"/>
        </w:rPr>
      </w:pPr>
      <w:bookmarkStart w:id="33" w:name="_Toc143058444"/>
      <w:bookmarkStart w:id="34" w:name="_Toc146088442"/>
      <w:bookmarkStart w:id="35" w:name="_Toc231290971"/>
      <w:r w:rsidRPr="00B504FE">
        <w:rPr>
          <w:szCs w:val="24"/>
        </w:rPr>
        <w:t>9.</w:t>
      </w:r>
      <w:r w:rsidRPr="00B504FE">
        <w:rPr>
          <w:szCs w:val="24"/>
        </w:rPr>
        <w:tab/>
        <w:t>Explanation of Any Payment or Gift to Respondents</w:t>
      </w:r>
      <w:bookmarkEnd w:id="33"/>
      <w:bookmarkEnd w:id="34"/>
      <w:bookmarkEnd w:id="35"/>
      <w:r w:rsidRPr="00B504FE">
        <w:rPr>
          <w:szCs w:val="24"/>
        </w:rPr>
        <w:t xml:space="preserve"> </w:t>
      </w:r>
    </w:p>
    <w:p w14:paraId="1D667E88" w14:textId="60D96D7E" w:rsidR="00F57B18" w:rsidRDefault="00984886" w:rsidP="00FD64D1">
      <w:pPr>
        <w:pStyle w:val="BodyText2"/>
        <w:spacing w:after="0" w:line="240" w:lineRule="auto"/>
        <w:ind w:firstLine="0"/>
        <w:rPr>
          <w:iCs/>
          <w:sz w:val="24"/>
          <w:szCs w:val="24"/>
        </w:rPr>
      </w:pPr>
      <w:bookmarkStart w:id="36" w:name="_Toc143058445"/>
      <w:bookmarkStart w:id="37" w:name="_Toc146088443"/>
      <w:bookmarkStart w:id="38" w:name="_Toc231290972"/>
      <w:r w:rsidRPr="00B504FE">
        <w:rPr>
          <w:iCs/>
          <w:sz w:val="24"/>
          <w:szCs w:val="24"/>
        </w:rPr>
        <w:tab/>
        <w:t xml:space="preserve">No </w:t>
      </w:r>
      <w:r w:rsidR="00C91FAC">
        <w:rPr>
          <w:iCs/>
          <w:sz w:val="24"/>
          <w:szCs w:val="24"/>
        </w:rPr>
        <w:t>incentive or any payment will be offered to respondents for interviews or survey.</w:t>
      </w:r>
    </w:p>
    <w:p w14:paraId="6A16F624" w14:textId="104A671F" w:rsidR="00EB1296" w:rsidRPr="00B504FE" w:rsidRDefault="00EB1296" w:rsidP="00FD64D1">
      <w:pPr>
        <w:pStyle w:val="BodyText2"/>
        <w:spacing w:after="0" w:line="240" w:lineRule="auto"/>
        <w:ind w:firstLine="0"/>
        <w:rPr>
          <w:iCs/>
          <w:sz w:val="24"/>
          <w:szCs w:val="24"/>
        </w:rPr>
      </w:pPr>
    </w:p>
    <w:p w14:paraId="0DEDB63F" w14:textId="77777777" w:rsidR="00E949EF" w:rsidRDefault="00E949EF" w:rsidP="00FD64D1">
      <w:pPr>
        <w:pStyle w:val="Heading2"/>
        <w:spacing w:after="0"/>
        <w:rPr>
          <w:szCs w:val="24"/>
        </w:rPr>
      </w:pPr>
      <w:r w:rsidRPr="00B504FE">
        <w:rPr>
          <w:szCs w:val="24"/>
        </w:rPr>
        <w:t>10.</w:t>
      </w:r>
      <w:r w:rsidRPr="00B504FE">
        <w:rPr>
          <w:szCs w:val="24"/>
        </w:rPr>
        <w:tab/>
      </w:r>
      <w:bookmarkEnd w:id="36"/>
      <w:bookmarkEnd w:id="37"/>
      <w:bookmarkEnd w:id="38"/>
      <w:r w:rsidR="00157BB8" w:rsidRPr="00B504FE">
        <w:rPr>
          <w:szCs w:val="24"/>
        </w:rPr>
        <w:t>Protection of the Privacy and Con</w:t>
      </w:r>
      <w:r w:rsidR="00157BB8" w:rsidRPr="00B504FE">
        <w:rPr>
          <w:szCs w:val="24"/>
        </w:rPr>
        <w:softHyphen/>
        <w:t>fidentiality of Information Provided by Respondents</w:t>
      </w:r>
      <w:r w:rsidRPr="00B504FE">
        <w:rPr>
          <w:szCs w:val="24"/>
        </w:rPr>
        <w:t xml:space="preserve"> </w:t>
      </w:r>
    </w:p>
    <w:p w14:paraId="65B9F8B1" w14:textId="7ACD99DC" w:rsidR="007F2C17" w:rsidRPr="000B1E1E" w:rsidRDefault="007F2C17" w:rsidP="000B1E1E">
      <w:pPr>
        <w:ind w:firstLine="720"/>
        <w:rPr>
          <w:color w:val="000000"/>
          <w:szCs w:val="24"/>
        </w:rPr>
      </w:pPr>
      <w:bookmarkStart w:id="39" w:name="_Toc66689099"/>
      <w:bookmarkStart w:id="40" w:name="_Toc66691566"/>
      <w:bookmarkStart w:id="41" w:name="_Toc146088167"/>
      <w:bookmarkStart w:id="42" w:name="_Toc143058446"/>
      <w:bookmarkStart w:id="43" w:name="_Toc146088444"/>
      <w:bookmarkStart w:id="44" w:name="_Toc231290973"/>
      <w:r w:rsidRPr="004E003C">
        <w:rPr>
          <w:color w:val="000000"/>
          <w:szCs w:val="24"/>
        </w:rPr>
        <w:t>The CDC NCHHSTP Privacy and Confidentiality Review Officer has assessed this package for applicability of 5 U.S.C. § 552a, and has determined that the Privacy Act does not apply to the information collection.</w:t>
      </w:r>
      <w:r>
        <w:rPr>
          <w:color w:val="000000"/>
          <w:szCs w:val="24"/>
        </w:rPr>
        <w:t xml:space="preserve"> </w:t>
      </w:r>
      <w:r w:rsidRPr="004E003C">
        <w:rPr>
          <w:szCs w:val="24"/>
        </w:rPr>
        <w:t xml:space="preserve">The screening instrument </w:t>
      </w:r>
      <w:r>
        <w:rPr>
          <w:szCs w:val="24"/>
        </w:rPr>
        <w:t xml:space="preserve">and surveys </w:t>
      </w:r>
      <w:r w:rsidRPr="004E003C">
        <w:rPr>
          <w:szCs w:val="24"/>
        </w:rPr>
        <w:t xml:space="preserve">ask respondents to provide names and contact information for other individuals who might be able to answer questions about various policies/procedures, activities, and other aspects of the partner organization.  This </w:t>
      </w:r>
      <w:r>
        <w:rPr>
          <w:szCs w:val="24"/>
        </w:rPr>
        <w:t>personally identifiable information (PII</w:t>
      </w:r>
      <w:r w:rsidRPr="004E003C">
        <w:rPr>
          <w:szCs w:val="24"/>
        </w:rPr>
        <w:t>) will not be entered into a system of records and will be kept separate from participant responses about the organization.</w:t>
      </w:r>
      <w:r>
        <w:rPr>
          <w:szCs w:val="24"/>
        </w:rPr>
        <w:t xml:space="preserve"> </w:t>
      </w:r>
      <w:r w:rsidRPr="004E003C">
        <w:rPr>
          <w:szCs w:val="24"/>
        </w:rPr>
        <w:t xml:space="preserve">The project </w:t>
      </w:r>
      <w:r>
        <w:rPr>
          <w:szCs w:val="24"/>
        </w:rPr>
        <w:t>will collect minimal PII (name, telephone number) to identify additional potential respondents but will not</w:t>
      </w:r>
      <w:r w:rsidRPr="004E003C">
        <w:rPr>
          <w:szCs w:val="24"/>
        </w:rPr>
        <w:t xml:space="preserve"> store, use, maintain or transmit personally identifiable information (PII) designed to be retrieved by an individual’s name or identifi</w:t>
      </w:r>
      <w:r>
        <w:rPr>
          <w:szCs w:val="24"/>
        </w:rPr>
        <w:t xml:space="preserve">er assigned to that individual.  </w:t>
      </w:r>
    </w:p>
    <w:p w14:paraId="72DBC8CC" w14:textId="26FEBA0C" w:rsidR="00C70592" w:rsidRPr="00B504FE" w:rsidRDefault="00DF4E8F" w:rsidP="00FD64D1">
      <w:pPr>
        <w:pStyle w:val="BodyText2"/>
        <w:spacing w:after="0" w:line="240" w:lineRule="auto"/>
        <w:rPr>
          <w:sz w:val="24"/>
          <w:szCs w:val="24"/>
        </w:rPr>
      </w:pPr>
      <w:r w:rsidRPr="00DF4E8F">
        <w:rPr>
          <w:sz w:val="24"/>
          <w:szCs w:val="24"/>
        </w:rPr>
        <w:t>The organization will be the</w:t>
      </w:r>
      <w:r w:rsidR="008076B8">
        <w:rPr>
          <w:sz w:val="24"/>
          <w:szCs w:val="24"/>
        </w:rPr>
        <w:t xml:space="preserve"> main</w:t>
      </w:r>
      <w:r w:rsidRPr="00DF4E8F">
        <w:rPr>
          <w:sz w:val="24"/>
          <w:szCs w:val="24"/>
        </w:rPr>
        <w:t xml:space="preserve"> unit of analysis</w:t>
      </w:r>
      <w:r w:rsidR="00061FD8">
        <w:rPr>
          <w:sz w:val="24"/>
          <w:szCs w:val="24"/>
        </w:rPr>
        <w:t xml:space="preserve">, although some personally identifiable information </w:t>
      </w:r>
      <w:r w:rsidR="007F2C17">
        <w:rPr>
          <w:sz w:val="24"/>
          <w:szCs w:val="24"/>
        </w:rPr>
        <w:t xml:space="preserve">for </w:t>
      </w:r>
      <w:r w:rsidR="0065291A">
        <w:rPr>
          <w:sz w:val="24"/>
          <w:szCs w:val="24"/>
        </w:rPr>
        <w:t>other</w:t>
      </w:r>
      <w:r w:rsidR="007F2C17">
        <w:rPr>
          <w:sz w:val="24"/>
          <w:szCs w:val="24"/>
        </w:rPr>
        <w:t xml:space="preserve"> </w:t>
      </w:r>
      <w:r w:rsidR="0065291A">
        <w:rPr>
          <w:sz w:val="24"/>
          <w:szCs w:val="24"/>
        </w:rPr>
        <w:t xml:space="preserve">potential respondents </w:t>
      </w:r>
      <w:r w:rsidR="00061FD8">
        <w:rPr>
          <w:sz w:val="24"/>
          <w:szCs w:val="24"/>
        </w:rPr>
        <w:t>will also be collected</w:t>
      </w:r>
      <w:r w:rsidRPr="00DF4E8F">
        <w:rPr>
          <w:sz w:val="24"/>
          <w:szCs w:val="24"/>
        </w:rPr>
        <w:t>.  “</w:t>
      </w:r>
      <w:r w:rsidR="00BF5930">
        <w:rPr>
          <w:sz w:val="24"/>
          <w:szCs w:val="24"/>
        </w:rPr>
        <w:t xml:space="preserve">The </w:t>
      </w:r>
      <w:r w:rsidR="00BE5291" w:rsidRPr="00B504FE">
        <w:rPr>
          <w:sz w:val="24"/>
          <w:szCs w:val="24"/>
        </w:rPr>
        <w:t>metrics</w:t>
      </w:r>
      <w:r w:rsidR="00C70592" w:rsidRPr="00B504FE">
        <w:rPr>
          <w:sz w:val="24"/>
          <w:szCs w:val="24"/>
        </w:rPr>
        <w:t xml:space="preserve"> reporting data will be identifiable and clearly linked to each </w:t>
      </w:r>
      <w:r w:rsidR="00CF0EFC" w:rsidRPr="00B504FE">
        <w:rPr>
          <w:sz w:val="24"/>
          <w:szCs w:val="24"/>
        </w:rPr>
        <w:t>partner</w:t>
      </w:r>
      <w:r w:rsidR="00943777" w:rsidRPr="00B504FE">
        <w:rPr>
          <w:sz w:val="24"/>
          <w:szCs w:val="24"/>
        </w:rPr>
        <w:t xml:space="preserve"> organization</w:t>
      </w:r>
      <w:r w:rsidR="00C70592" w:rsidRPr="00B504FE">
        <w:rPr>
          <w:sz w:val="24"/>
          <w:szCs w:val="24"/>
        </w:rPr>
        <w:t xml:space="preserve">.  </w:t>
      </w:r>
      <w:r w:rsidR="00351BBB" w:rsidRPr="00B504FE">
        <w:rPr>
          <w:sz w:val="24"/>
          <w:szCs w:val="24"/>
        </w:rPr>
        <w:t xml:space="preserve">However, these data are not of a personal nature; they are meant to quantify </w:t>
      </w:r>
      <w:r w:rsidR="0030599F" w:rsidRPr="00B504FE">
        <w:rPr>
          <w:sz w:val="24"/>
          <w:szCs w:val="24"/>
        </w:rPr>
        <w:t xml:space="preserve">the amount of activities implemented by each </w:t>
      </w:r>
      <w:r w:rsidR="00CF0EFC" w:rsidRPr="00B504FE">
        <w:rPr>
          <w:sz w:val="24"/>
          <w:szCs w:val="24"/>
        </w:rPr>
        <w:t xml:space="preserve">partner </w:t>
      </w:r>
      <w:r w:rsidR="0030599F" w:rsidRPr="00B504FE">
        <w:rPr>
          <w:sz w:val="24"/>
          <w:szCs w:val="24"/>
        </w:rPr>
        <w:t xml:space="preserve">and describe the processes utilized for implementation.  </w:t>
      </w:r>
      <w:r w:rsidR="00C70592" w:rsidRPr="00B504FE">
        <w:rPr>
          <w:sz w:val="24"/>
          <w:szCs w:val="24"/>
        </w:rPr>
        <w:t xml:space="preserve">CDC will </w:t>
      </w:r>
      <w:r w:rsidR="004328A0" w:rsidRPr="00B504FE">
        <w:rPr>
          <w:sz w:val="24"/>
          <w:szCs w:val="24"/>
        </w:rPr>
        <w:t xml:space="preserve">create reports specific to each partner </w:t>
      </w:r>
      <w:r w:rsidR="00943777" w:rsidRPr="00B504FE">
        <w:rPr>
          <w:sz w:val="24"/>
          <w:szCs w:val="24"/>
        </w:rPr>
        <w:t xml:space="preserve">organization </w:t>
      </w:r>
      <w:r w:rsidR="004328A0" w:rsidRPr="00B504FE">
        <w:rPr>
          <w:sz w:val="24"/>
          <w:szCs w:val="24"/>
        </w:rPr>
        <w:t xml:space="preserve">and </w:t>
      </w:r>
      <w:r w:rsidR="00C70592" w:rsidRPr="00B504FE">
        <w:rPr>
          <w:sz w:val="24"/>
          <w:szCs w:val="24"/>
        </w:rPr>
        <w:t xml:space="preserve">work with individual </w:t>
      </w:r>
      <w:r w:rsidR="00CF0EFC" w:rsidRPr="00B504FE">
        <w:rPr>
          <w:sz w:val="24"/>
          <w:szCs w:val="24"/>
        </w:rPr>
        <w:t xml:space="preserve">partners </w:t>
      </w:r>
      <w:r w:rsidR="00C70592" w:rsidRPr="00B504FE">
        <w:rPr>
          <w:sz w:val="24"/>
          <w:szCs w:val="24"/>
        </w:rPr>
        <w:t>on issues raised by their data</w:t>
      </w:r>
      <w:r w:rsidR="004328A0" w:rsidRPr="00B504FE">
        <w:rPr>
          <w:sz w:val="24"/>
          <w:szCs w:val="24"/>
        </w:rPr>
        <w:t xml:space="preserve">. For </w:t>
      </w:r>
      <w:r w:rsidR="00C70592" w:rsidRPr="00B504FE">
        <w:rPr>
          <w:sz w:val="24"/>
          <w:szCs w:val="24"/>
        </w:rPr>
        <w:t>a</w:t>
      </w:r>
      <w:r w:rsidR="004328A0" w:rsidRPr="00B504FE">
        <w:rPr>
          <w:sz w:val="24"/>
          <w:szCs w:val="24"/>
        </w:rPr>
        <w:t>ny</w:t>
      </w:r>
      <w:r w:rsidR="00C70592" w:rsidRPr="00B504FE">
        <w:rPr>
          <w:sz w:val="24"/>
          <w:szCs w:val="24"/>
        </w:rPr>
        <w:t xml:space="preserve"> evaluation reports and presentations </w:t>
      </w:r>
      <w:r w:rsidR="00257D0E" w:rsidRPr="00B504FE">
        <w:rPr>
          <w:sz w:val="24"/>
          <w:szCs w:val="24"/>
        </w:rPr>
        <w:t xml:space="preserve">that report </w:t>
      </w:r>
      <w:r w:rsidR="00BE5291" w:rsidRPr="00B504FE">
        <w:rPr>
          <w:sz w:val="24"/>
          <w:szCs w:val="24"/>
        </w:rPr>
        <w:t>metrics</w:t>
      </w:r>
      <w:r w:rsidR="00B23C2D" w:rsidRPr="00B504FE">
        <w:rPr>
          <w:sz w:val="24"/>
          <w:szCs w:val="24"/>
        </w:rPr>
        <w:t xml:space="preserve"> </w:t>
      </w:r>
      <w:r w:rsidR="00257D0E" w:rsidRPr="00B504FE">
        <w:rPr>
          <w:sz w:val="24"/>
          <w:szCs w:val="24"/>
        </w:rPr>
        <w:t xml:space="preserve">data </w:t>
      </w:r>
      <w:r w:rsidR="004328A0" w:rsidRPr="00B504FE">
        <w:rPr>
          <w:sz w:val="24"/>
          <w:szCs w:val="24"/>
        </w:rPr>
        <w:t xml:space="preserve">collectively in summary form, CDC </w:t>
      </w:r>
      <w:r w:rsidR="00C70592" w:rsidRPr="00B504FE">
        <w:rPr>
          <w:sz w:val="24"/>
          <w:szCs w:val="24"/>
        </w:rPr>
        <w:t xml:space="preserve">will de-identify </w:t>
      </w:r>
      <w:r w:rsidR="00CF0EFC" w:rsidRPr="00B504FE">
        <w:rPr>
          <w:sz w:val="24"/>
          <w:szCs w:val="24"/>
        </w:rPr>
        <w:t xml:space="preserve">partner </w:t>
      </w:r>
      <w:r w:rsidR="00C70592" w:rsidRPr="00B504FE">
        <w:rPr>
          <w:sz w:val="24"/>
          <w:szCs w:val="24"/>
        </w:rPr>
        <w:t>data</w:t>
      </w:r>
      <w:r w:rsidR="0030599F" w:rsidRPr="00B504FE">
        <w:rPr>
          <w:sz w:val="24"/>
          <w:szCs w:val="24"/>
        </w:rPr>
        <w:t xml:space="preserve"> so that no one </w:t>
      </w:r>
      <w:r w:rsidR="00CF0EFC" w:rsidRPr="00B504FE">
        <w:rPr>
          <w:sz w:val="24"/>
          <w:szCs w:val="24"/>
        </w:rPr>
        <w:t xml:space="preserve">partner </w:t>
      </w:r>
      <w:r w:rsidR="0030599F" w:rsidRPr="00B504FE">
        <w:rPr>
          <w:sz w:val="24"/>
          <w:szCs w:val="24"/>
        </w:rPr>
        <w:t>can be identified</w:t>
      </w:r>
      <w:r w:rsidR="00C70592" w:rsidRPr="00B504FE">
        <w:rPr>
          <w:sz w:val="24"/>
          <w:szCs w:val="24"/>
        </w:rPr>
        <w:t xml:space="preserve">. </w:t>
      </w:r>
    </w:p>
    <w:p w14:paraId="199A6EC7" w14:textId="5F46673B" w:rsidR="00606667" w:rsidRPr="00B504FE" w:rsidRDefault="00220D35" w:rsidP="00FD64D1">
      <w:pPr>
        <w:pStyle w:val="BodyText2"/>
        <w:spacing w:after="0" w:line="240" w:lineRule="auto"/>
        <w:rPr>
          <w:sz w:val="24"/>
          <w:szCs w:val="24"/>
        </w:rPr>
      </w:pPr>
      <w:r w:rsidRPr="00B504FE">
        <w:rPr>
          <w:sz w:val="24"/>
          <w:szCs w:val="24"/>
        </w:rPr>
        <w:t xml:space="preserve">At the beginning of the key informant </w:t>
      </w:r>
      <w:r w:rsidR="00606667" w:rsidRPr="00B504FE">
        <w:rPr>
          <w:sz w:val="24"/>
          <w:szCs w:val="24"/>
        </w:rPr>
        <w:t xml:space="preserve">interview, the </w:t>
      </w:r>
      <w:r w:rsidRPr="00B504FE">
        <w:rPr>
          <w:sz w:val="24"/>
          <w:szCs w:val="24"/>
        </w:rPr>
        <w:t xml:space="preserve">contractor </w:t>
      </w:r>
      <w:r w:rsidR="009F3B7D" w:rsidRPr="00B504FE">
        <w:rPr>
          <w:sz w:val="24"/>
          <w:szCs w:val="24"/>
        </w:rPr>
        <w:t xml:space="preserve">who </w:t>
      </w:r>
      <w:r w:rsidR="002C6B1F" w:rsidRPr="00B504FE">
        <w:rPr>
          <w:sz w:val="24"/>
          <w:szCs w:val="24"/>
        </w:rPr>
        <w:t xml:space="preserve">leads </w:t>
      </w:r>
      <w:r w:rsidR="009F3B7D" w:rsidRPr="00B504FE">
        <w:rPr>
          <w:sz w:val="24"/>
          <w:szCs w:val="24"/>
        </w:rPr>
        <w:t>the discussion</w:t>
      </w:r>
      <w:r w:rsidRPr="00B504FE">
        <w:rPr>
          <w:sz w:val="24"/>
          <w:szCs w:val="24"/>
        </w:rPr>
        <w:t xml:space="preserve"> will review the informed consent script (see </w:t>
      </w:r>
      <w:r w:rsidR="00DD3D4B" w:rsidRPr="00B504FE">
        <w:rPr>
          <w:sz w:val="24"/>
          <w:szCs w:val="24"/>
        </w:rPr>
        <w:t>a</w:t>
      </w:r>
      <w:r w:rsidRPr="00B504FE">
        <w:rPr>
          <w:b/>
          <w:sz w:val="24"/>
          <w:szCs w:val="24"/>
        </w:rPr>
        <w:t xml:space="preserve">ttachment </w:t>
      </w:r>
      <w:r w:rsidR="00F051BB" w:rsidRPr="00B504FE">
        <w:rPr>
          <w:b/>
          <w:sz w:val="24"/>
          <w:szCs w:val="24"/>
        </w:rPr>
        <w:t>3c</w:t>
      </w:r>
      <w:r w:rsidRPr="00B504FE">
        <w:rPr>
          <w:sz w:val="24"/>
          <w:szCs w:val="24"/>
        </w:rPr>
        <w:t>)</w:t>
      </w:r>
      <w:r w:rsidR="00606667" w:rsidRPr="00B504FE">
        <w:rPr>
          <w:sz w:val="24"/>
          <w:szCs w:val="24"/>
        </w:rPr>
        <w:t xml:space="preserve">. The moderator will inform participants that the interview is voluntary and that they may choose not to answer any question and end participation at any time. The moderator will </w:t>
      </w:r>
      <w:r w:rsidR="009F3B7D" w:rsidRPr="00B504FE">
        <w:rPr>
          <w:sz w:val="24"/>
          <w:szCs w:val="24"/>
        </w:rPr>
        <w:t xml:space="preserve">also </w:t>
      </w:r>
      <w:r w:rsidR="00606667" w:rsidRPr="00B504FE">
        <w:rPr>
          <w:sz w:val="24"/>
          <w:szCs w:val="24"/>
        </w:rPr>
        <w:t xml:space="preserve">inform participants that the contractor will report findings in summary form so that participants cannot be identified and that their identifiable information will be kept secure and separate from the interview notes and audio recordings. </w:t>
      </w:r>
      <w:r w:rsidR="000D6341" w:rsidRPr="00B504FE">
        <w:rPr>
          <w:sz w:val="24"/>
          <w:szCs w:val="24"/>
        </w:rPr>
        <w:t>In addition, the</w:t>
      </w:r>
      <w:r w:rsidR="00606667" w:rsidRPr="00B504FE">
        <w:rPr>
          <w:sz w:val="24"/>
          <w:szCs w:val="24"/>
        </w:rPr>
        <w:t xml:space="preserve"> moderator will inform the participant that there is a</w:t>
      </w:r>
      <w:r w:rsidRPr="00B504FE">
        <w:rPr>
          <w:sz w:val="24"/>
          <w:szCs w:val="24"/>
        </w:rPr>
        <w:t>lso a</w:t>
      </w:r>
      <w:r w:rsidR="00606667" w:rsidRPr="00B504FE">
        <w:rPr>
          <w:sz w:val="24"/>
          <w:szCs w:val="24"/>
        </w:rPr>
        <w:t xml:space="preserve"> note taker </w:t>
      </w:r>
      <w:r w:rsidRPr="00B504FE">
        <w:rPr>
          <w:sz w:val="24"/>
          <w:szCs w:val="24"/>
        </w:rPr>
        <w:t xml:space="preserve">on the </w:t>
      </w:r>
      <w:r w:rsidR="0030599F" w:rsidRPr="00B504FE">
        <w:rPr>
          <w:sz w:val="24"/>
          <w:szCs w:val="24"/>
        </w:rPr>
        <w:t>line</w:t>
      </w:r>
      <w:r w:rsidR="000D6341" w:rsidRPr="00B504FE">
        <w:rPr>
          <w:sz w:val="24"/>
          <w:szCs w:val="24"/>
        </w:rPr>
        <w:t xml:space="preserve">. The informed consent </w:t>
      </w:r>
      <w:r w:rsidRPr="00B504FE">
        <w:rPr>
          <w:sz w:val="24"/>
          <w:szCs w:val="24"/>
        </w:rPr>
        <w:t xml:space="preserve">script </w:t>
      </w:r>
      <w:r w:rsidR="00FC5975" w:rsidRPr="00B504FE">
        <w:rPr>
          <w:sz w:val="24"/>
          <w:szCs w:val="24"/>
        </w:rPr>
        <w:t>will offer</w:t>
      </w:r>
      <w:r w:rsidRPr="00B504FE">
        <w:rPr>
          <w:sz w:val="24"/>
          <w:szCs w:val="24"/>
        </w:rPr>
        <w:t xml:space="preserve"> contact information for a member of the CDC</w:t>
      </w:r>
      <w:r w:rsidR="00943777" w:rsidRPr="00B504FE">
        <w:rPr>
          <w:sz w:val="24"/>
          <w:szCs w:val="24"/>
        </w:rPr>
        <w:t>’s</w:t>
      </w:r>
      <w:r w:rsidRPr="00B504FE">
        <w:rPr>
          <w:sz w:val="24"/>
          <w:szCs w:val="24"/>
        </w:rPr>
        <w:t xml:space="preserve"> National Partnerships Team (NPT)</w:t>
      </w:r>
      <w:r w:rsidR="00813F83" w:rsidRPr="00B504FE">
        <w:rPr>
          <w:sz w:val="24"/>
          <w:szCs w:val="24"/>
        </w:rPr>
        <w:t xml:space="preserve"> and for the evaluation contractor</w:t>
      </w:r>
      <w:r w:rsidR="00606667" w:rsidRPr="00B504FE">
        <w:rPr>
          <w:sz w:val="24"/>
          <w:szCs w:val="24"/>
        </w:rPr>
        <w:t xml:space="preserve">, </w:t>
      </w:r>
      <w:r w:rsidR="000D6341" w:rsidRPr="00B504FE">
        <w:rPr>
          <w:sz w:val="24"/>
          <w:szCs w:val="24"/>
        </w:rPr>
        <w:t>should</w:t>
      </w:r>
      <w:r w:rsidR="00606667" w:rsidRPr="00B504FE">
        <w:rPr>
          <w:sz w:val="24"/>
          <w:szCs w:val="24"/>
        </w:rPr>
        <w:t xml:space="preserve"> participants have questions </w:t>
      </w:r>
      <w:r w:rsidRPr="00B504FE">
        <w:rPr>
          <w:sz w:val="24"/>
          <w:szCs w:val="24"/>
        </w:rPr>
        <w:t xml:space="preserve">or concerns </w:t>
      </w:r>
      <w:r w:rsidR="00606667" w:rsidRPr="00B504FE">
        <w:rPr>
          <w:sz w:val="24"/>
          <w:szCs w:val="24"/>
        </w:rPr>
        <w:t xml:space="preserve">about the </w:t>
      </w:r>
      <w:r w:rsidRPr="00B504FE">
        <w:rPr>
          <w:sz w:val="24"/>
          <w:szCs w:val="24"/>
        </w:rPr>
        <w:t xml:space="preserve">interviews or the </w:t>
      </w:r>
      <w:r w:rsidR="005745EB">
        <w:rPr>
          <w:sz w:val="24"/>
          <w:szCs w:val="24"/>
        </w:rPr>
        <w:t>project</w:t>
      </w:r>
      <w:r w:rsidR="005745EB" w:rsidRPr="00B504FE">
        <w:rPr>
          <w:sz w:val="24"/>
          <w:szCs w:val="24"/>
        </w:rPr>
        <w:t xml:space="preserve"> </w:t>
      </w:r>
      <w:r w:rsidR="00606667" w:rsidRPr="00B504FE">
        <w:rPr>
          <w:sz w:val="24"/>
          <w:szCs w:val="24"/>
        </w:rPr>
        <w:t xml:space="preserve">itself. </w:t>
      </w:r>
    </w:p>
    <w:p w14:paraId="7D435306" w14:textId="6C131C9D" w:rsidR="00270B71" w:rsidRPr="00B504FE" w:rsidRDefault="005A41B6" w:rsidP="00FD64D1">
      <w:pPr>
        <w:pStyle w:val="BodyText2"/>
        <w:spacing w:after="0" w:line="240" w:lineRule="auto"/>
        <w:rPr>
          <w:sz w:val="24"/>
          <w:szCs w:val="24"/>
        </w:rPr>
      </w:pPr>
      <w:r w:rsidRPr="009B2BE9">
        <w:rPr>
          <w:sz w:val="24"/>
        </w:rPr>
        <w:t>The</w:t>
      </w:r>
      <w:r w:rsidR="002D15D2" w:rsidRPr="00B504FE">
        <w:rPr>
          <w:sz w:val="24"/>
          <w:szCs w:val="24"/>
        </w:rPr>
        <w:t xml:space="preserve"> </w:t>
      </w:r>
      <w:r w:rsidR="0064353A" w:rsidRPr="00B504FE">
        <w:rPr>
          <w:sz w:val="24"/>
          <w:szCs w:val="24"/>
        </w:rPr>
        <w:t xml:space="preserve">interim </w:t>
      </w:r>
      <w:r w:rsidR="002D15D2" w:rsidRPr="00B504FE">
        <w:rPr>
          <w:sz w:val="24"/>
          <w:szCs w:val="24"/>
        </w:rPr>
        <w:t xml:space="preserve">progress report data will be identifiable and clearly linked to each partner.  However, these data are not of a personal nature; they are meant to </w:t>
      </w:r>
      <w:r w:rsidR="00602329" w:rsidRPr="00B504FE">
        <w:rPr>
          <w:sz w:val="24"/>
          <w:szCs w:val="24"/>
        </w:rPr>
        <w:t>describe</w:t>
      </w:r>
      <w:r w:rsidR="002D15D2" w:rsidRPr="00B504FE">
        <w:rPr>
          <w:sz w:val="24"/>
          <w:szCs w:val="24"/>
        </w:rPr>
        <w:t xml:space="preserve"> the </w:t>
      </w:r>
      <w:r w:rsidR="00602329" w:rsidRPr="00B504FE">
        <w:rPr>
          <w:sz w:val="24"/>
          <w:szCs w:val="24"/>
        </w:rPr>
        <w:t>successes, facilitators and barriers, and major achievements of</w:t>
      </w:r>
      <w:r w:rsidR="002D15D2" w:rsidRPr="00B504FE">
        <w:rPr>
          <w:sz w:val="24"/>
          <w:szCs w:val="24"/>
        </w:rPr>
        <w:t xml:space="preserve"> each partner</w:t>
      </w:r>
      <w:r w:rsidR="00602329" w:rsidRPr="00B504FE">
        <w:rPr>
          <w:sz w:val="24"/>
          <w:szCs w:val="24"/>
        </w:rPr>
        <w:t xml:space="preserve">; organizational and key staff </w:t>
      </w:r>
      <w:r w:rsidR="00602329" w:rsidRPr="00B504FE">
        <w:rPr>
          <w:sz w:val="24"/>
          <w:szCs w:val="24"/>
        </w:rPr>
        <w:lastRenderedPageBreak/>
        <w:t>changes; and successes, innovative practices, and lessons learned</w:t>
      </w:r>
      <w:r w:rsidR="002D15D2" w:rsidRPr="00B504FE">
        <w:rPr>
          <w:sz w:val="24"/>
          <w:szCs w:val="24"/>
        </w:rPr>
        <w:t xml:space="preserve">.  </w:t>
      </w:r>
      <w:r w:rsidR="00E010BC" w:rsidRPr="00B504FE">
        <w:rPr>
          <w:sz w:val="24"/>
          <w:szCs w:val="24"/>
        </w:rPr>
        <w:t xml:space="preserve">CDC will create reports specific to each partner </w:t>
      </w:r>
      <w:r w:rsidR="00943777" w:rsidRPr="00B504FE">
        <w:rPr>
          <w:sz w:val="24"/>
          <w:szCs w:val="24"/>
        </w:rPr>
        <w:t xml:space="preserve">organization </w:t>
      </w:r>
      <w:r w:rsidR="00E010BC" w:rsidRPr="00B504FE">
        <w:rPr>
          <w:sz w:val="24"/>
          <w:szCs w:val="24"/>
        </w:rPr>
        <w:t xml:space="preserve">and work with individual partners on issues raised by their data. For any evaluation reports and presentations that report metrics data collectively in summary form, CDC will de-identify partner data so that no one partner can be identified. </w:t>
      </w:r>
    </w:p>
    <w:p w14:paraId="77449ED1" w14:textId="0EF38E16" w:rsidR="00B16FBF" w:rsidRPr="00B504FE" w:rsidRDefault="005A41B6" w:rsidP="00FD64D1">
      <w:pPr>
        <w:pStyle w:val="BodyText2"/>
        <w:spacing w:after="0" w:line="240" w:lineRule="auto"/>
        <w:rPr>
          <w:sz w:val="24"/>
          <w:szCs w:val="24"/>
        </w:rPr>
      </w:pPr>
      <w:r>
        <w:rPr>
          <w:sz w:val="24"/>
          <w:szCs w:val="24"/>
        </w:rPr>
        <w:t>The</w:t>
      </w:r>
      <w:r w:rsidR="006554C6" w:rsidRPr="00B504FE">
        <w:rPr>
          <w:sz w:val="24"/>
          <w:szCs w:val="24"/>
        </w:rPr>
        <w:t xml:space="preserve"> </w:t>
      </w:r>
      <w:r>
        <w:rPr>
          <w:sz w:val="24"/>
          <w:szCs w:val="24"/>
        </w:rPr>
        <w:t>p</w:t>
      </w:r>
      <w:r w:rsidR="00AD3B17" w:rsidRPr="00B504FE">
        <w:rPr>
          <w:sz w:val="24"/>
          <w:szCs w:val="24"/>
        </w:rPr>
        <w:t xml:space="preserve">artner </w:t>
      </w:r>
      <w:r>
        <w:rPr>
          <w:sz w:val="24"/>
          <w:szCs w:val="24"/>
        </w:rPr>
        <w:t>s</w:t>
      </w:r>
      <w:r w:rsidRPr="00B504FE">
        <w:rPr>
          <w:sz w:val="24"/>
          <w:szCs w:val="24"/>
        </w:rPr>
        <w:t>urvey</w:t>
      </w:r>
      <w:r>
        <w:rPr>
          <w:sz w:val="24"/>
          <w:szCs w:val="24"/>
        </w:rPr>
        <w:t xml:space="preserve"> involves i</w:t>
      </w:r>
      <w:r w:rsidR="006554C6" w:rsidRPr="00B504FE">
        <w:rPr>
          <w:sz w:val="24"/>
          <w:szCs w:val="24"/>
        </w:rPr>
        <w:t>ndividuals</w:t>
      </w:r>
      <w:r w:rsidR="00CE6264" w:rsidRPr="00B504FE">
        <w:rPr>
          <w:sz w:val="24"/>
          <w:szCs w:val="24"/>
        </w:rPr>
        <w:t xml:space="preserve"> representing their organizations</w:t>
      </w:r>
      <w:r w:rsidR="006554C6" w:rsidRPr="00B504FE">
        <w:rPr>
          <w:sz w:val="24"/>
          <w:szCs w:val="24"/>
        </w:rPr>
        <w:t xml:space="preserve"> </w:t>
      </w:r>
      <w:r>
        <w:rPr>
          <w:sz w:val="24"/>
          <w:szCs w:val="24"/>
        </w:rPr>
        <w:t xml:space="preserve">and they </w:t>
      </w:r>
      <w:r w:rsidR="006554C6" w:rsidRPr="00B504FE">
        <w:rPr>
          <w:sz w:val="24"/>
          <w:szCs w:val="24"/>
        </w:rPr>
        <w:t xml:space="preserve">will be </w:t>
      </w:r>
      <w:r w:rsidR="00CE6264" w:rsidRPr="00B504FE">
        <w:rPr>
          <w:sz w:val="24"/>
          <w:szCs w:val="24"/>
        </w:rPr>
        <w:t xml:space="preserve">presented with general information about the </w:t>
      </w:r>
      <w:r w:rsidR="005745EB">
        <w:rPr>
          <w:sz w:val="24"/>
          <w:szCs w:val="24"/>
        </w:rPr>
        <w:t>project</w:t>
      </w:r>
      <w:r w:rsidR="00CE6264" w:rsidRPr="00B504FE">
        <w:rPr>
          <w:sz w:val="24"/>
          <w:szCs w:val="24"/>
        </w:rPr>
        <w:t xml:space="preserve">, topics to be covered in the survey, and potential risks of participation. They will be </w:t>
      </w:r>
      <w:r w:rsidR="006554C6" w:rsidRPr="00B504FE">
        <w:rPr>
          <w:sz w:val="24"/>
          <w:szCs w:val="24"/>
        </w:rPr>
        <w:t xml:space="preserve">advised that their participation </w:t>
      </w:r>
      <w:r w:rsidR="00584BC8" w:rsidRPr="00B504FE">
        <w:rPr>
          <w:sz w:val="24"/>
          <w:szCs w:val="24"/>
        </w:rPr>
        <w:t xml:space="preserve">is completely voluntary and </w:t>
      </w:r>
      <w:r w:rsidR="006554C6" w:rsidRPr="00B504FE">
        <w:rPr>
          <w:sz w:val="24"/>
          <w:szCs w:val="24"/>
        </w:rPr>
        <w:t xml:space="preserve">that </w:t>
      </w:r>
      <w:r w:rsidR="00584BC8" w:rsidRPr="00B504FE">
        <w:rPr>
          <w:sz w:val="24"/>
          <w:szCs w:val="24"/>
        </w:rPr>
        <w:t xml:space="preserve">consent to </w:t>
      </w:r>
      <w:r w:rsidR="00EE7F7D" w:rsidRPr="00B504FE">
        <w:rPr>
          <w:sz w:val="24"/>
          <w:szCs w:val="24"/>
        </w:rPr>
        <w:t>participate</w:t>
      </w:r>
      <w:r w:rsidR="00584BC8" w:rsidRPr="00B504FE">
        <w:rPr>
          <w:sz w:val="24"/>
          <w:szCs w:val="24"/>
        </w:rPr>
        <w:t xml:space="preserve"> can be revoked by the participant at any point during the survey. </w:t>
      </w:r>
      <w:r w:rsidR="00B16FBF" w:rsidRPr="00B504FE">
        <w:rPr>
          <w:sz w:val="24"/>
          <w:szCs w:val="24"/>
        </w:rPr>
        <w:t xml:space="preserve">Once participants indicate their consent to participate, they will proceed directly to the online survey. </w:t>
      </w:r>
      <w:r w:rsidR="005745EB">
        <w:rPr>
          <w:sz w:val="24"/>
          <w:szCs w:val="24"/>
        </w:rPr>
        <w:t>P</w:t>
      </w:r>
      <w:r w:rsidR="00B16FBF" w:rsidRPr="00B504FE">
        <w:rPr>
          <w:sz w:val="24"/>
          <w:szCs w:val="24"/>
        </w:rPr>
        <w:t>articipants will be given a designated period during which the survey will be available for them to complete, making it feasible for participants to complete the survey at a place and time of their choosing.</w:t>
      </w:r>
      <w:r w:rsidR="00CE6264" w:rsidRPr="00B504FE">
        <w:rPr>
          <w:sz w:val="24"/>
          <w:szCs w:val="24"/>
        </w:rPr>
        <w:t xml:space="preserve"> The </w:t>
      </w:r>
      <w:r w:rsidR="00943777" w:rsidRPr="00B504FE">
        <w:rPr>
          <w:sz w:val="24"/>
          <w:szCs w:val="24"/>
        </w:rPr>
        <w:t>P</w:t>
      </w:r>
      <w:r w:rsidR="00AD3B17" w:rsidRPr="00B504FE">
        <w:rPr>
          <w:sz w:val="24"/>
          <w:szCs w:val="24"/>
        </w:rPr>
        <w:t xml:space="preserve">artner </w:t>
      </w:r>
      <w:r w:rsidR="00943777" w:rsidRPr="00B504FE">
        <w:rPr>
          <w:sz w:val="24"/>
          <w:szCs w:val="24"/>
        </w:rPr>
        <w:t xml:space="preserve">Survey </w:t>
      </w:r>
      <w:r w:rsidR="00CE6264" w:rsidRPr="00B504FE">
        <w:rPr>
          <w:sz w:val="24"/>
          <w:szCs w:val="24"/>
        </w:rPr>
        <w:t xml:space="preserve">is of the programmatic nature, rather than the individual nature, providing another layer of </w:t>
      </w:r>
      <w:r w:rsidR="00FF6E7C" w:rsidRPr="00B504FE">
        <w:rPr>
          <w:sz w:val="24"/>
          <w:szCs w:val="24"/>
        </w:rPr>
        <w:t>privacy</w:t>
      </w:r>
      <w:r w:rsidR="00CE6264" w:rsidRPr="00B504FE">
        <w:rPr>
          <w:sz w:val="24"/>
          <w:szCs w:val="24"/>
        </w:rPr>
        <w:t xml:space="preserve">. Data will be treated in a </w:t>
      </w:r>
      <w:r w:rsidR="00FF6E7C" w:rsidRPr="00B504FE">
        <w:rPr>
          <w:sz w:val="24"/>
          <w:szCs w:val="24"/>
        </w:rPr>
        <w:t xml:space="preserve">private </w:t>
      </w:r>
      <w:r w:rsidR="00CE6264" w:rsidRPr="00B504FE">
        <w:rPr>
          <w:sz w:val="24"/>
          <w:szCs w:val="24"/>
        </w:rPr>
        <w:t>matter unless otherwise required by law.</w:t>
      </w:r>
    </w:p>
    <w:p w14:paraId="3AC71F3A" w14:textId="3FDED84C" w:rsidR="00431638" w:rsidRPr="00B504FE" w:rsidRDefault="00DE4DB5" w:rsidP="00FD64D1">
      <w:pPr>
        <w:ind w:firstLine="720"/>
        <w:rPr>
          <w:szCs w:val="24"/>
        </w:rPr>
      </w:pPr>
      <w:r>
        <w:rPr>
          <w:szCs w:val="24"/>
        </w:rPr>
        <w:t>The p</w:t>
      </w:r>
      <w:r w:rsidR="00E010BC" w:rsidRPr="00B504FE">
        <w:rPr>
          <w:szCs w:val="24"/>
        </w:rPr>
        <w:t xml:space="preserve">artnership </w:t>
      </w:r>
      <w:r>
        <w:rPr>
          <w:szCs w:val="24"/>
        </w:rPr>
        <w:t>a</w:t>
      </w:r>
      <w:r w:rsidRPr="00B504FE">
        <w:rPr>
          <w:szCs w:val="24"/>
        </w:rPr>
        <w:t xml:space="preserve">ctivities </w:t>
      </w:r>
      <w:r>
        <w:rPr>
          <w:szCs w:val="24"/>
        </w:rPr>
        <w:t>f</w:t>
      </w:r>
      <w:r w:rsidRPr="00B504FE">
        <w:rPr>
          <w:szCs w:val="24"/>
        </w:rPr>
        <w:t>orm</w:t>
      </w:r>
      <w:r w:rsidR="00431638" w:rsidRPr="00B504FE">
        <w:rPr>
          <w:szCs w:val="24"/>
        </w:rPr>
        <w:t xml:space="preserve"> data will be identifiable </w:t>
      </w:r>
      <w:r w:rsidR="00E010BC" w:rsidRPr="00B504FE">
        <w:rPr>
          <w:szCs w:val="24"/>
        </w:rPr>
        <w:t xml:space="preserve">and clearly linked to each partner.  However, these data are not of a personal nature; they are meant to describe </w:t>
      </w:r>
      <w:r w:rsidR="00C12AD6" w:rsidRPr="00B504FE">
        <w:rPr>
          <w:szCs w:val="24"/>
        </w:rPr>
        <w:t xml:space="preserve">partners’ </w:t>
      </w:r>
      <w:r w:rsidR="00E010BC" w:rsidRPr="00B504FE">
        <w:rPr>
          <w:szCs w:val="24"/>
        </w:rPr>
        <w:t>activities. CDC will create reports specific to each partner and work with individual partners on issues raised by their data. For any evaluation reports and presentations that report metrics data collectively in summary form, CDC will de-identify partner data so that no one partner can be identified.</w:t>
      </w:r>
      <w:bookmarkEnd w:id="39"/>
      <w:bookmarkEnd w:id="40"/>
      <w:bookmarkEnd w:id="41"/>
    </w:p>
    <w:p w14:paraId="0405BBDB" w14:textId="77777777" w:rsidR="008513ED" w:rsidRPr="00B504FE" w:rsidRDefault="008513ED" w:rsidP="00FD64D1">
      <w:pPr>
        <w:rPr>
          <w:szCs w:val="24"/>
        </w:rPr>
      </w:pPr>
    </w:p>
    <w:p w14:paraId="6B04747B" w14:textId="77777777" w:rsidR="00E949EF" w:rsidRPr="00B504FE" w:rsidRDefault="00E949EF" w:rsidP="00FD64D1">
      <w:pPr>
        <w:pStyle w:val="Heading2"/>
        <w:spacing w:after="0"/>
        <w:ind w:left="0" w:firstLine="0"/>
        <w:rPr>
          <w:szCs w:val="24"/>
        </w:rPr>
      </w:pPr>
      <w:r w:rsidRPr="00B504FE">
        <w:rPr>
          <w:szCs w:val="24"/>
        </w:rPr>
        <w:t>11.</w:t>
      </w:r>
      <w:r w:rsidRPr="00B504FE">
        <w:rPr>
          <w:szCs w:val="24"/>
        </w:rPr>
        <w:tab/>
      </w:r>
      <w:r w:rsidR="00CC4093" w:rsidRPr="00B504FE">
        <w:rPr>
          <w:szCs w:val="24"/>
        </w:rPr>
        <w:t xml:space="preserve">Institutional Review Board (IRB) and </w:t>
      </w:r>
      <w:r w:rsidRPr="00B504FE">
        <w:rPr>
          <w:szCs w:val="24"/>
        </w:rPr>
        <w:t>Justification for Sensitive Questions</w:t>
      </w:r>
      <w:bookmarkEnd w:id="42"/>
      <w:bookmarkEnd w:id="43"/>
      <w:bookmarkEnd w:id="44"/>
      <w:r w:rsidRPr="00B504FE">
        <w:rPr>
          <w:szCs w:val="24"/>
        </w:rPr>
        <w:t xml:space="preserve"> </w:t>
      </w:r>
    </w:p>
    <w:p w14:paraId="303DFA1D" w14:textId="77777777" w:rsidR="00F57B18" w:rsidRDefault="00F57B18" w:rsidP="00FD64D1">
      <w:pPr>
        <w:pStyle w:val="BodyText2"/>
        <w:spacing w:after="0" w:line="240" w:lineRule="auto"/>
        <w:ind w:firstLine="0"/>
        <w:rPr>
          <w:b/>
          <w:i/>
          <w:sz w:val="24"/>
          <w:szCs w:val="24"/>
        </w:rPr>
      </w:pPr>
      <w:bookmarkStart w:id="45" w:name="_Toc143058447"/>
      <w:bookmarkStart w:id="46" w:name="_Toc146088445"/>
      <w:bookmarkStart w:id="47" w:name="_Toc231290974"/>
    </w:p>
    <w:p w14:paraId="24F58E2B" w14:textId="77777777" w:rsidR="0095309F" w:rsidRPr="00B504FE" w:rsidRDefault="0095309F" w:rsidP="00FD64D1">
      <w:pPr>
        <w:pStyle w:val="BodyText2"/>
        <w:spacing w:after="0" w:line="240" w:lineRule="auto"/>
        <w:ind w:firstLine="0"/>
        <w:rPr>
          <w:b/>
          <w:i/>
          <w:sz w:val="24"/>
          <w:szCs w:val="24"/>
        </w:rPr>
      </w:pPr>
      <w:r w:rsidRPr="00B504FE">
        <w:rPr>
          <w:b/>
          <w:i/>
          <w:sz w:val="24"/>
          <w:szCs w:val="24"/>
        </w:rPr>
        <w:t>IRB Approval</w:t>
      </w:r>
    </w:p>
    <w:p w14:paraId="7B5BC848" w14:textId="61A063BE" w:rsidR="00167925" w:rsidRPr="00B504FE" w:rsidRDefault="007B0777" w:rsidP="00FD64D1">
      <w:pPr>
        <w:pStyle w:val="BodyText2"/>
        <w:spacing w:after="0" w:line="240" w:lineRule="auto"/>
        <w:rPr>
          <w:sz w:val="24"/>
          <w:szCs w:val="24"/>
        </w:rPr>
      </w:pPr>
      <w:r w:rsidRPr="00B504FE">
        <w:rPr>
          <w:sz w:val="24"/>
          <w:szCs w:val="24"/>
        </w:rPr>
        <w:t xml:space="preserve">This project </w:t>
      </w:r>
      <w:r w:rsidR="00150D42">
        <w:rPr>
          <w:sz w:val="24"/>
          <w:szCs w:val="24"/>
        </w:rPr>
        <w:t>has received</w:t>
      </w:r>
      <w:r w:rsidRPr="00B504FE">
        <w:rPr>
          <w:sz w:val="24"/>
          <w:szCs w:val="24"/>
        </w:rPr>
        <w:t xml:space="preserve"> approval through a Project Determination from the National Center for HIV/AIDS, Viral Hepatitis, STD, and TB Prevention</w:t>
      </w:r>
      <w:r w:rsidR="00150D42">
        <w:rPr>
          <w:sz w:val="24"/>
          <w:szCs w:val="24"/>
        </w:rPr>
        <w:t xml:space="preserve">, which has deemed this </w:t>
      </w:r>
      <w:r w:rsidR="00430FAE">
        <w:rPr>
          <w:sz w:val="24"/>
          <w:szCs w:val="24"/>
        </w:rPr>
        <w:t>activity as program evaluation and not human subject research</w:t>
      </w:r>
      <w:r w:rsidRPr="00B504FE">
        <w:rPr>
          <w:sz w:val="24"/>
          <w:szCs w:val="24"/>
        </w:rPr>
        <w:t xml:space="preserve">. Notice of approval </w:t>
      </w:r>
      <w:r w:rsidR="00430FAE">
        <w:rPr>
          <w:sz w:val="24"/>
          <w:szCs w:val="24"/>
        </w:rPr>
        <w:t>has been forwarded</w:t>
      </w:r>
      <w:r w:rsidRPr="00B504FE">
        <w:rPr>
          <w:sz w:val="24"/>
          <w:szCs w:val="24"/>
        </w:rPr>
        <w:t xml:space="preserve">. </w:t>
      </w:r>
    </w:p>
    <w:p w14:paraId="0B1F68FF" w14:textId="402D634E" w:rsidR="00343092" w:rsidRPr="00B504FE" w:rsidRDefault="00343092" w:rsidP="00FD64D1">
      <w:pPr>
        <w:pStyle w:val="BodyText2"/>
        <w:spacing w:after="0" w:line="240" w:lineRule="auto"/>
        <w:rPr>
          <w:sz w:val="24"/>
          <w:szCs w:val="24"/>
        </w:rPr>
      </w:pPr>
      <w:r w:rsidRPr="00B504FE">
        <w:rPr>
          <w:sz w:val="24"/>
          <w:szCs w:val="24"/>
        </w:rPr>
        <w:t xml:space="preserve">For the in-depth interviews, the evaluation contractor will utilize </w:t>
      </w:r>
      <w:r w:rsidR="0043230D" w:rsidRPr="00B504FE">
        <w:rPr>
          <w:sz w:val="24"/>
          <w:szCs w:val="24"/>
        </w:rPr>
        <w:t xml:space="preserve">POC’s </w:t>
      </w:r>
      <w:r w:rsidRPr="00B504FE">
        <w:rPr>
          <w:sz w:val="24"/>
          <w:szCs w:val="24"/>
        </w:rPr>
        <w:t>names</w:t>
      </w:r>
      <w:r w:rsidR="00D71EDF" w:rsidRPr="00B504FE">
        <w:rPr>
          <w:sz w:val="24"/>
          <w:szCs w:val="24"/>
        </w:rPr>
        <w:t>, phone numbers,</w:t>
      </w:r>
      <w:r w:rsidRPr="00B504FE">
        <w:rPr>
          <w:sz w:val="24"/>
          <w:szCs w:val="24"/>
        </w:rPr>
        <w:t xml:space="preserve"> and email addresses to send reminder emails and make</w:t>
      </w:r>
      <w:r w:rsidR="00D71EDF" w:rsidRPr="00B504FE">
        <w:rPr>
          <w:sz w:val="24"/>
          <w:szCs w:val="24"/>
        </w:rPr>
        <w:t xml:space="preserve"> reminder telephone calls, </w:t>
      </w:r>
      <w:r w:rsidR="00430624" w:rsidRPr="00B504FE">
        <w:rPr>
          <w:sz w:val="24"/>
          <w:szCs w:val="24"/>
        </w:rPr>
        <w:t>as well as</w:t>
      </w:r>
      <w:r w:rsidR="00D71EDF" w:rsidRPr="00B504FE">
        <w:rPr>
          <w:sz w:val="24"/>
          <w:szCs w:val="24"/>
        </w:rPr>
        <w:t xml:space="preserve"> </w:t>
      </w:r>
      <w:r w:rsidRPr="00B504FE">
        <w:rPr>
          <w:sz w:val="24"/>
          <w:szCs w:val="24"/>
        </w:rPr>
        <w:t xml:space="preserve">for </w:t>
      </w:r>
      <w:r w:rsidR="00D71EDF" w:rsidRPr="00B504FE">
        <w:rPr>
          <w:sz w:val="24"/>
          <w:szCs w:val="24"/>
        </w:rPr>
        <w:t>conducting the telephone interview</w:t>
      </w:r>
      <w:r w:rsidR="00430624" w:rsidRPr="00B504FE">
        <w:rPr>
          <w:sz w:val="24"/>
          <w:szCs w:val="24"/>
        </w:rPr>
        <w:t>s</w:t>
      </w:r>
      <w:r w:rsidR="00D71EDF" w:rsidRPr="00B504FE">
        <w:rPr>
          <w:sz w:val="24"/>
          <w:szCs w:val="24"/>
        </w:rPr>
        <w:t>; however,</w:t>
      </w:r>
      <w:r w:rsidRPr="00B504FE">
        <w:rPr>
          <w:sz w:val="24"/>
          <w:szCs w:val="24"/>
        </w:rPr>
        <w:t xml:space="preserve"> the information will not be recorded elsewhere. All participants will be informed that any information they provide will be completely voluntary and they can end their participation at any time. </w:t>
      </w:r>
      <w:r w:rsidR="00D71EDF" w:rsidRPr="00B504FE">
        <w:rPr>
          <w:sz w:val="24"/>
          <w:szCs w:val="24"/>
        </w:rPr>
        <w:t xml:space="preserve">We will obtain verbal consent for the </w:t>
      </w:r>
      <w:r w:rsidR="00430624" w:rsidRPr="00B504FE">
        <w:rPr>
          <w:sz w:val="24"/>
          <w:szCs w:val="24"/>
        </w:rPr>
        <w:t xml:space="preserve">telephone </w:t>
      </w:r>
      <w:r w:rsidR="00D71EDF" w:rsidRPr="00B504FE">
        <w:rPr>
          <w:sz w:val="24"/>
          <w:szCs w:val="24"/>
        </w:rPr>
        <w:t>interviews. Once a potential participant provides verbal consent, we will proceed with the interview.</w:t>
      </w:r>
    </w:p>
    <w:p w14:paraId="4F0BB569" w14:textId="77777777" w:rsidR="00EA5D8F" w:rsidRPr="00B504FE" w:rsidRDefault="00191D50" w:rsidP="00FD64D1">
      <w:pPr>
        <w:pStyle w:val="BodyText2"/>
        <w:spacing w:after="0" w:line="240" w:lineRule="auto"/>
        <w:rPr>
          <w:sz w:val="24"/>
          <w:szCs w:val="24"/>
        </w:rPr>
      </w:pPr>
      <w:r w:rsidRPr="00B504FE">
        <w:rPr>
          <w:sz w:val="24"/>
          <w:szCs w:val="24"/>
        </w:rPr>
        <w:t xml:space="preserve">For the </w:t>
      </w:r>
      <w:r w:rsidR="00775BF3" w:rsidRPr="00B504FE">
        <w:rPr>
          <w:sz w:val="24"/>
          <w:szCs w:val="24"/>
        </w:rPr>
        <w:t xml:space="preserve">partner </w:t>
      </w:r>
      <w:r w:rsidRPr="00B504FE">
        <w:rPr>
          <w:sz w:val="24"/>
          <w:szCs w:val="24"/>
        </w:rPr>
        <w:t xml:space="preserve">survey, </w:t>
      </w:r>
      <w:r w:rsidR="00EA5D8F" w:rsidRPr="00B504FE">
        <w:rPr>
          <w:sz w:val="24"/>
          <w:szCs w:val="24"/>
        </w:rPr>
        <w:t xml:space="preserve">CDC and </w:t>
      </w:r>
      <w:r w:rsidR="00764722" w:rsidRPr="00B504FE">
        <w:rPr>
          <w:sz w:val="24"/>
          <w:szCs w:val="24"/>
        </w:rPr>
        <w:t>the evaluation</w:t>
      </w:r>
      <w:r w:rsidR="00EA5D8F" w:rsidRPr="00B504FE">
        <w:rPr>
          <w:sz w:val="24"/>
          <w:szCs w:val="24"/>
        </w:rPr>
        <w:t xml:space="preserve"> contractor will receive data for analysis in aggregate form. The participant ID itself will only be used to track the survey completion pattern (i.e., how many people complete a survey). </w:t>
      </w:r>
      <w:r w:rsidR="00173F59" w:rsidRPr="00B504FE">
        <w:rPr>
          <w:sz w:val="24"/>
          <w:szCs w:val="24"/>
        </w:rPr>
        <w:t>I</w:t>
      </w:r>
      <w:r w:rsidR="00EA5D8F" w:rsidRPr="00B504FE">
        <w:rPr>
          <w:sz w:val="24"/>
          <w:szCs w:val="24"/>
        </w:rPr>
        <w:t xml:space="preserve">nformation in identifiable form (IIF) is not shared with anyone, including CDC and CDC’s contractor. It is stored separately from the survey data file and is not linked in any way to participant responses. </w:t>
      </w:r>
    </w:p>
    <w:p w14:paraId="0F3B4E85" w14:textId="611F63DC" w:rsidR="00EA5D8F" w:rsidRPr="00B504FE" w:rsidRDefault="00EA5D8F" w:rsidP="00FD64D1">
      <w:pPr>
        <w:pStyle w:val="BodyText2"/>
        <w:spacing w:after="0" w:line="240" w:lineRule="auto"/>
        <w:rPr>
          <w:sz w:val="24"/>
          <w:szCs w:val="24"/>
        </w:rPr>
      </w:pPr>
      <w:r w:rsidRPr="00B504FE">
        <w:rPr>
          <w:sz w:val="24"/>
          <w:szCs w:val="24"/>
        </w:rPr>
        <w:t xml:space="preserve">The online survey vendors will maintain a list of participant ID numbers, names, telephone numbers, and email addresses only for the purpose of reminders about the </w:t>
      </w:r>
      <w:r w:rsidR="005745EB">
        <w:rPr>
          <w:sz w:val="24"/>
          <w:szCs w:val="24"/>
        </w:rPr>
        <w:t>project</w:t>
      </w:r>
      <w:r w:rsidRPr="00B504FE">
        <w:rPr>
          <w:sz w:val="24"/>
          <w:szCs w:val="24"/>
        </w:rPr>
        <w:t xml:space="preserve">. CDC and CDC’s contractor will only have access to the generic, randomly generated ID numbers for the purpose of tracking survey completion patterns. Although CDC will own the data, neither CDC nor CDC’s contractor will have IIF nor see names or contact information for any participant responses. </w:t>
      </w:r>
    </w:p>
    <w:p w14:paraId="714001D4" w14:textId="0C46E816" w:rsidR="00EA5D8F" w:rsidRPr="00B504FE" w:rsidRDefault="00EA5D8F" w:rsidP="00FD64D1">
      <w:pPr>
        <w:pStyle w:val="BodyText2"/>
        <w:spacing w:after="0" w:line="240" w:lineRule="auto"/>
        <w:rPr>
          <w:sz w:val="24"/>
          <w:szCs w:val="24"/>
        </w:rPr>
      </w:pPr>
      <w:r w:rsidRPr="00B504FE">
        <w:rPr>
          <w:sz w:val="24"/>
          <w:szCs w:val="24"/>
        </w:rPr>
        <w:lastRenderedPageBreak/>
        <w:t xml:space="preserve">All respondents will be assured that the information will be used only for the purpose of this research and will be kept secure to the extent allowable by law, as detailed in the sample consent form (see </w:t>
      </w:r>
      <w:r w:rsidRPr="00B504FE">
        <w:rPr>
          <w:b/>
          <w:sz w:val="24"/>
          <w:szCs w:val="24"/>
        </w:rPr>
        <w:t xml:space="preserve">Attachment </w:t>
      </w:r>
      <w:r w:rsidR="006F412C" w:rsidRPr="00B504FE">
        <w:rPr>
          <w:b/>
          <w:sz w:val="24"/>
          <w:szCs w:val="24"/>
        </w:rPr>
        <w:t>4</w:t>
      </w:r>
      <w:r w:rsidRPr="00B504FE">
        <w:rPr>
          <w:sz w:val="24"/>
          <w:szCs w:val="24"/>
        </w:rPr>
        <w:t xml:space="preserve">). Respondents will be assured that their answers to screener </w:t>
      </w:r>
      <w:r w:rsidR="006F412C" w:rsidRPr="00B504FE">
        <w:rPr>
          <w:sz w:val="24"/>
          <w:szCs w:val="24"/>
        </w:rPr>
        <w:t xml:space="preserve">(see </w:t>
      </w:r>
      <w:r w:rsidR="007B0777" w:rsidRPr="00B504FE">
        <w:rPr>
          <w:b/>
          <w:sz w:val="24"/>
          <w:szCs w:val="24"/>
        </w:rPr>
        <w:t>A</w:t>
      </w:r>
      <w:r w:rsidR="006F412C" w:rsidRPr="00B504FE">
        <w:rPr>
          <w:b/>
          <w:sz w:val="24"/>
          <w:szCs w:val="24"/>
        </w:rPr>
        <w:t>ttachment 3g</w:t>
      </w:r>
      <w:r w:rsidR="006F412C" w:rsidRPr="00B504FE">
        <w:rPr>
          <w:sz w:val="24"/>
          <w:szCs w:val="24"/>
        </w:rPr>
        <w:t xml:space="preserve">) </w:t>
      </w:r>
      <w:r w:rsidRPr="00B504FE">
        <w:rPr>
          <w:sz w:val="24"/>
          <w:szCs w:val="24"/>
        </w:rPr>
        <w:t xml:space="preserve">and survey questions will not be shared with anyone outside the research team and that their names will not be reported with responses provided. Respondents will be told that the information obtained from all of the surveys will be combined into a summary report so that details of individual questionnaires cannot be linked to a specific participant. </w:t>
      </w:r>
    </w:p>
    <w:p w14:paraId="3F932717" w14:textId="77777777" w:rsidR="00EA5D8F" w:rsidRPr="00B504FE" w:rsidRDefault="00EA5D8F" w:rsidP="00FD64D1">
      <w:pPr>
        <w:pStyle w:val="BodyText2"/>
        <w:spacing w:after="0" w:line="240" w:lineRule="auto"/>
        <w:rPr>
          <w:sz w:val="24"/>
          <w:szCs w:val="24"/>
        </w:rPr>
      </w:pPr>
      <w:r w:rsidRPr="00B504FE">
        <w:rPr>
          <w:sz w:val="24"/>
          <w:szCs w:val="24"/>
        </w:rPr>
        <w:t>The introduction to the survey, which participants will receive via email or view online</w:t>
      </w:r>
      <w:r w:rsidR="00430624" w:rsidRPr="00B504FE">
        <w:rPr>
          <w:sz w:val="24"/>
          <w:szCs w:val="24"/>
        </w:rPr>
        <w:t>,</w:t>
      </w:r>
      <w:r w:rsidRPr="00B504FE">
        <w:rPr>
          <w:sz w:val="24"/>
          <w:szCs w:val="24"/>
        </w:rPr>
        <w:t xml:space="preserve"> will provide a very brief description of the survey.  The introduction will also provide instructions for accessing the screener. Potential participants will access the screener by clicking on the screener URL that will be imbedded in the survey introduction. At this time, the potential participant will be asked if they are willing to answer a few questions to determine if they are eligible. Each person must check either a box labeled </w:t>
      </w:r>
      <w:r w:rsidR="00173F59" w:rsidRPr="00B504FE">
        <w:rPr>
          <w:sz w:val="24"/>
          <w:szCs w:val="24"/>
        </w:rPr>
        <w:t>“yes” or “no</w:t>
      </w:r>
      <w:r w:rsidRPr="00B504FE">
        <w:rPr>
          <w:sz w:val="24"/>
          <w:szCs w:val="24"/>
        </w:rPr>
        <w:t>.” Only respondents who consent will receive a personal password</w:t>
      </w:r>
      <w:r w:rsidR="00430624" w:rsidRPr="00B504FE">
        <w:rPr>
          <w:sz w:val="24"/>
          <w:szCs w:val="24"/>
        </w:rPr>
        <w:t>,</w:t>
      </w:r>
      <w:r w:rsidRPr="00B504FE">
        <w:rPr>
          <w:sz w:val="24"/>
          <w:szCs w:val="24"/>
        </w:rPr>
        <w:t xml:space="preserve"> which they will use to enter the screener. </w:t>
      </w:r>
    </w:p>
    <w:p w14:paraId="0B4F679D" w14:textId="17423C75" w:rsidR="00EA5D8F" w:rsidRPr="00B504FE" w:rsidRDefault="00EA5D8F" w:rsidP="00FD64D1">
      <w:pPr>
        <w:pStyle w:val="BodyText2"/>
        <w:spacing w:after="0" w:line="240" w:lineRule="auto"/>
        <w:rPr>
          <w:sz w:val="24"/>
          <w:szCs w:val="24"/>
        </w:rPr>
      </w:pPr>
      <w:r w:rsidRPr="00B504FE">
        <w:rPr>
          <w:sz w:val="24"/>
          <w:szCs w:val="24"/>
        </w:rPr>
        <w:t xml:space="preserve">Participants who are eligible to participate in the survey will be provided with a description of the </w:t>
      </w:r>
      <w:r w:rsidR="005745EB">
        <w:rPr>
          <w:sz w:val="24"/>
          <w:szCs w:val="24"/>
        </w:rPr>
        <w:t>project</w:t>
      </w:r>
      <w:r w:rsidR="005745EB" w:rsidRPr="00B504FE">
        <w:rPr>
          <w:sz w:val="24"/>
          <w:szCs w:val="24"/>
        </w:rPr>
        <w:t xml:space="preserve"> </w:t>
      </w:r>
      <w:r w:rsidRPr="00B504FE">
        <w:rPr>
          <w:sz w:val="24"/>
          <w:szCs w:val="24"/>
        </w:rPr>
        <w:t>and administered informed consent.  During this process, potential participants will be informed of the private and voluntary nature of the survey. After reading the informed consent, each participant must check either a box labeled “</w:t>
      </w:r>
      <w:r w:rsidR="00173F59" w:rsidRPr="00B504FE">
        <w:rPr>
          <w:rFonts w:eastAsia="ヒラギノ角ゴ Pro W3"/>
          <w:sz w:val="24"/>
          <w:szCs w:val="24"/>
        </w:rPr>
        <w:t>I have read this consent form and agree to participate in the survey.</w:t>
      </w:r>
      <w:r w:rsidRPr="00B504FE">
        <w:rPr>
          <w:sz w:val="24"/>
          <w:szCs w:val="24"/>
        </w:rPr>
        <w:t>” or “</w:t>
      </w:r>
      <w:r w:rsidR="00173F59" w:rsidRPr="00B504FE">
        <w:rPr>
          <w:rFonts w:eastAsia="ヒラギノ角ゴ Pro W3"/>
          <w:sz w:val="24"/>
          <w:szCs w:val="24"/>
        </w:rPr>
        <w:t>I have read this consent form and do not want to participate in the survey</w:t>
      </w:r>
      <w:r w:rsidRPr="00B504FE">
        <w:rPr>
          <w:sz w:val="24"/>
          <w:szCs w:val="24"/>
        </w:rPr>
        <w:t xml:space="preserve">.” Only respondents who consent will enter the survey. </w:t>
      </w:r>
    </w:p>
    <w:p w14:paraId="0046A5BD" w14:textId="77777777" w:rsidR="00EA5D8F" w:rsidRPr="00B504FE" w:rsidRDefault="00EA5D8F" w:rsidP="00FD64D1">
      <w:pPr>
        <w:pStyle w:val="BodyText2"/>
        <w:spacing w:after="0" w:line="240" w:lineRule="auto"/>
        <w:rPr>
          <w:sz w:val="24"/>
          <w:szCs w:val="24"/>
        </w:rPr>
      </w:pPr>
      <w:r w:rsidRPr="00B504FE">
        <w:rPr>
          <w:sz w:val="24"/>
          <w:szCs w:val="24"/>
        </w:rPr>
        <w:t xml:space="preserve">Individuals who consent to participate in the survey will be able to access the survey by clicking on the link to the survey URL and then entering his/her personal password. A respondent’s personal password will not change.  The personal password is required each time to access the survey and will keep the respondents’ spot in the survey so they can pick up where they left off; or, if they have already completed the survey, they will not be able to complete it again. </w:t>
      </w:r>
    </w:p>
    <w:p w14:paraId="0C0E7568" w14:textId="3279D253" w:rsidR="003C19FD" w:rsidRDefault="00EA5D8F" w:rsidP="00FD64D1">
      <w:pPr>
        <w:pStyle w:val="BodyText2"/>
        <w:spacing w:after="0" w:line="240" w:lineRule="auto"/>
        <w:rPr>
          <w:sz w:val="24"/>
          <w:szCs w:val="24"/>
        </w:rPr>
      </w:pPr>
      <w:r w:rsidRPr="00B504FE">
        <w:rPr>
          <w:sz w:val="24"/>
          <w:szCs w:val="24"/>
        </w:rPr>
        <w:t>CDC’s contractor maintains restricted access to all data preparation areas (i.e., receipt and coding). All data files on multi-user systems will be under the control of a database manager, with access limited to project staff on a “need-to-know” basis only. The online vendor panels take the following security measures to ensure separation between respondents’ identity and their survey data. First, the survey instrument has no personally identifying information (PII) on it. No respondent name, email address, telephone number, or any other kind of PII appears on the survey. The only way a survey is identified is with a digital identification number. Second, although the invitation m</w:t>
      </w:r>
      <w:r w:rsidR="00E53C0E" w:rsidRPr="00B504FE">
        <w:rPr>
          <w:sz w:val="24"/>
          <w:szCs w:val="24"/>
        </w:rPr>
        <w:t>ethod (i.e., email</w:t>
      </w:r>
      <w:r w:rsidRPr="00B504FE">
        <w:rPr>
          <w:sz w:val="24"/>
          <w:szCs w:val="24"/>
        </w:rPr>
        <w:t xml:space="preserve">) will inherently have PII information included, this will not be combined with survey responses so the responses from the survey are not linked to the PII. Third, screener data will be considered part of the survey data. The vendors will provide the results of the screener questions for all panelists, regardless of whether they qualify for the </w:t>
      </w:r>
      <w:r w:rsidR="005745EB">
        <w:rPr>
          <w:sz w:val="24"/>
          <w:szCs w:val="24"/>
        </w:rPr>
        <w:t>project</w:t>
      </w:r>
      <w:r w:rsidRPr="00B504FE">
        <w:rPr>
          <w:sz w:val="24"/>
          <w:szCs w:val="24"/>
        </w:rPr>
        <w:t xml:space="preserve">. However, they will not retain responses to screening questions for those who are deemed ineligible for any other purpose outside the scope of this project. Fourth, the vendors will retain records for the duration of the </w:t>
      </w:r>
      <w:r w:rsidR="005745EB">
        <w:rPr>
          <w:sz w:val="24"/>
          <w:szCs w:val="24"/>
        </w:rPr>
        <w:t>project</w:t>
      </w:r>
      <w:r w:rsidRPr="00B504FE">
        <w:rPr>
          <w:sz w:val="24"/>
          <w:szCs w:val="24"/>
        </w:rPr>
        <w:t xml:space="preserve">. </w:t>
      </w:r>
      <w:r w:rsidR="00F8789B">
        <w:rPr>
          <w:sz w:val="24"/>
          <w:szCs w:val="24"/>
        </w:rPr>
        <w:t xml:space="preserve">The screening </w:t>
      </w:r>
      <w:r w:rsidR="00977A39">
        <w:rPr>
          <w:sz w:val="24"/>
          <w:szCs w:val="24"/>
        </w:rPr>
        <w:t xml:space="preserve">and survey </w:t>
      </w:r>
      <w:r w:rsidR="00F8789B">
        <w:rPr>
          <w:sz w:val="24"/>
          <w:szCs w:val="24"/>
        </w:rPr>
        <w:t>instrument</w:t>
      </w:r>
      <w:r w:rsidR="00977A39">
        <w:rPr>
          <w:sz w:val="24"/>
          <w:szCs w:val="24"/>
        </w:rPr>
        <w:t>s ask</w:t>
      </w:r>
      <w:r w:rsidR="00F8789B">
        <w:rPr>
          <w:sz w:val="24"/>
          <w:szCs w:val="24"/>
        </w:rPr>
        <w:t xml:space="preserve"> respondents to provide names and contact information (PII) for other individuals who m</w:t>
      </w:r>
      <w:bookmarkStart w:id="48" w:name="_GoBack"/>
      <w:bookmarkEnd w:id="48"/>
      <w:r w:rsidR="00F8789B">
        <w:rPr>
          <w:sz w:val="24"/>
          <w:szCs w:val="24"/>
        </w:rPr>
        <w:t xml:space="preserve">ight be able to answer questions about various policies/procedures, activities, and other aspects of the partner organization.  This PII will not be entered into a system of records and will be kept separate from participant responses about the organization. </w:t>
      </w:r>
      <w:r w:rsidR="009F3B7D" w:rsidRPr="00B504FE">
        <w:rPr>
          <w:sz w:val="24"/>
          <w:szCs w:val="24"/>
        </w:rPr>
        <w:t xml:space="preserve">Respondents will not be asked sensitive questions.  </w:t>
      </w:r>
    </w:p>
    <w:p w14:paraId="54B0F3F7" w14:textId="77777777" w:rsidR="00F57B18" w:rsidRPr="00B504FE" w:rsidRDefault="00F57B18" w:rsidP="00FD64D1">
      <w:pPr>
        <w:pStyle w:val="BodyText2"/>
        <w:spacing w:after="0" w:line="240" w:lineRule="auto"/>
        <w:ind w:firstLine="0"/>
        <w:rPr>
          <w:sz w:val="24"/>
          <w:szCs w:val="24"/>
        </w:rPr>
      </w:pPr>
    </w:p>
    <w:p w14:paraId="21BACE28" w14:textId="77777777" w:rsidR="00E949EF" w:rsidRPr="00B504FE" w:rsidRDefault="00E949EF" w:rsidP="00FD64D1">
      <w:pPr>
        <w:pStyle w:val="Heading2"/>
        <w:spacing w:after="0"/>
        <w:rPr>
          <w:szCs w:val="24"/>
        </w:rPr>
      </w:pPr>
      <w:r w:rsidRPr="00B504FE">
        <w:rPr>
          <w:szCs w:val="24"/>
        </w:rPr>
        <w:lastRenderedPageBreak/>
        <w:t>12.</w:t>
      </w:r>
      <w:r w:rsidRPr="00B504FE">
        <w:rPr>
          <w:szCs w:val="24"/>
        </w:rPr>
        <w:tab/>
        <w:t>Estimates of Annualized Burden Hours and Costs</w:t>
      </w:r>
      <w:bookmarkEnd w:id="45"/>
      <w:bookmarkEnd w:id="46"/>
      <w:bookmarkEnd w:id="47"/>
    </w:p>
    <w:p w14:paraId="168390ED" w14:textId="0A3EB240" w:rsidR="00C63A6B" w:rsidRPr="00B504FE" w:rsidRDefault="00893649" w:rsidP="00FD64D1">
      <w:pPr>
        <w:pStyle w:val="BodyText2"/>
        <w:spacing w:after="0" w:line="240" w:lineRule="auto"/>
        <w:rPr>
          <w:sz w:val="24"/>
          <w:szCs w:val="24"/>
        </w:rPr>
      </w:pPr>
      <w:bookmarkStart w:id="49" w:name="_Toc173739004"/>
      <w:bookmarkStart w:id="50" w:name="_Toc99431028"/>
      <w:r w:rsidRPr="00B504FE">
        <w:rPr>
          <w:sz w:val="24"/>
          <w:szCs w:val="24"/>
        </w:rPr>
        <w:t xml:space="preserve">This section summarizes the total burden hours for this information collection in addition to the cost associated with those hours. </w:t>
      </w:r>
      <w:r w:rsidR="007540FA" w:rsidRPr="00B504FE">
        <w:rPr>
          <w:sz w:val="24"/>
          <w:szCs w:val="24"/>
        </w:rPr>
        <w:t>Based on previous experiences conducting similar data collections, w</w:t>
      </w:r>
      <w:r w:rsidR="00C63A6B" w:rsidRPr="00B504FE">
        <w:rPr>
          <w:sz w:val="24"/>
          <w:szCs w:val="24"/>
        </w:rPr>
        <w:t xml:space="preserve">e estimate the total annualized response burden </w:t>
      </w:r>
      <w:r w:rsidR="00EA1F87" w:rsidRPr="00B504FE">
        <w:rPr>
          <w:sz w:val="24"/>
          <w:szCs w:val="24"/>
        </w:rPr>
        <w:t xml:space="preserve">to be </w:t>
      </w:r>
      <w:r w:rsidR="00121931" w:rsidRPr="00B504FE">
        <w:rPr>
          <w:sz w:val="24"/>
          <w:szCs w:val="24"/>
        </w:rPr>
        <w:t>5,</w:t>
      </w:r>
      <w:r w:rsidR="00430FAE" w:rsidRPr="00B504FE">
        <w:rPr>
          <w:sz w:val="24"/>
          <w:szCs w:val="24"/>
        </w:rPr>
        <w:t>0</w:t>
      </w:r>
      <w:r w:rsidR="005745EB">
        <w:rPr>
          <w:sz w:val="24"/>
          <w:szCs w:val="24"/>
        </w:rPr>
        <w:t>83</w:t>
      </w:r>
      <w:r w:rsidR="00430FAE" w:rsidRPr="00B504FE">
        <w:rPr>
          <w:sz w:val="24"/>
          <w:szCs w:val="24"/>
        </w:rPr>
        <w:t xml:space="preserve"> </w:t>
      </w:r>
      <w:r w:rsidR="00EA1F87" w:rsidRPr="00B504FE">
        <w:rPr>
          <w:sz w:val="24"/>
          <w:szCs w:val="24"/>
        </w:rPr>
        <w:t>annually</w:t>
      </w:r>
      <w:r w:rsidR="00C63A6B" w:rsidRPr="00B504FE">
        <w:rPr>
          <w:sz w:val="24"/>
          <w:szCs w:val="24"/>
        </w:rPr>
        <w:t xml:space="preserve">. </w:t>
      </w:r>
      <w:r w:rsidR="002179E5" w:rsidRPr="009B2BE9">
        <w:rPr>
          <w:sz w:val="24"/>
        </w:rPr>
        <w:t>Table</w:t>
      </w:r>
      <w:r w:rsidR="00C63A6B" w:rsidRPr="009B2BE9">
        <w:rPr>
          <w:sz w:val="24"/>
        </w:rPr>
        <w:t xml:space="preserve"> </w:t>
      </w:r>
      <w:r w:rsidR="002179E5" w:rsidRPr="009B2BE9">
        <w:rPr>
          <w:sz w:val="24"/>
        </w:rPr>
        <w:t>A.</w:t>
      </w:r>
      <w:r w:rsidR="00C63A6B" w:rsidRPr="009B2BE9">
        <w:rPr>
          <w:sz w:val="24"/>
        </w:rPr>
        <w:t xml:space="preserve">12.1 </w:t>
      </w:r>
      <w:r w:rsidR="00C63A6B" w:rsidRPr="00B504FE">
        <w:rPr>
          <w:bCs/>
          <w:sz w:val="24"/>
          <w:szCs w:val="24"/>
        </w:rPr>
        <w:t>provides</w:t>
      </w:r>
      <w:r w:rsidR="00C63A6B" w:rsidRPr="00B504FE">
        <w:rPr>
          <w:sz w:val="24"/>
          <w:szCs w:val="24"/>
        </w:rPr>
        <w:t xml:space="preserve"> details about how this estimate was calculated. </w:t>
      </w:r>
    </w:p>
    <w:p w14:paraId="505B9702" w14:textId="665F7888" w:rsidR="00EA1F87" w:rsidRPr="00B504FE" w:rsidRDefault="00EA1F87" w:rsidP="00FD64D1">
      <w:pPr>
        <w:pStyle w:val="BodyText2"/>
        <w:numPr>
          <w:ilvl w:val="0"/>
          <w:numId w:val="34"/>
        </w:numPr>
        <w:spacing w:after="0" w:line="240" w:lineRule="auto"/>
        <w:rPr>
          <w:sz w:val="24"/>
          <w:szCs w:val="24"/>
        </w:rPr>
      </w:pPr>
      <w:r w:rsidRPr="00FD64D1">
        <w:rPr>
          <w:b/>
          <w:i/>
          <w:sz w:val="24"/>
          <w:szCs w:val="24"/>
        </w:rPr>
        <w:t>Metrics Database</w:t>
      </w:r>
      <w:r w:rsidR="00157BB8" w:rsidRPr="00FD64D1">
        <w:rPr>
          <w:b/>
          <w:sz w:val="24"/>
          <w:szCs w:val="24"/>
        </w:rPr>
        <w:t xml:space="preserve"> (</w:t>
      </w:r>
      <w:r w:rsidR="007B0777" w:rsidRPr="00FD64D1">
        <w:rPr>
          <w:b/>
          <w:sz w:val="24"/>
          <w:szCs w:val="24"/>
        </w:rPr>
        <w:t>A</w:t>
      </w:r>
      <w:r w:rsidR="00157BB8" w:rsidRPr="00FD64D1">
        <w:rPr>
          <w:b/>
          <w:sz w:val="24"/>
          <w:szCs w:val="24"/>
        </w:rPr>
        <w:t xml:space="preserve">ttachments </w:t>
      </w:r>
      <w:r w:rsidR="006F412C" w:rsidRPr="00FD64D1">
        <w:rPr>
          <w:b/>
          <w:sz w:val="24"/>
          <w:szCs w:val="24"/>
        </w:rPr>
        <w:t>3a</w:t>
      </w:r>
      <w:r w:rsidR="00157BB8" w:rsidRPr="00FD64D1">
        <w:rPr>
          <w:b/>
          <w:sz w:val="24"/>
          <w:szCs w:val="24"/>
        </w:rPr>
        <w:t>)</w:t>
      </w:r>
      <w:r w:rsidRPr="00FD64D1">
        <w:rPr>
          <w:b/>
          <w:sz w:val="24"/>
          <w:szCs w:val="24"/>
        </w:rPr>
        <w:t xml:space="preserve">:  </w:t>
      </w:r>
      <w:r w:rsidR="00130D7B" w:rsidRPr="00B504FE">
        <w:rPr>
          <w:sz w:val="24"/>
          <w:szCs w:val="24"/>
        </w:rPr>
        <w:t xml:space="preserve">Each </w:t>
      </w:r>
      <w:r w:rsidR="00CF0EFC" w:rsidRPr="00B504FE">
        <w:rPr>
          <w:sz w:val="24"/>
          <w:szCs w:val="24"/>
        </w:rPr>
        <w:t xml:space="preserve">partner </w:t>
      </w:r>
      <w:r w:rsidR="00130D7B" w:rsidRPr="00B504FE">
        <w:rPr>
          <w:sz w:val="24"/>
          <w:szCs w:val="24"/>
        </w:rPr>
        <w:t xml:space="preserve">will report </w:t>
      </w:r>
      <w:r w:rsidR="00BE5291" w:rsidRPr="00B504FE">
        <w:rPr>
          <w:sz w:val="24"/>
          <w:szCs w:val="24"/>
        </w:rPr>
        <w:t>metrics</w:t>
      </w:r>
      <w:r w:rsidR="00130D7B" w:rsidRPr="00B504FE">
        <w:rPr>
          <w:sz w:val="24"/>
          <w:szCs w:val="24"/>
        </w:rPr>
        <w:t xml:space="preserve"> data on a quarterly basis. </w:t>
      </w:r>
      <w:r w:rsidR="002179E5" w:rsidRPr="00B504FE">
        <w:rPr>
          <w:sz w:val="24"/>
          <w:szCs w:val="24"/>
        </w:rPr>
        <w:t xml:space="preserve">This </w:t>
      </w:r>
      <w:r w:rsidR="003B2035" w:rsidRPr="00B504FE">
        <w:rPr>
          <w:sz w:val="24"/>
          <w:szCs w:val="24"/>
        </w:rPr>
        <w:t xml:space="preserve">activity </w:t>
      </w:r>
      <w:r w:rsidR="002179E5" w:rsidRPr="00B504FE">
        <w:rPr>
          <w:sz w:val="24"/>
          <w:szCs w:val="24"/>
        </w:rPr>
        <w:t xml:space="preserve">will entail collecting data from </w:t>
      </w:r>
      <w:r w:rsidR="00200AAC" w:rsidRPr="00B504FE">
        <w:rPr>
          <w:sz w:val="24"/>
          <w:szCs w:val="24"/>
        </w:rPr>
        <w:t>collaborators</w:t>
      </w:r>
      <w:r w:rsidR="002179E5" w:rsidRPr="00B504FE">
        <w:rPr>
          <w:sz w:val="24"/>
          <w:szCs w:val="24"/>
        </w:rPr>
        <w:t xml:space="preserve"> (e.g., for joint events), synthesizing data from various sources (if applicable), entering the data into a </w:t>
      </w:r>
      <w:r w:rsidR="007B3906" w:rsidRPr="00B504FE">
        <w:rPr>
          <w:sz w:val="24"/>
          <w:szCs w:val="24"/>
        </w:rPr>
        <w:t>database</w:t>
      </w:r>
      <w:r w:rsidR="002179E5" w:rsidRPr="00B504FE">
        <w:rPr>
          <w:sz w:val="24"/>
          <w:szCs w:val="24"/>
        </w:rPr>
        <w:t xml:space="preserve">, and/or responding to questions for clarification or additional data from CDC or the </w:t>
      </w:r>
      <w:r w:rsidR="00876913" w:rsidRPr="00B504FE">
        <w:rPr>
          <w:sz w:val="24"/>
          <w:szCs w:val="24"/>
        </w:rPr>
        <w:t xml:space="preserve">evaluation </w:t>
      </w:r>
      <w:r w:rsidR="002179E5" w:rsidRPr="00B504FE">
        <w:rPr>
          <w:sz w:val="24"/>
          <w:szCs w:val="24"/>
        </w:rPr>
        <w:t>contractor.</w:t>
      </w:r>
      <w:r w:rsidR="00BE3C35" w:rsidRPr="00B504FE">
        <w:rPr>
          <w:sz w:val="24"/>
          <w:szCs w:val="24"/>
        </w:rPr>
        <w:t xml:space="preserve"> </w:t>
      </w:r>
      <w:r w:rsidR="00200AAC" w:rsidRPr="00B504FE">
        <w:rPr>
          <w:sz w:val="24"/>
          <w:szCs w:val="24"/>
        </w:rPr>
        <w:t xml:space="preserve">It is estimated that these activities will account for </w:t>
      </w:r>
      <w:r w:rsidR="00121931" w:rsidRPr="00B504FE">
        <w:rPr>
          <w:sz w:val="24"/>
          <w:szCs w:val="24"/>
        </w:rPr>
        <w:t>3,600</w:t>
      </w:r>
      <w:r w:rsidR="008721FA" w:rsidRPr="00B504FE">
        <w:rPr>
          <w:sz w:val="24"/>
          <w:szCs w:val="24"/>
        </w:rPr>
        <w:t xml:space="preserve"> </w:t>
      </w:r>
      <w:r w:rsidR="00200AAC" w:rsidRPr="00B504FE">
        <w:rPr>
          <w:sz w:val="24"/>
          <w:szCs w:val="24"/>
        </w:rPr>
        <w:t>burden hours annually.</w:t>
      </w:r>
    </w:p>
    <w:p w14:paraId="64BD096E" w14:textId="77777777" w:rsidR="00EA1F87" w:rsidRPr="00B504FE" w:rsidRDefault="00EA1F87" w:rsidP="00FD64D1">
      <w:pPr>
        <w:pStyle w:val="BodyText2"/>
        <w:numPr>
          <w:ilvl w:val="0"/>
          <w:numId w:val="34"/>
        </w:numPr>
        <w:spacing w:after="0" w:line="240" w:lineRule="auto"/>
        <w:rPr>
          <w:sz w:val="24"/>
          <w:szCs w:val="24"/>
        </w:rPr>
      </w:pPr>
      <w:r w:rsidRPr="00FD64D1">
        <w:rPr>
          <w:b/>
          <w:i/>
          <w:sz w:val="24"/>
          <w:szCs w:val="24"/>
        </w:rPr>
        <w:t>Key Informant Interview</w:t>
      </w:r>
      <w:r w:rsidR="002C6B1F" w:rsidRPr="00FD64D1">
        <w:rPr>
          <w:b/>
          <w:i/>
          <w:sz w:val="24"/>
          <w:szCs w:val="24"/>
        </w:rPr>
        <w:t xml:space="preserve"> Guide</w:t>
      </w:r>
      <w:r w:rsidR="00157BB8" w:rsidRPr="00FD64D1">
        <w:rPr>
          <w:b/>
          <w:sz w:val="24"/>
          <w:szCs w:val="24"/>
        </w:rPr>
        <w:t xml:space="preserve"> (</w:t>
      </w:r>
      <w:r w:rsidR="007B0777" w:rsidRPr="00FD64D1">
        <w:rPr>
          <w:b/>
          <w:sz w:val="24"/>
          <w:szCs w:val="24"/>
        </w:rPr>
        <w:t>A</w:t>
      </w:r>
      <w:r w:rsidR="00157BB8" w:rsidRPr="00FD64D1">
        <w:rPr>
          <w:b/>
          <w:sz w:val="24"/>
          <w:szCs w:val="24"/>
        </w:rPr>
        <w:t xml:space="preserve">ttachment </w:t>
      </w:r>
      <w:r w:rsidR="006F412C" w:rsidRPr="00FD64D1">
        <w:rPr>
          <w:b/>
          <w:sz w:val="24"/>
          <w:szCs w:val="24"/>
        </w:rPr>
        <w:t>3c</w:t>
      </w:r>
      <w:r w:rsidR="00157BB8" w:rsidRPr="00FD64D1">
        <w:rPr>
          <w:b/>
          <w:sz w:val="24"/>
          <w:szCs w:val="24"/>
        </w:rPr>
        <w:t>)</w:t>
      </w:r>
      <w:r w:rsidRPr="00FD64D1">
        <w:rPr>
          <w:b/>
          <w:sz w:val="24"/>
          <w:szCs w:val="24"/>
        </w:rPr>
        <w:t xml:space="preserve">:  </w:t>
      </w:r>
      <w:r w:rsidR="002179E5" w:rsidRPr="00B504FE">
        <w:rPr>
          <w:sz w:val="24"/>
          <w:szCs w:val="24"/>
        </w:rPr>
        <w:t xml:space="preserve">Each </w:t>
      </w:r>
      <w:r w:rsidR="00CF0EFC" w:rsidRPr="00B504FE">
        <w:rPr>
          <w:sz w:val="24"/>
          <w:szCs w:val="24"/>
        </w:rPr>
        <w:t xml:space="preserve">partner </w:t>
      </w:r>
      <w:r w:rsidR="002179E5" w:rsidRPr="00B504FE">
        <w:rPr>
          <w:sz w:val="24"/>
          <w:szCs w:val="24"/>
        </w:rPr>
        <w:t xml:space="preserve">will participate in two key informant interviews per year.  </w:t>
      </w:r>
      <w:r w:rsidR="003B2035" w:rsidRPr="00B504FE">
        <w:rPr>
          <w:sz w:val="24"/>
          <w:szCs w:val="24"/>
        </w:rPr>
        <w:t xml:space="preserve">Each </w:t>
      </w:r>
      <w:r w:rsidR="002179E5" w:rsidRPr="00B504FE">
        <w:rPr>
          <w:sz w:val="24"/>
          <w:szCs w:val="24"/>
        </w:rPr>
        <w:t xml:space="preserve">interview will </w:t>
      </w:r>
      <w:r w:rsidR="00200AAC" w:rsidRPr="00B504FE">
        <w:rPr>
          <w:sz w:val="24"/>
          <w:szCs w:val="24"/>
        </w:rPr>
        <w:t>last 1 hour</w:t>
      </w:r>
      <w:r w:rsidR="007540FA" w:rsidRPr="00B504FE">
        <w:rPr>
          <w:sz w:val="24"/>
          <w:szCs w:val="24"/>
        </w:rPr>
        <w:t>.</w:t>
      </w:r>
      <w:r w:rsidR="00200AAC" w:rsidRPr="00B504FE">
        <w:rPr>
          <w:sz w:val="24"/>
          <w:szCs w:val="24"/>
        </w:rPr>
        <w:t xml:space="preserve"> It is estimated that participation in key informant interviews will account for </w:t>
      </w:r>
      <w:r w:rsidR="00CF30A4" w:rsidRPr="00B504FE">
        <w:rPr>
          <w:sz w:val="24"/>
          <w:szCs w:val="24"/>
        </w:rPr>
        <w:t xml:space="preserve">50 </w:t>
      </w:r>
      <w:r w:rsidR="00200AAC" w:rsidRPr="00B504FE">
        <w:rPr>
          <w:sz w:val="24"/>
          <w:szCs w:val="24"/>
        </w:rPr>
        <w:t xml:space="preserve">burden hours annually.  </w:t>
      </w:r>
    </w:p>
    <w:p w14:paraId="431FBBC5" w14:textId="150DAECF" w:rsidR="00EA1F87" w:rsidRPr="00B504FE" w:rsidRDefault="00BD7209" w:rsidP="00FD64D1">
      <w:pPr>
        <w:pStyle w:val="BodyText2"/>
        <w:numPr>
          <w:ilvl w:val="0"/>
          <w:numId w:val="34"/>
        </w:numPr>
        <w:spacing w:after="0" w:line="240" w:lineRule="auto"/>
        <w:rPr>
          <w:sz w:val="24"/>
          <w:szCs w:val="24"/>
        </w:rPr>
      </w:pPr>
      <w:r w:rsidRPr="00FD64D1">
        <w:rPr>
          <w:b/>
          <w:i/>
          <w:sz w:val="24"/>
          <w:szCs w:val="24"/>
        </w:rPr>
        <w:t>Interim Progress Report</w:t>
      </w:r>
      <w:r w:rsidRPr="00FD64D1" w:rsidDel="00BD7209">
        <w:rPr>
          <w:b/>
          <w:i/>
          <w:sz w:val="24"/>
          <w:szCs w:val="24"/>
        </w:rPr>
        <w:t xml:space="preserve"> </w:t>
      </w:r>
      <w:r w:rsidR="00157BB8" w:rsidRPr="00FD64D1">
        <w:rPr>
          <w:b/>
          <w:sz w:val="24"/>
          <w:szCs w:val="24"/>
        </w:rPr>
        <w:t>(</w:t>
      </w:r>
      <w:r w:rsidR="007B0777" w:rsidRPr="00FD64D1">
        <w:rPr>
          <w:b/>
          <w:sz w:val="24"/>
          <w:szCs w:val="24"/>
        </w:rPr>
        <w:t>A</w:t>
      </w:r>
      <w:r w:rsidR="00157BB8" w:rsidRPr="00FD64D1">
        <w:rPr>
          <w:b/>
          <w:sz w:val="24"/>
          <w:szCs w:val="24"/>
        </w:rPr>
        <w:t xml:space="preserve">ttachment </w:t>
      </w:r>
      <w:r w:rsidR="006F412C" w:rsidRPr="00FD64D1">
        <w:rPr>
          <w:b/>
          <w:sz w:val="24"/>
          <w:szCs w:val="24"/>
        </w:rPr>
        <w:t>3d</w:t>
      </w:r>
      <w:r w:rsidR="00157BB8" w:rsidRPr="00FD64D1">
        <w:rPr>
          <w:b/>
          <w:sz w:val="24"/>
          <w:szCs w:val="24"/>
        </w:rPr>
        <w:t>)</w:t>
      </w:r>
      <w:r w:rsidR="00EA1F87" w:rsidRPr="00FD64D1">
        <w:rPr>
          <w:b/>
          <w:sz w:val="24"/>
          <w:szCs w:val="24"/>
        </w:rPr>
        <w:t xml:space="preserve">:  </w:t>
      </w:r>
      <w:r w:rsidR="002179E5" w:rsidRPr="00B504FE">
        <w:rPr>
          <w:sz w:val="24"/>
          <w:szCs w:val="24"/>
        </w:rPr>
        <w:t xml:space="preserve">Each </w:t>
      </w:r>
      <w:r w:rsidR="00CF0EFC" w:rsidRPr="00B504FE">
        <w:rPr>
          <w:sz w:val="24"/>
          <w:szCs w:val="24"/>
        </w:rPr>
        <w:t xml:space="preserve">partner </w:t>
      </w:r>
      <w:r w:rsidR="002179E5" w:rsidRPr="00B504FE">
        <w:rPr>
          <w:sz w:val="24"/>
          <w:szCs w:val="24"/>
        </w:rPr>
        <w:t xml:space="preserve">will prepare a written </w:t>
      </w:r>
      <w:r w:rsidRPr="00B504FE">
        <w:rPr>
          <w:sz w:val="24"/>
          <w:szCs w:val="24"/>
        </w:rPr>
        <w:t>Interim Progress Report</w:t>
      </w:r>
      <w:r w:rsidRPr="00B504FE" w:rsidDel="00BD7209">
        <w:rPr>
          <w:sz w:val="24"/>
          <w:szCs w:val="24"/>
        </w:rPr>
        <w:t xml:space="preserve"> </w:t>
      </w:r>
      <w:r w:rsidR="00200AAC" w:rsidRPr="00B504FE">
        <w:rPr>
          <w:sz w:val="24"/>
          <w:szCs w:val="24"/>
        </w:rPr>
        <w:t>using a standardized reporting template</w:t>
      </w:r>
      <w:r w:rsidR="008260F3">
        <w:rPr>
          <w:sz w:val="24"/>
          <w:szCs w:val="24"/>
        </w:rPr>
        <w:t>, which will take about 8 hours to complete</w:t>
      </w:r>
      <w:r w:rsidR="002179E5" w:rsidRPr="00B504FE">
        <w:rPr>
          <w:sz w:val="24"/>
          <w:szCs w:val="24"/>
        </w:rPr>
        <w:t xml:space="preserve">.  </w:t>
      </w:r>
      <w:r w:rsidR="00200AAC" w:rsidRPr="00B504FE">
        <w:rPr>
          <w:sz w:val="24"/>
          <w:szCs w:val="24"/>
        </w:rPr>
        <w:t xml:space="preserve">It is estimated that completing the </w:t>
      </w:r>
      <w:r w:rsidRPr="00B504FE">
        <w:rPr>
          <w:sz w:val="24"/>
          <w:szCs w:val="24"/>
        </w:rPr>
        <w:t>Interim Progress Report</w:t>
      </w:r>
      <w:r w:rsidRPr="00B504FE" w:rsidDel="00BD7209">
        <w:rPr>
          <w:sz w:val="24"/>
          <w:szCs w:val="24"/>
        </w:rPr>
        <w:t xml:space="preserve"> </w:t>
      </w:r>
      <w:r w:rsidR="00200AAC" w:rsidRPr="00B504FE">
        <w:rPr>
          <w:sz w:val="24"/>
          <w:szCs w:val="24"/>
        </w:rPr>
        <w:t xml:space="preserve">will account for </w:t>
      </w:r>
      <w:r w:rsidR="00BB0F59" w:rsidRPr="00B504FE">
        <w:rPr>
          <w:sz w:val="24"/>
          <w:szCs w:val="24"/>
        </w:rPr>
        <w:t>400</w:t>
      </w:r>
      <w:r w:rsidR="00A931B0" w:rsidRPr="00B504FE">
        <w:rPr>
          <w:sz w:val="24"/>
          <w:szCs w:val="24"/>
        </w:rPr>
        <w:t xml:space="preserve"> </w:t>
      </w:r>
      <w:r w:rsidR="00200AAC" w:rsidRPr="00B504FE">
        <w:rPr>
          <w:sz w:val="24"/>
          <w:szCs w:val="24"/>
        </w:rPr>
        <w:t xml:space="preserve">burden hours annually.  </w:t>
      </w:r>
    </w:p>
    <w:p w14:paraId="3373433E" w14:textId="69E38B30" w:rsidR="00E921DB" w:rsidRPr="00B504FE" w:rsidRDefault="00ED5F44" w:rsidP="00FD64D1">
      <w:pPr>
        <w:pStyle w:val="BodyText2"/>
        <w:numPr>
          <w:ilvl w:val="0"/>
          <w:numId w:val="34"/>
        </w:numPr>
        <w:spacing w:after="0" w:line="240" w:lineRule="auto"/>
        <w:rPr>
          <w:sz w:val="24"/>
          <w:szCs w:val="24"/>
        </w:rPr>
      </w:pPr>
      <w:r w:rsidRPr="00FD64D1">
        <w:rPr>
          <w:b/>
          <w:i/>
          <w:sz w:val="24"/>
          <w:szCs w:val="24"/>
        </w:rPr>
        <w:t xml:space="preserve">Partner </w:t>
      </w:r>
      <w:r w:rsidR="00E010BC" w:rsidRPr="00FD64D1">
        <w:rPr>
          <w:b/>
          <w:i/>
          <w:sz w:val="24"/>
          <w:szCs w:val="24"/>
        </w:rPr>
        <w:t>S</w:t>
      </w:r>
      <w:r w:rsidR="00EA1F87" w:rsidRPr="00FD64D1">
        <w:rPr>
          <w:b/>
          <w:i/>
          <w:sz w:val="24"/>
          <w:szCs w:val="24"/>
        </w:rPr>
        <w:t>urvey</w:t>
      </w:r>
      <w:r w:rsidR="00157BB8" w:rsidRPr="00FD64D1">
        <w:rPr>
          <w:b/>
          <w:i/>
          <w:sz w:val="24"/>
          <w:szCs w:val="24"/>
        </w:rPr>
        <w:t xml:space="preserve"> </w:t>
      </w:r>
      <w:r w:rsidR="00755697" w:rsidRPr="00FD64D1">
        <w:rPr>
          <w:b/>
          <w:i/>
          <w:sz w:val="24"/>
          <w:szCs w:val="24"/>
        </w:rPr>
        <w:t>and Partner Screener</w:t>
      </w:r>
      <w:r w:rsidR="00157BB8" w:rsidRPr="00FD64D1">
        <w:rPr>
          <w:b/>
          <w:sz w:val="24"/>
          <w:szCs w:val="24"/>
        </w:rPr>
        <w:t xml:space="preserve"> (</w:t>
      </w:r>
      <w:r w:rsidR="007B0777" w:rsidRPr="00FD64D1">
        <w:rPr>
          <w:b/>
          <w:sz w:val="24"/>
          <w:szCs w:val="24"/>
        </w:rPr>
        <w:t>A</w:t>
      </w:r>
      <w:r w:rsidR="00157BB8" w:rsidRPr="00FD64D1">
        <w:rPr>
          <w:b/>
          <w:sz w:val="24"/>
          <w:szCs w:val="24"/>
        </w:rPr>
        <w:t xml:space="preserve">ttachment </w:t>
      </w:r>
      <w:r w:rsidR="006F412C" w:rsidRPr="00FD64D1">
        <w:rPr>
          <w:b/>
          <w:sz w:val="24"/>
          <w:szCs w:val="24"/>
        </w:rPr>
        <w:t>3e and 3g</w:t>
      </w:r>
      <w:r w:rsidR="00157BB8" w:rsidRPr="00FD64D1">
        <w:rPr>
          <w:b/>
          <w:sz w:val="24"/>
          <w:szCs w:val="24"/>
        </w:rPr>
        <w:t>)</w:t>
      </w:r>
      <w:r w:rsidR="00EA1F87" w:rsidRPr="00FD64D1">
        <w:rPr>
          <w:b/>
          <w:sz w:val="24"/>
          <w:szCs w:val="24"/>
        </w:rPr>
        <w:t xml:space="preserve">: </w:t>
      </w:r>
      <w:r w:rsidR="00EA1F87" w:rsidRPr="00B504FE">
        <w:rPr>
          <w:sz w:val="24"/>
          <w:szCs w:val="24"/>
        </w:rPr>
        <w:t xml:space="preserve"> </w:t>
      </w:r>
      <w:r w:rsidR="00847E0B" w:rsidRPr="00B504FE">
        <w:rPr>
          <w:sz w:val="24"/>
          <w:szCs w:val="24"/>
        </w:rPr>
        <w:t xml:space="preserve">The total time estimated to complete the survey is </w:t>
      </w:r>
      <w:r w:rsidR="00EF06C2" w:rsidRPr="00B504FE">
        <w:rPr>
          <w:sz w:val="24"/>
          <w:szCs w:val="24"/>
        </w:rPr>
        <w:t>3</w:t>
      </w:r>
      <w:r w:rsidR="00847E0B" w:rsidRPr="00B504FE">
        <w:rPr>
          <w:sz w:val="24"/>
          <w:szCs w:val="24"/>
        </w:rPr>
        <w:t>0 minutes</w:t>
      </w:r>
      <w:r w:rsidR="00F35B43">
        <w:rPr>
          <w:sz w:val="24"/>
          <w:szCs w:val="24"/>
        </w:rPr>
        <w:t xml:space="preserve"> (</w:t>
      </w:r>
      <w:r w:rsidR="00F35B43" w:rsidRPr="00A43A4B">
        <w:rPr>
          <w:b/>
          <w:sz w:val="24"/>
          <w:szCs w:val="24"/>
        </w:rPr>
        <w:t>Attachment 3e</w:t>
      </w:r>
      <w:r w:rsidR="00F35B43">
        <w:rPr>
          <w:sz w:val="24"/>
          <w:szCs w:val="24"/>
        </w:rPr>
        <w:t>), while the estimated time for completion of the screener is 10 minutes (</w:t>
      </w:r>
      <w:r w:rsidR="00F35B43" w:rsidRPr="00A43A4B">
        <w:rPr>
          <w:b/>
          <w:sz w:val="24"/>
          <w:szCs w:val="24"/>
        </w:rPr>
        <w:t>Attachment 3g</w:t>
      </w:r>
      <w:r w:rsidR="00F35B43">
        <w:rPr>
          <w:sz w:val="24"/>
          <w:szCs w:val="24"/>
        </w:rPr>
        <w:t>)</w:t>
      </w:r>
      <w:r w:rsidR="00847E0B" w:rsidRPr="00B504FE">
        <w:rPr>
          <w:sz w:val="24"/>
          <w:szCs w:val="24"/>
        </w:rPr>
        <w:t xml:space="preserve">. Not all items will be relevant for all </w:t>
      </w:r>
      <w:r w:rsidR="00C12AD6" w:rsidRPr="00B504FE">
        <w:rPr>
          <w:sz w:val="24"/>
          <w:szCs w:val="24"/>
        </w:rPr>
        <w:t xml:space="preserve">organizations </w:t>
      </w:r>
      <w:r w:rsidR="00847E0B" w:rsidRPr="00B504FE">
        <w:rPr>
          <w:sz w:val="24"/>
          <w:szCs w:val="24"/>
        </w:rPr>
        <w:t xml:space="preserve">and they will only need to complete the survey once. The total number of </w:t>
      </w:r>
      <w:r w:rsidR="00C12AD6" w:rsidRPr="00B504FE">
        <w:rPr>
          <w:sz w:val="24"/>
          <w:szCs w:val="24"/>
        </w:rPr>
        <w:t>organizations</w:t>
      </w:r>
      <w:r w:rsidR="00847E0B" w:rsidRPr="00B504FE">
        <w:rPr>
          <w:sz w:val="24"/>
          <w:szCs w:val="24"/>
        </w:rPr>
        <w:t xml:space="preserve"> and respondents is approximately </w:t>
      </w:r>
      <w:r w:rsidR="00DF18C0" w:rsidRPr="00B504FE">
        <w:rPr>
          <w:sz w:val="24"/>
          <w:szCs w:val="24"/>
        </w:rPr>
        <w:t>300</w:t>
      </w:r>
      <w:r w:rsidR="00847E0B" w:rsidRPr="00B504FE">
        <w:rPr>
          <w:sz w:val="24"/>
          <w:szCs w:val="24"/>
        </w:rPr>
        <w:t xml:space="preserve">. </w:t>
      </w:r>
      <w:r w:rsidR="00736D83" w:rsidRPr="00B504FE">
        <w:rPr>
          <w:sz w:val="24"/>
          <w:szCs w:val="24"/>
        </w:rPr>
        <w:t xml:space="preserve">The human resources manager at each </w:t>
      </w:r>
      <w:r w:rsidR="00565B3C" w:rsidRPr="00B504FE">
        <w:rPr>
          <w:sz w:val="24"/>
          <w:szCs w:val="24"/>
        </w:rPr>
        <w:t xml:space="preserve">organization </w:t>
      </w:r>
      <w:r w:rsidR="00736D83" w:rsidRPr="00B504FE">
        <w:rPr>
          <w:sz w:val="24"/>
          <w:szCs w:val="24"/>
        </w:rPr>
        <w:t xml:space="preserve">should be able to complete the survey without having to consult </w:t>
      </w:r>
      <w:r w:rsidR="00565B3C" w:rsidRPr="00B504FE">
        <w:rPr>
          <w:sz w:val="24"/>
          <w:szCs w:val="24"/>
        </w:rPr>
        <w:t xml:space="preserve">organizational </w:t>
      </w:r>
      <w:r w:rsidR="00736D83" w:rsidRPr="00B504FE">
        <w:rPr>
          <w:sz w:val="24"/>
          <w:szCs w:val="24"/>
        </w:rPr>
        <w:t xml:space="preserve">records for the information. If the </w:t>
      </w:r>
      <w:r w:rsidR="00565B3C" w:rsidRPr="00B504FE">
        <w:rPr>
          <w:sz w:val="24"/>
          <w:szCs w:val="24"/>
        </w:rPr>
        <w:t xml:space="preserve">organization </w:t>
      </w:r>
      <w:r w:rsidR="00736D83" w:rsidRPr="00B504FE">
        <w:rPr>
          <w:sz w:val="24"/>
          <w:szCs w:val="24"/>
        </w:rPr>
        <w:t xml:space="preserve">does not have a human resources manager or if the individual is unavailable, we will ask another well-informed senior manager to complete the survey. </w:t>
      </w:r>
      <w:r w:rsidR="00FC5975" w:rsidRPr="00B504FE">
        <w:rPr>
          <w:sz w:val="24"/>
          <w:szCs w:val="24"/>
        </w:rPr>
        <w:t xml:space="preserve">The annual burden for the survey </w:t>
      </w:r>
      <w:r w:rsidR="00F35B43">
        <w:rPr>
          <w:sz w:val="24"/>
          <w:szCs w:val="24"/>
        </w:rPr>
        <w:t xml:space="preserve">and screener </w:t>
      </w:r>
      <w:r w:rsidR="00FC5975" w:rsidRPr="00B504FE">
        <w:rPr>
          <w:sz w:val="24"/>
          <w:szCs w:val="24"/>
        </w:rPr>
        <w:t xml:space="preserve">is </w:t>
      </w:r>
      <w:r w:rsidR="00F35B43">
        <w:rPr>
          <w:sz w:val="24"/>
          <w:szCs w:val="24"/>
        </w:rPr>
        <w:t>200</w:t>
      </w:r>
      <w:r w:rsidR="00F35B43" w:rsidRPr="00B504FE">
        <w:rPr>
          <w:sz w:val="24"/>
          <w:szCs w:val="24"/>
        </w:rPr>
        <w:t xml:space="preserve"> </w:t>
      </w:r>
      <w:r w:rsidR="00FC5975" w:rsidRPr="00B504FE">
        <w:rPr>
          <w:sz w:val="24"/>
          <w:szCs w:val="24"/>
        </w:rPr>
        <w:t xml:space="preserve">hours.  </w:t>
      </w:r>
    </w:p>
    <w:p w14:paraId="67E770B8" w14:textId="65FA32EB" w:rsidR="00E010BC" w:rsidRDefault="00E010BC" w:rsidP="00FD64D1">
      <w:pPr>
        <w:pStyle w:val="BodyText2"/>
        <w:numPr>
          <w:ilvl w:val="0"/>
          <w:numId w:val="34"/>
        </w:numPr>
        <w:spacing w:after="0" w:line="240" w:lineRule="auto"/>
        <w:rPr>
          <w:sz w:val="24"/>
          <w:szCs w:val="24"/>
        </w:rPr>
      </w:pPr>
      <w:r w:rsidRPr="00FD64D1">
        <w:rPr>
          <w:b/>
          <w:i/>
          <w:sz w:val="24"/>
          <w:szCs w:val="24"/>
        </w:rPr>
        <w:t>Partnership Activities Form</w:t>
      </w:r>
      <w:r w:rsidR="00157BB8" w:rsidRPr="00FD64D1">
        <w:rPr>
          <w:b/>
          <w:sz w:val="24"/>
          <w:szCs w:val="24"/>
        </w:rPr>
        <w:t xml:space="preserve"> (</w:t>
      </w:r>
      <w:r w:rsidR="007B0777" w:rsidRPr="00FD64D1">
        <w:rPr>
          <w:b/>
          <w:sz w:val="24"/>
          <w:szCs w:val="24"/>
        </w:rPr>
        <w:t>A</w:t>
      </w:r>
      <w:r w:rsidR="00157BB8" w:rsidRPr="00FD64D1">
        <w:rPr>
          <w:b/>
          <w:sz w:val="24"/>
          <w:szCs w:val="24"/>
        </w:rPr>
        <w:t xml:space="preserve">ttachment </w:t>
      </w:r>
      <w:r w:rsidR="006F412C" w:rsidRPr="00FD64D1">
        <w:rPr>
          <w:b/>
          <w:sz w:val="24"/>
          <w:szCs w:val="24"/>
        </w:rPr>
        <w:t>3f</w:t>
      </w:r>
      <w:r w:rsidR="00157BB8" w:rsidRPr="00FD64D1">
        <w:rPr>
          <w:b/>
          <w:sz w:val="24"/>
          <w:szCs w:val="24"/>
        </w:rPr>
        <w:t>)</w:t>
      </w:r>
      <w:r w:rsidRPr="00FD64D1">
        <w:rPr>
          <w:b/>
          <w:sz w:val="24"/>
          <w:szCs w:val="24"/>
        </w:rPr>
        <w:t xml:space="preserve">: </w:t>
      </w:r>
      <w:r w:rsidR="00C12AD6" w:rsidRPr="00B504FE">
        <w:rPr>
          <w:sz w:val="24"/>
          <w:szCs w:val="24"/>
        </w:rPr>
        <w:t>The total time estimated to complete the survey is 2</w:t>
      </w:r>
      <w:r w:rsidR="00FD5435" w:rsidRPr="00B504FE">
        <w:rPr>
          <w:sz w:val="24"/>
          <w:szCs w:val="24"/>
        </w:rPr>
        <w:t>5</w:t>
      </w:r>
      <w:r w:rsidR="00C12AD6" w:rsidRPr="00B504FE">
        <w:rPr>
          <w:sz w:val="24"/>
          <w:szCs w:val="24"/>
        </w:rPr>
        <w:t xml:space="preserve"> minutes. Not all items will be relevant for all partners and they will only need to complete the survey once</w:t>
      </w:r>
      <w:r w:rsidR="006966D3" w:rsidRPr="00B504FE">
        <w:rPr>
          <w:sz w:val="24"/>
          <w:szCs w:val="24"/>
        </w:rPr>
        <w:t xml:space="preserve"> per event/activity</w:t>
      </w:r>
      <w:r w:rsidR="00C12AD6" w:rsidRPr="00B504FE">
        <w:rPr>
          <w:sz w:val="24"/>
          <w:szCs w:val="24"/>
        </w:rPr>
        <w:t xml:space="preserve">. The total number of partners and respondents is approximately </w:t>
      </w:r>
      <w:r w:rsidR="008721FA" w:rsidRPr="00B504FE">
        <w:rPr>
          <w:sz w:val="24"/>
          <w:szCs w:val="24"/>
        </w:rPr>
        <w:t>5</w:t>
      </w:r>
      <w:r w:rsidR="00C12AD6" w:rsidRPr="00B504FE">
        <w:rPr>
          <w:sz w:val="24"/>
          <w:szCs w:val="24"/>
        </w:rPr>
        <w:t>00.</w:t>
      </w:r>
      <w:r w:rsidR="001E389B" w:rsidRPr="00B504FE">
        <w:rPr>
          <w:sz w:val="24"/>
          <w:szCs w:val="24"/>
        </w:rPr>
        <w:t xml:space="preserve"> It is estimated that completing the form will account for </w:t>
      </w:r>
      <w:r w:rsidR="008721FA" w:rsidRPr="00B504FE">
        <w:rPr>
          <w:sz w:val="24"/>
          <w:szCs w:val="24"/>
        </w:rPr>
        <w:t xml:space="preserve">800 </w:t>
      </w:r>
      <w:r w:rsidR="001E389B" w:rsidRPr="00B504FE">
        <w:rPr>
          <w:sz w:val="24"/>
          <w:szCs w:val="24"/>
        </w:rPr>
        <w:t>burden hours annually.</w:t>
      </w:r>
    </w:p>
    <w:p w14:paraId="11E4B513" w14:textId="77777777" w:rsidR="00F57B18" w:rsidRPr="00B504FE" w:rsidRDefault="00F57B18" w:rsidP="00FD64D1">
      <w:pPr>
        <w:pStyle w:val="BodyText2"/>
        <w:spacing w:after="0" w:line="240" w:lineRule="auto"/>
        <w:ind w:firstLine="0"/>
        <w:rPr>
          <w:sz w:val="24"/>
          <w:szCs w:val="24"/>
        </w:rPr>
      </w:pPr>
    </w:p>
    <w:p w14:paraId="34DC42D3" w14:textId="77777777" w:rsidR="00E949EF" w:rsidRPr="00B504FE" w:rsidRDefault="00F157CF" w:rsidP="00FD64D1">
      <w:pPr>
        <w:pStyle w:val="Exhibittitle"/>
        <w:spacing w:before="0" w:after="0"/>
        <w:rPr>
          <w:szCs w:val="24"/>
        </w:rPr>
      </w:pPr>
      <w:r w:rsidRPr="00B504FE">
        <w:rPr>
          <w:szCs w:val="24"/>
        </w:rPr>
        <w:t>Table</w:t>
      </w:r>
      <w:r w:rsidR="00E949EF" w:rsidRPr="00B504FE">
        <w:rPr>
          <w:szCs w:val="24"/>
        </w:rPr>
        <w:t xml:space="preserve"> </w:t>
      </w:r>
      <w:r w:rsidRPr="00B504FE">
        <w:rPr>
          <w:szCs w:val="24"/>
        </w:rPr>
        <w:t>A.12.1</w:t>
      </w:r>
      <w:r w:rsidR="00E949EF" w:rsidRPr="00B504FE">
        <w:rPr>
          <w:szCs w:val="24"/>
        </w:rPr>
        <w:t>.</w:t>
      </w:r>
      <w:r w:rsidR="00E949EF" w:rsidRPr="00B504FE">
        <w:rPr>
          <w:szCs w:val="24"/>
        </w:rPr>
        <w:tab/>
        <w:t>Annualized Burden Hours</w:t>
      </w:r>
      <w:bookmarkEnd w:id="49"/>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499"/>
        <w:gridCol w:w="1594"/>
        <w:gridCol w:w="1466"/>
        <w:gridCol w:w="1350"/>
        <w:gridCol w:w="1058"/>
      </w:tblGrid>
      <w:tr w:rsidR="00783ED8" w:rsidRPr="00B504FE" w14:paraId="38B7EA0D" w14:textId="77777777" w:rsidTr="00C220F9">
        <w:trPr>
          <w:trHeight w:val="918"/>
          <w:jc w:val="center"/>
        </w:trPr>
        <w:tc>
          <w:tcPr>
            <w:tcW w:w="1530" w:type="dxa"/>
            <w:tcBorders>
              <w:bottom w:val="single" w:sz="4" w:space="0" w:color="auto"/>
            </w:tcBorders>
            <w:shd w:val="clear" w:color="auto" w:fill="CCCCCC"/>
            <w:vAlign w:val="center"/>
          </w:tcPr>
          <w:p w14:paraId="00FC556C" w14:textId="77777777" w:rsidR="00157BB8" w:rsidRPr="00B504FE" w:rsidRDefault="00E84C0F" w:rsidP="00FD64D1">
            <w:pPr>
              <w:jc w:val="center"/>
              <w:rPr>
                <w:b/>
                <w:bCs/>
                <w:szCs w:val="24"/>
              </w:rPr>
            </w:pPr>
            <w:r w:rsidRPr="00B504FE">
              <w:rPr>
                <w:b/>
                <w:bCs/>
                <w:szCs w:val="24"/>
              </w:rPr>
              <w:t>Type of Respondent</w:t>
            </w:r>
          </w:p>
        </w:tc>
        <w:tc>
          <w:tcPr>
            <w:tcW w:w="2499" w:type="dxa"/>
            <w:tcBorders>
              <w:bottom w:val="single" w:sz="4" w:space="0" w:color="auto"/>
            </w:tcBorders>
            <w:shd w:val="clear" w:color="auto" w:fill="CCCCCC"/>
            <w:vAlign w:val="center"/>
          </w:tcPr>
          <w:p w14:paraId="6B65CF9F" w14:textId="77777777" w:rsidR="00157BB8" w:rsidRPr="00B504FE" w:rsidRDefault="00157BB8" w:rsidP="00FD64D1">
            <w:pPr>
              <w:jc w:val="center"/>
              <w:rPr>
                <w:b/>
                <w:szCs w:val="24"/>
              </w:rPr>
            </w:pPr>
            <w:r w:rsidRPr="00B504FE">
              <w:rPr>
                <w:b/>
                <w:bCs/>
                <w:szCs w:val="24"/>
              </w:rPr>
              <w:t xml:space="preserve">Form Name </w:t>
            </w:r>
          </w:p>
        </w:tc>
        <w:tc>
          <w:tcPr>
            <w:tcW w:w="1594" w:type="dxa"/>
            <w:shd w:val="clear" w:color="auto" w:fill="CCCCCC"/>
            <w:vAlign w:val="center"/>
          </w:tcPr>
          <w:p w14:paraId="3BDAFA3A" w14:textId="77777777" w:rsidR="00157BB8" w:rsidRPr="00B504FE" w:rsidRDefault="00157BB8" w:rsidP="00FD64D1">
            <w:pPr>
              <w:keepNext/>
              <w:jc w:val="center"/>
              <w:rPr>
                <w:b/>
                <w:szCs w:val="24"/>
              </w:rPr>
            </w:pPr>
            <w:r w:rsidRPr="00B504FE">
              <w:rPr>
                <w:b/>
                <w:szCs w:val="24"/>
              </w:rPr>
              <w:t>No. of Respondents</w:t>
            </w:r>
          </w:p>
        </w:tc>
        <w:tc>
          <w:tcPr>
            <w:tcW w:w="1466" w:type="dxa"/>
            <w:shd w:val="clear" w:color="auto" w:fill="CCCCCC"/>
            <w:vAlign w:val="center"/>
          </w:tcPr>
          <w:p w14:paraId="5ABE6500" w14:textId="77777777" w:rsidR="00157BB8" w:rsidRPr="00B504FE" w:rsidRDefault="00157BB8" w:rsidP="00FD64D1">
            <w:pPr>
              <w:keepNext/>
              <w:jc w:val="center"/>
              <w:rPr>
                <w:b/>
                <w:szCs w:val="24"/>
              </w:rPr>
            </w:pPr>
            <w:r w:rsidRPr="00B504FE">
              <w:rPr>
                <w:b/>
                <w:szCs w:val="24"/>
              </w:rPr>
              <w:t>No. of Responses Per Respondent</w:t>
            </w:r>
          </w:p>
        </w:tc>
        <w:tc>
          <w:tcPr>
            <w:tcW w:w="1350" w:type="dxa"/>
            <w:shd w:val="clear" w:color="auto" w:fill="CCCCCC"/>
            <w:vAlign w:val="center"/>
          </w:tcPr>
          <w:p w14:paraId="55359A59" w14:textId="77777777" w:rsidR="00157BB8" w:rsidRPr="00B504FE" w:rsidRDefault="00157BB8" w:rsidP="00FD64D1">
            <w:pPr>
              <w:keepNext/>
              <w:jc w:val="center"/>
              <w:rPr>
                <w:b/>
                <w:szCs w:val="24"/>
              </w:rPr>
            </w:pPr>
            <w:r w:rsidRPr="00B504FE">
              <w:rPr>
                <w:b/>
                <w:szCs w:val="24"/>
              </w:rPr>
              <w:t>Average Burden per Respons</w:t>
            </w:r>
            <w:r w:rsidR="007B0777" w:rsidRPr="00B504FE">
              <w:rPr>
                <w:b/>
                <w:szCs w:val="24"/>
              </w:rPr>
              <w:t>e (in hours)</w:t>
            </w:r>
          </w:p>
        </w:tc>
        <w:tc>
          <w:tcPr>
            <w:tcW w:w="1058" w:type="dxa"/>
            <w:shd w:val="clear" w:color="auto" w:fill="CCCCCC"/>
            <w:vAlign w:val="center"/>
          </w:tcPr>
          <w:p w14:paraId="046F3103" w14:textId="77777777" w:rsidR="00157BB8" w:rsidRPr="00B504FE" w:rsidRDefault="00157BB8" w:rsidP="00FD64D1">
            <w:pPr>
              <w:keepNext/>
              <w:jc w:val="center"/>
              <w:rPr>
                <w:b/>
                <w:szCs w:val="24"/>
              </w:rPr>
            </w:pPr>
            <w:r w:rsidRPr="00B504FE">
              <w:rPr>
                <w:b/>
                <w:szCs w:val="24"/>
              </w:rPr>
              <w:t>Total Burden Hours*</w:t>
            </w:r>
          </w:p>
        </w:tc>
      </w:tr>
      <w:tr w:rsidR="00B504FE" w:rsidRPr="00B504FE" w14:paraId="3BD1DF68" w14:textId="77777777" w:rsidTr="009B2BE9">
        <w:trPr>
          <w:jc w:val="center"/>
        </w:trPr>
        <w:tc>
          <w:tcPr>
            <w:tcW w:w="1530" w:type="dxa"/>
          </w:tcPr>
          <w:p w14:paraId="029AC3C7" w14:textId="77777777" w:rsidR="00B33F41" w:rsidRPr="00B504FE" w:rsidRDefault="00B33F41" w:rsidP="00FD64D1">
            <w:pPr>
              <w:rPr>
                <w:szCs w:val="24"/>
              </w:rPr>
            </w:pPr>
            <w:r w:rsidRPr="00B504FE">
              <w:rPr>
                <w:szCs w:val="24"/>
              </w:rPr>
              <w:t>Partner Organization</w:t>
            </w:r>
          </w:p>
        </w:tc>
        <w:tc>
          <w:tcPr>
            <w:tcW w:w="2499" w:type="dxa"/>
            <w:shd w:val="clear" w:color="auto" w:fill="auto"/>
            <w:vAlign w:val="center"/>
          </w:tcPr>
          <w:p w14:paraId="06554E9C" w14:textId="1C15B49E" w:rsidR="00B33F41" w:rsidRPr="00B504FE" w:rsidRDefault="00B33F41" w:rsidP="00FD64D1">
            <w:pPr>
              <w:rPr>
                <w:bCs/>
                <w:szCs w:val="24"/>
              </w:rPr>
            </w:pPr>
            <w:r w:rsidRPr="00B504FE">
              <w:rPr>
                <w:bCs/>
                <w:szCs w:val="24"/>
              </w:rPr>
              <w:t>Metric</w:t>
            </w:r>
            <w:r w:rsidR="00B674C8" w:rsidRPr="00B504FE">
              <w:rPr>
                <w:bCs/>
                <w:szCs w:val="24"/>
              </w:rPr>
              <w:t>s</w:t>
            </w:r>
            <w:r w:rsidRPr="00B504FE">
              <w:rPr>
                <w:bCs/>
                <w:szCs w:val="24"/>
              </w:rPr>
              <w:t xml:space="preserve"> Database (</w:t>
            </w:r>
            <w:r w:rsidR="007B0777" w:rsidRPr="00B504FE">
              <w:rPr>
                <w:bCs/>
                <w:szCs w:val="24"/>
              </w:rPr>
              <w:t>A</w:t>
            </w:r>
            <w:r w:rsidRPr="00B504FE">
              <w:rPr>
                <w:bCs/>
                <w:szCs w:val="24"/>
              </w:rPr>
              <w:t xml:space="preserve">tt </w:t>
            </w:r>
            <w:r w:rsidR="006F412C" w:rsidRPr="00B504FE">
              <w:rPr>
                <w:bCs/>
                <w:szCs w:val="24"/>
              </w:rPr>
              <w:t>3a</w:t>
            </w:r>
            <w:r w:rsidRPr="00B504FE">
              <w:rPr>
                <w:bCs/>
                <w:szCs w:val="24"/>
              </w:rPr>
              <w:t>)</w:t>
            </w:r>
          </w:p>
        </w:tc>
        <w:tc>
          <w:tcPr>
            <w:tcW w:w="1594" w:type="dxa"/>
            <w:shd w:val="clear" w:color="auto" w:fill="auto"/>
            <w:vAlign w:val="center"/>
          </w:tcPr>
          <w:p w14:paraId="11B57BB0" w14:textId="77777777" w:rsidR="00B33F41" w:rsidRPr="00B504FE" w:rsidRDefault="00B33F41" w:rsidP="00FD64D1">
            <w:pPr>
              <w:jc w:val="center"/>
              <w:rPr>
                <w:bCs/>
                <w:szCs w:val="24"/>
              </w:rPr>
            </w:pPr>
            <w:r w:rsidRPr="00B504FE">
              <w:rPr>
                <w:bCs/>
                <w:szCs w:val="24"/>
              </w:rPr>
              <w:t>50</w:t>
            </w:r>
          </w:p>
        </w:tc>
        <w:tc>
          <w:tcPr>
            <w:tcW w:w="1466" w:type="dxa"/>
            <w:shd w:val="clear" w:color="auto" w:fill="auto"/>
            <w:vAlign w:val="center"/>
          </w:tcPr>
          <w:p w14:paraId="7A56BE34" w14:textId="77777777" w:rsidR="00B33F41" w:rsidRPr="00B504FE" w:rsidRDefault="00B33F41" w:rsidP="00FD64D1">
            <w:pPr>
              <w:jc w:val="center"/>
              <w:rPr>
                <w:bCs/>
                <w:szCs w:val="24"/>
              </w:rPr>
            </w:pPr>
            <w:r w:rsidRPr="00B504FE">
              <w:rPr>
                <w:bCs/>
                <w:szCs w:val="24"/>
              </w:rPr>
              <w:t>4</w:t>
            </w:r>
          </w:p>
        </w:tc>
        <w:tc>
          <w:tcPr>
            <w:tcW w:w="1350" w:type="dxa"/>
            <w:shd w:val="clear" w:color="auto" w:fill="auto"/>
            <w:vAlign w:val="center"/>
          </w:tcPr>
          <w:p w14:paraId="6CCBD972" w14:textId="77777777" w:rsidR="00B33F41" w:rsidRPr="00B504FE" w:rsidRDefault="00B33F41" w:rsidP="00FD64D1">
            <w:pPr>
              <w:jc w:val="center"/>
              <w:rPr>
                <w:bCs/>
                <w:szCs w:val="24"/>
              </w:rPr>
            </w:pPr>
            <w:r w:rsidRPr="00B504FE">
              <w:rPr>
                <w:bCs/>
                <w:szCs w:val="24"/>
              </w:rPr>
              <w:t>18</w:t>
            </w:r>
          </w:p>
        </w:tc>
        <w:tc>
          <w:tcPr>
            <w:tcW w:w="1058" w:type="dxa"/>
            <w:shd w:val="clear" w:color="auto" w:fill="auto"/>
            <w:vAlign w:val="center"/>
          </w:tcPr>
          <w:p w14:paraId="6361D915" w14:textId="77777777" w:rsidR="00B33F41" w:rsidRPr="00B504FE" w:rsidRDefault="00B33F41" w:rsidP="00FD64D1">
            <w:pPr>
              <w:jc w:val="center"/>
              <w:rPr>
                <w:bCs/>
                <w:szCs w:val="24"/>
              </w:rPr>
            </w:pPr>
            <w:r w:rsidRPr="00B504FE">
              <w:rPr>
                <w:bCs/>
                <w:szCs w:val="24"/>
              </w:rPr>
              <w:t>3,600</w:t>
            </w:r>
          </w:p>
        </w:tc>
      </w:tr>
      <w:tr w:rsidR="00B504FE" w:rsidRPr="00B504FE" w14:paraId="4F9569AB" w14:textId="77777777" w:rsidTr="009B2BE9">
        <w:trPr>
          <w:jc w:val="center"/>
        </w:trPr>
        <w:tc>
          <w:tcPr>
            <w:tcW w:w="1530" w:type="dxa"/>
          </w:tcPr>
          <w:p w14:paraId="7D747E61" w14:textId="77777777" w:rsidR="00B33F41" w:rsidRPr="00B504FE" w:rsidRDefault="00B33F41" w:rsidP="00FD64D1">
            <w:pPr>
              <w:rPr>
                <w:szCs w:val="24"/>
              </w:rPr>
            </w:pPr>
            <w:r w:rsidRPr="00B504FE">
              <w:rPr>
                <w:szCs w:val="24"/>
              </w:rPr>
              <w:t>Partner Organization</w:t>
            </w:r>
          </w:p>
        </w:tc>
        <w:tc>
          <w:tcPr>
            <w:tcW w:w="2499" w:type="dxa"/>
            <w:shd w:val="clear" w:color="auto" w:fill="auto"/>
            <w:vAlign w:val="center"/>
          </w:tcPr>
          <w:p w14:paraId="79215B20" w14:textId="77777777" w:rsidR="00B33F41" w:rsidRPr="00B504FE" w:rsidRDefault="00B33F41" w:rsidP="00FD64D1">
            <w:pPr>
              <w:rPr>
                <w:bCs/>
                <w:szCs w:val="24"/>
              </w:rPr>
            </w:pPr>
            <w:r w:rsidRPr="00B504FE">
              <w:rPr>
                <w:bCs/>
                <w:szCs w:val="24"/>
              </w:rPr>
              <w:t xml:space="preserve">Key Informant Interview </w:t>
            </w:r>
            <w:r w:rsidR="002C6B1F" w:rsidRPr="00B504FE">
              <w:rPr>
                <w:bCs/>
                <w:szCs w:val="24"/>
              </w:rPr>
              <w:t xml:space="preserve">Guide </w:t>
            </w:r>
            <w:r w:rsidRPr="00B504FE">
              <w:rPr>
                <w:bCs/>
                <w:szCs w:val="24"/>
              </w:rPr>
              <w:t>(</w:t>
            </w:r>
            <w:r w:rsidR="007B0777" w:rsidRPr="00B504FE">
              <w:rPr>
                <w:bCs/>
                <w:szCs w:val="24"/>
              </w:rPr>
              <w:t>A</w:t>
            </w:r>
            <w:r w:rsidRPr="00B504FE">
              <w:rPr>
                <w:bCs/>
                <w:szCs w:val="24"/>
              </w:rPr>
              <w:t xml:space="preserve">tt </w:t>
            </w:r>
            <w:r w:rsidR="006F412C" w:rsidRPr="00B504FE">
              <w:rPr>
                <w:bCs/>
                <w:szCs w:val="24"/>
              </w:rPr>
              <w:t>3c</w:t>
            </w:r>
            <w:r w:rsidRPr="00B504FE">
              <w:rPr>
                <w:bCs/>
                <w:szCs w:val="24"/>
              </w:rPr>
              <w:t>)</w:t>
            </w:r>
          </w:p>
        </w:tc>
        <w:tc>
          <w:tcPr>
            <w:tcW w:w="1594" w:type="dxa"/>
            <w:shd w:val="clear" w:color="auto" w:fill="auto"/>
            <w:vAlign w:val="center"/>
          </w:tcPr>
          <w:p w14:paraId="0FB1DFA0" w14:textId="77777777" w:rsidR="00B33F41" w:rsidRPr="00B504FE" w:rsidRDefault="00B33F41" w:rsidP="00FD64D1">
            <w:pPr>
              <w:jc w:val="center"/>
              <w:rPr>
                <w:bCs/>
                <w:szCs w:val="24"/>
              </w:rPr>
            </w:pPr>
            <w:r w:rsidRPr="00B504FE">
              <w:rPr>
                <w:bCs/>
                <w:szCs w:val="24"/>
              </w:rPr>
              <w:t>25</w:t>
            </w:r>
          </w:p>
        </w:tc>
        <w:tc>
          <w:tcPr>
            <w:tcW w:w="1466" w:type="dxa"/>
            <w:shd w:val="clear" w:color="auto" w:fill="auto"/>
            <w:vAlign w:val="center"/>
          </w:tcPr>
          <w:p w14:paraId="35DCC07D" w14:textId="77777777" w:rsidR="00B33F41" w:rsidRPr="00B504FE" w:rsidRDefault="00B33F41" w:rsidP="00FD64D1">
            <w:pPr>
              <w:jc w:val="center"/>
              <w:rPr>
                <w:bCs/>
                <w:szCs w:val="24"/>
              </w:rPr>
            </w:pPr>
            <w:r w:rsidRPr="00B504FE">
              <w:rPr>
                <w:bCs/>
                <w:szCs w:val="24"/>
              </w:rPr>
              <w:t>2</w:t>
            </w:r>
          </w:p>
        </w:tc>
        <w:tc>
          <w:tcPr>
            <w:tcW w:w="1350" w:type="dxa"/>
            <w:shd w:val="clear" w:color="auto" w:fill="auto"/>
            <w:vAlign w:val="center"/>
          </w:tcPr>
          <w:p w14:paraId="70D13A33" w14:textId="77777777" w:rsidR="00B33F41" w:rsidRPr="00B504FE" w:rsidRDefault="00B33F41" w:rsidP="00FD64D1">
            <w:pPr>
              <w:jc w:val="center"/>
              <w:rPr>
                <w:bCs/>
                <w:szCs w:val="24"/>
              </w:rPr>
            </w:pPr>
            <w:r w:rsidRPr="00B504FE">
              <w:rPr>
                <w:bCs/>
                <w:szCs w:val="24"/>
              </w:rPr>
              <w:t>1</w:t>
            </w:r>
          </w:p>
        </w:tc>
        <w:tc>
          <w:tcPr>
            <w:tcW w:w="1058" w:type="dxa"/>
            <w:shd w:val="clear" w:color="auto" w:fill="auto"/>
            <w:vAlign w:val="center"/>
          </w:tcPr>
          <w:p w14:paraId="25B2989C" w14:textId="77777777" w:rsidR="00B33F41" w:rsidRPr="00B504FE" w:rsidRDefault="00B33F41" w:rsidP="00FD64D1">
            <w:pPr>
              <w:jc w:val="center"/>
              <w:rPr>
                <w:bCs/>
                <w:szCs w:val="24"/>
              </w:rPr>
            </w:pPr>
            <w:r w:rsidRPr="00B504FE">
              <w:rPr>
                <w:bCs/>
                <w:szCs w:val="24"/>
              </w:rPr>
              <w:t>50</w:t>
            </w:r>
          </w:p>
        </w:tc>
      </w:tr>
      <w:tr w:rsidR="00B504FE" w:rsidRPr="00B504FE" w14:paraId="22CF4A3A" w14:textId="77777777" w:rsidTr="009B2BE9">
        <w:trPr>
          <w:jc w:val="center"/>
        </w:trPr>
        <w:tc>
          <w:tcPr>
            <w:tcW w:w="1530" w:type="dxa"/>
          </w:tcPr>
          <w:p w14:paraId="3203AC86" w14:textId="77777777" w:rsidR="00B33F41" w:rsidRPr="00B504FE" w:rsidRDefault="00B33F41" w:rsidP="00FD64D1">
            <w:pPr>
              <w:rPr>
                <w:szCs w:val="24"/>
              </w:rPr>
            </w:pPr>
            <w:r w:rsidRPr="00B504FE">
              <w:rPr>
                <w:szCs w:val="24"/>
              </w:rPr>
              <w:t>Partner Organization</w:t>
            </w:r>
          </w:p>
        </w:tc>
        <w:tc>
          <w:tcPr>
            <w:tcW w:w="2499" w:type="dxa"/>
            <w:shd w:val="clear" w:color="auto" w:fill="auto"/>
            <w:vAlign w:val="center"/>
          </w:tcPr>
          <w:p w14:paraId="51FE5DA1" w14:textId="77777777" w:rsidR="00B33F41" w:rsidRPr="00B504FE" w:rsidRDefault="00B33F41" w:rsidP="00FD64D1">
            <w:pPr>
              <w:rPr>
                <w:bCs/>
                <w:szCs w:val="24"/>
              </w:rPr>
            </w:pPr>
            <w:r w:rsidRPr="00B504FE">
              <w:rPr>
                <w:bCs/>
                <w:szCs w:val="24"/>
              </w:rPr>
              <w:t>Interim Progress Report (</w:t>
            </w:r>
            <w:r w:rsidR="007B0777" w:rsidRPr="00B504FE">
              <w:rPr>
                <w:bCs/>
                <w:szCs w:val="24"/>
              </w:rPr>
              <w:t>A</w:t>
            </w:r>
            <w:r w:rsidRPr="00B504FE">
              <w:rPr>
                <w:bCs/>
                <w:szCs w:val="24"/>
              </w:rPr>
              <w:t xml:space="preserve">tt </w:t>
            </w:r>
            <w:r w:rsidR="006F412C" w:rsidRPr="00B504FE">
              <w:rPr>
                <w:bCs/>
                <w:szCs w:val="24"/>
              </w:rPr>
              <w:t>3d</w:t>
            </w:r>
            <w:r w:rsidRPr="00B504FE">
              <w:rPr>
                <w:bCs/>
                <w:szCs w:val="24"/>
              </w:rPr>
              <w:t>)</w:t>
            </w:r>
          </w:p>
        </w:tc>
        <w:tc>
          <w:tcPr>
            <w:tcW w:w="1594" w:type="dxa"/>
            <w:shd w:val="clear" w:color="auto" w:fill="auto"/>
            <w:vAlign w:val="center"/>
          </w:tcPr>
          <w:p w14:paraId="265AD83C" w14:textId="77777777" w:rsidR="00B33F41" w:rsidRPr="00B504FE" w:rsidRDefault="00B33F41" w:rsidP="00FD64D1">
            <w:pPr>
              <w:jc w:val="center"/>
              <w:rPr>
                <w:bCs/>
                <w:szCs w:val="24"/>
              </w:rPr>
            </w:pPr>
            <w:r w:rsidRPr="00B504FE">
              <w:rPr>
                <w:bCs/>
                <w:szCs w:val="24"/>
              </w:rPr>
              <w:t>25</w:t>
            </w:r>
          </w:p>
        </w:tc>
        <w:tc>
          <w:tcPr>
            <w:tcW w:w="1466" w:type="dxa"/>
            <w:shd w:val="clear" w:color="auto" w:fill="auto"/>
            <w:vAlign w:val="center"/>
          </w:tcPr>
          <w:p w14:paraId="06263B1C" w14:textId="77777777" w:rsidR="00B33F41" w:rsidRPr="00B504FE" w:rsidRDefault="00B33F41" w:rsidP="00FD64D1">
            <w:pPr>
              <w:jc w:val="center"/>
              <w:rPr>
                <w:bCs/>
                <w:szCs w:val="24"/>
              </w:rPr>
            </w:pPr>
            <w:r w:rsidRPr="00B504FE">
              <w:rPr>
                <w:bCs/>
                <w:szCs w:val="24"/>
              </w:rPr>
              <w:t>2</w:t>
            </w:r>
          </w:p>
        </w:tc>
        <w:tc>
          <w:tcPr>
            <w:tcW w:w="1350" w:type="dxa"/>
            <w:shd w:val="clear" w:color="auto" w:fill="auto"/>
            <w:vAlign w:val="center"/>
          </w:tcPr>
          <w:p w14:paraId="03B65553" w14:textId="77777777" w:rsidR="00B33F41" w:rsidRPr="00B504FE" w:rsidRDefault="00B33F41" w:rsidP="00FD64D1">
            <w:pPr>
              <w:jc w:val="center"/>
              <w:rPr>
                <w:bCs/>
                <w:szCs w:val="24"/>
              </w:rPr>
            </w:pPr>
            <w:r w:rsidRPr="00B504FE">
              <w:rPr>
                <w:bCs/>
                <w:szCs w:val="24"/>
              </w:rPr>
              <w:t>8</w:t>
            </w:r>
          </w:p>
        </w:tc>
        <w:tc>
          <w:tcPr>
            <w:tcW w:w="1058" w:type="dxa"/>
            <w:shd w:val="clear" w:color="auto" w:fill="auto"/>
            <w:vAlign w:val="center"/>
          </w:tcPr>
          <w:p w14:paraId="04F414D1" w14:textId="77777777" w:rsidR="00B33F41" w:rsidRPr="00B504FE" w:rsidRDefault="00B33F41" w:rsidP="00FD64D1">
            <w:pPr>
              <w:jc w:val="center"/>
              <w:rPr>
                <w:bCs/>
                <w:szCs w:val="24"/>
              </w:rPr>
            </w:pPr>
            <w:r w:rsidRPr="00B504FE">
              <w:rPr>
                <w:bCs/>
                <w:szCs w:val="24"/>
              </w:rPr>
              <w:t>400</w:t>
            </w:r>
          </w:p>
        </w:tc>
      </w:tr>
      <w:tr w:rsidR="00783ED8" w:rsidRPr="00B504FE" w14:paraId="75513DF0" w14:textId="77777777" w:rsidTr="00C220F9">
        <w:trPr>
          <w:jc w:val="center"/>
        </w:trPr>
        <w:tc>
          <w:tcPr>
            <w:tcW w:w="1530" w:type="dxa"/>
            <w:tcBorders>
              <w:bottom w:val="single" w:sz="4" w:space="0" w:color="auto"/>
            </w:tcBorders>
          </w:tcPr>
          <w:p w14:paraId="055F64AC" w14:textId="77777777" w:rsidR="00B33F41" w:rsidRPr="00B504FE" w:rsidRDefault="00B33F41" w:rsidP="00FD64D1">
            <w:pPr>
              <w:rPr>
                <w:szCs w:val="24"/>
              </w:rPr>
            </w:pPr>
            <w:r w:rsidRPr="00B504FE">
              <w:rPr>
                <w:szCs w:val="24"/>
              </w:rPr>
              <w:t>Partner Organization</w:t>
            </w:r>
          </w:p>
        </w:tc>
        <w:tc>
          <w:tcPr>
            <w:tcW w:w="2499" w:type="dxa"/>
            <w:tcBorders>
              <w:bottom w:val="single" w:sz="4" w:space="0" w:color="auto"/>
            </w:tcBorders>
            <w:shd w:val="clear" w:color="auto" w:fill="auto"/>
            <w:vAlign w:val="center"/>
          </w:tcPr>
          <w:p w14:paraId="37A5C68B" w14:textId="5FBC12F3" w:rsidR="00B33F41" w:rsidRPr="00B504FE" w:rsidRDefault="00B33F41" w:rsidP="00FD64D1">
            <w:pPr>
              <w:rPr>
                <w:bCs/>
                <w:szCs w:val="24"/>
              </w:rPr>
            </w:pPr>
            <w:r w:rsidRPr="00B504FE">
              <w:rPr>
                <w:bCs/>
                <w:szCs w:val="24"/>
              </w:rPr>
              <w:t xml:space="preserve">Partner Survey </w:t>
            </w:r>
            <w:r w:rsidR="00F35B43">
              <w:rPr>
                <w:bCs/>
                <w:szCs w:val="24"/>
              </w:rPr>
              <w:t xml:space="preserve">(Att 3e) </w:t>
            </w:r>
            <w:r w:rsidR="0021059B">
              <w:rPr>
                <w:bCs/>
                <w:szCs w:val="24"/>
              </w:rPr>
              <w:t>&amp; Screener</w:t>
            </w:r>
            <w:r w:rsidRPr="00B504FE">
              <w:rPr>
                <w:bCs/>
                <w:szCs w:val="24"/>
              </w:rPr>
              <w:t xml:space="preserve"> (</w:t>
            </w:r>
            <w:r w:rsidR="007B0777" w:rsidRPr="00B504FE">
              <w:rPr>
                <w:bCs/>
                <w:szCs w:val="24"/>
              </w:rPr>
              <w:t>A</w:t>
            </w:r>
            <w:r w:rsidRPr="00B504FE">
              <w:rPr>
                <w:bCs/>
                <w:szCs w:val="24"/>
              </w:rPr>
              <w:t xml:space="preserve">tt </w:t>
            </w:r>
            <w:r w:rsidR="006F412C" w:rsidRPr="00B504FE">
              <w:rPr>
                <w:bCs/>
                <w:szCs w:val="24"/>
              </w:rPr>
              <w:t>3g</w:t>
            </w:r>
            <w:r w:rsidRPr="00B504FE">
              <w:rPr>
                <w:bCs/>
                <w:szCs w:val="24"/>
              </w:rPr>
              <w:t>)</w:t>
            </w:r>
          </w:p>
        </w:tc>
        <w:tc>
          <w:tcPr>
            <w:tcW w:w="1594" w:type="dxa"/>
            <w:shd w:val="clear" w:color="auto" w:fill="auto"/>
            <w:vAlign w:val="center"/>
          </w:tcPr>
          <w:p w14:paraId="6DBE94D7" w14:textId="77777777" w:rsidR="00B33F41" w:rsidRPr="00B504FE" w:rsidRDefault="00B504FE" w:rsidP="00FD64D1">
            <w:pPr>
              <w:jc w:val="center"/>
              <w:rPr>
                <w:bCs/>
                <w:szCs w:val="24"/>
              </w:rPr>
            </w:pPr>
            <w:r>
              <w:rPr>
                <w:bCs/>
                <w:szCs w:val="24"/>
              </w:rPr>
              <w:t>300</w:t>
            </w:r>
          </w:p>
        </w:tc>
        <w:tc>
          <w:tcPr>
            <w:tcW w:w="1466" w:type="dxa"/>
            <w:shd w:val="clear" w:color="auto" w:fill="auto"/>
            <w:vAlign w:val="center"/>
          </w:tcPr>
          <w:p w14:paraId="4360EDD9" w14:textId="77777777" w:rsidR="00B33F41" w:rsidRPr="00B504FE" w:rsidRDefault="00B33F41" w:rsidP="00FD64D1">
            <w:pPr>
              <w:jc w:val="center"/>
              <w:rPr>
                <w:bCs/>
                <w:szCs w:val="24"/>
              </w:rPr>
            </w:pPr>
            <w:r w:rsidRPr="00B504FE">
              <w:rPr>
                <w:bCs/>
                <w:szCs w:val="24"/>
              </w:rPr>
              <w:t>1</w:t>
            </w:r>
          </w:p>
        </w:tc>
        <w:tc>
          <w:tcPr>
            <w:tcW w:w="1350" w:type="dxa"/>
            <w:tcBorders>
              <w:bottom w:val="single" w:sz="4" w:space="0" w:color="auto"/>
            </w:tcBorders>
            <w:shd w:val="clear" w:color="auto" w:fill="auto"/>
            <w:vAlign w:val="center"/>
          </w:tcPr>
          <w:p w14:paraId="78916D7A" w14:textId="00B342A4" w:rsidR="00B33F41" w:rsidRPr="00B504FE" w:rsidRDefault="005745EB" w:rsidP="00FD64D1">
            <w:pPr>
              <w:jc w:val="center"/>
              <w:rPr>
                <w:bCs/>
                <w:szCs w:val="24"/>
              </w:rPr>
            </w:pPr>
            <w:r>
              <w:rPr>
                <w:bCs/>
                <w:szCs w:val="24"/>
              </w:rPr>
              <w:t xml:space="preserve">40/60 </w:t>
            </w:r>
          </w:p>
        </w:tc>
        <w:tc>
          <w:tcPr>
            <w:tcW w:w="1058" w:type="dxa"/>
            <w:tcBorders>
              <w:bottom w:val="single" w:sz="4" w:space="0" w:color="auto"/>
            </w:tcBorders>
            <w:shd w:val="clear" w:color="auto" w:fill="auto"/>
            <w:vAlign w:val="center"/>
          </w:tcPr>
          <w:p w14:paraId="7E21E4BE" w14:textId="77777777" w:rsidR="00B33F41" w:rsidRPr="00B504FE" w:rsidRDefault="00B504FE" w:rsidP="00FD64D1">
            <w:pPr>
              <w:jc w:val="center"/>
              <w:rPr>
                <w:bCs/>
                <w:szCs w:val="24"/>
              </w:rPr>
            </w:pPr>
            <w:r>
              <w:rPr>
                <w:bCs/>
                <w:szCs w:val="24"/>
              </w:rPr>
              <w:t>200</w:t>
            </w:r>
          </w:p>
        </w:tc>
      </w:tr>
      <w:tr w:rsidR="00783ED8" w:rsidRPr="00B504FE" w14:paraId="6A6D9FE9" w14:textId="77777777" w:rsidTr="00C220F9">
        <w:trPr>
          <w:jc w:val="center"/>
        </w:trPr>
        <w:tc>
          <w:tcPr>
            <w:tcW w:w="1530" w:type="dxa"/>
            <w:tcBorders>
              <w:bottom w:val="single" w:sz="4" w:space="0" w:color="auto"/>
            </w:tcBorders>
          </w:tcPr>
          <w:p w14:paraId="48C21633" w14:textId="77777777" w:rsidR="00B33F41" w:rsidRPr="00B504FE" w:rsidRDefault="00B33F41" w:rsidP="00FD64D1">
            <w:pPr>
              <w:rPr>
                <w:szCs w:val="24"/>
              </w:rPr>
            </w:pPr>
            <w:r w:rsidRPr="00B504FE">
              <w:rPr>
                <w:szCs w:val="24"/>
              </w:rPr>
              <w:t>Partner Organization</w:t>
            </w:r>
          </w:p>
        </w:tc>
        <w:tc>
          <w:tcPr>
            <w:tcW w:w="2499" w:type="dxa"/>
            <w:tcBorders>
              <w:bottom w:val="single" w:sz="4" w:space="0" w:color="auto"/>
            </w:tcBorders>
            <w:shd w:val="clear" w:color="auto" w:fill="auto"/>
            <w:vAlign w:val="center"/>
          </w:tcPr>
          <w:p w14:paraId="58DA7FA9" w14:textId="77777777" w:rsidR="00B33F41" w:rsidRPr="00B504FE" w:rsidRDefault="00B33F41" w:rsidP="00FD64D1">
            <w:pPr>
              <w:rPr>
                <w:bCs/>
                <w:szCs w:val="24"/>
              </w:rPr>
            </w:pPr>
            <w:r w:rsidRPr="00B504FE">
              <w:rPr>
                <w:bCs/>
                <w:szCs w:val="24"/>
              </w:rPr>
              <w:t>Partnership Activities Form (</w:t>
            </w:r>
            <w:r w:rsidR="007B0777" w:rsidRPr="00B504FE">
              <w:rPr>
                <w:bCs/>
                <w:szCs w:val="24"/>
              </w:rPr>
              <w:t>A</w:t>
            </w:r>
            <w:r w:rsidRPr="00B504FE">
              <w:rPr>
                <w:bCs/>
                <w:szCs w:val="24"/>
              </w:rPr>
              <w:t xml:space="preserve">tt </w:t>
            </w:r>
            <w:r w:rsidR="006F412C" w:rsidRPr="00B504FE">
              <w:rPr>
                <w:bCs/>
                <w:szCs w:val="24"/>
              </w:rPr>
              <w:t>3f</w:t>
            </w:r>
            <w:r w:rsidRPr="00B504FE">
              <w:rPr>
                <w:bCs/>
                <w:szCs w:val="24"/>
              </w:rPr>
              <w:t>)</w:t>
            </w:r>
          </w:p>
        </w:tc>
        <w:tc>
          <w:tcPr>
            <w:tcW w:w="1594" w:type="dxa"/>
            <w:shd w:val="clear" w:color="auto" w:fill="auto"/>
            <w:vAlign w:val="center"/>
          </w:tcPr>
          <w:p w14:paraId="51606E21" w14:textId="77777777" w:rsidR="00B33F41" w:rsidRPr="00B504FE" w:rsidRDefault="00B33F41" w:rsidP="00FD64D1">
            <w:pPr>
              <w:jc w:val="center"/>
              <w:rPr>
                <w:bCs/>
                <w:szCs w:val="24"/>
              </w:rPr>
            </w:pPr>
            <w:r w:rsidRPr="00B504FE">
              <w:rPr>
                <w:bCs/>
                <w:szCs w:val="24"/>
              </w:rPr>
              <w:t>500</w:t>
            </w:r>
          </w:p>
        </w:tc>
        <w:tc>
          <w:tcPr>
            <w:tcW w:w="1466" w:type="dxa"/>
            <w:shd w:val="clear" w:color="auto" w:fill="auto"/>
            <w:vAlign w:val="center"/>
          </w:tcPr>
          <w:p w14:paraId="7B6DCBDD" w14:textId="77777777" w:rsidR="00B33F41" w:rsidRPr="00B504FE" w:rsidRDefault="00B504FE" w:rsidP="00FD64D1">
            <w:pPr>
              <w:jc w:val="center"/>
              <w:rPr>
                <w:bCs/>
                <w:szCs w:val="24"/>
              </w:rPr>
            </w:pPr>
            <w:r>
              <w:rPr>
                <w:bCs/>
                <w:szCs w:val="24"/>
              </w:rPr>
              <w:t>4</w:t>
            </w:r>
          </w:p>
        </w:tc>
        <w:tc>
          <w:tcPr>
            <w:tcW w:w="1350" w:type="dxa"/>
            <w:tcBorders>
              <w:bottom w:val="single" w:sz="4" w:space="0" w:color="auto"/>
            </w:tcBorders>
            <w:shd w:val="clear" w:color="auto" w:fill="auto"/>
            <w:vAlign w:val="center"/>
          </w:tcPr>
          <w:p w14:paraId="3E32E25C" w14:textId="78102F11" w:rsidR="00B33F41" w:rsidRPr="00B504FE" w:rsidRDefault="005745EB" w:rsidP="00FD64D1">
            <w:pPr>
              <w:jc w:val="center"/>
              <w:rPr>
                <w:bCs/>
                <w:szCs w:val="24"/>
              </w:rPr>
            </w:pPr>
            <w:r>
              <w:rPr>
                <w:bCs/>
                <w:szCs w:val="24"/>
              </w:rPr>
              <w:t xml:space="preserve">25/60 </w:t>
            </w:r>
          </w:p>
        </w:tc>
        <w:tc>
          <w:tcPr>
            <w:tcW w:w="1058" w:type="dxa"/>
            <w:tcBorders>
              <w:bottom w:val="single" w:sz="4" w:space="0" w:color="auto"/>
            </w:tcBorders>
            <w:shd w:val="clear" w:color="auto" w:fill="auto"/>
            <w:vAlign w:val="center"/>
          </w:tcPr>
          <w:p w14:paraId="4122ADAD" w14:textId="45E506D8" w:rsidR="00B33F41" w:rsidRPr="00B504FE" w:rsidRDefault="005745EB" w:rsidP="000F03B3">
            <w:pPr>
              <w:jc w:val="center"/>
              <w:rPr>
                <w:bCs/>
                <w:szCs w:val="24"/>
              </w:rPr>
            </w:pPr>
            <w:r w:rsidRPr="00B504FE">
              <w:rPr>
                <w:bCs/>
                <w:szCs w:val="24"/>
              </w:rPr>
              <w:t>8</w:t>
            </w:r>
            <w:r>
              <w:rPr>
                <w:bCs/>
                <w:szCs w:val="24"/>
              </w:rPr>
              <w:t>33</w:t>
            </w:r>
          </w:p>
        </w:tc>
      </w:tr>
      <w:tr w:rsidR="00783ED8" w:rsidRPr="00B504FE" w14:paraId="2EF17CEF" w14:textId="77777777" w:rsidTr="00C220F9">
        <w:trPr>
          <w:jc w:val="center"/>
        </w:trPr>
        <w:tc>
          <w:tcPr>
            <w:tcW w:w="1530" w:type="dxa"/>
            <w:tcBorders>
              <w:left w:val="single" w:sz="4" w:space="0" w:color="auto"/>
              <w:right w:val="single" w:sz="4" w:space="0" w:color="auto"/>
            </w:tcBorders>
          </w:tcPr>
          <w:p w14:paraId="0A9C943A" w14:textId="1EDC53FA" w:rsidR="00157BB8" w:rsidRPr="00B504FE" w:rsidRDefault="00157BB8" w:rsidP="00FD64D1">
            <w:pPr>
              <w:jc w:val="center"/>
              <w:rPr>
                <w:bCs/>
                <w:szCs w:val="24"/>
              </w:rPr>
            </w:pPr>
            <w:r w:rsidRPr="00B504FE">
              <w:rPr>
                <w:bCs/>
                <w:szCs w:val="24"/>
              </w:rPr>
              <w:t>Total</w:t>
            </w:r>
          </w:p>
        </w:tc>
        <w:tc>
          <w:tcPr>
            <w:tcW w:w="2499" w:type="dxa"/>
            <w:tcBorders>
              <w:left w:val="single" w:sz="4" w:space="0" w:color="auto"/>
              <w:right w:val="single" w:sz="4" w:space="0" w:color="auto"/>
            </w:tcBorders>
            <w:shd w:val="clear" w:color="auto" w:fill="auto"/>
            <w:vAlign w:val="center"/>
          </w:tcPr>
          <w:p w14:paraId="33EF1BBC" w14:textId="7E445C44" w:rsidR="00157BB8" w:rsidRPr="00B504FE" w:rsidRDefault="00157BB8" w:rsidP="00FD64D1">
            <w:pPr>
              <w:jc w:val="center"/>
              <w:rPr>
                <w:bCs/>
                <w:szCs w:val="24"/>
              </w:rPr>
            </w:pPr>
          </w:p>
        </w:tc>
        <w:tc>
          <w:tcPr>
            <w:tcW w:w="1594" w:type="dxa"/>
            <w:tcBorders>
              <w:left w:val="single" w:sz="4" w:space="0" w:color="auto"/>
              <w:right w:val="nil"/>
            </w:tcBorders>
            <w:shd w:val="clear" w:color="auto" w:fill="auto"/>
            <w:vAlign w:val="center"/>
          </w:tcPr>
          <w:p w14:paraId="7707CAA5" w14:textId="77777777" w:rsidR="00157BB8" w:rsidRPr="00B504FE" w:rsidRDefault="00157BB8" w:rsidP="00FD64D1">
            <w:pPr>
              <w:jc w:val="center"/>
              <w:rPr>
                <w:bCs/>
                <w:szCs w:val="24"/>
              </w:rPr>
            </w:pPr>
          </w:p>
        </w:tc>
        <w:tc>
          <w:tcPr>
            <w:tcW w:w="1466" w:type="dxa"/>
            <w:tcBorders>
              <w:left w:val="nil"/>
              <w:right w:val="nil"/>
            </w:tcBorders>
            <w:shd w:val="clear" w:color="auto" w:fill="auto"/>
            <w:vAlign w:val="center"/>
          </w:tcPr>
          <w:p w14:paraId="00F6037F" w14:textId="77777777" w:rsidR="00157BB8" w:rsidRPr="00B504FE" w:rsidRDefault="00157BB8" w:rsidP="00FD64D1">
            <w:pPr>
              <w:jc w:val="center"/>
              <w:rPr>
                <w:bCs/>
                <w:szCs w:val="24"/>
              </w:rPr>
            </w:pPr>
          </w:p>
        </w:tc>
        <w:tc>
          <w:tcPr>
            <w:tcW w:w="1350" w:type="dxa"/>
            <w:tcBorders>
              <w:left w:val="nil"/>
              <w:right w:val="single" w:sz="4" w:space="0" w:color="auto"/>
            </w:tcBorders>
            <w:shd w:val="clear" w:color="auto" w:fill="auto"/>
            <w:vAlign w:val="center"/>
          </w:tcPr>
          <w:p w14:paraId="78F0D3CF" w14:textId="77777777" w:rsidR="00157BB8" w:rsidRPr="00B504FE" w:rsidRDefault="00157BB8" w:rsidP="00FD64D1">
            <w:pPr>
              <w:jc w:val="center"/>
              <w:rPr>
                <w:bCs/>
                <w:szCs w:val="24"/>
              </w:rPr>
            </w:pPr>
          </w:p>
        </w:tc>
        <w:tc>
          <w:tcPr>
            <w:tcW w:w="1058" w:type="dxa"/>
            <w:tcBorders>
              <w:left w:val="single" w:sz="4" w:space="0" w:color="auto"/>
            </w:tcBorders>
            <w:shd w:val="clear" w:color="auto" w:fill="auto"/>
            <w:vAlign w:val="center"/>
          </w:tcPr>
          <w:p w14:paraId="49FAA0A4" w14:textId="0A9BF7FA" w:rsidR="00157BB8" w:rsidRPr="00B504FE" w:rsidRDefault="00157BB8" w:rsidP="00FD64D1">
            <w:pPr>
              <w:jc w:val="center"/>
              <w:rPr>
                <w:bCs/>
                <w:szCs w:val="24"/>
              </w:rPr>
            </w:pPr>
            <w:r w:rsidRPr="00B504FE">
              <w:rPr>
                <w:bCs/>
                <w:szCs w:val="24"/>
              </w:rPr>
              <w:t>5,</w:t>
            </w:r>
            <w:r w:rsidR="005745EB">
              <w:rPr>
                <w:bCs/>
                <w:szCs w:val="24"/>
              </w:rPr>
              <w:t>083</w:t>
            </w:r>
          </w:p>
        </w:tc>
      </w:tr>
    </w:tbl>
    <w:p w14:paraId="0152B000" w14:textId="77777777" w:rsidR="003F7E16" w:rsidRDefault="00C63A6B" w:rsidP="00FD64D1">
      <w:pPr>
        <w:rPr>
          <w:i/>
          <w:szCs w:val="24"/>
        </w:rPr>
      </w:pPr>
      <w:r w:rsidRPr="00B504FE">
        <w:rPr>
          <w:i/>
          <w:szCs w:val="24"/>
        </w:rPr>
        <w:t>*Rounded to the nearest hour.</w:t>
      </w:r>
    </w:p>
    <w:p w14:paraId="0E034344" w14:textId="77777777" w:rsidR="00F57B18" w:rsidRPr="00B504FE" w:rsidRDefault="00F57B18" w:rsidP="00FD64D1">
      <w:pPr>
        <w:rPr>
          <w:i/>
          <w:szCs w:val="24"/>
        </w:rPr>
      </w:pPr>
    </w:p>
    <w:p w14:paraId="5C3694F0" w14:textId="6F387B32" w:rsidR="00C63A6B" w:rsidRPr="00B504FE" w:rsidRDefault="00C63A6B" w:rsidP="00FD64D1">
      <w:pPr>
        <w:autoSpaceDE/>
        <w:autoSpaceDN/>
        <w:adjustRightInd/>
        <w:ind w:firstLine="720"/>
        <w:rPr>
          <w:szCs w:val="24"/>
        </w:rPr>
      </w:pPr>
      <w:bookmarkStart w:id="51" w:name="_Toc143058448"/>
      <w:bookmarkStart w:id="52" w:name="_Toc146088446"/>
      <w:bookmarkStart w:id="53" w:name="_Toc231290975"/>
      <w:r w:rsidRPr="00B504FE">
        <w:rPr>
          <w:szCs w:val="24"/>
        </w:rPr>
        <w:t xml:space="preserve">In calculating annualized costs to </w:t>
      </w:r>
      <w:r w:rsidR="00CF0EFC" w:rsidRPr="00B504FE">
        <w:rPr>
          <w:szCs w:val="24"/>
        </w:rPr>
        <w:t>partners</w:t>
      </w:r>
      <w:r w:rsidRPr="00B504FE">
        <w:rPr>
          <w:szCs w:val="24"/>
        </w:rPr>
        <w:t>, we used $</w:t>
      </w:r>
      <w:r w:rsidR="007F79FF" w:rsidRPr="00B504FE">
        <w:rPr>
          <w:szCs w:val="24"/>
        </w:rPr>
        <w:t>32</w:t>
      </w:r>
      <w:r w:rsidRPr="00B504FE">
        <w:rPr>
          <w:szCs w:val="24"/>
        </w:rPr>
        <w:t>.</w:t>
      </w:r>
      <w:r w:rsidR="007F79FF" w:rsidRPr="00B504FE">
        <w:rPr>
          <w:szCs w:val="24"/>
        </w:rPr>
        <w:t>56</w:t>
      </w:r>
      <w:r w:rsidRPr="00B504FE">
        <w:rPr>
          <w:szCs w:val="24"/>
        </w:rPr>
        <w:t xml:space="preserve"> per hour as an estimate of the average hourly wage rate. </w:t>
      </w:r>
      <w:r w:rsidR="00213C52" w:rsidRPr="00B504FE">
        <w:rPr>
          <w:szCs w:val="24"/>
        </w:rPr>
        <w:t>To establish this amount, w</w:t>
      </w:r>
      <w:r w:rsidRPr="00B504FE">
        <w:rPr>
          <w:szCs w:val="24"/>
        </w:rPr>
        <w:t xml:space="preserve">e used the mean hourly wage for </w:t>
      </w:r>
      <w:r w:rsidR="004202E3" w:rsidRPr="00B504FE">
        <w:rPr>
          <w:szCs w:val="24"/>
        </w:rPr>
        <w:t>all occupations</w:t>
      </w:r>
      <w:r w:rsidR="007F79FF" w:rsidRPr="00B504FE">
        <w:rPr>
          <w:szCs w:val="24"/>
        </w:rPr>
        <w:t xml:space="preserve"> </w:t>
      </w:r>
      <w:r w:rsidRPr="00B504FE">
        <w:rPr>
          <w:szCs w:val="24"/>
        </w:rPr>
        <w:t xml:space="preserve">released from the United States Department of Labor, Bureau of Labor Statistics </w:t>
      </w:r>
      <w:r w:rsidR="00AC392F" w:rsidRPr="00B504FE">
        <w:rPr>
          <w:szCs w:val="24"/>
        </w:rPr>
        <w:t xml:space="preserve">since the occupational categories of participants are unknown at this time </w:t>
      </w:r>
      <w:r w:rsidRPr="00B504FE">
        <w:rPr>
          <w:szCs w:val="24"/>
        </w:rPr>
        <w:t>(May 201</w:t>
      </w:r>
      <w:r w:rsidR="007F79FF" w:rsidRPr="00B504FE">
        <w:rPr>
          <w:szCs w:val="24"/>
        </w:rPr>
        <w:t>4</w:t>
      </w:r>
      <w:r w:rsidRPr="00B504FE">
        <w:rPr>
          <w:szCs w:val="24"/>
        </w:rPr>
        <w:t xml:space="preserve">; available online at </w:t>
      </w:r>
      <w:r w:rsidR="004202E3" w:rsidRPr="00B504FE">
        <w:rPr>
          <w:szCs w:val="24"/>
        </w:rPr>
        <w:t>http://www.bls.gov/oes/current/oes_nat.htm#00-0000</w:t>
      </w:r>
      <w:r w:rsidRPr="00B504FE">
        <w:rPr>
          <w:szCs w:val="24"/>
        </w:rPr>
        <w:t xml:space="preserve">).  </w:t>
      </w:r>
    </w:p>
    <w:p w14:paraId="34FCAA15" w14:textId="77777777" w:rsidR="00F645B8" w:rsidRPr="00B504FE" w:rsidRDefault="00F645B8" w:rsidP="00FD64D1">
      <w:pPr>
        <w:autoSpaceDE/>
        <w:autoSpaceDN/>
        <w:adjustRightInd/>
        <w:rPr>
          <w:szCs w:val="24"/>
        </w:rPr>
      </w:pPr>
    </w:p>
    <w:p w14:paraId="5C15C656" w14:textId="77777777" w:rsidR="00C63A6B" w:rsidRPr="00B504FE" w:rsidRDefault="002179E5" w:rsidP="00FD64D1">
      <w:pPr>
        <w:keepNext/>
        <w:keepLines/>
        <w:autoSpaceDE/>
        <w:autoSpaceDN/>
        <w:adjustRightInd/>
        <w:ind w:left="1260" w:hanging="1260"/>
        <w:rPr>
          <w:szCs w:val="24"/>
        </w:rPr>
      </w:pPr>
      <w:bookmarkStart w:id="54" w:name="_Toc393184032"/>
      <w:r w:rsidRPr="00B504FE">
        <w:rPr>
          <w:b/>
          <w:bCs/>
          <w:szCs w:val="24"/>
        </w:rPr>
        <w:t xml:space="preserve">Table </w:t>
      </w:r>
      <w:r w:rsidR="00C63A6B" w:rsidRPr="00B504FE">
        <w:rPr>
          <w:b/>
          <w:bCs/>
          <w:szCs w:val="24"/>
        </w:rPr>
        <w:t>A.12.2</w:t>
      </w:r>
      <w:r w:rsidR="00C63A6B" w:rsidRPr="00B504FE">
        <w:rPr>
          <w:b/>
          <w:bCs/>
          <w:szCs w:val="24"/>
        </w:rPr>
        <w:tab/>
        <w:t>Estimated Annualized Burden Costs</w:t>
      </w:r>
      <w:bookmarkEnd w:id="54"/>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1"/>
        <w:gridCol w:w="1529"/>
        <w:gridCol w:w="1440"/>
        <w:gridCol w:w="1260"/>
        <w:gridCol w:w="990"/>
        <w:gridCol w:w="990"/>
        <w:gridCol w:w="1440"/>
      </w:tblGrid>
      <w:tr w:rsidR="003B40B3" w:rsidRPr="00B504FE" w14:paraId="2D4AC97F" w14:textId="77777777" w:rsidTr="004F0274">
        <w:trPr>
          <w:trHeight w:val="688"/>
        </w:trPr>
        <w:tc>
          <w:tcPr>
            <w:tcW w:w="1441" w:type="dxa"/>
            <w:tcBorders>
              <w:bottom w:val="single" w:sz="4" w:space="0" w:color="auto"/>
            </w:tcBorders>
            <w:shd w:val="clear" w:color="auto" w:fill="CCCCCC"/>
            <w:vAlign w:val="center"/>
          </w:tcPr>
          <w:p w14:paraId="4A66C1DC" w14:textId="77777777" w:rsidR="009A3E96" w:rsidRPr="00B504FE" w:rsidRDefault="009A3E96" w:rsidP="00FD64D1">
            <w:pPr>
              <w:jc w:val="center"/>
              <w:rPr>
                <w:b/>
                <w:szCs w:val="24"/>
              </w:rPr>
            </w:pPr>
            <w:r w:rsidRPr="00B504FE">
              <w:rPr>
                <w:b/>
                <w:bCs/>
                <w:szCs w:val="24"/>
              </w:rPr>
              <w:t xml:space="preserve">Form Name </w:t>
            </w:r>
          </w:p>
        </w:tc>
        <w:tc>
          <w:tcPr>
            <w:tcW w:w="1529" w:type="dxa"/>
            <w:shd w:val="clear" w:color="auto" w:fill="CCCCCC"/>
            <w:vAlign w:val="center"/>
          </w:tcPr>
          <w:p w14:paraId="6327EEFC" w14:textId="77777777" w:rsidR="009A3E96" w:rsidRPr="00B504FE" w:rsidRDefault="009A3E96" w:rsidP="00FD64D1">
            <w:pPr>
              <w:keepNext/>
              <w:jc w:val="center"/>
              <w:rPr>
                <w:b/>
                <w:szCs w:val="24"/>
              </w:rPr>
            </w:pPr>
            <w:r w:rsidRPr="00B504FE">
              <w:rPr>
                <w:b/>
                <w:szCs w:val="24"/>
              </w:rPr>
              <w:t>No. of Respondents</w:t>
            </w:r>
          </w:p>
        </w:tc>
        <w:tc>
          <w:tcPr>
            <w:tcW w:w="1440" w:type="dxa"/>
            <w:shd w:val="clear" w:color="auto" w:fill="CCCCCC"/>
            <w:vAlign w:val="center"/>
          </w:tcPr>
          <w:p w14:paraId="0E082021" w14:textId="77777777" w:rsidR="009A3E96" w:rsidRPr="00B504FE" w:rsidRDefault="009A3E96" w:rsidP="00FD64D1">
            <w:pPr>
              <w:keepNext/>
              <w:jc w:val="center"/>
              <w:rPr>
                <w:b/>
                <w:szCs w:val="24"/>
              </w:rPr>
            </w:pPr>
            <w:r w:rsidRPr="00B504FE">
              <w:rPr>
                <w:b/>
                <w:szCs w:val="24"/>
              </w:rPr>
              <w:t>No. of Responses Per Respondent</w:t>
            </w:r>
          </w:p>
        </w:tc>
        <w:tc>
          <w:tcPr>
            <w:tcW w:w="1260" w:type="dxa"/>
            <w:shd w:val="clear" w:color="auto" w:fill="CCCCCC"/>
            <w:vAlign w:val="center"/>
          </w:tcPr>
          <w:p w14:paraId="68C538A6" w14:textId="77777777" w:rsidR="009A3E96" w:rsidRPr="00B504FE" w:rsidRDefault="009A3E96" w:rsidP="00FD64D1">
            <w:pPr>
              <w:keepNext/>
              <w:jc w:val="center"/>
              <w:rPr>
                <w:b/>
                <w:szCs w:val="24"/>
              </w:rPr>
            </w:pPr>
            <w:r w:rsidRPr="00B504FE">
              <w:rPr>
                <w:b/>
                <w:szCs w:val="24"/>
              </w:rPr>
              <w:t>Average Burden per Response</w:t>
            </w:r>
            <w:r w:rsidRPr="00B504FE">
              <w:rPr>
                <w:b/>
                <w:szCs w:val="24"/>
              </w:rPr>
              <w:br/>
              <w:t>(in hours)</w:t>
            </w:r>
          </w:p>
        </w:tc>
        <w:tc>
          <w:tcPr>
            <w:tcW w:w="990" w:type="dxa"/>
            <w:shd w:val="clear" w:color="auto" w:fill="CCCCCC"/>
            <w:vAlign w:val="center"/>
          </w:tcPr>
          <w:p w14:paraId="711B2E04" w14:textId="77777777" w:rsidR="009A3E96" w:rsidRPr="00B504FE" w:rsidRDefault="009A3E96" w:rsidP="00FD64D1">
            <w:pPr>
              <w:keepNext/>
              <w:ind w:right="-173"/>
              <w:jc w:val="center"/>
              <w:rPr>
                <w:b/>
                <w:szCs w:val="24"/>
              </w:rPr>
            </w:pPr>
            <w:r w:rsidRPr="00B504FE">
              <w:rPr>
                <w:b/>
                <w:szCs w:val="24"/>
              </w:rPr>
              <w:t>Total Burden Hours</w:t>
            </w:r>
          </w:p>
        </w:tc>
        <w:tc>
          <w:tcPr>
            <w:tcW w:w="990" w:type="dxa"/>
            <w:shd w:val="clear" w:color="auto" w:fill="CCCCCC"/>
            <w:vAlign w:val="center"/>
          </w:tcPr>
          <w:p w14:paraId="3AC13701" w14:textId="77777777" w:rsidR="009A3E96" w:rsidRPr="00B504FE" w:rsidRDefault="009A3E96" w:rsidP="00FD64D1">
            <w:pPr>
              <w:keepNext/>
              <w:jc w:val="center"/>
              <w:rPr>
                <w:b/>
                <w:szCs w:val="24"/>
              </w:rPr>
            </w:pPr>
            <w:r w:rsidRPr="00B504FE">
              <w:rPr>
                <w:b/>
                <w:szCs w:val="24"/>
              </w:rPr>
              <w:t>Hourly Wage Rate</w:t>
            </w:r>
          </w:p>
        </w:tc>
        <w:tc>
          <w:tcPr>
            <w:tcW w:w="1440" w:type="dxa"/>
            <w:shd w:val="clear" w:color="auto" w:fill="CCCCCC"/>
            <w:vAlign w:val="center"/>
          </w:tcPr>
          <w:p w14:paraId="2167FC67" w14:textId="77777777" w:rsidR="009A3E96" w:rsidRPr="00B504FE" w:rsidRDefault="009A3E96" w:rsidP="00FD64D1">
            <w:pPr>
              <w:keepNext/>
              <w:jc w:val="center"/>
              <w:rPr>
                <w:b/>
                <w:szCs w:val="24"/>
              </w:rPr>
            </w:pPr>
            <w:r w:rsidRPr="00B504FE">
              <w:rPr>
                <w:b/>
                <w:szCs w:val="24"/>
              </w:rPr>
              <w:t>Total Respondent Costs*</w:t>
            </w:r>
          </w:p>
        </w:tc>
      </w:tr>
      <w:tr w:rsidR="00B504FE" w:rsidRPr="00B504FE" w14:paraId="3F03A4AC" w14:textId="77777777" w:rsidTr="009B2BE9">
        <w:trPr>
          <w:trHeight w:val="746"/>
        </w:trPr>
        <w:tc>
          <w:tcPr>
            <w:tcW w:w="1441" w:type="dxa"/>
            <w:shd w:val="clear" w:color="auto" w:fill="auto"/>
            <w:vAlign w:val="center"/>
          </w:tcPr>
          <w:p w14:paraId="2920CAF4" w14:textId="77777777" w:rsidR="009A3E96" w:rsidRPr="00B504FE" w:rsidRDefault="009A3E96" w:rsidP="00FD64D1">
            <w:pPr>
              <w:rPr>
                <w:bCs/>
                <w:szCs w:val="24"/>
              </w:rPr>
            </w:pPr>
            <w:r w:rsidRPr="00B504FE">
              <w:rPr>
                <w:bCs/>
                <w:szCs w:val="24"/>
              </w:rPr>
              <w:t>Metric</w:t>
            </w:r>
            <w:r w:rsidR="00B674C8" w:rsidRPr="00B504FE">
              <w:rPr>
                <w:bCs/>
                <w:szCs w:val="24"/>
              </w:rPr>
              <w:t>s</w:t>
            </w:r>
            <w:r w:rsidRPr="00B504FE">
              <w:rPr>
                <w:bCs/>
                <w:szCs w:val="24"/>
              </w:rPr>
              <w:t xml:space="preserve"> Database</w:t>
            </w:r>
          </w:p>
        </w:tc>
        <w:tc>
          <w:tcPr>
            <w:tcW w:w="1529" w:type="dxa"/>
            <w:shd w:val="clear" w:color="auto" w:fill="auto"/>
            <w:vAlign w:val="center"/>
          </w:tcPr>
          <w:p w14:paraId="6A16C6DC" w14:textId="77777777" w:rsidR="009A3E96" w:rsidRPr="00B504FE" w:rsidRDefault="009A3E96" w:rsidP="00FD64D1">
            <w:pPr>
              <w:jc w:val="center"/>
              <w:rPr>
                <w:bCs/>
                <w:szCs w:val="24"/>
              </w:rPr>
            </w:pPr>
            <w:r w:rsidRPr="00B504FE">
              <w:rPr>
                <w:bCs/>
                <w:szCs w:val="24"/>
              </w:rPr>
              <w:t>50</w:t>
            </w:r>
          </w:p>
        </w:tc>
        <w:tc>
          <w:tcPr>
            <w:tcW w:w="1440" w:type="dxa"/>
            <w:shd w:val="clear" w:color="auto" w:fill="auto"/>
            <w:vAlign w:val="center"/>
          </w:tcPr>
          <w:p w14:paraId="06D7C60F" w14:textId="77777777" w:rsidR="009A3E96" w:rsidRPr="00B504FE" w:rsidRDefault="009A3E96" w:rsidP="00FD64D1">
            <w:pPr>
              <w:jc w:val="center"/>
              <w:rPr>
                <w:bCs/>
                <w:szCs w:val="24"/>
              </w:rPr>
            </w:pPr>
            <w:r w:rsidRPr="00B504FE">
              <w:rPr>
                <w:bCs/>
                <w:szCs w:val="24"/>
              </w:rPr>
              <w:t>4</w:t>
            </w:r>
          </w:p>
        </w:tc>
        <w:tc>
          <w:tcPr>
            <w:tcW w:w="1260" w:type="dxa"/>
            <w:shd w:val="clear" w:color="auto" w:fill="auto"/>
            <w:vAlign w:val="center"/>
          </w:tcPr>
          <w:p w14:paraId="1ED5E2A7" w14:textId="77777777" w:rsidR="009A3E96" w:rsidRPr="00B504FE" w:rsidRDefault="009A3E96" w:rsidP="00FD64D1">
            <w:pPr>
              <w:jc w:val="center"/>
              <w:rPr>
                <w:bCs/>
                <w:szCs w:val="24"/>
              </w:rPr>
            </w:pPr>
            <w:r w:rsidRPr="00B504FE">
              <w:rPr>
                <w:bCs/>
                <w:szCs w:val="24"/>
              </w:rPr>
              <w:t>18</w:t>
            </w:r>
          </w:p>
        </w:tc>
        <w:tc>
          <w:tcPr>
            <w:tcW w:w="990" w:type="dxa"/>
            <w:vAlign w:val="center"/>
          </w:tcPr>
          <w:p w14:paraId="0E64D2CC" w14:textId="77777777" w:rsidR="009A3E96" w:rsidRPr="00B504FE" w:rsidRDefault="009A3E96" w:rsidP="00FD64D1">
            <w:pPr>
              <w:jc w:val="center"/>
              <w:rPr>
                <w:bCs/>
                <w:szCs w:val="24"/>
              </w:rPr>
            </w:pPr>
            <w:r w:rsidRPr="00B504FE">
              <w:rPr>
                <w:bCs/>
                <w:szCs w:val="24"/>
              </w:rPr>
              <w:t>3,600</w:t>
            </w:r>
          </w:p>
        </w:tc>
        <w:tc>
          <w:tcPr>
            <w:tcW w:w="990" w:type="dxa"/>
            <w:vAlign w:val="center"/>
          </w:tcPr>
          <w:p w14:paraId="4CF7A371" w14:textId="77777777" w:rsidR="009A3E96" w:rsidRPr="00B504FE" w:rsidRDefault="009A3E96" w:rsidP="00FD64D1">
            <w:pPr>
              <w:jc w:val="center"/>
              <w:rPr>
                <w:bCs/>
                <w:szCs w:val="24"/>
              </w:rPr>
            </w:pPr>
            <w:r w:rsidRPr="00B504FE">
              <w:rPr>
                <w:szCs w:val="24"/>
              </w:rPr>
              <w:t>$32.56</w:t>
            </w:r>
          </w:p>
        </w:tc>
        <w:tc>
          <w:tcPr>
            <w:tcW w:w="1440" w:type="dxa"/>
            <w:vAlign w:val="center"/>
          </w:tcPr>
          <w:p w14:paraId="5345FCE4" w14:textId="77777777" w:rsidR="009A3E96" w:rsidRPr="00B504FE" w:rsidRDefault="009A3E96" w:rsidP="00FD64D1">
            <w:pPr>
              <w:jc w:val="center"/>
              <w:rPr>
                <w:bCs/>
                <w:szCs w:val="24"/>
              </w:rPr>
            </w:pPr>
            <w:r w:rsidRPr="00B504FE">
              <w:rPr>
                <w:bCs/>
                <w:szCs w:val="24"/>
              </w:rPr>
              <w:t>$117,216</w:t>
            </w:r>
          </w:p>
        </w:tc>
      </w:tr>
      <w:tr w:rsidR="00B504FE" w:rsidRPr="00B504FE" w14:paraId="7AAFB3FC" w14:textId="77777777" w:rsidTr="009B2BE9">
        <w:trPr>
          <w:trHeight w:val="626"/>
        </w:trPr>
        <w:tc>
          <w:tcPr>
            <w:tcW w:w="1441" w:type="dxa"/>
            <w:shd w:val="clear" w:color="auto" w:fill="auto"/>
            <w:vAlign w:val="center"/>
          </w:tcPr>
          <w:p w14:paraId="09D13F44" w14:textId="77777777" w:rsidR="009A3E96" w:rsidRPr="00B504FE" w:rsidRDefault="009A3E96" w:rsidP="00FD64D1">
            <w:pPr>
              <w:rPr>
                <w:bCs/>
                <w:szCs w:val="24"/>
              </w:rPr>
            </w:pPr>
            <w:r w:rsidRPr="00B504FE">
              <w:rPr>
                <w:bCs/>
                <w:szCs w:val="24"/>
              </w:rPr>
              <w:t>Key Informant Interview</w:t>
            </w:r>
            <w:r w:rsidR="002C6B1F" w:rsidRPr="00B504FE">
              <w:rPr>
                <w:bCs/>
                <w:szCs w:val="24"/>
              </w:rPr>
              <w:t xml:space="preserve"> Guide</w:t>
            </w:r>
          </w:p>
        </w:tc>
        <w:tc>
          <w:tcPr>
            <w:tcW w:w="1529" w:type="dxa"/>
            <w:shd w:val="clear" w:color="auto" w:fill="auto"/>
            <w:vAlign w:val="center"/>
          </w:tcPr>
          <w:p w14:paraId="3B74D2F1" w14:textId="77777777" w:rsidR="009A3E96" w:rsidRPr="00B504FE" w:rsidRDefault="009A3E96" w:rsidP="00FD64D1">
            <w:pPr>
              <w:jc w:val="center"/>
              <w:rPr>
                <w:bCs/>
                <w:szCs w:val="24"/>
              </w:rPr>
            </w:pPr>
            <w:r w:rsidRPr="00B504FE">
              <w:rPr>
                <w:bCs/>
                <w:szCs w:val="24"/>
              </w:rPr>
              <w:t>25</w:t>
            </w:r>
          </w:p>
        </w:tc>
        <w:tc>
          <w:tcPr>
            <w:tcW w:w="1440" w:type="dxa"/>
            <w:shd w:val="clear" w:color="auto" w:fill="auto"/>
            <w:vAlign w:val="center"/>
          </w:tcPr>
          <w:p w14:paraId="0BCD4D15" w14:textId="77777777" w:rsidR="009A3E96" w:rsidRPr="00B504FE" w:rsidRDefault="009A3E96" w:rsidP="00FD64D1">
            <w:pPr>
              <w:jc w:val="center"/>
              <w:rPr>
                <w:bCs/>
                <w:szCs w:val="24"/>
              </w:rPr>
            </w:pPr>
            <w:r w:rsidRPr="00B504FE">
              <w:rPr>
                <w:bCs/>
                <w:szCs w:val="24"/>
              </w:rPr>
              <w:t>2</w:t>
            </w:r>
          </w:p>
        </w:tc>
        <w:tc>
          <w:tcPr>
            <w:tcW w:w="1260" w:type="dxa"/>
            <w:shd w:val="clear" w:color="auto" w:fill="auto"/>
            <w:vAlign w:val="center"/>
          </w:tcPr>
          <w:p w14:paraId="5E12D6D3" w14:textId="77777777" w:rsidR="009A3E96" w:rsidRPr="00B504FE" w:rsidRDefault="009A3E96" w:rsidP="00FD64D1">
            <w:pPr>
              <w:jc w:val="center"/>
              <w:rPr>
                <w:bCs/>
                <w:szCs w:val="24"/>
              </w:rPr>
            </w:pPr>
            <w:r w:rsidRPr="00B504FE">
              <w:rPr>
                <w:bCs/>
                <w:szCs w:val="24"/>
              </w:rPr>
              <w:t>1</w:t>
            </w:r>
          </w:p>
        </w:tc>
        <w:tc>
          <w:tcPr>
            <w:tcW w:w="990" w:type="dxa"/>
            <w:vAlign w:val="center"/>
          </w:tcPr>
          <w:p w14:paraId="13C83F56" w14:textId="77777777" w:rsidR="009A3E96" w:rsidRPr="00B504FE" w:rsidRDefault="009A3E96" w:rsidP="00FD64D1">
            <w:pPr>
              <w:jc w:val="center"/>
              <w:rPr>
                <w:bCs/>
                <w:szCs w:val="24"/>
              </w:rPr>
            </w:pPr>
            <w:r w:rsidRPr="00B504FE">
              <w:rPr>
                <w:bCs/>
                <w:szCs w:val="24"/>
              </w:rPr>
              <w:t>50</w:t>
            </w:r>
          </w:p>
        </w:tc>
        <w:tc>
          <w:tcPr>
            <w:tcW w:w="990" w:type="dxa"/>
            <w:vAlign w:val="center"/>
          </w:tcPr>
          <w:p w14:paraId="04328230" w14:textId="77777777" w:rsidR="009A3E96" w:rsidRPr="00B504FE" w:rsidRDefault="009A3E96" w:rsidP="00FD64D1">
            <w:pPr>
              <w:jc w:val="center"/>
              <w:rPr>
                <w:szCs w:val="24"/>
              </w:rPr>
            </w:pPr>
            <w:r w:rsidRPr="00B504FE">
              <w:rPr>
                <w:szCs w:val="24"/>
              </w:rPr>
              <w:t>$32.56</w:t>
            </w:r>
          </w:p>
        </w:tc>
        <w:tc>
          <w:tcPr>
            <w:tcW w:w="1440" w:type="dxa"/>
            <w:vAlign w:val="center"/>
          </w:tcPr>
          <w:p w14:paraId="20B92AE7" w14:textId="77777777" w:rsidR="009A3E96" w:rsidRPr="00B504FE" w:rsidRDefault="009A3E96" w:rsidP="00FD64D1">
            <w:pPr>
              <w:jc w:val="center"/>
              <w:rPr>
                <w:bCs/>
                <w:szCs w:val="24"/>
              </w:rPr>
            </w:pPr>
            <w:r w:rsidRPr="00B504FE">
              <w:rPr>
                <w:bCs/>
                <w:szCs w:val="24"/>
              </w:rPr>
              <w:t>$1,628</w:t>
            </w:r>
          </w:p>
        </w:tc>
      </w:tr>
      <w:tr w:rsidR="00B504FE" w:rsidRPr="00B504FE" w14:paraId="14DFE928" w14:textId="77777777" w:rsidTr="009B2BE9">
        <w:trPr>
          <w:trHeight w:val="731"/>
        </w:trPr>
        <w:tc>
          <w:tcPr>
            <w:tcW w:w="1441" w:type="dxa"/>
            <w:shd w:val="clear" w:color="auto" w:fill="auto"/>
            <w:vAlign w:val="center"/>
          </w:tcPr>
          <w:p w14:paraId="4198C31B" w14:textId="77777777" w:rsidR="009A3E96" w:rsidRPr="00B504FE" w:rsidRDefault="009A3E96" w:rsidP="00FD64D1">
            <w:pPr>
              <w:rPr>
                <w:bCs/>
                <w:szCs w:val="24"/>
              </w:rPr>
            </w:pPr>
            <w:r w:rsidRPr="00B504FE">
              <w:rPr>
                <w:bCs/>
                <w:szCs w:val="24"/>
              </w:rPr>
              <w:t>Interim Progress Report</w:t>
            </w:r>
          </w:p>
        </w:tc>
        <w:tc>
          <w:tcPr>
            <w:tcW w:w="1529" w:type="dxa"/>
            <w:shd w:val="clear" w:color="auto" w:fill="auto"/>
            <w:vAlign w:val="center"/>
          </w:tcPr>
          <w:p w14:paraId="1C81C6B1" w14:textId="77777777" w:rsidR="009A3E96" w:rsidRPr="00B504FE" w:rsidRDefault="009A3E96" w:rsidP="00FD64D1">
            <w:pPr>
              <w:jc w:val="center"/>
              <w:rPr>
                <w:bCs/>
                <w:szCs w:val="24"/>
              </w:rPr>
            </w:pPr>
            <w:r w:rsidRPr="00B504FE">
              <w:rPr>
                <w:bCs/>
                <w:szCs w:val="24"/>
              </w:rPr>
              <w:t>25</w:t>
            </w:r>
          </w:p>
        </w:tc>
        <w:tc>
          <w:tcPr>
            <w:tcW w:w="1440" w:type="dxa"/>
            <w:shd w:val="clear" w:color="auto" w:fill="auto"/>
            <w:vAlign w:val="center"/>
          </w:tcPr>
          <w:p w14:paraId="39B02CA6" w14:textId="77777777" w:rsidR="009A3E96" w:rsidRPr="00B504FE" w:rsidRDefault="009A3E96" w:rsidP="00FD64D1">
            <w:pPr>
              <w:jc w:val="center"/>
              <w:rPr>
                <w:bCs/>
                <w:szCs w:val="24"/>
              </w:rPr>
            </w:pPr>
            <w:r w:rsidRPr="00B504FE">
              <w:rPr>
                <w:bCs/>
                <w:szCs w:val="24"/>
              </w:rPr>
              <w:t>2</w:t>
            </w:r>
          </w:p>
        </w:tc>
        <w:tc>
          <w:tcPr>
            <w:tcW w:w="1260" w:type="dxa"/>
            <w:shd w:val="clear" w:color="auto" w:fill="auto"/>
            <w:vAlign w:val="center"/>
          </w:tcPr>
          <w:p w14:paraId="36ADA68F" w14:textId="77777777" w:rsidR="009A3E96" w:rsidRPr="00B504FE" w:rsidRDefault="009A3E96" w:rsidP="00FD64D1">
            <w:pPr>
              <w:jc w:val="center"/>
              <w:rPr>
                <w:bCs/>
                <w:szCs w:val="24"/>
              </w:rPr>
            </w:pPr>
            <w:r w:rsidRPr="00B504FE">
              <w:rPr>
                <w:bCs/>
                <w:szCs w:val="24"/>
              </w:rPr>
              <w:t>8</w:t>
            </w:r>
          </w:p>
        </w:tc>
        <w:tc>
          <w:tcPr>
            <w:tcW w:w="990" w:type="dxa"/>
            <w:vAlign w:val="center"/>
          </w:tcPr>
          <w:p w14:paraId="3EDB9603" w14:textId="77777777" w:rsidR="009A3E96" w:rsidRPr="00B504FE" w:rsidRDefault="009A3E96" w:rsidP="00FD64D1">
            <w:pPr>
              <w:jc w:val="center"/>
              <w:rPr>
                <w:bCs/>
                <w:szCs w:val="24"/>
              </w:rPr>
            </w:pPr>
            <w:r w:rsidRPr="00B504FE">
              <w:rPr>
                <w:bCs/>
                <w:szCs w:val="24"/>
              </w:rPr>
              <w:t>400</w:t>
            </w:r>
          </w:p>
        </w:tc>
        <w:tc>
          <w:tcPr>
            <w:tcW w:w="990" w:type="dxa"/>
            <w:vAlign w:val="center"/>
          </w:tcPr>
          <w:p w14:paraId="0916D7AC" w14:textId="77777777" w:rsidR="009A3E96" w:rsidRPr="00B504FE" w:rsidRDefault="009A3E96" w:rsidP="00FD64D1">
            <w:pPr>
              <w:jc w:val="center"/>
              <w:rPr>
                <w:bCs/>
                <w:szCs w:val="24"/>
              </w:rPr>
            </w:pPr>
            <w:r w:rsidRPr="00B504FE">
              <w:rPr>
                <w:szCs w:val="24"/>
              </w:rPr>
              <w:t>$32.56</w:t>
            </w:r>
          </w:p>
        </w:tc>
        <w:tc>
          <w:tcPr>
            <w:tcW w:w="1440" w:type="dxa"/>
            <w:vAlign w:val="center"/>
          </w:tcPr>
          <w:p w14:paraId="4C5C8826" w14:textId="77777777" w:rsidR="009A3E96" w:rsidRPr="00B504FE" w:rsidRDefault="009A3E96" w:rsidP="00FD64D1">
            <w:pPr>
              <w:jc w:val="center"/>
              <w:rPr>
                <w:bCs/>
                <w:szCs w:val="24"/>
              </w:rPr>
            </w:pPr>
            <w:r w:rsidRPr="00B504FE">
              <w:rPr>
                <w:bCs/>
                <w:szCs w:val="24"/>
              </w:rPr>
              <w:t>$13,024</w:t>
            </w:r>
          </w:p>
        </w:tc>
      </w:tr>
      <w:tr w:rsidR="00B504FE" w:rsidRPr="00B504FE" w14:paraId="29718E39" w14:textId="77777777" w:rsidTr="009B2BE9">
        <w:trPr>
          <w:trHeight w:val="477"/>
        </w:trPr>
        <w:tc>
          <w:tcPr>
            <w:tcW w:w="1441" w:type="dxa"/>
            <w:shd w:val="clear" w:color="auto" w:fill="auto"/>
            <w:vAlign w:val="center"/>
          </w:tcPr>
          <w:p w14:paraId="6D0064B7" w14:textId="01A0A3EA" w:rsidR="009A3E96" w:rsidRPr="00B504FE" w:rsidRDefault="009A3E96" w:rsidP="00FD64D1">
            <w:pPr>
              <w:rPr>
                <w:bCs/>
                <w:szCs w:val="24"/>
              </w:rPr>
            </w:pPr>
            <w:r w:rsidRPr="00B504FE">
              <w:rPr>
                <w:bCs/>
                <w:szCs w:val="24"/>
              </w:rPr>
              <w:t>Partner Survey</w:t>
            </w:r>
            <w:r w:rsidR="0021059B">
              <w:rPr>
                <w:bCs/>
                <w:szCs w:val="24"/>
              </w:rPr>
              <w:t xml:space="preserve"> &amp; Screener</w:t>
            </w:r>
          </w:p>
        </w:tc>
        <w:tc>
          <w:tcPr>
            <w:tcW w:w="1529" w:type="dxa"/>
            <w:shd w:val="clear" w:color="auto" w:fill="auto"/>
            <w:vAlign w:val="center"/>
          </w:tcPr>
          <w:p w14:paraId="4324C1BB" w14:textId="77777777" w:rsidR="009A3E96" w:rsidRPr="00B504FE" w:rsidRDefault="009A3E96" w:rsidP="00FD64D1">
            <w:pPr>
              <w:jc w:val="center"/>
              <w:rPr>
                <w:bCs/>
                <w:szCs w:val="24"/>
              </w:rPr>
            </w:pPr>
            <w:r w:rsidRPr="00B504FE">
              <w:rPr>
                <w:bCs/>
                <w:szCs w:val="24"/>
              </w:rPr>
              <w:t>300</w:t>
            </w:r>
          </w:p>
        </w:tc>
        <w:tc>
          <w:tcPr>
            <w:tcW w:w="1440" w:type="dxa"/>
            <w:shd w:val="clear" w:color="auto" w:fill="auto"/>
            <w:vAlign w:val="center"/>
          </w:tcPr>
          <w:p w14:paraId="74290982" w14:textId="77777777" w:rsidR="009A3E96" w:rsidRPr="00B504FE" w:rsidRDefault="009A3E96" w:rsidP="00FD64D1">
            <w:pPr>
              <w:jc w:val="center"/>
              <w:rPr>
                <w:bCs/>
                <w:szCs w:val="24"/>
              </w:rPr>
            </w:pPr>
            <w:r w:rsidRPr="00B504FE">
              <w:rPr>
                <w:bCs/>
                <w:szCs w:val="24"/>
              </w:rPr>
              <w:t>1</w:t>
            </w:r>
          </w:p>
        </w:tc>
        <w:tc>
          <w:tcPr>
            <w:tcW w:w="1260" w:type="dxa"/>
            <w:tcBorders>
              <w:bottom w:val="single" w:sz="4" w:space="0" w:color="auto"/>
            </w:tcBorders>
            <w:shd w:val="clear" w:color="auto" w:fill="auto"/>
            <w:vAlign w:val="center"/>
          </w:tcPr>
          <w:p w14:paraId="655EB39D" w14:textId="77777777" w:rsidR="009A3E96" w:rsidRPr="00B504FE" w:rsidRDefault="00351FB3" w:rsidP="00FD64D1">
            <w:pPr>
              <w:jc w:val="center"/>
              <w:rPr>
                <w:bCs/>
                <w:szCs w:val="24"/>
              </w:rPr>
            </w:pPr>
            <w:r>
              <w:rPr>
                <w:bCs/>
                <w:szCs w:val="24"/>
              </w:rPr>
              <w:t>40</w:t>
            </w:r>
            <w:r w:rsidR="00797260" w:rsidRPr="00B504FE">
              <w:rPr>
                <w:bCs/>
                <w:szCs w:val="24"/>
              </w:rPr>
              <w:t>/60</w:t>
            </w:r>
            <w:r w:rsidR="009A3E96" w:rsidRPr="00B504FE" w:rsidDel="00736D83">
              <w:rPr>
                <w:bCs/>
                <w:szCs w:val="24"/>
              </w:rPr>
              <w:t xml:space="preserve"> </w:t>
            </w:r>
          </w:p>
        </w:tc>
        <w:tc>
          <w:tcPr>
            <w:tcW w:w="990" w:type="dxa"/>
            <w:vAlign w:val="center"/>
          </w:tcPr>
          <w:p w14:paraId="7D1D83BE" w14:textId="77777777" w:rsidR="009A3E96" w:rsidRPr="00B504FE" w:rsidRDefault="00351FB3" w:rsidP="00FD64D1">
            <w:pPr>
              <w:jc w:val="center"/>
              <w:rPr>
                <w:bCs/>
                <w:szCs w:val="24"/>
              </w:rPr>
            </w:pPr>
            <w:r>
              <w:rPr>
                <w:bCs/>
                <w:szCs w:val="24"/>
              </w:rPr>
              <w:t>200</w:t>
            </w:r>
          </w:p>
        </w:tc>
        <w:tc>
          <w:tcPr>
            <w:tcW w:w="990" w:type="dxa"/>
            <w:vAlign w:val="center"/>
          </w:tcPr>
          <w:p w14:paraId="70541DEF" w14:textId="77777777" w:rsidR="009A3E96" w:rsidRPr="00B504FE" w:rsidRDefault="009A3E96" w:rsidP="00FD64D1">
            <w:pPr>
              <w:jc w:val="center"/>
              <w:rPr>
                <w:bCs/>
                <w:szCs w:val="24"/>
              </w:rPr>
            </w:pPr>
            <w:r w:rsidRPr="00B504FE">
              <w:rPr>
                <w:szCs w:val="24"/>
              </w:rPr>
              <w:t>$32.56</w:t>
            </w:r>
          </w:p>
        </w:tc>
        <w:tc>
          <w:tcPr>
            <w:tcW w:w="1440" w:type="dxa"/>
            <w:vAlign w:val="center"/>
          </w:tcPr>
          <w:p w14:paraId="660D5B39" w14:textId="0ABCFF15" w:rsidR="009A3E96" w:rsidRPr="00B504FE" w:rsidRDefault="009A3E96" w:rsidP="00FD64D1">
            <w:pPr>
              <w:jc w:val="center"/>
              <w:rPr>
                <w:bCs/>
                <w:szCs w:val="24"/>
              </w:rPr>
            </w:pPr>
            <w:r w:rsidRPr="00B504FE">
              <w:rPr>
                <w:bCs/>
                <w:szCs w:val="24"/>
              </w:rPr>
              <w:t>$</w:t>
            </w:r>
            <w:r w:rsidR="00351FB3">
              <w:rPr>
                <w:bCs/>
                <w:szCs w:val="24"/>
              </w:rPr>
              <w:t>6,512</w:t>
            </w:r>
          </w:p>
        </w:tc>
      </w:tr>
      <w:tr w:rsidR="00783ED8" w:rsidRPr="00B504FE" w14:paraId="38BE1F80" w14:textId="77777777" w:rsidTr="004F0274">
        <w:trPr>
          <w:trHeight w:val="746"/>
        </w:trPr>
        <w:tc>
          <w:tcPr>
            <w:tcW w:w="1441" w:type="dxa"/>
            <w:tcBorders>
              <w:bottom w:val="single" w:sz="4" w:space="0" w:color="auto"/>
            </w:tcBorders>
            <w:shd w:val="clear" w:color="auto" w:fill="auto"/>
            <w:vAlign w:val="center"/>
          </w:tcPr>
          <w:p w14:paraId="0469E57F" w14:textId="77777777" w:rsidR="009A3E96" w:rsidRPr="00B504FE" w:rsidRDefault="009A3E96" w:rsidP="00FD64D1">
            <w:pPr>
              <w:rPr>
                <w:bCs/>
                <w:szCs w:val="24"/>
              </w:rPr>
            </w:pPr>
            <w:r w:rsidRPr="00B504FE">
              <w:rPr>
                <w:bCs/>
                <w:szCs w:val="24"/>
              </w:rPr>
              <w:t>Partnerships Activities Form</w:t>
            </w:r>
          </w:p>
        </w:tc>
        <w:tc>
          <w:tcPr>
            <w:tcW w:w="1529" w:type="dxa"/>
            <w:shd w:val="clear" w:color="auto" w:fill="auto"/>
            <w:vAlign w:val="center"/>
          </w:tcPr>
          <w:p w14:paraId="6D95E2DF" w14:textId="77777777" w:rsidR="009A3E96" w:rsidRPr="00B504FE" w:rsidRDefault="009A3E96" w:rsidP="00FD64D1">
            <w:pPr>
              <w:jc w:val="center"/>
              <w:rPr>
                <w:bCs/>
                <w:szCs w:val="24"/>
              </w:rPr>
            </w:pPr>
            <w:r w:rsidRPr="00B504FE">
              <w:rPr>
                <w:bCs/>
                <w:szCs w:val="24"/>
              </w:rPr>
              <w:t>500</w:t>
            </w:r>
          </w:p>
        </w:tc>
        <w:tc>
          <w:tcPr>
            <w:tcW w:w="1440" w:type="dxa"/>
            <w:shd w:val="clear" w:color="auto" w:fill="auto"/>
            <w:vAlign w:val="center"/>
          </w:tcPr>
          <w:p w14:paraId="2A2D6585" w14:textId="77777777" w:rsidR="009A3E96" w:rsidRPr="00B504FE" w:rsidRDefault="009A3E96" w:rsidP="00FD64D1">
            <w:pPr>
              <w:jc w:val="center"/>
              <w:rPr>
                <w:bCs/>
                <w:szCs w:val="24"/>
              </w:rPr>
            </w:pPr>
            <w:r w:rsidRPr="00B504FE">
              <w:rPr>
                <w:bCs/>
                <w:szCs w:val="24"/>
              </w:rPr>
              <w:t>4</w:t>
            </w:r>
          </w:p>
        </w:tc>
        <w:tc>
          <w:tcPr>
            <w:tcW w:w="1260" w:type="dxa"/>
            <w:tcBorders>
              <w:bottom w:val="single" w:sz="4" w:space="0" w:color="auto"/>
            </w:tcBorders>
            <w:shd w:val="clear" w:color="auto" w:fill="auto"/>
            <w:vAlign w:val="center"/>
          </w:tcPr>
          <w:p w14:paraId="2A9C775C" w14:textId="77777777" w:rsidR="009A3E96" w:rsidRPr="00B504FE" w:rsidRDefault="00797260" w:rsidP="00FD64D1">
            <w:pPr>
              <w:jc w:val="center"/>
              <w:rPr>
                <w:bCs/>
                <w:szCs w:val="24"/>
              </w:rPr>
            </w:pPr>
            <w:r w:rsidRPr="00B504FE">
              <w:rPr>
                <w:bCs/>
                <w:szCs w:val="24"/>
              </w:rPr>
              <w:t>25/60</w:t>
            </w:r>
          </w:p>
        </w:tc>
        <w:tc>
          <w:tcPr>
            <w:tcW w:w="990" w:type="dxa"/>
            <w:tcBorders>
              <w:bottom w:val="single" w:sz="4" w:space="0" w:color="auto"/>
            </w:tcBorders>
            <w:vAlign w:val="center"/>
          </w:tcPr>
          <w:p w14:paraId="4F9BC84E" w14:textId="64DB298B" w:rsidR="009A3E96" w:rsidRPr="00B504FE" w:rsidRDefault="005745EB" w:rsidP="00FD64D1">
            <w:pPr>
              <w:jc w:val="center"/>
              <w:rPr>
                <w:bCs/>
                <w:szCs w:val="24"/>
              </w:rPr>
            </w:pPr>
            <w:r>
              <w:rPr>
                <w:bCs/>
                <w:szCs w:val="24"/>
              </w:rPr>
              <w:t>833</w:t>
            </w:r>
          </w:p>
        </w:tc>
        <w:tc>
          <w:tcPr>
            <w:tcW w:w="990" w:type="dxa"/>
            <w:tcBorders>
              <w:bottom w:val="single" w:sz="4" w:space="0" w:color="auto"/>
            </w:tcBorders>
            <w:vAlign w:val="center"/>
          </w:tcPr>
          <w:p w14:paraId="266047E8" w14:textId="77777777" w:rsidR="009A3E96" w:rsidRPr="00B504FE" w:rsidRDefault="009A3E96" w:rsidP="00FD64D1">
            <w:pPr>
              <w:jc w:val="center"/>
              <w:rPr>
                <w:szCs w:val="24"/>
              </w:rPr>
            </w:pPr>
            <w:r w:rsidRPr="00B504FE">
              <w:rPr>
                <w:szCs w:val="24"/>
              </w:rPr>
              <w:t>$32.56</w:t>
            </w:r>
          </w:p>
        </w:tc>
        <w:tc>
          <w:tcPr>
            <w:tcW w:w="1440" w:type="dxa"/>
            <w:tcBorders>
              <w:bottom w:val="single" w:sz="4" w:space="0" w:color="auto"/>
            </w:tcBorders>
            <w:vAlign w:val="center"/>
          </w:tcPr>
          <w:p w14:paraId="56B35484" w14:textId="0D847942" w:rsidR="009A3E96" w:rsidRPr="00B504FE" w:rsidRDefault="009A3E96" w:rsidP="00FD64D1">
            <w:pPr>
              <w:jc w:val="center"/>
              <w:rPr>
                <w:bCs/>
                <w:szCs w:val="24"/>
              </w:rPr>
            </w:pPr>
            <w:r w:rsidRPr="00B504FE">
              <w:rPr>
                <w:bCs/>
                <w:szCs w:val="24"/>
              </w:rPr>
              <w:t>$</w:t>
            </w:r>
            <w:r w:rsidR="005745EB">
              <w:rPr>
                <w:bCs/>
                <w:szCs w:val="24"/>
              </w:rPr>
              <w:t>27,122</w:t>
            </w:r>
          </w:p>
        </w:tc>
      </w:tr>
      <w:tr w:rsidR="00783ED8" w:rsidRPr="00B504FE" w14:paraId="6EE20B4D" w14:textId="77777777" w:rsidTr="004F0274">
        <w:trPr>
          <w:trHeight w:val="492"/>
        </w:trPr>
        <w:tc>
          <w:tcPr>
            <w:tcW w:w="1441" w:type="dxa"/>
            <w:tcBorders>
              <w:bottom w:val="single" w:sz="4" w:space="0" w:color="auto"/>
            </w:tcBorders>
            <w:shd w:val="clear" w:color="auto" w:fill="auto"/>
            <w:vAlign w:val="center"/>
          </w:tcPr>
          <w:p w14:paraId="70CB3947" w14:textId="77777777" w:rsidR="009A3E96" w:rsidRPr="00B504FE" w:rsidRDefault="009A3E96" w:rsidP="00FD64D1">
            <w:pPr>
              <w:rPr>
                <w:bCs/>
                <w:szCs w:val="24"/>
              </w:rPr>
            </w:pPr>
            <w:r w:rsidRPr="00B504FE">
              <w:rPr>
                <w:bCs/>
                <w:szCs w:val="24"/>
              </w:rPr>
              <w:t>Total</w:t>
            </w:r>
          </w:p>
        </w:tc>
        <w:tc>
          <w:tcPr>
            <w:tcW w:w="6209" w:type="dxa"/>
            <w:gridSpan w:val="5"/>
            <w:shd w:val="clear" w:color="auto" w:fill="auto"/>
            <w:vAlign w:val="center"/>
          </w:tcPr>
          <w:p w14:paraId="3F615972" w14:textId="77777777" w:rsidR="009A3E96" w:rsidRPr="00B504FE" w:rsidRDefault="009A3E96" w:rsidP="00FD64D1">
            <w:pPr>
              <w:jc w:val="center"/>
              <w:rPr>
                <w:szCs w:val="24"/>
              </w:rPr>
            </w:pPr>
          </w:p>
        </w:tc>
        <w:tc>
          <w:tcPr>
            <w:tcW w:w="1440" w:type="dxa"/>
            <w:tcBorders>
              <w:bottom w:val="single" w:sz="4" w:space="0" w:color="auto"/>
            </w:tcBorders>
            <w:vAlign w:val="center"/>
          </w:tcPr>
          <w:p w14:paraId="14B13F9C" w14:textId="791AA8CC" w:rsidR="009A3E96" w:rsidRPr="00B504FE" w:rsidRDefault="008B1802" w:rsidP="00FD64D1">
            <w:pPr>
              <w:jc w:val="center"/>
              <w:rPr>
                <w:bCs/>
                <w:szCs w:val="24"/>
              </w:rPr>
            </w:pPr>
            <w:r w:rsidRPr="00B504FE">
              <w:rPr>
                <w:szCs w:val="24"/>
              </w:rPr>
              <w:t>$</w:t>
            </w:r>
            <w:r w:rsidR="005745EB">
              <w:rPr>
                <w:bCs/>
                <w:szCs w:val="24"/>
              </w:rPr>
              <w:t>165</w:t>
            </w:r>
            <w:r w:rsidR="00351FB3">
              <w:rPr>
                <w:bCs/>
                <w:szCs w:val="24"/>
              </w:rPr>
              <w:t>,</w:t>
            </w:r>
            <w:r w:rsidR="005745EB">
              <w:rPr>
                <w:bCs/>
                <w:szCs w:val="24"/>
              </w:rPr>
              <w:t>502</w:t>
            </w:r>
          </w:p>
        </w:tc>
      </w:tr>
    </w:tbl>
    <w:p w14:paraId="70D87BAF" w14:textId="77777777" w:rsidR="00EF06C2" w:rsidRDefault="00130D7B" w:rsidP="00FD64D1">
      <w:pPr>
        <w:rPr>
          <w:i/>
          <w:szCs w:val="24"/>
        </w:rPr>
      </w:pPr>
      <w:r w:rsidRPr="00B504FE">
        <w:rPr>
          <w:i/>
          <w:szCs w:val="24"/>
        </w:rPr>
        <w:t xml:space="preserve">*Rounded to the nearest </w:t>
      </w:r>
      <w:r w:rsidR="00222784" w:rsidRPr="00B504FE">
        <w:rPr>
          <w:i/>
          <w:szCs w:val="24"/>
        </w:rPr>
        <w:t>dollar</w:t>
      </w:r>
      <w:r w:rsidRPr="00B504FE">
        <w:rPr>
          <w:i/>
          <w:szCs w:val="24"/>
        </w:rPr>
        <w:t>.</w:t>
      </w:r>
    </w:p>
    <w:p w14:paraId="2E38455F" w14:textId="77777777" w:rsidR="00F57B18" w:rsidRPr="00B504FE" w:rsidRDefault="00F57B18" w:rsidP="00FD64D1">
      <w:pPr>
        <w:rPr>
          <w:i/>
          <w:szCs w:val="24"/>
        </w:rPr>
      </w:pPr>
    </w:p>
    <w:p w14:paraId="3C0DEC60" w14:textId="77777777" w:rsidR="00E949EF" w:rsidRPr="00B504FE" w:rsidRDefault="00C63A6B" w:rsidP="00FD64D1">
      <w:pPr>
        <w:pStyle w:val="Heading2"/>
        <w:spacing w:after="0"/>
        <w:rPr>
          <w:szCs w:val="24"/>
        </w:rPr>
      </w:pPr>
      <w:r w:rsidRPr="00B504FE">
        <w:rPr>
          <w:szCs w:val="24"/>
        </w:rPr>
        <w:t>13</w:t>
      </w:r>
      <w:r w:rsidR="0043238D" w:rsidRPr="00B504FE">
        <w:rPr>
          <w:szCs w:val="24"/>
        </w:rPr>
        <w:t>.</w:t>
      </w:r>
      <w:r w:rsidR="0043238D" w:rsidRPr="00B504FE">
        <w:rPr>
          <w:szCs w:val="24"/>
        </w:rPr>
        <w:tab/>
      </w:r>
      <w:r w:rsidR="00E949EF" w:rsidRPr="00B504FE">
        <w:rPr>
          <w:szCs w:val="24"/>
        </w:rPr>
        <w:t>Estimates of Other Total Annual Cost Burden to Respondents and Record Keepers</w:t>
      </w:r>
      <w:bookmarkEnd w:id="51"/>
      <w:bookmarkEnd w:id="52"/>
      <w:bookmarkEnd w:id="53"/>
      <w:r w:rsidR="00E949EF" w:rsidRPr="00B504FE">
        <w:rPr>
          <w:szCs w:val="24"/>
        </w:rPr>
        <w:t xml:space="preserve"> </w:t>
      </w:r>
    </w:p>
    <w:p w14:paraId="7D31E5D4" w14:textId="77777777" w:rsidR="00E949EF" w:rsidRDefault="006841AC" w:rsidP="00FD64D1">
      <w:pPr>
        <w:pStyle w:val="BodyText1"/>
        <w:spacing w:after="0" w:line="240" w:lineRule="auto"/>
        <w:rPr>
          <w:szCs w:val="24"/>
        </w:rPr>
      </w:pPr>
      <w:r w:rsidRPr="00B504FE">
        <w:rPr>
          <w:szCs w:val="24"/>
        </w:rPr>
        <w:t>There are</w:t>
      </w:r>
      <w:r w:rsidR="00E949EF" w:rsidRPr="00B504FE">
        <w:rPr>
          <w:szCs w:val="24"/>
        </w:rPr>
        <w:t xml:space="preserve"> no start-up or maintenance costs. We do not require any additional record keeping.</w:t>
      </w:r>
    </w:p>
    <w:p w14:paraId="5AF6EF13" w14:textId="77777777" w:rsidR="00F57B18" w:rsidRPr="00B504FE" w:rsidRDefault="00F57B18" w:rsidP="00FD64D1">
      <w:pPr>
        <w:pStyle w:val="BodyText1"/>
        <w:spacing w:after="0" w:line="240" w:lineRule="auto"/>
        <w:ind w:firstLine="0"/>
        <w:rPr>
          <w:szCs w:val="24"/>
        </w:rPr>
      </w:pPr>
    </w:p>
    <w:p w14:paraId="7E4AF6BD" w14:textId="77777777" w:rsidR="00E949EF" w:rsidRPr="00B504FE" w:rsidRDefault="00E949EF" w:rsidP="00FD64D1">
      <w:pPr>
        <w:pStyle w:val="Heading2"/>
        <w:spacing w:after="0"/>
        <w:rPr>
          <w:szCs w:val="24"/>
        </w:rPr>
      </w:pPr>
      <w:bookmarkStart w:id="55" w:name="_Toc146088447"/>
      <w:bookmarkStart w:id="56" w:name="_Toc231290976"/>
      <w:bookmarkEnd w:id="50"/>
      <w:r w:rsidRPr="00B504FE">
        <w:rPr>
          <w:szCs w:val="24"/>
        </w:rPr>
        <w:t>14.</w:t>
      </w:r>
      <w:r w:rsidRPr="00B504FE">
        <w:rPr>
          <w:szCs w:val="24"/>
        </w:rPr>
        <w:tab/>
        <w:t>Annualized Cost to the Federal Government</w:t>
      </w:r>
      <w:bookmarkEnd w:id="55"/>
      <w:bookmarkEnd w:id="56"/>
      <w:r w:rsidRPr="00B504FE">
        <w:rPr>
          <w:szCs w:val="24"/>
        </w:rPr>
        <w:t xml:space="preserve"> </w:t>
      </w:r>
    </w:p>
    <w:p w14:paraId="4B90ABC5" w14:textId="1BDCB0BD" w:rsidR="00A76D25" w:rsidRDefault="00D22E02" w:rsidP="00FD64D1">
      <w:pPr>
        <w:pStyle w:val="BodyText1"/>
        <w:spacing w:after="0" w:line="240" w:lineRule="auto"/>
        <w:rPr>
          <w:szCs w:val="24"/>
        </w:rPr>
      </w:pPr>
      <w:r w:rsidRPr="00B504FE">
        <w:rPr>
          <w:szCs w:val="24"/>
        </w:rPr>
        <w:t>The annualized cost to the federal government is $</w:t>
      </w:r>
      <w:r w:rsidR="00A76D25">
        <w:rPr>
          <w:szCs w:val="24"/>
        </w:rPr>
        <w:t>204,654</w:t>
      </w:r>
      <w:r w:rsidR="00EF06C2" w:rsidRPr="00B504FE">
        <w:rPr>
          <w:szCs w:val="24"/>
        </w:rPr>
        <w:t>,</w:t>
      </w:r>
      <w:r w:rsidRPr="00B504FE">
        <w:rPr>
          <w:szCs w:val="24"/>
        </w:rPr>
        <w:t xml:space="preserve"> which is based on t</w:t>
      </w:r>
      <w:r w:rsidR="00E949EF" w:rsidRPr="00B504FE">
        <w:rPr>
          <w:szCs w:val="24"/>
        </w:rPr>
        <w:t xml:space="preserve">he </w:t>
      </w:r>
      <w:r w:rsidR="00876913" w:rsidRPr="00B504FE">
        <w:rPr>
          <w:szCs w:val="24"/>
        </w:rPr>
        <w:t xml:space="preserve">evaluation </w:t>
      </w:r>
      <w:r w:rsidR="00E949EF" w:rsidRPr="00B504FE">
        <w:rPr>
          <w:szCs w:val="24"/>
        </w:rPr>
        <w:t xml:space="preserve">contractor’s costs </w:t>
      </w:r>
      <w:r w:rsidRPr="00B504FE">
        <w:rPr>
          <w:szCs w:val="24"/>
        </w:rPr>
        <w:t xml:space="preserve">for </w:t>
      </w:r>
      <w:r w:rsidR="00E949EF" w:rsidRPr="00B504FE">
        <w:rPr>
          <w:szCs w:val="24"/>
        </w:rPr>
        <w:t>carry</w:t>
      </w:r>
      <w:r w:rsidRPr="00B504FE">
        <w:rPr>
          <w:szCs w:val="24"/>
        </w:rPr>
        <w:t>ing</w:t>
      </w:r>
      <w:r w:rsidR="00E949EF" w:rsidRPr="00B504FE">
        <w:rPr>
          <w:szCs w:val="24"/>
        </w:rPr>
        <w:t xml:space="preserve"> out the data collection activities</w:t>
      </w:r>
      <w:r w:rsidRPr="00B504FE">
        <w:rPr>
          <w:szCs w:val="24"/>
        </w:rPr>
        <w:t xml:space="preserve">, analysis, and reporting and CDC’s oversight of the </w:t>
      </w:r>
      <w:r w:rsidR="00876913" w:rsidRPr="00B504FE">
        <w:rPr>
          <w:szCs w:val="24"/>
        </w:rPr>
        <w:t xml:space="preserve">evaluation </w:t>
      </w:r>
      <w:r w:rsidRPr="00B504FE">
        <w:rPr>
          <w:szCs w:val="24"/>
        </w:rPr>
        <w:t xml:space="preserve">contractor and project </w:t>
      </w:r>
      <w:r w:rsidR="00E949EF" w:rsidRPr="00B504FE">
        <w:rPr>
          <w:szCs w:val="24"/>
        </w:rPr>
        <w:t>(</w:t>
      </w:r>
      <w:r w:rsidR="00F157CF" w:rsidRPr="00B504FE">
        <w:rPr>
          <w:bCs/>
          <w:i/>
          <w:szCs w:val="24"/>
        </w:rPr>
        <w:t>Table</w:t>
      </w:r>
      <w:r w:rsidR="00E949EF" w:rsidRPr="00B504FE">
        <w:rPr>
          <w:bCs/>
          <w:i/>
          <w:szCs w:val="24"/>
        </w:rPr>
        <w:t xml:space="preserve"> </w:t>
      </w:r>
      <w:r w:rsidR="00F157CF" w:rsidRPr="00B504FE">
        <w:rPr>
          <w:bCs/>
          <w:i/>
          <w:szCs w:val="24"/>
        </w:rPr>
        <w:t>A.14.1</w:t>
      </w:r>
      <w:r w:rsidR="00E949EF" w:rsidRPr="00B504FE">
        <w:rPr>
          <w:szCs w:val="24"/>
        </w:rPr>
        <w:t xml:space="preserve">). </w:t>
      </w:r>
      <w:r w:rsidR="00A76D25" w:rsidRPr="00A76D25">
        <w:rPr>
          <w:szCs w:val="24"/>
        </w:rPr>
        <w:t xml:space="preserve">One CDC Contracting Officers’ Representative </w:t>
      </w:r>
      <w:r w:rsidR="00A76D25">
        <w:rPr>
          <w:szCs w:val="24"/>
        </w:rPr>
        <w:t>(</w:t>
      </w:r>
      <w:r w:rsidR="00A76D25" w:rsidRPr="00A76D25">
        <w:rPr>
          <w:szCs w:val="24"/>
        </w:rPr>
        <w:t>COR</w:t>
      </w:r>
      <w:r w:rsidR="00A76D25">
        <w:rPr>
          <w:szCs w:val="24"/>
        </w:rPr>
        <w:t>)</w:t>
      </w:r>
      <w:r w:rsidR="00A76D25" w:rsidRPr="00A76D25">
        <w:rPr>
          <w:szCs w:val="24"/>
        </w:rPr>
        <w:t xml:space="preserve"> will be responsible for obtaining CDC approvals, providing project oversight, and participating in analysis and dissemination of the results. </w:t>
      </w:r>
      <w:r w:rsidR="00F330AC">
        <w:rPr>
          <w:szCs w:val="24"/>
        </w:rPr>
        <w:t>This project will be executed as part of Contract No. HHSD2002013M53964B/Order No. 200-2015-F-88167.</w:t>
      </w:r>
    </w:p>
    <w:p w14:paraId="542417B8" w14:textId="77777777" w:rsidR="00F57B18" w:rsidRPr="00B504FE" w:rsidRDefault="00F57B18" w:rsidP="00FD64D1">
      <w:pPr>
        <w:pStyle w:val="BodyText1"/>
        <w:spacing w:after="0" w:line="240" w:lineRule="auto"/>
        <w:ind w:firstLine="0"/>
        <w:rPr>
          <w:szCs w:val="24"/>
        </w:rPr>
      </w:pPr>
    </w:p>
    <w:p w14:paraId="2631DBE5" w14:textId="243919EA" w:rsidR="00E949EF" w:rsidRPr="00B504FE" w:rsidRDefault="00F157CF" w:rsidP="00FD64D1">
      <w:pPr>
        <w:pStyle w:val="Exhibittitle"/>
        <w:spacing w:before="0" w:after="0"/>
        <w:rPr>
          <w:szCs w:val="24"/>
        </w:rPr>
      </w:pPr>
      <w:bookmarkStart w:id="57" w:name="_Toc146088170"/>
      <w:bookmarkStart w:id="58" w:name="_Toc146089478"/>
      <w:bookmarkStart w:id="59" w:name="_Toc173739006"/>
      <w:r w:rsidRPr="00B504FE">
        <w:rPr>
          <w:szCs w:val="24"/>
        </w:rPr>
        <w:t>Table</w:t>
      </w:r>
      <w:r w:rsidR="00E949EF" w:rsidRPr="00B504FE">
        <w:rPr>
          <w:szCs w:val="24"/>
        </w:rPr>
        <w:t xml:space="preserve"> </w:t>
      </w:r>
      <w:r w:rsidRPr="00B504FE">
        <w:rPr>
          <w:szCs w:val="24"/>
        </w:rPr>
        <w:t>A.</w:t>
      </w:r>
      <w:r w:rsidR="006841AC" w:rsidRPr="00B504FE">
        <w:rPr>
          <w:szCs w:val="24"/>
        </w:rPr>
        <w:t>1</w:t>
      </w:r>
      <w:r w:rsidR="00E949EF" w:rsidRPr="00B504FE">
        <w:rPr>
          <w:szCs w:val="24"/>
        </w:rPr>
        <w:t>4.</w:t>
      </w:r>
      <w:r w:rsidRPr="00B504FE">
        <w:rPr>
          <w:szCs w:val="24"/>
        </w:rPr>
        <w:t>1</w:t>
      </w:r>
      <w:r w:rsidR="00E949EF" w:rsidRPr="00B504FE">
        <w:rPr>
          <w:szCs w:val="24"/>
        </w:rPr>
        <w:tab/>
      </w:r>
      <w:r w:rsidR="002D1865">
        <w:rPr>
          <w:szCs w:val="24"/>
        </w:rPr>
        <w:t xml:space="preserve">Annualized Cost to </w:t>
      </w:r>
      <w:r w:rsidR="00E949EF" w:rsidRPr="00B504FE">
        <w:rPr>
          <w:szCs w:val="24"/>
        </w:rPr>
        <w:t xml:space="preserve">Government </w:t>
      </w:r>
      <w:bookmarkEnd w:id="57"/>
      <w:bookmarkEnd w:id="58"/>
      <w:bookmarkEnd w:id="59"/>
      <w:r w:rsidR="00E949EF" w:rsidRPr="00B504FE">
        <w:rPr>
          <w:szCs w:val="24"/>
        </w:rPr>
        <w:t>Costs</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9"/>
        <w:gridCol w:w="5566"/>
        <w:gridCol w:w="1895"/>
      </w:tblGrid>
      <w:tr w:rsidR="0097286B" w:rsidRPr="00F830D5" w14:paraId="0280B971" w14:textId="77777777" w:rsidTr="00A76D25">
        <w:tc>
          <w:tcPr>
            <w:tcW w:w="1890" w:type="dxa"/>
            <w:vAlign w:val="center"/>
          </w:tcPr>
          <w:p w14:paraId="338B699E" w14:textId="77777777"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bookmarkStart w:id="60" w:name="_Toc143058449"/>
            <w:bookmarkStart w:id="61" w:name="_Toc146088448"/>
            <w:bookmarkStart w:id="62" w:name="_Toc231290977"/>
            <w:r w:rsidRPr="00F830D5">
              <w:rPr>
                <w:b/>
                <w:bCs/>
              </w:rPr>
              <w:t>Expense Type</w:t>
            </w:r>
          </w:p>
        </w:tc>
        <w:tc>
          <w:tcPr>
            <w:tcW w:w="5569" w:type="dxa"/>
            <w:vAlign w:val="center"/>
          </w:tcPr>
          <w:p w14:paraId="065F97C9" w14:textId="77777777"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highlight w:val="yellow"/>
              </w:rPr>
            </w:pPr>
            <w:r w:rsidRPr="00F830D5">
              <w:rPr>
                <w:b/>
                <w:bCs/>
              </w:rPr>
              <w:t>Expense Explanation</w:t>
            </w:r>
          </w:p>
        </w:tc>
        <w:tc>
          <w:tcPr>
            <w:tcW w:w="1896" w:type="dxa"/>
            <w:vAlign w:val="center"/>
          </w:tcPr>
          <w:p w14:paraId="1C4EB524" w14:textId="77777777" w:rsidR="0097286B" w:rsidRPr="00F830D5" w:rsidRDefault="0097286B" w:rsidP="00FD64D1">
            <w:pPr>
              <w:tabs>
                <w:tab w:val="center" w:pos="4320"/>
                <w:tab w:val="right" w:pos="8640"/>
              </w:tabs>
              <w:jc w:val="center"/>
            </w:pPr>
          </w:p>
          <w:p w14:paraId="1287E59F" w14:textId="77777777" w:rsidR="0097286B" w:rsidRPr="00F830D5" w:rsidRDefault="0097286B" w:rsidP="00FD6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830D5">
              <w:rPr>
                <w:b/>
                <w:bCs/>
              </w:rPr>
              <w:t>Annual Costs (dollars)</w:t>
            </w:r>
          </w:p>
        </w:tc>
      </w:tr>
      <w:tr w:rsidR="0097286B" w:rsidRPr="00F830D5" w14:paraId="412B31B3" w14:textId="77777777" w:rsidTr="00A76D25">
        <w:tc>
          <w:tcPr>
            <w:tcW w:w="1890" w:type="dxa"/>
          </w:tcPr>
          <w:p w14:paraId="1F56CBC4" w14:textId="77777777"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Direct Costs to the Federal Government</w:t>
            </w:r>
          </w:p>
        </w:tc>
        <w:tc>
          <w:tcPr>
            <w:tcW w:w="5570" w:type="dxa"/>
            <w:vAlign w:val="center"/>
          </w:tcPr>
          <w:p w14:paraId="5FD3DC05" w14:textId="052C018E"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F830D5">
              <w:t>CDC, COR (GS-14 0.20 FTE)</w:t>
            </w:r>
            <w:r w:rsidR="00A76D25">
              <w:t xml:space="preserve">: </w:t>
            </w:r>
            <w:r w:rsidR="00A76D25" w:rsidRPr="00A76D25">
              <w:t>CDC oversight of contractor and project</w:t>
            </w:r>
          </w:p>
        </w:tc>
        <w:tc>
          <w:tcPr>
            <w:tcW w:w="1895" w:type="dxa"/>
            <w:vAlign w:val="center"/>
          </w:tcPr>
          <w:p w14:paraId="5DAC970A" w14:textId="30E7CDCC" w:rsidR="0097286B" w:rsidRPr="00F830D5" w:rsidRDefault="00A76D25" w:rsidP="00FD6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F830D5">
              <w:t>$29,654</w:t>
            </w:r>
          </w:p>
        </w:tc>
      </w:tr>
      <w:tr w:rsidR="0097286B" w:rsidRPr="00F830D5" w14:paraId="3BEB3F39" w14:textId="77777777" w:rsidTr="00A76D25">
        <w:tc>
          <w:tcPr>
            <w:tcW w:w="1890" w:type="dxa"/>
          </w:tcPr>
          <w:p w14:paraId="5D0FD6BC" w14:textId="77777777"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569" w:type="dxa"/>
            <w:vAlign w:val="center"/>
          </w:tcPr>
          <w:p w14:paraId="43ADD60B" w14:textId="47CEE1F3"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rPr>
                <w:b/>
              </w:rPr>
              <w:t>Subtotal, Direct Costs</w:t>
            </w:r>
          </w:p>
        </w:tc>
        <w:tc>
          <w:tcPr>
            <w:tcW w:w="1896" w:type="dxa"/>
            <w:vAlign w:val="center"/>
          </w:tcPr>
          <w:p w14:paraId="7EF94579" w14:textId="66BF151F" w:rsidR="0097286B" w:rsidRPr="00F830D5" w:rsidRDefault="0097286B" w:rsidP="00FD6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rPr>
                <w:b/>
              </w:rPr>
              <w:t>$</w:t>
            </w:r>
            <w:r w:rsidR="00A76D25">
              <w:rPr>
                <w:b/>
              </w:rPr>
              <w:t>29,654</w:t>
            </w:r>
          </w:p>
        </w:tc>
      </w:tr>
      <w:tr w:rsidR="0097286B" w:rsidRPr="00F830D5" w14:paraId="46DA81E6" w14:textId="77777777" w:rsidTr="00A76D25">
        <w:tc>
          <w:tcPr>
            <w:tcW w:w="1890" w:type="dxa"/>
          </w:tcPr>
          <w:p w14:paraId="4AE548BF" w14:textId="77777777"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Cooperative Agreement or Contract Costs</w:t>
            </w:r>
          </w:p>
        </w:tc>
        <w:tc>
          <w:tcPr>
            <w:tcW w:w="5569" w:type="dxa"/>
            <w:vAlign w:val="center"/>
          </w:tcPr>
          <w:p w14:paraId="6B86B40B" w14:textId="2410ADAC" w:rsidR="0097286B" w:rsidRPr="00F830D5" w:rsidRDefault="0098058E"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rPr>
              <w:t>Contract No. HHSD2002013M53964B/Order No. 200-2015-F-88167</w:t>
            </w:r>
            <w:r w:rsidR="0097286B" w:rsidRPr="00F830D5">
              <w:t xml:space="preserve"> </w:t>
            </w:r>
            <w:r w:rsidR="0097286B">
              <w:rPr>
                <w:lang w:bidi="en-US"/>
              </w:rPr>
              <w:t>(</w:t>
            </w:r>
            <w:r>
              <w:rPr>
                <w:lang w:bidi="en-US"/>
              </w:rPr>
              <w:t>RTI International</w:t>
            </w:r>
            <w:r w:rsidR="0097286B">
              <w:rPr>
                <w:lang w:bidi="en-US"/>
              </w:rPr>
              <w:t>)</w:t>
            </w:r>
            <w:r w:rsidR="00A76D25">
              <w:rPr>
                <w:lang w:bidi="en-US"/>
              </w:rPr>
              <w:t xml:space="preserve">: </w:t>
            </w:r>
            <w:r w:rsidR="00A76D25" w:rsidRPr="00A76D25">
              <w:t>Recruitment, data collection, analysis, and reporting</w:t>
            </w:r>
          </w:p>
        </w:tc>
        <w:tc>
          <w:tcPr>
            <w:tcW w:w="1896" w:type="dxa"/>
            <w:vAlign w:val="center"/>
          </w:tcPr>
          <w:p w14:paraId="29B60495" w14:textId="2EE3574F" w:rsidR="0097286B" w:rsidRPr="00F830D5" w:rsidRDefault="0097286B" w:rsidP="00FD6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w:t>
            </w:r>
            <w:r w:rsidR="00A76D25">
              <w:t>175,000</w:t>
            </w:r>
          </w:p>
        </w:tc>
      </w:tr>
      <w:tr w:rsidR="0097286B" w:rsidRPr="00F830D5" w14:paraId="5615403C" w14:textId="77777777" w:rsidTr="00A76D25">
        <w:tc>
          <w:tcPr>
            <w:tcW w:w="1890" w:type="dxa"/>
          </w:tcPr>
          <w:p w14:paraId="47B6301E" w14:textId="77777777"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569" w:type="dxa"/>
            <w:vAlign w:val="center"/>
          </w:tcPr>
          <w:p w14:paraId="3360C764" w14:textId="2A0E4BAF"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830D5">
              <w:rPr>
                <w:b/>
              </w:rPr>
              <w:t>Subtotal, Cooperative Agreement or Contract Costs</w:t>
            </w:r>
          </w:p>
        </w:tc>
        <w:tc>
          <w:tcPr>
            <w:tcW w:w="1896" w:type="dxa"/>
            <w:vAlign w:val="center"/>
          </w:tcPr>
          <w:p w14:paraId="22CE0EA9" w14:textId="017A362B" w:rsidR="0097286B" w:rsidRPr="00F830D5" w:rsidRDefault="0097286B" w:rsidP="00FD6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830D5">
              <w:rPr>
                <w:b/>
              </w:rPr>
              <w:t>$</w:t>
            </w:r>
            <w:r w:rsidR="00A76D25">
              <w:rPr>
                <w:b/>
              </w:rPr>
              <w:t>175,000</w:t>
            </w:r>
          </w:p>
        </w:tc>
      </w:tr>
      <w:tr w:rsidR="0097286B" w:rsidRPr="00F830D5" w14:paraId="121BAFED" w14:textId="77777777" w:rsidTr="00A76D25">
        <w:tc>
          <w:tcPr>
            <w:tcW w:w="1890" w:type="dxa"/>
          </w:tcPr>
          <w:p w14:paraId="084E2BA5" w14:textId="77777777"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569" w:type="dxa"/>
          </w:tcPr>
          <w:p w14:paraId="39ED175B" w14:textId="77777777" w:rsidR="0097286B" w:rsidRPr="00F830D5" w:rsidRDefault="0097286B" w:rsidP="000F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830D5">
              <w:rPr>
                <w:b/>
              </w:rPr>
              <w:t xml:space="preserve">TOTAL COST TO THE GOVERNMENT </w:t>
            </w:r>
          </w:p>
        </w:tc>
        <w:tc>
          <w:tcPr>
            <w:tcW w:w="1896" w:type="dxa"/>
          </w:tcPr>
          <w:p w14:paraId="57A5E3A9" w14:textId="771B9352" w:rsidR="0097286B" w:rsidRPr="00F830D5" w:rsidRDefault="0097286B" w:rsidP="00FD6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830D5">
              <w:rPr>
                <w:b/>
              </w:rPr>
              <w:t>$</w:t>
            </w:r>
            <w:r w:rsidR="00A76D25">
              <w:rPr>
                <w:b/>
              </w:rPr>
              <w:t>204,654</w:t>
            </w:r>
          </w:p>
        </w:tc>
      </w:tr>
    </w:tbl>
    <w:p w14:paraId="4A84BBF2" w14:textId="77777777" w:rsidR="00A76D25" w:rsidRPr="00B504FE" w:rsidRDefault="00A76D25" w:rsidP="00FD64D1">
      <w:pPr>
        <w:rPr>
          <w:szCs w:val="24"/>
        </w:rPr>
      </w:pPr>
    </w:p>
    <w:p w14:paraId="3F5FD256" w14:textId="77777777" w:rsidR="00E949EF" w:rsidRPr="00B504FE" w:rsidRDefault="00E949EF" w:rsidP="00FD64D1">
      <w:pPr>
        <w:pStyle w:val="Heading2"/>
        <w:spacing w:after="0"/>
        <w:rPr>
          <w:szCs w:val="24"/>
        </w:rPr>
      </w:pPr>
      <w:r w:rsidRPr="00B504FE">
        <w:rPr>
          <w:szCs w:val="24"/>
        </w:rPr>
        <w:t>15.</w:t>
      </w:r>
      <w:r w:rsidRPr="00B504FE">
        <w:rPr>
          <w:szCs w:val="24"/>
        </w:rPr>
        <w:tab/>
        <w:t>Explanation for Program Changes or Adjustments</w:t>
      </w:r>
      <w:bookmarkEnd w:id="60"/>
      <w:bookmarkEnd w:id="61"/>
      <w:bookmarkEnd w:id="62"/>
      <w:r w:rsidRPr="00B504FE">
        <w:rPr>
          <w:szCs w:val="24"/>
        </w:rPr>
        <w:t xml:space="preserve"> </w:t>
      </w:r>
    </w:p>
    <w:p w14:paraId="5A150C1A" w14:textId="50625728" w:rsidR="0063447C" w:rsidRDefault="00D236EB" w:rsidP="00FD64D1">
      <w:pPr>
        <w:pStyle w:val="BodyText2"/>
        <w:spacing w:after="0" w:line="240" w:lineRule="auto"/>
        <w:rPr>
          <w:sz w:val="24"/>
          <w:szCs w:val="24"/>
        </w:rPr>
      </w:pPr>
      <w:bookmarkStart w:id="63" w:name="_Toc143058450"/>
      <w:bookmarkStart w:id="64" w:name="_Toc146088449"/>
      <w:bookmarkStart w:id="65" w:name="_Toc231290978"/>
      <w:r>
        <w:rPr>
          <w:sz w:val="24"/>
          <w:szCs w:val="24"/>
        </w:rPr>
        <w:t>T</w:t>
      </w:r>
      <w:r w:rsidR="005927BE" w:rsidRPr="00B504FE">
        <w:rPr>
          <w:sz w:val="24"/>
          <w:szCs w:val="24"/>
        </w:rPr>
        <w:t>his is a new information collection.</w:t>
      </w:r>
    </w:p>
    <w:p w14:paraId="0A77838B" w14:textId="77777777" w:rsidR="00F57B18" w:rsidRPr="00B504FE" w:rsidRDefault="00F57B18" w:rsidP="00FD64D1">
      <w:pPr>
        <w:pStyle w:val="BodyText2"/>
        <w:spacing w:after="0" w:line="240" w:lineRule="auto"/>
        <w:ind w:firstLine="0"/>
        <w:rPr>
          <w:sz w:val="24"/>
          <w:szCs w:val="24"/>
        </w:rPr>
      </w:pPr>
    </w:p>
    <w:p w14:paraId="3566C499" w14:textId="2AB6B90F" w:rsidR="009D6C3E" w:rsidRPr="00783ED8" w:rsidRDefault="00E949EF" w:rsidP="00FD64D1">
      <w:pPr>
        <w:pStyle w:val="Heading2"/>
        <w:spacing w:after="0"/>
        <w:rPr>
          <w:i/>
        </w:rPr>
      </w:pPr>
      <w:r w:rsidRPr="00B504FE">
        <w:rPr>
          <w:szCs w:val="24"/>
        </w:rPr>
        <w:t>16.</w:t>
      </w:r>
      <w:r w:rsidRPr="00B504FE">
        <w:rPr>
          <w:szCs w:val="24"/>
        </w:rPr>
        <w:tab/>
        <w:t>Plans for Tabulation and Publication and Project Time Schedule</w:t>
      </w:r>
      <w:bookmarkEnd w:id="63"/>
      <w:bookmarkEnd w:id="64"/>
      <w:bookmarkEnd w:id="65"/>
    </w:p>
    <w:p w14:paraId="79234A8D" w14:textId="707CBE94" w:rsidR="00F330AC" w:rsidRPr="000858AF" w:rsidRDefault="00F330AC" w:rsidP="00FD64D1">
      <w:pPr>
        <w:ind w:firstLine="720"/>
        <w:rPr>
          <w:szCs w:val="24"/>
          <w:lang w:val="en-CA"/>
        </w:rPr>
      </w:pPr>
      <w:r>
        <w:rPr>
          <w:szCs w:val="24"/>
          <w:lang w:val="en-CA"/>
        </w:rPr>
        <w:t>This project</w:t>
      </w:r>
      <w:r w:rsidRPr="000858AF">
        <w:rPr>
          <w:szCs w:val="24"/>
          <w:lang w:val="en-CA"/>
        </w:rPr>
        <w:t xml:space="preserve"> will be executed as part of Contract No. HHSD2002013M53964B/Order No. 200-2015-F-88167.</w:t>
      </w:r>
      <w:r>
        <w:rPr>
          <w:szCs w:val="24"/>
          <w:lang w:val="en-CA"/>
        </w:rPr>
        <w:t xml:space="preserve"> This contract was awarded on September 28, 2015. We expect to begin data collection in the Summer of 2016. Data will be aggregated as part of the evaluation data </w:t>
      </w:r>
      <w:r w:rsidR="000858AF">
        <w:rPr>
          <w:szCs w:val="24"/>
          <w:lang w:val="en-CA"/>
        </w:rPr>
        <w:t>collected as part of the Act Against AIDS initiative.  No new datasets will be developed.</w:t>
      </w:r>
    </w:p>
    <w:p w14:paraId="02F92696" w14:textId="77777777" w:rsidR="00F57B18" w:rsidRDefault="00F57B18" w:rsidP="00FD64D1">
      <w:pPr>
        <w:rPr>
          <w:i/>
          <w:szCs w:val="24"/>
          <w:lang w:val="en-CA"/>
        </w:rPr>
      </w:pPr>
    </w:p>
    <w:p w14:paraId="4290E791" w14:textId="77777777" w:rsidR="0063447C" w:rsidRPr="00FD64D1" w:rsidRDefault="0063447C" w:rsidP="00FD64D1">
      <w:pPr>
        <w:rPr>
          <w:b/>
          <w:i/>
          <w:szCs w:val="24"/>
          <w:lang w:val="en-CA"/>
        </w:rPr>
      </w:pPr>
      <w:r w:rsidRPr="00FD64D1">
        <w:rPr>
          <w:b/>
          <w:i/>
          <w:szCs w:val="24"/>
          <w:lang w:val="en-CA"/>
        </w:rPr>
        <w:t>Tabulation</w:t>
      </w:r>
    </w:p>
    <w:p w14:paraId="4C10722D" w14:textId="77777777" w:rsidR="00BE5291" w:rsidRPr="00B504FE" w:rsidRDefault="00BE5291" w:rsidP="00FD64D1">
      <w:pPr>
        <w:pStyle w:val="BodyText"/>
        <w:spacing w:after="0"/>
        <w:ind w:firstLine="720"/>
        <w:rPr>
          <w:rFonts w:eastAsia="Calibri"/>
          <w:szCs w:val="24"/>
        </w:rPr>
      </w:pPr>
      <w:bookmarkStart w:id="66" w:name="_Toc139093427"/>
      <w:bookmarkStart w:id="67" w:name="_Toc146088172"/>
      <w:bookmarkStart w:id="68" w:name="_Toc146089480"/>
      <w:r w:rsidRPr="00B504FE">
        <w:rPr>
          <w:rFonts w:eastAsia="Calibri"/>
          <w:iCs/>
          <w:szCs w:val="24"/>
          <w:u w:val="single"/>
        </w:rPr>
        <w:t>Quantitative data</w:t>
      </w:r>
      <w:r w:rsidR="00671025" w:rsidRPr="00B504FE">
        <w:rPr>
          <w:rFonts w:eastAsia="Calibri"/>
          <w:iCs/>
          <w:szCs w:val="24"/>
        </w:rPr>
        <w:t xml:space="preserve">. There are </w:t>
      </w:r>
      <w:r w:rsidR="00040BDF" w:rsidRPr="00B504FE">
        <w:rPr>
          <w:rFonts w:eastAsia="Calibri"/>
          <w:iCs/>
          <w:szCs w:val="24"/>
        </w:rPr>
        <w:t xml:space="preserve">four </w:t>
      </w:r>
      <w:r w:rsidR="00671025" w:rsidRPr="00B504FE">
        <w:rPr>
          <w:rFonts w:eastAsia="Calibri"/>
          <w:iCs/>
          <w:szCs w:val="24"/>
        </w:rPr>
        <w:t xml:space="preserve">sources of quantitative data:  </w:t>
      </w:r>
      <w:r w:rsidR="00E53FCE" w:rsidRPr="00B504FE">
        <w:rPr>
          <w:rFonts w:eastAsia="Calibri"/>
          <w:iCs/>
          <w:szCs w:val="24"/>
        </w:rPr>
        <w:t>the m</w:t>
      </w:r>
      <w:r w:rsidR="00671025" w:rsidRPr="00B504FE">
        <w:rPr>
          <w:rFonts w:eastAsia="Calibri"/>
          <w:iCs/>
          <w:szCs w:val="24"/>
        </w:rPr>
        <w:t xml:space="preserve">etrics database, </w:t>
      </w:r>
      <w:r w:rsidR="00BD7209" w:rsidRPr="00B504FE">
        <w:rPr>
          <w:szCs w:val="24"/>
        </w:rPr>
        <w:t>Interim Progress Reports</w:t>
      </w:r>
      <w:r w:rsidR="00671025" w:rsidRPr="00B504FE">
        <w:rPr>
          <w:rFonts w:eastAsia="Calibri"/>
          <w:iCs/>
          <w:szCs w:val="24"/>
        </w:rPr>
        <w:t xml:space="preserve">, </w:t>
      </w:r>
      <w:r w:rsidR="007A58C0" w:rsidRPr="00B504FE">
        <w:rPr>
          <w:rFonts w:eastAsia="Calibri"/>
          <w:iCs/>
          <w:szCs w:val="24"/>
        </w:rPr>
        <w:t>P</w:t>
      </w:r>
      <w:r w:rsidR="00AD3B17" w:rsidRPr="00B504FE">
        <w:rPr>
          <w:rFonts w:eastAsia="Calibri"/>
          <w:iCs/>
          <w:szCs w:val="24"/>
        </w:rPr>
        <w:t xml:space="preserve">artner </w:t>
      </w:r>
      <w:r w:rsidR="007A58C0" w:rsidRPr="00B504FE">
        <w:rPr>
          <w:rFonts w:eastAsia="Calibri"/>
          <w:iCs/>
          <w:szCs w:val="24"/>
        </w:rPr>
        <w:t>S</w:t>
      </w:r>
      <w:r w:rsidR="00DF3F85" w:rsidRPr="00B504FE">
        <w:rPr>
          <w:rFonts w:eastAsia="Calibri"/>
          <w:iCs/>
          <w:szCs w:val="24"/>
        </w:rPr>
        <w:t>urveys</w:t>
      </w:r>
      <w:r w:rsidR="007A58C0" w:rsidRPr="00B504FE">
        <w:rPr>
          <w:rFonts w:eastAsia="Calibri"/>
          <w:iCs/>
          <w:szCs w:val="24"/>
        </w:rPr>
        <w:t>, and Partnerships Activities F</w:t>
      </w:r>
      <w:r w:rsidR="00040BDF" w:rsidRPr="00B504FE">
        <w:rPr>
          <w:rFonts w:eastAsia="Calibri"/>
          <w:iCs/>
          <w:szCs w:val="24"/>
        </w:rPr>
        <w:t>orm</w:t>
      </w:r>
      <w:r w:rsidR="00671025" w:rsidRPr="00B504FE">
        <w:rPr>
          <w:rFonts w:eastAsia="Calibri"/>
          <w:iCs/>
          <w:szCs w:val="24"/>
        </w:rPr>
        <w:t>. The purpose</w:t>
      </w:r>
      <w:r w:rsidR="00C54254" w:rsidRPr="00B504FE">
        <w:rPr>
          <w:rFonts w:eastAsia="Calibri"/>
          <w:iCs/>
          <w:szCs w:val="24"/>
        </w:rPr>
        <w:t>s</w:t>
      </w:r>
      <w:r w:rsidR="00671025" w:rsidRPr="00B504FE">
        <w:rPr>
          <w:rFonts w:eastAsia="Calibri"/>
          <w:iCs/>
          <w:szCs w:val="24"/>
        </w:rPr>
        <w:t xml:space="preserve"> of these data </w:t>
      </w:r>
      <w:r w:rsidR="00D727EA" w:rsidRPr="00B504FE">
        <w:rPr>
          <w:rFonts w:eastAsia="Calibri"/>
          <w:iCs/>
          <w:szCs w:val="24"/>
        </w:rPr>
        <w:t>collections</w:t>
      </w:r>
      <w:r w:rsidR="00671025" w:rsidRPr="00B504FE">
        <w:rPr>
          <w:rFonts w:eastAsia="Calibri"/>
          <w:iCs/>
          <w:szCs w:val="24"/>
        </w:rPr>
        <w:t xml:space="preserve"> are described in </w:t>
      </w:r>
      <w:r w:rsidR="00671025" w:rsidRPr="00B504FE">
        <w:rPr>
          <w:rFonts w:eastAsia="Calibri"/>
          <w:i/>
          <w:iCs/>
          <w:szCs w:val="24"/>
        </w:rPr>
        <w:t>Table A.6.1</w:t>
      </w:r>
      <w:r w:rsidR="00671025" w:rsidRPr="00B504FE">
        <w:rPr>
          <w:rFonts w:eastAsia="Calibri"/>
          <w:iCs/>
          <w:szCs w:val="24"/>
        </w:rPr>
        <w:t xml:space="preserve">.  On a quarterly and annual basis, </w:t>
      </w:r>
      <w:r w:rsidR="00671025" w:rsidRPr="00B504FE">
        <w:rPr>
          <w:rFonts w:eastAsia="Calibri"/>
          <w:szCs w:val="24"/>
        </w:rPr>
        <w:t>t</w:t>
      </w:r>
      <w:r w:rsidR="00D50983" w:rsidRPr="00B504FE">
        <w:rPr>
          <w:rFonts w:eastAsia="Calibri"/>
          <w:szCs w:val="24"/>
        </w:rPr>
        <w:t xml:space="preserve">he evaluation contractor will </w:t>
      </w:r>
      <w:r w:rsidR="00D727EA" w:rsidRPr="00B504FE">
        <w:rPr>
          <w:rFonts w:eastAsia="Calibri"/>
          <w:szCs w:val="24"/>
        </w:rPr>
        <w:t xml:space="preserve">analyze metrics data </w:t>
      </w:r>
      <w:r w:rsidR="002554B9" w:rsidRPr="00B504FE">
        <w:rPr>
          <w:rFonts w:eastAsia="Calibri"/>
          <w:szCs w:val="24"/>
        </w:rPr>
        <w:t xml:space="preserve">and </w:t>
      </w:r>
      <w:r w:rsidR="00BD7209" w:rsidRPr="00B504FE">
        <w:rPr>
          <w:szCs w:val="24"/>
        </w:rPr>
        <w:t>Interim Progress Report</w:t>
      </w:r>
      <w:r w:rsidR="00BD7209" w:rsidRPr="00B504FE" w:rsidDel="00BD7209">
        <w:rPr>
          <w:rFonts w:eastAsia="Calibri"/>
          <w:szCs w:val="24"/>
        </w:rPr>
        <w:t xml:space="preserve"> </w:t>
      </w:r>
      <w:r w:rsidR="002554B9" w:rsidRPr="00B504FE">
        <w:rPr>
          <w:rFonts w:eastAsia="Calibri"/>
          <w:szCs w:val="24"/>
        </w:rPr>
        <w:t xml:space="preserve">information </w:t>
      </w:r>
      <w:r w:rsidR="00D727EA" w:rsidRPr="00B504FE">
        <w:rPr>
          <w:rFonts w:eastAsia="Calibri"/>
          <w:szCs w:val="24"/>
        </w:rPr>
        <w:t xml:space="preserve">and summarize them in evaluation reports.  For the </w:t>
      </w:r>
      <w:r w:rsidR="00BC7AF7" w:rsidRPr="00B504FE">
        <w:rPr>
          <w:rFonts w:eastAsia="Calibri"/>
          <w:szCs w:val="24"/>
        </w:rPr>
        <w:t>partner</w:t>
      </w:r>
      <w:r w:rsidR="002554B9" w:rsidRPr="00B504FE">
        <w:rPr>
          <w:rFonts w:eastAsia="Calibri"/>
          <w:szCs w:val="24"/>
        </w:rPr>
        <w:t>s’ a</w:t>
      </w:r>
      <w:r w:rsidR="00D727EA" w:rsidRPr="00B504FE">
        <w:rPr>
          <w:rFonts w:eastAsia="Calibri"/>
          <w:szCs w:val="24"/>
        </w:rPr>
        <w:t xml:space="preserve">nnual evaluation report, </w:t>
      </w:r>
      <w:r w:rsidR="00D727EA" w:rsidRPr="00B504FE">
        <w:rPr>
          <w:szCs w:val="24"/>
        </w:rPr>
        <w:t xml:space="preserve">the evaluation contractor will aggregate the quarterly metrics data into an annual dataset at the end of each program year. </w:t>
      </w:r>
      <w:r w:rsidR="00D50983" w:rsidRPr="00B504FE">
        <w:rPr>
          <w:rFonts w:eastAsia="Calibri"/>
          <w:szCs w:val="24"/>
        </w:rPr>
        <w:t>M</w:t>
      </w:r>
      <w:r w:rsidRPr="00B504FE">
        <w:rPr>
          <w:rFonts w:eastAsia="Calibri"/>
          <w:szCs w:val="24"/>
        </w:rPr>
        <w:t xml:space="preserve">eans </w:t>
      </w:r>
      <w:r w:rsidR="00D50983" w:rsidRPr="00B504FE">
        <w:rPr>
          <w:rFonts w:eastAsia="Calibri"/>
          <w:szCs w:val="24"/>
        </w:rPr>
        <w:t xml:space="preserve">will be computed </w:t>
      </w:r>
      <w:r w:rsidRPr="00B504FE">
        <w:rPr>
          <w:rFonts w:eastAsia="Calibri"/>
          <w:szCs w:val="24"/>
        </w:rPr>
        <w:t xml:space="preserve">for continuous, normally distributed </w:t>
      </w:r>
      <w:r w:rsidR="004F09C6" w:rsidRPr="00B504FE">
        <w:rPr>
          <w:rFonts w:eastAsia="Calibri"/>
          <w:szCs w:val="24"/>
        </w:rPr>
        <w:t>data</w:t>
      </w:r>
      <w:r w:rsidRPr="00B504FE">
        <w:rPr>
          <w:rFonts w:eastAsia="Calibri"/>
          <w:szCs w:val="24"/>
        </w:rPr>
        <w:t xml:space="preserve"> </w:t>
      </w:r>
      <w:r w:rsidR="004F09C6" w:rsidRPr="00B504FE">
        <w:rPr>
          <w:rFonts w:eastAsia="Calibri"/>
          <w:szCs w:val="24"/>
        </w:rPr>
        <w:t xml:space="preserve">(e.g., the mean number of events held quarterly or annually) </w:t>
      </w:r>
      <w:r w:rsidRPr="00B504FE">
        <w:rPr>
          <w:rFonts w:eastAsia="Calibri"/>
          <w:szCs w:val="24"/>
        </w:rPr>
        <w:t xml:space="preserve">and frequencies </w:t>
      </w:r>
      <w:r w:rsidR="00D50983" w:rsidRPr="00B504FE">
        <w:rPr>
          <w:rFonts w:eastAsia="Calibri"/>
          <w:szCs w:val="24"/>
        </w:rPr>
        <w:t xml:space="preserve">will be computed </w:t>
      </w:r>
      <w:r w:rsidRPr="00B504FE">
        <w:rPr>
          <w:rFonts w:eastAsia="Calibri"/>
          <w:szCs w:val="24"/>
        </w:rPr>
        <w:t xml:space="preserve">for categorical </w:t>
      </w:r>
      <w:r w:rsidR="004F09C6" w:rsidRPr="00B504FE">
        <w:rPr>
          <w:rFonts w:eastAsia="Calibri"/>
          <w:szCs w:val="24"/>
        </w:rPr>
        <w:t xml:space="preserve">data (e.g., the number of </w:t>
      </w:r>
      <w:r w:rsidR="00BC7AF7" w:rsidRPr="00B504FE">
        <w:rPr>
          <w:rFonts w:eastAsia="Calibri"/>
          <w:szCs w:val="24"/>
        </w:rPr>
        <w:t xml:space="preserve">partners </w:t>
      </w:r>
      <w:r w:rsidR="004F09C6" w:rsidRPr="00B504FE">
        <w:rPr>
          <w:rFonts w:eastAsia="Calibri"/>
          <w:szCs w:val="24"/>
        </w:rPr>
        <w:t xml:space="preserve">meeting a particular objective </w:t>
      </w:r>
      <w:r w:rsidR="0063447C" w:rsidRPr="00B504FE">
        <w:rPr>
          <w:rFonts w:eastAsia="Calibri"/>
          <w:szCs w:val="24"/>
        </w:rPr>
        <w:t xml:space="preserve">in a given </w:t>
      </w:r>
      <w:r w:rsidR="004F09C6" w:rsidRPr="00B504FE">
        <w:rPr>
          <w:rFonts w:eastAsia="Calibri"/>
          <w:szCs w:val="24"/>
        </w:rPr>
        <w:t>year)</w:t>
      </w:r>
      <w:r w:rsidR="007A58C0" w:rsidRPr="00B504FE">
        <w:rPr>
          <w:rFonts w:eastAsia="Calibri"/>
          <w:szCs w:val="24"/>
        </w:rPr>
        <w:t>.</w:t>
      </w:r>
      <w:r w:rsidRPr="00B504FE">
        <w:rPr>
          <w:rFonts w:eastAsia="Calibri"/>
          <w:szCs w:val="24"/>
        </w:rPr>
        <w:t xml:space="preserve"> </w:t>
      </w:r>
      <w:r w:rsidR="00D50983" w:rsidRPr="00B504FE">
        <w:rPr>
          <w:rFonts w:eastAsia="Calibri"/>
          <w:szCs w:val="24"/>
        </w:rPr>
        <w:t>P</w:t>
      </w:r>
      <w:r w:rsidR="004F09C6" w:rsidRPr="00B504FE">
        <w:rPr>
          <w:rFonts w:eastAsia="Calibri"/>
          <w:szCs w:val="24"/>
        </w:rPr>
        <w:t xml:space="preserve">ercentages </w:t>
      </w:r>
      <w:r w:rsidR="00D50983" w:rsidRPr="00B504FE">
        <w:rPr>
          <w:rFonts w:eastAsia="Calibri"/>
          <w:szCs w:val="24"/>
        </w:rPr>
        <w:t xml:space="preserve">will also be calculated </w:t>
      </w:r>
      <w:r w:rsidR="004F09C6" w:rsidRPr="00B504FE">
        <w:rPr>
          <w:rFonts w:eastAsia="Calibri"/>
          <w:szCs w:val="24"/>
        </w:rPr>
        <w:t>as appro</w:t>
      </w:r>
      <w:r w:rsidR="0063447C" w:rsidRPr="00B504FE">
        <w:rPr>
          <w:rFonts w:eastAsia="Calibri"/>
          <w:szCs w:val="24"/>
        </w:rPr>
        <w:t xml:space="preserve">priate (e.g., the percentage of </w:t>
      </w:r>
      <w:r w:rsidR="00BC7AF7" w:rsidRPr="00B504FE">
        <w:rPr>
          <w:rFonts w:eastAsia="Calibri"/>
          <w:szCs w:val="24"/>
        </w:rPr>
        <w:t xml:space="preserve">partners </w:t>
      </w:r>
      <w:r w:rsidR="004F09C6" w:rsidRPr="00B504FE">
        <w:rPr>
          <w:rFonts w:eastAsia="Calibri"/>
          <w:szCs w:val="24"/>
        </w:rPr>
        <w:t xml:space="preserve">meeting a particular objective </w:t>
      </w:r>
      <w:r w:rsidR="0063447C" w:rsidRPr="00B504FE">
        <w:rPr>
          <w:rFonts w:eastAsia="Calibri"/>
          <w:szCs w:val="24"/>
        </w:rPr>
        <w:t>in a given year</w:t>
      </w:r>
      <w:r w:rsidR="004F09C6" w:rsidRPr="00B504FE">
        <w:rPr>
          <w:rFonts w:eastAsia="Calibri"/>
          <w:szCs w:val="24"/>
        </w:rPr>
        <w:t xml:space="preserve">). </w:t>
      </w:r>
      <w:r w:rsidR="00756FAC" w:rsidRPr="00B504FE">
        <w:rPr>
          <w:szCs w:val="24"/>
        </w:rPr>
        <w:t xml:space="preserve">Based on the </w:t>
      </w:r>
      <w:r w:rsidR="007A58C0" w:rsidRPr="00B504FE">
        <w:rPr>
          <w:szCs w:val="24"/>
        </w:rPr>
        <w:t>P</w:t>
      </w:r>
      <w:r w:rsidR="00911DB6" w:rsidRPr="00B504FE">
        <w:rPr>
          <w:szCs w:val="24"/>
        </w:rPr>
        <w:t>artner</w:t>
      </w:r>
      <w:r w:rsidR="00AD3B17" w:rsidRPr="00B504FE">
        <w:rPr>
          <w:szCs w:val="24"/>
        </w:rPr>
        <w:t xml:space="preserve"> </w:t>
      </w:r>
      <w:r w:rsidR="007A58C0" w:rsidRPr="00B504FE">
        <w:rPr>
          <w:szCs w:val="24"/>
        </w:rPr>
        <w:t>S</w:t>
      </w:r>
      <w:r w:rsidR="00756FAC" w:rsidRPr="00B504FE">
        <w:rPr>
          <w:szCs w:val="24"/>
        </w:rPr>
        <w:t>urvey data</w:t>
      </w:r>
      <w:r w:rsidR="004403B2" w:rsidRPr="00B504FE">
        <w:rPr>
          <w:szCs w:val="24"/>
        </w:rPr>
        <w:t xml:space="preserve"> and </w:t>
      </w:r>
      <w:r w:rsidR="007A58C0" w:rsidRPr="00B504FE">
        <w:rPr>
          <w:rFonts w:eastAsia="Calibri"/>
          <w:iCs/>
          <w:szCs w:val="24"/>
        </w:rPr>
        <w:t>Partnerships Activities F</w:t>
      </w:r>
      <w:r w:rsidR="004403B2" w:rsidRPr="00B504FE">
        <w:rPr>
          <w:rFonts w:eastAsia="Calibri"/>
          <w:iCs/>
          <w:szCs w:val="24"/>
        </w:rPr>
        <w:t>orm</w:t>
      </w:r>
      <w:r w:rsidR="00756FAC" w:rsidRPr="00B504FE">
        <w:rPr>
          <w:szCs w:val="24"/>
        </w:rPr>
        <w:t xml:space="preserve">, we will produce descriptive tabulations presenting the prevalence of </w:t>
      </w:r>
      <w:r w:rsidR="00911DB6" w:rsidRPr="00B504FE">
        <w:rPr>
          <w:szCs w:val="24"/>
        </w:rPr>
        <w:t xml:space="preserve">organizational </w:t>
      </w:r>
      <w:r w:rsidR="00756FAC" w:rsidRPr="00B504FE">
        <w:rPr>
          <w:szCs w:val="24"/>
        </w:rPr>
        <w:t>HIV/AIDS policies and programs</w:t>
      </w:r>
      <w:r w:rsidR="004403B2" w:rsidRPr="00B504FE">
        <w:rPr>
          <w:szCs w:val="24"/>
        </w:rPr>
        <w:t>, and of partnerships activities/events, respectively</w:t>
      </w:r>
      <w:r w:rsidR="00756FAC" w:rsidRPr="00B504FE">
        <w:rPr>
          <w:szCs w:val="24"/>
        </w:rPr>
        <w:t xml:space="preserve">. </w:t>
      </w:r>
      <w:r w:rsidR="004F09C6" w:rsidRPr="00B504FE">
        <w:rPr>
          <w:rFonts w:eastAsia="Calibri"/>
          <w:szCs w:val="24"/>
        </w:rPr>
        <w:t xml:space="preserve"> </w:t>
      </w:r>
    </w:p>
    <w:p w14:paraId="2DF913A5" w14:textId="77777777" w:rsidR="005927BE" w:rsidRPr="00B504FE" w:rsidRDefault="00BE5291" w:rsidP="00FD64D1">
      <w:pPr>
        <w:pStyle w:val="BodyText"/>
        <w:spacing w:after="0"/>
        <w:ind w:firstLine="720"/>
        <w:rPr>
          <w:szCs w:val="24"/>
        </w:rPr>
      </w:pPr>
      <w:r w:rsidRPr="00B504FE">
        <w:rPr>
          <w:szCs w:val="24"/>
          <w:u w:val="single"/>
        </w:rPr>
        <w:t>Qualitative data</w:t>
      </w:r>
      <w:r w:rsidR="00D727EA" w:rsidRPr="00B504FE">
        <w:rPr>
          <w:szCs w:val="24"/>
        </w:rPr>
        <w:t>.</w:t>
      </w:r>
      <w:r w:rsidRPr="00B504FE">
        <w:rPr>
          <w:b/>
          <w:szCs w:val="24"/>
        </w:rPr>
        <w:t xml:space="preserve"> </w:t>
      </w:r>
      <w:r w:rsidR="00D727EA" w:rsidRPr="00B504FE">
        <w:rPr>
          <w:szCs w:val="24"/>
        </w:rPr>
        <w:t>There are three sources of qualitative da</w:t>
      </w:r>
      <w:r w:rsidR="007A58C0" w:rsidRPr="00B504FE">
        <w:rPr>
          <w:szCs w:val="24"/>
        </w:rPr>
        <w:t>ta:  Key informant interviews, Metrics D</w:t>
      </w:r>
      <w:r w:rsidR="00D727EA" w:rsidRPr="00B504FE">
        <w:rPr>
          <w:szCs w:val="24"/>
        </w:rPr>
        <w:t xml:space="preserve">atabase, and </w:t>
      </w:r>
      <w:r w:rsidR="00BD7209" w:rsidRPr="00B504FE">
        <w:rPr>
          <w:szCs w:val="24"/>
        </w:rPr>
        <w:t>Interim Progress Reports</w:t>
      </w:r>
      <w:r w:rsidR="00D727EA" w:rsidRPr="00B504FE">
        <w:rPr>
          <w:szCs w:val="24"/>
        </w:rPr>
        <w:t>.</w:t>
      </w:r>
      <w:r w:rsidR="00D727EA" w:rsidRPr="00B504FE">
        <w:rPr>
          <w:b/>
          <w:szCs w:val="24"/>
        </w:rPr>
        <w:t xml:space="preserve"> </w:t>
      </w:r>
      <w:r w:rsidR="00D727EA" w:rsidRPr="00B504FE">
        <w:rPr>
          <w:rFonts w:eastAsia="Calibri"/>
          <w:iCs/>
          <w:szCs w:val="24"/>
        </w:rPr>
        <w:t>The purpose</w:t>
      </w:r>
      <w:r w:rsidR="00C54254" w:rsidRPr="00B504FE">
        <w:rPr>
          <w:rFonts w:eastAsia="Calibri"/>
          <w:iCs/>
          <w:szCs w:val="24"/>
        </w:rPr>
        <w:t>s</w:t>
      </w:r>
      <w:r w:rsidR="00D727EA" w:rsidRPr="00B504FE">
        <w:rPr>
          <w:rFonts w:eastAsia="Calibri"/>
          <w:iCs/>
          <w:szCs w:val="24"/>
        </w:rPr>
        <w:t xml:space="preserve"> of these data collections are described in </w:t>
      </w:r>
      <w:r w:rsidR="00D727EA" w:rsidRPr="00B504FE">
        <w:rPr>
          <w:rFonts w:eastAsia="Calibri"/>
          <w:i/>
          <w:iCs/>
          <w:szCs w:val="24"/>
        </w:rPr>
        <w:t>Table A.6.1</w:t>
      </w:r>
      <w:r w:rsidR="00D727EA" w:rsidRPr="00B504FE">
        <w:rPr>
          <w:rFonts w:eastAsia="Calibri"/>
          <w:iCs/>
          <w:szCs w:val="24"/>
        </w:rPr>
        <w:t xml:space="preserve">. </w:t>
      </w:r>
      <w:r w:rsidR="00D727EA" w:rsidRPr="00B504FE">
        <w:rPr>
          <w:szCs w:val="24"/>
        </w:rPr>
        <w:t>Data gathered</w:t>
      </w:r>
      <w:r w:rsidR="0063447C" w:rsidRPr="00B504FE">
        <w:rPr>
          <w:szCs w:val="24"/>
        </w:rPr>
        <w:t xml:space="preserve"> through the key informant interviews </w:t>
      </w:r>
      <w:r w:rsidRPr="00B504FE">
        <w:rPr>
          <w:szCs w:val="24"/>
        </w:rPr>
        <w:t xml:space="preserve">will be entered into an </w:t>
      </w:r>
      <w:r w:rsidR="00D727EA" w:rsidRPr="00B504FE">
        <w:rPr>
          <w:szCs w:val="24"/>
        </w:rPr>
        <w:t>analytic</w:t>
      </w:r>
      <w:r w:rsidRPr="00B504FE">
        <w:rPr>
          <w:szCs w:val="24"/>
        </w:rPr>
        <w:t xml:space="preserve"> matrix by the note taker during the data collection. </w:t>
      </w:r>
      <w:r w:rsidR="0063447C" w:rsidRPr="00B504FE">
        <w:rPr>
          <w:szCs w:val="24"/>
        </w:rPr>
        <w:t>The contractor</w:t>
      </w:r>
      <w:r w:rsidRPr="00B504FE">
        <w:rPr>
          <w:szCs w:val="24"/>
        </w:rPr>
        <w:t xml:space="preserve"> will conduct thematic or ground theory analysis</w:t>
      </w:r>
      <w:r w:rsidR="0063447C" w:rsidRPr="00B504FE">
        <w:rPr>
          <w:szCs w:val="24"/>
        </w:rPr>
        <w:t xml:space="preserve"> of these data</w:t>
      </w:r>
      <w:r w:rsidRPr="00B504FE">
        <w:rPr>
          <w:szCs w:val="24"/>
        </w:rPr>
        <w:t xml:space="preserve"> to understand participants’ </w:t>
      </w:r>
      <w:r w:rsidR="0063447C" w:rsidRPr="00B504FE">
        <w:rPr>
          <w:szCs w:val="24"/>
        </w:rPr>
        <w:t xml:space="preserve">viewpoints and </w:t>
      </w:r>
      <w:r w:rsidRPr="00B504FE">
        <w:rPr>
          <w:szCs w:val="24"/>
        </w:rPr>
        <w:t xml:space="preserve">experiences in a rigorous and detailed manner. </w:t>
      </w:r>
      <w:r w:rsidR="0063447C" w:rsidRPr="00B504FE">
        <w:rPr>
          <w:szCs w:val="24"/>
        </w:rPr>
        <w:t>The evaluation contractor will</w:t>
      </w:r>
      <w:r w:rsidRPr="00B504FE">
        <w:rPr>
          <w:szCs w:val="24"/>
        </w:rPr>
        <w:t xml:space="preserve"> summarize results </w:t>
      </w:r>
      <w:r w:rsidR="0063447C" w:rsidRPr="00B504FE">
        <w:rPr>
          <w:szCs w:val="24"/>
        </w:rPr>
        <w:t>from each round of interviews into a report</w:t>
      </w:r>
      <w:r w:rsidR="00671025" w:rsidRPr="00B504FE">
        <w:rPr>
          <w:szCs w:val="24"/>
        </w:rPr>
        <w:t>; these data will also be used to supplement the quantitative data presented in the annual evaluation report</w:t>
      </w:r>
      <w:r w:rsidRPr="00B504FE">
        <w:rPr>
          <w:szCs w:val="24"/>
        </w:rPr>
        <w:t xml:space="preserve">. </w:t>
      </w:r>
      <w:r w:rsidR="00D727EA" w:rsidRPr="00B504FE">
        <w:rPr>
          <w:szCs w:val="24"/>
        </w:rPr>
        <w:t xml:space="preserve">The metrics database also requires entry of limited qualitative data </w:t>
      </w:r>
      <w:r w:rsidR="00C54254" w:rsidRPr="00B504FE">
        <w:rPr>
          <w:szCs w:val="24"/>
        </w:rPr>
        <w:t>to characterize events</w:t>
      </w:r>
      <w:r w:rsidR="00EB4491" w:rsidRPr="00B504FE">
        <w:rPr>
          <w:szCs w:val="24"/>
        </w:rPr>
        <w:t xml:space="preserve"> (e.g., training</w:t>
      </w:r>
      <w:r w:rsidR="0001412E" w:rsidRPr="00B504FE">
        <w:rPr>
          <w:szCs w:val="24"/>
        </w:rPr>
        <w:t>s</w:t>
      </w:r>
      <w:r w:rsidR="00EB4491" w:rsidRPr="00B504FE">
        <w:rPr>
          <w:szCs w:val="24"/>
        </w:rPr>
        <w:t>, outreach</w:t>
      </w:r>
      <w:r w:rsidR="0001412E" w:rsidRPr="00B504FE">
        <w:rPr>
          <w:szCs w:val="24"/>
        </w:rPr>
        <w:t xml:space="preserve"> events</w:t>
      </w:r>
      <w:r w:rsidR="00EB4491" w:rsidRPr="00B504FE">
        <w:rPr>
          <w:szCs w:val="24"/>
        </w:rPr>
        <w:t>, conference</w:t>
      </w:r>
      <w:r w:rsidR="0001412E" w:rsidRPr="00B504FE">
        <w:rPr>
          <w:szCs w:val="24"/>
        </w:rPr>
        <w:t>s</w:t>
      </w:r>
      <w:r w:rsidR="00EB4491" w:rsidRPr="00B504FE">
        <w:rPr>
          <w:szCs w:val="24"/>
        </w:rPr>
        <w:t>)</w:t>
      </w:r>
      <w:r w:rsidR="00C54254" w:rsidRPr="00B504FE">
        <w:rPr>
          <w:szCs w:val="24"/>
        </w:rPr>
        <w:t>,</w:t>
      </w:r>
      <w:r w:rsidR="00EB4491" w:rsidRPr="00B504FE">
        <w:rPr>
          <w:szCs w:val="24"/>
        </w:rPr>
        <w:t xml:space="preserve"> materials, and media impressions</w:t>
      </w:r>
      <w:r w:rsidR="00813819" w:rsidRPr="00B504FE">
        <w:rPr>
          <w:szCs w:val="24"/>
        </w:rPr>
        <w:t xml:space="preserve"> to contextualize findings presented in the </w:t>
      </w:r>
      <w:r w:rsidR="00C54254" w:rsidRPr="00B504FE">
        <w:rPr>
          <w:szCs w:val="24"/>
        </w:rPr>
        <w:t xml:space="preserve">annual evaluation report. </w:t>
      </w:r>
      <w:r w:rsidR="00EC4671" w:rsidRPr="00B504FE">
        <w:rPr>
          <w:szCs w:val="24"/>
        </w:rPr>
        <w:t xml:space="preserve">To enumerate achievement of </w:t>
      </w:r>
      <w:r w:rsidR="002554B9" w:rsidRPr="00B504FE">
        <w:rPr>
          <w:szCs w:val="24"/>
        </w:rPr>
        <w:t xml:space="preserve">individualized </w:t>
      </w:r>
      <w:r w:rsidR="00BC7AF7" w:rsidRPr="00B504FE">
        <w:rPr>
          <w:szCs w:val="24"/>
        </w:rPr>
        <w:t>partner</w:t>
      </w:r>
      <w:r w:rsidR="00EC4671" w:rsidRPr="00B504FE">
        <w:rPr>
          <w:szCs w:val="24"/>
        </w:rPr>
        <w:t xml:space="preserve"> objectives, q</w:t>
      </w:r>
      <w:r w:rsidR="00671025" w:rsidRPr="00B504FE">
        <w:rPr>
          <w:szCs w:val="24"/>
        </w:rPr>
        <w:t xml:space="preserve">ualitative data from the </w:t>
      </w:r>
      <w:r w:rsidR="00BD7209" w:rsidRPr="00B504FE">
        <w:rPr>
          <w:szCs w:val="24"/>
        </w:rPr>
        <w:t xml:space="preserve">Interim Progress Reports </w:t>
      </w:r>
      <w:r w:rsidR="00C54254" w:rsidRPr="00B504FE">
        <w:rPr>
          <w:szCs w:val="24"/>
        </w:rPr>
        <w:t xml:space="preserve">will be abstracted </w:t>
      </w:r>
      <w:r w:rsidR="00EC4671" w:rsidRPr="00B504FE">
        <w:rPr>
          <w:szCs w:val="24"/>
        </w:rPr>
        <w:t xml:space="preserve">and organized </w:t>
      </w:r>
      <w:r w:rsidR="00671D1D" w:rsidRPr="00B504FE">
        <w:rPr>
          <w:szCs w:val="24"/>
        </w:rPr>
        <w:t xml:space="preserve">numerically </w:t>
      </w:r>
      <w:r w:rsidR="00EC4671" w:rsidRPr="00B504FE">
        <w:rPr>
          <w:szCs w:val="24"/>
        </w:rPr>
        <w:t>into an Excel matrix</w:t>
      </w:r>
      <w:r w:rsidR="00671D1D" w:rsidRPr="00B504FE">
        <w:rPr>
          <w:szCs w:val="24"/>
        </w:rPr>
        <w:t xml:space="preserve"> </w:t>
      </w:r>
      <w:r w:rsidR="0001412E" w:rsidRPr="00B504FE">
        <w:rPr>
          <w:szCs w:val="24"/>
        </w:rPr>
        <w:t>(</w:t>
      </w:r>
      <w:r w:rsidR="00671D1D" w:rsidRPr="00B504FE">
        <w:rPr>
          <w:szCs w:val="24"/>
        </w:rPr>
        <w:t>i.e., we will review qualitative descriptions of program activities to count the number of organizations that achieved a particular objective</w:t>
      </w:r>
      <w:r w:rsidR="0001412E" w:rsidRPr="00B504FE">
        <w:rPr>
          <w:szCs w:val="24"/>
        </w:rPr>
        <w:t>)</w:t>
      </w:r>
      <w:r w:rsidR="00671D1D" w:rsidRPr="00B504FE">
        <w:rPr>
          <w:szCs w:val="24"/>
        </w:rPr>
        <w:t>. The resulting frequencies and percentages will be</w:t>
      </w:r>
      <w:r w:rsidR="00EC4671" w:rsidRPr="00B504FE">
        <w:rPr>
          <w:szCs w:val="24"/>
        </w:rPr>
        <w:t xml:space="preserve"> reported</w:t>
      </w:r>
      <w:r w:rsidR="00C11B43" w:rsidRPr="00B504FE">
        <w:rPr>
          <w:szCs w:val="24"/>
        </w:rPr>
        <w:t xml:space="preserve"> in annual evaluation reports. </w:t>
      </w:r>
      <w:r w:rsidR="00EC4671" w:rsidRPr="00B504FE">
        <w:rPr>
          <w:szCs w:val="24"/>
        </w:rPr>
        <w:t xml:space="preserve">Additional information from the </w:t>
      </w:r>
      <w:r w:rsidR="00BD7209" w:rsidRPr="00B504FE">
        <w:rPr>
          <w:szCs w:val="24"/>
        </w:rPr>
        <w:t>Interim Progress Reports</w:t>
      </w:r>
      <w:r w:rsidR="00BD7209" w:rsidRPr="00B504FE" w:rsidDel="00BD7209">
        <w:rPr>
          <w:szCs w:val="24"/>
        </w:rPr>
        <w:t xml:space="preserve"> </w:t>
      </w:r>
      <w:r w:rsidR="00EC4671" w:rsidRPr="00B504FE">
        <w:rPr>
          <w:szCs w:val="24"/>
        </w:rPr>
        <w:t xml:space="preserve">will be abstracted as needed </w:t>
      </w:r>
      <w:r w:rsidR="00671D1D" w:rsidRPr="00B504FE">
        <w:rPr>
          <w:szCs w:val="24"/>
        </w:rPr>
        <w:t xml:space="preserve">and interwoven into evaluation reports </w:t>
      </w:r>
      <w:r w:rsidR="00EC4671" w:rsidRPr="00B504FE">
        <w:rPr>
          <w:szCs w:val="24"/>
        </w:rPr>
        <w:t xml:space="preserve">to describe activities </w:t>
      </w:r>
      <w:r w:rsidR="00671D1D" w:rsidRPr="00B504FE">
        <w:rPr>
          <w:szCs w:val="24"/>
        </w:rPr>
        <w:t>and</w:t>
      </w:r>
      <w:r w:rsidR="00EC4671" w:rsidRPr="00B504FE">
        <w:rPr>
          <w:szCs w:val="24"/>
        </w:rPr>
        <w:t xml:space="preserve"> explain </w:t>
      </w:r>
      <w:r w:rsidR="00671D1D" w:rsidRPr="00B504FE">
        <w:rPr>
          <w:szCs w:val="24"/>
        </w:rPr>
        <w:t xml:space="preserve">trends in </w:t>
      </w:r>
      <w:r w:rsidR="00EC4671" w:rsidRPr="00B504FE">
        <w:rPr>
          <w:szCs w:val="24"/>
        </w:rPr>
        <w:t xml:space="preserve">quarterly and annual </w:t>
      </w:r>
      <w:r w:rsidR="00671D1D" w:rsidRPr="00B504FE">
        <w:rPr>
          <w:szCs w:val="24"/>
        </w:rPr>
        <w:t>metrics data</w:t>
      </w:r>
      <w:r w:rsidR="00EC4671" w:rsidRPr="00B504FE">
        <w:rPr>
          <w:szCs w:val="24"/>
        </w:rPr>
        <w:t xml:space="preserve">. These and other descriptive data will be interwoven into annual evaluation reports.  </w:t>
      </w:r>
    </w:p>
    <w:p w14:paraId="4DF885ED" w14:textId="77777777" w:rsidR="00F57B18" w:rsidRDefault="00F57B18" w:rsidP="00FD64D1">
      <w:pPr>
        <w:pStyle w:val="BodyText"/>
        <w:spacing w:after="0"/>
        <w:rPr>
          <w:b/>
          <w:i/>
          <w:szCs w:val="24"/>
        </w:rPr>
      </w:pPr>
    </w:p>
    <w:p w14:paraId="47737EFA" w14:textId="77777777" w:rsidR="00A7257D" w:rsidRPr="00FD64D1" w:rsidRDefault="00A7257D" w:rsidP="00FD64D1">
      <w:pPr>
        <w:pStyle w:val="BodyText"/>
        <w:spacing w:after="0"/>
        <w:rPr>
          <w:b/>
          <w:i/>
          <w:szCs w:val="24"/>
        </w:rPr>
      </w:pPr>
      <w:r w:rsidRPr="00FD64D1">
        <w:rPr>
          <w:b/>
          <w:i/>
          <w:szCs w:val="24"/>
        </w:rPr>
        <w:t>Publication Plans</w:t>
      </w:r>
    </w:p>
    <w:p w14:paraId="34DB1516" w14:textId="07B00217" w:rsidR="00A7257D" w:rsidRPr="00B504FE" w:rsidRDefault="00A7257D" w:rsidP="00FD64D1">
      <w:pPr>
        <w:pStyle w:val="BodyText"/>
        <w:spacing w:after="0"/>
        <w:ind w:firstLine="720"/>
        <w:rPr>
          <w:szCs w:val="24"/>
        </w:rPr>
      </w:pPr>
      <w:r w:rsidRPr="00B504FE">
        <w:rPr>
          <w:szCs w:val="24"/>
        </w:rPr>
        <w:t xml:space="preserve">The qualitative and quantitative data gathered for this </w:t>
      </w:r>
      <w:r w:rsidR="005745EB">
        <w:rPr>
          <w:szCs w:val="24"/>
        </w:rPr>
        <w:t>project</w:t>
      </w:r>
      <w:r w:rsidR="005745EB" w:rsidRPr="00B504FE">
        <w:rPr>
          <w:szCs w:val="24"/>
        </w:rPr>
        <w:t xml:space="preserve"> </w:t>
      </w:r>
      <w:r w:rsidRPr="00B504FE">
        <w:rPr>
          <w:szCs w:val="24"/>
        </w:rPr>
        <w:t>will be summarized in reports prepared for CDC by RTI, such as quarterly/biannual reports, annual reports, and final reports. It is possible that data from this</w:t>
      </w:r>
      <w:r w:rsidR="005745EB">
        <w:rPr>
          <w:szCs w:val="24"/>
        </w:rPr>
        <w:t xml:space="preserve"> project</w:t>
      </w:r>
      <w:r w:rsidRPr="00B504FE">
        <w:rPr>
          <w:szCs w:val="24"/>
        </w:rPr>
        <w:t xml:space="preserve"> will be published in peer-reviewed manuscripts or presented at conferences; the manuscripts and conference presentations may appear on the Internet. Specific plans for peer-reviewed publications and conference presentations have not yet been developed, but </w:t>
      </w:r>
      <w:r w:rsidR="00BB5D6C" w:rsidRPr="00B504FE">
        <w:rPr>
          <w:szCs w:val="24"/>
        </w:rPr>
        <w:t xml:space="preserve">potential </w:t>
      </w:r>
      <w:r w:rsidRPr="00B504FE">
        <w:rPr>
          <w:szCs w:val="24"/>
        </w:rPr>
        <w:t>publication and presentation</w:t>
      </w:r>
      <w:r w:rsidR="00BB5D6C" w:rsidRPr="00B504FE">
        <w:rPr>
          <w:szCs w:val="24"/>
        </w:rPr>
        <w:t xml:space="preserve"> topics</w:t>
      </w:r>
      <w:r w:rsidRPr="00B504FE">
        <w:rPr>
          <w:szCs w:val="24"/>
        </w:rPr>
        <w:t xml:space="preserve"> </w:t>
      </w:r>
      <w:r w:rsidR="00BB5D6C" w:rsidRPr="00B504FE">
        <w:rPr>
          <w:szCs w:val="24"/>
        </w:rPr>
        <w:t>include</w:t>
      </w:r>
      <w:r w:rsidRPr="00B504FE">
        <w:rPr>
          <w:szCs w:val="24"/>
        </w:rPr>
        <w:t xml:space="preserve"> the development, implementation or evaluation of partnership efforts.</w:t>
      </w:r>
    </w:p>
    <w:p w14:paraId="2B49EC3C" w14:textId="77777777" w:rsidR="00F57B18" w:rsidRDefault="00F57B18" w:rsidP="00FD64D1">
      <w:pPr>
        <w:pStyle w:val="BodyText"/>
        <w:spacing w:after="0"/>
        <w:rPr>
          <w:b/>
          <w:i/>
          <w:szCs w:val="24"/>
        </w:rPr>
      </w:pPr>
    </w:p>
    <w:p w14:paraId="53C4C5C8" w14:textId="77777777" w:rsidR="00671D1D" w:rsidRPr="00FD64D1" w:rsidRDefault="00671D1D" w:rsidP="00FD64D1">
      <w:pPr>
        <w:pStyle w:val="BodyText"/>
        <w:spacing w:after="0"/>
        <w:rPr>
          <w:b/>
          <w:i/>
          <w:szCs w:val="24"/>
        </w:rPr>
      </w:pPr>
      <w:r w:rsidRPr="00FD64D1">
        <w:rPr>
          <w:b/>
          <w:i/>
          <w:szCs w:val="24"/>
        </w:rPr>
        <w:t>Time Schedule</w:t>
      </w:r>
    </w:p>
    <w:p w14:paraId="3EE46CDD" w14:textId="77777777" w:rsidR="005A7D1D" w:rsidRDefault="005A7D1D" w:rsidP="00FD64D1">
      <w:pPr>
        <w:pStyle w:val="BodyText"/>
        <w:spacing w:after="0"/>
        <w:ind w:firstLine="720"/>
        <w:rPr>
          <w:szCs w:val="24"/>
        </w:rPr>
      </w:pPr>
      <w:r w:rsidRPr="00B504FE">
        <w:rPr>
          <w:szCs w:val="24"/>
        </w:rPr>
        <w:t xml:space="preserve">Clearance is requested for a period of </w:t>
      </w:r>
      <w:r w:rsidR="007A58C0" w:rsidRPr="00B504FE">
        <w:rPr>
          <w:szCs w:val="24"/>
        </w:rPr>
        <w:t>3</w:t>
      </w:r>
      <w:r w:rsidR="00A7257D" w:rsidRPr="00B504FE">
        <w:rPr>
          <w:szCs w:val="24"/>
        </w:rPr>
        <w:t xml:space="preserve"> </w:t>
      </w:r>
      <w:r w:rsidRPr="00B504FE">
        <w:rPr>
          <w:szCs w:val="24"/>
        </w:rPr>
        <w:t xml:space="preserve">years. The project’s time schedule is shown in </w:t>
      </w:r>
      <w:r w:rsidRPr="00B504FE">
        <w:rPr>
          <w:i/>
          <w:szCs w:val="24"/>
        </w:rPr>
        <w:t>Table A.16.1</w:t>
      </w:r>
      <w:r w:rsidRPr="00B504FE">
        <w:rPr>
          <w:szCs w:val="24"/>
        </w:rPr>
        <w:t xml:space="preserve">. </w:t>
      </w:r>
    </w:p>
    <w:p w14:paraId="6B6624B9" w14:textId="77777777" w:rsidR="001322B4" w:rsidRPr="00B504FE" w:rsidRDefault="001322B4" w:rsidP="00FD64D1">
      <w:pPr>
        <w:pStyle w:val="BodyText"/>
        <w:spacing w:after="0"/>
        <w:ind w:firstLine="720"/>
        <w:rPr>
          <w:szCs w:val="24"/>
        </w:rPr>
      </w:pPr>
    </w:p>
    <w:p w14:paraId="5C3120A4" w14:textId="77777777" w:rsidR="005A7D1D" w:rsidRPr="00B504FE" w:rsidRDefault="005A7D1D" w:rsidP="00FD64D1">
      <w:pPr>
        <w:pStyle w:val="TableTitle"/>
        <w:spacing w:before="0" w:after="0"/>
      </w:pPr>
      <w:bookmarkStart w:id="69" w:name="_Toc362514016"/>
      <w:r w:rsidRPr="00B504FE">
        <w:t>Table A.16.1</w:t>
      </w:r>
      <w:r w:rsidRPr="00B504FE">
        <w:tab/>
      </w:r>
      <w:r w:rsidR="00111769" w:rsidRPr="00B504FE">
        <w:t xml:space="preserve">Annual </w:t>
      </w:r>
      <w:r w:rsidRPr="00B504FE">
        <w:t>Project Time Schedule</w:t>
      </w:r>
      <w:bookmarkEnd w:id="69"/>
      <w:r w:rsidRPr="00B504F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323"/>
      </w:tblGrid>
      <w:tr w:rsidR="00783ED8" w:rsidRPr="00B504FE" w14:paraId="30BACB82" w14:textId="77777777" w:rsidTr="00D3266D">
        <w:trPr>
          <w:tblHeader/>
        </w:trPr>
        <w:tc>
          <w:tcPr>
            <w:tcW w:w="5040" w:type="dxa"/>
            <w:shd w:val="clear" w:color="auto" w:fill="D9D9D9"/>
            <w:vAlign w:val="center"/>
          </w:tcPr>
          <w:p w14:paraId="63BE22EB" w14:textId="77777777" w:rsidR="005A7D1D" w:rsidRPr="00B504FE" w:rsidRDefault="005A7D1D" w:rsidP="001322B4">
            <w:pPr>
              <w:pStyle w:val="TableHeaders"/>
              <w:widowControl w:val="0"/>
              <w:spacing w:before="0" w:after="0"/>
              <w:rPr>
                <w:sz w:val="24"/>
                <w:szCs w:val="24"/>
              </w:rPr>
            </w:pPr>
            <w:r w:rsidRPr="00B504FE">
              <w:rPr>
                <w:sz w:val="24"/>
                <w:szCs w:val="24"/>
              </w:rPr>
              <w:t>Activity</w:t>
            </w:r>
          </w:p>
        </w:tc>
        <w:tc>
          <w:tcPr>
            <w:tcW w:w="4428" w:type="dxa"/>
            <w:shd w:val="clear" w:color="auto" w:fill="D9D9D9"/>
            <w:vAlign w:val="center"/>
          </w:tcPr>
          <w:p w14:paraId="104E8E6E" w14:textId="77777777" w:rsidR="005A7D1D" w:rsidRPr="00B504FE" w:rsidRDefault="005A7D1D" w:rsidP="001322B4">
            <w:pPr>
              <w:pStyle w:val="TableHeaders"/>
              <w:widowControl w:val="0"/>
              <w:spacing w:before="0" w:after="0"/>
              <w:rPr>
                <w:sz w:val="24"/>
                <w:szCs w:val="24"/>
              </w:rPr>
            </w:pPr>
            <w:r w:rsidRPr="00B504FE">
              <w:rPr>
                <w:sz w:val="24"/>
                <w:szCs w:val="24"/>
              </w:rPr>
              <w:t>Timing</w:t>
            </w:r>
          </w:p>
        </w:tc>
      </w:tr>
      <w:tr w:rsidR="00B504FE" w:rsidRPr="00B504FE" w14:paraId="733C1CB1" w14:textId="77777777" w:rsidTr="009B2BE9">
        <w:tc>
          <w:tcPr>
            <w:tcW w:w="5040" w:type="dxa"/>
            <w:shd w:val="clear" w:color="auto" w:fill="auto"/>
            <w:vAlign w:val="center"/>
          </w:tcPr>
          <w:p w14:paraId="0D23B407" w14:textId="77777777" w:rsidR="005A7D1D" w:rsidRPr="00B504FE" w:rsidRDefault="00BC7AF7" w:rsidP="001322B4">
            <w:pPr>
              <w:pStyle w:val="TableText"/>
              <w:widowControl w:val="0"/>
              <w:spacing w:before="0" w:after="0"/>
              <w:rPr>
                <w:sz w:val="24"/>
                <w:szCs w:val="24"/>
              </w:rPr>
            </w:pPr>
            <w:r w:rsidRPr="00B504FE">
              <w:rPr>
                <w:sz w:val="24"/>
                <w:szCs w:val="24"/>
              </w:rPr>
              <w:t>Partners</w:t>
            </w:r>
            <w:r w:rsidR="002554B9" w:rsidRPr="00B504FE">
              <w:rPr>
                <w:sz w:val="24"/>
                <w:szCs w:val="24"/>
              </w:rPr>
              <w:t xml:space="preserve"> </w:t>
            </w:r>
            <w:r w:rsidR="005A7D1D" w:rsidRPr="00B504FE">
              <w:rPr>
                <w:sz w:val="24"/>
                <w:szCs w:val="24"/>
              </w:rPr>
              <w:t xml:space="preserve">submit </w:t>
            </w:r>
            <w:r w:rsidR="00BE5291" w:rsidRPr="00B504FE">
              <w:rPr>
                <w:sz w:val="24"/>
                <w:szCs w:val="24"/>
              </w:rPr>
              <w:t>metrics</w:t>
            </w:r>
            <w:r w:rsidR="005A7D1D" w:rsidRPr="00B504FE">
              <w:rPr>
                <w:sz w:val="24"/>
                <w:szCs w:val="24"/>
              </w:rPr>
              <w:t xml:space="preserve"> data</w:t>
            </w:r>
          </w:p>
        </w:tc>
        <w:tc>
          <w:tcPr>
            <w:tcW w:w="4428" w:type="dxa"/>
            <w:shd w:val="clear" w:color="auto" w:fill="auto"/>
            <w:vAlign w:val="center"/>
          </w:tcPr>
          <w:p w14:paraId="2DBE291E" w14:textId="77777777" w:rsidR="005A7D1D" w:rsidRPr="00B504FE" w:rsidRDefault="00111769" w:rsidP="001322B4">
            <w:pPr>
              <w:pStyle w:val="TableText"/>
              <w:widowControl w:val="0"/>
              <w:spacing w:before="0" w:after="0"/>
              <w:rPr>
                <w:sz w:val="24"/>
                <w:szCs w:val="24"/>
              </w:rPr>
            </w:pPr>
            <w:r w:rsidRPr="00B504FE">
              <w:rPr>
                <w:sz w:val="24"/>
                <w:szCs w:val="24"/>
              </w:rPr>
              <w:t>Upon OMB approval</w:t>
            </w:r>
            <w:r w:rsidR="002554B9" w:rsidRPr="00B504FE">
              <w:rPr>
                <w:sz w:val="24"/>
                <w:szCs w:val="24"/>
              </w:rPr>
              <w:t xml:space="preserve"> and quarterly thereafter</w:t>
            </w:r>
          </w:p>
        </w:tc>
      </w:tr>
      <w:tr w:rsidR="00B504FE" w:rsidRPr="00B504FE" w14:paraId="36E9CEBE" w14:textId="77777777" w:rsidTr="009B2BE9">
        <w:tc>
          <w:tcPr>
            <w:tcW w:w="5040" w:type="dxa"/>
            <w:shd w:val="clear" w:color="auto" w:fill="auto"/>
            <w:vAlign w:val="center"/>
          </w:tcPr>
          <w:p w14:paraId="6425A65D" w14:textId="77777777" w:rsidR="00677D06" w:rsidRPr="00B504FE" w:rsidRDefault="00164682" w:rsidP="001322B4">
            <w:pPr>
              <w:pStyle w:val="TableText"/>
              <w:widowControl w:val="0"/>
              <w:spacing w:before="0" w:after="0"/>
              <w:rPr>
                <w:sz w:val="24"/>
                <w:szCs w:val="24"/>
              </w:rPr>
            </w:pPr>
            <w:r w:rsidRPr="00B504FE">
              <w:rPr>
                <w:sz w:val="24"/>
                <w:szCs w:val="24"/>
              </w:rPr>
              <w:t>Partners</w:t>
            </w:r>
            <w:r w:rsidR="00677D06" w:rsidRPr="00B504FE">
              <w:rPr>
                <w:sz w:val="24"/>
                <w:szCs w:val="24"/>
              </w:rPr>
              <w:t xml:space="preserve"> complete </w:t>
            </w:r>
            <w:r w:rsidR="00AD3B17" w:rsidRPr="00B504FE">
              <w:rPr>
                <w:sz w:val="24"/>
                <w:szCs w:val="24"/>
              </w:rPr>
              <w:t xml:space="preserve">partner </w:t>
            </w:r>
            <w:r w:rsidR="00677D06" w:rsidRPr="00B504FE">
              <w:rPr>
                <w:sz w:val="24"/>
                <w:szCs w:val="24"/>
              </w:rPr>
              <w:t>survey</w:t>
            </w:r>
          </w:p>
        </w:tc>
        <w:tc>
          <w:tcPr>
            <w:tcW w:w="4428" w:type="dxa"/>
            <w:shd w:val="clear" w:color="auto" w:fill="auto"/>
            <w:vAlign w:val="center"/>
          </w:tcPr>
          <w:p w14:paraId="136C2590" w14:textId="77777777" w:rsidR="00677D06" w:rsidRPr="00B504FE" w:rsidRDefault="00677D06" w:rsidP="001322B4">
            <w:pPr>
              <w:pStyle w:val="TableText"/>
              <w:widowControl w:val="0"/>
              <w:spacing w:before="0" w:after="0"/>
              <w:rPr>
                <w:sz w:val="24"/>
                <w:szCs w:val="24"/>
              </w:rPr>
            </w:pPr>
            <w:r w:rsidRPr="00B504FE">
              <w:rPr>
                <w:sz w:val="24"/>
                <w:szCs w:val="24"/>
              </w:rPr>
              <w:t>Upon OMB approval, on a rolling basis throughout the year</w:t>
            </w:r>
          </w:p>
        </w:tc>
      </w:tr>
      <w:tr w:rsidR="00B504FE" w:rsidRPr="00B504FE" w14:paraId="0DF172F6" w14:textId="77777777" w:rsidTr="009B2BE9">
        <w:tc>
          <w:tcPr>
            <w:tcW w:w="5040" w:type="dxa"/>
            <w:shd w:val="clear" w:color="auto" w:fill="auto"/>
            <w:vAlign w:val="center"/>
          </w:tcPr>
          <w:p w14:paraId="42AD292A" w14:textId="77777777" w:rsidR="004403B2" w:rsidRPr="00B504FE" w:rsidRDefault="004403B2" w:rsidP="001322B4">
            <w:pPr>
              <w:pStyle w:val="TableText"/>
              <w:widowControl w:val="0"/>
              <w:spacing w:before="0" w:after="0"/>
              <w:rPr>
                <w:sz w:val="24"/>
                <w:szCs w:val="24"/>
              </w:rPr>
            </w:pPr>
            <w:r w:rsidRPr="00B504FE">
              <w:rPr>
                <w:rFonts w:eastAsia="Calibri"/>
                <w:iCs/>
                <w:sz w:val="24"/>
                <w:szCs w:val="24"/>
              </w:rPr>
              <w:t>Partners complete partnerships activities form</w:t>
            </w:r>
          </w:p>
        </w:tc>
        <w:tc>
          <w:tcPr>
            <w:tcW w:w="4428" w:type="dxa"/>
            <w:shd w:val="clear" w:color="auto" w:fill="auto"/>
            <w:vAlign w:val="center"/>
          </w:tcPr>
          <w:p w14:paraId="0810F772" w14:textId="77777777" w:rsidR="004403B2" w:rsidRPr="00B504FE" w:rsidRDefault="004403B2" w:rsidP="001322B4">
            <w:pPr>
              <w:pStyle w:val="TableText"/>
              <w:widowControl w:val="0"/>
              <w:spacing w:before="0" w:after="0"/>
              <w:rPr>
                <w:sz w:val="24"/>
                <w:szCs w:val="24"/>
              </w:rPr>
            </w:pPr>
            <w:r w:rsidRPr="00B504FE">
              <w:rPr>
                <w:sz w:val="24"/>
                <w:szCs w:val="24"/>
              </w:rPr>
              <w:t>Upon OMB approval, on a rolling basis throughout the year when partners complete an event</w:t>
            </w:r>
          </w:p>
        </w:tc>
      </w:tr>
      <w:tr w:rsidR="00B504FE" w:rsidRPr="00B504FE" w14:paraId="467C213B" w14:textId="77777777" w:rsidTr="009B2BE9">
        <w:tc>
          <w:tcPr>
            <w:tcW w:w="5040" w:type="dxa"/>
            <w:shd w:val="clear" w:color="auto" w:fill="auto"/>
            <w:vAlign w:val="center"/>
          </w:tcPr>
          <w:p w14:paraId="02D3F0BB" w14:textId="77777777" w:rsidR="002D0205" w:rsidRPr="00B504FE" w:rsidRDefault="002D0205" w:rsidP="001322B4">
            <w:pPr>
              <w:pStyle w:val="TableText"/>
              <w:widowControl w:val="0"/>
              <w:spacing w:before="0" w:after="0"/>
              <w:rPr>
                <w:sz w:val="24"/>
                <w:szCs w:val="24"/>
              </w:rPr>
            </w:pPr>
            <w:r w:rsidRPr="00B504FE">
              <w:rPr>
                <w:sz w:val="24"/>
                <w:szCs w:val="24"/>
              </w:rPr>
              <w:t xml:space="preserve">CDC and contractor analyze first quarter data and </w:t>
            </w:r>
            <w:r w:rsidR="00BD0B22" w:rsidRPr="00B504FE">
              <w:rPr>
                <w:sz w:val="24"/>
                <w:szCs w:val="24"/>
              </w:rPr>
              <w:t xml:space="preserve">contractor submits </w:t>
            </w:r>
            <w:r w:rsidRPr="00B504FE">
              <w:rPr>
                <w:sz w:val="24"/>
                <w:szCs w:val="24"/>
              </w:rPr>
              <w:t>quarterly report</w:t>
            </w:r>
          </w:p>
        </w:tc>
        <w:tc>
          <w:tcPr>
            <w:tcW w:w="4428" w:type="dxa"/>
            <w:shd w:val="clear" w:color="auto" w:fill="auto"/>
            <w:vAlign w:val="center"/>
          </w:tcPr>
          <w:p w14:paraId="17C6F39A" w14:textId="77777777" w:rsidR="002D0205" w:rsidRPr="00B504FE" w:rsidRDefault="003A7D9B" w:rsidP="001322B4">
            <w:pPr>
              <w:pStyle w:val="TableText"/>
              <w:widowControl w:val="0"/>
              <w:spacing w:before="0" w:after="0"/>
              <w:rPr>
                <w:sz w:val="24"/>
                <w:szCs w:val="24"/>
              </w:rPr>
            </w:pPr>
            <w:r w:rsidRPr="00B504FE">
              <w:rPr>
                <w:sz w:val="24"/>
                <w:szCs w:val="24"/>
              </w:rPr>
              <w:t>2</w:t>
            </w:r>
            <w:r w:rsidR="002D0205" w:rsidRPr="00B504FE">
              <w:rPr>
                <w:sz w:val="24"/>
                <w:szCs w:val="24"/>
              </w:rPr>
              <w:t xml:space="preserve"> months after OMB approval</w:t>
            </w:r>
          </w:p>
        </w:tc>
      </w:tr>
      <w:tr w:rsidR="00B504FE" w:rsidRPr="00B504FE" w14:paraId="0F25830A" w14:textId="77777777" w:rsidTr="009B2BE9">
        <w:tc>
          <w:tcPr>
            <w:tcW w:w="5040" w:type="dxa"/>
            <w:shd w:val="clear" w:color="auto" w:fill="auto"/>
            <w:vAlign w:val="center"/>
          </w:tcPr>
          <w:p w14:paraId="2313AD73" w14:textId="77777777" w:rsidR="001C29EC" w:rsidRPr="00B504FE" w:rsidRDefault="001C29EC" w:rsidP="001322B4">
            <w:pPr>
              <w:pStyle w:val="TableText"/>
              <w:widowControl w:val="0"/>
              <w:spacing w:before="0" w:after="0"/>
              <w:rPr>
                <w:sz w:val="24"/>
                <w:szCs w:val="24"/>
              </w:rPr>
            </w:pPr>
            <w:r w:rsidRPr="00B504FE">
              <w:rPr>
                <w:sz w:val="24"/>
                <w:szCs w:val="24"/>
              </w:rPr>
              <w:t>CDC and contractor analyze first quarter data from partnership activities form</w:t>
            </w:r>
          </w:p>
        </w:tc>
        <w:tc>
          <w:tcPr>
            <w:tcW w:w="4428" w:type="dxa"/>
            <w:shd w:val="clear" w:color="auto" w:fill="auto"/>
            <w:vAlign w:val="center"/>
          </w:tcPr>
          <w:p w14:paraId="44F1E686" w14:textId="77777777" w:rsidR="001C29EC" w:rsidRPr="00B504FE" w:rsidRDefault="001C29EC" w:rsidP="001322B4">
            <w:pPr>
              <w:pStyle w:val="TableText"/>
              <w:widowControl w:val="0"/>
              <w:spacing w:before="0" w:after="0"/>
              <w:rPr>
                <w:sz w:val="24"/>
                <w:szCs w:val="24"/>
              </w:rPr>
            </w:pPr>
            <w:r w:rsidRPr="00B504FE">
              <w:rPr>
                <w:sz w:val="24"/>
                <w:szCs w:val="24"/>
              </w:rPr>
              <w:t>2 months after OMB approval</w:t>
            </w:r>
          </w:p>
        </w:tc>
      </w:tr>
      <w:tr w:rsidR="00B504FE" w:rsidRPr="00B504FE" w14:paraId="67BED3D6" w14:textId="77777777" w:rsidTr="009B2BE9">
        <w:tc>
          <w:tcPr>
            <w:tcW w:w="5040" w:type="dxa"/>
            <w:shd w:val="clear" w:color="auto" w:fill="auto"/>
            <w:vAlign w:val="center"/>
          </w:tcPr>
          <w:p w14:paraId="2D20E0BD" w14:textId="77777777" w:rsidR="00111769" w:rsidRPr="00B504FE" w:rsidRDefault="00BC7AF7" w:rsidP="001322B4">
            <w:pPr>
              <w:pStyle w:val="TableText"/>
              <w:widowControl w:val="0"/>
              <w:spacing w:before="0" w:after="0"/>
              <w:rPr>
                <w:sz w:val="24"/>
                <w:szCs w:val="24"/>
              </w:rPr>
            </w:pPr>
            <w:r w:rsidRPr="00B504FE">
              <w:rPr>
                <w:sz w:val="24"/>
                <w:szCs w:val="24"/>
              </w:rPr>
              <w:t xml:space="preserve">Partners </w:t>
            </w:r>
            <w:r w:rsidR="00111769" w:rsidRPr="00B504FE">
              <w:rPr>
                <w:sz w:val="24"/>
                <w:szCs w:val="24"/>
              </w:rPr>
              <w:t>submit second quarter</w:t>
            </w:r>
            <w:r w:rsidR="002D0205" w:rsidRPr="00B504FE">
              <w:rPr>
                <w:sz w:val="24"/>
                <w:szCs w:val="24"/>
              </w:rPr>
              <w:t xml:space="preserve"> </w:t>
            </w:r>
            <w:r w:rsidR="00BE5291" w:rsidRPr="00B504FE">
              <w:rPr>
                <w:sz w:val="24"/>
                <w:szCs w:val="24"/>
              </w:rPr>
              <w:t>metrics</w:t>
            </w:r>
            <w:r w:rsidR="00111769" w:rsidRPr="00B504FE">
              <w:rPr>
                <w:sz w:val="24"/>
                <w:szCs w:val="24"/>
              </w:rPr>
              <w:t xml:space="preserve"> data</w:t>
            </w:r>
          </w:p>
        </w:tc>
        <w:tc>
          <w:tcPr>
            <w:tcW w:w="4428" w:type="dxa"/>
            <w:shd w:val="clear" w:color="auto" w:fill="auto"/>
            <w:vAlign w:val="center"/>
          </w:tcPr>
          <w:p w14:paraId="615A7EC9" w14:textId="77777777" w:rsidR="00111769" w:rsidRPr="00B504FE" w:rsidRDefault="00111769" w:rsidP="001322B4">
            <w:pPr>
              <w:pStyle w:val="TableText"/>
              <w:widowControl w:val="0"/>
              <w:spacing w:before="0" w:after="0"/>
              <w:rPr>
                <w:sz w:val="24"/>
                <w:szCs w:val="24"/>
              </w:rPr>
            </w:pPr>
            <w:r w:rsidRPr="00B504FE">
              <w:rPr>
                <w:sz w:val="24"/>
                <w:szCs w:val="24"/>
              </w:rPr>
              <w:t>3 months after OMB approval</w:t>
            </w:r>
          </w:p>
        </w:tc>
      </w:tr>
      <w:tr w:rsidR="00B504FE" w:rsidRPr="00B504FE" w14:paraId="1CCE8EAD" w14:textId="77777777" w:rsidTr="009B2BE9">
        <w:tc>
          <w:tcPr>
            <w:tcW w:w="5040" w:type="dxa"/>
            <w:shd w:val="clear" w:color="auto" w:fill="auto"/>
            <w:vAlign w:val="center"/>
          </w:tcPr>
          <w:p w14:paraId="1ED1AB63" w14:textId="77777777" w:rsidR="002D0205" w:rsidRPr="00B504FE" w:rsidRDefault="002D0205" w:rsidP="001322B4">
            <w:pPr>
              <w:pStyle w:val="TableText"/>
              <w:widowControl w:val="0"/>
              <w:spacing w:before="0" w:after="0"/>
              <w:rPr>
                <w:sz w:val="24"/>
                <w:szCs w:val="24"/>
              </w:rPr>
            </w:pPr>
            <w:r w:rsidRPr="00B504FE">
              <w:rPr>
                <w:sz w:val="24"/>
                <w:szCs w:val="24"/>
              </w:rPr>
              <w:t xml:space="preserve">CDC and contractor analyze second quarter data and </w:t>
            </w:r>
            <w:r w:rsidR="0094064D" w:rsidRPr="00B504FE">
              <w:rPr>
                <w:sz w:val="24"/>
                <w:szCs w:val="24"/>
              </w:rPr>
              <w:t xml:space="preserve">contractor submits </w:t>
            </w:r>
            <w:r w:rsidRPr="00B504FE">
              <w:rPr>
                <w:sz w:val="24"/>
                <w:szCs w:val="24"/>
              </w:rPr>
              <w:t>quarterly report</w:t>
            </w:r>
          </w:p>
        </w:tc>
        <w:tc>
          <w:tcPr>
            <w:tcW w:w="4428" w:type="dxa"/>
            <w:shd w:val="clear" w:color="auto" w:fill="auto"/>
            <w:vAlign w:val="center"/>
          </w:tcPr>
          <w:p w14:paraId="6CA8A4FE" w14:textId="77777777" w:rsidR="002D0205" w:rsidRPr="00B504FE" w:rsidRDefault="003A7D9B" w:rsidP="001322B4">
            <w:pPr>
              <w:pStyle w:val="TableText"/>
              <w:widowControl w:val="0"/>
              <w:spacing w:before="0" w:after="0"/>
              <w:rPr>
                <w:sz w:val="24"/>
                <w:szCs w:val="24"/>
              </w:rPr>
            </w:pPr>
            <w:r w:rsidRPr="00B504FE">
              <w:rPr>
                <w:sz w:val="24"/>
                <w:szCs w:val="24"/>
              </w:rPr>
              <w:t>5</w:t>
            </w:r>
            <w:r w:rsidR="002D0205" w:rsidRPr="00B504FE">
              <w:rPr>
                <w:sz w:val="24"/>
                <w:szCs w:val="24"/>
              </w:rPr>
              <w:t xml:space="preserve"> months after OMB approval</w:t>
            </w:r>
          </w:p>
        </w:tc>
      </w:tr>
      <w:tr w:rsidR="00B504FE" w:rsidRPr="00B504FE" w14:paraId="5F8496FA" w14:textId="77777777" w:rsidTr="009B2BE9">
        <w:tc>
          <w:tcPr>
            <w:tcW w:w="5040" w:type="dxa"/>
            <w:shd w:val="clear" w:color="auto" w:fill="auto"/>
            <w:vAlign w:val="center"/>
          </w:tcPr>
          <w:p w14:paraId="3B4433A0" w14:textId="77777777" w:rsidR="001C29EC" w:rsidRPr="00B504FE" w:rsidRDefault="001C29EC" w:rsidP="001322B4">
            <w:pPr>
              <w:pStyle w:val="TableText"/>
              <w:widowControl w:val="0"/>
              <w:spacing w:before="0" w:after="0"/>
              <w:rPr>
                <w:sz w:val="24"/>
                <w:szCs w:val="24"/>
              </w:rPr>
            </w:pPr>
            <w:r w:rsidRPr="00B504FE">
              <w:rPr>
                <w:sz w:val="24"/>
                <w:szCs w:val="24"/>
              </w:rPr>
              <w:t>CDC and contractor analyze second quarter data from partnership activities form</w:t>
            </w:r>
          </w:p>
        </w:tc>
        <w:tc>
          <w:tcPr>
            <w:tcW w:w="4428" w:type="dxa"/>
            <w:shd w:val="clear" w:color="auto" w:fill="auto"/>
            <w:vAlign w:val="center"/>
          </w:tcPr>
          <w:p w14:paraId="427D647B" w14:textId="77777777" w:rsidR="001C29EC" w:rsidRPr="00B504FE" w:rsidRDefault="001C29EC" w:rsidP="001322B4">
            <w:pPr>
              <w:pStyle w:val="TableText"/>
              <w:widowControl w:val="0"/>
              <w:spacing w:before="0" w:after="0"/>
              <w:rPr>
                <w:sz w:val="24"/>
                <w:szCs w:val="24"/>
              </w:rPr>
            </w:pPr>
            <w:r w:rsidRPr="00B504FE">
              <w:rPr>
                <w:sz w:val="24"/>
                <w:szCs w:val="24"/>
              </w:rPr>
              <w:t>5 months after OMB approval</w:t>
            </w:r>
          </w:p>
        </w:tc>
      </w:tr>
      <w:tr w:rsidR="00B504FE" w:rsidRPr="00B504FE" w14:paraId="246FCB4A" w14:textId="77777777" w:rsidTr="009B2BE9">
        <w:tc>
          <w:tcPr>
            <w:tcW w:w="5040" w:type="dxa"/>
            <w:shd w:val="clear" w:color="auto" w:fill="auto"/>
            <w:vAlign w:val="center"/>
          </w:tcPr>
          <w:p w14:paraId="7CA0DBEB" w14:textId="77777777" w:rsidR="00BC7AF7" w:rsidRPr="00B504FE" w:rsidRDefault="00BC7AF7" w:rsidP="001322B4">
            <w:pPr>
              <w:pStyle w:val="TableText"/>
              <w:widowControl w:val="0"/>
              <w:spacing w:before="0" w:after="0"/>
              <w:rPr>
                <w:sz w:val="24"/>
                <w:szCs w:val="24"/>
              </w:rPr>
            </w:pPr>
            <w:r w:rsidRPr="00B504FE">
              <w:rPr>
                <w:sz w:val="24"/>
                <w:szCs w:val="24"/>
              </w:rPr>
              <w:t>Contractor conducts one of two rounds of biannual key informant interviews</w:t>
            </w:r>
          </w:p>
        </w:tc>
        <w:tc>
          <w:tcPr>
            <w:tcW w:w="4428" w:type="dxa"/>
            <w:shd w:val="clear" w:color="auto" w:fill="auto"/>
            <w:vAlign w:val="center"/>
          </w:tcPr>
          <w:p w14:paraId="4221C42D" w14:textId="77777777" w:rsidR="00BC7AF7" w:rsidRPr="00B504FE" w:rsidRDefault="00BC7AF7" w:rsidP="001322B4">
            <w:pPr>
              <w:pStyle w:val="TableText"/>
              <w:widowControl w:val="0"/>
              <w:spacing w:before="0" w:after="0"/>
              <w:rPr>
                <w:sz w:val="24"/>
                <w:szCs w:val="24"/>
              </w:rPr>
            </w:pPr>
            <w:r w:rsidRPr="00B504FE">
              <w:rPr>
                <w:sz w:val="24"/>
                <w:szCs w:val="24"/>
              </w:rPr>
              <w:t>6 months after OMB approval</w:t>
            </w:r>
          </w:p>
        </w:tc>
      </w:tr>
      <w:tr w:rsidR="00B504FE" w:rsidRPr="00B504FE" w14:paraId="47DDF62E" w14:textId="77777777" w:rsidTr="009B2BE9">
        <w:tc>
          <w:tcPr>
            <w:tcW w:w="5040" w:type="dxa"/>
            <w:shd w:val="clear" w:color="auto" w:fill="auto"/>
            <w:vAlign w:val="center"/>
          </w:tcPr>
          <w:p w14:paraId="6FD6A0A9" w14:textId="77777777" w:rsidR="00164682" w:rsidRPr="00B504FE" w:rsidRDefault="00164682" w:rsidP="001322B4">
            <w:pPr>
              <w:pStyle w:val="TableText"/>
              <w:widowControl w:val="0"/>
              <w:spacing w:before="0" w:after="0"/>
              <w:rPr>
                <w:sz w:val="24"/>
                <w:szCs w:val="24"/>
              </w:rPr>
            </w:pPr>
            <w:r w:rsidRPr="00B504FE">
              <w:rPr>
                <w:sz w:val="24"/>
                <w:szCs w:val="24"/>
              </w:rPr>
              <w:t>Contractor analyzes and reports on key informant interview data</w:t>
            </w:r>
          </w:p>
        </w:tc>
        <w:tc>
          <w:tcPr>
            <w:tcW w:w="4428" w:type="dxa"/>
            <w:shd w:val="clear" w:color="auto" w:fill="auto"/>
            <w:vAlign w:val="center"/>
          </w:tcPr>
          <w:p w14:paraId="17DE57E0" w14:textId="77777777" w:rsidR="00164682" w:rsidRPr="00B504FE" w:rsidRDefault="00164682" w:rsidP="001322B4">
            <w:pPr>
              <w:pStyle w:val="TableText"/>
              <w:widowControl w:val="0"/>
              <w:spacing w:before="0" w:after="0"/>
              <w:rPr>
                <w:sz w:val="24"/>
                <w:szCs w:val="24"/>
              </w:rPr>
            </w:pPr>
            <w:r w:rsidRPr="00B504FE">
              <w:rPr>
                <w:sz w:val="24"/>
                <w:szCs w:val="24"/>
              </w:rPr>
              <w:t>1 month after interviews are complete</w:t>
            </w:r>
          </w:p>
        </w:tc>
      </w:tr>
      <w:tr w:rsidR="00B504FE" w:rsidRPr="00B504FE" w14:paraId="23E84749" w14:textId="77777777" w:rsidTr="009B2BE9">
        <w:tc>
          <w:tcPr>
            <w:tcW w:w="5040" w:type="dxa"/>
            <w:shd w:val="clear" w:color="auto" w:fill="auto"/>
            <w:vAlign w:val="center"/>
          </w:tcPr>
          <w:p w14:paraId="293A1954" w14:textId="77777777" w:rsidR="00164682" w:rsidRPr="00B504FE" w:rsidRDefault="00164682" w:rsidP="001322B4">
            <w:pPr>
              <w:pStyle w:val="TableText"/>
              <w:widowControl w:val="0"/>
              <w:spacing w:before="0" w:after="0"/>
              <w:rPr>
                <w:sz w:val="24"/>
                <w:szCs w:val="24"/>
              </w:rPr>
            </w:pPr>
            <w:r w:rsidRPr="00B504FE">
              <w:rPr>
                <w:sz w:val="24"/>
                <w:szCs w:val="24"/>
              </w:rPr>
              <w:t>Partners submit third quarter metrics data</w:t>
            </w:r>
          </w:p>
        </w:tc>
        <w:tc>
          <w:tcPr>
            <w:tcW w:w="4428" w:type="dxa"/>
            <w:shd w:val="clear" w:color="auto" w:fill="auto"/>
            <w:vAlign w:val="center"/>
          </w:tcPr>
          <w:p w14:paraId="34EA8475" w14:textId="77777777" w:rsidR="00164682" w:rsidRPr="00B504FE" w:rsidRDefault="00164682" w:rsidP="001322B4">
            <w:pPr>
              <w:pStyle w:val="TableText"/>
              <w:widowControl w:val="0"/>
              <w:spacing w:before="0" w:after="0"/>
              <w:rPr>
                <w:sz w:val="24"/>
                <w:szCs w:val="24"/>
              </w:rPr>
            </w:pPr>
            <w:r w:rsidRPr="00B504FE">
              <w:rPr>
                <w:sz w:val="24"/>
                <w:szCs w:val="24"/>
              </w:rPr>
              <w:t>6 months after OMB approval</w:t>
            </w:r>
          </w:p>
        </w:tc>
      </w:tr>
      <w:tr w:rsidR="00B504FE" w:rsidRPr="00B504FE" w14:paraId="40C8B290" w14:textId="77777777" w:rsidTr="009B2BE9">
        <w:tc>
          <w:tcPr>
            <w:tcW w:w="5040" w:type="dxa"/>
            <w:shd w:val="clear" w:color="auto" w:fill="auto"/>
            <w:vAlign w:val="center"/>
          </w:tcPr>
          <w:p w14:paraId="210379A3" w14:textId="77777777" w:rsidR="00164682" w:rsidRPr="00B504FE" w:rsidRDefault="00164682" w:rsidP="001322B4">
            <w:pPr>
              <w:pStyle w:val="TableText"/>
              <w:widowControl w:val="0"/>
              <w:spacing w:before="0" w:after="0"/>
              <w:rPr>
                <w:sz w:val="24"/>
                <w:szCs w:val="24"/>
              </w:rPr>
            </w:pPr>
            <w:r w:rsidRPr="00B504FE">
              <w:rPr>
                <w:sz w:val="24"/>
                <w:szCs w:val="24"/>
              </w:rPr>
              <w:t>CDC and contractor analyze</w:t>
            </w:r>
            <w:r w:rsidR="001C29EC" w:rsidRPr="00B504FE">
              <w:rPr>
                <w:sz w:val="24"/>
                <w:szCs w:val="24"/>
              </w:rPr>
              <w:t xml:space="preserve"> data from</w:t>
            </w:r>
            <w:r w:rsidRPr="00B504FE">
              <w:rPr>
                <w:sz w:val="24"/>
                <w:szCs w:val="24"/>
              </w:rPr>
              <w:t xml:space="preserve"> </w:t>
            </w:r>
            <w:r w:rsidR="00AD3B17" w:rsidRPr="00B504FE">
              <w:rPr>
                <w:sz w:val="24"/>
                <w:szCs w:val="24"/>
              </w:rPr>
              <w:t xml:space="preserve">partner </w:t>
            </w:r>
            <w:r w:rsidR="001C29EC" w:rsidRPr="00B504FE">
              <w:rPr>
                <w:sz w:val="24"/>
                <w:szCs w:val="24"/>
              </w:rPr>
              <w:t xml:space="preserve">survey </w:t>
            </w:r>
          </w:p>
        </w:tc>
        <w:tc>
          <w:tcPr>
            <w:tcW w:w="4428" w:type="dxa"/>
            <w:shd w:val="clear" w:color="auto" w:fill="auto"/>
            <w:vAlign w:val="center"/>
          </w:tcPr>
          <w:p w14:paraId="1D5E2BF2" w14:textId="77777777" w:rsidR="00164682" w:rsidRPr="00B504FE" w:rsidRDefault="00164682" w:rsidP="001322B4">
            <w:pPr>
              <w:pStyle w:val="TableText"/>
              <w:widowControl w:val="0"/>
              <w:spacing w:before="0" w:after="0"/>
              <w:rPr>
                <w:sz w:val="24"/>
                <w:szCs w:val="24"/>
              </w:rPr>
            </w:pPr>
            <w:r w:rsidRPr="00B504FE">
              <w:rPr>
                <w:sz w:val="24"/>
                <w:szCs w:val="24"/>
              </w:rPr>
              <w:t>6 months after OMB approval</w:t>
            </w:r>
          </w:p>
        </w:tc>
      </w:tr>
      <w:tr w:rsidR="00B504FE" w:rsidRPr="00B504FE" w14:paraId="4C1817DE" w14:textId="77777777" w:rsidTr="009B2BE9">
        <w:tc>
          <w:tcPr>
            <w:tcW w:w="5040" w:type="dxa"/>
            <w:shd w:val="clear" w:color="auto" w:fill="auto"/>
            <w:vAlign w:val="center"/>
          </w:tcPr>
          <w:p w14:paraId="6E771B5F" w14:textId="77777777" w:rsidR="00164682" w:rsidRPr="00B504FE" w:rsidRDefault="00164682" w:rsidP="001322B4">
            <w:pPr>
              <w:pStyle w:val="TableText"/>
              <w:widowControl w:val="0"/>
              <w:spacing w:before="0" w:after="0"/>
              <w:rPr>
                <w:sz w:val="24"/>
                <w:szCs w:val="24"/>
              </w:rPr>
            </w:pPr>
            <w:r w:rsidRPr="00B504FE">
              <w:rPr>
                <w:sz w:val="24"/>
                <w:szCs w:val="24"/>
              </w:rPr>
              <w:t>CDC and contractor analyze third quarter data and contractor submits quarterly report</w:t>
            </w:r>
          </w:p>
        </w:tc>
        <w:tc>
          <w:tcPr>
            <w:tcW w:w="4428" w:type="dxa"/>
            <w:shd w:val="clear" w:color="auto" w:fill="auto"/>
            <w:vAlign w:val="center"/>
          </w:tcPr>
          <w:p w14:paraId="6A61FC47" w14:textId="77777777" w:rsidR="00164682" w:rsidRPr="00B504FE" w:rsidRDefault="00164682" w:rsidP="001322B4">
            <w:pPr>
              <w:pStyle w:val="TableText"/>
              <w:widowControl w:val="0"/>
              <w:spacing w:before="0" w:after="0"/>
              <w:rPr>
                <w:sz w:val="24"/>
                <w:szCs w:val="24"/>
              </w:rPr>
            </w:pPr>
            <w:r w:rsidRPr="00B504FE">
              <w:rPr>
                <w:sz w:val="24"/>
                <w:szCs w:val="24"/>
              </w:rPr>
              <w:t>8 months after OMB approval</w:t>
            </w:r>
          </w:p>
        </w:tc>
      </w:tr>
      <w:tr w:rsidR="00B504FE" w:rsidRPr="00B504FE" w14:paraId="1555824B" w14:textId="77777777" w:rsidTr="009B2BE9">
        <w:tc>
          <w:tcPr>
            <w:tcW w:w="5040" w:type="dxa"/>
            <w:shd w:val="clear" w:color="auto" w:fill="auto"/>
            <w:vAlign w:val="center"/>
          </w:tcPr>
          <w:p w14:paraId="535884F3" w14:textId="77777777" w:rsidR="001C29EC" w:rsidRPr="00B504FE" w:rsidRDefault="001C29EC" w:rsidP="001322B4">
            <w:pPr>
              <w:pStyle w:val="TableText"/>
              <w:widowControl w:val="0"/>
              <w:spacing w:before="0" w:after="0"/>
              <w:rPr>
                <w:sz w:val="24"/>
                <w:szCs w:val="24"/>
              </w:rPr>
            </w:pPr>
            <w:r w:rsidRPr="00B504FE">
              <w:rPr>
                <w:sz w:val="24"/>
                <w:szCs w:val="24"/>
              </w:rPr>
              <w:t>CDC and contractor analyze third quarter data from partnership activities form</w:t>
            </w:r>
          </w:p>
        </w:tc>
        <w:tc>
          <w:tcPr>
            <w:tcW w:w="4428" w:type="dxa"/>
            <w:shd w:val="clear" w:color="auto" w:fill="auto"/>
            <w:vAlign w:val="center"/>
          </w:tcPr>
          <w:p w14:paraId="05F14E4D" w14:textId="77777777" w:rsidR="001C29EC" w:rsidRPr="00B504FE" w:rsidRDefault="001C29EC" w:rsidP="001322B4">
            <w:pPr>
              <w:pStyle w:val="TableText"/>
              <w:widowControl w:val="0"/>
              <w:spacing w:before="0" w:after="0"/>
              <w:rPr>
                <w:sz w:val="24"/>
                <w:szCs w:val="24"/>
              </w:rPr>
            </w:pPr>
            <w:r w:rsidRPr="00B504FE">
              <w:rPr>
                <w:sz w:val="24"/>
                <w:szCs w:val="24"/>
              </w:rPr>
              <w:t>8 months after OMB approval</w:t>
            </w:r>
          </w:p>
        </w:tc>
      </w:tr>
      <w:tr w:rsidR="00B504FE" w:rsidRPr="00B504FE" w14:paraId="1490366A" w14:textId="77777777" w:rsidTr="009B2BE9">
        <w:tc>
          <w:tcPr>
            <w:tcW w:w="5040" w:type="dxa"/>
            <w:shd w:val="clear" w:color="auto" w:fill="auto"/>
            <w:vAlign w:val="center"/>
          </w:tcPr>
          <w:p w14:paraId="0C743211" w14:textId="77777777" w:rsidR="00164682" w:rsidRPr="00B504FE" w:rsidRDefault="00164682" w:rsidP="001322B4">
            <w:pPr>
              <w:pStyle w:val="TableText"/>
              <w:widowControl w:val="0"/>
              <w:spacing w:before="0" w:after="0"/>
              <w:rPr>
                <w:sz w:val="24"/>
                <w:szCs w:val="24"/>
              </w:rPr>
            </w:pPr>
            <w:r w:rsidRPr="00B504FE">
              <w:rPr>
                <w:sz w:val="24"/>
                <w:szCs w:val="24"/>
              </w:rPr>
              <w:t>Partners submit fourth quarter’s metrics data</w:t>
            </w:r>
          </w:p>
        </w:tc>
        <w:tc>
          <w:tcPr>
            <w:tcW w:w="4428" w:type="dxa"/>
            <w:shd w:val="clear" w:color="auto" w:fill="auto"/>
            <w:vAlign w:val="center"/>
          </w:tcPr>
          <w:p w14:paraId="60B18034" w14:textId="77777777" w:rsidR="00164682" w:rsidRPr="00B504FE" w:rsidRDefault="00164682" w:rsidP="001322B4">
            <w:pPr>
              <w:pStyle w:val="TableText"/>
              <w:widowControl w:val="0"/>
              <w:spacing w:before="0" w:after="0"/>
              <w:rPr>
                <w:sz w:val="24"/>
                <w:szCs w:val="24"/>
              </w:rPr>
            </w:pPr>
            <w:r w:rsidRPr="00B504FE">
              <w:rPr>
                <w:sz w:val="24"/>
                <w:szCs w:val="24"/>
              </w:rPr>
              <w:t>9 months after OMB approval</w:t>
            </w:r>
          </w:p>
        </w:tc>
      </w:tr>
      <w:tr w:rsidR="00B504FE" w:rsidRPr="00B504FE" w14:paraId="6E2AFB2E" w14:textId="77777777" w:rsidTr="009B2BE9">
        <w:tc>
          <w:tcPr>
            <w:tcW w:w="5040" w:type="dxa"/>
            <w:shd w:val="clear" w:color="auto" w:fill="auto"/>
            <w:vAlign w:val="center"/>
          </w:tcPr>
          <w:p w14:paraId="7B844D15" w14:textId="77777777" w:rsidR="00164682" w:rsidRPr="00B504FE" w:rsidRDefault="00164682" w:rsidP="001322B4">
            <w:pPr>
              <w:pStyle w:val="TableText"/>
              <w:widowControl w:val="0"/>
              <w:spacing w:before="0" w:after="0"/>
              <w:rPr>
                <w:sz w:val="24"/>
                <w:szCs w:val="24"/>
              </w:rPr>
            </w:pPr>
            <w:r w:rsidRPr="00B504FE">
              <w:rPr>
                <w:sz w:val="24"/>
                <w:szCs w:val="24"/>
              </w:rPr>
              <w:t>CDC and contractor analyze fourth quarter data and contractor submits quarterly report</w:t>
            </w:r>
          </w:p>
        </w:tc>
        <w:tc>
          <w:tcPr>
            <w:tcW w:w="4428" w:type="dxa"/>
            <w:shd w:val="clear" w:color="auto" w:fill="auto"/>
            <w:vAlign w:val="center"/>
          </w:tcPr>
          <w:p w14:paraId="1D8E10E6" w14:textId="77777777" w:rsidR="00164682" w:rsidRPr="00B504FE" w:rsidRDefault="00164682" w:rsidP="001322B4">
            <w:pPr>
              <w:pStyle w:val="TableText"/>
              <w:widowControl w:val="0"/>
              <w:spacing w:before="0" w:after="0"/>
              <w:rPr>
                <w:sz w:val="24"/>
                <w:szCs w:val="24"/>
              </w:rPr>
            </w:pPr>
            <w:r w:rsidRPr="00B504FE">
              <w:rPr>
                <w:sz w:val="24"/>
                <w:szCs w:val="24"/>
              </w:rPr>
              <w:t>11 months after OMB approval</w:t>
            </w:r>
          </w:p>
        </w:tc>
      </w:tr>
      <w:tr w:rsidR="00B504FE" w:rsidRPr="00B504FE" w14:paraId="5F53032A" w14:textId="77777777" w:rsidTr="009B2BE9">
        <w:tc>
          <w:tcPr>
            <w:tcW w:w="5040" w:type="dxa"/>
            <w:shd w:val="clear" w:color="auto" w:fill="auto"/>
            <w:vAlign w:val="center"/>
          </w:tcPr>
          <w:p w14:paraId="01F2F353" w14:textId="77777777" w:rsidR="001C29EC" w:rsidRPr="00B504FE" w:rsidRDefault="001C29EC" w:rsidP="001322B4">
            <w:pPr>
              <w:pStyle w:val="TableText"/>
              <w:widowControl w:val="0"/>
              <w:spacing w:before="0" w:after="0"/>
              <w:rPr>
                <w:sz w:val="24"/>
                <w:szCs w:val="24"/>
              </w:rPr>
            </w:pPr>
            <w:r w:rsidRPr="00B504FE">
              <w:rPr>
                <w:sz w:val="24"/>
                <w:szCs w:val="24"/>
              </w:rPr>
              <w:t>CDC and contractor analyze fourth quarter data from partnership activities form</w:t>
            </w:r>
          </w:p>
        </w:tc>
        <w:tc>
          <w:tcPr>
            <w:tcW w:w="4428" w:type="dxa"/>
            <w:shd w:val="clear" w:color="auto" w:fill="auto"/>
            <w:vAlign w:val="center"/>
          </w:tcPr>
          <w:p w14:paraId="606D61EF" w14:textId="77777777" w:rsidR="001C29EC" w:rsidRPr="00B504FE" w:rsidRDefault="001C29EC" w:rsidP="001322B4">
            <w:pPr>
              <w:pStyle w:val="TableText"/>
              <w:widowControl w:val="0"/>
              <w:spacing w:before="0" w:after="0"/>
              <w:rPr>
                <w:sz w:val="24"/>
                <w:szCs w:val="24"/>
              </w:rPr>
            </w:pPr>
            <w:r w:rsidRPr="00B504FE">
              <w:rPr>
                <w:sz w:val="24"/>
                <w:szCs w:val="24"/>
              </w:rPr>
              <w:t>11 months after OMB approval</w:t>
            </w:r>
          </w:p>
        </w:tc>
      </w:tr>
      <w:tr w:rsidR="00B504FE" w:rsidRPr="00B504FE" w14:paraId="59BE88C5" w14:textId="77777777" w:rsidTr="009B2BE9">
        <w:tc>
          <w:tcPr>
            <w:tcW w:w="5040" w:type="dxa"/>
            <w:shd w:val="clear" w:color="auto" w:fill="auto"/>
            <w:vAlign w:val="center"/>
          </w:tcPr>
          <w:p w14:paraId="0EAD3DF9" w14:textId="77777777" w:rsidR="00164682" w:rsidRPr="00B504FE" w:rsidRDefault="00164682" w:rsidP="001322B4">
            <w:pPr>
              <w:pStyle w:val="TableText"/>
              <w:widowControl w:val="0"/>
              <w:spacing w:before="0" w:after="0"/>
              <w:rPr>
                <w:sz w:val="24"/>
                <w:szCs w:val="24"/>
              </w:rPr>
            </w:pPr>
            <w:r w:rsidRPr="00B504FE">
              <w:rPr>
                <w:sz w:val="24"/>
                <w:szCs w:val="24"/>
              </w:rPr>
              <w:t xml:space="preserve">CDC and contractor analyze aggregate annual data </w:t>
            </w:r>
            <w:r w:rsidR="00D352FC" w:rsidRPr="00B504FE">
              <w:rPr>
                <w:sz w:val="24"/>
                <w:szCs w:val="24"/>
              </w:rPr>
              <w:t xml:space="preserve">(inclusive of </w:t>
            </w:r>
            <w:r w:rsidR="001C29EC" w:rsidRPr="00B504FE">
              <w:rPr>
                <w:sz w:val="24"/>
                <w:szCs w:val="24"/>
              </w:rPr>
              <w:t xml:space="preserve">metrics, partnership activities form, and </w:t>
            </w:r>
            <w:r w:rsidR="00BD7209" w:rsidRPr="00B504FE">
              <w:rPr>
                <w:sz w:val="24"/>
                <w:szCs w:val="24"/>
              </w:rPr>
              <w:t>Interim Progress Repor</w:t>
            </w:r>
            <w:r w:rsidR="00793312" w:rsidRPr="00B504FE">
              <w:rPr>
                <w:sz w:val="24"/>
                <w:szCs w:val="24"/>
              </w:rPr>
              <w:t>ts</w:t>
            </w:r>
            <w:r w:rsidR="00D352FC" w:rsidRPr="00B504FE">
              <w:rPr>
                <w:sz w:val="24"/>
                <w:szCs w:val="24"/>
              </w:rPr>
              <w:t>)</w:t>
            </w:r>
          </w:p>
        </w:tc>
        <w:tc>
          <w:tcPr>
            <w:tcW w:w="4428" w:type="dxa"/>
            <w:shd w:val="clear" w:color="auto" w:fill="auto"/>
            <w:vAlign w:val="center"/>
          </w:tcPr>
          <w:p w14:paraId="272F3986" w14:textId="77777777" w:rsidR="00164682" w:rsidRPr="00B504FE" w:rsidRDefault="00164682" w:rsidP="001322B4">
            <w:pPr>
              <w:pStyle w:val="TableText"/>
              <w:widowControl w:val="0"/>
              <w:spacing w:before="0" w:after="0"/>
              <w:rPr>
                <w:sz w:val="24"/>
                <w:szCs w:val="24"/>
              </w:rPr>
            </w:pPr>
            <w:r w:rsidRPr="00B504FE">
              <w:rPr>
                <w:sz w:val="24"/>
                <w:szCs w:val="24"/>
              </w:rPr>
              <w:t>11 months after OMB approval</w:t>
            </w:r>
          </w:p>
        </w:tc>
      </w:tr>
      <w:tr w:rsidR="00B504FE" w:rsidRPr="00B504FE" w14:paraId="6FD97CCF" w14:textId="77777777" w:rsidTr="009B2BE9">
        <w:tc>
          <w:tcPr>
            <w:tcW w:w="5040" w:type="dxa"/>
            <w:shd w:val="clear" w:color="auto" w:fill="auto"/>
            <w:vAlign w:val="center"/>
          </w:tcPr>
          <w:p w14:paraId="7D91C527" w14:textId="77777777" w:rsidR="00164682" w:rsidRPr="00B504FE" w:rsidRDefault="00164682" w:rsidP="001322B4">
            <w:pPr>
              <w:pStyle w:val="TableText"/>
              <w:widowControl w:val="0"/>
              <w:spacing w:before="0" w:after="0"/>
              <w:rPr>
                <w:sz w:val="24"/>
                <w:szCs w:val="24"/>
              </w:rPr>
            </w:pPr>
            <w:r w:rsidRPr="00B504FE">
              <w:rPr>
                <w:sz w:val="24"/>
                <w:szCs w:val="24"/>
              </w:rPr>
              <w:t>Contractor submits annual report for first program year</w:t>
            </w:r>
          </w:p>
        </w:tc>
        <w:tc>
          <w:tcPr>
            <w:tcW w:w="4428" w:type="dxa"/>
            <w:shd w:val="clear" w:color="auto" w:fill="auto"/>
            <w:vAlign w:val="center"/>
          </w:tcPr>
          <w:p w14:paraId="5C457655" w14:textId="77777777" w:rsidR="00164682" w:rsidRPr="00B504FE" w:rsidRDefault="00164682" w:rsidP="001322B4">
            <w:pPr>
              <w:pStyle w:val="TableText"/>
              <w:widowControl w:val="0"/>
              <w:spacing w:before="0" w:after="0"/>
              <w:rPr>
                <w:sz w:val="24"/>
                <w:szCs w:val="24"/>
              </w:rPr>
            </w:pPr>
            <w:r w:rsidRPr="00B504FE">
              <w:rPr>
                <w:sz w:val="24"/>
                <w:szCs w:val="24"/>
              </w:rPr>
              <w:t>12 months after OMB approval</w:t>
            </w:r>
          </w:p>
        </w:tc>
      </w:tr>
      <w:tr w:rsidR="00B504FE" w:rsidRPr="00B504FE" w14:paraId="207BD8D6" w14:textId="77777777" w:rsidTr="009B2BE9">
        <w:tc>
          <w:tcPr>
            <w:tcW w:w="5040" w:type="dxa"/>
            <w:shd w:val="clear" w:color="auto" w:fill="auto"/>
            <w:vAlign w:val="center"/>
          </w:tcPr>
          <w:p w14:paraId="0595FA8D" w14:textId="77777777" w:rsidR="00164682" w:rsidRPr="00B504FE" w:rsidRDefault="00164682" w:rsidP="001322B4">
            <w:pPr>
              <w:pStyle w:val="TableText"/>
              <w:widowControl w:val="0"/>
              <w:spacing w:before="0" w:after="0"/>
              <w:rPr>
                <w:sz w:val="24"/>
                <w:szCs w:val="24"/>
              </w:rPr>
            </w:pPr>
            <w:r w:rsidRPr="00B504FE">
              <w:rPr>
                <w:sz w:val="24"/>
                <w:szCs w:val="24"/>
              </w:rPr>
              <w:t xml:space="preserve">Contractor submits annual report on </w:t>
            </w:r>
            <w:r w:rsidR="00AD3B17" w:rsidRPr="00B504FE">
              <w:rPr>
                <w:sz w:val="24"/>
                <w:szCs w:val="24"/>
              </w:rPr>
              <w:t xml:space="preserve">partner </w:t>
            </w:r>
            <w:r w:rsidR="001C29EC" w:rsidRPr="00B504FE">
              <w:rPr>
                <w:sz w:val="24"/>
                <w:szCs w:val="24"/>
              </w:rPr>
              <w:t xml:space="preserve">survey </w:t>
            </w:r>
            <w:r w:rsidRPr="00B504FE">
              <w:rPr>
                <w:sz w:val="24"/>
                <w:szCs w:val="24"/>
              </w:rPr>
              <w:t>data</w:t>
            </w:r>
            <w:r w:rsidR="004403B2" w:rsidRPr="00B504FE">
              <w:rPr>
                <w:sz w:val="24"/>
                <w:szCs w:val="24"/>
              </w:rPr>
              <w:t xml:space="preserve"> </w:t>
            </w:r>
          </w:p>
        </w:tc>
        <w:tc>
          <w:tcPr>
            <w:tcW w:w="4428" w:type="dxa"/>
            <w:shd w:val="clear" w:color="auto" w:fill="auto"/>
            <w:vAlign w:val="center"/>
          </w:tcPr>
          <w:p w14:paraId="65B9B5AF" w14:textId="77777777" w:rsidR="00164682" w:rsidRPr="00B504FE" w:rsidRDefault="00164682" w:rsidP="001322B4">
            <w:pPr>
              <w:pStyle w:val="TableText"/>
              <w:widowControl w:val="0"/>
              <w:spacing w:before="0" w:after="0"/>
              <w:rPr>
                <w:sz w:val="24"/>
                <w:szCs w:val="24"/>
              </w:rPr>
            </w:pPr>
            <w:r w:rsidRPr="00B504FE">
              <w:rPr>
                <w:sz w:val="24"/>
                <w:szCs w:val="24"/>
              </w:rPr>
              <w:t>12 months after OMB approval</w:t>
            </w:r>
          </w:p>
        </w:tc>
      </w:tr>
      <w:tr w:rsidR="00B504FE" w:rsidRPr="00B504FE" w14:paraId="047FADA3" w14:textId="77777777" w:rsidTr="009B2BE9">
        <w:tc>
          <w:tcPr>
            <w:tcW w:w="5040" w:type="dxa"/>
            <w:shd w:val="clear" w:color="auto" w:fill="auto"/>
            <w:vAlign w:val="center"/>
          </w:tcPr>
          <w:p w14:paraId="4A3A508D" w14:textId="77777777" w:rsidR="00164682" w:rsidRPr="00B504FE" w:rsidRDefault="00164682" w:rsidP="001322B4">
            <w:pPr>
              <w:pStyle w:val="TableText"/>
              <w:widowControl w:val="0"/>
              <w:spacing w:before="0" w:after="0"/>
              <w:rPr>
                <w:sz w:val="24"/>
                <w:szCs w:val="24"/>
              </w:rPr>
            </w:pPr>
            <w:r w:rsidRPr="00B504FE">
              <w:rPr>
                <w:sz w:val="24"/>
                <w:szCs w:val="24"/>
              </w:rPr>
              <w:t>Contractor conducts one of two rounds of biannual key informant interviews*</w:t>
            </w:r>
          </w:p>
        </w:tc>
        <w:tc>
          <w:tcPr>
            <w:tcW w:w="4428" w:type="dxa"/>
            <w:shd w:val="clear" w:color="auto" w:fill="auto"/>
            <w:vAlign w:val="center"/>
          </w:tcPr>
          <w:p w14:paraId="3A30FDA6" w14:textId="77777777" w:rsidR="00164682" w:rsidRPr="00B504FE" w:rsidRDefault="00164682" w:rsidP="001322B4">
            <w:pPr>
              <w:pStyle w:val="TableText"/>
              <w:widowControl w:val="0"/>
              <w:spacing w:before="0" w:after="0"/>
              <w:rPr>
                <w:sz w:val="24"/>
                <w:szCs w:val="24"/>
              </w:rPr>
            </w:pPr>
            <w:r w:rsidRPr="00B504FE">
              <w:rPr>
                <w:sz w:val="24"/>
                <w:szCs w:val="24"/>
              </w:rPr>
              <w:t>12 months after OMB approval</w:t>
            </w:r>
          </w:p>
        </w:tc>
      </w:tr>
    </w:tbl>
    <w:p w14:paraId="0C0A7C74" w14:textId="77777777" w:rsidR="001322B4" w:rsidRDefault="00164682" w:rsidP="00FD64D1">
      <w:pPr>
        <w:autoSpaceDE/>
        <w:autoSpaceDN/>
        <w:adjustRightInd/>
        <w:rPr>
          <w:bCs/>
          <w:i/>
          <w:szCs w:val="24"/>
        </w:rPr>
      </w:pPr>
      <w:r w:rsidRPr="00B504FE">
        <w:rPr>
          <w:bCs/>
          <w:i/>
          <w:szCs w:val="24"/>
        </w:rPr>
        <w:t>*Analysis and reporting of key informant interview data will occur in month one of year 2 (i.e., 13 months after OMB approval).</w:t>
      </w:r>
    </w:p>
    <w:p w14:paraId="31350202" w14:textId="2969FB22" w:rsidR="005A7D1D" w:rsidRPr="00B504FE" w:rsidRDefault="005A7D1D" w:rsidP="00FD64D1">
      <w:pPr>
        <w:autoSpaceDE/>
        <w:autoSpaceDN/>
        <w:adjustRightInd/>
        <w:rPr>
          <w:bCs/>
          <w:i/>
          <w:szCs w:val="24"/>
        </w:rPr>
      </w:pPr>
    </w:p>
    <w:p w14:paraId="599ADE9E" w14:textId="77777777" w:rsidR="00E949EF" w:rsidRPr="00B504FE" w:rsidRDefault="00E949EF" w:rsidP="00FD64D1">
      <w:pPr>
        <w:pStyle w:val="Heading2"/>
        <w:spacing w:after="0"/>
        <w:rPr>
          <w:szCs w:val="24"/>
        </w:rPr>
      </w:pPr>
      <w:bookmarkStart w:id="70" w:name="_Toc143058451"/>
      <w:bookmarkStart w:id="71" w:name="_Toc146088450"/>
      <w:bookmarkStart w:id="72" w:name="_Toc231290979"/>
      <w:bookmarkEnd w:id="66"/>
      <w:bookmarkEnd w:id="67"/>
      <w:bookmarkEnd w:id="68"/>
      <w:r w:rsidRPr="00B504FE">
        <w:rPr>
          <w:szCs w:val="24"/>
        </w:rPr>
        <w:t>17.</w:t>
      </w:r>
      <w:r w:rsidRPr="00B504FE">
        <w:rPr>
          <w:szCs w:val="24"/>
        </w:rPr>
        <w:tab/>
        <w:t>Reason(s) Display of OMB Expiration Date is Inappropriate</w:t>
      </w:r>
      <w:bookmarkEnd w:id="70"/>
      <w:bookmarkEnd w:id="71"/>
      <w:bookmarkEnd w:id="72"/>
    </w:p>
    <w:p w14:paraId="255B2FB6" w14:textId="77777777" w:rsidR="005927BE" w:rsidRDefault="006B4376" w:rsidP="00FD64D1">
      <w:pPr>
        <w:pStyle w:val="BodyText2"/>
        <w:spacing w:after="0" w:line="240" w:lineRule="auto"/>
        <w:rPr>
          <w:sz w:val="24"/>
          <w:szCs w:val="24"/>
        </w:rPr>
      </w:pPr>
      <w:bookmarkStart w:id="73" w:name="_Toc143058452"/>
      <w:bookmarkStart w:id="74" w:name="_Toc146088451"/>
      <w:bookmarkStart w:id="75" w:name="_Toc231290980"/>
      <w:r w:rsidRPr="00B504FE">
        <w:rPr>
          <w:sz w:val="24"/>
          <w:szCs w:val="24"/>
        </w:rPr>
        <w:t>We do not seek approval to eliminate the expiration date.</w:t>
      </w:r>
    </w:p>
    <w:p w14:paraId="22171AA6" w14:textId="77777777" w:rsidR="001322B4" w:rsidRPr="00B504FE" w:rsidRDefault="001322B4" w:rsidP="00FD64D1">
      <w:pPr>
        <w:pStyle w:val="BodyText2"/>
        <w:spacing w:after="0" w:line="240" w:lineRule="auto"/>
        <w:ind w:firstLine="0"/>
        <w:rPr>
          <w:sz w:val="24"/>
          <w:szCs w:val="24"/>
        </w:rPr>
      </w:pPr>
    </w:p>
    <w:p w14:paraId="36422A91" w14:textId="77777777" w:rsidR="00E949EF" w:rsidRPr="00B504FE" w:rsidRDefault="00E949EF" w:rsidP="00FD64D1">
      <w:pPr>
        <w:pStyle w:val="Heading2"/>
        <w:spacing w:after="0"/>
        <w:rPr>
          <w:szCs w:val="24"/>
        </w:rPr>
      </w:pPr>
      <w:r w:rsidRPr="00B504FE">
        <w:rPr>
          <w:szCs w:val="24"/>
        </w:rPr>
        <w:t>18.</w:t>
      </w:r>
      <w:r w:rsidRPr="00B504FE">
        <w:rPr>
          <w:szCs w:val="24"/>
        </w:rPr>
        <w:tab/>
        <w:t>Exceptions to Certification for Paperwork Reduction Act Submissions</w:t>
      </w:r>
      <w:bookmarkEnd w:id="73"/>
      <w:bookmarkEnd w:id="74"/>
      <w:bookmarkEnd w:id="75"/>
      <w:r w:rsidRPr="00B504FE">
        <w:rPr>
          <w:szCs w:val="24"/>
        </w:rPr>
        <w:t xml:space="preserve"> </w:t>
      </w:r>
    </w:p>
    <w:p w14:paraId="2367C12A" w14:textId="77777777" w:rsidR="00E949EF" w:rsidRPr="00B504FE" w:rsidRDefault="00E949EF" w:rsidP="00FD64D1">
      <w:pPr>
        <w:pStyle w:val="BodyText1"/>
        <w:spacing w:after="0" w:line="240" w:lineRule="auto"/>
        <w:rPr>
          <w:szCs w:val="24"/>
        </w:rPr>
      </w:pPr>
      <w:r w:rsidRPr="00B504FE">
        <w:rPr>
          <w:szCs w:val="24"/>
        </w:rPr>
        <w:t>There are no exceptions to the certification statement.</w:t>
      </w:r>
    </w:p>
    <w:p w14:paraId="5E6A1C7B" w14:textId="77777777" w:rsidR="007E2AB9" w:rsidRDefault="00B96068" w:rsidP="00FD64D1">
      <w:pPr>
        <w:rPr>
          <w:b/>
          <w:szCs w:val="24"/>
        </w:rPr>
      </w:pPr>
      <w:r w:rsidRPr="00B504FE">
        <w:rPr>
          <w:szCs w:val="24"/>
        </w:rPr>
        <w:br w:type="page"/>
      </w:r>
      <w:r w:rsidRPr="00B504FE">
        <w:rPr>
          <w:b/>
          <w:szCs w:val="24"/>
        </w:rPr>
        <w:t>References</w:t>
      </w:r>
    </w:p>
    <w:p w14:paraId="331CD16E" w14:textId="77777777" w:rsidR="00AB2CAA" w:rsidRPr="00B504FE" w:rsidRDefault="00AB2CAA" w:rsidP="00FD64D1">
      <w:pPr>
        <w:rPr>
          <w:b/>
          <w:szCs w:val="24"/>
        </w:rPr>
      </w:pPr>
    </w:p>
    <w:p w14:paraId="27D38BAD" w14:textId="77777777" w:rsidR="007B0777" w:rsidRDefault="007B0777" w:rsidP="00C425CC">
      <w:pPr>
        <w:ind w:left="720" w:hanging="720"/>
        <w:rPr>
          <w:szCs w:val="24"/>
        </w:rPr>
      </w:pPr>
      <w:r w:rsidRPr="00B504FE">
        <w:rPr>
          <w:szCs w:val="24"/>
        </w:rPr>
        <w:t>Bradley, H., Hall, H. I., Wolitski, R. J., Van Handel, M. M., Stone, A. E., LaFlam, M., et al. (2014). Vital Signs: HIV Diagnosis, Care, and Treatment Among Persons Living with HIV — United States, 2011. Morbidity and Mortality Weekly Report (MMWR), 63(47); 1113-1117.</w:t>
      </w:r>
    </w:p>
    <w:p w14:paraId="45422D8E" w14:textId="77777777" w:rsidR="00AB2CAA" w:rsidRDefault="00AB2CAA" w:rsidP="00C425CC">
      <w:pPr>
        <w:ind w:left="720" w:hanging="720"/>
        <w:rPr>
          <w:szCs w:val="24"/>
        </w:rPr>
      </w:pPr>
    </w:p>
    <w:p w14:paraId="19DC020B" w14:textId="77777777" w:rsidR="007B0777" w:rsidRPr="00B504FE" w:rsidRDefault="007B0777" w:rsidP="00C425CC">
      <w:pPr>
        <w:ind w:left="720" w:hanging="720"/>
        <w:rPr>
          <w:szCs w:val="24"/>
        </w:rPr>
      </w:pPr>
      <w:r w:rsidRPr="00B504FE">
        <w:rPr>
          <w:szCs w:val="24"/>
        </w:rPr>
        <w:t>Siddiqi, A., Hu, X., &amp; Hall, H. I.  (2015). Mortality Among Blacks or African Americans with HIV Infection — United States, 2008–2012 Morbidity and Mortality Weekly Report (MMWR), 64(04);81-86</w:t>
      </w:r>
    </w:p>
    <w:p w14:paraId="28471951" w14:textId="4EE547C2" w:rsidR="00812890" w:rsidRPr="00B504FE" w:rsidRDefault="00812890" w:rsidP="00C425CC">
      <w:pPr>
        <w:rPr>
          <w:szCs w:val="24"/>
        </w:rPr>
      </w:pPr>
    </w:p>
    <w:sectPr w:rsidR="00812890" w:rsidRPr="00B504FE" w:rsidSect="00A86022">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B6F81" w14:textId="77777777" w:rsidR="009F2C62" w:rsidRDefault="009F2C62">
      <w:r>
        <w:separator/>
      </w:r>
    </w:p>
  </w:endnote>
  <w:endnote w:type="continuationSeparator" w:id="0">
    <w:p w14:paraId="4946609E" w14:textId="77777777" w:rsidR="009F2C62" w:rsidRDefault="009F2C62">
      <w:r>
        <w:continuationSeparator/>
      </w:r>
    </w:p>
  </w:endnote>
  <w:endnote w:type="continuationNotice" w:id="1">
    <w:p w14:paraId="01D0F1F7" w14:textId="77777777" w:rsidR="009F2C62" w:rsidRDefault="009F2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CC141" w14:textId="77777777" w:rsidR="00EB7F2D" w:rsidRPr="00C95E8F" w:rsidRDefault="00EB7F2D" w:rsidP="00A64B7D">
    <w:pPr>
      <w:tabs>
        <w:tab w:val="right" w:pos="8640"/>
      </w:tabs>
      <w:jc w:val="cente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0B1E1E">
      <w:rPr>
        <w:rStyle w:val="PageNumber"/>
        <w:noProof/>
        <w:color w:val="000000"/>
      </w:rPr>
      <w:t>1</w:t>
    </w:r>
    <w:r>
      <w:rPr>
        <w:rStyle w:val="PageNumbe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67880" w14:textId="77777777" w:rsidR="009F2C62" w:rsidRDefault="009F2C62">
      <w:r>
        <w:separator/>
      </w:r>
    </w:p>
  </w:footnote>
  <w:footnote w:type="continuationSeparator" w:id="0">
    <w:p w14:paraId="1A10A222" w14:textId="77777777" w:rsidR="009F2C62" w:rsidRDefault="009F2C62">
      <w:r>
        <w:continuationSeparator/>
      </w:r>
    </w:p>
  </w:footnote>
  <w:footnote w:type="continuationNotice" w:id="1">
    <w:p w14:paraId="3559BA8E" w14:textId="77777777" w:rsidR="009F2C62" w:rsidRDefault="009F2C62"/>
  </w:footnote>
  <w:footnote w:id="2">
    <w:p w14:paraId="6C1A81A6" w14:textId="77777777" w:rsidR="00EB7F2D" w:rsidRPr="00FC5975" w:rsidRDefault="00EB7F2D">
      <w:pPr>
        <w:pStyle w:val="FootnoteText"/>
        <w:rPr>
          <w:sz w:val="20"/>
        </w:rPr>
      </w:pPr>
      <w:r w:rsidRPr="00FC5975">
        <w:rPr>
          <w:rStyle w:val="FootnoteReference"/>
          <w:sz w:val="20"/>
        </w:rPr>
        <w:footnoteRef/>
      </w:r>
      <w:r w:rsidRPr="00FC5975">
        <w:rPr>
          <w:sz w:val="20"/>
        </w:rPr>
        <w:t xml:space="preserve"> “Partners” refers collectively to CDC contractors, grantees, and collaborators.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3476580"/>
    <w:multiLevelType w:val="hybridMultilevel"/>
    <w:tmpl w:val="50EE477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7D770FE"/>
    <w:multiLevelType w:val="multilevel"/>
    <w:tmpl w:val="04E2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E6BA9"/>
    <w:multiLevelType w:val="hybridMultilevel"/>
    <w:tmpl w:val="826A7CC6"/>
    <w:lvl w:ilvl="0" w:tplc="57B65A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F62EEA"/>
    <w:multiLevelType w:val="hybridMultilevel"/>
    <w:tmpl w:val="8B22249A"/>
    <w:lvl w:ilvl="0" w:tplc="14DA608C">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F24B6"/>
    <w:multiLevelType w:val="hybridMultilevel"/>
    <w:tmpl w:val="4898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E007E"/>
    <w:multiLevelType w:val="hybridMultilevel"/>
    <w:tmpl w:val="9B1ABABA"/>
    <w:lvl w:ilvl="0" w:tplc="D55CE5B4">
      <w:start w:val="3"/>
      <w:numFmt w:val="decimal"/>
      <w:lvlText w:val="%1."/>
      <w:lvlJc w:val="left"/>
      <w:pPr>
        <w:tabs>
          <w:tab w:val="num" w:pos="900"/>
        </w:tabs>
        <w:ind w:left="900" w:hanging="63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146C3534"/>
    <w:multiLevelType w:val="hybridMultilevel"/>
    <w:tmpl w:val="749AA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77434"/>
    <w:multiLevelType w:val="multilevel"/>
    <w:tmpl w:val="6EB21B2C"/>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1A032966"/>
    <w:multiLevelType w:val="hybridMultilevel"/>
    <w:tmpl w:val="F66C24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312BF"/>
    <w:multiLevelType w:val="hybridMultilevel"/>
    <w:tmpl w:val="96CA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21205"/>
    <w:multiLevelType w:val="hybridMultilevel"/>
    <w:tmpl w:val="67B88A56"/>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DD74FDC"/>
    <w:multiLevelType w:val="hybridMultilevel"/>
    <w:tmpl w:val="9B4E750E"/>
    <w:lvl w:ilvl="0" w:tplc="3C060784">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AF3879"/>
    <w:multiLevelType w:val="hybridMultilevel"/>
    <w:tmpl w:val="100E3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F865834"/>
    <w:multiLevelType w:val="hybridMultilevel"/>
    <w:tmpl w:val="27A4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F20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904E8C"/>
    <w:multiLevelType w:val="hybridMultilevel"/>
    <w:tmpl w:val="D974E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10E34"/>
    <w:multiLevelType w:val="hybridMultilevel"/>
    <w:tmpl w:val="5A362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2E3DB0"/>
    <w:multiLevelType w:val="hybridMultilevel"/>
    <w:tmpl w:val="10143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303AD"/>
    <w:multiLevelType w:val="hybridMultilevel"/>
    <w:tmpl w:val="CD8E6858"/>
    <w:lvl w:ilvl="0" w:tplc="CD26C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C4812"/>
    <w:multiLevelType w:val="hybridMultilevel"/>
    <w:tmpl w:val="7F36ABC2"/>
    <w:lvl w:ilvl="0" w:tplc="398E8A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83424"/>
    <w:multiLevelType w:val="hybridMultilevel"/>
    <w:tmpl w:val="0B90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968BF"/>
    <w:multiLevelType w:val="hybridMultilevel"/>
    <w:tmpl w:val="696CE9B8"/>
    <w:lvl w:ilvl="0" w:tplc="DE5E4738">
      <w:start w:val="1"/>
      <w:numFmt w:val="bullet"/>
      <w:lvlText w:val=""/>
      <w:lvlJc w:val="left"/>
      <w:pPr>
        <w:tabs>
          <w:tab w:val="num" w:pos="360"/>
        </w:tabs>
        <w:ind w:left="360" w:hanging="360"/>
      </w:pPr>
      <w:rPr>
        <w:rFonts w:ascii="Wingdings" w:hAnsi="Wingdings" w:hint="default"/>
      </w:rPr>
    </w:lvl>
    <w:lvl w:ilvl="1" w:tplc="DE5E4738">
      <w:start w:val="1"/>
      <w:numFmt w:val="bullet"/>
      <w:lvlText w:val=""/>
      <w:lvlJc w:val="left"/>
      <w:pPr>
        <w:tabs>
          <w:tab w:val="num" w:pos="360"/>
        </w:tabs>
        <w:ind w:left="360" w:hanging="360"/>
      </w:pPr>
      <w:rPr>
        <w:rFonts w:ascii="Wingdings" w:hAnsi="Wingdings" w:hint="default"/>
      </w:rPr>
    </w:lvl>
    <w:lvl w:ilvl="2" w:tplc="DE5E4738">
      <w:start w:val="1"/>
      <w:numFmt w:val="bullet"/>
      <w:lvlText w:val=""/>
      <w:lvlJc w:val="left"/>
      <w:pPr>
        <w:tabs>
          <w:tab w:val="num" w:pos="360"/>
        </w:tabs>
        <w:ind w:left="360" w:hanging="360"/>
      </w:pPr>
      <w:rPr>
        <w:rFonts w:ascii="Wingdings" w:hAnsi="Wingdings" w:hint="default"/>
      </w:rPr>
    </w:lvl>
    <w:lvl w:ilvl="3" w:tplc="DE5E4738">
      <w:start w:val="1"/>
      <w:numFmt w:val="bullet"/>
      <w:lvlText w:val=""/>
      <w:lvlJc w:val="left"/>
      <w:pPr>
        <w:tabs>
          <w:tab w:val="num" w:pos="360"/>
        </w:tabs>
        <w:ind w:left="360" w:hanging="360"/>
      </w:pPr>
      <w:rPr>
        <w:rFonts w:ascii="Wingdings" w:hAnsi="Wingdings" w:hint="default"/>
      </w:rPr>
    </w:lvl>
    <w:lvl w:ilvl="4" w:tplc="DE5E4738">
      <w:start w:val="1"/>
      <w:numFmt w:val="bullet"/>
      <w:lvlText w:val=""/>
      <w:lvlJc w:val="left"/>
      <w:pPr>
        <w:tabs>
          <w:tab w:val="num" w:pos="360"/>
        </w:tabs>
        <w:ind w:left="36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710AF9"/>
    <w:multiLevelType w:val="multilevel"/>
    <w:tmpl w:val="60DEB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24" w15:restartNumberingAfterBreak="0">
    <w:nsid w:val="598E54F8"/>
    <w:multiLevelType w:val="hybridMultilevel"/>
    <w:tmpl w:val="B588A0D6"/>
    <w:lvl w:ilvl="0" w:tplc="514EA40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5" w15:restartNumberingAfterBreak="0">
    <w:nsid w:val="5A1760CE"/>
    <w:multiLevelType w:val="hybridMultilevel"/>
    <w:tmpl w:val="0C78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12FEC"/>
    <w:multiLevelType w:val="hybridMultilevel"/>
    <w:tmpl w:val="3748323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DC80505"/>
    <w:multiLevelType w:val="hybridMultilevel"/>
    <w:tmpl w:val="6094AB50"/>
    <w:lvl w:ilvl="0" w:tplc="AFE6B1D2">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A290A"/>
    <w:multiLevelType w:val="hybridMultilevel"/>
    <w:tmpl w:val="A4A83EF4"/>
    <w:lvl w:ilvl="0" w:tplc="9AC274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A00E6"/>
    <w:multiLevelType w:val="hybridMultilevel"/>
    <w:tmpl w:val="A18864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F977BC"/>
    <w:multiLevelType w:val="hybridMultilevel"/>
    <w:tmpl w:val="67D0F798"/>
    <w:lvl w:ilvl="0" w:tplc="EDB4933C">
      <w:start w:val="1"/>
      <w:numFmt w:val="bullet"/>
      <w:lvlText w:val=""/>
      <w:lvlJc w:val="left"/>
      <w:pPr>
        <w:tabs>
          <w:tab w:val="num" w:pos="2520"/>
        </w:tabs>
        <w:ind w:left="2520" w:hanging="360"/>
      </w:pPr>
      <w:rPr>
        <w:rFonts w:ascii="Symbol" w:hAnsi="Symbol" w:cs="Times New Roman" w:hint="default"/>
        <w:sz w:val="24"/>
        <w:szCs w:val="20"/>
      </w:rPr>
    </w:lvl>
    <w:lvl w:ilvl="1" w:tplc="04090001">
      <w:start w:val="1"/>
      <w:numFmt w:val="bullet"/>
      <w:lvlText w:val=""/>
      <w:lvlJc w:val="left"/>
      <w:pPr>
        <w:tabs>
          <w:tab w:val="num" w:pos="1080"/>
        </w:tabs>
        <w:ind w:left="1080" w:hanging="360"/>
      </w:pPr>
      <w:rPr>
        <w:rFonts w:ascii="Symbol" w:hAnsi="Symbol" w:hint="default"/>
        <w:sz w:val="24"/>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39D2827"/>
    <w:multiLevelType w:val="hybridMultilevel"/>
    <w:tmpl w:val="0F3A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44FB9"/>
    <w:multiLevelType w:val="hybridMultilevel"/>
    <w:tmpl w:val="15D4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C5D16"/>
    <w:multiLevelType w:val="multilevel"/>
    <w:tmpl w:val="D09474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5D2B36"/>
    <w:multiLevelType w:val="hybridMultilevel"/>
    <w:tmpl w:val="F068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67F90"/>
    <w:multiLevelType w:val="multilevel"/>
    <w:tmpl w:val="2646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3923EC"/>
    <w:multiLevelType w:val="hybridMultilevel"/>
    <w:tmpl w:val="03263576"/>
    <w:lvl w:ilvl="0" w:tplc="D03AF8D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170BE"/>
    <w:multiLevelType w:val="hybridMultilevel"/>
    <w:tmpl w:val="EF62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2"/>
  </w:num>
  <w:num w:numId="8">
    <w:abstractNumId w:val="10"/>
  </w:num>
  <w:num w:numId="9">
    <w:abstractNumId w:val="21"/>
  </w:num>
  <w:num w:numId="10">
    <w:abstractNumId w:val="24"/>
  </w:num>
  <w:num w:numId="11">
    <w:abstractNumId w:val="29"/>
  </w:num>
  <w:num w:numId="12">
    <w:abstractNumId w:val="0"/>
  </w:num>
  <w:num w:numId="13">
    <w:abstractNumId w:val="31"/>
  </w:num>
  <w:num w:numId="14">
    <w:abstractNumId w:val="30"/>
  </w:num>
  <w:num w:numId="15">
    <w:abstractNumId w:val="11"/>
  </w:num>
  <w:num w:numId="16">
    <w:abstractNumId w:val="27"/>
  </w:num>
  <w:num w:numId="17">
    <w:abstractNumId w:val="4"/>
  </w:num>
  <w:num w:numId="18">
    <w:abstractNumId w:val="35"/>
  </w:num>
  <w:num w:numId="19">
    <w:abstractNumId w:val="20"/>
  </w:num>
  <w:num w:numId="20">
    <w:abstractNumId w:val="37"/>
  </w:num>
  <w:num w:numId="21">
    <w:abstractNumId w:val="7"/>
  </w:num>
  <w:num w:numId="22">
    <w:abstractNumId w:val="14"/>
  </w:num>
  <w:num w:numId="23">
    <w:abstractNumId w:val="33"/>
  </w:num>
  <w:num w:numId="24">
    <w:abstractNumId w:val="17"/>
  </w:num>
  <w:num w:numId="25">
    <w:abstractNumId w:val="26"/>
  </w:num>
  <w:num w:numId="26">
    <w:abstractNumId w:val="18"/>
  </w:num>
  <w:num w:numId="27">
    <w:abstractNumId w:val="36"/>
  </w:num>
  <w:num w:numId="28">
    <w:abstractNumId w:val="34"/>
  </w:num>
  <w:num w:numId="29">
    <w:abstractNumId w:val="13"/>
  </w:num>
  <w:num w:numId="30">
    <w:abstractNumId w:val="32"/>
  </w:num>
  <w:num w:numId="31">
    <w:abstractNumId w:val="2"/>
  </w:num>
  <w:num w:numId="32">
    <w:abstractNumId w:val="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5"/>
  </w:num>
  <w:num w:numId="36">
    <w:abstractNumId w:val="19"/>
  </w:num>
  <w:num w:numId="37">
    <w:abstractNumId w:val="28"/>
  </w:num>
  <w:num w:numId="38">
    <w:abstractNumId w:val="12"/>
  </w:num>
  <w:num w:numId="39">
    <w:abstractNumId w:val="12"/>
  </w:num>
  <w:num w:numId="40">
    <w:abstractNumId w:val="8"/>
  </w:num>
  <w:num w:numId="41">
    <w:abstractNumId w:val="9"/>
  </w:num>
  <w:num w:numId="4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EF"/>
    <w:rsid w:val="00001B16"/>
    <w:rsid w:val="00003F01"/>
    <w:rsid w:val="00012D58"/>
    <w:rsid w:val="00013D76"/>
    <w:rsid w:val="0001412E"/>
    <w:rsid w:val="000202B3"/>
    <w:rsid w:val="00025623"/>
    <w:rsid w:val="000302DB"/>
    <w:rsid w:val="000307B5"/>
    <w:rsid w:val="000335A9"/>
    <w:rsid w:val="00034FE9"/>
    <w:rsid w:val="00035A95"/>
    <w:rsid w:val="0004051C"/>
    <w:rsid w:val="00040BDF"/>
    <w:rsid w:val="00042539"/>
    <w:rsid w:val="00042753"/>
    <w:rsid w:val="00043A69"/>
    <w:rsid w:val="00051AA8"/>
    <w:rsid w:val="00053B69"/>
    <w:rsid w:val="00055D5B"/>
    <w:rsid w:val="00057B39"/>
    <w:rsid w:val="00061FD8"/>
    <w:rsid w:val="00065FA4"/>
    <w:rsid w:val="00066C90"/>
    <w:rsid w:val="0007220D"/>
    <w:rsid w:val="00075EE0"/>
    <w:rsid w:val="00075F2D"/>
    <w:rsid w:val="0007771F"/>
    <w:rsid w:val="0008060B"/>
    <w:rsid w:val="00080DAA"/>
    <w:rsid w:val="000819CF"/>
    <w:rsid w:val="00081B01"/>
    <w:rsid w:val="000858AF"/>
    <w:rsid w:val="00085D16"/>
    <w:rsid w:val="00090A0B"/>
    <w:rsid w:val="0009108E"/>
    <w:rsid w:val="0009145C"/>
    <w:rsid w:val="000915B1"/>
    <w:rsid w:val="000938AB"/>
    <w:rsid w:val="00095E6C"/>
    <w:rsid w:val="000B1E1E"/>
    <w:rsid w:val="000B2E69"/>
    <w:rsid w:val="000B39B5"/>
    <w:rsid w:val="000C04F9"/>
    <w:rsid w:val="000C2E1E"/>
    <w:rsid w:val="000C44E7"/>
    <w:rsid w:val="000C44E9"/>
    <w:rsid w:val="000C4E89"/>
    <w:rsid w:val="000D0EE0"/>
    <w:rsid w:val="000D24BC"/>
    <w:rsid w:val="000D2BDB"/>
    <w:rsid w:val="000D335A"/>
    <w:rsid w:val="000D6341"/>
    <w:rsid w:val="000D68AB"/>
    <w:rsid w:val="000D739C"/>
    <w:rsid w:val="000E081E"/>
    <w:rsid w:val="000E1206"/>
    <w:rsid w:val="000E12E0"/>
    <w:rsid w:val="000E13D2"/>
    <w:rsid w:val="000E17DF"/>
    <w:rsid w:val="000E1ED3"/>
    <w:rsid w:val="000E42F6"/>
    <w:rsid w:val="000E4F5E"/>
    <w:rsid w:val="000E7A92"/>
    <w:rsid w:val="000F03B3"/>
    <w:rsid w:val="000F1EE2"/>
    <w:rsid w:val="000F5C6B"/>
    <w:rsid w:val="000F6C5D"/>
    <w:rsid w:val="00103819"/>
    <w:rsid w:val="001111F2"/>
    <w:rsid w:val="0011164D"/>
    <w:rsid w:val="00111769"/>
    <w:rsid w:val="001128A8"/>
    <w:rsid w:val="00114E58"/>
    <w:rsid w:val="00115ACF"/>
    <w:rsid w:val="0011730E"/>
    <w:rsid w:val="00120C4F"/>
    <w:rsid w:val="00120FF5"/>
    <w:rsid w:val="00121931"/>
    <w:rsid w:val="00121CA4"/>
    <w:rsid w:val="00124C77"/>
    <w:rsid w:val="00125A76"/>
    <w:rsid w:val="00130D7B"/>
    <w:rsid w:val="001322B4"/>
    <w:rsid w:val="00134335"/>
    <w:rsid w:val="00134728"/>
    <w:rsid w:val="00137D9E"/>
    <w:rsid w:val="0014205A"/>
    <w:rsid w:val="0014250E"/>
    <w:rsid w:val="0014564D"/>
    <w:rsid w:val="00146A12"/>
    <w:rsid w:val="00150D42"/>
    <w:rsid w:val="001510E4"/>
    <w:rsid w:val="00152544"/>
    <w:rsid w:val="001526FA"/>
    <w:rsid w:val="001527C3"/>
    <w:rsid w:val="00153F74"/>
    <w:rsid w:val="001577A3"/>
    <w:rsid w:val="00157BB8"/>
    <w:rsid w:val="0016200D"/>
    <w:rsid w:val="001635D5"/>
    <w:rsid w:val="00164682"/>
    <w:rsid w:val="00166346"/>
    <w:rsid w:val="00166798"/>
    <w:rsid w:val="0016705D"/>
    <w:rsid w:val="00167925"/>
    <w:rsid w:val="00167AE5"/>
    <w:rsid w:val="001712EB"/>
    <w:rsid w:val="0017273A"/>
    <w:rsid w:val="001727BF"/>
    <w:rsid w:val="001733D6"/>
    <w:rsid w:val="00173F59"/>
    <w:rsid w:val="001751CC"/>
    <w:rsid w:val="001756A0"/>
    <w:rsid w:val="001815C4"/>
    <w:rsid w:val="00183DF6"/>
    <w:rsid w:val="001859B8"/>
    <w:rsid w:val="00186085"/>
    <w:rsid w:val="00186515"/>
    <w:rsid w:val="0018715A"/>
    <w:rsid w:val="00190323"/>
    <w:rsid w:val="00190E5C"/>
    <w:rsid w:val="001917C7"/>
    <w:rsid w:val="00191D50"/>
    <w:rsid w:val="00193D79"/>
    <w:rsid w:val="00194259"/>
    <w:rsid w:val="001A09C0"/>
    <w:rsid w:val="001A1849"/>
    <w:rsid w:val="001A1863"/>
    <w:rsid w:val="001A2E8A"/>
    <w:rsid w:val="001A66C1"/>
    <w:rsid w:val="001A6763"/>
    <w:rsid w:val="001B3064"/>
    <w:rsid w:val="001B5E91"/>
    <w:rsid w:val="001B6A95"/>
    <w:rsid w:val="001B7045"/>
    <w:rsid w:val="001B7A18"/>
    <w:rsid w:val="001C1E15"/>
    <w:rsid w:val="001C1FB6"/>
    <w:rsid w:val="001C28B0"/>
    <w:rsid w:val="001C29EC"/>
    <w:rsid w:val="001C6FCC"/>
    <w:rsid w:val="001D0DEE"/>
    <w:rsid w:val="001D1FD7"/>
    <w:rsid w:val="001D362C"/>
    <w:rsid w:val="001D3E4D"/>
    <w:rsid w:val="001D4525"/>
    <w:rsid w:val="001D5D1C"/>
    <w:rsid w:val="001E0A2D"/>
    <w:rsid w:val="001E3478"/>
    <w:rsid w:val="001E3607"/>
    <w:rsid w:val="001E389B"/>
    <w:rsid w:val="001F0351"/>
    <w:rsid w:val="001F2DC0"/>
    <w:rsid w:val="001F6CA0"/>
    <w:rsid w:val="001F6CB3"/>
    <w:rsid w:val="00200AAC"/>
    <w:rsid w:val="00201A86"/>
    <w:rsid w:val="002042C3"/>
    <w:rsid w:val="002052EB"/>
    <w:rsid w:val="00207DDE"/>
    <w:rsid w:val="00210204"/>
    <w:rsid w:val="0021059B"/>
    <w:rsid w:val="00213C52"/>
    <w:rsid w:val="002179E5"/>
    <w:rsid w:val="002206D2"/>
    <w:rsid w:val="00220D35"/>
    <w:rsid w:val="00221C06"/>
    <w:rsid w:val="00222784"/>
    <w:rsid w:val="002237C0"/>
    <w:rsid w:val="00223F70"/>
    <w:rsid w:val="00224934"/>
    <w:rsid w:val="00232EA6"/>
    <w:rsid w:val="00233EEE"/>
    <w:rsid w:val="00234006"/>
    <w:rsid w:val="00234F6F"/>
    <w:rsid w:val="00236271"/>
    <w:rsid w:val="00236CD6"/>
    <w:rsid w:val="00237544"/>
    <w:rsid w:val="00237AA5"/>
    <w:rsid w:val="002454FF"/>
    <w:rsid w:val="00253964"/>
    <w:rsid w:val="002554B9"/>
    <w:rsid w:val="0025628D"/>
    <w:rsid w:val="002564C4"/>
    <w:rsid w:val="00257D0E"/>
    <w:rsid w:val="00260F95"/>
    <w:rsid w:val="00263465"/>
    <w:rsid w:val="0026456F"/>
    <w:rsid w:val="00264928"/>
    <w:rsid w:val="002651B5"/>
    <w:rsid w:val="00270A78"/>
    <w:rsid w:val="00270B71"/>
    <w:rsid w:val="00273565"/>
    <w:rsid w:val="00275471"/>
    <w:rsid w:val="00280F22"/>
    <w:rsid w:val="00291EEB"/>
    <w:rsid w:val="00294639"/>
    <w:rsid w:val="002A0782"/>
    <w:rsid w:val="002A15FD"/>
    <w:rsid w:val="002A3BF4"/>
    <w:rsid w:val="002A5483"/>
    <w:rsid w:val="002A7096"/>
    <w:rsid w:val="002B31F2"/>
    <w:rsid w:val="002B3F0E"/>
    <w:rsid w:val="002C36C6"/>
    <w:rsid w:val="002C5EF3"/>
    <w:rsid w:val="002C6B1F"/>
    <w:rsid w:val="002D0205"/>
    <w:rsid w:val="002D039F"/>
    <w:rsid w:val="002D15D2"/>
    <w:rsid w:val="002D172F"/>
    <w:rsid w:val="002D1865"/>
    <w:rsid w:val="002D2549"/>
    <w:rsid w:val="002D71DD"/>
    <w:rsid w:val="002E0DFF"/>
    <w:rsid w:val="002E1BA1"/>
    <w:rsid w:val="002E219F"/>
    <w:rsid w:val="002E309E"/>
    <w:rsid w:val="002E320D"/>
    <w:rsid w:val="002E3330"/>
    <w:rsid w:val="002E61EC"/>
    <w:rsid w:val="002E7E9E"/>
    <w:rsid w:val="002F0B1B"/>
    <w:rsid w:val="002F0C46"/>
    <w:rsid w:val="002F2667"/>
    <w:rsid w:val="002F500B"/>
    <w:rsid w:val="002F51DF"/>
    <w:rsid w:val="002F63B9"/>
    <w:rsid w:val="00303D3A"/>
    <w:rsid w:val="0030599F"/>
    <w:rsid w:val="00310E07"/>
    <w:rsid w:val="00312CB8"/>
    <w:rsid w:val="00313681"/>
    <w:rsid w:val="003167DD"/>
    <w:rsid w:val="00320A22"/>
    <w:rsid w:val="00321869"/>
    <w:rsid w:val="00323CB1"/>
    <w:rsid w:val="00327BF6"/>
    <w:rsid w:val="00332318"/>
    <w:rsid w:val="00332813"/>
    <w:rsid w:val="00332984"/>
    <w:rsid w:val="003413E9"/>
    <w:rsid w:val="0034246D"/>
    <w:rsid w:val="00343092"/>
    <w:rsid w:val="00343605"/>
    <w:rsid w:val="0034392D"/>
    <w:rsid w:val="00351BBB"/>
    <w:rsid w:val="00351FB3"/>
    <w:rsid w:val="00360838"/>
    <w:rsid w:val="00364EA6"/>
    <w:rsid w:val="003673FB"/>
    <w:rsid w:val="0037625E"/>
    <w:rsid w:val="00380F4F"/>
    <w:rsid w:val="00386271"/>
    <w:rsid w:val="003902F7"/>
    <w:rsid w:val="00390540"/>
    <w:rsid w:val="0039169C"/>
    <w:rsid w:val="003955CF"/>
    <w:rsid w:val="003966B9"/>
    <w:rsid w:val="003A0D2D"/>
    <w:rsid w:val="003A21EA"/>
    <w:rsid w:val="003A525C"/>
    <w:rsid w:val="003A53FB"/>
    <w:rsid w:val="003A5653"/>
    <w:rsid w:val="003A5CCE"/>
    <w:rsid w:val="003A6D36"/>
    <w:rsid w:val="003A7D9B"/>
    <w:rsid w:val="003B2035"/>
    <w:rsid w:val="003B40B3"/>
    <w:rsid w:val="003B5D12"/>
    <w:rsid w:val="003B67B2"/>
    <w:rsid w:val="003C04FA"/>
    <w:rsid w:val="003C087B"/>
    <w:rsid w:val="003C19FD"/>
    <w:rsid w:val="003C2ABB"/>
    <w:rsid w:val="003C5705"/>
    <w:rsid w:val="003C7990"/>
    <w:rsid w:val="003D0E18"/>
    <w:rsid w:val="003D10F4"/>
    <w:rsid w:val="003D4780"/>
    <w:rsid w:val="003E0417"/>
    <w:rsid w:val="003E0422"/>
    <w:rsid w:val="003E0CFD"/>
    <w:rsid w:val="003E1360"/>
    <w:rsid w:val="003E1E76"/>
    <w:rsid w:val="003F2385"/>
    <w:rsid w:val="003F79B7"/>
    <w:rsid w:val="003F7E16"/>
    <w:rsid w:val="00403A18"/>
    <w:rsid w:val="00405770"/>
    <w:rsid w:val="00406FFD"/>
    <w:rsid w:val="0041013B"/>
    <w:rsid w:val="00410D3A"/>
    <w:rsid w:val="00414ABD"/>
    <w:rsid w:val="00415346"/>
    <w:rsid w:val="00416EBA"/>
    <w:rsid w:val="004202E3"/>
    <w:rsid w:val="0042043C"/>
    <w:rsid w:val="004217AB"/>
    <w:rsid w:val="00423555"/>
    <w:rsid w:val="00430438"/>
    <w:rsid w:val="004305A3"/>
    <w:rsid w:val="00430624"/>
    <w:rsid w:val="004306D2"/>
    <w:rsid w:val="0043094F"/>
    <w:rsid w:val="00430FAE"/>
    <w:rsid w:val="004315FF"/>
    <w:rsid w:val="00431638"/>
    <w:rsid w:val="00431713"/>
    <w:rsid w:val="0043230D"/>
    <w:rsid w:val="0043238D"/>
    <w:rsid w:val="004328A0"/>
    <w:rsid w:val="0043571E"/>
    <w:rsid w:val="00435F3C"/>
    <w:rsid w:val="00435F41"/>
    <w:rsid w:val="00436704"/>
    <w:rsid w:val="004403B2"/>
    <w:rsid w:val="004422CD"/>
    <w:rsid w:val="00446BE1"/>
    <w:rsid w:val="00450513"/>
    <w:rsid w:val="004525D3"/>
    <w:rsid w:val="00452694"/>
    <w:rsid w:val="00454DD8"/>
    <w:rsid w:val="00460F4F"/>
    <w:rsid w:val="00461545"/>
    <w:rsid w:val="0046312B"/>
    <w:rsid w:val="00463DE9"/>
    <w:rsid w:val="0046445D"/>
    <w:rsid w:val="004648B3"/>
    <w:rsid w:val="00465132"/>
    <w:rsid w:val="00465EB9"/>
    <w:rsid w:val="00467DA7"/>
    <w:rsid w:val="0047094F"/>
    <w:rsid w:val="0047133F"/>
    <w:rsid w:val="0047352A"/>
    <w:rsid w:val="00473C79"/>
    <w:rsid w:val="00474476"/>
    <w:rsid w:val="00474876"/>
    <w:rsid w:val="00476801"/>
    <w:rsid w:val="00476C2C"/>
    <w:rsid w:val="00483317"/>
    <w:rsid w:val="0048373D"/>
    <w:rsid w:val="00490547"/>
    <w:rsid w:val="0049205A"/>
    <w:rsid w:val="004920ED"/>
    <w:rsid w:val="004A0F77"/>
    <w:rsid w:val="004A2C4B"/>
    <w:rsid w:val="004A5DAB"/>
    <w:rsid w:val="004B0198"/>
    <w:rsid w:val="004B0BD4"/>
    <w:rsid w:val="004B14F8"/>
    <w:rsid w:val="004B2741"/>
    <w:rsid w:val="004B4C49"/>
    <w:rsid w:val="004B713F"/>
    <w:rsid w:val="004C2F99"/>
    <w:rsid w:val="004C4A75"/>
    <w:rsid w:val="004C5F43"/>
    <w:rsid w:val="004D08B1"/>
    <w:rsid w:val="004D19B8"/>
    <w:rsid w:val="004D1BF0"/>
    <w:rsid w:val="004D3CAB"/>
    <w:rsid w:val="004D57B5"/>
    <w:rsid w:val="004D6574"/>
    <w:rsid w:val="004E091F"/>
    <w:rsid w:val="004E136C"/>
    <w:rsid w:val="004E14A3"/>
    <w:rsid w:val="004E7E70"/>
    <w:rsid w:val="004F026B"/>
    <w:rsid w:val="004F0274"/>
    <w:rsid w:val="004F09C6"/>
    <w:rsid w:val="004F675A"/>
    <w:rsid w:val="004F74FE"/>
    <w:rsid w:val="004F7E44"/>
    <w:rsid w:val="00500898"/>
    <w:rsid w:val="00500971"/>
    <w:rsid w:val="00500E3F"/>
    <w:rsid w:val="005060E0"/>
    <w:rsid w:val="00506F0B"/>
    <w:rsid w:val="00510107"/>
    <w:rsid w:val="0051402D"/>
    <w:rsid w:val="005159E3"/>
    <w:rsid w:val="00522510"/>
    <w:rsid w:val="00522ED9"/>
    <w:rsid w:val="005241FA"/>
    <w:rsid w:val="00527E34"/>
    <w:rsid w:val="005341C9"/>
    <w:rsid w:val="00535BC9"/>
    <w:rsid w:val="00537DA9"/>
    <w:rsid w:val="00540703"/>
    <w:rsid w:val="00542813"/>
    <w:rsid w:val="00544C02"/>
    <w:rsid w:val="005454A9"/>
    <w:rsid w:val="0054583F"/>
    <w:rsid w:val="005478C8"/>
    <w:rsid w:val="0056125F"/>
    <w:rsid w:val="00561A60"/>
    <w:rsid w:val="00565108"/>
    <w:rsid w:val="00565B3C"/>
    <w:rsid w:val="005671F4"/>
    <w:rsid w:val="00570424"/>
    <w:rsid w:val="00570B95"/>
    <w:rsid w:val="00573227"/>
    <w:rsid w:val="005745EB"/>
    <w:rsid w:val="005804B2"/>
    <w:rsid w:val="005805C5"/>
    <w:rsid w:val="0058321E"/>
    <w:rsid w:val="00584BC8"/>
    <w:rsid w:val="00585EB3"/>
    <w:rsid w:val="00586754"/>
    <w:rsid w:val="00587BF2"/>
    <w:rsid w:val="005927BE"/>
    <w:rsid w:val="00594B97"/>
    <w:rsid w:val="00594D6A"/>
    <w:rsid w:val="00595646"/>
    <w:rsid w:val="005958B7"/>
    <w:rsid w:val="005965BE"/>
    <w:rsid w:val="005A3301"/>
    <w:rsid w:val="005A41B6"/>
    <w:rsid w:val="005A6259"/>
    <w:rsid w:val="005A78C8"/>
    <w:rsid w:val="005A7D1D"/>
    <w:rsid w:val="005B3B2B"/>
    <w:rsid w:val="005B5595"/>
    <w:rsid w:val="005B699B"/>
    <w:rsid w:val="005B69ED"/>
    <w:rsid w:val="005C2D81"/>
    <w:rsid w:val="005C4589"/>
    <w:rsid w:val="005D1F2B"/>
    <w:rsid w:val="005D210D"/>
    <w:rsid w:val="005D2AAA"/>
    <w:rsid w:val="005D3023"/>
    <w:rsid w:val="005D4A42"/>
    <w:rsid w:val="005D5CFC"/>
    <w:rsid w:val="005D7B46"/>
    <w:rsid w:val="005E1D4E"/>
    <w:rsid w:val="005E2E7A"/>
    <w:rsid w:val="005E4315"/>
    <w:rsid w:val="005E729F"/>
    <w:rsid w:val="005E79D3"/>
    <w:rsid w:val="005F0ADB"/>
    <w:rsid w:val="005F2B48"/>
    <w:rsid w:val="005F451F"/>
    <w:rsid w:val="005F6985"/>
    <w:rsid w:val="005F71E8"/>
    <w:rsid w:val="005F7AF8"/>
    <w:rsid w:val="00602329"/>
    <w:rsid w:val="006024F9"/>
    <w:rsid w:val="00602676"/>
    <w:rsid w:val="00603DBB"/>
    <w:rsid w:val="006048A3"/>
    <w:rsid w:val="00606667"/>
    <w:rsid w:val="00607867"/>
    <w:rsid w:val="00611F9D"/>
    <w:rsid w:val="00621391"/>
    <w:rsid w:val="00621DD2"/>
    <w:rsid w:val="00622B7C"/>
    <w:rsid w:val="00622F65"/>
    <w:rsid w:val="006239BB"/>
    <w:rsid w:val="006302F6"/>
    <w:rsid w:val="006316FB"/>
    <w:rsid w:val="00631E69"/>
    <w:rsid w:val="0063293A"/>
    <w:rsid w:val="0063447C"/>
    <w:rsid w:val="006400FE"/>
    <w:rsid w:val="00640A12"/>
    <w:rsid w:val="0064353A"/>
    <w:rsid w:val="00644837"/>
    <w:rsid w:val="00647160"/>
    <w:rsid w:val="00647D02"/>
    <w:rsid w:val="00650E22"/>
    <w:rsid w:val="0065291A"/>
    <w:rsid w:val="006554C6"/>
    <w:rsid w:val="00655FEB"/>
    <w:rsid w:val="00656A69"/>
    <w:rsid w:val="00663954"/>
    <w:rsid w:val="00663B7B"/>
    <w:rsid w:val="006641CD"/>
    <w:rsid w:val="006646CE"/>
    <w:rsid w:val="00664F41"/>
    <w:rsid w:val="006650D8"/>
    <w:rsid w:val="0066554A"/>
    <w:rsid w:val="00666AD3"/>
    <w:rsid w:val="00671025"/>
    <w:rsid w:val="006714FE"/>
    <w:rsid w:val="00671D1D"/>
    <w:rsid w:val="006733C2"/>
    <w:rsid w:val="00673681"/>
    <w:rsid w:val="00674B9E"/>
    <w:rsid w:val="00676D20"/>
    <w:rsid w:val="00677D06"/>
    <w:rsid w:val="00681854"/>
    <w:rsid w:val="00681981"/>
    <w:rsid w:val="00681D28"/>
    <w:rsid w:val="006841AC"/>
    <w:rsid w:val="0068621B"/>
    <w:rsid w:val="00686902"/>
    <w:rsid w:val="006877BD"/>
    <w:rsid w:val="006909F2"/>
    <w:rsid w:val="00693D21"/>
    <w:rsid w:val="00694306"/>
    <w:rsid w:val="006966D3"/>
    <w:rsid w:val="006967E6"/>
    <w:rsid w:val="006A2C87"/>
    <w:rsid w:val="006A66F1"/>
    <w:rsid w:val="006B11FD"/>
    <w:rsid w:val="006B1686"/>
    <w:rsid w:val="006B2209"/>
    <w:rsid w:val="006B31A5"/>
    <w:rsid w:val="006B373C"/>
    <w:rsid w:val="006B4376"/>
    <w:rsid w:val="006B5D54"/>
    <w:rsid w:val="006C1311"/>
    <w:rsid w:val="006D0055"/>
    <w:rsid w:val="006D183E"/>
    <w:rsid w:val="006D2B00"/>
    <w:rsid w:val="006D3B75"/>
    <w:rsid w:val="006E3305"/>
    <w:rsid w:val="006E55E6"/>
    <w:rsid w:val="006F1763"/>
    <w:rsid w:val="006F38E4"/>
    <w:rsid w:val="006F412C"/>
    <w:rsid w:val="006F4844"/>
    <w:rsid w:val="006F51A6"/>
    <w:rsid w:val="007021B3"/>
    <w:rsid w:val="00702FDB"/>
    <w:rsid w:val="0070481A"/>
    <w:rsid w:val="00711EA9"/>
    <w:rsid w:val="007126F6"/>
    <w:rsid w:val="007143E7"/>
    <w:rsid w:val="00714C02"/>
    <w:rsid w:val="00717730"/>
    <w:rsid w:val="00717F55"/>
    <w:rsid w:val="00722C8B"/>
    <w:rsid w:val="0072497C"/>
    <w:rsid w:val="00725095"/>
    <w:rsid w:val="00725726"/>
    <w:rsid w:val="0072596A"/>
    <w:rsid w:val="00726A40"/>
    <w:rsid w:val="00730584"/>
    <w:rsid w:val="00735368"/>
    <w:rsid w:val="0073561E"/>
    <w:rsid w:val="00736D83"/>
    <w:rsid w:val="00740B3C"/>
    <w:rsid w:val="00742227"/>
    <w:rsid w:val="00745626"/>
    <w:rsid w:val="00745F55"/>
    <w:rsid w:val="00746297"/>
    <w:rsid w:val="007522AF"/>
    <w:rsid w:val="007540FA"/>
    <w:rsid w:val="00755697"/>
    <w:rsid w:val="00755759"/>
    <w:rsid w:val="00756FAC"/>
    <w:rsid w:val="00757A5A"/>
    <w:rsid w:val="007600A1"/>
    <w:rsid w:val="00764722"/>
    <w:rsid w:val="00771F41"/>
    <w:rsid w:val="00772ABD"/>
    <w:rsid w:val="00775BF3"/>
    <w:rsid w:val="00775EE5"/>
    <w:rsid w:val="007778A6"/>
    <w:rsid w:val="00783ED8"/>
    <w:rsid w:val="00785CD5"/>
    <w:rsid w:val="00792823"/>
    <w:rsid w:val="00792CD9"/>
    <w:rsid w:val="007930F7"/>
    <w:rsid w:val="007932D6"/>
    <w:rsid w:val="00793312"/>
    <w:rsid w:val="00797260"/>
    <w:rsid w:val="007A0C62"/>
    <w:rsid w:val="007A2D8F"/>
    <w:rsid w:val="007A587B"/>
    <w:rsid w:val="007A58C0"/>
    <w:rsid w:val="007A6A59"/>
    <w:rsid w:val="007B0777"/>
    <w:rsid w:val="007B0D5E"/>
    <w:rsid w:val="007B107B"/>
    <w:rsid w:val="007B15CD"/>
    <w:rsid w:val="007B2B4E"/>
    <w:rsid w:val="007B2C59"/>
    <w:rsid w:val="007B3906"/>
    <w:rsid w:val="007B3A6E"/>
    <w:rsid w:val="007B6D5B"/>
    <w:rsid w:val="007C2EF5"/>
    <w:rsid w:val="007C3827"/>
    <w:rsid w:val="007C499D"/>
    <w:rsid w:val="007C53AE"/>
    <w:rsid w:val="007C6079"/>
    <w:rsid w:val="007D4328"/>
    <w:rsid w:val="007D63B5"/>
    <w:rsid w:val="007E00B5"/>
    <w:rsid w:val="007E0A64"/>
    <w:rsid w:val="007E2AB9"/>
    <w:rsid w:val="007E4C3E"/>
    <w:rsid w:val="007E60FD"/>
    <w:rsid w:val="007E65E0"/>
    <w:rsid w:val="007E6CF5"/>
    <w:rsid w:val="007E7E7C"/>
    <w:rsid w:val="007F10CC"/>
    <w:rsid w:val="007F11E6"/>
    <w:rsid w:val="007F2C17"/>
    <w:rsid w:val="007F30DA"/>
    <w:rsid w:val="007F79FF"/>
    <w:rsid w:val="00800544"/>
    <w:rsid w:val="008076B8"/>
    <w:rsid w:val="00811A6E"/>
    <w:rsid w:val="00812890"/>
    <w:rsid w:val="00813819"/>
    <w:rsid w:val="00813E97"/>
    <w:rsid w:val="00813F83"/>
    <w:rsid w:val="00822FEF"/>
    <w:rsid w:val="008260F3"/>
    <w:rsid w:val="00827B6B"/>
    <w:rsid w:val="00831128"/>
    <w:rsid w:val="008311C9"/>
    <w:rsid w:val="00831E23"/>
    <w:rsid w:val="008332CD"/>
    <w:rsid w:val="00833508"/>
    <w:rsid w:val="00834BC3"/>
    <w:rsid w:val="0083677B"/>
    <w:rsid w:val="00836B88"/>
    <w:rsid w:val="00841DE2"/>
    <w:rsid w:val="00842244"/>
    <w:rsid w:val="00842B3C"/>
    <w:rsid w:val="0084300A"/>
    <w:rsid w:val="008436DB"/>
    <w:rsid w:val="00843C03"/>
    <w:rsid w:val="008443AA"/>
    <w:rsid w:val="008467EC"/>
    <w:rsid w:val="00847E0B"/>
    <w:rsid w:val="008501AC"/>
    <w:rsid w:val="008513ED"/>
    <w:rsid w:val="0085618A"/>
    <w:rsid w:val="00857C45"/>
    <w:rsid w:val="008607B2"/>
    <w:rsid w:val="00860CD7"/>
    <w:rsid w:val="00863B8D"/>
    <w:rsid w:val="00866909"/>
    <w:rsid w:val="0087128A"/>
    <w:rsid w:val="008721FA"/>
    <w:rsid w:val="00872324"/>
    <w:rsid w:val="00873ED0"/>
    <w:rsid w:val="00875206"/>
    <w:rsid w:val="00876913"/>
    <w:rsid w:val="00877ED6"/>
    <w:rsid w:val="00880DF3"/>
    <w:rsid w:val="00881CD3"/>
    <w:rsid w:val="008838A1"/>
    <w:rsid w:val="008875D1"/>
    <w:rsid w:val="00887D6A"/>
    <w:rsid w:val="00893649"/>
    <w:rsid w:val="008961FC"/>
    <w:rsid w:val="00897D5D"/>
    <w:rsid w:val="008A23F3"/>
    <w:rsid w:val="008A3934"/>
    <w:rsid w:val="008B1802"/>
    <w:rsid w:val="008B29AE"/>
    <w:rsid w:val="008B379B"/>
    <w:rsid w:val="008B5BD7"/>
    <w:rsid w:val="008B7E17"/>
    <w:rsid w:val="008C0698"/>
    <w:rsid w:val="008C092D"/>
    <w:rsid w:val="008C1EA1"/>
    <w:rsid w:val="008C2579"/>
    <w:rsid w:val="008C353A"/>
    <w:rsid w:val="008C360A"/>
    <w:rsid w:val="008C588C"/>
    <w:rsid w:val="008C64D9"/>
    <w:rsid w:val="008C681E"/>
    <w:rsid w:val="008C6A64"/>
    <w:rsid w:val="008D098E"/>
    <w:rsid w:val="008D0BE9"/>
    <w:rsid w:val="008D1475"/>
    <w:rsid w:val="008D3319"/>
    <w:rsid w:val="008D589C"/>
    <w:rsid w:val="008D5E61"/>
    <w:rsid w:val="008D5E71"/>
    <w:rsid w:val="008D6B28"/>
    <w:rsid w:val="008E003A"/>
    <w:rsid w:val="008E3DB3"/>
    <w:rsid w:val="008E420F"/>
    <w:rsid w:val="008E61AB"/>
    <w:rsid w:val="008E6403"/>
    <w:rsid w:val="008E6A74"/>
    <w:rsid w:val="008F2962"/>
    <w:rsid w:val="008F31B3"/>
    <w:rsid w:val="008F5BE1"/>
    <w:rsid w:val="008F63CF"/>
    <w:rsid w:val="008F79A6"/>
    <w:rsid w:val="0090211D"/>
    <w:rsid w:val="00903524"/>
    <w:rsid w:val="0090645A"/>
    <w:rsid w:val="0091005D"/>
    <w:rsid w:val="00911DB6"/>
    <w:rsid w:val="0091236B"/>
    <w:rsid w:val="00912E32"/>
    <w:rsid w:val="00917047"/>
    <w:rsid w:val="00922A23"/>
    <w:rsid w:val="00923FB5"/>
    <w:rsid w:val="00924FCA"/>
    <w:rsid w:val="0092501D"/>
    <w:rsid w:val="0092642C"/>
    <w:rsid w:val="00927194"/>
    <w:rsid w:val="00930D5E"/>
    <w:rsid w:val="00931779"/>
    <w:rsid w:val="009318D2"/>
    <w:rsid w:val="0093270B"/>
    <w:rsid w:val="00933159"/>
    <w:rsid w:val="00933377"/>
    <w:rsid w:val="0094064D"/>
    <w:rsid w:val="00943777"/>
    <w:rsid w:val="00944908"/>
    <w:rsid w:val="00945FC9"/>
    <w:rsid w:val="009463C2"/>
    <w:rsid w:val="009463C6"/>
    <w:rsid w:val="0094777B"/>
    <w:rsid w:val="00950552"/>
    <w:rsid w:val="009512B9"/>
    <w:rsid w:val="00952E1C"/>
    <w:rsid w:val="0095309F"/>
    <w:rsid w:val="0095318C"/>
    <w:rsid w:val="009531B5"/>
    <w:rsid w:val="009532DC"/>
    <w:rsid w:val="009539EF"/>
    <w:rsid w:val="00954129"/>
    <w:rsid w:val="0095459B"/>
    <w:rsid w:val="00956206"/>
    <w:rsid w:val="00962A63"/>
    <w:rsid w:val="0096387E"/>
    <w:rsid w:val="00965734"/>
    <w:rsid w:val="009668ED"/>
    <w:rsid w:val="0097079C"/>
    <w:rsid w:val="00970A2A"/>
    <w:rsid w:val="00971E57"/>
    <w:rsid w:val="0097286B"/>
    <w:rsid w:val="00972CAB"/>
    <w:rsid w:val="009731FF"/>
    <w:rsid w:val="00973254"/>
    <w:rsid w:val="00973586"/>
    <w:rsid w:val="00974CBB"/>
    <w:rsid w:val="00976E60"/>
    <w:rsid w:val="00977040"/>
    <w:rsid w:val="00977A39"/>
    <w:rsid w:val="0098058E"/>
    <w:rsid w:val="009840B3"/>
    <w:rsid w:val="00984886"/>
    <w:rsid w:val="00985CBD"/>
    <w:rsid w:val="00986AE9"/>
    <w:rsid w:val="00986C54"/>
    <w:rsid w:val="009873FF"/>
    <w:rsid w:val="00987C4F"/>
    <w:rsid w:val="00990003"/>
    <w:rsid w:val="009912C5"/>
    <w:rsid w:val="00992FF7"/>
    <w:rsid w:val="00997259"/>
    <w:rsid w:val="00997A01"/>
    <w:rsid w:val="009A046E"/>
    <w:rsid w:val="009A29D1"/>
    <w:rsid w:val="009A3E96"/>
    <w:rsid w:val="009A4A8A"/>
    <w:rsid w:val="009A4D05"/>
    <w:rsid w:val="009B2BE9"/>
    <w:rsid w:val="009B3DDC"/>
    <w:rsid w:val="009B5FD6"/>
    <w:rsid w:val="009B68BF"/>
    <w:rsid w:val="009C145C"/>
    <w:rsid w:val="009C30BF"/>
    <w:rsid w:val="009C33EA"/>
    <w:rsid w:val="009C5656"/>
    <w:rsid w:val="009C6154"/>
    <w:rsid w:val="009C6183"/>
    <w:rsid w:val="009D13A3"/>
    <w:rsid w:val="009D2756"/>
    <w:rsid w:val="009D345F"/>
    <w:rsid w:val="009D6C3E"/>
    <w:rsid w:val="009E06F5"/>
    <w:rsid w:val="009E2331"/>
    <w:rsid w:val="009F02B2"/>
    <w:rsid w:val="009F0955"/>
    <w:rsid w:val="009F0F49"/>
    <w:rsid w:val="009F16F0"/>
    <w:rsid w:val="009F2C62"/>
    <w:rsid w:val="009F3B7D"/>
    <w:rsid w:val="00A01A91"/>
    <w:rsid w:val="00A02554"/>
    <w:rsid w:val="00A05AC5"/>
    <w:rsid w:val="00A07D4E"/>
    <w:rsid w:val="00A102EF"/>
    <w:rsid w:val="00A12830"/>
    <w:rsid w:val="00A13E13"/>
    <w:rsid w:val="00A14D66"/>
    <w:rsid w:val="00A15C10"/>
    <w:rsid w:val="00A15E33"/>
    <w:rsid w:val="00A231A5"/>
    <w:rsid w:val="00A31A34"/>
    <w:rsid w:val="00A31A4A"/>
    <w:rsid w:val="00A31E35"/>
    <w:rsid w:val="00A32343"/>
    <w:rsid w:val="00A32877"/>
    <w:rsid w:val="00A32F78"/>
    <w:rsid w:val="00A3313A"/>
    <w:rsid w:val="00A34083"/>
    <w:rsid w:val="00A36B06"/>
    <w:rsid w:val="00A3769D"/>
    <w:rsid w:val="00A37EAB"/>
    <w:rsid w:val="00A40E82"/>
    <w:rsid w:val="00A437A3"/>
    <w:rsid w:val="00A43A4B"/>
    <w:rsid w:val="00A45E4B"/>
    <w:rsid w:val="00A47310"/>
    <w:rsid w:val="00A478D1"/>
    <w:rsid w:val="00A47905"/>
    <w:rsid w:val="00A47B39"/>
    <w:rsid w:val="00A5055D"/>
    <w:rsid w:val="00A54522"/>
    <w:rsid w:val="00A56DDF"/>
    <w:rsid w:val="00A57A04"/>
    <w:rsid w:val="00A608CC"/>
    <w:rsid w:val="00A6382E"/>
    <w:rsid w:val="00A644C7"/>
    <w:rsid w:val="00A64B7D"/>
    <w:rsid w:val="00A7073C"/>
    <w:rsid w:val="00A7257D"/>
    <w:rsid w:val="00A75E40"/>
    <w:rsid w:val="00A76D25"/>
    <w:rsid w:val="00A77A9F"/>
    <w:rsid w:val="00A80CC6"/>
    <w:rsid w:val="00A86022"/>
    <w:rsid w:val="00A87924"/>
    <w:rsid w:val="00A87E0E"/>
    <w:rsid w:val="00A90B55"/>
    <w:rsid w:val="00A93128"/>
    <w:rsid w:val="00A931B0"/>
    <w:rsid w:val="00A93CA9"/>
    <w:rsid w:val="00AA096E"/>
    <w:rsid w:val="00AA21F0"/>
    <w:rsid w:val="00AA3B96"/>
    <w:rsid w:val="00AA4F84"/>
    <w:rsid w:val="00AA778C"/>
    <w:rsid w:val="00AB1DCE"/>
    <w:rsid w:val="00AB2CAA"/>
    <w:rsid w:val="00AB3EEE"/>
    <w:rsid w:val="00AB7725"/>
    <w:rsid w:val="00AC1F73"/>
    <w:rsid w:val="00AC392F"/>
    <w:rsid w:val="00AD137E"/>
    <w:rsid w:val="00AD3B17"/>
    <w:rsid w:val="00AD7A34"/>
    <w:rsid w:val="00AD7D56"/>
    <w:rsid w:val="00AD7E31"/>
    <w:rsid w:val="00AE081B"/>
    <w:rsid w:val="00AE0E70"/>
    <w:rsid w:val="00AE6593"/>
    <w:rsid w:val="00AF06E3"/>
    <w:rsid w:val="00AF0B10"/>
    <w:rsid w:val="00AF3931"/>
    <w:rsid w:val="00B005E4"/>
    <w:rsid w:val="00B0109F"/>
    <w:rsid w:val="00B01BA9"/>
    <w:rsid w:val="00B02F9E"/>
    <w:rsid w:val="00B1476B"/>
    <w:rsid w:val="00B16FBF"/>
    <w:rsid w:val="00B20C86"/>
    <w:rsid w:val="00B22A24"/>
    <w:rsid w:val="00B23989"/>
    <w:rsid w:val="00B23C2D"/>
    <w:rsid w:val="00B24091"/>
    <w:rsid w:val="00B24EB3"/>
    <w:rsid w:val="00B26468"/>
    <w:rsid w:val="00B30269"/>
    <w:rsid w:val="00B30AAF"/>
    <w:rsid w:val="00B33F41"/>
    <w:rsid w:val="00B37641"/>
    <w:rsid w:val="00B43770"/>
    <w:rsid w:val="00B47859"/>
    <w:rsid w:val="00B504FE"/>
    <w:rsid w:val="00B51135"/>
    <w:rsid w:val="00B53E91"/>
    <w:rsid w:val="00B56A42"/>
    <w:rsid w:val="00B56CFD"/>
    <w:rsid w:val="00B6250D"/>
    <w:rsid w:val="00B656A6"/>
    <w:rsid w:val="00B66EC7"/>
    <w:rsid w:val="00B674C8"/>
    <w:rsid w:val="00B67DDA"/>
    <w:rsid w:val="00B73525"/>
    <w:rsid w:val="00B81F35"/>
    <w:rsid w:val="00B8431E"/>
    <w:rsid w:val="00B847E6"/>
    <w:rsid w:val="00B866BA"/>
    <w:rsid w:val="00B87E1B"/>
    <w:rsid w:val="00B93026"/>
    <w:rsid w:val="00B941F3"/>
    <w:rsid w:val="00B96068"/>
    <w:rsid w:val="00BA10D0"/>
    <w:rsid w:val="00BA2AFC"/>
    <w:rsid w:val="00BA3B2F"/>
    <w:rsid w:val="00BA657E"/>
    <w:rsid w:val="00BA73A0"/>
    <w:rsid w:val="00BA7944"/>
    <w:rsid w:val="00BB0C2D"/>
    <w:rsid w:val="00BB0F59"/>
    <w:rsid w:val="00BB5D6C"/>
    <w:rsid w:val="00BB63C0"/>
    <w:rsid w:val="00BB64AD"/>
    <w:rsid w:val="00BB72A9"/>
    <w:rsid w:val="00BB744F"/>
    <w:rsid w:val="00BC014D"/>
    <w:rsid w:val="00BC1085"/>
    <w:rsid w:val="00BC3ABB"/>
    <w:rsid w:val="00BC411C"/>
    <w:rsid w:val="00BC7AF7"/>
    <w:rsid w:val="00BD00B7"/>
    <w:rsid w:val="00BD0B22"/>
    <w:rsid w:val="00BD0B88"/>
    <w:rsid w:val="00BD36EC"/>
    <w:rsid w:val="00BD3FC0"/>
    <w:rsid w:val="00BD448B"/>
    <w:rsid w:val="00BD7209"/>
    <w:rsid w:val="00BD7E6D"/>
    <w:rsid w:val="00BE0FF5"/>
    <w:rsid w:val="00BE1187"/>
    <w:rsid w:val="00BE3C35"/>
    <w:rsid w:val="00BE5291"/>
    <w:rsid w:val="00BE6845"/>
    <w:rsid w:val="00BF116E"/>
    <w:rsid w:val="00BF20D3"/>
    <w:rsid w:val="00BF2C50"/>
    <w:rsid w:val="00BF2E7F"/>
    <w:rsid w:val="00BF545F"/>
    <w:rsid w:val="00BF5930"/>
    <w:rsid w:val="00BF64C1"/>
    <w:rsid w:val="00BF66DA"/>
    <w:rsid w:val="00C0158B"/>
    <w:rsid w:val="00C0522D"/>
    <w:rsid w:val="00C05718"/>
    <w:rsid w:val="00C05A7D"/>
    <w:rsid w:val="00C06BCF"/>
    <w:rsid w:val="00C11B43"/>
    <w:rsid w:val="00C12AD6"/>
    <w:rsid w:val="00C1543E"/>
    <w:rsid w:val="00C15DB1"/>
    <w:rsid w:val="00C20BD1"/>
    <w:rsid w:val="00C20BE4"/>
    <w:rsid w:val="00C220F9"/>
    <w:rsid w:val="00C27C6B"/>
    <w:rsid w:val="00C33DC7"/>
    <w:rsid w:val="00C35994"/>
    <w:rsid w:val="00C35FB7"/>
    <w:rsid w:val="00C3651A"/>
    <w:rsid w:val="00C36EBD"/>
    <w:rsid w:val="00C36FB2"/>
    <w:rsid w:val="00C404C5"/>
    <w:rsid w:val="00C425CC"/>
    <w:rsid w:val="00C42F10"/>
    <w:rsid w:val="00C46765"/>
    <w:rsid w:val="00C4735F"/>
    <w:rsid w:val="00C5384D"/>
    <w:rsid w:val="00C54254"/>
    <w:rsid w:val="00C56D2A"/>
    <w:rsid w:val="00C56D76"/>
    <w:rsid w:val="00C60BD8"/>
    <w:rsid w:val="00C614CD"/>
    <w:rsid w:val="00C61F99"/>
    <w:rsid w:val="00C626E9"/>
    <w:rsid w:val="00C62C2A"/>
    <w:rsid w:val="00C6314E"/>
    <w:rsid w:val="00C63A6B"/>
    <w:rsid w:val="00C64A66"/>
    <w:rsid w:val="00C65E62"/>
    <w:rsid w:val="00C6790E"/>
    <w:rsid w:val="00C67952"/>
    <w:rsid w:val="00C70592"/>
    <w:rsid w:val="00C70751"/>
    <w:rsid w:val="00C712C4"/>
    <w:rsid w:val="00C7398F"/>
    <w:rsid w:val="00C75254"/>
    <w:rsid w:val="00C7596F"/>
    <w:rsid w:val="00C7679C"/>
    <w:rsid w:val="00C7748E"/>
    <w:rsid w:val="00C774E4"/>
    <w:rsid w:val="00C8411A"/>
    <w:rsid w:val="00C8415D"/>
    <w:rsid w:val="00C91FAC"/>
    <w:rsid w:val="00C92CC1"/>
    <w:rsid w:val="00C94EA6"/>
    <w:rsid w:val="00C94F33"/>
    <w:rsid w:val="00CA1421"/>
    <w:rsid w:val="00CA1D36"/>
    <w:rsid w:val="00CA33DA"/>
    <w:rsid w:val="00CA3677"/>
    <w:rsid w:val="00CA37D6"/>
    <w:rsid w:val="00CA4000"/>
    <w:rsid w:val="00CA5AC3"/>
    <w:rsid w:val="00CA7153"/>
    <w:rsid w:val="00CB2AC8"/>
    <w:rsid w:val="00CB70EC"/>
    <w:rsid w:val="00CC2C7F"/>
    <w:rsid w:val="00CC3DB4"/>
    <w:rsid w:val="00CC4093"/>
    <w:rsid w:val="00CC7E78"/>
    <w:rsid w:val="00CD2561"/>
    <w:rsid w:val="00CD54FA"/>
    <w:rsid w:val="00CE0FE2"/>
    <w:rsid w:val="00CE32E8"/>
    <w:rsid w:val="00CE3ECB"/>
    <w:rsid w:val="00CE6264"/>
    <w:rsid w:val="00CF0EFC"/>
    <w:rsid w:val="00CF1B02"/>
    <w:rsid w:val="00CF29F1"/>
    <w:rsid w:val="00CF30A4"/>
    <w:rsid w:val="00CF553A"/>
    <w:rsid w:val="00CF64E1"/>
    <w:rsid w:val="00D003A7"/>
    <w:rsid w:val="00D01D49"/>
    <w:rsid w:val="00D034D3"/>
    <w:rsid w:val="00D03B65"/>
    <w:rsid w:val="00D045E4"/>
    <w:rsid w:val="00D107A4"/>
    <w:rsid w:val="00D1393B"/>
    <w:rsid w:val="00D14DA7"/>
    <w:rsid w:val="00D15B56"/>
    <w:rsid w:val="00D22E02"/>
    <w:rsid w:val="00D236EB"/>
    <w:rsid w:val="00D242C7"/>
    <w:rsid w:val="00D24933"/>
    <w:rsid w:val="00D3266D"/>
    <w:rsid w:val="00D33A5E"/>
    <w:rsid w:val="00D352FC"/>
    <w:rsid w:val="00D413B8"/>
    <w:rsid w:val="00D42BE0"/>
    <w:rsid w:val="00D4425C"/>
    <w:rsid w:val="00D50983"/>
    <w:rsid w:val="00D55B38"/>
    <w:rsid w:val="00D60D8E"/>
    <w:rsid w:val="00D6109A"/>
    <w:rsid w:val="00D611DB"/>
    <w:rsid w:val="00D649EE"/>
    <w:rsid w:val="00D65D5B"/>
    <w:rsid w:val="00D6716F"/>
    <w:rsid w:val="00D676DF"/>
    <w:rsid w:val="00D71EDF"/>
    <w:rsid w:val="00D727EA"/>
    <w:rsid w:val="00D72B4C"/>
    <w:rsid w:val="00D73017"/>
    <w:rsid w:val="00D73F2B"/>
    <w:rsid w:val="00D74D8A"/>
    <w:rsid w:val="00D817DC"/>
    <w:rsid w:val="00D81883"/>
    <w:rsid w:val="00D82F72"/>
    <w:rsid w:val="00D83D3E"/>
    <w:rsid w:val="00D8590B"/>
    <w:rsid w:val="00D877FE"/>
    <w:rsid w:val="00D925FA"/>
    <w:rsid w:val="00D937D1"/>
    <w:rsid w:val="00D93FB0"/>
    <w:rsid w:val="00D94B95"/>
    <w:rsid w:val="00D9677F"/>
    <w:rsid w:val="00D97ADD"/>
    <w:rsid w:val="00DA165C"/>
    <w:rsid w:val="00DA4A70"/>
    <w:rsid w:val="00DA7346"/>
    <w:rsid w:val="00DB17BD"/>
    <w:rsid w:val="00DB1D73"/>
    <w:rsid w:val="00DB20CF"/>
    <w:rsid w:val="00DB6905"/>
    <w:rsid w:val="00DB7B79"/>
    <w:rsid w:val="00DC4B90"/>
    <w:rsid w:val="00DC4BF9"/>
    <w:rsid w:val="00DC4D6E"/>
    <w:rsid w:val="00DC6028"/>
    <w:rsid w:val="00DC6924"/>
    <w:rsid w:val="00DD13A6"/>
    <w:rsid w:val="00DD3D4B"/>
    <w:rsid w:val="00DD4974"/>
    <w:rsid w:val="00DD7744"/>
    <w:rsid w:val="00DE1714"/>
    <w:rsid w:val="00DE4DB5"/>
    <w:rsid w:val="00DE54E5"/>
    <w:rsid w:val="00DE5654"/>
    <w:rsid w:val="00DE56C8"/>
    <w:rsid w:val="00DE6804"/>
    <w:rsid w:val="00DE6A64"/>
    <w:rsid w:val="00DE7CF3"/>
    <w:rsid w:val="00DF00DC"/>
    <w:rsid w:val="00DF115E"/>
    <w:rsid w:val="00DF18C0"/>
    <w:rsid w:val="00DF1A21"/>
    <w:rsid w:val="00DF3686"/>
    <w:rsid w:val="00DF3D68"/>
    <w:rsid w:val="00DF3F85"/>
    <w:rsid w:val="00DF48C5"/>
    <w:rsid w:val="00DF4E8F"/>
    <w:rsid w:val="00DF6E21"/>
    <w:rsid w:val="00DF7F68"/>
    <w:rsid w:val="00E009B6"/>
    <w:rsid w:val="00E010BC"/>
    <w:rsid w:val="00E02FAC"/>
    <w:rsid w:val="00E03299"/>
    <w:rsid w:val="00E10E6D"/>
    <w:rsid w:val="00E12292"/>
    <w:rsid w:val="00E12FFB"/>
    <w:rsid w:val="00E21387"/>
    <w:rsid w:val="00E23267"/>
    <w:rsid w:val="00E23DA3"/>
    <w:rsid w:val="00E2685F"/>
    <w:rsid w:val="00E3038B"/>
    <w:rsid w:val="00E30B0A"/>
    <w:rsid w:val="00E326A9"/>
    <w:rsid w:val="00E32849"/>
    <w:rsid w:val="00E3772D"/>
    <w:rsid w:val="00E40E4C"/>
    <w:rsid w:val="00E46EC5"/>
    <w:rsid w:val="00E47A5C"/>
    <w:rsid w:val="00E50406"/>
    <w:rsid w:val="00E53C0E"/>
    <w:rsid w:val="00E53CFC"/>
    <w:rsid w:val="00E53FCE"/>
    <w:rsid w:val="00E55376"/>
    <w:rsid w:val="00E64960"/>
    <w:rsid w:val="00E64E21"/>
    <w:rsid w:val="00E65817"/>
    <w:rsid w:val="00E663E3"/>
    <w:rsid w:val="00E664D2"/>
    <w:rsid w:val="00E66675"/>
    <w:rsid w:val="00E71878"/>
    <w:rsid w:val="00E738CC"/>
    <w:rsid w:val="00E802F1"/>
    <w:rsid w:val="00E80E37"/>
    <w:rsid w:val="00E818CE"/>
    <w:rsid w:val="00E82DEE"/>
    <w:rsid w:val="00E84566"/>
    <w:rsid w:val="00E84C0F"/>
    <w:rsid w:val="00E85616"/>
    <w:rsid w:val="00E86FFE"/>
    <w:rsid w:val="00E9144C"/>
    <w:rsid w:val="00E9150F"/>
    <w:rsid w:val="00E921DB"/>
    <w:rsid w:val="00E949EF"/>
    <w:rsid w:val="00E95D7F"/>
    <w:rsid w:val="00EA122A"/>
    <w:rsid w:val="00EA1F87"/>
    <w:rsid w:val="00EA20B4"/>
    <w:rsid w:val="00EA26B8"/>
    <w:rsid w:val="00EA4DE0"/>
    <w:rsid w:val="00EA58FF"/>
    <w:rsid w:val="00EA5D8F"/>
    <w:rsid w:val="00EA7759"/>
    <w:rsid w:val="00EB077F"/>
    <w:rsid w:val="00EB1296"/>
    <w:rsid w:val="00EB169F"/>
    <w:rsid w:val="00EB1B1C"/>
    <w:rsid w:val="00EB2B66"/>
    <w:rsid w:val="00EB2EB4"/>
    <w:rsid w:val="00EB4260"/>
    <w:rsid w:val="00EB4491"/>
    <w:rsid w:val="00EB4F53"/>
    <w:rsid w:val="00EB5139"/>
    <w:rsid w:val="00EB5150"/>
    <w:rsid w:val="00EB5AE2"/>
    <w:rsid w:val="00EB7AA6"/>
    <w:rsid w:val="00EB7F2D"/>
    <w:rsid w:val="00EC242B"/>
    <w:rsid w:val="00EC4671"/>
    <w:rsid w:val="00ED0011"/>
    <w:rsid w:val="00ED1D08"/>
    <w:rsid w:val="00ED3279"/>
    <w:rsid w:val="00ED5F44"/>
    <w:rsid w:val="00EE027E"/>
    <w:rsid w:val="00EE0A2E"/>
    <w:rsid w:val="00EE2FF1"/>
    <w:rsid w:val="00EE7EBE"/>
    <w:rsid w:val="00EE7F7D"/>
    <w:rsid w:val="00EF06C2"/>
    <w:rsid w:val="00EF18ED"/>
    <w:rsid w:val="00EF2473"/>
    <w:rsid w:val="00EF5839"/>
    <w:rsid w:val="00EF629C"/>
    <w:rsid w:val="00EF62BA"/>
    <w:rsid w:val="00F01221"/>
    <w:rsid w:val="00F01B1C"/>
    <w:rsid w:val="00F051BB"/>
    <w:rsid w:val="00F10301"/>
    <w:rsid w:val="00F11E68"/>
    <w:rsid w:val="00F1223D"/>
    <w:rsid w:val="00F136AF"/>
    <w:rsid w:val="00F13B3A"/>
    <w:rsid w:val="00F14658"/>
    <w:rsid w:val="00F157CF"/>
    <w:rsid w:val="00F21AD5"/>
    <w:rsid w:val="00F301AB"/>
    <w:rsid w:val="00F30E33"/>
    <w:rsid w:val="00F31A33"/>
    <w:rsid w:val="00F31FB0"/>
    <w:rsid w:val="00F32C9D"/>
    <w:rsid w:val="00F330AC"/>
    <w:rsid w:val="00F35B43"/>
    <w:rsid w:val="00F36276"/>
    <w:rsid w:val="00F40067"/>
    <w:rsid w:val="00F420FB"/>
    <w:rsid w:val="00F43260"/>
    <w:rsid w:val="00F44E52"/>
    <w:rsid w:val="00F45612"/>
    <w:rsid w:val="00F45E66"/>
    <w:rsid w:val="00F46660"/>
    <w:rsid w:val="00F477EE"/>
    <w:rsid w:val="00F50123"/>
    <w:rsid w:val="00F5196A"/>
    <w:rsid w:val="00F523A2"/>
    <w:rsid w:val="00F57B18"/>
    <w:rsid w:val="00F62F11"/>
    <w:rsid w:val="00F645B8"/>
    <w:rsid w:val="00F64750"/>
    <w:rsid w:val="00F65893"/>
    <w:rsid w:val="00F6607E"/>
    <w:rsid w:val="00F72042"/>
    <w:rsid w:val="00F72374"/>
    <w:rsid w:val="00F748BE"/>
    <w:rsid w:val="00F75248"/>
    <w:rsid w:val="00F812C1"/>
    <w:rsid w:val="00F824A5"/>
    <w:rsid w:val="00F84727"/>
    <w:rsid w:val="00F84EB7"/>
    <w:rsid w:val="00F8789B"/>
    <w:rsid w:val="00F90681"/>
    <w:rsid w:val="00F90A65"/>
    <w:rsid w:val="00F928ED"/>
    <w:rsid w:val="00F93625"/>
    <w:rsid w:val="00F937BF"/>
    <w:rsid w:val="00F9482B"/>
    <w:rsid w:val="00F949DB"/>
    <w:rsid w:val="00F96A47"/>
    <w:rsid w:val="00F97256"/>
    <w:rsid w:val="00FA3FC7"/>
    <w:rsid w:val="00FB2326"/>
    <w:rsid w:val="00FB5FFA"/>
    <w:rsid w:val="00FB717E"/>
    <w:rsid w:val="00FB78D7"/>
    <w:rsid w:val="00FC02A6"/>
    <w:rsid w:val="00FC31F0"/>
    <w:rsid w:val="00FC5975"/>
    <w:rsid w:val="00FC5F70"/>
    <w:rsid w:val="00FC720D"/>
    <w:rsid w:val="00FD14E8"/>
    <w:rsid w:val="00FD3060"/>
    <w:rsid w:val="00FD4171"/>
    <w:rsid w:val="00FD4F53"/>
    <w:rsid w:val="00FD5435"/>
    <w:rsid w:val="00FD64D1"/>
    <w:rsid w:val="00FD7711"/>
    <w:rsid w:val="00FE41B7"/>
    <w:rsid w:val="00FE470D"/>
    <w:rsid w:val="00FE4B0E"/>
    <w:rsid w:val="00FF3C5E"/>
    <w:rsid w:val="00FF3DB8"/>
    <w:rsid w:val="00FF4F33"/>
    <w:rsid w:val="00FF6757"/>
    <w:rsid w:val="00FF6CFB"/>
    <w:rsid w:val="00FF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89CE0DF"/>
  <w15:chartTrackingRefBased/>
  <w15:docId w15:val="{2EF2BF1B-FC37-42F6-8ED0-4DBD48B8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EF"/>
    <w:pPr>
      <w:autoSpaceDE w:val="0"/>
      <w:autoSpaceDN w:val="0"/>
      <w:adjustRightInd w:val="0"/>
    </w:pPr>
    <w:rPr>
      <w:sz w:val="24"/>
    </w:rPr>
  </w:style>
  <w:style w:type="paragraph" w:styleId="Heading1">
    <w:name w:val="heading 1"/>
    <w:basedOn w:val="Normal"/>
    <w:next w:val="Normal"/>
    <w:link w:val="Heading1Char"/>
    <w:qFormat/>
    <w:rsid w:val="00E949EF"/>
    <w:pPr>
      <w:keepNext/>
      <w:spacing w:after="240"/>
      <w:ind w:left="720" w:hanging="720"/>
      <w:outlineLvl w:val="0"/>
    </w:pPr>
    <w:rPr>
      <w:b/>
      <w:caps/>
      <w:szCs w:val="24"/>
      <w:u w:val="single"/>
      <w:lang w:val="en-CA"/>
    </w:rPr>
  </w:style>
  <w:style w:type="paragraph" w:styleId="Heading2">
    <w:name w:val="heading 2"/>
    <w:basedOn w:val="Normal"/>
    <w:next w:val="Normal"/>
    <w:qFormat/>
    <w:rsid w:val="00E949EF"/>
    <w:pPr>
      <w:keepNext/>
      <w:spacing w:after="240"/>
      <w:ind w:left="720" w:hanging="720"/>
      <w:outlineLvl w:val="1"/>
    </w:pPr>
    <w:rPr>
      <w:b/>
      <w:bCs/>
      <w:iCs/>
      <w:szCs w:val="28"/>
      <w:lang w:val="en-CA"/>
    </w:rPr>
  </w:style>
  <w:style w:type="paragraph" w:styleId="Heading3">
    <w:name w:val="heading 3"/>
    <w:basedOn w:val="Normal"/>
    <w:next w:val="Normal"/>
    <w:link w:val="Heading3Char"/>
    <w:semiHidden/>
    <w:unhideWhenUsed/>
    <w:qFormat/>
    <w:rsid w:val="007C6079"/>
    <w:pPr>
      <w:keepNext/>
      <w:spacing w:before="240" w:after="60"/>
      <w:outlineLvl w:val="2"/>
    </w:pPr>
    <w:rPr>
      <w:rFonts w:ascii="Cambria" w:hAnsi="Cambria"/>
      <w:b/>
      <w:bCs/>
      <w:sz w:val="26"/>
      <w:szCs w:val="26"/>
    </w:rPr>
  </w:style>
  <w:style w:type="paragraph" w:styleId="Heading5">
    <w:name w:val="heading 5"/>
    <w:basedOn w:val="Normal"/>
    <w:next w:val="Normal"/>
    <w:qFormat/>
    <w:rsid w:val="00E30B0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49EF"/>
    <w:rPr>
      <w:color w:val="0000FF"/>
      <w:u w:val="single"/>
    </w:rPr>
  </w:style>
  <w:style w:type="paragraph" w:styleId="FootnoteText">
    <w:name w:val="footnote text"/>
    <w:basedOn w:val="Normal"/>
    <w:semiHidden/>
    <w:rsid w:val="00E949EF"/>
  </w:style>
  <w:style w:type="character" w:styleId="FootnoteReference">
    <w:name w:val="footnote reference"/>
    <w:semiHidden/>
    <w:rsid w:val="00E949EF"/>
    <w:rPr>
      <w:vertAlign w:val="superscript"/>
    </w:rPr>
  </w:style>
  <w:style w:type="table" w:styleId="TableGrid">
    <w:name w:val="Table Grid"/>
    <w:basedOn w:val="TableNormal"/>
    <w:rsid w:val="00E9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rsid w:val="00E949EF"/>
    <w:pPr>
      <w:autoSpaceDE/>
      <w:autoSpaceDN/>
      <w:adjustRightInd/>
      <w:spacing w:before="80" w:after="80"/>
      <w:ind w:left="4320"/>
      <w:jc w:val="both"/>
    </w:pPr>
    <w:rPr>
      <w:rFonts w:ascii="Arial" w:hAnsi="Arial"/>
      <w:sz w:val="20"/>
      <w:szCs w:val="24"/>
    </w:rPr>
  </w:style>
  <w:style w:type="paragraph" w:customStyle="1" w:styleId="BodyText1">
    <w:name w:val="Body Text1"/>
    <w:aliases w:val="bt,body tx,indent,flush,memo body text,memo body text Char,indent Char,flush Char Char Char Char Char Char Char Char Char Char Char Char Char,body text Char1,bt Char1,body tx Char1,indent Char1 Char,body 4,body text"/>
    <w:basedOn w:val="Normal"/>
    <w:link w:val="bodytextChar"/>
    <w:uiPriority w:val="99"/>
    <w:rsid w:val="00E949EF"/>
    <w:pPr>
      <w:autoSpaceDE/>
      <w:autoSpaceDN/>
      <w:adjustRightInd/>
      <w:spacing w:after="240" w:line="360" w:lineRule="atLeast"/>
      <w:ind w:firstLine="720"/>
    </w:pPr>
    <w:rPr>
      <w:snapToGrid w:val="0"/>
    </w:rPr>
  </w:style>
  <w:style w:type="paragraph" w:customStyle="1" w:styleId="bullets">
    <w:name w:val="bullets"/>
    <w:basedOn w:val="Normal"/>
    <w:rsid w:val="00E949EF"/>
    <w:pPr>
      <w:numPr>
        <w:numId w:val="42"/>
      </w:numPr>
      <w:autoSpaceDE/>
      <w:autoSpaceDN/>
      <w:adjustRightInd/>
      <w:spacing w:after="240"/>
      <w:ind w:left="720"/>
    </w:pPr>
    <w:rPr>
      <w:rFonts w:ascii="Verdana" w:hAnsi="Verdana"/>
      <w:sz w:val="20"/>
    </w:rPr>
  </w:style>
  <w:style w:type="paragraph" w:customStyle="1" w:styleId="Exhibittitle">
    <w:name w:val="Exhibit title"/>
    <w:basedOn w:val="Normal"/>
    <w:rsid w:val="00E949EF"/>
    <w:pPr>
      <w:keepNext/>
      <w:keepLines/>
      <w:autoSpaceDE/>
      <w:autoSpaceDN/>
      <w:adjustRightInd/>
      <w:spacing w:before="120" w:after="120"/>
      <w:ind w:left="1166" w:hanging="1166"/>
    </w:pPr>
    <w:rPr>
      <w:b/>
      <w:snapToGrid w:val="0"/>
    </w:rPr>
  </w:style>
  <w:style w:type="paragraph" w:styleId="Title">
    <w:name w:val="Title"/>
    <w:basedOn w:val="Normal"/>
    <w:qFormat/>
    <w:rsid w:val="006F1763"/>
    <w:pPr>
      <w:numPr>
        <w:ilvl w:val="12"/>
      </w:numPr>
      <w:jc w:val="center"/>
    </w:pPr>
    <w:rPr>
      <w:b/>
      <w:bCs/>
      <w:szCs w:val="24"/>
    </w:rPr>
  </w:style>
  <w:style w:type="paragraph" w:styleId="TOC1">
    <w:name w:val="toc 1"/>
    <w:basedOn w:val="Normal"/>
    <w:next w:val="Normal"/>
    <w:rsid w:val="006F1763"/>
    <w:pPr>
      <w:tabs>
        <w:tab w:val="right" w:leader="dot" w:pos="9350"/>
      </w:tabs>
      <w:spacing w:before="120"/>
      <w:ind w:left="547" w:right="576" w:hanging="547"/>
    </w:pPr>
    <w:rPr>
      <w:b/>
      <w:noProof/>
      <w:szCs w:val="24"/>
    </w:rPr>
  </w:style>
  <w:style w:type="paragraph" w:styleId="TOC2">
    <w:name w:val="toc 2"/>
    <w:basedOn w:val="Normal"/>
    <w:next w:val="Normal"/>
    <w:rsid w:val="006F1763"/>
    <w:pPr>
      <w:tabs>
        <w:tab w:val="right" w:leader="dot" w:pos="9350"/>
      </w:tabs>
      <w:spacing w:before="120"/>
      <w:ind w:left="1094" w:right="576" w:hanging="547"/>
    </w:pPr>
    <w:rPr>
      <w:noProof/>
    </w:rPr>
  </w:style>
  <w:style w:type="paragraph" w:styleId="TOC5">
    <w:name w:val="toc 5"/>
    <w:basedOn w:val="Normal"/>
    <w:next w:val="Normal"/>
    <w:rsid w:val="006F1763"/>
    <w:pPr>
      <w:tabs>
        <w:tab w:val="right" w:leader="dot" w:pos="9360"/>
      </w:tabs>
      <w:autoSpaceDE/>
      <w:autoSpaceDN/>
      <w:adjustRightInd/>
      <w:spacing w:before="40" w:after="40"/>
      <w:ind w:left="720" w:right="720" w:hanging="720"/>
    </w:pPr>
    <w:rPr>
      <w:b/>
      <w:noProof/>
    </w:rPr>
  </w:style>
  <w:style w:type="character" w:styleId="CommentReference">
    <w:name w:val="annotation reference"/>
    <w:rsid w:val="006F1763"/>
    <w:rPr>
      <w:sz w:val="16"/>
      <w:szCs w:val="16"/>
    </w:rPr>
  </w:style>
  <w:style w:type="paragraph" w:styleId="CommentText">
    <w:name w:val="annotation text"/>
    <w:basedOn w:val="Normal"/>
    <w:link w:val="CommentTextChar"/>
    <w:rsid w:val="006F1763"/>
    <w:rPr>
      <w:sz w:val="20"/>
    </w:rPr>
  </w:style>
  <w:style w:type="paragraph" w:styleId="CommentSubject">
    <w:name w:val="annotation subject"/>
    <w:basedOn w:val="CommentText"/>
    <w:next w:val="CommentText"/>
    <w:semiHidden/>
    <w:rsid w:val="006F1763"/>
    <w:rPr>
      <w:b/>
      <w:bCs/>
    </w:rPr>
  </w:style>
  <w:style w:type="paragraph" w:styleId="BalloonText">
    <w:name w:val="Balloon Text"/>
    <w:basedOn w:val="Normal"/>
    <w:semiHidden/>
    <w:rsid w:val="006F1763"/>
    <w:rPr>
      <w:rFonts w:ascii="Tahoma" w:hAnsi="Tahoma" w:cs="Tahoma"/>
      <w:sz w:val="16"/>
      <w:szCs w:val="16"/>
    </w:rPr>
  </w:style>
  <w:style w:type="paragraph" w:styleId="Header">
    <w:name w:val="header"/>
    <w:basedOn w:val="Normal"/>
    <w:rsid w:val="00831128"/>
    <w:pPr>
      <w:tabs>
        <w:tab w:val="center" w:pos="4320"/>
        <w:tab w:val="right" w:pos="8640"/>
      </w:tabs>
    </w:pPr>
  </w:style>
  <w:style w:type="paragraph" w:styleId="Footer">
    <w:name w:val="footer"/>
    <w:basedOn w:val="Normal"/>
    <w:rsid w:val="00831128"/>
    <w:pPr>
      <w:tabs>
        <w:tab w:val="center" w:pos="4320"/>
        <w:tab w:val="right" w:pos="8640"/>
      </w:tabs>
    </w:pPr>
  </w:style>
  <w:style w:type="character" w:styleId="PageNumber">
    <w:name w:val="page number"/>
    <w:basedOn w:val="DefaultParagraphFont"/>
    <w:rsid w:val="00831128"/>
  </w:style>
  <w:style w:type="paragraph" w:styleId="NormalWeb">
    <w:name w:val="Normal (Web)"/>
    <w:basedOn w:val="Normal"/>
    <w:rsid w:val="004920ED"/>
    <w:pPr>
      <w:autoSpaceDE/>
      <w:autoSpaceDN/>
      <w:adjustRightInd/>
      <w:spacing w:before="100" w:beforeAutospacing="1" w:after="100" w:afterAutospacing="1"/>
    </w:pPr>
    <w:rPr>
      <w:szCs w:val="24"/>
    </w:rPr>
  </w:style>
  <w:style w:type="character" w:customStyle="1" w:styleId="bodytextChar">
    <w:name w:val="body text Char"/>
    <w:aliases w:val="bt Char,body tx Char,indent Char1,flush Char Char,bt Char2,body tx Char2,flush Char,memo body text Char1,memo body text Char Char,bt Char Char,body tx Char Char,indent Char Char,body text Char1 Char"/>
    <w:link w:val="BodyText1"/>
    <w:uiPriority w:val="99"/>
    <w:rsid w:val="00F75248"/>
    <w:rPr>
      <w:snapToGrid w:val="0"/>
      <w:sz w:val="24"/>
      <w:lang w:val="en-US" w:eastAsia="en-US" w:bidi="ar-SA"/>
    </w:rPr>
  </w:style>
  <w:style w:type="paragraph" w:styleId="BodyTextIndent2">
    <w:name w:val="Body Text Indent 2"/>
    <w:basedOn w:val="Normal"/>
    <w:rsid w:val="00E30B0A"/>
    <w:pPr>
      <w:autoSpaceDE/>
      <w:autoSpaceDN/>
      <w:adjustRightInd/>
      <w:ind w:left="360"/>
    </w:pPr>
    <w:rPr>
      <w:sz w:val="22"/>
      <w:szCs w:val="22"/>
    </w:rPr>
  </w:style>
  <w:style w:type="paragraph" w:customStyle="1" w:styleId="biblio">
    <w:name w:val="biblio"/>
    <w:basedOn w:val="Normal"/>
    <w:link w:val="biblioChar"/>
    <w:uiPriority w:val="99"/>
    <w:rsid w:val="00D94B95"/>
    <w:pPr>
      <w:keepLines/>
      <w:autoSpaceDE/>
      <w:autoSpaceDN/>
      <w:adjustRightInd/>
      <w:spacing w:after="240"/>
      <w:ind w:left="720" w:hanging="720"/>
    </w:pPr>
  </w:style>
  <w:style w:type="paragraph" w:customStyle="1" w:styleId="bodytextpsg">
    <w:name w:val="body text_psg"/>
    <w:basedOn w:val="Normal"/>
    <w:link w:val="bodytextpsgCharChar"/>
    <w:rsid w:val="00D24933"/>
    <w:pPr>
      <w:autoSpaceDE/>
      <w:autoSpaceDN/>
      <w:adjustRightInd/>
      <w:spacing w:after="160" w:line="320" w:lineRule="exact"/>
      <w:ind w:firstLine="720"/>
    </w:pPr>
    <w:rPr>
      <w:rFonts w:eastAsia="MS Mincho"/>
      <w:szCs w:val="24"/>
    </w:rPr>
  </w:style>
  <w:style w:type="character" w:customStyle="1" w:styleId="bodytextpsgCharChar">
    <w:name w:val="body text_psg Char Char"/>
    <w:link w:val="bodytextpsg"/>
    <w:rsid w:val="00D24933"/>
    <w:rPr>
      <w:rFonts w:eastAsia="MS Mincho"/>
      <w:sz w:val="24"/>
      <w:szCs w:val="24"/>
      <w:lang w:val="en-US" w:eastAsia="en-US" w:bidi="ar-SA"/>
    </w:rPr>
  </w:style>
  <w:style w:type="paragraph" w:styleId="HTMLPreformatted">
    <w:name w:val="HTML Preformatted"/>
    <w:basedOn w:val="Normal"/>
    <w:rsid w:val="00BB0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odyText2">
    <w:name w:val="Body Text2"/>
    <w:basedOn w:val="Normal"/>
    <w:rsid w:val="001C1E15"/>
    <w:pPr>
      <w:autoSpaceDE/>
      <w:autoSpaceDN/>
      <w:adjustRightInd/>
      <w:spacing w:after="240" w:line="300" w:lineRule="exact"/>
      <w:ind w:firstLine="720"/>
    </w:pPr>
    <w:rPr>
      <w:sz w:val="22"/>
    </w:rPr>
  </w:style>
  <w:style w:type="character" w:customStyle="1" w:styleId="A6">
    <w:name w:val="A6"/>
    <w:uiPriority w:val="99"/>
    <w:rsid w:val="001C1E15"/>
    <w:rPr>
      <w:rFonts w:cs="Myriad Pro"/>
      <w:color w:val="000000"/>
      <w:sz w:val="20"/>
      <w:szCs w:val="20"/>
    </w:rPr>
  </w:style>
  <w:style w:type="paragraph" w:customStyle="1" w:styleId="DisclaimerText">
    <w:name w:val="DisclaimerText"/>
    <w:basedOn w:val="Normal"/>
    <w:qFormat/>
    <w:rsid w:val="002052EB"/>
    <w:pPr>
      <w:autoSpaceDE/>
      <w:autoSpaceDN/>
      <w:adjustRightInd/>
      <w:spacing w:line="288" w:lineRule="auto"/>
    </w:pPr>
  </w:style>
  <w:style w:type="character" w:customStyle="1" w:styleId="Heading3Char">
    <w:name w:val="Heading 3 Char"/>
    <w:link w:val="Heading3"/>
    <w:semiHidden/>
    <w:rsid w:val="007C6079"/>
    <w:rPr>
      <w:rFonts w:ascii="Cambria" w:eastAsia="Times New Roman" w:hAnsi="Cambria" w:cs="Times New Roman"/>
      <w:b/>
      <w:bCs/>
      <w:sz w:val="26"/>
      <w:szCs w:val="26"/>
    </w:rPr>
  </w:style>
  <w:style w:type="character" w:styleId="Emphasis">
    <w:name w:val="Emphasis"/>
    <w:uiPriority w:val="20"/>
    <w:qFormat/>
    <w:rsid w:val="00075EE0"/>
    <w:rPr>
      <w:i/>
      <w:iCs/>
    </w:rPr>
  </w:style>
  <w:style w:type="paragraph" w:customStyle="1" w:styleId="Default">
    <w:name w:val="Default"/>
    <w:link w:val="DefaultChar"/>
    <w:rsid w:val="005F7AF8"/>
    <w:pPr>
      <w:autoSpaceDE w:val="0"/>
      <w:autoSpaceDN w:val="0"/>
      <w:adjustRightInd w:val="0"/>
    </w:pPr>
    <w:rPr>
      <w:color w:val="000000"/>
      <w:sz w:val="24"/>
      <w:szCs w:val="24"/>
    </w:rPr>
  </w:style>
  <w:style w:type="character" w:customStyle="1" w:styleId="DefaultChar">
    <w:name w:val="Default Char"/>
    <w:link w:val="Default"/>
    <w:rsid w:val="005F7AF8"/>
    <w:rPr>
      <w:color w:val="000000"/>
      <w:sz w:val="24"/>
      <w:szCs w:val="24"/>
    </w:rPr>
  </w:style>
  <w:style w:type="character" w:customStyle="1" w:styleId="Heading1Char">
    <w:name w:val="Heading 1 Char"/>
    <w:link w:val="Heading1"/>
    <w:rsid w:val="005F7AF8"/>
    <w:rPr>
      <w:b/>
      <w:caps/>
      <w:sz w:val="24"/>
      <w:szCs w:val="24"/>
      <w:u w:val="single"/>
      <w:lang w:val="en-CA"/>
    </w:rPr>
  </w:style>
  <w:style w:type="paragraph" w:customStyle="1" w:styleId="EndNoteBibliography">
    <w:name w:val="EndNote Bibliography"/>
    <w:basedOn w:val="Normal"/>
    <w:link w:val="EndNoteBibliographyChar"/>
    <w:rsid w:val="005F7AF8"/>
    <w:pPr>
      <w:autoSpaceDE/>
      <w:autoSpaceDN/>
      <w:adjustRightInd/>
      <w:spacing w:after="200"/>
    </w:pPr>
    <w:rPr>
      <w:rFonts w:ascii="Calibri" w:hAnsi="Calibri" w:cs="Arial"/>
      <w:noProof/>
      <w:sz w:val="22"/>
      <w:szCs w:val="22"/>
    </w:rPr>
  </w:style>
  <w:style w:type="character" w:customStyle="1" w:styleId="EndNoteBibliographyChar">
    <w:name w:val="EndNote Bibliography Char"/>
    <w:link w:val="EndNoteBibliography"/>
    <w:rsid w:val="005F7AF8"/>
    <w:rPr>
      <w:rFonts w:ascii="Calibri" w:hAnsi="Calibri" w:cs="Arial"/>
      <w:noProof/>
      <w:sz w:val="22"/>
      <w:szCs w:val="22"/>
    </w:rPr>
  </w:style>
  <w:style w:type="paragraph" w:customStyle="1" w:styleId="OMBReferences">
    <w:name w:val="OMB References"/>
    <w:basedOn w:val="Normal"/>
    <w:rsid w:val="0051402D"/>
    <w:pPr>
      <w:autoSpaceDE/>
      <w:autoSpaceDN/>
      <w:adjustRightInd/>
      <w:spacing w:after="240"/>
      <w:ind w:left="720" w:hanging="720"/>
    </w:pPr>
    <w:rPr>
      <w:sz w:val="22"/>
    </w:rPr>
  </w:style>
  <w:style w:type="character" w:customStyle="1" w:styleId="biblioChar">
    <w:name w:val="biblio Char"/>
    <w:link w:val="biblio"/>
    <w:uiPriority w:val="99"/>
    <w:locked/>
    <w:rsid w:val="00EA58FF"/>
    <w:rPr>
      <w:sz w:val="24"/>
    </w:rPr>
  </w:style>
  <w:style w:type="character" w:customStyle="1" w:styleId="apple-converted-space">
    <w:name w:val="apple-converted-space"/>
    <w:rsid w:val="00B56CFD"/>
  </w:style>
  <w:style w:type="table" w:customStyle="1" w:styleId="TableGrid1">
    <w:name w:val="Table Grid1"/>
    <w:basedOn w:val="TableNormal"/>
    <w:next w:val="TableGrid"/>
    <w:rsid w:val="0025396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rsid w:val="005A7D1D"/>
    <w:pPr>
      <w:spacing w:after="120"/>
    </w:pPr>
  </w:style>
  <w:style w:type="character" w:customStyle="1" w:styleId="BodyTextChar0">
    <w:name w:val="Body Text Char"/>
    <w:link w:val="BodyText"/>
    <w:rsid w:val="005A7D1D"/>
    <w:rPr>
      <w:sz w:val="24"/>
    </w:rPr>
  </w:style>
  <w:style w:type="paragraph" w:customStyle="1" w:styleId="TableHeaders">
    <w:name w:val="Table Headers"/>
    <w:basedOn w:val="Normal"/>
    <w:qFormat/>
    <w:rsid w:val="005A7D1D"/>
    <w:pPr>
      <w:autoSpaceDE/>
      <w:autoSpaceDN/>
      <w:adjustRightInd/>
      <w:spacing w:before="80" w:after="40"/>
    </w:pPr>
    <w:rPr>
      <w:b/>
      <w:sz w:val="22"/>
      <w:szCs w:val="22"/>
    </w:rPr>
  </w:style>
  <w:style w:type="paragraph" w:customStyle="1" w:styleId="TableText">
    <w:name w:val="Table Text"/>
    <w:basedOn w:val="Normal"/>
    <w:qFormat/>
    <w:rsid w:val="005A7D1D"/>
    <w:pPr>
      <w:autoSpaceDE/>
      <w:autoSpaceDN/>
      <w:adjustRightInd/>
      <w:spacing w:before="60" w:after="60"/>
    </w:pPr>
    <w:rPr>
      <w:sz w:val="22"/>
      <w:szCs w:val="22"/>
    </w:rPr>
  </w:style>
  <w:style w:type="paragraph" w:customStyle="1" w:styleId="TableTitle">
    <w:name w:val="Table Title"/>
    <w:basedOn w:val="Normal"/>
    <w:qFormat/>
    <w:rsid w:val="005A7D1D"/>
    <w:pPr>
      <w:keepNext/>
      <w:autoSpaceDE/>
      <w:autoSpaceDN/>
      <w:adjustRightInd/>
      <w:spacing w:before="240" w:after="120"/>
    </w:pPr>
    <w:rPr>
      <w:b/>
      <w:szCs w:val="24"/>
    </w:rPr>
  </w:style>
  <w:style w:type="paragraph" w:styleId="Revision">
    <w:name w:val="Revision"/>
    <w:hidden/>
    <w:uiPriority w:val="99"/>
    <w:semiHidden/>
    <w:rsid w:val="004305A3"/>
    <w:rPr>
      <w:sz w:val="24"/>
    </w:rPr>
  </w:style>
  <w:style w:type="character" w:customStyle="1" w:styleId="CommentTextChar">
    <w:name w:val="Comment Text Char"/>
    <w:link w:val="CommentText"/>
    <w:locked/>
    <w:rsid w:val="00452694"/>
  </w:style>
  <w:style w:type="character" w:styleId="Strong">
    <w:name w:val="Strong"/>
    <w:uiPriority w:val="22"/>
    <w:qFormat/>
    <w:rsid w:val="002B31F2"/>
    <w:rPr>
      <w:b/>
      <w:bCs/>
    </w:rPr>
  </w:style>
  <w:style w:type="character" w:styleId="FollowedHyperlink">
    <w:name w:val="FollowedHyperlink"/>
    <w:rsid w:val="006909F2"/>
    <w:rPr>
      <w:color w:val="954F72"/>
      <w:u w:val="single"/>
    </w:rPr>
  </w:style>
  <w:style w:type="character" w:customStyle="1" w:styleId="author">
    <w:name w:val="author"/>
    <w:rsid w:val="00B96068"/>
  </w:style>
  <w:style w:type="character" w:customStyle="1" w:styleId="superscript">
    <w:name w:val="superscript"/>
    <w:rsid w:val="00B96068"/>
  </w:style>
  <w:style w:type="paragraph" w:styleId="ListParagraph">
    <w:name w:val="List Paragraph"/>
    <w:basedOn w:val="Normal"/>
    <w:uiPriority w:val="34"/>
    <w:qFormat/>
    <w:rsid w:val="00431713"/>
    <w:pPr>
      <w:autoSpaceDE/>
      <w:autoSpaceDN/>
      <w:adjustRightInd/>
      <w:ind w:left="720"/>
    </w:pPr>
    <w:rPr>
      <w:rFonts w:ascii="Calibri" w:eastAsia="Calibri" w:hAnsi="Calibri"/>
      <w:sz w:val="22"/>
      <w:szCs w:val="22"/>
    </w:rPr>
  </w:style>
  <w:style w:type="paragraph" w:customStyle="1" w:styleId="ExhibitTitle0">
    <w:name w:val="Exhibit Title"/>
    <w:basedOn w:val="Normal"/>
    <w:uiPriority w:val="99"/>
    <w:rsid w:val="00EF06C2"/>
    <w:pPr>
      <w:keepNext/>
      <w:keepLines/>
      <w:autoSpaceDE/>
      <w:autoSpaceDN/>
      <w:adjustRightInd/>
      <w:ind w:left="1440" w:hanging="1440"/>
    </w:pPr>
    <w:rPr>
      <w:rFonts w:ascii="Courier New" w:hAnsi="Courier New" w:cs="Courier New"/>
      <w:b/>
      <w:bCs/>
      <w:szCs w:val="24"/>
    </w:rPr>
  </w:style>
  <w:style w:type="paragraph" w:customStyle="1" w:styleId="CharCharCharCharCharCharCharCharChar0">
    <w:name w:val="Char Char Char Char Char Char Char Char Char"/>
    <w:basedOn w:val="Normal"/>
    <w:rsid w:val="003B40B3"/>
    <w:pPr>
      <w:autoSpaceDE/>
      <w:autoSpaceDN/>
      <w:adjustRightInd/>
      <w:spacing w:before="80" w:after="80"/>
      <w:ind w:left="4320"/>
      <w:jc w:val="both"/>
    </w:pPr>
    <w:rPr>
      <w:rFonts w:ascii="Arial" w:hAnsi="Arial"/>
      <w:sz w:val="20"/>
      <w:szCs w:val="24"/>
    </w:rPr>
  </w:style>
  <w:style w:type="paragraph" w:customStyle="1" w:styleId="exhibitsource">
    <w:name w:val="exhibit source"/>
    <w:basedOn w:val="Normal"/>
    <w:uiPriority w:val="99"/>
    <w:rsid w:val="00A76D25"/>
    <w:pPr>
      <w:keepLines/>
      <w:autoSpaceDE/>
      <w:autoSpaceDN/>
      <w:adjustRightInd/>
      <w:ind w:left="187" w:hanging="187"/>
    </w:pPr>
    <w:rPr>
      <w:rFonts w:ascii="Courier New" w:hAnsi="Courier New"/>
      <w:sz w:val="22"/>
    </w:rPr>
  </w:style>
  <w:style w:type="paragraph" w:customStyle="1" w:styleId="Pa5">
    <w:name w:val="Pa5"/>
    <w:basedOn w:val="Default"/>
    <w:next w:val="Default"/>
    <w:uiPriority w:val="99"/>
    <w:rsid w:val="005A78C8"/>
    <w:pPr>
      <w:spacing w:line="321" w:lineRule="atLeast"/>
    </w:pPr>
    <w:rPr>
      <w:rFonts w:ascii="ITC Franklin Gothic Std Bk Cd" w:hAnsi="ITC Franklin Gothic Std Bk Cd"/>
      <w:color w:val="auto"/>
    </w:rPr>
  </w:style>
  <w:style w:type="character" w:customStyle="1" w:styleId="A10">
    <w:name w:val="A10"/>
    <w:uiPriority w:val="99"/>
    <w:rsid w:val="005A78C8"/>
    <w:rPr>
      <w:rFonts w:cs="ITC Franklin Gothic Std Bk Cd"/>
      <w:b/>
      <w:bCs/>
      <w:color w:val="000000"/>
      <w:sz w:val="28"/>
      <w:szCs w:val="28"/>
    </w:rPr>
  </w:style>
  <w:style w:type="paragraph" w:customStyle="1" w:styleId="Pa15">
    <w:name w:val="Pa15"/>
    <w:basedOn w:val="Default"/>
    <w:next w:val="Default"/>
    <w:uiPriority w:val="99"/>
    <w:rsid w:val="005A78C8"/>
    <w:pPr>
      <w:spacing w:line="221" w:lineRule="atLeast"/>
    </w:pPr>
    <w:rPr>
      <w:rFonts w:ascii="ITC Franklin Gothic Std Bk Cd" w:hAnsi="ITC Franklin Gothic Std Bk Cd"/>
      <w:color w:val="auto"/>
    </w:rPr>
  </w:style>
  <w:style w:type="paragraph" w:customStyle="1" w:styleId="Pa6">
    <w:name w:val="Pa6"/>
    <w:basedOn w:val="Default"/>
    <w:next w:val="Default"/>
    <w:uiPriority w:val="99"/>
    <w:rsid w:val="00954129"/>
    <w:pPr>
      <w:spacing w:line="281" w:lineRule="atLeast"/>
    </w:pPr>
    <w:rPr>
      <w:rFonts w:ascii="ITC Franklin Gothic Std Bk Cd" w:hAnsi="ITC Franklin Gothic Std Bk Cd"/>
      <w:color w:val="auto"/>
    </w:rPr>
  </w:style>
  <w:style w:type="paragraph" w:customStyle="1" w:styleId="Pa0">
    <w:name w:val="Pa0"/>
    <w:basedOn w:val="Default"/>
    <w:next w:val="Default"/>
    <w:uiPriority w:val="99"/>
    <w:rsid w:val="007F11E6"/>
    <w:pPr>
      <w:spacing w:line="221" w:lineRule="atLeast"/>
    </w:pPr>
    <w:rPr>
      <w:rFonts w:ascii="ITC Franklin Gothic Std Bk Cd" w:hAnsi="ITC Franklin Gothic Std Bk C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9030">
      <w:bodyDiv w:val="1"/>
      <w:marLeft w:val="0"/>
      <w:marRight w:val="0"/>
      <w:marTop w:val="0"/>
      <w:marBottom w:val="0"/>
      <w:divBdr>
        <w:top w:val="none" w:sz="0" w:space="0" w:color="auto"/>
        <w:left w:val="none" w:sz="0" w:space="0" w:color="auto"/>
        <w:bottom w:val="none" w:sz="0" w:space="0" w:color="auto"/>
        <w:right w:val="none" w:sz="0" w:space="0" w:color="auto"/>
      </w:divBdr>
    </w:div>
    <w:div w:id="147750559">
      <w:bodyDiv w:val="1"/>
      <w:marLeft w:val="0"/>
      <w:marRight w:val="0"/>
      <w:marTop w:val="0"/>
      <w:marBottom w:val="0"/>
      <w:divBdr>
        <w:top w:val="none" w:sz="0" w:space="0" w:color="auto"/>
        <w:left w:val="none" w:sz="0" w:space="0" w:color="auto"/>
        <w:bottom w:val="none" w:sz="0" w:space="0" w:color="auto"/>
        <w:right w:val="none" w:sz="0" w:space="0" w:color="auto"/>
      </w:divBdr>
    </w:div>
    <w:div w:id="388307324">
      <w:bodyDiv w:val="1"/>
      <w:marLeft w:val="0"/>
      <w:marRight w:val="0"/>
      <w:marTop w:val="0"/>
      <w:marBottom w:val="0"/>
      <w:divBdr>
        <w:top w:val="none" w:sz="0" w:space="0" w:color="auto"/>
        <w:left w:val="none" w:sz="0" w:space="0" w:color="auto"/>
        <w:bottom w:val="none" w:sz="0" w:space="0" w:color="auto"/>
        <w:right w:val="none" w:sz="0" w:space="0" w:color="auto"/>
      </w:divBdr>
    </w:div>
    <w:div w:id="636684209">
      <w:bodyDiv w:val="1"/>
      <w:marLeft w:val="0"/>
      <w:marRight w:val="0"/>
      <w:marTop w:val="0"/>
      <w:marBottom w:val="0"/>
      <w:divBdr>
        <w:top w:val="none" w:sz="0" w:space="0" w:color="auto"/>
        <w:left w:val="none" w:sz="0" w:space="0" w:color="auto"/>
        <w:bottom w:val="none" w:sz="0" w:space="0" w:color="auto"/>
        <w:right w:val="none" w:sz="0" w:space="0" w:color="auto"/>
      </w:divBdr>
    </w:div>
    <w:div w:id="753474320">
      <w:bodyDiv w:val="1"/>
      <w:marLeft w:val="0"/>
      <w:marRight w:val="0"/>
      <w:marTop w:val="0"/>
      <w:marBottom w:val="0"/>
      <w:divBdr>
        <w:top w:val="none" w:sz="0" w:space="0" w:color="auto"/>
        <w:left w:val="none" w:sz="0" w:space="0" w:color="auto"/>
        <w:bottom w:val="none" w:sz="0" w:space="0" w:color="auto"/>
        <w:right w:val="none" w:sz="0" w:space="0" w:color="auto"/>
      </w:divBdr>
    </w:div>
    <w:div w:id="801533468">
      <w:bodyDiv w:val="1"/>
      <w:marLeft w:val="0"/>
      <w:marRight w:val="0"/>
      <w:marTop w:val="0"/>
      <w:marBottom w:val="0"/>
      <w:divBdr>
        <w:top w:val="none" w:sz="0" w:space="0" w:color="auto"/>
        <w:left w:val="none" w:sz="0" w:space="0" w:color="auto"/>
        <w:bottom w:val="none" w:sz="0" w:space="0" w:color="auto"/>
        <w:right w:val="none" w:sz="0" w:space="0" w:color="auto"/>
      </w:divBdr>
      <w:divsChild>
        <w:div w:id="797574115">
          <w:marLeft w:val="0"/>
          <w:marRight w:val="0"/>
          <w:marTop w:val="0"/>
          <w:marBottom w:val="0"/>
          <w:divBdr>
            <w:top w:val="none" w:sz="0" w:space="0" w:color="auto"/>
            <w:left w:val="none" w:sz="0" w:space="0" w:color="auto"/>
            <w:bottom w:val="none" w:sz="0" w:space="0" w:color="auto"/>
            <w:right w:val="none" w:sz="0" w:space="0" w:color="auto"/>
          </w:divBdr>
          <w:divsChild>
            <w:div w:id="2121608730">
              <w:marLeft w:val="0"/>
              <w:marRight w:val="0"/>
              <w:marTop w:val="0"/>
              <w:marBottom w:val="0"/>
              <w:divBdr>
                <w:top w:val="none" w:sz="0" w:space="0" w:color="auto"/>
                <w:left w:val="none" w:sz="0" w:space="0" w:color="auto"/>
                <w:bottom w:val="none" w:sz="0" w:space="0" w:color="auto"/>
                <w:right w:val="none" w:sz="0" w:space="0" w:color="auto"/>
              </w:divBdr>
              <w:divsChild>
                <w:div w:id="556472528">
                  <w:marLeft w:val="0"/>
                  <w:marRight w:val="0"/>
                  <w:marTop w:val="0"/>
                  <w:marBottom w:val="0"/>
                  <w:divBdr>
                    <w:top w:val="none" w:sz="0" w:space="0" w:color="auto"/>
                    <w:left w:val="none" w:sz="0" w:space="0" w:color="auto"/>
                    <w:bottom w:val="none" w:sz="0" w:space="0" w:color="auto"/>
                    <w:right w:val="none" w:sz="0" w:space="0" w:color="auto"/>
                  </w:divBdr>
                  <w:divsChild>
                    <w:div w:id="1985810180">
                      <w:marLeft w:val="0"/>
                      <w:marRight w:val="0"/>
                      <w:marTop w:val="0"/>
                      <w:marBottom w:val="0"/>
                      <w:divBdr>
                        <w:top w:val="none" w:sz="0" w:space="0" w:color="auto"/>
                        <w:left w:val="none" w:sz="0" w:space="0" w:color="auto"/>
                        <w:bottom w:val="none" w:sz="0" w:space="0" w:color="auto"/>
                        <w:right w:val="none" w:sz="0" w:space="0" w:color="auto"/>
                      </w:divBdr>
                      <w:divsChild>
                        <w:div w:id="533806664">
                          <w:marLeft w:val="0"/>
                          <w:marRight w:val="0"/>
                          <w:marTop w:val="0"/>
                          <w:marBottom w:val="0"/>
                          <w:divBdr>
                            <w:top w:val="none" w:sz="0" w:space="0" w:color="auto"/>
                            <w:left w:val="none" w:sz="0" w:space="0" w:color="auto"/>
                            <w:bottom w:val="none" w:sz="0" w:space="0" w:color="auto"/>
                            <w:right w:val="none" w:sz="0" w:space="0" w:color="auto"/>
                          </w:divBdr>
                        </w:div>
                        <w:div w:id="1632707136">
                          <w:marLeft w:val="0"/>
                          <w:marRight w:val="0"/>
                          <w:marTop w:val="0"/>
                          <w:marBottom w:val="0"/>
                          <w:divBdr>
                            <w:top w:val="none" w:sz="0" w:space="0" w:color="auto"/>
                            <w:left w:val="none" w:sz="0" w:space="0" w:color="auto"/>
                            <w:bottom w:val="none" w:sz="0" w:space="0" w:color="auto"/>
                            <w:right w:val="none" w:sz="0" w:space="0" w:color="auto"/>
                          </w:divBdr>
                        </w:div>
                        <w:div w:id="19362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454829">
      <w:bodyDiv w:val="1"/>
      <w:marLeft w:val="0"/>
      <w:marRight w:val="0"/>
      <w:marTop w:val="0"/>
      <w:marBottom w:val="0"/>
      <w:divBdr>
        <w:top w:val="none" w:sz="0" w:space="0" w:color="auto"/>
        <w:left w:val="none" w:sz="0" w:space="0" w:color="auto"/>
        <w:bottom w:val="none" w:sz="0" w:space="0" w:color="auto"/>
        <w:right w:val="none" w:sz="0" w:space="0" w:color="auto"/>
      </w:divBdr>
    </w:div>
    <w:div w:id="1045367918">
      <w:bodyDiv w:val="1"/>
      <w:marLeft w:val="0"/>
      <w:marRight w:val="0"/>
      <w:marTop w:val="0"/>
      <w:marBottom w:val="0"/>
      <w:divBdr>
        <w:top w:val="none" w:sz="0" w:space="0" w:color="auto"/>
        <w:left w:val="none" w:sz="0" w:space="0" w:color="auto"/>
        <w:bottom w:val="none" w:sz="0" w:space="0" w:color="auto"/>
        <w:right w:val="none" w:sz="0" w:space="0" w:color="auto"/>
      </w:divBdr>
    </w:div>
    <w:div w:id="1050299775">
      <w:bodyDiv w:val="1"/>
      <w:marLeft w:val="0"/>
      <w:marRight w:val="0"/>
      <w:marTop w:val="0"/>
      <w:marBottom w:val="0"/>
      <w:divBdr>
        <w:top w:val="none" w:sz="0" w:space="0" w:color="auto"/>
        <w:left w:val="none" w:sz="0" w:space="0" w:color="auto"/>
        <w:bottom w:val="none" w:sz="0" w:space="0" w:color="auto"/>
        <w:right w:val="none" w:sz="0" w:space="0" w:color="auto"/>
      </w:divBdr>
      <w:divsChild>
        <w:div w:id="1550918970">
          <w:marLeft w:val="0"/>
          <w:marRight w:val="0"/>
          <w:marTop w:val="0"/>
          <w:marBottom w:val="0"/>
          <w:divBdr>
            <w:top w:val="none" w:sz="0" w:space="0" w:color="auto"/>
            <w:left w:val="none" w:sz="0" w:space="0" w:color="auto"/>
            <w:bottom w:val="none" w:sz="0" w:space="0" w:color="auto"/>
            <w:right w:val="none" w:sz="0" w:space="0" w:color="auto"/>
          </w:divBdr>
          <w:divsChild>
            <w:div w:id="1562862378">
              <w:marLeft w:val="0"/>
              <w:marRight w:val="0"/>
              <w:marTop w:val="0"/>
              <w:marBottom w:val="0"/>
              <w:divBdr>
                <w:top w:val="none" w:sz="0" w:space="0" w:color="auto"/>
                <w:left w:val="none" w:sz="0" w:space="0" w:color="auto"/>
                <w:bottom w:val="none" w:sz="0" w:space="0" w:color="auto"/>
                <w:right w:val="none" w:sz="0" w:space="0" w:color="auto"/>
              </w:divBdr>
              <w:divsChild>
                <w:div w:id="1634212228">
                  <w:marLeft w:val="0"/>
                  <w:marRight w:val="0"/>
                  <w:marTop w:val="0"/>
                  <w:marBottom w:val="0"/>
                  <w:divBdr>
                    <w:top w:val="none" w:sz="0" w:space="0" w:color="auto"/>
                    <w:left w:val="none" w:sz="0" w:space="0" w:color="auto"/>
                    <w:bottom w:val="none" w:sz="0" w:space="0" w:color="auto"/>
                    <w:right w:val="none" w:sz="0" w:space="0" w:color="auto"/>
                  </w:divBdr>
                  <w:divsChild>
                    <w:div w:id="1940946381">
                      <w:marLeft w:val="0"/>
                      <w:marRight w:val="0"/>
                      <w:marTop w:val="0"/>
                      <w:marBottom w:val="0"/>
                      <w:divBdr>
                        <w:top w:val="none" w:sz="0" w:space="0" w:color="auto"/>
                        <w:left w:val="none" w:sz="0" w:space="0" w:color="auto"/>
                        <w:bottom w:val="none" w:sz="0" w:space="0" w:color="auto"/>
                        <w:right w:val="none" w:sz="0" w:space="0" w:color="auto"/>
                      </w:divBdr>
                      <w:divsChild>
                        <w:div w:id="1927154882">
                          <w:marLeft w:val="0"/>
                          <w:marRight w:val="0"/>
                          <w:marTop w:val="0"/>
                          <w:marBottom w:val="0"/>
                          <w:divBdr>
                            <w:top w:val="none" w:sz="0" w:space="0" w:color="auto"/>
                            <w:left w:val="none" w:sz="0" w:space="0" w:color="auto"/>
                            <w:bottom w:val="none" w:sz="0" w:space="0" w:color="auto"/>
                            <w:right w:val="none" w:sz="0" w:space="0" w:color="auto"/>
                          </w:divBdr>
                          <w:divsChild>
                            <w:div w:id="47391493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645381">
      <w:bodyDiv w:val="1"/>
      <w:marLeft w:val="0"/>
      <w:marRight w:val="0"/>
      <w:marTop w:val="0"/>
      <w:marBottom w:val="0"/>
      <w:divBdr>
        <w:top w:val="none" w:sz="0" w:space="0" w:color="auto"/>
        <w:left w:val="none" w:sz="0" w:space="0" w:color="auto"/>
        <w:bottom w:val="none" w:sz="0" w:space="0" w:color="auto"/>
        <w:right w:val="none" w:sz="0" w:space="0" w:color="auto"/>
      </w:divBdr>
    </w:div>
    <w:div w:id="1129856991">
      <w:bodyDiv w:val="1"/>
      <w:marLeft w:val="0"/>
      <w:marRight w:val="0"/>
      <w:marTop w:val="0"/>
      <w:marBottom w:val="0"/>
      <w:divBdr>
        <w:top w:val="none" w:sz="0" w:space="0" w:color="auto"/>
        <w:left w:val="none" w:sz="0" w:space="0" w:color="auto"/>
        <w:bottom w:val="none" w:sz="0" w:space="0" w:color="auto"/>
        <w:right w:val="none" w:sz="0" w:space="0" w:color="auto"/>
      </w:divBdr>
    </w:div>
    <w:div w:id="1195388776">
      <w:bodyDiv w:val="1"/>
      <w:marLeft w:val="0"/>
      <w:marRight w:val="0"/>
      <w:marTop w:val="0"/>
      <w:marBottom w:val="0"/>
      <w:divBdr>
        <w:top w:val="none" w:sz="0" w:space="0" w:color="auto"/>
        <w:left w:val="none" w:sz="0" w:space="0" w:color="auto"/>
        <w:bottom w:val="none" w:sz="0" w:space="0" w:color="auto"/>
        <w:right w:val="none" w:sz="0" w:space="0" w:color="auto"/>
      </w:divBdr>
    </w:div>
    <w:div w:id="1413774280">
      <w:bodyDiv w:val="1"/>
      <w:marLeft w:val="0"/>
      <w:marRight w:val="0"/>
      <w:marTop w:val="0"/>
      <w:marBottom w:val="0"/>
      <w:divBdr>
        <w:top w:val="none" w:sz="0" w:space="0" w:color="auto"/>
        <w:left w:val="none" w:sz="0" w:space="0" w:color="auto"/>
        <w:bottom w:val="none" w:sz="0" w:space="0" w:color="auto"/>
        <w:right w:val="none" w:sz="0" w:space="0" w:color="auto"/>
      </w:divBdr>
    </w:div>
    <w:div w:id="1425150027">
      <w:bodyDiv w:val="1"/>
      <w:marLeft w:val="0"/>
      <w:marRight w:val="0"/>
      <w:marTop w:val="0"/>
      <w:marBottom w:val="0"/>
      <w:divBdr>
        <w:top w:val="none" w:sz="0" w:space="0" w:color="auto"/>
        <w:left w:val="none" w:sz="0" w:space="0" w:color="auto"/>
        <w:bottom w:val="none" w:sz="0" w:space="0" w:color="auto"/>
        <w:right w:val="none" w:sz="0" w:space="0" w:color="auto"/>
      </w:divBdr>
    </w:div>
    <w:div w:id="1499733678">
      <w:bodyDiv w:val="1"/>
      <w:marLeft w:val="0"/>
      <w:marRight w:val="0"/>
      <w:marTop w:val="0"/>
      <w:marBottom w:val="0"/>
      <w:divBdr>
        <w:top w:val="none" w:sz="0" w:space="0" w:color="auto"/>
        <w:left w:val="none" w:sz="0" w:space="0" w:color="auto"/>
        <w:bottom w:val="none" w:sz="0" w:space="0" w:color="auto"/>
        <w:right w:val="none" w:sz="0" w:space="0" w:color="auto"/>
      </w:divBdr>
    </w:div>
    <w:div w:id="1531142646">
      <w:bodyDiv w:val="1"/>
      <w:marLeft w:val="0"/>
      <w:marRight w:val="0"/>
      <w:marTop w:val="0"/>
      <w:marBottom w:val="0"/>
      <w:divBdr>
        <w:top w:val="none" w:sz="0" w:space="0" w:color="auto"/>
        <w:left w:val="none" w:sz="0" w:space="0" w:color="auto"/>
        <w:bottom w:val="none" w:sz="0" w:space="0" w:color="auto"/>
        <w:right w:val="none" w:sz="0" w:space="0" w:color="auto"/>
      </w:divBdr>
      <w:divsChild>
        <w:div w:id="804858188">
          <w:marLeft w:val="0"/>
          <w:marRight w:val="0"/>
          <w:marTop w:val="0"/>
          <w:marBottom w:val="0"/>
          <w:divBdr>
            <w:top w:val="none" w:sz="0" w:space="0" w:color="auto"/>
            <w:left w:val="none" w:sz="0" w:space="0" w:color="auto"/>
            <w:bottom w:val="none" w:sz="0" w:space="0" w:color="auto"/>
            <w:right w:val="none" w:sz="0" w:space="0" w:color="auto"/>
          </w:divBdr>
          <w:divsChild>
            <w:div w:id="233050912">
              <w:marLeft w:val="0"/>
              <w:marRight w:val="0"/>
              <w:marTop w:val="0"/>
              <w:marBottom w:val="0"/>
              <w:divBdr>
                <w:top w:val="none" w:sz="0" w:space="0" w:color="auto"/>
                <w:left w:val="none" w:sz="0" w:space="0" w:color="auto"/>
                <w:bottom w:val="none" w:sz="0" w:space="0" w:color="auto"/>
                <w:right w:val="none" w:sz="0" w:space="0" w:color="auto"/>
              </w:divBdr>
              <w:divsChild>
                <w:div w:id="534542471">
                  <w:marLeft w:val="0"/>
                  <w:marRight w:val="0"/>
                  <w:marTop w:val="0"/>
                  <w:marBottom w:val="0"/>
                  <w:divBdr>
                    <w:top w:val="none" w:sz="0" w:space="0" w:color="auto"/>
                    <w:left w:val="none" w:sz="0" w:space="0" w:color="auto"/>
                    <w:bottom w:val="none" w:sz="0" w:space="0" w:color="auto"/>
                    <w:right w:val="none" w:sz="0" w:space="0" w:color="auto"/>
                  </w:divBdr>
                  <w:divsChild>
                    <w:div w:id="313799858">
                      <w:marLeft w:val="0"/>
                      <w:marRight w:val="0"/>
                      <w:marTop w:val="0"/>
                      <w:marBottom w:val="0"/>
                      <w:divBdr>
                        <w:top w:val="none" w:sz="0" w:space="0" w:color="auto"/>
                        <w:left w:val="none" w:sz="0" w:space="0" w:color="auto"/>
                        <w:bottom w:val="none" w:sz="0" w:space="0" w:color="auto"/>
                        <w:right w:val="none" w:sz="0" w:space="0" w:color="auto"/>
                      </w:divBdr>
                      <w:divsChild>
                        <w:div w:id="1495030807">
                          <w:marLeft w:val="0"/>
                          <w:marRight w:val="0"/>
                          <w:marTop w:val="0"/>
                          <w:marBottom w:val="0"/>
                          <w:divBdr>
                            <w:top w:val="none" w:sz="0" w:space="0" w:color="auto"/>
                            <w:left w:val="none" w:sz="0" w:space="0" w:color="auto"/>
                            <w:bottom w:val="none" w:sz="0" w:space="0" w:color="auto"/>
                            <w:right w:val="none" w:sz="0" w:space="0" w:color="auto"/>
                          </w:divBdr>
                          <w:divsChild>
                            <w:div w:id="2898977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306320">
      <w:bodyDiv w:val="1"/>
      <w:marLeft w:val="0"/>
      <w:marRight w:val="0"/>
      <w:marTop w:val="0"/>
      <w:marBottom w:val="0"/>
      <w:divBdr>
        <w:top w:val="none" w:sz="0" w:space="0" w:color="auto"/>
        <w:left w:val="none" w:sz="0" w:space="0" w:color="auto"/>
        <w:bottom w:val="none" w:sz="0" w:space="0" w:color="auto"/>
        <w:right w:val="none" w:sz="0" w:space="0" w:color="auto"/>
      </w:divBdr>
    </w:div>
    <w:div w:id="1794783810">
      <w:bodyDiv w:val="1"/>
      <w:marLeft w:val="0"/>
      <w:marRight w:val="0"/>
      <w:marTop w:val="0"/>
      <w:marBottom w:val="0"/>
      <w:divBdr>
        <w:top w:val="none" w:sz="0" w:space="0" w:color="auto"/>
        <w:left w:val="none" w:sz="0" w:space="0" w:color="auto"/>
        <w:bottom w:val="none" w:sz="0" w:space="0" w:color="auto"/>
        <w:right w:val="none" w:sz="0" w:space="0" w:color="auto"/>
      </w:divBdr>
    </w:div>
    <w:div w:id="1813866562">
      <w:bodyDiv w:val="1"/>
      <w:marLeft w:val="0"/>
      <w:marRight w:val="0"/>
      <w:marTop w:val="0"/>
      <w:marBottom w:val="0"/>
      <w:divBdr>
        <w:top w:val="none" w:sz="0" w:space="0" w:color="auto"/>
        <w:left w:val="none" w:sz="0" w:space="0" w:color="auto"/>
        <w:bottom w:val="none" w:sz="0" w:space="0" w:color="auto"/>
        <w:right w:val="none" w:sz="0" w:space="0" w:color="auto"/>
      </w:divBdr>
    </w:div>
    <w:div w:id="19531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367E9-C5EE-4CBE-A438-08D8DCAB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6351</Words>
  <Characters>36723</Characters>
  <Application>Microsoft Office Word</Application>
  <DocSecurity>4</DocSecurity>
  <Lines>306</Lines>
  <Paragraphs>85</Paragraphs>
  <ScaleCrop>false</ScaleCrop>
  <HeadingPairs>
    <vt:vector size="2" baseType="variant">
      <vt:variant>
        <vt:lpstr>Title</vt:lpstr>
      </vt:variant>
      <vt:variant>
        <vt:i4>1</vt:i4>
      </vt:variant>
    </vt:vector>
  </HeadingPairs>
  <TitlesOfParts>
    <vt:vector size="1" baseType="lpstr">
      <vt:lpstr>Formative Research to Inform an HIV Testing Social Marketing Campaign for African American Heterosexual Men</vt:lpstr>
    </vt:vector>
  </TitlesOfParts>
  <Company>RTI International</Company>
  <LinksUpToDate>false</LinksUpToDate>
  <CharactersWithSpaces>42989</CharactersWithSpaces>
  <SharedDoc>false</SharedDoc>
  <HLinks>
    <vt:vector size="24" baseType="variant">
      <vt:variant>
        <vt:i4>6815867</vt:i4>
      </vt:variant>
      <vt:variant>
        <vt:i4>9</vt:i4>
      </vt:variant>
      <vt:variant>
        <vt:i4>0</vt:i4>
      </vt:variant>
      <vt:variant>
        <vt:i4>5</vt:i4>
      </vt:variant>
      <vt:variant>
        <vt:lpwstr>http://www.cdc.gov/hiv/risk/transgender/index.html</vt:lpwstr>
      </vt:variant>
      <vt:variant>
        <vt:lpwstr/>
      </vt:variant>
      <vt:variant>
        <vt:i4>4915214</vt:i4>
      </vt:variant>
      <vt:variant>
        <vt:i4>6</vt:i4>
      </vt:variant>
      <vt:variant>
        <vt:i4>0</vt:i4>
      </vt:variant>
      <vt:variant>
        <vt:i4>5</vt:i4>
      </vt:variant>
      <vt:variant>
        <vt:lpwstr>http://www.cdc.gov/hiv/risk/age/youth/index.html</vt:lpwstr>
      </vt:variant>
      <vt:variant>
        <vt:lpwstr/>
      </vt:variant>
      <vt:variant>
        <vt:i4>8323178</vt:i4>
      </vt:variant>
      <vt:variant>
        <vt:i4>3</vt:i4>
      </vt:variant>
      <vt:variant>
        <vt:i4>0</vt:i4>
      </vt:variant>
      <vt:variant>
        <vt:i4>5</vt:i4>
      </vt:variant>
      <vt:variant>
        <vt:lpwstr>http://www.cdc.gov/hiv/risk/gender/msm/facts/index.html</vt:lpwstr>
      </vt:variant>
      <vt:variant>
        <vt:lpwstr/>
      </vt:variant>
      <vt:variant>
        <vt:i4>4259937</vt:i4>
      </vt:variant>
      <vt:variant>
        <vt:i4>0</vt:i4>
      </vt:variant>
      <vt:variant>
        <vt:i4>0</vt:i4>
      </vt:variant>
      <vt:variant>
        <vt:i4>5</vt:i4>
      </vt:variant>
      <vt:variant>
        <vt:lpwstr>http://www.cdc.gov/hiv/pdf/risk_latino2.pdf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to Inform an HIV Testing Social Marketing Campaign for African American Heterosexual Men</dc:title>
  <dc:subject/>
  <dc:creator>Euna M. August</dc:creator>
  <cp:keywords/>
  <cp:lastModifiedBy>Bonds, Constance (CDC/OID/NCHHSTP)</cp:lastModifiedBy>
  <cp:revision>2</cp:revision>
  <cp:lastPrinted>2016-06-16T14:39:00Z</cp:lastPrinted>
  <dcterms:created xsi:type="dcterms:W3CDTF">2017-02-02T19:07:00Z</dcterms:created>
  <dcterms:modified xsi:type="dcterms:W3CDTF">2017-02-02T19:07:00Z</dcterms:modified>
</cp:coreProperties>
</file>