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623E9" w14:textId="77777777" w:rsidR="00B54B6B" w:rsidRDefault="00B54B6B" w:rsidP="00B54B6B">
      <w:pPr>
        <w:rPr>
          <w:rFonts w:cs="Arial"/>
          <w:b/>
        </w:rPr>
      </w:pPr>
    </w:p>
    <w:p w14:paraId="7FFC4C93" w14:textId="77777777" w:rsidR="00B01AFF" w:rsidRDefault="00B01AFF" w:rsidP="00B54B6B">
      <w:pPr>
        <w:rPr>
          <w:rFonts w:cs="Arial"/>
          <w:b/>
        </w:rPr>
      </w:pPr>
    </w:p>
    <w:p w14:paraId="0D12A6AE" w14:textId="77777777" w:rsidR="00B01AFF" w:rsidRDefault="00B01AFF" w:rsidP="00B54B6B">
      <w:pPr>
        <w:rPr>
          <w:rFonts w:cs="Arial"/>
          <w:b/>
        </w:rPr>
      </w:pPr>
    </w:p>
    <w:p w14:paraId="1F911DAE" w14:textId="77777777" w:rsidR="00B01AFF" w:rsidRDefault="00B01AFF" w:rsidP="00B54B6B">
      <w:pPr>
        <w:rPr>
          <w:rFonts w:cs="Arial"/>
          <w:b/>
        </w:rPr>
      </w:pPr>
    </w:p>
    <w:p w14:paraId="1D2C6618" w14:textId="77777777" w:rsidR="00FB528E" w:rsidRDefault="00B54B6B" w:rsidP="00FB528E">
      <w:pPr>
        <w:jc w:val="center"/>
        <w:rPr>
          <w:rFonts w:cs="Arial"/>
          <w:b/>
        </w:rPr>
      </w:pPr>
      <w:r w:rsidRPr="00DF12B8">
        <w:rPr>
          <w:rFonts w:cs="Arial"/>
          <w:b/>
        </w:rPr>
        <w:t>Supporting Statement</w:t>
      </w:r>
      <w:r w:rsidR="00FB528E">
        <w:rPr>
          <w:rFonts w:cs="Arial"/>
          <w:b/>
        </w:rPr>
        <w:t>:</w:t>
      </w:r>
      <w:r w:rsidR="00FB528E" w:rsidRPr="00FB528E">
        <w:rPr>
          <w:rFonts w:cs="Arial"/>
          <w:b/>
        </w:rPr>
        <w:t xml:space="preserve"> </w:t>
      </w:r>
      <w:r w:rsidR="00FB528E">
        <w:rPr>
          <w:rFonts w:cs="Arial"/>
          <w:b/>
        </w:rPr>
        <w:t>Part B</w:t>
      </w:r>
    </w:p>
    <w:p w14:paraId="4B555DF1" w14:textId="77777777" w:rsidR="00B54B6B" w:rsidRPr="00DF12B8" w:rsidRDefault="00B54B6B" w:rsidP="00B54B6B">
      <w:pPr>
        <w:jc w:val="center"/>
        <w:rPr>
          <w:rFonts w:cs="Arial"/>
          <w:b/>
        </w:rPr>
      </w:pPr>
    </w:p>
    <w:p w14:paraId="2501BB5F" w14:textId="77777777" w:rsidR="00B54B6B" w:rsidRPr="00DF12B8" w:rsidRDefault="00B54B6B" w:rsidP="00B54B6B">
      <w:pPr>
        <w:jc w:val="center"/>
        <w:rPr>
          <w:rFonts w:cs="Arial"/>
          <w:b/>
        </w:rPr>
      </w:pPr>
    </w:p>
    <w:p w14:paraId="4E7DF6AA" w14:textId="1C05FC03" w:rsidR="005457D4" w:rsidRPr="00064AC5" w:rsidRDefault="00696D0C" w:rsidP="005457D4">
      <w:pPr>
        <w:jc w:val="center"/>
        <w:rPr>
          <w:b/>
        </w:rPr>
      </w:pPr>
      <w:r>
        <w:rPr>
          <w:b/>
        </w:rPr>
        <w:t>An Assessment of the State Public Health Actions (“1305”) Program</w:t>
      </w:r>
    </w:p>
    <w:p w14:paraId="516CB8B7" w14:textId="77777777" w:rsidR="007E4397" w:rsidRPr="00064AC5" w:rsidRDefault="007E4397" w:rsidP="007E4397">
      <w:pPr>
        <w:jc w:val="center"/>
        <w:rPr>
          <w:b/>
        </w:rPr>
      </w:pPr>
    </w:p>
    <w:p w14:paraId="52F71FF8" w14:textId="77777777" w:rsidR="007E4397" w:rsidRPr="00064AC5" w:rsidRDefault="007E4397" w:rsidP="007E4397">
      <w:pPr>
        <w:jc w:val="center"/>
        <w:rPr>
          <w:b/>
        </w:rPr>
      </w:pPr>
    </w:p>
    <w:p w14:paraId="6D923E9D" w14:textId="77777777" w:rsidR="007E4397" w:rsidRPr="00064AC5" w:rsidRDefault="007E4397" w:rsidP="007E4397">
      <w:pPr>
        <w:jc w:val="center"/>
      </w:pPr>
      <w:r w:rsidRPr="00064AC5">
        <w:t>Supported by:</w:t>
      </w:r>
    </w:p>
    <w:p w14:paraId="1E78FEDB" w14:textId="77777777" w:rsidR="007E4397" w:rsidRPr="00064AC5" w:rsidRDefault="007E4397" w:rsidP="007E4397">
      <w:pPr>
        <w:jc w:val="center"/>
      </w:pPr>
    </w:p>
    <w:p w14:paraId="22D5C7BD" w14:textId="77777777" w:rsidR="005457D4" w:rsidRPr="00064AC5" w:rsidRDefault="005457D4" w:rsidP="005457D4">
      <w:pPr>
        <w:jc w:val="center"/>
      </w:pPr>
      <w:r w:rsidRPr="00064AC5">
        <w:t>National Center for Chronic Disease Prevention and Health Promotion</w:t>
      </w:r>
    </w:p>
    <w:p w14:paraId="7E5C6FA1" w14:textId="77777777" w:rsidR="005457D4" w:rsidRPr="00064AC5" w:rsidRDefault="005457D4" w:rsidP="005457D4">
      <w:pPr>
        <w:jc w:val="center"/>
      </w:pPr>
      <w:r w:rsidRPr="00064AC5">
        <w:t>Centers for Disease Control and Prevention</w:t>
      </w:r>
    </w:p>
    <w:p w14:paraId="3B3368C0" w14:textId="77777777" w:rsidR="005457D4" w:rsidRPr="00064AC5" w:rsidRDefault="005457D4" w:rsidP="005457D4">
      <w:pPr>
        <w:jc w:val="center"/>
      </w:pPr>
      <w:r w:rsidRPr="00064AC5">
        <w:t>U.S. Public Health Service</w:t>
      </w:r>
    </w:p>
    <w:p w14:paraId="3E4671EE" w14:textId="77777777" w:rsidR="005457D4" w:rsidRPr="00064AC5" w:rsidRDefault="005457D4" w:rsidP="005457D4">
      <w:pPr>
        <w:jc w:val="center"/>
      </w:pPr>
      <w:r w:rsidRPr="00064AC5">
        <w:t>Department of Health and Human Services</w:t>
      </w:r>
    </w:p>
    <w:p w14:paraId="2F8D8BAF" w14:textId="77777777" w:rsidR="005457D4" w:rsidRPr="00064AC5" w:rsidRDefault="005457D4" w:rsidP="005457D4">
      <w:pPr>
        <w:jc w:val="center"/>
      </w:pPr>
    </w:p>
    <w:p w14:paraId="64347258" w14:textId="73AE2F27" w:rsidR="005457D4" w:rsidRPr="00064AC5" w:rsidRDefault="006F3AA4" w:rsidP="005457D4">
      <w:pPr>
        <w:jc w:val="center"/>
        <w:rPr>
          <w:b/>
        </w:rPr>
      </w:pPr>
      <w:r>
        <w:t>May 26</w:t>
      </w:r>
      <w:r w:rsidR="005457D4" w:rsidRPr="00533D58">
        <w:t>, 2016</w:t>
      </w:r>
    </w:p>
    <w:p w14:paraId="4B137588" w14:textId="77777777" w:rsidR="007E4397" w:rsidRPr="00064AC5" w:rsidRDefault="007E4397" w:rsidP="007E4397">
      <w:pPr>
        <w:jc w:val="center"/>
        <w:rPr>
          <w:b/>
        </w:rPr>
      </w:pPr>
    </w:p>
    <w:p w14:paraId="4490BAE6" w14:textId="77777777" w:rsidR="007E4397" w:rsidRPr="00064AC5" w:rsidRDefault="007E4397" w:rsidP="007E4397">
      <w:pPr>
        <w:jc w:val="center"/>
        <w:rPr>
          <w:b/>
        </w:rPr>
      </w:pPr>
    </w:p>
    <w:p w14:paraId="7F5ED0E2" w14:textId="77777777" w:rsidR="007E4397" w:rsidRPr="00064AC5" w:rsidRDefault="007E4397" w:rsidP="007E4397">
      <w:pPr>
        <w:jc w:val="center"/>
        <w:rPr>
          <w:b/>
        </w:rPr>
      </w:pPr>
    </w:p>
    <w:p w14:paraId="73806B4E" w14:textId="77777777" w:rsidR="007E4397" w:rsidRPr="00064AC5" w:rsidRDefault="007E4397" w:rsidP="007E4397">
      <w:pPr>
        <w:jc w:val="center"/>
        <w:rPr>
          <w:b/>
        </w:rPr>
      </w:pPr>
    </w:p>
    <w:p w14:paraId="20A17D42" w14:textId="77777777" w:rsidR="007E4397" w:rsidRPr="00064AC5" w:rsidRDefault="007E4397" w:rsidP="007E4397"/>
    <w:p w14:paraId="6E4F126F" w14:textId="77777777" w:rsidR="007E4397" w:rsidRPr="00064AC5" w:rsidRDefault="007E4397" w:rsidP="007E4397"/>
    <w:p w14:paraId="6A8314C6" w14:textId="77777777" w:rsidR="007E4397" w:rsidRDefault="007E4397" w:rsidP="007E4397"/>
    <w:p w14:paraId="41C0D1DC" w14:textId="77777777" w:rsidR="005F6234" w:rsidRDefault="005F6234" w:rsidP="007E4397"/>
    <w:p w14:paraId="1D3FCE46" w14:textId="77777777" w:rsidR="005F6234" w:rsidRPr="00064AC5" w:rsidRDefault="005F6234" w:rsidP="007E4397"/>
    <w:p w14:paraId="33D915BE" w14:textId="77777777" w:rsidR="007E4397" w:rsidRPr="00064AC5" w:rsidRDefault="007E4397" w:rsidP="007E4397"/>
    <w:p w14:paraId="2A23EA59" w14:textId="77777777" w:rsidR="007E4397" w:rsidRPr="00064AC5" w:rsidRDefault="007E4397" w:rsidP="007E4397"/>
    <w:p w14:paraId="3EE22762" w14:textId="77777777" w:rsidR="007E4397" w:rsidRPr="00064AC5" w:rsidRDefault="007E4397" w:rsidP="007E4397"/>
    <w:p w14:paraId="050DA648" w14:textId="77777777" w:rsidR="007E4397" w:rsidRPr="00064AC5" w:rsidRDefault="007E4397" w:rsidP="007E4397">
      <w:r w:rsidRPr="00064AC5">
        <w:t>Government Project Officer:</w:t>
      </w:r>
    </w:p>
    <w:p w14:paraId="77B0DD2A" w14:textId="77777777" w:rsidR="007E4397" w:rsidRPr="00064AC5" w:rsidRDefault="007E4397" w:rsidP="007E4397"/>
    <w:p w14:paraId="57217943" w14:textId="229040A7" w:rsidR="005457D4" w:rsidRPr="00064AC5" w:rsidRDefault="005457D4" w:rsidP="005457D4">
      <w:r>
        <w:t>Rachel Davis</w:t>
      </w:r>
      <w:r w:rsidRPr="00064AC5">
        <w:t xml:space="preserve">, </w:t>
      </w:r>
      <w:r w:rsidR="0026442D">
        <w:t>MPH</w:t>
      </w:r>
    </w:p>
    <w:p w14:paraId="3A35D37C" w14:textId="130D0B28" w:rsidR="005457D4" w:rsidRPr="00064AC5" w:rsidRDefault="0026442D" w:rsidP="005457D4">
      <w:r>
        <w:t>Health Scientist</w:t>
      </w:r>
    </w:p>
    <w:p w14:paraId="3DFF1536" w14:textId="77777777" w:rsidR="005457D4" w:rsidRDefault="005457D4" w:rsidP="005457D4">
      <w:r>
        <w:t>Applied Research and Evaluation Branch</w:t>
      </w:r>
    </w:p>
    <w:p w14:paraId="7DDD984C" w14:textId="77777777" w:rsidR="005457D4" w:rsidRPr="00064AC5" w:rsidRDefault="005457D4" w:rsidP="005457D4">
      <w:r>
        <w:t>Division for Heart Disease and Stroke Prevention</w:t>
      </w:r>
    </w:p>
    <w:p w14:paraId="39289A17" w14:textId="77777777" w:rsidR="005457D4" w:rsidRPr="00064AC5" w:rsidRDefault="005457D4" w:rsidP="005457D4">
      <w:r w:rsidRPr="00064AC5">
        <w:t>National Center for Chronic Disease Prevention and Health Promotion</w:t>
      </w:r>
    </w:p>
    <w:p w14:paraId="65AC2F35" w14:textId="77777777" w:rsidR="005457D4" w:rsidRPr="00DF416D" w:rsidRDefault="005457D4" w:rsidP="005457D4">
      <w:r w:rsidRPr="00DF416D">
        <w:t>Centers for Disease Control and Prevention</w:t>
      </w:r>
    </w:p>
    <w:p w14:paraId="199BEFB4" w14:textId="77777777" w:rsidR="005457D4" w:rsidRDefault="005457D4" w:rsidP="005457D4">
      <w:r>
        <w:t xml:space="preserve">4770 Buford Hwy NE, MS-F75 </w:t>
      </w:r>
    </w:p>
    <w:p w14:paraId="0E479201" w14:textId="77777777" w:rsidR="005457D4" w:rsidRDefault="005457D4" w:rsidP="005457D4">
      <w:r>
        <w:t>Atlanta, GA 30341-3717</w:t>
      </w:r>
    </w:p>
    <w:p w14:paraId="6AB8DA05" w14:textId="77777777" w:rsidR="005457D4" w:rsidRPr="00064AC5" w:rsidRDefault="005457D4" w:rsidP="005457D4">
      <w:r w:rsidRPr="00064AC5">
        <w:t xml:space="preserve">OFFICE: </w:t>
      </w:r>
      <w:r>
        <w:t>770-488-4825</w:t>
      </w:r>
    </w:p>
    <w:p w14:paraId="5090F1B8" w14:textId="77777777" w:rsidR="00D311F1" w:rsidRDefault="005457D4" w:rsidP="005457D4">
      <w:pPr>
        <w:spacing w:line="360" w:lineRule="auto"/>
        <w:ind w:left="540" w:hanging="540"/>
        <w:rPr>
          <w:rFonts w:cs="Arial"/>
        </w:rPr>
      </w:pPr>
      <w:r>
        <w:t>FAX: 770-488-8305</w:t>
      </w:r>
      <w:r w:rsidR="00B54B6B" w:rsidRPr="00DF12B8">
        <w:rPr>
          <w:rFonts w:cs="Arial"/>
        </w:rPr>
        <w:br w:type="page"/>
      </w:r>
      <w:r w:rsidR="00D311F1" w:rsidRPr="00153440">
        <w:rPr>
          <w:rFonts w:cs="Arial"/>
          <w:b/>
        </w:rPr>
        <w:lastRenderedPageBreak/>
        <w:t>Table of Contents</w:t>
      </w:r>
    </w:p>
    <w:p w14:paraId="6395FC01" w14:textId="77777777" w:rsidR="00D311F1" w:rsidRDefault="00D311F1" w:rsidP="00D311F1">
      <w:pPr>
        <w:spacing w:line="360" w:lineRule="auto"/>
        <w:ind w:left="540" w:hanging="540"/>
        <w:rPr>
          <w:rFonts w:cs="Arial"/>
        </w:rPr>
      </w:pPr>
    </w:p>
    <w:p w14:paraId="0BF19C3E" w14:textId="77777777" w:rsidR="00D311F1" w:rsidRDefault="00D311F1" w:rsidP="00D311F1">
      <w:pPr>
        <w:spacing w:line="360" w:lineRule="auto"/>
        <w:ind w:left="540" w:hanging="540"/>
        <w:rPr>
          <w:rFonts w:cs="Arial"/>
          <w:b/>
        </w:rPr>
      </w:pPr>
      <w:r w:rsidRPr="00153440">
        <w:rPr>
          <w:rFonts w:cs="Arial"/>
          <w:b/>
        </w:rPr>
        <w:t>Part B:</w:t>
      </w:r>
      <w:r w:rsidRPr="00DF12B8">
        <w:rPr>
          <w:rFonts w:cs="Arial"/>
        </w:rPr>
        <w:t xml:space="preserve">  </w:t>
      </w:r>
      <w:r w:rsidRPr="00DF12B8">
        <w:rPr>
          <w:rFonts w:cs="Arial"/>
          <w:b/>
        </w:rPr>
        <w:t xml:space="preserve">Collection of Information Employing Statistical </w:t>
      </w:r>
      <w:r>
        <w:rPr>
          <w:rFonts w:cs="Arial"/>
          <w:b/>
        </w:rPr>
        <w:t>M</w:t>
      </w:r>
      <w:r w:rsidRPr="00DF12B8">
        <w:rPr>
          <w:rFonts w:cs="Arial"/>
          <w:b/>
        </w:rPr>
        <w:t>ethods</w:t>
      </w:r>
    </w:p>
    <w:p w14:paraId="4F039CE3" w14:textId="77777777" w:rsidR="00D311F1" w:rsidRPr="00DF12B8" w:rsidRDefault="00D311F1" w:rsidP="00D311F1">
      <w:pPr>
        <w:spacing w:line="360" w:lineRule="auto"/>
        <w:ind w:left="540" w:hanging="540"/>
        <w:rPr>
          <w:rFonts w:cs="Arial"/>
        </w:rPr>
      </w:pPr>
      <w:r w:rsidRPr="00DF12B8">
        <w:rPr>
          <w:rFonts w:cs="Arial"/>
        </w:rPr>
        <w:t>B1.</w:t>
      </w:r>
      <w:r>
        <w:rPr>
          <w:rFonts w:cs="Arial"/>
        </w:rPr>
        <w:tab/>
      </w:r>
      <w:r w:rsidRPr="00DF12B8">
        <w:rPr>
          <w:rFonts w:cs="Arial"/>
        </w:rPr>
        <w:t>Respondent Universe and Sampling Methods</w:t>
      </w:r>
    </w:p>
    <w:p w14:paraId="58A68A4D" w14:textId="77777777" w:rsidR="00D311F1" w:rsidRPr="00DF12B8" w:rsidRDefault="00D311F1" w:rsidP="00D311F1">
      <w:pPr>
        <w:spacing w:line="360" w:lineRule="auto"/>
        <w:ind w:left="540" w:hanging="540"/>
        <w:rPr>
          <w:rFonts w:cs="Arial"/>
        </w:rPr>
      </w:pPr>
      <w:r w:rsidRPr="00DF12B8">
        <w:rPr>
          <w:rFonts w:cs="Arial"/>
        </w:rPr>
        <w:t>B2.</w:t>
      </w:r>
      <w:r>
        <w:rPr>
          <w:rFonts w:cs="Arial"/>
        </w:rPr>
        <w:tab/>
      </w:r>
      <w:r w:rsidRPr="00DF12B8">
        <w:rPr>
          <w:rFonts w:cs="Arial"/>
        </w:rPr>
        <w:t>Procedures for Collection of Information</w:t>
      </w:r>
    </w:p>
    <w:p w14:paraId="0814A403" w14:textId="77777777" w:rsidR="00D311F1" w:rsidRPr="00DF12B8" w:rsidRDefault="00D311F1" w:rsidP="00D311F1">
      <w:pPr>
        <w:spacing w:line="360" w:lineRule="auto"/>
        <w:ind w:left="540" w:hanging="540"/>
        <w:rPr>
          <w:rFonts w:cs="Arial"/>
        </w:rPr>
      </w:pPr>
      <w:r w:rsidRPr="00DF12B8">
        <w:rPr>
          <w:rFonts w:cs="Arial"/>
        </w:rPr>
        <w:t>B3.</w:t>
      </w:r>
      <w:r>
        <w:rPr>
          <w:rFonts w:cs="Arial"/>
        </w:rPr>
        <w:tab/>
      </w:r>
      <w:r w:rsidRPr="00DF12B8">
        <w:rPr>
          <w:rFonts w:cs="Arial"/>
        </w:rPr>
        <w:t>Methods to Maximize Response Rates and Deal with Nonresponse</w:t>
      </w:r>
    </w:p>
    <w:p w14:paraId="1AE4BA1E" w14:textId="77777777" w:rsidR="00D311F1" w:rsidRPr="00DF12B8" w:rsidRDefault="00D311F1" w:rsidP="00D311F1">
      <w:pPr>
        <w:spacing w:line="360" w:lineRule="auto"/>
        <w:ind w:left="540" w:hanging="540"/>
        <w:rPr>
          <w:rFonts w:cs="Arial"/>
        </w:rPr>
      </w:pPr>
      <w:r w:rsidRPr="00DF12B8">
        <w:rPr>
          <w:rFonts w:cs="Arial"/>
        </w:rPr>
        <w:t>B4.</w:t>
      </w:r>
      <w:r>
        <w:rPr>
          <w:rFonts w:cs="Arial"/>
        </w:rPr>
        <w:tab/>
      </w:r>
      <w:r w:rsidRPr="00DF12B8">
        <w:rPr>
          <w:rFonts w:cs="Arial"/>
        </w:rPr>
        <w:t>Tests of Procedures or Methods to be Undertaken</w:t>
      </w:r>
    </w:p>
    <w:p w14:paraId="53C4DF1F" w14:textId="77777777" w:rsidR="00D311F1" w:rsidRPr="00DF12B8" w:rsidRDefault="00D311F1" w:rsidP="00D311F1">
      <w:pPr>
        <w:spacing w:line="360" w:lineRule="auto"/>
        <w:ind w:left="540" w:hanging="540"/>
        <w:rPr>
          <w:rFonts w:cs="Arial"/>
        </w:rPr>
      </w:pPr>
      <w:r w:rsidRPr="00DF12B8">
        <w:rPr>
          <w:rFonts w:cs="Arial"/>
        </w:rPr>
        <w:t>B5.</w:t>
      </w:r>
      <w:r>
        <w:rPr>
          <w:rFonts w:cs="Arial"/>
        </w:rPr>
        <w:tab/>
      </w:r>
      <w:r w:rsidRPr="00DF12B8">
        <w:rPr>
          <w:rFonts w:cs="Arial"/>
        </w:rPr>
        <w:t>Individuals Consulted on Statistical Aspects and Individual</w:t>
      </w:r>
      <w:r>
        <w:rPr>
          <w:rFonts w:cs="Arial"/>
        </w:rPr>
        <w:t>s</w:t>
      </w:r>
      <w:r w:rsidRPr="00DF12B8">
        <w:rPr>
          <w:rFonts w:cs="Arial"/>
        </w:rPr>
        <w:t xml:space="preserve"> Collecting and/or Analyzing Data</w:t>
      </w:r>
    </w:p>
    <w:p w14:paraId="42B09A61" w14:textId="77777777" w:rsidR="00D311F1" w:rsidRPr="00DF12B8" w:rsidRDefault="00D311F1" w:rsidP="00D311F1">
      <w:pPr>
        <w:spacing w:line="360" w:lineRule="auto"/>
        <w:ind w:left="540" w:hanging="540"/>
        <w:rPr>
          <w:rFonts w:cs="Arial"/>
        </w:rPr>
      </w:pPr>
    </w:p>
    <w:p w14:paraId="0C1F4738" w14:textId="77777777" w:rsidR="0068559E" w:rsidRPr="00282F3A" w:rsidRDefault="005457D4" w:rsidP="0068559E">
      <w:pPr>
        <w:spacing w:line="360" w:lineRule="auto"/>
      </w:pPr>
      <w:r w:rsidRPr="00282F3A">
        <w:rPr>
          <w:b/>
        </w:rPr>
        <w:t>Attachments</w:t>
      </w:r>
    </w:p>
    <w:p w14:paraId="0CDF0A03" w14:textId="77777777" w:rsidR="00FF0C13" w:rsidRPr="00282F3A" w:rsidRDefault="00FF0C13" w:rsidP="00FF0C13">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1</w:t>
      </w:r>
      <w:r w:rsidRPr="00282F3A">
        <w:rPr>
          <w:rFonts w:ascii="Times New Roman" w:hAnsi="Times New Roman"/>
          <w:color w:val="000000"/>
          <w:sz w:val="24"/>
          <w:szCs w:val="24"/>
        </w:rPr>
        <w:tab/>
        <w:t>Authorizing Legislation: Public Health Service Act, Research and Investigation</w:t>
      </w:r>
    </w:p>
    <w:p w14:paraId="638FC976" w14:textId="7C53F269" w:rsidR="00FF0C13" w:rsidRDefault="00FF0C13" w:rsidP="00FF0C13">
      <w:pPr>
        <w:pStyle w:val="ListParagraph"/>
        <w:spacing w:after="0" w:line="240" w:lineRule="auto"/>
        <w:ind w:hanging="720"/>
        <w:rPr>
          <w:rFonts w:ascii="Times New Roman" w:hAnsi="Times New Roman"/>
          <w:bCs/>
          <w:color w:val="000000"/>
          <w:sz w:val="24"/>
          <w:szCs w:val="24"/>
        </w:rPr>
      </w:pPr>
      <w:r w:rsidRPr="00282F3A">
        <w:rPr>
          <w:rFonts w:ascii="Times New Roman" w:hAnsi="Times New Roman"/>
          <w:color w:val="000000"/>
          <w:sz w:val="24"/>
          <w:szCs w:val="24"/>
        </w:rPr>
        <w:t>2</w:t>
      </w:r>
      <w:r w:rsidR="006F3AA4">
        <w:rPr>
          <w:rFonts w:ascii="Times New Roman" w:hAnsi="Times New Roman"/>
          <w:color w:val="000000"/>
          <w:sz w:val="24"/>
          <w:szCs w:val="24"/>
        </w:rPr>
        <w:t>a</w:t>
      </w:r>
      <w:r w:rsidRPr="00282F3A">
        <w:rPr>
          <w:rFonts w:ascii="Times New Roman" w:hAnsi="Times New Roman"/>
          <w:color w:val="000000"/>
          <w:sz w:val="24"/>
          <w:szCs w:val="24"/>
        </w:rPr>
        <w:tab/>
      </w:r>
      <w:r w:rsidRPr="00282F3A">
        <w:rPr>
          <w:rFonts w:ascii="Times New Roman" w:hAnsi="Times New Roman"/>
          <w:bCs/>
          <w:color w:val="000000"/>
          <w:sz w:val="24"/>
          <w:szCs w:val="24"/>
        </w:rPr>
        <w:t>Federal Register Notice</w:t>
      </w:r>
    </w:p>
    <w:p w14:paraId="1E30B2CC" w14:textId="77777777" w:rsidR="00FF0C13" w:rsidRPr="00292794" w:rsidRDefault="00FF0C13" w:rsidP="00FF0C13">
      <w:pPr>
        <w:rPr>
          <w:bCs/>
        </w:rPr>
      </w:pPr>
      <w:r w:rsidRPr="001066EF">
        <w:rPr>
          <w:bCs/>
        </w:rPr>
        <w:t>2</w:t>
      </w:r>
      <w:r>
        <w:rPr>
          <w:bCs/>
        </w:rPr>
        <w:t xml:space="preserve">b </w:t>
      </w:r>
      <w:r>
        <w:rPr>
          <w:bCs/>
        </w:rPr>
        <w:tab/>
      </w:r>
      <w:r w:rsidRPr="001066EF">
        <w:t xml:space="preserve">Summary of Public Comments and CDC Response </w:t>
      </w:r>
    </w:p>
    <w:p w14:paraId="4D480A69" w14:textId="77777777" w:rsidR="00FF0C13" w:rsidRDefault="00FF0C13" w:rsidP="00FF0C13">
      <w:pPr>
        <w:pStyle w:val="ListParagraph"/>
        <w:spacing w:after="0" w:line="240" w:lineRule="auto"/>
        <w:ind w:hanging="720"/>
        <w:rPr>
          <w:rFonts w:ascii="Times New Roman" w:hAnsi="Times New Roman"/>
          <w:color w:val="000000"/>
          <w:sz w:val="24"/>
          <w:szCs w:val="24"/>
        </w:rPr>
      </w:pPr>
      <w:r w:rsidRPr="00282F3A">
        <w:rPr>
          <w:rFonts w:ascii="Times New Roman" w:hAnsi="Times New Roman"/>
          <w:color w:val="000000"/>
          <w:sz w:val="24"/>
          <w:szCs w:val="24"/>
        </w:rPr>
        <w:t xml:space="preserve">3 </w:t>
      </w:r>
      <w:r w:rsidRPr="00282F3A">
        <w:rPr>
          <w:rFonts w:ascii="Times New Roman" w:hAnsi="Times New Roman"/>
          <w:color w:val="000000"/>
          <w:sz w:val="24"/>
          <w:szCs w:val="24"/>
        </w:rPr>
        <w:tab/>
      </w:r>
      <w:r>
        <w:rPr>
          <w:rFonts w:ascii="Times New Roman" w:hAnsi="Times New Roman"/>
          <w:color w:val="000000"/>
          <w:sz w:val="24"/>
          <w:szCs w:val="24"/>
        </w:rPr>
        <w:t>State Public Health Actions 1305 Logic Model</w:t>
      </w:r>
    </w:p>
    <w:p w14:paraId="5FC430DD" w14:textId="77777777" w:rsidR="00FF0C13" w:rsidRDefault="00FF0C13" w:rsidP="00FF0C13">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Evaluation Questions, Indicators, and Synergy Survey Topics</w:t>
      </w:r>
    </w:p>
    <w:p w14:paraId="04937C82" w14:textId="77777777" w:rsidR="00FF0C13" w:rsidRDefault="00FF0C13" w:rsidP="00FF0C13">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 xml:space="preserve">5 </w:t>
      </w:r>
      <w:r>
        <w:rPr>
          <w:rFonts w:ascii="Times New Roman" w:hAnsi="Times New Roman"/>
          <w:color w:val="000000"/>
          <w:sz w:val="24"/>
          <w:szCs w:val="24"/>
        </w:rPr>
        <w:tab/>
        <w:t>Screenshots of State Synergy Survey</w:t>
      </w:r>
    </w:p>
    <w:p w14:paraId="291C421F" w14:textId="77777777" w:rsidR="00FF0C13" w:rsidRDefault="00FF0C13" w:rsidP="00FF0C13">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6a</w:t>
      </w:r>
      <w:r>
        <w:rPr>
          <w:rFonts w:ascii="Times New Roman" w:hAnsi="Times New Roman"/>
          <w:color w:val="000000"/>
          <w:sz w:val="24"/>
          <w:szCs w:val="24"/>
        </w:rPr>
        <w:tab/>
        <w:t>Advance Notice Blast Email Template</w:t>
      </w:r>
    </w:p>
    <w:p w14:paraId="3C217042" w14:textId="77777777" w:rsidR="00FF0C13" w:rsidRDefault="00FF0C13" w:rsidP="00FF0C13">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6b</w:t>
      </w:r>
      <w:r>
        <w:rPr>
          <w:rFonts w:ascii="Times New Roman" w:hAnsi="Times New Roman"/>
          <w:color w:val="000000"/>
          <w:sz w:val="24"/>
          <w:szCs w:val="24"/>
        </w:rPr>
        <w:tab/>
        <w:t>Participant Email Template</w:t>
      </w:r>
    </w:p>
    <w:p w14:paraId="69DC7B60" w14:textId="77777777" w:rsidR="00FF0C13" w:rsidRDefault="00FF0C13" w:rsidP="00FF0C13">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6c</w:t>
      </w:r>
      <w:r>
        <w:rPr>
          <w:rFonts w:ascii="Times New Roman" w:hAnsi="Times New Roman"/>
          <w:color w:val="000000"/>
          <w:sz w:val="24"/>
          <w:szCs w:val="24"/>
        </w:rPr>
        <w:tab/>
        <w:t>Reminder Email Template</w:t>
      </w:r>
    </w:p>
    <w:p w14:paraId="4A760530" w14:textId="77777777" w:rsidR="00FF0C13" w:rsidRDefault="00FF0C13" w:rsidP="00FF0C13">
      <w:pPr>
        <w:pStyle w:val="ListParagraph"/>
        <w:spacing w:after="0" w:line="240" w:lineRule="auto"/>
        <w:ind w:hanging="720"/>
        <w:rPr>
          <w:rFonts w:ascii="Times New Roman" w:hAnsi="Times New Roman"/>
          <w:color w:val="000000"/>
          <w:sz w:val="24"/>
          <w:szCs w:val="24"/>
        </w:rPr>
      </w:pPr>
      <w:r>
        <w:rPr>
          <w:rFonts w:ascii="Times New Roman" w:hAnsi="Times New Roman"/>
          <w:color w:val="000000"/>
          <w:sz w:val="24"/>
          <w:szCs w:val="24"/>
        </w:rPr>
        <w:t xml:space="preserve">7 </w:t>
      </w:r>
      <w:r>
        <w:rPr>
          <w:rFonts w:ascii="Times New Roman" w:hAnsi="Times New Roman"/>
          <w:color w:val="000000"/>
          <w:sz w:val="24"/>
          <w:szCs w:val="24"/>
        </w:rPr>
        <w:tab/>
        <w:t>IRB Approval Letter</w:t>
      </w:r>
    </w:p>
    <w:p w14:paraId="5E878A31" w14:textId="77777777" w:rsidR="0031121A" w:rsidRDefault="0031121A" w:rsidP="0031121A">
      <w:pPr>
        <w:pStyle w:val="ListParagraph"/>
        <w:spacing w:after="0" w:line="240" w:lineRule="auto"/>
        <w:ind w:left="0"/>
        <w:rPr>
          <w:rFonts w:ascii="Times New Roman" w:hAnsi="Times New Roman"/>
          <w:color w:val="000000"/>
        </w:rPr>
      </w:pPr>
    </w:p>
    <w:p w14:paraId="10CD65DA" w14:textId="106265FF" w:rsidR="005457D4" w:rsidRPr="00064AC5" w:rsidRDefault="0068559E" w:rsidP="00D8368C">
      <w:pPr>
        <w:rPr>
          <w:b/>
        </w:rPr>
      </w:pPr>
      <w:r>
        <w:rPr>
          <w:b/>
        </w:rPr>
        <w:br w:type="page"/>
      </w:r>
    </w:p>
    <w:p w14:paraId="32C90CD3" w14:textId="77777777" w:rsidR="004F01AC" w:rsidRDefault="004F01AC" w:rsidP="00B54B6B">
      <w:pPr>
        <w:rPr>
          <w:rFonts w:cs="Arial"/>
          <w:b/>
        </w:rPr>
      </w:pPr>
    </w:p>
    <w:p w14:paraId="65FDD012" w14:textId="77777777" w:rsidR="00B54B6B" w:rsidRPr="00FC74EB" w:rsidRDefault="00B54B6B" w:rsidP="00B54B6B">
      <w:pPr>
        <w:rPr>
          <w:rFonts w:cs="Arial"/>
          <w:b/>
        </w:rPr>
      </w:pPr>
      <w:r w:rsidRPr="00A5643A">
        <w:rPr>
          <w:rFonts w:cs="Arial"/>
          <w:b/>
        </w:rPr>
        <w:t>Part B:</w:t>
      </w:r>
      <w:r w:rsidRPr="00A5643A">
        <w:rPr>
          <w:rFonts w:cs="Arial"/>
        </w:rPr>
        <w:t xml:space="preserve">  </w:t>
      </w:r>
      <w:r w:rsidRPr="00A5643A">
        <w:rPr>
          <w:rFonts w:cs="Arial"/>
          <w:b/>
        </w:rPr>
        <w:t>Collection of Information Employing Statistical Methods</w:t>
      </w:r>
    </w:p>
    <w:p w14:paraId="55241F13" w14:textId="77777777" w:rsidR="00B54B6B" w:rsidRDefault="00B54B6B" w:rsidP="00B54B6B">
      <w:pPr>
        <w:rPr>
          <w:rFonts w:cs="Arial"/>
        </w:rPr>
      </w:pPr>
    </w:p>
    <w:p w14:paraId="65C90241" w14:textId="3049CD4F" w:rsidR="00B54B6B" w:rsidRPr="00DF12B8" w:rsidRDefault="00B54B6B" w:rsidP="00B54B6B">
      <w:pPr>
        <w:rPr>
          <w:rFonts w:cs="Arial"/>
          <w:b/>
          <w:bCs/>
        </w:rPr>
      </w:pPr>
      <w:r w:rsidRPr="00DF12B8">
        <w:rPr>
          <w:rFonts w:cs="Arial"/>
          <w:b/>
          <w:bCs/>
        </w:rPr>
        <w:t>B1.  Respondent Universe and Sampling Methods</w:t>
      </w:r>
    </w:p>
    <w:p w14:paraId="6B685618" w14:textId="77777777" w:rsidR="00B54B6B" w:rsidRPr="00DF12B8" w:rsidRDefault="00B54B6B" w:rsidP="00B54B6B">
      <w:pPr>
        <w:rPr>
          <w:rFonts w:cs="Arial"/>
          <w:b/>
          <w:bCs/>
        </w:rPr>
      </w:pPr>
    </w:p>
    <w:p w14:paraId="35CF1B2B" w14:textId="4969F39D" w:rsidR="0022292F" w:rsidRDefault="005457D4" w:rsidP="00FF0C13">
      <w:pPr>
        <w:pStyle w:val="ReportBodyText"/>
        <w:spacing w:after="0" w:line="240" w:lineRule="auto"/>
        <w:jc w:val="left"/>
      </w:pPr>
      <w:r>
        <w:t xml:space="preserve">CDC </w:t>
      </w:r>
      <w:r w:rsidR="0068559E">
        <w:t>will</w:t>
      </w:r>
      <w:r>
        <w:t xml:space="preserve"> conduct an assessment of health departments currently funded through the State Public Health Actions 1305 cooperative agreement</w:t>
      </w:r>
      <w:r w:rsidR="00C065FF">
        <w:t>, including all 50 states and the District of Columbia. The purpose of the assessment is to</w:t>
      </w:r>
      <w:r>
        <w:t xml:space="preserve"> increase </w:t>
      </w:r>
      <w:r w:rsidR="00C065FF">
        <w:t xml:space="preserve">CDC’s </w:t>
      </w:r>
      <w:r>
        <w:t>understanding of funded programs’ partnerships and synergy.</w:t>
      </w:r>
      <w:r w:rsidR="0068559E">
        <w:t xml:space="preserve"> </w:t>
      </w:r>
      <w:r w:rsidR="00283DFD">
        <w:t xml:space="preserve">Staff in </w:t>
      </w:r>
      <w:r w:rsidR="00917EA0">
        <w:t>funded states</w:t>
      </w:r>
      <w:r w:rsidR="0068559E">
        <w:t xml:space="preserve"> will be recruited to complete </w:t>
      </w:r>
      <w:r w:rsidR="003C4DA0">
        <w:t xml:space="preserve">the </w:t>
      </w:r>
      <w:r w:rsidR="00EA1E3C">
        <w:t>State</w:t>
      </w:r>
      <w:r w:rsidR="003C4DA0">
        <w:t xml:space="preserve"> Synergy Survey, a 32</w:t>
      </w:r>
      <w:r w:rsidR="0068559E">
        <w:t>-item</w:t>
      </w:r>
      <w:r w:rsidR="00CC39CF">
        <w:t xml:space="preserve"> </w:t>
      </w:r>
      <w:r w:rsidR="00C065FF">
        <w:t>questionnaire</w:t>
      </w:r>
      <w:r w:rsidR="0068559E">
        <w:t xml:space="preserve"> designed to explore funded programs’ partnerships and </w:t>
      </w:r>
      <w:r w:rsidR="0068559E" w:rsidRPr="00F64D5D">
        <w:t>synergy (</w:t>
      </w:r>
      <w:r w:rsidR="00FF0C13">
        <w:rPr>
          <w:b/>
        </w:rPr>
        <w:t>Attachment</w:t>
      </w:r>
      <w:r w:rsidR="0068559E" w:rsidRPr="00F64D5D">
        <w:rPr>
          <w:b/>
        </w:rPr>
        <w:t xml:space="preserve"> </w:t>
      </w:r>
      <w:r w:rsidR="00FF0C13">
        <w:rPr>
          <w:b/>
        </w:rPr>
        <w:t>5</w:t>
      </w:r>
      <w:r w:rsidR="0068559E" w:rsidRPr="00F64D5D">
        <w:t>).</w:t>
      </w:r>
      <w:r w:rsidR="0068559E">
        <w:t xml:space="preserve"> </w:t>
      </w:r>
    </w:p>
    <w:p w14:paraId="6D78CA2C" w14:textId="77777777" w:rsidR="005457D4" w:rsidRDefault="005457D4" w:rsidP="00C01091">
      <w:pPr>
        <w:pStyle w:val="ReportBodyText"/>
        <w:spacing w:after="0" w:line="240" w:lineRule="auto"/>
        <w:jc w:val="left"/>
      </w:pPr>
    </w:p>
    <w:p w14:paraId="196634C1" w14:textId="21C4819E" w:rsidR="00C065FF" w:rsidRDefault="00917EA0" w:rsidP="0022292F">
      <w:pPr>
        <w:pStyle w:val="ReportBodyText"/>
        <w:spacing w:after="0" w:line="240" w:lineRule="auto"/>
        <w:jc w:val="left"/>
      </w:pPr>
      <w:r>
        <w:t xml:space="preserve">Using purposive sampling, </w:t>
      </w:r>
      <w:r w:rsidR="00CB5C4F">
        <w:t>CDC will recruit the principal investigator (PI) from each funded program to participate in the survey. In addition, the PI will be provided with detailed guidance to share the survey web link with only those relevant</w:t>
      </w:r>
      <w:r>
        <w:t xml:space="preserve"> program leaders and staff who are directly involved in planning and/or implementation</w:t>
      </w:r>
      <w:r w:rsidR="00CB5C4F">
        <w:t xml:space="preserve"> the State Public Health Actions program</w:t>
      </w:r>
      <w:r w:rsidR="0022292F">
        <w:t xml:space="preserve"> to also complete the survey</w:t>
      </w:r>
      <w:r w:rsidR="00CB5C4F">
        <w:t xml:space="preserve">. </w:t>
      </w:r>
      <w:r w:rsidR="0022292F">
        <w:t>R</w:t>
      </w:r>
      <w:r w:rsidR="005B06AA">
        <w:t>elevant</w:t>
      </w:r>
      <w:r w:rsidR="00CC39CF">
        <w:t xml:space="preserve"> staff will include </w:t>
      </w:r>
      <w:r w:rsidR="005B06AA">
        <w:t>chronic disease directors,</w:t>
      </w:r>
      <w:r w:rsidR="00CC39CF">
        <w:t xml:space="preserve"> evaluators, </w:t>
      </w:r>
      <w:r w:rsidR="005B06AA">
        <w:t xml:space="preserve">epidemiologists, </w:t>
      </w:r>
      <w:r>
        <w:t xml:space="preserve">and </w:t>
      </w:r>
      <w:r w:rsidR="00CC39CF">
        <w:t>p</w:t>
      </w:r>
      <w:r w:rsidR="00C065FF">
        <w:t>rogram staff with subject matter expertise</w:t>
      </w:r>
      <w:r w:rsidR="003272AE">
        <w:t xml:space="preserve"> in one </w:t>
      </w:r>
      <w:r w:rsidR="005B06AA">
        <w:t>or more of the four</w:t>
      </w:r>
      <w:r w:rsidR="003272AE">
        <w:t xml:space="preserve"> categorical areas</w:t>
      </w:r>
      <w:r w:rsidR="00C13373">
        <w:t xml:space="preserve"> (i.e., diabetes; heart disease and stroke; nutrition, physical activity, and obesity; school health)</w:t>
      </w:r>
      <w:r w:rsidR="003C4DA0">
        <w:t>. A</w:t>
      </w:r>
      <w:r w:rsidR="005B06AA">
        <w:t xml:space="preserve"> total of approximately 8 </w:t>
      </w:r>
      <w:r w:rsidR="003C4DA0">
        <w:t>program leaders and staff per site will complete the survey.</w:t>
      </w:r>
      <w:r w:rsidR="006F3AA4">
        <w:t xml:space="preserve"> To obtain a variety of perspectives on program implementation issues, information will be collected from individuals in a variety of roles.</w:t>
      </w:r>
      <w:bookmarkStart w:id="0" w:name="_GoBack"/>
      <w:bookmarkEnd w:id="0"/>
    </w:p>
    <w:p w14:paraId="71E40374" w14:textId="77777777" w:rsidR="00CB5C4F" w:rsidRDefault="00CB5C4F" w:rsidP="00CB5C4F">
      <w:pPr>
        <w:jc w:val="both"/>
      </w:pPr>
    </w:p>
    <w:p w14:paraId="57425D81" w14:textId="4FD371A8" w:rsidR="00360C33" w:rsidRPr="006F3AA4" w:rsidRDefault="00360C33" w:rsidP="00360C33">
      <w:pPr>
        <w:jc w:val="both"/>
      </w:pPr>
      <w:r w:rsidRPr="006F3AA4">
        <w:t>Two cycles of information collection will be conducted over a 2-year period.  Th</w:t>
      </w:r>
      <w:r w:rsidR="008B2EA6" w:rsidRPr="006F3AA4">
        <w:t>e first cycle is scheduled for summer/f</w:t>
      </w:r>
      <w:r w:rsidRPr="006F3AA4">
        <w:t>all 2016 and the</w:t>
      </w:r>
      <w:r w:rsidR="008B2EA6" w:rsidRPr="006F3AA4">
        <w:t xml:space="preserve"> second cycle is scheduled for s</w:t>
      </w:r>
      <w:r w:rsidRPr="006F3AA4">
        <w:t>pring 2018. The annualized number of responses</w:t>
      </w:r>
      <w:r w:rsidR="00826021" w:rsidRPr="006F3AA4">
        <w:t xml:space="preserve"> is 408 responses, as summarized</w:t>
      </w:r>
      <w:r w:rsidRPr="006F3AA4">
        <w:t xml:space="preserve"> in </w:t>
      </w:r>
      <w:r w:rsidRPr="006F3AA4">
        <w:rPr>
          <w:b/>
        </w:rPr>
        <w:t>Table B1</w:t>
      </w:r>
      <w:r w:rsidRPr="006F3AA4">
        <w:t>.</w:t>
      </w:r>
    </w:p>
    <w:p w14:paraId="3E42EB33" w14:textId="70F73893" w:rsidR="00360C33" w:rsidRPr="005A2CC7" w:rsidRDefault="00360C33" w:rsidP="00360C33">
      <w:pPr>
        <w:rPr>
          <w:sz w:val="22"/>
          <w:szCs w:val="22"/>
        </w:rPr>
      </w:pPr>
    </w:p>
    <w:p w14:paraId="2845E7EF" w14:textId="77777777" w:rsidR="00360C33" w:rsidRPr="005A2CC7" w:rsidRDefault="00360C33" w:rsidP="00360C33">
      <w:pPr>
        <w:rPr>
          <w:sz w:val="22"/>
          <w:szCs w:val="22"/>
        </w:rPr>
      </w:pPr>
    </w:p>
    <w:p w14:paraId="1CDF7E96" w14:textId="77777777" w:rsidR="00360C33" w:rsidRPr="005A2CC7" w:rsidRDefault="00360C33" w:rsidP="00360C33">
      <w:pPr>
        <w:rPr>
          <w:sz w:val="22"/>
          <w:szCs w:val="22"/>
        </w:rPr>
      </w:pPr>
    </w:p>
    <w:p w14:paraId="45081443" w14:textId="3450184E" w:rsidR="00360C33" w:rsidRPr="005A2CC7" w:rsidRDefault="00360C33" w:rsidP="00360C33">
      <w:pPr>
        <w:jc w:val="both"/>
        <w:rPr>
          <w:sz w:val="22"/>
          <w:szCs w:val="22"/>
          <w:u w:val="single"/>
        </w:rPr>
      </w:pPr>
      <w:r>
        <w:rPr>
          <w:sz w:val="22"/>
          <w:szCs w:val="22"/>
          <w:u w:val="single"/>
        </w:rPr>
        <w:t xml:space="preserve">Table B1: </w:t>
      </w:r>
      <w:r w:rsidRPr="005A2CC7">
        <w:rPr>
          <w:sz w:val="22"/>
          <w:szCs w:val="22"/>
          <w:u w:val="single"/>
        </w:rPr>
        <w:t>Number of Respondents</w:t>
      </w:r>
      <w:r>
        <w:rPr>
          <w:sz w:val="22"/>
          <w:szCs w:val="22"/>
          <w:u w:val="single"/>
        </w:rPr>
        <w:t xml:space="preserve"> </w:t>
      </w:r>
      <w:r w:rsidR="008B2EA6">
        <w:rPr>
          <w:sz w:val="22"/>
          <w:szCs w:val="22"/>
          <w:u w:val="single"/>
        </w:rPr>
        <w:t>per Cycle of Survey Administrati</w:t>
      </w:r>
      <w:r>
        <w:rPr>
          <w:sz w:val="22"/>
          <w:szCs w:val="22"/>
          <w:u w:val="single"/>
        </w:rPr>
        <w:t>on</w:t>
      </w:r>
      <w:r w:rsidRPr="005A2CC7">
        <w:rPr>
          <w:sz w:val="22"/>
          <w:szCs w:val="22"/>
          <w:u w:val="single"/>
        </w:rPr>
        <w:t>, by Type of Respondent</w:t>
      </w:r>
      <w:r>
        <w:rPr>
          <w:sz w:val="22"/>
          <w:szCs w:val="22"/>
          <w:u w:val="single"/>
        </w:rPr>
        <w:t xml:space="preserve">; Total </w:t>
      </w:r>
      <w:r w:rsidRPr="005A2CC7">
        <w:rPr>
          <w:sz w:val="22"/>
          <w:szCs w:val="22"/>
          <w:u w:val="single"/>
        </w:rPr>
        <w:t>Number of Responses</w:t>
      </w:r>
      <w:r>
        <w:rPr>
          <w:sz w:val="22"/>
          <w:szCs w:val="22"/>
          <w:u w:val="single"/>
        </w:rPr>
        <w:t xml:space="preserve"> Over the 2-Year OMB Approval Period; and</w:t>
      </w:r>
      <w:r w:rsidRPr="005A2CC7">
        <w:rPr>
          <w:sz w:val="22"/>
          <w:szCs w:val="22"/>
          <w:u w:val="single"/>
        </w:rPr>
        <w:t xml:space="preserve"> Annualized </w:t>
      </w:r>
      <w:r>
        <w:rPr>
          <w:sz w:val="22"/>
          <w:szCs w:val="22"/>
          <w:u w:val="single"/>
        </w:rPr>
        <w:t>Number of Responses</w:t>
      </w:r>
    </w:p>
    <w:p w14:paraId="27880E08" w14:textId="77777777" w:rsidR="0022292F" w:rsidRDefault="0022292F" w:rsidP="00CB5C4F">
      <w:pPr>
        <w:jc w:val="both"/>
      </w:pPr>
    </w:p>
    <w:tbl>
      <w:tblPr>
        <w:tblW w:w="96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30"/>
        <w:gridCol w:w="1837"/>
        <w:gridCol w:w="23"/>
        <w:gridCol w:w="1957"/>
        <w:gridCol w:w="23"/>
        <w:gridCol w:w="1597"/>
        <w:gridCol w:w="1980"/>
      </w:tblGrid>
      <w:tr w:rsidR="005B06AA" w:rsidRPr="005B06AA" w14:paraId="490D5043" w14:textId="77777777" w:rsidTr="005B024F">
        <w:trPr>
          <w:cantSplit/>
        </w:trPr>
        <w:tc>
          <w:tcPr>
            <w:tcW w:w="2213" w:type="dxa"/>
            <w:gridSpan w:val="2"/>
            <w:tcBorders>
              <w:top w:val="single" w:sz="4" w:space="0" w:color="auto"/>
              <w:left w:val="single" w:sz="4" w:space="0" w:color="auto"/>
              <w:bottom w:val="single" w:sz="4" w:space="0" w:color="auto"/>
              <w:right w:val="single" w:sz="4" w:space="0" w:color="auto"/>
            </w:tcBorders>
            <w:hideMark/>
          </w:tcPr>
          <w:p w14:paraId="703BD4F3" w14:textId="77777777"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sidRPr="005B06AA">
              <w:rPr>
                <w:rFonts w:ascii="Times New Roman" w:hAnsi="Times New Roman" w:cs="Times New Roman"/>
                <w:color w:val="auto"/>
              </w:rPr>
              <w:t>Type of Respondents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2655A53" w14:textId="77777777"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sidRPr="005B06AA">
              <w:rPr>
                <w:rFonts w:ascii="Times New Roman" w:hAnsi="Times New Roman" w:cs="Times New Roman"/>
                <w:color w:val="auto"/>
              </w:rPr>
              <w:t>Number of Respondents in 2016</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546F94B" w14:textId="77777777"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sidRPr="005B06AA">
              <w:rPr>
                <w:rFonts w:ascii="Times New Roman" w:hAnsi="Times New Roman" w:cs="Times New Roman"/>
                <w:color w:val="auto"/>
              </w:rPr>
              <w:t>Number of Respondents in 2018</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D6959A" w14:textId="12E2B2CB"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sidRPr="005B06AA">
              <w:rPr>
                <w:rFonts w:ascii="Times New Roman" w:hAnsi="Times New Roman" w:cs="Times New Roman"/>
                <w:color w:val="auto"/>
              </w:rPr>
              <w:t>Total Number of Responses</w:t>
            </w:r>
            <w:r w:rsidR="00360C33">
              <w:rPr>
                <w:rFonts w:ascii="Times New Roman" w:hAnsi="Times New Roman" w:cs="Times New Roman"/>
                <w:color w:val="auto"/>
              </w:rPr>
              <w:t xml:space="preserve"> Over 2 Years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936093E" w14:textId="77777777"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sidRPr="005B06AA">
              <w:rPr>
                <w:rFonts w:ascii="Times New Roman" w:hAnsi="Times New Roman" w:cs="Times New Roman"/>
                <w:color w:val="auto"/>
              </w:rPr>
              <w:t>Annualized Number of Responses</w:t>
            </w:r>
          </w:p>
        </w:tc>
      </w:tr>
      <w:tr w:rsidR="005B06AA" w:rsidRPr="005B06AA" w14:paraId="7CE76E95" w14:textId="77777777" w:rsidTr="005B024F">
        <w:trPr>
          <w:cantSplit/>
        </w:trPr>
        <w:tc>
          <w:tcPr>
            <w:tcW w:w="2213" w:type="dxa"/>
            <w:gridSpan w:val="2"/>
            <w:tcBorders>
              <w:top w:val="single" w:sz="4" w:space="0" w:color="auto"/>
              <w:left w:val="single" w:sz="4" w:space="0" w:color="auto"/>
              <w:bottom w:val="single" w:sz="4" w:space="0" w:color="auto"/>
              <w:right w:val="single" w:sz="4" w:space="0" w:color="auto"/>
            </w:tcBorders>
            <w:vAlign w:val="center"/>
          </w:tcPr>
          <w:p w14:paraId="1ECCF1C9" w14:textId="682A3B2A"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sidRPr="005B06AA">
              <w:rPr>
                <w:rFonts w:ascii="Times New Roman" w:hAnsi="Times New Roman" w:cs="Times New Roman"/>
                <w:color w:val="auto"/>
              </w:rPr>
              <w:t>Principal Investigators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7645E86" w14:textId="18F919B2"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08AFE7E" w14:textId="3E5BB738"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F51EA03" w14:textId="500C6DE7"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102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8B3E72" w14:textId="2AD32ADB" w:rsidR="005B06AA" w:rsidRPr="005B06AA" w:rsidRDefault="005B06AA" w:rsidP="005B024F">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r>
      <w:tr w:rsidR="005B06AA" w:rsidRPr="005B06AA" w14:paraId="3A286B31" w14:textId="77777777" w:rsidTr="005B024F">
        <w:trPr>
          <w:cantSplit/>
        </w:trPr>
        <w:tc>
          <w:tcPr>
            <w:tcW w:w="2213" w:type="dxa"/>
            <w:gridSpan w:val="2"/>
            <w:tcBorders>
              <w:top w:val="single" w:sz="4" w:space="0" w:color="auto"/>
              <w:left w:val="single" w:sz="4" w:space="0" w:color="auto"/>
              <w:bottom w:val="single" w:sz="4" w:space="0" w:color="auto"/>
              <w:right w:val="single" w:sz="4" w:space="0" w:color="auto"/>
            </w:tcBorders>
            <w:vAlign w:val="center"/>
          </w:tcPr>
          <w:p w14:paraId="5AF59C49" w14:textId="372CAFBF"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sidRPr="005B06AA">
              <w:rPr>
                <w:rFonts w:ascii="Times New Roman" w:hAnsi="Times New Roman" w:cs="Times New Roman"/>
                <w:color w:val="auto"/>
              </w:rPr>
              <w:t>Chronic Disease Directors</w:t>
            </w:r>
          </w:p>
        </w:tc>
        <w:tc>
          <w:tcPr>
            <w:tcW w:w="1837" w:type="dxa"/>
            <w:tcBorders>
              <w:top w:val="single" w:sz="4" w:space="0" w:color="auto"/>
              <w:left w:val="single" w:sz="4" w:space="0" w:color="auto"/>
              <w:bottom w:val="single" w:sz="4" w:space="0" w:color="auto"/>
              <w:right w:val="single" w:sz="4" w:space="0" w:color="auto"/>
            </w:tcBorders>
            <w:vAlign w:val="center"/>
          </w:tcPr>
          <w:p w14:paraId="1B7993E2" w14:textId="5AC4D457"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22B0624" w14:textId="4C12ED97"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7976007" w14:textId="0D31877C"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102</w:t>
            </w:r>
          </w:p>
        </w:tc>
        <w:tc>
          <w:tcPr>
            <w:tcW w:w="1980" w:type="dxa"/>
            <w:tcBorders>
              <w:top w:val="single" w:sz="4" w:space="0" w:color="auto"/>
              <w:left w:val="single" w:sz="4" w:space="0" w:color="auto"/>
              <w:bottom w:val="single" w:sz="4" w:space="0" w:color="auto"/>
              <w:right w:val="single" w:sz="4" w:space="0" w:color="auto"/>
            </w:tcBorders>
            <w:vAlign w:val="center"/>
          </w:tcPr>
          <w:p w14:paraId="354BDB4A" w14:textId="40275A6B"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r>
      <w:tr w:rsidR="005B06AA" w:rsidRPr="005B06AA" w14:paraId="13C9FEE6" w14:textId="77777777" w:rsidTr="005B024F">
        <w:trPr>
          <w:cantSplit/>
        </w:trPr>
        <w:tc>
          <w:tcPr>
            <w:tcW w:w="2213" w:type="dxa"/>
            <w:gridSpan w:val="2"/>
            <w:tcBorders>
              <w:top w:val="single" w:sz="4" w:space="0" w:color="auto"/>
              <w:left w:val="single" w:sz="4" w:space="0" w:color="auto"/>
              <w:bottom w:val="single" w:sz="4" w:space="0" w:color="auto"/>
              <w:right w:val="single" w:sz="4" w:space="0" w:color="auto"/>
            </w:tcBorders>
            <w:vAlign w:val="center"/>
          </w:tcPr>
          <w:p w14:paraId="5457114E" w14:textId="485F0508"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sidRPr="005B06AA">
              <w:rPr>
                <w:rFonts w:ascii="Times New Roman" w:hAnsi="Times New Roman" w:cs="Times New Roman"/>
                <w:color w:val="auto"/>
              </w:rPr>
              <w:t>Program Evaluators</w:t>
            </w:r>
          </w:p>
        </w:tc>
        <w:tc>
          <w:tcPr>
            <w:tcW w:w="1837" w:type="dxa"/>
            <w:tcBorders>
              <w:top w:val="single" w:sz="4" w:space="0" w:color="auto"/>
              <w:left w:val="single" w:sz="4" w:space="0" w:color="auto"/>
              <w:bottom w:val="single" w:sz="4" w:space="0" w:color="auto"/>
              <w:right w:val="single" w:sz="4" w:space="0" w:color="auto"/>
            </w:tcBorders>
            <w:vAlign w:val="center"/>
          </w:tcPr>
          <w:p w14:paraId="2B3FD0A7" w14:textId="72EEBB73"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A345F0C" w14:textId="4B9A1EB1"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62F3B08" w14:textId="72984623"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102</w:t>
            </w:r>
          </w:p>
        </w:tc>
        <w:tc>
          <w:tcPr>
            <w:tcW w:w="1980" w:type="dxa"/>
            <w:tcBorders>
              <w:top w:val="single" w:sz="4" w:space="0" w:color="auto"/>
              <w:left w:val="single" w:sz="4" w:space="0" w:color="auto"/>
              <w:bottom w:val="single" w:sz="4" w:space="0" w:color="auto"/>
              <w:right w:val="single" w:sz="4" w:space="0" w:color="auto"/>
            </w:tcBorders>
            <w:vAlign w:val="center"/>
          </w:tcPr>
          <w:p w14:paraId="6CF87C6B" w14:textId="56C7A4C0"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r>
      <w:tr w:rsidR="005B06AA" w:rsidRPr="005B06AA" w14:paraId="18C8DDEA" w14:textId="77777777" w:rsidTr="005B024F">
        <w:trPr>
          <w:cantSplit/>
        </w:trPr>
        <w:tc>
          <w:tcPr>
            <w:tcW w:w="2213" w:type="dxa"/>
            <w:gridSpan w:val="2"/>
            <w:tcBorders>
              <w:top w:val="single" w:sz="4" w:space="0" w:color="auto"/>
              <w:left w:val="single" w:sz="4" w:space="0" w:color="auto"/>
              <w:bottom w:val="single" w:sz="4" w:space="0" w:color="auto"/>
              <w:right w:val="single" w:sz="4" w:space="0" w:color="auto"/>
            </w:tcBorders>
            <w:vAlign w:val="center"/>
          </w:tcPr>
          <w:p w14:paraId="0720EC3E" w14:textId="0050EB29"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sidRPr="005B06AA">
              <w:rPr>
                <w:rFonts w:ascii="Times New Roman" w:hAnsi="Times New Roman" w:cs="Times New Roman"/>
                <w:color w:val="auto"/>
              </w:rPr>
              <w:t>Epidemiologists</w:t>
            </w:r>
          </w:p>
        </w:tc>
        <w:tc>
          <w:tcPr>
            <w:tcW w:w="1837" w:type="dxa"/>
            <w:tcBorders>
              <w:top w:val="single" w:sz="4" w:space="0" w:color="auto"/>
              <w:left w:val="single" w:sz="4" w:space="0" w:color="auto"/>
              <w:bottom w:val="single" w:sz="4" w:space="0" w:color="auto"/>
              <w:right w:val="single" w:sz="4" w:space="0" w:color="auto"/>
            </w:tcBorders>
            <w:vAlign w:val="center"/>
          </w:tcPr>
          <w:p w14:paraId="1513C175" w14:textId="43A4D080"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1F166CE" w14:textId="24DF902C"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01BEFF" w14:textId="2FAAC160"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102</w:t>
            </w:r>
          </w:p>
        </w:tc>
        <w:tc>
          <w:tcPr>
            <w:tcW w:w="1980" w:type="dxa"/>
            <w:tcBorders>
              <w:top w:val="single" w:sz="4" w:space="0" w:color="auto"/>
              <w:left w:val="single" w:sz="4" w:space="0" w:color="auto"/>
              <w:bottom w:val="single" w:sz="4" w:space="0" w:color="auto"/>
              <w:right w:val="single" w:sz="4" w:space="0" w:color="auto"/>
            </w:tcBorders>
            <w:vAlign w:val="center"/>
          </w:tcPr>
          <w:p w14:paraId="7F0909C6" w14:textId="44C94E1A"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51</w:t>
            </w:r>
          </w:p>
        </w:tc>
      </w:tr>
      <w:tr w:rsidR="005B06AA" w:rsidRPr="005B06AA" w14:paraId="2C489DE0" w14:textId="77777777" w:rsidTr="005B024F">
        <w:trPr>
          <w:cantSplit/>
        </w:trPr>
        <w:tc>
          <w:tcPr>
            <w:tcW w:w="2213" w:type="dxa"/>
            <w:gridSpan w:val="2"/>
            <w:tcBorders>
              <w:top w:val="single" w:sz="4" w:space="0" w:color="auto"/>
              <w:left w:val="single" w:sz="4" w:space="0" w:color="auto"/>
              <w:bottom w:val="single" w:sz="4" w:space="0" w:color="auto"/>
              <w:right w:val="single" w:sz="4" w:space="0" w:color="auto"/>
            </w:tcBorders>
            <w:vAlign w:val="center"/>
            <w:hideMark/>
          </w:tcPr>
          <w:p w14:paraId="3F8EFF7D" w14:textId="77777777" w:rsidR="005B06AA" w:rsidRPr="005B06AA" w:rsidRDefault="005B06AA" w:rsidP="005B024F">
            <w:pPr>
              <w:spacing w:line="276" w:lineRule="auto"/>
              <w:jc w:val="center"/>
            </w:pPr>
            <w:r w:rsidRPr="005B06AA">
              <w:lastRenderedPageBreak/>
              <w:t>Program Staff with Subject Matter Expertise</w:t>
            </w:r>
          </w:p>
        </w:tc>
        <w:tc>
          <w:tcPr>
            <w:tcW w:w="1837" w:type="dxa"/>
            <w:tcBorders>
              <w:top w:val="single" w:sz="4" w:space="0" w:color="auto"/>
              <w:left w:val="single" w:sz="4" w:space="0" w:color="auto"/>
              <w:bottom w:val="single" w:sz="4" w:space="0" w:color="auto"/>
              <w:right w:val="single" w:sz="4" w:space="0" w:color="auto"/>
            </w:tcBorders>
            <w:vAlign w:val="center"/>
            <w:hideMark/>
          </w:tcPr>
          <w:p w14:paraId="6BEC3673" w14:textId="79C60732"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204</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FF1C406" w14:textId="3D0EFB81"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204</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8FA09E6" w14:textId="02D364E6"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408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B5A8FBB" w14:textId="02D287A7" w:rsidR="005B06AA" w:rsidRPr="005B06AA" w:rsidRDefault="005B06AA"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204</w:t>
            </w:r>
          </w:p>
        </w:tc>
      </w:tr>
      <w:tr w:rsidR="00360C33" w:rsidRPr="005B06AA" w14:paraId="4AFD9BE0" w14:textId="77777777" w:rsidTr="00360C33">
        <w:trPr>
          <w:cantSplit/>
        </w:trPr>
        <w:tc>
          <w:tcPr>
            <w:tcW w:w="2183" w:type="dxa"/>
            <w:tcBorders>
              <w:top w:val="single" w:sz="4" w:space="0" w:color="auto"/>
              <w:left w:val="single" w:sz="4" w:space="0" w:color="auto"/>
              <w:bottom w:val="single" w:sz="4" w:space="0" w:color="auto"/>
              <w:right w:val="single" w:sz="4" w:space="0" w:color="auto"/>
            </w:tcBorders>
            <w:vAlign w:val="center"/>
          </w:tcPr>
          <w:p w14:paraId="6266981D" w14:textId="77777777" w:rsidR="00360C33" w:rsidRDefault="00360C33"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TOTAL</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4E66C2D" w14:textId="1DF1C9C0" w:rsidR="00360C33" w:rsidRDefault="00360C33"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408</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6D0B371" w14:textId="5FD58079" w:rsidR="00360C33" w:rsidRDefault="00360C33"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408</w:t>
            </w:r>
          </w:p>
        </w:tc>
        <w:tc>
          <w:tcPr>
            <w:tcW w:w="1597" w:type="dxa"/>
            <w:tcBorders>
              <w:top w:val="single" w:sz="4" w:space="0" w:color="auto"/>
              <w:left w:val="single" w:sz="4" w:space="0" w:color="auto"/>
              <w:bottom w:val="single" w:sz="4" w:space="0" w:color="auto"/>
              <w:right w:val="single" w:sz="4" w:space="0" w:color="auto"/>
            </w:tcBorders>
            <w:vAlign w:val="center"/>
          </w:tcPr>
          <w:p w14:paraId="7A66C4E9" w14:textId="1CAE84DD" w:rsidR="00360C33" w:rsidRDefault="00360C33"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816</w:t>
            </w:r>
          </w:p>
        </w:tc>
        <w:tc>
          <w:tcPr>
            <w:tcW w:w="1980" w:type="dxa"/>
            <w:tcBorders>
              <w:top w:val="single" w:sz="4" w:space="0" w:color="auto"/>
              <w:left w:val="single" w:sz="4" w:space="0" w:color="auto"/>
              <w:bottom w:val="single" w:sz="4" w:space="0" w:color="auto"/>
              <w:right w:val="single" w:sz="4" w:space="0" w:color="auto"/>
            </w:tcBorders>
            <w:vAlign w:val="center"/>
          </w:tcPr>
          <w:p w14:paraId="539D0CB7" w14:textId="2A43C897" w:rsidR="00360C33" w:rsidRDefault="00360C33" w:rsidP="005B06AA">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408</w:t>
            </w:r>
          </w:p>
        </w:tc>
      </w:tr>
    </w:tbl>
    <w:p w14:paraId="5813E346" w14:textId="77777777" w:rsidR="005B06AA" w:rsidRDefault="005B06AA" w:rsidP="00CB5C4F">
      <w:pPr>
        <w:jc w:val="both"/>
      </w:pPr>
    </w:p>
    <w:p w14:paraId="01029055" w14:textId="77777777" w:rsidR="00B54B6B" w:rsidRPr="00DF12B8" w:rsidRDefault="00B54B6B" w:rsidP="00B54B6B">
      <w:pPr>
        <w:rPr>
          <w:rFonts w:cs="Arial"/>
        </w:rPr>
      </w:pPr>
    </w:p>
    <w:p w14:paraId="5A67B38A" w14:textId="77777777" w:rsidR="00B54B6B" w:rsidRPr="00DF12B8" w:rsidRDefault="00B54B6B" w:rsidP="00B54B6B">
      <w:pPr>
        <w:rPr>
          <w:rFonts w:cs="Arial"/>
          <w:b/>
          <w:bCs/>
        </w:rPr>
      </w:pPr>
      <w:r w:rsidRPr="00DF12B8">
        <w:rPr>
          <w:rFonts w:cs="Arial"/>
          <w:b/>
          <w:bCs/>
        </w:rPr>
        <w:t>B2.  Procedures for Collection of Information</w:t>
      </w:r>
    </w:p>
    <w:p w14:paraId="575FAAD8" w14:textId="77777777" w:rsidR="00E443A9" w:rsidRDefault="00E443A9" w:rsidP="005C241B">
      <w:pPr>
        <w:jc w:val="both"/>
        <w:rPr>
          <w:rFonts w:cs="Arial"/>
        </w:rPr>
      </w:pPr>
    </w:p>
    <w:p w14:paraId="2F4F9552" w14:textId="1735A04B" w:rsidR="00006A10" w:rsidRDefault="00006A10" w:rsidP="00C065FF">
      <w:pPr>
        <w:jc w:val="both"/>
      </w:pPr>
      <w:r>
        <w:t xml:space="preserve">The </w:t>
      </w:r>
      <w:r w:rsidR="00EA1E3C">
        <w:t>State</w:t>
      </w:r>
      <w:r>
        <w:t xml:space="preserve"> Synergy Survey will be administered online. CDC and ICF International will work together to identify </w:t>
      </w:r>
      <w:r w:rsidR="003C4DA0">
        <w:t>PIs</w:t>
      </w:r>
      <w:r w:rsidR="009B23C1">
        <w:t xml:space="preserve"> within each funded program to</w:t>
      </w:r>
      <w:r>
        <w:t xml:space="preserve"> complete the survey. </w:t>
      </w:r>
      <w:r w:rsidR="00203076" w:rsidRPr="00006A10">
        <w:rPr>
          <w:b/>
        </w:rPr>
        <w:t>Exhibit B2</w:t>
      </w:r>
      <w:r w:rsidR="00203076">
        <w:t xml:space="preserve"> provides an overview of data collection activities.</w:t>
      </w:r>
    </w:p>
    <w:p w14:paraId="7E6E5938" w14:textId="77777777" w:rsidR="00006A10" w:rsidRDefault="00006A10" w:rsidP="00C065FF">
      <w:pPr>
        <w:jc w:val="both"/>
      </w:pPr>
    </w:p>
    <w:p w14:paraId="15E7F8B4" w14:textId="7F3CC756" w:rsidR="00006A10" w:rsidRPr="00006A10" w:rsidRDefault="00006A10" w:rsidP="00C065FF">
      <w:pPr>
        <w:jc w:val="both"/>
        <w:rPr>
          <w:u w:val="single"/>
        </w:rPr>
      </w:pPr>
      <w:r w:rsidRPr="00006A10">
        <w:rPr>
          <w:u w:val="single"/>
        </w:rPr>
        <w:t>Identify Target Staff</w:t>
      </w:r>
    </w:p>
    <w:p w14:paraId="0AAB88B0" w14:textId="0EF79DD9" w:rsidR="00006A10" w:rsidRDefault="00006A10" w:rsidP="00C065FF">
      <w:pPr>
        <w:jc w:val="both"/>
      </w:pPr>
      <w:r>
        <w:t xml:space="preserve">ICF International will work with CDC to identify </w:t>
      </w:r>
      <w:r w:rsidR="009B23C1">
        <w:t>PIs within each funded program.</w:t>
      </w:r>
      <w:r>
        <w:t xml:space="preserve"> ICF will compile names and cont</w:t>
      </w:r>
      <w:r w:rsidR="009B23C1">
        <w:t xml:space="preserve">act information for each principal investigator </w:t>
      </w:r>
      <w:r>
        <w:t>confirm with CDC prior to recruitment.</w:t>
      </w:r>
      <w:r w:rsidR="003C4DA0">
        <w:t xml:space="preserve"> Contact information for PIs will be confirmed and verified prior to recruitment to facilitate efficient recruitment efforts.</w:t>
      </w:r>
    </w:p>
    <w:p w14:paraId="47E22A50" w14:textId="77777777" w:rsidR="00006A10" w:rsidRDefault="00006A10" w:rsidP="00C065FF">
      <w:pPr>
        <w:jc w:val="both"/>
      </w:pPr>
    </w:p>
    <w:p w14:paraId="61BF30E6" w14:textId="31F8191B" w:rsidR="00006A10" w:rsidRPr="00006A10" w:rsidRDefault="00006A10" w:rsidP="00C065FF">
      <w:pPr>
        <w:jc w:val="both"/>
        <w:rPr>
          <w:u w:val="single"/>
        </w:rPr>
      </w:pPr>
      <w:r w:rsidRPr="00006A10">
        <w:rPr>
          <w:u w:val="single"/>
        </w:rPr>
        <w:t>Send Initial Contact Emails</w:t>
      </w:r>
    </w:p>
    <w:p w14:paraId="3B06A183" w14:textId="7FC1307D" w:rsidR="00006A10" w:rsidRDefault="00C065FF" w:rsidP="00C065FF">
      <w:pPr>
        <w:jc w:val="both"/>
      </w:pPr>
      <w:r>
        <w:t>Upon OMB approval, CDC will sen</w:t>
      </w:r>
      <w:r w:rsidRPr="00F64D5D">
        <w:t>d an</w:t>
      </w:r>
      <w:r w:rsidR="00917EA0" w:rsidRPr="00F64D5D">
        <w:t xml:space="preserve"> </w:t>
      </w:r>
      <w:r w:rsidR="00F64D5D" w:rsidRPr="00F64D5D">
        <w:t>advance notice blast e</w:t>
      </w:r>
      <w:r w:rsidRPr="00F64D5D">
        <w:t>mail (</w:t>
      </w:r>
      <w:r w:rsidRPr="00F64D5D">
        <w:rPr>
          <w:b/>
        </w:rPr>
        <w:t xml:space="preserve">Attachment </w:t>
      </w:r>
      <w:r w:rsidR="00565BDB" w:rsidRPr="00F64D5D">
        <w:rPr>
          <w:b/>
        </w:rPr>
        <w:t>6a</w:t>
      </w:r>
      <w:r w:rsidRPr="00F64D5D">
        <w:t xml:space="preserve">) to </w:t>
      </w:r>
      <w:r w:rsidR="009B23C1">
        <w:t xml:space="preserve">the PI </w:t>
      </w:r>
      <w:r w:rsidR="00283DFD" w:rsidRPr="00F64D5D">
        <w:t xml:space="preserve">within </w:t>
      </w:r>
      <w:r w:rsidRPr="00F64D5D">
        <w:t>each funded program</w:t>
      </w:r>
      <w:r w:rsidR="009B23C1">
        <w:t xml:space="preserve"> </w:t>
      </w:r>
      <w:r w:rsidRPr="00F64D5D">
        <w:t xml:space="preserve">to provide them with detailed information about the assessment and </w:t>
      </w:r>
      <w:r w:rsidR="009B23C1">
        <w:t>purpose of the</w:t>
      </w:r>
      <w:r w:rsidRPr="00F64D5D">
        <w:t xml:space="preserve"> </w:t>
      </w:r>
      <w:r w:rsidR="00EA1E3C">
        <w:t>State</w:t>
      </w:r>
      <w:r w:rsidRPr="00F64D5D">
        <w:t xml:space="preserve"> Synergy Survey. Within one week</w:t>
      </w:r>
      <w:r w:rsidR="009B23C1" w:rsidRPr="009B23C1">
        <w:t xml:space="preserve"> </w:t>
      </w:r>
      <w:r w:rsidR="009B23C1">
        <w:t>ICF will send a participant email (</w:t>
      </w:r>
      <w:r w:rsidR="009B23C1" w:rsidRPr="005A499B">
        <w:rPr>
          <w:b/>
        </w:rPr>
        <w:t>Attachment 6b</w:t>
      </w:r>
      <w:r w:rsidR="009B23C1">
        <w:t xml:space="preserve">) to the PIs that provides additional details and deadlines related to study participation, and includes a web link to the web-based </w:t>
      </w:r>
      <w:r w:rsidR="00EA1E3C">
        <w:t>State</w:t>
      </w:r>
      <w:r w:rsidR="009B23C1">
        <w:t xml:space="preserve"> Synergy Survey. The email will also include guidance for the PI to share the survey web link with all relevant program staff who are directly involved in the planning and/or implementation of the State Public Health Actions 1305 program (e.g., evaluators, program staff with subject matter expertise) to also complete the survey. </w:t>
      </w:r>
      <w:r>
        <w:t xml:space="preserve">Respondents will be given two weeks to complete the survey. </w:t>
      </w:r>
    </w:p>
    <w:p w14:paraId="25A1D599" w14:textId="77777777" w:rsidR="00006A10" w:rsidRDefault="00006A10" w:rsidP="00C065FF">
      <w:pPr>
        <w:jc w:val="both"/>
      </w:pPr>
    </w:p>
    <w:p w14:paraId="04D5233E" w14:textId="77777777" w:rsidR="00006A10" w:rsidRPr="00006A10" w:rsidRDefault="00006A10" w:rsidP="00C065FF">
      <w:pPr>
        <w:jc w:val="both"/>
        <w:rPr>
          <w:u w:val="single"/>
        </w:rPr>
      </w:pPr>
      <w:r w:rsidRPr="00006A10">
        <w:rPr>
          <w:u w:val="single"/>
        </w:rPr>
        <w:t xml:space="preserve">Send Reminder Emails </w:t>
      </w:r>
    </w:p>
    <w:p w14:paraId="453A4EEB" w14:textId="34F4E5AA" w:rsidR="00D344C9" w:rsidRPr="00203076" w:rsidRDefault="00C065FF" w:rsidP="00203076">
      <w:pPr>
        <w:jc w:val="both"/>
      </w:pPr>
      <w:r>
        <w:t xml:space="preserve">A reminder email </w:t>
      </w:r>
      <w:r w:rsidR="009B23C1">
        <w:t>(</w:t>
      </w:r>
      <w:r w:rsidR="009B23C1" w:rsidRPr="00F64D5D">
        <w:rPr>
          <w:b/>
        </w:rPr>
        <w:t>Attachment 6c</w:t>
      </w:r>
      <w:r w:rsidR="009B23C1" w:rsidRPr="00F64D5D">
        <w:t>)</w:t>
      </w:r>
      <w:r w:rsidR="009B23C1">
        <w:t xml:space="preserve"> </w:t>
      </w:r>
      <w:r>
        <w:t>will be sen</w:t>
      </w:r>
      <w:r w:rsidR="00283DFD">
        <w:t>t</w:t>
      </w:r>
      <w:r>
        <w:t xml:space="preserve"> to </w:t>
      </w:r>
      <w:r w:rsidR="003C4DA0">
        <w:t>PIs</w:t>
      </w:r>
      <w:r w:rsidR="009B23C1">
        <w:t xml:space="preserve"> at non-responsive state health departments</w:t>
      </w:r>
      <w:r>
        <w:t xml:space="preserve"> at two time points: one week before the deadline, and two days before the </w:t>
      </w:r>
      <w:r w:rsidRPr="00F64D5D">
        <w:t>deadline</w:t>
      </w:r>
      <w:r w:rsidR="009B23C1">
        <w:t xml:space="preserve">. </w:t>
      </w:r>
      <w:r w:rsidRPr="00F64D5D">
        <w:t>ICF</w:t>
      </w:r>
      <w:r>
        <w:t xml:space="preserve"> will follow the same protocol to implement the survey in program year</w:t>
      </w:r>
      <w:r w:rsidR="00F64D5D">
        <w:t>s 4</w:t>
      </w:r>
      <w:r w:rsidR="00006A10">
        <w:t xml:space="preserve"> and</w:t>
      </w:r>
      <w:r>
        <w:t xml:space="preserve"> 5.</w:t>
      </w:r>
      <w:r w:rsidRPr="00EF0208">
        <w:t xml:space="preserve"> </w:t>
      </w:r>
      <w:r>
        <w:t xml:space="preserve">The goal will be to achieve </w:t>
      </w:r>
      <w:r w:rsidRPr="00006A10">
        <w:t xml:space="preserve">an </w:t>
      </w:r>
      <w:r w:rsidRPr="00006A10">
        <w:rPr>
          <w:shd w:val="clear" w:color="auto" w:fill="FFFFFF" w:themeFill="background1"/>
        </w:rPr>
        <w:t>80% response rate</w:t>
      </w:r>
      <w:r w:rsidR="00F64D5D">
        <w:t xml:space="preserve"> in both program years 4</w:t>
      </w:r>
      <w:r>
        <w:t xml:space="preserve"> and 5.</w:t>
      </w:r>
    </w:p>
    <w:p w14:paraId="35AF8CDA" w14:textId="77777777" w:rsidR="00917EA0" w:rsidRDefault="00917EA0" w:rsidP="00D344C9">
      <w:pPr>
        <w:jc w:val="both"/>
      </w:pPr>
    </w:p>
    <w:p w14:paraId="1FE7BE6A" w14:textId="1F026266" w:rsidR="00006A10" w:rsidRPr="00006A10" w:rsidRDefault="00006A10" w:rsidP="00D344C9">
      <w:pPr>
        <w:jc w:val="both"/>
        <w:rPr>
          <w:b/>
        </w:rPr>
      </w:pPr>
      <w:r w:rsidRPr="00006A10">
        <w:rPr>
          <w:b/>
        </w:rPr>
        <w:t xml:space="preserve">Exhibit B2. Flowchart of </w:t>
      </w:r>
      <w:r w:rsidR="00EA1E3C">
        <w:rPr>
          <w:b/>
        </w:rPr>
        <w:t>State</w:t>
      </w:r>
      <w:r w:rsidRPr="00006A10">
        <w:rPr>
          <w:b/>
        </w:rPr>
        <w:t xml:space="preserve"> Synergy Survey Data Collection Activities</w:t>
      </w:r>
    </w:p>
    <w:p w14:paraId="35D31B46" w14:textId="528FAB13" w:rsidR="00B54B6B" w:rsidRDefault="000A79EB" w:rsidP="000A79EB">
      <w:pPr>
        <w:jc w:val="center"/>
        <w:rPr>
          <w:rFonts w:cs="Arial"/>
        </w:rPr>
      </w:pPr>
      <w:r>
        <w:rPr>
          <w:rFonts w:cs="Arial"/>
          <w:noProof/>
        </w:rPr>
        <w:lastRenderedPageBreak/>
        <w:drawing>
          <wp:inline distT="0" distB="0" distL="0" distR="0" wp14:anchorId="6CA2DAE1" wp14:editId="449FD718">
            <wp:extent cx="4572000" cy="584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JPG"/>
                    <pic:cNvPicPr/>
                  </pic:nvPicPr>
                  <pic:blipFill>
                    <a:blip r:embed="rId12">
                      <a:extLst>
                        <a:ext uri="{28A0092B-C50C-407E-A947-70E740481C1C}">
                          <a14:useLocalDpi xmlns:a14="http://schemas.microsoft.com/office/drawing/2010/main" val="0"/>
                        </a:ext>
                      </a:extLst>
                    </a:blip>
                    <a:stretch>
                      <a:fillRect/>
                    </a:stretch>
                  </pic:blipFill>
                  <pic:spPr>
                    <a:xfrm>
                      <a:off x="0" y="0"/>
                      <a:ext cx="4572000" cy="5848350"/>
                    </a:xfrm>
                    <a:prstGeom prst="rect">
                      <a:avLst/>
                    </a:prstGeom>
                  </pic:spPr>
                </pic:pic>
              </a:graphicData>
            </a:graphic>
          </wp:inline>
        </w:drawing>
      </w:r>
    </w:p>
    <w:p w14:paraId="7ECA1E2C" w14:textId="77777777" w:rsidR="00BD38BA" w:rsidRDefault="00BD38BA" w:rsidP="00B54B6B">
      <w:pPr>
        <w:rPr>
          <w:rFonts w:cs="Arial"/>
        </w:rPr>
      </w:pPr>
    </w:p>
    <w:p w14:paraId="76B89B27" w14:textId="77777777" w:rsidR="00565BDB" w:rsidRPr="00DF12B8" w:rsidRDefault="00565BDB" w:rsidP="00B54B6B">
      <w:pPr>
        <w:rPr>
          <w:rFonts w:cs="Arial"/>
        </w:rPr>
      </w:pPr>
    </w:p>
    <w:p w14:paraId="2AF484B5" w14:textId="77777777" w:rsidR="00B54B6B" w:rsidRPr="00DF12B8" w:rsidRDefault="00B54B6B" w:rsidP="00B54B6B">
      <w:pPr>
        <w:rPr>
          <w:rFonts w:cs="Arial"/>
          <w:b/>
          <w:bCs/>
        </w:rPr>
      </w:pPr>
      <w:r w:rsidRPr="00DF12B8">
        <w:rPr>
          <w:rFonts w:cs="Arial"/>
          <w:b/>
          <w:bCs/>
        </w:rPr>
        <w:t>B3.  Methods to Maximize Response Rates and Deal with Nonresponse</w:t>
      </w:r>
    </w:p>
    <w:p w14:paraId="0193DE03" w14:textId="77777777" w:rsidR="00B54B6B" w:rsidRPr="00DF12B8" w:rsidRDefault="00B54B6B" w:rsidP="00B54B6B">
      <w:pPr>
        <w:rPr>
          <w:rFonts w:cs="Arial"/>
          <w:b/>
          <w:bCs/>
        </w:rPr>
      </w:pPr>
    </w:p>
    <w:p w14:paraId="45DEC3BF" w14:textId="22F9B841" w:rsidR="00203076" w:rsidRDefault="00203076" w:rsidP="002034CC">
      <w:pPr>
        <w:pStyle w:val="bodytextCharCharChar"/>
        <w:spacing w:after="0"/>
        <w:ind w:firstLine="0"/>
        <w:rPr>
          <w:rFonts w:cs="Arial"/>
        </w:rPr>
      </w:pPr>
      <w:r>
        <w:rPr>
          <w:rFonts w:cs="Arial"/>
        </w:rPr>
        <w:t xml:space="preserve">Upon OMB approval, ICF will implement the approved </w:t>
      </w:r>
      <w:r w:rsidR="00EA1E3C">
        <w:rPr>
          <w:rFonts w:cs="Arial"/>
        </w:rPr>
        <w:t>State</w:t>
      </w:r>
      <w:r>
        <w:rPr>
          <w:rFonts w:cs="Arial"/>
        </w:rPr>
        <w:t xml:space="preserve"> Synergy Survey data collection protocol. ICF will take the following steps to maximize responses:</w:t>
      </w:r>
    </w:p>
    <w:p w14:paraId="2521091D" w14:textId="11564CEC" w:rsidR="00203076" w:rsidRDefault="00203076" w:rsidP="00203076">
      <w:pPr>
        <w:pStyle w:val="bodytextCharCharChar"/>
        <w:numPr>
          <w:ilvl w:val="0"/>
          <w:numId w:val="9"/>
        </w:numPr>
        <w:spacing w:after="0"/>
        <w:rPr>
          <w:rFonts w:cs="Arial"/>
        </w:rPr>
      </w:pPr>
      <w:r w:rsidRPr="00203076">
        <w:rPr>
          <w:rFonts w:cs="Arial"/>
          <w:b/>
        </w:rPr>
        <w:t>Identification of Key Personnel</w:t>
      </w:r>
      <w:r>
        <w:rPr>
          <w:rFonts w:cs="Arial"/>
        </w:rPr>
        <w:t xml:space="preserve">. ICF and CDC will work closely together to identify </w:t>
      </w:r>
      <w:r w:rsidR="00BF384D">
        <w:rPr>
          <w:rFonts w:cs="Arial"/>
        </w:rPr>
        <w:t xml:space="preserve">and </w:t>
      </w:r>
      <w:r w:rsidR="000A79EB">
        <w:rPr>
          <w:rFonts w:cs="Arial"/>
        </w:rPr>
        <w:t>confirm</w:t>
      </w:r>
      <w:r w:rsidR="00BF384D">
        <w:rPr>
          <w:rFonts w:cs="Arial"/>
        </w:rPr>
        <w:t xml:space="preserve"> contact information for principal investigators within each funded state health department. </w:t>
      </w:r>
      <w:r w:rsidR="003C4DA0">
        <w:rPr>
          <w:rFonts w:cs="Arial"/>
        </w:rPr>
        <w:t>PIs</w:t>
      </w:r>
      <w:r w:rsidR="000F4ED6">
        <w:rPr>
          <w:rFonts w:cs="Arial"/>
        </w:rPr>
        <w:t xml:space="preserve"> will be asked to share the survey with only those relevant staff who are directly involved in planning and/or implementing the State Public Health Actions 1305 program, and provided with a list of potential staff roles for inclusion. </w:t>
      </w:r>
    </w:p>
    <w:p w14:paraId="4109D848" w14:textId="36D1C603" w:rsidR="00203076" w:rsidRDefault="001D590D" w:rsidP="00203076">
      <w:pPr>
        <w:pStyle w:val="bodytextCharCharChar"/>
        <w:numPr>
          <w:ilvl w:val="0"/>
          <w:numId w:val="9"/>
        </w:numPr>
        <w:spacing w:after="0"/>
        <w:rPr>
          <w:rFonts w:cs="Arial"/>
        </w:rPr>
      </w:pPr>
      <w:r>
        <w:rPr>
          <w:rFonts w:cs="Arial"/>
          <w:b/>
        </w:rPr>
        <w:lastRenderedPageBreak/>
        <w:t xml:space="preserve">Advance Notice Blast Email to All State Public Health Actions 1305 </w:t>
      </w:r>
      <w:r w:rsidR="00AA57EC">
        <w:rPr>
          <w:rFonts w:cs="Arial"/>
          <w:b/>
        </w:rPr>
        <w:t>Awardee Point of Contacts</w:t>
      </w:r>
      <w:r w:rsidR="003C4DA0">
        <w:rPr>
          <w:rFonts w:cs="Arial"/>
          <w:b/>
        </w:rPr>
        <w:t xml:space="preserve">. </w:t>
      </w:r>
      <w:r w:rsidR="00203076">
        <w:rPr>
          <w:rFonts w:cs="Arial"/>
        </w:rPr>
        <w:t xml:space="preserve"> </w:t>
      </w:r>
      <w:r w:rsidR="00AA57EC">
        <w:rPr>
          <w:rFonts w:cs="Arial"/>
        </w:rPr>
        <w:t xml:space="preserve">As a part of the regular correspondence with State Public Health </w:t>
      </w:r>
      <w:r w:rsidR="00203076">
        <w:rPr>
          <w:rFonts w:cs="Arial"/>
        </w:rPr>
        <w:t>A</w:t>
      </w:r>
      <w:r w:rsidR="00AA57EC">
        <w:rPr>
          <w:rFonts w:cs="Arial"/>
        </w:rPr>
        <w:t xml:space="preserve">ctions 1305 awardee Point of Contacts, an advance notice </w:t>
      </w:r>
      <w:r w:rsidR="00203076">
        <w:rPr>
          <w:rFonts w:cs="Arial"/>
        </w:rPr>
        <w:t>email</w:t>
      </w:r>
      <w:r w:rsidR="00AA57EC">
        <w:rPr>
          <w:rFonts w:cs="Arial"/>
        </w:rPr>
        <w:t xml:space="preserve"> </w:t>
      </w:r>
      <w:r w:rsidR="00203076">
        <w:rPr>
          <w:rFonts w:cs="Arial"/>
        </w:rPr>
        <w:t xml:space="preserve">will be sent by CDC personnel and will serve as the initial contact with states for the survey. Initial contact by CDC will maximize recognition among funded states, who are familiar with CDC team members. </w:t>
      </w:r>
    </w:p>
    <w:p w14:paraId="6C9547F5" w14:textId="13F16278" w:rsidR="00283DFD" w:rsidRPr="000A79EB" w:rsidRDefault="000F4ED6" w:rsidP="000A79EB">
      <w:pPr>
        <w:pStyle w:val="bodytextCharCharChar"/>
        <w:numPr>
          <w:ilvl w:val="0"/>
          <w:numId w:val="9"/>
        </w:numPr>
        <w:spacing w:after="0"/>
        <w:rPr>
          <w:rFonts w:cs="Arial"/>
        </w:rPr>
      </w:pPr>
      <w:r w:rsidRPr="000A79EB">
        <w:rPr>
          <w:rFonts w:cs="Arial"/>
          <w:b/>
        </w:rPr>
        <w:t>Reminder Emails</w:t>
      </w:r>
      <w:r w:rsidR="001443C1" w:rsidRPr="000A79EB">
        <w:rPr>
          <w:rFonts w:cs="Arial"/>
        </w:rPr>
        <w:t xml:space="preserve">. ICF will send </w:t>
      </w:r>
      <w:r w:rsidRPr="000A79EB">
        <w:rPr>
          <w:rFonts w:cs="Arial"/>
        </w:rPr>
        <w:t>a series of</w:t>
      </w:r>
      <w:r w:rsidR="001443C1" w:rsidRPr="000A79EB">
        <w:rPr>
          <w:rFonts w:cs="Arial"/>
        </w:rPr>
        <w:t xml:space="preserve"> reminder emails to </w:t>
      </w:r>
      <w:r w:rsidRPr="000A79EB">
        <w:rPr>
          <w:rFonts w:cs="Arial"/>
        </w:rPr>
        <w:t xml:space="preserve">principal investigators at programs that do not have at least one respondent at two time points – one week before the deadline, and 2 days before the deadline. </w:t>
      </w:r>
    </w:p>
    <w:p w14:paraId="573E1C56" w14:textId="77777777" w:rsidR="002C6870" w:rsidRPr="00DF12B8" w:rsidRDefault="002C6870" w:rsidP="00B54B6B">
      <w:pPr>
        <w:rPr>
          <w:rFonts w:cs="Arial"/>
        </w:rPr>
      </w:pPr>
    </w:p>
    <w:p w14:paraId="04D1E809" w14:textId="13AA6434" w:rsidR="00B54B6B" w:rsidRPr="00DF12B8" w:rsidRDefault="00B54B6B" w:rsidP="00B54B6B">
      <w:pPr>
        <w:rPr>
          <w:rFonts w:cs="Arial"/>
          <w:b/>
          <w:bCs/>
        </w:rPr>
      </w:pPr>
      <w:r w:rsidRPr="00DF12B8">
        <w:rPr>
          <w:rFonts w:cs="Arial"/>
          <w:b/>
          <w:bCs/>
        </w:rPr>
        <w:t>B4.  Tests of Procedures or Methods to be Undertaken</w:t>
      </w:r>
    </w:p>
    <w:p w14:paraId="03BF5E1E" w14:textId="77777777" w:rsidR="00B54B6B" w:rsidRPr="00DF12B8" w:rsidRDefault="00B54B6B" w:rsidP="00B54B6B">
      <w:pPr>
        <w:rPr>
          <w:rFonts w:cs="Arial"/>
          <w:b/>
          <w:bCs/>
        </w:rPr>
      </w:pPr>
    </w:p>
    <w:p w14:paraId="397EFE11" w14:textId="75E559B4" w:rsidR="008D6D4C" w:rsidRDefault="008D6D4C" w:rsidP="008D6D4C">
      <w:r>
        <w:t xml:space="preserve">The </w:t>
      </w:r>
      <w:r w:rsidR="00EA1E3C">
        <w:t>State</w:t>
      </w:r>
      <w:r>
        <w:t xml:space="preserve"> Synergy Survey was adapted from a questionnaire </w:t>
      </w:r>
      <w:r w:rsidR="000F4ED6">
        <w:t xml:space="preserve">developed by Jones and Barry (2011) </w:t>
      </w:r>
      <w:r>
        <w:t>measuring synergy and dimensions of pa</w:t>
      </w:r>
      <w:r w:rsidR="000F4ED6">
        <w:t xml:space="preserve">rtnerships in health promotion. </w:t>
      </w:r>
      <w:r w:rsidR="00946919">
        <w:t xml:space="preserve">Additional questions were added to understand states’ ability to work in the different chronic disease areas and the four domains, challenges and benefits, and measurable positive outcomes. Lastly, questions about the respondents’ position, years of experience, expertise areas, demographics were included in the instrument. </w:t>
      </w:r>
      <w:r w:rsidR="000A79EB">
        <w:t xml:space="preserve">Survey content was informed and refined based on discussions with CDC project officers and other CDC staff members to ensure that all questions asked can only be answered by grantee staff members. </w:t>
      </w:r>
    </w:p>
    <w:p w14:paraId="5681CE2C" w14:textId="77777777" w:rsidR="00B54B6B" w:rsidRDefault="00B54B6B" w:rsidP="00F33CDE">
      <w:pPr>
        <w:jc w:val="both"/>
        <w:rPr>
          <w:b/>
          <w:bCs/>
        </w:rPr>
      </w:pPr>
    </w:p>
    <w:p w14:paraId="4CCF44AD" w14:textId="77777777" w:rsidR="002C6870" w:rsidRPr="00F33CDE" w:rsidRDefault="002C6870" w:rsidP="00F33CDE">
      <w:pPr>
        <w:jc w:val="both"/>
        <w:rPr>
          <w:b/>
          <w:bCs/>
        </w:rPr>
      </w:pPr>
    </w:p>
    <w:p w14:paraId="468A80C1" w14:textId="77777777" w:rsidR="00B54B6B" w:rsidRPr="00F33CDE" w:rsidRDefault="00B54B6B" w:rsidP="00F33CDE">
      <w:pPr>
        <w:jc w:val="both"/>
        <w:rPr>
          <w:b/>
          <w:bCs/>
        </w:rPr>
      </w:pPr>
      <w:r w:rsidRPr="00F33CDE">
        <w:rPr>
          <w:b/>
          <w:bCs/>
        </w:rPr>
        <w:t>B5.  Individuals Consulted on Statistical Asp</w:t>
      </w:r>
      <w:r w:rsidR="000070A4">
        <w:rPr>
          <w:b/>
          <w:bCs/>
        </w:rPr>
        <w:t>ects and Individual Collecting and/o</w:t>
      </w:r>
      <w:r w:rsidRPr="00F33CDE">
        <w:rPr>
          <w:b/>
          <w:bCs/>
        </w:rPr>
        <w:t>r Analyzing Data</w:t>
      </w:r>
    </w:p>
    <w:p w14:paraId="4A7A5922" w14:textId="77777777" w:rsidR="00B54B6B" w:rsidRPr="00F33CDE" w:rsidRDefault="00B54B6B" w:rsidP="00F33CDE">
      <w:pPr>
        <w:jc w:val="both"/>
        <w:rPr>
          <w:b/>
          <w:bCs/>
        </w:rPr>
      </w:pPr>
    </w:p>
    <w:p w14:paraId="233B992A" w14:textId="4E8E6291" w:rsidR="001443C1" w:rsidRPr="00273006" w:rsidRDefault="001443C1" w:rsidP="001443C1">
      <w:pPr>
        <w:tabs>
          <w:tab w:val="left" w:pos="450"/>
          <w:tab w:val="left" w:pos="720"/>
          <w:tab w:val="left" w:pos="1620"/>
        </w:tabs>
      </w:pPr>
      <w:r w:rsidRPr="00273006">
        <w:t xml:space="preserve">CDC will provide overall </w:t>
      </w:r>
      <w:r>
        <w:t>direction</w:t>
      </w:r>
      <w:r w:rsidRPr="00273006">
        <w:t xml:space="preserve"> for the </w:t>
      </w:r>
      <w:r w:rsidR="00EA1E3C">
        <w:t>State</w:t>
      </w:r>
      <w:r>
        <w:t xml:space="preserve"> Synergy Survey</w:t>
      </w:r>
      <w:r w:rsidRPr="00273006">
        <w:t>, directing regular planning and</w:t>
      </w:r>
      <w:r>
        <w:t xml:space="preserve"> coordination meetings with ICF staff, </w:t>
      </w:r>
      <w:r w:rsidRPr="00273006">
        <w:t xml:space="preserve">including the data collection </w:t>
      </w:r>
      <w:r>
        <w:t>protocol</w:t>
      </w:r>
      <w:r w:rsidRPr="00273006">
        <w:t xml:space="preserve"> and </w:t>
      </w:r>
      <w:r>
        <w:t xml:space="preserve">data reporting. </w:t>
      </w:r>
    </w:p>
    <w:p w14:paraId="406F9E86" w14:textId="77777777" w:rsidR="001443C1" w:rsidRPr="00273006" w:rsidRDefault="001443C1" w:rsidP="001443C1">
      <w:pPr>
        <w:tabs>
          <w:tab w:val="left" w:pos="450"/>
          <w:tab w:val="left" w:pos="720"/>
          <w:tab w:val="left" w:pos="1620"/>
        </w:tabs>
        <w:ind w:left="360"/>
      </w:pPr>
    </w:p>
    <w:p w14:paraId="50F08176" w14:textId="2D718E55" w:rsidR="00B54B6B" w:rsidRDefault="001443C1" w:rsidP="001443C1">
      <w:pPr>
        <w:tabs>
          <w:tab w:val="left" w:pos="450"/>
          <w:tab w:val="left" w:pos="720"/>
          <w:tab w:val="left" w:pos="1620"/>
        </w:tabs>
      </w:pPr>
      <w:r>
        <w:t>The implementation</w:t>
      </w:r>
      <w:r w:rsidRPr="00273006">
        <w:t xml:space="preserve"> contractor, </w:t>
      </w:r>
      <w:r>
        <w:t>ICF International,</w:t>
      </w:r>
      <w:r w:rsidRPr="00273006">
        <w:t xml:space="preserve"> will </w:t>
      </w:r>
      <w:r>
        <w:t>recruit and collect survey data from select program leaders and staff members within funded states. ICF will also</w:t>
      </w:r>
      <w:r w:rsidRPr="00273006">
        <w:t xml:space="preserve"> analyz</w:t>
      </w:r>
      <w:r>
        <w:t>e and report survey</w:t>
      </w:r>
      <w:r w:rsidRPr="00273006">
        <w:t xml:space="preserve"> results.</w:t>
      </w:r>
    </w:p>
    <w:p w14:paraId="786E132A" w14:textId="77777777" w:rsidR="001443C1" w:rsidRDefault="001443C1" w:rsidP="001443C1">
      <w:pPr>
        <w:tabs>
          <w:tab w:val="left" w:pos="450"/>
          <w:tab w:val="left" w:pos="720"/>
          <w:tab w:val="left" w:pos="1620"/>
        </w:tabs>
      </w:pPr>
    </w:p>
    <w:p w14:paraId="31E22C9E" w14:textId="4CD674B3" w:rsidR="001443C1" w:rsidRDefault="001443C1" w:rsidP="001443C1">
      <w:pPr>
        <w:tabs>
          <w:tab w:val="left" w:pos="450"/>
          <w:tab w:val="left" w:pos="720"/>
          <w:tab w:val="left" w:pos="1620"/>
        </w:tabs>
      </w:pPr>
      <w:r>
        <w:t>The principal contacts for each organization are below.</w:t>
      </w:r>
    </w:p>
    <w:tbl>
      <w:tblPr>
        <w:tblStyle w:val="TableGrid"/>
        <w:tblW w:w="0" w:type="auto"/>
        <w:tblLook w:val="04A0" w:firstRow="1" w:lastRow="0" w:firstColumn="1" w:lastColumn="0" w:noHBand="0" w:noVBand="1"/>
      </w:tblPr>
      <w:tblGrid>
        <w:gridCol w:w="2794"/>
        <w:gridCol w:w="2272"/>
        <w:gridCol w:w="3564"/>
      </w:tblGrid>
      <w:tr w:rsidR="00946919" w14:paraId="3A584543" w14:textId="77777777" w:rsidTr="00946919">
        <w:tc>
          <w:tcPr>
            <w:tcW w:w="2794" w:type="dxa"/>
            <w:shd w:val="clear" w:color="auto" w:fill="D9D9D9" w:themeFill="background1" w:themeFillShade="D9"/>
          </w:tcPr>
          <w:p w14:paraId="0EF55A6A" w14:textId="08ED1D17" w:rsidR="00946919" w:rsidRDefault="00946919" w:rsidP="001443C1">
            <w:pPr>
              <w:tabs>
                <w:tab w:val="left" w:pos="450"/>
                <w:tab w:val="left" w:pos="720"/>
                <w:tab w:val="left" w:pos="1620"/>
              </w:tabs>
            </w:pPr>
            <w:r>
              <w:t>Staff Name</w:t>
            </w:r>
          </w:p>
        </w:tc>
        <w:tc>
          <w:tcPr>
            <w:tcW w:w="2272" w:type="dxa"/>
            <w:shd w:val="clear" w:color="auto" w:fill="D9D9D9" w:themeFill="background1" w:themeFillShade="D9"/>
          </w:tcPr>
          <w:p w14:paraId="6239B3BA" w14:textId="7DFFA75D" w:rsidR="00946919" w:rsidRDefault="00946919" w:rsidP="001443C1">
            <w:pPr>
              <w:tabs>
                <w:tab w:val="left" w:pos="450"/>
                <w:tab w:val="left" w:pos="720"/>
                <w:tab w:val="left" w:pos="1620"/>
              </w:tabs>
            </w:pPr>
            <w:r>
              <w:t>Study Area</w:t>
            </w:r>
          </w:p>
        </w:tc>
        <w:tc>
          <w:tcPr>
            <w:tcW w:w="3564" w:type="dxa"/>
            <w:shd w:val="clear" w:color="auto" w:fill="D9D9D9" w:themeFill="background1" w:themeFillShade="D9"/>
          </w:tcPr>
          <w:p w14:paraId="759A450F" w14:textId="764F7B4A" w:rsidR="00946919" w:rsidRDefault="00946919" w:rsidP="001443C1">
            <w:pPr>
              <w:tabs>
                <w:tab w:val="left" w:pos="450"/>
                <w:tab w:val="left" w:pos="720"/>
                <w:tab w:val="left" w:pos="1620"/>
              </w:tabs>
            </w:pPr>
            <w:r>
              <w:t>Contact Information</w:t>
            </w:r>
          </w:p>
        </w:tc>
      </w:tr>
      <w:tr w:rsidR="00946919" w14:paraId="3F8511EF" w14:textId="77777777" w:rsidTr="00E06206">
        <w:tc>
          <w:tcPr>
            <w:tcW w:w="8630" w:type="dxa"/>
            <w:gridSpan w:val="3"/>
            <w:shd w:val="clear" w:color="auto" w:fill="FFFFFF" w:themeFill="background1"/>
          </w:tcPr>
          <w:p w14:paraId="4E842B7C" w14:textId="5AB0CB7F" w:rsidR="00946919" w:rsidRDefault="00946919" w:rsidP="001443C1">
            <w:pPr>
              <w:tabs>
                <w:tab w:val="left" w:pos="450"/>
                <w:tab w:val="left" w:pos="720"/>
                <w:tab w:val="left" w:pos="1620"/>
              </w:tabs>
            </w:pPr>
            <w:r>
              <w:t>CDC</w:t>
            </w:r>
          </w:p>
        </w:tc>
      </w:tr>
      <w:tr w:rsidR="00946919" w14:paraId="4ED1C40F" w14:textId="77777777" w:rsidTr="00946919">
        <w:tc>
          <w:tcPr>
            <w:tcW w:w="2794" w:type="dxa"/>
          </w:tcPr>
          <w:p w14:paraId="63519C5C" w14:textId="5D6C7C79" w:rsidR="00946919" w:rsidRDefault="00946919" w:rsidP="001443C1">
            <w:pPr>
              <w:tabs>
                <w:tab w:val="left" w:pos="450"/>
                <w:tab w:val="left" w:pos="720"/>
                <w:tab w:val="left" w:pos="1620"/>
              </w:tabs>
            </w:pPr>
            <w:r>
              <w:t>Rachel Davis, MPH</w:t>
            </w:r>
          </w:p>
          <w:p w14:paraId="6F0DC827" w14:textId="25F006AD" w:rsidR="00946919" w:rsidRDefault="00946919" w:rsidP="001443C1">
            <w:pPr>
              <w:tabs>
                <w:tab w:val="left" w:pos="450"/>
                <w:tab w:val="left" w:pos="720"/>
                <w:tab w:val="left" w:pos="1620"/>
              </w:tabs>
            </w:pPr>
            <w:r>
              <w:t>Health Scientist</w:t>
            </w:r>
          </w:p>
        </w:tc>
        <w:tc>
          <w:tcPr>
            <w:tcW w:w="2272" w:type="dxa"/>
          </w:tcPr>
          <w:p w14:paraId="1C9C63AA" w14:textId="53C4834F" w:rsidR="00946919" w:rsidRDefault="00946919" w:rsidP="001443C1">
            <w:pPr>
              <w:tabs>
                <w:tab w:val="left" w:pos="450"/>
                <w:tab w:val="left" w:pos="720"/>
                <w:tab w:val="left" w:pos="1620"/>
              </w:tabs>
            </w:pPr>
            <w:r>
              <w:t>Project Design</w:t>
            </w:r>
          </w:p>
        </w:tc>
        <w:tc>
          <w:tcPr>
            <w:tcW w:w="3564" w:type="dxa"/>
          </w:tcPr>
          <w:p w14:paraId="6600884A" w14:textId="64B55C22" w:rsidR="00946919" w:rsidRDefault="00946919" w:rsidP="001443C1">
            <w:pPr>
              <w:tabs>
                <w:tab w:val="left" w:pos="450"/>
                <w:tab w:val="left" w:pos="720"/>
                <w:tab w:val="left" w:pos="1620"/>
              </w:tabs>
            </w:pPr>
            <w:r>
              <w:t>Phone: 770-488-4825</w:t>
            </w:r>
          </w:p>
          <w:p w14:paraId="7EC46132" w14:textId="6B288534" w:rsidR="00946919" w:rsidRDefault="00946919" w:rsidP="001443C1">
            <w:pPr>
              <w:tabs>
                <w:tab w:val="left" w:pos="450"/>
                <w:tab w:val="left" w:pos="720"/>
                <w:tab w:val="left" w:pos="1620"/>
              </w:tabs>
            </w:pPr>
            <w:r>
              <w:t>Email: bkf4@cdc.gov</w:t>
            </w:r>
          </w:p>
        </w:tc>
      </w:tr>
      <w:tr w:rsidR="00946919" w14:paraId="142E0940" w14:textId="77777777" w:rsidTr="00FB4788">
        <w:tc>
          <w:tcPr>
            <w:tcW w:w="8630" w:type="dxa"/>
            <w:gridSpan w:val="3"/>
          </w:tcPr>
          <w:p w14:paraId="67FA9B8B" w14:textId="6DF7395B" w:rsidR="00946919" w:rsidRDefault="00946919" w:rsidP="001443C1">
            <w:pPr>
              <w:tabs>
                <w:tab w:val="left" w:pos="450"/>
                <w:tab w:val="left" w:pos="720"/>
                <w:tab w:val="left" w:pos="1620"/>
              </w:tabs>
            </w:pPr>
            <w:r>
              <w:t>ICF International</w:t>
            </w:r>
          </w:p>
        </w:tc>
      </w:tr>
      <w:tr w:rsidR="00946919" w14:paraId="0B462E86" w14:textId="77777777" w:rsidTr="00946919">
        <w:tc>
          <w:tcPr>
            <w:tcW w:w="2794" w:type="dxa"/>
          </w:tcPr>
          <w:p w14:paraId="44E6CE57" w14:textId="6586A9EF" w:rsidR="00946919" w:rsidRDefault="00946919" w:rsidP="001443C1">
            <w:pPr>
              <w:tabs>
                <w:tab w:val="left" w:pos="450"/>
                <w:tab w:val="left" w:pos="720"/>
                <w:tab w:val="left" w:pos="1620"/>
              </w:tabs>
            </w:pPr>
            <w:r>
              <w:t>Isabela Lucas</w:t>
            </w:r>
          </w:p>
          <w:p w14:paraId="4525A95A" w14:textId="7A3216DA" w:rsidR="00946919" w:rsidRDefault="00946919" w:rsidP="001443C1">
            <w:pPr>
              <w:tabs>
                <w:tab w:val="left" w:pos="450"/>
                <w:tab w:val="left" w:pos="720"/>
                <w:tab w:val="left" w:pos="1620"/>
              </w:tabs>
            </w:pPr>
            <w:r>
              <w:t>Technical Specialist</w:t>
            </w:r>
          </w:p>
        </w:tc>
        <w:tc>
          <w:tcPr>
            <w:tcW w:w="2272" w:type="dxa"/>
          </w:tcPr>
          <w:p w14:paraId="06492012" w14:textId="34EE5686" w:rsidR="00946919" w:rsidRDefault="00946919" w:rsidP="001443C1">
            <w:pPr>
              <w:tabs>
                <w:tab w:val="left" w:pos="450"/>
                <w:tab w:val="left" w:pos="720"/>
                <w:tab w:val="left" w:pos="1620"/>
              </w:tabs>
            </w:pPr>
            <w:r>
              <w:t>Data Collection</w:t>
            </w:r>
          </w:p>
        </w:tc>
        <w:tc>
          <w:tcPr>
            <w:tcW w:w="3564" w:type="dxa"/>
          </w:tcPr>
          <w:p w14:paraId="18F11102" w14:textId="4AC5187C" w:rsidR="00946919" w:rsidRDefault="00946919" w:rsidP="001443C1">
            <w:pPr>
              <w:tabs>
                <w:tab w:val="left" w:pos="450"/>
                <w:tab w:val="left" w:pos="720"/>
                <w:tab w:val="left" w:pos="1620"/>
              </w:tabs>
            </w:pPr>
            <w:r>
              <w:t>Phone: 404-321-3211</w:t>
            </w:r>
          </w:p>
          <w:p w14:paraId="50DEB803" w14:textId="2BF96EDA" w:rsidR="00946919" w:rsidRDefault="00946919" w:rsidP="001443C1">
            <w:pPr>
              <w:tabs>
                <w:tab w:val="left" w:pos="450"/>
                <w:tab w:val="left" w:pos="720"/>
                <w:tab w:val="left" w:pos="1620"/>
              </w:tabs>
            </w:pPr>
            <w:r>
              <w:t>Email: Isabela.Lucas@icfi.com</w:t>
            </w:r>
          </w:p>
        </w:tc>
      </w:tr>
      <w:tr w:rsidR="00946919" w14:paraId="25B41743" w14:textId="77777777" w:rsidTr="00946919">
        <w:tc>
          <w:tcPr>
            <w:tcW w:w="2794" w:type="dxa"/>
          </w:tcPr>
          <w:p w14:paraId="46F50F79" w14:textId="425F619C" w:rsidR="00946919" w:rsidRDefault="00946919" w:rsidP="001443C1">
            <w:pPr>
              <w:tabs>
                <w:tab w:val="left" w:pos="450"/>
                <w:tab w:val="left" w:pos="720"/>
                <w:tab w:val="left" w:pos="1620"/>
              </w:tabs>
            </w:pPr>
            <w:r>
              <w:t>Donoria Evans</w:t>
            </w:r>
          </w:p>
          <w:p w14:paraId="429FE63C" w14:textId="362E55AD" w:rsidR="00946919" w:rsidRDefault="00946919" w:rsidP="001443C1">
            <w:pPr>
              <w:tabs>
                <w:tab w:val="left" w:pos="450"/>
                <w:tab w:val="left" w:pos="720"/>
                <w:tab w:val="left" w:pos="1620"/>
              </w:tabs>
            </w:pPr>
            <w:r>
              <w:t>Senior Associate</w:t>
            </w:r>
          </w:p>
        </w:tc>
        <w:tc>
          <w:tcPr>
            <w:tcW w:w="2272" w:type="dxa"/>
          </w:tcPr>
          <w:p w14:paraId="6B65D471" w14:textId="367A30F1" w:rsidR="00946919" w:rsidRDefault="00946919" w:rsidP="001443C1">
            <w:pPr>
              <w:tabs>
                <w:tab w:val="left" w:pos="450"/>
                <w:tab w:val="left" w:pos="720"/>
                <w:tab w:val="left" w:pos="1620"/>
              </w:tabs>
            </w:pPr>
            <w:r>
              <w:t>Data Analysis</w:t>
            </w:r>
          </w:p>
        </w:tc>
        <w:tc>
          <w:tcPr>
            <w:tcW w:w="3564" w:type="dxa"/>
          </w:tcPr>
          <w:p w14:paraId="4E46A1E6" w14:textId="20F4D396" w:rsidR="00946919" w:rsidRDefault="00946919" w:rsidP="001443C1">
            <w:pPr>
              <w:tabs>
                <w:tab w:val="left" w:pos="450"/>
                <w:tab w:val="left" w:pos="720"/>
                <w:tab w:val="left" w:pos="1620"/>
              </w:tabs>
            </w:pPr>
            <w:r>
              <w:t>Phone: 404-321-3211</w:t>
            </w:r>
          </w:p>
          <w:p w14:paraId="0B50615E" w14:textId="32E27EFC" w:rsidR="00946919" w:rsidRDefault="00946919" w:rsidP="001443C1">
            <w:pPr>
              <w:tabs>
                <w:tab w:val="left" w:pos="450"/>
                <w:tab w:val="left" w:pos="720"/>
                <w:tab w:val="left" w:pos="1620"/>
              </w:tabs>
            </w:pPr>
            <w:r>
              <w:t>Email: Donoria.Evans@icfi.com</w:t>
            </w:r>
          </w:p>
        </w:tc>
      </w:tr>
    </w:tbl>
    <w:p w14:paraId="4541855E" w14:textId="06BDC64E" w:rsidR="001443C1" w:rsidRPr="00F33CDE" w:rsidRDefault="001443C1" w:rsidP="001443C1">
      <w:pPr>
        <w:tabs>
          <w:tab w:val="left" w:pos="450"/>
          <w:tab w:val="left" w:pos="720"/>
          <w:tab w:val="left" w:pos="1620"/>
        </w:tabs>
      </w:pPr>
    </w:p>
    <w:p w14:paraId="08B4545D" w14:textId="77777777" w:rsidR="00946919" w:rsidRDefault="00946919" w:rsidP="00871345"/>
    <w:p w14:paraId="35A36D46" w14:textId="043CD0BA" w:rsidR="00871345" w:rsidRPr="00064AC5" w:rsidRDefault="00871345" w:rsidP="00871345">
      <w:r>
        <w:lastRenderedPageBreak/>
        <w:t>Rachel Davis</w:t>
      </w:r>
      <w:r w:rsidRPr="00064AC5">
        <w:t xml:space="preserve">, </w:t>
      </w:r>
      <w:r w:rsidR="00AA57EC">
        <w:t>MPH</w:t>
      </w:r>
    </w:p>
    <w:p w14:paraId="59A3F55D" w14:textId="2C2013B0" w:rsidR="00871345" w:rsidRPr="00064AC5" w:rsidRDefault="00AA57EC" w:rsidP="00871345">
      <w:r>
        <w:t>Health Scientist</w:t>
      </w:r>
    </w:p>
    <w:p w14:paraId="0208CFF3" w14:textId="77777777" w:rsidR="00871345" w:rsidRDefault="00871345" w:rsidP="00871345">
      <w:r>
        <w:t>Applied Research and Evaluation Branch</w:t>
      </w:r>
    </w:p>
    <w:p w14:paraId="271E449E" w14:textId="77777777" w:rsidR="00871345" w:rsidRPr="00064AC5" w:rsidRDefault="00871345" w:rsidP="00871345">
      <w:r>
        <w:t>Division for Heart Disease and Stroke Prevention</w:t>
      </w:r>
    </w:p>
    <w:p w14:paraId="4F3B22BD" w14:textId="77777777" w:rsidR="00871345" w:rsidRPr="00064AC5" w:rsidRDefault="00871345" w:rsidP="00871345">
      <w:r w:rsidRPr="00064AC5">
        <w:t>National Center for Chronic Disease Prevention and Health Promotion</w:t>
      </w:r>
    </w:p>
    <w:p w14:paraId="2AB08620" w14:textId="77777777" w:rsidR="00871345" w:rsidRPr="00DF416D" w:rsidRDefault="00871345" w:rsidP="00871345">
      <w:r w:rsidRPr="00DF416D">
        <w:t>Centers for Disease Control and Prevention</w:t>
      </w:r>
    </w:p>
    <w:p w14:paraId="51164ED1" w14:textId="77777777" w:rsidR="00871345" w:rsidRDefault="00871345" w:rsidP="00871345">
      <w:r>
        <w:t xml:space="preserve">4770 Buford Hwy NE, MS-F75 </w:t>
      </w:r>
    </w:p>
    <w:p w14:paraId="5FDA95EB" w14:textId="77777777" w:rsidR="00871345" w:rsidRDefault="00871345" w:rsidP="00871345">
      <w:r>
        <w:t>Atlanta, GA 30341-3717</w:t>
      </w:r>
    </w:p>
    <w:p w14:paraId="5FB64B16" w14:textId="77777777" w:rsidR="00871345" w:rsidRPr="00064AC5" w:rsidRDefault="00871345" w:rsidP="00871345">
      <w:r w:rsidRPr="00064AC5">
        <w:t xml:space="preserve">OFFICE: </w:t>
      </w:r>
      <w:r>
        <w:t>770-488-4825</w:t>
      </w:r>
    </w:p>
    <w:p w14:paraId="6F6B685A" w14:textId="77777777" w:rsidR="00B54B6B" w:rsidRDefault="00871345" w:rsidP="00871345">
      <w:pPr>
        <w:jc w:val="both"/>
      </w:pPr>
      <w:r>
        <w:t>FAX: 770-488-8305</w:t>
      </w:r>
    </w:p>
    <w:p w14:paraId="068F2AFA" w14:textId="77777777" w:rsidR="00871345" w:rsidRPr="00F33CDE" w:rsidRDefault="00871345" w:rsidP="00871345">
      <w:pPr>
        <w:jc w:val="both"/>
      </w:pPr>
    </w:p>
    <w:p w14:paraId="3D706A0C" w14:textId="77777777" w:rsidR="006C5CF7" w:rsidRDefault="00B54B6B" w:rsidP="00F33CDE">
      <w:pPr>
        <w:jc w:val="both"/>
      </w:pPr>
      <w:r w:rsidRPr="00F33CDE">
        <w:t>Information will be collected and analyzed by</w:t>
      </w:r>
      <w:r w:rsidR="006C5CF7" w:rsidRPr="00F33CDE">
        <w:t xml:space="preserve"> CDC</w:t>
      </w:r>
      <w:r w:rsidR="003C7EF8">
        <w:t>’s</w:t>
      </w:r>
      <w:r w:rsidR="006C5CF7" w:rsidRPr="00F33CDE">
        <w:t xml:space="preserve"> contractor, ICF International. </w:t>
      </w:r>
    </w:p>
    <w:p w14:paraId="1CA1352A" w14:textId="77777777" w:rsidR="00A61B66" w:rsidRDefault="00A61B66" w:rsidP="00F33CDE">
      <w:pPr>
        <w:jc w:val="both"/>
      </w:pPr>
    </w:p>
    <w:p w14:paraId="6F8147D3" w14:textId="77777777" w:rsidR="001B5CAD" w:rsidRDefault="001B5CAD" w:rsidP="00B54B6B"/>
    <w:sectPr w:rsidR="001B5CAD" w:rsidSect="00652F10">
      <w:headerReference w:type="default" r:id="rId13"/>
      <w:footerReference w:type="default" r:id="rId14"/>
      <w:head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F9338" w14:textId="77777777" w:rsidR="00D75D24" w:rsidRDefault="00D75D24" w:rsidP="00724B87">
      <w:r>
        <w:separator/>
      </w:r>
    </w:p>
  </w:endnote>
  <w:endnote w:type="continuationSeparator" w:id="0">
    <w:p w14:paraId="55C5D0CB" w14:textId="77777777" w:rsidR="00D75D24" w:rsidRDefault="00D75D24" w:rsidP="00724B87">
      <w:r>
        <w:continuationSeparator/>
      </w:r>
    </w:p>
  </w:endnote>
  <w:endnote w:type="continuationNotice" w:id="1">
    <w:p w14:paraId="798C5D91" w14:textId="77777777" w:rsidR="00D75D24" w:rsidRDefault="00D75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E557" w14:textId="77777777" w:rsidR="00360F70" w:rsidRDefault="00360F70">
    <w:pPr>
      <w:pStyle w:val="Footer"/>
      <w:jc w:val="right"/>
    </w:pPr>
    <w:r>
      <w:fldChar w:fldCharType="begin"/>
    </w:r>
    <w:r>
      <w:instrText xml:space="preserve"> PAGE   \* MERGEFORMAT </w:instrText>
    </w:r>
    <w:r>
      <w:fldChar w:fldCharType="separate"/>
    </w:r>
    <w:r w:rsidR="006F3AA4">
      <w:rPr>
        <w:noProof/>
      </w:rPr>
      <w:t>7</w:t>
    </w:r>
    <w:r>
      <w:rPr>
        <w:noProof/>
      </w:rPr>
      <w:fldChar w:fldCharType="end"/>
    </w:r>
  </w:p>
  <w:p w14:paraId="45D0EC48" w14:textId="77777777" w:rsidR="00360F70" w:rsidRDefault="00360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E13A7" w14:textId="77777777" w:rsidR="00D75D24" w:rsidRDefault="00D75D24" w:rsidP="00724B87">
      <w:r>
        <w:separator/>
      </w:r>
    </w:p>
  </w:footnote>
  <w:footnote w:type="continuationSeparator" w:id="0">
    <w:p w14:paraId="51FA136E" w14:textId="77777777" w:rsidR="00D75D24" w:rsidRDefault="00D75D24" w:rsidP="00724B87">
      <w:r>
        <w:continuationSeparator/>
      </w:r>
    </w:p>
  </w:footnote>
  <w:footnote w:type="continuationNotice" w:id="1">
    <w:p w14:paraId="7B2D267E" w14:textId="77777777" w:rsidR="00D75D24" w:rsidRDefault="00D75D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6E05B" w14:textId="6D9EB8D1" w:rsidR="00F427C5" w:rsidRDefault="00F427C5" w:rsidP="00DC4EA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5EE95" w14:textId="4A3C44FA" w:rsidR="00DB66E3" w:rsidRDefault="00DB66E3" w:rsidP="00696D0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B7D00"/>
    <w:multiLevelType w:val="hybridMultilevel"/>
    <w:tmpl w:val="5D1A09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6B06890"/>
    <w:multiLevelType w:val="hybridMultilevel"/>
    <w:tmpl w:val="09EE3688"/>
    <w:lvl w:ilvl="0" w:tplc="6262DEF0">
      <w:start w:val="1"/>
      <w:numFmt w:val="bullet"/>
      <w:pStyle w:val="ReportBulletLis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B219E"/>
    <w:multiLevelType w:val="hybridMultilevel"/>
    <w:tmpl w:val="9E768D3E"/>
    <w:lvl w:ilvl="0" w:tplc="2E4A2C56">
      <w:start w:val="1"/>
      <w:numFmt w:val="bullet"/>
      <w:lvlText w:val="■"/>
      <w:lvlJc w:val="left"/>
      <w:pPr>
        <w:tabs>
          <w:tab w:val="num" w:pos="720"/>
        </w:tabs>
        <w:ind w:left="720" w:hanging="360"/>
      </w:pPr>
      <w:rPr>
        <w:rFonts w:ascii="Times New Roman" w:hAnsi="Times New Roman" w:cs="Times New Roman" w:hint="default"/>
        <w:position w:val="2"/>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A748E"/>
    <w:multiLevelType w:val="hybridMultilevel"/>
    <w:tmpl w:val="6BF2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344D1"/>
    <w:multiLevelType w:val="hybridMultilevel"/>
    <w:tmpl w:val="87EABC0A"/>
    <w:lvl w:ilvl="0" w:tplc="2E4A2C56">
      <w:start w:val="1"/>
      <w:numFmt w:val="bullet"/>
      <w:lvlText w:val="■"/>
      <w:lvlJc w:val="left"/>
      <w:pPr>
        <w:tabs>
          <w:tab w:val="num" w:pos="720"/>
        </w:tabs>
        <w:ind w:left="720" w:hanging="360"/>
      </w:pPr>
      <w:rPr>
        <w:rFonts w:ascii="Times New Roman" w:hAnsi="Times New Roman" w:cs="Times New Roman" w:hint="default"/>
        <w:position w:val="2"/>
        <w:sz w:val="20"/>
        <w:szCs w:val="20"/>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E057B"/>
    <w:multiLevelType w:val="hybridMultilevel"/>
    <w:tmpl w:val="FB3C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D7EF3"/>
    <w:multiLevelType w:val="hybridMultilevel"/>
    <w:tmpl w:val="23CC9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1276E"/>
    <w:multiLevelType w:val="hybridMultilevel"/>
    <w:tmpl w:val="FA564052"/>
    <w:lvl w:ilvl="0" w:tplc="11AA295C">
      <w:start w:val="1"/>
      <w:numFmt w:val="decimal"/>
      <w:pStyle w:val="Repor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84D8E"/>
    <w:multiLevelType w:val="hybridMultilevel"/>
    <w:tmpl w:val="8A96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6"/>
  </w:num>
  <w:num w:numId="6">
    <w:abstractNumId w:val="5"/>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6B"/>
    <w:rsid w:val="00006A10"/>
    <w:rsid w:val="000070A4"/>
    <w:rsid w:val="00013B81"/>
    <w:rsid w:val="00016E0F"/>
    <w:rsid w:val="00026F8F"/>
    <w:rsid w:val="00047FAE"/>
    <w:rsid w:val="00097235"/>
    <w:rsid w:val="000A1C44"/>
    <w:rsid w:val="000A5768"/>
    <w:rsid w:val="000A79EB"/>
    <w:rsid w:val="000B381A"/>
    <w:rsid w:val="000C1570"/>
    <w:rsid w:val="000E501B"/>
    <w:rsid w:val="000F2882"/>
    <w:rsid w:val="000F4ED6"/>
    <w:rsid w:val="001348EC"/>
    <w:rsid w:val="001443C1"/>
    <w:rsid w:val="00164442"/>
    <w:rsid w:val="00165CAB"/>
    <w:rsid w:val="001A4784"/>
    <w:rsid w:val="001B2438"/>
    <w:rsid w:val="001B5CAD"/>
    <w:rsid w:val="001D4033"/>
    <w:rsid w:val="001D590D"/>
    <w:rsid w:val="001E660D"/>
    <w:rsid w:val="00203076"/>
    <w:rsid w:val="002034CC"/>
    <w:rsid w:val="0022292F"/>
    <w:rsid w:val="002346B8"/>
    <w:rsid w:val="00237A67"/>
    <w:rsid w:val="0024390F"/>
    <w:rsid w:val="002455CC"/>
    <w:rsid w:val="00262059"/>
    <w:rsid w:val="0026442D"/>
    <w:rsid w:val="00283DFD"/>
    <w:rsid w:val="00295611"/>
    <w:rsid w:val="002C2DE2"/>
    <w:rsid w:val="002C6870"/>
    <w:rsid w:val="002D3C07"/>
    <w:rsid w:val="002E3B65"/>
    <w:rsid w:val="003033C4"/>
    <w:rsid w:val="0031121A"/>
    <w:rsid w:val="00316394"/>
    <w:rsid w:val="003272AE"/>
    <w:rsid w:val="003312C4"/>
    <w:rsid w:val="003326AB"/>
    <w:rsid w:val="003530A5"/>
    <w:rsid w:val="00357802"/>
    <w:rsid w:val="00360C33"/>
    <w:rsid w:val="00360F70"/>
    <w:rsid w:val="00377529"/>
    <w:rsid w:val="003C3375"/>
    <w:rsid w:val="003C4DA0"/>
    <w:rsid w:val="003C7EF8"/>
    <w:rsid w:val="003E3B32"/>
    <w:rsid w:val="00411596"/>
    <w:rsid w:val="00424A1A"/>
    <w:rsid w:val="004270BC"/>
    <w:rsid w:val="004902D3"/>
    <w:rsid w:val="00493BF0"/>
    <w:rsid w:val="004A58C9"/>
    <w:rsid w:val="004C39AA"/>
    <w:rsid w:val="004C69FD"/>
    <w:rsid w:val="004E2AC2"/>
    <w:rsid w:val="004F01AC"/>
    <w:rsid w:val="0051741F"/>
    <w:rsid w:val="0051787A"/>
    <w:rsid w:val="00525990"/>
    <w:rsid w:val="0052757B"/>
    <w:rsid w:val="00533D58"/>
    <w:rsid w:val="005457D4"/>
    <w:rsid w:val="00547802"/>
    <w:rsid w:val="0056251E"/>
    <w:rsid w:val="00565965"/>
    <w:rsid w:val="00565BDB"/>
    <w:rsid w:val="00577A67"/>
    <w:rsid w:val="00597CD3"/>
    <w:rsid w:val="005A0EED"/>
    <w:rsid w:val="005B06AA"/>
    <w:rsid w:val="005C241B"/>
    <w:rsid w:val="005C3BDA"/>
    <w:rsid w:val="005F6234"/>
    <w:rsid w:val="0062229A"/>
    <w:rsid w:val="006254DF"/>
    <w:rsid w:val="00632AD4"/>
    <w:rsid w:val="00652F10"/>
    <w:rsid w:val="0068559E"/>
    <w:rsid w:val="00696D0C"/>
    <w:rsid w:val="006B2A65"/>
    <w:rsid w:val="006B47E8"/>
    <w:rsid w:val="006C5CF7"/>
    <w:rsid w:val="006E57DD"/>
    <w:rsid w:val="006F3AA4"/>
    <w:rsid w:val="00724B87"/>
    <w:rsid w:val="00732414"/>
    <w:rsid w:val="00734559"/>
    <w:rsid w:val="007C1F11"/>
    <w:rsid w:val="007E4397"/>
    <w:rsid w:val="007F4DE8"/>
    <w:rsid w:val="008214E8"/>
    <w:rsid w:val="00826021"/>
    <w:rsid w:val="00831723"/>
    <w:rsid w:val="008409B8"/>
    <w:rsid w:val="00845CEA"/>
    <w:rsid w:val="0086000D"/>
    <w:rsid w:val="00870BE2"/>
    <w:rsid w:val="00871345"/>
    <w:rsid w:val="00881857"/>
    <w:rsid w:val="0088207D"/>
    <w:rsid w:val="008821C7"/>
    <w:rsid w:val="00896A99"/>
    <w:rsid w:val="008B1B97"/>
    <w:rsid w:val="008B2EA6"/>
    <w:rsid w:val="008D6D4C"/>
    <w:rsid w:val="00916D8E"/>
    <w:rsid w:val="00917EA0"/>
    <w:rsid w:val="00946919"/>
    <w:rsid w:val="009547C9"/>
    <w:rsid w:val="009B23C1"/>
    <w:rsid w:val="009C328A"/>
    <w:rsid w:val="009E3DBD"/>
    <w:rsid w:val="009E6BDE"/>
    <w:rsid w:val="009F743F"/>
    <w:rsid w:val="00A0071B"/>
    <w:rsid w:val="00A16B59"/>
    <w:rsid w:val="00A55073"/>
    <w:rsid w:val="00A61B66"/>
    <w:rsid w:val="00A62B9F"/>
    <w:rsid w:val="00A74128"/>
    <w:rsid w:val="00AA345C"/>
    <w:rsid w:val="00AA57EC"/>
    <w:rsid w:val="00AB3946"/>
    <w:rsid w:val="00AD1596"/>
    <w:rsid w:val="00AF1885"/>
    <w:rsid w:val="00B01AFF"/>
    <w:rsid w:val="00B0383B"/>
    <w:rsid w:val="00B0444D"/>
    <w:rsid w:val="00B12B15"/>
    <w:rsid w:val="00B20443"/>
    <w:rsid w:val="00B24E77"/>
    <w:rsid w:val="00B2719E"/>
    <w:rsid w:val="00B35FA9"/>
    <w:rsid w:val="00B54B6B"/>
    <w:rsid w:val="00B54C58"/>
    <w:rsid w:val="00B56CC8"/>
    <w:rsid w:val="00B770C3"/>
    <w:rsid w:val="00B87391"/>
    <w:rsid w:val="00BC089D"/>
    <w:rsid w:val="00BC1DAF"/>
    <w:rsid w:val="00BD38BA"/>
    <w:rsid w:val="00BE6822"/>
    <w:rsid w:val="00BF384D"/>
    <w:rsid w:val="00C00149"/>
    <w:rsid w:val="00C01091"/>
    <w:rsid w:val="00C03EDD"/>
    <w:rsid w:val="00C065FF"/>
    <w:rsid w:val="00C13373"/>
    <w:rsid w:val="00C15181"/>
    <w:rsid w:val="00C466BA"/>
    <w:rsid w:val="00C64731"/>
    <w:rsid w:val="00C73124"/>
    <w:rsid w:val="00C86C35"/>
    <w:rsid w:val="00CA393D"/>
    <w:rsid w:val="00CB5C4F"/>
    <w:rsid w:val="00CC39CF"/>
    <w:rsid w:val="00CC4D6B"/>
    <w:rsid w:val="00CD13A1"/>
    <w:rsid w:val="00CD3A06"/>
    <w:rsid w:val="00CD5B58"/>
    <w:rsid w:val="00D0215C"/>
    <w:rsid w:val="00D13355"/>
    <w:rsid w:val="00D311F1"/>
    <w:rsid w:val="00D344C9"/>
    <w:rsid w:val="00D34A3C"/>
    <w:rsid w:val="00D410BF"/>
    <w:rsid w:val="00D4696B"/>
    <w:rsid w:val="00D75D24"/>
    <w:rsid w:val="00D8368C"/>
    <w:rsid w:val="00D87B48"/>
    <w:rsid w:val="00DA50AF"/>
    <w:rsid w:val="00DB3C63"/>
    <w:rsid w:val="00DB66E3"/>
    <w:rsid w:val="00DC3471"/>
    <w:rsid w:val="00DC4EA8"/>
    <w:rsid w:val="00DD13C0"/>
    <w:rsid w:val="00DF26B8"/>
    <w:rsid w:val="00DF32E9"/>
    <w:rsid w:val="00DF47A0"/>
    <w:rsid w:val="00E12EDB"/>
    <w:rsid w:val="00E14617"/>
    <w:rsid w:val="00E30AFF"/>
    <w:rsid w:val="00E42C76"/>
    <w:rsid w:val="00E443A9"/>
    <w:rsid w:val="00EA1E3C"/>
    <w:rsid w:val="00EE7B9A"/>
    <w:rsid w:val="00F04CA7"/>
    <w:rsid w:val="00F33CDE"/>
    <w:rsid w:val="00F364CE"/>
    <w:rsid w:val="00F427C5"/>
    <w:rsid w:val="00F64D5D"/>
    <w:rsid w:val="00F83A56"/>
    <w:rsid w:val="00F95110"/>
    <w:rsid w:val="00F954C3"/>
    <w:rsid w:val="00FA3670"/>
    <w:rsid w:val="00FB3982"/>
    <w:rsid w:val="00FB528E"/>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435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4B6B"/>
    <w:rPr>
      <w:color w:val="0000FF"/>
      <w:u w:val="single"/>
    </w:rPr>
  </w:style>
  <w:style w:type="paragraph" w:styleId="Header">
    <w:name w:val="header"/>
    <w:basedOn w:val="Normal"/>
    <w:link w:val="HeaderChar"/>
    <w:rsid w:val="00724B87"/>
    <w:pPr>
      <w:tabs>
        <w:tab w:val="center" w:pos="4680"/>
        <w:tab w:val="right" w:pos="9360"/>
      </w:tabs>
    </w:pPr>
  </w:style>
  <w:style w:type="character" w:customStyle="1" w:styleId="HeaderChar">
    <w:name w:val="Header Char"/>
    <w:link w:val="Header"/>
    <w:rsid w:val="00724B87"/>
    <w:rPr>
      <w:sz w:val="24"/>
      <w:szCs w:val="24"/>
    </w:rPr>
  </w:style>
  <w:style w:type="paragraph" w:styleId="Footer">
    <w:name w:val="footer"/>
    <w:basedOn w:val="Normal"/>
    <w:link w:val="FooterChar"/>
    <w:uiPriority w:val="99"/>
    <w:rsid w:val="00724B87"/>
    <w:pPr>
      <w:tabs>
        <w:tab w:val="center" w:pos="4680"/>
        <w:tab w:val="right" w:pos="9360"/>
      </w:tabs>
    </w:pPr>
  </w:style>
  <w:style w:type="character" w:customStyle="1" w:styleId="FooterChar">
    <w:name w:val="Footer Char"/>
    <w:link w:val="Footer"/>
    <w:uiPriority w:val="99"/>
    <w:rsid w:val="00724B87"/>
    <w:rPr>
      <w:sz w:val="24"/>
      <w:szCs w:val="24"/>
    </w:rPr>
  </w:style>
  <w:style w:type="paragraph" w:styleId="BalloonText">
    <w:name w:val="Balloon Text"/>
    <w:basedOn w:val="Normal"/>
    <w:link w:val="BalloonTextChar"/>
    <w:rsid w:val="00F427C5"/>
    <w:rPr>
      <w:rFonts w:ascii="Tahoma" w:hAnsi="Tahoma" w:cs="Tahoma"/>
      <w:sz w:val="16"/>
      <w:szCs w:val="16"/>
    </w:rPr>
  </w:style>
  <w:style w:type="character" w:customStyle="1" w:styleId="BalloonTextChar">
    <w:name w:val="Balloon Text Char"/>
    <w:link w:val="BalloonText"/>
    <w:rsid w:val="00F427C5"/>
    <w:rPr>
      <w:rFonts w:ascii="Tahoma" w:hAnsi="Tahoma" w:cs="Tahoma"/>
      <w:sz w:val="16"/>
      <w:szCs w:val="16"/>
    </w:rPr>
  </w:style>
  <w:style w:type="paragraph" w:styleId="ListParagraph">
    <w:name w:val="List Paragraph"/>
    <w:basedOn w:val="Normal"/>
    <w:uiPriority w:val="34"/>
    <w:qFormat/>
    <w:rsid w:val="00B770C3"/>
    <w:pPr>
      <w:spacing w:after="200" w:line="276" w:lineRule="auto"/>
      <w:ind w:left="720"/>
      <w:contextualSpacing/>
    </w:pPr>
    <w:rPr>
      <w:rFonts w:ascii="Calibri" w:eastAsia="Calibri" w:hAnsi="Calibri"/>
      <w:sz w:val="22"/>
      <w:szCs w:val="22"/>
    </w:rPr>
  </w:style>
  <w:style w:type="character" w:styleId="CommentReference">
    <w:name w:val="annotation reference"/>
    <w:rsid w:val="00357802"/>
    <w:rPr>
      <w:sz w:val="16"/>
      <w:szCs w:val="16"/>
    </w:rPr>
  </w:style>
  <w:style w:type="paragraph" w:styleId="CommentText">
    <w:name w:val="annotation text"/>
    <w:basedOn w:val="Normal"/>
    <w:link w:val="CommentTextChar"/>
    <w:rsid w:val="00357802"/>
    <w:rPr>
      <w:sz w:val="20"/>
      <w:szCs w:val="20"/>
    </w:rPr>
  </w:style>
  <w:style w:type="character" w:customStyle="1" w:styleId="CommentTextChar">
    <w:name w:val="Comment Text Char"/>
    <w:basedOn w:val="DefaultParagraphFont"/>
    <w:link w:val="CommentText"/>
    <w:rsid w:val="00357802"/>
  </w:style>
  <w:style w:type="paragraph" w:customStyle="1" w:styleId="ReportBodyText">
    <w:name w:val="Report Body Text"/>
    <w:basedOn w:val="Normal"/>
    <w:qFormat/>
    <w:rsid w:val="003312C4"/>
    <w:pPr>
      <w:spacing w:after="200" w:line="276" w:lineRule="auto"/>
      <w:jc w:val="both"/>
    </w:pPr>
    <w:rPr>
      <w:rFonts w:eastAsia="Calibri"/>
      <w:szCs w:val="22"/>
    </w:rPr>
  </w:style>
  <w:style w:type="paragraph" w:styleId="FootnoteText">
    <w:name w:val="footnote text"/>
    <w:basedOn w:val="Normal"/>
    <w:link w:val="FootnoteTextChar"/>
    <w:uiPriority w:val="99"/>
    <w:unhideWhenUsed/>
    <w:rsid w:val="003312C4"/>
    <w:rPr>
      <w:rFonts w:ascii="Calibri" w:eastAsia="Calibri" w:hAnsi="Calibri"/>
      <w:sz w:val="20"/>
      <w:szCs w:val="20"/>
    </w:rPr>
  </w:style>
  <w:style w:type="character" w:customStyle="1" w:styleId="FootnoteTextChar">
    <w:name w:val="Footnote Text Char"/>
    <w:link w:val="FootnoteText"/>
    <w:uiPriority w:val="99"/>
    <w:rsid w:val="003312C4"/>
    <w:rPr>
      <w:rFonts w:ascii="Calibri" w:eastAsia="Calibri" w:hAnsi="Calibri"/>
    </w:rPr>
  </w:style>
  <w:style w:type="character" w:styleId="FootnoteReference">
    <w:name w:val="footnote reference"/>
    <w:uiPriority w:val="99"/>
    <w:unhideWhenUsed/>
    <w:rsid w:val="003312C4"/>
    <w:rPr>
      <w:vertAlign w:val="superscript"/>
    </w:rPr>
  </w:style>
  <w:style w:type="paragraph" w:customStyle="1" w:styleId="ReportBulletList">
    <w:name w:val="Report Bullet List"/>
    <w:basedOn w:val="ReportBodyText"/>
    <w:qFormat/>
    <w:rsid w:val="00BE6822"/>
    <w:pPr>
      <w:numPr>
        <w:numId w:val="1"/>
      </w:numPr>
      <w:spacing w:before="120" w:after="120" w:line="240" w:lineRule="auto"/>
    </w:pPr>
    <w:rPr>
      <w:sz w:val="22"/>
    </w:rPr>
  </w:style>
  <w:style w:type="table" w:styleId="LightList-Accent4">
    <w:name w:val="Light List Accent 4"/>
    <w:basedOn w:val="TableNormal"/>
    <w:uiPriority w:val="61"/>
    <w:rsid w:val="00BE6822"/>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portTableHeading1">
    <w:name w:val="Report Table Heading 1"/>
    <w:basedOn w:val="ReportBodyText"/>
    <w:qFormat/>
    <w:rsid w:val="00BE6822"/>
    <w:pPr>
      <w:spacing w:after="0" w:line="240" w:lineRule="auto"/>
      <w:jc w:val="center"/>
    </w:pPr>
    <w:rPr>
      <w:rFonts w:ascii="Century Gothic" w:hAnsi="Century Gothic" w:cs="Arial"/>
      <w:b/>
      <w:bCs/>
      <w:color w:val="E5DFEC"/>
      <w:sz w:val="22"/>
    </w:rPr>
  </w:style>
  <w:style w:type="paragraph" w:customStyle="1" w:styleId="ReportTableList">
    <w:name w:val="Report Table List"/>
    <w:basedOn w:val="ReportBulletList"/>
    <w:qFormat/>
    <w:rsid w:val="00BE6822"/>
    <w:pPr>
      <w:spacing w:before="30" w:after="30"/>
      <w:ind w:left="331" w:hanging="259"/>
      <w:jc w:val="left"/>
    </w:pPr>
    <w:rPr>
      <w:rFonts w:ascii="Arial" w:hAnsi="Arial" w:cs="Arial"/>
      <w:sz w:val="20"/>
      <w:szCs w:val="20"/>
    </w:rPr>
  </w:style>
  <w:style w:type="paragraph" w:customStyle="1" w:styleId="ReportTableText">
    <w:name w:val="Report Table Text"/>
    <w:basedOn w:val="ReportBodyText"/>
    <w:qFormat/>
    <w:rsid w:val="00BE6822"/>
    <w:pPr>
      <w:spacing w:after="0" w:line="240" w:lineRule="auto"/>
      <w:jc w:val="left"/>
    </w:pPr>
    <w:rPr>
      <w:rFonts w:ascii="Arial" w:hAnsi="Arial" w:cs="Arial"/>
      <w:sz w:val="20"/>
      <w:szCs w:val="20"/>
    </w:rPr>
  </w:style>
  <w:style w:type="paragraph" w:customStyle="1" w:styleId="bodytextCharCharChar">
    <w:name w:val="body text Char Char Char"/>
    <w:aliases w:val="bt Char Char Char,body tx Char Char Char,indent Char Char Char,flush Char Char Char"/>
    <w:basedOn w:val="Normal"/>
    <w:rsid w:val="00047FAE"/>
    <w:pPr>
      <w:spacing w:after="240"/>
      <w:ind w:firstLine="720"/>
    </w:pPr>
  </w:style>
  <w:style w:type="paragraph" w:customStyle="1" w:styleId="ReportNumberedList">
    <w:name w:val="Report Numbered List"/>
    <w:basedOn w:val="ReportBodyText"/>
    <w:qFormat/>
    <w:rsid w:val="00732414"/>
    <w:pPr>
      <w:numPr>
        <w:numId w:val="3"/>
      </w:numPr>
      <w:tabs>
        <w:tab w:val="num" w:pos="945"/>
      </w:tabs>
      <w:spacing w:before="120" w:after="120" w:line="240" w:lineRule="auto"/>
      <w:ind w:left="945" w:hanging="585"/>
    </w:pPr>
    <w:rPr>
      <w:sz w:val="22"/>
    </w:rPr>
  </w:style>
  <w:style w:type="character" w:styleId="Emphasis">
    <w:name w:val="Emphasis"/>
    <w:uiPriority w:val="20"/>
    <w:qFormat/>
    <w:rsid w:val="00732414"/>
    <w:rPr>
      <w:i/>
      <w:iCs/>
    </w:rPr>
  </w:style>
  <w:style w:type="paragraph" w:styleId="CommentSubject">
    <w:name w:val="annotation subject"/>
    <w:basedOn w:val="CommentText"/>
    <w:next w:val="CommentText"/>
    <w:link w:val="CommentSubjectChar"/>
    <w:rsid w:val="006B2A65"/>
    <w:rPr>
      <w:b/>
      <w:bCs/>
    </w:rPr>
  </w:style>
  <w:style w:type="character" w:customStyle="1" w:styleId="CommentSubjectChar">
    <w:name w:val="Comment Subject Char"/>
    <w:link w:val="CommentSubject"/>
    <w:rsid w:val="006B2A65"/>
    <w:rPr>
      <w:b/>
      <w:bCs/>
    </w:rPr>
  </w:style>
  <w:style w:type="character" w:customStyle="1" w:styleId="baec5a81-e4d6-4674-97f3-e9220f0136c1">
    <w:name w:val="baec5a81-e4d6-4674-97f3-e9220f0136c1"/>
    <w:rsid w:val="004F01AC"/>
  </w:style>
  <w:style w:type="paragraph" w:styleId="Revision">
    <w:name w:val="Revision"/>
    <w:hidden/>
    <w:uiPriority w:val="99"/>
    <w:semiHidden/>
    <w:rsid w:val="00E14617"/>
    <w:rPr>
      <w:sz w:val="24"/>
      <w:szCs w:val="24"/>
    </w:rPr>
  </w:style>
  <w:style w:type="paragraph" w:customStyle="1" w:styleId="bullets">
    <w:name w:val="bullets"/>
    <w:aliases w:val="bu"/>
    <w:basedOn w:val="Normal"/>
    <w:link w:val="bulletsChar"/>
    <w:rsid w:val="00203076"/>
    <w:pPr>
      <w:spacing w:after="240"/>
      <w:ind w:left="1440" w:hanging="360"/>
    </w:pPr>
    <w:rPr>
      <w:sz w:val="22"/>
      <w:szCs w:val="20"/>
    </w:rPr>
  </w:style>
  <w:style w:type="character" w:customStyle="1" w:styleId="bulletsChar">
    <w:name w:val="bullets Char"/>
    <w:aliases w:val="bu Char"/>
    <w:link w:val="bullets"/>
    <w:rsid w:val="00203076"/>
    <w:rPr>
      <w:sz w:val="22"/>
    </w:rPr>
  </w:style>
  <w:style w:type="paragraph" w:customStyle="1" w:styleId="bulletslast">
    <w:name w:val="bullets last"/>
    <w:basedOn w:val="bullets"/>
    <w:qFormat/>
    <w:rsid w:val="00203076"/>
    <w:pPr>
      <w:tabs>
        <w:tab w:val="num" w:pos="720"/>
      </w:tabs>
      <w:spacing w:after="120"/>
      <w:ind w:left="720"/>
    </w:pPr>
  </w:style>
  <w:style w:type="table" w:styleId="TableGrid">
    <w:name w:val="Table Grid"/>
    <w:basedOn w:val="TableNormal"/>
    <w:rsid w:val="0014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06AA"/>
    <w:pPr>
      <w:widowControl w:val="0"/>
      <w:autoSpaceDE w:val="0"/>
      <w:autoSpaceDN w:val="0"/>
      <w:adjustRightInd w:val="0"/>
    </w:pPr>
    <w:rPr>
      <w:rFonts w:ascii="EEAGN D+ Melior" w:hAnsi="EEAGN D+ Melior" w:cs="EEAGN D+ Melio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72615">
      <w:bodyDiv w:val="1"/>
      <w:marLeft w:val="0"/>
      <w:marRight w:val="0"/>
      <w:marTop w:val="0"/>
      <w:marBottom w:val="0"/>
      <w:divBdr>
        <w:top w:val="none" w:sz="0" w:space="0" w:color="auto"/>
        <w:left w:val="none" w:sz="0" w:space="0" w:color="auto"/>
        <w:bottom w:val="none" w:sz="0" w:space="0" w:color="auto"/>
        <w:right w:val="none" w:sz="0" w:space="0" w:color="auto"/>
      </w:divBdr>
    </w:div>
    <w:div w:id="258098910">
      <w:bodyDiv w:val="1"/>
      <w:marLeft w:val="225"/>
      <w:marRight w:val="225"/>
      <w:marTop w:val="0"/>
      <w:marBottom w:val="0"/>
      <w:divBdr>
        <w:top w:val="none" w:sz="0" w:space="0" w:color="auto"/>
        <w:left w:val="none" w:sz="0" w:space="0" w:color="auto"/>
        <w:bottom w:val="none" w:sz="0" w:space="0" w:color="auto"/>
        <w:right w:val="none" w:sz="0" w:space="0" w:color="auto"/>
      </w:divBdr>
    </w:div>
    <w:div w:id="367027637">
      <w:bodyDiv w:val="1"/>
      <w:marLeft w:val="0"/>
      <w:marRight w:val="0"/>
      <w:marTop w:val="0"/>
      <w:marBottom w:val="0"/>
      <w:divBdr>
        <w:top w:val="none" w:sz="0" w:space="0" w:color="auto"/>
        <w:left w:val="none" w:sz="0" w:space="0" w:color="auto"/>
        <w:bottom w:val="none" w:sz="0" w:space="0" w:color="auto"/>
        <w:right w:val="none" w:sz="0" w:space="0" w:color="auto"/>
      </w:divBdr>
    </w:div>
    <w:div w:id="431361416">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ase xmlns="6e772399-6a0b-4838-a569-34798388b680">Phase II (2011-2012)</Phas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E143A943566D49B8FE98BC14FF5565" ma:contentTypeVersion="1" ma:contentTypeDescription="Create a new document." ma:contentTypeScope="" ma:versionID="a79d7fa174bf64afe5834856021d9ea1">
  <xsd:schema xmlns:xsd="http://www.w3.org/2001/XMLSchema" xmlns:p="http://schemas.microsoft.com/office/2006/metadata/properties" xmlns:ns2="6e772399-6a0b-4838-a569-34798388b680" targetNamespace="http://schemas.microsoft.com/office/2006/metadata/properties" ma:root="true" ma:fieldsID="47c1c25601cf44b4684068f59cc3ead4" ns2:_="">
    <xsd:import namespace="6e772399-6a0b-4838-a569-34798388b680"/>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6e772399-6a0b-4838-a569-34798388b680" elementFormDefault="qualified">
    <xsd:import namespace="http://schemas.microsoft.com/office/2006/documentManagement/types"/>
    <xsd:element name="Phase" ma:index="8" nillable="true" ma:displayName="Phase" ma:format="Dropdown" ma:internalName="Phase">
      <xsd:simpleType>
        <xsd:restriction base="dms:Choice">
          <xsd:enumeration value="Phase I (2010-2011)"/>
          <xsd:enumeration value="Phase II (2011-2012)"/>
          <xsd:enumeration value="Phase III (2012-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5B3E1-A0B4-48E8-8A8F-5933C13C40AB}">
  <ds:schemaRefs>
    <ds:schemaRef ds:uri="http://schemas.microsoft.com/sharepoint/v3/contenttype/forms"/>
  </ds:schemaRefs>
</ds:datastoreItem>
</file>

<file path=customXml/itemProps2.xml><?xml version="1.0" encoding="utf-8"?>
<ds:datastoreItem xmlns:ds="http://schemas.openxmlformats.org/officeDocument/2006/customXml" ds:itemID="{6C4885C8-2CEA-4B0D-9F57-F39681C0D052}">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6e772399-6a0b-4838-a569-34798388b680"/>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739EC13-FB7F-4E6B-9FC5-8E270CC3867A}">
  <ds:schemaRefs>
    <ds:schemaRef ds:uri="http://schemas.microsoft.com/office/2006/metadata/longProperties"/>
  </ds:schemaRefs>
</ds:datastoreItem>
</file>

<file path=customXml/itemProps4.xml><?xml version="1.0" encoding="utf-8"?>
<ds:datastoreItem xmlns:ds="http://schemas.openxmlformats.org/officeDocument/2006/customXml" ds:itemID="{93E59D90-2903-4DBC-AEB0-7BD5D4A2A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72399-6a0b-4838-a569-34798388b68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608C121-CCA0-4313-95C0-6492FF77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2016-05-23T19:06:00Z</dcterms:created>
  <dcterms:modified xsi:type="dcterms:W3CDTF">2016-05-26T17:05:00Z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ase">
    <vt:lpwstr>Phase II (2011-2012)</vt:lpwstr>
  </property>
  <property fmtid="{D5CDD505-2E9C-101B-9397-08002B2CF9AE}" pid="3" name="ContentType">
    <vt:lpwstr>Document</vt:lpwstr>
  </property>
</Properties>
</file>