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1020" w14:textId="77777777" w:rsidR="00172658" w:rsidRPr="00064AC5" w:rsidRDefault="00172658" w:rsidP="00172658">
      <w:pPr>
        <w:jc w:val="center"/>
      </w:pPr>
    </w:p>
    <w:p w14:paraId="3F057C5C" w14:textId="77777777" w:rsidR="00172658" w:rsidRPr="00064AC5" w:rsidRDefault="00172658" w:rsidP="00172658">
      <w:pPr>
        <w:jc w:val="center"/>
      </w:pPr>
    </w:p>
    <w:p w14:paraId="50809C01" w14:textId="77777777" w:rsidR="00172658" w:rsidRPr="00064AC5" w:rsidRDefault="00172658" w:rsidP="00172658">
      <w:pPr>
        <w:jc w:val="center"/>
      </w:pPr>
    </w:p>
    <w:p w14:paraId="70EDB03F" w14:textId="77777777" w:rsidR="00172658" w:rsidRPr="00064AC5" w:rsidRDefault="00172658" w:rsidP="00172658">
      <w:pPr>
        <w:jc w:val="center"/>
      </w:pPr>
    </w:p>
    <w:p w14:paraId="698F5194" w14:textId="77777777" w:rsidR="00172658" w:rsidRPr="00064AC5" w:rsidRDefault="00172658" w:rsidP="00172658">
      <w:pPr>
        <w:jc w:val="center"/>
        <w:rPr>
          <w:b/>
        </w:rPr>
      </w:pPr>
      <w:r w:rsidRPr="00064AC5">
        <w:rPr>
          <w:b/>
        </w:rPr>
        <w:t>Supporting Statement</w:t>
      </w:r>
      <w:r w:rsidR="00E15EAC" w:rsidRPr="00064AC5">
        <w:rPr>
          <w:b/>
        </w:rPr>
        <w:t>: Part A</w:t>
      </w:r>
    </w:p>
    <w:p w14:paraId="3A397BCC" w14:textId="77777777" w:rsidR="00172658" w:rsidRPr="00064AC5" w:rsidRDefault="00172658" w:rsidP="00172658">
      <w:pPr>
        <w:jc w:val="center"/>
        <w:rPr>
          <w:b/>
        </w:rPr>
      </w:pPr>
    </w:p>
    <w:p w14:paraId="4A4F2391" w14:textId="3CD92BFF" w:rsidR="008A7EEA" w:rsidRPr="00064AC5" w:rsidRDefault="008A7EEA" w:rsidP="008A7EEA">
      <w:pPr>
        <w:jc w:val="center"/>
        <w:rPr>
          <w:b/>
        </w:rPr>
      </w:pPr>
      <w:r>
        <w:rPr>
          <w:b/>
        </w:rPr>
        <w:t xml:space="preserve">An Assessment of the State Public Health Actions </w:t>
      </w:r>
      <w:r w:rsidR="00D4454C">
        <w:rPr>
          <w:b/>
        </w:rPr>
        <w:t>(“</w:t>
      </w:r>
      <w:r>
        <w:rPr>
          <w:b/>
        </w:rPr>
        <w:t>1305</w:t>
      </w:r>
      <w:r w:rsidR="00D4454C">
        <w:rPr>
          <w:b/>
        </w:rPr>
        <w:t>”)</w:t>
      </w:r>
      <w:r>
        <w:rPr>
          <w:b/>
        </w:rPr>
        <w:t xml:space="preserve"> Program </w:t>
      </w:r>
    </w:p>
    <w:p w14:paraId="59143F13" w14:textId="77777777" w:rsidR="00F875E0" w:rsidRPr="00064AC5" w:rsidRDefault="00F875E0" w:rsidP="00172658">
      <w:pPr>
        <w:jc w:val="center"/>
        <w:rPr>
          <w:b/>
        </w:rPr>
      </w:pPr>
    </w:p>
    <w:p w14:paraId="78C4AE17" w14:textId="77777777" w:rsidR="00F875E0" w:rsidRPr="00064AC5" w:rsidRDefault="00F875E0" w:rsidP="00172658">
      <w:pPr>
        <w:jc w:val="center"/>
      </w:pPr>
      <w:r w:rsidRPr="00064AC5">
        <w:t>Supported by:</w:t>
      </w:r>
    </w:p>
    <w:p w14:paraId="2C57A1AA" w14:textId="77777777" w:rsidR="00F875E0" w:rsidRPr="00064AC5" w:rsidRDefault="00F875E0" w:rsidP="00172658">
      <w:pPr>
        <w:jc w:val="center"/>
      </w:pPr>
    </w:p>
    <w:p w14:paraId="38E1D398" w14:textId="77777777" w:rsidR="008A7EEA" w:rsidRPr="00064AC5" w:rsidRDefault="008A7EEA" w:rsidP="008A7EEA">
      <w:pPr>
        <w:jc w:val="center"/>
      </w:pPr>
      <w:r w:rsidRPr="00064AC5">
        <w:t>National Center for Chronic Disease Prevention and Health Promotion</w:t>
      </w:r>
    </w:p>
    <w:p w14:paraId="4A7F4A15" w14:textId="77777777" w:rsidR="008A7EEA" w:rsidRPr="00064AC5" w:rsidRDefault="008A7EEA" w:rsidP="008A7EEA">
      <w:pPr>
        <w:jc w:val="center"/>
      </w:pPr>
      <w:r w:rsidRPr="00064AC5">
        <w:t>Centers for Disease Control and Prevention</w:t>
      </w:r>
    </w:p>
    <w:p w14:paraId="1049D5A2" w14:textId="77777777" w:rsidR="008A7EEA" w:rsidRPr="00064AC5" w:rsidRDefault="008A7EEA" w:rsidP="008A7EEA">
      <w:pPr>
        <w:jc w:val="center"/>
      </w:pPr>
      <w:r w:rsidRPr="00064AC5">
        <w:t>U.S. Public Health Service</w:t>
      </w:r>
    </w:p>
    <w:p w14:paraId="7B955EB2" w14:textId="77777777" w:rsidR="008A7EEA" w:rsidRPr="00064AC5" w:rsidRDefault="008A7EEA" w:rsidP="008A7EEA">
      <w:pPr>
        <w:jc w:val="center"/>
      </w:pPr>
      <w:r w:rsidRPr="00064AC5">
        <w:t>Department of Health and Human Services</w:t>
      </w:r>
    </w:p>
    <w:p w14:paraId="2C5ED15F" w14:textId="77777777" w:rsidR="00F875E0" w:rsidRPr="00064AC5" w:rsidRDefault="00F875E0" w:rsidP="00166BAB">
      <w:pPr>
        <w:jc w:val="center"/>
      </w:pPr>
    </w:p>
    <w:p w14:paraId="4C92E2FB" w14:textId="434587F4" w:rsidR="007550B3" w:rsidRPr="00064AC5" w:rsidRDefault="00DA58B7" w:rsidP="00166BAB">
      <w:pPr>
        <w:jc w:val="center"/>
        <w:rPr>
          <w:b/>
        </w:rPr>
      </w:pPr>
      <w:r>
        <w:t>June 13</w:t>
      </w:r>
      <w:r w:rsidR="000227C8">
        <w:t>,</w:t>
      </w:r>
      <w:r w:rsidR="008A7EEA" w:rsidRPr="00CF3FFB">
        <w:t xml:space="preserve"> 2016</w:t>
      </w:r>
    </w:p>
    <w:p w14:paraId="3A1A9D3D" w14:textId="77777777" w:rsidR="00D86C4A" w:rsidRPr="00064AC5" w:rsidRDefault="00D86C4A" w:rsidP="00172658">
      <w:pPr>
        <w:jc w:val="center"/>
        <w:rPr>
          <w:b/>
        </w:rPr>
      </w:pPr>
    </w:p>
    <w:p w14:paraId="2A0EEFC6" w14:textId="77777777" w:rsidR="00D86C4A" w:rsidRPr="00064AC5" w:rsidRDefault="00D86C4A" w:rsidP="00172658">
      <w:pPr>
        <w:jc w:val="center"/>
        <w:rPr>
          <w:b/>
        </w:rPr>
      </w:pPr>
    </w:p>
    <w:p w14:paraId="1A1144C4" w14:textId="77777777" w:rsidR="00D86C4A" w:rsidRPr="00064AC5" w:rsidRDefault="00D86C4A" w:rsidP="00172658">
      <w:pPr>
        <w:jc w:val="center"/>
        <w:rPr>
          <w:b/>
        </w:rPr>
      </w:pPr>
    </w:p>
    <w:p w14:paraId="2387D1C5" w14:textId="77777777" w:rsidR="00D86C4A" w:rsidRPr="00064AC5" w:rsidRDefault="00D86C4A" w:rsidP="00172658">
      <w:pPr>
        <w:jc w:val="center"/>
        <w:rPr>
          <w:b/>
        </w:rPr>
      </w:pPr>
    </w:p>
    <w:p w14:paraId="2C873FBE" w14:textId="77777777" w:rsidR="002D215F" w:rsidRPr="00064AC5" w:rsidRDefault="002D215F" w:rsidP="00D86C4A"/>
    <w:p w14:paraId="5BA5394F" w14:textId="77777777" w:rsidR="002D215F" w:rsidRPr="00064AC5" w:rsidRDefault="002D215F" w:rsidP="00D86C4A"/>
    <w:p w14:paraId="6C946B01" w14:textId="77777777" w:rsidR="002D215F" w:rsidRPr="00064AC5" w:rsidRDefault="002D215F" w:rsidP="00D86C4A"/>
    <w:p w14:paraId="14DA075E" w14:textId="77777777" w:rsidR="002D215F" w:rsidRPr="00064AC5" w:rsidRDefault="002D215F" w:rsidP="00D86C4A"/>
    <w:p w14:paraId="0B595A53" w14:textId="77777777" w:rsidR="002D215F" w:rsidRPr="00064AC5" w:rsidRDefault="002D215F" w:rsidP="00D86C4A"/>
    <w:p w14:paraId="7DEAC5F7" w14:textId="77777777" w:rsidR="002D215F" w:rsidRPr="00064AC5" w:rsidRDefault="002D215F" w:rsidP="00D86C4A"/>
    <w:p w14:paraId="32B98E31" w14:textId="77777777" w:rsidR="00D86C4A" w:rsidRPr="00064AC5" w:rsidRDefault="00D86C4A" w:rsidP="00D86C4A">
      <w:r w:rsidRPr="00064AC5">
        <w:t>Government Project Officer:</w:t>
      </w:r>
    </w:p>
    <w:p w14:paraId="1390B237" w14:textId="77777777" w:rsidR="00D86C4A" w:rsidRPr="00064AC5" w:rsidRDefault="00D86C4A" w:rsidP="00D86C4A"/>
    <w:p w14:paraId="3111953D" w14:textId="4C580912" w:rsidR="008A7EEA" w:rsidRPr="00064AC5" w:rsidRDefault="008A7EEA" w:rsidP="008A7EEA">
      <w:r>
        <w:t>Rachel Davis</w:t>
      </w:r>
      <w:r w:rsidRPr="00064AC5">
        <w:t xml:space="preserve">, </w:t>
      </w:r>
      <w:r w:rsidR="00231AE3">
        <w:t>MPH</w:t>
      </w:r>
    </w:p>
    <w:p w14:paraId="0A9713EA" w14:textId="6860E5E8" w:rsidR="008A7EEA" w:rsidRPr="00064AC5" w:rsidRDefault="00231AE3" w:rsidP="008A7EEA">
      <w:r>
        <w:t>Health Scientist</w:t>
      </w:r>
    </w:p>
    <w:p w14:paraId="60E3A7CF" w14:textId="77777777" w:rsidR="008A7EEA" w:rsidRDefault="008A7EEA" w:rsidP="008A7EEA">
      <w:r>
        <w:t>Applied Research and Evaluation Branch</w:t>
      </w:r>
    </w:p>
    <w:p w14:paraId="18A9AC0F" w14:textId="77777777" w:rsidR="008A7EEA" w:rsidRPr="00064AC5" w:rsidRDefault="008A7EEA" w:rsidP="008A7EEA">
      <w:r>
        <w:t>Division for Heart Disease and Stroke Prevention</w:t>
      </w:r>
    </w:p>
    <w:p w14:paraId="403A7897" w14:textId="77777777" w:rsidR="008A7EEA" w:rsidRPr="00064AC5" w:rsidRDefault="008A7EEA" w:rsidP="008A7EEA">
      <w:r w:rsidRPr="00064AC5">
        <w:t>National Center for Chronic Disease Prevention and Health Promotion</w:t>
      </w:r>
    </w:p>
    <w:p w14:paraId="1E311B17" w14:textId="77777777" w:rsidR="008A7EEA" w:rsidRPr="00DF416D" w:rsidRDefault="008A7EEA" w:rsidP="008A7EEA">
      <w:r w:rsidRPr="00DF416D">
        <w:t>Centers for Disease Control and Prevention</w:t>
      </w:r>
    </w:p>
    <w:p w14:paraId="5CE8F9DA" w14:textId="77777777" w:rsidR="008A7EEA" w:rsidRDefault="008A7EEA" w:rsidP="008A7EEA">
      <w:r>
        <w:t xml:space="preserve">4770 Buford Hwy NE, MS-F75 </w:t>
      </w:r>
    </w:p>
    <w:p w14:paraId="70C5F862" w14:textId="77777777" w:rsidR="008A7EEA" w:rsidRDefault="008A7EEA" w:rsidP="008A7EEA">
      <w:r>
        <w:t>Atlanta, GA 30341-3717</w:t>
      </w:r>
    </w:p>
    <w:p w14:paraId="75D6BFC9" w14:textId="77777777" w:rsidR="008A7EEA" w:rsidRPr="00064AC5" w:rsidRDefault="008A7EEA" w:rsidP="008A7EEA">
      <w:r w:rsidRPr="00064AC5">
        <w:t xml:space="preserve">OFFICE: </w:t>
      </w:r>
      <w:r>
        <w:t>770-488-4825</w:t>
      </w:r>
    </w:p>
    <w:p w14:paraId="4A886958" w14:textId="77777777" w:rsidR="00D86C4A" w:rsidRPr="00064AC5" w:rsidRDefault="008A7EEA" w:rsidP="008A7EEA">
      <w:pPr>
        <w:rPr>
          <w:b/>
        </w:rPr>
      </w:pPr>
      <w:r>
        <w:t>FAX: 770-488-8305</w:t>
      </w:r>
      <w:r w:rsidR="00220B70" w:rsidRPr="00064AC5">
        <w:br w:type="page"/>
      </w:r>
      <w:r w:rsidR="00220B70" w:rsidRPr="00064AC5">
        <w:rPr>
          <w:b/>
        </w:rPr>
        <w:lastRenderedPageBreak/>
        <w:t>Table of Contents</w:t>
      </w:r>
    </w:p>
    <w:p w14:paraId="6E3E4163" w14:textId="77777777" w:rsidR="00220B70" w:rsidRPr="00064AC5" w:rsidRDefault="00220B70" w:rsidP="00220B70">
      <w:pPr>
        <w:jc w:val="center"/>
      </w:pPr>
    </w:p>
    <w:p w14:paraId="655F6CCC" w14:textId="77777777" w:rsidR="000A28A3" w:rsidRPr="00064AC5" w:rsidRDefault="000A28A3" w:rsidP="00220B70">
      <w:pPr>
        <w:jc w:val="center"/>
      </w:pPr>
    </w:p>
    <w:p w14:paraId="18DDB570" w14:textId="77777777" w:rsidR="007F2905" w:rsidRPr="00064AC5" w:rsidRDefault="007F2905" w:rsidP="007F428F">
      <w:pPr>
        <w:spacing w:line="360" w:lineRule="auto"/>
        <w:rPr>
          <w:b/>
        </w:rPr>
      </w:pPr>
      <w:r w:rsidRPr="00064AC5">
        <w:rPr>
          <w:b/>
        </w:rPr>
        <w:t>Part A:  Justification</w:t>
      </w:r>
    </w:p>
    <w:p w14:paraId="0C864FAD" w14:textId="77777777" w:rsidR="00220B70" w:rsidRPr="00064AC5" w:rsidRDefault="00220B70" w:rsidP="00097FAB">
      <w:pPr>
        <w:spacing w:line="360" w:lineRule="auto"/>
        <w:ind w:left="540" w:hanging="540"/>
      </w:pPr>
      <w:r w:rsidRPr="00064AC5">
        <w:t>A1.</w:t>
      </w:r>
      <w:r w:rsidR="00153440" w:rsidRPr="00064AC5">
        <w:tab/>
      </w:r>
      <w:r w:rsidR="007F2905" w:rsidRPr="00064AC5">
        <w:t>Circumstances Making the Collection of Information Necessary</w:t>
      </w:r>
    </w:p>
    <w:p w14:paraId="17AB45FD" w14:textId="77777777" w:rsidR="00220B70" w:rsidRPr="00064AC5" w:rsidRDefault="00220B70" w:rsidP="00097FAB">
      <w:pPr>
        <w:spacing w:line="360" w:lineRule="auto"/>
        <w:ind w:left="540" w:hanging="540"/>
      </w:pPr>
      <w:r w:rsidRPr="00064AC5">
        <w:t>A2.</w:t>
      </w:r>
      <w:r w:rsidR="00153440" w:rsidRPr="00064AC5">
        <w:tab/>
      </w:r>
      <w:r w:rsidRPr="00064AC5">
        <w:t>Purpose and Use of Information Collection</w:t>
      </w:r>
    </w:p>
    <w:p w14:paraId="20A8BFD9" w14:textId="77777777" w:rsidR="00DF12B8" w:rsidRPr="00064AC5" w:rsidRDefault="00220B70" w:rsidP="00097FAB">
      <w:pPr>
        <w:spacing w:line="360" w:lineRule="auto"/>
        <w:ind w:left="540" w:hanging="540"/>
      </w:pPr>
      <w:r w:rsidRPr="00064AC5">
        <w:t>A3.</w:t>
      </w:r>
      <w:r w:rsidR="00153440" w:rsidRPr="00064AC5">
        <w:tab/>
      </w:r>
      <w:r w:rsidRPr="00064AC5">
        <w:t>Use of Improved Information Technology and Burden</w:t>
      </w:r>
      <w:r w:rsidR="00DF12B8" w:rsidRPr="00064AC5">
        <w:t xml:space="preserve"> Reduction</w:t>
      </w:r>
    </w:p>
    <w:p w14:paraId="04D49F82" w14:textId="77777777" w:rsidR="002A5B14" w:rsidRPr="00064AC5" w:rsidRDefault="002A5B14" w:rsidP="00097FAB">
      <w:pPr>
        <w:spacing w:line="360" w:lineRule="auto"/>
        <w:ind w:left="540" w:hanging="540"/>
      </w:pPr>
      <w:r w:rsidRPr="00064AC5">
        <w:t>A4.</w:t>
      </w:r>
      <w:r w:rsidR="00153440" w:rsidRPr="00064AC5">
        <w:tab/>
      </w:r>
      <w:r w:rsidRPr="00064AC5">
        <w:t>Efforts to Identify Duplication and Use of Similar</w:t>
      </w:r>
      <w:r w:rsidR="00153440" w:rsidRPr="00064AC5">
        <w:t xml:space="preserve"> </w:t>
      </w:r>
      <w:r w:rsidRPr="00064AC5">
        <w:t>Information</w:t>
      </w:r>
    </w:p>
    <w:p w14:paraId="6BF7F020" w14:textId="77777777" w:rsidR="002A5B14" w:rsidRPr="00064AC5" w:rsidRDefault="002A5B14" w:rsidP="00097FAB">
      <w:pPr>
        <w:spacing w:line="360" w:lineRule="auto"/>
        <w:ind w:left="540" w:hanging="540"/>
      </w:pPr>
      <w:r w:rsidRPr="00064AC5">
        <w:t>A5.</w:t>
      </w:r>
      <w:r w:rsidR="00153440" w:rsidRPr="00064AC5">
        <w:tab/>
      </w:r>
      <w:r w:rsidRPr="00064AC5">
        <w:t xml:space="preserve">Impact on Small Businesses or Other </w:t>
      </w:r>
      <w:r w:rsidR="00DF4A27">
        <w:t xml:space="preserve">Small </w:t>
      </w:r>
      <w:r w:rsidRPr="00064AC5">
        <w:t>Entities</w:t>
      </w:r>
    </w:p>
    <w:p w14:paraId="21C3FAC8" w14:textId="77777777" w:rsidR="002A5B14" w:rsidRPr="00064AC5" w:rsidRDefault="002A5B14" w:rsidP="00097FAB">
      <w:pPr>
        <w:spacing w:line="360" w:lineRule="auto"/>
        <w:ind w:left="540" w:hanging="540"/>
      </w:pPr>
      <w:r w:rsidRPr="00064AC5">
        <w:t>A6.</w:t>
      </w:r>
      <w:r w:rsidR="00153440" w:rsidRPr="00064AC5">
        <w:tab/>
      </w:r>
      <w:r w:rsidRPr="00064AC5">
        <w:t xml:space="preserve">Consequences of Collecting the Information Less Frequently </w:t>
      </w:r>
    </w:p>
    <w:p w14:paraId="76788792" w14:textId="77777777" w:rsidR="002A5B14" w:rsidRPr="00064AC5" w:rsidRDefault="002A5B14" w:rsidP="00097FAB">
      <w:pPr>
        <w:spacing w:line="360" w:lineRule="auto"/>
        <w:ind w:left="540" w:hanging="540"/>
      </w:pPr>
      <w:r w:rsidRPr="00064AC5">
        <w:t>A7.</w:t>
      </w:r>
      <w:r w:rsidR="00153440" w:rsidRPr="00064AC5">
        <w:tab/>
      </w:r>
      <w:r w:rsidRPr="00064AC5">
        <w:t>Special Circumstances Relating to the Guidelines of 5 CFR 1320.5</w:t>
      </w:r>
    </w:p>
    <w:p w14:paraId="08F5DFBB" w14:textId="77777777" w:rsidR="002A5B14" w:rsidRPr="00064AC5" w:rsidRDefault="002A5B14" w:rsidP="00097FAB">
      <w:pPr>
        <w:spacing w:line="360" w:lineRule="auto"/>
        <w:ind w:left="540" w:hanging="540"/>
      </w:pPr>
      <w:r w:rsidRPr="00064AC5">
        <w:t>A8.</w:t>
      </w:r>
      <w:r w:rsidR="00153440" w:rsidRPr="00064AC5">
        <w:tab/>
      </w:r>
      <w:r w:rsidRPr="00064AC5">
        <w:t xml:space="preserve">Comments in Response to the Federal Register Notice and Efforts to Consult Outside the </w:t>
      </w:r>
      <w:r w:rsidR="00153440" w:rsidRPr="00064AC5">
        <w:t>A</w:t>
      </w:r>
      <w:r w:rsidRPr="00064AC5">
        <w:t>gency</w:t>
      </w:r>
    </w:p>
    <w:p w14:paraId="5B94CDCB" w14:textId="77777777" w:rsidR="002A5B14" w:rsidRPr="00064AC5" w:rsidRDefault="002A5B14" w:rsidP="00097FAB">
      <w:pPr>
        <w:spacing w:line="360" w:lineRule="auto"/>
        <w:ind w:left="540" w:hanging="540"/>
      </w:pPr>
      <w:r w:rsidRPr="00064AC5">
        <w:t>A9.</w:t>
      </w:r>
      <w:r w:rsidR="00153440" w:rsidRPr="00064AC5">
        <w:tab/>
      </w:r>
      <w:r w:rsidRPr="00064AC5">
        <w:t>Explanation of Any Payment or Gift to Respondents</w:t>
      </w:r>
    </w:p>
    <w:p w14:paraId="76A7BBCF" w14:textId="4CBFCF53" w:rsidR="002A5B14" w:rsidRPr="00064AC5" w:rsidRDefault="002A5B14" w:rsidP="00097FAB">
      <w:pPr>
        <w:spacing w:line="360" w:lineRule="auto"/>
        <w:ind w:left="540" w:hanging="540"/>
      </w:pPr>
      <w:r w:rsidRPr="00064AC5">
        <w:t>A10.</w:t>
      </w:r>
      <w:r w:rsidR="00153440" w:rsidRPr="00064AC5">
        <w:tab/>
      </w:r>
      <w:r w:rsidR="000227C8">
        <w:t>Protection of the Privacy and Confidentiality of Information Provided by Respondents</w:t>
      </w:r>
    </w:p>
    <w:p w14:paraId="1BDCF6F4" w14:textId="53839DED" w:rsidR="007F428F" w:rsidRPr="00064AC5" w:rsidRDefault="002A5B14" w:rsidP="00097FAB">
      <w:pPr>
        <w:spacing w:line="360" w:lineRule="auto"/>
        <w:ind w:left="540" w:hanging="540"/>
      </w:pPr>
      <w:r w:rsidRPr="00064AC5">
        <w:t>A11.</w:t>
      </w:r>
      <w:r w:rsidR="00153440" w:rsidRPr="00064AC5">
        <w:tab/>
      </w:r>
      <w:r w:rsidR="000227C8">
        <w:t>Institutional Review Board and Justification for Sensitive Questions</w:t>
      </w:r>
    </w:p>
    <w:p w14:paraId="06FAA0C5" w14:textId="77777777" w:rsidR="002A5B14" w:rsidRPr="00064AC5" w:rsidRDefault="002A5B14" w:rsidP="00097FAB">
      <w:pPr>
        <w:spacing w:line="360" w:lineRule="auto"/>
        <w:ind w:left="540" w:hanging="540"/>
      </w:pPr>
      <w:r w:rsidRPr="00064AC5">
        <w:t>A12.</w:t>
      </w:r>
      <w:r w:rsidR="00153440" w:rsidRPr="00064AC5">
        <w:tab/>
      </w:r>
      <w:r w:rsidRPr="00064AC5">
        <w:t>Estimates of Annualized Burden Hours and Costs</w:t>
      </w:r>
    </w:p>
    <w:p w14:paraId="57F66CE6" w14:textId="77777777" w:rsidR="002A5B14" w:rsidRPr="00064AC5" w:rsidRDefault="002A5B14" w:rsidP="00097FAB">
      <w:pPr>
        <w:spacing w:line="360" w:lineRule="auto"/>
        <w:ind w:left="540"/>
      </w:pPr>
      <w:r w:rsidRPr="00064AC5">
        <w:t>A12-1.Estimated Annualized Burden Hours</w:t>
      </w:r>
    </w:p>
    <w:p w14:paraId="23BC8A66" w14:textId="6388EFE9" w:rsidR="002A5B14" w:rsidRPr="00064AC5" w:rsidRDefault="002A5B14" w:rsidP="00097FAB">
      <w:pPr>
        <w:spacing w:line="360" w:lineRule="auto"/>
        <w:ind w:left="540"/>
      </w:pPr>
      <w:r w:rsidRPr="00064AC5">
        <w:t>A12-2.</w:t>
      </w:r>
      <w:r w:rsidR="000227C8">
        <w:t>Estimated Annualized Burden Costs</w:t>
      </w:r>
    </w:p>
    <w:p w14:paraId="1316328A" w14:textId="77777777" w:rsidR="002A5B14" w:rsidRPr="00064AC5" w:rsidRDefault="002A5B14" w:rsidP="00097FAB">
      <w:pPr>
        <w:spacing w:line="360" w:lineRule="auto"/>
        <w:ind w:left="540" w:hanging="540"/>
      </w:pPr>
      <w:r w:rsidRPr="00064AC5">
        <w:t>A13.</w:t>
      </w:r>
      <w:r w:rsidR="00153440" w:rsidRPr="00064AC5">
        <w:tab/>
      </w:r>
      <w:r w:rsidR="00153440" w:rsidRPr="00064AC5">
        <w:tab/>
      </w:r>
      <w:r w:rsidRPr="00064AC5">
        <w:t>Estimate</w:t>
      </w:r>
      <w:r w:rsidR="00D5633A" w:rsidRPr="00064AC5">
        <w:t>s</w:t>
      </w:r>
      <w:r w:rsidRPr="00064AC5">
        <w:t xml:space="preserve"> of Other Total Annual Cost Burden to Respondents or Record Keepers</w:t>
      </w:r>
    </w:p>
    <w:p w14:paraId="559D968C" w14:textId="6A3C433E" w:rsidR="007F428F" w:rsidRPr="00064AC5" w:rsidRDefault="002A5B14" w:rsidP="00097FAB">
      <w:pPr>
        <w:spacing w:line="360" w:lineRule="auto"/>
        <w:ind w:left="540" w:hanging="540"/>
      </w:pPr>
      <w:r w:rsidRPr="00064AC5">
        <w:t>A14.</w:t>
      </w:r>
      <w:r w:rsidR="00153440" w:rsidRPr="00064AC5">
        <w:tab/>
      </w:r>
      <w:r w:rsidR="00153440" w:rsidRPr="00064AC5">
        <w:tab/>
      </w:r>
      <w:r w:rsidRPr="00064AC5">
        <w:t>Annualized Cost to the Government</w:t>
      </w:r>
    </w:p>
    <w:p w14:paraId="19A55E77" w14:textId="77777777" w:rsidR="002A5B14" w:rsidRPr="00064AC5" w:rsidRDefault="002A5B14" w:rsidP="00097FAB">
      <w:pPr>
        <w:spacing w:line="360" w:lineRule="auto"/>
        <w:ind w:left="540" w:hanging="540"/>
      </w:pPr>
      <w:r w:rsidRPr="00064AC5">
        <w:t>A15.</w:t>
      </w:r>
      <w:r w:rsidR="00153440" w:rsidRPr="00064AC5">
        <w:tab/>
      </w:r>
      <w:r w:rsidR="00153440" w:rsidRPr="00064AC5">
        <w:tab/>
      </w:r>
      <w:r w:rsidRPr="00064AC5">
        <w:t>Explanation for Program Changes or Adjustments</w:t>
      </w:r>
    </w:p>
    <w:p w14:paraId="7825BA64" w14:textId="77777777" w:rsidR="002A5B14" w:rsidRPr="00064AC5" w:rsidRDefault="002A5B14" w:rsidP="00097FAB">
      <w:pPr>
        <w:spacing w:line="360" w:lineRule="auto"/>
        <w:ind w:left="540" w:hanging="540"/>
      </w:pPr>
      <w:r w:rsidRPr="00064AC5">
        <w:t>A16.</w:t>
      </w:r>
      <w:r w:rsidR="00153440" w:rsidRPr="00064AC5">
        <w:tab/>
      </w:r>
      <w:r w:rsidR="00153440" w:rsidRPr="00064AC5">
        <w:tab/>
      </w:r>
      <w:r w:rsidRPr="00064AC5">
        <w:t>Plans for Tabulation and Publication and Project Time Schedule</w:t>
      </w:r>
    </w:p>
    <w:p w14:paraId="5A6C9340" w14:textId="77777777" w:rsidR="002A5B14" w:rsidRPr="00064AC5" w:rsidRDefault="002A5B14" w:rsidP="00097FAB">
      <w:pPr>
        <w:spacing w:line="360" w:lineRule="auto"/>
        <w:ind w:left="540" w:hanging="540"/>
      </w:pPr>
      <w:r w:rsidRPr="00064AC5">
        <w:t>A17.</w:t>
      </w:r>
      <w:r w:rsidR="00153440" w:rsidRPr="00064AC5">
        <w:tab/>
      </w:r>
      <w:r w:rsidR="00153440" w:rsidRPr="00064AC5">
        <w:tab/>
      </w:r>
      <w:r w:rsidRPr="00064AC5">
        <w:t>Reason(s) Display of OMB Expiration Date is Inappropriate</w:t>
      </w:r>
    </w:p>
    <w:p w14:paraId="1259E115" w14:textId="77777777" w:rsidR="007F2905" w:rsidRPr="00064AC5" w:rsidRDefault="007F2905" w:rsidP="00097FAB">
      <w:pPr>
        <w:spacing w:line="360" w:lineRule="auto"/>
        <w:ind w:left="540" w:hanging="540"/>
      </w:pPr>
      <w:r w:rsidRPr="00064AC5">
        <w:t>A18.</w:t>
      </w:r>
      <w:r w:rsidR="00153440" w:rsidRPr="00064AC5">
        <w:tab/>
      </w:r>
      <w:r w:rsidR="00153440" w:rsidRPr="00064AC5">
        <w:tab/>
      </w:r>
      <w:r w:rsidRPr="00064AC5">
        <w:t>Exceptions to Certification for Paperwork Reduction Act</w:t>
      </w:r>
    </w:p>
    <w:p w14:paraId="1D1CAC83" w14:textId="77777777" w:rsidR="00646006" w:rsidRDefault="00646006" w:rsidP="00646006">
      <w:pPr>
        <w:spacing w:line="360" w:lineRule="auto"/>
        <w:rPr>
          <w:b/>
        </w:rPr>
      </w:pPr>
    </w:p>
    <w:p w14:paraId="7012D4CF" w14:textId="77777777" w:rsidR="001D4F34" w:rsidRPr="00282F3A" w:rsidRDefault="00F669EF" w:rsidP="00646006">
      <w:pPr>
        <w:spacing w:line="360" w:lineRule="auto"/>
      </w:pPr>
      <w:r>
        <w:rPr>
          <w:b/>
        </w:rPr>
        <w:br w:type="page"/>
      </w:r>
      <w:r w:rsidR="007F428F" w:rsidRPr="00282F3A">
        <w:rPr>
          <w:b/>
        </w:rPr>
        <w:lastRenderedPageBreak/>
        <w:t>A</w:t>
      </w:r>
      <w:r w:rsidR="00D5014D" w:rsidRPr="00282F3A">
        <w:rPr>
          <w:b/>
        </w:rPr>
        <w:t>ttachments</w:t>
      </w:r>
    </w:p>
    <w:p w14:paraId="1D7B0462" w14:textId="77777777" w:rsidR="007764B3" w:rsidRPr="00282F3A" w:rsidRDefault="007764B3" w:rsidP="00FA144D">
      <w:pPr>
        <w:ind w:left="540" w:hanging="540"/>
      </w:pPr>
    </w:p>
    <w:p w14:paraId="1363EEC2" w14:textId="750CB43A" w:rsidR="00A40E51" w:rsidRPr="00282F3A" w:rsidRDefault="00A40E51" w:rsidP="00A40E51">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1</w:t>
      </w:r>
      <w:r w:rsidRPr="00282F3A">
        <w:rPr>
          <w:rFonts w:ascii="Times New Roman" w:hAnsi="Times New Roman"/>
          <w:color w:val="000000"/>
          <w:sz w:val="24"/>
          <w:szCs w:val="24"/>
        </w:rPr>
        <w:tab/>
        <w:t xml:space="preserve">Authorizing </w:t>
      </w:r>
      <w:r w:rsidR="00700CE2" w:rsidRPr="00282F3A">
        <w:rPr>
          <w:rFonts w:ascii="Times New Roman" w:hAnsi="Times New Roman"/>
          <w:color w:val="000000"/>
          <w:sz w:val="24"/>
          <w:szCs w:val="24"/>
        </w:rPr>
        <w:t>Legislation</w:t>
      </w:r>
      <w:r w:rsidRPr="00282F3A">
        <w:rPr>
          <w:rFonts w:ascii="Times New Roman" w:hAnsi="Times New Roman"/>
          <w:color w:val="000000"/>
          <w:sz w:val="24"/>
          <w:szCs w:val="24"/>
        </w:rPr>
        <w:t>: Public Health Service Act, Research and Investigation</w:t>
      </w:r>
    </w:p>
    <w:p w14:paraId="7BCB4311" w14:textId="18A54C1D" w:rsidR="00A40E51" w:rsidRDefault="00A40E51" w:rsidP="00A40E51">
      <w:pPr>
        <w:pStyle w:val="ListParagraph"/>
        <w:spacing w:after="0" w:line="240" w:lineRule="auto"/>
        <w:ind w:hanging="720"/>
        <w:rPr>
          <w:rFonts w:ascii="Times New Roman" w:hAnsi="Times New Roman"/>
          <w:bCs/>
          <w:color w:val="000000"/>
          <w:sz w:val="24"/>
          <w:szCs w:val="24"/>
        </w:rPr>
      </w:pPr>
      <w:r w:rsidRPr="00282F3A">
        <w:rPr>
          <w:rFonts w:ascii="Times New Roman" w:hAnsi="Times New Roman"/>
          <w:color w:val="000000"/>
          <w:sz w:val="24"/>
          <w:szCs w:val="24"/>
        </w:rPr>
        <w:t>2</w:t>
      </w:r>
      <w:r w:rsidRPr="00282F3A">
        <w:rPr>
          <w:rFonts w:ascii="Times New Roman" w:hAnsi="Times New Roman"/>
          <w:color w:val="000000"/>
          <w:sz w:val="24"/>
          <w:szCs w:val="24"/>
        </w:rPr>
        <w:tab/>
      </w:r>
      <w:r w:rsidRPr="00282F3A">
        <w:rPr>
          <w:rFonts w:ascii="Times New Roman" w:hAnsi="Times New Roman"/>
          <w:bCs/>
          <w:color w:val="000000"/>
          <w:sz w:val="24"/>
          <w:szCs w:val="24"/>
        </w:rPr>
        <w:t>Federal Register Notice</w:t>
      </w:r>
    </w:p>
    <w:p w14:paraId="3FD8E507" w14:textId="77777777" w:rsidR="00A40E51" w:rsidRPr="00292794" w:rsidRDefault="00A40E51" w:rsidP="00A40E51">
      <w:pPr>
        <w:rPr>
          <w:bCs/>
        </w:rPr>
      </w:pPr>
      <w:r w:rsidRPr="001066EF">
        <w:rPr>
          <w:bCs/>
        </w:rPr>
        <w:t>2</w:t>
      </w:r>
      <w:r>
        <w:rPr>
          <w:bCs/>
        </w:rPr>
        <w:t xml:space="preserve">b </w:t>
      </w:r>
      <w:r>
        <w:rPr>
          <w:bCs/>
        </w:rPr>
        <w:tab/>
      </w:r>
      <w:r w:rsidRPr="001066EF">
        <w:t xml:space="preserve">Summary of Public Comments and CDC Response </w:t>
      </w:r>
    </w:p>
    <w:p w14:paraId="7ED70F23" w14:textId="77777777" w:rsidR="00A40E51" w:rsidRDefault="00A40E51" w:rsidP="00A40E51">
      <w:pPr>
        <w:pStyle w:val="ListParagraph"/>
        <w:spacing w:after="0" w:line="240" w:lineRule="auto"/>
        <w:ind w:hanging="720"/>
        <w:rPr>
          <w:rFonts w:ascii="Times New Roman" w:hAnsi="Times New Roman"/>
          <w:color w:val="000000"/>
          <w:sz w:val="24"/>
          <w:szCs w:val="24"/>
        </w:rPr>
      </w:pPr>
      <w:r w:rsidRPr="00282F3A">
        <w:rPr>
          <w:rFonts w:ascii="Times New Roman" w:hAnsi="Times New Roman"/>
          <w:color w:val="000000"/>
          <w:sz w:val="24"/>
          <w:szCs w:val="24"/>
        </w:rPr>
        <w:t xml:space="preserve">3 </w:t>
      </w:r>
      <w:r w:rsidRPr="00282F3A">
        <w:rPr>
          <w:rFonts w:ascii="Times New Roman" w:hAnsi="Times New Roman"/>
          <w:color w:val="000000"/>
          <w:sz w:val="24"/>
          <w:szCs w:val="24"/>
        </w:rPr>
        <w:tab/>
      </w:r>
      <w:r>
        <w:rPr>
          <w:rFonts w:ascii="Times New Roman" w:hAnsi="Times New Roman"/>
          <w:color w:val="000000"/>
          <w:sz w:val="24"/>
          <w:szCs w:val="24"/>
        </w:rPr>
        <w:t>State Public Health Actions 1305 Logic Model</w:t>
      </w:r>
    </w:p>
    <w:p w14:paraId="1B6CAA80" w14:textId="78F1FA2E" w:rsidR="00A40E51" w:rsidRDefault="00A40E51" w:rsidP="00A40E51">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4</w:t>
      </w:r>
      <w:r>
        <w:rPr>
          <w:rFonts w:ascii="Times New Roman" w:hAnsi="Times New Roman"/>
          <w:color w:val="000000"/>
          <w:sz w:val="24"/>
          <w:szCs w:val="24"/>
        </w:rPr>
        <w:tab/>
      </w:r>
      <w:r w:rsidR="002E031C">
        <w:rPr>
          <w:rFonts w:ascii="Times New Roman" w:hAnsi="Times New Roman"/>
          <w:color w:val="000000"/>
          <w:sz w:val="24"/>
          <w:szCs w:val="24"/>
        </w:rPr>
        <w:t>Evaluation Questions</w:t>
      </w:r>
      <w:r w:rsidR="00AC6378">
        <w:rPr>
          <w:rFonts w:ascii="Times New Roman" w:hAnsi="Times New Roman"/>
          <w:color w:val="000000"/>
          <w:sz w:val="24"/>
          <w:szCs w:val="24"/>
        </w:rPr>
        <w:t>, Indicators, and Synergy Survey Topics</w:t>
      </w:r>
    </w:p>
    <w:p w14:paraId="32D5C2D9" w14:textId="767CF7F3" w:rsidR="00A40E51" w:rsidRDefault="00867113" w:rsidP="00A40E51">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5</w:t>
      </w:r>
      <w:r w:rsidR="00A40E51">
        <w:rPr>
          <w:rFonts w:ascii="Times New Roman" w:hAnsi="Times New Roman"/>
          <w:color w:val="000000"/>
          <w:sz w:val="24"/>
          <w:szCs w:val="24"/>
        </w:rPr>
        <w:t xml:space="preserve"> </w:t>
      </w:r>
      <w:r w:rsidR="00A40E51">
        <w:rPr>
          <w:rFonts w:ascii="Times New Roman" w:hAnsi="Times New Roman"/>
          <w:color w:val="000000"/>
          <w:sz w:val="24"/>
          <w:szCs w:val="24"/>
        </w:rPr>
        <w:tab/>
        <w:t xml:space="preserve">Screenshots of </w:t>
      </w:r>
      <w:r w:rsidR="001738BF">
        <w:rPr>
          <w:rFonts w:ascii="Times New Roman" w:hAnsi="Times New Roman"/>
          <w:color w:val="000000"/>
          <w:sz w:val="24"/>
          <w:szCs w:val="24"/>
        </w:rPr>
        <w:t>State</w:t>
      </w:r>
      <w:r w:rsidR="00A40E51">
        <w:rPr>
          <w:rFonts w:ascii="Times New Roman" w:hAnsi="Times New Roman"/>
          <w:color w:val="000000"/>
          <w:sz w:val="24"/>
          <w:szCs w:val="24"/>
        </w:rPr>
        <w:t xml:space="preserve"> Synergy Survey</w:t>
      </w:r>
    </w:p>
    <w:p w14:paraId="2CD35FD4" w14:textId="38096F6B" w:rsidR="00A40E51" w:rsidRDefault="00CB6F8F" w:rsidP="00A40E51">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6</w:t>
      </w:r>
      <w:r w:rsidR="00A40E51">
        <w:rPr>
          <w:rFonts w:ascii="Times New Roman" w:hAnsi="Times New Roman"/>
          <w:color w:val="000000"/>
          <w:sz w:val="24"/>
          <w:szCs w:val="24"/>
        </w:rPr>
        <w:t>a</w:t>
      </w:r>
      <w:r w:rsidR="00A40E51">
        <w:rPr>
          <w:rFonts w:ascii="Times New Roman" w:hAnsi="Times New Roman"/>
          <w:color w:val="000000"/>
          <w:sz w:val="24"/>
          <w:szCs w:val="24"/>
        </w:rPr>
        <w:tab/>
      </w:r>
      <w:r w:rsidR="00C22496">
        <w:rPr>
          <w:rFonts w:ascii="Times New Roman" w:hAnsi="Times New Roman"/>
          <w:color w:val="000000"/>
          <w:sz w:val="24"/>
          <w:szCs w:val="24"/>
        </w:rPr>
        <w:t>Advance Notice Blast</w:t>
      </w:r>
      <w:r w:rsidR="00A40E51">
        <w:rPr>
          <w:rFonts w:ascii="Times New Roman" w:hAnsi="Times New Roman"/>
          <w:color w:val="000000"/>
          <w:sz w:val="24"/>
          <w:szCs w:val="24"/>
        </w:rPr>
        <w:t xml:space="preserve"> Email Template</w:t>
      </w:r>
    </w:p>
    <w:p w14:paraId="441008E7" w14:textId="46F067E6" w:rsidR="00A40E51" w:rsidRDefault="00CB6F8F" w:rsidP="00A40E51">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6</w:t>
      </w:r>
      <w:r w:rsidR="00A40E51">
        <w:rPr>
          <w:rFonts w:ascii="Times New Roman" w:hAnsi="Times New Roman"/>
          <w:color w:val="000000"/>
          <w:sz w:val="24"/>
          <w:szCs w:val="24"/>
        </w:rPr>
        <w:t>b</w:t>
      </w:r>
      <w:r w:rsidR="00A40E51">
        <w:rPr>
          <w:rFonts w:ascii="Times New Roman" w:hAnsi="Times New Roman"/>
          <w:color w:val="000000"/>
          <w:sz w:val="24"/>
          <w:szCs w:val="24"/>
        </w:rPr>
        <w:tab/>
      </w:r>
      <w:r>
        <w:rPr>
          <w:rFonts w:ascii="Times New Roman" w:hAnsi="Times New Roman"/>
          <w:color w:val="000000"/>
          <w:sz w:val="24"/>
          <w:szCs w:val="24"/>
        </w:rPr>
        <w:t>Participant</w:t>
      </w:r>
      <w:r w:rsidR="00A40E51">
        <w:rPr>
          <w:rFonts w:ascii="Times New Roman" w:hAnsi="Times New Roman"/>
          <w:color w:val="000000"/>
          <w:sz w:val="24"/>
          <w:szCs w:val="24"/>
        </w:rPr>
        <w:t xml:space="preserve"> Email Template</w:t>
      </w:r>
    </w:p>
    <w:p w14:paraId="36326B4C" w14:textId="377B617C" w:rsidR="00A40E51" w:rsidRDefault="00CB6F8F" w:rsidP="00A40E51">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6</w:t>
      </w:r>
      <w:r w:rsidR="00A40E51">
        <w:rPr>
          <w:rFonts w:ascii="Times New Roman" w:hAnsi="Times New Roman"/>
          <w:color w:val="000000"/>
          <w:sz w:val="24"/>
          <w:szCs w:val="24"/>
        </w:rPr>
        <w:t>c</w:t>
      </w:r>
      <w:r w:rsidR="00A40E51">
        <w:rPr>
          <w:rFonts w:ascii="Times New Roman" w:hAnsi="Times New Roman"/>
          <w:color w:val="000000"/>
          <w:sz w:val="24"/>
          <w:szCs w:val="24"/>
        </w:rPr>
        <w:tab/>
      </w:r>
      <w:r w:rsidR="00CF3FFB">
        <w:rPr>
          <w:rFonts w:ascii="Times New Roman" w:hAnsi="Times New Roman"/>
          <w:color w:val="000000"/>
          <w:sz w:val="24"/>
          <w:szCs w:val="24"/>
        </w:rPr>
        <w:t>Reminder</w:t>
      </w:r>
      <w:r w:rsidR="00A40E51">
        <w:rPr>
          <w:rFonts w:ascii="Times New Roman" w:hAnsi="Times New Roman"/>
          <w:color w:val="000000"/>
          <w:sz w:val="24"/>
          <w:szCs w:val="24"/>
        </w:rPr>
        <w:t xml:space="preserve"> Email Template</w:t>
      </w:r>
    </w:p>
    <w:p w14:paraId="7C60DA6C" w14:textId="05F249FA" w:rsidR="00CB6F8F" w:rsidRDefault="00964B03" w:rsidP="00CB6F8F">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7</w:t>
      </w:r>
      <w:r w:rsidR="00CB6F8F">
        <w:rPr>
          <w:rFonts w:ascii="Times New Roman" w:hAnsi="Times New Roman"/>
          <w:color w:val="000000"/>
          <w:sz w:val="24"/>
          <w:szCs w:val="24"/>
        </w:rPr>
        <w:t xml:space="preserve"> </w:t>
      </w:r>
      <w:r w:rsidR="00CB6F8F">
        <w:rPr>
          <w:rFonts w:ascii="Times New Roman" w:hAnsi="Times New Roman"/>
          <w:color w:val="000000"/>
          <w:sz w:val="24"/>
          <w:szCs w:val="24"/>
        </w:rPr>
        <w:tab/>
        <w:t>IRB Approval Letter</w:t>
      </w:r>
    </w:p>
    <w:p w14:paraId="6B9A5360" w14:textId="77777777" w:rsidR="00CB6F8F" w:rsidRDefault="00CB6F8F" w:rsidP="00A40E51">
      <w:pPr>
        <w:pStyle w:val="ListParagraph"/>
        <w:spacing w:after="0" w:line="240" w:lineRule="auto"/>
        <w:ind w:hanging="720"/>
        <w:rPr>
          <w:rFonts w:ascii="Times New Roman" w:hAnsi="Times New Roman"/>
          <w:color w:val="000000"/>
          <w:sz w:val="24"/>
          <w:szCs w:val="24"/>
        </w:rPr>
      </w:pPr>
    </w:p>
    <w:p w14:paraId="474B133B" w14:textId="77777777" w:rsidR="000B0BDB" w:rsidRDefault="000B0BDB" w:rsidP="00282F3A">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ab/>
      </w:r>
    </w:p>
    <w:p w14:paraId="262DA95C" w14:textId="77777777" w:rsidR="00583202" w:rsidRDefault="00583202" w:rsidP="00282F3A">
      <w:pPr>
        <w:pStyle w:val="ListParagraph"/>
        <w:spacing w:after="0" w:line="240" w:lineRule="auto"/>
        <w:ind w:hanging="720"/>
        <w:rPr>
          <w:rFonts w:ascii="Times New Roman" w:hAnsi="Times New Roman"/>
          <w:color w:val="000000"/>
          <w:sz w:val="24"/>
          <w:szCs w:val="24"/>
        </w:rPr>
      </w:pPr>
    </w:p>
    <w:p w14:paraId="40C6E99E" w14:textId="77777777" w:rsidR="00583202" w:rsidRDefault="00583202" w:rsidP="00282F3A">
      <w:pPr>
        <w:pStyle w:val="ListParagraph"/>
        <w:spacing w:after="0" w:line="240" w:lineRule="auto"/>
        <w:ind w:hanging="720"/>
        <w:rPr>
          <w:rFonts w:ascii="Times New Roman" w:hAnsi="Times New Roman"/>
          <w:color w:val="000000"/>
          <w:sz w:val="24"/>
          <w:szCs w:val="24"/>
        </w:rPr>
      </w:pPr>
    </w:p>
    <w:p w14:paraId="29FD18E8" w14:textId="77777777" w:rsidR="0031163B" w:rsidRDefault="0031163B" w:rsidP="0031163B">
      <w:pPr>
        <w:pStyle w:val="ListParagraph"/>
        <w:spacing w:after="0" w:line="240" w:lineRule="auto"/>
        <w:ind w:left="0"/>
        <w:rPr>
          <w:rFonts w:ascii="Times New Roman" w:hAnsi="Times New Roman"/>
          <w:color w:val="000000"/>
        </w:rPr>
      </w:pPr>
    </w:p>
    <w:p w14:paraId="6DB15332" w14:textId="77777777" w:rsidR="0031163B" w:rsidRDefault="0031163B" w:rsidP="0031163B">
      <w:pPr>
        <w:pStyle w:val="ListParagraph"/>
        <w:spacing w:after="0" w:line="240" w:lineRule="auto"/>
        <w:ind w:left="0"/>
        <w:rPr>
          <w:rFonts w:ascii="Times New Roman" w:hAnsi="Times New Roman"/>
          <w:color w:val="000000"/>
        </w:rPr>
      </w:pPr>
    </w:p>
    <w:p w14:paraId="46D199FA" w14:textId="77777777" w:rsidR="00172658" w:rsidRPr="00064AC5" w:rsidRDefault="00172658" w:rsidP="00172658">
      <w:pPr>
        <w:jc w:val="center"/>
      </w:pPr>
    </w:p>
    <w:p w14:paraId="720CEC8D" w14:textId="7F5DDE19" w:rsidR="00464211" w:rsidRDefault="00CE445C" w:rsidP="00282F3A">
      <w:pPr>
        <w:rPr>
          <w:b/>
        </w:rPr>
      </w:pPr>
      <w:r>
        <w:rPr>
          <w:b/>
        </w:rPr>
        <w:br w:type="page"/>
      </w:r>
      <w:r w:rsidR="00F32C1B">
        <w:rPr>
          <w:noProof/>
        </w:rPr>
        <w:lastRenderedPageBreak/>
        <mc:AlternateContent>
          <mc:Choice Requires="wps">
            <w:drawing>
              <wp:anchor distT="45720" distB="45720" distL="114300" distR="114300" simplePos="0" relativeHeight="251659264" behindDoc="0" locked="0" layoutInCell="1" allowOverlap="1" wp14:anchorId="56FEE114" wp14:editId="21F1E3FD">
                <wp:simplePos x="0" y="0"/>
                <wp:positionH relativeFrom="column">
                  <wp:posOffset>9525</wp:posOffset>
                </wp:positionH>
                <wp:positionV relativeFrom="paragraph">
                  <wp:posOffset>361950</wp:posOffset>
                </wp:positionV>
                <wp:extent cx="5819775" cy="4286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286250"/>
                        </a:xfrm>
                        <a:prstGeom prst="rect">
                          <a:avLst/>
                        </a:prstGeom>
                        <a:solidFill>
                          <a:srgbClr val="FFFFFF"/>
                        </a:solidFill>
                        <a:ln w="9525">
                          <a:solidFill>
                            <a:srgbClr val="000000"/>
                          </a:solidFill>
                          <a:miter lim="800000"/>
                          <a:headEnd/>
                          <a:tailEnd/>
                        </a:ln>
                      </wps:spPr>
                      <wps:txbx>
                        <w:txbxContent>
                          <w:p w14:paraId="5129F2F6" w14:textId="33AAFE49" w:rsidR="00F32C1B" w:rsidRPr="00187BC3" w:rsidRDefault="00F32C1B" w:rsidP="00867113">
                            <w:pPr>
                              <w:pStyle w:val="ListParagraph"/>
                              <w:numPr>
                                <w:ilvl w:val="0"/>
                                <w:numId w:val="43"/>
                              </w:numPr>
                              <w:spacing w:after="0" w:line="240" w:lineRule="auto"/>
                              <w:rPr>
                                <w:rFonts w:ascii="Times New Roman" w:hAnsi="Times New Roman"/>
                                <w:sz w:val="24"/>
                                <w:szCs w:val="24"/>
                              </w:rPr>
                            </w:pPr>
                            <w:r w:rsidRPr="00187BC3">
                              <w:rPr>
                                <w:rFonts w:ascii="Times New Roman" w:hAnsi="Times New Roman"/>
                                <w:sz w:val="24"/>
                                <w:szCs w:val="24"/>
                              </w:rPr>
                              <w:t xml:space="preserve">CDC plans to conduct an assessment of health departments currently funded through the </w:t>
                            </w:r>
                            <w:r w:rsidRPr="00187BC3">
                              <w:rPr>
                                <w:rFonts w:ascii="Times New Roman" w:hAnsi="Times New Roman"/>
                                <w:i/>
                                <w:sz w:val="24"/>
                                <w:szCs w:val="24"/>
                              </w:rPr>
                              <w:t>State Public Health Actions to Prevent and Control Diabetes, Heart Disease, Obesity and Associated Risk Factors and Promote School Health, 1305</w:t>
                            </w:r>
                            <w:r w:rsidRPr="00187BC3">
                              <w:rPr>
                                <w:rStyle w:val="FootnoteReference"/>
                                <w:rFonts w:ascii="Times New Roman" w:hAnsi="Times New Roman"/>
                                <w:i/>
                                <w:sz w:val="24"/>
                                <w:szCs w:val="24"/>
                              </w:rPr>
                              <w:footnoteRef/>
                            </w:r>
                            <w:r w:rsidRPr="00187BC3">
                              <w:rPr>
                                <w:rFonts w:ascii="Times New Roman" w:hAnsi="Times New Roman"/>
                                <w:sz w:val="24"/>
                                <w:szCs w:val="24"/>
                              </w:rPr>
                              <w:t xml:space="preserve"> (hereafter referred to as State Public Health Actions 1305) cooperative agreement to increase understanding of program functioning with a particular focus on partnerships and the achievement of synergy.</w:t>
                            </w:r>
                          </w:p>
                          <w:p w14:paraId="3409209B" w14:textId="47B4F0E0" w:rsidR="00045B67" w:rsidRPr="00187BC3" w:rsidRDefault="00F32C1B" w:rsidP="00867113">
                            <w:pPr>
                              <w:pStyle w:val="ListParagraph"/>
                              <w:numPr>
                                <w:ilvl w:val="0"/>
                                <w:numId w:val="43"/>
                              </w:numPr>
                              <w:spacing w:after="0" w:line="240" w:lineRule="auto"/>
                              <w:rPr>
                                <w:rFonts w:ascii="Times New Roman" w:hAnsi="Times New Roman"/>
                                <w:sz w:val="24"/>
                                <w:szCs w:val="24"/>
                              </w:rPr>
                            </w:pPr>
                            <w:r w:rsidRPr="00187BC3">
                              <w:rPr>
                                <w:rFonts w:ascii="Times New Roman" w:hAnsi="Times New Roman"/>
                                <w:sz w:val="24"/>
                                <w:szCs w:val="24"/>
                              </w:rPr>
                              <w:t xml:space="preserve">The information will be used to inform future program funding, program implementation, reporting requirements, and the provision of CDC technical assistance (TA) to funded programs. In addition, key findings will be reported to division- and center-level leadership within CDC, and members of the U.S. Congress, to inform future planning and implementation of coordinated, cross-cutting funding models for chronic disease prevention. </w:t>
                            </w:r>
                          </w:p>
                          <w:p w14:paraId="40301FE4" w14:textId="52A5916C" w:rsidR="00045B67" w:rsidRPr="007F7A7D" w:rsidRDefault="00045B67" w:rsidP="00867113">
                            <w:pPr>
                              <w:pStyle w:val="ListParagraph"/>
                              <w:numPr>
                                <w:ilvl w:val="0"/>
                                <w:numId w:val="43"/>
                              </w:numPr>
                              <w:spacing w:after="0" w:line="240" w:lineRule="auto"/>
                              <w:rPr>
                                <w:rFonts w:ascii="Times New Roman" w:hAnsi="Times New Roman"/>
                                <w:sz w:val="24"/>
                                <w:szCs w:val="24"/>
                              </w:rPr>
                            </w:pPr>
                            <w:r w:rsidRPr="00187BC3">
                              <w:rPr>
                                <w:rFonts w:ascii="Times New Roman" w:hAnsi="Times New Roman"/>
                                <w:sz w:val="24"/>
                                <w:szCs w:val="24"/>
                              </w:rPr>
                              <w:t xml:space="preserve">CDC will use a prospective cohort design to assess all 50 states and the District of Columbia. Information will be collected through administration of the State Synergy Survey, a web-based questionnaire designed to gather information on </w:t>
                            </w:r>
                            <w:r w:rsidR="00862CE0">
                              <w:rPr>
                                <w:rFonts w:ascii="Times New Roman" w:hAnsi="Times New Roman"/>
                                <w:sz w:val="24"/>
                                <w:szCs w:val="24"/>
                              </w:rPr>
                              <w:t>state-level partnerships and synergy</w:t>
                            </w:r>
                            <w:r w:rsidRPr="00187BC3">
                              <w:rPr>
                                <w:rFonts w:ascii="Times New Roman" w:hAnsi="Times New Roman"/>
                                <w:sz w:val="24"/>
                                <w:szCs w:val="24"/>
                              </w:rPr>
                              <w:t xml:space="preserve"> </w:t>
                            </w:r>
                            <w:r w:rsidR="00862CE0">
                              <w:rPr>
                                <w:rFonts w:ascii="Times New Roman" w:hAnsi="Times New Roman"/>
                                <w:sz w:val="24"/>
                                <w:szCs w:val="24"/>
                              </w:rPr>
                              <w:t>within the coordinated model.</w:t>
                            </w:r>
                            <w:r w:rsidRPr="00187BC3">
                              <w:rPr>
                                <w:rFonts w:ascii="Times New Roman" w:hAnsi="Times New Roman"/>
                                <w:sz w:val="24"/>
                                <w:szCs w:val="24"/>
                              </w:rPr>
                              <w:t xml:space="preserve"> </w:t>
                            </w:r>
                            <w:r w:rsidR="00862CE0">
                              <w:rPr>
                                <w:rFonts w:ascii="Times New Roman" w:hAnsi="Times New Roman"/>
                                <w:sz w:val="24"/>
                                <w:szCs w:val="24"/>
                              </w:rPr>
                              <w:t>The survey will be administered</w:t>
                            </w:r>
                            <w:r w:rsidRPr="00187BC3">
                              <w:rPr>
                                <w:rFonts w:ascii="Times New Roman" w:hAnsi="Times New Roman"/>
                                <w:sz w:val="24"/>
                                <w:szCs w:val="24"/>
                              </w:rPr>
                              <w:t xml:space="preserve"> in 2016 (program year 4) and 2018 (program year 5) to explore </w:t>
                            </w:r>
                            <w:r w:rsidRPr="007F7A7D">
                              <w:rPr>
                                <w:rFonts w:ascii="Times New Roman" w:hAnsi="Times New Roman"/>
                                <w:sz w:val="24"/>
                                <w:szCs w:val="24"/>
                              </w:rPr>
                              <w:t xml:space="preserve">changes over time. </w:t>
                            </w:r>
                          </w:p>
                          <w:p w14:paraId="211AA8B3" w14:textId="75122B04" w:rsidR="00F32C1B" w:rsidRPr="007F7A7D" w:rsidRDefault="007F7A7D" w:rsidP="00867113">
                            <w:pPr>
                              <w:pStyle w:val="ListParagraph"/>
                              <w:numPr>
                                <w:ilvl w:val="0"/>
                                <w:numId w:val="43"/>
                              </w:numPr>
                              <w:spacing w:after="0" w:line="240" w:lineRule="auto"/>
                              <w:rPr>
                                <w:rFonts w:ascii="Times New Roman" w:hAnsi="Times New Roman"/>
                                <w:sz w:val="24"/>
                                <w:szCs w:val="24"/>
                              </w:rPr>
                            </w:pPr>
                            <w:r w:rsidRPr="007F7A7D">
                              <w:rPr>
                                <w:rFonts w:ascii="Times New Roman" w:hAnsi="Times New Roman"/>
                                <w:sz w:val="24"/>
                                <w:szCs w:val="24"/>
                              </w:rPr>
                              <w:t>Data analysis will include, descriptive statistics (e.g., counts, means, range, standard deviation); factor analysis to assess residual correlations; and reliability tests and linear regression analysis to predict synergy.  All information will be aggregated within each state and reported with no program identifiers present in external documents.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FEE114" id="_x0000_t202" coordsize="21600,21600" o:spt="202" path="m,l,21600r21600,l21600,xe">
                <v:stroke joinstyle="miter"/>
                <v:path gradientshapeok="t" o:connecttype="rect"/>
              </v:shapetype>
              <v:shape id="Text Box 2" o:spid="_x0000_s1026" type="#_x0000_t202" style="position:absolute;margin-left:.75pt;margin-top:28.5pt;width:458.25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">
                <v:textbox>
                  <w:txbxContent>
                    <w:p w14:paraId="5129F2F6" w14:textId="33AAFE49" w:rsidR="00F32C1B" w:rsidRPr="00187BC3" w:rsidRDefault="00F32C1B" w:rsidP="00867113">
                      <w:pPr>
                        <w:pStyle w:val="ListParagraph"/>
                        <w:numPr>
                          <w:ilvl w:val="0"/>
                          <w:numId w:val="43"/>
                        </w:numPr>
                        <w:spacing w:after="0" w:line="240" w:lineRule="auto"/>
                        <w:rPr>
                          <w:rFonts w:ascii="Times New Roman" w:hAnsi="Times New Roman"/>
                          <w:sz w:val="24"/>
                          <w:szCs w:val="24"/>
                        </w:rPr>
                      </w:pPr>
                      <w:r w:rsidRPr="00187BC3">
                        <w:rPr>
                          <w:rFonts w:ascii="Times New Roman" w:hAnsi="Times New Roman"/>
                          <w:sz w:val="24"/>
                          <w:szCs w:val="24"/>
                        </w:rPr>
                        <w:t xml:space="preserve">CDC plans to conduct an assessment of health departments currently funded through the </w:t>
                      </w:r>
                      <w:r w:rsidRPr="00187BC3">
                        <w:rPr>
                          <w:rFonts w:ascii="Times New Roman" w:hAnsi="Times New Roman"/>
                          <w:i/>
                          <w:sz w:val="24"/>
                          <w:szCs w:val="24"/>
                        </w:rPr>
                        <w:t>State Public Health Actions to Prevent and Control Diabetes, Heart Disease, Obesity and Associated Risk Factors and Promote School Health, 1305</w:t>
                      </w:r>
                      <w:r w:rsidRPr="00187BC3">
                        <w:rPr>
                          <w:rStyle w:val="FootnoteReference"/>
                          <w:rFonts w:ascii="Times New Roman" w:hAnsi="Times New Roman"/>
                          <w:i/>
                          <w:sz w:val="24"/>
                          <w:szCs w:val="24"/>
                        </w:rPr>
                        <w:footnoteRef/>
                      </w:r>
                      <w:r w:rsidRPr="00187BC3">
                        <w:rPr>
                          <w:rFonts w:ascii="Times New Roman" w:hAnsi="Times New Roman"/>
                          <w:sz w:val="24"/>
                          <w:szCs w:val="24"/>
                        </w:rPr>
                        <w:t xml:space="preserve"> (hereafter referred to as State Public Health Actions 1305) cooperative agreement to increase understanding of program functioning with a particular focus on partnerships and the achievement of synergy.</w:t>
                      </w:r>
                    </w:p>
                    <w:p w14:paraId="3409209B" w14:textId="47B4F0E0" w:rsidR="00045B67" w:rsidRPr="00187BC3" w:rsidRDefault="00F32C1B" w:rsidP="00867113">
                      <w:pPr>
                        <w:pStyle w:val="ListParagraph"/>
                        <w:numPr>
                          <w:ilvl w:val="0"/>
                          <w:numId w:val="43"/>
                        </w:numPr>
                        <w:spacing w:after="0" w:line="240" w:lineRule="auto"/>
                        <w:rPr>
                          <w:rFonts w:ascii="Times New Roman" w:hAnsi="Times New Roman"/>
                          <w:sz w:val="24"/>
                          <w:szCs w:val="24"/>
                        </w:rPr>
                      </w:pPr>
                      <w:r w:rsidRPr="00187BC3">
                        <w:rPr>
                          <w:rFonts w:ascii="Times New Roman" w:hAnsi="Times New Roman"/>
                          <w:sz w:val="24"/>
                          <w:szCs w:val="24"/>
                        </w:rPr>
                        <w:t xml:space="preserve">The information will be used to inform future program funding, program implementation, reporting requirements, and the provision of CDC technical assistance (TA) to funded programs. In addition, key findings will be reported to division- and center-level leadership within CDC, and members of the U.S. Congress, to inform future planning and implementation of coordinated, cross-cutting funding models for chronic disease prevention. </w:t>
                      </w:r>
                    </w:p>
                    <w:p w14:paraId="40301FE4" w14:textId="52A5916C" w:rsidR="00045B67" w:rsidRPr="007F7A7D" w:rsidRDefault="00045B67" w:rsidP="00867113">
                      <w:pPr>
                        <w:pStyle w:val="ListParagraph"/>
                        <w:numPr>
                          <w:ilvl w:val="0"/>
                          <w:numId w:val="43"/>
                        </w:numPr>
                        <w:spacing w:after="0" w:line="240" w:lineRule="auto"/>
                        <w:rPr>
                          <w:rFonts w:ascii="Times New Roman" w:hAnsi="Times New Roman"/>
                          <w:sz w:val="24"/>
                          <w:szCs w:val="24"/>
                        </w:rPr>
                      </w:pPr>
                      <w:r w:rsidRPr="00187BC3">
                        <w:rPr>
                          <w:rFonts w:ascii="Times New Roman" w:hAnsi="Times New Roman"/>
                          <w:sz w:val="24"/>
                          <w:szCs w:val="24"/>
                        </w:rPr>
                        <w:t xml:space="preserve">CDC will use a prospective cohort design to assess all 50 states and the District of Columbia. Information will be collected through administration of the State Synergy Survey, a web-based questionnaire designed to gather information on </w:t>
                      </w:r>
                      <w:r w:rsidR="00862CE0">
                        <w:rPr>
                          <w:rFonts w:ascii="Times New Roman" w:hAnsi="Times New Roman"/>
                          <w:sz w:val="24"/>
                          <w:szCs w:val="24"/>
                        </w:rPr>
                        <w:t>state-level partnerships and synergy</w:t>
                      </w:r>
                      <w:r w:rsidRPr="00187BC3">
                        <w:rPr>
                          <w:rFonts w:ascii="Times New Roman" w:hAnsi="Times New Roman"/>
                          <w:sz w:val="24"/>
                          <w:szCs w:val="24"/>
                        </w:rPr>
                        <w:t xml:space="preserve"> </w:t>
                      </w:r>
                      <w:r w:rsidR="00862CE0">
                        <w:rPr>
                          <w:rFonts w:ascii="Times New Roman" w:hAnsi="Times New Roman"/>
                          <w:sz w:val="24"/>
                          <w:szCs w:val="24"/>
                        </w:rPr>
                        <w:t>within the coordinated model.</w:t>
                      </w:r>
                      <w:r w:rsidRPr="00187BC3">
                        <w:rPr>
                          <w:rFonts w:ascii="Times New Roman" w:hAnsi="Times New Roman"/>
                          <w:sz w:val="24"/>
                          <w:szCs w:val="24"/>
                        </w:rPr>
                        <w:t xml:space="preserve"> </w:t>
                      </w:r>
                      <w:r w:rsidR="00862CE0">
                        <w:rPr>
                          <w:rFonts w:ascii="Times New Roman" w:hAnsi="Times New Roman"/>
                          <w:sz w:val="24"/>
                          <w:szCs w:val="24"/>
                        </w:rPr>
                        <w:t>The survey will be administered</w:t>
                      </w:r>
                      <w:r w:rsidRPr="00187BC3">
                        <w:rPr>
                          <w:rFonts w:ascii="Times New Roman" w:hAnsi="Times New Roman"/>
                          <w:sz w:val="24"/>
                          <w:szCs w:val="24"/>
                        </w:rPr>
                        <w:t xml:space="preserve"> in 2016 (program year 4) and 2018 (program year 5) to explore </w:t>
                      </w:r>
                      <w:r w:rsidRPr="007F7A7D">
                        <w:rPr>
                          <w:rFonts w:ascii="Times New Roman" w:hAnsi="Times New Roman"/>
                          <w:sz w:val="24"/>
                          <w:szCs w:val="24"/>
                        </w:rPr>
                        <w:t xml:space="preserve">changes over time. </w:t>
                      </w:r>
                    </w:p>
                    <w:p w14:paraId="211AA8B3" w14:textId="75122B04" w:rsidR="00F32C1B" w:rsidRPr="007F7A7D" w:rsidRDefault="007F7A7D" w:rsidP="00867113">
                      <w:pPr>
                        <w:pStyle w:val="ListParagraph"/>
                        <w:numPr>
                          <w:ilvl w:val="0"/>
                          <w:numId w:val="43"/>
                        </w:numPr>
                        <w:spacing w:after="0" w:line="240" w:lineRule="auto"/>
                        <w:rPr>
                          <w:rFonts w:ascii="Times New Roman" w:hAnsi="Times New Roman"/>
                          <w:sz w:val="24"/>
                          <w:szCs w:val="24"/>
                        </w:rPr>
                      </w:pPr>
                      <w:r w:rsidRPr="007F7A7D">
                        <w:rPr>
                          <w:rFonts w:ascii="Times New Roman" w:hAnsi="Times New Roman"/>
                          <w:sz w:val="24"/>
                          <w:szCs w:val="24"/>
                        </w:rPr>
                        <w:t>Data analysis will include, descriptive statistics (e.g., counts, means, range, standard deviation); factor analysis to assess residual correlations; and reliability tests and linear regression analysis to predict synergy.  All information will be aggregated within each state and reported with no program identifiers present in external documents.</w:t>
                      </w:r>
                    </w:p>
                  </w:txbxContent>
                </v:textbox>
                <w10:wrap type="square"/>
              </v:shape>
            </w:pict>
          </mc:Fallback>
        </mc:AlternateContent>
      </w:r>
      <w:r w:rsidR="00867113">
        <w:rPr>
          <w:b/>
        </w:rPr>
        <w:t>Overview</w:t>
      </w:r>
    </w:p>
    <w:p w14:paraId="6771C426" w14:textId="77777777" w:rsidR="00D86C4A" w:rsidRPr="00064AC5" w:rsidRDefault="00D86C4A" w:rsidP="00D16418">
      <w:pPr>
        <w:jc w:val="center"/>
      </w:pPr>
    </w:p>
    <w:p w14:paraId="127ED2E7" w14:textId="77777777" w:rsidR="00D86C4A" w:rsidRPr="00064AC5" w:rsidRDefault="00D86C4A" w:rsidP="00D86C4A">
      <w:pPr>
        <w:numPr>
          <w:ilvl w:val="0"/>
          <w:numId w:val="1"/>
        </w:numPr>
        <w:tabs>
          <w:tab w:val="clear" w:pos="945"/>
          <w:tab w:val="num" w:pos="540"/>
        </w:tabs>
        <w:ind w:hanging="945"/>
        <w:rPr>
          <w:b/>
        </w:rPr>
      </w:pPr>
      <w:r w:rsidRPr="00064AC5">
        <w:rPr>
          <w:b/>
        </w:rPr>
        <w:t>Justification</w:t>
      </w:r>
    </w:p>
    <w:p w14:paraId="266DAD61" w14:textId="77777777" w:rsidR="00D86C4A" w:rsidRPr="00064AC5" w:rsidRDefault="00D86C4A" w:rsidP="00D86C4A">
      <w:pPr>
        <w:rPr>
          <w:b/>
        </w:rPr>
      </w:pPr>
    </w:p>
    <w:p w14:paraId="58A12453" w14:textId="77777777" w:rsidR="00D86C4A" w:rsidRPr="00064AC5" w:rsidRDefault="00D86C4A" w:rsidP="00261513">
      <w:pPr>
        <w:jc w:val="both"/>
        <w:rPr>
          <w:b/>
        </w:rPr>
      </w:pPr>
      <w:r w:rsidRPr="00064AC5">
        <w:rPr>
          <w:b/>
        </w:rPr>
        <w:t>A1.  Circumstances Making the Collection of Information Necessary</w:t>
      </w:r>
    </w:p>
    <w:p w14:paraId="38FB65EF" w14:textId="77777777" w:rsidR="00EF2547" w:rsidRPr="002F22ED" w:rsidRDefault="00EF2547" w:rsidP="00261513">
      <w:pPr>
        <w:jc w:val="both"/>
      </w:pPr>
    </w:p>
    <w:p w14:paraId="6C4A4818" w14:textId="35C36F4E" w:rsidR="002F22ED" w:rsidRPr="002F22ED" w:rsidRDefault="002F22ED" w:rsidP="00136CAE">
      <w:pPr>
        <w:pStyle w:val="EvalBody"/>
        <w:spacing w:after="0" w:line="240" w:lineRule="auto"/>
        <w:jc w:val="left"/>
        <w:rPr>
          <w:u w:val="single"/>
        </w:rPr>
      </w:pPr>
      <w:r w:rsidRPr="002F22ED">
        <w:rPr>
          <w:u w:val="single"/>
        </w:rPr>
        <w:t>Background</w:t>
      </w:r>
    </w:p>
    <w:p w14:paraId="6DDE5526" w14:textId="77777777" w:rsidR="002F22ED" w:rsidRDefault="002F22ED" w:rsidP="00136CAE">
      <w:pPr>
        <w:pStyle w:val="EvalBody"/>
        <w:spacing w:after="0" w:line="240" w:lineRule="auto"/>
        <w:jc w:val="left"/>
      </w:pPr>
    </w:p>
    <w:p w14:paraId="1F825D3D" w14:textId="71205D08" w:rsidR="00136CAE" w:rsidRDefault="000B2EE3" w:rsidP="00136CAE">
      <w:pPr>
        <w:pStyle w:val="EvalBody"/>
        <w:spacing w:after="0" w:line="240" w:lineRule="auto"/>
        <w:jc w:val="left"/>
      </w:pPr>
      <w:r>
        <w:t>The CDC defines c</w:t>
      </w:r>
      <w:r w:rsidR="00B378D2">
        <w:t>hronic diseases and conditions</w:t>
      </w:r>
      <w:r>
        <w:t xml:space="preserve"> as health issues that “last a year or more and </w:t>
      </w:r>
      <w:r w:rsidR="00700CE2">
        <w:t>require ongoing</w:t>
      </w:r>
      <w:r>
        <w:t xml:space="preserve"> medical attention</w:t>
      </w:r>
      <w:r w:rsidR="005B6EDD">
        <w:t>,</w:t>
      </w:r>
      <w:r>
        <w:t xml:space="preserve"> or that l</w:t>
      </w:r>
      <w:r w:rsidR="009B3C17">
        <w:t>imit activities of daily living</w:t>
      </w:r>
      <w:r>
        <w:t>” (</w:t>
      </w:r>
      <w:r w:rsidR="009B3C17">
        <w:t xml:space="preserve">CDC, 2016). Chronic diseases and conditions </w:t>
      </w:r>
      <w:r w:rsidR="00B378D2">
        <w:t xml:space="preserve">– such as heart disease, stroke, diabetes, and obesity – are the leading causes of death and disability in the </w:t>
      </w:r>
      <w:r w:rsidR="005B6EDD">
        <w:t>U.S.</w:t>
      </w:r>
      <w:r>
        <w:t>, and</w:t>
      </w:r>
      <w:r w:rsidR="00AC7BBC">
        <w:t xml:space="preserve"> are major drivers of sickness </w:t>
      </w:r>
      <w:r>
        <w:t>and high health care costs</w:t>
      </w:r>
      <w:r w:rsidR="00B378D2">
        <w:t xml:space="preserve"> (CDC, 2016). In 2012, 117 million people – about half of all adults in the U.S. – had at least one chronic health condition, and seven of the top ten causes of death </w:t>
      </w:r>
      <w:r w:rsidR="009B3C17">
        <w:t>were</w:t>
      </w:r>
      <w:r w:rsidR="00B378D2">
        <w:t xml:space="preserve"> chronic diseases (CDC, 2013; Ward, Schiller &amp; Goodman, 2014). </w:t>
      </w:r>
      <w:r w:rsidR="002010D5">
        <w:t xml:space="preserve">While chronic conditions increase an individual’s risk for hospitalization or </w:t>
      </w:r>
      <w:r w:rsidR="009B3C17">
        <w:t>premature death</w:t>
      </w:r>
      <w:r w:rsidR="002010D5">
        <w:t>, having multiple chronic conditions</w:t>
      </w:r>
      <w:r w:rsidR="009B3C17">
        <w:t xml:space="preserve"> </w:t>
      </w:r>
      <w:r w:rsidR="002010D5">
        <w:t xml:space="preserve">further increases the risk for these </w:t>
      </w:r>
      <w:r w:rsidR="00AC7BBC">
        <w:t>negative</w:t>
      </w:r>
      <w:r w:rsidR="002010D5">
        <w:t xml:space="preserve"> </w:t>
      </w:r>
      <w:r w:rsidR="009B3C17">
        <w:t xml:space="preserve">health </w:t>
      </w:r>
      <w:r w:rsidR="002010D5">
        <w:t>outcomes</w:t>
      </w:r>
      <w:r w:rsidR="00D85813">
        <w:t xml:space="preserve"> while also</w:t>
      </w:r>
      <w:r w:rsidR="002010D5">
        <w:t xml:space="preserve"> </w:t>
      </w:r>
      <w:r w:rsidR="00D85813">
        <w:t xml:space="preserve">increasing risk </w:t>
      </w:r>
      <w:r w:rsidR="002010D5">
        <w:t xml:space="preserve">for poor day-to-day functioning. </w:t>
      </w:r>
      <w:r w:rsidR="00906BB1">
        <w:t>Chronic</w:t>
      </w:r>
      <w:r w:rsidR="002010D5">
        <w:t xml:space="preserve"> diseases are </w:t>
      </w:r>
      <w:r w:rsidR="00906BB1">
        <w:t xml:space="preserve">also </w:t>
      </w:r>
      <w:r w:rsidR="002010D5">
        <w:t xml:space="preserve">associated with significant health care costs. </w:t>
      </w:r>
      <w:r w:rsidR="004E44FE">
        <w:t xml:space="preserve">In 2010, 86% of all health care spending was attributed to individuals </w:t>
      </w:r>
      <w:r w:rsidR="00D85813">
        <w:t>with at least one</w:t>
      </w:r>
      <w:r w:rsidR="004E44FE">
        <w:t xml:space="preserve"> chronic medical condition</w:t>
      </w:r>
      <w:r w:rsidR="00EE01F0">
        <w:t>—</w:t>
      </w:r>
      <w:r w:rsidR="002010D5">
        <w:t>71% for individuals wi</w:t>
      </w:r>
      <w:r w:rsidR="00D85813">
        <w:t>th multiple chronic conditions</w:t>
      </w:r>
      <w:r w:rsidR="004E44FE">
        <w:t xml:space="preserve"> (Gerteis et al., 2014). </w:t>
      </w:r>
    </w:p>
    <w:p w14:paraId="673FB7B6" w14:textId="77777777" w:rsidR="00B378D2" w:rsidRDefault="00B378D2" w:rsidP="00136CAE">
      <w:pPr>
        <w:pStyle w:val="EvalBody"/>
        <w:spacing w:after="0" w:line="240" w:lineRule="auto"/>
        <w:jc w:val="left"/>
      </w:pPr>
    </w:p>
    <w:p w14:paraId="1277B70F" w14:textId="094DFEB9" w:rsidR="00136CAE" w:rsidRDefault="00D85813" w:rsidP="00136CAE">
      <w:pPr>
        <w:pStyle w:val="EvalBody"/>
        <w:spacing w:after="0" w:line="240" w:lineRule="auto"/>
        <w:jc w:val="left"/>
      </w:pPr>
      <w:r>
        <w:lastRenderedPageBreak/>
        <w:t xml:space="preserve">To address </w:t>
      </w:r>
      <w:r w:rsidR="00EE01F0">
        <w:t>these challenges</w:t>
      </w:r>
      <w:r>
        <w:t>, t</w:t>
      </w:r>
      <w:r w:rsidR="00136CAE">
        <w:t xml:space="preserve">he </w:t>
      </w:r>
      <w:r w:rsidR="00136CAE" w:rsidRPr="00022E28">
        <w:t xml:space="preserve">National Center for Chronic Disease Prevention and Health Promotion (NCCDPHP) </w:t>
      </w:r>
      <w:r w:rsidR="00136CAE">
        <w:t>support</w:t>
      </w:r>
      <w:r w:rsidR="00EE01F0">
        <w:t>s</w:t>
      </w:r>
      <w:r w:rsidR="00136CAE">
        <w:t xml:space="preserve"> activities to prevent chronic diseases and their risk factors. NCCDPHP provides funding for cross-cutting chronic disease programs within state and local health agencies to implement public health programs; conduct public health surveillance; translate research; communicate health prevention messages; and develop and implement tools and resources for state- and local-level stakeholders.</w:t>
      </w:r>
      <w:r w:rsidR="00BB2FE3">
        <w:t xml:space="preserve"> </w:t>
      </w:r>
    </w:p>
    <w:p w14:paraId="15B66A2E" w14:textId="77777777" w:rsidR="00136CAE" w:rsidRDefault="00136CAE" w:rsidP="00136CAE">
      <w:pPr>
        <w:pStyle w:val="EvalBody"/>
        <w:spacing w:after="0" w:line="240" w:lineRule="auto"/>
        <w:jc w:val="left"/>
      </w:pPr>
    </w:p>
    <w:p w14:paraId="1214353D" w14:textId="19079138" w:rsidR="00136CAE" w:rsidRDefault="00136CAE" w:rsidP="00136CAE">
      <w:pPr>
        <w:pStyle w:val="EvalBody"/>
        <w:spacing w:after="0" w:line="240" w:lineRule="auto"/>
        <w:jc w:val="left"/>
      </w:pPr>
      <w:r>
        <w:t xml:space="preserve">In 2007, a publication </w:t>
      </w:r>
      <w:r w:rsidRPr="00177F49">
        <w:t xml:space="preserve">in the CDC journal </w:t>
      </w:r>
      <w:r w:rsidRPr="00177F49">
        <w:rPr>
          <w:i/>
          <w:iCs/>
        </w:rPr>
        <w:t>Preventing Chronic Disease</w:t>
      </w:r>
      <w:r>
        <w:rPr>
          <w:i/>
          <w:iCs/>
        </w:rPr>
        <w:t xml:space="preserve"> </w:t>
      </w:r>
      <w:r w:rsidRPr="00177F49">
        <w:t xml:space="preserve">recommended actions for </w:t>
      </w:r>
      <w:r>
        <w:t>s</w:t>
      </w:r>
      <w:r w:rsidRPr="00177F49">
        <w:t>tates and CDC to support the integration of chronic disease programs</w:t>
      </w:r>
      <w:r>
        <w:t>,</w:t>
      </w:r>
      <w:r w:rsidRPr="00177F49">
        <w:t xml:space="preserve"> including modifying guidelines in requests for applications to encourage and </w:t>
      </w:r>
      <w:r>
        <w:t>facilitate the integration of chronic disease programs</w:t>
      </w:r>
      <w:r w:rsidR="004F48BA">
        <w:t xml:space="preserve"> (Slonim et al., 2007)</w:t>
      </w:r>
      <w:r>
        <w:t>.</w:t>
      </w:r>
      <w:r w:rsidRPr="00177F49">
        <w:t xml:space="preserve"> In accord</w:t>
      </w:r>
      <w:r>
        <w:t xml:space="preserve">ance with this recommendation, </w:t>
      </w:r>
      <w:r w:rsidR="00910BB3">
        <w:t xml:space="preserve">CDC developed </w:t>
      </w:r>
      <w:r w:rsidR="00CD3708">
        <w:t>a</w:t>
      </w:r>
      <w:r w:rsidRPr="00177F49">
        <w:t xml:space="preserve"> </w:t>
      </w:r>
      <w:r>
        <w:t>funding opportunity announcement (FOA)</w:t>
      </w:r>
      <w:r w:rsidRPr="00177F49">
        <w:t xml:space="preserve"> </w:t>
      </w:r>
      <w:r w:rsidR="00CD3708">
        <w:t>in 2013</w:t>
      </w:r>
      <w:r w:rsidR="00DF5BF4">
        <w:t>,</w:t>
      </w:r>
      <w:r w:rsidRPr="00177F49">
        <w:t xml:space="preserve"> titled </w:t>
      </w:r>
      <w:r w:rsidRPr="00563E52">
        <w:rPr>
          <w:i/>
        </w:rPr>
        <w:t>State Public Health Actions to Prevent and Control Diabetes, Heart Disease, Obesity and Associated Risk Factor</w:t>
      </w:r>
      <w:r w:rsidR="0079691E">
        <w:rPr>
          <w:i/>
        </w:rPr>
        <w:t xml:space="preserve">s and Promote School Health, </w:t>
      </w:r>
      <w:r w:rsidRPr="00563E52">
        <w:rPr>
          <w:i/>
        </w:rPr>
        <w:t>1305</w:t>
      </w:r>
      <w:r w:rsidRPr="00177F49">
        <w:t xml:space="preserve"> (hereafter referred to as </w:t>
      </w:r>
      <w:r w:rsidR="00012235">
        <w:t>State Public Health Actions</w:t>
      </w:r>
      <w:r w:rsidR="000A2F81">
        <w:t xml:space="preserve"> </w:t>
      </w:r>
      <w:r w:rsidRPr="00177F49">
        <w:t>1305)</w:t>
      </w:r>
      <w:r w:rsidR="00CD3708">
        <w:t xml:space="preserve"> to support states in </w:t>
      </w:r>
      <w:r>
        <w:t xml:space="preserve">the design and implementation of </w:t>
      </w:r>
      <w:r w:rsidRPr="00177F49">
        <w:t xml:space="preserve">strategies to reduce the </w:t>
      </w:r>
      <w:r w:rsidR="00400E25">
        <w:t>complications from</w:t>
      </w:r>
      <w:r w:rsidRPr="00177F49">
        <w:t xml:space="preserve"> multiple chronic disea</w:t>
      </w:r>
      <w:r w:rsidR="00CD3708">
        <w:t xml:space="preserve">ses and associated risk factors. This </w:t>
      </w:r>
      <w:r w:rsidR="008622D2">
        <w:t>5-year cooperative agreement</w:t>
      </w:r>
      <w:r w:rsidR="00EE274C">
        <w:t xml:space="preserve"> addresses six </w:t>
      </w:r>
      <w:r w:rsidRPr="00177F49">
        <w:t xml:space="preserve">public health priorities: </w:t>
      </w:r>
    </w:p>
    <w:p w14:paraId="2C4B266D" w14:textId="525AD30E" w:rsidR="00136CAE" w:rsidRDefault="00136CAE" w:rsidP="00EE274C">
      <w:pPr>
        <w:pStyle w:val="EvalBodyText"/>
        <w:numPr>
          <w:ilvl w:val="0"/>
          <w:numId w:val="40"/>
        </w:numPr>
        <w:spacing w:after="0"/>
        <w:jc w:val="left"/>
      </w:pPr>
      <w:r w:rsidRPr="00177F49">
        <w:t xml:space="preserve">uncontrolled hypertension; </w:t>
      </w:r>
    </w:p>
    <w:p w14:paraId="5A0DDF17" w14:textId="77777777" w:rsidR="00136CAE" w:rsidRDefault="00136CAE" w:rsidP="00EE274C">
      <w:pPr>
        <w:pStyle w:val="EvalBodyText"/>
        <w:numPr>
          <w:ilvl w:val="0"/>
          <w:numId w:val="40"/>
        </w:numPr>
        <w:spacing w:after="0"/>
        <w:jc w:val="left"/>
      </w:pPr>
      <w:r w:rsidRPr="00177F49">
        <w:t xml:space="preserve">prevention and control of diabetes; </w:t>
      </w:r>
    </w:p>
    <w:p w14:paraId="613457BC" w14:textId="015FA565" w:rsidR="00136CAE" w:rsidRDefault="00136CAE" w:rsidP="00EE274C">
      <w:pPr>
        <w:pStyle w:val="EvalBodyText"/>
        <w:numPr>
          <w:ilvl w:val="0"/>
          <w:numId w:val="40"/>
        </w:numPr>
        <w:spacing w:after="0"/>
        <w:jc w:val="left"/>
      </w:pPr>
      <w:r w:rsidRPr="00177F49">
        <w:t xml:space="preserve">incidence of obesity; </w:t>
      </w:r>
    </w:p>
    <w:p w14:paraId="3016B418" w14:textId="77777777" w:rsidR="00136CAE" w:rsidRDefault="00136CAE" w:rsidP="00EE274C">
      <w:pPr>
        <w:pStyle w:val="EvalBodyText"/>
        <w:numPr>
          <w:ilvl w:val="0"/>
          <w:numId w:val="40"/>
        </w:numPr>
        <w:spacing w:after="0"/>
        <w:jc w:val="left"/>
      </w:pPr>
      <w:r w:rsidRPr="00177F49">
        <w:t xml:space="preserve">increased physical activity and healthy eating by children and adults; </w:t>
      </w:r>
    </w:p>
    <w:p w14:paraId="7207CCAA" w14:textId="77777777" w:rsidR="00136CAE" w:rsidRDefault="00136CAE" w:rsidP="00EE274C">
      <w:pPr>
        <w:pStyle w:val="EvalBodyText"/>
        <w:numPr>
          <w:ilvl w:val="0"/>
          <w:numId w:val="40"/>
        </w:numPr>
        <w:spacing w:after="0"/>
        <w:jc w:val="left"/>
      </w:pPr>
      <w:r w:rsidRPr="00177F49">
        <w:t xml:space="preserve">increased breastfeeding; and </w:t>
      </w:r>
    </w:p>
    <w:p w14:paraId="2AC5FCBC" w14:textId="003D00DB" w:rsidR="00CB4808" w:rsidRDefault="00136CAE" w:rsidP="00EE274C">
      <w:pPr>
        <w:pStyle w:val="EvalBodyText"/>
        <w:numPr>
          <w:ilvl w:val="0"/>
          <w:numId w:val="40"/>
        </w:numPr>
        <w:spacing w:after="0"/>
        <w:jc w:val="left"/>
      </w:pPr>
      <w:r w:rsidRPr="00177F49">
        <w:t>improved management of chronic conditions among students.</w:t>
      </w:r>
    </w:p>
    <w:p w14:paraId="3F567DFE" w14:textId="77777777" w:rsidR="00EE274C" w:rsidRPr="00EE274C" w:rsidRDefault="00EE274C" w:rsidP="00EE274C">
      <w:pPr>
        <w:pStyle w:val="EvalBodyText"/>
        <w:spacing w:after="0"/>
        <w:ind w:left="720"/>
        <w:jc w:val="left"/>
      </w:pPr>
    </w:p>
    <w:p w14:paraId="23C43F8E" w14:textId="028C36CE" w:rsidR="001072EA" w:rsidRPr="00EE274C" w:rsidRDefault="001072EA" w:rsidP="00EE274C">
      <w:pPr>
        <w:pStyle w:val="EvalBodyText"/>
      </w:pPr>
      <w:r w:rsidRPr="001072EA">
        <w:t>Through this cooperative agreement, CDC currently provides over $100 million to state health departments in all 50 United States and the District of Columbia</w:t>
      </w:r>
      <w:r w:rsidRPr="0066317B">
        <w:t>. Due to the funding, complexity, coordination and collaboration in implementing State Public Health Actions 1305, there are a number of reporting requirements related to categorical spending, chronic disease outcomes, efficiencies a</w:t>
      </w:r>
      <w:r w:rsidR="008775F6">
        <w:t>nd accomplishments.</w:t>
      </w:r>
      <w:r w:rsidRPr="0066317B">
        <w:t xml:space="preserve"> </w:t>
      </w:r>
      <w:r w:rsidR="008775F6" w:rsidRPr="008775F6">
        <w:t>These routine reporting requirements allow CDC to monitor awardee progress towards programmatic goals</w:t>
      </w:r>
      <w:r w:rsidR="008775F6">
        <w:t>,</w:t>
      </w:r>
      <w:r w:rsidR="008775F6" w:rsidRPr="008775F6">
        <w:t xml:space="preserve"> but do not collect specific information about the processes that support implementation plans.</w:t>
      </w:r>
      <w:r w:rsidR="008775F6">
        <w:rPr>
          <w:rFonts w:ascii="Courier New" w:hAnsi="Courier New" w:cs="Courier New"/>
        </w:rPr>
        <w:t xml:space="preserve">    </w:t>
      </w:r>
    </w:p>
    <w:p w14:paraId="0BEE587D" w14:textId="6C66CEE9" w:rsidR="000A2F81" w:rsidRPr="000A2F81" w:rsidRDefault="000A2F81" w:rsidP="005A07EB">
      <w:pPr>
        <w:pStyle w:val="EvalBody"/>
        <w:spacing w:line="240" w:lineRule="auto"/>
        <w:rPr>
          <w:u w:val="single"/>
        </w:rPr>
      </w:pPr>
      <w:r w:rsidRPr="000A2F81">
        <w:rPr>
          <w:u w:val="single"/>
        </w:rPr>
        <w:t>Cross-Cutting Funding Model</w:t>
      </w:r>
    </w:p>
    <w:p w14:paraId="0F3EDAFD" w14:textId="03F1D82B" w:rsidR="00862CE0" w:rsidRDefault="00CB4808" w:rsidP="00862CE0">
      <w:pPr>
        <w:pStyle w:val="EvalBody"/>
        <w:spacing w:line="240" w:lineRule="auto"/>
        <w:rPr>
          <w:spacing w:val="-2"/>
        </w:rPr>
      </w:pPr>
      <w:r w:rsidRPr="002027BB">
        <w:t xml:space="preserve">Through the </w:t>
      </w:r>
      <w:r w:rsidR="00012235">
        <w:t xml:space="preserve">State Public Health Actions 1305 </w:t>
      </w:r>
      <w:r w:rsidRPr="002027BB">
        <w:t xml:space="preserve">cooperative agreement, CDC has engaged state health departments in an important transition from </w:t>
      </w:r>
      <w:r w:rsidR="00CB193A">
        <w:t xml:space="preserve">separately </w:t>
      </w:r>
      <w:r w:rsidRPr="002027BB">
        <w:t xml:space="preserve">funding and implementing </w:t>
      </w:r>
      <w:r w:rsidR="00012235">
        <w:t xml:space="preserve">four </w:t>
      </w:r>
      <w:r w:rsidRPr="002027BB">
        <w:t>categorical programs</w:t>
      </w:r>
      <w:r w:rsidR="00012235">
        <w:t xml:space="preserve"> </w:t>
      </w:r>
      <w:r w:rsidR="00CB193A">
        <w:t xml:space="preserve">(i.e., diabetes; heart disease and stroke; </w:t>
      </w:r>
      <w:r w:rsidR="00CB193A" w:rsidRPr="000A50AD">
        <w:t>nutrition,</w:t>
      </w:r>
      <w:r w:rsidR="00CB193A">
        <w:t xml:space="preserve"> and physical activity, and obesity; and </w:t>
      </w:r>
      <w:r w:rsidR="00CB193A" w:rsidRPr="000A50AD">
        <w:t>school health</w:t>
      </w:r>
      <w:r w:rsidR="00CB193A">
        <w:t xml:space="preserve">) </w:t>
      </w:r>
      <w:r w:rsidRPr="002027BB">
        <w:t>to working collaboratively on comprehensive, cross</w:t>
      </w:r>
      <w:r w:rsidR="00CB193A">
        <w:t>-cutting initiatives. The cooperative agreement</w:t>
      </w:r>
      <w:r w:rsidRPr="002027BB">
        <w:t xml:space="preserve"> </w:t>
      </w:r>
      <w:r w:rsidR="00CB193A">
        <w:t>allo</w:t>
      </w:r>
      <w:r w:rsidR="00906BB1">
        <w:t>w</w:t>
      </w:r>
      <w:r w:rsidR="00CB193A">
        <w:t>s states to build capacity and expertise within each categorical area</w:t>
      </w:r>
      <w:r w:rsidR="00906BB1">
        <w:t>,</w:t>
      </w:r>
      <w:r w:rsidR="00CB193A">
        <w:t xml:space="preserve"> while also building capacity across all four categorical areas</w:t>
      </w:r>
      <w:r w:rsidR="00906BB1">
        <w:t>,</w:t>
      </w:r>
      <w:r w:rsidR="00CB193A">
        <w:t xml:space="preserve"> in order to address the six public health priorities</w:t>
      </w:r>
      <w:r w:rsidR="00862CE0">
        <w:t xml:space="preserve"> (</w:t>
      </w:r>
      <w:r w:rsidR="00862CE0" w:rsidRPr="00862CE0">
        <w:rPr>
          <w:b/>
        </w:rPr>
        <w:t>Attachment 3</w:t>
      </w:r>
      <w:r w:rsidR="00862CE0">
        <w:t>)</w:t>
      </w:r>
      <w:r w:rsidR="00CB193A">
        <w:t xml:space="preserve">. </w:t>
      </w:r>
    </w:p>
    <w:p w14:paraId="4635764D" w14:textId="6FFEA8C8" w:rsidR="000A2F81" w:rsidRPr="00862CE0" w:rsidRDefault="008E3181" w:rsidP="00862CE0">
      <w:pPr>
        <w:pStyle w:val="EvalBody"/>
        <w:spacing w:line="240" w:lineRule="auto"/>
        <w:rPr>
          <w:spacing w:val="-2"/>
        </w:rPr>
      </w:pPr>
      <w:r>
        <w:rPr>
          <w:spacing w:val="-2"/>
        </w:rPr>
        <w:t xml:space="preserve">State Public Health Actions </w:t>
      </w:r>
      <w:r w:rsidR="002027BB">
        <w:rPr>
          <w:spacing w:val="-2"/>
        </w:rPr>
        <w:t>1305 has a strong focus on synergy</w:t>
      </w:r>
      <w:r w:rsidR="00DF5BF4">
        <w:rPr>
          <w:spacing w:val="-2"/>
        </w:rPr>
        <w:t>.</w:t>
      </w:r>
      <w:r w:rsidR="002027BB">
        <w:rPr>
          <w:spacing w:val="-2"/>
        </w:rPr>
        <w:t xml:space="preserve"> </w:t>
      </w:r>
      <w:r w:rsidR="00DF5BF4">
        <w:rPr>
          <w:spacing w:val="-2"/>
        </w:rPr>
        <w:t>The program has defined synergy as</w:t>
      </w:r>
      <w:r w:rsidR="002027BB">
        <w:rPr>
          <w:spacing w:val="-2"/>
        </w:rPr>
        <w:t xml:space="preserve"> occur</w:t>
      </w:r>
      <w:r w:rsidR="00DF5BF4">
        <w:rPr>
          <w:spacing w:val="-2"/>
        </w:rPr>
        <w:t>ring</w:t>
      </w:r>
      <w:r w:rsidR="002027BB">
        <w:rPr>
          <w:spacing w:val="-2"/>
        </w:rPr>
        <w:t xml:space="preserve"> when collaboration, coordination, alignment, and a combination of inputs and activities (i.e., the assets and skills of all the participating partners) produce outputs and outcomes greater than those that would have occurred if they had been used separately. States are required to describe their synergistic approach to addressing multiple risk factors and chronic diseases to CDC</w:t>
      </w:r>
      <w:r w:rsidR="0054717C">
        <w:rPr>
          <w:spacing w:val="-2"/>
        </w:rPr>
        <w:t xml:space="preserve">. </w:t>
      </w:r>
      <w:r w:rsidR="002027BB">
        <w:rPr>
          <w:spacing w:val="-2"/>
        </w:rPr>
        <w:t xml:space="preserve">The proposed </w:t>
      </w:r>
      <w:r w:rsidR="002027BB">
        <w:rPr>
          <w:spacing w:val="-2"/>
        </w:rPr>
        <w:lastRenderedPageBreak/>
        <w:t xml:space="preserve">strategies are aligned to attain greater success in achieving measurable outcomes that </w:t>
      </w:r>
      <w:r w:rsidR="0034148C">
        <w:rPr>
          <w:spacing w:val="-2"/>
        </w:rPr>
        <w:t xml:space="preserve">address </w:t>
      </w:r>
      <w:r w:rsidR="00862CE0">
        <w:rPr>
          <w:spacing w:val="-2"/>
        </w:rPr>
        <w:t xml:space="preserve">each categorical area and the program </w:t>
      </w:r>
      <w:r w:rsidR="002027BB">
        <w:rPr>
          <w:spacing w:val="-2"/>
        </w:rPr>
        <w:t xml:space="preserve">as a whole. The synergistic approach prescribed by </w:t>
      </w:r>
      <w:r>
        <w:rPr>
          <w:spacing w:val="-2"/>
        </w:rPr>
        <w:t xml:space="preserve">State Public Health Actions </w:t>
      </w:r>
      <w:r w:rsidR="002027BB">
        <w:rPr>
          <w:spacing w:val="-2"/>
        </w:rPr>
        <w:t xml:space="preserve">1305 </w:t>
      </w:r>
      <w:r w:rsidR="0034148C">
        <w:rPr>
          <w:spacing w:val="-2"/>
        </w:rPr>
        <w:t>is expected to</w:t>
      </w:r>
      <w:r w:rsidR="002027BB">
        <w:rPr>
          <w:spacing w:val="-2"/>
        </w:rPr>
        <w:t xml:space="preserve"> reduce redun</w:t>
      </w:r>
      <w:r w:rsidR="00BB2FE3">
        <w:rPr>
          <w:spacing w:val="-2"/>
        </w:rPr>
        <w:t>dancies at the s</w:t>
      </w:r>
      <w:r w:rsidR="002027BB">
        <w:rPr>
          <w:spacing w:val="-2"/>
        </w:rPr>
        <w:t>tate level, which should allow a greater proportion of funds to be used for program activities</w:t>
      </w:r>
      <w:r w:rsidR="00862CE0">
        <w:rPr>
          <w:spacing w:val="-2"/>
        </w:rPr>
        <w:t xml:space="preserve"> across the four categorical areas</w:t>
      </w:r>
      <w:r w:rsidR="002027BB">
        <w:rPr>
          <w:spacing w:val="-2"/>
        </w:rPr>
        <w:t>.</w:t>
      </w:r>
    </w:p>
    <w:p w14:paraId="49B45D56" w14:textId="276D98F7" w:rsidR="00862CE0" w:rsidRPr="00862CE0" w:rsidRDefault="00862CE0" w:rsidP="00862CE0">
      <w:pPr>
        <w:pStyle w:val="CommentText"/>
        <w:spacing w:after="120"/>
        <w:jc w:val="both"/>
        <w:rPr>
          <w:sz w:val="24"/>
          <w:szCs w:val="24"/>
          <w:u w:val="single"/>
        </w:rPr>
      </w:pPr>
      <w:r w:rsidRPr="00862CE0">
        <w:rPr>
          <w:sz w:val="24"/>
          <w:szCs w:val="24"/>
          <w:u w:val="single"/>
        </w:rPr>
        <w:t>Overview of the Proposed Assessment</w:t>
      </w:r>
    </w:p>
    <w:p w14:paraId="1B7E7F8B" w14:textId="0E8AF3E2" w:rsidR="00862CE0" w:rsidRPr="00FC7948" w:rsidRDefault="002027BB" w:rsidP="00862CE0">
      <w:pPr>
        <w:pStyle w:val="CommentText"/>
        <w:spacing w:after="120"/>
        <w:jc w:val="both"/>
        <w:rPr>
          <w:sz w:val="24"/>
          <w:szCs w:val="24"/>
        </w:rPr>
      </w:pPr>
      <w:r w:rsidRPr="0054717C">
        <w:rPr>
          <w:sz w:val="24"/>
          <w:szCs w:val="24"/>
        </w:rPr>
        <w:t xml:space="preserve">CDC proposes to conduct an assessment of state health departments that are funded through the </w:t>
      </w:r>
      <w:r w:rsidR="00E61399">
        <w:rPr>
          <w:sz w:val="24"/>
          <w:szCs w:val="24"/>
        </w:rPr>
        <w:t xml:space="preserve">State Public Health Actions </w:t>
      </w:r>
      <w:r w:rsidRPr="0054717C">
        <w:rPr>
          <w:sz w:val="24"/>
          <w:szCs w:val="24"/>
        </w:rPr>
        <w:t xml:space="preserve">1305 cooperative agreement to </w:t>
      </w:r>
      <w:r w:rsidR="00583202" w:rsidRPr="0054717C">
        <w:rPr>
          <w:sz w:val="24"/>
          <w:szCs w:val="24"/>
        </w:rPr>
        <w:t xml:space="preserve">better understand state-level partnerships and synergy </w:t>
      </w:r>
      <w:r w:rsidR="007F4DBA">
        <w:rPr>
          <w:sz w:val="24"/>
          <w:szCs w:val="24"/>
        </w:rPr>
        <w:t>within</w:t>
      </w:r>
      <w:r w:rsidR="00583202" w:rsidRPr="0054717C">
        <w:rPr>
          <w:sz w:val="24"/>
          <w:szCs w:val="24"/>
        </w:rPr>
        <w:t xml:space="preserve"> </w:t>
      </w:r>
      <w:r w:rsidR="00E61399">
        <w:rPr>
          <w:sz w:val="24"/>
          <w:szCs w:val="24"/>
        </w:rPr>
        <w:t>programs</w:t>
      </w:r>
      <w:r w:rsidR="00583202" w:rsidRPr="0054717C">
        <w:rPr>
          <w:sz w:val="24"/>
          <w:szCs w:val="24"/>
        </w:rPr>
        <w:t xml:space="preserve">. </w:t>
      </w:r>
      <w:r w:rsidR="00862CE0">
        <w:rPr>
          <w:sz w:val="24"/>
          <w:szCs w:val="24"/>
        </w:rPr>
        <w:t xml:space="preserve">The assessment </w:t>
      </w:r>
      <w:r w:rsidR="007F4DBA">
        <w:rPr>
          <w:sz w:val="24"/>
          <w:szCs w:val="24"/>
        </w:rPr>
        <w:t xml:space="preserve">is </w:t>
      </w:r>
      <w:r w:rsidR="00862CE0">
        <w:rPr>
          <w:sz w:val="24"/>
          <w:szCs w:val="24"/>
        </w:rPr>
        <w:t>guided by</w:t>
      </w:r>
      <w:r w:rsidR="007F4DBA">
        <w:rPr>
          <w:sz w:val="24"/>
          <w:szCs w:val="24"/>
        </w:rPr>
        <w:t xml:space="preserve"> three </w:t>
      </w:r>
      <w:r w:rsidR="0054717C" w:rsidRPr="0054717C">
        <w:rPr>
          <w:sz w:val="24"/>
          <w:szCs w:val="24"/>
        </w:rPr>
        <w:t>process-related research question</w:t>
      </w:r>
      <w:r w:rsidR="007F4DBA">
        <w:rPr>
          <w:sz w:val="24"/>
          <w:szCs w:val="24"/>
        </w:rPr>
        <w:t>s</w:t>
      </w:r>
      <w:r w:rsidR="0054717C" w:rsidRPr="0054717C">
        <w:rPr>
          <w:sz w:val="24"/>
          <w:szCs w:val="24"/>
        </w:rPr>
        <w:t xml:space="preserve"> </w:t>
      </w:r>
      <w:r w:rsidR="0034148C">
        <w:rPr>
          <w:sz w:val="24"/>
          <w:szCs w:val="24"/>
        </w:rPr>
        <w:t>informed</w:t>
      </w:r>
      <w:r w:rsidR="0034148C" w:rsidRPr="0054717C">
        <w:rPr>
          <w:sz w:val="24"/>
          <w:szCs w:val="24"/>
        </w:rPr>
        <w:t xml:space="preserve"> </w:t>
      </w:r>
      <w:r w:rsidR="0054717C" w:rsidRPr="0054717C">
        <w:rPr>
          <w:sz w:val="24"/>
          <w:szCs w:val="24"/>
        </w:rPr>
        <w:t xml:space="preserve">by </w:t>
      </w:r>
      <w:r w:rsidR="007F4DBA">
        <w:rPr>
          <w:sz w:val="24"/>
          <w:szCs w:val="24"/>
        </w:rPr>
        <w:t>multiple</w:t>
      </w:r>
      <w:r w:rsidR="0054717C" w:rsidRPr="0054717C">
        <w:rPr>
          <w:sz w:val="24"/>
          <w:szCs w:val="24"/>
        </w:rPr>
        <w:t xml:space="preserve"> indica</w:t>
      </w:r>
      <w:r w:rsidR="007F4DBA">
        <w:rPr>
          <w:sz w:val="24"/>
          <w:szCs w:val="24"/>
        </w:rPr>
        <w:t>tors</w:t>
      </w:r>
      <w:r w:rsidR="00862CE0">
        <w:rPr>
          <w:sz w:val="24"/>
          <w:szCs w:val="24"/>
        </w:rPr>
        <w:t xml:space="preserve"> that </w:t>
      </w:r>
      <w:r w:rsidR="007F4DBA">
        <w:rPr>
          <w:sz w:val="24"/>
          <w:szCs w:val="24"/>
        </w:rPr>
        <w:t xml:space="preserve">examine </w:t>
      </w:r>
      <w:r w:rsidR="002E2AA9">
        <w:rPr>
          <w:sz w:val="24"/>
          <w:szCs w:val="24"/>
        </w:rPr>
        <w:t xml:space="preserve">changes in processes, organizational structure, capacity, synergy, and </w:t>
      </w:r>
      <w:r w:rsidR="00862CE0">
        <w:rPr>
          <w:sz w:val="24"/>
          <w:szCs w:val="24"/>
        </w:rPr>
        <w:t>cross-cutting approaches to program implementation (</w:t>
      </w:r>
      <w:r w:rsidR="00862CE0" w:rsidRPr="00862CE0">
        <w:rPr>
          <w:b/>
          <w:sz w:val="24"/>
          <w:szCs w:val="24"/>
        </w:rPr>
        <w:t>Attachment 4</w:t>
      </w:r>
      <w:r w:rsidR="00862CE0">
        <w:rPr>
          <w:sz w:val="24"/>
          <w:szCs w:val="24"/>
        </w:rPr>
        <w:t>)</w:t>
      </w:r>
      <w:r w:rsidR="002E2AA9">
        <w:rPr>
          <w:sz w:val="24"/>
          <w:szCs w:val="24"/>
        </w:rPr>
        <w:t xml:space="preserve">. </w:t>
      </w:r>
    </w:p>
    <w:p w14:paraId="7DC673FA" w14:textId="2FBC4D29" w:rsidR="003E693D" w:rsidRDefault="00862CE0" w:rsidP="002E031C">
      <w:r w:rsidRPr="00862CE0">
        <w:t xml:space="preserve">This information collection request seeks approval for </w:t>
      </w:r>
      <w:r w:rsidR="002E031C">
        <w:t>for administration of</w:t>
      </w:r>
      <w:r w:rsidRPr="00862CE0">
        <w:t xml:space="preserve"> the State Synergy Survey</w:t>
      </w:r>
      <w:r w:rsidR="002E031C">
        <w:t>, a 32-item web-based questionnaire designed to explore characteristics of program functioning, with a focus on state-level partnerships and synergy among health departments funded through the State Public Health Actions 1305 cooperative agreement (</w:t>
      </w:r>
      <w:r w:rsidR="002E031C" w:rsidRPr="002E031C">
        <w:rPr>
          <w:b/>
        </w:rPr>
        <w:t>Attachment 4</w:t>
      </w:r>
      <w:r w:rsidR="002E031C">
        <w:t xml:space="preserve">). </w:t>
      </w:r>
      <w:r w:rsidRPr="00862CE0">
        <w:t xml:space="preserve">The survey will be administered to health departments receiving funding through the State Public Health Actions 1305 cooperative agreement, including all 50 states and the District of Columbia receiving basic and enhanced funding. </w:t>
      </w:r>
      <w:r w:rsidR="002E031C" w:rsidRPr="00862CE0">
        <w:t xml:space="preserve">CDC plans to administer the web-based State Synergy Survey in 2016 (beginning of program year 4) and 2018 (end of program year 5) to explore changes in partnerships and synergy throughout the 5-year cooperative agreement. </w:t>
      </w:r>
      <w:r w:rsidR="002E031C">
        <w:t xml:space="preserve">CDC will use findings from the assessment to inform future TA guidance and resources for funded programs, and the development and implementation of future cross-cutting cooperative agreement funding models. </w:t>
      </w:r>
      <w:r w:rsidRPr="00862CE0">
        <w:t>CDC’s authority to collect this information is provided by the Public Health Service Act, 42 USC 241, Research and Investigation (</w:t>
      </w:r>
      <w:r w:rsidRPr="00862CE0">
        <w:rPr>
          <w:b/>
        </w:rPr>
        <w:t>Attachment 1</w:t>
      </w:r>
      <w:r w:rsidRPr="00862CE0">
        <w:t>).</w:t>
      </w:r>
      <w:r>
        <w:t xml:space="preserve"> </w:t>
      </w:r>
      <w:r w:rsidRPr="00117FBD">
        <w:t xml:space="preserve">  </w:t>
      </w:r>
    </w:p>
    <w:p w14:paraId="2076B329" w14:textId="77777777" w:rsidR="00054730" w:rsidRPr="00064AC5" w:rsidRDefault="00A9381C" w:rsidP="00A9381C">
      <w:pPr>
        <w:tabs>
          <w:tab w:val="left" w:pos="3735"/>
        </w:tabs>
      </w:pPr>
      <w:r>
        <w:tab/>
      </w:r>
    </w:p>
    <w:p w14:paraId="66397E22" w14:textId="65E8F5EF" w:rsidR="002E031C" w:rsidRPr="002E031C" w:rsidRDefault="00F30F5B" w:rsidP="002E031C">
      <w:pPr>
        <w:rPr>
          <w:b/>
          <w:bCs/>
        </w:rPr>
      </w:pPr>
      <w:r w:rsidRPr="00064AC5">
        <w:rPr>
          <w:b/>
          <w:bCs/>
        </w:rPr>
        <w:t>A2.  Purpose and Use of Information Collection</w:t>
      </w:r>
    </w:p>
    <w:p w14:paraId="0C928CC2" w14:textId="36470395" w:rsidR="00ED4814" w:rsidRDefault="00ED4814" w:rsidP="004146F9">
      <w:r>
        <w:t xml:space="preserve">The purpose of the proposed assessment is to explore the nature and impact of state-level partnerships and synergy among health departments funded through the </w:t>
      </w:r>
      <w:r w:rsidR="00C0698C">
        <w:t>State Public Health Actions</w:t>
      </w:r>
      <w:r>
        <w:t>1305 cooperative agreement. CDC will use findings from this study for the following purposes:</w:t>
      </w:r>
    </w:p>
    <w:p w14:paraId="6D2E9E5A" w14:textId="03335991" w:rsidR="00ED4814" w:rsidRDefault="00ED4814" w:rsidP="00ED4814">
      <w:pPr>
        <w:numPr>
          <w:ilvl w:val="0"/>
          <w:numId w:val="31"/>
        </w:numPr>
      </w:pPr>
      <w:r>
        <w:t xml:space="preserve">Understand how funded programs are functioning </w:t>
      </w:r>
    </w:p>
    <w:p w14:paraId="307DE585" w14:textId="77777777" w:rsidR="00ED4814" w:rsidRDefault="00ED4814" w:rsidP="00ED4814">
      <w:pPr>
        <w:numPr>
          <w:ilvl w:val="0"/>
          <w:numId w:val="31"/>
        </w:numPr>
      </w:pPr>
      <w:r>
        <w:t xml:space="preserve">Understand </w:t>
      </w:r>
      <w:r w:rsidR="000D762B">
        <w:t>staff roles and responsibilities within 1305 coordinated model</w:t>
      </w:r>
    </w:p>
    <w:p w14:paraId="68DAFED9" w14:textId="7F2CBFF5" w:rsidR="000D762B" w:rsidRDefault="000D762B" w:rsidP="00ED4814">
      <w:pPr>
        <w:numPr>
          <w:ilvl w:val="0"/>
          <w:numId w:val="31"/>
        </w:numPr>
      </w:pPr>
      <w:r>
        <w:t xml:space="preserve">Understand </w:t>
      </w:r>
      <w:r w:rsidR="000E5F19">
        <w:t>nature and impact of collaboration within the 1305 coordinate</w:t>
      </w:r>
      <w:r w:rsidR="00121C68">
        <w:t>d</w:t>
      </w:r>
      <w:r w:rsidR="000E5F19">
        <w:t xml:space="preserve"> model</w:t>
      </w:r>
    </w:p>
    <w:p w14:paraId="346FBB60" w14:textId="77777777" w:rsidR="000E5F19" w:rsidRDefault="000E5F19" w:rsidP="00ED4814">
      <w:pPr>
        <w:numPr>
          <w:ilvl w:val="0"/>
          <w:numId w:val="31"/>
        </w:numPr>
      </w:pPr>
      <w:r>
        <w:t>Understand changes in efficiency and effectiveness within the 1305 coordinated model</w:t>
      </w:r>
    </w:p>
    <w:p w14:paraId="3D7424F9" w14:textId="77777777" w:rsidR="000E5F19" w:rsidRDefault="000E5F19" w:rsidP="00ED4814">
      <w:pPr>
        <w:numPr>
          <w:ilvl w:val="0"/>
          <w:numId w:val="31"/>
        </w:numPr>
      </w:pPr>
      <w:r>
        <w:t>Understand resources needed to implement a cross-cutting, coordinated model</w:t>
      </w:r>
    </w:p>
    <w:p w14:paraId="2BBB28CB" w14:textId="59F84F80" w:rsidR="00ED4814" w:rsidRDefault="00ED4814" w:rsidP="00ED4814">
      <w:pPr>
        <w:numPr>
          <w:ilvl w:val="0"/>
          <w:numId w:val="31"/>
        </w:numPr>
      </w:pPr>
      <w:r>
        <w:t xml:space="preserve">Inform future TA provision to </w:t>
      </w:r>
      <w:r w:rsidR="00C0698C">
        <w:t>funded</w:t>
      </w:r>
      <w:r>
        <w:t xml:space="preserve"> programs</w:t>
      </w:r>
    </w:p>
    <w:p w14:paraId="4618C066" w14:textId="77777777" w:rsidR="000E5F19" w:rsidRDefault="000E5F19" w:rsidP="00ED4814">
      <w:pPr>
        <w:numPr>
          <w:ilvl w:val="0"/>
          <w:numId w:val="31"/>
        </w:numPr>
      </w:pPr>
      <w:r>
        <w:t xml:space="preserve">Inform future cross-cutting, coordinated funding </w:t>
      </w:r>
      <w:r w:rsidR="002974D1">
        <w:t>models</w:t>
      </w:r>
    </w:p>
    <w:p w14:paraId="3E99DBED" w14:textId="77777777" w:rsidR="000E5F19" w:rsidRDefault="000E5F19" w:rsidP="000E5F19">
      <w:pPr>
        <w:jc w:val="both"/>
        <w:rPr>
          <w:b/>
        </w:rPr>
      </w:pPr>
    </w:p>
    <w:p w14:paraId="7FBAAE25" w14:textId="77777777" w:rsidR="009F3397" w:rsidRPr="00064AC5" w:rsidRDefault="009F3397" w:rsidP="00765CAA"/>
    <w:p w14:paraId="37B7CE15" w14:textId="28889743" w:rsidR="0060474F" w:rsidRPr="00064AC5" w:rsidRDefault="00AC6064" w:rsidP="0060474F">
      <w:pPr>
        <w:rPr>
          <w:b/>
          <w:bCs/>
        </w:rPr>
      </w:pPr>
      <w:r w:rsidRPr="00064AC5">
        <w:rPr>
          <w:b/>
          <w:bCs/>
        </w:rPr>
        <w:t>A3.  Use of Improved Information Technology and Burden Reduction</w:t>
      </w:r>
    </w:p>
    <w:p w14:paraId="2169D339" w14:textId="77777777" w:rsidR="00AC6064" w:rsidRPr="00064AC5" w:rsidRDefault="00AC6064" w:rsidP="0060474F">
      <w:pPr>
        <w:rPr>
          <w:b/>
          <w:bCs/>
        </w:rPr>
      </w:pPr>
    </w:p>
    <w:p w14:paraId="73D8F224" w14:textId="584EA39D" w:rsidR="00E12D52" w:rsidRDefault="00867113" w:rsidP="001D648D">
      <w:pPr>
        <w:jc w:val="both"/>
      </w:pPr>
      <w:r>
        <w:t>Information collection will be conducted via the web-based survey</w:t>
      </w:r>
      <w:r w:rsidR="00C51A7E">
        <w:t>.</w:t>
      </w:r>
      <w:r>
        <w:t xml:space="preserve"> The survey can be completed at the convenience of the respondent. In addition, the survey is limited to 32 items and was streamlined to only include the most important questions to inform the relevant research questions; therefore, no extraneous information will be collected.</w:t>
      </w:r>
    </w:p>
    <w:p w14:paraId="64CE575F" w14:textId="77777777" w:rsidR="00E12D52" w:rsidRDefault="00E12D52" w:rsidP="00F601FB">
      <w:pPr>
        <w:pStyle w:val="bodytextCharCharChar"/>
        <w:spacing w:after="0"/>
        <w:ind w:firstLine="0"/>
      </w:pPr>
    </w:p>
    <w:p w14:paraId="5AFAC0EF" w14:textId="5A35E4F1" w:rsidR="00823B35" w:rsidRPr="00064AC5" w:rsidRDefault="00823B35" w:rsidP="00166BAB">
      <w:pPr>
        <w:rPr>
          <w:b/>
          <w:bCs/>
        </w:rPr>
      </w:pPr>
      <w:r w:rsidRPr="00064AC5">
        <w:rPr>
          <w:b/>
          <w:bCs/>
        </w:rPr>
        <w:t>A4.  Efforts to Identify Duplication and Use of Similar Information</w:t>
      </w:r>
    </w:p>
    <w:p w14:paraId="60C88077" w14:textId="77777777" w:rsidR="00823B35" w:rsidRPr="00064AC5" w:rsidRDefault="00823B35" w:rsidP="00166BAB">
      <w:pPr>
        <w:rPr>
          <w:b/>
          <w:bCs/>
        </w:rPr>
      </w:pPr>
    </w:p>
    <w:p w14:paraId="0AD02C89" w14:textId="4AAEE064" w:rsidR="00B64BBC" w:rsidRPr="00064AC5" w:rsidRDefault="00272027" w:rsidP="00121C68">
      <w:pPr>
        <w:pStyle w:val="Header"/>
        <w:tabs>
          <w:tab w:val="left" w:pos="720"/>
        </w:tabs>
      </w:pPr>
      <w:r>
        <w:t xml:space="preserve">The </w:t>
      </w:r>
      <w:r w:rsidR="00942B8B">
        <w:t>proposed information collection</w:t>
      </w:r>
      <w:r w:rsidR="00121C68">
        <w:t xml:space="preserve"> </w:t>
      </w:r>
      <w:r w:rsidR="00942B8B">
        <w:t xml:space="preserve">is unique in that there are no other surveys </w:t>
      </w:r>
      <w:r w:rsidR="0036253A">
        <w:t xml:space="preserve">currently administered to funded states </w:t>
      </w:r>
      <w:r w:rsidR="00942B8B">
        <w:t xml:space="preserve">that assess synergy across </w:t>
      </w:r>
      <w:r w:rsidR="0036253A">
        <w:t xml:space="preserve">the fours categorical areas. </w:t>
      </w:r>
      <w:r w:rsidR="00C51A7E">
        <w:t>T</w:t>
      </w:r>
      <w:r w:rsidR="0036253A">
        <w:t xml:space="preserve">his survey is the first data collection effort to assess a cross-cutting coordinated funding model for multiple chronic disease prevention initiatives. </w:t>
      </w:r>
      <w:r w:rsidR="00C51A7E">
        <w:t xml:space="preserve">In addition, the survey will provide complementary </w:t>
      </w:r>
      <w:r w:rsidR="00C51A7E" w:rsidRPr="00C51A7E">
        <w:t xml:space="preserve">information that is not obtained through progress reporting </w:t>
      </w:r>
      <w:r w:rsidR="00C51A7E" w:rsidRPr="00C51A7E">
        <w:rPr>
          <w:shd w:val="clear" w:color="auto" w:fill="FFFFFF" w:themeFill="background1"/>
        </w:rPr>
        <w:t>(</w:t>
      </w:r>
      <w:r w:rsidR="00C51A7E" w:rsidRPr="00C51A7E">
        <w:rPr>
          <w:i/>
          <w:shd w:val="clear" w:color="auto" w:fill="FFFFFF" w:themeFill="background1"/>
        </w:rPr>
        <w:t>Monitoring and Reporting System for the State Public Health Actions Cooperative Agreements</w:t>
      </w:r>
      <w:r w:rsidR="00C51A7E" w:rsidRPr="00C51A7E">
        <w:rPr>
          <w:shd w:val="clear" w:color="auto" w:fill="FFFFFF" w:themeFill="background1"/>
        </w:rPr>
        <w:t>, OMB Control Number 0920-1059, Expiration Date March 31, 2018).</w:t>
      </w:r>
    </w:p>
    <w:p w14:paraId="71CC16CD" w14:textId="77777777" w:rsidR="00413F69" w:rsidRDefault="00413F69" w:rsidP="00166BAB">
      <w:pPr>
        <w:rPr>
          <w:b/>
          <w:bCs/>
        </w:rPr>
      </w:pPr>
    </w:p>
    <w:p w14:paraId="6F494BEC" w14:textId="77777777" w:rsidR="0059184B" w:rsidRPr="00064AC5" w:rsidRDefault="0059184B" w:rsidP="00166BAB">
      <w:pPr>
        <w:rPr>
          <w:b/>
          <w:bCs/>
        </w:rPr>
      </w:pPr>
      <w:r w:rsidRPr="00064AC5">
        <w:rPr>
          <w:b/>
          <w:bCs/>
        </w:rPr>
        <w:t xml:space="preserve">A5.  Impact on Small Businesses or Other </w:t>
      </w:r>
      <w:r w:rsidR="00DF4A27">
        <w:rPr>
          <w:b/>
          <w:bCs/>
        </w:rPr>
        <w:t xml:space="preserve">Small </w:t>
      </w:r>
      <w:r w:rsidRPr="00064AC5">
        <w:rPr>
          <w:b/>
          <w:bCs/>
        </w:rPr>
        <w:t>Entities</w:t>
      </w:r>
    </w:p>
    <w:p w14:paraId="69F299DD" w14:textId="77777777" w:rsidR="0059184B" w:rsidRPr="00064AC5" w:rsidRDefault="0059184B" w:rsidP="00166BAB">
      <w:pPr>
        <w:rPr>
          <w:b/>
          <w:bCs/>
        </w:rPr>
      </w:pPr>
    </w:p>
    <w:p w14:paraId="1B059A50" w14:textId="49E2F92F" w:rsidR="00073707" w:rsidRDefault="00650F3F" w:rsidP="00876A92">
      <w:pPr>
        <w:jc w:val="both"/>
      </w:pPr>
      <w:r>
        <w:t xml:space="preserve">Small businesses and </w:t>
      </w:r>
      <w:r w:rsidR="001D648D">
        <w:t xml:space="preserve">other small entities will </w:t>
      </w:r>
      <w:r w:rsidR="001D0C95">
        <w:t xml:space="preserve">not </w:t>
      </w:r>
      <w:r>
        <w:t xml:space="preserve">be targeted to participate in this assessment. Recruited participants </w:t>
      </w:r>
      <w:r w:rsidR="00121C68">
        <w:t xml:space="preserve">will </w:t>
      </w:r>
      <w:r w:rsidR="00821D95">
        <w:t xml:space="preserve">primarily </w:t>
      </w:r>
      <w:r w:rsidR="001D648D">
        <w:t>include</w:t>
      </w:r>
      <w:r w:rsidR="001F3646">
        <w:t xml:space="preserve"> </w:t>
      </w:r>
      <w:r w:rsidR="001D648D">
        <w:t>program staff</w:t>
      </w:r>
      <w:r w:rsidR="001D0C95">
        <w:t xml:space="preserve"> employed by state health departments</w:t>
      </w:r>
      <w:r w:rsidR="001F3646">
        <w:t xml:space="preserve"> (i.e., program directors, evaluators, </w:t>
      </w:r>
      <w:r w:rsidR="00700CE2">
        <w:t>and program</w:t>
      </w:r>
      <w:r w:rsidR="001F3646">
        <w:t xml:space="preserve"> staff with subject matter expertise). </w:t>
      </w:r>
      <w:r>
        <w:t xml:space="preserve">It is possible that some program evaluators </w:t>
      </w:r>
      <w:r w:rsidR="00121C68">
        <w:t>who will be recruited to complete the surve</w:t>
      </w:r>
      <w:r w:rsidR="00D31052">
        <w:t xml:space="preserve">y </w:t>
      </w:r>
      <w:r w:rsidR="00121C68">
        <w:t>serve as contractors</w:t>
      </w:r>
      <w:r>
        <w:t xml:space="preserve"> </w:t>
      </w:r>
      <w:r w:rsidR="00121C68">
        <w:t xml:space="preserve">and </w:t>
      </w:r>
      <w:r w:rsidR="00D31052">
        <w:t>are representatives of a small business</w:t>
      </w:r>
      <w:r>
        <w:t xml:space="preserve">. However, </w:t>
      </w:r>
      <w:r w:rsidR="001D0C95">
        <w:t xml:space="preserve">CDC anticipates that this will be a rare </w:t>
      </w:r>
      <w:r w:rsidR="00821D95">
        <w:t>occurrence</w:t>
      </w:r>
      <w:r w:rsidR="001D0C95">
        <w:t>. T</w:t>
      </w:r>
      <w:r w:rsidR="00BC0734">
        <w:t>here are no specific re</w:t>
      </w:r>
      <w:r>
        <w:t xml:space="preserve">quirements for small businesses. </w:t>
      </w:r>
    </w:p>
    <w:p w14:paraId="3771A630" w14:textId="77777777" w:rsidR="001F3646" w:rsidRDefault="001F3646" w:rsidP="00876A92">
      <w:pPr>
        <w:jc w:val="both"/>
      </w:pPr>
    </w:p>
    <w:p w14:paraId="310AB5A9" w14:textId="2B832E38" w:rsidR="001F3646" w:rsidRDefault="001F3646" w:rsidP="00876A92">
      <w:pPr>
        <w:jc w:val="both"/>
      </w:pPr>
      <w:r>
        <w:t>In addition, because the survey is voluntary and each recruited participant will indicate</w:t>
      </w:r>
      <w:r w:rsidRPr="00E12984">
        <w:t xml:space="preserve"> their desire to participate </w:t>
      </w:r>
      <w:r>
        <w:t>at the start of the survey,</w:t>
      </w:r>
      <w:r w:rsidRPr="00E12984">
        <w:t xml:space="preserve"> the impact of the information collection on respondents—including small businesses—is expected to be minimal. The online admin</w:t>
      </w:r>
      <w:r>
        <w:t>istration of the survey will allow</w:t>
      </w:r>
      <w:r w:rsidRPr="00E12984">
        <w:t xml:space="preserve"> respondents to complete </w:t>
      </w:r>
      <w:r>
        <w:t xml:space="preserve">the survey </w:t>
      </w:r>
      <w:r w:rsidRPr="00E12984">
        <w:t>in multiple sessions at their</w:t>
      </w:r>
      <w:r>
        <w:t xml:space="preserve"> convenience over several weeks, which </w:t>
      </w:r>
      <w:r w:rsidRPr="00E12984">
        <w:t>will also minimize the burden on small employers</w:t>
      </w:r>
      <w:r>
        <w:t>.</w:t>
      </w:r>
    </w:p>
    <w:p w14:paraId="40FDBF89" w14:textId="77777777" w:rsidR="009F4319" w:rsidRPr="00064AC5" w:rsidRDefault="009F4319" w:rsidP="00166BAB">
      <w:pPr>
        <w:rPr>
          <w:b/>
          <w:bCs/>
        </w:rPr>
      </w:pPr>
    </w:p>
    <w:p w14:paraId="61A9C7C1" w14:textId="77777777" w:rsidR="00D02593" w:rsidRPr="00064AC5" w:rsidRDefault="00D02593" w:rsidP="00166BAB">
      <w:pPr>
        <w:rPr>
          <w:b/>
          <w:bCs/>
        </w:rPr>
      </w:pPr>
      <w:r w:rsidRPr="00F76E97">
        <w:rPr>
          <w:b/>
          <w:bCs/>
        </w:rPr>
        <w:t>A6.</w:t>
      </w:r>
      <w:r w:rsidRPr="00064AC5">
        <w:rPr>
          <w:b/>
          <w:bCs/>
        </w:rPr>
        <w:t xml:space="preserve">  Consequences of Collecting the Information Less Frequently</w:t>
      </w:r>
    </w:p>
    <w:p w14:paraId="496120E9" w14:textId="77777777" w:rsidR="00D02593" w:rsidRDefault="00D02593" w:rsidP="00166BAB">
      <w:pPr>
        <w:rPr>
          <w:b/>
          <w:bCs/>
        </w:rPr>
      </w:pPr>
    </w:p>
    <w:p w14:paraId="2E3876C4" w14:textId="3F2CE44E" w:rsidR="00B02370" w:rsidRPr="00B02370" w:rsidRDefault="00B02370" w:rsidP="00166BAB">
      <w:pPr>
        <w:rPr>
          <w:bCs/>
        </w:rPr>
      </w:pPr>
      <w:r>
        <w:rPr>
          <w:bCs/>
        </w:rPr>
        <w:t xml:space="preserve">This information collection is critical to expanding CDC’s understanding of </w:t>
      </w:r>
      <w:r w:rsidR="00650F3F">
        <w:rPr>
          <w:bCs/>
        </w:rPr>
        <w:t xml:space="preserve">how </w:t>
      </w:r>
      <w:r w:rsidR="001F3646">
        <w:rPr>
          <w:bCs/>
        </w:rPr>
        <w:t xml:space="preserve">State Public Health Actions </w:t>
      </w:r>
      <w:r w:rsidR="00650F3F">
        <w:rPr>
          <w:bCs/>
        </w:rPr>
        <w:t>1305 programs are functioni</w:t>
      </w:r>
      <w:r w:rsidR="00121C68">
        <w:rPr>
          <w:bCs/>
        </w:rPr>
        <w:t xml:space="preserve">ng, and how program operations - </w:t>
      </w:r>
      <w:r w:rsidR="00650F3F">
        <w:rPr>
          <w:bCs/>
        </w:rPr>
        <w:t xml:space="preserve">particularly with respect </w:t>
      </w:r>
      <w:r w:rsidR="00121C68">
        <w:rPr>
          <w:bCs/>
        </w:rPr>
        <w:t>to partnerships and synergy -</w:t>
      </w:r>
      <w:r w:rsidR="001D0C95">
        <w:rPr>
          <w:bCs/>
        </w:rPr>
        <w:t xml:space="preserve"> change throughout the 5-year cooperative agreement</w:t>
      </w:r>
      <w:r w:rsidR="00650F3F">
        <w:rPr>
          <w:bCs/>
        </w:rPr>
        <w:t>. Without this information</w:t>
      </w:r>
      <w:r w:rsidR="001F3646">
        <w:rPr>
          <w:bCs/>
        </w:rPr>
        <w:t xml:space="preserve"> collection</w:t>
      </w:r>
      <w:r w:rsidR="00650F3F">
        <w:rPr>
          <w:bCs/>
        </w:rPr>
        <w:t>, NCCDPHP w</w:t>
      </w:r>
      <w:r w:rsidR="00BF680D">
        <w:rPr>
          <w:bCs/>
        </w:rPr>
        <w:t xml:space="preserve">ill have limited </w:t>
      </w:r>
      <w:r w:rsidR="007E778D">
        <w:rPr>
          <w:bCs/>
        </w:rPr>
        <w:t>insight</w:t>
      </w:r>
      <w:r w:rsidR="00650F3F">
        <w:rPr>
          <w:bCs/>
        </w:rPr>
        <w:t xml:space="preserve"> to plan and execute future coordinated funding models</w:t>
      </w:r>
      <w:r w:rsidR="001D0C95">
        <w:rPr>
          <w:bCs/>
        </w:rPr>
        <w:t>, or</w:t>
      </w:r>
      <w:r w:rsidR="00650F3F">
        <w:rPr>
          <w:bCs/>
        </w:rPr>
        <w:t xml:space="preserve"> provide comprehensive</w:t>
      </w:r>
      <w:r w:rsidR="001D0C95">
        <w:rPr>
          <w:bCs/>
        </w:rPr>
        <w:t xml:space="preserve"> </w:t>
      </w:r>
      <w:r w:rsidR="00650F3F">
        <w:rPr>
          <w:bCs/>
        </w:rPr>
        <w:t xml:space="preserve">TA to health departments receiving cross-cutting funding. </w:t>
      </w:r>
      <w:r>
        <w:rPr>
          <w:bCs/>
        </w:rPr>
        <w:t xml:space="preserve">  </w:t>
      </w:r>
    </w:p>
    <w:p w14:paraId="47311B2A" w14:textId="77777777" w:rsidR="00B02370" w:rsidRPr="00064AC5" w:rsidRDefault="00B02370" w:rsidP="00166BAB">
      <w:pPr>
        <w:rPr>
          <w:b/>
          <w:bCs/>
        </w:rPr>
      </w:pPr>
    </w:p>
    <w:p w14:paraId="41EBEB8E" w14:textId="77777777" w:rsidR="00816CB7" w:rsidRPr="00064AC5" w:rsidRDefault="00CA0A4D" w:rsidP="00166BAB">
      <w:pPr>
        <w:rPr>
          <w:b/>
          <w:bCs/>
        </w:rPr>
      </w:pPr>
      <w:r w:rsidRPr="00064AC5">
        <w:rPr>
          <w:b/>
          <w:bCs/>
        </w:rPr>
        <w:t>A7.  Special Circumstances Relating to the Guidelines of 5 CFR 1320.5</w:t>
      </w:r>
    </w:p>
    <w:p w14:paraId="12B88380" w14:textId="77777777" w:rsidR="00F349DB" w:rsidRPr="00064AC5" w:rsidRDefault="00F349DB" w:rsidP="00166BAB">
      <w:pPr>
        <w:rPr>
          <w:b/>
          <w:bCs/>
        </w:rPr>
      </w:pPr>
    </w:p>
    <w:p w14:paraId="4B9981F7" w14:textId="77777777" w:rsidR="00406261" w:rsidRPr="00064AC5" w:rsidRDefault="00406261" w:rsidP="00166BAB">
      <w:pPr>
        <w:rPr>
          <w:bCs/>
        </w:rPr>
      </w:pPr>
      <w:r w:rsidRPr="00E76689">
        <w:rPr>
          <w:bCs/>
        </w:rPr>
        <w:t>There are no special circumstances relating to the guidelines of 5 CFR 1320.5</w:t>
      </w:r>
      <w:r w:rsidR="00821D95">
        <w:rPr>
          <w:bCs/>
        </w:rPr>
        <w:t>,</w:t>
      </w:r>
      <w:r w:rsidRPr="00E76689">
        <w:rPr>
          <w:bCs/>
        </w:rPr>
        <w:t xml:space="preserve"> and the project fully complies</w:t>
      </w:r>
      <w:r w:rsidR="00821D95">
        <w:rPr>
          <w:bCs/>
        </w:rPr>
        <w:t xml:space="preserve"> with the regulation</w:t>
      </w:r>
      <w:r w:rsidRPr="00E76689">
        <w:rPr>
          <w:bCs/>
        </w:rPr>
        <w:t>.</w:t>
      </w:r>
    </w:p>
    <w:p w14:paraId="5B1BD0F9" w14:textId="77777777" w:rsidR="00A54550" w:rsidRPr="00064AC5" w:rsidRDefault="00A54550" w:rsidP="00166BAB">
      <w:pPr>
        <w:rPr>
          <w:bCs/>
        </w:rPr>
      </w:pPr>
    </w:p>
    <w:p w14:paraId="552CBE0B" w14:textId="77777777" w:rsidR="00F349DB" w:rsidRPr="00064AC5" w:rsidRDefault="00F349DB" w:rsidP="00166BAB">
      <w:pPr>
        <w:rPr>
          <w:b/>
          <w:bCs/>
        </w:rPr>
      </w:pPr>
      <w:r w:rsidRPr="00064AC5">
        <w:rPr>
          <w:b/>
          <w:bCs/>
        </w:rPr>
        <w:t>A8.  Comments in Response to the Federal Register Notice and Efforts to Consult Outside the Agency</w:t>
      </w:r>
    </w:p>
    <w:p w14:paraId="308380D1" w14:textId="77777777" w:rsidR="00CF50AC" w:rsidRPr="00064AC5" w:rsidRDefault="00CF50AC" w:rsidP="00166BAB">
      <w:pPr>
        <w:rPr>
          <w:b/>
          <w:bCs/>
        </w:rPr>
      </w:pPr>
    </w:p>
    <w:p w14:paraId="3FF19D14" w14:textId="5B9D08CB" w:rsidR="00CF50AC" w:rsidRPr="00064AC5" w:rsidRDefault="0015401D" w:rsidP="00A54550">
      <w:pPr>
        <w:jc w:val="both"/>
        <w:rPr>
          <w:bCs/>
        </w:rPr>
      </w:pPr>
      <w:r w:rsidRPr="00773F13">
        <w:rPr>
          <w:b/>
          <w:bCs/>
        </w:rPr>
        <w:t xml:space="preserve">A8a. </w:t>
      </w:r>
      <w:r w:rsidR="00A54550" w:rsidRPr="00773F13">
        <w:rPr>
          <w:bCs/>
        </w:rPr>
        <w:t>The</w:t>
      </w:r>
      <w:r w:rsidR="00B35002" w:rsidRPr="00773F13">
        <w:rPr>
          <w:bCs/>
        </w:rPr>
        <w:t xml:space="preserve"> 60-Day Federal Register Notice was published on </w:t>
      </w:r>
      <w:r w:rsidR="00700CE2">
        <w:rPr>
          <w:bCs/>
        </w:rPr>
        <w:t>March 7, 2016</w:t>
      </w:r>
      <w:r w:rsidR="0066553E" w:rsidRPr="00773F13">
        <w:rPr>
          <w:bCs/>
        </w:rPr>
        <w:t xml:space="preserve">, </w:t>
      </w:r>
      <w:r w:rsidR="00E117DB" w:rsidRPr="00773F13">
        <w:rPr>
          <w:bCs/>
        </w:rPr>
        <w:t>Vol</w:t>
      </w:r>
      <w:r w:rsidR="00035669" w:rsidRPr="00773F13">
        <w:rPr>
          <w:bCs/>
        </w:rPr>
        <w:t>.</w:t>
      </w:r>
      <w:r w:rsidR="00F76E97" w:rsidRPr="00773F13">
        <w:rPr>
          <w:bCs/>
        </w:rPr>
        <w:t xml:space="preserve"> </w:t>
      </w:r>
      <w:r w:rsidR="00700CE2">
        <w:rPr>
          <w:bCs/>
        </w:rPr>
        <w:t>81</w:t>
      </w:r>
      <w:r w:rsidR="00035669" w:rsidRPr="00773F13">
        <w:rPr>
          <w:bCs/>
        </w:rPr>
        <w:t>,</w:t>
      </w:r>
      <w:r w:rsidR="00E117DB" w:rsidRPr="00773F13">
        <w:rPr>
          <w:bCs/>
        </w:rPr>
        <w:t xml:space="preserve"> </w:t>
      </w:r>
      <w:r w:rsidR="0066553E" w:rsidRPr="00773F13">
        <w:rPr>
          <w:bCs/>
        </w:rPr>
        <w:t xml:space="preserve">No. </w:t>
      </w:r>
      <w:r w:rsidR="00700CE2">
        <w:rPr>
          <w:bCs/>
        </w:rPr>
        <w:t>44</w:t>
      </w:r>
      <w:r w:rsidR="0066553E" w:rsidRPr="00773F13">
        <w:rPr>
          <w:bCs/>
        </w:rPr>
        <w:t xml:space="preserve">, </w:t>
      </w:r>
      <w:r w:rsidR="00B35002" w:rsidRPr="00773F13">
        <w:rPr>
          <w:bCs/>
        </w:rPr>
        <w:t xml:space="preserve">pages </w:t>
      </w:r>
      <w:r w:rsidR="00700CE2">
        <w:rPr>
          <w:bCs/>
        </w:rPr>
        <w:t>11796-11798</w:t>
      </w:r>
      <w:r w:rsidR="00A54550" w:rsidRPr="00773F13">
        <w:rPr>
          <w:bCs/>
        </w:rPr>
        <w:t xml:space="preserve">] </w:t>
      </w:r>
      <w:r w:rsidR="00A0314C" w:rsidRPr="00773F13">
        <w:rPr>
          <w:bCs/>
        </w:rPr>
        <w:t>(</w:t>
      </w:r>
      <w:r w:rsidR="00B35002" w:rsidRPr="00773F13">
        <w:rPr>
          <w:b/>
          <w:bCs/>
        </w:rPr>
        <w:t xml:space="preserve">Attachment </w:t>
      </w:r>
      <w:r w:rsidR="00773F13">
        <w:rPr>
          <w:b/>
          <w:bCs/>
        </w:rPr>
        <w:t>2</w:t>
      </w:r>
      <w:r w:rsidR="00AC5128">
        <w:rPr>
          <w:b/>
          <w:bCs/>
        </w:rPr>
        <w:t>a</w:t>
      </w:r>
      <w:r w:rsidR="00A0314C" w:rsidRPr="00773F13">
        <w:rPr>
          <w:bCs/>
        </w:rPr>
        <w:t>)</w:t>
      </w:r>
      <w:r w:rsidR="00B35002" w:rsidRPr="00773F13">
        <w:rPr>
          <w:bCs/>
        </w:rPr>
        <w:t xml:space="preserve">. </w:t>
      </w:r>
      <w:r w:rsidR="006E6CB4" w:rsidRPr="00C51A7E">
        <w:t>One</w:t>
      </w:r>
      <w:r w:rsidR="00A625F4" w:rsidRPr="00C51A7E">
        <w:t xml:space="preserve"> </w:t>
      </w:r>
      <w:r w:rsidR="006E6CB4" w:rsidRPr="00C51A7E">
        <w:t xml:space="preserve">non-substantive </w:t>
      </w:r>
      <w:r w:rsidR="00A625F4" w:rsidRPr="00C51A7E">
        <w:t>public comment</w:t>
      </w:r>
      <w:r w:rsidR="00847B08" w:rsidRPr="00C51A7E">
        <w:t xml:space="preserve"> w</w:t>
      </w:r>
      <w:r w:rsidR="006E6CB4" w:rsidRPr="00C51A7E">
        <w:t>as</w:t>
      </w:r>
      <w:r w:rsidR="00847B08" w:rsidRPr="00C51A7E">
        <w:t xml:space="preserve"> received</w:t>
      </w:r>
      <w:r w:rsidR="00AC5128">
        <w:t xml:space="preserve"> (</w:t>
      </w:r>
      <w:r w:rsidR="00AC5128" w:rsidRPr="00AC5128">
        <w:rPr>
          <w:b/>
        </w:rPr>
        <w:t>Attachment 2b</w:t>
      </w:r>
      <w:r w:rsidR="00AC5128">
        <w:t>)</w:t>
      </w:r>
      <w:r w:rsidR="00847B08" w:rsidRPr="00C51A7E">
        <w:t>.</w:t>
      </w:r>
      <w:r w:rsidR="00847B08">
        <w:t xml:space="preserve"> </w:t>
      </w:r>
    </w:p>
    <w:p w14:paraId="3323E939" w14:textId="77777777" w:rsidR="00BE1B58" w:rsidRPr="00064AC5" w:rsidRDefault="00BE1B58" w:rsidP="00A54550">
      <w:pPr>
        <w:jc w:val="both"/>
        <w:rPr>
          <w:bCs/>
        </w:rPr>
      </w:pPr>
    </w:p>
    <w:p w14:paraId="03B70B33" w14:textId="69DDED9E" w:rsidR="009476E7" w:rsidRPr="009C312E" w:rsidRDefault="001D0C95" w:rsidP="00166BAB">
      <w:pPr>
        <w:rPr>
          <w:bCs/>
        </w:rPr>
      </w:pPr>
      <w:r w:rsidRPr="009C312E">
        <w:rPr>
          <w:b/>
          <w:bCs/>
        </w:rPr>
        <w:t xml:space="preserve">A8b. </w:t>
      </w:r>
      <w:r w:rsidR="009C312E" w:rsidRPr="009C312E">
        <w:rPr>
          <w:bCs/>
        </w:rPr>
        <w:t xml:space="preserve">The </w:t>
      </w:r>
      <w:r w:rsidR="00227036">
        <w:rPr>
          <w:bCs/>
        </w:rPr>
        <w:t>State</w:t>
      </w:r>
      <w:r w:rsidR="009C312E" w:rsidRPr="009C312E">
        <w:rPr>
          <w:bCs/>
        </w:rPr>
        <w:t xml:space="preserve"> Synergy Survey was adapted </w:t>
      </w:r>
      <w:r w:rsidR="009C312E" w:rsidRPr="009C312E">
        <w:t xml:space="preserve">from a questionnaire developed by Jones and Barry (2011) that measured synergy and dimensions of partnerships in health promotion. </w:t>
      </w:r>
      <w:r w:rsidR="009C312E" w:rsidRPr="009C312E">
        <w:rPr>
          <w:bCs/>
        </w:rPr>
        <w:t>Adaptation of the survey, including the addition of survey items to further explore the</w:t>
      </w:r>
      <w:r w:rsidR="009C312E" w:rsidRPr="009C312E">
        <w:t xml:space="preserve"> planning, implementation, and impact of cross-cutting initiatives, were incorporated with input from members of the CDC and ICF project teams.</w:t>
      </w:r>
    </w:p>
    <w:p w14:paraId="20354EB0" w14:textId="77777777" w:rsidR="00CF21C7" w:rsidRPr="001D0C95" w:rsidRDefault="00CF21C7" w:rsidP="00166BAB">
      <w:pPr>
        <w:rPr>
          <w:bCs/>
        </w:rPr>
      </w:pPr>
    </w:p>
    <w:p w14:paraId="38188164" w14:textId="14619B46" w:rsidR="00F349DB" w:rsidRPr="00064AC5" w:rsidRDefault="00B52EC2" w:rsidP="00166BAB">
      <w:pPr>
        <w:rPr>
          <w:b/>
          <w:bCs/>
        </w:rPr>
      </w:pPr>
      <w:r>
        <w:rPr>
          <w:b/>
          <w:bCs/>
        </w:rPr>
        <w:t xml:space="preserve">A9.  </w:t>
      </w:r>
      <w:r w:rsidR="00F349DB" w:rsidRPr="00064AC5">
        <w:rPr>
          <w:b/>
          <w:bCs/>
        </w:rPr>
        <w:t>Explanation of Any Payment or Gift to Respondents</w:t>
      </w:r>
    </w:p>
    <w:p w14:paraId="1F28AFCC" w14:textId="77777777" w:rsidR="00F349DB" w:rsidRPr="00064AC5" w:rsidRDefault="00F349DB" w:rsidP="00166BAB">
      <w:pPr>
        <w:rPr>
          <w:b/>
          <w:bCs/>
        </w:rPr>
      </w:pPr>
    </w:p>
    <w:p w14:paraId="76ECF01C" w14:textId="77777777" w:rsidR="006518F9" w:rsidRDefault="00A60255" w:rsidP="006518F9">
      <w:pPr>
        <w:tabs>
          <w:tab w:val="left" w:pos="720"/>
          <w:tab w:val="left" w:pos="1080"/>
          <w:tab w:val="left" w:pos="1440"/>
          <w:tab w:val="left" w:pos="1800"/>
        </w:tabs>
        <w:rPr>
          <w:rFonts w:eastAsia="Batang"/>
        </w:rPr>
      </w:pPr>
      <w:r>
        <w:rPr>
          <w:rFonts w:eastAsia="Batang"/>
        </w:rPr>
        <w:t>Survey</w:t>
      </w:r>
      <w:r w:rsidR="00B325B1">
        <w:rPr>
          <w:rFonts w:eastAsia="Batang"/>
        </w:rPr>
        <w:t xml:space="preserve"> respondents will not receive any payment or gifts for their participation in th</w:t>
      </w:r>
      <w:r w:rsidR="00680D9C">
        <w:rPr>
          <w:rFonts w:eastAsia="Batang"/>
        </w:rPr>
        <w:t xml:space="preserve">is data collection effort. </w:t>
      </w:r>
    </w:p>
    <w:p w14:paraId="7AC45B8D" w14:textId="77777777" w:rsidR="00EB0200" w:rsidRPr="00064AC5" w:rsidRDefault="00EB0200" w:rsidP="00166BAB">
      <w:pPr>
        <w:rPr>
          <w:b/>
          <w:bCs/>
        </w:rPr>
      </w:pPr>
    </w:p>
    <w:p w14:paraId="59F93A50" w14:textId="7F8E8047" w:rsidR="00EB0200" w:rsidRPr="00B52EC2" w:rsidRDefault="00EB0200" w:rsidP="00166BAB">
      <w:pPr>
        <w:rPr>
          <w:b/>
          <w:bCs/>
        </w:rPr>
      </w:pPr>
      <w:r w:rsidRPr="00B52EC2">
        <w:rPr>
          <w:b/>
          <w:bCs/>
        </w:rPr>
        <w:t xml:space="preserve">A10. </w:t>
      </w:r>
      <w:r w:rsidR="00B52EC2">
        <w:rPr>
          <w:b/>
          <w:bCs/>
        </w:rPr>
        <w:t xml:space="preserve"> </w:t>
      </w:r>
      <w:r w:rsidR="00B52EC2" w:rsidRPr="00B52EC2">
        <w:rPr>
          <w:b/>
        </w:rPr>
        <w:t>Protection of the Privacy and Confidentiality of Information Provided by Respondents</w:t>
      </w:r>
    </w:p>
    <w:p w14:paraId="7D123F7F" w14:textId="77777777" w:rsidR="007012BF" w:rsidRDefault="007012BF" w:rsidP="004E6F84">
      <w:pPr>
        <w:jc w:val="both"/>
      </w:pPr>
    </w:p>
    <w:p w14:paraId="11E084E6" w14:textId="5E7A7F98" w:rsidR="004E6F84" w:rsidRDefault="007012BF" w:rsidP="004E6F84">
      <w:pPr>
        <w:jc w:val="both"/>
      </w:pPr>
      <w:r>
        <w:t xml:space="preserve">Information collection for the </w:t>
      </w:r>
      <w:r w:rsidR="00227036">
        <w:t>State</w:t>
      </w:r>
      <w:r>
        <w:t xml:space="preserve"> Synergy Survey is for the </w:t>
      </w:r>
      <w:r w:rsidR="00700CE2">
        <w:t>purpose</w:t>
      </w:r>
      <w:r>
        <w:t xml:space="preserve"> of assessing CDC-funded programs’ functioning and activities at the organizational level. </w:t>
      </w:r>
    </w:p>
    <w:p w14:paraId="6D571A62" w14:textId="77777777" w:rsidR="004E6F84" w:rsidRPr="0087078B" w:rsidRDefault="004E6F84" w:rsidP="004E6F84">
      <w:pPr>
        <w:jc w:val="both"/>
      </w:pPr>
    </w:p>
    <w:p w14:paraId="76137534" w14:textId="77777777" w:rsidR="00D67C5B" w:rsidRPr="00D67C5B" w:rsidRDefault="00D67C5B" w:rsidP="00D67C5B">
      <w:pPr>
        <w:autoSpaceDE w:val="0"/>
        <w:autoSpaceDN w:val="0"/>
        <w:adjustRightInd w:val="0"/>
        <w:rPr>
          <w:u w:val="single"/>
        </w:rPr>
      </w:pPr>
      <w:r w:rsidRPr="00D67C5B">
        <w:rPr>
          <w:u w:val="single"/>
        </w:rPr>
        <w:t>Privacy Impact Assessment</w:t>
      </w:r>
    </w:p>
    <w:p w14:paraId="638451EF" w14:textId="77777777" w:rsidR="00D67C5B" w:rsidRDefault="00D67C5B" w:rsidP="00D67C5B">
      <w:pPr>
        <w:autoSpaceDE w:val="0"/>
        <w:autoSpaceDN w:val="0"/>
        <w:adjustRightInd w:val="0"/>
      </w:pPr>
    </w:p>
    <w:p w14:paraId="66483C60" w14:textId="7960C254" w:rsidR="00D67C5B" w:rsidRDefault="00D67C5B" w:rsidP="00D67C5B">
      <w:pPr>
        <w:pStyle w:val="ListParagraph"/>
        <w:spacing w:after="0" w:line="240" w:lineRule="auto"/>
        <w:ind w:left="0"/>
        <w:rPr>
          <w:rFonts w:ascii="Times New Roman" w:hAnsi="Times New Roman"/>
          <w:sz w:val="24"/>
          <w:szCs w:val="24"/>
        </w:rPr>
      </w:pPr>
      <w:r w:rsidRPr="001D0C95">
        <w:rPr>
          <w:rFonts w:ascii="Times New Roman" w:hAnsi="Times New Roman"/>
          <w:sz w:val="24"/>
          <w:szCs w:val="24"/>
        </w:rPr>
        <w:t>The proposed study involves a minimum amount of information in identifiable form (IIF)</w:t>
      </w:r>
      <w:r>
        <w:rPr>
          <w:rFonts w:ascii="Times New Roman" w:hAnsi="Times New Roman"/>
          <w:sz w:val="24"/>
          <w:szCs w:val="24"/>
        </w:rPr>
        <w:t xml:space="preserve">, and includes only contact information for each respondent (i.e., </w:t>
      </w:r>
      <w:r w:rsidR="007E778D">
        <w:rPr>
          <w:rFonts w:ascii="Times New Roman" w:hAnsi="Times New Roman"/>
          <w:sz w:val="24"/>
          <w:szCs w:val="24"/>
        </w:rPr>
        <w:t xml:space="preserve">name, </w:t>
      </w:r>
      <w:r>
        <w:rPr>
          <w:rFonts w:ascii="Times New Roman" w:hAnsi="Times New Roman"/>
          <w:sz w:val="24"/>
          <w:szCs w:val="24"/>
        </w:rPr>
        <w:t xml:space="preserve">telephone </w:t>
      </w:r>
      <w:r w:rsidR="007E778D">
        <w:rPr>
          <w:rFonts w:ascii="Times New Roman" w:hAnsi="Times New Roman"/>
          <w:sz w:val="24"/>
          <w:szCs w:val="24"/>
        </w:rPr>
        <w:t xml:space="preserve">number, </w:t>
      </w:r>
      <w:r>
        <w:rPr>
          <w:rFonts w:ascii="Times New Roman" w:hAnsi="Times New Roman"/>
          <w:sz w:val="24"/>
          <w:szCs w:val="24"/>
        </w:rPr>
        <w:t>and email address).</w:t>
      </w:r>
      <w:r w:rsidRPr="001D0C95">
        <w:rPr>
          <w:rFonts w:ascii="Times New Roman" w:hAnsi="Times New Roman"/>
          <w:sz w:val="24"/>
          <w:szCs w:val="24"/>
        </w:rPr>
        <w:t xml:space="preserve"> </w:t>
      </w:r>
      <w:r>
        <w:rPr>
          <w:rFonts w:ascii="Times New Roman" w:hAnsi="Times New Roman"/>
          <w:sz w:val="24"/>
          <w:szCs w:val="24"/>
        </w:rPr>
        <w:t>T</w:t>
      </w:r>
      <w:r w:rsidRPr="001D0C95">
        <w:rPr>
          <w:rFonts w:ascii="Times New Roman" w:hAnsi="Times New Roman"/>
          <w:sz w:val="24"/>
          <w:szCs w:val="24"/>
        </w:rPr>
        <w:t xml:space="preserve">he information to be obtained through surveys concerns organizational activities rather than personal matters and is not considered highly sensitive. Within surveys, respondents </w:t>
      </w:r>
      <w:r w:rsidR="009C312E">
        <w:rPr>
          <w:rFonts w:ascii="Times New Roman" w:hAnsi="Times New Roman"/>
          <w:sz w:val="24"/>
          <w:szCs w:val="24"/>
        </w:rPr>
        <w:t>will</w:t>
      </w:r>
      <w:r w:rsidR="00FA0534">
        <w:rPr>
          <w:rFonts w:ascii="Times New Roman" w:hAnsi="Times New Roman"/>
          <w:sz w:val="24"/>
          <w:szCs w:val="24"/>
        </w:rPr>
        <w:t xml:space="preserve"> be asked to identify their state health department</w:t>
      </w:r>
      <w:r w:rsidR="009C312E">
        <w:rPr>
          <w:rFonts w:ascii="Times New Roman" w:hAnsi="Times New Roman"/>
          <w:sz w:val="24"/>
          <w:szCs w:val="24"/>
        </w:rPr>
        <w:t xml:space="preserve">, role, and </w:t>
      </w:r>
      <w:r w:rsidRPr="001D0C95">
        <w:rPr>
          <w:rFonts w:ascii="Times New Roman" w:hAnsi="Times New Roman"/>
          <w:sz w:val="24"/>
          <w:szCs w:val="24"/>
        </w:rPr>
        <w:t xml:space="preserve">perceptions about activities conducted within their organization, but </w:t>
      </w:r>
      <w:r>
        <w:rPr>
          <w:rFonts w:ascii="Times New Roman" w:hAnsi="Times New Roman"/>
          <w:sz w:val="24"/>
          <w:szCs w:val="24"/>
        </w:rPr>
        <w:t xml:space="preserve">they </w:t>
      </w:r>
      <w:r w:rsidRPr="001D0C95">
        <w:rPr>
          <w:rFonts w:ascii="Times New Roman" w:hAnsi="Times New Roman"/>
          <w:sz w:val="24"/>
          <w:szCs w:val="24"/>
        </w:rPr>
        <w:t>will not be asked to provide specific names or information about individual program staff or partners. The information collected will focus on respondents’ thoughts and experiences related to programmatic</w:t>
      </w:r>
      <w:r w:rsidR="007E778D">
        <w:rPr>
          <w:rFonts w:ascii="Times New Roman" w:hAnsi="Times New Roman"/>
          <w:sz w:val="24"/>
          <w:szCs w:val="24"/>
        </w:rPr>
        <w:t xml:space="preserve"> partnerships and collaboration. </w:t>
      </w:r>
    </w:p>
    <w:p w14:paraId="7C41270E" w14:textId="77777777" w:rsidR="00D67C5B" w:rsidRDefault="00D67C5B" w:rsidP="00D67C5B">
      <w:pPr>
        <w:pStyle w:val="ListParagraph"/>
        <w:spacing w:after="0" w:line="240" w:lineRule="auto"/>
        <w:ind w:left="0"/>
        <w:rPr>
          <w:rFonts w:ascii="Times New Roman" w:hAnsi="Times New Roman"/>
          <w:sz w:val="24"/>
          <w:szCs w:val="24"/>
        </w:rPr>
      </w:pPr>
    </w:p>
    <w:p w14:paraId="6A8451C6" w14:textId="5A3601EC" w:rsidR="00D67C5B" w:rsidRPr="001D0C95" w:rsidRDefault="00D67C5B" w:rsidP="00D67C5B">
      <w:pPr>
        <w:pStyle w:val="ListParagraph"/>
        <w:spacing w:after="0" w:line="240" w:lineRule="auto"/>
        <w:ind w:left="0"/>
        <w:rPr>
          <w:rFonts w:ascii="Times New Roman" w:hAnsi="Times New Roman"/>
          <w:sz w:val="24"/>
          <w:szCs w:val="24"/>
        </w:rPr>
      </w:pPr>
      <w:r>
        <w:rPr>
          <w:rFonts w:ascii="Times New Roman" w:hAnsi="Times New Roman"/>
          <w:sz w:val="24"/>
          <w:szCs w:val="24"/>
        </w:rPr>
        <w:t>Survey responses will b</w:t>
      </w:r>
      <w:r w:rsidR="009C312E">
        <w:rPr>
          <w:rFonts w:ascii="Times New Roman" w:hAnsi="Times New Roman"/>
          <w:sz w:val="24"/>
          <w:szCs w:val="24"/>
        </w:rPr>
        <w:t>e linked to respondents’ state health departments and</w:t>
      </w:r>
      <w:r>
        <w:rPr>
          <w:rFonts w:ascii="Times New Roman" w:hAnsi="Times New Roman"/>
          <w:sz w:val="24"/>
          <w:szCs w:val="24"/>
        </w:rPr>
        <w:t xml:space="preserve"> roles to ensure that survey findings can be linked across program years. </w:t>
      </w:r>
      <w:r w:rsidR="007E778D">
        <w:rPr>
          <w:rFonts w:ascii="Times New Roman" w:hAnsi="Times New Roman"/>
          <w:sz w:val="24"/>
          <w:szCs w:val="24"/>
        </w:rPr>
        <w:t>ICF, t</w:t>
      </w:r>
      <w:r w:rsidRPr="001D0C95">
        <w:rPr>
          <w:rFonts w:ascii="Times New Roman" w:hAnsi="Times New Roman"/>
          <w:sz w:val="24"/>
          <w:szCs w:val="24"/>
        </w:rPr>
        <w:t xml:space="preserve">he data collection contractor, will have access to </w:t>
      </w:r>
      <w:r w:rsidR="00D15DB9">
        <w:rPr>
          <w:rFonts w:ascii="Times New Roman" w:hAnsi="Times New Roman"/>
          <w:sz w:val="24"/>
          <w:szCs w:val="24"/>
        </w:rPr>
        <w:t xml:space="preserve">IIF </w:t>
      </w:r>
      <w:r>
        <w:rPr>
          <w:rFonts w:ascii="Times New Roman" w:hAnsi="Times New Roman"/>
          <w:sz w:val="24"/>
          <w:szCs w:val="24"/>
        </w:rPr>
        <w:t xml:space="preserve">for </w:t>
      </w:r>
      <w:r w:rsidRPr="001D0C95">
        <w:rPr>
          <w:rFonts w:ascii="Times New Roman" w:hAnsi="Times New Roman"/>
          <w:sz w:val="24"/>
          <w:szCs w:val="24"/>
        </w:rPr>
        <w:t xml:space="preserve">program </w:t>
      </w:r>
      <w:r>
        <w:rPr>
          <w:rFonts w:ascii="Times New Roman" w:hAnsi="Times New Roman"/>
          <w:sz w:val="24"/>
          <w:szCs w:val="24"/>
        </w:rPr>
        <w:t xml:space="preserve">leadership and </w:t>
      </w:r>
      <w:r w:rsidRPr="001D0C95">
        <w:rPr>
          <w:rFonts w:ascii="Times New Roman" w:hAnsi="Times New Roman"/>
          <w:sz w:val="24"/>
          <w:szCs w:val="24"/>
        </w:rPr>
        <w:t xml:space="preserve">staff </w:t>
      </w:r>
      <w:r>
        <w:rPr>
          <w:rFonts w:ascii="Times New Roman" w:hAnsi="Times New Roman"/>
          <w:sz w:val="24"/>
          <w:szCs w:val="24"/>
        </w:rPr>
        <w:t>recruited for participation.</w:t>
      </w:r>
      <w:r w:rsidRPr="001D0C95">
        <w:rPr>
          <w:rFonts w:ascii="Times New Roman" w:hAnsi="Times New Roman"/>
          <w:sz w:val="24"/>
          <w:szCs w:val="24"/>
        </w:rPr>
        <w:t xml:space="preserve"> No other personal identifiers will be collected.</w:t>
      </w:r>
    </w:p>
    <w:p w14:paraId="71420559" w14:textId="77777777" w:rsidR="00D67C5B" w:rsidRPr="00767AB3" w:rsidRDefault="00D67C5B" w:rsidP="00D67C5B">
      <w:pPr>
        <w:jc w:val="both"/>
      </w:pPr>
    </w:p>
    <w:p w14:paraId="0CD4212B" w14:textId="55BB469D" w:rsidR="00D67C5B" w:rsidRDefault="00D67C5B" w:rsidP="00D67C5B">
      <w:pPr>
        <w:pStyle w:val="bodytextCharCharChar"/>
        <w:spacing w:after="0"/>
        <w:ind w:firstLine="0"/>
      </w:pPr>
      <w:r w:rsidRPr="00FD714A">
        <w:t xml:space="preserve">IIF will be stored separately from response data. A linking file will be created and available only to project management at ICF International. This information will </w:t>
      </w:r>
      <w:r>
        <w:t xml:space="preserve">only </w:t>
      </w:r>
      <w:r w:rsidRPr="00FD714A">
        <w:t>be used to ensure completeness of the data files. The linking file will include the role of the respondent and their organization (and will not include the individual’s name or contact information), the date of survey completion, and the code assigned to the data file. This will ensure that no</w:t>
      </w:r>
      <w:r>
        <w:t xml:space="preserve"> IIF </w:t>
      </w:r>
      <w:r w:rsidRPr="00FD714A">
        <w:t xml:space="preserve">outside of the individual’s role and organization is re-linkable. </w:t>
      </w:r>
      <w:r>
        <w:t xml:space="preserve">All data files will be stored in a secure electronic folder on a password-protected shared computer drive that is only accessible by authorized project staff.  </w:t>
      </w:r>
    </w:p>
    <w:p w14:paraId="41092F96" w14:textId="77777777" w:rsidR="00D67C5B" w:rsidRPr="00767AB3" w:rsidRDefault="00D67C5B" w:rsidP="00D67C5B">
      <w:pPr>
        <w:pStyle w:val="bodytextCharCharChar"/>
        <w:spacing w:after="0"/>
        <w:ind w:firstLine="0"/>
      </w:pPr>
    </w:p>
    <w:p w14:paraId="52DD4FD4" w14:textId="77777777" w:rsidR="00A00FD5" w:rsidRPr="00064AC5" w:rsidRDefault="00A00FD5" w:rsidP="00166BAB">
      <w:pPr>
        <w:rPr>
          <w:b/>
          <w:bCs/>
        </w:rPr>
      </w:pPr>
      <w:r w:rsidRPr="00064AC5">
        <w:rPr>
          <w:b/>
          <w:bCs/>
        </w:rPr>
        <w:t xml:space="preserve">A.  Privacy Act Determination  </w:t>
      </w:r>
    </w:p>
    <w:p w14:paraId="7C8ECE71" w14:textId="77777777" w:rsidR="00D67C5B" w:rsidRDefault="00D67C5B" w:rsidP="00D67C5B">
      <w:pPr>
        <w:rPr>
          <w:lang w:val="tr-TR"/>
        </w:rPr>
      </w:pPr>
    </w:p>
    <w:p w14:paraId="30DD42FE" w14:textId="48246D8E" w:rsidR="00D67C5B" w:rsidRPr="00E12984" w:rsidRDefault="00D67C5B" w:rsidP="00D67C5B">
      <w:pPr>
        <w:rPr>
          <w:rFonts w:eastAsiaTheme="minorEastAsia"/>
        </w:rPr>
      </w:pPr>
      <w:r w:rsidRPr="00E12984">
        <w:rPr>
          <w:rFonts w:eastAsiaTheme="minorEastAsia"/>
        </w:rPr>
        <w:lastRenderedPageBreak/>
        <w:t xml:space="preserve">CDC has reviewed this Information Collection Request and has determined that the Privacy Act does not apply to the identifiable </w:t>
      </w:r>
      <w:r w:rsidR="00D15DB9">
        <w:rPr>
          <w:rFonts w:eastAsiaTheme="minorEastAsia"/>
        </w:rPr>
        <w:t>staff</w:t>
      </w:r>
      <w:r w:rsidRPr="00E12984">
        <w:rPr>
          <w:rFonts w:eastAsiaTheme="minorEastAsia"/>
        </w:rPr>
        <w:t xml:space="preserve">-level information collected in the </w:t>
      </w:r>
      <w:r w:rsidR="00227036">
        <w:rPr>
          <w:rFonts w:eastAsiaTheme="minorEastAsia"/>
        </w:rPr>
        <w:t>State</w:t>
      </w:r>
      <w:r>
        <w:rPr>
          <w:rFonts w:eastAsiaTheme="minorEastAsia"/>
        </w:rPr>
        <w:t xml:space="preserve"> Synergy Survey</w:t>
      </w:r>
      <w:r w:rsidRPr="00E12984">
        <w:rPr>
          <w:rFonts w:eastAsiaTheme="minorEastAsia"/>
        </w:rPr>
        <w:t xml:space="preserve"> (</w:t>
      </w:r>
      <w:r w:rsidR="00867113">
        <w:rPr>
          <w:rFonts w:eastAsiaTheme="minorEastAsia"/>
          <w:b/>
        </w:rPr>
        <w:t>Attachment 5</w:t>
      </w:r>
      <w:r w:rsidRPr="00E12984">
        <w:rPr>
          <w:rFonts w:eastAsiaTheme="minorEastAsia"/>
        </w:rPr>
        <w:t>).</w:t>
      </w:r>
      <w:r w:rsidR="00A86E07">
        <w:rPr>
          <w:rFonts w:eastAsiaTheme="minorEastAsia"/>
        </w:rPr>
        <w:t xml:space="preserve"> Respondents are affiliated with state health departments and will be speaking from their roles. Respondents will not supply personal information.</w:t>
      </w:r>
      <w:r w:rsidRPr="00E12984">
        <w:rPr>
          <w:rFonts w:eastAsiaTheme="minorEastAsia"/>
        </w:rPr>
        <w:t xml:space="preserve"> </w:t>
      </w:r>
      <w:r>
        <w:rPr>
          <w:rFonts w:eastAsiaTheme="minorEastAsia"/>
        </w:rPr>
        <w:t>ICF</w:t>
      </w:r>
      <w:r w:rsidRPr="00E12984">
        <w:rPr>
          <w:rFonts w:eastAsiaTheme="minorEastAsia"/>
        </w:rPr>
        <w:t xml:space="preserve"> International and CDC will have access to the file that links employer representative identifiers</w:t>
      </w:r>
      <w:r>
        <w:rPr>
          <w:rFonts w:eastAsiaTheme="minorEastAsia"/>
        </w:rPr>
        <w:t>,</w:t>
      </w:r>
      <w:r w:rsidRPr="00E12984">
        <w:rPr>
          <w:rFonts w:eastAsiaTheme="minorEastAsia"/>
        </w:rPr>
        <w:t xml:space="preserve"> such as names and </w:t>
      </w:r>
      <w:r>
        <w:rPr>
          <w:rFonts w:eastAsiaTheme="minorEastAsia"/>
        </w:rPr>
        <w:t>contact information,</w:t>
      </w:r>
      <w:r w:rsidRPr="00E12984">
        <w:rPr>
          <w:rFonts w:eastAsiaTheme="minorEastAsia"/>
        </w:rPr>
        <w:t xml:space="preserve"> to unique employer ID codes. </w:t>
      </w:r>
      <w:r>
        <w:t xml:space="preserve">ICF </w:t>
      </w:r>
      <w:r w:rsidRPr="00465411">
        <w:t xml:space="preserve">and the CDC </w:t>
      </w:r>
      <w:r>
        <w:t>evaluation team staff</w:t>
      </w:r>
      <w:r w:rsidRPr="00465411">
        <w:t xml:space="preserve"> have consulted with CDC’s Office of the Chief Information Security Officer to review the data acquisition, storage, and processing procedures to ensure that they comply with government data privacy and security procedures.</w:t>
      </w:r>
    </w:p>
    <w:p w14:paraId="3E5C3E65" w14:textId="77777777" w:rsidR="008E0286" w:rsidRPr="00064AC5" w:rsidRDefault="008E0286" w:rsidP="00166BAB">
      <w:pPr>
        <w:rPr>
          <w:bCs/>
        </w:rPr>
      </w:pPr>
    </w:p>
    <w:p w14:paraId="73D28B0D" w14:textId="77777777" w:rsidR="00C75998" w:rsidRPr="00064AC5" w:rsidRDefault="00C75998" w:rsidP="00C75998">
      <w:pPr>
        <w:numPr>
          <w:ilvl w:val="0"/>
          <w:numId w:val="1"/>
        </w:numPr>
        <w:tabs>
          <w:tab w:val="clear" w:pos="945"/>
          <w:tab w:val="num" w:pos="540"/>
        </w:tabs>
        <w:ind w:hanging="945"/>
        <w:rPr>
          <w:b/>
          <w:bCs/>
        </w:rPr>
      </w:pPr>
      <w:r w:rsidRPr="00064AC5">
        <w:rPr>
          <w:b/>
          <w:bCs/>
        </w:rPr>
        <w:t>Safeguards</w:t>
      </w:r>
    </w:p>
    <w:p w14:paraId="6F2D6662" w14:textId="77777777" w:rsidR="00C75998" w:rsidRPr="00064AC5" w:rsidRDefault="00C75998" w:rsidP="00C75998">
      <w:pPr>
        <w:rPr>
          <w:bCs/>
        </w:rPr>
      </w:pPr>
    </w:p>
    <w:p w14:paraId="3BBDB6C3" w14:textId="0E1A9253" w:rsidR="0087078B" w:rsidRDefault="0087078B" w:rsidP="005118D6">
      <w:pPr>
        <w:pStyle w:val="bodytextCharCharChar"/>
        <w:spacing w:after="0"/>
        <w:ind w:firstLine="0"/>
      </w:pPr>
      <w:r>
        <w:t xml:space="preserve">Although the data collection contractor will have temporary access to identifiable information for recruitment and scheduling purposes, response data will not be </w:t>
      </w:r>
      <w:r w:rsidR="00342FDE">
        <w:t>recorded</w:t>
      </w:r>
      <w:r>
        <w:t xml:space="preserve"> in a manner that </w:t>
      </w:r>
      <w:r w:rsidR="00680D9C">
        <w:t xml:space="preserve">can be </w:t>
      </w:r>
      <w:r w:rsidR="00700CE2">
        <w:t>linked to</w:t>
      </w:r>
      <w:r>
        <w:t xml:space="preserve"> respondent identifiers. </w:t>
      </w:r>
      <w:r w:rsidR="007E377D">
        <w:t>The contractor will assign e</w:t>
      </w:r>
      <w:r w:rsidR="00680D9C">
        <w:t xml:space="preserve">ach </w:t>
      </w:r>
      <w:r w:rsidR="00342FDE">
        <w:t>survey</w:t>
      </w:r>
      <w:r w:rsidR="00680D9C">
        <w:t xml:space="preserve"> respondent </w:t>
      </w:r>
      <w:r>
        <w:t>a unique identifier code</w:t>
      </w:r>
      <w:r w:rsidR="00D67C5B">
        <w:t>, and will store and analyze survey data</w:t>
      </w:r>
      <w:r>
        <w:t xml:space="preserve"> by identifier code. The personal contact information for respondents will not </w:t>
      </w:r>
      <w:r w:rsidR="00D67C5B">
        <w:t xml:space="preserve">be </w:t>
      </w:r>
      <w:r>
        <w:t xml:space="preserve">used for </w:t>
      </w:r>
      <w:r w:rsidR="00465411">
        <w:t xml:space="preserve">analysis or </w:t>
      </w:r>
      <w:r>
        <w:t xml:space="preserve">reporting purposes. </w:t>
      </w:r>
      <w:r w:rsidRPr="00064AC5">
        <w:rPr>
          <w:bCs/>
        </w:rPr>
        <w:t xml:space="preserve">All data collected will be </w:t>
      </w:r>
      <w:r w:rsidR="00465411">
        <w:rPr>
          <w:bCs/>
        </w:rPr>
        <w:t>analyzed in aggregate and discussed</w:t>
      </w:r>
      <w:r w:rsidR="00465411" w:rsidRPr="00064AC5">
        <w:rPr>
          <w:bCs/>
        </w:rPr>
        <w:t xml:space="preserve"> </w:t>
      </w:r>
      <w:r w:rsidR="00D50584">
        <w:rPr>
          <w:bCs/>
        </w:rPr>
        <w:t xml:space="preserve">in </w:t>
      </w:r>
      <w:r w:rsidR="00342FDE">
        <w:rPr>
          <w:bCs/>
        </w:rPr>
        <w:t xml:space="preserve">summary </w:t>
      </w:r>
      <w:r w:rsidR="00D50584">
        <w:rPr>
          <w:bCs/>
        </w:rPr>
        <w:t>reports</w:t>
      </w:r>
      <w:r w:rsidR="00D50584" w:rsidRPr="00064AC5">
        <w:rPr>
          <w:bCs/>
        </w:rPr>
        <w:t xml:space="preserve"> that do</w:t>
      </w:r>
      <w:r w:rsidRPr="00064AC5">
        <w:rPr>
          <w:bCs/>
        </w:rPr>
        <w:t xml:space="preserve"> not contain any personal identifiers.</w:t>
      </w:r>
      <w:r w:rsidR="00D67C5B">
        <w:rPr>
          <w:bCs/>
        </w:rPr>
        <w:t xml:space="preserve"> </w:t>
      </w:r>
    </w:p>
    <w:p w14:paraId="781925BC" w14:textId="77777777" w:rsidR="0087078B" w:rsidRPr="00C57D73" w:rsidRDefault="0087078B" w:rsidP="0087078B">
      <w:pPr>
        <w:pStyle w:val="bodytextCharCharChar"/>
        <w:spacing w:after="0"/>
        <w:ind w:firstLine="0"/>
      </w:pPr>
    </w:p>
    <w:p w14:paraId="77C9A7C3" w14:textId="12248DCA" w:rsidR="0087078B" w:rsidRDefault="00342FDE" w:rsidP="005118D6">
      <w:pPr>
        <w:pStyle w:val="bodytextCharCharChar"/>
        <w:spacing w:after="0"/>
        <w:ind w:firstLine="0"/>
        <w:rPr>
          <w:highlight w:val="yellow"/>
        </w:rPr>
      </w:pPr>
      <w:r>
        <w:t xml:space="preserve">Study information and data, including contact information for respondents, linking identifiers, and survey responses, will be destroyed within </w:t>
      </w:r>
      <w:r w:rsidRPr="00D67C5B">
        <w:t>3 years</w:t>
      </w:r>
      <w:r>
        <w:t xml:space="preserve"> of the project end date. </w:t>
      </w:r>
      <w:r w:rsidR="0087078B" w:rsidRPr="00C57D73">
        <w:t xml:space="preserve">All electronic </w:t>
      </w:r>
      <w:r w:rsidR="00D67C5B">
        <w:t xml:space="preserve">data </w:t>
      </w:r>
      <w:r w:rsidR="0087078B" w:rsidRPr="00C57D73">
        <w:t xml:space="preserve">files (e.g. </w:t>
      </w:r>
      <w:r>
        <w:t>exported survey responses</w:t>
      </w:r>
      <w:r w:rsidR="0087078B" w:rsidRPr="00C57D73">
        <w:t xml:space="preserve">) will be stored at </w:t>
      </w:r>
      <w:r w:rsidR="0087078B">
        <w:t>ICF</w:t>
      </w:r>
      <w:r w:rsidR="0087078B" w:rsidRPr="00C57D73">
        <w:t xml:space="preserve"> on a project share</w:t>
      </w:r>
      <w:r w:rsidR="0087078B">
        <w:t>d</w:t>
      </w:r>
      <w:r w:rsidR="0087078B" w:rsidRPr="00C57D73">
        <w:t xml:space="preserve"> drive on </w:t>
      </w:r>
      <w:r w:rsidR="0087078B">
        <w:t>ICF’s</w:t>
      </w:r>
      <w:r w:rsidR="0087078B" w:rsidRPr="00C57D73">
        <w:t xml:space="preserve"> secure network servers; only project staff who have been authorized by the project </w:t>
      </w:r>
      <w:r w:rsidR="0087078B">
        <w:t>manager</w:t>
      </w:r>
      <w:r w:rsidR="0087078B" w:rsidRPr="00C57D73">
        <w:t xml:space="preserve"> can access the share</w:t>
      </w:r>
      <w:r w:rsidR="0087078B">
        <w:t>d</w:t>
      </w:r>
      <w:r w:rsidR="0087078B" w:rsidRPr="00C57D73">
        <w:t xml:space="preserve"> drive</w:t>
      </w:r>
      <w:r w:rsidR="0087078B">
        <w:t xml:space="preserve">. </w:t>
      </w:r>
    </w:p>
    <w:p w14:paraId="0E35D775" w14:textId="77777777" w:rsidR="0087078B" w:rsidRPr="00064AC5" w:rsidRDefault="0087078B" w:rsidP="006F6C29">
      <w:pPr>
        <w:jc w:val="both"/>
      </w:pPr>
    </w:p>
    <w:p w14:paraId="42976178" w14:textId="2385E52B" w:rsidR="000676D9" w:rsidRPr="00064AC5" w:rsidRDefault="00B80785" w:rsidP="00B80785">
      <w:pPr>
        <w:numPr>
          <w:ilvl w:val="0"/>
          <w:numId w:val="1"/>
        </w:numPr>
        <w:tabs>
          <w:tab w:val="clear" w:pos="945"/>
          <w:tab w:val="num" w:pos="540"/>
        </w:tabs>
        <w:ind w:hanging="945"/>
        <w:rPr>
          <w:b/>
          <w:bCs/>
        </w:rPr>
      </w:pPr>
      <w:r w:rsidRPr="00064AC5">
        <w:rPr>
          <w:b/>
          <w:bCs/>
        </w:rPr>
        <w:t>Consent</w:t>
      </w:r>
    </w:p>
    <w:p w14:paraId="165A2F02" w14:textId="77777777" w:rsidR="000740DD" w:rsidRDefault="000740DD" w:rsidP="00B80785">
      <w:pPr>
        <w:rPr>
          <w:bCs/>
        </w:rPr>
      </w:pPr>
    </w:p>
    <w:p w14:paraId="44831AC0" w14:textId="5D934282" w:rsidR="00A0314C" w:rsidRPr="00064AC5" w:rsidRDefault="00D67C5B" w:rsidP="00B80785">
      <w:pPr>
        <w:rPr>
          <w:bCs/>
        </w:rPr>
      </w:pPr>
      <w:r>
        <w:rPr>
          <w:bCs/>
        </w:rPr>
        <w:t>An informed consent statement will be included on the cover page of the survey instrument prior to the instrument questions (</w:t>
      </w:r>
      <w:r w:rsidRPr="005A499B">
        <w:rPr>
          <w:b/>
          <w:bCs/>
        </w:rPr>
        <w:t xml:space="preserve">Attachment </w:t>
      </w:r>
      <w:r w:rsidR="00867113">
        <w:rPr>
          <w:b/>
          <w:bCs/>
        </w:rPr>
        <w:t>5</w:t>
      </w:r>
      <w:r>
        <w:rPr>
          <w:bCs/>
        </w:rPr>
        <w:t>). The consent statement informs participants that their participation in the survey is voluntary, and they can choose not to answer individual questions, end the survey at any time, or decline participation without penalty.</w:t>
      </w:r>
      <w:r w:rsidR="00E60799">
        <w:rPr>
          <w:bCs/>
        </w:rPr>
        <w:t xml:space="preserve"> Whether or not individuals choose to participate will not impact current or future funding. </w:t>
      </w:r>
      <w:r>
        <w:rPr>
          <w:bCs/>
        </w:rPr>
        <w:t xml:space="preserve"> </w:t>
      </w:r>
      <w:r w:rsidR="00E528DC">
        <w:rPr>
          <w:bCs/>
        </w:rPr>
        <w:t xml:space="preserve">Respondents will be required to either agree to or decline participation prior to completing the survey. </w:t>
      </w:r>
    </w:p>
    <w:p w14:paraId="21B2E2E4" w14:textId="77777777" w:rsidR="00BD30B0" w:rsidRPr="00064AC5" w:rsidRDefault="00BD30B0" w:rsidP="00166BAB">
      <w:pPr>
        <w:rPr>
          <w:bCs/>
        </w:rPr>
      </w:pPr>
    </w:p>
    <w:p w14:paraId="66B71646" w14:textId="77777777" w:rsidR="00B80785" w:rsidRPr="00064AC5" w:rsidRDefault="00930378" w:rsidP="00B80785">
      <w:pPr>
        <w:numPr>
          <w:ilvl w:val="0"/>
          <w:numId w:val="1"/>
        </w:numPr>
        <w:tabs>
          <w:tab w:val="clear" w:pos="945"/>
          <w:tab w:val="num" w:pos="540"/>
        </w:tabs>
        <w:ind w:hanging="945"/>
        <w:rPr>
          <w:b/>
          <w:bCs/>
        </w:rPr>
      </w:pPr>
      <w:r>
        <w:rPr>
          <w:b/>
          <w:bCs/>
        </w:rPr>
        <w:t>Nature of Participation</w:t>
      </w:r>
    </w:p>
    <w:p w14:paraId="18DE6648" w14:textId="77777777" w:rsidR="00B80785" w:rsidRPr="00064AC5" w:rsidRDefault="00B80785" w:rsidP="00B80785">
      <w:pPr>
        <w:rPr>
          <w:bCs/>
        </w:rPr>
      </w:pPr>
    </w:p>
    <w:p w14:paraId="27068C62" w14:textId="56E20EF5" w:rsidR="00484155" w:rsidRDefault="00484155" w:rsidP="00845E38">
      <w:r>
        <w:rPr>
          <w:bCs/>
        </w:rPr>
        <w:t xml:space="preserve">As previously stated, </w:t>
      </w:r>
      <w:r>
        <w:t xml:space="preserve">organizations currently receiving funding through the </w:t>
      </w:r>
      <w:r w:rsidR="00E528DC">
        <w:t xml:space="preserve">State Public Health Actions </w:t>
      </w:r>
      <w:r w:rsidR="003D4317">
        <w:t>1305</w:t>
      </w:r>
      <w:r>
        <w:t xml:space="preserve"> cooperative agreement </w:t>
      </w:r>
      <w:r w:rsidR="003D4317">
        <w:t xml:space="preserve">will be recruited to </w:t>
      </w:r>
      <w:r>
        <w:t>participate in th</w:t>
      </w:r>
      <w:r w:rsidR="00146E5E">
        <w:t>is information collection</w:t>
      </w:r>
      <w:r w:rsidR="003D4317">
        <w:t>. Participation in the survey</w:t>
      </w:r>
      <w:r>
        <w:t xml:space="preserve"> is voluntary for all participants</w:t>
      </w:r>
      <w:r w:rsidR="0013766A">
        <w:t xml:space="preserve">; respondents who decline participation will not face penalty of any kind. </w:t>
      </w:r>
    </w:p>
    <w:p w14:paraId="4144563B" w14:textId="77777777" w:rsidR="00B80785" w:rsidRPr="00064AC5" w:rsidRDefault="00B80785" w:rsidP="00166BAB">
      <w:pPr>
        <w:rPr>
          <w:bCs/>
        </w:rPr>
      </w:pPr>
    </w:p>
    <w:p w14:paraId="75ACEBF9" w14:textId="598BB1D7" w:rsidR="009650E0" w:rsidRPr="00B52EC2" w:rsidRDefault="009650E0" w:rsidP="00166BAB">
      <w:pPr>
        <w:rPr>
          <w:b/>
          <w:bCs/>
        </w:rPr>
      </w:pPr>
      <w:r w:rsidRPr="00B52EC2">
        <w:rPr>
          <w:b/>
          <w:bCs/>
        </w:rPr>
        <w:t xml:space="preserve">A11.  </w:t>
      </w:r>
      <w:r w:rsidR="00B52EC2" w:rsidRPr="00B52EC2">
        <w:rPr>
          <w:b/>
        </w:rPr>
        <w:t>Institutional Review Board and Justification for Sensitive Questions</w:t>
      </w:r>
    </w:p>
    <w:p w14:paraId="54FD763B" w14:textId="77777777" w:rsidR="000740DD" w:rsidRDefault="000740DD" w:rsidP="0087078B">
      <w:pPr>
        <w:pStyle w:val="bodytextCharCharChar"/>
        <w:spacing w:after="0"/>
        <w:ind w:firstLine="0"/>
        <w:rPr>
          <w:b/>
          <w:bCs/>
        </w:rPr>
      </w:pPr>
    </w:p>
    <w:p w14:paraId="5662E5CB" w14:textId="3B1B868C" w:rsidR="0087078B" w:rsidRPr="0087078B" w:rsidRDefault="000740DD" w:rsidP="0087078B">
      <w:pPr>
        <w:pStyle w:val="bodytextCharCharChar"/>
        <w:spacing w:after="0"/>
        <w:ind w:firstLine="0"/>
        <w:rPr>
          <w:bCs/>
        </w:rPr>
      </w:pPr>
      <w:r w:rsidRPr="000740DD">
        <w:rPr>
          <w:bCs/>
        </w:rPr>
        <w:t>No sensitive information is requested.</w:t>
      </w:r>
      <w:r>
        <w:rPr>
          <w:b/>
          <w:bCs/>
        </w:rPr>
        <w:t xml:space="preserve"> </w:t>
      </w:r>
      <w:r>
        <w:t xml:space="preserve">CDC’s information collection contractor obtained </w:t>
      </w:r>
      <w:r w:rsidR="00C51A7E">
        <w:t>IRB approval for conduct of this assessment (</w:t>
      </w:r>
      <w:r w:rsidR="00C51A7E" w:rsidRPr="005A499B">
        <w:rPr>
          <w:b/>
        </w:rPr>
        <w:t>Attachment 7</w:t>
      </w:r>
      <w:r w:rsidR="00C51A7E">
        <w:t>).</w:t>
      </w:r>
    </w:p>
    <w:p w14:paraId="2B168ECA" w14:textId="77777777" w:rsidR="006F6C29" w:rsidRPr="00064AC5" w:rsidRDefault="006F6C29" w:rsidP="00166BAB">
      <w:pPr>
        <w:rPr>
          <w:bCs/>
        </w:rPr>
      </w:pPr>
    </w:p>
    <w:p w14:paraId="1B70A065" w14:textId="77777777" w:rsidR="00413A4D" w:rsidRPr="00064AC5" w:rsidRDefault="00413A4D" w:rsidP="00413A4D">
      <w:pPr>
        <w:rPr>
          <w:b/>
          <w:bCs/>
        </w:rPr>
      </w:pPr>
      <w:r w:rsidRPr="00064AC5">
        <w:rPr>
          <w:b/>
          <w:bCs/>
        </w:rPr>
        <w:t>A12.  Estimate of Annualized Burden Hours and Costs</w:t>
      </w:r>
    </w:p>
    <w:p w14:paraId="4AC60155" w14:textId="77777777" w:rsidR="00FC74EB" w:rsidRDefault="00FC74EB" w:rsidP="00DC76A0">
      <w:pPr>
        <w:jc w:val="both"/>
        <w:rPr>
          <w:b/>
          <w:bCs/>
        </w:rPr>
      </w:pPr>
    </w:p>
    <w:p w14:paraId="292DEE06" w14:textId="601C66E1" w:rsidR="00A74E17" w:rsidRPr="00A74E17" w:rsidRDefault="00A74E17" w:rsidP="00A74E17">
      <w:pPr>
        <w:pStyle w:val="ListParagraph"/>
        <w:numPr>
          <w:ilvl w:val="0"/>
          <w:numId w:val="25"/>
        </w:numPr>
        <w:ind w:hanging="720"/>
        <w:rPr>
          <w:rFonts w:ascii="Times New Roman" w:hAnsi="Times New Roman"/>
          <w:b/>
          <w:sz w:val="24"/>
          <w:szCs w:val="24"/>
        </w:rPr>
      </w:pPr>
      <w:r w:rsidRPr="00B314BA">
        <w:rPr>
          <w:rFonts w:ascii="Times New Roman" w:hAnsi="Times New Roman"/>
          <w:b/>
          <w:sz w:val="24"/>
          <w:szCs w:val="24"/>
        </w:rPr>
        <w:t xml:space="preserve">Estimated Annualized Burden Hours </w:t>
      </w:r>
    </w:p>
    <w:p w14:paraId="7B7FF4FD" w14:textId="77777777" w:rsidR="00DA58B7" w:rsidRDefault="00DA58B7" w:rsidP="00DA58B7">
      <w:pPr>
        <w:autoSpaceDE w:val="0"/>
        <w:autoSpaceDN w:val="0"/>
        <w:adjustRightInd w:val="0"/>
        <w:rPr>
          <w:bCs/>
        </w:rPr>
      </w:pPr>
      <w:bookmarkStart w:id="0" w:name="OLE_LINK7"/>
      <w:bookmarkStart w:id="1" w:name="OLE_LINK8"/>
      <w:r w:rsidRPr="009C312E">
        <w:rPr>
          <w:bCs/>
        </w:rPr>
        <w:t>OMB approval is requested for two years.</w:t>
      </w:r>
      <w:r w:rsidRPr="00CD7036">
        <w:rPr>
          <w:bCs/>
        </w:rPr>
        <w:t xml:space="preserve"> Over this period, CDC will administer the </w:t>
      </w:r>
      <w:r>
        <w:rPr>
          <w:bCs/>
        </w:rPr>
        <w:t xml:space="preserve">State Synergy Survey at two time points – once in summer/fall 2016 and once in spring 2018. </w:t>
      </w:r>
      <w:r w:rsidRPr="0065318D">
        <w:rPr>
          <w:bCs/>
        </w:rPr>
        <w:t xml:space="preserve">Annualized estimates of the number of respondents involved in </w:t>
      </w:r>
      <w:r>
        <w:rPr>
          <w:bCs/>
        </w:rPr>
        <w:t>the information collection activities</w:t>
      </w:r>
      <w:r w:rsidRPr="0065318D">
        <w:rPr>
          <w:bCs/>
        </w:rPr>
        <w:t xml:space="preserve"> are provided below</w:t>
      </w:r>
      <w:r>
        <w:rPr>
          <w:bCs/>
        </w:rPr>
        <w:t>.</w:t>
      </w:r>
      <w:r w:rsidRPr="00CD7036">
        <w:rPr>
          <w:bCs/>
        </w:rPr>
        <w:t xml:space="preserve"> </w:t>
      </w:r>
    </w:p>
    <w:p w14:paraId="76E67D07" w14:textId="77777777" w:rsidR="00DA58B7" w:rsidRPr="002B2C6E" w:rsidRDefault="00DA58B7" w:rsidP="00DA58B7">
      <w:pPr>
        <w:autoSpaceDE w:val="0"/>
        <w:autoSpaceDN w:val="0"/>
        <w:adjustRightInd w:val="0"/>
        <w:rPr>
          <w:bCs/>
        </w:rPr>
      </w:pPr>
    </w:p>
    <w:p w14:paraId="03575DC6" w14:textId="6683793F" w:rsidR="00DA58B7" w:rsidRPr="002B2C6E" w:rsidRDefault="00DA58B7" w:rsidP="00DA58B7">
      <w:pPr>
        <w:pStyle w:val="ListParagraph"/>
        <w:numPr>
          <w:ilvl w:val="0"/>
          <w:numId w:val="44"/>
        </w:numPr>
        <w:spacing w:line="240" w:lineRule="auto"/>
        <w:rPr>
          <w:rFonts w:ascii="Times New Roman" w:hAnsi="Times New Roman"/>
          <w:sz w:val="24"/>
          <w:szCs w:val="24"/>
        </w:rPr>
      </w:pPr>
      <w:r w:rsidRPr="002B2C6E">
        <w:rPr>
          <w:rFonts w:ascii="Times New Roman" w:hAnsi="Times New Roman"/>
          <w:sz w:val="24"/>
          <w:szCs w:val="24"/>
        </w:rPr>
        <w:t>The State Synergy Survey (</w:t>
      </w:r>
      <w:r w:rsidRPr="002B2C6E">
        <w:rPr>
          <w:rFonts w:ascii="Times New Roman" w:hAnsi="Times New Roman"/>
          <w:b/>
          <w:sz w:val="24"/>
          <w:szCs w:val="24"/>
        </w:rPr>
        <w:t>Attachment 5</w:t>
      </w:r>
      <w:r w:rsidRPr="002B2C6E">
        <w:rPr>
          <w:rFonts w:ascii="Times New Roman" w:hAnsi="Times New Roman"/>
          <w:sz w:val="24"/>
          <w:szCs w:val="24"/>
        </w:rPr>
        <w:t>) will be completed online. Survey respondents will be drawn from 51 health departments (50 states and the District of Columbia) funded through the State Public Health Actions (“1305”) program.  The estimated burden per response is 45 minutes.  To obtain a variety of perspectives, the State Synergy Survey will be completed by up to 8 respondents per health department: 1 Principal Investigator, 1 Chronic Disease Director, 1 Program Evaluator, 1 Epidemiologist, and 4 Subject Matter Experts.  The total estimated annualized number of respondents is 408 (51 x 8) and the total es</w:t>
      </w:r>
      <w:r w:rsidR="00721687">
        <w:rPr>
          <w:rFonts w:ascii="Times New Roman" w:hAnsi="Times New Roman"/>
          <w:sz w:val="24"/>
          <w:szCs w:val="24"/>
        </w:rPr>
        <w:t>timated annualized burden is 306</w:t>
      </w:r>
      <w:r w:rsidRPr="002B2C6E">
        <w:rPr>
          <w:rFonts w:ascii="Times New Roman" w:hAnsi="Times New Roman"/>
          <w:sz w:val="24"/>
          <w:szCs w:val="24"/>
        </w:rPr>
        <w:t xml:space="preserve"> hours (408 x 45/60).</w:t>
      </w:r>
    </w:p>
    <w:p w14:paraId="3BC4497A" w14:textId="77777777" w:rsidR="00D13C40" w:rsidRDefault="00D13C40" w:rsidP="00D13C40">
      <w:pPr>
        <w:jc w:val="both"/>
      </w:pPr>
    </w:p>
    <w:p w14:paraId="7F2A5808" w14:textId="77777777" w:rsidR="00A625F4" w:rsidRDefault="00A625F4" w:rsidP="00D13C40">
      <w:pPr>
        <w:pStyle w:val="Default"/>
        <w:tabs>
          <w:tab w:val="left" w:pos="0"/>
        </w:tabs>
        <w:rPr>
          <w:rFonts w:ascii="Times New Roman" w:hAnsi="Times New Roman" w:cs="Times New Roman"/>
          <w:b/>
          <w:u w:val="single"/>
        </w:rPr>
      </w:pPr>
      <w:r>
        <w:rPr>
          <w:rFonts w:ascii="Times New Roman" w:hAnsi="Times New Roman" w:cs="Times New Roman"/>
          <w:b/>
          <w:u w:val="single"/>
        </w:rPr>
        <w:br w:type="page"/>
      </w:r>
    </w:p>
    <w:p w14:paraId="74439D57" w14:textId="3ECAA50A" w:rsidR="00D13C40" w:rsidRDefault="00D13C40" w:rsidP="00D13C40">
      <w:pPr>
        <w:pStyle w:val="Default"/>
        <w:tabs>
          <w:tab w:val="left" w:pos="0"/>
        </w:tabs>
        <w:rPr>
          <w:rFonts w:ascii="Times New Roman" w:hAnsi="Times New Roman" w:cs="Times New Roman"/>
          <w:b/>
          <w:u w:val="single"/>
        </w:rPr>
      </w:pPr>
      <w:r w:rsidRPr="00E528DC">
        <w:rPr>
          <w:rFonts w:ascii="Times New Roman" w:hAnsi="Times New Roman" w:cs="Times New Roman"/>
          <w:b/>
          <w:u w:val="single"/>
        </w:rPr>
        <w:lastRenderedPageBreak/>
        <w:t>Table A12-1. Estimated Annualized Burden Hours</w:t>
      </w:r>
    </w:p>
    <w:p w14:paraId="4D8FFC9D" w14:textId="77777777" w:rsidR="009C312E" w:rsidRDefault="009C312E" w:rsidP="00D13C40">
      <w:pPr>
        <w:pStyle w:val="Default"/>
        <w:tabs>
          <w:tab w:val="left" w:pos="0"/>
        </w:tabs>
        <w:rPr>
          <w:rFonts w:ascii="Times New Roman" w:hAnsi="Times New Roman" w:cs="Times New Roman"/>
          <w:b/>
          <w:u w:val="single"/>
        </w:rPr>
      </w:pP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562"/>
        <w:gridCol w:w="1443"/>
        <w:gridCol w:w="1814"/>
        <w:gridCol w:w="1378"/>
        <w:gridCol w:w="1071"/>
      </w:tblGrid>
      <w:tr w:rsidR="00DA58B7" w:rsidRPr="009C312E" w14:paraId="70ACC505" w14:textId="77777777" w:rsidTr="007C2EDF">
        <w:trPr>
          <w:cantSplit/>
        </w:trPr>
        <w:tc>
          <w:tcPr>
            <w:tcW w:w="1002" w:type="pct"/>
            <w:tcBorders>
              <w:top w:val="single" w:sz="4" w:space="0" w:color="auto"/>
              <w:left w:val="single" w:sz="4" w:space="0" w:color="auto"/>
              <w:bottom w:val="single" w:sz="4" w:space="0" w:color="auto"/>
              <w:right w:val="single" w:sz="4" w:space="0" w:color="auto"/>
            </w:tcBorders>
          </w:tcPr>
          <w:p w14:paraId="60219820" w14:textId="77777777" w:rsidR="00DA58B7" w:rsidRPr="009C312E" w:rsidRDefault="00DA58B7" w:rsidP="007C2EDF">
            <w:pPr>
              <w:pStyle w:val="Default"/>
              <w:tabs>
                <w:tab w:val="left" w:pos="0"/>
              </w:tabs>
              <w:jc w:val="center"/>
              <w:rPr>
                <w:rFonts w:ascii="Times New Roman" w:hAnsi="Times New Roman" w:cs="Times New Roman"/>
                <w:color w:val="auto"/>
              </w:rPr>
            </w:pPr>
            <w:r w:rsidRPr="009C312E">
              <w:rPr>
                <w:rFonts w:ascii="Times New Roman" w:hAnsi="Times New Roman" w:cs="Times New Roman"/>
                <w:color w:val="auto"/>
              </w:rPr>
              <w:t>Type of Respondents</w:t>
            </w:r>
          </w:p>
        </w:tc>
        <w:tc>
          <w:tcPr>
            <w:tcW w:w="859" w:type="pct"/>
            <w:tcBorders>
              <w:top w:val="single" w:sz="4" w:space="0" w:color="auto"/>
              <w:left w:val="single" w:sz="4" w:space="0" w:color="auto"/>
              <w:bottom w:val="single" w:sz="4" w:space="0" w:color="auto"/>
              <w:right w:val="single" w:sz="4" w:space="0" w:color="auto"/>
            </w:tcBorders>
          </w:tcPr>
          <w:p w14:paraId="03D5F8D1" w14:textId="77777777" w:rsidR="00DA58B7" w:rsidRPr="009C312E" w:rsidRDefault="00DA58B7" w:rsidP="007C2EDF">
            <w:pPr>
              <w:pStyle w:val="Default"/>
              <w:tabs>
                <w:tab w:val="left" w:pos="0"/>
              </w:tabs>
              <w:jc w:val="center"/>
              <w:rPr>
                <w:rFonts w:ascii="Times New Roman" w:hAnsi="Times New Roman" w:cs="Times New Roman"/>
                <w:color w:val="auto"/>
              </w:rPr>
            </w:pPr>
            <w:r>
              <w:rPr>
                <w:rFonts w:ascii="Times New Roman" w:hAnsi="Times New Roman" w:cs="Times New Roman"/>
                <w:color w:val="auto"/>
              </w:rPr>
              <w:t>Form Name</w:t>
            </w:r>
          </w:p>
        </w:tc>
        <w:tc>
          <w:tcPr>
            <w:tcW w:w="794" w:type="pct"/>
            <w:tcBorders>
              <w:top w:val="single" w:sz="4" w:space="0" w:color="auto"/>
              <w:left w:val="single" w:sz="4" w:space="0" w:color="auto"/>
              <w:bottom w:val="single" w:sz="4" w:space="0" w:color="auto"/>
              <w:right w:val="single" w:sz="4" w:space="0" w:color="auto"/>
            </w:tcBorders>
            <w:vAlign w:val="center"/>
            <w:hideMark/>
          </w:tcPr>
          <w:p w14:paraId="42B720B3" w14:textId="77777777" w:rsidR="00DA58B7" w:rsidRPr="009C312E" w:rsidRDefault="00DA58B7" w:rsidP="007C2EDF">
            <w:pPr>
              <w:pStyle w:val="Default"/>
              <w:tabs>
                <w:tab w:val="left" w:pos="0"/>
              </w:tabs>
              <w:jc w:val="center"/>
              <w:rPr>
                <w:rFonts w:ascii="Times New Roman" w:hAnsi="Times New Roman" w:cs="Times New Roman"/>
                <w:color w:val="auto"/>
              </w:rPr>
            </w:pPr>
            <w:r w:rsidRPr="009C312E">
              <w:rPr>
                <w:rFonts w:ascii="Times New Roman" w:hAnsi="Times New Roman" w:cs="Times New Roman"/>
                <w:color w:val="auto"/>
              </w:rPr>
              <w:t>Number of Respondents</w:t>
            </w:r>
          </w:p>
        </w:tc>
        <w:tc>
          <w:tcPr>
            <w:tcW w:w="998" w:type="pct"/>
            <w:tcBorders>
              <w:top w:val="single" w:sz="4" w:space="0" w:color="auto"/>
              <w:left w:val="single" w:sz="4" w:space="0" w:color="auto"/>
              <w:bottom w:val="single" w:sz="4" w:space="0" w:color="auto"/>
              <w:right w:val="single" w:sz="4" w:space="0" w:color="auto"/>
            </w:tcBorders>
            <w:vAlign w:val="center"/>
            <w:hideMark/>
          </w:tcPr>
          <w:p w14:paraId="066E4467" w14:textId="77777777" w:rsidR="00DA58B7" w:rsidRPr="009C312E" w:rsidRDefault="00DA58B7" w:rsidP="007C2EDF">
            <w:pPr>
              <w:pStyle w:val="Default"/>
              <w:tabs>
                <w:tab w:val="left" w:pos="0"/>
              </w:tabs>
              <w:jc w:val="center"/>
              <w:rPr>
                <w:rFonts w:ascii="Times New Roman" w:hAnsi="Times New Roman" w:cs="Times New Roman"/>
                <w:color w:val="auto"/>
              </w:rPr>
            </w:pPr>
            <w:r w:rsidRPr="009C312E">
              <w:rPr>
                <w:rFonts w:ascii="Times New Roman" w:hAnsi="Times New Roman" w:cs="Times New Roman"/>
                <w:color w:val="auto"/>
              </w:rPr>
              <w:t>Number of Responses per Respondent</w:t>
            </w:r>
          </w:p>
        </w:tc>
        <w:tc>
          <w:tcPr>
            <w:tcW w:w="758" w:type="pct"/>
            <w:tcBorders>
              <w:top w:val="single" w:sz="4" w:space="0" w:color="auto"/>
              <w:left w:val="single" w:sz="4" w:space="0" w:color="auto"/>
              <w:bottom w:val="single" w:sz="4" w:space="0" w:color="auto"/>
              <w:right w:val="single" w:sz="4" w:space="0" w:color="auto"/>
            </w:tcBorders>
            <w:vAlign w:val="center"/>
            <w:hideMark/>
          </w:tcPr>
          <w:p w14:paraId="4F42E0EF" w14:textId="77777777" w:rsidR="00DA58B7" w:rsidRPr="009C312E" w:rsidRDefault="00DA58B7" w:rsidP="007C2EDF">
            <w:pPr>
              <w:pStyle w:val="Default"/>
              <w:tabs>
                <w:tab w:val="left" w:pos="0"/>
              </w:tabs>
              <w:jc w:val="center"/>
              <w:rPr>
                <w:rFonts w:ascii="Times New Roman" w:hAnsi="Times New Roman" w:cs="Times New Roman"/>
                <w:color w:val="auto"/>
              </w:rPr>
            </w:pPr>
            <w:r w:rsidRPr="009C312E">
              <w:rPr>
                <w:rFonts w:ascii="Times New Roman" w:hAnsi="Times New Roman" w:cs="Times New Roman"/>
                <w:color w:val="auto"/>
              </w:rPr>
              <w:t>Average Burden per Response (in hr)</w:t>
            </w:r>
          </w:p>
        </w:tc>
        <w:tc>
          <w:tcPr>
            <w:tcW w:w="589" w:type="pct"/>
            <w:tcBorders>
              <w:top w:val="single" w:sz="4" w:space="0" w:color="auto"/>
              <w:left w:val="single" w:sz="4" w:space="0" w:color="auto"/>
              <w:bottom w:val="single" w:sz="4" w:space="0" w:color="auto"/>
              <w:right w:val="single" w:sz="4" w:space="0" w:color="auto"/>
            </w:tcBorders>
            <w:vAlign w:val="center"/>
            <w:hideMark/>
          </w:tcPr>
          <w:p w14:paraId="53BC0F88" w14:textId="77777777" w:rsidR="00DA58B7" w:rsidRPr="009C312E" w:rsidRDefault="00DA58B7" w:rsidP="007C2EDF">
            <w:pPr>
              <w:pStyle w:val="Default"/>
              <w:tabs>
                <w:tab w:val="left" w:pos="0"/>
              </w:tabs>
              <w:jc w:val="center"/>
              <w:rPr>
                <w:rFonts w:ascii="Times New Roman" w:hAnsi="Times New Roman" w:cs="Times New Roman"/>
                <w:color w:val="auto"/>
              </w:rPr>
            </w:pPr>
            <w:r w:rsidRPr="009C312E">
              <w:rPr>
                <w:rFonts w:ascii="Times New Roman" w:hAnsi="Times New Roman" w:cs="Times New Roman"/>
                <w:color w:val="auto"/>
              </w:rPr>
              <w:t>Total Burden (in hr)</w:t>
            </w:r>
          </w:p>
        </w:tc>
      </w:tr>
      <w:tr w:rsidR="00DA58B7" w:rsidRPr="009C312E" w14:paraId="279EA394" w14:textId="77777777" w:rsidTr="00CE5E2C">
        <w:trPr>
          <w:cantSplit/>
        </w:trPr>
        <w:tc>
          <w:tcPr>
            <w:tcW w:w="1002" w:type="pct"/>
            <w:tcBorders>
              <w:top w:val="single" w:sz="4" w:space="0" w:color="auto"/>
              <w:left w:val="single" w:sz="4" w:space="0" w:color="auto"/>
              <w:right w:val="single" w:sz="4" w:space="0" w:color="auto"/>
            </w:tcBorders>
            <w:vAlign w:val="center"/>
          </w:tcPr>
          <w:p w14:paraId="79AC9E3F" w14:textId="652D9400" w:rsidR="00DA58B7" w:rsidRPr="009C312E" w:rsidRDefault="00DA58B7" w:rsidP="00CE5E2C">
            <w:pPr>
              <w:pStyle w:val="Default"/>
              <w:tabs>
                <w:tab w:val="left" w:pos="0"/>
              </w:tabs>
              <w:jc w:val="center"/>
              <w:rPr>
                <w:rFonts w:ascii="Times New Roman" w:hAnsi="Times New Roman" w:cs="Times New Roman"/>
                <w:color w:val="auto"/>
              </w:rPr>
            </w:pPr>
            <w:r>
              <w:rPr>
                <w:rFonts w:ascii="Times New Roman" w:hAnsi="Times New Roman" w:cs="Times New Roman"/>
                <w:color w:val="auto"/>
              </w:rPr>
              <w:t>State Health Department Staff</w:t>
            </w:r>
          </w:p>
        </w:tc>
        <w:tc>
          <w:tcPr>
            <w:tcW w:w="859" w:type="pct"/>
            <w:tcBorders>
              <w:top w:val="single" w:sz="4" w:space="0" w:color="auto"/>
              <w:left w:val="single" w:sz="4" w:space="0" w:color="auto"/>
              <w:right w:val="single" w:sz="4" w:space="0" w:color="auto"/>
            </w:tcBorders>
            <w:vAlign w:val="center"/>
          </w:tcPr>
          <w:p w14:paraId="6E3FD836" w14:textId="77777777" w:rsidR="00DA58B7" w:rsidRDefault="00DA58B7" w:rsidP="007C2EDF">
            <w:pPr>
              <w:pStyle w:val="Default"/>
              <w:tabs>
                <w:tab w:val="left" w:pos="0"/>
              </w:tabs>
              <w:jc w:val="center"/>
              <w:rPr>
                <w:rFonts w:ascii="Times New Roman" w:hAnsi="Times New Roman" w:cs="Times New Roman"/>
                <w:color w:val="auto"/>
              </w:rPr>
            </w:pPr>
            <w:r>
              <w:rPr>
                <w:rFonts w:ascii="Times New Roman" w:hAnsi="Times New Roman" w:cs="Times New Roman"/>
                <w:color w:val="auto"/>
              </w:rPr>
              <w:t>State Synergy Survey</w:t>
            </w:r>
          </w:p>
        </w:tc>
        <w:tc>
          <w:tcPr>
            <w:tcW w:w="794" w:type="pct"/>
            <w:tcBorders>
              <w:top w:val="single" w:sz="4" w:space="0" w:color="auto"/>
              <w:left w:val="single" w:sz="4" w:space="0" w:color="auto"/>
              <w:bottom w:val="single" w:sz="4" w:space="0" w:color="auto"/>
              <w:right w:val="single" w:sz="4" w:space="0" w:color="auto"/>
            </w:tcBorders>
            <w:vAlign w:val="center"/>
            <w:hideMark/>
          </w:tcPr>
          <w:p w14:paraId="22567D3D" w14:textId="77777777" w:rsidR="00DA58B7" w:rsidRPr="009C312E" w:rsidRDefault="00DA58B7" w:rsidP="007C2EDF">
            <w:pPr>
              <w:pStyle w:val="Default"/>
              <w:tabs>
                <w:tab w:val="left" w:pos="0"/>
              </w:tabs>
              <w:jc w:val="center"/>
              <w:rPr>
                <w:rFonts w:ascii="Times New Roman" w:hAnsi="Times New Roman" w:cs="Times New Roman"/>
                <w:color w:val="auto"/>
              </w:rPr>
            </w:pPr>
            <w:r>
              <w:rPr>
                <w:rFonts w:ascii="Times New Roman" w:hAnsi="Times New Roman" w:cs="Times New Roman"/>
                <w:color w:val="auto"/>
              </w:rPr>
              <w:t>408</w:t>
            </w:r>
          </w:p>
        </w:tc>
        <w:tc>
          <w:tcPr>
            <w:tcW w:w="998" w:type="pct"/>
            <w:tcBorders>
              <w:top w:val="single" w:sz="4" w:space="0" w:color="auto"/>
              <w:left w:val="single" w:sz="4" w:space="0" w:color="auto"/>
              <w:bottom w:val="single" w:sz="4" w:space="0" w:color="auto"/>
              <w:right w:val="single" w:sz="4" w:space="0" w:color="auto"/>
            </w:tcBorders>
            <w:vAlign w:val="center"/>
            <w:hideMark/>
          </w:tcPr>
          <w:p w14:paraId="6B0F5D1B" w14:textId="77777777" w:rsidR="00DA58B7" w:rsidRPr="009C312E" w:rsidRDefault="00DA58B7" w:rsidP="007C2EDF">
            <w:pPr>
              <w:pStyle w:val="Default"/>
              <w:tabs>
                <w:tab w:val="left" w:pos="0"/>
              </w:tabs>
              <w:jc w:val="center"/>
              <w:rPr>
                <w:rFonts w:ascii="Times New Roman" w:hAnsi="Times New Roman" w:cs="Times New Roman"/>
                <w:color w:val="auto"/>
              </w:rPr>
            </w:pPr>
            <w:r w:rsidRPr="009C312E">
              <w:rPr>
                <w:rFonts w:ascii="Times New Roman" w:hAnsi="Times New Roman" w:cs="Times New Roman"/>
                <w:color w:val="auto"/>
              </w:rPr>
              <w:t>1</w:t>
            </w:r>
          </w:p>
        </w:tc>
        <w:tc>
          <w:tcPr>
            <w:tcW w:w="758" w:type="pct"/>
            <w:tcBorders>
              <w:top w:val="single" w:sz="4" w:space="0" w:color="auto"/>
              <w:left w:val="single" w:sz="4" w:space="0" w:color="auto"/>
              <w:bottom w:val="single" w:sz="4" w:space="0" w:color="auto"/>
              <w:right w:val="single" w:sz="4" w:space="0" w:color="auto"/>
            </w:tcBorders>
            <w:vAlign w:val="center"/>
            <w:hideMark/>
          </w:tcPr>
          <w:p w14:paraId="4773CDBE" w14:textId="77777777" w:rsidR="00DA58B7" w:rsidRPr="009C312E" w:rsidRDefault="00DA58B7" w:rsidP="007C2EDF">
            <w:pPr>
              <w:pStyle w:val="Default"/>
              <w:tabs>
                <w:tab w:val="left" w:pos="0"/>
              </w:tabs>
              <w:jc w:val="center"/>
              <w:rPr>
                <w:rFonts w:ascii="Times New Roman" w:hAnsi="Times New Roman" w:cs="Times New Roman"/>
                <w:color w:val="auto"/>
              </w:rPr>
            </w:pPr>
            <w:r>
              <w:rPr>
                <w:rFonts w:ascii="Times New Roman" w:hAnsi="Times New Roman" w:cs="Times New Roman"/>
                <w:color w:val="auto"/>
              </w:rPr>
              <w:t>45/60</w:t>
            </w:r>
          </w:p>
        </w:tc>
        <w:tc>
          <w:tcPr>
            <w:tcW w:w="589" w:type="pct"/>
            <w:tcBorders>
              <w:top w:val="single" w:sz="4" w:space="0" w:color="auto"/>
              <w:left w:val="single" w:sz="4" w:space="0" w:color="auto"/>
              <w:bottom w:val="single" w:sz="4" w:space="0" w:color="auto"/>
              <w:right w:val="single" w:sz="4" w:space="0" w:color="auto"/>
            </w:tcBorders>
            <w:vAlign w:val="center"/>
            <w:hideMark/>
          </w:tcPr>
          <w:p w14:paraId="40A8D275" w14:textId="1792BFD0" w:rsidR="00DA58B7" w:rsidRPr="009C312E" w:rsidRDefault="00DA58B7" w:rsidP="007C2EDF">
            <w:pPr>
              <w:pStyle w:val="Default"/>
              <w:tabs>
                <w:tab w:val="left" w:pos="0"/>
              </w:tabs>
              <w:jc w:val="center"/>
              <w:rPr>
                <w:rFonts w:ascii="Times New Roman" w:hAnsi="Times New Roman" w:cs="Times New Roman"/>
                <w:color w:val="auto"/>
              </w:rPr>
            </w:pPr>
            <w:r>
              <w:rPr>
                <w:rFonts w:ascii="Times New Roman" w:hAnsi="Times New Roman" w:cs="Times New Roman"/>
                <w:color w:val="auto"/>
              </w:rPr>
              <w:t>30</w:t>
            </w:r>
            <w:r w:rsidR="00721687">
              <w:rPr>
                <w:rFonts w:ascii="Times New Roman" w:hAnsi="Times New Roman" w:cs="Times New Roman"/>
                <w:color w:val="auto"/>
              </w:rPr>
              <w:t>6</w:t>
            </w:r>
          </w:p>
        </w:tc>
      </w:tr>
    </w:tbl>
    <w:p w14:paraId="686FCFE2" w14:textId="77777777" w:rsidR="009C312E" w:rsidRPr="009C312E" w:rsidRDefault="009C312E" w:rsidP="00D13C40">
      <w:pPr>
        <w:rPr>
          <w:b/>
        </w:rPr>
      </w:pPr>
    </w:p>
    <w:p w14:paraId="2832C853" w14:textId="77777777" w:rsidR="00D13C40" w:rsidRPr="00064AC5" w:rsidRDefault="00D13C40" w:rsidP="00413A4D">
      <w:pPr>
        <w:rPr>
          <w:bCs/>
        </w:rPr>
      </w:pPr>
    </w:p>
    <w:p w14:paraId="3F3BDC90" w14:textId="77777777" w:rsidR="00DC76A0" w:rsidRPr="003E3235" w:rsidRDefault="003E3235" w:rsidP="00A74E17">
      <w:pPr>
        <w:numPr>
          <w:ilvl w:val="0"/>
          <w:numId w:val="25"/>
        </w:numPr>
        <w:jc w:val="both"/>
        <w:rPr>
          <w:b/>
        </w:rPr>
      </w:pPr>
      <w:r w:rsidRPr="003E3235">
        <w:rPr>
          <w:b/>
        </w:rPr>
        <w:t>Estimated Annualized Burden Costs</w:t>
      </w:r>
    </w:p>
    <w:p w14:paraId="768953EE" w14:textId="77777777" w:rsidR="003E3235" w:rsidRPr="00064AC5" w:rsidRDefault="003E3235" w:rsidP="003E3235">
      <w:pPr>
        <w:ind w:left="720"/>
        <w:jc w:val="both"/>
      </w:pPr>
    </w:p>
    <w:p w14:paraId="4C65EB43" w14:textId="77777777" w:rsidR="00E528DC" w:rsidRDefault="00DC76A0" w:rsidP="00A74E17">
      <w:pPr>
        <w:pStyle w:val="BodyText"/>
        <w:rPr>
          <w:rFonts w:ascii="Times New Roman" w:hAnsi="Times New Roman"/>
        </w:rPr>
      </w:pPr>
      <w:r w:rsidRPr="004A6805">
        <w:rPr>
          <w:rFonts w:ascii="Times New Roman" w:hAnsi="Times New Roman"/>
        </w:rPr>
        <w:t>Table A12-</w:t>
      </w:r>
      <w:r w:rsidR="00025FA1" w:rsidRPr="004A6805">
        <w:rPr>
          <w:rFonts w:ascii="Times New Roman" w:hAnsi="Times New Roman"/>
        </w:rPr>
        <w:t>2</w:t>
      </w:r>
      <w:r w:rsidRPr="004A6805">
        <w:rPr>
          <w:rFonts w:ascii="Times New Roman" w:hAnsi="Times New Roman"/>
        </w:rPr>
        <w:t xml:space="preserve"> presents the calculations for cost of annualized burden hours. </w:t>
      </w:r>
      <w:r w:rsidR="004A6805" w:rsidRPr="004A6805">
        <w:rPr>
          <w:rFonts w:ascii="Times New Roman" w:hAnsi="Times New Roman"/>
        </w:rPr>
        <w:t xml:space="preserve">Average hourly wage estimates were obtained from the U.S. Department of Labor, Bureau of Labor Statistics.  </w:t>
      </w:r>
    </w:p>
    <w:p w14:paraId="1196ED95" w14:textId="3BFC4B52" w:rsidR="0018462C" w:rsidRPr="00A834FD" w:rsidRDefault="0018462C" w:rsidP="0018462C">
      <w:pPr>
        <w:pStyle w:val="BodyText"/>
        <w:numPr>
          <w:ilvl w:val="0"/>
          <w:numId w:val="36"/>
        </w:numPr>
        <w:rPr>
          <w:rFonts w:ascii="Times New Roman" w:hAnsi="Times New Roman"/>
        </w:rPr>
      </w:pPr>
      <w:r w:rsidRPr="00A834FD">
        <w:rPr>
          <w:rFonts w:ascii="Times New Roman" w:hAnsi="Times New Roman"/>
        </w:rPr>
        <w:t>The average annual salary of $</w:t>
      </w:r>
      <w:r w:rsidR="00A015C9" w:rsidRPr="00A834FD">
        <w:rPr>
          <w:rFonts w:ascii="Times New Roman" w:hAnsi="Times New Roman"/>
        </w:rPr>
        <w:t>80,040</w:t>
      </w:r>
      <w:r w:rsidRPr="00A834FD">
        <w:rPr>
          <w:rFonts w:ascii="Times New Roman" w:hAnsi="Times New Roman"/>
        </w:rPr>
        <w:t xml:space="preserve"> for </w:t>
      </w:r>
      <w:r w:rsidR="00A015C9" w:rsidRPr="00A834FD">
        <w:rPr>
          <w:rFonts w:ascii="Times New Roman" w:hAnsi="Times New Roman"/>
        </w:rPr>
        <w:t>social scientists and related workers, all other</w:t>
      </w:r>
      <w:r w:rsidRPr="00A834FD">
        <w:rPr>
          <w:rFonts w:ascii="Times New Roman" w:hAnsi="Times New Roman"/>
        </w:rPr>
        <w:t xml:space="preserve"> was used to calculate the hourly wage of $</w:t>
      </w:r>
      <w:r w:rsidR="00A015C9" w:rsidRPr="00A834FD">
        <w:rPr>
          <w:rFonts w:ascii="Times New Roman" w:hAnsi="Times New Roman"/>
        </w:rPr>
        <w:t>38.48</w:t>
      </w:r>
      <w:r w:rsidRPr="00A834FD">
        <w:rPr>
          <w:rFonts w:ascii="Times New Roman" w:hAnsi="Times New Roman"/>
        </w:rPr>
        <w:t xml:space="preserve"> for principal investigators. </w:t>
      </w:r>
    </w:p>
    <w:p w14:paraId="7094EE8E" w14:textId="7843530A" w:rsidR="00E528DC" w:rsidRPr="00A834FD" w:rsidRDefault="004A6805" w:rsidP="00E528DC">
      <w:pPr>
        <w:pStyle w:val="BodyText"/>
        <w:numPr>
          <w:ilvl w:val="0"/>
          <w:numId w:val="36"/>
        </w:numPr>
        <w:rPr>
          <w:rFonts w:ascii="Times New Roman" w:hAnsi="Times New Roman"/>
        </w:rPr>
      </w:pPr>
      <w:r w:rsidRPr="00A834FD">
        <w:rPr>
          <w:rFonts w:ascii="Times New Roman" w:hAnsi="Times New Roman"/>
        </w:rPr>
        <w:t xml:space="preserve">The </w:t>
      </w:r>
      <w:r w:rsidR="002347DE" w:rsidRPr="00A834FD">
        <w:rPr>
          <w:rFonts w:ascii="Times New Roman" w:hAnsi="Times New Roman"/>
        </w:rPr>
        <w:t>average</w:t>
      </w:r>
      <w:r w:rsidRPr="00A834FD">
        <w:rPr>
          <w:rFonts w:ascii="Times New Roman" w:hAnsi="Times New Roman"/>
        </w:rPr>
        <w:t xml:space="preserve"> </w:t>
      </w:r>
      <w:r w:rsidR="0017482B" w:rsidRPr="00A834FD">
        <w:rPr>
          <w:rFonts w:ascii="Times New Roman" w:hAnsi="Times New Roman"/>
        </w:rPr>
        <w:t xml:space="preserve">annual </w:t>
      </w:r>
      <w:r w:rsidRPr="00A834FD">
        <w:rPr>
          <w:rFonts w:ascii="Times New Roman" w:hAnsi="Times New Roman"/>
        </w:rPr>
        <w:t>salary of $</w:t>
      </w:r>
      <w:r w:rsidR="00AD6B2B" w:rsidRPr="00A834FD">
        <w:rPr>
          <w:rFonts w:ascii="Times New Roman" w:hAnsi="Times New Roman"/>
        </w:rPr>
        <w:t>117,200</w:t>
      </w:r>
      <w:r w:rsidRPr="00A834FD">
        <w:rPr>
          <w:rFonts w:ascii="Times New Roman" w:hAnsi="Times New Roman"/>
        </w:rPr>
        <w:t xml:space="preserve"> for general and operational managers was used to calculate the hourly wage of $</w:t>
      </w:r>
      <w:r w:rsidR="00AD6B2B" w:rsidRPr="00A834FD">
        <w:rPr>
          <w:rFonts w:ascii="Times New Roman" w:hAnsi="Times New Roman"/>
        </w:rPr>
        <w:t>56.35</w:t>
      </w:r>
      <w:r w:rsidR="002347DE" w:rsidRPr="00A834FD">
        <w:rPr>
          <w:rFonts w:ascii="Times New Roman" w:hAnsi="Times New Roman"/>
        </w:rPr>
        <w:t xml:space="preserve"> for </w:t>
      </w:r>
      <w:r w:rsidR="0018462C" w:rsidRPr="00A834FD">
        <w:rPr>
          <w:rFonts w:ascii="Times New Roman" w:hAnsi="Times New Roman"/>
        </w:rPr>
        <w:t>chronic disease directors</w:t>
      </w:r>
      <w:r w:rsidR="00A015C9" w:rsidRPr="00A834FD">
        <w:rPr>
          <w:rFonts w:ascii="Times New Roman" w:hAnsi="Times New Roman"/>
        </w:rPr>
        <w:t>.</w:t>
      </w:r>
      <w:r w:rsidR="004A76E2" w:rsidRPr="00A834FD">
        <w:rPr>
          <w:rFonts w:ascii="Times New Roman" w:hAnsi="Times New Roman"/>
        </w:rPr>
        <w:t xml:space="preserve"> </w:t>
      </w:r>
    </w:p>
    <w:p w14:paraId="646A39E8" w14:textId="0C85F0E9" w:rsidR="00E528DC" w:rsidRPr="00A834FD" w:rsidRDefault="004A76E2" w:rsidP="00E528DC">
      <w:pPr>
        <w:pStyle w:val="BodyText"/>
        <w:numPr>
          <w:ilvl w:val="0"/>
          <w:numId w:val="36"/>
        </w:numPr>
        <w:rPr>
          <w:rFonts w:ascii="Times New Roman" w:hAnsi="Times New Roman"/>
        </w:rPr>
      </w:pPr>
      <w:r w:rsidRPr="00A834FD">
        <w:rPr>
          <w:rFonts w:ascii="Times New Roman" w:hAnsi="Times New Roman"/>
        </w:rPr>
        <w:t>The average annual salary of $</w:t>
      </w:r>
      <w:r w:rsidR="00A015C9" w:rsidRPr="00A834FD">
        <w:rPr>
          <w:rFonts w:ascii="Times New Roman" w:hAnsi="Times New Roman"/>
        </w:rPr>
        <w:t>54,730</w:t>
      </w:r>
      <w:r w:rsidRPr="00A834FD">
        <w:rPr>
          <w:rFonts w:ascii="Times New Roman" w:hAnsi="Times New Roman"/>
        </w:rPr>
        <w:t xml:space="preserve"> for </w:t>
      </w:r>
      <w:r w:rsidR="00A015C9" w:rsidRPr="00A834FD">
        <w:rPr>
          <w:rFonts w:ascii="Times New Roman" w:hAnsi="Times New Roman"/>
        </w:rPr>
        <w:t>survey researchers</w:t>
      </w:r>
      <w:r w:rsidRPr="00A834FD">
        <w:rPr>
          <w:rFonts w:ascii="Times New Roman" w:hAnsi="Times New Roman"/>
        </w:rPr>
        <w:t xml:space="preserve"> was used to calculate the hourly wage of $</w:t>
      </w:r>
      <w:r w:rsidR="00A015C9" w:rsidRPr="00A834FD">
        <w:rPr>
          <w:rFonts w:ascii="Times New Roman" w:hAnsi="Times New Roman"/>
        </w:rPr>
        <w:t>26.31</w:t>
      </w:r>
      <w:r w:rsidRPr="00A834FD">
        <w:rPr>
          <w:rFonts w:ascii="Times New Roman" w:hAnsi="Times New Roman"/>
        </w:rPr>
        <w:t xml:space="preserve"> for program evaluators. </w:t>
      </w:r>
    </w:p>
    <w:p w14:paraId="296B9375" w14:textId="73B67C9A" w:rsidR="0018462C" w:rsidRPr="00A834FD" w:rsidRDefault="0018462C" w:rsidP="0018462C">
      <w:pPr>
        <w:pStyle w:val="BodyText"/>
        <w:numPr>
          <w:ilvl w:val="0"/>
          <w:numId w:val="36"/>
        </w:numPr>
        <w:rPr>
          <w:rFonts w:ascii="Times New Roman" w:hAnsi="Times New Roman"/>
        </w:rPr>
      </w:pPr>
      <w:r w:rsidRPr="00A834FD">
        <w:rPr>
          <w:rFonts w:ascii="Times New Roman" w:hAnsi="Times New Roman"/>
        </w:rPr>
        <w:t>The average annual salary of $</w:t>
      </w:r>
      <w:r w:rsidR="00A015C9" w:rsidRPr="00A834FD">
        <w:rPr>
          <w:rFonts w:ascii="Times New Roman" w:hAnsi="Times New Roman"/>
        </w:rPr>
        <w:t>74,120</w:t>
      </w:r>
      <w:r w:rsidRPr="00A834FD">
        <w:rPr>
          <w:rFonts w:ascii="Times New Roman" w:hAnsi="Times New Roman"/>
        </w:rPr>
        <w:t xml:space="preserve"> for epidemiologists was used to calculate the hourly wage of $</w:t>
      </w:r>
      <w:r w:rsidR="00A015C9" w:rsidRPr="00A834FD">
        <w:rPr>
          <w:rFonts w:ascii="Times New Roman" w:hAnsi="Times New Roman"/>
        </w:rPr>
        <w:t>35.63</w:t>
      </w:r>
      <w:r w:rsidRPr="00A834FD">
        <w:rPr>
          <w:rFonts w:ascii="Times New Roman" w:hAnsi="Times New Roman"/>
        </w:rPr>
        <w:t xml:space="preserve"> for epidemiologists. </w:t>
      </w:r>
    </w:p>
    <w:p w14:paraId="5AF0F408" w14:textId="77777777" w:rsidR="00E528DC" w:rsidRPr="00A834FD" w:rsidRDefault="004A76E2" w:rsidP="00E528DC">
      <w:pPr>
        <w:pStyle w:val="BodyText"/>
        <w:numPr>
          <w:ilvl w:val="0"/>
          <w:numId w:val="36"/>
        </w:numPr>
        <w:rPr>
          <w:rFonts w:ascii="Times New Roman" w:hAnsi="Times New Roman"/>
        </w:rPr>
      </w:pPr>
      <w:r w:rsidRPr="00A834FD">
        <w:rPr>
          <w:rFonts w:ascii="Times New Roman" w:hAnsi="Times New Roman"/>
        </w:rPr>
        <w:t xml:space="preserve">The average salary of $42.450 for </w:t>
      </w:r>
      <w:r w:rsidR="00F10F1F" w:rsidRPr="00A834FD">
        <w:rPr>
          <w:rFonts w:ascii="Times New Roman" w:hAnsi="Times New Roman"/>
        </w:rPr>
        <w:t xml:space="preserve">health educators and community health workers was used to calculate the hourly wage of $20.41 for program staff with subject matter expertise. </w:t>
      </w:r>
    </w:p>
    <w:p w14:paraId="0D65C694" w14:textId="15E145F7" w:rsidR="004A6805" w:rsidRDefault="004A6805" w:rsidP="00E528DC">
      <w:pPr>
        <w:pStyle w:val="BodyText"/>
        <w:rPr>
          <w:rFonts w:ascii="Times New Roman" w:hAnsi="Times New Roman"/>
        </w:rPr>
      </w:pPr>
      <w:r w:rsidRPr="00945889">
        <w:rPr>
          <w:rFonts w:ascii="Times New Roman" w:hAnsi="Times New Roman"/>
        </w:rPr>
        <w:t xml:space="preserve">The estimated annualized cost to respondents is </w:t>
      </w:r>
      <w:r w:rsidR="000918F9">
        <w:rPr>
          <w:rFonts w:ascii="Times New Roman" w:hAnsi="Times New Roman"/>
          <w:color w:val="000000"/>
        </w:rPr>
        <w:t>$9,0</w:t>
      </w:r>
      <w:r w:rsidR="00F6654C">
        <w:rPr>
          <w:rFonts w:ascii="Times New Roman" w:hAnsi="Times New Roman"/>
          <w:color w:val="000000"/>
        </w:rPr>
        <w:t>80.00</w:t>
      </w:r>
      <w:r w:rsidR="006F21B6" w:rsidRPr="00945889">
        <w:rPr>
          <w:rFonts w:ascii="Times New Roman" w:hAnsi="Times New Roman"/>
          <w:color w:val="000000"/>
        </w:rPr>
        <w:t xml:space="preserve"> </w:t>
      </w:r>
      <w:r w:rsidRPr="00945889">
        <w:rPr>
          <w:rFonts w:ascii="Times New Roman" w:hAnsi="Times New Roman"/>
        </w:rPr>
        <w:t>as summarized</w:t>
      </w:r>
      <w:r w:rsidRPr="004A6805">
        <w:rPr>
          <w:rFonts w:ascii="Times New Roman" w:hAnsi="Times New Roman"/>
        </w:rPr>
        <w:t xml:space="preserve"> below in Table A.12-</w:t>
      </w:r>
      <w:r>
        <w:rPr>
          <w:rFonts w:ascii="Times New Roman" w:hAnsi="Times New Roman"/>
        </w:rPr>
        <w:t>2</w:t>
      </w:r>
      <w:r w:rsidRPr="004A6805">
        <w:rPr>
          <w:rFonts w:ascii="Times New Roman" w:hAnsi="Times New Roman"/>
        </w:rPr>
        <w:t>.</w:t>
      </w:r>
    </w:p>
    <w:p w14:paraId="147FCBA6" w14:textId="77777777" w:rsidR="00413A4D" w:rsidRDefault="00413A4D" w:rsidP="00413A4D">
      <w:pPr>
        <w:rPr>
          <w:b/>
          <w:bCs/>
          <w:u w:val="single"/>
        </w:rPr>
      </w:pPr>
      <w:r w:rsidRPr="00064AC5">
        <w:rPr>
          <w:b/>
          <w:bCs/>
          <w:u w:val="single"/>
        </w:rPr>
        <w:t>Table A12-2.  Estimated Annualized Cost to Respondents</w:t>
      </w:r>
    </w:p>
    <w:p w14:paraId="05B45568" w14:textId="77777777" w:rsidR="00126C9B" w:rsidRDefault="00126C9B" w:rsidP="00413A4D">
      <w:pPr>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950"/>
        <w:gridCol w:w="1395"/>
        <w:gridCol w:w="1302"/>
        <w:gridCol w:w="1545"/>
        <w:gridCol w:w="1382"/>
        <w:gridCol w:w="1043"/>
      </w:tblGrid>
      <w:tr w:rsidR="00F6654C" w:rsidRPr="00AC78A0" w14:paraId="1BF954D8" w14:textId="77777777" w:rsidTr="00F6654C">
        <w:trPr>
          <w:cantSplit/>
        </w:trPr>
        <w:tc>
          <w:tcPr>
            <w:tcW w:w="927" w:type="pct"/>
            <w:tcBorders>
              <w:top w:val="single" w:sz="4" w:space="0" w:color="auto"/>
              <w:left w:val="single" w:sz="4" w:space="0" w:color="auto"/>
              <w:bottom w:val="single" w:sz="4" w:space="0" w:color="auto"/>
              <w:right w:val="single" w:sz="4" w:space="0" w:color="auto"/>
            </w:tcBorders>
            <w:vAlign w:val="center"/>
          </w:tcPr>
          <w:p w14:paraId="305FAE14" w14:textId="77777777" w:rsidR="00F6654C" w:rsidRPr="00AC78A0" w:rsidRDefault="00F6654C" w:rsidP="00C80A12">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Type of Respondents</w:t>
            </w:r>
          </w:p>
        </w:tc>
        <w:tc>
          <w:tcPr>
            <w:tcW w:w="508" w:type="pct"/>
            <w:tcBorders>
              <w:top w:val="single" w:sz="4" w:space="0" w:color="auto"/>
              <w:left w:val="single" w:sz="4" w:space="0" w:color="auto"/>
              <w:bottom w:val="single" w:sz="4" w:space="0" w:color="auto"/>
              <w:right w:val="single" w:sz="4" w:space="0" w:color="auto"/>
            </w:tcBorders>
          </w:tcPr>
          <w:p w14:paraId="3A69200A" w14:textId="186DDCA3" w:rsidR="00F6654C" w:rsidRPr="00AC78A0" w:rsidRDefault="00F6654C" w:rsidP="00C80A12">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 xml:space="preserve">Form Name </w:t>
            </w:r>
          </w:p>
        </w:tc>
        <w:tc>
          <w:tcPr>
            <w:tcW w:w="746" w:type="pct"/>
            <w:tcBorders>
              <w:top w:val="single" w:sz="4" w:space="0" w:color="auto"/>
              <w:left w:val="single" w:sz="4" w:space="0" w:color="auto"/>
              <w:bottom w:val="single" w:sz="4" w:space="0" w:color="auto"/>
              <w:right w:val="single" w:sz="4" w:space="0" w:color="auto"/>
            </w:tcBorders>
            <w:vAlign w:val="center"/>
            <w:hideMark/>
          </w:tcPr>
          <w:p w14:paraId="61A6109A" w14:textId="03D9178D" w:rsidR="00F6654C" w:rsidRPr="00AC78A0" w:rsidRDefault="00F6654C" w:rsidP="00C80A12">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Number of Respondents</w:t>
            </w:r>
          </w:p>
        </w:tc>
        <w:tc>
          <w:tcPr>
            <w:tcW w:w="696" w:type="pct"/>
            <w:tcBorders>
              <w:top w:val="single" w:sz="4" w:space="0" w:color="auto"/>
              <w:left w:val="single" w:sz="4" w:space="0" w:color="auto"/>
              <w:bottom w:val="single" w:sz="4" w:space="0" w:color="auto"/>
              <w:right w:val="single" w:sz="4" w:space="0" w:color="auto"/>
            </w:tcBorders>
            <w:vAlign w:val="center"/>
            <w:hideMark/>
          </w:tcPr>
          <w:p w14:paraId="3AD7CDE5" w14:textId="77777777" w:rsidR="00F6654C" w:rsidRPr="00AC78A0" w:rsidRDefault="00F6654C" w:rsidP="00C80A12">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Number of Responses per Respondent</w:t>
            </w:r>
          </w:p>
        </w:tc>
        <w:tc>
          <w:tcPr>
            <w:tcW w:w="826" w:type="pct"/>
            <w:tcBorders>
              <w:top w:val="single" w:sz="4" w:space="0" w:color="auto"/>
              <w:left w:val="single" w:sz="4" w:space="0" w:color="auto"/>
              <w:bottom w:val="single" w:sz="4" w:space="0" w:color="auto"/>
              <w:right w:val="single" w:sz="4" w:space="0" w:color="auto"/>
            </w:tcBorders>
            <w:vAlign w:val="center"/>
          </w:tcPr>
          <w:p w14:paraId="736FE32E" w14:textId="77777777" w:rsidR="00F6654C" w:rsidRPr="00AC78A0" w:rsidRDefault="00F6654C" w:rsidP="00C80A12">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Average Hourly Wage</w:t>
            </w:r>
          </w:p>
        </w:tc>
        <w:tc>
          <w:tcPr>
            <w:tcW w:w="739" w:type="pct"/>
            <w:tcBorders>
              <w:top w:val="single" w:sz="4" w:space="0" w:color="auto"/>
              <w:left w:val="single" w:sz="4" w:space="0" w:color="auto"/>
              <w:bottom w:val="single" w:sz="4" w:space="0" w:color="auto"/>
              <w:right w:val="single" w:sz="4" w:space="0" w:color="auto"/>
            </w:tcBorders>
            <w:vAlign w:val="center"/>
            <w:hideMark/>
          </w:tcPr>
          <w:p w14:paraId="266B541F" w14:textId="77777777" w:rsidR="00F6654C" w:rsidRPr="00AC78A0" w:rsidRDefault="00F6654C" w:rsidP="00C80A12">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Total Burden (in hr)</w:t>
            </w:r>
          </w:p>
        </w:tc>
        <w:tc>
          <w:tcPr>
            <w:tcW w:w="558" w:type="pct"/>
            <w:tcBorders>
              <w:top w:val="single" w:sz="4" w:space="0" w:color="auto"/>
              <w:left w:val="single" w:sz="4" w:space="0" w:color="auto"/>
              <w:bottom w:val="single" w:sz="4" w:space="0" w:color="auto"/>
              <w:right w:val="single" w:sz="4" w:space="0" w:color="auto"/>
            </w:tcBorders>
            <w:vAlign w:val="center"/>
          </w:tcPr>
          <w:p w14:paraId="7E86FF33" w14:textId="77777777" w:rsidR="00F6654C" w:rsidRPr="00AC78A0" w:rsidRDefault="00F6654C" w:rsidP="00C80A12">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Total Cost</w:t>
            </w:r>
          </w:p>
        </w:tc>
      </w:tr>
      <w:tr w:rsidR="00F6654C" w:rsidRPr="00AC78A0" w14:paraId="3FDFF6AB" w14:textId="77777777" w:rsidTr="00906A68">
        <w:trPr>
          <w:cantSplit/>
        </w:trPr>
        <w:tc>
          <w:tcPr>
            <w:tcW w:w="927" w:type="pct"/>
            <w:tcBorders>
              <w:top w:val="single" w:sz="4" w:space="0" w:color="auto"/>
              <w:left w:val="single" w:sz="4" w:space="0" w:color="auto"/>
              <w:bottom w:val="single" w:sz="4" w:space="0" w:color="auto"/>
              <w:right w:val="single" w:sz="4" w:space="0" w:color="auto"/>
            </w:tcBorders>
            <w:vAlign w:val="center"/>
          </w:tcPr>
          <w:p w14:paraId="17F3CF0C" w14:textId="1FA96350" w:rsidR="00F6654C" w:rsidRPr="00AC78A0" w:rsidRDefault="00F6654C" w:rsidP="00C80A12">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Principal Investigators</w:t>
            </w:r>
          </w:p>
        </w:tc>
        <w:tc>
          <w:tcPr>
            <w:tcW w:w="508" w:type="pct"/>
            <w:tcBorders>
              <w:top w:val="single" w:sz="4" w:space="0" w:color="auto"/>
              <w:left w:val="single" w:sz="4" w:space="0" w:color="auto"/>
              <w:bottom w:val="single" w:sz="4" w:space="0" w:color="auto"/>
              <w:right w:val="single" w:sz="4" w:space="0" w:color="auto"/>
            </w:tcBorders>
            <w:vAlign w:val="center"/>
          </w:tcPr>
          <w:p w14:paraId="68B2B444" w14:textId="1532B816" w:rsidR="00F6654C" w:rsidRPr="00AC78A0" w:rsidRDefault="00F6654C" w:rsidP="00C80A12">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State Synergy Survey</w:t>
            </w:r>
          </w:p>
        </w:tc>
        <w:tc>
          <w:tcPr>
            <w:tcW w:w="746" w:type="pct"/>
            <w:tcBorders>
              <w:top w:val="single" w:sz="4" w:space="0" w:color="auto"/>
              <w:left w:val="single" w:sz="4" w:space="0" w:color="auto"/>
              <w:bottom w:val="single" w:sz="4" w:space="0" w:color="auto"/>
              <w:right w:val="single" w:sz="4" w:space="0" w:color="auto"/>
            </w:tcBorders>
            <w:vAlign w:val="center"/>
          </w:tcPr>
          <w:p w14:paraId="7F5AB2E8" w14:textId="6DFEF2BA" w:rsidR="00F6654C" w:rsidRPr="00AC78A0" w:rsidRDefault="00F6654C" w:rsidP="00C80A12">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51</w:t>
            </w:r>
          </w:p>
        </w:tc>
        <w:tc>
          <w:tcPr>
            <w:tcW w:w="696" w:type="pct"/>
            <w:tcBorders>
              <w:top w:val="single" w:sz="4" w:space="0" w:color="auto"/>
              <w:left w:val="single" w:sz="4" w:space="0" w:color="auto"/>
              <w:bottom w:val="single" w:sz="4" w:space="0" w:color="auto"/>
              <w:right w:val="single" w:sz="4" w:space="0" w:color="auto"/>
            </w:tcBorders>
            <w:vAlign w:val="center"/>
          </w:tcPr>
          <w:p w14:paraId="558E6D49" w14:textId="6A570820" w:rsidR="00F6654C" w:rsidRPr="00AC78A0" w:rsidRDefault="00F6654C" w:rsidP="00C80A12">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1</w:t>
            </w:r>
          </w:p>
        </w:tc>
        <w:tc>
          <w:tcPr>
            <w:tcW w:w="826" w:type="pct"/>
            <w:tcBorders>
              <w:top w:val="single" w:sz="4" w:space="0" w:color="auto"/>
              <w:left w:val="single" w:sz="4" w:space="0" w:color="auto"/>
              <w:bottom w:val="single" w:sz="4" w:space="0" w:color="auto"/>
              <w:right w:val="single" w:sz="4" w:space="0" w:color="auto"/>
            </w:tcBorders>
            <w:vAlign w:val="center"/>
          </w:tcPr>
          <w:p w14:paraId="205B19DB" w14:textId="03CC8D01" w:rsidR="00F6654C" w:rsidRPr="00AC78A0" w:rsidRDefault="00F6654C" w:rsidP="00C80A12">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$38.48</w:t>
            </w:r>
          </w:p>
        </w:tc>
        <w:tc>
          <w:tcPr>
            <w:tcW w:w="739" w:type="pct"/>
            <w:tcBorders>
              <w:top w:val="single" w:sz="4" w:space="0" w:color="auto"/>
              <w:left w:val="single" w:sz="4" w:space="0" w:color="auto"/>
              <w:bottom w:val="single" w:sz="4" w:space="0" w:color="auto"/>
              <w:right w:val="single" w:sz="4" w:space="0" w:color="auto"/>
            </w:tcBorders>
            <w:vAlign w:val="center"/>
          </w:tcPr>
          <w:p w14:paraId="61FBAAAB" w14:textId="0A10F719" w:rsidR="00F6654C" w:rsidRPr="00AC78A0" w:rsidRDefault="00F6654C" w:rsidP="00C80A12">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38</w:t>
            </w:r>
          </w:p>
        </w:tc>
        <w:tc>
          <w:tcPr>
            <w:tcW w:w="558" w:type="pct"/>
            <w:tcBorders>
              <w:top w:val="single" w:sz="4" w:space="0" w:color="auto"/>
              <w:left w:val="single" w:sz="4" w:space="0" w:color="auto"/>
              <w:bottom w:val="single" w:sz="4" w:space="0" w:color="auto"/>
              <w:right w:val="single" w:sz="4" w:space="0" w:color="auto"/>
            </w:tcBorders>
            <w:vAlign w:val="center"/>
          </w:tcPr>
          <w:p w14:paraId="0ECF403C" w14:textId="6C3802AF" w:rsidR="00F6654C" w:rsidRPr="00AC78A0" w:rsidRDefault="00F6654C" w:rsidP="009E32E8">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$1</w:t>
            </w:r>
            <w:r w:rsidR="00673219">
              <w:rPr>
                <w:rFonts w:ascii="Times New Roman" w:hAnsi="Times New Roman" w:cs="Times New Roman"/>
                <w:color w:val="auto"/>
                <w:sz w:val="22"/>
              </w:rPr>
              <w:t>,462</w:t>
            </w:r>
          </w:p>
        </w:tc>
      </w:tr>
      <w:tr w:rsidR="00F6654C" w:rsidRPr="00AC78A0" w14:paraId="2588BB1E" w14:textId="77777777" w:rsidTr="00906A68">
        <w:trPr>
          <w:cantSplit/>
        </w:trPr>
        <w:tc>
          <w:tcPr>
            <w:tcW w:w="927" w:type="pct"/>
            <w:tcBorders>
              <w:top w:val="single" w:sz="4" w:space="0" w:color="auto"/>
              <w:left w:val="single" w:sz="4" w:space="0" w:color="auto"/>
              <w:bottom w:val="single" w:sz="4" w:space="0" w:color="auto"/>
              <w:right w:val="single" w:sz="4" w:space="0" w:color="auto"/>
            </w:tcBorders>
            <w:vAlign w:val="center"/>
          </w:tcPr>
          <w:p w14:paraId="2E1FF559" w14:textId="4C1F20F4" w:rsidR="00F6654C" w:rsidRPr="00AC78A0" w:rsidRDefault="00F6654C" w:rsidP="00906A68">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Chronic Disease Directors</w:t>
            </w:r>
          </w:p>
        </w:tc>
        <w:tc>
          <w:tcPr>
            <w:tcW w:w="508" w:type="pct"/>
            <w:tcBorders>
              <w:top w:val="single" w:sz="4" w:space="0" w:color="auto"/>
              <w:left w:val="single" w:sz="4" w:space="0" w:color="auto"/>
              <w:bottom w:val="single" w:sz="4" w:space="0" w:color="auto"/>
              <w:right w:val="single" w:sz="4" w:space="0" w:color="auto"/>
            </w:tcBorders>
            <w:vAlign w:val="center"/>
          </w:tcPr>
          <w:p w14:paraId="50F570B7" w14:textId="0CF3FD1E" w:rsidR="00F6654C" w:rsidRPr="00AC78A0" w:rsidRDefault="00F6654C" w:rsidP="00254CC7">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State</w:t>
            </w:r>
            <w:r w:rsidRPr="00641304">
              <w:rPr>
                <w:rFonts w:ascii="Times New Roman" w:hAnsi="Times New Roman" w:cs="Times New Roman"/>
                <w:color w:val="auto"/>
                <w:sz w:val="22"/>
              </w:rPr>
              <w:t xml:space="preserve"> Synergy Survey</w:t>
            </w:r>
          </w:p>
        </w:tc>
        <w:tc>
          <w:tcPr>
            <w:tcW w:w="746" w:type="pct"/>
            <w:tcBorders>
              <w:top w:val="single" w:sz="4" w:space="0" w:color="auto"/>
              <w:left w:val="single" w:sz="4" w:space="0" w:color="auto"/>
              <w:bottom w:val="single" w:sz="4" w:space="0" w:color="auto"/>
              <w:right w:val="single" w:sz="4" w:space="0" w:color="auto"/>
            </w:tcBorders>
            <w:vAlign w:val="center"/>
            <w:hideMark/>
          </w:tcPr>
          <w:p w14:paraId="1B141C7E" w14:textId="2ABA87B8" w:rsidR="00F6654C" w:rsidRPr="00AC78A0" w:rsidRDefault="00F6654C" w:rsidP="00254CC7">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51</w:t>
            </w:r>
          </w:p>
        </w:tc>
        <w:tc>
          <w:tcPr>
            <w:tcW w:w="696" w:type="pct"/>
            <w:tcBorders>
              <w:top w:val="single" w:sz="4" w:space="0" w:color="auto"/>
              <w:left w:val="single" w:sz="4" w:space="0" w:color="auto"/>
              <w:bottom w:val="single" w:sz="4" w:space="0" w:color="auto"/>
              <w:right w:val="single" w:sz="4" w:space="0" w:color="auto"/>
            </w:tcBorders>
            <w:vAlign w:val="center"/>
            <w:hideMark/>
          </w:tcPr>
          <w:p w14:paraId="6D95DA59" w14:textId="77777777" w:rsidR="00F6654C" w:rsidRPr="00AC78A0" w:rsidRDefault="00F6654C" w:rsidP="00254CC7">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1</w:t>
            </w:r>
          </w:p>
        </w:tc>
        <w:tc>
          <w:tcPr>
            <w:tcW w:w="826" w:type="pct"/>
            <w:tcBorders>
              <w:top w:val="single" w:sz="4" w:space="0" w:color="auto"/>
              <w:left w:val="single" w:sz="4" w:space="0" w:color="auto"/>
              <w:bottom w:val="single" w:sz="4" w:space="0" w:color="auto"/>
              <w:right w:val="single" w:sz="4" w:space="0" w:color="auto"/>
            </w:tcBorders>
            <w:vAlign w:val="center"/>
          </w:tcPr>
          <w:p w14:paraId="2CFA1993" w14:textId="0AAD492D" w:rsidR="00F6654C" w:rsidRPr="00AC78A0" w:rsidRDefault="00F6654C" w:rsidP="00254CC7">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$56.35</w:t>
            </w:r>
          </w:p>
        </w:tc>
        <w:tc>
          <w:tcPr>
            <w:tcW w:w="739" w:type="pct"/>
            <w:tcBorders>
              <w:top w:val="single" w:sz="4" w:space="0" w:color="auto"/>
              <w:left w:val="single" w:sz="4" w:space="0" w:color="auto"/>
              <w:bottom w:val="single" w:sz="4" w:space="0" w:color="auto"/>
              <w:right w:val="single" w:sz="4" w:space="0" w:color="auto"/>
            </w:tcBorders>
            <w:vAlign w:val="center"/>
            <w:hideMark/>
          </w:tcPr>
          <w:p w14:paraId="11B3D5A7" w14:textId="0A3CCA64" w:rsidR="00F6654C" w:rsidRPr="00AC78A0" w:rsidRDefault="00F6654C" w:rsidP="00254CC7">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38</w:t>
            </w:r>
          </w:p>
        </w:tc>
        <w:tc>
          <w:tcPr>
            <w:tcW w:w="558" w:type="pct"/>
            <w:tcBorders>
              <w:top w:val="single" w:sz="4" w:space="0" w:color="auto"/>
              <w:left w:val="single" w:sz="4" w:space="0" w:color="auto"/>
              <w:bottom w:val="single" w:sz="4" w:space="0" w:color="auto"/>
              <w:right w:val="single" w:sz="4" w:space="0" w:color="auto"/>
            </w:tcBorders>
            <w:vAlign w:val="center"/>
          </w:tcPr>
          <w:p w14:paraId="3B181274" w14:textId="26BFDC97" w:rsidR="00F6654C" w:rsidRPr="00AC78A0" w:rsidRDefault="00F6654C" w:rsidP="00254CC7">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w:t>
            </w:r>
            <w:r w:rsidR="00673219">
              <w:rPr>
                <w:rFonts w:ascii="Times New Roman" w:hAnsi="Times New Roman" w:cs="Times New Roman"/>
                <w:color w:val="auto"/>
                <w:sz w:val="22"/>
              </w:rPr>
              <w:t>,2141</w:t>
            </w:r>
          </w:p>
        </w:tc>
      </w:tr>
      <w:tr w:rsidR="00F6654C" w:rsidRPr="00AC78A0" w14:paraId="2F59ED96" w14:textId="77777777" w:rsidTr="00906A68">
        <w:trPr>
          <w:cantSplit/>
        </w:trPr>
        <w:tc>
          <w:tcPr>
            <w:tcW w:w="927" w:type="pct"/>
            <w:tcBorders>
              <w:top w:val="single" w:sz="4" w:space="0" w:color="auto"/>
              <w:left w:val="single" w:sz="4" w:space="0" w:color="auto"/>
              <w:bottom w:val="single" w:sz="4" w:space="0" w:color="auto"/>
              <w:right w:val="single" w:sz="4" w:space="0" w:color="auto"/>
            </w:tcBorders>
            <w:vAlign w:val="center"/>
          </w:tcPr>
          <w:p w14:paraId="002CC41B" w14:textId="50C26164" w:rsidR="00F6654C" w:rsidRPr="00AC78A0" w:rsidRDefault="00F6654C" w:rsidP="00906A68">
            <w:pPr>
              <w:jc w:val="center"/>
              <w:rPr>
                <w:sz w:val="22"/>
              </w:rPr>
            </w:pPr>
            <w:r w:rsidRPr="00AC78A0">
              <w:rPr>
                <w:sz w:val="22"/>
              </w:rPr>
              <w:lastRenderedPageBreak/>
              <w:t>Evaluators</w:t>
            </w:r>
          </w:p>
        </w:tc>
        <w:tc>
          <w:tcPr>
            <w:tcW w:w="508" w:type="pct"/>
            <w:tcBorders>
              <w:top w:val="single" w:sz="4" w:space="0" w:color="auto"/>
              <w:left w:val="single" w:sz="4" w:space="0" w:color="auto"/>
              <w:bottom w:val="single" w:sz="4" w:space="0" w:color="auto"/>
              <w:right w:val="single" w:sz="4" w:space="0" w:color="auto"/>
            </w:tcBorders>
            <w:vAlign w:val="center"/>
          </w:tcPr>
          <w:p w14:paraId="46E84072" w14:textId="64855D47" w:rsidR="00F6654C" w:rsidRDefault="00F6654C" w:rsidP="00254CC7">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State</w:t>
            </w:r>
            <w:r w:rsidRPr="00641304">
              <w:rPr>
                <w:rFonts w:ascii="Times New Roman" w:hAnsi="Times New Roman" w:cs="Times New Roman"/>
                <w:color w:val="auto"/>
                <w:sz w:val="22"/>
              </w:rPr>
              <w:t xml:space="preserve"> Synergy Survey</w:t>
            </w:r>
          </w:p>
        </w:tc>
        <w:tc>
          <w:tcPr>
            <w:tcW w:w="746" w:type="pct"/>
            <w:tcBorders>
              <w:top w:val="single" w:sz="4" w:space="0" w:color="auto"/>
              <w:left w:val="single" w:sz="4" w:space="0" w:color="auto"/>
              <w:bottom w:val="single" w:sz="4" w:space="0" w:color="auto"/>
              <w:right w:val="single" w:sz="4" w:space="0" w:color="auto"/>
            </w:tcBorders>
            <w:vAlign w:val="center"/>
            <w:hideMark/>
          </w:tcPr>
          <w:p w14:paraId="506BF130" w14:textId="72F1F245" w:rsidR="00F6654C" w:rsidRPr="00AC78A0" w:rsidRDefault="00F6654C" w:rsidP="00254CC7">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51</w:t>
            </w:r>
          </w:p>
        </w:tc>
        <w:tc>
          <w:tcPr>
            <w:tcW w:w="696" w:type="pct"/>
            <w:tcBorders>
              <w:top w:val="single" w:sz="4" w:space="0" w:color="auto"/>
              <w:left w:val="single" w:sz="4" w:space="0" w:color="auto"/>
              <w:bottom w:val="single" w:sz="4" w:space="0" w:color="auto"/>
              <w:right w:val="single" w:sz="4" w:space="0" w:color="auto"/>
            </w:tcBorders>
            <w:vAlign w:val="center"/>
            <w:hideMark/>
          </w:tcPr>
          <w:p w14:paraId="58108CD0" w14:textId="77777777" w:rsidR="00F6654C" w:rsidRPr="00AC78A0" w:rsidRDefault="00F6654C" w:rsidP="00254CC7">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1</w:t>
            </w:r>
          </w:p>
        </w:tc>
        <w:tc>
          <w:tcPr>
            <w:tcW w:w="826" w:type="pct"/>
            <w:tcBorders>
              <w:top w:val="single" w:sz="4" w:space="0" w:color="auto"/>
              <w:left w:val="single" w:sz="4" w:space="0" w:color="auto"/>
              <w:bottom w:val="single" w:sz="4" w:space="0" w:color="auto"/>
              <w:right w:val="single" w:sz="4" w:space="0" w:color="auto"/>
            </w:tcBorders>
            <w:vAlign w:val="center"/>
          </w:tcPr>
          <w:p w14:paraId="55542584" w14:textId="61472D7B" w:rsidR="00F6654C" w:rsidRPr="00AC78A0" w:rsidRDefault="00F6654C" w:rsidP="00254CC7">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w:t>
            </w:r>
            <w:r>
              <w:rPr>
                <w:rFonts w:ascii="Times New Roman" w:hAnsi="Times New Roman" w:cs="Times New Roman"/>
                <w:color w:val="auto"/>
                <w:sz w:val="22"/>
              </w:rPr>
              <w:t>26.31</w:t>
            </w:r>
          </w:p>
          <w:p w14:paraId="183028F9" w14:textId="77777777" w:rsidR="00F6654C" w:rsidRPr="00AC78A0" w:rsidRDefault="00F6654C" w:rsidP="00254CC7">
            <w:pPr>
              <w:pStyle w:val="Default"/>
              <w:tabs>
                <w:tab w:val="left" w:pos="0"/>
              </w:tabs>
              <w:rPr>
                <w:rFonts w:ascii="Times New Roman" w:hAnsi="Times New Roman" w:cs="Times New Roman"/>
                <w:color w:val="auto"/>
                <w:sz w:val="22"/>
              </w:rPr>
            </w:pPr>
          </w:p>
        </w:tc>
        <w:tc>
          <w:tcPr>
            <w:tcW w:w="739" w:type="pct"/>
            <w:tcBorders>
              <w:top w:val="single" w:sz="4" w:space="0" w:color="auto"/>
              <w:left w:val="single" w:sz="4" w:space="0" w:color="auto"/>
              <w:bottom w:val="single" w:sz="4" w:space="0" w:color="auto"/>
              <w:right w:val="single" w:sz="4" w:space="0" w:color="auto"/>
            </w:tcBorders>
            <w:vAlign w:val="center"/>
            <w:hideMark/>
          </w:tcPr>
          <w:p w14:paraId="0AA0A124" w14:textId="3E0CFABD" w:rsidR="00F6654C" w:rsidRPr="00AC78A0" w:rsidRDefault="00F6654C" w:rsidP="00254CC7">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38</w:t>
            </w:r>
          </w:p>
        </w:tc>
        <w:tc>
          <w:tcPr>
            <w:tcW w:w="558" w:type="pct"/>
            <w:tcBorders>
              <w:top w:val="single" w:sz="4" w:space="0" w:color="auto"/>
              <w:left w:val="single" w:sz="4" w:space="0" w:color="auto"/>
              <w:bottom w:val="single" w:sz="4" w:space="0" w:color="auto"/>
              <w:right w:val="single" w:sz="4" w:space="0" w:color="auto"/>
            </w:tcBorders>
            <w:vAlign w:val="center"/>
          </w:tcPr>
          <w:p w14:paraId="4F529CE5" w14:textId="2F682B0D" w:rsidR="00F6654C" w:rsidRPr="00AC78A0" w:rsidRDefault="00F6654C" w:rsidP="00254CC7">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w:t>
            </w:r>
            <w:r w:rsidR="00673219">
              <w:rPr>
                <w:rFonts w:ascii="Times New Roman" w:hAnsi="Times New Roman" w:cs="Times New Roman"/>
                <w:color w:val="auto"/>
                <w:sz w:val="22"/>
              </w:rPr>
              <w:t>1,000</w:t>
            </w:r>
          </w:p>
        </w:tc>
      </w:tr>
      <w:tr w:rsidR="00F6654C" w:rsidRPr="00AC78A0" w14:paraId="676AC65D" w14:textId="77777777" w:rsidTr="00906A68">
        <w:trPr>
          <w:cantSplit/>
        </w:trPr>
        <w:tc>
          <w:tcPr>
            <w:tcW w:w="927" w:type="pct"/>
            <w:tcBorders>
              <w:top w:val="single" w:sz="4" w:space="0" w:color="auto"/>
              <w:left w:val="single" w:sz="4" w:space="0" w:color="auto"/>
              <w:bottom w:val="single" w:sz="4" w:space="0" w:color="auto"/>
              <w:right w:val="single" w:sz="4" w:space="0" w:color="auto"/>
            </w:tcBorders>
            <w:vAlign w:val="center"/>
          </w:tcPr>
          <w:p w14:paraId="540EC27E" w14:textId="35AD3476" w:rsidR="00F6654C" w:rsidRPr="00AC78A0" w:rsidRDefault="00F6654C" w:rsidP="00906A68">
            <w:pPr>
              <w:jc w:val="center"/>
              <w:rPr>
                <w:sz w:val="22"/>
              </w:rPr>
            </w:pPr>
            <w:r w:rsidRPr="00AC78A0">
              <w:rPr>
                <w:sz w:val="22"/>
              </w:rPr>
              <w:t>Epidemiologists</w:t>
            </w:r>
          </w:p>
        </w:tc>
        <w:tc>
          <w:tcPr>
            <w:tcW w:w="508" w:type="pct"/>
            <w:tcBorders>
              <w:top w:val="single" w:sz="4" w:space="0" w:color="auto"/>
              <w:left w:val="single" w:sz="4" w:space="0" w:color="auto"/>
              <w:bottom w:val="single" w:sz="4" w:space="0" w:color="auto"/>
              <w:right w:val="single" w:sz="4" w:space="0" w:color="auto"/>
            </w:tcBorders>
            <w:vAlign w:val="center"/>
          </w:tcPr>
          <w:p w14:paraId="48D43041" w14:textId="341A8146" w:rsidR="00F6654C" w:rsidRPr="00AC78A0" w:rsidRDefault="00F6654C" w:rsidP="00254CC7">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State</w:t>
            </w:r>
            <w:r w:rsidRPr="00641304">
              <w:rPr>
                <w:rFonts w:ascii="Times New Roman" w:hAnsi="Times New Roman" w:cs="Times New Roman"/>
                <w:color w:val="auto"/>
                <w:sz w:val="22"/>
              </w:rPr>
              <w:t xml:space="preserve"> Synergy Survey</w:t>
            </w:r>
          </w:p>
        </w:tc>
        <w:tc>
          <w:tcPr>
            <w:tcW w:w="746" w:type="pct"/>
            <w:tcBorders>
              <w:top w:val="single" w:sz="4" w:space="0" w:color="auto"/>
              <w:left w:val="single" w:sz="4" w:space="0" w:color="auto"/>
              <w:bottom w:val="single" w:sz="4" w:space="0" w:color="auto"/>
              <w:right w:val="single" w:sz="4" w:space="0" w:color="auto"/>
            </w:tcBorders>
            <w:vAlign w:val="center"/>
          </w:tcPr>
          <w:p w14:paraId="55483E4E" w14:textId="56FD2729" w:rsidR="00F6654C" w:rsidRPr="00AC78A0" w:rsidRDefault="00F6654C" w:rsidP="00254CC7">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51</w:t>
            </w:r>
          </w:p>
        </w:tc>
        <w:tc>
          <w:tcPr>
            <w:tcW w:w="696" w:type="pct"/>
            <w:tcBorders>
              <w:top w:val="single" w:sz="4" w:space="0" w:color="auto"/>
              <w:left w:val="single" w:sz="4" w:space="0" w:color="auto"/>
              <w:bottom w:val="single" w:sz="4" w:space="0" w:color="auto"/>
              <w:right w:val="single" w:sz="4" w:space="0" w:color="auto"/>
            </w:tcBorders>
            <w:vAlign w:val="center"/>
          </w:tcPr>
          <w:p w14:paraId="4F8B0AB4" w14:textId="49C82755" w:rsidR="00F6654C" w:rsidRPr="00AC78A0" w:rsidRDefault="00F6654C" w:rsidP="00254CC7">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1</w:t>
            </w:r>
          </w:p>
        </w:tc>
        <w:tc>
          <w:tcPr>
            <w:tcW w:w="826" w:type="pct"/>
            <w:tcBorders>
              <w:top w:val="single" w:sz="4" w:space="0" w:color="auto"/>
              <w:left w:val="single" w:sz="4" w:space="0" w:color="auto"/>
              <w:bottom w:val="single" w:sz="4" w:space="0" w:color="auto"/>
              <w:right w:val="single" w:sz="4" w:space="0" w:color="auto"/>
            </w:tcBorders>
            <w:vAlign w:val="center"/>
          </w:tcPr>
          <w:p w14:paraId="7574472F" w14:textId="02A8B861" w:rsidR="00F6654C" w:rsidRPr="00AC78A0" w:rsidRDefault="00F6654C" w:rsidP="00254CC7">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35.63</w:t>
            </w:r>
          </w:p>
        </w:tc>
        <w:tc>
          <w:tcPr>
            <w:tcW w:w="739" w:type="pct"/>
            <w:tcBorders>
              <w:top w:val="single" w:sz="4" w:space="0" w:color="auto"/>
              <w:left w:val="single" w:sz="4" w:space="0" w:color="auto"/>
              <w:bottom w:val="single" w:sz="4" w:space="0" w:color="auto"/>
              <w:right w:val="single" w:sz="4" w:space="0" w:color="auto"/>
            </w:tcBorders>
            <w:vAlign w:val="center"/>
          </w:tcPr>
          <w:p w14:paraId="08DBD5AE" w14:textId="12FBEC4B" w:rsidR="00F6654C" w:rsidRPr="00AC78A0" w:rsidRDefault="00F6654C" w:rsidP="00254CC7">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38</w:t>
            </w:r>
          </w:p>
        </w:tc>
        <w:tc>
          <w:tcPr>
            <w:tcW w:w="558" w:type="pct"/>
            <w:tcBorders>
              <w:top w:val="single" w:sz="4" w:space="0" w:color="auto"/>
              <w:left w:val="single" w:sz="4" w:space="0" w:color="auto"/>
              <w:bottom w:val="single" w:sz="4" w:space="0" w:color="auto"/>
              <w:right w:val="single" w:sz="4" w:space="0" w:color="auto"/>
            </w:tcBorders>
            <w:vAlign w:val="center"/>
          </w:tcPr>
          <w:p w14:paraId="74A13492" w14:textId="0EAA2A73" w:rsidR="00F6654C" w:rsidRPr="00AC78A0" w:rsidRDefault="00F6654C" w:rsidP="00254CC7">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$1</w:t>
            </w:r>
            <w:r w:rsidR="00673219">
              <w:rPr>
                <w:rFonts w:ascii="Times New Roman" w:hAnsi="Times New Roman" w:cs="Times New Roman"/>
                <w:color w:val="auto"/>
                <w:sz w:val="22"/>
              </w:rPr>
              <w:t>,354</w:t>
            </w:r>
          </w:p>
        </w:tc>
      </w:tr>
      <w:tr w:rsidR="00F6654C" w:rsidRPr="00AC78A0" w14:paraId="062C8D09" w14:textId="77777777" w:rsidTr="00906A68">
        <w:trPr>
          <w:cantSplit/>
        </w:trPr>
        <w:tc>
          <w:tcPr>
            <w:tcW w:w="927" w:type="pct"/>
            <w:tcBorders>
              <w:top w:val="single" w:sz="4" w:space="0" w:color="auto"/>
              <w:left w:val="single" w:sz="4" w:space="0" w:color="auto"/>
              <w:bottom w:val="single" w:sz="4" w:space="0" w:color="auto"/>
              <w:right w:val="single" w:sz="4" w:space="0" w:color="auto"/>
            </w:tcBorders>
            <w:vAlign w:val="center"/>
          </w:tcPr>
          <w:p w14:paraId="59C4031D" w14:textId="53D72A04" w:rsidR="00F6654C" w:rsidRPr="00AC78A0" w:rsidRDefault="00F6654C" w:rsidP="00254CC7">
            <w:pPr>
              <w:jc w:val="center"/>
              <w:rPr>
                <w:sz w:val="22"/>
              </w:rPr>
            </w:pPr>
            <w:r w:rsidRPr="00AC78A0">
              <w:rPr>
                <w:sz w:val="22"/>
              </w:rPr>
              <w:t>Program staff with subject matter expertise</w:t>
            </w:r>
          </w:p>
        </w:tc>
        <w:tc>
          <w:tcPr>
            <w:tcW w:w="508" w:type="pct"/>
            <w:tcBorders>
              <w:top w:val="single" w:sz="4" w:space="0" w:color="auto"/>
              <w:left w:val="single" w:sz="4" w:space="0" w:color="auto"/>
              <w:bottom w:val="single" w:sz="4" w:space="0" w:color="auto"/>
              <w:right w:val="single" w:sz="4" w:space="0" w:color="auto"/>
            </w:tcBorders>
            <w:vAlign w:val="center"/>
          </w:tcPr>
          <w:p w14:paraId="706B19F8" w14:textId="23EB7471" w:rsidR="00F6654C" w:rsidRDefault="00F6654C" w:rsidP="00254CC7">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State</w:t>
            </w:r>
            <w:r w:rsidRPr="00641304">
              <w:rPr>
                <w:rFonts w:ascii="Times New Roman" w:hAnsi="Times New Roman" w:cs="Times New Roman"/>
                <w:color w:val="auto"/>
                <w:sz w:val="22"/>
              </w:rPr>
              <w:t xml:space="preserve"> Synergy Survey</w:t>
            </w:r>
          </w:p>
        </w:tc>
        <w:tc>
          <w:tcPr>
            <w:tcW w:w="746" w:type="pct"/>
            <w:tcBorders>
              <w:top w:val="single" w:sz="4" w:space="0" w:color="auto"/>
              <w:left w:val="single" w:sz="4" w:space="0" w:color="auto"/>
              <w:bottom w:val="single" w:sz="4" w:space="0" w:color="auto"/>
              <w:right w:val="single" w:sz="4" w:space="0" w:color="auto"/>
            </w:tcBorders>
            <w:vAlign w:val="center"/>
            <w:hideMark/>
          </w:tcPr>
          <w:p w14:paraId="4FB85630" w14:textId="0F4BF7B8" w:rsidR="00F6654C" w:rsidRPr="00AC78A0" w:rsidRDefault="00F6654C" w:rsidP="00254CC7">
            <w:pPr>
              <w:pStyle w:val="Default"/>
              <w:tabs>
                <w:tab w:val="left" w:pos="0"/>
              </w:tabs>
              <w:jc w:val="center"/>
              <w:rPr>
                <w:rFonts w:ascii="Times New Roman" w:hAnsi="Times New Roman" w:cs="Times New Roman"/>
                <w:color w:val="auto"/>
                <w:sz w:val="22"/>
              </w:rPr>
            </w:pPr>
            <w:r>
              <w:rPr>
                <w:rFonts w:ascii="Times New Roman" w:hAnsi="Times New Roman" w:cs="Times New Roman"/>
                <w:color w:val="auto"/>
                <w:sz w:val="22"/>
              </w:rPr>
              <w:t>204</w:t>
            </w:r>
          </w:p>
        </w:tc>
        <w:tc>
          <w:tcPr>
            <w:tcW w:w="696" w:type="pct"/>
            <w:tcBorders>
              <w:top w:val="single" w:sz="4" w:space="0" w:color="auto"/>
              <w:left w:val="single" w:sz="4" w:space="0" w:color="auto"/>
              <w:bottom w:val="single" w:sz="4" w:space="0" w:color="auto"/>
              <w:right w:val="single" w:sz="4" w:space="0" w:color="auto"/>
            </w:tcBorders>
            <w:vAlign w:val="center"/>
            <w:hideMark/>
          </w:tcPr>
          <w:p w14:paraId="6DCF436E" w14:textId="77777777" w:rsidR="00F6654C" w:rsidRPr="00AC78A0" w:rsidRDefault="00F6654C" w:rsidP="00254CC7">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1</w:t>
            </w:r>
          </w:p>
        </w:tc>
        <w:tc>
          <w:tcPr>
            <w:tcW w:w="826" w:type="pct"/>
            <w:tcBorders>
              <w:top w:val="single" w:sz="4" w:space="0" w:color="auto"/>
              <w:left w:val="single" w:sz="4" w:space="0" w:color="auto"/>
              <w:bottom w:val="single" w:sz="4" w:space="0" w:color="auto"/>
              <w:right w:val="single" w:sz="4" w:space="0" w:color="auto"/>
            </w:tcBorders>
            <w:vAlign w:val="center"/>
          </w:tcPr>
          <w:p w14:paraId="0C333D27" w14:textId="7906B810" w:rsidR="00F6654C" w:rsidRPr="00AC78A0" w:rsidRDefault="00F6654C" w:rsidP="00254CC7">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w:t>
            </w:r>
            <w:r>
              <w:rPr>
                <w:rFonts w:ascii="Times New Roman" w:hAnsi="Times New Roman" w:cs="Times New Roman"/>
                <w:color w:val="auto"/>
                <w:sz w:val="22"/>
              </w:rPr>
              <w:t>20.41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4BDB22C" w14:textId="35FD12D4" w:rsidR="00F6654C" w:rsidRPr="00AC78A0" w:rsidRDefault="00F6654C" w:rsidP="00254CC7">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1</w:t>
            </w:r>
            <w:r>
              <w:rPr>
                <w:rFonts w:ascii="Times New Roman" w:hAnsi="Times New Roman" w:cs="Times New Roman"/>
                <w:color w:val="auto"/>
                <w:sz w:val="22"/>
              </w:rPr>
              <w:t>53</w:t>
            </w:r>
          </w:p>
        </w:tc>
        <w:tc>
          <w:tcPr>
            <w:tcW w:w="558" w:type="pct"/>
            <w:tcBorders>
              <w:top w:val="single" w:sz="4" w:space="0" w:color="auto"/>
              <w:left w:val="single" w:sz="4" w:space="0" w:color="auto"/>
              <w:bottom w:val="single" w:sz="4" w:space="0" w:color="auto"/>
              <w:right w:val="single" w:sz="4" w:space="0" w:color="auto"/>
            </w:tcBorders>
            <w:vAlign w:val="center"/>
          </w:tcPr>
          <w:p w14:paraId="1C6913E2" w14:textId="23ED9973" w:rsidR="00F6654C" w:rsidRPr="00AC78A0" w:rsidRDefault="00F6654C" w:rsidP="00254CC7">
            <w:pPr>
              <w:pStyle w:val="Default"/>
              <w:tabs>
                <w:tab w:val="left" w:pos="0"/>
              </w:tabs>
              <w:jc w:val="center"/>
              <w:rPr>
                <w:rFonts w:ascii="Times New Roman" w:hAnsi="Times New Roman" w:cs="Times New Roman"/>
                <w:color w:val="auto"/>
                <w:sz w:val="22"/>
              </w:rPr>
            </w:pPr>
            <w:r w:rsidRPr="00AC78A0">
              <w:rPr>
                <w:rFonts w:ascii="Times New Roman" w:hAnsi="Times New Roman" w:cs="Times New Roman"/>
                <w:color w:val="auto"/>
                <w:sz w:val="22"/>
              </w:rPr>
              <w:t>$</w:t>
            </w:r>
            <w:r>
              <w:rPr>
                <w:rFonts w:ascii="Times New Roman" w:hAnsi="Times New Roman" w:cs="Times New Roman"/>
                <w:color w:val="auto"/>
                <w:sz w:val="22"/>
              </w:rPr>
              <w:t>3</w:t>
            </w:r>
            <w:r w:rsidR="00673219">
              <w:rPr>
                <w:rFonts w:ascii="Times New Roman" w:hAnsi="Times New Roman" w:cs="Times New Roman"/>
                <w:color w:val="auto"/>
                <w:sz w:val="22"/>
              </w:rPr>
              <w:t>,123</w:t>
            </w:r>
          </w:p>
        </w:tc>
      </w:tr>
      <w:tr w:rsidR="00254CC7" w:rsidRPr="00C418F2" w14:paraId="57495321" w14:textId="77777777" w:rsidTr="00906A68">
        <w:trPr>
          <w:cantSplit/>
        </w:trPr>
        <w:tc>
          <w:tcPr>
            <w:tcW w:w="4442" w:type="pct"/>
            <w:gridSpan w:val="6"/>
            <w:tcBorders>
              <w:top w:val="single" w:sz="4" w:space="0" w:color="auto"/>
              <w:left w:val="single" w:sz="4" w:space="0" w:color="auto"/>
              <w:bottom w:val="single" w:sz="4" w:space="0" w:color="auto"/>
              <w:right w:val="single" w:sz="4" w:space="0" w:color="auto"/>
            </w:tcBorders>
            <w:vAlign w:val="center"/>
            <w:hideMark/>
          </w:tcPr>
          <w:p w14:paraId="099CBE00" w14:textId="57D02DE9" w:rsidR="00254CC7" w:rsidRPr="00AC78A0" w:rsidRDefault="00254CC7" w:rsidP="00C80A12">
            <w:pPr>
              <w:jc w:val="center"/>
              <w:rPr>
                <w:color w:val="000000"/>
                <w:sz w:val="22"/>
              </w:rPr>
            </w:pPr>
            <w:r w:rsidRPr="00AC78A0">
              <w:rPr>
                <w:sz w:val="22"/>
              </w:rPr>
              <w:t>Total</w:t>
            </w:r>
          </w:p>
        </w:tc>
        <w:tc>
          <w:tcPr>
            <w:tcW w:w="558" w:type="pct"/>
            <w:tcBorders>
              <w:top w:val="single" w:sz="4" w:space="0" w:color="auto"/>
              <w:left w:val="single" w:sz="4" w:space="0" w:color="auto"/>
              <w:bottom w:val="single" w:sz="4" w:space="0" w:color="auto"/>
              <w:right w:val="single" w:sz="4" w:space="0" w:color="auto"/>
            </w:tcBorders>
            <w:vAlign w:val="center"/>
            <w:hideMark/>
          </w:tcPr>
          <w:p w14:paraId="5D31B714" w14:textId="038A9FEA" w:rsidR="00254CC7" w:rsidRPr="00C418F2" w:rsidRDefault="00254CC7" w:rsidP="00F6654C">
            <w:pPr>
              <w:jc w:val="center"/>
              <w:rPr>
                <w:color w:val="000000"/>
                <w:sz w:val="22"/>
              </w:rPr>
            </w:pPr>
            <w:r>
              <w:rPr>
                <w:color w:val="000000"/>
                <w:sz w:val="22"/>
              </w:rPr>
              <w:t>$</w:t>
            </w:r>
            <w:r w:rsidR="00F6654C">
              <w:rPr>
                <w:color w:val="000000"/>
                <w:sz w:val="22"/>
              </w:rPr>
              <w:t>9</w:t>
            </w:r>
            <w:r w:rsidR="00673219">
              <w:rPr>
                <w:color w:val="000000"/>
                <w:sz w:val="22"/>
              </w:rPr>
              <w:t>,080</w:t>
            </w:r>
          </w:p>
        </w:tc>
      </w:tr>
    </w:tbl>
    <w:p w14:paraId="2F11247F" w14:textId="77777777" w:rsidR="00DC76A0" w:rsidRDefault="00DC76A0" w:rsidP="00413A4D">
      <w:pPr>
        <w:rPr>
          <w:bCs/>
        </w:rPr>
      </w:pPr>
    </w:p>
    <w:p w14:paraId="6140127F" w14:textId="77777777" w:rsidR="00906A68" w:rsidRPr="00064AC5" w:rsidRDefault="00906A68" w:rsidP="00413A4D">
      <w:pPr>
        <w:rPr>
          <w:bCs/>
        </w:rPr>
      </w:pPr>
    </w:p>
    <w:bookmarkEnd w:id="0"/>
    <w:bookmarkEnd w:id="1"/>
    <w:p w14:paraId="3FB1E57E" w14:textId="77777777" w:rsidR="007D0954" w:rsidRPr="00064AC5" w:rsidRDefault="007D0954" w:rsidP="00CA0A4D">
      <w:pPr>
        <w:rPr>
          <w:b/>
          <w:bCs/>
        </w:rPr>
      </w:pPr>
      <w:r w:rsidRPr="00064AC5">
        <w:rPr>
          <w:b/>
          <w:bCs/>
        </w:rPr>
        <w:t>A13.  Estimate of Other Total Annual Cost Burden to Respondents or Record Keepers</w:t>
      </w:r>
    </w:p>
    <w:p w14:paraId="26BDE5F2" w14:textId="77777777" w:rsidR="007D0954" w:rsidRPr="00064AC5" w:rsidRDefault="007D0954" w:rsidP="00CA0A4D">
      <w:pPr>
        <w:rPr>
          <w:b/>
          <w:bCs/>
        </w:rPr>
      </w:pPr>
    </w:p>
    <w:p w14:paraId="5E2B4037" w14:textId="47685CD4" w:rsidR="007D0954" w:rsidRPr="00064AC5" w:rsidRDefault="0065318D" w:rsidP="00CA0A4D">
      <w:pPr>
        <w:rPr>
          <w:bCs/>
        </w:rPr>
      </w:pPr>
      <w:r>
        <w:rPr>
          <w:bCs/>
        </w:rPr>
        <w:t>CDC does not anticipate any</w:t>
      </w:r>
      <w:r w:rsidR="00E97704" w:rsidRPr="00064AC5">
        <w:rPr>
          <w:bCs/>
        </w:rPr>
        <w:t xml:space="preserve"> other costs to respondents</w:t>
      </w:r>
      <w:r w:rsidR="00155464">
        <w:rPr>
          <w:bCs/>
        </w:rPr>
        <w:t xml:space="preserve"> or record keepers</w:t>
      </w:r>
      <w:r w:rsidR="00E97704" w:rsidRPr="00064AC5">
        <w:rPr>
          <w:bCs/>
        </w:rPr>
        <w:t>.</w:t>
      </w:r>
    </w:p>
    <w:p w14:paraId="3C4B6CE0" w14:textId="77777777" w:rsidR="009E6715" w:rsidRPr="00064AC5" w:rsidRDefault="009E6715" w:rsidP="00CA0A4D"/>
    <w:p w14:paraId="349CA09F" w14:textId="14AF13AE" w:rsidR="00E97704" w:rsidRPr="00064AC5" w:rsidRDefault="00E97704" w:rsidP="00CA0A4D">
      <w:pPr>
        <w:rPr>
          <w:b/>
        </w:rPr>
      </w:pPr>
      <w:r w:rsidRPr="00064AC5">
        <w:rPr>
          <w:b/>
        </w:rPr>
        <w:t>A14.  Annualized Cost to the Government</w:t>
      </w:r>
    </w:p>
    <w:p w14:paraId="77CAC608" w14:textId="77777777" w:rsidR="00E97704" w:rsidRPr="00064AC5" w:rsidRDefault="00E97704" w:rsidP="00CA0A4D">
      <w:pPr>
        <w:rPr>
          <w:b/>
        </w:rPr>
      </w:pPr>
    </w:p>
    <w:p w14:paraId="391C0BAE" w14:textId="2110304C" w:rsidR="00EF1380" w:rsidRPr="00064AC5" w:rsidRDefault="00EF1380" w:rsidP="00845E38">
      <w:r w:rsidRPr="007F6237">
        <w:rPr>
          <w:b/>
        </w:rPr>
        <w:t>Government personnel</w:t>
      </w:r>
      <w:r w:rsidRPr="00064AC5">
        <w:t xml:space="preserve"> – </w:t>
      </w:r>
      <w:r w:rsidR="00E97704" w:rsidRPr="00064AC5">
        <w:t>Governmental costs for this project include personnel costs f</w:t>
      </w:r>
      <w:r w:rsidR="00E057BA">
        <w:t>or federal staff involved in providing oversight and guidance for the</w:t>
      </w:r>
      <w:r w:rsidR="00E97704" w:rsidRPr="00064AC5">
        <w:t xml:space="preserve"> </w:t>
      </w:r>
      <w:r w:rsidR="002B3020" w:rsidRPr="00064AC5">
        <w:t xml:space="preserve">planning and </w:t>
      </w:r>
      <w:r w:rsidR="00E057BA">
        <w:t xml:space="preserve">design of the </w:t>
      </w:r>
      <w:r w:rsidR="0083574F">
        <w:t xml:space="preserve">State Public Health Actions </w:t>
      </w:r>
      <w:r w:rsidR="00655A0B">
        <w:t xml:space="preserve">1305 assessment, refinement of the </w:t>
      </w:r>
      <w:r w:rsidR="00B2593C">
        <w:t>State</w:t>
      </w:r>
      <w:r w:rsidR="00655A0B">
        <w:t xml:space="preserve"> Synergy Survey, development of </w:t>
      </w:r>
      <w:r w:rsidR="00E97704" w:rsidRPr="00064AC5">
        <w:t xml:space="preserve">OMB </w:t>
      </w:r>
      <w:r w:rsidR="002B3020" w:rsidRPr="00064AC5">
        <w:t>materials</w:t>
      </w:r>
      <w:r w:rsidR="00E97704" w:rsidRPr="00064AC5">
        <w:t>,</w:t>
      </w:r>
      <w:r w:rsidR="00E057BA">
        <w:t xml:space="preserve"> collection</w:t>
      </w:r>
      <w:r w:rsidR="002B3020" w:rsidRPr="00064AC5">
        <w:t xml:space="preserve"> and </w:t>
      </w:r>
      <w:r w:rsidR="00E057BA">
        <w:t>analysis</w:t>
      </w:r>
      <w:r w:rsidR="002B3020" w:rsidRPr="00064AC5">
        <w:t xml:space="preserve"> </w:t>
      </w:r>
      <w:r w:rsidR="00951DFB">
        <w:t xml:space="preserve">of </w:t>
      </w:r>
      <w:r w:rsidR="002B3020" w:rsidRPr="00064AC5">
        <w:t>the data, and reporting</w:t>
      </w:r>
      <w:r w:rsidR="00655A0B">
        <w:t xml:space="preserve">. </w:t>
      </w:r>
      <w:r w:rsidR="00951DFB">
        <w:t xml:space="preserve">These activities involve </w:t>
      </w:r>
      <w:r w:rsidR="00E97704" w:rsidRPr="00064AC5">
        <w:t xml:space="preserve">approximately 5 percent of </w:t>
      </w:r>
      <w:r w:rsidR="00837185" w:rsidRPr="000918F9">
        <w:t>two</w:t>
      </w:r>
      <w:r w:rsidR="0060121E" w:rsidRPr="00064AC5">
        <w:t xml:space="preserve"> GS-1</w:t>
      </w:r>
      <w:r w:rsidR="00B325B1">
        <w:t>4</w:t>
      </w:r>
      <w:r w:rsidR="0060121E" w:rsidRPr="00064AC5">
        <w:t xml:space="preserve"> </w:t>
      </w:r>
      <w:r w:rsidR="00F854F6">
        <w:t xml:space="preserve">public health advisors. </w:t>
      </w:r>
      <w:r w:rsidR="000516AD">
        <w:t>A</w:t>
      </w:r>
      <w:r w:rsidR="0060121E" w:rsidRPr="00064AC5">
        <w:t>ssuming a $</w:t>
      </w:r>
      <w:r w:rsidR="00F854F6">
        <w:t>114,649</w:t>
      </w:r>
      <w:r w:rsidR="0060121E" w:rsidRPr="00064AC5">
        <w:t xml:space="preserve"> annual salary for </w:t>
      </w:r>
      <w:r w:rsidR="00F854F6">
        <w:t xml:space="preserve">public health advisors, </w:t>
      </w:r>
      <w:r w:rsidR="000516AD">
        <w:t>t</w:t>
      </w:r>
      <w:r w:rsidR="00350A0E" w:rsidRPr="00064AC5">
        <w:t xml:space="preserve">he </w:t>
      </w:r>
      <w:r w:rsidR="00E15EAC" w:rsidRPr="00064AC5">
        <w:t xml:space="preserve">total </w:t>
      </w:r>
      <w:r w:rsidR="00350A0E" w:rsidRPr="00064AC5">
        <w:t>estimated annualized cost to the Federal Government is $</w:t>
      </w:r>
      <w:r w:rsidR="00F854F6">
        <w:t>11,464,90.</w:t>
      </w:r>
    </w:p>
    <w:p w14:paraId="03F8E5E9" w14:textId="77777777" w:rsidR="00EF1380" w:rsidRPr="00064AC5" w:rsidRDefault="00EF1380" w:rsidP="00845E38"/>
    <w:p w14:paraId="7E98CAFF" w14:textId="3FB3FC72" w:rsidR="00EF1380" w:rsidRPr="00064AC5" w:rsidRDefault="00EF1380" w:rsidP="00845E38">
      <w:r w:rsidRPr="00064AC5">
        <w:rPr>
          <w:b/>
        </w:rPr>
        <w:t>Contracted data collection</w:t>
      </w:r>
      <w:r w:rsidRPr="00064AC5">
        <w:t xml:space="preserve"> –The project design and data collection is being conducted under a contract with CDC’s data collection contractor, ICF </w:t>
      </w:r>
      <w:r w:rsidR="00837185">
        <w:t>International</w:t>
      </w:r>
      <w:r w:rsidRPr="00064AC5">
        <w:t xml:space="preserve">. </w:t>
      </w:r>
      <w:r w:rsidR="000516AD">
        <w:t xml:space="preserve">Approximately </w:t>
      </w:r>
      <w:r w:rsidR="00F854F6">
        <w:t>$</w:t>
      </w:r>
      <w:r w:rsidR="00DA58B7">
        <w:t>1</w:t>
      </w:r>
      <w:r w:rsidR="00F45922">
        <w:t>0</w:t>
      </w:r>
      <w:r w:rsidR="00786744">
        <w:t>,000</w:t>
      </w:r>
      <w:r w:rsidR="000516AD">
        <w:t xml:space="preserve"> of ICF Int</w:t>
      </w:r>
      <w:r w:rsidR="00786744">
        <w:t>ernational’s current contract ($10,922,477.97</w:t>
      </w:r>
      <w:r w:rsidR="000516AD">
        <w:t xml:space="preserve">) with CDC is dedicated for this information request to plan, implement, and analyze the data collection.  </w:t>
      </w:r>
    </w:p>
    <w:p w14:paraId="46B0910C" w14:textId="77777777" w:rsidR="00EE4185" w:rsidRDefault="00EE4185" w:rsidP="00CA0A4D"/>
    <w:p w14:paraId="7EB94F4C" w14:textId="77777777" w:rsidR="003E3235" w:rsidRPr="00064AC5" w:rsidRDefault="003E3235" w:rsidP="00CA0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2"/>
        <w:gridCol w:w="1968"/>
      </w:tblGrid>
      <w:tr w:rsidR="00CA2D05" w:rsidRPr="00064AC5" w14:paraId="538304C0" w14:textId="77777777" w:rsidTr="008C7670">
        <w:tc>
          <w:tcPr>
            <w:tcW w:w="9468" w:type="dxa"/>
            <w:gridSpan w:val="2"/>
          </w:tcPr>
          <w:p w14:paraId="262423ED" w14:textId="77777777" w:rsidR="00CA2D05" w:rsidRPr="00064AC5" w:rsidRDefault="00CA2D05" w:rsidP="00CA0A4D">
            <w:pPr>
              <w:rPr>
                <w:b/>
              </w:rPr>
            </w:pPr>
            <w:r w:rsidRPr="00064AC5">
              <w:rPr>
                <w:b/>
              </w:rPr>
              <w:t>Table A14-1.  Estimated Annualized Cost to the Federal Government</w:t>
            </w:r>
          </w:p>
        </w:tc>
      </w:tr>
      <w:tr w:rsidR="00273427" w:rsidRPr="00064AC5" w14:paraId="1984787E" w14:textId="77777777" w:rsidTr="008C7670">
        <w:tc>
          <w:tcPr>
            <w:tcW w:w="7488" w:type="dxa"/>
          </w:tcPr>
          <w:p w14:paraId="645A28CB" w14:textId="77777777" w:rsidR="00273427" w:rsidRPr="00064AC5" w:rsidRDefault="00273427" w:rsidP="00CA0A4D">
            <w:r w:rsidRPr="00064AC5">
              <w:t>Labor:</w:t>
            </w:r>
          </w:p>
        </w:tc>
        <w:tc>
          <w:tcPr>
            <w:tcW w:w="1980" w:type="dxa"/>
          </w:tcPr>
          <w:p w14:paraId="71DBD4ED" w14:textId="77777777" w:rsidR="00273427" w:rsidRPr="00064AC5" w:rsidRDefault="00273427" w:rsidP="00CA0A4D"/>
        </w:tc>
      </w:tr>
      <w:tr w:rsidR="00273427" w:rsidRPr="00064AC5" w14:paraId="1BD0F253" w14:textId="77777777" w:rsidTr="008C7670">
        <w:tc>
          <w:tcPr>
            <w:tcW w:w="7488" w:type="dxa"/>
          </w:tcPr>
          <w:p w14:paraId="0A0F3EF0" w14:textId="77777777" w:rsidR="00273427" w:rsidRPr="00064AC5" w:rsidRDefault="00CA2D05" w:rsidP="00F854F6">
            <w:r w:rsidRPr="00064AC5">
              <w:t xml:space="preserve">5% </w:t>
            </w:r>
            <w:r w:rsidR="00F854F6">
              <w:t>Public Health Advisor’s</w:t>
            </w:r>
            <w:r w:rsidR="00273427" w:rsidRPr="00064AC5">
              <w:t xml:space="preserve"> </w:t>
            </w:r>
            <w:r w:rsidRPr="00064AC5">
              <w:t>time for project</w:t>
            </w:r>
            <w:r w:rsidR="00273427" w:rsidRPr="00064AC5">
              <w:t xml:space="preserve">, planning, </w:t>
            </w:r>
            <w:r w:rsidRPr="00064AC5">
              <w:t xml:space="preserve">management, </w:t>
            </w:r>
            <w:r w:rsidR="00273427" w:rsidRPr="00064AC5">
              <w:t xml:space="preserve">OMB review, </w:t>
            </w:r>
            <w:r w:rsidRPr="00064AC5">
              <w:t xml:space="preserve">analysis of findings, </w:t>
            </w:r>
            <w:r w:rsidR="00273427" w:rsidRPr="00064AC5">
              <w:t>and report writing</w:t>
            </w:r>
          </w:p>
        </w:tc>
        <w:tc>
          <w:tcPr>
            <w:tcW w:w="1980" w:type="dxa"/>
          </w:tcPr>
          <w:p w14:paraId="05EE2368" w14:textId="77777777" w:rsidR="00273427" w:rsidRPr="00064AC5" w:rsidRDefault="00CA2D05" w:rsidP="0060121E">
            <w:pPr>
              <w:jc w:val="right"/>
            </w:pPr>
            <w:r w:rsidRPr="00064AC5">
              <w:t>$</w:t>
            </w:r>
            <w:r w:rsidR="00273427" w:rsidRPr="00064AC5">
              <w:t>5</w:t>
            </w:r>
            <w:r w:rsidR="00F854F6">
              <w:t>,732.45</w:t>
            </w:r>
          </w:p>
        </w:tc>
      </w:tr>
      <w:tr w:rsidR="00F854F6" w:rsidRPr="00064AC5" w14:paraId="1269872E" w14:textId="77777777" w:rsidTr="00C80A12">
        <w:tc>
          <w:tcPr>
            <w:tcW w:w="7488" w:type="dxa"/>
          </w:tcPr>
          <w:p w14:paraId="39ED0DB4" w14:textId="77777777" w:rsidR="00F854F6" w:rsidRPr="00064AC5" w:rsidRDefault="00F854F6" w:rsidP="00C80A12">
            <w:r w:rsidRPr="00064AC5">
              <w:t xml:space="preserve">5% </w:t>
            </w:r>
            <w:r>
              <w:t>Public Health Advisor’s</w:t>
            </w:r>
            <w:r w:rsidRPr="00064AC5">
              <w:t xml:space="preserve"> time for project, planning, management, OMB review, analysis of findings, and report writing</w:t>
            </w:r>
          </w:p>
        </w:tc>
        <w:tc>
          <w:tcPr>
            <w:tcW w:w="1980" w:type="dxa"/>
          </w:tcPr>
          <w:p w14:paraId="56338B08" w14:textId="77777777" w:rsidR="00F854F6" w:rsidRPr="00064AC5" w:rsidRDefault="00F854F6" w:rsidP="00C80A12">
            <w:pPr>
              <w:jc w:val="right"/>
            </w:pPr>
            <w:r w:rsidRPr="00064AC5">
              <w:t>$5</w:t>
            </w:r>
            <w:r>
              <w:t>,732.45</w:t>
            </w:r>
          </w:p>
        </w:tc>
      </w:tr>
      <w:tr w:rsidR="00BF1F35" w:rsidRPr="00064AC5" w14:paraId="00A811F7" w14:textId="77777777" w:rsidTr="008C7670">
        <w:tc>
          <w:tcPr>
            <w:tcW w:w="7488" w:type="dxa"/>
          </w:tcPr>
          <w:p w14:paraId="757397F2" w14:textId="77777777" w:rsidR="00BF1F35" w:rsidRPr="00064AC5" w:rsidRDefault="00BF1F35" w:rsidP="008545F4">
            <w:r w:rsidRPr="00064AC5">
              <w:t>Contractor</w:t>
            </w:r>
          </w:p>
        </w:tc>
        <w:tc>
          <w:tcPr>
            <w:tcW w:w="1980" w:type="dxa"/>
          </w:tcPr>
          <w:p w14:paraId="6E990D81" w14:textId="7E2070C2" w:rsidR="00BF1F35" w:rsidRPr="00064AC5" w:rsidRDefault="0034785E" w:rsidP="00786744">
            <w:pPr>
              <w:jc w:val="right"/>
            </w:pPr>
            <w:r w:rsidRPr="00064AC5">
              <w:t>$</w:t>
            </w:r>
            <w:r w:rsidR="00DA58B7">
              <w:t>1</w:t>
            </w:r>
            <w:r w:rsidR="00F45922">
              <w:t>0</w:t>
            </w:r>
            <w:r w:rsidR="00786744">
              <w:t>,000.00</w:t>
            </w:r>
            <w:r w:rsidR="000516AD">
              <w:t xml:space="preserve"> </w:t>
            </w:r>
          </w:p>
        </w:tc>
      </w:tr>
      <w:tr w:rsidR="00273427" w:rsidRPr="00064AC5" w14:paraId="223C89D5" w14:textId="77777777" w:rsidTr="008C7670">
        <w:tc>
          <w:tcPr>
            <w:tcW w:w="7488" w:type="dxa"/>
          </w:tcPr>
          <w:p w14:paraId="4AC5ED33" w14:textId="77777777" w:rsidR="00273427" w:rsidRPr="00064AC5" w:rsidRDefault="00273427" w:rsidP="00854F42">
            <w:pPr>
              <w:jc w:val="right"/>
            </w:pPr>
            <w:r w:rsidRPr="00064AC5">
              <w:t>Total estimated cost</w:t>
            </w:r>
          </w:p>
        </w:tc>
        <w:tc>
          <w:tcPr>
            <w:tcW w:w="1980" w:type="dxa"/>
          </w:tcPr>
          <w:p w14:paraId="26298769" w14:textId="7D2E1A53" w:rsidR="00273427" w:rsidRPr="00064AC5" w:rsidRDefault="0060121E" w:rsidP="00786744">
            <w:pPr>
              <w:jc w:val="right"/>
            </w:pPr>
            <w:r w:rsidRPr="00064AC5">
              <w:t>$</w:t>
            </w:r>
            <w:r w:rsidR="004A76A5">
              <w:t>2</w:t>
            </w:r>
            <w:bookmarkStart w:id="2" w:name="_GoBack"/>
            <w:bookmarkEnd w:id="2"/>
            <w:r w:rsidR="00F45922">
              <w:t>1</w:t>
            </w:r>
            <w:r w:rsidR="00786744">
              <w:t>,464.90</w:t>
            </w:r>
            <w:r w:rsidR="000516AD">
              <w:t xml:space="preserve"> </w:t>
            </w:r>
          </w:p>
        </w:tc>
      </w:tr>
    </w:tbl>
    <w:p w14:paraId="07807D2F" w14:textId="77777777" w:rsidR="00EE4185" w:rsidRPr="00064AC5" w:rsidRDefault="00EE4185" w:rsidP="00CA0A4D">
      <w:pPr>
        <w:rPr>
          <w:b/>
        </w:rPr>
      </w:pPr>
    </w:p>
    <w:p w14:paraId="674F2E84" w14:textId="77777777" w:rsidR="00E97704" w:rsidRPr="00064AC5" w:rsidRDefault="007B51F2" w:rsidP="00CA0A4D">
      <w:pPr>
        <w:rPr>
          <w:b/>
        </w:rPr>
      </w:pPr>
      <w:r w:rsidRPr="00064AC5">
        <w:rPr>
          <w:b/>
        </w:rPr>
        <w:t xml:space="preserve">A15. </w:t>
      </w:r>
      <w:r w:rsidRPr="00064AC5">
        <w:t xml:space="preserve"> </w:t>
      </w:r>
      <w:r w:rsidRPr="00064AC5">
        <w:rPr>
          <w:b/>
        </w:rPr>
        <w:t>Explanation for Program Changes or Adjustments</w:t>
      </w:r>
    </w:p>
    <w:p w14:paraId="63B871DE" w14:textId="77777777" w:rsidR="007B51F2" w:rsidRPr="00064AC5" w:rsidRDefault="007B51F2" w:rsidP="00CA0A4D"/>
    <w:p w14:paraId="35F52B6A" w14:textId="77777777" w:rsidR="007B51F2" w:rsidRPr="00064AC5" w:rsidRDefault="007B51F2" w:rsidP="00CA0A4D">
      <w:r w:rsidRPr="00064AC5">
        <w:t>This is a new data collection.</w:t>
      </w:r>
    </w:p>
    <w:p w14:paraId="198F4C37" w14:textId="77777777" w:rsidR="008B6625" w:rsidRPr="00064AC5" w:rsidRDefault="008B6625" w:rsidP="00CA0A4D">
      <w:pPr>
        <w:rPr>
          <w:b/>
        </w:rPr>
      </w:pPr>
    </w:p>
    <w:p w14:paraId="296B9121" w14:textId="77777777" w:rsidR="005858D0" w:rsidRPr="00064AC5" w:rsidRDefault="005858D0" w:rsidP="00CA0A4D">
      <w:pPr>
        <w:rPr>
          <w:b/>
        </w:rPr>
      </w:pPr>
      <w:r w:rsidRPr="00064AC5">
        <w:rPr>
          <w:b/>
        </w:rPr>
        <w:t xml:space="preserve">A16. </w:t>
      </w:r>
      <w:r w:rsidRPr="00064AC5">
        <w:t xml:space="preserve"> </w:t>
      </w:r>
      <w:r w:rsidRPr="00064AC5">
        <w:rPr>
          <w:b/>
        </w:rPr>
        <w:t>Plans for Tabulation and Publication and Project Time Schedule</w:t>
      </w:r>
    </w:p>
    <w:p w14:paraId="1EAB6CD7" w14:textId="77777777" w:rsidR="005858D0" w:rsidRDefault="005858D0" w:rsidP="00CA0A4D">
      <w:pPr>
        <w:rPr>
          <w:b/>
        </w:rPr>
      </w:pPr>
    </w:p>
    <w:p w14:paraId="317B4361" w14:textId="39C4945F" w:rsidR="0065318D" w:rsidRDefault="0065318D" w:rsidP="0065318D">
      <w:r>
        <w:lastRenderedPageBreak/>
        <w:t xml:space="preserve">CDC plans to disseminate the outcomes of the study within the federal government and outside of it through the development of scientific presentations, peer-reviewed publications, and tools and resources developed for </w:t>
      </w:r>
      <w:r w:rsidR="006D45BB">
        <w:t>program grantees</w:t>
      </w:r>
      <w:r>
        <w:t xml:space="preserve">.  Additional dissemination channels may include publications that are commonly read </w:t>
      </w:r>
      <w:r w:rsidR="006D45BB">
        <w:t>by public health program managers</w:t>
      </w:r>
      <w:r>
        <w:t xml:space="preserve">. </w:t>
      </w:r>
    </w:p>
    <w:p w14:paraId="60D4C0D2" w14:textId="77777777" w:rsidR="0065318D" w:rsidRDefault="0065318D" w:rsidP="0065318D"/>
    <w:p w14:paraId="5CF6174C" w14:textId="77777777" w:rsidR="0065318D" w:rsidRPr="0065318D" w:rsidRDefault="0065318D" w:rsidP="0065318D">
      <w:r>
        <w:t>The assessment and project timeline are outlined below in Table</w:t>
      </w:r>
      <w:r w:rsidR="006D45BB">
        <w:t xml:space="preserve"> A16-1.</w:t>
      </w:r>
    </w:p>
    <w:p w14:paraId="67E8A4BC" w14:textId="77777777" w:rsidR="0065318D" w:rsidRPr="00064AC5" w:rsidRDefault="0065318D" w:rsidP="00CA0A4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4974"/>
      </w:tblGrid>
      <w:tr w:rsidR="00C10C89" w:rsidRPr="00064AC5" w14:paraId="3C7E6F1A" w14:textId="77777777" w:rsidTr="008C7670">
        <w:tc>
          <w:tcPr>
            <w:tcW w:w="4428" w:type="dxa"/>
          </w:tcPr>
          <w:p w14:paraId="6304B03D" w14:textId="38D70E8E" w:rsidR="00C10C89" w:rsidRPr="00064AC5" w:rsidRDefault="00187D85" w:rsidP="006D45BB">
            <w:pPr>
              <w:rPr>
                <w:b/>
              </w:rPr>
            </w:pPr>
            <w:r w:rsidRPr="00064AC5">
              <w:rPr>
                <w:b/>
              </w:rPr>
              <w:t xml:space="preserve">A16-1 </w:t>
            </w:r>
            <w:r w:rsidR="006D45BB">
              <w:rPr>
                <w:b/>
              </w:rPr>
              <w:t>Assessment</w:t>
            </w:r>
            <w:r w:rsidR="006D45BB" w:rsidRPr="00064AC5">
              <w:rPr>
                <w:b/>
              </w:rPr>
              <w:t xml:space="preserve"> </w:t>
            </w:r>
            <w:r w:rsidRPr="00064AC5">
              <w:rPr>
                <w:b/>
              </w:rPr>
              <w:t>Time Schedule</w:t>
            </w:r>
          </w:p>
        </w:tc>
        <w:tc>
          <w:tcPr>
            <w:tcW w:w="5040" w:type="dxa"/>
          </w:tcPr>
          <w:p w14:paraId="45E9FC3C" w14:textId="77777777" w:rsidR="00C10C89" w:rsidRPr="00064AC5" w:rsidRDefault="00C10C89" w:rsidP="00CA0A4D">
            <w:pPr>
              <w:rPr>
                <w:b/>
              </w:rPr>
            </w:pPr>
          </w:p>
        </w:tc>
      </w:tr>
      <w:tr w:rsidR="00C10C89" w:rsidRPr="00064AC5" w14:paraId="7E7174CE" w14:textId="77777777" w:rsidTr="008C7670">
        <w:tc>
          <w:tcPr>
            <w:tcW w:w="4428" w:type="dxa"/>
          </w:tcPr>
          <w:p w14:paraId="59790219" w14:textId="77777777" w:rsidR="00C10C89" w:rsidRPr="00064AC5" w:rsidRDefault="00470FC1" w:rsidP="00854F42">
            <w:pPr>
              <w:jc w:val="center"/>
              <w:rPr>
                <w:b/>
              </w:rPr>
            </w:pPr>
            <w:r w:rsidRPr="00064AC5">
              <w:rPr>
                <w:b/>
              </w:rPr>
              <w:t>Activity</w:t>
            </w:r>
          </w:p>
        </w:tc>
        <w:tc>
          <w:tcPr>
            <w:tcW w:w="5040" w:type="dxa"/>
          </w:tcPr>
          <w:p w14:paraId="12526821" w14:textId="77777777" w:rsidR="00C10C89" w:rsidRPr="00064AC5" w:rsidRDefault="00470FC1" w:rsidP="00854F42">
            <w:pPr>
              <w:jc w:val="center"/>
              <w:rPr>
                <w:b/>
              </w:rPr>
            </w:pPr>
            <w:r w:rsidRPr="00064AC5">
              <w:rPr>
                <w:b/>
              </w:rPr>
              <w:t>Time Schedule</w:t>
            </w:r>
          </w:p>
        </w:tc>
      </w:tr>
      <w:tr w:rsidR="0015401D" w:rsidRPr="00064AC5" w14:paraId="7C350ACB" w14:textId="77777777" w:rsidTr="008C7670">
        <w:tc>
          <w:tcPr>
            <w:tcW w:w="4428" w:type="dxa"/>
          </w:tcPr>
          <w:p w14:paraId="619AF33A" w14:textId="3837710D" w:rsidR="0015401D" w:rsidRPr="00064AC5" w:rsidRDefault="0083574F" w:rsidP="0083574F">
            <w:r>
              <w:t>Send recruitment</w:t>
            </w:r>
            <w:r w:rsidR="005D54F1">
              <w:t xml:space="preserve"> </w:t>
            </w:r>
            <w:r w:rsidR="00F854F6">
              <w:t>emails</w:t>
            </w:r>
          </w:p>
        </w:tc>
        <w:tc>
          <w:tcPr>
            <w:tcW w:w="5040" w:type="dxa"/>
          </w:tcPr>
          <w:p w14:paraId="1071E398" w14:textId="77777777" w:rsidR="0015401D" w:rsidRPr="00064AC5" w:rsidRDefault="00F854F6" w:rsidP="00CA0A4D">
            <w:r>
              <w:t>2 weeks</w:t>
            </w:r>
            <w:r w:rsidR="0015401D" w:rsidRPr="00064AC5">
              <w:t xml:space="preserve"> </w:t>
            </w:r>
            <w:r w:rsidR="009E6715" w:rsidRPr="00064AC5">
              <w:t>after</w:t>
            </w:r>
            <w:r w:rsidR="0015401D" w:rsidRPr="00064AC5">
              <w:t xml:space="preserve"> OMB approval </w:t>
            </w:r>
          </w:p>
        </w:tc>
      </w:tr>
      <w:tr w:rsidR="00C10C89" w:rsidRPr="00064AC5" w14:paraId="7E9ED7DF" w14:textId="77777777" w:rsidTr="008C7670">
        <w:tc>
          <w:tcPr>
            <w:tcW w:w="4428" w:type="dxa"/>
          </w:tcPr>
          <w:p w14:paraId="19EC0004" w14:textId="6A6B7E3E" w:rsidR="00C10C89" w:rsidRPr="00064AC5" w:rsidRDefault="00F854F6" w:rsidP="0083574F">
            <w:r>
              <w:t xml:space="preserve">Send </w:t>
            </w:r>
            <w:r w:rsidR="0083574F">
              <w:t>participant</w:t>
            </w:r>
            <w:r>
              <w:t xml:space="preserve"> emails</w:t>
            </w:r>
          </w:p>
        </w:tc>
        <w:tc>
          <w:tcPr>
            <w:tcW w:w="5040" w:type="dxa"/>
          </w:tcPr>
          <w:p w14:paraId="0DC94D15" w14:textId="77777777" w:rsidR="00C10C89" w:rsidRPr="00064AC5" w:rsidRDefault="00F854F6" w:rsidP="00F854F6">
            <w:r>
              <w:t>3 weeks</w:t>
            </w:r>
            <w:r w:rsidR="005D54F1">
              <w:t xml:space="preserve"> after</w:t>
            </w:r>
            <w:r w:rsidR="0015401D" w:rsidRPr="00064AC5">
              <w:t xml:space="preserve"> </w:t>
            </w:r>
            <w:r w:rsidR="008572D9" w:rsidRPr="00064AC5">
              <w:t>OMB approval</w:t>
            </w:r>
          </w:p>
        </w:tc>
      </w:tr>
      <w:tr w:rsidR="00C10C89" w:rsidRPr="00064AC5" w14:paraId="51A46D9C" w14:textId="77777777" w:rsidTr="008C7670">
        <w:tc>
          <w:tcPr>
            <w:tcW w:w="4428" w:type="dxa"/>
          </w:tcPr>
          <w:p w14:paraId="2ECC7D86" w14:textId="77777777" w:rsidR="00C10C89" w:rsidRPr="00064AC5" w:rsidRDefault="00F854F6" w:rsidP="00E975A6">
            <w:r>
              <w:t>Administer survey</w:t>
            </w:r>
          </w:p>
        </w:tc>
        <w:tc>
          <w:tcPr>
            <w:tcW w:w="5040" w:type="dxa"/>
          </w:tcPr>
          <w:p w14:paraId="75F84CBA" w14:textId="77777777" w:rsidR="00C10C89" w:rsidRPr="00064AC5" w:rsidRDefault="00F854F6" w:rsidP="00E975A6">
            <w:r>
              <w:t xml:space="preserve">1-2 </w:t>
            </w:r>
            <w:r w:rsidR="005D54F1">
              <w:t>months after OMB approval</w:t>
            </w:r>
          </w:p>
        </w:tc>
      </w:tr>
      <w:tr w:rsidR="00C10C89" w:rsidRPr="00064AC5" w14:paraId="287DF3ED" w14:textId="77777777" w:rsidTr="008C7670">
        <w:tc>
          <w:tcPr>
            <w:tcW w:w="4428" w:type="dxa"/>
          </w:tcPr>
          <w:p w14:paraId="2C0DE532" w14:textId="5B4CDE90" w:rsidR="00C10C89" w:rsidRPr="00064AC5" w:rsidRDefault="000516AD" w:rsidP="006D45BB">
            <w:r>
              <w:t xml:space="preserve">Analyze and </w:t>
            </w:r>
            <w:r w:rsidR="006D45BB">
              <w:t>r</w:t>
            </w:r>
            <w:r w:rsidR="0045429A" w:rsidRPr="00064AC5">
              <w:t xml:space="preserve">eport on </w:t>
            </w:r>
            <w:r w:rsidR="00F854F6">
              <w:t>survey</w:t>
            </w:r>
            <w:r w:rsidR="005D54F1">
              <w:t xml:space="preserve"> findings</w:t>
            </w:r>
          </w:p>
        </w:tc>
        <w:tc>
          <w:tcPr>
            <w:tcW w:w="5040" w:type="dxa"/>
          </w:tcPr>
          <w:p w14:paraId="2C1E7BBE" w14:textId="77777777" w:rsidR="00C10C89" w:rsidRPr="00064AC5" w:rsidRDefault="00F854F6" w:rsidP="00CA0A4D">
            <w:r>
              <w:t>3</w:t>
            </w:r>
            <w:r w:rsidR="0045429A" w:rsidRPr="00064AC5">
              <w:t xml:space="preserve"> months after OMB approval</w:t>
            </w:r>
          </w:p>
        </w:tc>
      </w:tr>
      <w:tr w:rsidR="0083574F" w:rsidRPr="00064AC5" w14:paraId="519574EA" w14:textId="77777777" w:rsidTr="008C7670">
        <w:tc>
          <w:tcPr>
            <w:tcW w:w="4428" w:type="dxa"/>
          </w:tcPr>
          <w:p w14:paraId="191AC95B" w14:textId="41F8E3C1" w:rsidR="0083574F" w:rsidRDefault="0083574F" w:rsidP="006D45BB">
            <w:r>
              <w:t>Send recruitment emails</w:t>
            </w:r>
          </w:p>
        </w:tc>
        <w:tc>
          <w:tcPr>
            <w:tcW w:w="5040" w:type="dxa"/>
          </w:tcPr>
          <w:p w14:paraId="33AB66D9" w14:textId="04462966" w:rsidR="0083574F" w:rsidRDefault="0083574F" w:rsidP="00CA0A4D">
            <w:r>
              <w:t>20 months after OMB approval</w:t>
            </w:r>
          </w:p>
        </w:tc>
      </w:tr>
      <w:tr w:rsidR="0083574F" w:rsidRPr="00064AC5" w14:paraId="339F09D7" w14:textId="77777777" w:rsidTr="008C7670">
        <w:tc>
          <w:tcPr>
            <w:tcW w:w="4428" w:type="dxa"/>
          </w:tcPr>
          <w:p w14:paraId="378D3157" w14:textId="12AEF012" w:rsidR="0083574F" w:rsidRDefault="0083574F" w:rsidP="006D45BB">
            <w:r>
              <w:t>Send participant emails</w:t>
            </w:r>
          </w:p>
        </w:tc>
        <w:tc>
          <w:tcPr>
            <w:tcW w:w="5040" w:type="dxa"/>
          </w:tcPr>
          <w:p w14:paraId="3EAAA595" w14:textId="5C3C96FD" w:rsidR="0083574F" w:rsidRDefault="0083574F" w:rsidP="00CA0A4D">
            <w:r>
              <w:t>20 months and 1 week after OMB approval</w:t>
            </w:r>
          </w:p>
        </w:tc>
      </w:tr>
      <w:tr w:rsidR="0083574F" w:rsidRPr="00064AC5" w14:paraId="349A76E0" w14:textId="77777777" w:rsidTr="008C7670">
        <w:tc>
          <w:tcPr>
            <w:tcW w:w="4428" w:type="dxa"/>
          </w:tcPr>
          <w:p w14:paraId="2CD23D57" w14:textId="1B794772" w:rsidR="0083574F" w:rsidRDefault="0083574F" w:rsidP="006D45BB">
            <w:r>
              <w:t>Administer survey</w:t>
            </w:r>
          </w:p>
        </w:tc>
        <w:tc>
          <w:tcPr>
            <w:tcW w:w="5040" w:type="dxa"/>
          </w:tcPr>
          <w:p w14:paraId="188800FC" w14:textId="5CC5E2E5" w:rsidR="0083574F" w:rsidRDefault="0083574F" w:rsidP="0083574F">
            <w:r>
              <w:t>20 months and 2 weeks – 21 months and 2 weeks after OMB approval</w:t>
            </w:r>
          </w:p>
        </w:tc>
      </w:tr>
      <w:tr w:rsidR="0083574F" w:rsidRPr="00064AC5" w14:paraId="5B0C07BF" w14:textId="77777777" w:rsidTr="008C7670">
        <w:tc>
          <w:tcPr>
            <w:tcW w:w="4428" w:type="dxa"/>
          </w:tcPr>
          <w:p w14:paraId="65879E4F" w14:textId="2E9E604E" w:rsidR="0083574F" w:rsidRDefault="0083574F" w:rsidP="006D45BB">
            <w:r>
              <w:t>Analyze and report on survey findings</w:t>
            </w:r>
          </w:p>
        </w:tc>
        <w:tc>
          <w:tcPr>
            <w:tcW w:w="5040" w:type="dxa"/>
          </w:tcPr>
          <w:p w14:paraId="1ED135DC" w14:textId="0CE16682" w:rsidR="0083574F" w:rsidRDefault="0083574F" w:rsidP="00CA0A4D">
            <w:r>
              <w:t>22-23 months after OMB approval</w:t>
            </w:r>
          </w:p>
        </w:tc>
      </w:tr>
    </w:tbl>
    <w:p w14:paraId="0303A504" w14:textId="77777777" w:rsidR="00C10C89" w:rsidRPr="00064AC5" w:rsidRDefault="00C10C89" w:rsidP="00CA0A4D">
      <w:pPr>
        <w:rPr>
          <w:b/>
        </w:rPr>
      </w:pPr>
    </w:p>
    <w:p w14:paraId="3DDE3CBB" w14:textId="77777777" w:rsidR="0045429A" w:rsidRDefault="0045429A" w:rsidP="00CA0A4D">
      <w:pPr>
        <w:rPr>
          <w:b/>
          <w:bCs/>
        </w:rPr>
      </w:pPr>
      <w:r w:rsidRPr="00064AC5">
        <w:rPr>
          <w:b/>
          <w:bCs/>
        </w:rPr>
        <w:t>A17.  Reason(s) Display of OMB Expiration Date is Inappropriate</w:t>
      </w:r>
    </w:p>
    <w:p w14:paraId="11CCA735" w14:textId="77777777" w:rsidR="000B69BE" w:rsidRPr="00064AC5" w:rsidRDefault="000B69BE" w:rsidP="00CA0A4D">
      <w:pPr>
        <w:rPr>
          <w:b/>
          <w:bCs/>
        </w:rPr>
      </w:pPr>
    </w:p>
    <w:p w14:paraId="73375B7E" w14:textId="10077E41" w:rsidR="00064AC5" w:rsidRPr="00064AC5" w:rsidRDefault="00BB496A" w:rsidP="00064AC5">
      <w:pPr>
        <w:pStyle w:val="BodyText"/>
        <w:rPr>
          <w:rFonts w:ascii="Times New Roman" w:hAnsi="Times New Roman"/>
        </w:rPr>
      </w:pPr>
      <w:r>
        <w:rPr>
          <w:rFonts w:ascii="Times New Roman" w:hAnsi="Times New Roman"/>
        </w:rPr>
        <w:t>T</w:t>
      </w:r>
      <w:r w:rsidR="00064AC5" w:rsidRPr="00064AC5">
        <w:rPr>
          <w:rFonts w:ascii="Times New Roman" w:hAnsi="Times New Roman"/>
        </w:rPr>
        <w:t xml:space="preserve">he OMB expiration date </w:t>
      </w:r>
      <w:r>
        <w:rPr>
          <w:rFonts w:ascii="Times New Roman" w:hAnsi="Times New Roman"/>
        </w:rPr>
        <w:t>will be displayed</w:t>
      </w:r>
      <w:r w:rsidR="006D45BB">
        <w:rPr>
          <w:rFonts w:ascii="Times New Roman" w:hAnsi="Times New Roman"/>
        </w:rPr>
        <w:t xml:space="preserve"> </w:t>
      </w:r>
      <w:r w:rsidR="006D45BB" w:rsidRPr="006D45BB">
        <w:rPr>
          <w:rFonts w:ascii="Times New Roman" w:hAnsi="Times New Roman"/>
        </w:rPr>
        <w:t>on all information collection instruments</w:t>
      </w:r>
      <w:r>
        <w:rPr>
          <w:rFonts w:ascii="Times New Roman" w:hAnsi="Times New Roman"/>
        </w:rPr>
        <w:t xml:space="preserve">.  </w:t>
      </w:r>
    </w:p>
    <w:p w14:paraId="2DBDD64D" w14:textId="77777777" w:rsidR="008A4685" w:rsidRPr="00064AC5" w:rsidRDefault="008A4685" w:rsidP="008A4685">
      <w:pPr>
        <w:rPr>
          <w:b/>
          <w:bCs/>
        </w:rPr>
      </w:pPr>
      <w:r w:rsidRPr="00064AC5">
        <w:rPr>
          <w:b/>
          <w:bCs/>
        </w:rPr>
        <w:t xml:space="preserve">A18.  Exceptions to Certification for Paperwork Reduction Act </w:t>
      </w:r>
      <w:r w:rsidR="00880F47" w:rsidRPr="00064AC5">
        <w:rPr>
          <w:b/>
          <w:bCs/>
        </w:rPr>
        <w:t>Submissions</w:t>
      </w:r>
    </w:p>
    <w:p w14:paraId="66D3269B" w14:textId="77777777" w:rsidR="008A4685" w:rsidRPr="00064AC5" w:rsidRDefault="008A4685" w:rsidP="008A4685">
      <w:pPr>
        <w:rPr>
          <w:b/>
          <w:bCs/>
        </w:rPr>
      </w:pPr>
    </w:p>
    <w:p w14:paraId="4D7CF1F5" w14:textId="0A832F13" w:rsidR="00064AC5" w:rsidRPr="00064AC5" w:rsidRDefault="00064AC5" w:rsidP="00064AC5">
      <w:pPr>
        <w:pStyle w:val="BodyText"/>
        <w:rPr>
          <w:rFonts w:ascii="Times New Roman" w:hAnsi="Times New Roman"/>
        </w:rPr>
      </w:pPr>
      <w:r w:rsidRPr="00064AC5">
        <w:rPr>
          <w:rFonts w:ascii="Times New Roman" w:hAnsi="Times New Roman"/>
        </w:rPr>
        <w:t>No certification exemption is being sought.</w:t>
      </w:r>
    </w:p>
    <w:p w14:paraId="4D5B2230" w14:textId="77777777" w:rsidR="00CA0A4D" w:rsidRPr="00DF12B8" w:rsidRDefault="00CA0A4D" w:rsidP="004D4FFA">
      <w:pPr>
        <w:rPr>
          <w:rFonts w:cs="Arial"/>
        </w:rPr>
      </w:pPr>
      <w:r w:rsidRPr="00DF12B8">
        <w:rPr>
          <w:rFonts w:cs="Arial"/>
        </w:rPr>
        <w:br w:type="page"/>
      </w:r>
    </w:p>
    <w:p w14:paraId="3C3B71A4" w14:textId="77777777" w:rsidR="00DB34A7" w:rsidRPr="00BA7278" w:rsidRDefault="00D212E6" w:rsidP="00CB45DC">
      <w:pPr>
        <w:jc w:val="center"/>
        <w:rPr>
          <w:rFonts w:cs="Arial"/>
          <w:b/>
        </w:rPr>
      </w:pPr>
      <w:r w:rsidRPr="00BA7278">
        <w:rPr>
          <w:rFonts w:cs="Arial"/>
          <w:b/>
        </w:rPr>
        <w:lastRenderedPageBreak/>
        <w:t>References</w:t>
      </w:r>
    </w:p>
    <w:p w14:paraId="4F837120" w14:textId="77777777" w:rsidR="006C7EE5" w:rsidRPr="00342599" w:rsidRDefault="006C7EE5" w:rsidP="006C7EE5"/>
    <w:p w14:paraId="0097BC95" w14:textId="77777777" w:rsidR="004212C2" w:rsidRPr="004212C2" w:rsidRDefault="004212C2" w:rsidP="004212C2">
      <w:pPr>
        <w:shd w:val="clear" w:color="auto" w:fill="FFFFFF"/>
        <w:spacing w:beforeAutospacing="1" w:afterAutospacing="1" w:line="375" w:lineRule="atLeast"/>
        <w:rPr>
          <w:color w:val="000000"/>
        </w:rPr>
      </w:pPr>
      <w:r w:rsidRPr="004212C2">
        <w:rPr>
          <w:color w:val="000000"/>
        </w:rPr>
        <w:t>Centers for Disease Control and Prevention (2016). Chronic Disease Overview. Retrieved on 4 February 2016 from http://www.cdc.gov/chronicdisease/overview/index.htm</w:t>
      </w:r>
    </w:p>
    <w:p w14:paraId="582A5F71" w14:textId="77777777" w:rsidR="004212C2" w:rsidRPr="004212C2" w:rsidRDefault="004212C2" w:rsidP="004212C2">
      <w:pPr>
        <w:shd w:val="clear" w:color="auto" w:fill="FFFFFF"/>
        <w:spacing w:before="100" w:beforeAutospacing="1" w:after="100" w:afterAutospacing="1" w:line="375" w:lineRule="atLeast"/>
        <w:rPr>
          <w:color w:val="000000"/>
        </w:rPr>
      </w:pPr>
      <w:r w:rsidRPr="004212C2">
        <w:rPr>
          <w:color w:val="000000"/>
        </w:rPr>
        <w:t xml:space="preserve">Centers for Disease Control and Prevention. Death and Mortality. </w:t>
      </w:r>
      <w:r w:rsidR="00D85813">
        <w:rPr>
          <w:color w:val="000000"/>
        </w:rPr>
        <w:t xml:space="preserve">(2013) </w:t>
      </w:r>
      <w:r w:rsidRPr="004212C2">
        <w:rPr>
          <w:color w:val="000000"/>
        </w:rPr>
        <w:t>NCHS FastStats Web site.</w:t>
      </w:r>
      <w:r w:rsidRPr="004212C2">
        <w:rPr>
          <w:rStyle w:val="apple-converted-space"/>
          <w:color w:val="000000"/>
        </w:rPr>
        <w:t> </w:t>
      </w:r>
      <w:hyperlink r:id="rId12" w:history="1">
        <w:r w:rsidRPr="004212C2">
          <w:rPr>
            <w:rStyle w:val="Hyperlink"/>
            <w:color w:val="075290"/>
          </w:rPr>
          <w:t>http://www.cdc.gov/nchs/fastats/deaths.htm</w:t>
        </w:r>
      </w:hyperlink>
      <w:r w:rsidRPr="004212C2">
        <w:rPr>
          <w:color w:val="000000"/>
        </w:rPr>
        <w:t>. Accessed December 20, 2013.</w:t>
      </w:r>
    </w:p>
    <w:p w14:paraId="6C9C5E8C" w14:textId="77777777" w:rsidR="004212C2" w:rsidRDefault="004212C2" w:rsidP="004212C2">
      <w:pPr>
        <w:shd w:val="clear" w:color="auto" w:fill="FFFFFF"/>
        <w:spacing w:beforeAutospacing="1" w:afterAutospacing="1" w:line="375" w:lineRule="atLeast"/>
        <w:rPr>
          <w:color w:val="000000"/>
        </w:rPr>
      </w:pPr>
      <w:r w:rsidRPr="004212C2">
        <w:rPr>
          <w:color w:val="000000"/>
        </w:rPr>
        <w:t>Gerteis J, Izrael D, Deitz D, LeRoy L, Ricciardi R, Miller T, Basu J.</w:t>
      </w:r>
      <w:r w:rsidRPr="004212C2">
        <w:rPr>
          <w:rStyle w:val="apple-converted-space"/>
          <w:color w:val="000000"/>
        </w:rPr>
        <w:t> </w:t>
      </w:r>
      <w:r w:rsidR="00102F01">
        <w:rPr>
          <w:rStyle w:val="apple-converted-space"/>
          <w:color w:val="000000"/>
        </w:rPr>
        <w:t xml:space="preserve">(2014). Multiple Chronic Conditions Chartbook. </w:t>
      </w:r>
      <w:r w:rsidRPr="004212C2">
        <w:rPr>
          <w:color w:val="000000"/>
        </w:rPr>
        <w:t xml:space="preserve">AHRQ Publications No, Q14-0038. Rockville, MD: Agency for Healthcare Research and Quality; 2014. </w:t>
      </w:r>
    </w:p>
    <w:p w14:paraId="3B425D8E" w14:textId="77777777" w:rsidR="00BA0F94" w:rsidRPr="00835666" w:rsidRDefault="00BA0F94" w:rsidP="00BA0F94">
      <w:r w:rsidRPr="00835666">
        <w:t>Jones</w:t>
      </w:r>
      <w:r>
        <w:t>,</w:t>
      </w:r>
      <w:r w:rsidRPr="00835666">
        <w:t xml:space="preserve"> J</w:t>
      </w:r>
      <w:r>
        <w:t>. and</w:t>
      </w:r>
      <w:r w:rsidRPr="00835666">
        <w:t xml:space="preserve"> Barry</w:t>
      </w:r>
      <w:r>
        <w:t>,</w:t>
      </w:r>
      <w:r w:rsidRPr="00835666">
        <w:t xml:space="preserve"> M</w:t>
      </w:r>
      <w:r>
        <w:t>.</w:t>
      </w:r>
      <w:r w:rsidRPr="00835666">
        <w:t xml:space="preserve">M. </w:t>
      </w:r>
      <w:r>
        <w:t xml:space="preserve">(2011). </w:t>
      </w:r>
      <w:r w:rsidRPr="00835666">
        <w:rPr>
          <w:bCs/>
        </w:rPr>
        <w:t xml:space="preserve">Developing a scale to measure synergy in health promotion partnerships. </w:t>
      </w:r>
      <w:r w:rsidRPr="003B21AF">
        <w:rPr>
          <w:bCs/>
          <w:i/>
        </w:rPr>
        <w:t>Global Health Promotion</w:t>
      </w:r>
      <w:r>
        <w:rPr>
          <w:bCs/>
        </w:rPr>
        <w:t xml:space="preserve">. </w:t>
      </w:r>
      <w:r w:rsidRPr="00E04592">
        <w:rPr>
          <w:b/>
          <w:color w:val="000000"/>
          <w:shd w:val="clear" w:color="auto" w:fill="FFFFFF"/>
        </w:rPr>
        <w:t>18</w:t>
      </w:r>
      <w:r>
        <w:rPr>
          <w:color w:val="000000"/>
          <w:shd w:val="clear" w:color="auto" w:fill="FFFFFF"/>
        </w:rPr>
        <w:t xml:space="preserve">, </w:t>
      </w:r>
      <w:r w:rsidRPr="00835666">
        <w:rPr>
          <w:color w:val="000000"/>
          <w:shd w:val="clear" w:color="auto" w:fill="FFFFFF"/>
        </w:rPr>
        <w:t>36-44.</w:t>
      </w:r>
      <w:r w:rsidRPr="00835666">
        <w:rPr>
          <w:bCs/>
        </w:rPr>
        <w:t xml:space="preserve"> </w:t>
      </w:r>
    </w:p>
    <w:p w14:paraId="45E406C3" w14:textId="77777777" w:rsidR="00D85813" w:rsidRPr="004212C2" w:rsidRDefault="00D85813" w:rsidP="004212C2">
      <w:pPr>
        <w:shd w:val="clear" w:color="auto" w:fill="FFFFFF"/>
        <w:spacing w:beforeAutospacing="1" w:afterAutospacing="1" w:line="375" w:lineRule="atLeast"/>
        <w:rPr>
          <w:color w:val="000000"/>
        </w:rPr>
      </w:pPr>
      <w:r w:rsidRPr="00B14423">
        <w:t>Slonim, A. B., Callaghan, C., Daily, L., Leonard, B.</w:t>
      </w:r>
      <w:r>
        <w:t xml:space="preserve"> </w:t>
      </w:r>
      <w:r w:rsidRPr="00B14423">
        <w:t>A., Wheeler, F.</w:t>
      </w:r>
      <w:r>
        <w:t xml:space="preserve"> </w:t>
      </w:r>
      <w:r w:rsidRPr="00B14423">
        <w:t>C., Gollmar, C.</w:t>
      </w:r>
      <w:r>
        <w:t xml:space="preserve"> </w:t>
      </w:r>
      <w:r w:rsidRPr="00B14423">
        <w:t>W., &amp; Young, W.</w:t>
      </w:r>
      <w:r>
        <w:t xml:space="preserve"> </w:t>
      </w:r>
      <w:r w:rsidRPr="00B14423">
        <w:t xml:space="preserve">F. (2007). Recommendations for integration of chronic disease programs: are your programs linked? </w:t>
      </w:r>
      <w:r w:rsidRPr="00B14423">
        <w:rPr>
          <w:i/>
        </w:rPr>
        <w:t>Preventing Chronic Disease, 4</w:t>
      </w:r>
      <w:r w:rsidRPr="00B14423">
        <w:t>(2). Available at http://www.cdc.gov/pcd/issues/2007/apr/06_0163.htm.</w:t>
      </w:r>
    </w:p>
    <w:p w14:paraId="57E441E0" w14:textId="77777777" w:rsidR="004212C2" w:rsidRPr="004212C2" w:rsidRDefault="004212C2" w:rsidP="004212C2">
      <w:pPr>
        <w:shd w:val="clear" w:color="auto" w:fill="FFFFFF"/>
        <w:spacing w:beforeAutospacing="1" w:afterAutospacing="1" w:line="375" w:lineRule="atLeast"/>
        <w:ind w:left="15"/>
        <w:rPr>
          <w:color w:val="000000"/>
        </w:rPr>
      </w:pPr>
      <w:r w:rsidRPr="004212C2">
        <w:rPr>
          <w:color w:val="000000"/>
        </w:rPr>
        <w:t>Ward BW, Schiller JS, Goodman RA. Multiple chronic conditions among US adults: a 2012 update.</w:t>
      </w:r>
      <w:r w:rsidRPr="004212C2">
        <w:rPr>
          <w:rStyle w:val="apple-converted-space"/>
          <w:color w:val="000000"/>
        </w:rPr>
        <w:t> </w:t>
      </w:r>
      <w:r w:rsidR="00D85813">
        <w:rPr>
          <w:rStyle w:val="apple-converted-space"/>
          <w:color w:val="000000"/>
        </w:rPr>
        <w:t xml:space="preserve">(2012). </w:t>
      </w:r>
      <w:r w:rsidRPr="004212C2">
        <w:rPr>
          <w:rStyle w:val="Emphasis"/>
          <w:color w:val="000000"/>
        </w:rPr>
        <w:t>Prev Chronic Dis.</w:t>
      </w:r>
      <w:r w:rsidRPr="004212C2">
        <w:rPr>
          <w:rStyle w:val="apple-converted-space"/>
          <w:color w:val="000000"/>
        </w:rPr>
        <w:t> </w:t>
      </w:r>
      <w:r w:rsidRPr="004212C2">
        <w:rPr>
          <w:color w:val="000000"/>
        </w:rPr>
        <w:t>2014;11:130389. DOI:</w:t>
      </w:r>
      <w:hyperlink r:id="rId13" w:tgtFrame="_blank" w:tooltip="Link to External Web Site" w:history="1">
        <w:r w:rsidRPr="004212C2">
          <w:rPr>
            <w:rStyle w:val="Hyperlink"/>
            <w:color w:val="075290"/>
          </w:rPr>
          <w:t>http://dx.doi.org/10.5888/pcd11.130389</w:t>
        </w:r>
      </w:hyperlink>
      <w:r w:rsidRPr="004212C2">
        <w:rPr>
          <w:color w:val="000000"/>
        </w:rPr>
        <w:t>.</w:t>
      </w:r>
    </w:p>
    <w:p w14:paraId="6AC022D0" w14:textId="62E29414" w:rsidR="000B2EE3" w:rsidRPr="004212C2" w:rsidRDefault="004212C2" w:rsidP="000B2EE3">
      <w:pPr>
        <w:shd w:val="clear" w:color="auto" w:fill="FFFFFF"/>
        <w:spacing w:beforeAutospacing="1" w:afterAutospacing="1" w:line="375" w:lineRule="atLeast"/>
        <w:rPr>
          <w:color w:val="000000"/>
        </w:rPr>
      </w:pPr>
      <w:r>
        <w:rPr>
          <w:color w:val="000000"/>
        </w:rPr>
        <w:t>United States</w:t>
      </w:r>
      <w:r w:rsidRPr="004212C2">
        <w:rPr>
          <w:color w:val="000000"/>
        </w:rPr>
        <w:t xml:space="preserve"> Dep</w:t>
      </w:r>
      <w:r w:rsidR="00700CE2">
        <w:rPr>
          <w:color w:val="000000"/>
        </w:rPr>
        <w:t>art</w:t>
      </w:r>
      <w:r>
        <w:rPr>
          <w:color w:val="000000"/>
        </w:rPr>
        <w:t xml:space="preserve">ment of Health and Human Services (2014). Multiple Chronic Conditions – A Strategic Framework: Optimum Health and Quality of Life for Individuals with Multiple Chronic Conditions. </w:t>
      </w:r>
      <w:r w:rsidR="000B2EE3" w:rsidRPr="004212C2">
        <w:rPr>
          <w:color w:val="000000"/>
        </w:rPr>
        <w:t xml:space="preserve">Washington, DC: US Dept. of Health and Human Services; 2010. </w:t>
      </w:r>
    </w:p>
    <w:p w14:paraId="680469BD" w14:textId="77777777" w:rsidR="002010D5" w:rsidRDefault="002010D5" w:rsidP="000B2EE3">
      <w:pPr>
        <w:shd w:val="clear" w:color="auto" w:fill="FFFFFF"/>
        <w:spacing w:beforeAutospacing="1" w:afterAutospacing="1" w:line="375" w:lineRule="atLeast"/>
        <w:rPr>
          <w:rFonts w:ascii="Helvetica" w:hAnsi="Helvetica"/>
          <w:color w:val="000000"/>
          <w:sz w:val="21"/>
          <w:szCs w:val="21"/>
        </w:rPr>
      </w:pPr>
    </w:p>
    <w:p w14:paraId="0C59723F" w14:textId="77777777" w:rsidR="00627FA1" w:rsidRPr="00EC0307" w:rsidRDefault="00627FA1" w:rsidP="000B2EE3">
      <w:pPr>
        <w:pStyle w:val="ReportBodyText"/>
        <w:spacing w:after="0" w:line="240" w:lineRule="auto"/>
        <w:jc w:val="left"/>
      </w:pPr>
    </w:p>
    <w:sectPr w:rsidR="00627FA1" w:rsidRPr="00EC0307" w:rsidSect="002D215F">
      <w:headerReference w:type="default" r:id="rId14"/>
      <w:footerReference w:type="even" r:id="rId15"/>
      <w:footerReference w:type="default" r:id="rId16"/>
      <w:head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57165" w14:textId="77777777" w:rsidR="00F32C1B" w:rsidRDefault="00F32C1B">
      <w:r>
        <w:separator/>
      </w:r>
    </w:p>
  </w:endnote>
  <w:endnote w:type="continuationSeparator" w:id="0">
    <w:p w14:paraId="5F14B212" w14:textId="77777777" w:rsidR="00F32C1B" w:rsidRDefault="00F32C1B">
      <w:r>
        <w:continuationSeparator/>
      </w:r>
    </w:p>
  </w:endnote>
  <w:endnote w:type="continuationNotice" w:id="1">
    <w:p w14:paraId="7E88B27F" w14:textId="77777777" w:rsidR="00F32C1B" w:rsidRDefault="00F32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lama-Light">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3AF8F" w14:textId="77777777" w:rsidR="00F32C1B" w:rsidRDefault="00F32C1B" w:rsidP="00431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02D685" w14:textId="77777777" w:rsidR="00F32C1B" w:rsidRDefault="00F32C1B" w:rsidP="00220B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1E3B5" w14:textId="77777777" w:rsidR="00F32C1B" w:rsidRDefault="00F32C1B" w:rsidP="00431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76A5">
      <w:rPr>
        <w:rStyle w:val="PageNumber"/>
        <w:noProof/>
      </w:rPr>
      <w:t>14</w:t>
    </w:r>
    <w:r>
      <w:rPr>
        <w:rStyle w:val="PageNumber"/>
      </w:rPr>
      <w:fldChar w:fldCharType="end"/>
    </w:r>
  </w:p>
  <w:p w14:paraId="78A975FC" w14:textId="77777777" w:rsidR="00F32C1B" w:rsidRDefault="00F32C1B" w:rsidP="00220B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0A19C" w14:textId="77777777" w:rsidR="00F32C1B" w:rsidRDefault="00F32C1B">
      <w:r>
        <w:separator/>
      </w:r>
    </w:p>
  </w:footnote>
  <w:footnote w:type="continuationSeparator" w:id="0">
    <w:p w14:paraId="6B59A8D4" w14:textId="77777777" w:rsidR="00F32C1B" w:rsidRDefault="00F32C1B">
      <w:r>
        <w:continuationSeparator/>
      </w:r>
    </w:p>
  </w:footnote>
  <w:footnote w:type="continuationNotice" w:id="1">
    <w:p w14:paraId="6F0151BF" w14:textId="77777777" w:rsidR="00F32C1B" w:rsidRDefault="00F32C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8EF0A" w14:textId="14ED00D5" w:rsidR="00F32C1B" w:rsidRDefault="00F32C1B" w:rsidP="00E23E6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44379" w14:textId="05F25F44" w:rsidR="00F32C1B" w:rsidRDefault="00F32C1B" w:rsidP="00D445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D74"/>
    <w:multiLevelType w:val="hybridMultilevel"/>
    <w:tmpl w:val="D19CE40A"/>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 w15:restartNumberingAfterBreak="0">
    <w:nsid w:val="0AFD3DB4"/>
    <w:multiLevelType w:val="hybridMultilevel"/>
    <w:tmpl w:val="F2B25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6529A"/>
    <w:multiLevelType w:val="hybridMultilevel"/>
    <w:tmpl w:val="3DE29290"/>
    <w:lvl w:ilvl="0" w:tplc="5420DD58">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4C7317"/>
    <w:multiLevelType w:val="hybridMultilevel"/>
    <w:tmpl w:val="1178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30789"/>
    <w:multiLevelType w:val="hybridMultilevel"/>
    <w:tmpl w:val="61F8D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C97EFF"/>
    <w:multiLevelType w:val="hybridMultilevel"/>
    <w:tmpl w:val="99E0B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D34F65"/>
    <w:multiLevelType w:val="hybridMultilevel"/>
    <w:tmpl w:val="20A00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5D6077"/>
    <w:multiLevelType w:val="hybridMultilevel"/>
    <w:tmpl w:val="6BA63C40"/>
    <w:lvl w:ilvl="0" w:tplc="5846CF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014C7"/>
    <w:multiLevelType w:val="hybridMultilevel"/>
    <w:tmpl w:val="9560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06890"/>
    <w:multiLevelType w:val="hybridMultilevel"/>
    <w:tmpl w:val="E18C54CC"/>
    <w:lvl w:ilvl="0" w:tplc="7F9E3114">
      <w:start w:val="1"/>
      <w:numFmt w:val="decimal"/>
      <w:pStyle w:val="ReportBulletList"/>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72357"/>
    <w:multiLevelType w:val="hybridMultilevel"/>
    <w:tmpl w:val="0C84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44431"/>
    <w:multiLevelType w:val="hybridMultilevel"/>
    <w:tmpl w:val="E220901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24729E"/>
    <w:multiLevelType w:val="hybridMultilevel"/>
    <w:tmpl w:val="44DC0FC2"/>
    <w:lvl w:ilvl="0" w:tplc="A76A35D4">
      <w:start w:val="1"/>
      <w:numFmt w:val="bullet"/>
      <w:pStyle w:val="E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EEA54BE"/>
    <w:multiLevelType w:val="hybridMultilevel"/>
    <w:tmpl w:val="BF9A2802"/>
    <w:lvl w:ilvl="0" w:tplc="EB00F7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F1BD9"/>
    <w:multiLevelType w:val="hybridMultilevel"/>
    <w:tmpl w:val="7C36B62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40B81665"/>
    <w:multiLevelType w:val="hybridMultilevel"/>
    <w:tmpl w:val="95F4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056AE"/>
    <w:multiLevelType w:val="hybridMultilevel"/>
    <w:tmpl w:val="8354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C35C2"/>
    <w:multiLevelType w:val="hybridMultilevel"/>
    <w:tmpl w:val="1C46FF04"/>
    <w:lvl w:ilvl="0" w:tplc="0C7A0C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1A508F"/>
    <w:multiLevelType w:val="multilevel"/>
    <w:tmpl w:val="AA74C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3A7D4B"/>
    <w:multiLevelType w:val="hybridMultilevel"/>
    <w:tmpl w:val="A4F4C2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8809CC"/>
    <w:multiLevelType w:val="hybridMultilevel"/>
    <w:tmpl w:val="F88A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D7EF3"/>
    <w:multiLevelType w:val="hybridMultilevel"/>
    <w:tmpl w:val="2D1AA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13BB7"/>
    <w:multiLevelType w:val="hybridMultilevel"/>
    <w:tmpl w:val="DCF42E82"/>
    <w:lvl w:ilvl="0" w:tplc="04090001">
      <w:start w:val="1"/>
      <w:numFmt w:val="decimal"/>
      <w:pStyle w:val="BodyTextNumbered"/>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15:restartNumberingAfterBreak="0">
    <w:nsid w:val="5341276E"/>
    <w:multiLevelType w:val="hybridMultilevel"/>
    <w:tmpl w:val="FA564052"/>
    <w:lvl w:ilvl="0" w:tplc="11AA295C">
      <w:start w:val="1"/>
      <w:numFmt w:val="decimal"/>
      <w:pStyle w:val="Repor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F1C75"/>
    <w:multiLevelType w:val="hybridMultilevel"/>
    <w:tmpl w:val="D852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82761"/>
    <w:multiLevelType w:val="hybridMultilevel"/>
    <w:tmpl w:val="F888313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6" w15:restartNumberingAfterBreak="0">
    <w:nsid w:val="55641832"/>
    <w:multiLevelType w:val="hybridMultilevel"/>
    <w:tmpl w:val="BDE2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F571C"/>
    <w:multiLevelType w:val="hybridMultilevel"/>
    <w:tmpl w:val="2A0E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313F3"/>
    <w:multiLevelType w:val="hybridMultilevel"/>
    <w:tmpl w:val="3CB08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387C77"/>
    <w:multiLevelType w:val="multilevel"/>
    <w:tmpl w:val="600E8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E20E4E"/>
    <w:multiLevelType w:val="hybridMultilevel"/>
    <w:tmpl w:val="C52CC276"/>
    <w:lvl w:ilvl="0" w:tplc="5742EE12">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1" w15:restartNumberingAfterBreak="0">
    <w:nsid w:val="68165603"/>
    <w:multiLevelType w:val="hybridMultilevel"/>
    <w:tmpl w:val="D9E8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284D8E"/>
    <w:multiLevelType w:val="hybridMultilevel"/>
    <w:tmpl w:val="0D8A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00C6D"/>
    <w:multiLevelType w:val="multilevel"/>
    <w:tmpl w:val="A1641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F52F36"/>
    <w:multiLevelType w:val="multilevel"/>
    <w:tmpl w:val="A7EE0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FC1853"/>
    <w:multiLevelType w:val="hybridMultilevel"/>
    <w:tmpl w:val="B6AA0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561699"/>
    <w:multiLevelType w:val="hybridMultilevel"/>
    <w:tmpl w:val="58A0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80FAE"/>
    <w:multiLevelType w:val="hybridMultilevel"/>
    <w:tmpl w:val="6BA64B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2B61D6"/>
    <w:multiLevelType w:val="hybridMultilevel"/>
    <w:tmpl w:val="12B4D1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8B45C5"/>
    <w:multiLevelType w:val="hybridMultilevel"/>
    <w:tmpl w:val="AD22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A06FA2"/>
    <w:multiLevelType w:val="hybridMultilevel"/>
    <w:tmpl w:val="8526905A"/>
    <w:lvl w:ilvl="0" w:tplc="1C008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E3B07"/>
    <w:multiLevelType w:val="hybridMultilevel"/>
    <w:tmpl w:val="9402BDDA"/>
    <w:lvl w:ilvl="0" w:tplc="889A27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254498"/>
    <w:multiLevelType w:val="hybridMultilevel"/>
    <w:tmpl w:val="7B6A03BC"/>
    <w:lvl w:ilvl="0" w:tplc="1C008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08249E"/>
    <w:multiLevelType w:val="hybridMultilevel"/>
    <w:tmpl w:val="02A0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7"/>
  </w:num>
  <w:num w:numId="4">
    <w:abstractNumId w:val="22"/>
  </w:num>
  <w:num w:numId="5">
    <w:abstractNumId w:val="14"/>
  </w:num>
  <w:num w:numId="6">
    <w:abstractNumId w:val="19"/>
  </w:num>
  <w:num w:numId="7">
    <w:abstractNumId w:val="41"/>
  </w:num>
  <w:num w:numId="8">
    <w:abstractNumId w:val="16"/>
  </w:num>
  <w:num w:numId="9">
    <w:abstractNumId w:val="21"/>
  </w:num>
  <w:num w:numId="10">
    <w:abstractNumId w:val="32"/>
  </w:num>
  <w:num w:numId="11">
    <w:abstractNumId w:val="23"/>
  </w:num>
  <w:num w:numId="12">
    <w:abstractNumId w:val="9"/>
  </w:num>
  <w:num w:numId="13">
    <w:abstractNumId w:val="30"/>
  </w:num>
  <w:num w:numId="14">
    <w:abstractNumId w:val="25"/>
  </w:num>
  <w:num w:numId="15">
    <w:abstractNumId w:val="43"/>
  </w:num>
  <w:num w:numId="16">
    <w:abstractNumId w:val="24"/>
  </w:num>
  <w:num w:numId="17">
    <w:abstractNumId w:val="40"/>
  </w:num>
  <w:num w:numId="18">
    <w:abstractNumId w:val="42"/>
  </w:num>
  <w:num w:numId="19">
    <w:abstractNumId w:val="39"/>
  </w:num>
  <w:num w:numId="20">
    <w:abstractNumId w:val="31"/>
  </w:num>
  <w:num w:numId="21">
    <w:abstractNumId w:val="8"/>
  </w:num>
  <w:num w:numId="22">
    <w:abstractNumId w:val="3"/>
  </w:num>
  <w:num w:numId="23">
    <w:abstractNumId w:val="27"/>
  </w:num>
  <w:num w:numId="24">
    <w:abstractNumId w:val="37"/>
  </w:num>
  <w:num w:numId="25">
    <w:abstractNumId w:val="35"/>
  </w:num>
  <w:num w:numId="26">
    <w:abstractNumId w:val="20"/>
  </w:num>
  <w:num w:numId="27">
    <w:abstractNumId w:val="12"/>
  </w:num>
  <w:num w:numId="28">
    <w:abstractNumId w:val="28"/>
  </w:num>
  <w:num w:numId="29">
    <w:abstractNumId w:val="1"/>
  </w:num>
  <w:num w:numId="30">
    <w:abstractNumId w:val="26"/>
  </w:num>
  <w:num w:numId="31">
    <w:abstractNumId w:val="15"/>
  </w:num>
  <w:num w:numId="32">
    <w:abstractNumId w:val="29"/>
  </w:num>
  <w:num w:numId="33">
    <w:abstractNumId w:val="33"/>
  </w:num>
  <w:num w:numId="34">
    <w:abstractNumId w:val="18"/>
  </w:num>
  <w:num w:numId="35">
    <w:abstractNumId w:val="34"/>
  </w:num>
  <w:num w:numId="36">
    <w:abstractNumId w:val="0"/>
  </w:num>
  <w:num w:numId="37">
    <w:abstractNumId w:val="4"/>
  </w:num>
  <w:num w:numId="38">
    <w:abstractNumId w:val="6"/>
  </w:num>
  <w:num w:numId="39">
    <w:abstractNumId w:val="5"/>
  </w:num>
  <w:num w:numId="40">
    <w:abstractNumId w:val="38"/>
  </w:num>
  <w:num w:numId="41">
    <w:abstractNumId w:val="13"/>
  </w:num>
  <w:num w:numId="42">
    <w:abstractNumId w:val="7"/>
  </w:num>
  <w:num w:numId="43">
    <w:abstractNumId w:val="36"/>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58"/>
    <w:rsid w:val="000002A4"/>
    <w:rsid w:val="00001023"/>
    <w:rsid w:val="000029DF"/>
    <w:rsid w:val="00003293"/>
    <w:rsid w:val="0000703E"/>
    <w:rsid w:val="00010CE6"/>
    <w:rsid w:val="00012235"/>
    <w:rsid w:val="00013756"/>
    <w:rsid w:val="000175C3"/>
    <w:rsid w:val="0002048F"/>
    <w:rsid w:val="00022120"/>
    <w:rsid w:val="000227C8"/>
    <w:rsid w:val="00025FA1"/>
    <w:rsid w:val="000320C1"/>
    <w:rsid w:val="00035669"/>
    <w:rsid w:val="0004089F"/>
    <w:rsid w:val="00042323"/>
    <w:rsid w:val="00044878"/>
    <w:rsid w:val="00045B67"/>
    <w:rsid w:val="0004615E"/>
    <w:rsid w:val="0004658C"/>
    <w:rsid w:val="000516AD"/>
    <w:rsid w:val="00051D97"/>
    <w:rsid w:val="000520F5"/>
    <w:rsid w:val="00052C71"/>
    <w:rsid w:val="000539A3"/>
    <w:rsid w:val="00054730"/>
    <w:rsid w:val="00057B03"/>
    <w:rsid w:val="00064AC5"/>
    <w:rsid w:val="00064E5F"/>
    <w:rsid w:val="000657AD"/>
    <w:rsid w:val="00066B36"/>
    <w:rsid w:val="000676D9"/>
    <w:rsid w:val="00072DA3"/>
    <w:rsid w:val="00073707"/>
    <w:rsid w:val="000740DD"/>
    <w:rsid w:val="00075A57"/>
    <w:rsid w:val="00075AEA"/>
    <w:rsid w:val="00077A24"/>
    <w:rsid w:val="000811A3"/>
    <w:rsid w:val="0008505C"/>
    <w:rsid w:val="000908DF"/>
    <w:rsid w:val="000918F9"/>
    <w:rsid w:val="00093D5C"/>
    <w:rsid w:val="00097FAB"/>
    <w:rsid w:val="000A0A11"/>
    <w:rsid w:val="000A1326"/>
    <w:rsid w:val="000A28A3"/>
    <w:rsid w:val="000A2F81"/>
    <w:rsid w:val="000A65F3"/>
    <w:rsid w:val="000A662B"/>
    <w:rsid w:val="000A7A1A"/>
    <w:rsid w:val="000B0BDB"/>
    <w:rsid w:val="000B17EA"/>
    <w:rsid w:val="000B2EE3"/>
    <w:rsid w:val="000B41BB"/>
    <w:rsid w:val="000B69BE"/>
    <w:rsid w:val="000C059D"/>
    <w:rsid w:val="000C6D9E"/>
    <w:rsid w:val="000C78B9"/>
    <w:rsid w:val="000D762B"/>
    <w:rsid w:val="000E39EC"/>
    <w:rsid w:val="000E5F19"/>
    <w:rsid w:val="000E662F"/>
    <w:rsid w:val="000E6C16"/>
    <w:rsid w:val="000E7030"/>
    <w:rsid w:val="000F0277"/>
    <w:rsid w:val="000F1DB6"/>
    <w:rsid w:val="00102F01"/>
    <w:rsid w:val="001066EF"/>
    <w:rsid w:val="001072EA"/>
    <w:rsid w:val="0010772B"/>
    <w:rsid w:val="00114ADD"/>
    <w:rsid w:val="00117FBD"/>
    <w:rsid w:val="00121A82"/>
    <w:rsid w:val="00121C68"/>
    <w:rsid w:val="00122EF6"/>
    <w:rsid w:val="00123A54"/>
    <w:rsid w:val="00126C9B"/>
    <w:rsid w:val="00127122"/>
    <w:rsid w:val="001340D7"/>
    <w:rsid w:val="00136CAE"/>
    <w:rsid w:val="0013766A"/>
    <w:rsid w:val="001402F3"/>
    <w:rsid w:val="001403D4"/>
    <w:rsid w:val="0014048F"/>
    <w:rsid w:val="001440A1"/>
    <w:rsid w:val="00146C72"/>
    <w:rsid w:val="00146E5E"/>
    <w:rsid w:val="0015064D"/>
    <w:rsid w:val="00153440"/>
    <w:rsid w:val="0015401D"/>
    <w:rsid w:val="00155464"/>
    <w:rsid w:val="00157EF3"/>
    <w:rsid w:val="00160785"/>
    <w:rsid w:val="001608B9"/>
    <w:rsid w:val="0016238C"/>
    <w:rsid w:val="00163C30"/>
    <w:rsid w:val="00166BAB"/>
    <w:rsid w:val="00170FAF"/>
    <w:rsid w:val="00171371"/>
    <w:rsid w:val="00172658"/>
    <w:rsid w:val="001738BF"/>
    <w:rsid w:val="0017482B"/>
    <w:rsid w:val="001778C2"/>
    <w:rsid w:val="00182151"/>
    <w:rsid w:val="0018462C"/>
    <w:rsid w:val="00184A3E"/>
    <w:rsid w:val="00185EDE"/>
    <w:rsid w:val="00187BC3"/>
    <w:rsid w:val="00187D85"/>
    <w:rsid w:val="001A021F"/>
    <w:rsid w:val="001A05CD"/>
    <w:rsid w:val="001A35E2"/>
    <w:rsid w:val="001A4AAF"/>
    <w:rsid w:val="001A4C9C"/>
    <w:rsid w:val="001B0C4C"/>
    <w:rsid w:val="001B4A6E"/>
    <w:rsid w:val="001C32FE"/>
    <w:rsid w:val="001C5200"/>
    <w:rsid w:val="001C7B0F"/>
    <w:rsid w:val="001D0C95"/>
    <w:rsid w:val="001D2FA2"/>
    <w:rsid w:val="001D4F34"/>
    <w:rsid w:val="001D648D"/>
    <w:rsid w:val="001E3BF9"/>
    <w:rsid w:val="001E560E"/>
    <w:rsid w:val="001E78D6"/>
    <w:rsid w:val="001F225F"/>
    <w:rsid w:val="001F3646"/>
    <w:rsid w:val="001F55B4"/>
    <w:rsid w:val="002010D5"/>
    <w:rsid w:val="002011C2"/>
    <w:rsid w:val="002027BB"/>
    <w:rsid w:val="002054A5"/>
    <w:rsid w:val="00210C08"/>
    <w:rsid w:val="00211043"/>
    <w:rsid w:val="002156DE"/>
    <w:rsid w:val="00220B70"/>
    <w:rsid w:val="00221854"/>
    <w:rsid w:val="0022207B"/>
    <w:rsid w:val="002248A0"/>
    <w:rsid w:val="00226263"/>
    <w:rsid w:val="00227036"/>
    <w:rsid w:val="002302B8"/>
    <w:rsid w:val="00231AE3"/>
    <w:rsid w:val="002347DE"/>
    <w:rsid w:val="00234F23"/>
    <w:rsid w:val="00234FA6"/>
    <w:rsid w:val="00240580"/>
    <w:rsid w:val="002448E9"/>
    <w:rsid w:val="00244D63"/>
    <w:rsid w:val="00254CC7"/>
    <w:rsid w:val="002558C9"/>
    <w:rsid w:val="00261513"/>
    <w:rsid w:val="00266584"/>
    <w:rsid w:val="00267252"/>
    <w:rsid w:val="00267723"/>
    <w:rsid w:val="00272027"/>
    <w:rsid w:val="00273427"/>
    <w:rsid w:val="00277613"/>
    <w:rsid w:val="00282F3A"/>
    <w:rsid w:val="00283895"/>
    <w:rsid w:val="00283A6F"/>
    <w:rsid w:val="00283E12"/>
    <w:rsid w:val="00286157"/>
    <w:rsid w:val="0028666F"/>
    <w:rsid w:val="0028749E"/>
    <w:rsid w:val="00292794"/>
    <w:rsid w:val="00296511"/>
    <w:rsid w:val="002974D1"/>
    <w:rsid w:val="002A5B14"/>
    <w:rsid w:val="002A77A4"/>
    <w:rsid w:val="002A7E1D"/>
    <w:rsid w:val="002B0C3D"/>
    <w:rsid w:val="002B3020"/>
    <w:rsid w:val="002B678E"/>
    <w:rsid w:val="002C0FBF"/>
    <w:rsid w:val="002C3F5F"/>
    <w:rsid w:val="002D1C9D"/>
    <w:rsid w:val="002D215F"/>
    <w:rsid w:val="002D4302"/>
    <w:rsid w:val="002D526B"/>
    <w:rsid w:val="002E031C"/>
    <w:rsid w:val="002E2AA9"/>
    <w:rsid w:val="002E75EC"/>
    <w:rsid w:val="002E772B"/>
    <w:rsid w:val="002F22ED"/>
    <w:rsid w:val="002F3626"/>
    <w:rsid w:val="002F44D1"/>
    <w:rsid w:val="0030035E"/>
    <w:rsid w:val="00307165"/>
    <w:rsid w:val="003105B7"/>
    <w:rsid w:val="00310C23"/>
    <w:rsid w:val="0031163B"/>
    <w:rsid w:val="003123D4"/>
    <w:rsid w:val="003129BA"/>
    <w:rsid w:val="0031341E"/>
    <w:rsid w:val="00313761"/>
    <w:rsid w:val="00313FF6"/>
    <w:rsid w:val="00315004"/>
    <w:rsid w:val="00324812"/>
    <w:rsid w:val="0032580F"/>
    <w:rsid w:val="0033067B"/>
    <w:rsid w:val="00334771"/>
    <w:rsid w:val="003369B1"/>
    <w:rsid w:val="00337855"/>
    <w:rsid w:val="00340473"/>
    <w:rsid w:val="00340CA9"/>
    <w:rsid w:val="0034148C"/>
    <w:rsid w:val="00342FDE"/>
    <w:rsid w:val="00343ECF"/>
    <w:rsid w:val="00345B80"/>
    <w:rsid w:val="0034785E"/>
    <w:rsid w:val="003500B1"/>
    <w:rsid w:val="00350A0E"/>
    <w:rsid w:val="00351266"/>
    <w:rsid w:val="00351BF3"/>
    <w:rsid w:val="00354356"/>
    <w:rsid w:val="00355950"/>
    <w:rsid w:val="003600BE"/>
    <w:rsid w:val="00361ECE"/>
    <w:rsid w:val="00361ED5"/>
    <w:rsid w:val="0036253A"/>
    <w:rsid w:val="00366934"/>
    <w:rsid w:val="00367478"/>
    <w:rsid w:val="0037040C"/>
    <w:rsid w:val="00371B65"/>
    <w:rsid w:val="00373B87"/>
    <w:rsid w:val="0037583A"/>
    <w:rsid w:val="00380209"/>
    <w:rsid w:val="00380E5F"/>
    <w:rsid w:val="00383297"/>
    <w:rsid w:val="0038401D"/>
    <w:rsid w:val="0039296D"/>
    <w:rsid w:val="003A044A"/>
    <w:rsid w:val="003B42B1"/>
    <w:rsid w:val="003C13CC"/>
    <w:rsid w:val="003C2210"/>
    <w:rsid w:val="003C2ED2"/>
    <w:rsid w:val="003C4660"/>
    <w:rsid w:val="003C6A8B"/>
    <w:rsid w:val="003D4317"/>
    <w:rsid w:val="003D5BC6"/>
    <w:rsid w:val="003E1932"/>
    <w:rsid w:val="003E2BAE"/>
    <w:rsid w:val="003E3235"/>
    <w:rsid w:val="003E693D"/>
    <w:rsid w:val="003F27E3"/>
    <w:rsid w:val="003F2EC2"/>
    <w:rsid w:val="003F47C4"/>
    <w:rsid w:val="003F4F23"/>
    <w:rsid w:val="003F5444"/>
    <w:rsid w:val="003F62DC"/>
    <w:rsid w:val="0040005D"/>
    <w:rsid w:val="004001B5"/>
    <w:rsid w:val="00400E25"/>
    <w:rsid w:val="004024FB"/>
    <w:rsid w:val="00406261"/>
    <w:rsid w:val="00413A4D"/>
    <w:rsid w:val="00413F69"/>
    <w:rsid w:val="004146F9"/>
    <w:rsid w:val="004212C2"/>
    <w:rsid w:val="00422878"/>
    <w:rsid w:val="00423BFB"/>
    <w:rsid w:val="00424298"/>
    <w:rsid w:val="00431D62"/>
    <w:rsid w:val="004370F7"/>
    <w:rsid w:val="00441577"/>
    <w:rsid w:val="00442013"/>
    <w:rsid w:val="00445AAE"/>
    <w:rsid w:val="00445CA0"/>
    <w:rsid w:val="0045140F"/>
    <w:rsid w:val="00451D8B"/>
    <w:rsid w:val="0045429A"/>
    <w:rsid w:val="00455EB2"/>
    <w:rsid w:val="00460DC5"/>
    <w:rsid w:val="00464211"/>
    <w:rsid w:val="00465411"/>
    <w:rsid w:val="00470FC1"/>
    <w:rsid w:val="00472B91"/>
    <w:rsid w:val="00482AEE"/>
    <w:rsid w:val="00482CE6"/>
    <w:rsid w:val="00483F9F"/>
    <w:rsid w:val="00484155"/>
    <w:rsid w:val="004859B7"/>
    <w:rsid w:val="00487183"/>
    <w:rsid w:val="0048720C"/>
    <w:rsid w:val="00487697"/>
    <w:rsid w:val="00491079"/>
    <w:rsid w:val="00491F00"/>
    <w:rsid w:val="00493D9F"/>
    <w:rsid w:val="00493DD7"/>
    <w:rsid w:val="0049567B"/>
    <w:rsid w:val="004A05DA"/>
    <w:rsid w:val="004A57FA"/>
    <w:rsid w:val="004A5C6F"/>
    <w:rsid w:val="004A6805"/>
    <w:rsid w:val="004A71BD"/>
    <w:rsid w:val="004A76A5"/>
    <w:rsid w:val="004A76E2"/>
    <w:rsid w:val="004B18BD"/>
    <w:rsid w:val="004B37C2"/>
    <w:rsid w:val="004C05D9"/>
    <w:rsid w:val="004C1A95"/>
    <w:rsid w:val="004C4263"/>
    <w:rsid w:val="004D408E"/>
    <w:rsid w:val="004D4FFA"/>
    <w:rsid w:val="004D7914"/>
    <w:rsid w:val="004E0257"/>
    <w:rsid w:val="004E1593"/>
    <w:rsid w:val="004E1E73"/>
    <w:rsid w:val="004E3E7A"/>
    <w:rsid w:val="004E44FE"/>
    <w:rsid w:val="004E4990"/>
    <w:rsid w:val="004E4E3B"/>
    <w:rsid w:val="004E6B26"/>
    <w:rsid w:val="004E6F84"/>
    <w:rsid w:val="004F48BA"/>
    <w:rsid w:val="004F4FA9"/>
    <w:rsid w:val="00500791"/>
    <w:rsid w:val="00507822"/>
    <w:rsid w:val="005118D6"/>
    <w:rsid w:val="00516E93"/>
    <w:rsid w:val="00520990"/>
    <w:rsid w:val="00520A01"/>
    <w:rsid w:val="0053237C"/>
    <w:rsid w:val="00532F13"/>
    <w:rsid w:val="00540651"/>
    <w:rsid w:val="00544005"/>
    <w:rsid w:val="005459E9"/>
    <w:rsid w:val="0054717C"/>
    <w:rsid w:val="00547950"/>
    <w:rsid w:val="00551ACE"/>
    <w:rsid w:val="005574D5"/>
    <w:rsid w:val="0056066B"/>
    <w:rsid w:val="00560F49"/>
    <w:rsid w:val="00562E87"/>
    <w:rsid w:val="005653C6"/>
    <w:rsid w:val="00565908"/>
    <w:rsid w:val="0056780E"/>
    <w:rsid w:val="00567D90"/>
    <w:rsid w:val="0057407C"/>
    <w:rsid w:val="00577332"/>
    <w:rsid w:val="005777EA"/>
    <w:rsid w:val="005814B1"/>
    <w:rsid w:val="00581F3F"/>
    <w:rsid w:val="00583202"/>
    <w:rsid w:val="00583967"/>
    <w:rsid w:val="0058533C"/>
    <w:rsid w:val="005858D0"/>
    <w:rsid w:val="005867C8"/>
    <w:rsid w:val="00590AD3"/>
    <w:rsid w:val="0059184B"/>
    <w:rsid w:val="005929D1"/>
    <w:rsid w:val="00594643"/>
    <w:rsid w:val="00594F1E"/>
    <w:rsid w:val="00595581"/>
    <w:rsid w:val="00595742"/>
    <w:rsid w:val="005A018A"/>
    <w:rsid w:val="005A0402"/>
    <w:rsid w:val="005A07EB"/>
    <w:rsid w:val="005A499B"/>
    <w:rsid w:val="005B03A5"/>
    <w:rsid w:val="005B2EE8"/>
    <w:rsid w:val="005B5248"/>
    <w:rsid w:val="005B6EDD"/>
    <w:rsid w:val="005B71B2"/>
    <w:rsid w:val="005B74E3"/>
    <w:rsid w:val="005C2E01"/>
    <w:rsid w:val="005C5629"/>
    <w:rsid w:val="005D3E20"/>
    <w:rsid w:val="005D54F1"/>
    <w:rsid w:val="005D7940"/>
    <w:rsid w:val="005E25F2"/>
    <w:rsid w:val="005E2AB6"/>
    <w:rsid w:val="005F22E4"/>
    <w:rsid w:val="005F38B8"/>
    <w:rsid w:val="00600135"/>
    <w:rsid w:val="0060121E"/>
    <w:rsid w:val="00602BC8"/>
    <w:rsid w:val="0060474F"/>
    <w:rsid w:val="00604801"/>
    <w:rsid w:val="00605D40"/>
    <w:rsid w:val="00613439"/>
    <w:rsid w:val="006152C8"/>
    <w:rsid w:val="00617330"/>
    <w:rsid w:val="006179EE"/>
    <w:rsid w:val="00617D73"/>
    <w:rsid w:val="00617E55"/>
    <w:rsid w:val="00620DFF"/>
    <w:rsid w:val="00622E27"/>
    <w:rsid w:val="006242A4"/>
    <w:rsid w:val="00624300"/>
    <w:rsid w:val="00624C1C"/>
    <w:rsid w:val="00625C06"/>
    <w:rsid w:val="006270B7"/>
    <w:rsid w:val="00627FA1"/>
    <w:rsid w:val="006341D5"/>
    <w:rsid w:val="006354AD"/>
    <w:rsid w:val="0064389B"/>
    <w:rsid w:val="00644A19"/>
    <w:rsid w:val="00646006"/>
    <w:rsid w:val="00650F3F"/>
    <w:rsid w:val="006518F9"/>
    <w:rsid w:val="006528A7"/>
    <w:rsid w:val="0065318D"/>
    <w:rsid w:val="006557D3"/>
    <w:rsid w:val="006558E9"/>
    <w:rsid w:val="00655A0B"/>
    <w:rsid w:val="006619F9"/>
    <w:rsid w:val="0066317B"/>
    <w:rsid w:val="0066553E"/>
    <w:rsid w:val="00673219"/>
    <w:rsid w:val="00676564"/>
    <w:rsid w:val="00677C74"/>
    <w:rsid w:val="00680C4F"/>
    <w:rsid w:val="00680D9C"/>
    <w:rsid w:val="006823D3"/>
    <w:rsid w:val="00682B36"/>
    <w:rsid w:val="006830C4"/>
    <w:rsid w:val="006876B8"/>
    <w:rsid w:val="00687788"/>
    <w:rsid w:val="00687A66"/>
    <w:rsid w:val="006901FE"/>
    <w:rsid w:val="0069044D"/>
    <w:rsid w:val="00691236"/>
    <w:rsid w:val="00695151"/>
    <w:rsid w:val="00695F9E"/>
    <w:rsid w:val="006A26FB"/>
    <w:rsid w:val="006A27B6"/>
    <w:rsid w:val="006A2ABA"/>
    <w:rsid w:val="006A48CC"/>
    <w:rsid w:val="006B1783"/>
    <w:rsid w:val="006B4CC3"/>
    <w:rsid w:val="006C03E0"/>
    <w:rsid w:val="006C24F2"/>
    <w:rsid w:val="006C593B"/>
    <w:rsid w:val="006C6AE5"/>
    <w:rsid w:val="006C7424"/>
    <w:rsid w:val="006C7EE5"/>
    <w:rsid w:val="006D0ACC"/>
    <w:rsid w:val="006D1B1F"/>
    <w:rsid w:val="006D222A"/>
    <w:rsid w:val="006D45BB"/>
    <w:rsid w:val="006D506C"/>
    <w:rsid w:val="006D56EF"/>
    <w:rsid w:val="006E3725"/>
    <w:rsid w:val="006E4AD4"/>
    <w:rsid w:val="006E5EA9"/>
    <w:rsid w:val="006E6CB4"/>
    <w:rsid w:val="006F18A7"/>
    <w:rsid w:val="006F1903"/>
    <w:rsid w:val="006F1C3C"/>
    <w:rsid w:val="006F21B6"/>
    <w:rsid w:val="006F56A9"/>
    <w:rsid w:val="006F62E1"/>
    <w:rsid w:val="006F6C29"/>
    <w:rsid w:val="00700CE2"/>
    <w:rsid w:val="007012BF"/>
    <w:rsid w:val="00706805"/>
    <w:rsid w:val="00712D15"/>
    <w:rsid w:val="00713408"/>
    <w:rsid w:val="00714878"/>
    <w:rsid w:val="0071780D"/>
    <w:rsid w:val="00717C50"/>
    <w:rsid w:val="00721687"/>
    <w:rsid w:val="00730B35"/>
    <w:rsid w:val="007406DC"/>
    <w:rsid w:val="007407CA"/>
    <w:rsid w:val="00745E3E"/>
    <w:rsid w:val="00750B2B"/>
    <w:rsid w:val="007550B3"/>
    <w:rsid w:val="007569F7"/>
    <w:rsid w:val="00757850"/>
    <w:rsid w:val="00761B0E"/>
    <w:rsid w:val="0076498F"/>
    <w:rsid w:val="00764ED5"/>
    <w:rsid w:val="0076562C"/>
    <w:rsid w:val="00765CAA"/>
    <w:rsid w:val="00767AB3"/>
    <w:rsid w:val="00771A5E"/>
    <w:rsid w:val="00772116"/>
    <w:rsid w:val="00772EFF"/>
    <w:rsid w:val="00773F13"/>
    <w:rsid w:val="007764B3"/>
    <w:rsid w:val="00780A9B"/>
    <w:rsid w:val="00780AF3"/>
    <w:rsid w:val="00783E75"/>
    <w:rsid w:val="00786744"/>
    <w:rsid w:val="00790A83"/>
    <w:rsid w:val="00790CF7"/>
    <w:rsid w:val="00793A27"/>
    <w:rsid w:val="007958EA"/>
    <w:rsid w:val="0079691E"/>
    <w:rsid w:val="007A186E"/>
    <w:rsid w:val="007A1D5C"/>
    <w:rsid w:val="007B3645"/>
    <w:rsid w:val="007B51F2"/>
    <w:rsid w:val="007C1C67"/>
    <w:rsid w:val="007C2B7A"/>
    <w:rsid w:val="007D0954"/>
    <w:rsid w:val="007D4951"/>
    <w:rsid w:val="007D5771"/>
    <w:rsid w:val="007E0ED1"/>
    <w:rsid w:val="007E377D"/>
    <w:rsid w:val="007E3A33"/>
    <w:rsid w:val="007E778D"/>
    <w:rsid w:val="007F1181"/>
    <w:rsid w:val="007F2905"/>
    <w:rsid w:val="007F2D54"/>
    <w:rsid w:val="007F428F"/>
    <w:rsid w:val="007F4DBA"/>
    <w:rsid w:val="007F6237"/>
    <w:rsid w:val="007F7A7D"/>
    <w:rsid w:val="00801BE2"/>
    <w:rsid w:val="008059AA"/>
    <w:rsid w:val="00811EE4"/>
    <w:rsid w:val="008121E5"/>
    <w:rsid w:val="0081424B"/>
    <w:rsid w:val="0081624C"/>
    <w:rsid w:val="00816CB7"/>
    <w:rsid w:val="00817A7B"/>
    <w:rsid w:val="00821D95"/>
    <w:rsid w:val="008239F0"/>
    <w:rsid w:val="00823B35"/>
    <w:rsid w:val="00823BC6"/>
    <w:rsid w:val="00831903"/>
    <w:rsid w:val="00835205"/>
    <w:rsid w:val="008356FD"/>
    <w:rsid w:val="0083574F"/>
    <w:rsid w:val="0083647D"/>
    <w:rsid w:val="00837185"/>
    <w:rsid w:val="00842386"/>
    <w:rsid w:val="00843ED8"/>
    <w:rsid w:val="00844722"/>
    <w:rsid w:val="00845E38"/>
    <w:rsid w:val="00847B08"/>
    <w:rsid w:val="00851825"/>
    <w:rsid w:val="008532F7"/>
    <w:rsid w:val="0085376E"/>
    <w:rsid w:val="008545F4"/>
    <w:rsid w:val="00854F42"/>
    <w:rsid w:val="00856602"/>
    <w:rsid w:val="008572D9"/>
    <w:rsid w:val="00860AB9"/>
    <w:rsid w:val="008622D2"/>
    <w:rsid w:val="00862CE0"/>
    <w:rsid w:val="00864078"/>
    <w:rsid w:val="00864FF9"/>
    <w:rsid w:val="00867113"/>
    <w:rsid w:val="0087078B"/>
    <w:rsid w:val="00876A92"/>
    <w:rsid w:val="008775F6"/>
    <w:rsid w:val="0088080C"/>
    <w:rsid w:val="0088095F"/>
    <w:rsid w:val="00880F47"/>
    <w:rsid w:val="008814AE"/>
    <w:rsid w:val="008853CF"/>
    <w:rsid w:val="00885E36"/>
    <w:rsid w:val="00887815"/>
    <w:rsid w:val="008908D8"/>
    <w:rsid w:val="00891428"/>
    <w:rsid w:val="00892B19"/>
    <w:rsid w:val="0089345E"/>
    <w:rsid w:val="00897308"/>
    <w:rsid w:val="0089781B"/>
    <w:rsid w:val="008A3597"/>
    <w:rsid w:val="008A4685"/>
    <w:rsid w:val="008A47CE"/>
    <w:rsid w:val="008A612D"/>
    <w:rsid w:val="008A7EEA"/>
    <w:rsid w:val="008B1130"/>
    <w:rsid w:val="008B138F"/>
    <w:rsid w:val="008B55D0"/>
    <w:rsid w:val="008B56A2"/>
    <w:rsid w:val="008B6625"/>
    <w:rsid w:val="008C0454"/>
    <w:rsid w:val="008C2486"/>
    <w:rsid w:val="008C307F"/>
    <w:rsid w:val="008C651B"/>
    <w:rsid w:val="008C733D"/>
    <w:rsid w:val="008C7506"/>
    <w:rsid w:val="008C7528"/>
    <w:rsid w:val="008C7670"/>
    <w:rsid w:val="008D0BC7"/>
    <w:rsid w:val="008D50C9"/>
    <w:rsid w:val="008D59CD"/>
    <w:rsid w:val="008D6238"/>
    <w:rsid w:val="008D6E88"/>
    <w:rsid w:val="008E0286"/>
    <w:rsid w:val="008E3181"/>
    <w:rsid w:val="008E33F4"/>
    <w:rsid w:val="008E375D"/>
    <w:rsid w:val="008E7D39"/>
    <w:rsid w:val="008F366A"/>
    <w:rsid w:val="008F3B2E"/>
    <w:rsid w:val="008F5C43"/>
    <w:rsid w:val="00900D07"/>
    <w:rsid w:val="0090488B"/>
    <w:rsid w:val="00905865"/>
    <w:rsid w:val="00905B00"/>
    <w:rsid w:val="00906A68"/>
    <w:rsid w:val="00906BB1"/>
    <w:rsid w:val="00907B1B"/>
    <w:rsid w:val="00910BB3"/>
    <w:rsid w:val="00916CF3"/>
    <w:rsid w:val="00922139"/>
    <w:rsid w:val="009243AC"/>
    <w:rsid w:val="00930378"/>
    <w:rsid w:val="009421A6"/>
    <w:rsid w:val="00942B66"/>
    <w:rsid w:val="00942B8B"/>
    <w:rsid w:val="00942CEF"/>
    <w:rsid w:val="00945889"/>
    <w:rsid w:val="009476E7"/>
    <w:rsid w:val="00951DFB"/>
    <w:rsid w:val="0095276C"/>
    <w:rsid w:val="00955059"/>
    <w:rsid w:val="00957A28"/>
    <w:rsid w:val="009600F2"/>
    <w:rsid w:val="009626F3"/>
    <w:rsid w:val="0096430D"/>
    <w:rsid w:val="0096491A"/>
    <w:rsid w:val="00964B03"/>
    <w:rsid w:val="009650E0"/>
    <w:rsid w:val="00972410"/>
    <w:rsid w:val="009760E2"/>
    <w:rsid w:val="009761F9"/>
    <w:rsid w:val="00986A9A"/>
    <w:rsid w:val="00992780"/>
    <w:rsid w:val="009953F0"/>
    <w:rsid w:val="009A3032"/>
    <w:rsid w:val="009A3856"/>
    <w:rsid w:val="009B106B"/>
    <w:rsid w:val="009B3C17"/>
    <w:rsid w:val="009B5291"/>
    <w:rsid w:val="009B7295"/>
    <w:rsid w:val="009B7CC6"/>
    <w:rsid w:val="009C312E"/>
    <w:rsid w:val="009C4934"/>
    <w:rsid w:val="009C4E40"/>
    <w:rsid w:val="009C65C3"/>
    <w:rsid w:val="009E32E8"/>
    <w:rsid w:val="009E36BE"/>
    <w:rsid w:val="009E49FD"/>
    <w:rsid w:val="009E4EF0"/>
    <w:rsid w:val="009E66E0"/>
    <w:rsid w:val="009E6715"/>
    <w:rsid w:val="009F3397"/>
    <w:rsid w:val="009F4319"/>
    <w:rsid w:val="009F6EBB"/>
    <w:rsid w:val="009F74A0"/>
    <w:rsid w:val="00A00FD5"/>
    <w:rsid w:val="00A015C9"/>
    <w:rsid w:val="00A0314C"/>
    <w:rsid w:val="00A07061"/>
    <w:rsid w:val="00A16D05"/>
    <w:rsid w:val="00A20DCE"/>
    <w:rsid w:val="00A23D5B"/>
    <w:rsid w:val="00A26547"/>
    <w:rsid w:val="00A31B86"/>
    <w:rsid w:val="00A338DB"/>
    <w:rsid w:val="00A33AA5"/>
    <w:rsid w:val="00A34DAC"/>
    <w:rsid w:val="00A36828"/>
    <w:rsid w:val="00A400F7"/>
    <w:rsid w:val="00A40E51"/>
    <w:rsid w:val="00A41402"/>
    <w:rsid w:val="00A434FC"/>
    <w:rsid w:val="00A47078"/>
    <w:rsid w:val="00A54550"/>
    <w:rsid w:val="00A54D33"/>
    <w:rsid w:val="00A5643A"/>
    <w:rsid w:val="00A60255"/>
    <w:rsid w:val="00A603DE"/>
    <w:rsid w:val="00A62077"/>
    <w:rsid w:val="00A625F4"/>
    <w:rsid w:val="00A63026"/>
    <w:rsid w:val="00A66DEC"/>
    <w:rsid w:val="00A70166"/>
    <w:rsid w:val="00A7229D"/>
    <w:rsid w:val="00A74120"/>
    <w:rsid w:val="00A74E17"/>
    <w:rsid w:val="00A760A2"/>
    <w:rsid w:val="00A76711"/>
    <w:rsid w:val="00A76A56"/>
    <w:rsid w:val="00A76C82"/>
    <w:rsid w:val="00A817ED"/>
    <w:rsid w:val="00A81C85"/>
    <w:rsid w:val="00A834FD"/>
    <w:rsid w:val="00A835C4"/>
    <w:rsid w:val="00A86E07"/>
    <w:rsid w:val="00A9381C"/>
    <w:rsid w:val="00A94AA7"/>
    <w:rsid w:val="00A95F7A"/>
    <w:rsid w:val="00AA1649"/>
    <w:rsid w:val="00AA489E"/>
    <w:rsid w:val="00AB679A"/>
    <w:rsid w:val="00AB6C0F"/>
    <w:rsid w:val="00AC05EB"/>
    <w:rsid w:val="00AC452B"/>
    <w:rsid w:val="00AC5128"/>
    <w:rsid w:val="00AC5E9C"/>
    <w:rsid w:val="00AC6064"/>
    <w:rsid w:val="00AC6378"/>
    <w:rsid w:val="00AC739A"/>
    <w:rsid w:val="00AC78A0"/>
    <w:rsid w:val="00AC7BBC"/>
    <w:rsid w:val="00AD0766"/>
    <w:rsid w:val="00AD6B2B"/>
    <w:rsid w:val="00AD75EB"/>
    <w:rsid w:val="00AE0403"/>
    <w:rsid w:val="00AE0E6B"/>
    <w:rsid w:val="00AE2375"/>
    <w:rsid w:val="00AE3FFF"/>
    <w:rsid w:val="00AE6C41"/>
    <w:rsid w:val="00B0226C"/>
    <w:rsid w:val="00B02370"/>
    <w:rsid w:val="00B03467"/>
    <w:rsid w:val="00B03919"/>
    <w:rsid w:val="00B05651"/>
    <w:rsid w:val="00B06573"/>
    <w:rsid w:val="00B074D4"/>
    <w:rsid w:val="00B14C49"/>
    <w:rsid w:val="00B20350"/>
    <w:rsid w:val="00B21F87"/>
    <w:rsid w:val="00B23AC5"/>
    <w:rsid w:val="00B2443F"/>
    <w:rsid w:val="00B2593C"/>
    <w:rsid w:val="00B27959"/>
    <w:rsid w:val="00B318BB"/>
    <w:rsid w:val="00B31C60"/>
    <w:rsid w:val="00B325B1"/>
    <w:rsid w:val="00B327AB"/>
    <w:rsid w:val="00B34D76"/>
    <w:rsid w:val="00B35002"/>
    <w:rsid w:val="00B350EB"/>
    <w:rsid w:val="00B36FF0"/>
    <w:rsid w:val="00B378D2"/>
    <w:rsid w:val="00B42998"/>
    <w:rsid w:val="00B47B3F"/>
    <w:rsid w:val="00B50C15"/>
    <w:rsid w:val="00B52EC2"/>
    <w:rsid w:val="00B55356"/>
    <w:rsid w:val="00B55833"/>
    <w:rsid w:val="00B56667"/>
    <w:rsid w:val="00B6147D"/>
    <w:rsid w:val="00B61A9E"/>
    <w:rsid w:val="00B63E09"/>
    <w:rsid w:val="00B64BBC"/>
    <w:rsid w:val="00B73278"/>
    <w:rsid w:val="00B74EA9"/>
    <w:rsid w:val="00B752CF"/>
    <w:rsid w:val="00B80785"/>
    <w:rsid w:val="00B80B45"/>
    <w:rsid w:val="00B81262"/>
    <w:rsid w:val="00B83ECA"/>
    <w:rsid w:val="00B901F0"/>
    <w:rsid w:val="00B90503"/>
    <w:rsid w:val="00B94F83"/>
    <w:rsid w:val="00BA0F94"/>
    <w:rsid w:val="00BA150C"/>
    <w:rsid w:val="00BA1662"/>
    <w:rsid w:val="00BA220B"/>
    <w:rsid w:val="00BA41F5"/>
    <w:rsid w:val="00BA7278"/>
    <w:rsid w:val="00BB16E1"/>
    <w:rsid w:val="00BB2FE3"/>
    <w:rsid w:val="00BB3681"/>
    <w:rsid w:val="00BB496A"/>
    <w:rsid w:val="00BC0734"/>
    <w:rsid w:val="00BC36F9"/>
    <w:rsid w:val="00BC4472"/>
    <w:rsid w:val="00BC67EE"/>
    <w:rsid w:val="00BD30B0"/>
    <w:rsid w:val="00BD52DE"/>
    <w:rsid w:val="00BE1B58"/>
    <w:rsid w:val="00BE288B"/>
    <w:rsid w:val="00BE40A6"/>
    <w:rsid w:val="00BE6A09"/>
    <w:rsid w:val="00BF1F35"/>
    <w:rsid w:val="00BF33F9"/>
    <w:rsid w:val="00BF5BC3"/>
    <w:rsid w:val="00BF5ED5"/>
    <w:rsid w:val="00BF680D"/>
    <w:rsid w:val="00C047BD"/>
    <w:rsid w:val="00C0698C"/>
    <w:rsid w:val="00C10C89"/>
    <w:rsid w:val="00C12E84"/>
    <w:rsid w:val="00C200B7"/>
    <w:rsid w:val="00C21CA4"/>
    <w:rsid w:val="00C22496"/>
    <w:rsid w:val="00C24E18"/>
    <w:rsid w:val="00C323D3"/>
    <w:rsid w:val="00C33696"/>
    <w:rsid w:val="00C35B42"/>
    <w:rsid w:val="00C418F2"/>
    <w:rsid w:val="00C502BC"/>
    <w:rsid w:val="00C51A7E"/>
    <w:rsid w:val="00C52216"/>
    <w:rsid w:val="00C60349"/>
    <w:rsid w:val="00C62EF1"/>
    <w:rsid w:val="00C71B11"/>
    <w:rsid w:val="00C75998"/>
    <w:rsid w:val="00C7683E"/>
    <w:rsid w:val="00C77F52"/>
    <w:rsid w:val="00C80A12"/>
    <w:rsid w:val="00C84123"/>
    <w:rsid w:val="00C8574C"/>
    <w:rsid w:val="00C85F26"/>
    <w:rsid w:val="00C90077"/>
    <w:rsid w:val="00C93EB8"/>
    <w:rsid w:val="00CA0A4D"/>
    <w:rsid w:val="00CA2D05"/>
    <w:rsid w:val="00CA7119"/>
    <w:rsid w:val="00CA72F9"/>
    <w:rsid w:val="00CB193A"/>
    <w:rsid w:val="00CB45DC"/>
    <w:rsid w:val="00CB4808"/>
    <w:rsid w:val="00CB4EF8"/>
    <w:rsid w:val="00CB6F8F"/>
    <w:rsid w:val="00CB7ADD"/>
    <w:rsid w:val="00CC0195"/>
    <w:rsid w:val="00CC1F22"/>
    <w:rsid w:val="00CC206B"/>
    <w:rsid w:val="00CC4C37"/>
    <w:rsid w:val="00CC633E"/>
    <w:rsid w:val="00CD3708"/>
    <w:rsid w:val="00CD37BC"/>
    <w:rsid w:val="00CD4B2C"/>
    <w:rsid w:val="00CD4BE2"/>
    <w:rsid w:val="00CD613C"/>
    <w:rsid w:val="00CD7036"/>
    <w:rsid w:val="00CE276C"/>
    <w:rsid w:val="00CE445C"/>
    <w:rsid w:val="00CE5E2C"/>
    <w:rsid w:val="00CE773F"/>
    <w:rsid w:val="00CF21C7"/>
    <w:rsid w:val="00CF2F9F"/>
    <w:rsid w:val="00CF3FFB"/>
    <w:rsid w:val="00CF50AC"/>
    <w:rsid w:val="00CF6519"/>
    <w:rsid w:val="00D0030A"/>
    <w:rsid w:val="00D02593"/>
    <w:rsid w:val="00D03E96"/>
    <w:rsid w:val="00D12F7E"/>
    <w:rsid w:val="00D13C40"/>
    <w:rsid w:val="00D14ECF"/>
    <w:rsid w:val="00D15DB9"/>
    <w:rsid w:val="00D16418"/>
    <w:rsid w:val="00D212E6"/>
    <w:rsid w:val="00D21775"/>
    <w:rsid w:val="00D24B74"/>
    <w:rsid w:val="00D24CDB"/>
    <w:rsid w:val="00D25264"/>
    <w:rsid w:val="00D253A5"/>
    <w:rsid w:val="00D31052"/>
    <w:rsid w:val="00D34922"/>
    <w:rsid w:val="00D41C65"/>
    <w:rsid w:val="00D42BEE"/>
    <w:rsid w:val="00D4454C"/>
    <w:rsid w:val="00D44764"/>
    <w:rsid w:val="00D46D6E"/>
    <w:rsid w:val="00D5014D"/>
    <w:rsid w:val="00D50584"/>
    <w:rsid w:val="00D51F1A"/>
    <w:rsid w:val="00D52D05"/>
    <w:rsid w:val="00D52D57"/>
    <w:rsid w:val="00D5633A"/>
    <w:rsid w:val="00D57608"/>
    <w:rsid w:val="00D63B39"/>
    <w:rsid w:val="00D64DC3"/>
    <w:rsid w:val="00D65EA9"/>
    <w:rsid w:val="00D66890"/>
    <w:rsid w:val="00D67C5B"/>
    <w:rsid w:val="00D73F15"/>
    <w:rsid w:val="00D7599C"/>
    <w:rsid w:val="00D76F5A"/>
    <w:rsid w:val="00D77547"/>
    <w:rsid w:val="00D77E66"/>
    <w:rsid w:val="00D84000"/>
    <w:rsid w:val="00D85263"/>
    <w:rsid w:val="00D85813"/>
    <w:rsid w:val="00D8590C"/>
    <w:rsid w:val="00D8695A"/>
    <w:rsid w:val="00D86C4A"/>
    <w:rsid w:val="00D9651A"/>
    <w:rsid w:val="00D97FF2"/>
    <w:rsid w:val="00DA327A"/>
    <w:rsid w:val="00DA58B7"/>
    <w:rsid w:val="00DB2433"/>
    <w:rsid w:val="00DB2AED"/>
    <w:rsid w:val="00DB34A7"/>
    <w:rsid w:val="00DB45E3"/>
    <w:rsid w:val="00DC0461"/>
    <w:rsid w:val="00DC6306"/>
    <w:rsid w:val="00DC76A0"/>
    <w:rsid w:val="00DD4FD2"/>
    <w:rsid w:val="00DD5EAC"/>
    <w:rsid w:val="00DD739A"/>
    <w:rsid w:val="00DF12B8"/>
    <w:rsid w:val="00DF33EF"/>
    <w:rsid w:val="00DF4A27"/>
    <w:rsid w:val="00DF4E19"/>
    <w:rsid w:val="00DF5BF4"/>
    <w:rsid w:val="00E00345"/>
    <w:rsid w:val="00E01632"/>
    <w:rsid w:val="00E04135"/>
    <w:rsid w:val="00E05313"/>
    <w:rsid w:val="00E057BA"/>
    <w:rsid w:val="00E117DB"/>
    <w:rsid w:val="00E12D52"/>
    <w:rsid w:val="00E15EAC"/>
    <w:rsid w:val="00E23E62"/>
    <w:rsid w:val="00E24FDA"/>
    <w:rsid w:val="00E31102"/>
    <w:rsid w:val="00E35AE2"/>
    <w:rsid w:val="00E36081"/>
    <w:rsid w:val="00E4166A"/>
    <w:rsid w:val="00E4782B"/>
    <w:rsid w:val="00E528DC"/>
    <w:rsid w:val="00E532C4"/>
    <w:rsid w:val="00E605D5"/>
    <w:rsid w:val="00E60799"/>
    <w:rsid w:val="00E61399"/>
    <w:rsid w:val="00E70ED4"/>
    <w:rsid w:val="00E76689"/>
    <w:rsid w:val="00E80288"/>
    <w:rsid w:val="00E8368F"/>
    <w:rsid w:val="00E83F45"/>
    <w:rsid w:val="00E87807"/>
    <w:rsid w:val="00E946B3"/>
    <w:rsid w:val="00E9626C"/>
    <w:rsid w:val="00E975A6"/>
    <w:rsid w:val="00E976C5"/>
    <w:rsid w:val="00E97704"/>
    <w:rsid w:val="00E97F92"/>
    <w:rsid w:val="00EA13E2"/>
    <w:rsid w:val="00EA1976"/>
    <w:rsid w:val="00EA45CB"/>
    <w:rsid w:val="00EB0200"/>
    <w:rsid w:val="00EB4553"/>
    <w:rsid w:val="00EC0307"/>
    <w:rsid w:val="00EC1876"/>
    <w:rsid w:val="00EC4ACD"/>
    <w:rsid w:val="00EC5872"/>
    <w:rsid w:val="00ED1133"/>
    <w:rsid w:val="00ED4814"/>
    <w:rsid w:val="00ED7D8E"/>
    <w:rsid w:val="00EE01F0"/>
    <w:rsid w:val="00EE16FC"/>
    <w:rsid w:val="00EE274C"/>
    <w:rsid w:val="00EE4185"/>
    <w:rsid w:val="00EE62DC"/>
    <w:rsid w:val="00EF0208"/>
    <w:rsid w:val="00EF1380"/>
    <w:rsid w:val="00EF2547"/>
    <w:rsid w:val="00EF3CC5"/>
    <w:rsid w:val="00EF54FB"/>
    <w:rsid w:val="00F02BBB"/>
    <w:rsid w:val="00F0578F"/>
    <w:rsid w:val="00F10F1F"/>
    <w:rsid w:val="00F1207D"/>
    <w:rsid w:val="00F21FEB"/>
    <w:rsid w:val="00F231A8"/>
    <w:rsid w:val="00F26F02"/>
    <w:rsid w:val="00F2746B"/>
    <w:rsid w:val="00F30F5B"/>
    <w:rsid w:val="00F31C8A"/>
    <w:rsid w:val="00F325FC"/>
    <w:rsid w:val="00F32C1B"/>
    <w:rsid w:val="00F349DB"/>
    <w:rsid w:val="00F34FE7"/>
    <w:rsid w:val="00F37565"/>
    <w:rsid w:val="00F4217C"/>
    <w:rsid w:val="00F4476A"/>
    <w:rsid w:val="00F45922"/>
    <w:rsid w:val="00F464C8"/>
    <w:rsid w:val="00F503B0"/>
    <w:rsid w:val="00F5475F"/>
    <w:rsid w:val="00F57B17"/>
    <w:rsid w:val="00F601FB"/>
    <w:rsid w:val="00F632FB"/>
    <w:rsid w:val="00F6654C"/>
    <w:rsid w:val="00F669EF"/>
    <w:rsid w:val="00F66B17"/>
    <w:rsid w:val="00F670D2"/>
    <w:rsid w:val="00F671A9"/>
    <w:rsid w:val="00F70E53"/>
    <w:rsid w:val="00F7167D"/>
    <w:rsid w:val="00F76E97"/>
    <w:rsid w:val="00F839F3"/>
    <w:rsid w:val="00F854F6"/>
    <w:rsid w:val="00F85953"/>
    <w:rsid w:val="00F864A1"/>
    <w:rsid w:val="00F875E0"/>
    <w:rsid w:val="00F903FC"/>
    <w:rsid w:val="00F92404"/>
    <w:rsid w:val="00F937A2"/>
    <w:rsid w:val="00F97E3E"/>
    <w:rsid w:val="00FA0534"/>
    <w:rsid w:val="00FA0FAA"/>
    <w:rsid w:val="00FA144D"/>
    <w:rsid w:val="00FB0C58"/>
    <w:rsid w:val="00FB392C"/>
    <w:rsid w:val="00FC4674"/>
    <w:rsid w:val="00FC74EB"/>
    <w:rsid w:val="00FC7948"/>
    <w:rsid w:val="00FD0D97"/>
    <w:rsid w:val="00FD164A"/>
    <w:rsid w:val="00FD2263"/>
    <w:rsid w:val="00FD2660"/>
    <w:rsid w:val="00FD352A"/>
    <w:rsid w:val="00FD4E97"/>
    <w:rsid w:val="00FD714A"/>
    <w:rsid w:val="00FE5B7F"/>
    <w:rsid w:val="00FE68CB"/>
    <w:rsid w:val="00FF1846"/>
    <w:rsid w:val="00FF29F7"/>
    <w:rsid w:val="00FF3683"/>
    <w:rsid w:val="00FF49B7"/>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065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D56EF"/>
    <w:rPr>
      <w:sz w:val="16"/>
      <w:szCs w:val="16"/>
    </w:rPr>
  </w:style>
  <w:style w:type="paragraph" w:styleId="CommentText">
    <w:name w:val="annotation text"/>
    <w:basedOn w:val="Normal"/>
    <w:link w:val="CommentTextChar"/>
    <w:semiHidden/>
    <w:rsid w:val="006D56EF"/>
    <w:rPr>
      <w:sz w:val="20"/>
      <w:szCs w:val="20"/>
    </w:rPr>
  </w:style>
  <w:style w:type="paragraph" w:styleId="CommentSubject">
    <w:name w:val="annotation subject"/>
    <w:basedOn w:val="CommentText"/>
    <w:next w:val="CommentText"/>
    <w:semiHidden/>
    <w:rsid w:val="006D56EF"/>
    <w:rPr>
      <w:b/>
      <w:bCs/>
    </w:rPr>
  </w:style>
  <w:style w:type="paragraph" w:styleId="BalloonText">
    <w:name w:val="Balloon Text"/>
    <w:basedOn w:val="Normal"/>
    <w:semiHidden/>
    <w:rsid w:val="006D56EF"/>
    <w:rPr>
      <w:rFonts w:ascii="Tahoma" w:hAnsi="Tahoma" w:cs="Tahoma"/>
      <w:sz w:val="16"/>
      <w:szCs w:val="16"/>
    </w:rPr>
  </w:style>
  <w:style w:type="character" w:styleId="Hyperlink">
    <w:name w:val="Hyperlink"/>
    <w:rsid w:val="00811EE4"/>
    <w:rPr>
      <w:color w:val="0000FF"/>
      <w:u w:val="single"/>
    </w:rPr>
  </w:style>
  <w:style w:type="paragraph" w:customStyle="1" w:styleId="C1-CtrBoldHd">
    <w:name w:val="C1-Ctr BoldHd"/>
    <w:rsid w:val="00811EE4"/>
    <w:pPr>
      <w:keepNext/>
      <w:spacing w:after="720" w:line="240" w:lineRule="atLeast"/>
      <w:jc w:val="center"/>
    </w:pPr>
    <w:rPr>
      <w:b/>
      <w:caps/>
      <w:sz w:val="24"/>
    </w:rPr>
  </w:style>
  <w:style w:type="character" w:customStyle="1" w:styleId="label-1">
    <w:name w:val="label-1"/>
    <w:rsid w:val="00811EE4"/>
    <w:rPr>
      <w:b/>
      <w:bCs/>
      <w:sz w:val="20"/>
      <w:szCs w:val="20"/>
    </w:rPr>
  </w:style>
  <w:style w:type="character" w:customStyle="1" w:styleId="label-2">
    <w:name w:val="label-2"/>
    <w:rsid w:val="00811EE4"/>
    <w:rPr>
      <w:b/>
      <w:bCs/>
      <w:sz w:val="20"/>
      <w:szCs w:val="20"/>
    </w:rPr>
  </w:style>
  <w:style w:type="character" w:customStyle="1" w:styleId="label-3">
    <w:name w:val="label-3"/>
    <w:rsid w:val="00811EE4"/>
    <w:rPr>
      <w:b/>
      <w:bCs/>
      <w:sz w:val="20"/>
      <w:szCs w:val="20"/>
    </w:rPr>
  </w:style>
  <w:style w:type="character" w:customStyle="1" w:styleId="label-4">
    <w:name w:val="label-4"/>
    <w:rsid w:val="00811EE4"/>
    <w:rPr>
      <w:b/>
      <w:bCs/>
      <w:sz w:val="20"/>
      <w:szCs w:val="20"/>
    </w:rPr>
  </w:style>
  <w:style w:type="character" w:customStyle="1" w:styleId="label-5">
    <w:name w:val="label-5"/>
    <w:rsid w:val="00811EE4"/>
    <w:rPr>
      <w:b/>
      <w:bCs/>
      <w:sz w:val="20"/>
      <w:szCs w:val="20"/>
    </w:rPr>
  </w:style>
  <w:style w:type="character" w:customStyle="1" w:styleId="labelhead-1">
    <w:name w:val="labelhead-1"/>
    <w:rsid w:val="00811EE4"/>
    <w:rPr>
      <w:b w:val="0"/>
      <w:bCs w:val="0"/>
      <w:sz w:val="20"/>
      <w:szCs w:val="20"/>
    </w:rPr>
  </w:style>
  <w:style w:type="paragraph" w:customStyle="1" w:styleId="Default">
    <w:name w:val="Default"/>
    <w:rsid w:val="008C7506"/>
    <w:pPr>
      <w:widowControl w:val="0"/>
      <w:autoSpaceDE w:val="0"/>
      <w:autoSpaceDN w:val="0"/>
      <w:adjustRightInd w:val="0"/>
    </w:pPr>
    <w:rPr>
      <w:rFonts w:ascii="EEAGN D+ Melior" w:hAnsi="EEAGN D+ Melior" w:cs="EEAGN D+ Melior"/>
      <w:color w:val="000000"/>
      <w:sz w:val="24"/>
      <w:szCs w:val="24"/>
    </w:rPr>
  </w:style>
  <w:style w:type="table" w:styleId="TableGrid">
    <w:name w:val="Table Grid"/>
    <w:basedOn w:val="TableNormal"/>
    <w:uiPriority w:val="39"/>
    <w:rsid w:val="008C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20B70"/>
    <w:pPr>
      <w:tabs>
        <w:tab w:val="center" w:pos="4320"/>
        <w:tab w:val="right" w:pos="8640"/>
      </w:tabs>
    </w:pPr>
  </w:style>
  <w:style w:type="character" w:styleId="PageNumber">
    <w:name w:val="page number"/>
    <w:basedOn w:val="DefaultParagraphFont"/>
    <w:rsid w:val="00220B70"/>
  </w:style>
  <w:style w:type="paragraph" w:styleId="NormalWeb">
    <w:name w:val="Normal (Web)"/>
    <w:basedOn w:val="Normal"/>
    <w:rsid w:val="00170FAF"/>
    <w:pPr>
      <w:spacing w:before="100" w:beforeAutospacing="1" w:after="100" w:afterAutospacing="1"/>
    </w:pPr>
  </w:style>
  <w:style w:type="paragraph" w:customStyle="1" w:styleId="YBCSReportBodyText">
    <w:name w:val="YBCS Report_Body Text"/>
    <w:basedOn w:val="Normal"/>
    <w:qFormat/>
    <w:rsid w:val="006830C4"/>
    <w:pPr>
      <w:spacing w:after="240"/>
      <w:jc w:val="both"/>
    </w:pPr>
    <w:rPr>
      <w:rFonts w:eastAsia="Calibri" w:cs="Arial"/>
      <w:color w:val="000000"/>
    </w:rPr>
  </w:style>
  <w:style w:type="paragraph" w:styleId="BodyText">
    <w:name w:val="Body Text"/>
    <w:basedOn w:val="Normal"/>
    <w:link w:val="BodyTextChar"/>
    <w:rsid w:val="006F6C29"/>
    <w:pPr>
      <w:spacing w:after="240"/>
      <w:jc w:val="both"/>
    </w:pPr>
    <w:rPr>
      <w:rFonts w:ascii="Arial Narrow" w:hAnsi="Arial Narrow"/>
    </w:rPr>
  </w:style>
  <w:style w:type="character" w:customStyle="1" w:styleId="BodyTextChar">
    <w:name w:val="Body Text Char"/>
    <w:link w:val="BodyText"/>
    <w:rsid w:val="006F6C29"/>
    <w:rPr>
      <w:rFonts w:ascii="Arial Narrow" w:hAnsi="Arial Narrow"/>
      <w:sz w:val="24"/>
      <w:szCs w:val="24"/>
    </w:rPr>
  </w:style>
  <w:style w:type="paragraph" w:customStyle="1" w:styleId="BodyTextNumbered">
    <w:name w:val="Body Text Numbered"/>
    <w:basedOn w:val="BodyText"/>
    <w:qFormat/>
    <w:rsid w:val="00EF1380"/>
    <w:pPr>
      <w:numPr>
        <w:numId w:val="4"/>
      </w:numPr>
      <w:spacing w:after="0"/>
    </w:pPr>
  </w:style>
  <w:style w:type="paragraph" w:customStyle="1" w:styleId="BodyTextNumberedLast">
    <w:name w:val="Body Text Numbered Last"/>
    <w:basedOn w:val="BodyTextNumbered"/>
    <w:qFormat/>
    <w:rsid w:val="00EF1380"/>
    <w:pPr>
      <w:spacing w:after="240"/>
    </w:pPr>
  </w:style>
  <w:style w:type="paragraph" w:styleId="Header">
    <w:name w:val="header"/>
    <w:basedOn w:val="Normal"/>
    <w:link w:val="HeaderChar"/>
    <w:uiPriority w:val="99"/>
    <w:rsid w:val="00595581"/>
    <w:pPr>
      <w:tabs>
        <w:tab w:val="center" w:pos="4680"/>
        <w:tab w:val="right" w:pos="9360"/>
      </w:tabs>
    </w:pPr>
  </w:style>
  <w:style w:type="character" w:customStyle="1" w:styleId="HeaderChar">
    <w:name w:val="Header Char"/>
    <w:link w:val="Header"/>
    <w:uiPriority w:val="99"/>
    <w:rsid w:val="00595581"/>
    <w:rPr>
      <w:sz w:val="24"/>
      <w:szCs w:val="24"/>
    </w:rPr>
  </w:style>
  <w:style w:type="paragraph" w:styleId="ListParagraph">
    <w:name w:val="List Paragraph"/>
    <w:basedOn w:val="Normal"/>
    <w:uiPriority w:val="34"/>
    <w:qFormat/>
    <w:rsid w:val="001403D4"/>
    <w:pPr>
      <w:spacing w:after="200" w:line="276" w:lineRule="auto"/>
      <w:ind w:left="720"/>
      <w:contextualSpacing/>
    </w:pPr>
    <w:rPr>
      <w:rFonts w:ascii="Calibri" w:eastAsia="Calibri" w:hAnsi="Calibri"/>
      <w:sz w:val="22"/>
      <w:szCs w:val="22"/>
    </w:rPr>
  </w:style>
  <w:style w:type="character" w:customStyle="1" w:styleId="CommentTextChar">
    <w:name w:val="Comment Text Char"/>
    <w:link w:val="CommentText"/>
    <w:semiHidden/>
    <w:rsid w:val="00DD4FD2"/>
  </w:style>
  <w:style w:type="paragraph" w:customStyle="1" w:styleId="ReportBodyText">
    <w:name w:val="Report Body Text"/>
    <w:basedOn w:val="Normal"/>
    <w:qFormat/>
    <w:rsid w:val="00CE445C"/>
    <w:pPr>
      <w:spacing w:after="200" w:line="276" w:lineRule="auto"/>
      <w:jc w:val="both"/>
    </w:pPr>
    <w:rPr>
      <w:rFonts w:eastAsia="Calibri"/>
      <w:szCs w:val="22"/>
    </w:rPr>
  </w:style>
  <w:style w:type="paragraph" w:customStyle="1" w:styleId="ReportNumberedList">
    <w:name w:val="Report Numbered List"/>
    <w:basedOn w:val="ReportBodyText"/>
    <w:qFormat/>
    <w:rsid w:val="00CE445C"/>
    <w:pPr>
      <w:numPr>
        <w:numId w:val="11"/>
      </w:numPr>
      <w:tabs>
        <w:tab w:val="num" w:pos="945"/>
      </w:tabs>
      <w:spacing w:before="120" w:after="120" w:line="240" w:lineRule="auto"/>
      <w:ind w:left="945" w:hanging="585"/>
    </w:pPr>
    <w:rPr>
      <w:sz w:val="22"/>
    </w:rPr>
  </w:style>
  <w:style w:type="character" w:styleId="Emphasis">
    <w:name w:val="Emphasis"/>
    <w:uiPriority w:val="20"/>
    <w:qFormat/>
    <w:rsid w:val="00B6147D"/>
    <w:rPr>
      <w:i/>
      <w:iCs/>
    </w:rPr>
  </w:style>
  <w:style w:type="paragraph" w:customStyle="1" w:styleId="ReportBulletList">
    <w:name w:val="Report Bullet List"/>
    <w:basedOn w:val="ReportBodyText"/>
    <w:qFormat/>
    <w:rsid w:val="00706805"/>
    <w:pPr>
      <w:numPr>
        <w:numId w:val="12"/>
      </w:numPr>
      <w:spacing w:before="120" w:after="120" w:line="240" w:lineRule="auto"/>
    </w:pPr>
    <w:rPr>
      <w:sz w:val="22"/>
    </w:rPr>
  </w:style>
  <w:style w:type="paragraph" w:customStyle="1" w:styleId="TableTitle">
    <w:name w:val="Table Title"/>
    <w:basedOn w:val="Normal"/>
    <w:uiPriority w:val="99"/>
    <w:rsid w:val="006D1B1F"/>
    <w:pPr>
      <w:keepNext/>
      <w:keepLines/>
      <w:spacing w:before="240" w:after="240"/>
      <w:jc w:val="center"/>
    </w:pPr>
    <w:rPr>
      <w:b/>
      <w:szCs w:val="20"/>
    </w:rPr>
  </w:style>
  <w:style w:type="paragraph" w:customStyle="1" w:styleId="bodytextCharCharChar">
    <w:name w:val="body text Char Char Char"/>
    <w:aliases w:val="bt Char Char Char,body tx Char Char Char,indent Char Char Char,flush Char Char Char"/>
    <w:basedOn w:val="Normal"/>
    <w:uiPriority w:val="99"/>
    <w:rsid w:val="0087078B"/>
    <w:pPr>
      <w:spacing w:after="240"/>
      <w:ind w:firstLine="720"/>
    </w:pPr>
  </w:style>
  <w:style w:type="paragraph" w:customStyle="1" w:styleId="EvalBody">
    <w:name w:val="Eval Body"/>
    <w:basedOn w:val="Normal"/>
    <w:qFormat/>
    <w:rsid w:val="00136CAE"/>
    <w:pPr>
      <w:widowControl w:val="0"/>
      <w:spacing w:after="160" w:line="276" w:lineRule="auto"/>
      <w:jc w:val="both"/>
    </w:pPr>
    <w:rPr>
      <w:rFonts w:eastAsia="Calibri"/>
      <w:kern w:val="2"/>
      <w:szCs w:val="22"/>
    </w:rPr>
  </w:style>
  <w:style w:type="paragraph" w:customStyle="1" w:styleId="EvalBodyText">
    <w:name w:val="Eval Body Text"/>
    <w:basedOn w:val="EvalBody"/>
    <w:qFormat/>
    <w:rsid w:val="00136CAE"/>
    <w:pPr>
      <w:spacing w:after="240" w:line="240" w:lineRule="auto"/>
    </w:pPr>
    <w:rPr>
      <w:szCs w:val="24"/>
      <w:shd w:val="clear" w:color="auto" w:fill="FFFFFF"/>
    </w:rPr>
  </w:style>
  <w:style w:type="character" w:styleId="FootnoteReference">
    <w:name w:val="footnote reference"/>
    <w:uiPriority w:val="99"/>
    <w:rsid w:val="00136CAE"/>
    <w:rPr>
      <w:vertAlign w:val="superscript"/>
    </w:rPr>
  </w:style>
  <w:style w:type="paragraph" w:customStyle="1" w:styleId="EvalNoteText">
    <w:name w:val="Eval Note Text"/>
    <w:basedOn w:val="FootnoteText"/>
    <w:qFormat/>
    <w:rsid w:val="00136CAE"/>
    <w:pPr>
      <w:ind w:left="90" w:hanging="90"/>
    </w:pPr>
    <w:rPr>
      <w:rFonts w:ascii="Arial" w:eastAsia="Calibri" w:hAnsi="Arial" w:cs="Arial"/>
      <w:sz w:val="16"/>
      <w:szCs w:val="16"/>
    </w:rPr>
  </w:style>
  <w:style w:type="paragraph" w:styleId="FootnoteText">
    <w:name w:val="footnote text"/>
    <w:basedOn w:val="Normal"/>
    <w:link w:val="FootnoteTextChar"/>
    <w:rsid w:val="00136CAE"/>
    <w:rPr>
      <w:sz w:val="20"/>
      <w:szCs w:val="20"/>
    </w:rPr>
  </w:style>
  <w:style w:type="character" w:customStyle="1" w:styleId="FootnoteTextChar">
    <w:name w:val="Footnote Text Char"/>
    <w:basedOn w:val="DefaultParagraphFont"/>
    <w:link w:val="FootnoteText"/>
    <w:rsid w:val="00136CAE"/>
  </w:style>
  <w:style w:type="paragraph" w:customStyle="1" w:styleId="EvalTableHeading1">
    <w:name w:val="Eval Table Heading 1"/>
    <w:basedOn w:val="Normal"/>
    <w:qFormat/>
    <w:rsid w:val="00AE2375"/>
    <w:pPr>
      <w:spacing w:before="20" w:after="20"/>
      <w:jc w:val="center"/>
    </w:pPr>
    <w:rPr>
      <w:rFonts w:ascii="Arial" w:eastAsia="Calibri" w:hAnsi="Arial" w:cs="Arial"/>
      <w:b/>
      <w:color w:val="FFFFFF"/>
      <w:sz w:val="20"/>
      <w:szCs w:val="22"/>
      <w:lang w:bidi="en-US"/>
    </w:rPr>
  </w:style>
  <w:style w:type="paragraph" w:customStyle="1" w:styleId="EvalTableText">
    <w:name w:val="Eval Table Text"/>
    <w:basedOn w:val="Normal"/>
    <w:qFormat/>
    <w:rsid w:val="00AE2375"/>
    <w:pPr>
      <w:spacing w:before="40" w:after="40"/>
    </w:pPr>
    <w:rPr>
      <w:rFonts w:ascii="Arial Narrow" w:eastAsia="Calibri" w:hAnsi="Arial Narrow" w:cs="Arial"/>
      <w:sz w:val="20"/>
      <w:szCs w:val="22"/>
    </w:rPr>
  </w:style>
  <w:style w:type="paragraph" w:customStyle="1" w:styleId="EvalBullet1">
    <w:name w:val="Eval Bullet 1"/>
    <w:basedOn w:val="ListParagraph"/>
    <w:qFormat/>
    <w:rsid w:val="002027BB"/>
    <w:pPr>
      <w:widowControl w:val="0"/>
      <w:numPr>
        <w:numId w:val="27"/>
      </w:numPr>
      <w:tabs>
        <w:tab w:val="num" w:pos="360"/>
      </w:tabs>
      <w:spacing w:after="0" w:line="264" w:lineRule="auto"/>
      <w:ind w:firstLine="0"/>
    </w:pPr>
    <w:rPr>
      <w:rFonts w:ascii="Times New Roman" w:hAnsi="Times New Roman"/>
    </w:rPr>
  </w:style>
  <w:style w:type="paragraph" w:customStyle="1" w:styleId="EvalTable1">
    <w:name w:val="Eval Table 1"/>
    <w:basedOn w:val="Normal"/>
    <w:qFormat/>
    <w:rsid w:val="0030035E"/>
    <w:pPr>
      <w:autoSpaceDE w:val="0"/>
      <w:autoSpaceDN w:val="0"/>
      <w:adjustRightInd w:val="0"/>
      <w:spacing w:before="20" w:after="20"/>
      <w:jc w:val="center"/>
    </w:pPr>
    <w:rPr>
      <w:rFonts w:ascii="Arial Narrow" w:eastAsia="Calibri" w:hAnsi="Arial Narrow" w:cs="Flama-Light"/>
      <w:b/>
      <w:color w:val="FFFFFF"/>
      <w:sz w:val="20"/>
      <w:szCs w:val="22"/>
    </w:rPr>
  </w:style>
  <w:style w:type="character" w:customStyle="1" w:styleId="tp-size">
    <w:name w:val="tp-size"/>
    <w:rsid w:val="000B2EE3"/>
  </w:style>
  <w:style w:type="character" w:customStyle="1" w:styleId="apple-converted-space">
    <w:name w:val="apple-converted-space"/>
    <w:rsid w:val="000B2EE3"/>
  </w:style>
  <w:style w:type="paragraph" w:styleId="Revision">
    <w:name w:val="Revision"/>
    <w:hidden/>
    <w:uiPriority w:val="99"/>
    <w:semiHidden/>
    <w:rsid w:val="001607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0560">
      <w:bodyDiv w:val="1"/>
      <w:marLeft w:val="0"/>
      <w:marRight w:val="0"/>
      <w:marTop w:val="0"/>
      <w:marBottom w:val="0"/>
      <w:divBdr>
        <w:top w:val="none" w:sz="0" w:space="0" w:color="auto"/>
        <w:left w:val="none" w:sz="0" w:space="0" w:color="auto"/>
        <w:bottom w:val="none" w:sz="0" w:space="0" w:color="auto"/>
        <w:right w:val="none" w:sz="0" w:space="0" w:color="auto"/>
      </w:divBdr>
    </w:div>
    <w:div w:id="187909015">
      <w:bodyDiv w:val="1"/>
      <w:marLeft w:val="0"/>
      <w:marRight w:val="0"/>
      <w:marTop w:val="0"/>
      <w:marBottom w:val="0"/>
      <w:divBdr>
        <w:top w:val="none" w:sz="0" w:space="0" w:color="auto"/>
        <w:left w:val="none" w:sz="0" w:space="0" w:color="auto"/>
        <w:bottom w:val="none" w:sz="0" w:space="0" w:color="auto"/>
        <w:right w:val="none" w:sz="0" w:space="0" w:color="auto"/>
      </w:divBdr>
    </w:div>
    <w:div w:id="395664794">
      <w:bodyDiv w:val="1"/>
      <w:marLeft w:val="0"/>
      <w:marRight w:val="0"/>
      <w:marTop w:val="0"/>
      <w:marBottom w:val="0"/>
      <w:divBdr>
        <w:top w:val="none" w:sz="0" w:space="0" w:color="auto"/>
        <w:left w:val="none" w:sz="0" w:space="0" w:color="auto"/>
        <w:bottom w:val="none" w:sz="0" w:space="0" w:color="auto"/>
        <w:right w:val="none" w:sz="0" w:space="0" w:color="auto"/>
      </w:divBdr>
    </w:div>
    <w:div w:id="580070292">
      <w:bodyDiv w:val="1"/>
      <w:marLeft w:val="0"/>
      <w:marRight w:val="0"/>
      <w:marTop w:val="0"/>
      <w:marBottom w:val="0"/>
      <w:divBdr>
        <w:top w:val="none" w:sz="0" w:space="0" w:color="auto"/>
        <w:left w:val="none" w:sz="0" w:space="0" w:color="auto"/>
        <w:bottom w:val="none" w:sz="0" w:space="0" w:color="auto"/>
        <w:right w:val="none" w:sz="0" w:space="0" w:color="auto"/>
      </w:divBdr>
    </w:div>
    <w:div w:id="843663606">
      <w:bodyDiv w:val="1"/>
      <w:marLeft w:val="0"/>
      <w:marRight w:val="0"/>
      <w:marTop w:val="0"/>
      <w:marBottom w:val="0"/>
      <w:divBdr>
        <w:top w:val="none" w:sz="0" w:space="0" w:color="auto"/>
        <w:left w:val="none" w:sz="0" w:space="0" w:color="auto"/>
        <w:bottom w:val="none" w:sz="0" w:space="0" w:color="auto"/>
        <w:right w:val="none" w:sz="0" w:space="0" w:color="auto"/>
      </w:divBdr>
    </w:div>
    <w:div w:id="849754831">
      <w:bodyDiv w:val="1"/>
      <w:marLeft w:val="0"/>
      <w:marRight w:val="0"/>
      <w:marTop w:val="0"/>
      <w:marBottom w:val="0"/>
      <w:divBdr>
        <w:top w:val="none" w:sz="0" w:space="0" w:color="auto"/>
        <w:left w:val="none" w:sz="0" w:space="0" w:color="auto"/>
        <w:bottom w:val="none" w:sz="0" w:space="0" w:color="auto"/>
        <w:right w:val="none" w:sz="0" w:space="0" w:color="auto"/>
      </w:divBdr>
    </w:div>
    <w:div w:id="869494175">
      <w:bodyDiv w:val="1"/>
      <w:marLeft w:val="0"/>
      <w:marRight w:val="0"/>
      <w:marTop w:val="0"/>
      <w:marBottom w:val="0"/>
      <w:divBdr>
        <w:top w:val="none" w:sz="0" w:space="0" w:color="auto"/>
        <w:left w:val="none" w:sz="0" w:space="0" w:color="auto"/>
        <w:bottom w:val="none" w:sz="0" w:space="0" w:color="auto"/>
        <w:right w:val="none" w:sz="0" w:space="0" w:color="auto"/>
      </w:divBdr>
    </w:div>
    <w:div w:id="931428397">
      <w:bodyDiv w:val="1"/>
      <w:marLeft w:val="0"/>
      <w:marRight w:val="0"/>
      <w:marTop w:val="0"/>
      <w:marBottom w:val="0"/>
      <w:divBdr>
        <w:top w:val="none" w:sz="0" w:space="0" w:color="auto"/>
        <w:left w:val="none" w:sz="0" w:space="0" w:color="auto"/>
        <w:bottom w:val="none" w:sz="0" w:space="0" w:color="auto"/>
        <w:right w:val="none" w:sz="0" w:space="0" w:color="auto"/>
      </w:divBdr>
    </w:div>
    <w:div w:id="963149109">
      <w:bodyDiv w:val="1"/>
      <w:marLeft w:val="0"/>
      <w:marRight w:val="0"/>
      <w:marTop w:val="0"/>
      <w:marBottom w:val="0"/>
      <w:divBdr>
        <w:top w:val="none" w:sz="0" w:space="0" w:color="auto"/>
        <w:left w:val="none" w:sz="0" w:space="0" w:color="auto"/>
        <w:bottom w:val="none" w:sz="0" w:space="0" w:color="auto"/>
        <w:right w:val="none" w:sz="0" w:space="0" w:color="auto"/>
      </w:divBdr>
    </w:div>
    <w:div w:id="972903862">
      <w:bodyDiv w:val="1"/>
      <w:marLeft w:val="0"/>
      <w:marRight w:val="0"/>
      <w:marTop w:val="0"/>
      <w:marBottom w:val="0"/>
      <w:divBdr>
        <w:top w:val="none" w:sz="0" w:space="0" w:color="auto"/>
        <w:left w:val="none" w:sz="0" w:space="0" w:color="auto"/>
        <w:bottom w:val="none" w:sz="0" w:space="0" w:color="auto"/>
        <w:right w:val="none" w:sz="0" w:space="0" w:color="auto"/>
      </w:divBdr>
    </w:div>
    <w:div w:id="1127509943">
      <w:bodyDiv w:val="1"/>
      <w:marLeft w:val="0"/>
      <w:marRight w:val="0"/>
      <w:marTop w:val="0"/>
      <w:marBottom w:val="0"/>
      <w:divBdr>
        <w:top w:val="none" w:sz="0" w:space="0" w:color="auto"/>
        <w:left w:val="none" w:sz="0" w:space="0" w:color="auto"/>
        <w:bottom w:val="none" w:sz="0" w:space="0" w:color="auto"/>
        <w:right w:val="none" w:sz="0" w:space="0" w:color="auto"/>
      </w:divBdr>
    </w:div>
    <w:div w:id="1238204241">
      <w:bodyDiv w:val="1"/>
      <w:marLeft w:val="0"/>
      <w:marRight w:val="0"/>
      <w:marTop w:val="0"/>
      <w:marBottom w:val="0"/>
      <w:divBdr>
        <w:top w:val="none" w:sz="0" w:space="0" w:color="auto"/>
        <w:left w:val="none" w:sz="0" w:space="0" w:color="auto"/>
        <w:bottom w:val="none" w:sz="0" w:space="0" w:color="auto"/>
        <w:right w:val="none" w:sz="0" w:space="0" w:color="auto"/>
      </w:divBdr>
    </w:div>
    <w:div w:id="1474447177">
      <w:bodyDiv w:val="1"/>
      <w:marLeft w:val="0"/>
      <w:marRight w:val="0"/>
      <w:marTop w:val="0"/>
      <w:marBottom w:val="0"/>
      <w:divBdr>
        <w:top w:val="none" w:sz="0" w:space="0" w:color="auto"/>
        <w:left w:val="none" w:sz="0" w:space="0" w:color="auto"/>
        <w:bottom w:val="none" w:sz="0" w:space="0" w:color="auto"/>
        <w:right w:val="none" w:sz="0" w:space="0" w:color="auto"/>
      </w:divBdr>
    </w:div>
    <w:div w:id="1550385656">
      <w:bodyDiv w:val="1"/>
      <w:marLeft w:val="0"/>
      <w:marRight w:val="0"/>
      <w:marTop w:val="0"/>
      <w:marBottom w:val="0"/>
      <w:divBdr>
        <w:top w:val="none" w:sz="0" w:space="0" w:color="auto"/>
        <w:left w:val="none" w:sz="0" w:space="0" w:color="auto"/>
        <w:bottom w:val="none" w:sz="0" w:space="0" w:color="auto"/>
        <w:right w:val="none" w:sz="0" w:space="0" w:color="auto"/>
      </w:divBdr>
    </w:div>
    <w:div w:id="1683975324">
      <w:bodyDiv w:val="1"/>
      <w:marLeft w:val="0"/>
      <w:marRight w:val="0"/>
      <w:marTop w:val="0"/>
      <w:marBottom w:val="0"/>
      <w:divBdr>
        <w:top w:val="none" w:sz="0" w:space="0" w:color="auto"/>
        <w:left w:val="none" w:sz="0" w:space="0" w:color="auto"/>
        <w:bottom w:val="none" w:sz="0" w:space="0" w:color="auto"/>
        <w:right w:val="none" w:sz="0" w:space="0" w:color="auto"/>
      </w:divBdr>
    </w:div>
    <w:div w:id="1740594729">
      <w:bodyDiv w:val="1"/>
      <w:marLeft w:val="0"/>
      <w:marRight w:val="0"/>
      <w:marTop w:val="0"/>
      <w:marBottom w:val="0"/>
      <w:divBdr>
        <w:top w:val="none" w:sz="0" w:space="0" w:color="auto"/>
        <w:left w:val="none" w:sz="0" w:space="0" w:color="auto"/>
        <w:bottom w:val="none" w:sz="0" w:space="0" w:color="auto"/>
        <w:right w:val="none" w:sz="0" w:space="0" w:color="auto"/>
      </w:divBdr>
    </w:div>
    <w:div w:id="203653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x.doi.org/10.5888/pcd11.13038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dc.gov/nchs/fastats/death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hase xmlns="6e772399-6a0b-4838-a569-34798388b680">Phase II (2011-2012)</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E143A943566D49B8FE98BC14FF5565" ma:contentTypeVersion="1" ma:contentTypeDescription="Create a new document." ma:contentTypeScope="" ma:versionID="a79d7fa174bf64afe5834856021d9ea1">
  <xsd:schema xmlns:xsd="http://www.w3.org/2001/XMLSchema" xmlns:p="http://schemas.microsoft.com/office/2006/metadata/properties" xmlns:ns2="6e772399-6a0b-4838-a569-34798388b680" targetNamespace="http://schemas.microsoft.com/office/2006/metadata/properties" ma:root="true" ma:fieldsID="47c1c25601cf44b4684068f59cc3ead4" ns2:_="">
    <xsd:import namespace="6e772399-6a0b-4838-a569-34798388b680"/>
    <xsd:element name="properties">
      <xsd:complexType>
        <xsd:sequence>
          <xsd:element name="documentManagement">
            <xsd:complexType>
              <xsd:all>
                <xsd:element ref="ns2:Phase" minOccurs="0"/>
              </xsd:all>
            </xsd:complexType>
          </xsd:element>
        </xsd:sequence>
      </xsd:complexType>
    </xsd:element>
  </xsd:schema>
  <xsd:schema xmlns:xsd="http://www.w3.org/2001/XMLSchema" xmlns:dms="http://schemas.microsoft.com/office/2006/documentManagement/types" targetNamespace="6e772399-6a0b-4838-a569-34798388b680" elementFormDefault="qualified">
    <xsd:import namespace="http://schemas.microsoft.com/office/2006/documentManagement/types"/>
    <xsd:element name="Phase" ma:index="8" nillable="true" ma:displayName="Phase" ma:format="Dropdown" ma:internalName="Phase">
      <xsd:simpleType>
        <xsd:restriction base="dms:Choice">
          <xsd:enumeration value="Phase I (2010-2011)"/>
          <xsd:enumeration value="Phase II (2011-2012)"/>
          <xsd:enumeration value="Phase III (2012-20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E08D4-E77A-4D1A-B8CF-06F1077EF3F3}">
  <ds:schemaRefs>
    <ds:schemaRef ds:uri="http://purl.org/dc/dcmitype/"/>
    <ds:schemaRef ds:uri="http://purl.org/dc/elements/1.1/"/>
    <ds:schemaRef ds:uri="http://schemas.microsoft.com/office/2006/documentManagement/types"/>
    <ds:schemaRef ds:uri="http://schemas.openxmlformats.org/package/2006/metadata/core-properties"/>
    <ds:schemaRef ds:uri="6e772399-6a0b-4838-a569-34798388b680"/>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9224B373-5CE0-4DFB-8045-9D0A6A766F0D}">
  <ds:schemaRefs>
    <ds:schemaRef ds:uri="http://schemas.microsoft.com/sharepoint/v3/contenttype/forms"/>
  </ds:schemaRefs>
</ds:datastoreItem>
</file>

<file path=customXml/itemProps3.xml><?xml version="1.0" encoding="utf-8"?>
<ds:datastoreItem xmlns:ds="http://schemas.openxmlformats.org/officeDocument/2006/customXml" ds:itemID="{63239502-80DF-41E3-8A97-1D2562364633}">
  <ds:schemaRefs>
    <ds:schemaRef ds:uri="http://schemas.microsoft.com/office/2006/metadata/longProperties"/>
  </ds:schemaRefs>
</ds:datastoreItem>
</file>

<file path=customXml/itemProps4.xml><?xml version="1.0" encoding="utf-8"?>
<ds:datastoreItem xmlns:ds="http://schemas.openxmlformats.org/officeDocument/2006/customXml" ds:itemID="{FD26FFA2-103F-4B05-AC02-16F39F019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72399-6a0b-4838-a569-34798388b68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22D72EE-DEBA-4DDE-B43E-73DC2D6F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3736</Words>
  <Characters>22508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26192</CharactersWithSpaces>
  <SharedDoc>false</SharedDoc>
  <HLinks>
    <vt:vector size="12" baseType="variant">
      <vt:variant>
        <vt:i4>2752631</vt:i4>
      </vt:variant>
      <vt:variant>
        <vt:i4>3</vt:i4>
      </vt:variant>
      <vt:variant>
        <vt:i4>0</vt:i4>
      </vt:variant>
      <vt:variant>
        <vt:i4>5</vt:i4>
      </vt:variant>
      <vt:variant>
        <vt:lpwstr>http://dx.doi.org/10.5888/pcd11.130389</vt:lpwstr>
      </vt:variant>
      <vt:variant>
        <vt:lpwstr/>
      </vt:variant>
      <vt:variant>
        <vt:i4>3801210</vt:i4>
      </vt:variant>
      <vt:variant>
        <vt:i4>0</vt:i4>
      </vt:variant>
      <vt:variant>
        <vt:i4>0</vt:i4>
      </vt:variant>
      <vt:variant>
        <vt:i4>5</vt:i4>
      </vt:variant>
      <vt:variant>
        <vt:lpwstr>http://www.cdc.gov/nchs/fastats/deaths.htm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2016-06-13T18:12:00Z</dcterms:created>
  <dcterms:modified xsi:type="dcterms:W3CDTF">2016-06-15T18:06:00Z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ase">
    <vt:lpwstr>Phase II (2011-2012)</vt:lpwstr>
  </property>
  <property fmtid="{D5CDD505-2E9C-101B-9397-08002B2CF9AE}" pid="3" name="ContentType">
    <vt:lpwstr>Document</vt:lpwstr>
  </property>
</Properties>
</file>