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A6ECF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705F4">
        <w:rPr>
          <w:sz w:val="28"/>
        </w:rPr>
        <w:t xml:space="preserve"> (OMB Control Number: 0920-0974</w:t>
      </w:r>
      <w:r>
        <w:rPr>
          <w:sz w:val="28"/>
        </w:rPr>
        <w:t>)</w:t>
      </w:r>
    </w:p>
    <w:p w14:paraId="41F9BFA5" w14:textId="77777777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92B6A7" wp14:editId="6575FD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E99FE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3F2F4C">
        <w:t>Genomics and Population Health Action Collaborative (GPHAC) interviews with state health departments to assess genomics readiness</w:t>
      </w:r>
    </w:p>
    <w:p w14:paraId="253A073B" w14:textId="77777777" w:rsidR="00B46F2C" w:rsidRDefault="00B46F2C"/>
    <w:p w14:paraId="3E341BFB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0B4AE1">
        <w:rPr>
          <w:b/>
        </w:rPr>
        <w:t xml:space="preserve"> </w:t>
      </w:r>
    </w:p>
    <w:p w14:paraId="702232D7" w14:textId="578CA93C" w:rsidR="00401771" w:rsidRPr="006564AE" w:rsidRDefault="000E3228" w:rsidP="00401771">
      <w:pPr>
        <w:jc w:val="both"/>
      </w:pPr>
      <w:r w:rsidRPr="006564AE">
        <w:t>The CDC Office of Public Health Genomics (OPHG) collaborates with various external and internal partners to increase reach, visibility</w:t>
      </w:r>
      <w:r w:rsidR="006564AE">
        <w:t>,</w:t>
      </w:r>
      <w:r w:rsidRPr="006564AE">
        <w:t xml:space="preserve"> and aid in improving overall population health. One of the most recent collaborations include the Genomics and Population Health Action Collaborative (GPHAC). </w:t>
      </w:r>
    </w:p>
    <w:p w14:paraId="6B0546F5" w14:textId="5477E0A1" w:rsidR="000B4AE1" w:rsidRDefault="000E3228" w:rsidP="00401771">
      <w:pPr>
        <w:jc w:val="both"/>
      </w:pPr>
      <w:r w:rsidRPr="006564AE">
        <w:br/>
      </w:r>
      <w:r w:rsidR="000B4AE1" w:rsidRPr="006564AE">
        <w:t xml:space="preserve">GPHAC is an activity </w:t>
      </w:r>
      <w:r w:rsidR="006564AE" w:rsidRPr="006564AE">
        <w:t>of</w:t>
      </w:r>
      <w:r w:rsidRPr="006564AE">
        <w:t xml:space="preserve"> the</w:t>
      </w:r>
      <w:r w:rsidR="000B4AE1" w:rsidRPr="006564AE">
        <w:t xml:space="preserve"> </w:t>
      </w:r>
      <w:r w:rsidR="000B4AE1" w:rsidRPr="000B4AE1">
        <w:t>Roundtable on Genomics and Precision Health</w:t>
      </w:r>
      <w:r w:rsidR="000B4AE1">
        <w:t xml:space="preserve"> </w:t>
      </w:r>
      <w:r w:rsidR="00880418">
        <w:t xml:space="preserve">of the </w:t>
      </w:r>
      <w:r w:rsidR="00880418" w:rsidRPr="00880418">
        <w:t>National Academies of Sciences, Engineering, and Medicine</w:t>
      </w:r>
      <w:r w:rsidR="00880418">
        <w:t xml:space="preserve"> </w:t>
      </w:r>
      <w:r w:rsidR="000B4AE1">
        <w:t>with the following objectives:</w:t>
      </w:r>
    </w:p>
    <w:p w14:paraId="448011BA" w14:textId="77777777" w:rsidR="009D539D" w:rsidRPr="009D539D" w:rsidRDefault="009D539D" w:rsidP="009D539D">
      <w:pPr>
        <w:numPr>
          <w:ilvl w:val="0"/>
          <w:numId w:val="19"/>
        </w:numPr>
      </w:pPr>
      <w:r w:rsidRPr="009D539D">
        <w:t>Identify opportunities for genomics to improve population health, prevent disease</w:t>
      </w:r>
      <w:r w:rsidR="000E3228">
        <w:t>, and reduce health disparities.</w:t>
      </w:r>
    </w:p>
    <w:p w14:paraId="0034D5A1" w14:textId="77777777" w:rsidR="009D539D" w:rsidRPr="009D539D" w:rsidRDefault="009D539D" w:rsidP="009D539D">
      <w:pPr>
        <w:numPr>
          <w:ilvl w:val="0"/>
          <w:numId w:val="19"/>
        </w:numPr>
      </w:pPr>
      <w:r w:rsidRPr="009D539D">
        <w:t>Inform and engage stakeholders a</w:t>
      </w:r>
      <w:r w:rsidR="000E3228">
        <w:t>bout implementation of genomics.</w:t>
      </w:r>
    </w:p>
    <w:p w14:paraId="05F438CA" w14:textId="77777777" w:rsidR="009D539D" w:rsidRPr="009D539D" w:rsidRDefault="009D539D" w:rsidP="009D539D">
      <w:pPr>
        <w:numPr>
          <w:ilvl w:val="0"/>
          <w:numId w:val="19"/>
        </w:numPr>
      </w:pPr>
      <w:r w:rsidRPr="009D539D">
        <w:t>Explore ways to integrate evidence-based genomic applications into population health programs at the health care-public health interface.</w:t>
      </w:r>
    </w:p>
    <w:p w14:paraId="053352D0" w14:textId="77777777" w:rsidR="009D539D" w:rsidRDefault="009D539D" w:rsidP="00840FCA"/>
    <w:p w14:paraId="1CFCA49B" w14:textId="2EFF8461" w:rsidR="009117CF" w:rsidRPr="006564AE" w:rsidRDefault="009117CF" w:rsidP="006564AE">
      <w:r w:rsidRPr="006564AE">
        <w:t xml:space="preserve">In an </w:t>
      </w:r>
      <w:r w:rsidR="006564AE">
        <w:t>effort to meet these objectives,</w:t>
      </w:r>
      <w:r w:rsidRPr="006564AE">
        <w:t xml:space="preserve"> </w:t>
      </w:r>
      <w:r w:rsidR="000E3228" w:rsidRPr="006564AE">
        <w:t xml:space="preserve">OPHG </w:t>
      </w:r>
      <w:r w:rsidR="006564AE">
        <w:t xml:space="preserve">is </w:t>
      </w:r>
      <w:r w:rsidR="000E3228" w:rsidRPr="006564AE">
        <w:t>work</w:t>
      </w:r>
      <w:r w:rsidR="006564AE">
        <w:t>ing</w:t>
      </w:r>
      <w:r w:rsidR="000E3228" w:rsidRPr="006564AE">
        <w:t xml:space="preserve"> with </w:t>
      </w:r>
      <w:r w:rsidR="006564AE" w:rsidRPr="006564AE">
        <w:t xml:space="preserve">the </w:t>
      </w:r>
      <w:r w:rsidR="009D539D" w:rsidRPr="006564AE">
        <w:t xml:space="preserve">GPHAC Implementation Working Group to </w:t>
      </w:r>
      <w:r w:rsidRPr="006564AE">
        <w:t>assess state public health departments</w:t>
      </w:r>
      <w:r w:rsidR="006564AE">
        <w:t>’</w:t>
      </w:r>
      <w:r w:rsidRPr="006564AE">
        <w:t xml:space="preserve"> readiness to implement public health genomics </w:t>
      </w:r>
      <w:r w:rsidR="006564AE">
        <w:t xml:space="preserve">activities. Staff from OPHG and </w:t>
      </w:r>
      <w:r w:rsidR="006564AE" w:rsidRPr="006564AE">
        <w:t xml:space="preserve">the GPHAC Implementation Working Group </w:t>
      </w:r>
      <w:r w:rsidR="006564AE">
        <w:t xml:space="preserve">will conduct phone </w:t>
      </w:r>
      <w:r w:rsidRPr="006564AE">
        <w:t xml:space="preserve">interviews with key </w:t>
      </w:r>
      <w:r w:rsidR="006564AE">
        <w:t>state public health officials</w:t>
      </w:r>
      <w:r w:rsidRPr="006564AE">
        <w:t xml:space="preserve"> to understand the organization</w:t>
      </w:r>
      <w:r w:rsidR="006564AE">
        <w:t>’</w:t>
      </w:r>
      <w:r w:rsidRPr="006564AE">
        <w:t>s current attitudes, approaches</w:t>
      </w:r>
      <w:r w:rsidR="006564AE">
        <w:t>,</w:t>
      </w:r>
      <w:r w:rsidRPr="006564AE">
        <w:t xml:space="preserve"> and available resources </w:t>
      </w:r>
      <w:r w:rsidR="006564AE">
        <w:t xml:space="preserve">for </w:t>
      </w:r>
      <w:r w:rsidRPr="006564AE">
        <w:t xml:space="preserve">the implementation of genomics </w:t>
      </w:r>
      <w:r w:rsidR="006564AE">
        <w:t>activities</w:t>
      </w:r>
      <w:r w:rsidRPr="006564AE">
        <w:t xml:space="preserve"> at the </w:t>
      </w:r>
      <w:r w:rsidR="006564AE">
        <w:t>state</w:t>
      </w:r>
      <w:r w:rsidRPr="006564AE">
        <w:t xml:space="preserve"> health </w:t>
      </w:r>
      <w:r w:rsidR="006564AE">
        <w:t xml:space="preserve">department </w:t>
      </w:r>
      <w:r w:rsidRPr="006564AE">
        <w:t>level.</w:t>
      </w:r>
      <w:r w:rsidRPr="006564AE">
        <w:br/>
      </w:r>
    </w:p>
    <w:p w14:paraId="234393F6" w14:textId="7F060FD7" w:rsidR="00E033FC" w:rsidRPr="006564AE" w:rsidRDefault="00E033FC" w:rsidP="00401771">
      <w:pPr>
        <w:jc w:val="both"/>
      </w:pPr>
      <w:r w:rsidRPr="006564AE">
        <w:t>The information gained from these inte</w:t>
      </w:r>
      <w:r w:rsidR="00731F9D" w:rsidRPr="006564AE">
        <w:t xml:space="preserve">rviews will be used to develop </w:t>
      </w:r>
      <w:r w:rsidR="009D539D" w:rsidRPr="006564AE">
        <w:t>online resource</w:t>
      </w:r>
      <w:r w:rsidR="00731F9D" w:rsidRPr="006564AE">
        <w:t>s</w:t>
      </w:r>
      <w:r w:rsidR="009D539D" w:rsidRPr="006564AE">
        <w:t xml:space="preserve"> for stat</w:t>
      </w:r>
      <w:r w:rsidR="006564AE">
        <w:t xml:space="preserve">es interested in implementing </w:t>
      </w:r>
      <w:r w:rsidR="009D539D" w:rsidRPr="006564AE">
        <w:t xml:space="preserve">genomics </w:t>
      </w:r>
      <w:r w:rsidR="006564AE">
        <w:t>activities</w:t>
      </w:r>
      <w:r w:rsidR="009D539D" w:rsidRPr="006564AE">
        <w:t>.</w:t>
      </w:r>
      <w:r w:rsidRPr="006564AE">
        <w:t xml:space="preserve"> These resources will include a genomics readiness self-assessment for states</w:t>
      </w:r>
      <w:r w:rsidR="00731F9D" w:rsidRPr="006564AE">
        <w:t xml:space="preserve"> to complete and</w:t>
      </w:r>
      <w:r w:rsidR="00401771" w:rsidRPr="006564AE">
        <w:t xml:space="preserve"> </w:t>
      </w:r>
      <w:r w:rsidR="00731F9D" w:rsidRPr="006564AE">
        <w:t xml:space="preserve">resources </w:t>
      </w:r>
      <w:r w:rsidR="00880418">
        <w:t>tailored</w:t>
      </w:r>
      <w:r w:rsidR="00401771" w:rsidRPr="006564AE">
        <w:t xml:space="preserve"> for </w:t>
      </w:r>
      <w:r w:rsidR="00731F9D" w:rsidRPr="006564AE">
        <w:t>states at varying stages</w:t>
      </w:r>
      <w:r w:rsidR="00401771" w:rsidRPr="006564AE">
        <w:t xml:space="preserve"> of readiness</w:t>
      </w:r>
      <w:r w:rsidR="00731F9D" w:rsidRPr="006564AE">
        <w:t>. The findings from the interviews will also be made available</w:t>
      </w:r>
      <w:r w:rsidR="00401771" w:rsidRPr="006564AE">
        <w:t xml:space="preserve"> as a</w:t>
      </w:r>
      <w:r w:rsidR="00880418">
        <w:t xml:space="preserve"> resource to provide examples for</w:t>
      </w:r>
      <w:r w:rsidR="00401771" w:rsidRPr="006564AE">
        <w:t xml:space="preserve"> states at various levels of genomics readiness. </w:t>
      </w:r>
      <w:r w:rsidR="00731F9D" w:rsidRPr="006564AE">
        <w:t xml:space="preserve"> </w:t>
      </w:r>
    </w:p>
    <w:p w14:paraId="72900C55" w14:textId="77777777" w:rsidR="00E033FC" w:rsidRPr="006564AE" w:rsidRDefault="00E033FC" w:rsidP="00401771">
      <w:pPr>
        <w:jc w:val="both"/>
      </w:pPr>
    </w:p>
    <w:p w14:paraId="1B3617C6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53ABE9B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39AEF236" w14:textId="77777777" w:rsidR="00840FCA" w:rsidRDefault="00401771" w:rsidP="00840FCA">
      <w:pPr>
        <w:pStyle w:val="Header"/>
        <w:tabs>
          <w:tab w:val="clear" w:pos="4320"/>
          <w:tab w:val="clear" w:pos="8640"/>
        </w:tabs>
        <w:rPr>
          <w:b/>
        </w:rPr>
      </w:pPr>
      <w:r>
        <w:t xml:space="preserve">Participants of the interviews will include representatives from the </w:t>
      </w:r>
      <w:r w:rsidR="002F2B53">
        <w:t xml:space="preserve">State </w:t>
      </w:r>
      <w:r>
        <w:t xml:space="preserve">and local </w:t>
      </w:r>
      <w:r w:rsidR="002F2B53">
        <w:t>public health departments,</w:t>
      </w:r>
      <w:r>
        <w:t xml:space="preserve"> such as </w:t>
      </w:r>
      <w:r w:rsidR="002F2B53">
        <w:t>the chief medical officer for the state, the chronic disease director, the cancer registry director, and the head of the genetic services program for the state.</w:t>
      </w:r>
    </w:p>
    <w:p w14:paraId="078EDA69" w14:textId="77777777" w:rsidR="00B46F2C" w:rsidRDefault="00B46F2C">
      <w:pPr>
        <w:rPr>
          <w:b/>
        </w:rPr>
      </w:pPr>
    </w:p>
    <w:p w14:paraId="0E5DAA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A757245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6AD8A0C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14:paraId="0A95C50E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C71A89">
        <w:rPr>
          <w:bCs/>
          <w:sz w:val="24"/>
        </w:rPr>
        <w:t>x</w:t>
      </w:r>
      <w:r>
        <w:rPr>
          <w:bCs/>
          <w:sz w:val="24"/>
        </w:rPr>
        <w:t>] Small Discussion Group</w:t>
      </w:r>
    </w:p>
    <w:p w14:paraId="2EB563A2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</w:t>
      </w:r>
      <w:r w:rsidR="00C71A89" w:rsidRPr="00F06866">
        <w:rPr>
          <w:bCs/>
          <w:sz w:val="24"/>
          <w:u w:val="single"/>
        </w:rPr>
        <w:t xml:space="preserve"> </w:t>
      </w:r>
      <w:r w:rsidRPr="00F06866">
        <w:rPr>
          <w:bCs/>
          <w:sz w:val="24"/>
          <w:u w:val="single"/>
        </w:rPr>
        <w:t>_________</w:t>
      </w:r>
    </w:p>
    <w:p w14:paraId="7FBC0481" w14:textId="77777777" w:rsidR="001D0776" w:rsidRDefault="001D0776">
      <w:pPr>
        <w:rPr>
          <w:b/>
        </w:rPr>
      </w:pPr>
    </w:p>
    <w:p w14:paraId="6B05D414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59A5EFFC" w14:textId="77777777" w:rsidR="00B46F2C" w:rsidRDefault="00B46F2C">
      <w:pPr>
        <w:rPr>
          <w:sz w:val="16"/>
          <w:szCs w:val="16"/>
        </w:rPr>
      </w:pPr>
    </w:p>
    <w:p w14:paraId="4DF485F7" w14:textId="77777777" w:rsidR="00B46F2C" w:rsidRPr="009C13B9" w:rsidRDefault="00B46F2C" w:rsidP="008101A5">
      <w:r>
        <w:t xml:space="preserve">I certify the following to be true: </w:t>
      </w:r>
    </w:p>
    <w:p w14:paraId="38C4326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9CE021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F33FFE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18EE2EC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485F9B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2C99E6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BCE7C62" w14:textId="77777777" w:rsidR="00B46F2C" w:rsidRDefault="00B46F2C" w:rsidP="009C13B9"/>
    <w:p w14:paraId="2B868076" w14:textId="77777777" w:rsidR="00B46F2C" w:rsidRDefault="00B46F2C" w:rsidP="009C13B9">
      <w:r w:rsidRPr="00880418">
        <w:t>Name:__</w:t>
      </w:r>
      <w:r w:rsidR="00401771" w:rsidRPr="00880418">
        <w:rPr>
          <w:b/>
          <w:u w:val="single"/>
        </w:rPr>
        <w:t xml:space="preserve"> Scott Bowen, (Deputy Director, OPHSS), msb4@cdc.gov</w:t>
      </w:r>
      <w:r w:rsidR="00401771">
        <w:t xml:space="preserve"> </w:t>
      </w:r>
    </w:p>
    <w:p w14:paraId="61FB05EF" w14:textId="77777777" w:rsidR="00B46F2C" w:rsidRDefault="00B46F2C" w:rsidP="009C13B9">
      <w:pPr>
        <w:pStyle w:val="ListParagraph"/>
        <w:ind w:left="360"/>
      </w:pPr>
    </w:p>
    <w:p w14:paraId="761F7E35" w14:textId="77777777" w:rsidR="00B46F2C" w:rsidRDefault="00B46F2C" w:rsidP="009C13B9">
      <w:r>
        <w:t>To assist review, please provide answers to the following question:</w:t>
      </w:r>
    </w:p>
    <w:p w14:paraId="3139B609" w14:textId="77777777" w:rsidR="00B46F2C" w:rsidRDefault="00B46F2C" w:rsidP="009C13B9">
      <w:pPr>
        <w:pStyle w:val="ListParagraph"/>
        <w:ind w:left="360"/>
      </w:pPr>
    </w:p>
    <w:p w14:paraId="0E0937A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A81CD1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2F2B53">
        <w:t>x</w:t>
      </w:r>
      <w:r>
        <w:t xml:space="preserve">] Yes  [ ]  No </w:t>
      </w:r>
    </w:p>
    <w:p w14:paraId="56664508" w14:textId="77777777" w:rsidR="00B46F2C" w:rsidRDefault="00B46F2C" w:rsidP="00190E2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2F2B53">
        <w:t>x</w:t>
      </w:r>
      <w:r>
        <w:t xml:space="preserve">] No  </w:t>
      </w:r>
      <w:r w:rsidR="00401771">
        <w:br/>
      </w:r>
      <w:r>
        <w:t>If Applicable, has a System or Records Notice been published?  [  ] Yes  [</w:t>
      </w:r>
      <w:r w:rsidR="002F2B53">
        <w:t>x</w:t>
      </w:r>
      <w:r>
        <w:t>] No</w:t>
      </w:r>
      <w:r w:rsidR="002F2B53">
        <w:t xml:space="preserve"> N/A</w:t>
      </w:r>
    </w:p>
    <w:p w14:paraId="2C732C35" w14:textId="77777777" w:rsidR="00B46F2C" w:rsidRPr="00C86E91" w:rsidRDefault="00401771" w:rsidP="00C86E91">
      <w:pPr>
        <w:pStyle w:val="ListParagraph"/>
        <w:ind w:left="0"/>
        <w:rPr>
          <w:b/>
        </w:rPr>
      </w:pPr>
      <w:r>
        <w:rPr>
          <w:b/>
        </w:rPr>
        <w:br/>
      </w:r>
      <w:r w:rsidR="00B46F2C">
        <w:rPr>
          <w:b/>
        </w:rPr>
        <w:t>Gifts or Payments:</w:t>
      </w:r>
    </w:p>
    <w:p w14:paraId="5973C119" w14:textId="77777777" w:rsidR="001D0776" w:rsidRDefault="00B46F2C">
      <w:pPr>
        <w:sectPr w:rsidR="001D0776" w:rsidSect="00194AC6">
          <w:headerReference w:type="default" r:id="rId7"/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2F2B53">
        <w:t>x</w:t>
      </w:r>
      <w:r>
        <w:t>] No</w:t>
      </w:r>
    </w:p>
    <w:p w14:paraId="48C3BFBD" w14:textId="5C5EBA43" w:rsidR="00B46F2C" w:rsidRPr="00B37F6C" w:rsidRDefault="00B46F2C" w:rsidP="00401771">
      <w:r>
        <w:rPr>
          <w:b/>
        </w:rPr>
        <w:lastRenderedPageBreak/>
        <w:t>BURDEN HOURS</w:t>
      </w:r>
      <w:r w:rsidR="00D94098">
        <w:t xml:space="preserve">: </w:t>
      </w:r>
      <w:r w:rsidR="00401771">
        <w:br/>
      </w:r>
      <w:r w:rsidR="00401771" w:rsidRPr="00880418">
        <w:t xml:space="preserve">The interview will be conducted with individuals from </w:t>
      </w:r>
      <w:r w:rsidR="006824C3" w:rsidRPr="00880418">
        <w:t xml:space="preserve">State and local public health departments. </w:t>
      </w:r>
      <w:r w:rsidR="00D94098">
        <w:t xml:space="preserve">Participants </w:t>
      </w:r>
      <w:r w:rsidR="006824C3" w:rsidRPr="00880418">
        <w:t>will</w:t>
      </w:r>
      <w:r w:rsidR="00D94098">
        <w:t xml:space="preserve"> be contacted via</w:t>
      </w:r>
      <w:r w:rsidR="00880418" w:rsidRPr="00880418">
        <w:t xml:space="preserve"> email</w:t>
      </w:r>
      <w:r w:rsidR="00D94098">
        <w:t xml:space="preserve"> (email invitation attached)</w:t>
      </w:r>
      <w:r w:rsidR="00880418" w:rsidRPr="00880418">
        <w:t xml:space="preserve"> or by phone if no response</w:t>
      </w:r>
      <w:r w:rsidR="00D94098">
        <w:t xml:space="preserve"> is</w:t>
      </w:r>
      <w:r w:rsidR="00880418" w:rsidRPr="00880418">
        <w:t xml:space="preserve"> received by email.</w:t>
      </w:r>
      <w:r w:rsidR="006824C3" w:rsidRPr="00880418">
        <w:t xml:space="preserve"> The intervi</w:t>
      </w:r>
      <w:r w:rsidR="00441374">
        <w:t xml:space="preserve">ews will be conducted via phone, </w:t>
      </w:r>
      <w:r w:rsidR="00880418" w:rsidRPr="00880418">
        <w:t>recorded and transcribed.</w:t>
      </w:r>
      <w:r w:rsidR="00B37F6C" w:rsidRPr="00B37F6C">
        <w:t xml:space="preserve"> </w:t>
      </w:r>
      <w:r w:rsidR="00B37F6C">
        <w:t xml:space="preserve">Participants will also have the opportunity to answer the questionnaire on their own and return their responses via email. </w:t>
      </w:r>
      <w:r w:rsidR="00880418" w:rsidRPr="00880418">
        <w:t>Each</w:t>
      </w:r>
      <w:r w:rsidR="006824C3" w:rsidRPr="00880418">
        <w:t xml:space="preserve"> interview will take 1 hour to complete. </w:t>
      </w:r>
      <w:r w:rsidR="00401771" w:rsidRPr="00880418">
        <w:t xml:space="preserve"> </w:t>
      </w:r>
      <w:r w:rsidR="00401771" w:rsidRPr="00880418">
        <w:rPr>
          <w:szCs w:val="22"/>
        </w:rPr>
        <w:t xml:space="preserve">Given </w:t>
      </w:r>
      <w:r w:rsidR="00D71AD1">
        <w:rPr>
          <w:szCs w:val="22"/>
        </w:rPr>
        <w:t>4</w:t>
      </w:r>
      <w:r w:rsidR="006824C3" w:rsidRPr="006632EE">
        <w:rPr>
          <w:szCs w:val="22"/>
        </w:rPr>
        <w:t>0</w:t>
      </w:r>
      <w:r w:rsidR="00401771" w:rsidRPr="006632EE">
        <w:rPr>
          <w:szCs w:val="22"/>
        </w:rPr>
        <w:t xml:space="preserve"> potential respon</w:t>
      </w:r>
      <w:r w:rsidR="006824C3" w:rsidRPr="006632EE">
        <w:rPr>
          <w:szCs w:val="22"/>
        </w:rPr>
        <w:t xml:space="preserve">dents with </w:t>
      </w:r>
      <w:r w:rsidR="006632EE" w:rsidRPr="006632EE">
        <w:rPr>
          <w:szCs w:val="22"/>
        </w:rPr>
        <w:t>1 hour</w:t>
      </w:r>
      <w:r w:rsidR="00401771" w:rsidRPr="006632EE">
        <w:rPr>
          <w:szCs w:val="22"/>
        </w:rPr>
        <w:t xml:space="preserve"> to complete the survey, the to</w:t>
      </w:r>
      <w:r w:rsidR="00A610BA" w:rsidRPr="006632EE">
        <w:rPr>
          <w:szCs w:val="22"/>
        </w:rPr>
        <w:t xml:space="preserve">tal response burden will be </w:t>
      </w:r>
      <w:r w:rsidR="00D71AD1">
        <w:rPr>
          <w:szCs w:val="22"/>
        </w:rPr>
        <w:t>4</w:t>
      </w:r>
      <w:r w:rsidR="006632EE" w:rsidRPr="006632EE">
        <w:rPr>
          <w:szCs w:val="22"/>
        </w:rPr>
        <w:t>0</w:t>
      </w:r>
      <w:r w:rsidR="00401771" w:rsidRPr="006632EE">
        <w:rPr>
          <w:szCs w:val="22"/>
        </w:rPr>
        <w:t xml:space="preserve"> hours.</w:t>
      </w:r>
      <w:r w:rsidR="00401771" w:rsidRPr="00880418">
        <w:rPr>
          <w:szCs w:val="22"/>
        </w:rPr>
        <w:t xml:space="preserve"> </w:t>
      </w:r>
      <w:r w:rsidR="00401771" w:rsidRPr="00880418">
        <w:rPr>
          <w:szCs w:val="22"/>
        </w:rPr>
        <w:br/>
      </w:r>
      <w:r w:rsidR="00401771">
        <w:rPr>
          <w:szCs w:val="22"/>
        </w:rPr>
        <w:br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12E0ED3C" w14:textId="77777777" w:rsidTr="00512CA7">
        <w:trPr>
          <w:trHeight w:val="274"/>
        </w:trPr>
        <w:tc>
          <w:tcPr>
            <w:tcW w:w="5418" w:type="dxa"/>
          </w:tcPr>
          <w:p w14:paraId="189F7F7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39E9CED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59B133C5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E1BFDB4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489F4FCF" w14:textId="77777777" w:rsidTr="00512CA7">
        <w:trPr>
          <w:trHeight w:val="274"/>
        </w:trPr>
        <w:tc>
          <w:tcPr>
            <w:tcW w:w="5418" w:type="dxa"/>
          </w:tcPr>
          <w:p w14:paraId="59F9E09A" w14:textId="77777777" w:rsidR="00B46F2C" w:rsidRDefault="00C71A89" w:rsidP="00843796">
            <w:r>
              <w:t>State, local, or tribal governments</w:t>
            </w:r>
          </w:p>
        </w:tc>
        <w:tc>
          <w:tcPr>
            <w:tcW w:w="1530" w:type="dxa"/>
          </w:tcPr>
          <w:p w14:paraId="622A4A90" w14:textId="77777777" w:rsidR="00B46F2C" w:rsidRDefault="00C71A89" w:rsidP="00843796">
            <w:r>
              <w:t>40</w:t>
            </w:r>
          </w:p>
        </w:tc>
        <w:tc>
          <w:tcPr>
            <w:tcW w:w="1710" w:type="dxa"/>
          </w:tcPr>
          <w:p w14:paraId="0B7B4F42" w14:textId="77777777" w:rsidR="00B46F2C" w:rsidRDefault="00C71A89" w:rsidP="00843796">
            <w:r>
              <w:t>1 hr.</w:t>
            </w:r>
          </w:p>
        </w:tc>
        <w:tc>
          <w:tcPr>
            <w:tcW w:w="1003" w:type="dxa"/>
          </w:tcPr>
          <w:p w14:paraId="149C3B65" w14:textId="77777777" w:rsidR="00B46F2C" w:rsidRDefault="00C71A89" w:rsidP="00843796">
            <w:r>
              <w:t>40 hr.</w:t>
            </w:r>
          </w:p>
        </w:tc>
      </w:tr>
      <w:tr w:rsidR="00B46F2C" w14:paraId="268DAE88" w14:textId="77777777" w:rsidTr="00512CA7">
        <w:trPr>
          <w:trHeight w:val="274"/>
        </w:trPr>
        <w:tc>
          <w:tcPr>
            <w:tcW w:w="5418" w:type="dxa"/>
          </w:tcPr>
          <w:p w14:paraId="22C581EE" w14:textId="77777777" w:rsidR="00B46F2C" w:rsidRDefault="00B46F2C" w:rsidP="00843796"/>
        </w:tc>
        <w:tc>
          <w:tcPr>
            <w:tcW w:w="1530" w:type="dxa"/>
          </w:tcPr>
          <w:p w14:paraId="0E16571D" w14:textId="77777777" w:rsidR="00B46F2C" w:rsidRDefault="00B46F2C" w:rsidP="00843796"/>
        </w:tc>
        <w:tc>
          <w:tcPr>
            <w:tcW w:w="1710" w:type="dxa"/>
          </w:tcPr>
          <w:p w14:paraId="0A18AA3D" w14:textId="77777777" w:rsidR="00B46F2C" w:rsidRDefault="00B46F2C" w:rsidP="00843796"/>
        </w:tc>
        <w:tc>
          <w:tcPr>
            <w:tcW w:w="1003" w:type="dxa"/>
          </w:tcPr>
          <w:p w14:paraId="6F478A33" w14:textId="77777777" w:rsidR="00B46F2C" w:rsidRDefault="00B46F2C" w:rsidP="00843796"/>
        </w:tc>
      </w:tr>
      <w:tr w:rsidR="00B46F2C" w14:paraId="61A1D958" w14:textId="77777777" w:rsidTr="00512CA7">
        <w:trPr>
          <w:trHeight w:val="289"/>
        </w:trPr>
        <w:tc>
          <w:tcPr>
            <w:tcW w:w="5418" w:type="dxa"/>
          </w:tcPr>
          <w:p w14:paraId="246D4F61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08B0A04" w14:textId="77777777"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410C03C2" w14:textId="77777777" w:rsidR="00B46F2C" w:rsidRDefault="00B46F2C" w:rsidP="00843796"/>
        </w:tc>
        <w:tc>
          <w:tcPr>
            <w:tcW w:w="1003" w:type="dxa"/>
          </w:tcPr>
          <w:p w14:paraId="04F90E2F" w14:textId="77777777" w:rsidR="00B46F2C" w:rsidRPr="00512CA7" w:rsidRDefault="00C71A89" w:rsidP="00843796">
            <w:pPr>
              <w:rPr>
                <w:b/>
              </w:rPr>
            </w:pPr>
            <w:r>
              <w:rPr>
                <w:b/>
              </w:rPr>
              <w:t>40 hr.</w:t>
            </w:r>
          </w:p>
        </w:tc>
      </w:tr>
    </w:tbl>
    <w:p w14:paraId="191BEE9F" w14:textId="77777777" w:rsidR="00B46F2C" w:rsidRDefault="00B46F2C" w:rsidP="00F3170F"/>
    <w:p w14:paraId="5F9E0195" w14:textId="77777777" w:rsidR="00B46F2C" w:rsidRDefault="00B46F2C" w:rsidP="00F3170F"/>
    <w:p w14:paraId="0490B37F" w14:textId="04A9BDD3" w:rsidR="00441374" w:rsidRDefault="003E1B1C" w:rsidP="003E1B1C">
      <w:pPr>
        <w:jc w:val="both"/>
      </w:pPr>
      <w:r w:rsidRPr="00D71AD1">
        <w:rPr>
          <w:b/>
        </w:rPr>
        <w:t xml:space="preserve">FEDERAL COST: </w:t>
      </w:r>
      <w:r w:rsidRPr="00D71AD1">
        <w:t xml:space="preserve">The estimated annual cost to the Federal government is </w:t>
      </w:r>
      <w:r w:rsidR="00441374">
        <w:rPr>
          <w:u w:val="single"/>
        </w:rPr>
        <w:t>___$_</w:t>
      </w:r>
      <w:r w:rsidR="002A032B">
        <w:rPr>
          <w:u w:val="single"/>
        </w:rPr>
        <w:t>2,866.05</w:t>
      </w:r>
      <w:r w:rsidRPr="00D71AD1">
        <w:rPr>
          <w:u w:val="single"/>
        </w:rPr>
        <w:t xml:space="preserve">_______. </w:t>
      </w:r>
      <w:r w:rsidRPr="00D71AD1">
        <w:t xml:space="preserve">There are no equipment or overhead costs. </w:t>
      </w:r>
      <w:r w:rsidR="002A032B">
        <w:t xml:space="preserve">OPHG is working in collaboration with the National Academies which is established as a private, nonprofit, non-governmental organization. Therefore the </w:t>
      </w:r>
      <w:r w:rsidRPr="00D71AD1">
        <w:t>estimate</w:t>
      </w:r>
      <w:r w:rsidR="002A032B">
        <w:t>d cost</w:t>
      </w:r>
      <w:r w:rsidRPr="00D71AD1">
        <w:t xml:space="preserve"> is based on the time required for one </w:t>
      </w:r>
      <w:r w:rsidR="002A032B">
        <w:t>the</w:t>
      </w:r>
      <w:r w:rsidRPr="00D71AD1">
        <w:t xml:space="preserve"> </w:t>
      </w:r>
      <w:r w:rsidR="002A032B">
        <w:t xml:space="preserve">CDC </w:t>
      </w:r>
      <w:r w:rsidRPr="00D71AD1">
        <w:t xml:space="preserve">Contractor </w:t>
      </w:r>
      <w:r w:rsidR="00441374">
        <w:t>to conduct the interview</w:t>
      </w:r>
      <w:r w:rsidRPr="00D71AD1">
        <w:t>s.</w:t>
      </w:r>
    </w:p>
    <w:p w14:paraId="4BAF9755" w14:textId="7D224165" w:rsidR="003E1B1C" w:rsidRPr="003E1B1C" w:rsidRDefault="003E1B1C" w:rsidP="003E1B1C">
      <w:pPr>
        <w:jc w:val="both"/>
        <w:rPr>
          <w:b/>
          <w:highlight w:val="yellow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1733"/>
        <w:gridCol w:w="1417"/>
        <w:gridCol w:w="1296"/>
      </w:tblGrid>
      <w:tr w:rsidR="003E1B1C" w:rsidRPr="003E1B1C" w14:paraId="6F69BC07" w14:textId="77777777" w:rsidTr="001E6661">
        <w:trPr>
          <w:trHeight w:val="274"/>
        </w:trPr>
        <w:tc>
          <w:tcPr>
            <w:tcW w:w="5215" w:type="dxa"/>
          </w:tcPr>
          <w:p w14:paraId="2A4D686E" w14:textId="77777777" w:rsidR="003E1B1C" w:rsidRPr="00D71AD1" w:rsidRDefault="003E1B1C" w:rsidP="001E6661">
            <w:pPr>
              <w:tabs>
                <w:tab w:val="left" w:pos="2504"/>
              </w:tabs>
              <w:rPr>
                <w:b/>
              </w:rPr>
            </w:pPr>
            <w:r w:rsidRPr="00D71AD1">
              <w:rPr>
                <w:b/>
              </w:rPr>
              <w:t>Staff or Contractor</w:t>
            </w:r>
            <w:r w:rsidRPr="00D71AD1">
              <w:rPr>
                <w:b/>
              </w:rPr>
              <w:tab/>
            </w:r>
          </w:p>
        </w:tc>
        <w:tc>
          <w:tcPr>
            <w:tcW w:w="1733" w:type="dxa"/>
          </w:tcPr>
          <w:p w14:paraId="76AC018D" w14:textId="77777777" w:rsidR="003E1B1C" w:rsidRPr="00D71AD1" w:rsidRDefault="003E1B1C" w:rsidP="001E6661">
            <w:pPr>
              <w:rPr>
                <w:b/>
              </w:rPr>
            </w:pPr>
            <w:r w:rsidRPr="00D71AD1">
              <w:rPr>
                <w:b/>
              </w:rPr>
              <w:t>Hours</w:t>
            </w:r>
          </w:p>
        </w:tc>
        <w:tc>
          <w:tcPr>
            <w:tcW w:w="1417" w:type="dxa"/>
          </w:tcPr>
          <w:p w14:paraId="3FC463E7" w14:textId="77777777" w:rsidR="003E1B1C" w:rsidRPr="00D71AD1" w:rsidRDefault="003E1B1C" w:rsidP="001E6661">
            <w:pPr>
              <w:rPr>
                <w:b/>
              </w:rPr>
            </w:pPr>
            <w:r w:rsidRPr="00D71AD1">
              <w:rPr>
                <w:b/>
              </w:rPr>
              <w:t>Average Hourly Rate</w:t>
            </w:r>
          </w:p>
        </w:tc>
        <w:tc>
          <w:tcPr>
            <w:tcW w:w="1296" w:type="dxa"/>
          </w:tcPr>
          <w:p w14:paraId="6C395B20" w14:textId="77777777" w:rsidR="003E1B1C" w:rsidRPr="00D71AD1" w:rsidRDefault="003E1B1C" w:rsidP="001E6661">
            <w:pPr>
              <w:rPr>
                <w:b/>
              </w:rPr>
            </w:pPr>
            <w:r w:rsidRPr="00D71AD1">
              <w:rPr>
                <w:b/>
              </w:rPr>
              <w:t>Cost</w:t>
            </w:r>
          </w:p>
        </w:tc>
      </w:tr>
      <w:tr w:rsidR="003E1B1C" w:rsidRPr="00D71AD1" w14:paraId="2C924811" w14:textId="77777777" w:rsidTr="001E6661">
        <w:trPr>
          <w:trHeight w:val="274"/>
        </w:trPr>
        <w:tc>
          <w:tcPr>
            <w:tcW w:w="5215" w:type="dxa"/>
          </w:tcPr>
          <w:p w14:paraId="1B69FED7" w14:textId="30818255" w:rsidR="003E1B1C" w:rsidRPr="00D71AD1" w:rsidRDefault="003E1B1C" w:rsidP="00441374">
            <w:r w:rsidRPr="00D71AD1">
              <w:t>Contractor</w:t>
            </w:r>
            <w:r w:rsidR="00441374">
              <w:t xml:space="preserve">: </w:t>
            </w:r>
            <w:r w:rsidR="00D71AD1">
              <w:t>conduct interviews</w:t>
            </w:r>
          </w:p>
        </w:tc>
        <w:tc>
          <w:tcPr>
            <w:tcW w:w="1733" w:type="dxa"/>
          </w:tcPr>
          <w:p w14:paraId="4C62304F" w14:textId="52AA4BB7" w:rsidR="003E1B1C" w:rsidRPr="00D71AD1" w:rsidRDefault="00D71AD1" w:rsidP="001E6661">
            <w:r>
              <w:t>4</w:t>
            </w:r>
            <w:r w:rsidR="003E1B1C" w:rsidRPr="00D71AD1">
              <w:t>5</w:t>
            </w:r>
          </w:p>
        </w:tc>
        <w:tc>
          <w:tcPr>
            <w:tcW w:w="1417" w:type="dxa"/>
          </w:tcPr>
          <w:p w14:paraId="6DE414FF" w14:textId="77777777" w:rsidR="003E1B1C" w:rsidRPr="00D71AD1" w:rsidRDefault="003E1B1C" w:rsidP="001E6661">
            <w:r w:rsidRPr="00D71AD1">
              <w:t>$63.69</w:t>
            </w:r>
          </w:p>
        </w:tc>
        <w:tc>
          <w:tcPr>
            <w:tcW w:w="1296" w:type="dxa"/>
          </w:tcPr>
          <w:p w14:paraId="620673B8" w14:textId="75FBF652" w:rsidR="003E1B1C" w:rsidRPr="00D71AD1" w:rsidRDefault="003E1B1C" w:rsidP="00D71AD1">
            <w:r w:rsidRPr="00D71AD1">
              <w:t>$</w:t>
            </w:r>
            <w:r w:rsidR="00D71AD1">
              <w:t>2,866.05</w:t>
            </w:r>
          </w:p>
        </w:tc>
      </w:tr>
      <w:tr w:rsidR="003E1B1C" w:rsidRPr="00D71AD1" w14:paraId="22BA7621" w14:textId="77777777" w:rsidTr="001E6661">
        <w:trPr>
          <w:trHeight w:val="289"/>
        </w:trPr>
        <w:tc>
          <w:tcPr>
            <w:tcW w:w="5215" w:type="dxa"/>
          </w:tcPr>
          <w:p w14:paraId="001C1E56" w14:textId="77777777" w:rsidR="003E1B1C" w:rsidRPr="00D71AD1" w:rsidRDefault="003E1B1C" w:rsidP="001E6661">
            <w:pPr>
              <w:rPr>
                <w:b/>
              </w:rPr>
            </w:pPr>
            <w:r w:rsidRPr="00D71AD1">
              <w:rPr>
                <w:b/>
              </w:rPr>
              <w:t>Totals</w:t>
            </w:r>
          </w:p>
        </w:tc>
        <w:tc>
          <w:tcPr>
            <w:tcW w:w="1733" w:type="dxa"/>
          </w:tcPr>
          <w:p w14:paraId="51C489E8" w14:textId="615A2B07" w:rsidR="003E1B1C" w:rsidRPr="00D71AD1" w:rsidRDefault="00441374" w:rsidP="00441374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7" w:type="dxa"/>
          </w:tcPr>
          <w:p w14:paraId="7BEB59C1" w14:textId="5B3184EE" w:rsidR="003E1B1C" w:rsidRPr="00D71AD1" w:rsidRDefault="002A032B" w:rsidP="001E6661">
            <w:pPr>
              <w:rPr>
                <w:b/>
              </w:rPr>
            </w:pPr>
            <w:r>
              <w:rPr>
                <w:b/>
              </w:rPr>
              <w:t>$63.69</w:t>
            </w:r>
          </w:p>
        </w:tc>
        <w:tc>
          <w:tcPr>
            <w:tcW w:w="1296" w:type="dxa"/>
          </w:tcPr>
          <w:p w14:paraId="0EDF2C7D" w14:textId="1A777CCA" w:rsidR="003E1B1C" w:rsidRPr="00D71AD1" w:rsidRDefault="003E1B1C" w:rsidP="002A032B">
            <w:pPr>
              <w:rPr>
                <w:b/>
              </w:rPr>
            </w:pPr>
            <w:r w:rsidRPr="00D71AD1">
              <w:rPr>
                <w:b/>
              </w:rPr>
              <w:t>$</w:t>
            </w:r>
            <w:r w:rsidR="002A032B">
              <w:rPr>
                <w:b/>
              </w:rPr>
              <w:t>2,86</w:t>
            </w:r>
            <w:r w:rsidR="00441374">
              <w:rPr>
                <w:b/>
              </w:rPr>
              <w:t>6.05</w:t>
            </w:r>
          </w:p>
        </w:tc>
      </w:tr>
    </w:tbl>
    <w:p w14:paraId="665284BC" w14:textId="77777777" w:rsidR="003E1B1C" w:rsidRPr="00D71AD1" w:rsidRDefault="003E1B1C" w:rsidP="003E1B1C"/>
    <w:p w14:paraId="06BB1BB5" w14:textId="77777777" w:rsidR="003E1B1C" w:rsidRPr="00D71AD1" w:rsidRDefault="003E1B1C" w:rsidP="003E1B1C"/>
    <w:p w14:paraId="5322A873" w14:textId="3F683B30" w:rsidR="003E1B1C" w:rsidRDefault="003E1B1C" w:rsidP="003E1B1C">
      <w:pPr>
        <w:rPr>
          <w:b/>
        </w:rPr>
      </w:pPr>
      <w:r w:rsidRPr="00D71AD1">
        <w:rPr>
          <w:b/>
        </w:rPr>
        <w:t xml:space="preserve">FEDERAL COST:  </w:t>
      </w:r>
      <w:r w:rsidRPr="00D71AD1">
        <w:t xml:space="preserve">The estimated annual cost to the Federal government is </w:t>
      </w:r>
      <w:r w:rsidRPr="00D71AD1">
        <w:rPr>
          <w:u w:val="single"/>
        </w:rPr>
        <w:t>___$_</w:t>
      </w:r>
      <w:r w:rsidR="002A032B">
        <w:rPr>
          <w:u w:val="single"/>
        </w:rPr>
        <w:t>2,86</w:t>
      </w:r>
      <w:r w:rsidR="00441374">
        <w:rPr>
          <w:u w:val="single"/>
        </w:rPr>
        <w:t>6.05</w:t>
      </w:r>
      <w:r w:rsidRPr="00D71AD1">
        <w:rPr>
          <w:u w:val="single"/>
        </w:rPr>
        <w:t>______</w:t>
      </w:r>
    </w:p>
    <w:p w14:paraId="73A5185E" w14:textId="77777777" w:rsidR="003E1B1C" w:rsidRDefault="003E1B1C" w:rsidP="003E1B1C">
      <w:pPr>
        <w:rPr>
          <w:b/>
          <w:bCs/>
          <w:u w:val="single"/>
        </w:rPr>
      </w:pPr>
    </w:p>
    <w:p w14:paraId="1FA4D120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0F77F96" w14:textId="77777777" w:rsidR="00B46F2C" w:rsidRDefault="00B46F2C" w:rsidP="00F06866">
      <w:pPr>
        <w:rPr>
          <w:b/>
        </w:rPr>
      </w:pPr>
    </w:p>
    <w:p w14:paraId="01E6517F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7BD12ADB" w14:textId="391C875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 w:rsidR="00B37F6C">
        <w:br/>
      </w:r>
      <w:r>
        <w:t xml:space="preserve">[ </w:t>
      </w:r>
      <w:r w:rsidR="00F01640">
        <w:t>X</w:t>
      </w:r>
      <w:r>
        <w:t>] Yes</w:t>
      </w:r>
      <w:r>
        <w:tab/>
        <w:t>[] No</w:t>
      </w:r>
    </w:p>
    <w:p w14:paraId="22661CD5" w14:textId="77777777" w:rsidR="00B46F2C" w:rsidRDefault="00B46F2C" w:rsidP="00636621">
      <w:pPr>
        <w:pStyle w:val="ListParagraph"/>
      </w:pPr>
    </w:p>
    <w:p w14:paraId="426CD8F1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54441882" w14:textId="77777777" w:rsidR="007976ED" w:rsidRDefault="007976ED" w:rsidP="00A403BB"/>
    <w:p w14:paraId="005BDBE7" w14:textId="781FB86E" w:rsidR="00251151" w:rsidRDefault="00251151" w:rsidP="00A403BB">
      <w:r>
        <w:t>An emailed invitation will be sent to all state partners</w:t>
      </w:r>
      <w:r w:rsidR="00F01640">
        <w:t>, all state health departments are eligible to participate in the study</w:t>
      </w:r>
      <w:r>
        <w:t xml:space="preserve">. Those that </w:t>
      </w:r>
      <w:r w:rsidR="00C71A89">
        <w:t xml:space="preserve">are willing to participate will </w:t>
      </w:r>
      <w:r>
        <w:t>notify the contact individual indicated in the invitation. Interviews will be con</w:t>
      </w:r>
      <w:r w:rsidR="00B37F6C">
        <w:t>ducted primarily</w:t>
      </w:r>
      <w:r>
        <w:t xml:space="preserve"> ov</w:t>
      </w:r>
      <w:r w:rsidR="00F01640">
        <w:t xml:space="preserve">er the phone, participants </w:t>
      </w:r>
      <w:r w:rsidR="00F01640">
        <w:lastRenderedPageBreak/>
        <w:t xml:space="preserve">will also have the </w:t>
      </w:r>
      <w:r w:rsidR="00B37F6C">
        <w:t>opportunity to</w:t>
      </w:r>
      <w:r w:rsidR="00F01640">
        <w:t xml:space="preserve"> answer the questionnaire on their own</w:t>
      </w:r>
      <w:r w:rsidR="00B37F6C">
        <w:t xml:space="preserve"> and return their responses via email</w:t>
      </w:r>
      <w:r w:rsidR="00F01640">
        <w:t xml:space="preserve">. </w:t>
      </w:r>
    </w:p>
    <w:p w14:paraId="6B1E4544" w14:textId="1680D6C5" w:rsidR="00B46F2C" w:rsidRDefault="00F01640" w:rsidP="00A403BB">
      <w:pPr>
        <w:rPr>
          <w:b/>
        </w:rPr>
      </w:pPr>
      <w:r>
        <w:rPr>
          <w:b/>
        </w:rPr>
        <w:br/>
      </w:r>
    </w:p>
    <w:p w14:paraId="03543000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4FC231D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7FFB829" w14:textId="359CC927" w:rsidR="00B46F2C" w:rsidRDefault="00251151" w:rsidP="001B0AAA">
      <w:pPr>
        <w:ind w:left="720"/>
      </w:pPr>
      <w:r>
        <w:t>[X</w:t>
      </w:r>
      <w:r w:rsidR="00B46F2C">
        <w:t xml:space="preserve">] Web-based or other forms of Social Media </w:t>
      </w:r>
    </w:p>
    <w:p w14:paraId="5848FBAC" w14:textId="56641E49" w:rsidR="00B46F2C" w:rsidRDefault="00B46F2C" w:rsidP="001B0AAA">
      <w:pPr>
        <w:ind w:left="720"/>
      </w:pPr>
      <w:r>
        <w:t>[</w:t>
      </w:r>
      <w:r w:rsidR="00B37F6C">
        <w:t>X</w:t>
      </w:r>
      <w:r>
        <w:t xml:space="preserve"> ] Telephone</w:t>
      </w:r>
      <w:r>
        <w:tab/>
      </w:r>
    </w:p>
    <w:p w14:paraId="02EBDC37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2D6BDE95" w14:textId="77777777" w:rsidR="00B46F2C" w:rsidRDefault="00B46F2C" w:rsidP="001B0AAA">
      <w:pPr>
        <w:ind w:left="720"/>
      </w:pPr>
      <w:r>
        <w:t xml:space="preserve">[  ] Mail </w:t>
      </w:r>
    </w:p>
    <w:p w14:paraId="1E46C13E" w14:textId="59EABEBE" w:rsidR="00B46F2C" w:rsidRDefault="00B46F2C" w:rsidP="001B0AAA">
      <w:pPr>
        <w:ind w:left="720"/>
      </w:pPr>
      <w:r>
        <w:t>[  ] Other, Explain</w:t>
      </w:r>
      <w:r w:rsidR="00B37F6C">
        <w:br/>
      </w:r>
    </w:p>
    <w:p w14:paraId="1B701A1A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71A89">
        <w:t>x</w:t>
      </w:r>
      <w:r>
        <w:t>] No</w:t>
      </w:r>
    </w:p>
    <w:p w14:paraId="36A6223A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E7BC930" w14:textId="77777777" w:rsidR="00432C1A" w:rsidRDefault="00432C1A" w:rsidP="0024521E">
      <w:pPr>
        <w:rPr>
          <w:b/>
        </w:rPr>
      </w:pPr>
    </w:p>
    <w:p w14:paraId="0DE2002C" w14:textId="77777777" w:rsidR="00432C1A" w:rsidRDefault="00432C1A" w:rsidP="0024521E">
      <w:pPr>
        <w:rPr>
          <w:b/>
        </w:rPr>
      </w:pPr>
    </w:p>
    <w:p w14:paraId="322D4145" w14:textId="77777777" w:rsidR="00432C1A" w:rsidRDefault="00432C1A" w:rsidP="0024521E">
      <w:pPr>
        <w:rPr>
          <w:b/>
        </w:rPr>
      </w:pPr>
    </w:p>
    <w:p w14:paraId="0D2DD121" w14:textId="77777777" w:rsidR="00432C1A" w:rsidRDefault="00432C1A" w:rsidP="0024521E">
      <w:pPr>
        <w:rPr>
          <w:b/>
        </w:rPr>
      </w:pPr>
    </w:p>
    <w:p w14:paraId="31BCA965" w14:textId="77777777" w:rsidR="00432C1A" w:rsidRDefault="00432C1A" w:rsidP="0024521E">
      <w:pPr>
        <w:rPr>
          <w:b/>
        </w:rPr>
      </w:pPr>
    </w:p>
    <w:p w14:paraId="2DBB4954" w14:textId="77777777" w:rsidR="00432C1A" w:rsidRDefault="00432C1A" w:rsidP="0024521E">
      <w:pPr>
        <w:rPr>
          <w:b/>
        </w:rPr>
      </w:pPr>
    </w:p>
    <w:p w14:paraId="04F8F9DB" w14:textId="77777777" w:rsidR="00432C1A" w:rsidRDefault="00432C1A" w:rsidP="0024521E">
      <w:pPr>
        <w:rPr>
          <w:b/>
        </w:rPr>
      </w:pPr>
    </w:p>
    <w:p w14:paraId="5E95EDF8" w14:textId="77777777" w:rsidR="00432C1A" w:rsidRDefault="00432C1A" w:rsidP="0024521E">
      <w:pPr>
        <w:rPr>
          <w:b/>
        </w:rPr>
      </w:pPr>
    </w:p>
    <w:p w14:paraId="38D731C3" w14:textId="77777777" w:rsidR="00432C1A" w:rsidRDefault="00432C1A" w:rsidP="0024521E">
      <w:pPr>
        <w:rPr>
          <w:b/>
        </w:rPr>
      </w:pPr>
    </w:p>
    <w:p w14:paraId="329CEA8B" w14:textId="77777777" w:rsidR="00432C1A" w:rsidRDefault="00432C1A" w:rsidP="0024521E">
      <w:pPr>
        <w:rPr>
          <w:b/>
        </w:rPr>
      </w:pPr>
    </w:p>
    <w:p w14:paraId="48DEB521" w14:textId="77777777" w:rsidR="00432C1A" w:rsidRDefault="003E1B1C" w:rsidP="0024521E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14:paraId="22D79CA4" w14:textId="77777777" w:rsidR="003E1B1C" w:rsidRDefault="003E1B1C" w:rsidP="0024521E">
      <w:pPr>
        <w:rPr>
          <w:b/>
        </w:rPr>
      </w:pPr>
    </w:p>
    <w:p w14:paraId="44A0F766" w14:textId="77777777" w:rsidR="00432C1A" w:rsidRDefault="00432C1A" w:rsidP="0024521E">
      <w:pPr>
        <w:rPr>
          <w:b/>
        </w:rPr>
      </w:pPr>
    </w:p>
    <w:p w14:paraId="6E3FEA41" w14:textId="77777777" w:rsidR="00432C1A" w:rsidRDefault="00432C1A" w:rsidP="0024521E">
      <w:pPr>
        <w:rPr>
          <w:b/>
        </w:rPr>
      </w:pPr>
    </w:p>
    <w:p w14:paraId="250AB687" w14:textId="77777777" w:rsidR="00432C1A" w:rsidRDefault="00432C1A" w:rsidP="0024521E">
      <w:pPr>
        <w:rPr>
          <w:b/>
        </w:rPr>
      </w:pPr>
      <w:bookmarkStart w:id="0" w:name="_GoBack"/>
      <w:bookmarkEnd w:id="0"/>
    </w:p>
    <w:sectPr w:rsidR="00432C1A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2FF63" w14:textId="77777777" w:rsidR="00156BC2" w:rsidRDefault="00156BC2">
      <w:r>
        <w:separator/>
      </w:r>
    </w:p>
  </w:endnote>
  <w:endnote w:type="continuationSeparator" w:id="0">
    <w:p w14:paraId="1BFE9AA4" w14:textId="77777777" w:rsidR="00156BC2" w:rsidRDefault="0015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87BAF" w14:textId="77777777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15A1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F770E" w14:textId="77777777" w:rsidR="00156BC2" w:rsidRDefault="00156BC2">
      <w:r>
        <w:separator/>
      </w:r>
    </w:p>
  </w:footnote>
  <w:footnote w:type="continuationSeparator" w:id="0">
    <w:p w14:paraId="6BBC0C1C" w14:textId="77777777" w:rsidR="00156BC2" w:rsidRDefault="0015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08788" w14:textId="26A887A7"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0B40C2D"/>
    <w:multiLevelType w:val="hybridMultilevel"/>
    <w:tmpl w:val="92F6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B4AE1"/>
    <w:rsid w:val="000D44CA"/>
    <w:rsid w:val="000E200B"/>
    <w:rsid w:val="000E3228"/>
    <w:rsid w:val="000F68BE"/>
    <w:rsid w:val="00156BC2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51151"/>
    <w:rsid w:val="00263C3D"/>
    <w:rsid w:val="00274D0B"/>
    <w:rsid w:val="002821FF"/>
    <w:rsid w:val="002A032B"/>
    <w:rsid w:val="002B3C95"/>
    <w:rsid w:val="002D0B92"/>
    <w:rsid w:val="002F2B53"/>
    <w:rsid w:val="003675DB"/>
    <w:rsid w:val="003D5BBE"/>
    <w:rsid w:val="003E1B1C"/>
    <w:rsid w:val="003E3C61"/>
    <w:rsid w:val="003F1C5B"/>
    <w:rsid w:val="003F2F4C"/>
    <w:rsid w:val="00401771"/>
    <w:rsid w:val="0041337D"/>
    <w:rsid w:val="00432C1A"/>
    <w:rsid w:val="00434E33"/>
    <w:rsid w:val="004400A6"/>
    <w:rsid w:val="00441374"/>
    <w:rsid w:val="00441434"/>
    <w:rsid w:val="0045264C"/>
    <w:rsid w:val="004876EC"/>
    <w:rsid w:val="004D6E14"/>
    <w:rsid w:val="005009B0"/>
    <w:rsid w:val="00512CA7"/>
    <w:rsid w:val="005149F6"/>
    <w:rsid w:val="005A1006"/>
    <w:rsid w:val="005E714A"/>
    <w:rsid w:val="006140A0"/>
    <w:rsid w:val="00615A1D"/>
    <w:rsid w:val="00636621"/>
    <w:rsid w:val="00642B49"/>
    <w:rsid w:val="006564AE"/>
    <w:rsid w:val="00662B77"/>
    <w:rsid w:val="006632EE"/>
    <w:rsid w:val="006824C3"/>
    <w:rsid w:val="006832D9"/>
    <w:rsid w:val="0069403B"/>
    <w:rsid w:val="006B0DB3"/>
    <w:rsid w:val="006E12B5"/>
    <w:rsid w:val="006F3DDE"/>
    <w:rsid w:val="00704678"/>
    <w:rsid w:val="00731F9D"/>
    <w:rsid w:val="007425E7"/>
    <w:rsid w:val="007976ED"/>
    <w:rsid w:val="00802607"/>
    <w:rsid w:val="008101A5"/>
    <w:rsid w:val="00822664"/>
    <w:rsid w:val="00840FCA"/>
    <w:rsid w:val="00843796"/>
    <w:rsid w:val="0085062F"/>
    <w:rsid w:val="00880418"/>
    <w:rsid w:val="00895229"/>
    <w:rsid w:val="008F0203"/>
    <w:rsid w:val="008F50D4"/>
    <w:rsid w:val="009117CF"/>
    <w:rsid w:val="009239AA"/>
    <w:rsid w:val="00935ADA"/>
    <w:rsid w:val="00946B6C"/>
    <w:rsid w:val="00955A71"/>
    <w:rsid w:val="0096108F"/>
    <w:rsid w:val="009C13B9"/>
    <w:rsid w:val="009D01A2"/>
    <w:rsid w:val="009D539D"/>
    <w:rsid w:val="009F5923"/>
    <w:rsid w:val="00A403BB"/>
    <w:rsid w:val="00A610BA"/>
    <w:rsid w:val="00A674DF"/>
    <w:rsid w:val="00A83AA6"/>
    <w:rsid w:val="00AD4C80"/>
    <w:rsid w:val="00AE1809"/>
    <w:rsid w:val="00B37F6C"/>
    <w:rsid w:val="00B46F2C"/>
    <w:rsid w:val="00B56DC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05F4"/>
    <w:rsid w:val="00C71A89"/>
    <w:rsid w:val="00C8407A"/>
    <w:rsid w:val="00C8488C"/>
    <w:rsid w:val="00C86E91"/>
    <w:rsid w:val="00CA2650"/>
    <w:rsid w:val="00CB1078"/>
    <w:rsid w:val="00CC6FAF"/>
    <w:rsid w:val="00CE0922"/>
    <w:rsid w:val="00D24698"/>
    <w:rsid w:val="00D6383F"/>
    <w:rsid w:val="00D71221"/>
    <w:rsid w:val="00D71AD1"/>
    <w:rsid w:val="00D94098"/>
    <w:rsid w:val="00DB59D0"/>
    <w:rsid w:val="00DC33D3"/>
    <w:rsid w:val="00E033FC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C2D9B"/>
    <w:rsid w:val="00ED6492"/>
    <w:rsid w:val="00EE1736"/>
    <w:rsid w:val="00EF2095"/>
    <w:rsid w:val="00F01640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DB962B"/>
  <w15:docId w15:val="{F073ED7A-D154-422F-B84F-4DE29A88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Sims, Thelma (CDC/OD/OADS)</cp:lastModifiedBy>
  <cp:revision>2</cp:revision>
  <cp:lastPrinted>2012-08-06T16:52:00Z</cp:lastPrinted>
  <dcterms:created xsi:type="dcterms:W3CDTF">2017-01-11T21:21:00Z</dcterms:created>
  <dcterms:modified xsi:type="dcterms:W3CDTF">2017-01-11T21:21:00Z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