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C3F7F" w14:textId="77777777" w:rsidR="00490720" w:rsidRPr="00C45431" w:rsidRDefault="00490720">
      <w:pPr>
        <w:widowControl/>
        <w:autoSpaceDE/>
        <w:autoSpaceDN/>
        <w:adjustRightInd/>
        <w:rPr>
          <w:rFonts w:ascii="Arial" w:hAnsi="Arial" w:cs="Arial"/>
          <w:b/>
          <w:bCs/>
          <w:sz w:val="32"/>
          <w:szCs w:val="32"/>
        </w:rPr>
      </w:pPr>
      <w:bookmarkStart w:id="0" w:name="_GoBack"/>
      <w:bookmarkEnd w:id="0"/>
    </w:p>
    <w:p w14:paraId="31FCB039" w14:textId="77777777" w:rsidR="00BA1A0C" w:rsidRPr="002531C8" w:rsidRDefault="009B3794" w:rsidP="00CE5AA9">
      <w:pPr>
        <w:tabs>
          <w:tab w:val="center" w:pos="4680"/>
        </w:tabs>
        <w:spacing w:before="120"/>
        <w:jc w:val="center"/>
        <w:rPr>
          <w:b/>
          <w:bCs/>
          <w:sz w:val="22"/>
          <w:szCs w:val="22"/>
        </w:rPr>
      </w:pPr>
      <w:r w:rsidRPr="002531C8">
        <w:rPr>
          <w:b/>
          <w:bCs/>
          <w:sz w:val="22"/>
          <w:szCs w:val="22"/>
        </w:rPr>
        <w:t xml:space="preserve">Supporting </w:t>
      </w:r>
      <w:proofErr w:type="gramStart"/>
      <w:r w:rsidRPr="002531C8">
        <w:rPr>
          <w:b/>
          <w:bCs/>
          <w:sz w:val="22"/>
          <w:szCs w:val="22"/>
        </w:rPr>
        <w:t>Statement</w:t>
      </w:r>
      <w:proofErr w:type="gramEnd"/>
      <w:r w:rsidRPr="002531C8">
        <w:rPr>
          <w:b/>
          <w:bCs/>
          <w:sz w:val="22"/>
          <w:szCs w:val="22"/>
        </w:rPr>
        <w:t xml:space="preserve"> </w:t>
      </w:r>
      <w:r w:rsidR="00BA1A0C" w:rsidRPr="002531C8">
        <w:rPr>
          <w:b/>
          <w:bCs/>
          <w:sz w:val="22"/>
          <w:szCs w:val="22"/>
        </w:rPr>
        <w:t>A</w:t>
      </w:r>
    </w:p>
    <w:p w14:paraId="46014051" w14:textId="77777777" w:rsidR="00BA1A0C" w:rsidRPr="002531C8" w:rsidRDefault="00BA1A0C" w:rsidP="00CE5AA9">
      <w:pPr>
        <w:tabs>
          <w:tab w:val="center" w:pos="4680"/>
        </w:tabs>
        <w:spacing w:before="120"/>
        <w:jc w:val="center"/>
        <w:rPr>
          <w:b/>
          <w:bCs/>
          <w:sz w:val="22"/>
          <w:szCs w:val="22"/>
        </w:rPr>
      </w:pPr>
    </w:p>
    <w:p w14:paraId="390D3373" w14:textId="3D5A959A" w:rsidR="00E33F4F" w:rsidRPr="002531C8" w:rsidRDefault="00E33F4F" w:rsidP="00E33F4F">
      <w:pPr>
        <w:pStyle w:val="BodyText"/>
        <w:ind w:right="-14"/>
        <w:jc w:val="center"/>
        <w:rPr>
          <w:b/>
          <w:w w:val="105"/>
          <w:sz w:val="22"/>
          <w:szCs w:val="22"/>
        </w:rPr>
      </w:pPr>
      <w:r w:rsidRPr="002531C8">
        <w:rPr>
          <w:b/>
          <w:w w:val="105"/>
          <w:sz w:val="22"/>
          <w:szCs w:val="22"/>
        </w:rPr>
        <w:t>HIV Quality Measures Module</w:t>
      </w:r>
    </w:p>
    <w:p w14:paraId="0328AB97" w14:textId="77777777" w:rsidR="00BA1A0C" w:rsidRPr="002531C8" w:rsidRDefault="00BA1A0C" w:rsidP="00CE5AA9">
      <w:pPr>
        <w:tabs>
          <w:tab w:val="center" w:pos="4680"/>
        </w:tabs>
        <w:spacing w:before="120"/>
        <w:jc w:val="center"/>
        <w:rPr>
          <w:b/>
          <w:bCs/>
          <w:sz w:val="22"/>
          <w:szCs w:val="22"/>
        </w:rPr>
      </w:pPr>
    </w:p>
    <w:p w14:paraId="4A4B835E" w14:textId="77777777" w:rsidR="00BA1A0C" w:rsidRPr="002531C8" w:rsidRDefault="00BA1A0C" w:rsidP="00CE5AA9">
      <w:pPr>
        <w:tabs>
          <w:tab w:val="center" w:pos="4680"/>
        </w:tabs>
        <w:spacing w:before="120"/>
        <w:jc w:val="center"/>
        <w:rPr>
          <w:b/>
          <w:bCs/>
          <w:sz w:val="22"/>
          <w:szCs w:val="22"/>
        </w:rPr>
      </w:pPr>
      <w:r w:rsidRPr="002531C8">
        <w:rPr>
          <w:b/>
          <w:bCs/>
          <w:sz w:val="22"/>
          <w:szCs w:val="22"/>
        </w:rPr>
        <w:t>OMB Control No. 09</w:t>
      </w:r>
      <w:r w:rsidR="00E34A1F" w:rsidRPr="002531C8">
        <w:rPr>
          <w:b/>
          <w:bCs/>
          <w:sz w:val="22"/>
          <w:szCs w:val="22"/>
        </w:rPr>
        <w:t>15</w:t>
      </w:r>
      <w:r w:rsidRPr="002531C8">
        <w:rPr>
          <w:b/>
          <w:bCs/>
          <w:sz w:val="22"/>
          <w:szCs w:val="22"/>
        </w:rPr>
        <w:t>-XXXX</w:t>
      </w:r>
    </w:p>
    <w:p w14:paraId="4DFB79E0" w14:textId="77777777" w:rsidR="00BA1A0C" w:rsidRPr="002531C8" w:rsidRDefault="00BA1A0C" w:rsidP="00CE5AA9">
      <w:pPr>
        <w:tabs>
          <w:tab w:val="center" w:pos="4680"/>
        </w:tabs>
        <w:spacing w:before="120"/>
        <w:jc w:val="center"/>
        <w:rPr>
          <w:b/>
          <w:bCs/>
          <w:sz w:val="22"/>
          <w:szCs w:val="22"/>
        </w:rPr>
      </w:pPr>
    </w:p>
    <w:p w14:paraId="437F7738" w14:textId="77777777" w:rsidR="009B3794" w:rsidRPr="002531C8" w:rsidRDefault="009B3794" w:rsidP="00CE5AA9">
      <w:pPr>
        <w:tabs>
          <w:tab w:val="center" w:pos="4680"/>
        </w:tabs>
        <w:spacing w:before="120"/>
        <w:jc w:val="center"/>
        <w:rPr>
          <w:b/>
          <w:bCs/>
          <w:sz w:val="22"/>
          <w:szCs w:val="22"/>
        </w:rPr>
      </w:pPr>
    </w:p>
    <w:p w14:paraId="0C0D67F4" w14:textId="77777777" w:rsidR="009B3794" w:rsidRPr="002531C8" w:rsidRDefault="00DE3A45" w:rsidP="00CE5AA9">
      <w:pPr>
        <w:spacing w:before="120"/>
        <w:rPr>
          <w:b/>
          <w:sz w:val="22"/>
          <w:szCs w:val="22"/>
        </w:rPr>
      </w:pPr>
      <w:r w:rsidRPr="002531C8">
        <w:rPr>
          <w:b/>
          <w:sz w:val="22"/>
          <w:szCs w:val="22"/>
        </w:rPr>
        <w:t>Terms of Clearance</w:t>
      </w:r>
      <w:r w:rsidR="00A27D7E" w:rsidRPr="002531C8">
        <w:rPr>
          <w:b/>
          <w:sz w:val="22"/>
          <w:szCs w:val="22"/>
        </w:rPr>
        <w:t>: None</w:t>
      </w:r>
    </w:p>
    <w:p w14:paraId="7959AF7D" w14:textId="77777777" w:rsidR="00A27D7E" w:rsidRPr="002531C8" w:rsidRDefault="00A27D7E" w:rsidP="00CE5AA9">
      <w:pPr>
        <w:spacing w:before="120"/>
        <w:rPr>
          <w:b/>
          <w:sz w:val="22"/>
          <w:szCs w:val="22"/>
        </w:rPr>
      </w:pPr>
    </w:p>
    <w:p w14:paraId="00AE42EE" w14:textId="77777777" w:rsidR="009B3794" w:rsidRPr="002531C8" w:rsidRDefault="009B3794" w:rsidP="00CA3DA6">
      <w:pPr>
        <w:spacing w:before="120"/>
        <w:rPr>
          <w:b/>
          <w:bCs/>
          <w:sz w:val="22"/>
          <w:szCs w:val="22"/>
        </w:rPr>
      </w:pPr>
      <w:r w:rsidRPr="002531C8">
        <w:rPr>
          <w:b/>
          <w:bCs/>
          <w:sz w:val="22"/>
          <w:szCs w:val="22"/>
        </w:rPr>
        <w:t>A.</w:t>
      </w:r>
      <w:r w:rsidRPr="002531C8">
        <w:rPr>
          <w:b/>
          <w:bCs/>
          <w:sz w:val="22"/>
          <w:szCs w:val="22"/>
        </w:rPr>
        <w:tab/>
        <w:t>Justification</w:t>
      </w:r>
    </w:p>
    <w:p w14:paraId="384A42F5" w14:textId="77777777" w:rsidR="009B3794" w:rsidRPr="002531C8" w:rsidRDefault="009B3794" w:rsidP="00CA3DA6">
      <w:pPr>
        <w:numPr>
          <w:ilvl w:val="0"/>
          <w:numId w:val="2"/>
        </w:numPr>
        <w:tabs>
          <w:tab w:val="num" w:pos="360"/>
        </w:tabs>
        <w:spacing w:before="240"/>
        <w:ind w:left="360"/>
        <w:rPr>
          <w:b/>
          <w:sz w:val="22"/>
          <w:szCs w:val="22"/>
        </w:rPr>
      </w:pPr>
      <w:r w:rsidRPr="002531C8">
        <w:rPr>
          <w:b/>
          <w:sz w:val="22"/>
          <w:szCs w:val="22"/>
          <w:u w:val="single"/>
        </w:rPr>
        <w:t>Circumstances Making the Collection of Information Necessary</w:t>
      </w:r>
    </w:p>
    <w:p w14:paraId="13F78813" w14:textId="77777777" w:rsidR="008F6ABC" w:rsidRDefault="008F6ABC" w:rsidP="000238F6">
      <w:pPr>
        <w:widowControl/>
        <w:shd w:val="clear" w:color="auto" w:fill="FFFFFF"/>
        <w:autoSpaceDE/>
        <w:autoSpaceDN/>
        <w:adjustRightInd/>
        <w:rPr>
          <w:sz w:val="22"/>
          <w:szCs w:val="22"/>
        </w:rPr>
      </w:pPr>
    </w:p>
    <w:p w14:paraId="1A2C0264" w14:textId="038606B2" w:rsidR="00AF11DF" w:rsidRPr="002531C8" w:rsidRDefault="00AF11DF" w:rsidP="000238F6">
      <w:pPr>
        <w:widowControl/>
        <w:shd w:val="clear" w:color="auto" w:fill="FFFFFF"/>
        <w:autoSpaceDE/>
        <w:autoSpaceDN/>
        <w:adjustRightInd/>
        <w:rPr>
          <w:sz w:val="22"/>
          <w:szCs w:val="22"/>
        </w:rPr>
      </w:pPr>
      <w:r w:rsidRPr="002531C8">
        <w:rPr>
          <w:sz w:val="22"/>
          <w:szCs w:val="22"/>
        </w:rPr>
        <w:t>The Health Resources and Services Administration (HRSA) is requesting approval from the Office of Management and Budget (OMB) for a new data system for the Ryan White Program’s HIV Quality Measures (HIVQM) Module.  The HIVQM</w:t>
      </w:r>
      <w:r w:rsidR="00AA4BB2">
        <w:rPr>
          <w:sz w:val="22"/>
          <w:szCs w:val="22"/>
        </w:rPr>
        <w:t xml:space="preserve"> </w:t>
      </w:r>
      <w:r w:rsidR="00B733F9">
        <w:rPr>
          <w:sz w:val="22"/>
          <w:szCs w:val="22"/>
        </w:rPr>
        <w:t xml:space="preserve">Module </w:t>
      </w:r>
      <w:r w:rsidR="00AA4BB2">
        <w:rPr>
          <w:sz w:val="22"/>
          <w:szCs w:val="22"/>
        </w:rPr>
        <w:t xml:space="preserve">is a voluntary data </w:t>
      </w:r>
      <w:r w:rsidR="006A70E1">
        <w:rPr>
          <w:sz w:val="22"/>
          <w:szCs w:val="22"/>
        </w:rPr>
        <w:t xml:space="preserve">system </w:t>
      </w:r>
      <w:r w:rsidR="00AA4BB2">
        <w:rPr>
          <w:sz w:val="22"/>
          <w:szCs w:val="22"/>
        </w:rPr>
        <w:t xml:space="preserve">that </w:t>
      </w:r>
      <w:r w:rsidRPr="002531C8">
        <w:rPr>
          <w:sz w:val="22"/>
          <w:szCs w:val="22"/>
        </w:rPr>
        <w:t>recipients funded under all Parts of the Ryan White HIV/AIDS Treatment Extension Act of 2009 (Ryan</w:t>
      </w:r>
      <w:r w:rsidR="002531C8" w:rsidRPr="002531C8">
        <w:rPr>
          <w:sz w:val="22"/>
          <w:szCs w:val="22"/>
        </w:rPr>
        <w:t xml:space="preserve"> White HIV/AIDS Program (RWHAP))</w:t>
      </w:r>
      <w:r w:rsidR="00AA4BB2">
        <w:rPr>
          <w:sz w:val="22"/>
          <w:szCs w:val="22"/>
        </w:rPr>
        <w:t xml:space="preserve"> can use to monitor their performance to providing </w:t>
      </w:r>
      <w:r w:rsidR="006D3332">
        <w:rPr>
          <w:sz w:val="22"/>
          <w:szCs w:val="22"/>
        </w:rPr>
        <w:t>quality HIV services</w:t>
      </w:r>
      <w:r w:rsidR="002531C8" w:rsidRPr="002531C8">
        <w:rPr>
          <w:sz w:val="22"/>
          <w:szCs w:val="22"/>
        </w:rPr>
        <w:t>.</w:t>
      </w:r>
      <w:r w:rsidRPr="002531C8">
        <w:rPr>
          <w:sz w:val="22"/>
          <w:szCs w:val="22"/>
        </w:rPr>
        <w:t xml:space="preserve"> </w:t>
      </w:r>
      <w:r w:rsidR="002531C8" w:rsidRPr="002531C8">
        <w:rPr>
          <w:sz w:val="22"/>
          <w:szCs w:val="22"/>
        </w:rPr>
        <w:t>S</w:t>
      </w:r>
      <w:r w:rsidRPr="002531C8">
        <w:rPr>
          <w:sz w:val="22"/>
          <w:szCs w:val="22"/>
        </w:rPr>
        <w:t xml:space="preserve">ee </w:t>
      </w:r>
      <w:r w:rsidR="00EA47CB" w:rsidRPr="002531C8">
        <w:rPr>
          <w:sz w:val="22"/>
          <w:szCs w:val="22"/>
        </w:rPr>
        <w:t>Attachment</w:t>
      </w:r>
      <w:r w:rsidRPr="002531C8">
        <w:rPr>
          <w:sz w:val="22"/>
          <w:szCs w:val="22"/>
        </w:rPr>
        <w:t xml:space="preserve"> A for a copy of the 2009 legislation as codified under Title XXVI of the Public Health Service Act.   The HIV/AIDS Bureau within HRSA of the United States Department of Health and Human Services (DHHS) administers funds for the RWHAP.  The program is authorized by the Ryan White HIV/AIDS Treatment Extension Act of 2009 (Public Law 111–87)</w:t>
      </w:r>
      <w:r w:rsidR="00FC7F32" w:rsidRPr="002531C8">
        <w:rPr>
          <w:sz w:val="22"/>
          <w:szCs w:val="22"/>
        </w:rPr>
        <w:t xml:space="preserve">, </w:t>
      </w:r>
      <w:r w:rsidRPr="002531C8">
        <w:rPr>
          <w:sz w:val="22"/>
          <w:szCs w:val="22"/>
        </w:rPr>
        <w:t>first enacted in 1990 as the Ryan White Comprehensive AIDS Resources Emergency (CARE) Act and was amended and reauthorized in 1996, 2000, and 2006.</w:t>
      </w:r>
    </w:p>
    <w:p w14:paraId="256486BA" w14:textId="77777777" w:rsidR="000238F6" w:rsidRPr="002531C8" w:rsidRDefault="000238F6" w:rsidP="000238F6">
      <w:pPr>
        <w:widowControl/>
        <w:shd w:val="clear" w:color="auto" w:fill="FFFFFF"/>
        <w:autoSpaceDE/>
        <w:autoSpaceDN/>
        <w:adjustRightInd/>
        <w:rPr>
          <w:sz w:val="22"/>
          <w:szCs w:val="22"/>
        </w:rPr>
      </w:pPr>
    </w:p>
    <w:p w14:paraId="1C916397" w14:textId="72B6BE2F" w:rsidR="000238F6" w:rsidRPr="002531C8" w:rsidRDefault="00A27D7E" w:rsidP="000238F6">
      <w:pPr>
        <w:rPr>
          <w:sz w:val="22"/>
          <w:szCs w:val="22"/>
        </w:rPr>
      </w:pPr>
      <w:r w:rsidRPr="002531C8">
        <w:rPr>
          <w:spacing w:val="1"/>
          <w:w w:val="105"/>
          <w:sz w:val="22"/>
          <w:szCs w:val="22"/>
        </w:rPr>
        <w:t>The RWHAP provides entities funded by the program with flexibility to respond effectively to the changing HIV epidemic, with an emphasis on providing life-saving and life-extending services for people living with HIV.</w:t>
      </w:r>
      <w:r w:rsidR="00AA4BB2">
        <w:rPr>
          <w:spacing w:val="1"/>
          <w:w w:val="105"/>
          <w:sz w:val="22"/>
          <w:szCs w:val="22"/>
        </w:rPr>
        <w:t xml:space="preserve"> </w:t>
      </w:r>
      <w:r w:rsidR="00AA4BB2">
        <w:rPr>
          <w:w w:val="105"/>
          <w:sz w:val="22"/>
          <w:szCs w:val="22"/>
        </w:rPr>
        <w:t>T</w:t>
      </w:r>
      <w:r w:rsidR="00BA3E25">
        <w:rPr>
          <w:w w:val="105"/>
          <w:sz w:val="22"/>
          <w:szCs w:val="22"/>
        </w:rPr>
        <w:t xml:space="preserve">here are </w:t>
      </w:r>
      <w:r w:rsidR="00AA4BB2">
        <w:rPr>
          <w:w w:val="105"/>
          <w:sz w:val="22"/>
          <w:szCs w:val="22"/>
        </w:rPr>
        <w:t>also</w:t>
      </w:r>
      <w:r w:rsidR="00BA3E25">
        <w:rPr>
          <w:w w:val="105"/>
          <w:sz w:val="22"/>
          <w:szCs w:val="22"/>
        </w:rPr>
        <w:t xml:space="preserve"> legislative requirements that all </w:t>
      </w:r>
      <w:r w:rsidRPr="002531C8">
        <w:rPr>
          <w:spacing w:val="1"/>
          <w:w w:val="105"/>
          <w:sz w:val="22"/>
          <w:szCs w:val="22"/>
        </w:rPr>
        <w:t>RWHAP</w:t>
      </w:r>
      <w:r w:rsidRPr="002531C8">
        <w:rPr>
          <w:w w:val="105"/>
          <w:sz w:val="22"/>
          <w:szCs w:val="22"/>
        </w:rPr>
        <w:t xml:space="preserve"> </w:t>
      </w:r>
      <w:r w:rsidR="002A136D" w:rsidRPr="002531C8">
        <w:rPr>
          <w:w w:val="105"/>
          <w:sz w:val="22"/>
          <w:szCs w:val="22"/>
        </w:rPr>
        <w:t>recipients</w:t>
      </w:r>
      <w:r w:rsidRPr="002531C8">
        <w:rPr>
          <w:w w:val="105"/>
          <w:sz w:val="22"/>
          <w:szCs w:val="22"/>
        </w:rPr>
        <w:t xml:space="preserve"> </w:t>
      </w:r>
      <w:r w:rsidR="00BA3E25">
        <w:rPr>
          <w:w w:val="105"/>
          <w:sz w:val="22"/>
          <w:szCs w:val="22"/>
        </w:rPr>
        <w:t xml:space="preserve">must follow such as the </w:t>
      </w:r>
      <w:r w:rsidRPr="002531C8">
        <w:rPr>
          <w:w w:val="105"/>
          <w:sz w:val="22"/>
          <w:szCs w:val="22"/>
        </w:rPr>
        <w:t>establish</w:t>
      </w:r>
      <w:r w:rsidR="00BA3E25">
        <w:rPr>
          <w:w w:val="105"/>
          <w:sz w:val="22"/>
          <w:szCs w:val="22"/>
        </w:rPr>
        <w:t>ment of</w:t>
      </w:r>
      <w:r w:rsidRPr="002531C8">
        <w:rPr>
          <w:w w:val="105"/>
          <w:sz w:val="22"/>
          <w:szCs w:val="22"/>
        </w:rPr>
        <w:t xml:space="preserve"> clinical quality management programs to assess their HIV services according to the most recent Public Health Service guidelines and to develop strategies to improve</w:t>
      </w:r>
      <w:r w:rsidR="002A136D" w:rsidRPr="002531C8">
        <w:rPr>
          <w:w w:val="105"/>
          <w:sz w:val="22"/>
          <w:szCs w:val="22"/>
        </w:rPr>
        <w:t xml:space="preserve"> access to quality HIV services.</w:t>
      </w:r>
      <w:r w:rsidR="002A136D" w:rsidRPr="002531C8">
        <w:rPr>
          <w:rStyle w:val="FootnoteReference"/>
          <w:w w:val="105"/>
          <w:sz w:val="22"/>
          <w:szCs w:val="22"/>
          <w:vertAlign w:val="superscript"/>
        </w:rPr>
        <w:footnoteReference w:id="1"/>
      </w:r>
      <w:r w:rsidR="000238F6" w:rsidRPr="002531C8">
        <w:rPr>
          <w:w w:val="105"/>
          <w:sz w:val="22"/>
          <w:szCs w:val="22"/>
        </w:rPr>
        <w:t xml:space="preserve"> In</w:t>
      </w:r>
      <w:r w:rsidR="000238F6" w:rsidRPr="002531C8">
        <w:rPr>
          <w:sz w:val="22"/>
          <w:szCs w:val="22"/>
        </w:rPr>
        <w:t xml:space="preserve"> 2013 the HIV/AIDS Bureau (HAB) </w:t>
      </w:r>
      <w:r w:rsidR="006A70E1">
        <w:rPr>
          <w:sz w:val="22"/>
          <w:szCs w:val="22"/>
        </w:rPr>
        <w:t>restructured its</w:t>
      </w:r>
      <w:r w:rsidR="006A70E1" w:rsidRPr="002531C8">
        <w:rPr>
          <w:sz w:val="22"/>
          <w:szCs w:val="22"/>
        </w:rPr>
        <w:t xml:space="preserve"> </w:t>
      </w:r>
      <w:r w:rsidR="000238F6" w:rsidRPr="002531C8">
        <w:rPr>
          <w:sz w:val="22"/>
          <w:szCs w:val="22"/>
        </w:rPr>
        <w:t xml:space="preserve">HIV Performance Measures with the goals of:  </w:t>
      </w:r>
    </w:p>
    <w:p w14:paraId="10A65F6A" w14:textId="77777777" w:rsidR="000238F6" w:rsidRPr="002531C8" w:rsidRDefault="000238F6" w:rsidP="000238F6">
      <w:pPr>
        <w:pStyle w:val="Answerbulleted"/>
        <w:numPr>
          <w:ilvl w:val="0"/>
          <w:numId w:val="45"/>
        </w:numPr>
        <w:ind w:left="1080" w:right="0"/>
        <w:rPr>
          <w:rFonts w:ascii="Times New Roman" w:hAnsi="Times New Roman"/>
        </w:rPr>
      </w:pPr>
      <w:r w:rsidRPr="002531C8">
        <w:rPr>
          <w:rFonts w:ascii="Times New Roman" w:hAnsi="Times New Roman"/>
        </w:rPr>
        <w:t>Identifying core performance measures that are most critical to the care and treatment of people living with HIV;</w:t>
      </w:r>
    </w:p>
    <w:p w14:paraId="59A72AE4" w14:textId="77777777" w:rsidR="000238F6" w:rsidRPr="002531C8" w:rsidRDefault="000238F6" w:rsidP="000238F6">
      <w:pPr>
        <w:pStyle w:val="Answerbulleted"/>
        <w:numPr>
          <w:ilvl w:val="0"/>
          <w:numId w:val="45"/>
        </w:numPr>
        <w:ind w:left="1080" w:right="0"/>
        <w:rPr>
          <w:rFonts w:ascii="Times New Roman" w:hAnsi="Times New Roman"/>
        </w:rPr>
      </w:pPr>
      <w:r w:rsidRPr="002531C8">
        <w:rPr>
          <w:rFonts w:ascii="Times New Roman" w:hAnsi="Times New Roman"/>
        </w:rPr>
        <w:t xml:space="preserve">Combining measures to address people of all ages living with HIV; </w:t>
      </w:r>
    </w:p>
    <w:p w14:paraId="7D254E4E" w14:textId="77777777" w:rsidR="000238F6" w:rsidRPr="002531C8" w:rsidRDefault="000238F6" w:rsidP="000238F6">
      <w:pPr>
        <w:pStyle w:val="Answerbulleted"/>
        <w:numPr>
          <w:ilvl w:val="0"/>
          <w:numId w:val="45"/>
        </w:numPr>
        <w:ind w:left="1080" w:right="0"/>
        <w:rPr>
          <w:rFonts w:ascii="Times New Roman" w:hAnsi="Times New Roman"/>
        </w:rPr>
      </w:pPr>
      <w:r w:rsidRPr="002531C8">
        <w:rPr>
          <w:rFonts w:ascii="Times New Roman" w:hAnsi="Times New Roman"/>
        </w:rPr>
        <w:t xml:space="preserve">Aligning measures with U.S. Department of Health and Human Services priorities, guidelines, and initiatives; </w:t>
      </w:r>
    </w:p>
    <w:p w14:paraId="1B3A129B" w14:textId="77777777" w:rsidR="000238F6" w:rsidRPr="002531C8" w:rsidRDefault="000238F6" w:rsidP="000238F6">
      <w:pPr>
        <w:pStyle w:val="Answerbulleted"/>
        <w:numPr>
          <w:ilvl w:val="0"/>
          <w:numId w:val="45"/>
        </w:numPr>
        <w:ind w:left="1080" w:right="0"/>
        <w:rPr>
          <w:rFonts w:ascii="Times New Roman" w:hAnsi="Times New Roman"/>
        </w:rPr>
      </w:pPr>
      <w:r w:rsidRPr="002531C8">
        <w:rPr>
          <w:rFonts w:ascii="Times New Roman" w:hAnsi="Times New Roman"/>
        </w:rPr>
        <w:lastRenderedPageBreak/>
        <w:t xml:space="preserve">Promoting relevant performance measures used in other federal programs; </w:t>
      </w:r>
    </w:p>
    <w:p w14:paraId="1DE878FC" w14:textId="77777777" w:rsidR="000238F6" w:rsidRPr="002531C8" w:rsidRDefault="000238F6" w:rsidP="000238F6">
      <w:pPr>
        <w:pStyle w:val="Answerbulleted"/>
        <w:numPr>
          <w:ilvl w:val="0"/>
          <w:numId w:val="45"/>
        </w:numPr>
        <w:ind w:left="1080" w:right="0"/>
        <w:rPr>
          <w:rFonts w:ascii="Times New Roman" w:hAnsi="Times New Roman"/>
        </w:rPr>
      </w:pPr>
      <w:r w:rsidRPr="002531C8">
        <w:rPr>
          <w:rFonts w:ascii="Times New Roman" w:hAnsi="Times New Roman"/>
        </w:rPr>
        <w:t xml:space="preserve">Archiving performance measures; and </w:t>
      </w:r>
    </w:p>
    <w:p w14:paraId="7A76299E" w14:textId="77777777" w:rsidR="000238F6" w:rsidRDefault="000238F6" w:rsidP="000238F6">
      <w:pPr>
        <w:pStyle w:val="Answerbulleted"/>
        <w:numPr>
          <w:ilvl w:val="0"/>
          <w:numId w:val="45"/>
        </w:numPr>
        <w:ind w:left="1080" w:right="0"/>
        <w:rPr>
          <w:rFonts w:ascii="Times New Roman" w:hAnsi="Times New Roman"/>
        </w:rPr>
      </w:pPr>
      <w:r w:rsidRPr="002531C8">
        <w:rPr>
          <w:rFonts w:ascii="Times New Roman" w:hAnsi="Times New Roman"/>
        </w:rPr>
        <w:t>Monitoring progress toward achieving the goals identified in the National HIV/AIDS Strategy (NHAS).</w:t>
      </w:r>
    </w:p>
    <w:p w14:paraId="22279CF1" w14:textId="0DC830D5" w:rsidR="008F6ABC" w:rsidRDefault="007B2649" w:rsidP="008F6ABC">
      <w:pPr>
        <w:pStyle w:val="Answerbulleted"/>
        <w:numPr>
          <w:ilvl w:val="0"/>
          <w:numId w:val="0"/>
        </w:numPr>
        <w:ind w:right="0"/>
        <w:rPr>
          <w:rFonts w:ascii="Times New Roman" w:hAnsi="Times New Roman"/>
          <w:w w:val="105"/>
        </w:rPr>
      </w:pPr>
      <w:r w:rsidRPr="008F6ABC">
        <w:rPr>
          <w:rFonts w:ascii="Times New Roman" w:hAnsi="Times New Roman"/>
          <w:w w:val="105"/>
        </w:rPr>
        <w:t>The HAB performance measures include s</w:t>
      </w:r>
      <w:r>
        <w:rPr>
          <w:rFonts w:ascii="Times New Roman" w:hAnsi="Times New Roman"/>
          <w:w w:val="105"/>
        </w:rPr>
        <w:t>everal</w:t>
      </w:r>
      <w:r w:rsidRPr="008F6ABC">
        <w:rPr>
          <w:rFonts w:ascii="Times New Roman" w:hAnsi="Times New Roman"/>
          <w:w w:val="105"/>
        </w:rPr>
        <w:t xml:space="preserve"> priority performance measures categories:</w:t>
      </w:r>
      <w:r>
        <w:rPr>
          <w:rFonts w:ascii="Times New Roman" w:hAnsi="Times New Roman"/>
          <w:w w:val="105"/>
        </w:rPr>
        <w:t xml:space="preserve"> </w:t>
      </w:r>
      <w:r w:rsidRPr="008F6ABC">
        <w:rPr>
          <w:rFonts w:ascii="Times New Roman" w:hAnsi="Times New Roman"/>
          <w:w w:val="105"/>
        </w:rPr>
        <w:t xml:space="preserve">1) core, 2) </w:t>
      </w:r>
      <w:r>
        <w:rPr>
          <w:rFonts w:ascii="Times New Roman" w:hAnsi="Times New Roman"/>
          <w:w w:val="105"/>
        </w:rPr>
        <w:t>all ages</w:t>
      </w:r>
      <w:r w:rsidRPr="008F6ABC">
        <w:rPr>
          <w:rFonts w:ascii="Times New Roman" w:hAnsi="Times New Roman"/>
          <w:w w:val="105"/>
        </w:rPr>
        <w:t>,</w:t>
      </w:r>
      <w:r>
        <w:rPr>
          <w:rFonts w:ascii="Times New Roman" w:hAnsi="Times New Roman"/>
          <w:w w:val="105"/>
        </w:rPr>
        <w:t xml:space="preserve"> 3) adolescent/adult, 4) HIV infected children, 5) HIV exposed </w:t>
      </w:r>
      <w:proofErr w:type="gramStart"/>
      <w:r>
        <w:rPr>
          <w:rFonts w:ascii="Times New Roman" w:hAnsi="Times New Roman"/>
          <w:w w:val="105"/>
        </w:rPr>
        <w:t xml:space="preserve">children, </w:t>
      </w:r>
      <w:r w:rsidRPr="008F6ABC">
        <w:rPr>
          <w:rFonts w:ascii="Times New Roman" w:hAnsi="Times New Roman"/>
          <w:w w:val="105"/>
        </w:rPr>
        <w:t xml:space="preserve"> </w:t>
      </w:r>
      <w:r>
        <w:rPr>
          <w:rFonts w:ascii="Times New Roman" w:hAnsi="Times New Roman"/>
          <w:w w:val="105"/>
        </w:rPr>
        <w:t>6</w:t>
      </w:r>
      <w:proofErr w:type="gramEnd"/>
      <w:r w:rsidRPr="008F6ABC">
        <w:rPr>
          <w:rFonts w:ascii="Times New Roman" w:hAnsi="Times New Roman"/>
          <w:w w:val="105"/>
        </w:rPr>
        <w:t xml:space="preserve">) medical case management, </w:t>
      </w:r>
      <w:r>
        <w:rPr>
          <w:rFonts w:ascii="Times New Roman" w:hAnsi="Times New Roman"/>
          <w:w w:val="105"/>
        </w:rPr>
        <w:t>7</w:t>
      </w:r>
      <w:r w:rsidRPr="008F6ABC">
        <w:rPr>
          <w:rFonts w:ascii="Times New Roman" w:hAnsi="Times New Roman"/>
          <w:w w:val="105"/>
        </w:rPr>
        <w:t xml:space="preserve">) oral health, </w:t>
      </w:r>
      <w:r>
        <w:rPr>
          <w:rFonts w:ascii="Times New Roman" w:hAnsi="Times New Roman"/>
          <w:w w:val="105"/>
        </w:rPr>
        <w:t>8</w:t>
      </w:r>
      <w:r w:rsidRPr="008F6ABC">
        <w:rPr>
          <w:rFonts w:ascii="Times New Roman" w:hAnsi="Times New Roman"/>
          <w:w w:val="105"/>
        </w:rPr>
        <w:t xml:space="preserve">) ADAP (RWHAP’s drug assistance program) and </w:t>
      </w:r>
      <w:r>
        <w:rPr>
          <w:rFonts w:ascii="Times New Roman" w:hAnsi="Times New Roman"/>
          <w:w w:val="105"/>
        </w:rPr>
        <w:t>9</w:t>
      </w:r>
      <w:r w:rsidRPr="008F6ABC">
        <w:rPr>
          <w:rFonts w:ascii="Times New Roman" w:hAnsi="Times New Roman"/>
          <w:w w:val="105"/>
        </w:rPr>
        <w:t xml:space="preserve">) system level. </w:t>
      </w:r>
      <w:r w:rsidR="00146B01" w:rsidRPr="00146B01">
        <w:rPr>
          <w:rFonts w:ascii="Times New Roman" w:hAnsi="Times New Roman"/>
          <w:spacing w:val="1"/>
          <w:w w:val="105"/>
        </w:rPr>
        <w:t xml:space="preserve">The </w:t>
      </w:r>
      <w:r w:rsidR="00146B01" w:rsidRPr="00146B01">
        <w:rPr>
          <w:rFonts w:ascii="Times New Roman" w:hAnsi="Times New Roman"/>
          <w:w w:val="105"/>
        </w:rPr>
        <w:t>HIVQM Module was created by the HAB to be the online tool to facilitate recipients in meeting the clinical quality</w:t>
      </w:r>
      <w:r w:rsidR="00016680">
        <w:rPr>
          <w:rFonts w:ascii="Times New Roman" w:hAnsi="Times New Roman"/>
          <w:w w:val="105"/>
        </w:rPr>
        <w:t xml:space="preserve"> management</w:t>
      </w:r>
      <w:r w:rsidR="00146B01" w:rsidRPr="00146B01">
        <w:rPr>
          <w:rFonts w:ascii="Times New Roman" w:hAnsi="Times New Roman"/>
          <w:w w:val="105"/>
        </w:rPr>
        <w:t xml:space="preserve"> program requirement.</w:t>
      </w:r>
      <w:r w:rsidR="008F6ABC">
        <w:rPr>
          <w:rFonts w:ascii="Times New Roman" w:hAnsi="Times New Roman"/>
          <w:w w:val="105"/>
        </w:rPr>
        <w:t xml:space="preserve"> The use of the module is voluntary for RWHAP recipients</w:t>
      </w:r>
      <w:r w:rsidR="00503C21">
        <w:rPr>
          <w:rFonts w:ascii="Times New Roman" w:hAnsi="Times New Roman"/>
          <w:w w:val="105"/>
        </w:rPr>
        <w:t xml:space="preserve"> and </w:t>
      </w:r>
      <w:proofErr w:type="spellStart"/>
      <w:r w:rsidR="00503C21">
        <w:rPr>
          <w:rFonts w:ascii="Times New Roman" w:hAnsi="Times New Roman"/>
          <w:w w:val="105"/>
        </w:rPr>
        <w:t>subrecipients</w:t>
      </w:r>
      <w:proofErr w:type="spellEnd"/>
      <w:r w:rsidR="008F6ABC">
        <w:rPr>
          <w:rFonts w:ascii="Times New Roman" w:hAnsi="Times New Roman"/>
          <w:w w:val="105"/>
        </w:rPr>
        <w:t xml:space="preserve">, but strongly encouraged. </w:t>
      </w:r>
    </w:p>
    <w:p w14:paraId="64BC9DD8" w14:textId="77777777" w:rsidR="008F6ABC" w:rsidRDefault="008F6ABC" w:rsidP="008F6ABC">
      <w:pPr>
        <w:pStyle w:val="Answerbulleted"/>
        <w:numPr>
          <w:ilvl w:val="0"/>
          <w:numId w:val="0"/>
        </w:numPr>
        <w:ind w:right="0"/>
        <w:rPr>
          <w:rFonts w:ascii="Times New Roman" w:hAnsi="Times New Roman"/>
          <w:w w:val="105"/>
        </w:rPr>
      </w:pPr>
    </w:p>
    <w:p w14:paraId="33004E92" w14:textId="77777777" w:rsidR="008F6ABC" w:rsidRDefault="009B3794" w:rsidP="008F6ABC">
      <w:pPr>
        <w:pStyle w:val="Answerbulleted"/>
        <w:numPr>
          <w:ilvl w:val="0"/>
          <w:numId w:val="2"/>
        </w:numPr>
        <w:tabs>
          <w:tab w:val="clear" w:pos="5940"/>
        </w:tabs>
        <w:ind w:left="360" w:right="0"/>
        <w:rPr>
          <w:rFonts w:ascii="Times New Roman" w:hAnsi="Times New Roman"/>
          <w:b/>
          <w:u w:val="single"/>
        </w:rPr>
      </w:pPr>
      <w:r w:rsidRPr="008F6ABC">
        <w:rPr>
          <w:rFonts w:ascii="Times New Roman" w:hAnsi="Times New Roman"/>
          <w:b/>
          <w:u w:val="single"/>
        </w:rPr>
        <w:t>Purpose and Use of Information Collection</w:t>
      </w:r>
    </w:p>
    <w:p w14:paraId="2DD30E7B" w14:textId="505EB90F" w:rsidR="000238F6" w:rsidRPr="00B50A61" w:rsidRDefault="00146B01" w:rsidP="00B50A61">
      <w:pPr>
        <w:pStyle w:val="Answerbulleted"/>
        <w:numPr>
          <w:ilvl w:val="0"/>
          <w:numId w:val="0"/>
        </w:numPr>
        <w:ind w:right="0"/>
        <w:rPr>
          <w:rFonts w:ascii="Times New Roman" w:hAnsi="Times New Roman"/>
          <w:w w:val="105"/>
        </w:rPr>
      </w:pPr>
      <w:r w:rsidRPr="008F6ABC">
        <w:rPr>
          <w:rFonts w:ascii="Times New Roman" w:hAnsi="Times New Roman"/>
          <w:w w:val="105"/>
        </w:rPr>
        <w:t xml:space="preserve">Recipients can enter data in the module on </w:t>
      </w:r>
      <w:r w:rsidR="00F96010">
        <w:rPr>
          <w:rFonts w:ascii="Times New Roman" w:hAnsi="Times New Roman"/>
          <w:w w:val="105"/>
        </w:rPr>
        <w:t xml:space="preserve">the </w:t>
      </w:r>
      <w:r w:rsidR="00B50A61">
        <w:rPr>
          <w:rFonts w:ascii="Times New Roman" w:hAnsi="Times New Roman"/>
          <w:w w:val="105"/>
        </w:rPr>
        <w:t>above mentioned</w:t>
      </w:r>
      <w:r w:rsidRPr="008F6ABC">
        <w:rPr>
          <w:rFonts w:ascii="Times New Roman" w:hAnsi="Times New Roman"/>
          <w:w w:val="105"/>
        </w:rPr>
        <w:t xml:space="preserve"> performance measures and then generate reports to assess their performance and also compare their performance regionally and nationally against other </w:t>
      </w:r>
      <w:r w:rsidR="00B50A61">
        <w:rPr>
          <w:rFonts w:ascii="Times New Roman" w:hAnsi="Times New Roman"/>
          <w:w w:val="105"/>
        </w:rPr>
        <w:t>recipients</w:t>
      </w:r>
      <w:r w:rsidRPr="008F6ABC">
        <w:rPr>
          <w:rFonts w:ascii="Times New Roman" w:hAnsi="Times New Roman"/>
          <w:w w:val="105"/>
        </w:rPr>
        <w:t xml:space="preserve">. </w:t>
      </w:r>
      <w:r w:rsidR="000238F6" w:rsidRPr="002531C8">
        <w:rPr>
          <w:rFonts w:ascii="Times New Roman" w:hAnsi="Times New Roman"/>
        </w:rPr>
        <w:t>The HIVQM</w:t>
      </w:r>
      <w:r w:rsidR="005778B9">
        <w:rPr>
          <w:rFonts w:ascii="Times New Roman" w:hAnsi="Times New Roman"/>
        </w:rPr>
        <w:t xml:space="preserve"> Module</w:t>
      </w:r>
      <w:r w:rsidR="000238F6" w:rsidRPr="002531C8">
        <w:rPr>
          <w:rFonts w:ascii="Times New Roman" w:hAnsi="Times New Roman"/>
        </w:rPr>
        <w:t xml:space="preserve"> will provide recipients an easy-to-use and structured platform</w:t>
      </w:r>
      <w:r w:rsidR="002531C8" w:rsidRPr="002531C8">
        <w:rPr>
          <w:rFonts w:ascii="Times New Roman" w:hAnsi="Times New Roman"/>
        </w:rPr>
        <w:t xml:space="preserve"> </w:t>
      </w:r>
      <w:r w:rsidR="000238F6" w:rsidRPr="002531C8">
        <w:rPr>
          <w:rFonts w:ascii="Times New Roman" w:hAnsi="Times New Roman"/>
        </w:rPr>
        <w:t>to</w:t>
      </w:r>
      <w:r w:rsidR="000238F6" w:rsidRPr="002531C8">
        <w:rPr>
          <w:rFonts w:ascii="Times New Roman" w:hAnsi="Times New Roman"/>
          <w:lang w:eastAsia="x-none"/>
        </w:rPr>
        <w:t xml:space="preserve"> </w:t>
      </w:r>
      <w:r w:rsidR="002D6C09">
        <w:rPr>
          <w:rFonts w:ascii="Times New Roman" w:hAnsi="Times New Roman"/>
          <w:lang w:eastAsia="x-none"/>
        </w:rPr>
        <w:t xml:space="preserve">voluntarily </w:t>
      </w:r>
      <w:r w:rsidR="000238F6" w:rsidRPr="002531C8">
        <w:rPr>
          <w:rFonts w:ascii="Times New Roman" w:hAnsi="Times New Roman"/>
          <w:lang w:eastAsia="x-none"/>
        </w:rPr>
        <w:t>continually</w:t>
      </w:r>
      <w:r w:rsidR="000238F6" w:rsidRPr="002531C8">
        <w:rPr>
          <w:rFonts w:ascii="Times New Roman" w:hAnsi="Times New Roman"/>
        </w:rPr>
        <w:t xml:space="preserve"> monitor </w:t>
      </w:r>
      <w:r w:rsidR="000238F6" w:rsidRPr="002531C8">
        <w:rPr>
          <w:rFonts w:ascii="Times New Roman" w:hAnsi="Times New Roman"/>
          <w:lang w:eastAsia="x-none"/>
        </w:rPr>
        <w:t xml:space="preserve">their performance in serving their clients, particularly in access to care and the provision of </w:t>
      </w:r>
      <w:r w:rsidR="000238F6" w:rsidRPr="002531C8">
        <w:rPr>
          <w:rFonts w:ascii="Times New Roman" w:hAnsi="Times New Roman"/>
        </w:rPr>
        <w:t xml:space="preserve">quality </w:t>
      </w:r>
      <w:r w:rsidR="000238F6" w:rsidRPr="002531C8">
        <w:rPr>
          <w:rFonts w:ascii="Times New Roman" w:hAnsi="Times New Roman"/>
          <w:lang w:eastAsia="x-none"/>
        </w:rPr>
        <w:t xml:space="preserve">HIV services. The main purpose for the module is to help recipients set goals and monitor performance measures and their quality improvement projects. </w:t>
      </w:r>
      <w:r w:rsidR="000238F6" w:rsidRPr="002531C8">
        <w:rPr>
          <w:rFonts w:ascii="Times New Roman" w:hAnsi="Times New Roman"/>
        </w:rPr>
        <w:t xml:space="preserve">HRSA expects the HIVQM </w:t>
      </w:r>
      <w:r w:rsidR="001626D0">
        <w:rPr>
          <w:rFonts w:ascii="Times New Roman" w:hAnsi="Times New Roman"/>
        </w:rPr>
        <w:t xml:space="preserve">Module </w:t>
      </w:r>
      <w:r w:rsidR="000238F6" w:rsidRPr="002531C8">
        <w:rPr>
          <w:rFonts w:ascii="Times New Roman" w:hAnsi="Times New Roman"/>
        </w:rPr>
        <w:t xml:space="preserve">to better support clinical quality management, performance measurement, service delivery, and client monitoring at both the </w:t>
      </w:r>
      <w:r w:rsidR="000238F6" w:rsidRPr="002531C8">
        <w:rPr>
          <w:rFonts w:ascii="Times New Roman" w:hAnsi="Times New Roman"/>
          <w:lang w:eastAsia="x-none"/>
        </w:rPr>
        <w:t>recipient</w:t>
      </w:r>
      <w:r w:rsidR="004E66AD" w:rsidRPr="002531C8">
        <w:rPr>
          <w:rFonts w:ascii="Times New Roman" w:hAnsi="Times New Roman"/>
        </w:rPr>
        <w:t xml:space="preserve"> and client levels</w:t>
      </w:r>
      <w:r w:rsidR="007601AF">
        <w:rPr>
          <w:rFonts w:ascii="Times New Roman" w:hAnsi="Times New Roman"/>
        </w:rPr>
        <w:t>.</w:t>
      </w:r>
    </w:p>
    <w:p w14:paraId="14DF5D8D" w14:textId="77777777" w:rsidR="00D15144" w:rsidRPr="002531C8" w:rsidRDefault="00D15144" w:rsidP="000238F6">
      <w:pPr>
        <w:pStyle w:val="ColorfulList-Accent11"/>
        <w:ind w:left="0"/>
        <w:rPr>
          <w:rFonts w:ascii="Times New Roman" w:hAnsi="Times New Roman"/>
          <w:sz w:val="22"/>
          <w:szCs w:val="22"/>
        </w:rPr>
      </w:pPr>
    </w:p>
    <w:p w14:paraId="5814AE08" w14:textId="2F9F237E" w:rsidR="00D15144" w:rsidRDefault="002531C8" w:rsidP="000238F6">
      <w:pPr>
        <w:pStyle w:val="ColorfulList-Accent11"/>
        <w:ind w:left="0"/>
        <w:rPr>
          <w:rFonts w:ascii="Times New Roman" w:hAnsi="Times New Roman"/>
          <w:sz w:val="22"/>
        </w:rPr>
      </w:pPr>
      <w:r w:rsidRPr="002531C8">
        <w:rPr>
          <w:rFonts w:ascii="Times New Roman" w:hAnsi="Times New Roman"/>
          <w:sz w:val="22"/>
        </w:rPr>
        <w:t>The module will also provide HRSA a better assessment of the quality of the services provided by RWHAP</w:t>
      </w:r>
      <w:r w:rsidR="001626D0">
        <w:rPr>
          <w:rFonts w:ascii="Times New Roman" w:hAnsi="Times New Roman"/>
          <w:sz w:val="22"/>
        </w:rPr>
        <w:t xml:space="preserve"> and to monitor improvements in the HAB performance measures over time</w:t>
      </w:r>
      <w:r w:rsidRPr="002531C8">
        <w:rPr>
          <w:rFonts w:ascii="Times New Roman" w:hAnsi="Times New Roman"/>
          <w:sz w:val="22"/>
        </w:rPr>
        <w:t xml:space="preserve">. </w:t>
      </w:r>
    </w:p>
    <w:p w14:paraId="2C655182" w14:textId="77777777" w:rsidR="008F6ABC" w:rsidRPr="002531C8" w:rsidRDefault="008F6ABC" w:rsidP="000238F6">
      <w:pPr>
        <w:pStyle w:val="ColorfulList-Accent11"/>
        <w:ind w:left="0"/>
        <w:rPr>
          <w:rFonts w:ascii="Times New Roman" w:hAnsi="Times New Roman"/>
          <w:sz w:val="22"/>
        </w:rPr>
      </w:pPr>
    </w:p>
    <w:p w14:paraId="45F4B195" w14:textId="77777777" w:rsidR="008F6ABC" w:rsidRDefault="009B3794" w:rsidP="008F6ABC">
      <w:pPr>
        <w:numPr>
          <w:ilvl w:val="0"/>
          <w:numId w:val="2"/>
        </w:numPr>
        <w:tabs>
          <w:tab w:val="num" w:pos="360"/>
        </w:tabs>
        <w:spacing w:before="240"/>
        <w:ind w:left="360"/>
        <w:rPr>
          <w:sz w:val="22"/>
          <w:szCs w:val="22"/>
        </w:rPr>
      </w:pPr>
      <w:r w:rsidRPr="002531C8">
        <w:rPr>
          <w:b/>
          <w:sz w:val="22"/>
          <w:szCs w:val="22"/>
          <w:u w:val="single"/>
        </w:rPr>
        <w:t>Use of Improved Information Technology and Burden Reduction</w:t>
      </w:r>
    </w:p>
    <w:p w14:paraId="574D744C" w14:textId="443CE63F" w:rsidR="000B45BA" w:rsidRDefault="000B45BA" w:rsidP="008F6ABC">
      <w:pPr>
        <w:spacing w:before="240"/>
        <w:rPr>
          <w:sz w:val="22"/>
          <w:szCs w:val="22"/>
        </w:rPr>
      </w:pPr>
      <w:r w:rsidRPr="008F6ABC">
        <w:rPr>
          <w:sz w:val="22"/>
          <w:szCs w:val="22"/>
        </w:rPr>
        <w:t xml:space="preserve">The HIVQM </w:t>
      </w:r>
      <w:r w:rsidR="001626D0">
        <w:rPr>
          <w:sz w:val="22"/>
          <w:szCs w:val="22"/>
        </w:rPr>
        <w:t>M</w:t>
      </w:r>
      <w:r w:rsidRPr="008F6ABC">
        <w:rPr>
          <w:sz w:val="22"/>
          <w:szCs w:val="22"/>
        </w:rPr>
        <w:t xml:space="preserve">odule is housed in the Electronic Handbooks (EHBs), an existing website for recipients to enter other data required for </w:t>
      </w:r>
      <w:r w:rsidR="001626D0">
        <w:rPr>
          <w:sz w:val="22"/>
          <w:szCs w:val="22"/>
        </w:rPr>
        <w:t>RWHAP</w:t>
      </w:r>
      <w:r w:rsidRPr="008F6ABC">
        <w:rPr>
          <w:sz w:val="22"/>
          <w:szCs w:val="22"/>
        </w:rPr>
        <w:t xml:space="preserve">-funded agencies, such as the Ryan White Services Report (RSR). Users must obtain or learn this technology for other </w:t>
      </w:r>
      <w:r w:rsidR="001626D0">
        <w:rPr>
          <w:sz w:val="22"/>
          <w:szCs w:val="22"/>
        </w:rPr>
        <w:t>RWHAP</w:t>
      </w:r>
      <w:r w:rsidRPr="008F6ABC">
        <w:rPr>
          <w:sz w:val="22"/>
          <w:szCs w:val="22"/>
        </w:rPr>
        <w:t xml:space="preserve"> purposes </w:t>
      </w:r>
      <w:r w:rsidR="00A5782C">
        <w:rPr>
          <w:sz w:val="22"/>
          <w:szCs w:val="22"/>
        </w:rPr>
        <w:t xml:space="preserve">beyond the </w:t>
      </w:r>
      <w:r w:rsidRPr="008F6ABC">
        <w:rPr>
          <w:sz w:val="22"/>
          <w:szCs w:val="22"/>
        </w:rPr>
        <w:t xml:space="preserve">use of the </w:t>
      </w:r>
      <w:r w:rsidRPr="001626D0">
        <w:rPr>
          <w:sz w:val="22"/>
          <w:szCs w:val="22"/>
        </w:rPr>
        <w:t xml:space="preserve">HIVQM </w:t>
      </w:r>
      <w:r w:rsidR="001626D0" w:rsidRPr="001626D0">
        <w:rPr>
          <w:sz w:val="22"/>
          <w:szCs w:val="22"/>
        </w:rPr>
        <w:t>M</w:t>
      </w:r>
      <w:r w:rsidRPr="001626D0">
        <w:rPr>
          <w:sz w:val="22"/>
          <w:szCs w:val="22"/>
        </w:rPr>
        <w:t>odule.</w:t>
      </w:r>
      <w:r w:rsidR="00575CBB" w:rsidRPr="008F6ABC">
        <w:rPr>
          <w:sz w:val="22"/>
          <w:szCs w:val="22"/>
        </w:rPr>
        <w:t xml:space="preserve"> In addition, s</w:t>
      </w:r>
      <w:r w:rsidRPr="008F6ABC">
        <w:rPr>
          <w:sz w:val="22"/>
          <w:szCs w:val="22"/>
        </w:rPr>
        <w:t>ome information, particular</w:t>
      </w:r>
      <w:r w:rsidR="00575CBB" w:rsidRPr="008F6ABC">
        <w:rPr>
          <w:sz w:val="22"/>
          <w:szCs w:val="22"/>
        </w:rPr>
        <w:t>l</w:t>
      </w:r>
      <w:r w:rsidRPr="008F6ABC">
        <w:rPr>
          <w:sz w:val="22"/>
          <w:szCs w:val="22"/>
        </w:rPr>
        <w:t>y the provider information, will be pre-populated using data from the organization’s RSR.</w:t>
      </w:r>
      <w:r w:rsidR="00575CBB" w:rsidRPr="008F6ABC">
        <w:rPr>
          <w:sz w:val="22"/>
          <w:szCs w:val="22"/>
        </w:rPr>
        <w:t xml:space="preserve"> Data entered will also be saved for the next data collection so that users can easily update or change their data.</w:t>
      </w:r>
      <w:r w:rsidR="002531C8" w:rsidRPr="008F6ABC">
        <w:rPr>
          <w:sz w:val="22"/>
          <w:szCs w:val="22"/>
        </w:rPr>
        <w:t xml:space="preserve"> See Attachment B for the HIVQM </w:t>
      </w:r>
      <w:r w:rsidR="00A5782C">
        <w:rPr>
          <w:sz w:val="22"/>
          <w:szCs w:val="22"/>
        </w:rPr>
        <w:t xml:space="preserve">Module </w:t>
      </w:r>
      <w:r w:rsidR="00D97684">
        <w:rPr>
          <w:sz w:val="22"/>
          <w:szCs w:val="22"/>
        </w:rPr>
        <w:t>Draft</w:t>
      </w:r>
      <w:r w:rsidR="002531C8" w:rsidRPr="008F6ABC">
        <w:rPr>
          <w:sz w:val="22"/>
          <w:szCs w:val="22"/>
        </w:rPr>
        <w:t xml:space="preserve"> Manual.</w:t>
      </w:r>
    </w:p>
    <w:p w14:paraId="51737946" w14:textId="77777777" w:rsidR="00B50A61" w:rsidRDefault="00B50A61" w:rsidP="008F6ABC">
      <w:pPr>
        <w:spacing w:before="240"/>
        <w:rPr>
          <w:sz w:val="22"/>
          <w:szCs w:val="22"/>
        </w:rPr>
      </w:pPr>
    </w:p>
    <w:p w14:paraId="56006153" w14:textId="77777777" w:rsidR="008F6ABC" w:rsidRDefault="009B3794" w:rsidP="008F6ABC">
      <w:pPr>
        <w:numPr>
          <w:ilvl w:val="0"/>
          <w:numId w:val="2"/>
        </w:numPr>
        <w:tabs>
          <w:tab w:val="num" w:pos="360"/>
        </w:tabs>
        <w:spacing w:before="240"/>
        <w:ind w:left="360"/>
        <w:rPr>
          <w:b/>
          <w:sz w:val="22"/>
          <w:szCs w:val="22"/>
        </w:rPr>
      </w:pPr>
      <w:r w:rsidRPr="002531C8">
        <w:rPr>
          <w:b/>
          <w:sz w:val="22"/>
          <w:szCs w:val="22"/>
          <w:u w:val="single"/>
        </w:rPr>
        <w:t>Efforts to Identify Duplication and Use of Similar Information</w:t>
      </w:r>
    </w:p>
    <w:p w14:paraId="67A28065" w14:textId="45028369" w:rsidR="00E939A1" w:rsidRPr="008F6ABC" w:rsidRDefault="00E939A1" w:rsidP="008F6ABC">
      <w:pPr>
        <w:spacing w:before="240"/>
        <w:rPr>
          <w:b/>
          <w:sz w:val="22"/>
          <w:szCs w:val="22"/>
        </w:rPr>
      </w:pPr>
      <w:r w:rsidRPr="008F6ABC">
        <w:rPr>
          <w:sz w:val="22"/>
          <w:szCs w:val="22"/>
        </w:rPr>
        <w:t>In 2007, HAB</w:t>
      </w:r>
      <w:r w:rsidR="00F96010">
        <w:rPr>
          <w:sz w:val="22"/>
          <w:szCs w:val="22"/>
        </w:rPr>
        <w:t xml:space="preserve"> first</w:t>
      </w:r>
      <w:r w:rsidRPr="008F6ABC">
        <w:rPr>
          <w:sz w:val="22"/>
          <w:szCs w:val="22"/>
        </w:rPr>
        <w:t xml:space="preserve"> released performance measures for recipients to use as </w:t>
      </w:r>
      <w:r w:rsidR="00A5782C">
        <w:rPr>
          <w:sz w:val="22"/>
          <w:szCs w:val="22"/>
        </w:rPr>
        <w:t>a guide</w:t>
      </w:r>
      <w:r w:rsidR="00A5782C" w:rsidRPr="008F6ABC">
        <w:rPr>
          <w:sz w:val="22"/>
          <w:szCs w:val="22"/>
        </w:rPr>
        <w:t xml:space="preserve"> </w:t>
      </w:r>
      <w:r w:rsidRPr="008F6ABC">
        <w:rPr>
          <w:sz w:val="22"/>
          <w:szCs w:val="22"/>
        </w:rPr>
        <w:t xml:space="preserve">for their clinical quality management program.  Recipients report on some clinical data elements </w:t>
      </w:r>
      <w:r w:rsidR="00503C21">
        <w:rPr>
          <w:sz w:val="22"/>
          <w:szCs w:val="22"/>
        </w:rPr>
        <w:t xml:space="preserve">electronically </w:t>
      </w:r>
      <w:r w:rsidRPr="008F6ABC">
        <w:rPr>
          <w:sz w:val="22"/>
          <w:szCs w:val="22"/>
        </w:rPr>
        <w:t xml:space="preserve">through the required </w:t>
      </w:r>
      <w:r w:rsidR="00B47E67">
        <w:rPr>
          <w:sz w:val="22"/>
          <w:szCs w:val="22"/>
        </w:rPr>
        <w:t>Ryan White Services Report (</w:t>
      </w:r>
      <w:r w:rsidRPr="008F6ABC">
        <w:rPr>
          <w:sz w:val="22"/>
          <w:szCs w:val="22"/>
        </w:rPr>
        <w:t>RSR</w:t>
      </w:r>
      <w:r w:rsidR="00BA3E25">
        <w:rPr>
          <w:sz w:val="22"/>
          <w:szCs w:val="22"/>
        </w:rPr>
        <w:t>)</w:t>
      </w:r>
      <w:r w:rsidR="00F00977">
        <w:rPr>
          <w:sz w:val="22"/>
          <w:szCs w:val="22"/>
        </w:rPr>
        <w:t>, OMB control #0915-0323,</w:t>
      </w:r>
      <w:r w:rsidRPr="008F6ABC">
        <w:rPr>
          <w:sz w:val="22"/>
          <w:szCs w:val="22"/>
        </w:rPr>
        <w:t xml:space="preserve"> </w:t>
      </w:r>
      <w:r w:rsidR="00B50A61">
        <w:rPr>
          <w:sz w:val="22"/>
          <w:szCs w:val="22"/>
        </w:rPr>
        <w:t>and the AIDS Drugs Assistance Program Data Report (ADR)</w:t>
      </w:r>
      <w:r w:rsidR="00F00977">
        <w:rPr>
          <w:sz w:val="22"/>
          <w:szCs w:val="22"/>
        </w:rPr>
        <w:t>, OMB control #0915-0345, o</w:t>
      </w:r>
      <w:r w:rsidRPr="008F6ABC">
        <w:rPr>
          <w:sz w:val="22"/>
          <w:szCs w:val="22"/>
        </w:rPr>
        <w:t xml:space="preserve">n an annual basis; however, this information gives </w:t>
      </w:r>
      <w:r w:rsidR="00D15144" w:rsidRPr="008F6ABC">
        <w:rPr>
          <w:sz w:val="22"/>
          <w:szCs w:val="22"/>
        </w:rPr>
        <w:t xml:space="preserve">recipients and </w:t>
      </w:r>
      <w:r w:rsidRPr="008F6ABC">
        <w:rPr>
          <w:sz w:val="22"/>
          <w:szCs w:val="22"/>
        </w:rPr>
        <w:t>HAB only a snapshot of the quality of HIV services provided.</w:t>
      </w:r>
    </w:p>
    <w:p w14:paraId="60249B53" w14:textId="1847171B" w:rsidR="0003279E" w:rsidRDefault="00EA47CB" w:rsidP="008F6ABC">
      <w:pPr>
        <w:spacing w:before="120"/>
        <w:rPr>
          <w:sz w:val="22"/>
          <w:szCs w:val="22"/>
        </w:rPr>
      </w:pPr>
      <w:r w:rsidRPr="002531C8">
        <w:rPr>
          <w:sz w:val="22"/>
          <w:szCs w:val="22"/>
        </w:rPr>
        <w:t>Per the requirement to establish clinical quality management programs,</w:t>
      </w:r>
      <w:r w:rsidR="00AF11DF" w:rsidRPr="002531C8">
        <w:rPr>
          <w:sz w:val="22"/>
          <w:szCs w:val="22"/>
        </w:rPr>
        <w:t xml:space="preserve"> </w:t>
      </w:r>
      <w:r w:rsidRPr="002531C8">
        <w:rPr>
          <w:sz w:val="22"/>
          <w:szCs w:val="22"/>
        </w:rPr>
        <w:t xml:space="preserve">recipients may also be </w:t>
      </w:r>
      <w:r w:rsidR="00822A7D" w:rsidRPr="002531C8">
        <w:rPr>
          <w:sz w:val="22"/>
          <w:szCs w:val="22"/>
        </w:rPr>
        <w:t>already</w:t>
      </w:r>
      <w:r w:rsidR="0003279E" w:rsidRPr="002531C8">
        <w:rPr>
          <w:sz w:val="22"/>
          <w:szCs w:val="22"/>
        </w:rPr>
        <w:t xml:space="preserve"> </w:t>
      </w:r>
      <w:r w:rsidR="00822A7D" w:rsidRPr="002531C8">
        <w:rPr>
          <w:sz w:val="22"/>
          <w:szCs w:val="22"/>
        </w:rPr>
        <w:lastRenderedPageBreak/>
        <w:t xml:space="preserve">collecting </w:t>
      </w:r>
      <w:r w:rsidR="0003279E" w:rsidRPr="002531C8">
        <w:rPr>
          <w:sz w:val="22"/>
          <w:szCs w:val="22"/>
        </w:rPr>
        <w:t xml:space="preserve">this </w:t>
      </w:r>
      <w:r w:rsidR="00822A7D" w:rsidRPr="002531C8">
        <w:rPr>
          <w:sz w:val="22"/>
          <w:szCs w:val="22"/>
        </w:rPr>
        <w:t>data</w:t>
      </w:r>
      <w:r w:rsidRPr="002531C8">
        <w:rPr>
          <w:sz w:val="22"/>
          <w:szCs w:val="22"/>
        </w:rPr>
        <w:t xml:space="preserve"> for this purpose. </w:t>
      </w:r>
      <w:r w:rsidR="00822A7D" w:rsidRPr="002531C8">
        <w:rPr>
          <w:sz w:val="22"/>
          <w:szCs w:val="22"/>
        </w:rPr>
        <w:t xml:space="preserve"> </w:t>
      </w:r>
      <w:r w:rsidR="0003279E" w:rsidRPr="002531C8">
        <w:rPr>
          <w:sz w:val="22"/>
          <w:szCs w:val="22"/>
        </w:rPr>
        <w:t xml:space="preserve">The </w:t>
      </w:r>
      <w:r w:rsidR="0003279E" w:rsidRPr="00A5782C">
        <w:rPr>
          <w:sz w:val="22"/>
          <w:szCs w:val="22"/>
        </w:rPr>
        <w:t xml:space="preserve">HIVQM </w:t>
      </w:r>
      <w:r w:rsidR="00A5782C" w:rsidRPr="00A5782C">
        <w:rPr>
          <w:sz w:val="22"/>
          <w:szCs w:val="22"/>
        </w:rPr>
        <w:t>M</w:t>
      </w:r>
      <w:r w:rsidR="0003279E" w:rsidRPr="00A5782C">
        <w:rPr>
          <w:sz w:val="22"/>
          <w:szCs w:val="22"/>
        </w:rPr>
        <w:t>odule</w:t>
      </w:r>
      <w:r w:rsidR="0003279E" w:rsidRPr="002531C8">
        <w:rPr>
          <w:sz w:val="22"/>
          <w:szCs w:val="22"/>
        </w:rPr>
        <w:t xml:space="preserve"> is a</w:t>
      </w:r>
      <w:r w:rsidR="00F77DBD">
        <w:rPr>
          <w:sz w:val="22"/>
          <w:szCs w:val="22"/>
        </w:rPr>
        <w:t>n optional</w:t>
      </w:r>
      <w:r w:rsidR="0003279E" w:rsidRPr="002531C8">
        <w:rPr>
          <w:sz w:val="22"/>
          <w:szCs w:val="22"/>
        </w:rPr>
        <w:t xml:space="preserve"> tool </w:t>
      </w:r>
      <w:r w:rsidR="00F77DBD">
        <w:rPr>
          <w:sz w:val="22"/>
          <w:szCs w:val="22"/>
        </w:rPr>
        <w:t>tha</w:t>
      </w:r>
      <w:r w:rsidR="00CB1FAF">
        <w:rPr>
          <w:sz w:val="22"/>
          <w:szCs w:val="22"/>
        </w:rPr>
        <w:t>t</w:t>
      </w:r>
      <w:r w:rsidR="00F77DBD">
        <w:rPr>
          <w:sz w:val="22"/>
          <w:szCs w:val="22"/>
        </w:rPr>
        <w:t xml:space="preserve"> </w:t>
      </w:r>
      <w:r w:rsidR="0003279E" w:rsidRPr="002531C8">
        <w:rPr>
          <w:sz w:val="22"/>
          <w:szCs w:val="22"/>
        </w:rPr>
        <w:t xml:space="preserve">recipients </w:t>
      </w:r>
      <w:r w:rsidR="00F77DBD">
        <w:rPr>
          <w:sz w:val="22"/>
          <w:szCs w:val="22"/>
        </w:rPr>
        <w:t xml:space="preserve">may choose </w:t>
      </w:r>
      <w:r w:rsidR="0003279E" w:rsidRPr="002531C8">
        <w:rPr>
          <w:sz w:val="22"/>
          <w:szCs w:val="22"/>
        </w:rPr>
        <w:t xml:space="preserve">to </w:t>
      </w:r>
      <w:r w:rsidRPr="002531C8">
        <w:rPr>
          <w:sz w:val="22"/>
          <w:szCs w:val="22"/>
        </w:rPr>
        <w:t xml:space="preserve">enter their performance measure data into the module and </w:t>
      </w:r>
      <w:r w:rsidR="0003279E" w:rsidRPr="002531C8">
        <w:rPr>
          <w:sz w:val="22"/>
          <w:szCs w:val="22"/>
        </w:rPr>
        <w:t xml:space="preserve">generate reports </w:t>
      </w:r>
      <w:r w:rsidR="00575CBB" w:rsidRPr="002531C8">
        <w:rPr>
          <w:sz w:val="22"/>
          <w:szCs w:val="22"/>
        </w:rPr>
        <w:t>to assess their performance</w:t>
      </w:r>
      <w:r w:rsidR="008F27BA">
        <w:rPr>
          <w:sz w:val="22"/>
          <w:szCs w:val="22"/>
        </w:rPr>
        <w:t>.</w:t>
      </w:r>
      <w:r w:rsidR="00575CBB" w:rsidRPr="002531C8">
        <w:rPr>
          <w:sz w:val="22"/>
          <w:szCs w:val="22"/>
        </w:rPr>
        <w:t xml:space="preserve"> </w:t>
      </w:r>
      <w:r w:rsidR="0003279E" w:rsidRPr="002531C8">
        <w:rPr>
          <w:sz w:val="22"/>
          <w:szCs w:val="22"/>
        </w:rPr>
        <w:t xml:space="preserve"> </w:t>
      </w:r>
    </w:p>
    <w:p w14:paraId="7767A9EC" w14:textId="77777777" w:rsidR="008F6ABC" w:rsidRPr="002531C8" w:rsidRDefault="008F6ABC" w:rsidP="008F6ABC">
      <w:pPr>
        <w:spacing w:before="120"/>
        <w:rPr>
          <w:sz w:val="22"/>
          <w:szCs w:val="22"/>
        </w:rPr>
      </w:pPr>
    </w:p>
    <w:p w14:paraId="5EEEBCB7" w14:textId="77777777" w:rsidR="008F6ABC" w:rsidRDefault="009B3794" w:rsidP="008F6ABC">
      <w:pPr>
        <w:numPr>
          <w:ilvl w:val="0"/>
          <w:numId w:val="2"/>
        </w:numPr>
        <w:tabs>
          <w:tab w:val="num" w:pos="360"/>
        </w:tabs>
        <w:spacing w:before="240"/>
        <w:ind w:left="360"/>
        <w:rPr>
          <w:color w:val="000000"/>
          <w:sz w:val="22"/>
          <w:szCs w:val="22"/>
        </w:rPr>
      </w:pPr>
      <w:r w:rsidRPr="002531C8">
        <w:rPr>
          <w:b/>
          <w:sz w:val="22"/>
          <w:szCs w:val="22"/>
          <w:u w:val="single"/>
        </w:rPr>
        <w:t>Impact on Small Businesses or Other Small Entities</w:t>
      </w:r>
    </w:p>
    <w:p w14:paraId="3340B0E8" w14:textId="77777777" w:rsidR="00711958" w:rsidRDefault="009B3794" w:rsidP="00711958">
      <w:r w:rsidRPr="008F6ABC">
        <w:rPr>
          <w:color w:val="000000"/>
          <w:sz w:val="22"/>
          <w:szCs w:val="22"/>
        </w:rPr>
        <w:t>No small businesses will be involved in this study.</w:t>
      </w:r>
      <w:r w:rsidR="00711958">
        <w:rPr>
          <w:color w:val="000000"/>
          <w:sz w:val="22"/>
          <w:szCs w:val="22"/>
        </w:rPr>
        <w:t xml:space="preserve"> </w:t>
      </w:r>
      <w:r w:rsidR="00711958">
        <w:t>To minimize the burden of other small entities, entering performance measure data and using the HIVQM Module is entirely voluntary and the information being requested has been held to the absolute minimum required for the intended use of the data.</w:t>
      </w:r>
    </w:p>
    <w:p w14:paraId="05727664" w14:textId="77777777" w:rsidR="008F6ABC" w:rsidRDefault="008F6ABC" w:rsidP="008F6ABC">
      <w:pPr>
        <w:spacing w:before="240"/>
        <w:rPr>
          <w:color w:val="000000"/>
          <w:sz w:val="22"/>
          <w:szCs w:val="22"/>
        </w:rPr>
      </w:pPr>
    </w:p>
    <w:p w14:paraId="13348976" w14:textId="77777777" w:rsidR="008F6ABC" w:rsidRDefault="009B3794" w:rsidP="008F6ABC">
      <w:pPr>
        <w:widowControl/>
        <w:numPr>
          <w:ilvl w:val="0"/>
          <w:numId w:val="2"/>
        </w:numPr>
        <w:tabs>
          <w:tab w:val="num" w:pos="360"/>
        </w:tabs>
        <w:autoSpaceDE/>
        <w:autoSpaceDN/>
        <w:adjustRightInd/>
        <w:spacing w:before="120"/>
        <w:ind w:left="360"/>
        <w:rPr>
          <w:sz w:val="22"/>
          <w:szCs w:val="22"/>
        </w:rPr>
      </w:pPr>
      <w:r w:rsidRPr="008F6ABC">
        <w:rPr>
          <w:b/>
          <w:sz w:val="22"/>
          <w:szCs w:val="22"/>
          <w:u w:val="single"/>
        </w:rPr>
        <w:t>Consequences of Collecting the Information Less Frequent</w:t>
      </w:r>
      <w:r w:rsidR="001325B2" w:rsidRPr="008F6ABC">
        <w:rPr>
          <w:b/>
          <w:sz w:val="22"/>
          <w:szCs w:val="22"/>
          <w:u w:val="single"/>
        </w:rPr>
        <w:t>ly</w:t>
      </w:r>
    </w:p>
    <w:p w14:paraId="618A3102" w14:textId="14D79EA4" w:rsidR="00822A7D" w:rsidRPr="008F6ABC" w:rsidRDefault="00A5782C" w:rsidP="008F6ABC">
      <w:pPr>
        <w:widowControl/>
        <w:autoSpaceDE/>
        <w:autoSpaceDN/>
        <w:adjustRightInd/>
        <w:spacing w:before="120"/>
        <w:rPr>
          <w:sz w:val="22"/>
          <w:szCs w:val="22"/>
        </w:rPr>
      </w:pPr>
      <w:r>
        <w:rPr>
          <w:sz w:val="22"/>
          <w:szCs w:val="22"/>
        </w:rPr>
        <w:t>RWHAP</w:t>
      </w:r>
      <w:r w:rsidR="00822A7D" w:rsidRPr="008F6ABC">
        <w:rPr>
          <w:sz w:val="22"/>
          <w:szCs w:val="22"/>
        </w:rPr>
        <w:t xml:space="preserve"> recipients can enter their data in the </w:t>
      </w:r>
      <w:r w:rsidR="00822A7D" w:rsidRPr="00A5782C">
        <w:rPr>
          <w:sz w:val="22"/>
          <w:szCs w:val="22"/>
        </w:rPr>
        <w:t xml:space="preserve">HIVQM </w:t>
      </w:r>
      <w:r w:rsidR="00F96010" w:rsidRPr="00A5782C">
        <w:rPr>
          <w:sz w:val="22"/>
          <w:szCs w:val="22"/>
        </w:rPr>
        <w:t>Module</w:t>
      </w:r>
      <w:r w:rsidR="00F96010">
        <w:rPr>
          <w:sz w:val="22"/>
          <w:szCs w:val="22"/>
        </w:rPr>
        <w:t xml:space="preserve"> </w:t>
      </w:r>
      <w:r w:rsidR="00822A7D" w:rsidRPr="008F6ABC">
        <w:rPr>
          <w:sz w:val="22"/>
          <w:szCs w:val="22"/>
        </w:rPr>
        <w:t xml:space="preserve">up to </w:t>
      </w:r>
      <w:r w:rsidR="00E77AF4">
        <w:rPr>
          <w:sz w:val="22"/>
          <w:szCs w:val="22"/>
        </w:rPr>
        <w:t xml:space="preserve">four </w:t>
      </w:r>
      <w:r w:rsidR="00822A7D" w:rsidRPr="008F6ABC">
        <w:rPr>
          <w:sz w:val="22"/>
          <w:szCs w:val="22"/>
        </w:rPr>
        <w:t xml:space="preserve">times </w:t>
      </w:r>
      <w:r w:rsidR="00B309BE">
        <w:rPr>
          <w:sz w:val="22"/>
          <w:szCs w:val="22"/>
        </w:rPr>
        <w:t xml:space="preserve">a </w:t>
      </w:r>
      <w:r w:rsidR="00822A7D" w:rsidRPr="008F6ABC">
        <w:rPr>
          <w:sz w:val="22"/>
          <w:szCs w:val="22"/>
        </w:rPr>
        <w:t>year. There are no legal obstacles to reduce the burden.</w:t>
      </w:r>
      <w:r w:rsidR="00E77AF4">
        <w:rPr>
          <w:sz w:val="22"/>
          <w:szCs w:val="22"/>
        </w:rPr>
        <w:t xml:space="preserve"> </w:t>
      </w:r>
      <w:r w:rsidR="00822A7D" w:rsidRPr="008F6ABC">
        <w:rPr>
          <w:sz w:val="22"/>
          <w:szCs w:val="22"/>
        </w:rPr>
        <w:t xml:space="preserve">However, in order for organizations to appropriately assess their performance measures, </w:t>
      </w:r>
      <w:r w:rsidR="008F6ABC" w:rsidRPr="008F6ABC">
        <w:rPr>
          <w:sz w:val="22"/>
          <w:szCs w:val="22"/>
        </w:rPr>
        <w:t xml:space="preserve">HAB recommends that </w:t>
      </w:r>
      <w:r w:rsidR="008F27BA">
        <w:rPr>
          <w:sz w:val="22"/>
          <w:szCs w:val="22"/>
        </w:rPr>
        <w:t xml:space="preserve">they </w:t>
      </w:r>
      <w:r w:rsidR="00822A7D" w:rsidRPr="008F6ABC">
        <w:rPr>
          <w:sz w:val="22"/>
          <w:szCs w:val="22"/>
        </w:rPr>
        <w:t>collect</w:t>
      </w:r>
      <w:r w:rsidR="008F27BA">
        <w:rPr>
          <w:sz w:val="22"/>
          <w:szCs w:val="22"/>
        </w:rPr>
        <w:t xml:space="preserve"> their data</w:t>
      </w:r>
      <w:r w:rsidR="00822A7D" w:rsidRPr="008F6ABC">
        <w:rPr>
          <w:sz w:val="22"/>
          <w:szCs w:val="22"/>
        </w:rPr>
        <w:t xml:space="preserve"> quarterly at a minimum. </w:t>
      </w:r>
    </w:p>
    <w:p w14:paraId="0D86FBF6" w14:textId="77777777" w:rsidR="008F6ABC" w:rsidRPr="002531C8" w:rsidRDefault="008F6ABC" w:rsidP="008F6ABC">
      <w:pPr>
        <w:widowControl/>
        <w:autoSpaceDE/>
        <w:autoSpaceDN/>
        <w:adjustRightInd/>
        <w:spacing w:before="120"/>
        <w:rPr>
          <w:sz w:val="22"/>
          <w:szCs w:val="22"/>
        </w:rPr>
      </w:pPr>
    </w:p>
    <w:p w14:paraId="0E7CC4DE" w14:textId="77777777" w:rsidR="009B3794" w:rsidRPr="002531C8" w:rsidRDefault="009B3794" w:rsidP="00502ABD">
      <w:pPr>
        <w:numPr>
          <w:ilvl w:val="0"/>
          <w:numId w:val="2"/>
        </w:numPr>
        <w:spacing w:before="240"/>
        <w:ind w:left="360"/>
        <w:rPr>
          <w:b/>
          <w:sz w:val="22"/>
          <w:szCs w:val="22"/>
        </w:rPr>
      </w:pPr>
      <w:r w:rsidRPr="002531C8">
        <w:rPr>
          <w:b/>
          <w:sz w:val="22"/>
          <w:szCs w:val="22"/>
          <w:u w:val="single"/>
        </w:rPr>
        <w:t>Special Circumstances Relating to the Guidelines of 5 CFR 1320.5</w:t>
      </w:r>
    </w:p>
    <w:p w14:paraId="63992A79" w14:textId="77777777" w:rsidR="009B3794" w:rsidRDefault="00627FFD" w:rsidP="008F6ABC">
      <w:pPr>
        <w:widowControl/>
        <w:spacing w:before="120"/>
        <w:rPr>
          <w:sz w:val="22"/>
          <w:szCs w:val="22"/>
        </w:rPr>
      </w:pPr>
      <w:r w:rsidRPr="002531C8">
        <w:rPr>
          <w:sz w:val="22"/>
          <w:szCs w:val="22"/>
        </w:rPr>
        <w:t>T</w:t>
      </w:r>
      <w:r w:rsidR="009B3794" w:rsidRPr="002531C8">
        <w:rPr>
          <w:sz w:val="22"/>
          <w:szCs w:val="22"/>
        </w:rPr>
        <w:t>he request fully complies with the regulation.</w:t>
      </w:r>
    </w:p>
    <w:p w14:paraId="05FF5C25" w14:textId="77777777" w:rsidR="008F6ABC" w:rsidRPr="002531C8" w:rsidRDefault="008F6ABC" w:rsidP="008F6ABC">
      <w:pPr>
        <w:widowControl/>
        <w:spacing w:before="120"/>
        <w:rPr>
          <w:sz w:val="22"/>
          <w:szCs w:val="22"/>
        </w:rPr>
      </w:pPr>
    </w:p>
    <w:p w14:paraId="307EB868" w14:textId="77777777" w:rsidR="008F6ABC" w:rsidRDefault="009B3794" w:rsidP="008F6ABC">
      <w:pPr>
        <w:numPr>
          <w:ilvl w:val="0"/>
          <w:numId w:val="2"/>
        </w:numPr>
        <w:tabs>
          <w:tab w:val="num" w:pos="360"/>
        </w:tabs>
        <w:spacing w:before="240"/>
        <w:ind w:left="360"/>
        <w:rPr>
          <w:b/>
          <w:sz w:val="22"/>
          <w:szCs w:val="22"/>
        </w:rPr>
      </w:pPr>
      <w:r w:rsidRPr="002531C8">
        <w:rPr>
          <w:b/>
          <w:iCs/>
          <w:sz w:val="22"/>
          <w:szCs w:val="22"/>
          <w:u w:val="single"/>
        </w:rPr>
        <w:t>Comments in Response to the Federal Register</w:t>
      </w:r>
      <w:r w:rsidRPr="002531C8">
        <w:rPr>
          <w:b/>
          <w:sz w:val="22"/>
          <w:szCs w:val="22"/>
          <w:u w:val="single"/>
        </w:rPr>
        <w:t xml:space="preserve"> Notice/Outside Consultation</w:t>
      </w:r>
    </w:p>
    <w:p w14:paraId="087533C5" w14:textId="77777777" w:rsidR="00DE3A45" w:rsidRPr="008F6ABC" w:rsidRDefault="00DE3A45" w:rsidP="008F6ABC">
      <w:pPr>
        <w:spacing w:before="240"/>
        <w:rPr>
          <w:b/>
          <w:sz w:val="22"/>
          <w:szCs w:val="22"/>
        </w:rPr>
      </w:pPr>
      <w:r w:rsidRPr="008F6ABC">
        <w:rPr>
          <w:b/>
          <w:sz w:val="22"/>
          <w:szCs w:val="22"/>
        </w:rPr>
        <w:t>Section 8A:</w:t>
      </w:r>
    </w:p>
    <w:p w14:paraId="134FB2B5" w14:textId="77777777" w:rsidR="00CF196A" w:rsidRPr="002531C8" w:rsidRDefault="00CF196A" w:rsidP="00D12B23">
      <w:pPr>
        <w:spacing w:before="120"/>
        <w:ind w:left="360"/>
        <w:rPr>
          <w:sz w:val="22"/>
          <w:szCs w:val="22"/>
        </w:rPr>
      </w:pPr>
      <w:r w:rsidRPr="002531C8">
        <w:rPr>
          <w:sz w:val="22"/>
          <w:szCs w:val="22"/>
        </w:rPr>
        <w:t xml:space="preserve">A 60-day Federal Register Notice was published in the </w:t>
      </w:r>
      <w:r w:rsidRPr="002531C8">
        <w:rPr>
          <w:i/>
          <w:iCs/>
          <w:sz w:val="22"/>
          <w:szCs w:val="22"/>
        </w:rPr>
        <w:t xml:space="preserve">Federal Register </w:t>
      </w:r>
      <w:r w:rsidRPr="002531C8">
        <w:rPr>
          <w:sz w:val="22"/>
          <w:szCs w:val="22"/>
        </w:rPr>
        <w:t>on November 25, 2015, vol. 80, No. 227; pp. 73776-73778</w:t>
      </w:r>
      <w:r w:rsidR="002531C8" w:rsidRPr="002531C8">
        <w:rPr>
          <w:sz w:val="22"/>
          <w:szCs w:val="22"/>
        </w:rPr>
        <w:t>.</w:t>
      </w:r>
      <w:r w:rsidRPr="002531C8">
        <w:rPr>
          <w:sz w:val="22"/>
          <w:szCs w:val="22"/>
        </w:rPr>
        <w:t xml:space="preserve"> </w:t>
      </w:r>
      <w:r w:rsidR="002531C8" w:rsidRPr="002531C8">
        <w:rPr>
          <w:sz w:val="22"/>
          <w:szCs w:val="22"/>
        </w:rPr>
        <w:t>S</w:t>
      </w:r>
      <w:r w:rsidRPr="002531C8">
        <w:rPr>
          <w:sz w:val="22"/>
          <w:szCs w:val="22"/>
        </w:rPr>
        <w:t xml:space="preserve">ee </w:t>
      </w:r>
      <w:r w:rsidR="00502ABD" w:rsidRPr="002531C8">
        <w:rPr>
          <w:sz w:val="22"/>
          <w:szCs w:val="22"/>
        </w:rPr>
        <w:t>A</w:t>
      </w:r>
      <w:r w:rsidRPr="002531C8">
        <w:rPr>
          <w:sz w:val="22"/>
          <w:szCs w:val="22"/>
        </w:rPr>
        <w:t xml:space="preserve">ttachment </w:t>
      </w:r>
      <w:r w:rsidR="00502ABD" w:rsidRPr="002531C8">
        <w:rPr>
          <w:sz w:val="22"/>
          <w:szCs w:val="22"/>
        </w:rPr>
        <w:t>C</w:t>
      </w:r>
      <w:r w:rsidR="002531C8" w:rsidRPr="002531C8">
        <w:rPr>
          <w:sz w:val="22"/>
          <w:szCs w:val="22"/>
        </w:rPr>
        <w:t xml:space="preserve"> for the 60-Day Notice</w:t>
      </w:r>
      <w:r w:rsidRPr="002531C8">
        <w:rPr>
          <w:sz w:val="22"/>
          <w:szCs w:val="22"/>
        </w:rPr>
        <w:t xml:space="preserve">. </w:t>
      </w:r>
      <w:r w:rsidR="00D12B23" w:rsidRPr="002531C8">
        <w:rPr>
          <w:sz w:val="22"/>
          <w:szCs w:val="22"/>
        </w:rPr>
        <w:t xml:space="preserve">There </w:t>
      </w:r>
      <w:r w:rsidRPr="002531C8">
        <w:rPr>
          <w:sz w:val="22"/>
          <w:szCs w:val="22"/>
        </w:rPr>
        <w:t>were no public comments.</w:t>
      </w:r>
    </w:p>
    <w:p w14:paraId="73878EAF" w14:textId="77777777" w:rsidR="008670D2" w:rsidRPr="002531C8" w:rsidRDefault="008670D2" w:rsidP="00CA3DA6">
      <w:pPr>
        <w:spacing w:before="120"/>
        <w:rPr>
          <w:b/>
          <w:sz w:val="22"/>
          <w:szCs w:val="22"/>
        </w:rPr>
      </w:pPr>
    </w:p>
    <w:p w14:paraId="3279D3F9" w14:textId="77777777" w:rsidR="00DE3A45" w:rsidRPr="002531C8" w:rsidRDefault="00DE3A45" w:rsidP="00CA3DA6">
      <w:pPr>
        <w:spacing w:before="120"/>
        <w:rPr>
          <w:b/>
          <w:sz w:val="22"/>
          <w:szCs w:val="22"/>
        </w:rPr>
      </w:pPr>
      <w:r w:rsidRPr="002531C8">
        <w:rPr>
          <w:b/>
          <w:sz w:val="22"/>
          <w:szCs w:val="22"/>
        </w:rPr>
        <w:t>Section 8B:</w:t>
      </w:r>
    </w:p>
    <w:p w14:paraId="06C5CFCD" w14:textId="5888D20B" w:rsidR="009B3794" w:rsidRPr="002531C8" w:rsidRDefault="00D12B23" w:rsidP="00D12B23">
      <w:pPr>
        <w:spacing w:before="120"/>
        <w:ind w:left="360"/>
        <w:rPr>
          <w:sz w:val="22"/>
          <w:szCs w:val="22"/>
        </w:rPr>
      </w:pPr>
      <w:r w:rsidRPr="002531C8">
        <w:rPr>
          <w:sz w:val="22"/>
          <w:szCs w:val="22"/>
        </w:rPr>
        <w:t xml:space="preserve">The </w:t>
      </w:r>
      <w:r w:rsidRPr="00C455BC">
        <w:rPr>
          <w:sz w:val="22"/>
          <w:szCs w:val="22"/>
        </w:rPr>
        <w:t>HIVQM Module was</w:t>
      </w:r>
      <w:r w:rsidRPr="002531C8">
        <w:rPr>
          <w:sz w:val="22"/>
          <w:szCs w:val="22"/>
        </w:rPr>
        <w:t xml:space="preserve"> piloted in March 2016 among </w:t>
      </w:r>
      <w:r w:rsidR="00C455BC">
        <w:rPr>
          <w:sz w:val="22"/>
          <w:szCs w:val="22"/>
        </w:rPr>
        <w:t>RWHAP</w:t>
      </w:r>
      <w:r w:rsidR="00DB46D6">
        <w:rPr>
          <w:sz w:val="22"/>
          <w:szCs w:val="22"/>
        </w:rPr>
        <w:t xml:space="preserve"> </w:t>
      </w:r>
      <w:r w:rsidRPr="002531C8">
        <w:rPr>
          <w:sz w:val="22"/>
          <w:szCs w:val="22"/>
        </w:rPr>
        <w:t xml:space="preserve">recipients who had previously </w:t>
      </w:r>
      <w:r w:rsidR="00E5473F">
        <w:rPr>
          <w:sz w:val="22"/>
          <w:szCs w:val="22"/>
        </w:rPr>
        <w:t xml:space="preserve">participated in User Acceptance Testing of </w:t>
      </w:r>
      <w:r w:rsidRPr="002531C8">
        <w:rPr>
          <w:sz w:val="22"/>
          <w:szCs w:val="22"/>
        </w:rPr>
        <w:t xml:space="preserve">the module </w:t>
      </w:r>
      <w:r w:rsidR="00E5473F">
        <w:rPr>
          <w:sz w:val="22"/>
          <w:szCs w:val="22"/>
        </w:rPr>
        <w:t>in</w:t>
      </w:r>
      <w:r w:rsidRPr="002531C8">
        <w:rPr>
          <w:sz w:val="22"/>
          <w:szCs w:val="22"/>
        </w:rPr>
        <w:t xml:space="preserve"> the EHB. They were provided screenshots of the module and asked how long it would take them to complete the module. Many of the recipients said they would be able to pull the data from another source and then </w:t>
      </w:r>
      <w:r w:rsidR="003B09BB">
        <w:rPr>
          <w:sz w:val="22"/>
          <w:szCs w:val="22"/>
        </w:rPr>
        <w:t xml:space="preserve">manually </w:t>
      </w:r>
      <w:r w:rsidRPr="002531C8">
        <w:rPr>
          <w:sz w:val="22"/>
          <w:szCs w:val="22"/>
        </w:rPr>
        <w:t xml:space="preserve">enter the data into the module. One recipient </w:t>
      </w:r>
      <w:r w:rsidR="00EE10AE">
        <w:rPr>
          <w:sz w:val="22"/>
          <w:szCs w:val="22"/>
        </w:rPr>
        <w:t xml:space="preserve">said </w:t>
      </w:r>
      <w:r w:rsidRPr="002531C8">
        <w:rPr>
          <w:sz w:val="22"/>
          <w:szCs w:val="22"/>
        </w:rPr>
        <w:t>that this data collection may duplicat</w:t>
      </w:r>
      <w:r w:rsidR="00EE10AE">
        <w:rPr>
          <w:sz w:val="22"/>
          <w:szCs w:val="22"/>
        </w:rPr>
        <w:t>e</w:t>
      </w:r>
      <w:r w:rsidRPr="002531C8">
        <w:rPr>
          <w:sz w:val="22"/>
          <w:szCs w:val="22"/>
        </w:rPr>
        <w:t xml:space="preserve"> their existing data collection activities, however, others shared that reports generated from the module could be helpful in assessing their </w:t>
      </w:r>
      <w:r w:rsidR="00B50A61">
        <w:rPr>
          <w:sz w:val="22"/>
          <w:szCs w:val="22"/>
        </w:rPr>
        <w:t>performance measures</w:t>
      </w:r>
      <w:r w:rsidRPr="002531C8">
        <w:rPr>
          <w:sz w:val="22"/>
          <w:szCs w:val="22"/>
        </w:rPr>
        <w:t xml:space="preserve">. Most of the recipients who responded with a burden estimate said </w:t>
      </w:r>
      <w:r w:rsidR="003B09BB">
        <w:rPr>
          <w:sz w:val="22"/>
          <w:szCs w:val="22"/>
        </w:rPr>
        <w:t xml:space="preserve">that </w:t>
      </w:r>
      <w:r w:rsidRPr="002531C8">
        <w:rPr>
          <w:sz w:val="22"/>
          <w:szCs w:val="22"/>
        </w:rPr>
        <w:t>the data entry would take an hour or less. Below is the list of recipients who</w:t>
      </w:r>
      <w:r w:rsidR="00FC7F32" w:rsidRPr="002531C8">
        <w:rPr>
          <w:sz w:val="22"/>
          <w:szCs w:val="22"/>
        </w:rPr>
        <w:t xml:space="preserve"> responded with an estimate</w:t>
      </w:r>
      <w:r w:rsidRPr="002531C8">
        <w:rPr>
          <w:sz w:val="22"/>
          <w:szCs w:val="22"/>
        </w:rPr>
        <w:t xml:space="preserve"> burden:</w:t>
      </w:r>
    </w:p>
    <w:p w14:paraId="6DC1A4DE" w14:textId="77777777" w:rsidR="00D12B23" w:rsidRPr="002531C8" w:rsidRDefault="00D12B23" w:rsidP="00D12B23">
      <w:pPr>
        <w:spacing w:before="120"/>
        <w:ind w:left="360"/>
        <w:rPr>
          <w:sz w:val="22"/>
          <w:szCs w:val="22"/>
        </w:rPr>
      </w:pPr>
    </w:p>
    <w:p w14:paraId="38DEB7BC" w14:textId="77777777" w:rsidR="00D12B23" w:rsidRPr="002531C8" w:rsidRDefault="00D12B23" w:rsidP="00D12B23">
      <w:pPr>
        <w:spacing w:before="120"/>
        <w:ind w:left="360"/>
        <w:rPr>
          <w:sz w:val="22"/>
          <w:szCs w:val="22"/>
        </w:rPr>
      </w:pPr>
      <w:r w:rsidRPr="002531C8">
        <w:rPr>
          <w:sz w:val="22"/>
          <w:szCs w:val="22"/>
        </w:rPr>
        <w:t>Marcia King</w:t>
      </w:r>
      <w:r w:rsidRPr="002531C8">
        <w:rPr>
          <w:sz w:val="22"/>
          <w:szCs w:val="22"/>
        </w:rPr>
        <w:br/>
        <w:t>Unconditional Love, Incorporated.</w:t>
      </w:r>
      <w:r w:rsidRPr="002531C8">
        <w:rPr>
          <w:sz w:val="22"/>
          <w:szCs w:val="22"/>
        </w:rPr>
        <w:br/>
        <w:t>Tel: (321) 253-0846</w:t>
      </w:r>
      <w:r w:rsidRPr="002531C8">
        <w:rPr>
          <w:sz w:val="22"/>
          <w:szCs w:val="22"/>
        </w:rPr>
        <w:br/>
        <w:t xml:space="preserve">Email: </w:t>
      </w:r>
      <w:hyperlink r:id="rId11" w:history="1">
        <w:r w:rsidRPr="002531C8">
          <w:rPr>
            <w:rStyle w:val="Hyperlink"/>
            <w:sz w:val="22"/>
            <w:szCs w:val="22"/>
          </w:rPr>
          <w:t>mking@chcfl.net</w:t>
        </w:r>
      </w:hyperlink>
    </w:p>
    <w:p w14:paraId="533B6E1A" w14:textId="77777777" w:rsidR="00D12B23" w:rsidRPr="002531C8" w:rsidRDefault="00D12B23" w:rsidP="00D12B23">
      <w:pPr>
        <w:spacing w:before="120"/>
        <w:ind w:left="360"/>
        <w:rPr>
          <w:sz w:val="22"/>
          <w:szCs w:val="22"/>
        </w:rPr>
      </w:pPr>
    </w:p>
    <w:p w14:paraId="0B729478" w14:textId="77777777" w:rsidR="007B2649" w:rsidRDefault="007B2649" w:rsidP="00D12B23">
      <w:pPr>
        <w:spacing w:before="120"/>
        <w:ind w:left="360"/>
        <w:rPr>
          <w:sz w:val="22"/>
          <w:szCs w:val="22"/>
        </w:rPr>
      </w:pPr>
    </w:p>
    <w:p w14:paraId="29FBCE3D" w14:textId="13EED095" w:rsidR="00D12B23" w:rsidRPr="002531C8" w:rsidRDefault="00D12B23" w:rsidP="00D12B23">
      <w:pPr>
        <w:spacing w:before="120"/>
        <w:ind w:left="360"/>
        <w:rPr>
          <w:sz w:val="22"/>
          <w:szCs w:val="22"/>
        </w:rPr>
      </w:pPr>
      <w:r w:rsidRPr="002531C8">
        <w:rPr>
          <w:sz w:val="22"/>
          <w:szCs w:val="22"/>
        </w:rPr>
        <w:t>Don Calhoun</w:t>
      </w:r>
      <w:r w:rsidRPr="002531C8">
        <w:rPr>
          <w:sz w:val="22"/>
          <w:szCs w:val="22"/>
        </w:rPr>
        <w:br/>
        <w:t xml:space="preserve">University of </w:t>
      </w:r>
      <w:r w:rsidR="00C455BC" w:rsidRPr="002531C8">
        <w:rPr>
          <w:sz w:val="22"/>
          <w:szCs w:val="22"/>
        </w:rPr>
        <w:t>Virginia</w:t>
      </w:r>
      <w:r w:rsidRPr="002531C8">
        <w:rPr>
          <w:sz w:val="22"/>
          <w:szCs w:val="22"/>
        </w:rPr>
        <w:br/>
        <w:t xml:space="preserve">Email: </w:t>
      </w:r>
      <w:hyperlink r:id="rId12" w:history="1">
        <w:r w:rsidRPr="002531C8">
          <w:rPr>
            <w:rStyle w:val="Hyperlink"/>
            <w:sz w:val="22"/>
            <w:szCs w:val="22"/>
          </w:rPr>
          <w:t>cal482250@yahoo.com</w:t>
        </w:r>
      </w:hyperlink>
    </w:p>
    <w:p w14:paraId="3C23B820" w14:textId="77777777" w:rsidR="00D12B23" w:rsidRPr="002531C8" w:rsidRDefault="00D12B23" w:rsidP="00D12B23">
      <w:pPr>
        <w:spacing w:before="120"/>
        <w:ind w:left="360"/>
        <w:rPr>
          <w:sz w:val="22"/>
          <w:szCs w:val="22"/>
        </w:rPr>
      </w:pPr>
    </w:p>
    <w:p w14:paraId="415B85C8" w14:textId="77777777" w:rsidR="00D12B23" w:rsidRPr="002531C8" w:rsidRDefault="00D12B23" w:rsidP="00D12B23">
      <w:pPr>
        <w:spacing w:before="120"/>
        <w:ind w:left="360"/>
        <w:rPr>
          <w:sz w:val="22"/>
          <w:szCs w:val="22"/>
        </w:rPr>
      </w:pPr>
      <w:r w:rsidRPr="002531C8">
        <w:rPr>
          <w:sz w:val="22"/>
          <w:szCs w:val="22"/>
        </w:rPr>
        <w:t>Julia Cohen</w:t>
      </w:r>
      <w:r w:rsidRPr="002531C8">
        <w:rPr>
          <w:sz w:val="22"/>
          <w:szCs w:val="22"/>
        </w:rPr>
        <w:br/>
        <w:t>New York City Department of Health and Mental Hygiene</w:t>
      </w:r>
      <w:r w:rsidRPr="002531C8">
        <w:rPr>
          <w:sz w:val="22"/>
          <w:szCs w:val="22"/>
        </w:rPr>
        <w:br/>
        <w:t>Tel: (347) 396-7455</w:t>
      </w:r>
      <w:r w:rsidRPr="002531C8">
        <w:rPr>
          <w:sz w:val="22"/>
          <w:szCs w:val="22"/>
        </w:rPr>
        <w:br/>
        <w:t xml:space="preserve">Email: </w:t>
      </w:r>
      <w:hyperlink r:id="rId13" w:history="1">
        <w:r w:rsidRPr="002531C8">
          <w:rPr>
            <w:rStyle w:val="Hyperlink"/>
            <w:sz w:val="22"/>
            <w:szCs w:val="22"/>
          </w:rPr>
          <w:t>jcohen8@health.nyc.gov</w:t>
        </w:r>
      </w:hyperlink>
    </w:p>
    <w:p w14:paraId="6F28218B" w14:textId="77777777" w:rsidR="00D12B23" w:rsidRPr="002531C8" w:rsidRDefault="00D12B23" w:rsidP="00D12B23">
      <w:pPr>
        <w:spacing w:before="120"/>
        <w:ind w:left="360"/>
        <w:rPr>
          <w:sz w:val="22"/>
          <w:szCs w:val="22"/>
        </w:rPr>
      </w:pPr>
    </w:p>
    <w:p w14:paraId="719BD42B" w14:textId="77777777" w:rsidR="00D12B23" w:rsidRPr="002531C8" w:rsidRDefault="00D12B23" w:rsidP="00D12B23">
      <w:pPr>
        <w:spacing w:before="120"/>
        <w:ind w:left="360"/>
        <w:rPr>
          <w:sz w:val="22"/>
          <w:szCs w:val="22"/>
        </w:rPr>
      </w:pPr>
      <w:r w:rsidRPr="002531C8">
        <w:rPr>
          <w:sz w:val="22"/>
          <w:szCs w:val="22"/>
        </w:rPr>
        <w:t xml:space="preserve">Tara </w:t>
      </w:r>
      <w:proofErr w:type="spellStart"/>
      <w:r w:rsidRPr="002531C8">
        <w:rPr>
          <w:sz w:val="22"/>
          <w:szCs w:val="22"/>
        </w:rPr>
        <w:t>Radke</w:t>
      </w:r>
      <w:proofErr w:type="spellEnd"/>
      <w:r w:rsidRPr="002531C8">
        <w:rPr>
          <w:sz w:val="22"/>
          <w:szCs w:val="22"/>
        </w:rPr>
        <w:br/>
        <w:t>El Rio Santa Cruz Neighborhood Health</w:t>
      </w:r>
      <w:r w:rsidRPr="002531C8">
        <w:rPr>
          <w:sz w:val="22"/>
          <w:szCs w:val="22"/>
        </w:rPr>
        <w:br/>
        <w:t>Tel: (520) 629-2888</w:t>
      </w:r>
      <w:r w:rsidRPr="002531C8">
        <w:rPr>
          <w:sz w:val="22"/>
          <w:szCs w:val="22"/>
        </w:rPr>
        <w:br/>
        <w:t xml:space="preserve">Email: </w:t>
      </w:r>
      <w:hyperlink r:id="rId14" w:history="1">
        <w:r w:rsidRPr="002531C8">
          <w:rPr>
            <w:rStyle w:val="Hyperlink"/>
            <w:sz w:val="22"/>
            <w:szCs w:val="22"/>
          </w:rPr>
          <w:t>tarar@elrio.org</w:t>
        </w:r>
      </w:hyperlink>
    </w:p>
    <w:p w14:paraId="02276D6F" w14:textId="77777777" w:rsidR="00D12B23" w:rsidRPr="002531C8" w:rsidRDefault="00D12B23" w:rsidP="00D12B23">
      <w:pPr>
        <w:spacing w:before="120"/>
        <w:ind w:left="360"/>
        <w:rPr>
          <w:sz w:val="22"/>
          <w:szCs w:val="22"/>
        </w:rPr>
      </w:pPr>
    </w:p>
    <w:p w14:paraId="3D9DFFE2" w14:textId="77777777" w:rsidR="00FC7F32" w:rsidRDefault="00FC7F32" w:rsidP="00FC7F32">
      <w:pPr>
        <w:spacing w:before="120"/>
        <w:ind w:left="360"/>
        <w:rPr>
          <w:sz w:val="22"/>
          <w:szCs w:val="22"/>
        </w:rPr>
      </w:pPr>
      <w:r w:rsidRPr="002531C8">
        <w:rPr>
          <w:sz w:val="22"/>
          <w:szCs w:val="22"/>
        </w:rPr>
        <w:t xml:space="preserve">Jeffrey </w:t>
      </w:r>
      <w:proofErr w:type="spellStart"/>
      <w:r w:rsidRPr="002531C8">
        <w:rPr>
          <w:sz w:val="22"/>
          <w:szCs w:val="22"/>
        </w:rPr>
        <w:t>Vollman</w:t>
      </w:r>
      <w:proofErr w:type="spellEnd"/>
      <w:r w:rsidR="00D12B23" w:rsidRPr="002531C8">
        <w:rPr>
          <w:sz w:val="22"/>
          <w:szCs w:val="22"/>
        </w:rPr>
        <w:br/>
      </w:r>
      <w:r w:rsidRPr="002531C8">
        <w:rPr>
          <w:sz w:val="22"/>
          <w:szCs w:val="22"/>
        </w:rPr>
        <w:t>North Georgia Health District</w:t>
      </w:r>
      <w:r w:rsidRPr="002531C8">
        <w:rPr>
          <w:sz w:val="22"/>
          <w:szCs w:val="22"/>
        </w:rPr>
        <w:br/>
        <w:t>Tel: (706) 281-2360</w:t>
      </w:r>
      <w:r w:rsidRPr="002531C8">
        <w:rPr>
          <w:sz w:val="22"/>
          <w:szCs w:val="22"/>
        </w:rPr>
        <w:br/>
        <w:t xml:space="preserve">Email: </w:t>
      </w:r>
      <w:hyperlink r:id="rId15" w:history="1">
        <w:r w:rsidR="008F6ABC" w:rsidRPr="00BF23C0">
          <w:rPr>
            <w:rStyle w:val="Hyperlink"/>
            <w:sz w:val="22"/>
            <w:szCs w:val="22"/>
          </w:rPr>
          <w:t>Jeffrey.vollman@dph.ga.gov</w:t>
        </w:r>
      </w:hyperlink>
    </w:p>
    <w:p w14:paraId="716E62A8" w14:textId="77777777" w:rsidR="008F6ABC" w:rsidRPr="002531C8" w:rsidRDefault="008F6ABC" w:rsidP="00FC7F32">
      <w:pPr>
        <w:spacing w:before="120"/>
        <w:ind w:left="360"/>
        <w:rPr>
          <w:sz w:val="22"/>
          <w:szCs w:val="22"/>
        </w:rPr>
      </w:pPr>
    </w:p>
    <w:p w14:paraId="32CBCAE8" w14:textId="77777777" w:rsidR="009B3794" w:rsidRPr="002531C8" w:rsidRDefault="009B3794" w:rsidP="00CA3DA6">
      <w:pPr>
        <w:numPr>
          <w:ilvl w:val="0"/>
          <w:numId w:val="2"/>
        </w:numPr>
        <w:tabs>
          <w:tab w:val="num" w:pos="360"/>
        </w:tabs>
        <w:spacing w:before="240"/>
        <w:ind w:left="360"/>
        <w:rPr>
          <w:b/>
          <w:sz w:val="22"/>
          <w:szCs w:val="22"/>
        </w:rPr>
      </w:pPr>
      <w:r w:rsidRPr="002531C8">
        <w:rPr>
          <w:b/>
          <w:sz w:val="22"/>
          <w:szCs w:val="22"/>
          <w:u w:val="single"/>
        </w:rPr>
        <w:t>Explanation of any Payment/Gift to Respondents</w:t>
      </w:r>
    </w:p>
    <w:p w14:paraId="4F33F422" w14:textId="77777777" w:rsidR="00935E77" w:rsidRDefault="00935E77" w:rsidP="008F6ABC">
      <w:pPr>
        <w:spacing w:before="120"/>
        <w:rPr>
          <w:sz w:val="22"/>
          <w:szCs w:val="22"/>
        </w:rPr>
      </w:pPr>
      <w:r w:rsidRPr="002531C8">
        <w:rPr>
          <w:sz w:val="22"/>
          <w:szCs w:val="22"/>
        </w:rPr>
        <w:t xml:space="preserve">Respondents will not receive </w:t>
      </w:r>
      <w:r w:rsidR="008B04CA" w:rsidRPr="002531C8">
        <w:rPr>
          <w:sz w:val="22"/>
          <w:szCs w:val="22"/>
        </w:rPr>
        <w:t xml:space="preserve">any </w:t>
      </w:r>
      <w:r w:rsidRPr="002531C8">
        <w:rPr>
          <w:sz w:val="22"/>
          <w:szCs w:val="22"/>
        </w:rPr>
        <w:t>payment</w:t>
      </w:r>
      <w:r w:rsidR="008B04CA" w:rsidRPr="002531C8">
        <w:rPr>
          <w:sz w:val="22"/>
          <w:szCs w:val="22"/>
        </w:rPr>
        <w:t>s</w:t>
      </w:r>
      <w:r w:rsidR="00CF196A" w:rsidRPr="002531C8">
        <w:rPr>
          <w:sz w:val="22"/>
          <w:szCs w:val="22"/>
        </w:rPr>
        <w:t xml:space="preserve"> or gifts.</w:t>
      </w:r>
    </w:p>
    <w:p w14:paraId="17298BA1" w14:textId="77777777" w:rsidR="008F6ABC" w:rsidRPr="002531C8" w:rsidRDefault="008F6ABC" w:rsidP="008F6ABC">
      <w:pPr>
        <w:spacing w:before="120"/>
        <w:rPr>
          <w:sz w:val="22"/>
          <w:szCs w:val="22"/>
        </w:rPr>
      </w:pPr>
    </w:p>
    <w:p w14:paraId="2FDE59B5" w14:textId="77777777" w:rsidR="00B50A61" w:rsidRDefault="009B3794" w:rsidP="008F6ABC">
      <w:pPr>
        <w:numPr>
          <w:ilvl w:val="0"/>
          <w:numId w:val="2"/>
        </w:numPr>
        <w:tabs>
          <w:tab w:val="num" w:pos="360"/>
        </w:tabs>
        <w:spacing w:before="240"/>
        <w:ind w:left="360"/>
        <w:rPr>
          <w:b/>
          <w:sz w:val="22"/>
          <w:szCs w:val="22"/>
        </w:rPr>
      </w:pPr>
      <w:r w:rsidRPr="002531C8">
        <w:rPr>
          <w:b/>
          <w:sz w:val="22"/>
          <w:szCs w:val="22"/>
          <w:u w:val="single"/>
        </w:rPr>
        <w:t>Assurance of Confidentiality Provided to Respondents</w:t>
      </w:r>
    </w:p>
    <w:p w14:paraId="002453C4" w14:textId="77777777" w:rsidR="00502ABD" w:rsidRPr="00B50A61" w:rsidRDefault="00502ABD" w:rsidP="00B50A61">
      <w:pPr>
        <w:spacing w:before="240"/>
        <w:rPr>
          <w:b/>
          <w:sz w:val="22"/>
          <w:szCs w:val="22"/>
        </w:rPr>
      </w:pPr>
      <w:r w:rsidRPr="00F96010">
        <w:rPr>
          <w:sz w:val="22"/>
          <w:szCs w:val="22"/>
        </w:rPr>
        <w:t xml:space="preserve">The </w:t>
      </w:r>
      <w:r w:rsidRPr="00C455BC">
        <w:rPr>
          <w:iCs/>
          <w:sz w:val="22"/>
          <w:szCs w:val="22"/>
        </w:rPr>
        <w:t>HIVQM Module</w:t>
      </w:r>
      <w:r w:rsidRPr="00F96010">
        <w:rPr>
          <w:sz w:val="22"/>
          <w:szCs w:val="22"/>
        </w:rPr>
        <w:t xml:space="preserve"> does</w:t>
      </w:r>
      <w:r w:rsidRPr="00B50A61">
        <w:rPr>
          <w:sz w:val="22"/>
          <w:szCs w:val="22"/>
        </w:rPr>
        <w:t xml:space="preserve"> not require any information that could identify individual clients. Aggregate data on </w:t>
      </w:r>
      <w:r w:rsidR="00444B57">
        <w:rPr>
          <w:sz w:val="22"/>
          <w:szCs w:val="22"/>
        </w:rPr>
        <w:t xml:space="preserve">the </w:t>
      </w:r>
      <w:r w:rsidRPr="00B50A61">
        <w:rPr>
          <w:sz w:val="22"/>
          <w:szCs w:val="22"/>
        </w:rPr>
        <w:t xml:space="preserve">number of </w:t>
      </w:r>
      <w:r w:rsidR="00444B57">
        <w:rPr>
          <w:sz w:val="22"/>
          <w:szCs w:val="22"/>
        </w:rPr>
        <w:t xml:space="preserve">clients who received </w:t>
      </w:r>
      <w:r w:rsidRPr="00B50A61">
        <w:rPr>
          <w:sz w:val="22"/>
          <w:szCs w:val="22"/>
        </w:rPr>
        <w:t>services will be collected</w:t>
      </w:r>
      <w:r w:rsidR="00444B57">
        <w:rPr>
          <w:sz w:val="22"/>
          <w:szCs w:val="22"/>
        </w:rPr>
        <w:t>,</w:t>
      </w:r>
      <w:r w:rsidRPr="00B50A61">
        <w:rPr>
          <w:sz w:val="22"/>
          <w:szCs w:val="22"/>
        </w:rPr>
        <w:t xml:space="preserve"> but </w:t>
      </w:r>
      <w:r w:rsidR="00444B57">
        <w:rPr>
          <w:sz w:val="22"/>
          <w:szCs w:val="22"/>
        </w:rPr>
        <w:t xml:space="preserve">client </w:t>
      </w:r>
      <w:r w:rsidRPr="00B50A61">
        <w:rPr>
          <w:sz w:val="22"/>
          <w:szCs w:val="22"/>
        </w:rPr>
        <w:t xml:space="preserve">names </w:t>
      </w:r>
      <w:r w:rsidR="00444B57">
        <w:rPr>
          <w:sz w:val="22"/>
          <w:szCs w:val="22"/>
        </w:rPr>
        <w:t xml:space="preserve">or </w:t>
      </w:r>
      <w:r w:rsidR="00112CCF">
        <w:rPr>
          <w:sz w:val="22"/>
          <w:szCs w:val="22"/>
        </w:rPr>
        <w:t xml:space="preserve">other </w:t>
      </w:r>
      <w:r w:rsidRPr="00B50A61">
        <w:rPr>
          <w:sz w:val="22"/>
          <w:szCs w:val="22"/>
        </w:rPr>
        <w:t>personal</w:t>
      </w:r>
      <w:r w:rsidR="00444B57">
        <w:rPr>
          <w:sz w:val="22"/>
          <w:szCs w:val="22"/>
        </w:rPr>
        <w:t>ly</w:t>
      </w:r>
      <w:r w:rsidRPr="00B50A61">
        <w:rPr>
          <w:sz w:val="22"/>
          <w:szCs w:val="22"/>
        </w:rPr>
        <w:t xml:space="preserve"> identifi</w:t>
      </w:r>
      <w:r w:rsidR="00112CCF">
        <w:rPr>
          <w:sz w:val="22"/>
          <w:szCs w:val="22"/>
        </w:rPr>
        <w:t>able</w:t>
      </w:r>
      <w:r w:rsidRPr="00B50A61">
        <w:rPr>
          <w:sz w:val="22"/>
          <w:szCs w:val="22"/>
        </w:rPr>
        <w:t xml:space="preserve"> </w:t>
      </w:r>
      <w:r w:rsidR="00112CCF">
        <w:rPr>
          <w:sz w:val="22"/>
          <w:szCs w:val="22"/>
        </w:rPr>
        <w:t xml:space="preserve">information will not be </w:t>
      </w:r>
      <w:r w:rsidRPr="00B50A61">
        <w:rPr>
          <w:sz w:val="22"/>
          <w:szCs w:val="22"/>
        </w:rPr>
        <w:t xml:space="preserve">collected. </w:t>
      </w:r>
    </w:p>
    <w:p w14:paraId="0CAE45F8" w14:textId="6956B53B" w:rsidR="00090374" w:rsidRDefault="00090374" w:rsidP="008F6ABC">
      <w:pPr>
        <w:widowControl/>
        <w:spacing w:before="120"/>
        <w:rPr>
          <w:sz w:val="22"/>
          <w:szCs w:val="22"/>
        </w:rPr>
      </w:pPr>
      <w:r w:rsidRPr="002531C8">
        <w:rPr>
          <w:sz w:val="22"/>
          <w:szCs w:val="22"/>
        </w:rPr>
        <w:t xml:space="preserve">This data collection does not </w:t>
      </w:r>
      <w:r w:rsidR="007B2649">
        <w:rPr>
          <w:sz w:val="22"/>
          <w:szCs w:val="22"/>
        </w:rPr>
        <w:t xml:space="preserve">require IRB approval.  </w:t>
      </w:r>
      <w:r w:rsidR="009B3794" w:rsidRPr="002531C8">
        <w:rPr>
          <w:sz w:val="22"/>
          <w:szCs w:val="22"/>
        </w:rPr>
        <w:t xml:space="preserve"> </w:t>
      </w:r>
    </w:p>
    <w:p w14:paraId="14BF04AE" w14:textId="77777777" w:rsidR="008F6ABC" w:rsidRPr="002531C8" w:rsidRDefault="008F6ABC" w:rsidP="008F6ABC">
      <w:pPr>
        <w:widowControl/>
        <w:spacing w:before="120"/>
        <w:rPr>
          <w:sz w:val="22"/>
          <w:szCs w:val="22"/>
        </w:rPr>
      </w:pPr>
    </w:p>
    <w:p w14:paraId="7F2330EF" w14:textId="77777777" w:rsidR="00B50A61" w:rsidRDefault="009B3794" w:rsidP="00B50A61">
      <w:pPr>
        <w:numPr>
          <w:ilvl w:val="0"/>
          <w:numId w:val="2"/>
        </w:numPr>
        <w:tabs>
          <w:tab w:val="num" w:pos="360"/>
        </w:tabs>
        <w:spacing w:before="240"/>
        <w:ind w:left="360"/>
        <w:rPr>
          <w:b/>
          <w:sz w:val="22"/>
          <w:szCs w:val="22"/>
        </w:rPr>
      </w:pPr>
      <w:r w:rsidRPr="002531C8">
        <w:rPr>
          <w:b/>
          <w:sz w:val="22"/>
          <w:szCs w:val="22"/>
          <w:u w:val="single"/>
        </w:rPr>
        <w:t>Justification for Sensitive Questions</w:t>
      </w:r>
    </w:p>
    <w:p w14:paraId="04193874" w14:textId="77777777" w:rsidR="009B3794" w:rsidRDefault="00090374" w:rsidP="00B50A61">
      <w:pPr>
        <w:spacing w:before="240"/>
        <w:rPr>
          <w:sz w:val="22"/>
          <w:szCs w:val="22"/>
        </w:rPr>
      </w:pPr>
      <w:r w:rsidRPr="00B50A61">
        <w:rPr>
          <w:sz w:val="22"/>
          <w:szCs w:val="22"/>
        </w:rPr>
        <w:t>There are no</w:t>
      </w:r>
      <w:r w:rsidR="009B3794" w:rsidRPr="00B50A61">
        <w:rPr>
          <w:sz w:val="22"/>
          <w:szCs w:val="22"/>
        </w:rPr>
        <w:t xml:space="preserve"> </w:t>
      </w:r>
      <w:r w:rsidRPr="00B50A61">
        <w:rPr>
          <w:sz w:val="22"/>
          <w:szCs w:val="22"/>
        </w:rPr>
        <w:t>questions of a sensitive nature</w:t>
      </w:r>
      <w:r w:rsidR="009B3794" w:rsidRPr="00B50A61">
        <w:rPr>
          <w:sz w:val="22"/>
          <w:szCs w:val="22"/>
        </w:rPr>
        <w:t xml:space="preserve">. </w:t>
      </w:r>
    </w:p>
    <w:p w14:paraId="56975A22" w14:textId="77777777" w:rsidR="00B50A61" w:rsidRDefault="00B50A61" w:rsidP="00B50A61">
      <w:pPr>
        <w:spacing w:before="240"/>
        <w:rPr>
          <w:sz w:val="22"/>
          <w:szCs w:val="22"/>
        </w:rPr>
      </w:pPr>
    </w:p>
    <w:p w14:paraId="0769B9B3" w14:textId="77777777" w:rsidR="009B3794" w:rsidRPr="002531C8" w:rsidRDefault="009B3794" w:rsidP="00CA3DA6">
      <w:pPr>
        <w:numPr>
          <w:ilvl w:val="0"/>
          <w:numId w:val="2"/>
        </w:numPr>
        <w:tabs>
          <w:tab w:val="num" w:pos="360"/>
        </w:tabs>
        <w:spacing w:before="240"/>
        <w:ind w:left="360"/>
        <w:rPr>
          <w:sz w:val="22"/>
          <w:szCs w:val="22"/>
        </w:rPr>
      </w:pPr>
      <w:r w:rsidRPr="002531C8">
        <w:rPr>
          <w:b/>
          <w:sz w:val="22"/>
          <w:szCs w:val="22"/>
          <w:u w:val="single"/>
        </w:rPr>
        <w:t xml:space="preserve">Estimates of Annualized Hour and Cost Burden  </w:t>
      </w:r>
    </w:p>
    <w:p w14:paraId="7E05B85A" w14:textId="77777777" w:rsidR="006D403E" w:rsidRPr="002531C8" w:rsidRDefault="006D403E" w:rsidP="006D403E"/>
    <w:p w14:paraId="3C7E5AF8" w14:textId="77777777" w:rsidR="006D403E" w:rsidRPr="002531C8" w:rsidRDefault="006D403E" w:rsidP="006D403E">
      <w:pPr>
        <w:rPr>
          <w:sz w:val="22"/>
          <w:szCs w:val="22"/>
        </w:rPr>
      </w:pPr>
      <w:r w:rsidRPr="002531C8">
        <w:rPr>
          <w:sz w:val="22"/>
          <w:szCs w:val="22"/>
        </w:rPr>
        <w:lastRenderedPageBreak/>
        <w:t xml:space="preserve">The annual burden estimates displayed below are based on consultations with recipients who had previously tested the system functionalities of the </w:t>
      </w:r>
      <w:r w:rsidRPr="00C455BC">
        <w:rPr>
          <w:sz w:val="22"/>
          <w:szCs w:val="22"/>
        </w:rPr>
        <w:t>HIVQM Module</w:t>
      </w:r>
      <w:r w:rsidRPr="002531C8">
        <w:rPr>
          <w:sz w:val="22"/>
          <w:szCs w:val="22"/>
        </w:rPr>
        <w:t>. The estimated annual time and cost burdens to respondents are presented in the tables below:</w:t>
      </w:r>
    </w:p>
    <w:p w14:paraId="5674A2C0" w14:textId="77777777" w:rsidR="006D403E" w:rsidRDefault="006D403E" w:rsidP="006D403E">
      <w:pPr>
        <w:widowControl/>
        <w:tabs>
          <w:tab w:val="num" w:pos="720"/>
        </w:tabs>
        <w:spacing w:before="120"/>
        <w:rPr>
          <w:b/>
          <w:sz w:val="22"/>
          <w:szCs w:val="22"/>
        </w:rPr>
      </w:pPr>
    </w:p>
    <w:p w14:paraId="5394849A" w14:textId="77777777" w:rsidR="00B50A61" w:rsidRPr="002531C8" w:rsidRDefault="00B50A61" w:rsidP="006D403E">
      <w:pPr>
        <w:widowControl/>
        <w:tabs>
          <w:tab w:val="num" w:pos="720"/>
        </w:tabs>
        <w:spacing w:before="120"/>
        <w:rPr>
          <w:b/>
          <w:sz w:val="22"/>
          <w:szCs w:val="22"/>
        </w:rPr>
      </w:pPr>
    </w:p>
    <w:p w14:paraId="03AFF485" w14:textId="77777777" w:rsidR="009B3794" w:rsidRDefault="009B3794" w:rsidP="006D403E">
      <w:pPr>
        <w:widowControl/>
        <w:tabs>
          <w:tab w:val="num" w:pos="720"/>
        </w:tabs>
        <w:spacing w:before="120"/>
        <w:rPr>
          <w:b/>
          <w:sz w:val="22"/>
          <w:szCs w:val="22"/>
        </w:rPr>
      </w:pPr>
      <w:r w:rsidRPr="002531C8">
        <w:rPr>
          <w:b/>
          <w:sz w:val="22"/>
          <w:szCs w:val="22"/>
        </w:rPr>
        <w:t>12A.</w:t>
      </w:r>
      <w:r w:rsidRPr="002531C8">
        <w:rPr>
          <w:sz w:val="22"/>
          <w:szCs w:val="22"/>
        </w:rPr>
        <w:t xml:space="preserve"> </w:t>
      </w:r>
      <w:r w:rsidRPr="002531C8">
        <w:rPr>
          <w:b/>
          <w:sz w:val="22"/>
          <w:szCs w:val="22"/>
        </w:rPr>
        <w:t>Estimated Annualized Burden Hours</w:t>
      </w:r>
    </w:p>
    <w:p w14:paraId="10444D5D" w14:textId="77777777" w:rsidR="00B50A61" w:rsidRPr="002531C8" w:rsidRDefault="00B50A61" w:rsidP="006D403E">
      <w:pPr>
        <w:widowControl/>
        <w:tabs>
          <w:tab w:val="num" w:pos="720"/>
        </w:tabs>
        <w:spacing w:before="120"/>
        <w:rPr>
          <w:sz w:val="22"/>
          <w:szCs w:val="22"/>
        </w:rPr>
      </w:pP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1391"/>
        <w:gridCol w:w="1566"/>
        <w:gridCol w:w="1329"/>
        <w:gridCol w:w="1182"/>
        <w:gridCol w:w="1218"/>
        <w:gridCol w:w="1186"/>
      </w:tblGrid>
      <w:tr w:rsidR="007B2649" w:rsidRPr="002531C8" w14:paraId="5A0CE1C2" w14:textId="77777777" w:rsidTr="007B2649">
        <w:trPr>
          <w:trHeight w:val="1340"/>
        </w:trPr>
        <w:tc>
          <w:tcPr>
            <w:tcW w:w="1511" w:type="dxa"/>
            <w:vAlign w:val="center"/>
          </w:tcPr>
          <w:p w14:paraId="2758A15C" w14:textId="77777777" w:rsidR="007B2649" w:rsidRPr="002531C8" w:rsidRDefault="007B2649" w:rsidP="006D403E">
            <w:pPr>
              <w:widowControl/>
              <w:tabs>
                <w:tab w:val="num" w:pos="1080"/>
              </w:tabs>
              <w:jc w:val="center"/>
              <w:rPr>
                <w:b/>
                <w:bCs/>
                <w:sz w:val="22"/>
                <w:szCs w:val="22"/>
              </w:rPr>
            </w:pPr>
            <w:r w:rsidRPr="002531C8">
              <w:rPr>
                <w:b/>
                <w:bCs/>
                <w:sz w:val="22"/>
                <w:szCs w:val="22"/>
              </w:rPr>
              <w:t>Type of</w:t>
            </w:r>
          </w:p>
          <w:p w14:paraId="0E32FF39" w14:textId="77777777" w:rsidR="007B2649" w:rsidRPr="002531C8" w:rsidRDefault="007B2649" w:rsidP="006D403E">
            <w:pPr>
              <w:widowControl/>
              <w:tabs>
                <w:tab w:val="num" w:pos="1080"/>
              </w:tabs>
              <w:jc w:val="center"/>
              <w:rPr>
                <w:b/>
                <w:bCs/>
                <w:sz w:val="22"/>
                <w:szCs w:val="22"/>
              </w:rPr>
            </w:pPr>
            <w:r w:rsidRPr="002531C8">
              <w:rPr>
                <w:b/>
                <w:bCs/>
                <w:sz w:val="22"/>
                <w:szCs w:val="22"/>
              </w:rPr>
              <w:t>Respondent</w:t>
            </w:r>
          </w:p>
          <w:p w14:paraId="5575D50B" w14:textId="77777777" w:rsidR="007B2649" w:rsidRPr="002531C8" w:rsidRDefault="007B2649" w:rsidP="006D403E">
            <w:pPr>
              <w:widowControl/>
              <w:tabs>
                <w:tab w:val="num" w:pos="1080"/>
              </w:tabs>
              <w:jc w:val="center"/>
              <w:rPr>
                <w:b/>
                <w:bCs/>
                <w:sz w:val="22"/>
                <w:szCs w:val="22"/>
              </w:rPr>
            </w:pPr>
          </w:p>
        </w:tc>
        <w:tc>
          <w:tcPr>
            <w:tcW w:w="1488" w:type="dxa"/>
            <w:vAlign w:val="center"/>
          </w:tcPr>
          <w:p w14:paraId="247AEEB3" w14:textId="77777777" w:rsidR="007B2649" w:rsidRPr="002531C8" w:rsidRDefault="007B2649" w:rsidP="006D403E">
            <w:pPr>
              <w:widowControl/>
              <w:tabs>
                <w:tab w:val="num" w:pos="1080"/>
              </w:tabs>
              <w:jc w:val="center"/>
              <w:rPr>
                <w:b/>
                <w:bCs/>
                <w:sz w:val="22"/>
                <w:szCs w:val="22"/>
              </w:rPr>
            </w:pPr>
            <w:r w:rsidRPr="002531C8">
              <w:rPr>
                <w:b/>
                <w:bCs/>
                <w:sz w:val="22"/>
                <w:szCs w:val="22"/>
              </w:rPr>
              <w:t>Form</w:t>
            </w:r>
          </w:p>
          <w:p w14:paraId="1B240B7E" w14:textId="77777777" w:rsidR="007B2649" w:rsidRPr="002531C8" w:rsidRDefault="007B2649" w:rsidP="006D403E">
            <w:pPr>
              <w:widowControl/>
              <w:tabs>
                <w:tab w:val="num" w:pos="1080"/>
              </w:tabs>
              <w:jc w:val="center"/>
              <w:rPr>
                <w:b/>
                <w:bCs/>
                <w:sz w:val="22"/>
                <w:szCs w:val="22"/>
              </w:rPr>
            </w:pPr>
            <w:r w:rsidRPr="002531C8">
              <w:rPr>
                <w:b/>
                <w:bCs/>
                <w:sz w:val="22"/>
                <w:szCs w:val="22"/>
              </w:rPr>
              <w:t>Name</w:t>
            </w:r>
          </w:p>
          <w:p w14:paraId="50D998AB" w14:textId="77777777" w:rsidR="007B2649" w:rsidRPr="002531C8" w:rsidRDefault="007B2649" w:rsidP="006D403E">
            <w:pPr>
              <w:widowControl/>
              <w:tabs>
                <w:tab w:val="num" w:pos="1080"/>
              </w:tabs>
              <w:jc w:val="center"/>
              <w:rPr>
                <w:b/>
                <w:bCs/>
                <w:sz w:val="22"/>
                <w:szCs w:val="22"/>
              </w:rPr>
            </w:pPr>
          </w:p>
        </w:tc>
        <w:tc>
          <w:tcPr>
            <w:tcW w:w="1600" w:type="dxa"/>
            <w:vAlign w:val="center"/>
          </w:tcPr>
          <w:p w14:paraId="46C2C54B" w14:textId="77777777" w:rsidR="007B2649" w:rsidRPr="002531C8" w:rsidRDefault="007B2649" w:rsidP="006D403E">
            <w:pPr>
              <w:widowControl/>
              <w:tabs>
                <w:tab w:val="num" w:pos="1080"/>
              </w:tabs>
              <w:jc w:val="center"/>
              <w:rPr>
                <w:b/>
                <w:bCs/>
                <w:sz w:val="22"/>
                <w:szCs w:val="22"/>
              </w:rPr>
            </w:pPr>
            <w:r w:rsidRPr="002531C8">
              <w:rPr>
                <w:b/>
                <w:bCs/>
                <w:sz w:val="22"/>
                <w:szCs w:val="22"/>
              </w:rPr>
              <w:t>No. of</w:t>
            </w:r>
          </w:p>
          <w:p w14:paraId="39179AAC" w14:textId="77777777" w:rsidR="007B2649" w:rsidRPr="002531C8" w:rsidRDefault="007B2649" w:rsidP="006D403E">
            <w:pPr>
              <w:widowControl/>
              <w:tabs>
                <w:tab w:val="num" w:pos="1080"/>
              </w:tabs>
              <w:jc w:val="center"/>
              <w:rPr>
                <w:b/>
                <w:bCs/>
                <w:sz w:val="22"/>
                <w:szCs w:val="22"/>
              </w:rPr>
            </w:pPr>
            <w:r w:rsidRPr="002531C8">
              <w:rPr>
                <w:b/>
                <w:bCs/>
                <w:sz w:val="22"/>
                <w:szCs w:val="22"/>
              </w:rPr>
              <w:t>Respondents</w:t>
            </w:r>
          </w:p>
        </w:tc>
        <w:tc>
          <w:tcPr>
            <w:tcW w:w="1329" w:type="dxa"/>
            <w:vAlign w:val="center"/>
          </w:tcPr>
          <w:p w14:paraId="59959CD0" w14:textId="77777777" w:rsidR="007B2649" w:rsidRPr="002531C8" w:rsidRDefault="007B2649" w:rsidP="006D403E">
            <w:pPr>
              <w:widowControl/>
              <w:tabs>
                <w:tab w:val="num" w:pos="1080"/>
              </w:tabs>
              <w:jc w:val="center"/>
              <w:rPr>
                <w:b/>
                <w:bCs/>
                <w:sz w:val="22"/>
                <w:szCs w:val="22"/>
              </w:rPr>
            </w:pPr>
            <w:r w:rsidRPr="002531C8">
              <w:rPr>
                <w:b/>
                <w:bCs/>
                <w:sz w:val="22"/>
                <w:szCs w:val="22"/>
              </w:rPr>
              <w:t>No.</w:t>
            </w:r>
          </w:p>
          <w:p w14:paraId="5BADB9B8" w14:textId="77777777" w:rsidR="007B2649" w:rsidRPr="002531C8" w:rsidRDefault="007B2649" w:rsidP="006D403E">
            <w:pPr>
              <w:widowControl/>
              <w:tabs>
                <w:tab w:val="num" w:pos="1080"/>
              </w:tabs>
              <w:jc w:val="center"/>
              <w:rPr>
                <w:b/>
                <w:bCs/>
                <w:sz w:val="22"/>
                <w:szCs w:val="22"/>
              </w:rPr>
            </w:pPr>
            <w:r w:rsidRPr="002531C8">
              <w:rPr>
                <w:b/>
                <w:bCs/>
                <w:sz w:val="22"/>
                <w:szCs w:val="22"/>
              </w:rPr>
              <w:t>Responses</w:t>
            </w:r>
          </w:p>
          <w:p w14:paraId="32BA9FBC" w14:textId="77777777" w:rsidR="007B2649" w:rsidRPr="002531C8" w:rsidRDefault="007B2649" w:rsidP="006D403E">
            <w:pPr>
              <w:widowControl/>
              <w:tabs>
                <w:tab w:val="num" w:pos="1080"/>
              </w:tabs>
              <w:jc w:val="center"/>
              <w:rPr>
                <w:b/>
                <w:bCs/>
                <w:sz w:val="22"/>
                <w:szCs w:val="22"/>
              </w:rPr>
            </w:pPr>
            <w:r w:rsidRPr="002531C8">
              <w:rPr>
                <w:b/>
                <w:bCs/>
                <w:sz w:val="22"/>
                <w:szCs w:val="22"/>
              </w:rPr>
              <w:t>per</w:t>
            </w:r>
          </w:p>
          <w:p w14:paraId="3C8ECB9C" w14:textId="77777777" w:rsidR="007B2649" w:rsidRPr="002531C8" w:rsidRDefault="007B2649" w:rsidP="006D403E">
            <w:pPr>
              <w:widowControl/>
              <w:tabs>
                <w:tab w:val="num" w:pos="1080"/>
              </w:tabs>
              <w:jc w:val="center"/>
              <w:rPr>
                <w:b/>
                <w:bCs/>
                <w:sz w:val="22"/>
                <w:szCs w:val="22"/>
              </w:rPr>
            </w:pPr>
            <w:r w:rsidRPr="002531C8">
              <w:rPr>
                <w:b/>
                <w:bCs/>
                <w:sz w:val="22"/>
                <w:szCs w:val="22"/>
              </w:rPr>
              <w:t>Respondent</w:t>
            </w:r>
          </w:p>
        </w:tc>
        <w:tc>
          <w:tcPr>
            <w:tcW w:w="1158" w:type="dxa"/>
          </w:tcPr>
          <w:p w14:paraId="6D14E2D7" w14:textId="548FF1E9" w:rsidR="007B2649" w:rsidRPr="002531C8" w:rsidRDefault="007B2649" w:rsidP="006D403E">
            <w:pPr>
              <w:widowControl/>
              <w:tabs>
                <w:tab w:val="num" w:pos="1080"/>
              </w:tabs>
              <w:jc w:val="center"/>
              <w:rPr>
                <w:b/>
                <w:bCs/>
                <w:sz w:val="22"/>
                <w:szCs w:val="22"/>
              </w:rPr>
            </w:pPr>
            <w:r>
              <w:rPr>
                <w:b/>
                <w:bCs/>
                <w:sz w:val="22"/>
                <w:szCs w:val="22"/>
              </w:rPr>
              <w:t xml:space="preserve">Total Responses </w:t>
            </w:r>
          </w:p>
        </w:tc>
        <w:tc>
          <w:tcPr>
            <w:tcW w:w="1245" w:type="dxa"/>
            <w:vAlign w:val="center"/>
          </w:tcPr>
          <w:p w14:paraId="4D25F11E" w14:textId="651EE3C5" w:rsidR="007B2649" w:rsidRPr="002531C8" w:rsidRDefault="007B2649" w:rsidP="006D403E">
            <w:pPr>
              <w:widowControl/>
              <w:tabs>
                <w:tab w:val="num" w:pos="1080"/>
              </w:tabs>
              <w:jc w:val="center"/>
              <w:rPr>
                <w:b/>
                <w:bCs/>
                <w:sz w:val="22"/>
                <w:szCs w:val="22"/>
              </w:rPr>
            </w:pPr>
            <w:r w:rsidRPr="002531C8">
              <w:rPr>
                <w:b/>
                <w:bCs/>
                <w:sz w:val="22"/>
                <w:szCs w:val="22"/>
              </w:rPr>
              <w:t>Average</w:t>
            </w:r>
          </w:p>
          <w:p w14:paraId="439FF6BF" w14:textId="77777777" w:rsidR="007B2649" w:rsidRPr="002531C8" w:rsidRDefault="007B2649" w:rsidP="006D403E">
            <w:pPr>
              <w:widowControl/>
              <w:tabs>
                <w:tab w:val="num" w:pos="1080"/>
              </w:tabs>
              <w:jc w:val="center"/>
              <w:rPr>
                <w:b/>
                <w:bCs/>
                <w:sz w:val="22"/>
                <w:szCs w:val="22"/>
              </w:rPr>
            </w:pPr>
            <w:r w:rsidRPr="002531C8">
              <w:rPr>
                <w:b/>
                <w:bCs/>
                <w:sz w:val="22"/>
                <w:szCs w:val="22"/>
              </w:rPr>
              <w:t>Burden per</w:t>
            </w:r>
          </w:p>
          <w:p w14:paraId="6AC9D7F9" w14:textId="77777777" w:rsidR="007B2649" w:rsidRPr="002531C8" w:rsidRDefault="007B2649" w:rsidP="006D403E">
            <w:pPr>
              <w:widowControl/>
              <w:tabs>
                <w:tab w:val="num" w:pos="1080"/>
              </w:tabs>
              <w:jc w:val="center"/>
              <w:rPr>
                <w:b/>
                <w:bCs/>
                <w:sz w:val="22"/>
                <w:szCs w:val="22"/>
              </w:rPr>
            </w:pPr>
            <w:r w:rsidRPr="002531C8">
              <w:rPr>
                <w:b/>
                <w:bCs/>
                <w:sz w:val="22"/>
                <w:szCs w:val="22"/>
              </w:rPr>
              <w:t>Response</w:t>
            </w:r>
          </w:p>
          <w:p w14:paraId="5C6F5C73" w14:textId="77777777" w:rsidR="007B2649" w:rsidRPr="002531C8" w:rsidRDefault="007B2649" w:rsidP="006D403E">
            <w:pPr>
              <w:widowControl/>
              <w:tabs>
                <w:tab w:val="num" w:pos="1080"/>
              </w:tabs>
              <w:jc w:val="center"/>
              <w:rPr>
                <w:b/>
                <w:bCs/>
                <w:sz w:val="22"/>
                <w:szCs w:val="22"/>
              </w:rPr>
            </w:pPr>
            <w:r w:rsidRPr="002531C8">
              <w:rPr>
                <w:b/>
                <w:bCs/>
                <w:sz w:val="22"/>
                <w:szCs w:val="22"/>
              </w:rPr>
              <w:t>(in hours)</w:t>
            </w:r>
          </w:p>
        </w:tc>
        <w:tc>
          <w:tcPr>
            <w:tcW w:w="1245" w:type="dxa"/>
            <w:vAlign w:val="center"/>
          </w:tcPr>
          <w:p w14:paraId="373A7E52" w14:textId="77777777" w:rsidR="007B2649" w:rsidRPr="002531C8" w:rsidRDefault="007B2649" w:rsidP="006D403E">
            <w:pPr>
              <w:widowControl/>
              <w:tabs>
                <w:tab w:val="num" w:pos="1080"/>
              </w:tabs>
              <w:jc w:val="center"/>
              <w:rPr>
                <w:b/>
                <w:bCs/>
                <w:sz w:val="22"/>
                <w:szCs w:val="22"/>
              </w:rPr>
            </w:pPr>
            <w:r w:rsidRPr="002531C8">
              <w:rPr>
                <w:b/>
                <w:bCs/>
                <w:sz w:val="22"/>
                <w:szCs w:val="22"/>
              </w:rPr>
              <w:t>Total Burden Hours</w:t>
            </w:r>
          </w:p>
        </w:tc>
      </w:tr>
      <w:tr w:rsidR="007B2649" w:rsidRPr="002531C8" w14:paraId="65B6ED77" w14:textId="77777777" w:rsidTr="007B2649">
        <w:trPr>
          <w:trHeight w:val="679"/>
        </w:trPr>
        <w:tc>
          <w:tcPr>
            <w:tcW w:w="1511" w:type="dxa"/>
            <w:vAlign w:val="center"/>
          </w:tcPr>
          <w:p w14:paraId="3B3DC4BD" w14:textId="77777777" w:rsidR="007B2649" w:rsidRPr="002531C8" w:rsidRDefault="007B2649" w:rsidP="008F6ABC">
            <w:pPr>
              <w:widowControl/>
              <w:tabs>
                <w:tab w:val="num" w:pos="1080"/>
              </w:tabs>
              <w:spacing w:before="120"/>
              <w:rPr>
                <w:b/>
                <w:bCs/>
                <w:sz w:val="22"/>
                <w:szCs w:val="22"/>
              </w:rPr>
            </w:pPr>
            <w:r w:rsidRPr="002531C8">
              <w:rPr>
                <w:b/>
                <w:bCs/>
                <w:sz w:val="22"/>
                <w:szCs w:val="22"/>
              </w:rPr>
              <w:t xml:space="preserve">RWHAP Recipient </w:t>
            </w:r>
          </w:p>
        </w:tc>
        <w:tc>
          <w:tcPr>
            <w:tcW w:w="1488" w:type="dxa"/>
            <w:vAlign w:val="center"/>
          </w:tcPr>
          <w:p w14:paraId="4BB16AC4" w14:textId="4BC49CC6" w:rsidR="007B2649" w:rsidRPr="002531C8" w:rsidRDefault="007B2649" w:rsidP="006D403E">
            <w:pPr>
              <w:widowControl/>
              <w:tabs>
                <w:tab w:val="num" w:pos="1080"/>
              </w:tabs>
              <w:spacing w:before="120"/>
              <w:jc w:val="center"/>
              <w:rPr>
                <w:b/>
                <w:bCs/>
                <w:sz w:val="22"/>
                <w:szCs w:val="22"/>
              </w:rPr>
            </w:pPr>
            <w:r w:rsidRPr="002531C8">
              <w:rPr>
                <w:sz w:val="22"/>
                <w:szCs w:val="22"/>
              </w:rPr>
              <w:t>HIVQM Module</w:t>
            </w:r>
          </w:p>
        </w:tc>
        <w:tc>
          <w:tcPr>
            <w:tcW w:w="1600" w:type="dxa"/>
            <w:vAlign w:val="center"/>
          </w:tcPr>
          <w:p w14:paraId="7059AE74" w14:textId="77777777" w:rsidR="007B2649" w:rsidRPr="002531C8" w:rsidRDefault="007B2649" w:rsidP="006D403E">
            <w:pPr>
              <w:widowControl/>
              <w:tabs>
                <w:tab w:val="num" w:pos="1080"/>
              </w:tabs>
              <w:spacing w:before="120"/>
              <w:jc w:val="center"/>
              <w:rPr>
                <w:b/>
                <w:bCs/>
                <w:sz w:val="22"/>
                <w:szCs w:val="22"/>
              </w:rPr>
            </w:pPr>
            <w:r w:rsidRPr="002531C8">
              <w:rPr>
                <w:sz w:val="22"/>
                <w:szCs w:val="22"/>
              </w:rPr>
              <w:t>2,316</w:t>
            </w:r>
          </w:p>
        </w:tc>
        <w:tc>
          <w:tcPr>
            <w:tcW w:w="1329" w:type="dxa"/>
            <w:vAlign w:val="center"/>
          </w:tcPr>
          <w:p w14:paraId="3B867C65" w14:textId="2EEDC09D" w:rsidR="007B2649" w:rsidRPr="002531C8" w:rsidRDefault="00A244AB" w:rsidP="006D403E">
            <w:pPr>
              <w:widowControl/>
              <w:tabs>
                <w:tab w:val="num" w:pos="1080"/>
              </w:tabs>
              <w:spacing w:before="120"/>
              <w:jc w:val="center"/>
              <w:rPr>
                <w:b/>
                <w:bCs/>
                <w:sz w:val="22"/>
                <w:szCs w:val="22"/>
              </w:rPr>
            </w:pPr>
            <w:r>
              <w:rPr>
                <w:sz w:val="22"/>
                <w:szCs w:val="22"/>
              </w:rPr>
              <w:t>4</w:t>
            </w:r>
          </w:p>
        </w:tc>
        <w:tc>
          <w:tcPr>
            <w:tcW w:w="1158" w:type="dxa"/>
          </w:tcPr>
          <w:p w14:paraId="5EBC5661" w14:textId="72030200" w:rsidR="007B2649" w:rsidRPr="002531C8" w:rsidRDefault="00A244AB" w:rsidP="001466C3">
            <w:pPr>
              <w:widowControl/>
              <w:tabs>
                <w:tab w:val="num" w:pos="1080"/>
              </w:tabs>
              <w:spacing w:before="120"/>
              <w:jc w:val="center"/>
              <w:rPr>
                <w:sz w:val="22"/>
                <w:szCs w:val="22"/>
              </w:rPr>
            </w:pPr>
            <w:r>
              <w:rPr>
                <w:sz w:val="22"/>
                <w:szCs w:val="22"/>
              </w:rPr>
              <w:t>9,264</w:t>
            </w:r>
          </w:p>
        </w:tc>
        <w:tc>
          <w:tcPr>
            <w:tcW w:w="1245" w:type="dxa"/>
            <w:vAlign w:val="center"/>
          </w:tcPr>
          <w:p w14:paraId="315F0A08" w14:textId="554F4FFC" w:rsidR="007B2649" w:rsidRPr="002531C8" w:rsidRDefault="007B2649" w:rsidP="006D403E">
            <w:pPr>
              <w:widowControl/>
              <w:tabs>
                <w:tab w:val="num" w:pos="1080"/>
              </w:tabs>
              <w:spacing w:before="120"/>
              <w:jc w:val="center"/>
              <w:rPr>
                <w:b/>
                <w:bCs/>
                <w:sz w:val="22"/>
                <w:szCs w:val="22"/>
              </w:rPr>
            </w:pPr>
            <w:r w:rsidRPr="002531C8">
              <w:rPr>
                <w:sz w:val="22"/>
                <w:szCs w:val="22"/>
              </w:rPr>
              <w:t>1</w:t>
            </w:r>
          </w:p>
        </w:tc>
        <w:tc>
          <w:tcPr>
            <w:tcW w:w="1245" w:type="dxa"/>
            <w:vAlign w:val="center"/>
          </w:tcPr>
          <w:p w14:paraId="2610987E" w14:textId="7870B853" w:rsidR="007B2649" w:rsidRPr="002531C8" w:rsidRDefault="00A244AB" w:rsidP="006D403E">
            <w:pPr>
              <w:widowControl/>
              <w:tabs>
                <w:tab w:val="num" w:pos="1080"/>
              </w:tabs>
              <w:spacing w:before="120"/>
              <w:jc w:val="center"/>
              <w:rPr>
                <w:b/>
                <w:bCs/>
                <w:sz w:val="22"/>
                <w:szCs w:val="22"/>
              </w:rPr>
            </w:pPr>
            <w:r>
              <w:rPr>
                <w:b/>
                <w:bCs/>
                <w:sz w:val="22"/>
                <w:szCs w:val="22"/>
              </w:rPr>
              <w:t>9,264</w:t>
            </w:r>
          </w:p>
        </w:tc>
      </w:tr>
      <w:tr w:rsidR="007B2649" w:rsidRPr="002531C8" w14:paraId="0F9A3898" w14:textId="77777777" w:rsidTr="007B2649">
        <w:trPr>
          <w:trHeight w:val="815"/>
        </w:trPr>
        <w:tc>
          <w:tcPr>
            <w:tcW w:w="1511" w:type="dxa"/>
            <w:vAlign w:val="center"/>
          </w:tcPr>
          <w:p w14:paraId="35C0EA50" w14:textId="77777777" w:rsidR="007B2649" w:rsidRPr="002531C8" w:rsidRDefault="007B2649" w:rsidP="006D403E">
            <w:pPr>
              <w:widowControl/>
              <w:tabs>
                <w:tab w:val="num" w:pos="1080"/>
              </w:tabs>
              <w:spacing w:before="120"/>
              <w:rPr>
                <w:b/>
                <w:bCs/>
                <w:sz w:val="22"/>
                <w:szCs w:val="22"/>
              </w:rPr>
            </w:pPr>
            <w:r w:rsidRPr="002531C8">
              <w:rPr>
                <w:b/>
                <w:bCs/>
                <w:sz w:val="22"/>
                <w:szCs w:val="22"/>
              </w:rPr>
              <w:t>Total</w:t>
            </w:r>
          </w:p>
        </w:tc>
        <w:tc>
          <w:tcPr>
            <w:tcW w:w="1488" w:type="dxa"/>
            <w:vAlign w:val="center"/>
          </w:tcPr>
          <w:p w14:paraId="44E9D11C" w14:textId="77777777" w:rsidR="007B2649" w:rsidRPr="002531C8" w:rsidRDefault="007B2649" w:rsidP="006D403E">
            <w:pPr>
              <w:widowControl/>
              <w:tabs>
                <w:tab w:val="num" w:pos="1080"/>
              </w:tabs>
              <w:spacing w:before="120"/>
              <w:jc w:val="center"/>
              <w:rPr>
                <w:sz w:val="22"/>
                <w:szCs w:val="22"/>
              </w:rPr>
            </w:pPr>
          </w:p>
        </w:tc>
        <w:tc>
          <w:tcPr>
            <w:tcW w:w="1600" w:type="dxa"/>
            <w:vAlign w:val="center"/>
          </w:tcPr>
          <w:p w14:paraId="5907F50A" w14:textId="77777777" w:rsidR="007B2649" w:rsidRPr="002531C8" w:rsidRDefault="007B2649" w:rsidP="006D403E">
            <w:pPr>
              <w:widowControl/>
              <w:tabs>
                <w:tab w:val="num" w:pos="1080"/>
              </w:tabs>
              <w:spacing w:before="120"/>
              <w:jc w:val="center"/>
              <w:rPr>
                <w:b/>
                <w:bCs/>
                <w:sz w:val="22"/>
                <w:szCs w:val="22"/>
              </w:rPr>
            </w:pPr>
            <w:r w:rsidRPr="002531C8">
              <w:rPr>
                <w:sz w:val="22"/>
                <w:szCs w:val="22"/>
              </w:rPr>
              <w:t>2,316</w:t>
            </w:r>
          </w:p>
        </w:tc>
        <w:tc>
          <w:tcPr>
            <w:tcW w:w="1329" w:type="dxa"/>
            <w:vAlign w:val="center"/>
          </w:tcPr>
          <w:p w14:paraId="2150609E" w14:textId="175C51F3" w:rsidR="007B2649" w:rsidRPr="002531C8" w:rsidRDefault="00A244AB" w:rsidP="006D403E">
            <w:pPr>
              <w:widowControl/>
              <w:tabs>
                <w:tab w:val="num" w:pos="1080"/>
              </w:tabs>
              <w:spacing w:before="120"/>
              <w:jc w:val="center"/>
              <w:rPr>
                <w:sz w:val="22"/>
                <w:szCs w:val="22"/>
              </w:rPr>
            </w:pPr>
            <w:r>
              <w:rPr>
                <w:sz w:val="22"/>
                <w:szCs w:val="22"/>
              </w:rPr>
              <w:t>4</w:t>
            </w:r>
          </w:p>
        </w:tc>
        <w:tc>
          <w:tcPr>
            <w:tcW w:w="1158" w:type="dxa"/>
          </w:tcPr>
          <w:p w14:paraId="1DE6D8DC" w14:textId="4BC08C40" w:rsidR="007B2649" w:rsidRPr="002531C8" w:rsidRDefault="00A244AB" w:rsidP="007B2649">
            <w:pPr>
              <w:widowControl/>
              <w:tabs>
                <w:tab w:val="num" w:pos="1080"/>
              </w:tabs>
              <w:spacing w:before="120"/>
              <w:jc w:val="center"/>
              <w:rPr>
                <w:sz w:val="22"/>
                <w:szCs w:val="22"/>
              </w:rPr>
            </w:pPr>
            <w:r>
              <w:rPr>
                <w:sz w:val="22"/>
                <w:szCs w:val="22"/>
              </w:rPr>
              <w:t>9,264</w:t>
            </w:r>
          </w:p>
        </w:tc>
        <w:tc>
          <w:tcPr>
            <w:tcW w:w="1245" w:type="dxa"/>
            <w:vAlign w:val="center"/>
          </w:tcPr>
          <w:p w14:paraId="23975B07" w14:textId="7A4AAD4A" w:rsidR="007B2649" w:rsidRPr="002531C8" w:rsidRDefault="007B2649" w:rsidP="006D403E">
            <w:pPr>
              <w:widowControl/>
              <w:tabs>
                <w:tab w:val="num" w:pos="1080"/>
              </w:tabs>
              <w:spacing w:before="120"/>
              <w:jc w:val="center"/>
              <w:rPr>
                <w:sz w:val="22"/>
                <w:szCs w:val="22"/>
              </w:rPr>
            </w:pPr>
            <w:r w:rsidRPr="002531C8">
              <w:rPr>
                <w:sz w:val="22"/>
                <w:szCs w:val="22"/>
              </w:rPr>
              <w:t>1</w:t>
            </w:r>
          </w:p>
        </w:tc>
        <w:tc>
          <w:tcPr>
            <w:tcW w:w="1245" w:type="dxa"/>
            <w:vAlign w:val="center"/>
          </w:tcPr>
          <w:p w14:paraId="008BD5EB" w14:textId="34D15D33" w:rsidR="007B2649" w:rsidRPr="002531C8" w:rsidRDefault="00A244AB" w:rsidP="006D403E">
            <w:pPr>
              <w:widowControl/>
              <w:tabs>
                <w:tab w:val="num" w:pos="1080"/>
              </w:tabs>
              <w:spacing w:before="120"/>
              <w:jc w:val="center"/>
              <w:rPr>
                <w:sz w:val="22"/>
                <w:szCs w:val="22"/>
              </w:rPr>
            </w:pPr>
            <w:r>
              <w:rPr>
                <w:b/>
                <w:bCs/>
                <w:sz w:val="22"/>
                <w:szCs w:val="22"/>
              </w:rPr>
              <w:t>9,264</w:t>
            </w:r>
          </w:p>
        </w:tc>
      </w:tr>
    </w:tbl>
    <w:p w14:paraId="2A79D6BE" w14:textId="77777777" w:rsidR="00D92E1D" w:rsidRPr="002531C8" w:rsidRDefault="00D92E1D" w:rsidP="00CA3DA6">
      <w:pPr>
        <w:widowControl/>
        <w:tabs>
          <w:tab w:val="num" w:pos="1080"/>
        </w:tabs>
        <w:spacing w:before="120"/>
        <w:ind w:left="2160"/>
        <w:rPr>
          <w:sz w:val="22"/>
          <w:szCs w:val="22"/>
        </w:rPr>
      </w:pPr>
    </w:p>
    <w:p w14:paraId="1F300CDB" w14:textId="70A5A491" w:rsidR="00B50A61" w:rsidRDefault="00B50A61" w:rsidP="00B50A61">
      <w:pPr>
        <w:widowControl/>
        <w:spacing w:before="120"/>
        <w:rPr>
          <w:bCs/>
          <w:sz w:val="22"/>
          <w:szCs w:val="22"/>
        </w:rPr>
      </w:pPr>
      <w:r w:rsidRPr="002531C8">
        <w:rPr>
          <w:sz w:val="22"/>
          <w:szCs w:val="22"/>
        </w:rPr>
        <w:t>The annualized burden costs for recipients is based on the 2010 Bureau of Labor Statistics annual earnings table of f</w:t>
      </w:r>
      <w:r w:rsidRPr="002531C8">
        <w:rPr>
          <w:color w:val="333333"/>
          <w:sz w:val="22"/>
          <w:szCs w:val="22"/>
        </w:rPr>
        <w:t xml:space="preserve">ull-time state and local government workers, </w:t>
      </w:r>
      <w:hyperlink r:id="rId16" w:history="1">
        <w:r w:rsidRPr="00BF23C0">
          <w:rPr>
            <w:rStyle w:val="Hyperlink"/>
            <w:bCs/>
            <w:sz w:val="22"/>
            <w:szCs w:val="22"/>
          </w:rPr>
          <w:t>http://www.bls.gov/ncs/ocs/sp/nctb1514.txt</w:t>
        </w:r>
      </w:hyperlink>
      <w:r w:rsidR="00070B44">
        <w:rPr>
          <w:rStyle w:val="Hyperlink"/>
          <w:bCs/>
          <w:sz w:val="22"/>
          <w:szCs w:val="22"/>
        </w:rPr>
        <w:t>. A respondent takes 1 hour per response for 3 responses and is paid $17.38 per hour. The total costs per respondent annually is $52.14.</w:t>
      </w:r>
    </w:p>
    <w:p w14:paraId="1169F6E1" w14:textId="77777777" w:rsidR="00B50A61" w:rsidRDefault="00B50A61" w:rsidP="00B50A61">
      <w:pPr>
        <w:widowControl/>
        <w:spacing w:before="120"/>
        <w:rPr>
          <w:sz w:val="22"/>
          <w:szCs w:val="22"/>
        </w:rPr>
      </w:pPr>
    </w:p>
    <w:p w14:paraId="2930D23F" w14:textId="77777777" w:rsidR="009B3794" w:rsidRDefault="008A6CC5" w:rsidP="00B50A61">
      <w:pPr>
        <w:widowControl/>
        <w:spacing w:before="120"/>
        <w:rPr>
          <w:b/>
          <w:sz w:val="22"/>
          <w:szCs w:val="22"/>
        </w:rPr>
      </w:pPr>
      <w:r w:rsidRPr="002531C8">
        <w:rPr>
          <w:b/>
          <w:sz w:val="22"/>
          <w:szCs w:val="22"/>
        </w:rPr>
        <w:t xml:space="preserve">12B. </w:t>
      </w:r>
      <w:r w:rsidR="009B3794" w:rsidRPr="002531C8">
        <w:rPr>
          <w:b/>
          <w:sz w:val="22"/>
          <w:szCs w:val="22"/>
        </w:rPr>
        <w:t>Estimated Annualized Burden Costs</w:t>
      </w:r>
    </w:p>
    <w:p w14:paraId="50FE7511" w14:textId="77777777" w:rsidR="00B50A61" w:rsidRPr="002531C8" w:rsidRDefault="00B50A61" w:rsidP="00B50A61">
      <w:pPr>
        <w:widowControl/>
        <w:spacing w:before="120"/>
        <w:rPr>
          <w:b/>
          <w:sz w:val="22"/>
          <w:szCs w:val="22"/>
        </w:rPr>
      </w:pPr>
    </w:p>
    <w:tbl>
      <w:tblPr>
        <w:tblW w:w="83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1330"/>
        <w:gridCol w:w="1429"/>
        <w:gridCol w:w="2856"/>
      </w:tblGrid>
      <w:tr w:rsidR="009B3794" w:rsidRPr="002531C8" w14:paraId="732E29E5" w14:textId="77777777" w:rsidTr="008A6CC5">
        <w:trPr>
          <w:trHeight w:val="1223"/>
        </w:trPr>
        <w:tc>
          <w:tcPr>
            <w:tcW w:w="2755" w:type="dxa"/>
            <w:vAlign w:val="center"/>
          </w:tcPr>
          <w:p w14:paraId="4CDDFBE2" w14:textId="77777777" w:rsidR="009B3794" w:rsidRPr="002531C8" w:rsidRDefault="009B3794" w:rsidP="008A6CC5">
            <w:pPr>
              <w:widowControl/>
              <w:jc w:val="center"/>
              <w:rPr>
                <w:b/>
                <w:bCs/>
                <w:sz w:val="22"/>
                <w:szCs w:val="22"/>
              </w:rPr>
            </w:pPr>
            <w:r w:rsidRPr="002531C8">
              <w:rPr>
                <w:b/>
                <w:bCs/>
                <w:sz w:val="22"/>
                <w:szCs w:val="22"/>
              </w:rPr>
              <w:t>Type of</w:t>
            </w:r>
          </w:p>
          <w:p w14:paraId="7B14E211" w14:textId="77777777" w:rsidR="009B3794" w:rsidRPr="002531C8" w:rsidRDefault="009B3794" w:rsidP="008A6CC5">
            <w:pPr>
              <w:widowControl/>
              <w:jc w:val="center"/>
              <w:rPr>
                <w:sz w:val="22"/>
                <w:szCs w:val="22"/>
              </w:rPr>
            </w:pPr>
            <w:r w:rsidRPr="002531C8">
              <w:rPr>
                <w:b/>
                <w:bCs/>
                <w:sz w:val="22"/>
                <w:szCs w:val="22"/>
              </w:rPr>
              <w:t>Respondent</w:t>
            </w:r>
          </w:p>
          <w:p w14:paraId="6B31A5A0" w14:textId="77777777" w:rsidR="009B3794" w:rsidRPr="002531C8" w:rsidRDefault="009B3794" w:rsidP="008A6CC5">
            <w:pPr>
              <w:widowControl/>
              <w:jc w:val="center"/>
              <w:rPr>
                <w:b/>
                <w:bCs/>
                <w:sz w:val="22"/>
                <w:szCs w:val="22"/>
              </w:rPr>
            </w:pPr>
          </w:p>
        </w:tc>
        <w:tc>
          <w:tcPr>
            <w:tcW w:w="1330" w:type="dxa"/>
            <w:vAlign w:val="center"/>
          </w:tcPr>
          <w:p w14:paraId="6AABEA47" w14:textId="77777777" w:rsidR="009B3794" w:rsidRPr="002531C8" w:rsidRDefault="009B3794" w:rsidP="008A6CC5">
            <w:pPr>
              <w:widowControl/>
              <w:jc w:val="center"/>
              <w:rPr>
                <w:b/>
                <w:bCs/>
                <w:sz w:val="22"/>
                <w:szCs w:val="22"/>
              </w:rPr>
            </w:pPr>
            <w:r w:rsidRPr="002531C8">
              <w:rPr>
                <w:b/>
                <w:bCs/>
                <w:sz w:val="22"/>
                <w:szCs w:val="22"/>
              </w:rPr>
              <w:t>Total Burden</w:t>
            </w:r>
          </w:p>
          <w:p w14:paraId="60478912" w14:textId="77777777" w:rsidR="009B3794" w:rsidRPr="002531C8" w:rsidRDefault="009B3794" w:rsidP="008A6CC5">
            <w:pPr>
              <w:widowControl/>
              <w:jc w:val="center"/>
              <w:rPr>
                <w:sz w:val="22"/>
                <w:szCs w:val="22"/>
              </w:rPr>
            </w:pPr>
            <w:r w:rsidRPr="002531C8">
              <w:rPr>
                <w:b/>
                <w:bCs/>
                <w:sz w:val="22"/>
                <w:szCs w:val="22"/>
              </w:rPr>
              <w:t>Hours</w:t>
            </w:r>
          </w:p>
          <w:p w14:paraId="33626B3B" w14:textId="77777777" w:rsidR="009B3794" w:rsidRPr="002531C8" w:rsidRDefault="009B3794" w:rsidP="008A6CC5">
            <w:pPr>
              <w:widowControl/>
              <w:jc w:val="center"/>
              <w:rPr>
                <w:b/>
                <w:bCs/>
                <w:sz w:val="22"/>
                <w:szCs w:val="22"/>
              </w:rPr>
            </w:pPr>
          </w:p>
        </w:tc>
        <w:tc>
          <w:tcPr>
            <w:tcW w:w="1429" w:type="dxa"/>
            <w:vAlign w:val="center"/>
          </w:tcPr>
          <w:p w14:paraId="61B87B4A" w14:textId="77777777" w:rsidR="009B3794" w:rsidRPr="002531C8" w:rsidRDefault="009B3794" w:rsidP="008A6CC5">
            <w:pPr>
              <w:widowControl/>
              <w:jc w:val="center"/>
              <w:rPr>
                <w:b/>
                <w:bCs/>
                <w:sz w:val="22"/>
                <w:szCs w:val="22"/>
              </w:rPr>
            </w:pPr>
            <w:r w:rsidRPr="002531C8">
              <w:rPr>
                <w:b/>
                <w:bCs/>
                <w:sz w:val="22"/>
                <w:szCs w:val="22"/>
              </w:rPr>
              <w:t>Hourly</w:t>
            </w:r>
          </w:p>
          <w:p w14:paraId="7D5EC34F" w14:textId="77777777" w:rsidR="009B3794" w:rsidRPr="002531C8" w:rsidRDefault="009B3794" w:rsidP="008A6CC5">
            <w:pPr>
              <w:widowControl/>
              <w:jc w:val="center"/>
              <w:rPr>
                <w:sz w:val="22"/>
                <w:szCs w:val="22"/>
              </w:rPr>
            </w:pPr>
            <w:r w:rsidRPr="002531C8">
              <w:rPr>
                <w:b/>
                <w:bCs/>
                <w:sz w:val="22"/>
                <w:szCs w:val="22"/>
              </w:rPr>
              <w:t>Wage Rate</w:t>
            </w:r>
          </w:p>
          <w:p w14:paraId="3777B073" w14:textId="77777777" w:rsidR="009B3794" w:rsidRPr="002531C8" w:rsidRDefault="009B3794" w:rsidP="008A6CC5">
            <w:pPr>
              <w:widowControl/>
              <w:jc w:val="center"/>
              <w:rPr>
                <w:b/>
                <w:bCs/>
                <w:sz w:val="22"/>
                <w:szCs w:val="22"/>
              </w:rPr>
            </w:pPr>
          </w:p>
        </w:tc>
        <w:tc>
          <w:tcPr>
            <w:tcW w:w="2856" w:type="dxa"/>
            <w:vAlign w:val="center"/>
          </w:tcPr>
          <w:p w14:paraId="05B90446" w14:textId="77777777" w:rsidR="009B3794" w:rsidRPr="002531C8" w:rsidRDefault="009B3794" w:rsidP="008A6CC5">
            <w:pPr>
              <w:widowControl/>
              <w:jc w:val="center"/>
              <w:rPr>
                <w:sz w:val="22"/>
                <w:szCs w:val="22"/>
              </w:rPr>
            </w:pPr>
            <w:r w:rsidRPr="002531C8">
              <w:rPr>
                <w:b/>
                <w:bCs/>
                <w:sz w:val="22"/>
                <w:szCs w:val="22"/>
              </w:rPr>
              <w:t>Total Respondent Costs</w:t>
            </w:r>
          </w:p>
          <w:p w14:paraId="25E59266" w14:textId="77777777" w:rsidR="009B3794" w:rsidRPr="002531C8" w:rsidRDefault="009B3794" w:rsidP="008A6CC5">
            <w:pPr>
              <w:widowControl/>
              <w:jc w:val="center"/>
              <w:rPr>
                <w:b/>
                <w:bCs/>
                <w:sz w:val="22"/>
                <w:szCs w:val="22"/>
              </w:rPr>
            </w:pPr>
          </w:p>
        </w:tc>
      </w:tr>
      <w:tr w:rsidR="009B3794" w:rsidRPr="002531C8" w14:paraId="4757DD28" w14:textId="77777777" w:rsidTr="008F6ABC">
        <w:trPr>
          <w:trHeight w:val="710"/>
        </w:trPr>
        <w:tc>
          <w:tcPr>
            <w:tcW w:w="2755" w:type="dxa"/>
            <w:vAlign w:val="center"/>
          </w:tcPr>
          <w:p w14:paraId="4D0A2409" w14:textId="77777777" w:rsidR="007609F8" w:rsidRPr="002531C8" w:rsidRDefault="007609F8" w:rsidP="008A6CC5">
            <w:pPr>
              <w:spacing w:before="120"/>
              <w:rPr>
                <w:sz w:val="22"/>
                <w:szCs w:val="22"/>
              </w:rPr>
            </w:pPr>
            <w:r w:rsidRPr="002531C8">
              <w:rPr>
                <w:sz w:val="22"/>
                <w:szCs w:val="22"/>
              </w:rPr>
              <w:t>Health Information Technician</w:t>
            </w:r>
          </w:p>
        </w:tc>
        <w:tc>
          <w:tcPr>
            <w:tcW w:w="1330" w:type="dxa"/>
            <w:vAlign w:val="center"/>
          </w:tcPr>
          <w:p w14:paraId="19155233" w14:textId="5EF14138" w:rsidR="009B3794" w:rsidRPr="002531C8" w:rsidRDefault="00A244AB" w:rsidP="008A6CC5">
            <w:pPr>
              <w:spacing w:before="120"/>
              <w:jc w:val="center"/>
              <w:rPr>
                <w:sz w:val="22"/>
                <w:szCs w:val="22"/>
              </w:rPr>
            </w:pPr>
            <w:r>
              <w:rPr>
                <w:sz w:val="22"/>
                <w:szCs w:val="22"/>
              </w:rPr>
              <w:t>4</w:t>
            </w:r>
          </w:p>
        </w:tc>
        <w:tc>
          <w:tcPr>
            <w:tcW w:w="1429" w:type="dxa"/>
            <w:vAlign w:val="center"/>
          </w:tcPr>
          <w:p w14:paraId="61FF3BB4" w14:textId="0F2BA684" w:rsidR="009B3794" w:rsidRPr="002531C8" w:rsidRDefault="00A244AB" w:rsidP="008A6CC5">
            <w:pPr>
              <w:spacing w:before="120"/>
              <w:jc w:val="center"/>
              <w:rPr>
                <w:sz w:val="22"/>
                <w:szCs w:val="22"/>
              </w:rPr>
            </w:pPr>
            <w:r>
              <w:rPr>
                <w:sz w:val="22"/>
                <w:szCs w:val="22"/>
              </w:rPr>
              <w:t>$</w:t>
            </w:r>
            <w:r w:rsidR="007609F8" w:rsidRPr="002531C8">
              <w:rPr>
                <w:sz w:val="22"/>
                <w:szCs w:val="22"/>
              </w:rPr>
              <w:t>17.38</w:t>
            </w:r>
          </w:p>
        </w:tc>
        <w:tc>
          <w:tcPr>
            <w:tcW w:w="2856" w:type="dxa"/>
            <w:vAlign w:val="center"/>
          </w:tcPr>
          <w:p w14:paraId="17A245AE" w14:textId="685FFD6C" w:rsidR="009B3794" w:rsidRPr="002531C8" w:rsidRDefault="008A6CC5" w:rsidP="008A6CC5">
            <w:pPr>
              <w:spacing w:before="120"/>
              <w:jc w:val="center"/>
              <w:rPr>
                <w:sz w:val="22"/>
                <w:szCs w:val="22"/>
              </w:rPr>
            </w:pPr>
            <w:r w:rsidRPr="002531C8">
              <w:rPr>
                <w:sz w:val="22"/>
                <w:szCs w:val="22"/>
              </w:rPr>
              <w:t>$</w:t>
            </w:r>
            <w:r w:rsidR="00A244AB">
              <w:rPr>
                <w:sz w:val="22"/>
                <w:szCs w:val="22"/>
              </w:rPr>
              <w:t>69.52</w:t>
            </w:r>
          </w:p>
        </w:tc>
      </w:tr>
      <w:tr w:rsidR="009B3794" w:rsidRPr="002531C8" w14:paraId="5ADD0E1D" w14:textId="77777777" w:rsidTr="008A6CC5">
        <w:trPr>
          <w:trHeight w:val="440"/>
        </w:trPr>
        <w:tc>
          <w:tcPr>
            <w:tcW w:w="2755" w:type="dxa"/>
            <w:vAlign w:val="center"/>
          </w:tcPr>
          <w:p w14:paraId="10CC232C" w14:textId="77777777" w:rsidR="009B3794" w:rsidRPr="002531C8" w:rsidRDefault="009B3794" w:rsidP="008A6CC5">
            <w:pPr>
              <w:widowControl/>
              <w:spacing w:before="120"/>
              <w:rPr>
                <w:sz w:val="22"/>
                <w:szCs w:val="22"/>
              </w:rPr>
            </w:pPr>
            <w:r w:rsidRPr="002531C8">
              <w:rPr>
                <w:sz w:val="22"/>
                <w:szCs w:val="22"/>
              </w:rPr>
              <w:t>Total</w:t>
            </w:r>
          </w:p>
        </w:tc>
        <w:tc>
          <w:tcPr>
            <w:tcW w:w="1330" w:type="dxa"/>
            <w:vAlign w:val="center"/>
          </w:tcPr>
          <w:p w14:paraId="026E0815" w14:textId="458A10A5" w:rsidR="009B3794" w:rsidRPr="002531C8" w:rsidRDefault="00A244AB" w:rsidP="008A6CC5">
            <w:pPr>
              <w:widowControl/>
              <w:spacing w:before="120"/>
              <w:jc w:val="center"/>
              <w:rPr>
                <w:sz w:val="22"/>
                <w:szCs w:val="22"/>
              </w:rPr>
            </w:pPr>
            <w:r>
              <w:rPr>
                <w:sz w:val="22"/>
                <w:szCs w:val="22"/>
              </w:rPr>
              <w:t>4</w:t>
            </w:r>
          </w:p>
        </w:tc>
        <w:tc>
          <w:tcPr>
            <w:tcW w:w="1429" w:type="dxa"/>
            <w:vAlign w:val="center"/>
          </w:tcPr>
          <w:p w14:paraId="5238D0D7" w14:textId="77777777" w:rsidR="009B3794" w:rsidRPr="002531C8" w:rsidRDefault="009B3794" w:rsidP="008A6CC5">
            <w:pPr>
              <w:widowControl/>
              <w:spacing w:before="120"/>
              <w:jc w:val="center"/>
              <w:rPr>
                <w:sz w:val="22"/>
                <w:szCs w:val="22"/>
              </w:rPr>
            </w:pPr>
          </w:p>
        </w:tc>
        <w:tc>
          <w:tcPr>
            <w:tcW w:w="2856" w:type="dxa"/>
            <w:vAlign w:val="center"/>
          </w:tcPr>
          <w:p w14:paraId="68B09F52" w14:textId="5CAD5FCF" w:rsidR="009B3794" w:rsidRPr="002531C8" w:rsidRDefault="009B3794" w:rsidP="008A6CC5">
            <w:pPr>
              <w:widowControl/>
              <w:spacing w:before="120"/>
              <w:jc w:val="center"/>
              <w:rPr>
                <w:sz w:val="22"/>
                <w:szCs w:val="22"/>
              </w:rPr>
            </w:pPr>
            <w:r w:rsidRPr="002531C8">
              <w:rPr>
                <w:sz w:val="22"/>
                <w:szCs w:val="22"/>
              </w:rPr>
              <w:t>$</w:t>
            </w:r>
            <w:r w:rsidR="00A244AB">
              <w:rPr>
                <w:sz w:val="22"/>
                <w:szCs w:val="22"/>
              </w:rPr>
              <w:t>69.52</w:t>
            </w:r>
          </w:p>
        </w:tc>
      </w:tr>
    </w:tbl>
    <w:p w14:paraId="6D735C01" w14:textId="77777777" w:rsidR="00D11CA3" w:rsidRPr="002531C8" w:rsidRDefault="00D11CA3" w:rsidP="00D11CA3">
      <w:pPr>
        <w:spacing w:before="240"/>
        <w:ind w:left="360"/>
        <w:rPr>
          <w:sz w:val="22"/>
          <w:szCs w:val="22"/>
        </w:rPr>
      </w:pPr>
    </w:p>
    <w:p w14:paraId="7D9D7AA9" w14:textId="77777777" w:rsidR="00B50A61" w:rsidRPr="00B50A61" w:rsidRDefault="009B3794" w:rsidP="00B50A61">
      <w:pPr>
        <w:numPr>
          <w:ilvl w:val="0"/>
          <w:numId w:val="2"/>
        </w:numPr>
        <w:tabs>
          <w:tab w:val="num" w:pos="360"/>
        </w:tabs>
        <w:spacing w:before="240"/>
        <w:ind w:left="360"/>
        <w:rPr>
          <w:b/>
          <w:sz w:val="22"/>
          <w:szCs w:val="22"/>
        </w:rPr>
      </w:pPr>
      <w:r w:rsidRPr="002531C8">
        <w:rPr>
          <w:b/>
          <w:sz w:val="22"/>
          <w:szCs w:val="22"/>
          <w:u w:val="single"/>
        </w:rPr>
        <w:t xml:space="preserve">Estimates of other Total Annual Cost Burden to Respondents or </w:t>
      </w:r>
      <w:proofErr w:type="spellStart"/>
      <w:r w:rsidRPr="002531C8">
        <w:rPr>
          <w:b/>
          <w:sz w:val="22"/>
          <w:szCs w:val="22"/>
          <w:u w:val="single"/>
        </w:rPr>
        <w:t>Recordkeepers</w:t>
      </w:r>
      <w:proofErr w:type="spellEnd"/>
      <w:r w:rsidRPr="002531C8">
        <w:rPr>
          <w:b/>
          <w:sz w:val="22"/>
          <w:szCs w:val="22"/>
          <w:u w:val="single"/>
        </w:rPr>
        <w:t>/Capital Costs</w:t>
      </w:r>
    </w:p>
    <w:p w14:paraId="1D779F9B" w14:textId="77777777" w:rsidR="00D11CA3" w:rsidRDefault="00D11CA3" w:rsidP="00B50A61">
      <w:pPr>
        <w:spacing w:before="240"/>
        <w:rPr>
          <w:sz w:val="22"/>
          <w:szCs w:val="22"/>
        </w:rPr>
      </w:pPr>
      <w:r w:rsidRPr="00B50A61">
        <w:rPr>
          <w:sz w:val="22"/>
          <w:szCs w:val="22"/>
        </w:rPr>
        <w:t>Other than their time, t</w:t>
      </w:r>
      <w:r w:rsidR="00090374" w:rsidRPr="00B50A61">
        <w:rPr>
          <w:sz w:val="22"/>
          <w:szCs w:val="22"/>
        </w:rPr>
        <w:t>here is no cost to respondents.</w:t>
      </w:r>
    </w:p>
    <w:p w14:paraId="1132BAAE" w14:textId="77777777" w:rsidR="00B50A61" w:rsidRPr="00B50A61" w:rsidRDefault="00B50A61" w:rsidP="00B50A61">
      <w:pPr>
        <w:spacing w:before="240"/>
        <w:rPr>
          <w:b/>
          <w:sz w:val="22"/>
          <w:szCs w:val="22"/>
        </w:rPr>
      </w:pPr>
    </w:p>
    <w:p w14:paraId="62304F9E" w14:textId="77777777" w:rsidR="00B50A61" w:rsidRDefault="009B3794" w:rsidP="00B50A61">
      <w:pPr>
        <w:numPr>
          <w:ilvl w:val="0"/>
          <w:numId w:val="2"/>
        </w:numPr>
        <w:tabs>
          <w:tab w:val="num" w:pos="360"/>
        </w:tabs>
        <w:spacing w:before="240"/>
        <w:ind w:left="360"/>
        <w:rPr>
          <w:b/>
          <w:sz w:val="22"/>
          <w:szCs w:val="22"/>
        </w:rPr>
      </w:pPr>
      <w:r w:rsidRPr="002531C8">
        <w:rPr>
          <w:b/>
          <w:sz w:val="22"/>
          <w:szCs w:val="22"/>
          <w:u w:val="single"/>
        </w:rPr>
        <w:t>Annualized Cost to Federal Government</w:t>
      </w:r>
      <w:r w:rsidR="00BA3E25">
        <w:rPr>
          <w:b/>
          <w:sz w:val="22"/>
          <w:szCs w:val="22"/>
          <w:u w:val="single"/>
        </w:rPr>
        <w:br/>
      </w:r>
    </w:p>
    <w:p w14:paraId="726B5941" w14:textId="1EDF2993" w:rsidR="00BA3E25" w:rsidRPr="00BA3E25" w:rsidRDefault="00BA3E25" w:rsidP="00BA3E25">
      <w:pPr>
        <w:rPr>
          <w:sz w:val="22"/>
          <w:szCs w:val="22"/>
        </w:rPr>
      </w:pPr>
      <w:r w:rsidRPr="00BA3E25">
        <w:rPr>
          <w:sz w:val="22"/>
          <w:szCs w:val="22"/>
        </w:rPr>
        <w:t xml:space="preserve">The contract task that </w:t>
      </w:r>
      <w:r w:rsidR="002576CB">
        <w:rPr>
          <w:sz w:val="22"/>
          <w:szCs w:val="22"/>
        </w:rPr>
        <w:t xml:space="preserve">supported the initial system setup and </w:t>
      </w:r>
      <w:r w:rsidRPr="00BA3E25">
        <w:rPr>
          <w:sz w:val="22"/>
          <w:szCs w:val="22"/>
        </w:rPr>
        <w:t xml:space="preserve">supports </w:t>
      </w:r>
      <w:r w:rsidR="002576CB">
        <w:rPr>
          <w:sz w:val="22"/>
          <w:szCs w:val="22"/>
        </w:rPr>
        <w:t xml:space="preserve">system maintenance and </w:t>
      </w:r>
      <w:r w:rsidRPr="00BA3E25">
        <w:rPr>
          <w:sz w:val="22"/>
          <w:szCs w:val="22"/>
        </w:rPr>
        <w:t xml:space="preserve">data collection efforts each year is $120,000. In addition, there will be the cost for a GS 13 (Step 5) at 12% (approximately $12,500) and a GS 14 (Step 5) at 6% (approximately $7,400) time to monitor the project. The estimated total cost is $139,900.  </w:t>
      </w:r>
    </w:p>
    <w:p w14:paraId="1B4C124B" w14:textId="77777777" w:rsidR="007609F8" w:rsidRPr="002531C8" w:rsidRDefault="007609F8" w:rsidP="007609F8">
      <w:pPr>
        <w:widowControl/>
        <w:autoSpaceDE/>
        <w:autoSpaceDN/>
        <w:adjustRightInd/>
        <w:spacing w:after="160" w:line="259" w:lineRule="auto"/>
        <w:contextualSpacing/>
        <w:rPr>
          <w:sz w:val="24"/>
        </w:rPr>
      </w:pPr>
    </w:p>
    <w:p w14:paraId="50668E81" w14:textId="77777777" w:rsidR="00B50A61" w:rsidRPr="00B50A61" w:rsidRDefault="009B3794" w:rsidP="00B50A61">
      <w:pPr>
        <w:numPr>
          <w:ilvl w:val="0"/>
          <w:numId w:val="2"/>
        </w:numPr>
        <w:tabs>
          <w:tab w:val="num" w:pos="360"/>
        </w:tabs>
        <w:spacing w:before="240"/>
        <w:ind w:left="360"/>
        <w:rPr>
          <w:b/>
          <w:sz w:val="22"/>
          <w:szCs w:val="22"/>
        </w:rPr>
      </w:pPr>
      <w:r w:rsidRPr="002531C8">
        <w:rPr>
          <w:b/>
          <w:sz w:val="22"/>
          <w:szCs w:val="22"/>
          <w:u w:val="single"/>
        </w:rPr>
        <w:t>Explanation for Program Changes or Adjustments</w:t>
      </w:r>
    </w:p>
    <w:p w14:paraId="0975BABE" w14:textId="77777777" w:rsidR="009B3794" w:rsidRDefault="009B3794" w:rsidP="00B50A61">
      <w:pPr>
        <w:spacing w:before="240"/>
        <w:rPr>
          <w:sz w:val="22"/>
          <w:szCs w:val="22"/>
        </w:rPr>
      </w:pPr>
      <w:r w:rsidRPr="00B50A61">
        <w:rPr>
          <w:sz w:val="22"/>
          <w:szCs w:val="22"/>
        </w:rPr>
        <w:t xml:space="preserve">This is a new </w:t>
      </w:r>
      <w:r w:rsidR="00FE6C30" w:rsidRPr="00B50A61">
        <w:rPr>
          <w:sz w:val="22"/>
          <w:szCs w:val="22"/>
        </w:rPr>
        <w:t>information</w:t>
      </w:r>
      <w:r w:rsidRPr="00B50A61">
        <w:rPr>
          <w:sz w:val="22"/>
          <w:szCs w:val="22"/>
        </w:rPr>
        <w:t xml:space="preserve"> collection.</w:t>
      </w:r>
    </w:p>
    <w:p w14:paraId="0489B044" w14:textId="77777777" w:rsidR="00B50A61" w:rsidRPr="00B50A61" w:rsidRDefault="00B50A61" w:rsidP="00B50A61">
      <w:pPr>
        <w:spacing w:before="240"/>
        <w:rPr>
          <w:b/>
          <w:sz w:val="22"/>
          <w:szCs w:val="22"/>
        </w:rPr>
      </w:pPr>
    </w:p>
    <w:p w14:paraId="313BDEBF" w14:textId="77777777" w:rsidR="00B50A61" w:rsidRDefault="009B3794" w:rsidP="00B50A61">
      <w:pPr>
        <w:numPr>
          <w:ilvl w:val="0"/>
          <w:numId w:val="2"/>
        </w:numPr>
        <w:tabs>
          <w:tab w:val="num" w:pos="360"/>
        </w:tabs>
        <w:spacing w:before="240"/>
        <w:ind w:left="360"/>
        <w:rPr>
          <w:b/>
          <w:sz w:val="22"/>
          <w:szCs w:val="22"/>
        </w:rPr>
      </w:pPr>
      <w:r w:rsidRPr="002531C8">
        <w:rPr>
          <w:b/>
          <w:sz w:val="22"/>
          <w:szCs w:val="22"/>
          <w:u w:val="single"/>
        </w:rPr>
        <w:t>Plans for Tabulation</w:t>
      </w:r>
      <w:r w:rsidR="002118B4" w:rsidRPr="002531C8">
        <w:rPr>
          <w:b/>
          <w:sz w:val="22"/>
          <w:szCs w:val="22"/>
          <w:u w:val="single"/>
        </w:rPr>
        <w:t xml:space="preserve">, </w:t>
      </w:r>
      <w:r w:rsidRPr="002531C8">
        <w:rPr>
          <w:b/>
          <w:sz w:val="22"/>
          <w:szCs w:val="22"/>
          <w:u w:val="single"/>
        </w:rPr>
        <w:t>Publication</w:t>
      </w:r>
      <w:r w:rsidR="002118B4" w:rsidRPr="002531C8">
        <w:rPr>
          <w:b/>
          <w:sz w:val="22"/>
          <w:szCs w:val="22"/>
          <w:u w:val="single"/>
        </w:rPr>
        <w:t>,</w:t>
      </w:r>
      <w:r w:rsidRPr="002531C8">
        <w:rPr>
          <w:b/>
          <w:sz w:val="22"/>
          <w:szCs w:val="22"/>
          <w:u w:val="single"/>
        </w:rPr>
        <w:t xml:space="preserve"> and Project Time Schedule</w:t>
      </w:r>
    </w:p>
    <w:p w14:paraId="60DD0825" w14:textId="447C4BD3" w:rsidR="00B50A61" w:rsidRDefault="00F7196E" w:rsidP="00B50A61">
      <w:pPr>
        <w:spacing w:before="240"/>
        <w:rPr>
          <w:b/>
          <w:sz w:val="22"/>
          <w:szCs w:val="22"/>
        </w:rPr>
      </w:pPr>
      <w:r w:rsidRPr="00B50A61">
        <w:rPr>
          <w:sz w:val="22"/>
          <w:szCs w:val="22"/>
        </w:rPr>
        <w:t>The information collected will not be published, tabulated or manipulated by HAB</w:t>
      </w:r>
      <w:r w:rsidR="00503C21">
        <w:rPr>
          <w:sz w:val="22"/>
          <w:szCs w:val="22"/>
        </w:rPr>
        <w:t xml:space="preserve"> or any other entity</w:t>
      </w:r>
      <w:r w:rsidRPr="00B50A61">
        <w:rPr>
          <w:sz w:val="22"/>
          <w:szCs w:val="22"/>
        </w:rPr>
        <w:t xml:space="preserve">. The purpose of this data collection is </w:t>
      </w:r>
      <w:r w:rsidR="006022AD" w:rsidRPr="00B50A61">
        <w:rPr>
          <w:sz w:val="22"/>
          <w:szCs w:val="22"/>
        </w:rPr>
        <w:t>to give</w:t>
      </w:r>
      <w:r w:rsidRPr="00B50A61">
        <w:rPr>
          <w:sz w:val="22"/>
          <w:szCs w:val="22"/>
        </w:rPr>
        <w:t xml:space="preserve"> </w:t>
      </w:r>
      <w:r w:rsidR="00F96010">
        <w:rPr>
          <w:sz w:val="22"/>
          <w:szCs w:val="22"/>
        </w:rPr>
        <w:t>RWHAP</w:t>
      </w:r>
      <w:r w:rsidR="006022AD" w:rsidRPr="00B50A61">
        <w:rPr>
          <w:sz w:val="22"/>
          <w:szCs w:val="22"/>
        </w:rPr>
        <w:t xml:space="preserve"> recipients the ability to calculate their performance measures by entering a denominator that represents</w:t>
      </w:r>
      <w:r w:rsidR="00CF196A" w:rsidRPr="00B50A61">
        <w:rPr>
          <w:sz w:val="22"/>
          <w:szCs w:val="22"/>
        </w:rPr>
        <w:t xml:space="preserve"> the number of patients who should receive a specific care or service and a numerator that represents that number of patients who actually received the care or service during a 12-month period. Recipients can then </w:t>
      </w:r>
      <w:r w:rsidRPr="00B50A61">
        <w:rPr>
          <w:sz w:val="22"/>
          <w:szCs w:val="22"/>
        </w:rPr>
        <w:t>create their own reports for the purposes of evaluating their program and</w:t>
      </w:r>
      <w:r w:rsidR="00CF196A" w:rsidRPr="00B50A61">
        <w:rPr>
          <w:sz w:val="22"/>
          <w:szCs w:val="22"/>
        </w:rPr>
        <w:t>/or</w:t>
      </w:r>
      <w:r w:rsidRPr="00B50A61">
        <w:rPr>
          <w:sz w:val="22"/>
          <w:szCs w:val="22"/>
        </w:rPr>
        <w:t xml:space="preserve"> comparing their data with other organizations</w:t>
      </w:r>
      <w:r w:rsidR="00CF196A" w:rsidRPr="00B50A61">
        <w:rPr>
          <w:sz w:val="22"/>
          <w:szCs w:val="22"/>
        </w:rPr>
        <w:t xml:space="preserve"> regionally and nationally.</w:t>
      </w:r>
    </w:p>
    <w:p w14:paraId="1A8E6D94" w14:textId="03C7E79F" w:rsidR="006022AD" w:rsidRPr="00B50A61" w:rsidRDefault="00F7196E" w:rsidP="00B50A61">
      <w:pPr>
        <w:spacing w:before="240"/>
        <w:rPr>
          <w:b/>
          <w:sz w:val="22"/>
          <w:szCs w:val="22"/>
        </w:rPr>
      </w:pPr>
      <w:r w:rsidRPr="002531C8">
        <w:rPr>
          <w:sz w:val="22"/>
          <w:szCs w:val="22"/>
        </w:rPr>
        <w:t xml:space="preserve">The HIVQM </w:t>
      </w:r>
      <w:r w:rsidR="00071249">
        <w:rPr>
          <w:sz w:val="22"/>
          <w:szCs w:val="22"/>
        </w:rPr>
        <w:t>M</w:t>
      </w:r>
      <w:r w:rsidRPr="002531C8">
        <w:rPr>
          <w:sz w:val="22"/>
          <w:szCs w:val="22"/>
        </w:rPr>
        <w:t xml:space="preserve">odule will be available to </w:t>
      </w:r>
      <w:r w:rsidR="00071249">
        <w:rPr>
          <w:sz w:val="22"/>
          <w:szCs w:val="22"/>
        </w:rPr>
        <w:t>RWHAP</w:t>
      </w:r>
      <w:r w:rsidRPr="002531C8">
        <w:rPr>
          <w:sz w:val="22"/>
          <w:szCs w:val="22"/>
        </w:rPr>
        <w:t xml:space="preserve"> recipients to enter </w:t>
      </w:r>
      <w:r w:rsidR="006022AD" w:rsidRPr="002531C8">
        <w:rPr>
          <w:sz w:val="22"/>
          <w:szCs w:val="22"/>
        </w:rPr>
        <w:t xml:space="preserve">annual </w:t>
      </w:r>
      <w:r w:rsidRPr="002531C8">
        <w:rPr>
          <w:sz w:val="22"/>
          <w:szCs w:val="22"/>
        </w:rPr>
        <w:t xml:space="preserve">data three times a year. Below </w:t>
      </w:r>
      <w:r w:rsidR="006022AD" w:rsidRPr="002531C8">
        <w:rPr>
          <w:sz w:val="22"/>
          <w:szCs w:val="22"/>
        </w:rPr>
        <w:t xml:space="preserve">is the schedule specifying the annual period. </w:t>
      </w:r>
    </w:p>
    <w:p w14:paraId="650E7D16" w14:textId="77777777" w:rsidR="006022AD" w:rsidRPr="002531C8" w:rsidRDefault="006022AD" w:rsidP="00CA3DA6">
      <w:pPr>
        <w:spacing w:before="120"/>
        <w:ind w:left="36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8"/>
        <w:gridCol w:w="2880"/>
        <w:gridCol w:w="3777"/>
      </w:tblGrid>
      <w:tr w:rsidR="00CF196A" w:rsidRPr="002531C8" w14:paraId="26F7E536" w14:textId="77777777" w:rsidTr="002531C8">
        <w:trPr>
          <w:trHeight w:val="293"/>
          <w:jc w:val="center"/>
        </w:trPr>
        <w:tc>
          <w:tcPr>
            <w:tcW w:w="2338" w:type="dxa"/>
            <w:shd w:val="clear" w:color="auto" w:fill="auto"/>
            <w:tcMar>
              <w:top w:w="0" w:type="dxa"/>
              <w:left w:w="108" w:type="dxa"/>
              <w:bottom w:w="0" w:type="dxa"/>
              <w:right w:w="108" w:type="dxa"/>
            </w:tcMar>
            <w:vAlign w:val="center"/>
            <w:hideMark/>
          </w:tcPr>
          <w:p w14:paraId="77E1A947" w14:textId="77777777" w:rsidR="00CF196A" w:rsidRPr="002531C8" w:rsidRDefault="00CF196A" w:rsidP="00CF196A">
            <w:pPr>
              <w:autoSpaceDE/>
              <w:autoSpaceDN/>
              <w:adjustRightInd/>
              <w:rPr>
                <w:b/>
                <w:spacing w:val="-1"/>
                <w:sz w:val="22"/>
                <w:szCs w:val="22"/>
              </w:rPr>
            </w:pPr>
            <w:bookmarkStart w:id="1" w:name="RSRExemptions"/>
            <w:bookmarkStart w:id="2" w:name="GPRelationships"/>
            <w:r w:rsidRPr="002531C8">
              <w:rPr>
                <w:b/>
                <w:spacing w:val="-1"/>
                <w:sz w:val="22"/>
                <w:szCs w:val="22"/>
              </w:rPr>
              <w:t>HIVQM Module Opens</w:t>
            </w:r>
          </w:p>
        </w:tc>
        <w:tc>
          <w:tcPr>
            <w:tcW w:w="2880" w:type="dxa"/>
            <w:shd w:val="clear" w:color="auto" w:fill="auto"/>
            <w:tcMar>
              <w:top w:w="0" w:type="dxa"/>
              <w:left w:w="108" w:type="dxa"/>
              <w:bottom w:w="0" w:type="dxa"/>
              <w:right w:w="108" w:type="dxa"/>
            </w:tcMar>
            <w:vAlign w:val="center"/>
            <w:hideMark/>
          </w:tcPr>
          <w:p w14:paraId="27280567" w14:textId="77777777" w:rsidR="00CF196A" w:rsidRPr="002531C8" w:rsidRDefault="00CF196A" w:rsidP="00CF196A">
            <w:pPr>
              <w:autoSpaceDE/>
              <w:autoSpaceDN/>
              <w:adjustRightInd/>
              <w:rPr>
                <w:b/>
                <w:spacing w:val="-1"/>
                <w:sz w:val="22"/>
                <w:szCs w:val="22"/>
              </w:rPr>
            </w:pPr>
            <w:r w:rsidRPr="002531C8">
              <w:rPr>
                <w:b/>
                <w:spacing w:val="-1"/>
                <w:sz w:val="22"/>
                <w:szCs w:val="22"/>
              </w:rPr>
              <w:t>HIVQM Module Closes</w:t>
            </w:r>
          </w:p>
        </w:tc>
        <w:tc>
          <w:tcPr>
            <w:tcW w:w="3777" w:type="dxa"/>
            <w:shd w:val="clear" w:color="auto" w:fill="auto"/>
            <w:tcMar>
              <w:top w:w="0" w:type="dxa"/>
              <w:left w:w="108" w:type="dxa"/>
              <w:bottom w:w="0" w:type="dxa"/>
              <w:right w:w="108" w:type="dxa"/>
            </w:tcMar>
            <w:vAlign w:val="center"/>
            <w:hideMark/>
          </w:tcPr>
          <w:p w14:paraId="4563F697" w14:textId="77777777" w:rsidR="00CF196A" w:rsidRPr="002531C8" w:rsidRDefault="00CF196A" w:rsidP="00CF196A">
            <w:pPr>
              <w:autoSpaceDE/>
              <w:autoSpaceDN/>
              <w:adjustRightInd/>
              <w:rPr>
                <w:b/>
                <w:spacing w:val="-1"/>
                <w:sz w:val="22"/>
                <w:szCs w:val="22"/>
              </w:rPr>
            </w:pPr>
            <w:r w:rsidRPr="002531C8">
              <w:rPr>
                <w:b/>
                <w:spacing w:val="-1"/>
                <w:sz w:val="22"/>
                <w:szCs w:val="22"/>
              </w:rPr>
              <w:t>Measurement Year/ Period</w:t>
            </w:r>
          </w:p>
        </w:tc>
      </w:tr>
      <w:tr w:rsidR="00CF196A" w:rsidRPr="002531C8" w14:paraId="1B0854A5" w14:textId="77777777" w:rsidTr="002531C8">
        <w:trPr>
          <w:trHeight w:val="293"/>
          <w:jc w:val="center"/>
        </w:trPr>
        <w:tc>
          <w:tcPr>
            <w:tcW w:w="2338" w:type="dxa"/>
            <w:tcMar>
              <w:top w:w="0" w:type="dxa"/>
              <w:left w:w="108" w:type="dxa"/>
              <w:bottom w:w="0" w:type="dxa"/>
              <w:right w:w="108" w:type="dxa"/>
            </w:tcMar>
            <w:hideMark/>
          </w:tcPr>
          <w:p w14:paraId="0F2100BE" w14:textId="77777777" w:rsidR="00CF196A" w:rsidRPr="002531C8" w:rsidRDefault="00CF196A" w:rsidP="00CF196A">
            <w:pPr>
              <w:autoSpaceDE/>
              <w:autoSpaceDN/>
              <w:adjustRightInd/>
              <w:rPr>
                <w:spacing w:val="-1"/>
                <w:sz w:val="22"/>
                <w:szCs w:val="22"/>
              </w:rPr>
            </w:pPr>
            <w:r w:rsidRPr="002531C8">
              <w:rPr>
                <w:spacing w:val="-1"/>
                <w:sz w:val="22"/>
                <w:szCs w:val="22"/>
              </w:rPr>
              <w:t>November 1, 2016</w:t>
            </w:r>
          </w:p>
        </w:tc>
        <w:tc>
          <w:tcPr>
            <w:tcW w:w="2880" w:type="dxa"/>
            <w:tcMar>
              <w:top w:w="0" w:type="dxa"/>
              <w:left w:w="108" w:type="dxa"/>
              <w:bottom w:w="0" w:type="dxa"/>
              <w:right w:w="108" w:type="dxa"/>
            </w:tcMar>
            <w:hideMark/>
          </w:tcPr>
          <w:p w14:paraId="00262E60" w14:textId="77777777" w:rsidR="00CF196A" w:rsidRPr="002531C8" w:rsidRDefault="00CF196A" w:rsidP="00CF196A">
            <w:pPr>
              <w:autoSpaceDE/>
              <w:autoSpaceDN/>
              <w:adjustRightInd/>
              <w:rPr>
                <w:spacing w:val="-1"/>
                <w:sz w:val="22"/>
                <w:szCs w:val="22"/>
              </w:rPr>
            </w:pPr>
            <w:r w:rsidRPr="002531C8">
              <w:rPr>
                <w:spacing w:val="-1"/>
                <w:sz w:val="22"/>
                <w:szCs w:val="22"/>
              </w:rPr>
              <w:t>November 30, 2016</w:t>
            </w:r>
          </w:p>
        </w:tc>
        <w:tc>
          <w:tcPr>
            <w:tcW w:w="3777" w:type="dxa"/>
            <w:tcMar>
              <w:top w:w="0" w:type="dxa"/>
              <w:left w:w="108" w:type="dxa"/>
              <w:bottom w:w="0" w:type="dxa"/>
              <w:right w:w="108" w:type="dxa"/>
            </w:tcMar>
            <w:hideMark/>
          </w:tcPr>
          <w:p w14:paraId="53CDD8F0" w14:textId="77777777" w:rsidR="00CF196A" w:rsidRPr="002531C8" w:rsidRDefault="00CF196A" w:rsidP="00CF196A">
            <w:pPr>
              <w:autoSpaceDE/>
              <w:autoSpaceDN/>
              <w:adjustRightInd/>
              <w:rPr>
                <w:spacing w:val="-1"/>
                <w:sz w:val="22"/>
                <w:szCs w:val="22"/>
              </w:rPr>
            </w:pPr>
            <w:r w:rsidRPr="002531C8">
              <w:rPr>
                <w:spacing w:val="-1"/>
                <w:sz w:val="22"/>
                <w:szCs w:val="22"/>
              </w:rPr>
              <w:t>September 1, 2015 – August 31, 2016</w:t>
            </w:r>
          </w:p>
        </w:tc>
      </w:tr>
      <w:tr w:rsidR="00CF196A" w:rsidRPr="002531C8" w14:paraId="50784B8A" w14:textId="77777777" w:rsidTr="002531C8">
        <w:trPr>
          <w:trHeight w:val="293"/>
          <w:jc w:val="center"/>
        </w:trPr>
        <w:tc>
          <w:tcPr>
            <w:tcW w:w="2338" w:type="dxa"/>
            <w:tcMar>
              <w:top w:w="0" w:type="dxa"/>
              <w:left w:w="108" w:type="dxa"/>
              <w:bottom w:w="0" w:type="dxa"/>
              <w:right w:w="108" w:type="dxa"/>
            </w:tcMar>
          </w:tcPr>
          <w:p w14:paraId="29A3FD8F" w14:textId="77777777" w:rsidR="00CF196A" w:rsidRPr="002531C8" w:rsidRDefault="00CF196A" w:rsidP="00CF196A">
            <w:pPr>
              <w:autoSpaceDE/>
              <w:autoSpaceDN/>
              <w:adjustRightInd/>
              <w:rPr>
                <w:spacing w:val="-1"/>
                <w:sz w:val="22"/>
                <w:szCs w:val="22"/>
              </w:rPr>
            </w:pPr>
            <w:bookmarkStart w:id="3" w:name="_Ryan_White_HIV/AIDS"/>
            <w:bookmarkEnd w:id="1"/>
            <w:bookmarkEnd w:id="2"/>
            <w:bookmarkEnd w:id="3"/>
            <w:r w:rsidRPr="002531C8">
              <w:rPr>
                <w:spacing w:val="-1"/>
                <w:sz w:val="22"/>
                <w:szCs w:val="22"/>
              </w:rPr>
              <w:t>March 1, 2017</w:t>
            </w:r>
          </w:p>
        </w:tc>
        <w:tc>
          <w:tcPr>
            <w:tcW w:w="2880" w:type="dxa"/>
            <w:tcMar>
              <w:top w:w="0" w:type="dxa"/>
              <w:left w:w="108" w:type="dxa"/>
              <w:bottom w:w="0" w:type="dxa"/>
              <w:right w:w="108" w:type="dxa"/>
            </w:tcMar>
          </w:tcPr>
          <w:p w14:paraId="13431298" w14:textId="77777777" w:rsidR="00CF196A" w:rsidRPr="002531C8" w:rsidRDefault="00CF196A" w:rsidP="00CF196A">
            <w:pPr>
              <w:autoSpaceDE/>
              <w:autoSpaceDN/>
              <w:adjustRightInd/>
              <w:rPr>
                <w:spacing w:val="-1"/>
                <w:sz w:val="22"/>
                <w:szCs w:val="22"/>
              </w:rPr>
            </w:pPr>
            <w:r w:rsidRPr="002531C8">
              <w:rPr>
                <w:spacing w:val="-1"/>
                <w:sz w:val="22"/>
                <w:szCs w:val="22"/>
              </w:rPr>
              <w:t>March 31, 2017</w:t>
            </w:r>
          </w:p>
        </w:tc>
        <w:tc>
          <w:tcPr>
            <w:tcW w:w="3777" w:type="dxa"/>
            <w:tcMar>
              <w:top w:w="0" w:type="dxa"/>
              <w:left w:w="108" w:type="dxa"/>
              <w:bottom w:w="0" w:type="dxa"/>
              <w:right w:w="108" w:type="dxa"/>
            </w:tcMar>
          </w:tcPr>
          <w:p w14:paraId="0F2D1B2D" w14:textId="77777777" w:rsidR="00CF196A" w:rsidRPr="002531C8" w:rsidRDefault="00CF196A" w:rsidP="00CF196A">
            <w:pPr>
              <w:autoSpaceDE/>
              <w:autoSpaceDN/>
              <w:adjustRightInd/>
              <w:rPr>
                <w:spacing w:val="-1"/>
                <w:sz w:val="22"/>
                <w:szCs w:val="22"/>
              </w:rPr>
            </w:pPr>
            <w:r w:rsidRPr="002531C8">
              <w:rPr>
                <w:spacing w:val="-1"/>
                <w:sz w:val="22"/>
                <w:szCs w:val="22"/>
              </w:rPr>
              <w:t>January 1, 2017 - December 31, 2017</w:t>
            </w:r>
          </w:p>
        </w:tc>
      </w:tr>
      <w:tr w:rsidR="00BA3E25" w:rsidRPr="002531C8" w14:paraId="344E6DBA" w14:textId="77777777" w:rsidTr="002531C8">
        <w:trPr>
          <w:trHeight w:val="293"/>
          <w:jc w:val="center"/>
        </w:trPr>
        <w:tc>
          <w:tcPr>
            <w:tcW w:w="2338" w:type="dxa"/>
            <w:tcMar>
              <w:top w:w="0" w:type="dxa"/>
              <w:left w:w="108" w:type="dxa"/>
              <w:bottom w:w="0" w:type="dxa"/>
              <w:right w:w="108" w:type="dxa"/>
            </w:tcMar>
          </w:tcPr>
          <w:p w14:paraId="31F6BDD5" w14:textId="77777777" w:rsidR="00BA3E25" w:rsidRPr="002531C8" w:rsidRDefault="00BA3E25" w:rsidP="00BA3E25">
            <w:pPr>
              <w:autoSpaceDE/>
              <w:autoSpaceDN/>
              <w:adjustRightInd/>
              <w:rPr>
                <w:spacing w:val="-1"/>
                <w:sz w:val="22"/>
                <w:szCs w:val="22"/>
              </w:rPr>
            </w:pPr>
            <w:r w:rsidRPr="002531C8">
              <w:rPr>
                <w:spacing w:val="-1"/>
                <w:sz w:val="22"/>
                <w:szCs w:val="22"/>
              </w:rPr>
              <w:t>July 1, 201</w:t>
            </w:r>
            <w:r>
              <w:rPr>
                <w:spacing w:val="-1"/>
                <w:sz w:val="22"/>
                <w:szCs w:val="22"/>
              </w:rPr>
              <w:t>7</w:t>
            </w:r>
          </w:p>
        </w:tc>
        <w:tc>
          <w:tcPr>
            <w:tcW w:w="2880" w:type="dxa"/>
            <w:tcMar>
              <w:top w:w="0" w:type="dxa"/>
              <w:left w:w="108" w:type="dxa"/>
              <w:bottom w:w="0" w:type="dxa"/>
              <w:right w:w="108" w:type="dxa"/>
            </w:tcMar>
          </w:tcPr>
          <w:p w14:paraId="61DD5FE8" w14:textId="77777777" w:rsidR="00BA3E25" w:rsidRPr="002531C8" w:rsidRDefault="00BA3E25" w:rsidP="00BA3E25">
            <w:pPr>
              <w:autoSpaceDE/>
              <w:autoSpaceDN/>
              <w:adjustRightInd/>
              <w:rPr>
                <w:spacing w:val="-1"/>
                <w:sz w:val="22"/>
                <w:szCs w:val="22"/>
              </w:rPr>
            </w:pPr>
            <w:r w:rsidRPr="002531C8">
              <w:rPr>
                <w:spacing w:val="-1"/>
                <w:sz w:val="22"/>
                <w:szCs w:val="22"/>
              </w:rPr>
              <w:t>July 31, 201</w:t>
            </w:r>
            <w:r>
              <w:rPr>
                <w:spacing w:val="-1"/>
                <w:sz w:val="22"/>
                <w:szCs w:val="22"/>
              </w:rPr>
              <w:t>7</w:t>
            </w:r>
          </w:p>
        </w:tc>
        <w:tc>
          <w:tcPr>
            <w:tcW w:w="3777" w:type="dxa"/>
            <w:tcMar>
              <w:top w:w="0" w:type="dxa"/>
              <w:left w:w="108" w:type="dxa"/>
              <w:bottom w:w="0" w:type="dxa"/>
              <w:right w:w="108" w:type="dxa"/>
            </w:tcMar>
          </w:tcPr>
          <w:p w14:paraId="04B524B9" w14:textId="77777777" w:rsidR="00BA3E25" w:rsidRPr="002531C8" w:rsidRDefault="00BA3E25" w:rsidP="00BA3E25">
            <w:pPr>
              <w:autoSpaceDE/>
              <w:autoSpaceDN/>
              <w:adjustRightInd/>
              <w:rPr>
                <w:spacing w:val="-1"/>
                <w:sz w:val="22"/>
                <w:szCs w:val="22"/>
              </w:rPr>
            </w:pPr>
            <w:r w:rsidRPr="002531C8">
              <w:rPr>
                <w:spacing w:val="-1"/>
                <w:sz w:val="22"/>
                <w:szCs w:val="22"/>
              </w:rPr>
              <w:t>May 1, 201</w:t>
            </w:r>
            <w:r>
              <w:rPr>
                <w:spacing w:val="-1"/>
                <w:sz w:val="22"/>
                <w:szCs w:val="22"/>
              </w:rPr>
              <w:t>6</w:t>
            </w:r>
            <w:r w:rsidRPr="002531C8">
              <w:rPr>
                <w:spacing w:val="-1"/>
                <w:sz w:val="22"/>
                <w:szCs w:val="22"/>
              </w:rPr>
              <w:t xml:space="preserve"> - April 30, 201</w:t>
            </w:r>
            <w:r>
              <w:rPr>
                <w:spacing w:val="-1"/>
                <w:sz w:val="22"/>
                <w:szCs w:val="22"/>
              </w:rPr>
              <w:t>7</w:t>
            </w:r>
          </w:p>
        </w:tc>
      </w:tr>
    </w:tbl>
    <w:p w14:paraId="3FD44BF7" w14:textId="77777777" w:rsidR="00CF196A" w:rsidRPr="002531C8" w:rsidRDefault="00CF196A" w:rsidP="00CA3DA6">
      <w:pPr>
        <w:spacing w:before="120"/>
        <w:ind w:left="360"/>
        <w:rPr>
          <w:sz w:val="22"/>
          <w:szCs w:val="22"/>
        </w:rPr>
      </w:pPr>
    </w:p>
    <w:p w14:paraId="4E7322F0" w14:textId="77777777" w:rsidR="00B50A61" w:rsidRPr="00B50A61" w:rsidRDefault="009B3794" w:rsidP="00B50A61">
      <w:pPr>
        <w:numPr>
          <w:ilvl w:val="0"/>
          <w:numId w:val="2"/>
        </w:numPr>
        <w:tabs>
          <w:tab w:val="num" w:pos="360"/>
        </w:tabs>
        <w:spacing w:before="240"/>
        <w:ind w:left="360"/>
        <w:rPr>
          <w:b/>
          <w:sz w:val="22"/>
          <w:szCs w:val="22"/>
        </w:rPr>
      </w:pPr>
      <w:r w:rsidRPr="002531C8">
        <w:rPr>
          <w:b/>
          <w:sz w:val="22"/>
          <w:szCs w:val="22"/>
          <w:u w:val="single"/>
        </w:rPr>
        <w:t>Reason(s) Display of OMB Expiration Date is Inappropriate</w:t>
      </w:r>
    </w:p>
    <w:p w14:paraId="321033B8" w14:textId="02416830" w:rsidR="009B3794" w:rsidRDefault="00D11CA3" w:rsidP="00B50A61">
      <w:pPr>
        <w:spacing w:before="240"/>
        <w:rPr>
          <w:sz w:val="22"/>
          <w:szCs w:val="22"/>
        </w:rPr>
      </w:pPr>
      <w:r w:rsidRPr="00B50A61">
        <w:rPr>
          <w:sz w:val="22"/>
          <w:szCs w:val="22"/>
        </w:rPr>
        <w:t>The OMB number and Expiration date will be displayed on every</w:t>
      </w:r>
      <w:r w:rsidR="00090374" w:rsidRPr="00B50A61">
        <w:rPr>
          <w:sz w:val="22"/>
          <w:szCs w:val="22"/>
        </w:rPr>
        <w:t xml:space="preserve"> page of </w:t>
      </w:r>
      <w:r w:rsidR="0057440A">
        <w:rPr>
          <w:sz w:val="22"/>
          <w:szCs w:val="22"/>
        </w:rPr>
        <w:t xml:space="preserve">the </w:t>
      </w:r>
      <w:r w:rsidR="00090374" w:rsidRPr="00B50A61">
        <w:rPr>
          <w:sz w:val="22"/>
          <w:szCs w:val="22"/>
        </w:rPr>
        <w:t>instrument.</w:t>
      </w:r>
    </w:p>
    <w:p w14:paraId="329CEE37" w14:textId="77777777" w:rsidR="00B50A61" w:rsidRPr="00B50A61" w:rsidRDefault="00B50A61" w:rsidP="00B50A61">
      <w:pPr>
        <w:spacing w:before="240"/>
        <w:rPr>
          <w:b/>
          <w:sz w:val="22"/>
          <w:szCs w:val="22"/>
        </w:rPr>
      </w:pPr>
    </w:p>
    <w:p w14:paraId="496B7BB0" w14:textId="77777777" w:rsidR="00B50A61" w:rsidRPr="00B50A61" w:rsidRDefault="009B3794" w:rsidP="00B50A61">
      <w:pPr>
        <w:numPr>
          <w:ilvl w:val="0"/>
          <w:numId w:val="2"/>
        </w:numPr>
        <w:tabs>
          <w:tab w:val="num" w:pos="360"/>
        </w:tabs>
        <w:spacing w:before="240"/>
        <w:ind w:left="360"/>
        <w:rPr>
          <w:b/>
          <w:sz w:val="22"/>
          <w:szCs w:val="22"/>
        </w:rPr>
      </w:pPr>
      <w:r w:rsidRPr="002531C8">
        <w:rPr>
          <w:b/>
          <w:sz w:val="22"/>
          <w:szCs w:val="22"/>
          <w:u w:val="single"/>
        </w:rPr>
        <w:t>Exceptions to Certification for Paperwork Reduction Act Submissions</w:t>
      </w:r>
    </w:p>
    <w:p w14:paraId="3B74E242" w14:textId="77777777" w:rsidR="009B3794" w:rsidRPr="00B50A61" w:rsidRDefault="009B3794" w:rsidP="00B50A61">
      <w:pPr>
        <w:spacing w:before="240"/>
        <w:rPr>
          <w:b/>
          <w:sz w:val="22"/>
          <w:szCs w:val="22"/>
        </w:rPr>
      </w:pPr>
      <w:r w:rsidRPr="00B50A61">
        <w:rPr>
          <w:sz w:val="22"/>
          <w:szCs w:val="22"/>
        </w:rPr>
        <w:t>There are no exceptions to the certification.</w:t>
      </w:r>
    </w:p>
    <w:p w14:paraId="0E18D738" w14:textId="77777777" w:rsidR="00090374" w:rsidRPr="00090374" w:rsidRDefault="00090374">
      <w:pPr>
        <w:pStyle w:val="BodyTextIndent"/>
        <w:spacing w:before="120"/>
        <w:ind w:left="360"/>
        <w:rPr>
          <w:rFonts w:ascii="Times New Roman" w:hAnsi="Times New Roman"/>
          <w:sz w:val="22"/>
          <w:szCs w:val="22"/>
        </w:rPr>
      </w:pPr>
    </w:p>
    <w:sectPr w:rsidR="00090374" w:rsidRPr="00090374" w:rsidSect="001D4856">
      <w:footerReference w:type="default" r:id="rId1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75C54" w14:textId="77777777" w:rsidR="00DD2E4B" w:rsidRDefault="00DD2E4B">
      <w:r>
        <w:separator/>
      </w:r>
    </w:p>
  </w:endnote>
  <w:endnote w:type="continuationSeparator" w:id="0">
    <w:p w14:paraId="2EBE1F7F" w14:textId="77777777" w:rsidR="00DD2E4B" w:rsidRDefault="00DD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60D5A" w14:textId="77777777" w:rsidR="00D92E1D" w:rsidRDefault="00D92E1D">
    <w:pPr>
      <w:spacing w:line="240" w:lineRule="exact"/>
    </w:pPr>
  </w:p>
  <w:p w14:paraId="554B28A2" w14:textId="503D1557"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1466C3">
      <w:rPr>
        <w:noProof/>
        <w:sz w:val="24"/>
      </w:rPr>
      <w:t>5</w:t>
    </w:r>
    <w:r>
      <w:rPr>
        <w:sz w:val="24"/>
      </w:rPr>
      <w:fldChar w:fldCharType="end"/>
    </w:r>
  </w:p>
  <w:p w14:paraId="3F62C11E" w14:textId="77777777" w:rsidR="00D92E1D" w:rsidRDefault="00D92E1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869E9" w14:textId="77777777" w:rsidR="00DD2E4B" w:rsidRDefault="00DD2E4B">
      <w:r>
        <w:separator/>
      </w:r>
    </w:p>
  </w:footnote>
  <w:footnote w:type="continuationSeparator" w:id="0">
    <w:p w14:paraId="0972A81E" w14:textId="77777777" w:rsidR="00DD2E4B" w:rsidRDefault="00DD2E4B">
      <w:r>
        <w:continuationSeparator/>
      </w:r>
    </w:p>
  </w:footnote>
  <w:footnote w:id="1">
    <w:p w14:paraId="2FF5F129" w14:textId="77777777" w:rsidR="002A136D" w:rsidRDefault="002A136D">
      <w:pPr>
        <w:pStyle w:val="FootnoteText"/>
      </w:pPr>
      <w:r w:rsidRPr="007B2649">
        <w:rPr>
          <w:rStyle w:val="FootnoteReference"/>
          <w:vertAlign w:val="superscript"/>
        </w:rPr>
        <w:footnoteRef/>
      </w:r>
      <w:r>
        <w:t xml:space="preserve"> See Sections 2604(h)(5), 2618(b)(3)(E), 2664(g)(5), and 2671(f)(2) of the PHS Act.</w:t>
      </w:r>
    </w:p>
    <w:p w14:paraId="0931807F" w14:textId="77777777" w:rsidR="000238F6" w:rsidRDefault="000238F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63AD8"/>
    <w:multiLevelType w:val="hybridMultilevel"/>
    <w:tmpl w:val="70D872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2FCB3441"/>
    <w:multiLevelType w:val="hybridMultilevel"/>
    <w:tmpl w:val="38D83DD4"/>
    <w:lvl w:ilvl="0" w:tplc="4A921966">
      <w:start w:val="1"/>
      <w:numFmt w:val="bullet"/>
      <w:lvlText w:val=""/>
      <w:lvlJc w:val="left"/>
      <w:pPr>
        <w:ind w:left="990" w:hanging="360"/>
      </w:pPr>
      <w:rPr>
        <w:rFonts w:ascii="Symbol" w:hAnsi="Symbol" w:hint="default"/>
        <w:b w:val="0"/>
        <w:i w:val="0"/>
        <w:color w:val="auto"/>
        <w:position w:val="2"/>
        <w:sz w:val="20"/>
      </w:rPr>
    </w:lvl>
    <w:lvl w:ilvl="1" w:tplc="04090003">
      <w:start w:val="1"/>
      <w:numFmt w:val="bullet"/>
      <w:lvlText w:val="o"/>
      <w:lvlJc w:val="left"/>
      <w:pPr>
        <w:ind w:left="1714" w:hanging="360"/>
      </w:pPr>
      <w:rPr>
        <w:rFonts w:ascii="Courier New" w:hAnsi="Courier New" w:cs="Courier New" w:hint="default"/>
      </w:rPr>
    </w:lvl>
    <w:lvl w:ilvl="2" w:tplc="04090005">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7"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8"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1D7109"/>
    <w:multiLevelType w:val="hybridMultilevel"/>
    <w:tmpl w:val="462ED118"/>
    <w:lvl w:ilvl="0" w:tplc="17BC0AFE">
      <w:start w:val="1"/>
      <w:numFmt w:val="decimal"/>
      <w:lvlText w:val="%1."/>
      <w:lvlJc w:val="left"/>
      <w:pPr>
        <w:tabs>
          <w:tab w:val="num" w:pos="5940"/>
        </w:tabs>
        <w:ind w:left="594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8"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15:restartNumberingAfterBreak="0">
    <w:nsid w:val="7E6F45B4"/>
    <w:multiLevelType w:val="hybridMultilevel"/>
    <w:tmpl w:val="7D9C55E4"/>
    <w:styleLink w:val="StyleBulleted33"/>
    <w:lvl w:ilvl="0" w:tplc="842626D8">
      <w:start w:val="1"/>
      <w:numFmt w:val="bullet"/>
      <w:pStyle w:val="Answerbulleted"/>
      <w:lvlText w:val=""/>
      <w:lvlJc w:val="left"/>
      <w:pPr>
        <w:ind w:left="990" w:hanging="360"/>
      </w:pPr>
      <w:rPr>
        <w:rFonts w:ascii="Symbol" w:hAnsi="Symbol" w:hint="default"/>
        <w:b w:val="0"/>
        <w:i w:val="0"/>
        <w:color w:val="5C85BC"/>
        <w:position w:val="2"/>
        <w:sz w:val="20"/>
      </w:rPr>
    </w:lvl>
    <w:lvl w:ilvl="1" w:tplc="04090003">
      <w:start w:val="1"/>
      <w:numFmt w:val="bullet"/>
      <w:lvlText w:val="o"/>
      <w:lvlJc w:val="left"/>
      <w:pPr>
        <w:ind w:left="1714" w:hanging="360"/>
      </w:pPr>
      <w:rPr>
        <w:rFonts w:ascii="Courier New" w:hAnsi="Courier New" w:hint="default"/>
      </w:rPr>
    </w:lvl>
    <w:lvl w:ilvl="2" w:tplc="04090005">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44"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5"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5"/>
  </w:num>
  <w:num w:numId="2">
    <w:abstractNumId w:val="23"/>
  </w:num>
  <w:num w:numId="3">
    <w:abstractNumId w:val="15"/>
  </w:num>
  <w:num w:numId="4">
    <w:abstractNumId w:val="40"/>
  </w:num>
  <w:num w:numId="5">
    <w:abstractNumId w:val="44"/>
  </w:num>
  <w:num w:numId="6">
    <w:abstractNumId w:val="10"/>
  </w:num>
  <w:num w:numId="7">
    <w:abstractNumId w:val="36"/>
  </w:num>
  <w:num w:numId="8">
    <w:abstractNumId w:val="19"/>
  </w:num>
  <w:num w:numId="9">
    <w:abstractNumId w:val="27"/>
  </w:num>
  <w:num w:numId="10">
    <w:abstractNumId w:val="21"/>
  </w:num>
  <w:num w:numId="11">
    <w:abstractNumId w:val="9"/>
  </w:num>
  <w:num w:numId="12">
    <w:abstractNumId w:val="26"/>
  </w:num>
  <w:num w:numId="13">
    <w:abstractNumId w:val="22"/>
  </w:num>
  <w:num w:numId="14">
    <w:abstractNumId w:val="24"/>
  </w:num>
  <w:num w:numId="15">
    <w:abstractNumId w:val="8"/>
  </w:num>
  <w:num w:numId="16">
    <w:abstractNumId w:val="0"/>
  </w:num>
  <w:num w:numId="17">
    <w:abstractNumId w:val="1"/>
  </w:num>
  <w:num w:numId="18">
    <w:abstractNumId w:val="17"/>
  </w:num>
  <w:num w:numId="19">
    <w:abstractNumId w:val="35"/>
  </w:num>
  <w:num w:numId="20">
    <w:abstractNumId w:val="33"/>
  </w:num>
  <w:num w:numId="21">
    <w:abstractNumId w:val="20"/>
  </w:num>
  <w:num w:numId="22">
    <w:abstractNumId w:val="39"/>
  </w:num>
  <w:num w:numId="23">
    <w:abstractNumId w:val="31"/>
  </w:num>
  <w:num w:numId="24">
    <w:abstractNumId w:val="32"/>
  </w:num>
  <w:num w:numId="25">
    <w:abstractNumId w:val="42"/>
  </w:num>
  <w:num w:numId="26">
    <w:abstractNumId w:val="38"/>
  </w:num>
  <w:num w:numId="27">
    <w:abstractNumId w:val="3"/>
  </w:num>
  <w:num w:numId="28">
    <w:abstractNumId w:val="18"/>
  </w:num>
  <w:num w:numId="29">
    <w:abstractNumId w:val="41"/>
  </w:num>
  <w:num w:numId="30">
    <w:abstractNumId w:val="37"/>
  </w:num>
  <w:num w:numId="31">
    <w:abstractNumId w:val="34"/>
  </w:num>
  <w:num w:numId="32">
    <w:abstractNumId w:val="11"/>
  </w:num>
  <w:num w:numId="33">
    <w:abstractNumId w:val="2"/>
  </w:num>
  <w:num w:numId="34">
    <w:abstractNumId w:val="28"/>
  </w:num>
  <w:num w:numId="35">
    <w:abstractNumId w:val="13"/>
  </w:num>
  <w:num w:numId="36">
    <w:abstractNumId w:val="12"/>
  </w:num>
  <w:num w:numId="37">
    <w:abstractNumId w:val="14"/>
  </w:num>
  <w:num w:numId="38">
    <w:abstractNumId w:val="4"/>
  </w:num>
  <w:num w:numId="39">
    <w:abstractNumId w:val="30"/>
  </w:num>
  <w:num w:numId="40">
    <w:abstractNumId w:val="7"/>
  </w:num>
  <w:num w:numId="41">
    <w:abstractNumId w:val="29"/>
  </w:num>
  <w:num w:numId="42">
    <w:abstractNumId w:val="25"/>
  </w:num>
  <w:num w:numId="43">
    <w:abstractNumId w:val="5"/>
  </w:num>
  <w:num w:numId="44">
    <w:abstractNumId w:val="43"/>
    <w:lvlOverride w:ilvl="0">
      <w:lvl w:ilvl="0" w:tplc="842626D8">
        <w:start w:val="1"/>
        <w:numFmt w:val="bullet"/>
        <w:pStyle w:val="Answerbulleted"/>
        <w:lvlText w:val=""/>
        <w:lvlJc w:val="left"/>
        <w:pPr>
          <w:ind w:left="1080" w:hanging="360"/>
        </w:pPr>
        <w:rPr>
          <w:rFonts w:ascii="Symbol" w:hAnsi="Symbol" w:hint="default"/>
          <w:b w:val="0"/>
          <w:i w:val="0"/>
          <w:color w:val="auto"/>
          <w:position w:val="2"/>
          <w:sz w:val="20"/>
        </w:rPr>
      </w:lvl>
    </w:lvlOverride>
  </w:num>
  <w:num w:numId="45">
    <w:abstractNumId w:val="6"/>
  </w:num>
  <w:num w:numId="46">
    <w:abstractNumId w:val="43"/>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15505"/>
    <w:rsid w:val="00016680"/>
    <w:rsid w:val="000238F6"/>
    <w:rsid w:val="0003279E"/>
    <w:rsid w:val="00070B44"/>
    <w:rsid w:val="00071249"/>
    <w:rsid w:val="00090374"/>
    <w:rsid w:val="000B45BA"/>
    <w:rsid w:val="000E4A4D"/>
    <w:rsid w:val="00112CCF"/>
    <w:rsid w:val="001325B2"/>
    <w:rsid w:val="001342F4"/>
    <w:rsid w:val="001466C3"/>
    <w:rsid w:val="00146B01"/>
    <w:rsid w:val="0016236A"/>
    <w:rsid w:val="001626D0"/>
    <w:rsid w:val="00181CDC"/>
    <w:rsid w:val="001920C3"/>
    <w:rsid w:val="001C1338"/>
    <w:rsid w:val="001D3113"/>
    <w:rsid w:val="001D4856"/>
    <w:rsid w:val="002118B4"/>
    <w:rsid w:val="00231B15"/>
    <w:rsid w:val="00242F15"/>
    <w:rsid w:val="0025025B"/>
    <w:rsid w:val="00251A3F"/>
    <w:rsid w:val="002531C8"/>
    <w:rsid w:val="0025663C"/>
    <w:rsid w:val="002576CB"/>
    <w:rsid w:val="002640E7"/>
    <w:rsid w:val="002A136D"/>
    <w:rsid w:val="002B5121"/>
    <w:rsid w:val="002C1719"/>
    <w:rsid w:val="002D6C09"/>
    <w:rsid w:val="00315CBC"/>
    <w:rsid w:val="00322313"/>
    <w:rsid w:val="00363700"/>
    <w:rsid w:val="00391E16"/>
    <w:rsid w:val="003A1EE6"/>
    <w:rsid w:val="003B09BB"/>
    <w:rsid w:val="003D0684"/>
    <w:rsid w:val="003D0B28"/>
    <w:rsid w:val="003D23B1"/>
    <w:rsid w:val="00410B21"/>
    <w:rsid w:val="00444B57"/>
    <w:rsid w:val="00472847"/>
    <w:rsid w:val="004746CA"/>
    <w:rsid w:val="00490720"/>
    <w:rsid w:val="004C1127"/>
    <w:rsid w:val="004E66AD"/>
    <w:rsid w:val="004E687D"/>
    <w:rsid w:val="00502ABD"/>
    <w:rsid w:val="00503BAB"/>
    <w:rsid w:val="00503C21"/>
    <w:rsid w:val="0057440A"/>
    <w:rsid w:val="00575CBB"/>
    <w:rsid w:val="005778B9"/>
    <w:rsid w:val="00592B4E"/>
    <w:rsid w:val="005D7625"/>
    <w:rsid w:val="005E1765"/>
    <w:rsid w:val="006022AD"/>
    <w:rsid w:val="00624019"/>
    <w:rsid w:val="00627FFD"/>
    <w:rsid w:val="00635D43"/>
    <w:rsid w:val="00680D76"/>
    <w:rsid w:val="006A70E1"/>
    <w:rsid w:val="006B7477"/>
    <w:rsid w:val="006C76F7"/>
    <w:rsid w:val="006D3332"/>
    <w:rsid w:val="006D403E"/>
    <w:rsid w:val="00711958"/>
    <w:rsid w:val="00711E45"/>
    <w:rsid w:val="00713422"/>
    <w:rsid w:val="00726F0F"/>
    <w:rsid w:val="00731033"/>
    <w:rsid w:val="0073114C"/>
    <w:rsid w:val="007601AF"/>
    <w:rsid w:val="00760675"/>
    <w:rsid w:val="007609F8"/>
    <w:rsid w:val="00787F43"/>
    <w:rsid w:val="00793440"/>
    <w:rsid w:val="007B2649"/>
    <w:rsid w:val="007D2138"/>
    <w:rsid w:val="007F047A"/>
    <w:rsid w:val="008002AB"/>
    <w:rsid w:val="00822A7D"/>
    <w:rsid w:val="00843689"/>
    <w:rsid w:val="008670D2"/>
    <w:rsid w:val="00870152"/>
    <w:rsid w:val="008A6CC5"/>
    <w:rsid w:val="008B04CA"/>
    <w:rsid w:val="008B20DC"/>
    <w:rsid w:val="008C2FD2"/>
    <w:rsid w:val="008D2D67"/>
    <w:rsid w:val="008F27BA"/>
    <w:rsid w:val="008F6ABC"/>
    <w:rsid w:val="00935E77"/>
    <w:rsid w:val="00992F66"/>
    <w:rsid w:val="009B3794"/>
    <w:rsid w:val="009B7E4D"/>
    <w:rsid w:val="00A02E68"/>
    <w:rsid w:val="00A15956"/>
    <w:rsid w:val="00A1688A"/>
    <w:rsid w:val="00A16E52"/>
    <w:rsid w:val="00A244AB"/>
    <w:rsid w:val="00A24530"/>
    <w:rsid w:val="00A27D7E"/>
    <w:rsid w:val="00A5782C"/>
    <w:rsid w:val="00A57FAC"/>
    <w:rsid w:val="00A743FA"/>
    <w:rsid w:val="00A744DD"/>
    <w:rsid w:val="00A925ED"/>
    <w:rsid w:val="00A92CAB"/>
    <w:rsid w:val="00AA4BB2"/>
    <w:rsid w:val="00AE7154"/>
    <w:rsid w:val="00AF11DF"/>
    <w:rsid w:val="00B201D1"/>
    <w:rsid w:val="00B21328"/>
    <w:rsid w:val="00B309BE"/>
    <w:rsid w:val="00B47E67"/>
    <w:rsid w:val="00B50A61"/>
    <w:rsid w:val="00B655C6"/>
    <w:rsid w:val="00B733F9"/>
    <w:rsid w:val="00BA1A0C"/>
    <w:rsid w:val="00BA3E25"/>
    <w:rsid w:val="00C45431"/>
    <w:rsid w:val="00C455BC"/>
    <w:rsid w:val="00C74B86"/>
    <w:rsid w:val="00CA3DA6"/>
    <w:rsid w:val="00CB1FAF"/>
    <w:rsid w:val="00CD36E7"/>
    <w:rsid w:val="00CE44C9"/>
    <w:rsid w:val="00CE5AA9"/>
    <w:rsid w:val="00CF196A"/>
    <w:rsid w:val="00D11CA3"/>
    <w:rsid w:val="00D12B23"/>
    <w:rsid w:val="00D15144"/>
    <w:rsid w:val="00D46313"/>
    <w:rsid w:val="00D56CC2"/>
    <w:rsid w:val="00D74B86"/>
    <w:rsid w:val="00D92E1D"/>
    <w:rsid w:val="00D97684"/>
    <w:rsid w:val="00DB46D6"/>
    <w:rsid w:val="00DC7EF3"/>
    <w:rsid w:val="00DD2E4B"/>
    <w:rsid w:val="00DE3A45"/>
    <w:rsid w:val="00E00CEE"/>
    <w:rsid w:val="00E02159"/>
    <w:rsid w:val="00E203FA"/>
    <w:rsid w:val="00E33F4F"/>
    <w:rsid w:val="00E34A1F"/>
    <w:rsid w:val="00E5473F"/>
    <w:rsid w:val="00E77AF4"/>
    <w:rsid w:val="00E87554"/>
    <w:rsid w:val="00E939A1"/>
    <w:rsid w:val="00E962DB"/>
    <w:rsid w:val="00EA01D9"/>
    <w:rsid w:val="00EA47CB"/>
    <w:rsid w:val="00EC38CD"/>
    <w:rsid w:val="00ED18EA"/>
    <w:rsid w:val="00EE10AE"/>
    <w:rsid w:val="00EE529C"/>
    <w:rsid w:val="00F00977"/>
    <w:rsid w:val="00F4221E"/>
    <w:rsid w:val="00F7196E"/>
    <w:rsid w:val="00F77DBD"/>
    <w:rsid w:val="00F96010"/>
    <w:rsid w:val="00FC7F32"/>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B6DC8"/>
  <w15:docId w15:val="{B27BB40C-B29E-4C58-B43B-26D13ABE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semiHidden/>
    <w:unhideWhenUsed/>
    <w:rsid w:val="00A27D7E"/>
    <w:pPr>
      <w:spacing w:after="120"/>
    </w:pPr>
  </w:style>
  <w:style w:type="character" w:customStyle="1" w:styleId="BodyTextChar">
    <w:name w:val="Body Text Char"/>
    <w:basedOn w:val="DefaultParagraphFont"/>
    <w:link w:val="BodyText"/>
    <w:semiHidden/>
    <w:rsid w:val="00A27D7E"/>
    <w:rPr>
      <w:szCs w:val="24"/>
    </w:rPr>
  </w:style>
  <w:style w:type="character" w:styleId="CommentReference">
    <w:name w:val="annotation reference"/>
    <w:basedOn w:val="DefaultParagraphFont"/>
    <w:semiHidden/>
    <w:unhideWhenUsed/>
    <w:rsid w:val="006022AD"/>
    <w:rPr>
      <w:sz w:val="16"/>
      <w:szCs w:val="16"/>
    </w:rPr>
  </w:style>
  <w:style w:type="paragraph" w:styleId="CommentText">
    <w:name w:val="annotation text"/>
    <w:basedOn w:val="Normal"/>
    <w:link w:val="CommentTextChar"/>
    <w:semiHidden/>
    <w:unhideWhenUsed/>
    <w:rsid w:val="006022AD"/>
    <w:rPr>
      <w:szCs w:val="20"/>
    </w:rPr>
  </w:style>
  <w:style w:type="character" w:customStyle="1" w:styleId="CommentTextChar">
    <w:name w:val="Comment Text Char"/>
    <w:basedOn w:val="DefaultParagraphFont"/>
    <w:link w:val="CommentText"/>
    <w:semiHidden/>
    <w:rsid w:val="006022AD"/>
  </w:style>
  <w:style w:type="paragraph" w:styleId="CommentSubject">
    <w:name w:val="annotation subject"/>
    <w:basedOn w:val="CommentText"/>
    <w:next w:val="CommentText"/>
    <w:link w:val="CommentSubjectChar"/>
    <w:semiHidden/>
    <w:unhideWhenUsed/>
    <w:rsid w:val="006022AD"/>
    <w:rPr>
      <w:b/>
      <w:bCs/>
    </w:rPr>
  </w:style>
  <w:style w:type="character" w:customStyle="1" w:styleId="CommentSubjectChar">
    <w:name w:val="Comment Subject Char"/>
    <w:basedOn w:val="CommentTextChar"/>
    <w:link w:val="CommentSubject"/>
    <w:semiHidden/>
    <w:rsid w:val="006022AD"/>
    <w:rPr>
      <w:b/>
      <w:bCs/>
    </w:rPr>
  </w:style>
  <w:style w:type="paragraph" w:styleId="FootnoteText">
    <w:name w:val="footnote text"/>
    <w:basedOn w:val="Normal"/>
    <w:link w:val="FootnoteTextChar"/>
    <w:semiHidden/>
    <w:unhideWhenUsed/>
    <w:rsid w:val="002A136D"/>
    <w:rPr>
      <w:szCs w:val="20"/>
    </w:rPr>
  </w:style>
  <w:style w:type="character" w:customStyle="1" w:styleId="FootnoteTextChar">
    <w:name w:val="Footnote Text Char"/>
    <w:basedOn w:val="DefaultParagraphFont"/>
    <w:link w:val="FootnoteText"/>
    <w:semiHidden/>
    <w:rsid w:val="002A136D"/>
  </w:style>
  <w:style w:type="character" w:styleId="FollowedHyperlink">
    <w:name w:val="FollowedHyperlink"/>
    <w:basedOn w:val="DefaultParagraphFont"/>
    <w:semiHidden/>
    <w:unhideWhenUsed/>
    <w:rsid w:val="007609F8"/>
    <w:rPr>
      <w:color w:val="800080" w:themeColor="followedHyperlink"/>
      <w:u w:val="single"/>
    </w:rPr>
  </w:style>
  <w:style w:type="paragraph" w:customStyle="1" w:styleId="Answerbulleted">
    <w:name w:val="Answer bulleted"/>
    <w:basedOn w:val="Normal"/>
    <w:rsid w:val="000238F6"/>
    <w:pPr>
      <w:numPr>
        <w:numId w:val="44"/>
      </w:numPr>
      <w:autoSpaceDE/>
      <w:autoSpaceDN/>
      <w:adjustRightInd/>
      <w:spacing w:before="120" w:after="120"/>
      <w:ind w:right="446"/>
    </w:pPr>
    <w:rPr>
      <w:rFonts w:ascii="Cambria" w:hAnsi="Cambria"/>
      <w:spacing w:val="-1"/>
      <w:sz w:val="22"/>
      <w:szCs w:val="22"/>
    </w:rPr>
  </w:style>
  <w:style w:type="numbering" w:customStyle="1" w:styleId="StyleBulleted33">
    <w:name w:val="Style Bulleted 33"/>
    <w:rsid w:val="000238F6"/>
    <w:pPr>
      <w:numPr>
        <w:numId w:val="46"/>
      </w:numPr>
    </w:pPr>
  </w:style>
  <w:style w:type="paragraph" w:customStyle="1" w:styleId="ColorfulList-Accent11">
    <w:name w:val="Colorful List - Accent 11"/>
    <w:basedOn w:val="Normal"/>
    <w:link w:val="ColorfulList-Accent1Char"/>
    <w:uiPriority w:val="99"/>
    <w:qFormat/>
    <w:rsid w:val="000238F6"/>
    <w:pPr>
      <w:autoSpaceDE/>
      <w:autoSpaceDN/>
      <w:adjustRightInd/>
      <w:ind w:left="720"/>
    </w:pPr>
    <w:rPr>
      <w:rFonts w:ascii="Calibri" w:hAnsi="Calibri"/>
      <w:spacing w:val="-1"/>
      <w:szCs w:val="20"/>
    </w:rPr>
  </w:style>
  <w:style w:type="character" w:customStyle="1" w:styleId="ColorfulList-Accent1Char">
    <w:name w:val="Colorful List - Accent 1 Char"/>
    <w:link w:val="ColorfulList-Accent11"/>
    <w:uiPriority w:val="99"/>
    <w:locked/>
    <w:rsid w:val="000238F6"/>
    <w:rPr>
      <w:rFonts w:ascii="Calibri" w:hAnsi="Calibri"/>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074504">
      <w:bodyDiv w:val="1"/>
      <w:marLeft w:val="0"/>
      <w:marRight w:val="0"/>
      <w:marTop w:val="0"/>
      <w:marBottom w:val="0"/>
      <w:divBdr>
        <w:top w:val="none" w:sz="0" w:space="0" w:color="auto"/>
        <w:left w:val="none" w:sz="0" w:space="0" w:color="auto"/>
        <w:bottom w:val="none" w:sz="0" w:space="0" w:color="auto"/>
        <w:right w:val="none" w:sz="0" w:space="0" w:color="auto"/>
      </w:divBdr>
    </w:div>
    <w:div w:id="169477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hen8@health.ny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482250@yahoo.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ls.gov/ncs/ocs/sp/nctb1514.tx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king@chcfl.net" TargetMode="External"/><Relationship Id="rId5" Type="http://schemas.openxmlformats.org/officeDocument/2006/relationships/numbering" Target="numbering.xml"/><Relationship Id="rId15" Type="http://schemas.openxmlformats.org/officeDocument/2006/relationships/hyperlink" Target="mailto:Jeffrey.vollman@dph.g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rar@elri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d74648f5f43379ed527fc5af7213aa10">
  <xsd:schema xmlns:xsd="http://www.w3.org/2001/XMLSchema" xmlns:xs="http://www.w3.org/2001/XMLSchema" xmlns:p="http://schemas.microsoft.com/office/2006/metadata/properties" xmlns:ns2="4967143e-3350-4318-8b8c-f9b56d178eaa" targetNamespace="http://schemas.microsoft.com/office/2006/metadata/properties" ma:root="true" ma:fieldsID="defb44c48193deaf4b9b361fc8bc5a4f"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earanceType xmlns="4967143e-3350-4318-8b8c-f9b56d178eaa">Standard</Clearance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2.xml><?xml version="1.0" encoding="utf-8"?>
<ds:datastoreItem xmlns:ds="http://schemas.openxmlformats.org/officeDocument/2006/customXml" ds:itemID="{C22CA613-D2AE-4FA7-9808-D514F0465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4967143e-3350-4318-8b8c-f9b56d178eaa"/>
  </ds:schemaRefs>
</ds:datastoreItem>
</file>

<file path=customXml/itemProps4.xml><?xml version="1.0" encoding="utf-8"?>
<ds:datastoreItem xmlns:ds="http://schemas.openxmlformats.org/officeDocument/2006/customXml" ds:itemID="{67C33AF6-BE33-41AB-A35B-F73F6DD95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1737</Words>
  <Characters>9902</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11616</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Robert Mills</dc:creator>
  <cp:lastModifiedBy>Bowman, Elyana (HRSA)</cp:lastModifiedBy>
  <cp:revision>2</cp:revision>
  <cp:lastPrinted>2016-06-22T12:26:00Z</cp:lastPrinted>
  <dcterms:created xsi:type="dcterms:W3CDTF">2016-12-08T20:58:00Z</dcterms:created>
  <dcterms:modified xsi:type="dcterms:W3CDTF">2016-12-08T20:58:00Z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