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3819" w14:textId="77777777" w:rsidR="00490720" w:rsidRPr="00C45431" w:rsidRDefault="00490720" w:rsidP="00CE5AA9">
      <w:pPr>
        <w:widowControl/>
        <w:spacing w:before="120"/>
        <w:rPr>
          <w:rFonts w:ascii="Arial" w:hAnsi="Arial" w:cs="Arial"/>
          <w:color w:val="000000"/>
          <w:sz w:val="24"/>
        </w:rPr>
      </w:pPr>
    </w:p>
    <w:p w14:paraId="0A1DDB0C" w14:textId="77777777" w:rsidR="00490720" w:rsidRPr="00C45431" w:rsidRDefault="00490720">
      <w:pPr>
        <w:widowControl/>
        <w:autoSpaceDE/>
        <w:autoSpaceDN/>
        <w:adjustRightInd/>
        <w:rPr>
          <w:rFonts w:ascii="Arial" w:hAnsi="Arial" w:cs="Arial"/>
          <w:b/>
          <w:bCs/>
          <w:sz w:val="32"/>
          <w:szCs w:val="32"/>
        </w:rPr>
      </w:pPr>
    </w:p>
    <w:p w14:paraId="3669052C" w14:textId="77777777"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75F82A18" w14:textId="77777777" w:rsidR="00BA1A0C" w:rsidRPr="00C45431" w:rsidRDefault="00BA1A0C" w:rsidP="00CE5AA9">
      <w:pPr>
        <w:tabs>
          <w:tab w:val="center" w:pos="4680"/>
        </w:tabs>
        <w:spacing w:before="120"/>
        <w:jc w:val="center"/>
        <w:rPr>
          <w:rFonts w:ascii="Arial" w:hAnsi="Arial" w:cs="Arial"/>
          <w:b/>
          <w:bCs/>
          <w:sz w:val="32"/>
          <w:szCs w:val="32"/>
        </w:rPr>
      </w:pPr>
    </w:p>
    <w:p w14:paraId="4C73D500" w14:textId="77777777" w:rsidR="009B3794" w:rsidRPr="00C45431" w:rsidRDefault="00504DD0" w:rsidP="00CE5AA9">
      <w:pPr>
        <w:tabs>
          <w:tab w:val="center" w:pos="4680"/>
        </w:tabs>
        <w:spacing w:before="120"/>
        <w:jc w:val="center"/>
        <w:rPr>
          <w:rFonts w:ascii="Arial" w:hAnsi="Arial" w:cs="Arial"/>
          <w:b/>
          <w:bCs/>
          <w:sz w:val="32"/>
          <w:szCs w:val="32"/>
        </w:rPr>
      </w:pPr>
      <w:r w:rsidRPr="00504DD0">
        <w:rPr>
          <w:rFonts w:ascii="Arial" w:hAnsi="Arial" w:cs="Arial"/>
          <w:b/>
          <w:bCs/>
          <w:sz w:val="32"/>
          <w:szCs w:val="32"/>
        </w:rPr>
        <w:t>Rural Opioid Overdose Reversal Program Performance Measures</w:t>
      </w:r>
    </w:p>
    <w:p w14:paraId="12BF4BA0" w14:textId="77777777" w:rsidR="00BA1A0C" w:rsidRPr="00C45431" w:rsidRDefault="00BA1A0C" w:rsidP="00CE5AA9">
      <w:pPr>
        <w:tabs>
          <w:tab w:val="center" w:pos="4680"/>
        </w:tabs>
        <w:spacing w:before="120"/>
        <w:jc w:val="center"/>
        <w:rPr>
          <w:rFonts w:ascii="Arial" w:hAnsi="Arial" w:cs="Arial"/>
          <w:b/>
          <w:bCs/>
          <w:sz w:val="32"/>
          <w:szCs w:val="32"/>
        </w:rPr>
      </w:pPr>
    </w:p>
    <w:p w14:paraId="4FC4FECF" w14:textId="77777777" w:rsidR="00BA1A0C" w:rsidRPr="00C45431" w:rsidRDefault="00BA1A0C"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EE3458">
        <w:rPr>
          <w:rFonts w:ascii="Arial" w:hAnsi="Arial" w:cs="Arial"/>
          <w:b/>
          <w:bCs/>
          <w:sz w:val="32"/>
          <w:szCs w:val="32"/>
        </w:rPr>
        <w:t>09</w:t>
      </w:r>
      <w:r w:rsidR="00EE3458" w:rsidRPr="00EE3458">
        <w:rPr>
          <w:rFonts w:ascii="Arial" w:hAnsi="Arial" w:cs="Arial"/>
          <w:b/>
          <w:bCs/>
          <w:sz w:val="32"/>
          <w:szCs w:val="32"/>
        </w:rPr>
        <w:t>06-</w:t>
      </w:r>
      <w:r w:rsidR="00EE3458">
        <w:rPr>
          <w:rFonts w:ascii="Arial" w:hAnsi="Arial" w:cs="Arial"/>
          <w:b/>
          <w:bCs/>
          <w:sz w:val="32"/>
          <w:szCs w:val="32"/>
        </w:rPr>
        <w:t>XXXX</w:t>
      </w:r>
    </w:p>
    <w:p w14:paraId="53702231" w14:textId="77777777" w:rsidR="00BA1A0C" w:rsidRPr="00C45431" w:rsidRDefault="00BA1A0C" w:rsidP="00CE5AA9">
      <w:pPr>
        <w:tabs>
          <w:tab w:val="center" w:pos="4680"/>
        </w:tabs>
        <w:spacing w:before="120"/>
        <w:jc w:val="center"/>
        <w:rPr>
          <w:rFonts w:ascii="Arial" w:hAnsi="Arial" w:cs="Arial"/>
          <w:b/>
          <w:bCs/>
          <w:sz w:val="32"/>
          <w:szCs w:val="32"/>
        </w:rPr>
      </w:pPr>
    </w:p>
    <w:p w14:paraId="0FDC8739" w14:textId="77777777" w:rsidR="009B3794" w:rsidRPr="00C45431" w:rsidRDefault="009B3794" w:rsidP="00CE5AA9">
      <w:pPr>
        <w:tabs>
          <w:tab w:val="center" w:pos="4680"/>
        </w:tabs>
        <w:spacing w:before="120"/>
        <w:jc w:val="center"/>
        <w:rPr>
          <w:rFonts w:ascii="Arial" w:hAnsi="Arial" w:cs="Arial"/>
          <w:b/>
          <w:bCs/>
          <w:sz w:val="32"/>
          <w:szCs w:val="32"/>
        </w:rPr>
      </w:pPr>
    </w:p>
    <w:p w14:paraId="1A3C4BE2" w14:textId="77777777"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Pr="00C45431">
        <w:rPr>
          <w:rFonts w:ascii="Arial" w:hAnsi="Arial" w:cs="Arial"/>
          <w:sz w:val="24"/>
        </w:rPr>
        <w:t>For revisions, extensions, or reinstatements l</w:t>
      </w:r>
      <w:r w:rsidR="00BA1A0C" w:rsidRPr="00C45431">
        <w:rPr>
          <w:rFonts w:ascii="Arial" w:hAnsi="Arial" w:cs="Arial"/>
          <w:sz w:val="24"/>
        </w:rPr>
        <w:t xml:space="preserve">ist </w:t>
      </w:r>
      <w:r w:rsidRPr="00C45431">
        <w:rPr>
          <w:rFonts w:ascii="Arial" w:hAnsi="Arial" w:cs="Arial"/>
          <w:sz w:val="24"/>
        </w:rPr>
        <w:t xml:space="preserve">terms of clearance here. Explain how the terms of clearance are addressed in the submission. </w:t>
      </w:r>
      <w:r w:rsidR="00BA1A0C" w:rsidRPr="00C45431">
        <w:rPr>
          <w:rFonts w:ascii="Arial" w:hAnsi="Arial" w:cs="Arial"/>
          <w:sz w:val="24"/>
        </w:rPr>
        <w:t xml:space="preserve"> </w:t>
      </w:r>
      <w:r w:rsidR="00BA1A0C" w:rsidRPr="00C45431">
        <w:rPr>
          <w:rFonts w:ascii="Arial" w:hAnsi="Arial" w:cs="Arial"/>
          <w:b/>
          <w:sz w:val="24"/>
        </w:rPr>
        <w:t>If there were no terms of clearance</w:t>
      </w:r>
      <w:r w:rsidRPr="00C45431">
        <w:rPr>
          <w:rFonts w:ascii="Arial" w:hAnsi="Arial" w:cs="Arial"/>
          <w:b/>
          <w:sz w:val="24"/>
        </w:rPr>
        <w:t>, please</w:t>
      </w:r>
      <w:r w:rsidR="0073114C" w:rsidRPr="00C45431">
        <w:rPr>
          <w:rFonts w:ascii="Arial" w:hAnsi="Arial" w:cs="Arial"/>
          <w:b/>
          <w:sz w:val="24"/>
        </w:rPr>
        <w:t xml:space="preserve"> state</w:t>
      </w:r>
      <w:r w:rsidRPr="00C45431">
        <w:rPr>
          <w:rFonts w:ascii="Arial" w:hAnsi="Arial" w:cs="Arial"/>
          <w:b/>
          <w:sz w:val="24"/>
        </w:rPr>
        <w:t xml:space="preserve"> “None”.</w:t>
      </w:r>
      <w:r w:rsidR="00BA1A0C" w:rsidRPr="00C45431">
        <w:rPr>
          <w:rFonts w:ascii="Arial" w:hAnsi="Arial" w:cs="Arial"/>
          <w:b/>
          <w:sz w:val="24"/>
        </w:rPr>
        <w:t xml:space="preserve"> </w:t>
      </w:r>
    </w:p>
    <w:p w14:paraId="1637DD18"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782999D6" w14:textId="77777777" w:rsidR="009B3794" w:rsidRPr="006D6293"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6EFFA8D1" w14:textId="77777777" w:rsidR="006D6293" w:rsidRPr="006D6293" w:rsidRDefault="006D6293" w:rsidP="006D6293">
      <w:pPr>
        <w:spacing w:before="240"/>
        <w:ind w:left="360"/>
        <w:rPr>
          <w:rFonts w:ascii="Arial" w:hAnsi="Arial" w:cs="Arial"/>
          <w:sz w:val="24"/>
        </w:rPr>
      </w:pPr>
      <w:r w:rsidRPr="006D6293">
        <w:rPr>
          <w:rFonts w:ascii="Arial" w:hAnsi="Arial" w:cs="Arial"/>
          <w:sz w:val="24"/>
        </w:rPr>
        <w:t xml:space="preserve">The Health Resources and Services Administration (HRSA)’s Federal Office of Rural Health Policy (FORHP) is requesting OMB approval to collect information on grantee activities and on new performance measures electronically through the HRSA Electronic Handbook (EHB). The EHB is a web-based portal that grantees use to submit information to HRSA. The Rural </w:t>
      </w:r>
      <w:r w:rsidR="00205E5E">
        <w:rPr>
          <w:rFonts w:ascii="Arial" w:hAnsi="Arial" w:cs="Arial"/>
          <w:sz w:val="24"/>
        </w:rPr>
        <w:t>Opioid Overdose Reversal Grant Program</w:t>
      </w:r>
      <w:r w:rsidRPr="006D6293">
        <w:rPr>
          <w:rFonts w:ascii="Arial" w:hAnsi="Arial" w:cs="Arial"/>
          <w:sz w:val="24"/>
        </w:rPr>
        <w:t xml:space="preserve"> form is a tool that allows FORHP to measure the impact of the grant funding.</w:t>
      </w:r>
    </w:p>
    <w:p w14:paraId="60FC405A" w14:textId="77777777" w:rsidR="006D6293" w:rsidRPr="006D6293" w:rsidRDefault="006D6293" w:rsidP="006D6293">
      <w:pPr>
        <w:spacing w:before="240"/>
        <w:ind w:left="360"/>
        <w:rPr>
          <w:rFonts w:ascii="Arial" w:hAnsi="Arial" w:cs="Arial"/>
          <w:sz w:val="24"/>
        </w:rPr>
      </w:pPr>
      <w:r w:rsidRPr="006D6293">
        <w:rPr>
          <w:rFonts w:ascii="Arial" w:hAnsi="Arial" w:cs="Arial"/>
          <w:sz w:val="24"/>
        </w:rPr>
        <w:t xml:space="preserve">It should be noted that in its authorizing language (SEC. 711. [42 U.S.C. 912]), Congress charged </w:t>
      </w:r>
      <w:r w:rsidR="000F7CDE">
        <w:rPr>
          <w:rFonts w:ascii="Arial" w:hAnsi="Arial" w:cs="Arial"/>
          <w:sz w:val="24"/>
        </w:rPr>
        <w:t>F</w:t>
      </w:r>
      <w:r w:rsidRPr="006D6293">
        <w:rPr>
          <w:rFonts w:ascii="Arial" w:hAnsi="Arial" w:cs="Arial"/>
          <w:sz w:val="24"/>
        </w:rPr>
        <w:t xml:space="preserve">ORHP with “administering grants, cooperative agreements, and contracts to provide technical assistance and other activities as necessary to support activities related to improving health care in rural areas.” </w:t>
      </w:r>
      <w:r w:rsidR="000F7CDE">
        <w:rPr>
          <w:rFonts w:ascii="Arial" w:hAnsi="Arial" w:cs="Arial"/>
          <w:sz w:val="24"/>
        </w:rPr>
        <w:t>F</w:t>
      </w:r>
      <w:r w:rsidRPr="006D6293">
        <w:rPr>
          <w:rFonts w:ascii="Arial" w:hAnsi="Arial" w:cs="Arial"/>
          <w:sz w:val="24"/>
        </w:rPr>
        <w:t xml:space="preserve">ORHP’s mission is to sustain and improve access to quality health care services for rural communities. </w:t>
      </w:r>
    </w:p>
    <w:p w14:paraId="483DA239" w14:textId="77777777" w:rsidR="00205E5E" w:rsidRDefault="00205E5E" w:rsidP="00205E5E">
      <w:pPr>
        <w:pStyle w:val="BodyText"/>
        <w:spacing w:after="0"/>
        <w:rPr>
          <w:rFonts w:ascii="Arial" w:hAnsi="Arial" w:cs="Arial"/>
          <w:sz w:val="24"/>
        </w:rPr>
      </w:pPr>
    </w:p>
    <w:p w14:paraId="7F854343" w14:textId="77777777" w:rsidR="00205E5E" w:rsidRPr="00205E5E" w:rsidRDefault="006D6293" w:rsidP="00205E5E">
      <w:pPr>
        <w:pStyle w:val="BodyText"/>
        <w:spacing w:after="0"/>
        <w:ind w:left="360"/>
        <w:rPr>
          <w:rFonts w:ascii="Arial" w:hAnsi="Arial" w:cs="Arial"/>
          <w:bCs/>
          <w:sz w:val="24"/>
        </w:rPr>
      </w:pPr>
      <w:r w:rsidRPr="006D6293">
        <w:rPr>
          <w:rFonts w:ascii="Arial" w:hAnsi="Arial" w:cs="Arial"/>
          <w:sz w:val="24"/>
        </w:rPr>
        <w:t>This activity will collect information for the FY1</w:t>
      </w:r>
      <w:r w:rsidR="00205E5E">
        <w:rPr>
          <w:rFonts w:ascii="Arial" w:hAnsi="Arial" w:cs="Arial"/>
          <w:sz w:val="24"/>
        </w:rPr>
        <w:t>5</w:t>
      </w:r>
      <w:r w:rsidRPr="006D6293">
        <w:rPr>
          <w:rFonts w:ascii="Arial" w:hAnsi="Arial" w:cs="Arial"/>
          <w:sz w:val="24"/>
        </w:rPr>
        <w:t xml:space="preserve"> Rural </w:t>
      </w:r>
      <w:r w:rsidR="00205E5E">
        <w:rPr>
          <w:rFonts w:ascii="Arial" w:hAnsi="Arial" w:cs="Arial"/>
          <w:sz w:val="24"/>
        </w:rPr>
        <w:t xml:space="preserve">Opioid Overdose Reversal Grant </w:t>
      </w:r>
      <w:r>
        <w:rPr>
          <w:rFonts w:ascii="Arial" w:hAnsi="Arial" w:cs="Arial"/>
          <w:sz w:val="24"/>
        </w:rPr>
        <w:t>Program</w:t>
      </w:r>
      <w:r w:rsidRPr="006D6293">
        <w:rPr>
          <w:rFonts w:ascii="Arial" w:hAnsi="Arial" w:cs="Arial"/>
          <w:sz w:val="24"/>
        </w:rPr>
        <w:t xml:space="preserve">. </w:t>
      </w:r>
      <w:r w:rsidRPr="003A3B58">
        <w:rPr>
          <w:rFonts w:ascii="Arial" w:hAnsi="Arial" w:cs="Arial"/>
          <w:sz w:val="24"/>
        </w:rPr>
        <w:t xml:space="preserve">The </w:t>
      </w:r>
      <w:r w:rsidR="00205E5E" w:rsidRPr="006D6293">
        <w:rPr>
          <w:rFonts w:ascii="Arial" w:hAnsi="Arial" w:cs="Arial"/>
          <w:sz w:val="24"/>
        </w:rPr>
        <w:t xml:space="preserve">Rural </w:t>
      </w:r>
      <w:r w:rsidR="00205E5E">
        <w:rPr>
          <w:rFonts w:ascii="Arial" w:hAnsi="Arial" w:cs="Arial"/>
          <w:sz w:val="24"/>
        </w:rPr>
        <w:t xml:space="preserve">Opioid Overdose Reversal Grant Program is </w:t>
      </w:r>
      <w:r w:rsidR="00205E5E" w:rsidRPr="00205E5E">
        <w:rPr>
          <w:rFonts w:ascii="Arial" w:hAnsi="Arial" w:cs="Arial"/>
          <w:sz w:val="24"/>
        </w:rPr>
        <w:t xml:space="preserve">authorized by Section 711 (b) of the Social Security Act (U.S.C. 912(b), as amended and the Consolidated and Further Continuing Appropriations Act (P.L. 113-235).  </w:t>
      </w:r>
      <w:r w:rsidR="00205E5E" w:rsidRPr="00205E5E">
        <w:rPr>
          <w:rFonts w:ascii="Arial" w:hAnsi="Arial" w:cs="Arial"/>
          <w:bCs/>
          <w:sz w:val="24"/>
        </w:rPr>
        <w:t xml:space="preserve">The purpose of this grant program is to: reduce the incidences of morbidity and mortality related to opioid overdoses in rural communities through the purchase and placement of emergency devices used to rapidly reverse the effects of opioid overdose and training of licensed healthcare professionals and emergency </w:t>
      </w:r>
      <w:r w:rsidR="00205E5E" w:rsidRPr="00205E5E">
        <w:rPr>
          <w:rFonts w:ascii="Arial" w:hAnsi="Arial" w:cs="Arial"/>
          <w:bCs/>
          <w:sz w:val="24"/>
        </w:rPr>
        <w:lastRenderedPageBreak/>
        <w:t>responders on their use.</w:t>
      </w:r>
    </w:p>
    <w:p w14:paraId="36726A62" w14:textId="77777777" w:rsidR="009B3794" w:rsidRPr="00861D0C" w:rsidRDefault="009B3794" w:rsidP="00102B98">
      <w:pPr>
        <w:pStyle w:val="ListParagraph"/>
        <w:numPr>
          <w:ilvl w:val="0"/>
          <w:numId w:val="2"/>
        </w:numPr>
        <w:tabs>
          <w:tab w:val="clear" w:pos="1080"/>
          <w:tab w:val="num" w:pos="360"/>
        </w:tabs>
        <w:spacing w:before="240"/>
        <w:ind w:left="360"/>
        <w:rPr>
          <w:rFonts w:ascii="Arial" w:hAnsi="Arial" w:cs="Arial"/>
          <w:sz w:val="24"/>
        </w:rPr>
      </w:pPr>
      <w:r w:rsidRPr="00861D0C">
        <w:rPr>
          <w:rFonts w:ascii="Arial" w:hAnsi="Arial" w:cs="Arial"/>
          <w:b/>
          <w:sz w:val="24"/>
          <w:u w:val="single"/>
        </w:rPr>
        <w:t>Purpose and Use of Information Collection</w:t>
      </w:r>
    </w:p>
    <w:p w14:paraId="5E6813FB" w14:textId="77777777" w:rsidR="00861D0C" w:rsidRPr="00861D0C" w:rsidRDefault="00861D0C" w:rsidP="00102B98">
      <w:pPr>
        <w:pStyle w:val="ListParagraph"/>
        <w:spacing w:before="240"/>
        <w:ind w:left="360"/>
        <w:rPr>
          <w:rFonts w:ascii="Arial" w:hAnsi="Arial" w:cs="Arial"/>
          <w:sz w:val="24"/>
        </w:rPr>
      </w:pPr>
      <w:r w:rsidRPr="00861D0C">
        <w:rPr>
          <w:rFonts w:ascii="Arial" w:hAnsi="Arial" w:cs="Arial"/>
          <w:sz w:val="24"/>
        </w:rPr>
        <w:t xml:space="preserve">FORHP will collect data for the </w:t>
      </w:r>
      <w:r w:rsidRPr="00301EC0">
        <w:rPr>
          <w:rFonts w:ascii="Arial" w:hAnsi="Arial" w:cs="Arial"/>
          <w:sz w:val="24"/>
        </w:rPr>
        <w:t>FY1</w:t>
      </w:r>
      <w:r w:rsidR="00205E5E">
        <w:rPr>
          <w:rFonts w:ascii="Arial" w:hAnsi="Arial" w:cs="Arial"/>
          <w:sz w:val="24"/>
        </w:rPr>
        <w:t>5</w:t>
      </w:r>
      <w:r w:rsidRPr="00301EC0">
        <w:rPr>
          <w:rFonts w:ascii="Arial" w:hAnsi="Arial" w:cs="Arial"/>
          <w:sz w:val="24"/>
        </w:rPr>
        <w:t xml:space="preserve"> </w:t>
      </w:r>
      <w:r w:rsidR="009733A0" w:rsidRPr="009733A0">
        <w:rPr>
          <w:rFonts w:ascii="Arial" w:hAnsi="Arial" w:cs="Arial"/>
          <w:sz w:val="24"/>
        </w:rPr>
        <w:t xml:space="preserve">Rural </w:t>
      </w:r>
      <w:r w:rsidR="00205E5E">
        <w:rPr>
          <w:rFonts w:ascii="Arial" w:hAnsi="Arial" w:cs="Arial"/>
          <w:sz w:val="24"/>
        </w:rPr>
        <w:t>Opioid Overdose Reversal Grant P</w:t>
      </w:r>
      <w:r w:rsidRPr="00861D0C">
        <w:rPr>
          <w:rFonts w:ascii="Arial" w:hAnsi="Arial" w:cs="Arial"/>
          <w:sz w:val="24"/>
        </w:rPr>
        <w:t xml:space="preserve">rogram annually. The purpose of this data collection is to provide HRSA with information on how well each grantee </w:t>
      </w:r>
      <w:r w:rsidRPr="00301EC0">
        <w:rPr>
          <w:rFonts w:ascii="Arial" w:hAnsi="Arial" w:cs="Arial"/>
          <w:sz w:val="24"/>
        </w:rPr>
        <w:t xml:space="preserve">is improving access to quality health care services in rural communities. These measures cover the principal topic areas of interest to the FORHP including:  (a) </w:t>
      </w:r>
      <w:r w:rsidR="00BD6C44">
        <w:rPr>
          <w:rFonts w:ascii="Arial" w:hAnsi="Arial" w:cs="Arial"/>
          <w:sz w:val="24"/>
        </w:rPr>
        <w:t>counties served</w:t>
      </w:r>
      <w:r w:rsidRPr="00301EC0">
        <w:rPr>
          <w:rFonts w:ascii="Arial" w:hAnsi="Arial" w:cs="Arial"/>
          <w:sz w:val="24"/>
        </w:rPr>
        <w:t xml:space="preserve">; (b) </w:t>
      </w:r>
      <w:r w:rsidR="00BD6C44">
        <w:rPr>
          <w:rFonts w:ascii="Arial" w:hAnsi="Arial" w:cs="Arial"/>
          <w:sz w:val="24"/>
        </w:rPr>
        <w:t>devices purchased and distributed</w:t>
      </w:r>
      <w:r w:rsidRPr="00301EC0">
        <w:rPr>
          <w:rFonts w:ascii="Arial" w:hAnsi="Arial" w:cs="Arial"/>
          <w:sz w:val="24"/>
        </w:rPr>
        <w:t xml:space="preserve">; (c) </w:t>
      </w:r>
      <w:r w:rsidR="00BD6C44">
        <w:rPr>
          <w:rFonts w:ascii="Arial" w:hAnsi="Arial" w:cs="Arial"/>
          <w:sz w:val="24"/>
        </w:rPr>
        <w:t>training</w:t>
      </w:r>
      <w:r w:rsidRPr="00301EC0">
        <w:rPr>
          <w:rFonts w:ascii="Arial" w:hAnsi="Arial" w:cs="Arial"/>
          <w:sz w:val="24"/>
        </w:rPr>
        <w:t xml:space="preserve">; </w:t>
      </w:r>
      <w:r w:rsidR="00BD6C44">
        <w:rPr>
          <w:rFonts w:ascii="Arial" w:hAnsi="Arial" w:cs="Arial"/>
          <w:sz w:val="24"/>
        </w:rPr>
        <w:t xml:space="preserve">and </w:t>
      </w:r>
      <w:r w:rsidRPr="00301EC0">
        <w:rPr>
          <w:rFonts w:ascii="Arial" w:hAnsi="Arial" w:cs="Arial"/>
          <w:sz w:val="24"/>
        </w:rPr>
        <w:t xml:space="preserve">(d) </w:t>
      </w:r>
      <w:r w:rsidR="0085622F">
        <w:rPr>
          <w:rFonts w:ascii="Arial" w:hAnsi="Arial" w:cs="Arial"/>
          <w:sz w:val="24"/>
        </w:rPr>
        <w:t xml:space="preserve">naloxone </w:t>
      </w:r>
      <w:r w:rsidR="00BD6C44">
        <w:rPr>
          <w:rFonts w:ascii="Arial" w:hAnsi="Arial" w:cs="Arial"/>
          <w:sz w:val="24"/>
        </w:rPr>
        <w:t xml:space="preserve">administration.  </w:t>
      </w:r>
      <w:r w:rsidRPr="00301EC0">
        <w:rPr>
          <w:rFonts w:ascii="Arial" w:hAnsi="Arial" w:cs="Arial"/>
          <w:sz w:val="24"/>
        </w:rPr>
        <w:t xml:space="preserve">All measures will speak to </w:t>
      </w:r>
      <w:r w:rsidR="000F7CDE">
        <w:rPr>
          <w:rFonts w:ascii="Arial" w:hAnsi="Arial" w:cs="Arial"/>
          <w:sz w:val="24"/>
        </w:rPr>
        <w:t>F</w:t>
      </w:r>
      <w:r w:rsidRPr="00301EC0">
        <w:rPr>
          <w:rFonts w:ascii="Arial" w:hAnsi="Arial" w:cs="Arial"/>
          <w:sz w:val="24"/>
        </w:rPr>
        <w:t>ORHP's progress toward meeting the goals set.</w:t>
      </w:r>
    </w:p>
    <w:p w14:paraId="59D370FA" w14:textId="77777777" w:rsidR="00861D0C" w:rsidRPr="00BD6C44" w:rsidRDefault="00861D0C" w:rsidP="00BD6C44">
      <w:pPr>
        <w:pStyle w:val="ListParagraph"/>
        <w:spacing w:before="240"/>
        <w:ind w:left="360"/>
        <w:rPr>
          <w:rFonts w:ascii="Arial" w:hAnsi="Arial" w:cs="Arial"/>
          <w:sz w:val="24"/>
        </w:rPr>
      </w:pPr>
      <w:r w:rsidRPr="00861D0C">
        <w:rPr>
          <w:rFonts w:ascii="Arial" w:hAnsi="Arial" w:cs="Arial"/>
          <w:sz w:val="24"/>
        </w:rPr>
        <w:t xml:space="preserve">This assessment will provide useful information </w:t>
      </w:r>
      <w:r w:rsidRPr="00301EC0">
        <w:rPr>
          <w:rFonts w:ascii="Arial" w:hAnsi="Arial" w:cs="Arial"/>
          <w:sz w:val="24"/>
        </w:rPr>
        <w:t xml:space="preserve">on the </w:t>
      </w:r>
      <w:r w:rsidR="009733A0" w:rsidRPr="00301EC0">
        <w:rPr>
          <w:rFonts w:ascii="Arial" w:hAnsi="Arial" w:cs="Arial"/>
          <w:sz w:val="24"/>
        </w:rPr>
        <w:t xml:space="preserve">Rural </w:t>
      </w:r>
      <w:r w:rsidR="00BD6C44">
        <w:rPr>
          <w:rFonts w:ascii="Arial" w:hAnsi="Arial" w:cs="Arial"/>
          <w:sz w:val="24"/>
        </w:rPr>
        <w:t>Opioid Overdose Reversal Grant P</w:t>
      </w:r>
      <w:r w:rsidR="00BD6C44" w:rsidRPr="00861D0C">
        <w:rPr>
          <w:rFonts w:ascii="Arial" w:hAnsi="Arial" w:cs="Arial"/>
          <w:sz w:val="24"/>
        </w:rPr>
        <w:t>rogram</w:t>
      </w:r>
      <w:r w:rsidR="00BD6C44" w:rsidRPr="00301EC0">
        <w:rPr>
          <w:rFonts w:ascii="Arial" w:hAnsi="Arial" w:cs="Arial"/>
          <w:sz w:val="24"/>
        </w:rPr>
        <w:t xml:space="preserve"> </w:t>
      </w:r>
      <w:r w:rsidRPr="00301EC0">
        <w:rPr>
          <w:rFonts w:ascii="Arial" w:hAnsi="Arial" w:cs="Arial"/>
          <w:sz w:val="24"/>
        </w:rPr>
        <w:t xml:space="preserve">and will enable HRSA to assess the success of the grant funding.  </w:t>
      </w:r>
    </w:p>
    <w:p w14:paraId="1FA21D22" w14:textId="77777777" w:rsidR="00861D0C" w:rsidRPr="00301EC0" w:rsidRDefault="00861D0C" w:rsidP="00102B98">
      <w:pPr>
        <w:pStyle w:val="ListParagraph"/>
        <w:spacing w:before="240"/>
        <w:ind w:left="360"/>
        <w:rPr>
          <w:rFonts w:ascii="Arial" w:hAnsi="Arial" w:cs="Arial"/>
          <w:sz w:val="24"/>
        </w:rPr>
      </w:pPr>
      <w:r w:rsidRPr="00301EC0">
        <w:rPr>
          <w:rFonts w:ascii="Arial" w:hAnsi="Arial" w:cs="Arial"/>
          <w:sz w:val="24"/>
        </w:rPr>
        <w:t xml:space="preserve">The HRSA Electronic Handbook (EHB) is capable of identifying and responding to the needs of the grantees that receive the </w:t>
      </w:r>
      <w:r w:rsidR="0034052A" w:rsidRPr="00301EC0">
        <w:rPr>
          <w:rFonts w:ascii="Arial" w:hAnsi="Arial" w:cs="Arial"/>
          <w:sz w:val="24"/>
        </w:rPr>
        <w:t xml:space="preserve">Rural Network Allied Health Training Program </w:t>
      </w:r>
      <w:r w:rsidRPr="00301EC0">
        <w:rPr>
          <w:rFonts w:ascii="Arial" w:hAnsi="Arial" w:cs="Arial"/>
          <w:sz w:val="24"/>
        </w:rPr>
        <w:t>funding. The EHB:</w:t>
      </w:r>
    </w:p>
    <w:p w14:paraId="294473ED" w14:textId="77777777" w:rsidR="00861D0C" w:rsidRPr="00301EC0" w:rsidRDefault="00861D0C" w:rsidP="00BE6DA4">
      <w:pPr>
        <w:pStyle w:val="ListParagraph"/>
        <w:numPr>
          <w:ilvl w:val="0"/>
          <w:numId w:val="46"/>
        </w:numPr>
        <w:spacing w:before="240"/>
        <w:rPr>
          <w:rFonts w:ascii="Arial" w:hAnsi="Arial" w:cs="Arial"/>
          <w:sz w:val="24"/>
        </w:rPr>
      </w:pPr>
      <w:r w:rsidRPr="00301EC0">
        <w:rPr>
          <w:rFonts w:ascii="Arial" w:hAnsi="Arial" w:cs="Arial"/>
          <w:sz w:val="24"/>
        </w:rPr>
        <w:t>Provides uniformly defined data for major FORHP grant programs.</w:t>
      </w:r>
    </w:p>
    <w:p w14:paraId="42200504" w14:textId="77777777" w:rsidR="00861D0C" w:rsidRPr="00861D0C" w:rsidRDefault="00861D0C" w:rsidP="00BE6DA4">
      <w:pPr>
        <w:pStyle w:val="ListParagraph"/>
        <w:numPr>
          <w:ilvl w:val="0"/>
          <w:numId w:val="46"/>
        </w:numPr>
        <w:spacing w:before="240"/>
        <w:rPr>
          <w:rFonts w:ascii="Arial" w:hAnsi="Arial" w:cs="Arial"/>
          <w:sz w:val="24"/>
        </w:rPr>
      </w:pPr>
      <w:r w:rsidRPr="00301EC0">
        <w:rPr>
          <w:rFonts w:ascii="Arial" w:hAnsi="Arial" w:cs="Arial"/>
          <w:sz w:val="24"/>
        </w:rPr>
        <w:t xml:space="preserve">Facilitates the electronic transmission of data by the grantees, through use </w:t>
      </w:r>
      <w:r w:rsidR="001F1989" w:rsidRPr="00301EC0">
        <w:rPr>
          <w:rFonts w:ascii="Arial" w:hAnsi="Arial" w:cs="Arial"/>
          <w:sz w:val="24"/>
        </w:rPr>
        <w:t xml:space="preserve">  </w:t>
      </w:r>
      <w:r w:rsidRPr="00301EC0">
        <w:rPr>
          <w:rFonts w:ascii="Arial" w:hAnsi="Arial" w:cs="Arial"/>
          <w:sz w:val="24"/>
        </w:rPr>
        <w:t>of standard formats and definitions.</w:t>
      </w:r>
    </w:p>
    <w:p w14:paraId="616D53F3"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3A3A87E4" w14:textId="77777777" w:rsidR="00B1609F" w:rsidRPr="00C45431" w:rsidRDefault="00B1609F" w:rsidP="00B1609F">
      <w:pPr>
        <w:spacing w:before="120"/>
        <w:ind w:left="360"/>
        <w:rPr>
          <w:rFonts w:ascii="Arial" w:hAnsi="Arial" w:cs="Arial"/>
          <w:sz w:val="24"/>
        </w:rPr>
      </w:pPr>
      <w:r w:rsidRPr="00301EC0">
        <w:rPr>
          <w:rFonts w:ascii="Arial" w:hAnsi="Arial" w:cs="Arial"/>
          <w:sz w:val="24"/>
        </w:rPr>
        <w:t xml:space="preserve">This activity is fully electronic.  Data will be collected through and maintained in a database in the HRSA Electronic Handbook (EHB). The EHB is a website that the </w:t>
      </w:r>
      <w:r w:rsidR="003A5E22" w:rsidRPr="00301EC0">
        <w:rPr>
          <w:rFonts w:ascii="Arial" w:hAnsi="Arial" w:cs="Arial"/>
          <w:sz w:val="24"/>
        </w:rPr>
        <w:t xml:space="preserve">Rural </w:t>
      </w:r>
      <w:r w:rsidR="003A5E22">
        <w:rPr>
          <w:rFonts w:ascii="Arial" w:hAnsi="Arial" w:cs="Arial"/>
          <w:sz w:val="24"/>
        </w:rPr>
        <w:t>Opioid Overdose Reversal Grant P</w:t>
      </w:r>
      <w:r w:rsidR="003A5E22" w:rsidRPr="00861D0C">
        <w:rPr>
          <w:rFonts w:ascii="Arial" w:hAnsi="Arial" w:cs="Arial"/>
          <w:sz w:val="24"/>
        </w:rPr>
        <w:t>rogram</w:t>
      </w:r>
      <w:r w:rsidR="003A5E22" w:rsidRPr="00301EC0">
        <w:rPr>
          <w:rFonts w:ascii="Arial" w:hAnsi="Arial" w:cs="Arial"/>
          <w:sz w:val="24"/>
        </w:rPr>
        <w:t xml:space="preserve"> </w:t>
      </w:r>
      <w:r w:rsidRPr="00835506">
        <w:rPr>
          <w:rFonts w:ascii="Arial" w:hAnsi="Arial" w:cs="Arial"/>
          <w:sz w:val="24"/>
        </w:rPr>
        <w:t>grantees will use to submit their data for this funding.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14:paraId="727BFDE8" w14:textId="77777777" w:rsidR="009B3794" w:rsidRPr="00C45431" w:rsidRDefault="009B3794" w:rsidP="00B1609F">
      <w:pPr>
        <w:widowControl/>
        <w:spacing w:before="120"/>
        <w:ind w:left="360"/>
        <w:rPr>
          <w:rFonts w:ascii="Arial" w:hAnsi="Arial" w:cs="Arial"/>
          <w:sz w:val="24"/>
        </w:rPr>
      </w:pPr>
      <w:r w:rsidRPr="00C45431">
        <w:rPr>
          <w:rFonts w:ascii="Arial" w:hAnsi="Arial" w:cs="Arial"/>
          <w:sz w:val="24"/>
        </w:rPr>
        <w:tab/>
      </w:r>
    </w:p>
    <w:p w14:paraId="19C8A372"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41331120" w14:textId="77777777" w:rsidR="00B1609F" w:rsidRDefault="00B1609F" w:rsidP="0039552C">
      <w:pPr>
        <w:spacing w:before="120"/>
        <w:ind w:left="300"/>
        <w:rPr>
          <w:rFonts w:ascii="Arial" w:hAnsi="Arial" w:cs="Arial"/>
          <w:sz w:val="24"/>
        </w:rPr>
      </w:pPr>
      <w:r w:rsidRPr="00301EC0">
        <w:rPr>
          <w:rFonts w:ascii="Arial" w:hAnsi="Arial" w:cs="Arial"/>
          <w:sz w:val="24"/>
        </w:rPr>
        <w:t xml:space="preserve">There is no other data source available that tracks the characteristics of rural </w:t>
      </w:r>
      <w:r w:rsidR="00BD6C44">
        <w:rPr>
          <w:rFonts w:ascii="Arial" w:hAnsi="Arial" w:cs="Arial"/>
          <w:sz w:val="24"/>
        </w:rPr>
        <w:t xml:space="preserve">partnerships distributing </w:t>
      </w:r>
      <w:r w:rsidR="003A5E22">
        <w:rPr>
          <w:rFonts w:ascii="Arial" w:hAnsi="Arial" w:cs="Arial"/>
          <w:sz w:val="24"/>
        </w:rPr>
        <w:t xml:space="preserve">naloxone </w:t>
      </w:r>
      <w:r w:rsidR="00BD6C44">
        <w:rPr>
          <w:rFonts w:ascii="Arial" w:hAnsi="Arial" w:cs="Arial"/>
          <w:sz w:val="24"/>
        </w:rPr>
        <w:t xml:space="preserve">and </w:t>
      </w:r>
      <w:r w:rsidR="007F6D14">
        <w:rPr>
          <w:rFonts w:ascii="Arial" w:hAnsi="Arial" w:cs="Arial"/>
          <w:sz w:val="24"/>
        </w:rPr>
        <w:t xml:space="preserve">opioid </w:t>
      </w:r>
      <w:r w:rsidR="00BD6C44">
        <w:rPr>
          <w:rFonts w:ascii="Arial" w:hAnsi="Arial" w:cs="Arial"/>
          <w:sz w:val="24"/>
        </w:rPr>
        <w:t xml:space="preserve">overdose reversal devices and training in recognizing the signs of an overdose and usage of the devices.  </w:t>
      </w:r>
    </w:p>
    <w:p w14:paraId="5F24C1C1" w14:textId="77777777" w:rsidR="009B3794" w:rsidRPr="00B1609F"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2029EDBF" w14:textId="77777777" w:rsidR="00B1609F" w:rsidRPr="00B1609F" w:rsidRDefault="00B1609F" w:rsidP="00B1609F">
      <w:pPr>
        <w:spacing w:before="120"/>
        <w:ind w:left="360"/>
        <w:rPr>
          <w:rFonts w:ascii="Arial" w:hAnsi="Arial" w:cs="Arial"/>
          <w:color w:val="000000"/>
          <w:sz w:val="24"/>
        </w:rPr>
      </w:pPr>
      <w:r w:rsidRPr="00B1609F">
        <w:rPr>
          <w:rFonts w:ascii="Arial" w:hAnsi="Arial" w:cs="Arial"/>
          <w:color w:val="000000"/>
          <w:sz w:val="24"/>
        </w:rPr>
        <w:t xml:space="preserve">Every effort has been made </w:t>
      </w:r>
      <w:r w:rsidR="00EE3458">
        <w:rPr>
          <w:rFonts w:ascii="Arial" w:hAnsi="Arial" w:cs="Arial"/>
          <w:color w:val="000000"/>
          <w:sz w:val="24"/>
        </w:rPr>
        <w:t xml:space="preserve">to ensure the data requested are data that are </w:t>
      </w:r>
      <w:r w:rsidRPr="00B1609F">
        <w:rPr>
          <w:rFonts w:ascii="Arial" w:hAnsi="Arial" w:cs="Arial"/>
          <w:color w:val="000000"/>
          <w:sz w:val="24"/>
        </w:rPr>
        <w:t xml:space="preserve">currently being collected by the projects or can be easily incorporated into normal project </w:t>
      </w:r>
      <w:r w:rsidRPr="00B1609F">
        <w:rPr>
          <w:rFonts w:ascii="Arial" w:hAnsi="Arial" w:cs="Arial"/>
          <w:color w:val="000000"/>
          <w:sz w:val="24"/>
        </w:rPr>
        <w:lastRenderedPageBreak/>
        <w:t>procedures. Data being requested by projects is useful in determining whether grantee goals and objectives are being met. The data collection activities will not have a significant impact on small entities.</w:t>
      </w:r>
    </w:p>
    <w:p w14:paraId="039269B2"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22ED72B6" w14:textId="77777777" w:rsidR="00B1609F" w:rsidRPr="0077109D" w:rsidRDefault="0077109D" w:rsidP="0077109D">
      <w:pPr>
        <w:widowControl/>
        <w:autoSpaceDE/>
        <w:autoSpaceDN/>
        <w:adjustRightInd/>
        <w:spacing w:before="120"/>
        <w:ind w:left="360"/>
        <w:rPr>
          <w:rFonts w:ascii="Arial" w:hAnsi="Arial" w:cs="Arial"/>
          <w:color w:val="000000"/>
          <w:sz w:val="24"/>
        </w:rPr>
      </w:pPr>
      <w:r w:rsidRPr="0077109D">
        <w:rPr>
          <w:rFonts w:ascii="Arial" w:hAnsi="Arial" w:cs="Arial"/>
          <w:color w:val="000000"/>
          <w:sz w:val="24"/>
        </w:rPr>
        <w:t xml:space="preserve">Respondents will respond to this data collection annually </w:t>
      </w:r>
      <w:r w:rsidR="007F6D14">
        <w:rPr>
          <w:rFonts w:ascii="Arial" w:hAnsi="Arial" w:cs="Arial"/>
          <w:color w:val="000000"/>
          <w:sz w:val="24"/>
        </w:rPr>
        <w:t xml:space="preserve">at the end of their </w:t>
      </w:r>
      <w:r w:rsidR="008B70C2">
        <w:rPr>
          <w:rFonts w:ascii="Arial" w:hAnsi="Arial" w:cs="Arial"/>
          <w:color w:val="000000"/>
          <w:sz w:val="24"/>
        </w:rPr>
        <w:t xml:space="preserve">budget </w:t>
      </w:r>
      <w:r w:rsidR="008B70C2" w:rsidRPr="0077109D">
        <w:rPr>
          <w:rFonts w:ascii="Arial" w:hAnsi="Arial" w:cs="Arial"/>
          <w:color w:val="000000"/>
          <w:sz w:val="24"/>
        </w:rPr>
        <w:t>period</w:t>
      </w:r>
      <w:r w:rsidR="009378BB" w:rsidRPr="0077109D">
        <w:rPr>
          <w:rFonts w:ascii="Arial" w:hAnsi="Arial" w:cs="Arial"/>
          <w:color w:val="000000"/>
          <w:sz w:val="24"/>
        </w:rPr>
        <w:t xml:space="preserve">.  </w:t>
      </w:r>
      <w:r w:rsidRPr="0077109D">
        <w:rPr>
          <w:rFonts w:ascii="Arial" w:hAnsi="Arial" w:cs="Arial"/>
          <w:color w:val="000000"/>
          <w:sz w:val="24"/>
        </w:rPr>
        <w:t>This information is needed by the program, FORHP and HRSA in order to measure effective use of grant dollars to report on progress toward strategic goals and objectives.  There are no legal obstacles to reduce the burden.</w:t>
      </w:r>
    </w:p>
    <w:p w14:paraId="0A56679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2FCFE90A" w14:textId="77777777" w:rsidR="009B3794" w:rsidRPr="0077109D" w:rsidRDefault="0077109D" w:rsidP="0077109D">
      <w:pPr>
        <w:widowControl/>
        <w:spacing w:before="120"/>
        <w:ind w:firstLine="360"/>
        <w:rPr>
          <w:rFonts w:ascii="Arial" w:hAnsi="Arial" w:cs="Arial"/>
          <w:sz w:val="24"/>
        </w:rPr>
      </w:pPr>
      <w:r w:rsidRPr="0077109D">
        <w:t xml:space="preserve"> </w:t>
      </w:r>
      <w:r w:rsidRPr="0077109D">
        <w:rPr>
          <w:rFonts w:ascii="Arial" w:hAnsi="Arial" w:cs="Arial"/>
          <w:sz w:val="24"/>
        </w:rPr>
        <w:t>This project is consistent with the guidelines in 5 CFR 1320.5.</w:t>
      </w:r>
    </w:p>
    <w:p w14:paraId="562BE36C"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6CC08850" w14:textId="77777777" w:rsidR="002B08B2" w:rsidRDefault="002B08B2" w:rsidP="00CA3DA6">
      <w:pPr>
        <w:spacing w:before="120"/>
        <w:rPr>
          <w:rFonts w:ascii="Arial" w:hAnsi="Arial" w:cs="Arial"/>
          <w:b/>
          <w:sz w:val="28"/>
          <w:szCs w:val="28"/>
        </w:rPr>
      </w:pPr>
    </w:p>
    <w:p w14:paraId="313A5C59"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26F5A2C4" w14:textId="77777777" w:rsidR="009B3794" w:rsidRPr="0077109D" w:rsidRDefault="009B3794" w:rsidP="007F6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rPr>
      </w:pPr>
      <w:r w:rsidRPr="0077109D">
        <w:rPr>
          <w:rFonts w:ascii="Arial" w:hAnsi="Arial" w:cs="Arial"/>
          <w:sz w:val="24"/>
        </w:rPr>
        <w:t xml:space="preserve"> A 60-day Federal Register Notice was published in the </w:t>
      </w:r>
      <w:r w:rsidRPr="00EE3458">
        <w:rPr>
          <w:rFonts w:ascii="Arial" w:hAnsi="Arial" w:cs="Arial"/>
          <w:i/>
          <w:iCs/>
          <w:sz w:val="24"/>
        </w:rPr>
        <w:t>Federal Register</w:t>
      </w:r>
      <w:r w:rsidRPr="0077109D">
        <w:rPr>
          <w:rFonts w:ascii="Arial" w:hAnsi="Arial" w:cs="Arial"/>
          <w:i/>
          <w:iCs/>
          <w:sz w:val="24"/>
        </w:rPr>
        <w:t xml:space="preserve"> </w:t>
      </w:r>
      <w:r w:rsidRPr="0077109D">
        <w:rPr>
          <w:rFonts w:ascii="Arial" w:hAnsi="Arial" w:cs="Arial"/>
          <w:sz w:val="24"/>
        </w:rPr>
        <w:t xml:space="preserve">on </w:t>
      </w:r>
      <w:r w:rsidR="007F6D14" w:rsidRPr="007F6D14">
        <w:rPr>
          <w:rFonts w:ascii="Arial" w:hAnsi="Arial" w:cs="Arial"/>
          <w:sz w:val="24"/>
        </w:rPr>
        <w:t>February 10, 2016, vol. 81, No. 27; pp. 7130-7131</w:t>
      </w:r>
      <w:r w:rsidRPr="0078656A">
        <w:rPr>
          <w:rFonts w:ascii="Arial" w:hAnsi="Arial" w:cs="Arial"/>
          <w:sz w:val="24"/>
        </w:rPr>
        <w:t>. There were no public comments.</w:t>
      </w:r>
    </w:p>
    <w:p w14:paraId="38720A47" w14:textId="77777777" w:rsidR="00F54E89" w:rsidRPr="0077109D" w:rsidRDefault="00D54391" w:rsidP="00CA3DA6">
      <w:pPr>
        <w:spacing w:before="120"/>
        <w:rPr>
          <w:rFonts w:ascii="Arial" w:hAnsi="Arial" w:cs="Arial"/>
          <w:sz w:val="28"/>
          <w:szCs w:val="28"/>
        </w:rPr>
      </w:pPr>
      <w:r w:rsidRPr="0077109D">
        <w:rPr>
          <w:rFonts w:ascii="Arial" w:hAnsi="Arial" w:cs="Arial"/>
          <w:sz w:val="28"/>
          <w:szCs w:val="28"/>
        </w:rPr>
        <w:t xml:space="preserve"> </w:t>
      </w:r>
    </w:p>
    <w:p w14:paraId="0A010DCD"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14:paraId="657B3A4D" w14:textId="77777777" w:rsidR="0034052A" w:rsidRDefault="0034052A" w:rsidP="00835506">
      <w:pPr>
        <w:spacing w:before="120"/>
        <w:ind w:left="720"/>
        <w:rPr>
          <w:rFonts w:ascii="Arial" w:hAnsi="Arial" w:cs="Arial"/>
          <w:sz w:val="24"/>
        </w:rPr>
      </w:pPr>
      <w:r>
        <w:rPr>
          <w:rFonts w:ascii="Arial" w:hAnsi="Arial" w:cs="Arial"/>
          <w:sz w:val="24"/>
        </w:rPr>
        <w:t xml:space="preserve">In </w:t>
      </w:r>
      <w:r w:rsidRPr="0034052A">
        <w:rPr>
          <w:rFonts w:ascii="Arial" w:hAnsi="Arial" w:cs="Arial"/>
          <w:sz w:val="24"/>
        </w:rPr>
        <w:t xml:space="preserve">order to create a final set of performance measures that are useful for </w:t>
      </w:r>
      <w:r w:rsidR="00AE5CBD" w:rsidRPr="0034052A">
        <w:rPr>
          <w:rFonts w:ascii="Arial" w:hAnsi="Arial" w:cs="Arial"/>
          <w:sz w:val="24"/>
        </w:rPr>
        <w:t>the Rural</w:t>
      </w:r>
      <w:r w:rsidRPr="0034052A">
        <w:rPr>
          <w:rFonts w:ascii="Arial" w:hAnsi="Arial" w:cs="Arial"/>
          <w:sz w:val="24"/>
        </w:rPr>
        <w:t xml:space="preserve"> </w:t>
      </w:r>
      <w:r w:rsidR="007F6D14">
        <w:rPr>
          <w:rFonts w:ascii="Arial" w:hAnsi="Arial" w:cs="Arial"/>
          <w:sz w:val="24"/>
        </w:rPr>
        <w:t>Opioid Overdose Reversal Grant</w:t>
      </w:r>
      <w:r w:rsidRPr="0034052A">
        <w:rPr>
          <w:rFonts w:ascii="Arial" w:hAnsi="Arial" w:cs="Arial"/>
          <w:sz w:val="24"/>
        </w:rPr>
        <w:t xml:space="preserve"> Program grantees, a set of measures were</w:t>
      </w:r>
      <w:r w:rsidR="00835506">
        <w:rPr>
          <w:rFonts w:ascii="Arial" w:hAnsi="Arial" w:cs="Arial"/>
          <w:sz w:val="24"/>
        </w:rPr>
        <w:t xml:space="preserve"> </w:t>
      </w:r>
      <w:r w:rsidRPr="0034052A">
        <w:rPr>
          <w:rFonts w:ascii="Arial" w:hAnsi="Arial" w:cs="Arial"/>
          <w:sz w:val="24"/>
        </w:rPr>
        <w:t xml:space="preserve">vetted to </w:t>
      </w:r>
      <w:r w:rsidR="006F126D">
        <w:rPr>
          <w:rFonts w:ascii="Arial" w:hAnsi="Arial" w:cs="Arial"/>
          <w:sz w:val="24"/>
        </w:rPr>
        <w:t>all</w:t>
      </w:r>
      <w:r w:rsidRPr="0034052A">
        <w:rPr>
          <w:rFonts w:ascii="Arial" w:hAnsi="Arial" w:cs="Arial"/>
          <w:sz w:val="24"/>
        </w:rPr>
        <w:t xml:space="preserve"> gran</w:t>
      </w:r>
      <w:r>
        <w:rPr>
          <w:rFonts w:ascii="Arial" w:hAnsi="Arial" w:cs="Arial"/>
          <w:sz w:val="24"/>
        </w:rPr>
        <w:t xml:space="preserve">tee organizations in </w:t>
      </w:r>
      <w:r w:rsidR="00AF6D21">
        <w:rPr>
          <w:rFonts w:ascii="Arial" w:hAnsi="Arial" w:cs="Arial"/>
          <w:sz w:val="24"/>
        </w:rPr>
        <w:t>March</w:t>
      </w:r>
      <w:r>
        <w:rPr>
          <w:rFonts w:ascii="Arial" w:hAnsi="Arial" w:cs="Arial"/>
          <w:sz w:val="24"/>
        </w:rPr>
        <w:t xml:space="preserve"> 201</w:t>
      </w:r>
      <w:r w:rsidR="00AF6D21">
        <w:rPr>
          <w:rFonts w:ascii="Arial" w:hAnsi="Arial" w:cs="Arial"/>
          <w:sz w:val="24"/>
        </w:rPr>
        <w:t>6</w:t>
      </w:r>
      <w:r w:rsidRPr="0034052A">
        <w:rPr>
          <w:rFonts w:ascii="Arial" w:hAnsi="Arial" w:cs="Arial"/>
          <w:sz w:val="24"/>
        </w:rPr>
        <w:t xml:space="preserve">. The following grantees were consulted: </w:t>
      </w:r>
    </w:p>
    <w:p w14:paraId="43788B17" w14:textId="77777777" w:rsidR="00D81B96" w:rsidRDefault="00D81B96" w:rsidP="006F126D">
      <w:pPr>
        <w:pStyle w:val="ListParagraph"/>
        <w:ind w:left="1080"/>
        <w:rPr>
          <w:rFonts w:ascii="Arial" w:hAnsi="Arial" w:cs="Arial"/>
          <w:sz w:val="24"/>
        </w:rPr>
      </w:pPr>
    </w:p>
    <w:p w14:paraId="027CD983" w14:textId="77777777" w:rsidR="00D81B96" w:rsidRDefault="00D81B96" w:rsidP="006F126D">
      <w:pPr>
        <w:pStyle w:val="ListParagraph"/>
        <w:ind w:left="1080"/>
        <w:rPr>
          <w:rFonts w:ascii="Arial" w:hAnsi="Arial" w:cs="Arial"/>
          <w:sz w:val="24"/>
        </w:rPr>
      </w:pPr>
    </w:p>
    <w:p w14:paraId="0AB11623" w14:textId="77777777" w:rsidR="00AE5CBD" w:rsidRPr="00AE5CBD" w:rsidRDefault="009E39DC" w:rsidP="006F126D">
      <w:pPr>
        <w:pStyle w:val="ListParagraph"/>
        <w:ind w:left="1080"/>
        <w:rPr>
          <w:rFonts w:ascii="Arial" w:hAnsi="Arial" w:cs="Arial"/>
          <w:sz w:val="24"/>
        </w:rPr>
      </w:pPr>
      <w:r>
        <w:rPr>
          <w:rFonts w:ascii="Arial" w:hAnsi="Arial" w:cs="Arial"/>
          <w:sz w:val="24"/>
        </w:rPr>
        <w:t>Lisa Harrison</w:t>
      </w:r>
      <w:r w:rsidR="00AE5CBD" w:rsidRPr="00AE5CBD">
        <w:rPr>
          <w:rFonts w:ascii="Arial" w:hAnsi="Arial" w:cs="Arial"/>
          <w:sz w:val="24"/>
        </w:rPr>
        <w:t xml:space="preserve">, </w:t>
      </w:r>
      <w:r>
        <w:rPr>
          <w:rFonts w:ascii="Arial" w:hAnsi="Arial" w:cs="Arial"/>
          <w:sz w:val="24"/>
        </w:rPr>
        <w:t>Health</w:t>
      </w:r>
      <w:r w:rsidR="00AE5CBD" w:rsidRPr="00AE5CBD">
        <w:rPr>
          <w:rFonts w:ascii="Arial" w:hAnsi="Arial" w:cs="Arial"/>
          <w:sz w:val="24"/>
        </w:rPr>
        <w:t xml:space="preserve"> Director </w:t>
      </w:r>
    </w:p>
    <w:p w14:paraId="46AB0240" w14:textId="77777777" w:rsidR="00AE5CBD" w:rsidRPr="00AE5CBD" w:rsidRDefault="009E39DC" w:rsidP="006F126D">
      <w:pPr>
        <w:pStyle w:val="ListParagraph"/>
        <w:ind w:left="1080"/>
        <w:rPr>
          <w:rFonts w:ascii="Arial" w:hAnsi="Arial" w:cs="Arial"/>
          <w:sz w:val="24"/>
        </w:rPr>
      </w:pPr>
      <w:r>
        <w:rPr>
          <w:rFonts w:ascii="Arial" w:hAnsi="Arial" w:cs="Arial"/>
          <w:sz w:val="24"/>
        </w:rPr>
        <w:t>Granville-Vance Health Department</w:t>
      </w:r>
    </w:p>
    <w:p w14:paraId="2982314D" w14:textId="77777777" w:rsidR="00AE5CBD" w:rsidRPr="00AE5CBD" w:rsidRDefault="009E39DC" w:rsidP="006F126D">
      <w:pPr>
        <w:pStyle w:val="ListParagraph"/>
        <w:ind w:left="1080"/>
        <w:rPr>
          <w:rFonts w:ascii="Arial" w:hAnsi="Arial" w:cs="Arial"/>
          <w:sz w:val="24"/>
        </w:rPr>
      </w:pPr>
      <w:r>
        <w:rPr>
          <w:rFonts w:ascii="Arial" w:hAnsi="Arial" w:cs="Arial"/>
          <w:sz w:val="24"/>
        </w:rPr>
        <w:t>Oxford, NC  27565</w:t>
      </w:r>
    </w:p>
    <w:p w14:paraId="02AA1C49" w14:textId="77777777" w:rsidR="00AE5CBD" w:rsidRPr="00AE5CBD" w:rsidRDefault="00541BE8" w:rsidP="006F126D">
      <w:pPr>
        <w:pStyle w:val="ListParagraph"/>
        <w:ind w:left="1080"/>
        <w:rPr>
          <w:rFonts w:ascii="Arial" w:hAnsi="Arial" w:cs="Arial"/>
          <w:sz w:val="24"/>
        </w:rPr>
      </w:pPr>
      <w:r>
        <w:rPr>
          <w:rFonts w:ascii="Arial" w:hAnsi="Arial" w:cs="Arial"/>
          <w:sz w:val="24"/>
        </w:rPr>
        <w:t>lharrison@gvdhd.org</w:t>
      </w:r>
    </w:p>
    <w:p w14:paraId="530BD0AB" w14:textId="77777777" w:rsidR="006F126D" w:rsidRDefault="006F126D" w:rsidP="006F126D">
      <w:pPr>
        <w:pStyle w:val="ListParagraph"/>
        <w:ind w:left="1080"/>
        <w:rPr>
          <w:rFonts w:ascii="Arial" w:hAnsi="Arial" w:cs="Arial"/>
          <w:sz w:val="24"/>
        </w:rPr>
      </w:pPr>
    </w:p>
    <w:p w14:paraId="07511A27" w14:textId="77777777" w:rsidR="00AE5CBD" w:rsidRPr="00AE5CBD" w:rsidRDefault="00513D12" w:rsidP="006F126D">
      <w:pPr>
        <w:pStyle w:val="ListParagraph"/>
        <w:ind w:left="1080"/>
        <w:rPr>
          <w:rFonts w:ascii="Arial" w:hAnsi="Arial" w:cs="Arial"/>
          <w:sz w:val="24"/>
        </w:rPr>
      </w:pPr>
      <w:r>
        <w:rPr>
          <w:rFonts w:ascii="Arial" w:hAnsi="Arial" w:cs="Arial"/>
          <w:sz w:val="24"/>
        </w:rPr>
        <w:t>Laura St. John, Grants Program Director</w:t>
      </w:r>
    </w:p>
    <w:p w14:paraId="4D64EF1B" w14:textId="77777777" w:rsidR="00AE5CBD" w:rsidRPr="00AE5CBD" w:rsidRDefault="00513D12" w:rsidP="006F126D">
      <w:pPr>
        <w:pStyle w:val="ListParagraph"/>
        <w:ind w:left="1080"/>
        <w:rPr>
          <w:rFonts w:ascii="Arial" w:hAnsi="Arial" w:cs="Arial"/>
          <w:sz w:val="24"/>
        </w:rPr>
      </w:pPr>
      <w:proofErr w:type="spellStart"/>
      <w:r>
        <w:rPr>
          <w:rFonts w:ascii="Arial" w:hAnsi="Arial" w:cs="Arial"/>
          <w:sz w:val="24"/>
        </w:rPr>
        <w:t>MaineGeneral</w:t>
      </w:r>
      <w:proofErr w:type="spellEnd"/>
      <w:r>
        <w:rPr>
          <w:rFonts w:ascii="Arial" w:hAnsi="Arial" w:cs="Arial"/>
          <w:sz w:val="24"/>
        </w:rPr>
        <w:t xml:space="preserve"> Medical Center</w:t>
      </w:r>
    </w:p>
    <w:p w14:paraId="3435CDB4" w14:textId="77777777" w:rsidR="00AE5CBD" w:rsidRPr="00AE5CBD" w:rsidRDefault="00513D12" w:rsidP="006F126D">
      <w:pPr>
        <w:pStyle w:val="ListParagraph"/>
        <w:ind w:left="1080"/>
        <w:rPr>
          <w:rFonts w:ascii="Arial" w:hAnsi="Arial" w:cs="Arial"/>
          <w:sz w:val="24"/>
        </w:rPr>
      </w:pPr>
      <w:r>
        <w:rPr>
          <w:rFonts w:ascii="Arial" w:hAnsi="Arial" w:cs="Arial"/>
          <w:sz w:val="24"/>
        </w:rPr>
        <w:t>Augusta, ME</w:t>
      </w:r>
      <w:r w:rsidR="00C836BE">
        <w:rPr>
          <w:rFonts w:ascii="Arial" w:hAnsi="Arial" w:cs="Arial"/>
          <w:sz w:val="24"/>
        </w:rPr>
        <w:t xml:space="preserve">  04330</w:t>
      </w:r>
    </w:p>
    <w:p w14:paraId="0F2145A4" w14:textId="77777777" w:rsidR="00AE5CBD" w:rsidRPr="00AE5CBD" w:rsidRDefault="00513D12" w:rsidP="006F126D">
      <w:pPr>
        <w:pStyle w:val="ListParagraph"/>
        <w:ind w:left="1080"/>
        <w:rPr>
          <w:rFonts w:ascii="Arial" w:hAnsi="Arial" w:cs="Arial"/>
          <w:sz w:val="24"/>
        </w:rPr>
      </w:pPr>
      <w:r>
        <w:rPr>
          <w:rFonts w:ascii="Arial" w:hAnsi="Arial" w:cs="Arial"/>
          <w:sz w:val="24"/>
        </w:rPr>
        <w:t>Laura.St.John@MaineGeneral.org</w:t>
      </w:r>
    </w:p>
    <w:p w14:paraId="0A79507D" w14:textId="77777777" w:rsidR="00AE5CBD" w:rsidRPr="00AE5CBD" w:rsidRDefault="00AE5CBD" w:rsidP="00AE5CBD">
      <w:pPr>
        <w:pStyle w:val="ListParagraph"/>
        <w:spacing w:before="120"/>
        <w:ind w:left="1080"/>
        <w:rPr>
          <w:rFonts w:ascii="Arial" w:hAnsi="Arial" w:cs="Arial"/>
          <w:sz w:val="24"/>
        </w:rPr>
      </w:pPr>
    </w:p>
    <w:p w14:paraId="6B118FD1" w14:textId="77777777" w:rsidR="00AE5CBD" w:rsidRPr="00AE5CBD" w:rsidRDefault="00513D12" w:rsidP="006F126D">
      <w:pPr>
        <w:pStyle w:val="ListParagraph"/>
        <w:ind w:left="1080"/>
        <w:rPr>
          <w:rFonts w:ascii="Arial" w:hAnsi="Arial" w:cs="Arial"/>
          <w:sz w:val="24"/>
        </w:rPr>
      </w:pPr>
      <w:r>
        <w:rPr>
          <w:rFonts w:ascii="Arial" w:hAnsi="Arial" w:cs="Arial"/>
          <w:sz w:val="24"/>
        </w:rPr>
        <w:t xml:space="preserve">Janet </w:t>
      </w:r>
      <w:proofErr w:type="spellStart"/>
      <w:r>
        <w:rPr>
          <w:rFonts w:ascii="Arial" w:hAnsi="Arial" w:cs="Arial"/>
          <w:sz w:val="24"/>
        </w:rPr>
        <w:t>Masenburg</w:t>
      </w:r>
      <w:proofErr w:type="spellEnd"/>
      <w:r w:rsidR="00B535C6">
        <w:rPr>
          <w:rFonts w:ascii="Arial" w:hAnsi="Arial" w:cs="Arial"/>
          <w:sz w:val="24"/>
        </w:rPr>
        <w:t>, Director of Nursing</w:t>
      </w:r>
    </w:p>
    <w:p w14:paraId="1BC73EE9" w14:textId="77777777" w:rsidR="009733A0" w:rsidRDefault="00B535C6" w:rsidP="006F126D">
      <w:pPr>
        <w:pStyle w:val="ListParagraph"/>
        <w:ind w:left="1080"/>
        <w:rPr>
          <w:rFonts w:ascii="Arial" w:hAnsi="Arial" w:cs="Arial"/>
          <w:sz w:val="24"/>
        </w:rPr>
      </w:pPr>
      <w:r>
        <w:rPr>
          <w:rFonts w:ascii="Arial" w:hAnsi="Arial" w:cs="Arial"/>
          <w:sz w:val="24"/>
        </w:rPr>
        <w:t>Erie County Health Department</w:t>
      </w:r>
    </w:p>
    <w:p w14:paraId="45C53F65" w14:textId="77777777" w:rsidR="00B535C6" w:rsidRDefault="00B535C6" w:rsidP="006F126D">
      <w:pPr>
        <w:pStyle w:val="ListParagraph"/>
        <w:ind w:left="1080"/>
        <w:rPr>
          <w:rFonts w:ascii="Arial" w:hAnsi="Arial" w:cs="Arial"/>
          <w:sz w:val="24"/>
        </w:rPr>
      </w:pPr>
      <w:r>
        <w:rPr>
          <w:rFonts w:ascii="Arial" w:hAnsi="Arial" w:cs="Arial"/>
          <w:sz w:val="24"/>
        </w:rPr>
        <w:t>Sandusky, OH</w:t>
      </w:r>
      <w:r w:rsidR="00C836BE">
        <w:rPr>
          <w:rFonts w:ascii="Arial" w:hAnsi="Arial" w:cs="Arial"/>
          <w:sz w:val="24"/>
        </w:rPr>
        <w:t xml:space="preserve">  44870</w:t>
      </w:r>
    </w:p>
    <w:p w14:paraId="3B1DDBDC" w14:textId="77777777" w:rsidR="00B535C6" w:rsidRDefault="00B535C6" w:rsidP="006F126D">
      <w:pPr>
        <w:pStyle w:val="ListParagraph"/>
        <w:ind w:left="1080"/>
        <w:rPr>
          <w:rFonts w:ascii="Arial" w:hAnsi="Arial" w:cs="Arial"/>
          <w:sz w:val="24"/>
        </w:rPr>
      </w:pPr>
      <w:r>
        <w:rPr>
          <w:rFonts w:ascii="Arial" w:hAnsi="Arial" w:cs="Arial"/>
          <w:sz w:val="24"/>
        </w:rPr>
        <w:t>jmesenburg@eriecohealthohio.org</w:t>
      </w:r>
    </w:p>
    <w:p w14:paraId="03885C6B" w14:textId="77777777" w:rsidR="00B535C6" w:rsidRDefault="00B535C6" w:rsidP="006F126D">
      <w:pPr>
        <w:pStyle w:val="ListParagraph"/>
        <w:ind w:left="1080"/>
        <w:rPr>
          <w:rFonts w:ascii="Arial" w:hAnsi="Arial" w:cs="Arial"/>
          <w:sz w:val="24"/>
        </w:rPr>
      </w:pPr>
    </w:p>
    <w:p w14:paraId="214E3204" w14:textId="77777777" w:rsidR="00AE5CBD" w:rsidRDefault="00B535C6" w:rsidP="006F126D">
      <w:pPr>
        <w:pStyle w:val="ListParagraph"/>
        <w:ind w:left="1080"/>
        <w:rPr>
          <w:rFonts w:ascii="Arial" w:hAnsi="Arial" w:cs="Arial"/>
          <w:sz w:val="24"/>
        </w:rPr>
      </w:pPr>
      <w:r>
        <w:rPr>
          <w:rFonts w:ascii="Arial" w:hAnsi="Arial" w:cs="Arial"/>
          <w:sz w:val="24"/>
        </w:rPr>
        <w:lastRenderedPageBreak/>
        <w:t>Stephanie Almeida, CEO</w:t>
      </w:r>
    </w:p>
    <w:p w14:paraId="4FE17F52" w14:textId="77777777" w:rsidR="00B535C6" w:rsidRDefault="00B535C6" w:rsidP="006F126D">
      <w:pPr>
        <w:pStyle w:val="ListParagraph"/>
        <w:ind w:left="1080"/>
        <w:rPr>
          <w:rFonts w:ascii="Arial" w:hAnsi="Arial" w:cs="Arial"/>
          <w:sz w:val="24"/>
        </w:rPr>
      </w:pPr>
      <w:r>
        <w:rPr>
          <w:rFonts w:ascii="Arial" w:hAnsi="Arial" w:cs="Arial"/>
          <w:sz w:val="24"/>
        </w:rPr>
        <w:t>Full Circle Recovery</w:t>
      </w:r>
    </w:p>
    <w:p w14:paraId="18DE4BA7" w14:textId="77777777" w:rsidR="00C836BE" w:rsidRDefault="00C836BE" w:rsidP="006F126D">
      <w:pPr>
        <w:pStyle w:val="ListParagraph"/>
        <w:ind w:left="1080"/>
        <w:rPr>
          <w:rFonts w:ascii="Arial" w:hAnsi="Arial" w:cs="Arial"/>
          <w:sz w:val="24"/>
        </w:rPr>
      </w:pPr>
      <w:r>
        <w:rPr>
          <w:rFonts w:ascii="Arial" w:hAnsi="Arial" w:cs="Arial"/>
          <w:sz w:val="24"/>
        </w:rPr>
        <w:t>Franklin, NC 28734</w:t>
      </w:r>
    </w:p>
    <w:p w14:paraId="2308F77F" w14:textId="77777777" w:rsidR="00C836BE" w:rsidRDefault="00C836BE" w:rsidP="006F126D">
      <w:pPr>
        <w:pStyle w:val="ListParagraph"/>
        <w:ind w:left="1080"/>
        <w:rPr>
          <w:rFonts w:ascii="Arial" w:hAnsi="Arial" w:cs="Arial"/>
          <w:sz w:val="24"/>
        </w:rPr>
      </w:pPr>
      <w:r w:rsidRPr="00C836BE">
        <w:rPr>
          <w:rFonts w:ascii="Arial" w:hAnsi="Arial" w:cs="Arial"/>
          <w:sz w:val="24"/>
        </w:rPr>
        <w:t>preventionrocks@gmail.com</w:t>
      </w:r>
    </w:p>
    <w:p w14:paraId="2A0B94F6" w14:textId="77777777" w:rsidR="00B535C6" w:rsidRPr="00AE5CBD" w:rsidRDefault="00B535C6" w:rsidP="006F126D">
      <w:pPr>
        <w:pStyle w:val="ListParagraph"/>
        <w:ind w:left="1080"/>
        <w:rPr>
          <w:rFonts w:ascii="Arial" w:hAnsi="Arial" w:cs="Arial"/>
          <w:sz w:val="24"/>
        </w:rPr>
      </w:pPr>
    </w:p>
    <w:p w14:paraId="195E625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54EF1CDC" w14:textId="77777777" w:rsidR="001E74CF" w:rsidRDefault="001E74CF" w:rsidP="001E74CF">
      <w:pPr>
        <w:spacing w:before="120"/>
        <w:ind w:firstLine="360"/>
        <w:rPr>
          <w:rFonts w:ascii="Arial" w:hAnsi="Arial" w:cs="Arial"/>
          <w:sz w:val="24"/>
        </w:rPr>
      </w:pPr>
      <w:r w:rsidRPr="001E74CF">
        <w:rPr>
          <w:rFonts w:ascii="Arial" w:hAnsi="Arial" w:cs="Arial"/>
          <w:sz w:val="24"/>
        </w:rPr>
        <w:t>Respondents will not receive any payments or gifts</w:t>
      </w:r>
      <w:r>
        <w:rPr>
          <w:rFonts w:ascii="Arial" w:hAnsi="Arial" w:cs="Arial"/>
          <w:sz w:val="24"/>
        </w:rPr>
        <w:t>.</w:t>
      </w:r>
    </w:p>
    <w:p w14:paraId="743316C9"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66FE0851" w14:textId="77777777" w:rsidR="009B3794" w:rsidRPr="00C45431" w:rsidRDefault="002D2A8F" w:rsidP="002D2A8F">
      <w:pPr>
        <w:spacing w:before="120"/>
        <w:ind w:left="360"/>
        <w:rPr>
          <w:rFonts w:ascii="Arial" w:hAnsi="Arial" w:cs="Arial"/>
          <w:sz w:val="24"/>
        </w:rPr>
      </w:pPr>
      <w:r w:rsidRPr="002D2A8F">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14:paraId="3A91E976" w14:textId="77777777" w:rsidR="009B3794" w:rsidRPr="00C45431" w:rsidRDefault="009B3794" w:rsidP="002D2A8F">
      <w:pPr>
        <w:widowControl/>
        <w:spacing w:before="120"/>
        <w:ind w:left="360"/>
        <w:rPr>
          <w:rFonts w:ascii="Arial" w:hAnsi="Arial" w:cs="Arial"/>
          <w:sz w:val="24"/>
        </w:rPr>
      </w:pPr>
    </w:p>
    <w:p w14:paraId="0AB62C23"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09C7ED25" w14:textId="77777777" w:rsidR="002D2A8F" w:rsidRPr="00C45431" w:rsidRDefault="002D2A8F" w:rsidP="002D2A8F">
      <w:pPr>
        <w:widowControl/>
        <w:spacing w:before="120"/>
        <w:ind w:left="360"/>
        <w:rPr>
          <w:rFonts w:ascii="Arial" w:hAnsi="Arial" w:cs="Arial"/>
          <w:sz w:val="24"/>
        </w:rPr>
      </w:pPr>
      <w:r w:rsidRPr="002D2A8F">
        <w:rPr>
          <w:rFonts w:ascii="Arial" w:hAnsi="Arial" w:cs="Arial"/>
          <w:sz w:val="24"/>
        </w:rPr>
        <w:t>There are no sensitive questions.</w:t>
      </w:r>
    </w:p>
    <w:p w14:paraId="55E16148" w14:textId="77777777" w:rsidR="009B3794" w:rsidRDefault="009B3794" w:rsidP="002D2A8F">
      <w:pPr>
        <w:widowControl/>
        <w:spacing w:before="120"/>
        <w:ind w:left="360"/>
        <w:rPr>
          <w:rFonts w:ascii="Arial" w:hAnsi="Arial" w:cs="Arial"/>
          <w:sz w:val="24"/>
        </w:rPr>
      </w:pPr>
    </w:p>
    <w:p w14:paraId="425DF3E1" w14:textId="77777777" w:rsidR="00D81B96" w:rsidRPr="00C45431" w:rsidRDefault="00D81B96" w:rsidP="002D2A8F">
      <w:pPr>
        <w:widowControl/>
        <w:spacing w:before="120"/>
        <w:ind w:left="360"/>
        <w:rPr>
          <w:rFonts w:ascii="Arial" w:hAnsi="Arial" w:cs="Arial"/>
          <w:sz w:val="24"/>
        </w:rPr>
      </w:pPr>
    </w:p>
    <w:p w14:paraId="2961C7B8" w14:textId="77777777"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2737B48A" w14:textId="77777777" w:rsidR="009B3794" w:rsidRPr="00C45431" w:rsidRDefault="009B3794" w:rsidP="002D2A8F">
      <w:pPr>
        <w:widowControl/>
        <w:spacing w:before="120"/>
        <w:ind w:left="360"/>
        <w:rPr>
          <w:rFonts w:ascii="Arial" w:hAnsi="Arial" w:cs="Arial"/>
          <w:sz w:val="24"/>
        </w:rPr>
      </w:pPr>
      <w:r w:rsidRPr="00C45431">
        <w:rPr>
          <w:rFonts w:ascii="Arial" w:hAnsi="Arial" w:cs="Arial"/>
          <w:sz w:val="24"/>
        </w:rPr>
        <w:t xml:space="preserve"> </w:t>
      </w:r>
    </w:p>
    <w:p w14:paraId="1F15CBAE" w14:textId="77777777" w:rsidR="009B3794" w:rsidRPr="00C45431" w:rsidRDefault="009B3794" w:rsidP="00CA3DA6">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541"/>
        <w:gridCol w:w="1589"/>
        <w:gridCol w:w="1467"/>
        <w:gridCol w:w="1284"/>
        <w:gridCol w:w="1252"/>
        <w:gridCol w:w="976"/>
      </w:tblGrid>
      <w:tr w:rsidR="00EE3458" w:rsidRPr="00C45431" w14:paraId="37D65466" w14:textId="77777777" w:rsidTr="00EE3458">
        <w:trPr>
          <w:trHeight w:val="2189"/>
        </w:trPr>
        <w:tc>
          <w:tcPr>
            <w:tcW w:w="1523" w:type="dxa"/>
            <w:shd w:val="clear" w:color="auto" w:fill="auto"/>
          </w:tcPr>
          <w:p w14:paraId="223398DF"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Type of</w:t>
            </w:r>
          </w:p>
          <w:p w14:paraId="307C6181"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Respondent</w:t>
            </w:r>
          </w:p>
          <w:p w14:paraId="2EB55813" w14:textId="77777777" w:rsidR="00EE3458" w:rsidRPr="00EE3458" w:rsidRDefault="00EE3458" w:rsidP="00CA3DA6">
            <w:pPr>
              <w:widowControl/>
              <w:tabs>
                <w:tab w:val="num" w:pos="1080"/>
              </w:tabs>
              <w:spacing w:before="120"/>
              <w:rPr>
                <w:rFonts w:ascii="Arial" w:hAnsi="Arial" w:cs="Arial"/>
                <w:b/>
                <w:bCs/>
                <w:szCs w:val="20"/>
              </w:rPr>
            </w:pPr>
          </w:p>
        </w:tc>
        <w:tc>
          <w:tcPr>
            <w:tcW w:w="1600" w:type="dxa"/>
            <w:shd w:val="clear" w:color="auto" w:fill="auto"/>
          </w:tcPr>
          <w:p w14:paraId="7E008BF1"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Form</w:t>
            </w:r>
          </w:p>
          <w:p w14:paraId="7605A1D8"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Name</w:t>
            </w:r>
          </w:p>
          <w:p w14:paraId="511EE111" w14:textId="77777777" w:rsidR="00EE3458" w:rsidRPr="00EE3458" w:rsidRDefault="00EE3458" w:rsidP="00CA3DA6">
            <w:pPr>
              <w:widowControl/>
              <w:tabs>
                <w:tab w:val="num" w:pos="1080"/>
              </w:tabs>
              <w:spacing w:before="120"/>
              <w:rPr>
                <w:rFonts w:ascii="Arial" w:hAnsi="Arial" w:cs="Arial"/>
                <w:b/>
                <w:bCs/>
                <w:szCs w:val="20"/>
              </w:rPr>
            </w:pPr>
          </w:p>
        </w:tc>
        <w:tc>
          <w:tcPr>
            <w:tcW w:w="1650" w:type="dxa"/>
            <w:shd w:val="clear" w:color="auto" w:fill="auto"/>
          </w:tcPr>
          <w:p w14:paraId="28AD1DEC"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No. of</w:t>
            </w:r>
          </w:p>
          <w:p w14:paraId="1461AAEC"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Respondents</w:t>
            </w:r>
          </w:p>
        </w:tc>
        <w:tc>
          <w:tcPr>
            <w:tcW w:w="1523" w:type="dxa"/>
            <w:shd w:val="clear" w:color="auto" w:fill="auto"/>
          </w:tcPr>
          <w:p w14:paraId="01E6DE74"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No.</w:t>
            </w:r>
          </w:p>
          <w:p w14:paraId="10F0BCE5"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Responses</w:t>
            </w:r>
          </w:p>
          <w:p w14:paraId="7E8B4BDF"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per</w:t>
            </w:r>
          </w:p>
          <w:p w14:paraId="40EAA113"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Respondent</w:t>
            </w:r>
          </w:p>
        </w:tc>
        <w:tc>
          <w:tcPr>
            <w:tcW w:w="971" w:type="dxa"/>
          </w:tcPr>
          <w:p w14:paraId="04322182" w14:textId="77777777" w:rsidR="00EE3458" w:rsidRPr="00EE3458" w:rsidRDefault="00EE3458" w:rsidP="00CA3DA6">
            <w:pPr>
              <w:widowControl/>
              <w:tabs>
                <w:tab w:val="num" w:pos="1080"/>
              </w:tabs>
              <w:spacing w:before="120"/>
              <w:rPr>
                <w:rFonts w:ascii="Arial" w:hAnsi="Arial" w:cs="Arial"/>
                <w:b/>
                <w:bCs/>
                <w:szCs w:val="20"/>
              </w:rPr>
            </w:pPr>
            <w:r>
              <w:rPr>
                <w:rFonts w:ascii="Arial" w:hAnsi="Arial" w:cs="Arial"/>
                <w:b/>
                <w:bCs/>
                <w:szCs w:val="20"/>
              </w:rPr>
              <w:t>Total Responses</w:t>
            </w:r>
          </w:p>
        </w:tc>
        <w:tc>
          <w:tcPr>
            <w:tcW w:w="1298" w:type="dxa"/>
            <w:shd w:val="clear" w:color="auto" w:fill="auto"/>
          </w:tcPr>
          <w:p w14:paraId="123C3645"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Average</w:t>
            </w:r>
          </w:p>
          <w:p w14:paraId="2AFAB7D4"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Burden per</w:t>
            </w:r>
          </w:p>
          <w:p w14:paraId="6F6B13C8"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Response</w:t>
            </w:r>
          </w:p>
          <w:p w14:paraId="79E2E2B4"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(in hours)</w:t>
            </w:r>
          </w:p>
        </w:tc>
        <w:tc>
          <w:tcPr>
            <w:tcW w:w="1011" w:type="dxa"/>
            <w:shd w:val="clear" w:color="auto" w:fill="auto"/>
          </w:tcPr>
          <w:p w14:paraId="102007C2"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Total Burden Hours</w:t>
            </w:r>
          </w:p>
        </w:tc>
      </w:tr>
      <w:tr w:rsidR="00EE3458" w:rsidRPr="00C45431" w14:paraId="1715E394" w14:textId="77777777" w:rsidTr="00EE3458">
        <w:trPr>
          <w:trHeight w:val="679"/>
        </w:trPr>
        <w:tc>
          <w:tcPr>
            <w:tcW w:w="1523" w:type="dxa"/>
            <w:shd w:val="clear" w:color="auto" w:fill="auto"/>
          </w:tcPr>
          <w:p w14:paraId="3470AC5D" w14:textId="77777777" w:rsidR="00EE3458" w:rsidRPr="00EE3458" w:rsidRDefault="00EE3458" w:rsidP="002D2A8F">
            <w:pPr>
              <w:widowControl/>
              <w:tabs>
                <w:tab w:val="num" w:pos="1080"/>
              </w:tabs>
              <w:spacing w:before="120"/>
              <w:rPr>
                <w:rFonts w:ascii="Arial" w:hAnsi="Arial" w:cs="Arial"/>
                <w:b/>
                <w:bCs/>
                <w:szCs w:val="20"/>
              </w:rPr>
            </w:pPr>
            <w:r w:rsidRPr="00EE3458">
              <w:rPr>
                <w:rFonts w:ascii="Arial" w:hAnsi="Arial" w:cs="Arial"/>
                <w:b/>
                <w:bCs/>
                <w:szCs w:val="20"/>
              </w:rPr>
              <w:t>Rural Opioid Overdose Reversal Grant Program Grantees</w:t>
            </w:r>
          </w:p>
          <w:p w14:paraId="6191476C" w14:textId="77777777" w:rsidR="00EE3458" w:rsidRPr="00EE3458" w:rsidRDefault="00EE3458" w:rsidP="002F3FC2">
            <w:pPr>
              <w:widowControl/>
              <w:tabs>
                <w:tab w:val="num" w:pos="1080"/>
              </w:tabs>
              <w:spacing w:before="120"/>
              <w:rPr>
                <w:rFonts w:ascii="Arial" w:hAnsi="Arial" w:cs="Arial"/>
                <w:b/>
                <w:bCs/>
                <w:szCs w:val="20"/>
              </w:rPr>
            </w:pPr>
          </w:p>
        </w:tc>
        <w:tc>
          <w:tcPr>
            <w:tcW w:w="1600" w:type="dxa"/>
            <w:shd w:val="clear" w:color="auto" w:fill="auto"/>
          </w:tcPr>
          <w:p w14:paraId="1D6DD9B2"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Rural Opioid Overdose Reversal Grant Program Performance Measures</w:t>
            </w:r>
          </w:p>
        </w:tc>
        <w:tc>
          <w:tcPr>
            <w:tcW w:w="1650" w:type="dxa"/>
            <w:shd w:val="clear" w:color="auto" w:fill="auto"/>
          </w:tcPr>
          <w:p w14:paraId="1A4544E1"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18</w:t>
            </w:r>
          </w:p>
        </w:tc>
        <w:tc>
          <w:tcPr>
            <w:tcW w:w="1523" w:type="dxa"/>
            <w:shd w:val="clear" w:color="auto" w:fill="auto"/>
          </w:tcPr>
          <w:p w14:paraId="6E701C97"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1</w:t>
            </w:r>
          </w:p>
        </w:tc>
        <w:tc>
          <w:tcPr>
            <w:tcW w:w="971" w:type="dxa"/>
          </w:tcPr>
          <w:p w14:paraId="5E05B72D" w14:textId="77777777" w:rsidR="00EE3458" w:rsidRPr="00EE3458" w:rsidRDefault="00EE3458" w:rsidP="00CA3DA6">
            <w:pPr>
              <w:widowControl/>
              <w:tabs>
                <w:tab w:val="num" w:pos="1080"/>
              </w:tabs>
              <w:spacing w:before="120"/>
              <w:rPr>
                <w:rFonts w:ascii="Arial" w:hAnsi="Arial" w:cs="Arial"/>
                <w:b/>
                <w:bCs/>
                <w:szCs w:val="20"/>
              </w:rPr>
            </w:pPr>
            <w:r>
              <w:rPr>
                <w:rFonts w:ascii="Arial" w:hAnsi="Arial" w:cs="Arial"/>
                <w:b/>
                <w:bCs/>
                <w:szCs w:val="20"/>
              </w:rPr>
              <w:t>18</w:t>
            </w:r>
          </w:p>
        </w:tc>
        <w:tc>
          <w:tcPr>
            <w:tcW w:w="1298" w:type="dxa"/>
            <w:shd w:val="clear" w:color="auto" w:fill="auto"/>
          </w:tcPr>
          <w:p w14:paraId="1C512FF6"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4</w:t>
            </w:r>
          </w:p>
        </w:tc>
        <w:tc>
          <w:tcPr>
            <w:tcW w:w="1011" w:type="dxa"/>
            <w:shd w:val="clear" w:color="auto" w:fill="auto"/>
          </w:tcPr>
          <w:p w14:paraId="71A9B872"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72</w:t>
            </w:r>
          </w:p>
        </w:tc>
      </w:tr>
      <w:tr w:rsidR="00EE3458" w:rsidRPr="00C45431" w14:paraId="6685E8C9" w14:textId="77777777" w:rsidTr="00EE3458">
        <w:trPr>
          <w:trHeight w:val="800"/>
        </w:trPr>
        <w:tc>
          <w:tcPr>
            <w:tcW w:w="1523" w:type="dxa"/>
            <w:shd w:val="clear" w:color="auto" w:fill="auto"/>
          </w:tcPr>
          <w:p w14:paraId="3DC8697A"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bCs/>
                <w:szCs w:val="20"/>
              </w:rPr>
              <w:t>Total</w:t>
            </w:r>
          </w:p>
        </w:tc>
        <w:tc>
          <w:tcPr>
            <w:tcW w:w="1600" w:type="dxa"/>
            <w:shd w:val="clear" w:color="auto" w:fill="auto"/>
          </w:tcPr>
          <w:p w14:paraId="4C833673" w14:textId="77777777" w:rsidR="00EE3458" w:rsidRPr="00EE3458" w:rsidRDefault="00EE3458" w:rsidP="00CA3DA6">
            <w:pPr>
              <w:widowControl/>
              <w:tabs>
                <w:tab w:val="num" w:pos="1080"/>
              </w:tabs>
              <w:spacing w:before="120"/>
              <w:rPr>
                <w:rFonts w:ascii="Arial" w:hAnsi="Arial" w:cs="Arial"/>
                <w:b/>
                <w:bCs/>
                <w:szCs w:val="20"/>
              </w:rPr>
            </w:pPr>
          </w:p>
        </w:tc>
        <w:tc>
          <w:tcPr>
            <w:tcW w:w="1650" w:type="dxa"/>
            <w:shd w:val="clear" w:color="auto" w:fill="auto"/>
          </w:tcPr>
          <w:p w14:paraId="60CCBE68" w14:textId="77777777" w:rsidR="00EE3458" w:rsidRPr="00EE3458" w:rsidRDefault="00EE3458" w:rsidP="00CA3DA6">
            <w:pPr>
              <w:widowControl/>
              <w:tabs>
                <w:tab w:val="num" w:pos="1080"/>
              </w:tabs>
              <w:spacing w:before="120"/>
              <w:rPr>
                <w:rFonts w:ascii="Arial" w:hAnsi="Arial" w:cs="Arial"/>
                <w:b/>
                <w:bCs/>
                <w:szCs w:val="20"/>
              </w:rPr>
            </w:pPr>
            <w:r w:rsidRPr="00EE3458">
              <w:rPr>
                <w:rFonts w:ascii="Arial" w:hAnsi="Arial" w:cs="Arial"/>
                <w:b/>
                <w:szCs w:val="20"/>
              </w:rPr>
              <w:t>18</w:t>
            </w:r>
          </w:p>
        </w:tc>
        <w:tc>
          <w:tcPr>
            <w:tcW w:w="1523" w:type="dxa"/>
            <w:shd w:val="clear" w:color="auto" w:fill="auto"/>
          </w:tcPr>
          <w:p w14:paraId="29B17373" w14:textId="77777777" w:rsidR="00EE3458" w:rsidRPr="00EE3458" w:rsidRDefault="00EE3458" w:rsidP="00CA3DA6">
            <w:pPr>
              <w:widowControl/>
              <w:tabs>
                <w:tab w:val="num" w:pos="1080"/>
              </w:tabs>
              <w:spacing w:before="120"/>
              <w:rPr>
                <w:rFonts w:ascii="Arial" w:hAnsi="Arial" w:cs="Arial"/>
                <w:b/>
                <w:bCs/>
                <w:szCs w:val="20"/>
              </w:rPr>
            </w:pPr>
          </w:p>
        </w:tc>
        <w:tc>
          <w:tcPr>
            <w:tcW w:w="971" w:type="dxa"/>
          </w:tcPr>
          <w:p w14:paraId="17A6CA30" w14:textId="77777777" w:rsidR="00EE3458" w:rsidRPr="00EE3458" w:rsidRDefault="00EE3458" w:rsidP="00CA3DA6">
            <w:pPr>
              <w:widowControl/>
              <w:tabs>
                <w:tab w:val="num" w:pos="1080"/>
              </w:tabs>
              <w:spacing w:before="120"/>
              <w:rPr>
                <w:rFonts w:ascii="Arial" w:hAnsi="Arial" w:cs="Arial"/>
                <w:b/>
                <w:szCs w:val="20"/>
              </w:rPr>
            </w:pPr>
            <w:r>
              <w:rPr>
                <w:rFonts w:ascii="Arial" w:hAnsi="Arial" w:cs="Arial"/>
                <w:b/>
                <w:szCs w:val="20"/>
              </w:rPr>
              <w:t>18</w:t>
            </w:r>
          </w:p>
        </w:tc>
        <w:tc>
          <w:tcPr>
            <w:tcW w:w="1298" w:type="dxa"/>
            <w:shd w:val="clear" w:color="auto" w:fill="auto"/>
          </w:tcPr>
          <w:p w14:paraId="74A74AE2" w14:textId="77777777" w:rsidR="00EE3458" w:rsidRPr="00EE3458" w:rsidRDefault="00EE3458" w:rsidP="00CA3DA6">
            <w:pPr>
              <w:widowControl/>
              <w:tabs>
                <w:tab w:val="num" w:pos="1080"/>
              </w:tabs>
              <w:spacing w:before="120"/>
              <w:rPr>
                <w:rFonts w:ascii="Arial" w:hAnsi="Arial" w:cs="Arial"/>
                <w:b/>
                <w:bCs/>
                <w:szCs w:val="20"/>
              </w:rPr>
            </w:pPr>
          </w:p>
        </w:tc>
        <w:tc>
          <w:tcPr>
            <w:tcW w:w="1011" w:type="dxa"/>
            <w:shd w:val="clear" w:color="auto" w:fill="auto"/>
          </w:tcPr>
          <w:p w14:paraId="50F0A9D3" w14:textId="77777777" w:rsidR="00EE3458" w:rsidRPr="00EE3458" w:rsidRDefault="00EE3458" w:rsidP="00CA3DA6">
            <w:pPr>
              <w:widowControl/>
              <w:tabs>
                <w:tab w:val="num" w:pos="1080"/>
              </w:tabs>
              <w:spacing w:before="120"/>
              <w:rPr>
                <w:rFonts w:ascii="Arial" w:hAnsi="Arial" w:cs="Arial"/>
                <w:szCs w:val="20"/>
              </w:rPr>
            </w:pPr>
            <w:r w:rsidRPr="00EE3458">
              <w:rPr>
                <w:rFonts w:ascii="Arial" w:hAnsi="Arial" w:cs="Arial"/>
                <w:b/>
                <w:bCs/>
                <w:szCs w:val="20"/>
              </w:rPr>
              <w:t>72</w:t>
            </w:r>
          </w:p>
          <w:p w14:paraId="3BAFE8E2" w14:textId="77777777" w:rsidR="00EE3458" w:rsidRPr="00EE3458" w:rsidRDefault="00EE3458" w:rsidP="00CA3DA6">
            <w:pPr>
              <w:widowControl/>
              <w:tabs>
                <w:tab w:val="num" w:pos="1080"/>
              </w:tabs>
              <w:spacing w:before="120"/>
              <w:rPr>
                <w:rFonts w:ascii="Arial" w:hAnsi="Arial" w:cs="Arial"/>
                <w:b/>
                <w:bCs/>
                <w:szCs w:val="20"/>
              </w:rPr>
            </w:pPr>
          </w:p>
        </w:tc>
      </w:tr>
    </w:tbl>
    <w:p w14:paraId="3A405A2F" w14:textId="77777777" w:rsidR="009B3794" w:rsidRPr="00C45431" w:rsidRDefault="009B3794" w:rsidP="00CA3DA6">
      <w:pPr>
        <w:widowControl/>
        <w:tabs>
          <w:tab w:val="num" w:pos="1080"/>
        </w:tabs>
        <w:spacing w:before="120"/>
        <w:rPr>
          <w:rFonts w:ascii="Arial" w:hAnsi="Arial" w:cs="Arial"/>
          <w:b/>
          <w:bCs/>
          <w:sz w:val="24"/>
        </w:rPr>
      </w:pPr>
    </w:p>
    <w:p w14:paraId="51D09DE1" w14:textId="77777777" w:rsidR="00F155FE" w:rsidRPr="00F155FE" w:rsidRDefault="00F155FE" w:rsidP="00F155FE">
      <w:pPr>
        <w:widowControl/>
        <w:spacing w:before="120"/>
        <w:rPr>
          <w:rFonts w:ascii="Arial" w:hAnsi="Arial" w:cs="Arial"/>
          <w:sz w:val="24"/>
        </w:rPr>
      </w:pPr>
      <w:commentRangeStart w:id="0"/>
      <w:r w:rsidRPr="00F155FE">
        <w:rPr>
          <w:rFonts w:ascii="Arial" w:hAnsi="Arial" w:cs="Arial"/>
          <w:sz w:val="24"/>
        </w:rPr>
        <w:t>These estimates</w:t>
      </w:r>
      <w:commentRangeEnd w:id="0"/>
      <w:r w:rsidR="001B0B3A">
        <w:rPr>
          <w:rStyle w:val="CommentReference"/>
        </w:rPr>
        <w:commentReference w:id="0"/>
      </w:r>
      <w:r w:rsidRPr="00F155FE">
        <w:rPr>
          <w:rFonts w:ascii="Arial" w:hAnsi="Arial" w:cs="Arial"/>
          <w:sz w:val="24"/>
        </w:rPr>
        <w:t xml:space="preserve"> were determined by consultations with </w:t>
      </w:r>
      <w:r>
        <w:rPr>
          <w:rFonts w:ascii="Arial" w:hAnsi="Arial" w:cs="Arial"/>
          <w:sz w:val="24"/>
        </w:rPr>
        <w:t>four</w:t>
      </w:r>
      <w:r w:rsidRPr="00F155FE">
        <w:rPr>
          <w:rFonts w:ascii="Arial" w:hAnsi="Arial" w:cs="Arial"/>
          <w:sz w:val="24"/>
        </w:rPr>
        <w:t xml:space="preserve"> (</w:t>
      </w:r>
      <w:r>
        <w:rPr>
          <w:rFonts w:ascii="Arial" w:hAnsi="Arial" w:cs="Arial"/>
          <w:sz w:val="24"/>
        </w:rPr>
        <w:t>4</w:t>
      </w:r>
      <w:r w:rsidRPr="00F155FE">
        <w:rPr>
          <w:rFonts w:ascii="Arial" w:hAnsi="Arial" w:cs="Arial"/>
          <w:sz w:val="24"/>
        </w:rPr>
        <w:t xml:space="preserve">) current grantees from </w:t>
      </w:r>
      <w:commentRangeStart w:id="1"/>
      <w:r w:rsidRPr="00F155FE">
        <w:rPr>
          <w:rFonts w:ascii="Arial" w:hAnsi="Arial" w:cs="Arial"/>
          <w:sz w:val="24"/>
        </w:rPr>
        <w:t>the</w:t>
      </w:r>
      <w:commentRangeEnd w:id="1"/>
      <w:r w:rsidR="00E85943">
        <w:rPr>
          <w:rStyle w:val="CommentReference"/>
        </w:rPr>
        <w:commentReference w:id="1"/>
      </w:r>
      <w:r w:rsidRPr="00F155FE">
        <w:rPr>
          <w:rFonts w:ascii="Arial" w:hAnsi="Arial" w:cs="Arial"/>
          <w:sz w:val="24"/>
        </w:rPr>
        <w:t xml:space="preserve"> program.  These grantees were sent a draft of the questions that pertain to their program.  They were asked to estimate how much time it would take to answer the questions.</w:t>
      </w:r>
    </w:p>
    <w:p w14:paraId="4B45B4A7" w14:textId="77777777" w:rsidR="00F155FE" w:rsidRPr="00F155FE" w:rsidRDefault="00F155FE" w:rsidP="00F155FE">
      <w:pPr>
        <w:widowControl/>
        <w:spacing w:before="120"/>
        <w:rPr>
          <w:rFonts w:ascii="Arial" w:hAnsi="Arial" w:cs="Arial"/>
          <w:sz w:val="24"/>
        </w:rPr>
      </w:pPr>
    </w:p>
    <w:p w14:paraId="4C30446F" w14:textId="77777777" w:rsidR="00F155FE" w:rsidRPr="00F155FE" w:rsidRDefault="00F155FE" w:rsidP="00F155FE">
      <w:pPr>
        <w:widowControl/>
        <w:spacing w:before="120"/>
        <w:rPr>
          <w:rFonts w:ascii="Arial" w:hAnsi="Arial" w:cs="Arial"/>
          <w:sz w:val="24"/>
        </w:rPr>
      </w:pPr>
      <w:r w:rsidRPr="002B08B2">
        <w:rPr>
          <w:rFonts w:ascii="Arial" w:hAnsi="Arial" w:cs="Arial"/>
          <w:sz w:val="24"/>
        </w:rPr>
        <w:t>It should also be noted that the burden is expected to vary across the grantees.  This</w:t>
      </w:r>
      <w:r w:rsidRPr="00F155FE">
        <w:rPr>
          <w:rFonts w:ascii="Arial" w:hAnsi="Arial" w:cs="Arial"/>
          <w:sz w:val="24"/>
        </w:rPr>
        <w:t xml:space="preserve"> variation is tied primarily to the type of program activities specific to the grantee’s project and their current data collection system</w:t>
      </w:r>
      <w:r w:rsidR="00EE3458">
        <w:rPr>
          <w:rFonts w:ascii="Arial" w:hAnsi="Arial" w:cs="Arial"/>
          <w:sz w:val="24"/>
        </w:rPr>
        <w:t>.</w:t>
      </w:r>
    </w:p>
    <w:p w14:paraId="72BE2106" w14:textId="77777777" w:rsidR="00F155FE" w:rsidRDefault="00F155FE" w:rsidP="00CA3DA6">
      <w:pPr>
        <w:widowControl/>
        <w:spacing w:before="120"/>
        <w:rPr>
          <w:rFonts w:ascii="Arial" w:hAnsi="Arial" w:cs="Arial"/>
          <w:b/>
          <w:sz w:val="28"/>
          <w:szCs w:val="28"/>
        </w:rPr>
      </w:pPr>
    </w:p>
    <w:p w14:paraId="0305E70F" w14:textId="77777777" w:rsidR="00F155FE" w:rsidRDefault="00F155FE" w:rsidP="00CA3DA6">
      <w:pPr>
        <w:widowControl/>
        <w:spacing w:before="120"/>
        <w:rPr>
          <w:rFonts w:ascii="Arial" w:hAnsi="Arial" w:cs="Arial"/>
          <w:b/>
          <w:sz w:val="28"/>
          <w:szCs w:val="28"/>
        </w:rPr>
      </w:pPr>
    </w:p>
    <w:p w14:paraId="147DD1F0" w14:textId="77777777"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39EBB377" w14:textId="77777777" w:rsidR="00151695" w:rsidRDefault="00151695" w:rsidP="00CA3DA6">
      <w:pPr>
        <w:widowControl/>
        <w:spacing w:before="120"/>
        <w:ind w:left="270"/>
        <w:rPr>
          <w:rFonts w:ascii="Arial" w:hAnsi="Arial" w:cs="Arial"/>
          <w:b/>
          <w:sz w:val="24"/>
        </w:rPr>
      </w:pPr>
    </w:p>
    <w:p w14:paraId="2250AD74" w14:textId="77777777" w:rsidR="009B3794" w:rsidRPr="00C45431" w:rsidRDefault="009B3794" w:rsidP="00CA3DA6">
      <w:pPr>
        <w:widowControl/>
        <w:spacing w:before="120"/>
        <w:ind w:left="270"/>
        <w:rPr>
          <w:rFonts w:ascii="Arial" w:hAnsi="Arial" w:cs="Arial"/>
          <w:b/>
          <w:sz w:val="24"/>
        </w:rPr>
      </w:pPr>
      <w:r w:rsidRPr="00C45431">
        <w:rPr>
          <w:rFonts w:ascii="Arial" w:hAnsi="Arial" w:cs="Arial"/>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4C284821" w14:textId="77777777" w:rsidTr="00236EAB">
        <w:tc>
          <w:tcPr>
            <w:tcW w:w="1603" w:type="dxa"/>
          </w:tcPr>
          <w:p w14:paraId="0C1B1116"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Type of</w:t>
            </w:r>
          </w:p>
          <w:p w14:paraId="056B3996"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Respondent</w:t>
            </w:r>
          </w:p>
          <w:p w14:paraId="7D8CD2A1" w14:textId="77777777" w:rsidR="009B3794" w:rsidRPr="00C45431" w:rsidRDefault="009B3794" w:rsidP="00CE5AA9">
            <w:pPr>
              <w:widowControl/>
              <w:spacing w:before="120"/>
              <w:rPr>
                <w:rFonts w:ascii="Arial" w:hAnsi="Arial" w:cs="Arial"/>
                <w:b/>
                <w:bCs/>
                <w:sz w:val="24"/>
              </w:rPr>
            </w:pPr>
          </w:p>
        </w:tc>
        <w:tc>
          <w:tcPr>
            <w:tcW w:w="1277" w:type="dxa"/>
          </w:tcPr>
          <w:p w14:paraId="1E7971F6"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Total Burden</w:t>
            </w:r>
          </w:p>
          <w:p w14:paraId="3415AD6E"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Hours</w:t>
            </w:r>
          </w:p>
          <w:p w14:paraId="3EAB1E3E" w14:textId="77777777" w:rsidR="009B3794" w:rsidRPr="00C45431" w:rsidRDefault="009B3794" w:rsidP="00CE5AA9">
            <w:pPr>
              <w:widowControl/>
              <w:spacing w:before="120"/>
              <w:rPr>
                <w:rFonts w:ascii="Arial" w:hAnsi="Arial" w:cs="Arial"/>
                <w:b/>
                <w:bCs/>
                <w:sz w:val="24"/>
              </w:rPr>
            </w:pPr>
          </w:p>
        </w:tc>
        <w:tc>
          <w:tcPr>
            <w:tcW w:w="1342" w:type="dxa"/>
            <w:tcBorders>
              <w:bottom w:val="single" w:sz="4" w:space="0" w:color="auto"/>
            </w:tcBorders>
          </w:tcPr>
          <w:p w14:paraId="45B3FCBA"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Hourly</w:t>
            </w:r>
          </w:p>
          <w:p w14:paraId="24F33AFF"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Wage Rate</w:t>
            </w:r>
          </w:p>
          <w:p w14:paraId="222B10CB" w14:textId="77777777" w:rsidR="009B3794" w:rsidRPr="00C45431" w:rsidRDefault="009B3794" w:rsidP="00CE5AA9">
            <w:pPr>
              <w:widowControl/>
              <w:spacing w:before="120"/>
              <w:rPr>
                <w:rFonts w:ascii="Arial" w:hAnsi="Arial" w:cs="Arial"/>
                <w:b/>
                <w:bCs/>
                <w:sz w:val="24"/>
              </w:rPr>
            </w:pPr>
          </w:p>
        </w:tc>
        <w:tc>
          <w:tcPr>
            <w:tcW w:w="1743" w:type="dxa"/>
            <w:tcBorders>
              <w:bottom w:val="single" w:sz="4" w:space="0" w:color="auto"/>
            </w:tcBorders>
          </w:tcPr>
          <w:p w14:paraId="69301283"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Total Respondent Costs</w:t>
            </w:r>
          </w:p>
          <w:p w14:paraId="74431277" w14:textId="77777777" w:rsidR="009B3794" w:rsidRPr="00C45431" w:rsidRDefault="009B3794" w:rsidP="00CE5AA9">
            <w:pPr>
              <w:widowControl/>
              <w:spacing w:before="120"/>
              <w:rPr>
                <w:rFonts w:ascii="Arial" w:hAnsi="Arial" w:cs="Arial"/>
                <w:b/>
                <w:bCs/>
                <w:sz w:val="24"/>
              </w:rPr>
            </w:pPr>
          </w:p>
        </w:tc>
      </w:tr>
      <w:tr w:rsidR="009B3794" w:rsidRPr="00C45431" w14:paraId="1D088ADE" w14:textId="77777777" w:rsidTr="00236EAB">
        <w:tc>
          <w:tcPr>
            <w:tcW w:w="1603" w:type="dxa"/>
          </w:tcPr>
          <w:p w14:paraId="4063FF37" w14:textId="77777777" w:rsidR="009B3794" w:rsidRPr="00C45431" w:rsidRDefault="006120C8" w:rsidP="00CE5AA9">
            <w:pPr>
              <w:spacing w:before="120"/>
              <w:rPr>
                <w:rFonts w:ascii="Arial" w:hAnsi="Arial" w:cs="Arial"/>
                <w:sz w:val="24"/>
              </w:rPr>
            </w:pPr>
            <w:r>
              <w:rPr>
                <w:rFonts w:ascii="Arial" w:hAnsi="Arial" w:cs="Arial"/>
                <w:sz w:val="24"/>
              </w:rPr>
              <w:t>Project Director</w:t>
            </w:r>
          </w:p>
        </w:tc>
        <w:tc>
          <w:tcPr>
            <w:tcW w:w="1277" w:type="dxa"/>
          </w:tcPr>
          <w:p w14:paraId="5742CA07" w14:textId="77777777" w:rsidR="009B3794" w:rsidRPr="00C45431" w:rsidRDefault="001034AC" w:rsidP="00CE5AA9">
            <w:pPr>
              <w:spacing w:before="120"/>
              <w:rPr>
                <w:rFonts w:ascii="Arial" w:hAnsi="Arial" w:cs="Arial"/>
                <w:sz w:val="24"/>
              </w:rPr>
            </w:pPr>
            <w:r>
              <w:rPr>
                <w:rFonts w:ascii="Arial" w:hAnsi="Arial" w:cs="Arial"/>
                <w:sz w:val="24"/>
              </w:rPr>
              <w:t>72</w:t>
            </w:r>
          </w:p>
        </w:tc>
        <w:tc>
          <w:tcPr>
            <w:tcW w:w="1342" w:type="dxa"/>
            <w:shd w:val="clear" w:color="auto" w:fill="auto"/>
          </w:tcPr>
          <w:p w14:paraId="384D61B5" w14:textId="77777777" w:rsidR="009B3794" w:rsidRPr="00C45431" w:rsidRDefault="00151695" w:rsidP="00CE5AA9">
            <w:pPr>
              <w:spacing w:before="120"/>
              <w:jc w:val="right"/>
              <w:rPr>
                <w:rFonts w:ascii="Arial" w:hAnsi="Arial" w:cs="Arial"/>
                <w:sz w:val="24"/>
              </w:rPr>
            </w:pPr>
            <w:r>
              <w:rPr>
                <w:rFonts w:ascii="Arial" w:hAnsi="Arial" w:cs="Arial"/>
                <w:sz w:val="24"/>
              </w:rPr>
              <w:t>$52.99</w:t>
            </w:r>
          </w:p>
        </w:tc>
        <w:tc>
          <w:tcPr>
            <w:tcW w:w="1743" w:type="dxa"/>
            <w:shd w:val="clear" w:color="auto" w:fill="auto"/>
          </w:tcPr>
          <w:p w14:paraId="0BAA3D91" w14:textId="77777777" w:rsidR="009B3794" w:rsidRPr="00C45431" w:rsidRDefault="00151695" w:rsidP="00B06EB1">
            <w:pPr>
              <w:spacing w:before="120"/>
              <w:jc w:val="right"/>
              <w:rPr>
                <w:rFonts w:ascii="Arial" w:hAnsi="Arial" w:cs="Arial"/>
                <w:sz w:val="24"/>
              </w:rPr>
            </w:pPr>
            <w:r>
              <w:rPr>
                <w:rFonts w:ascii="Arial" w:hAnsi="Arial" w:cs="Arial"/>
                <w:sz w:val="24"/>
              </w:rPr>
              <w:t>$</w:t>
            </w:r>
            <w:r w:rsidR="00B06EB1">
              <w:rPr>
                <w:rFonts w:ascii="Arial" w:hAnsi="Arial" w:cs="Arial"/>
                <w:sz w:val="24"/>
              </w:rPr>
              <w:t>3,815.28</w:t>
            </w:r>
          </w:p>
        </w:tc>
      </w:tr>
      <w:tr w:rsidR="009B3794" w:rsidRPr="00C45431" w14:paraId="3D961558" w14:textId="77777777" w:rsidTr="006120C8">
        <w:trPr>
          <w:trHeight w:val="440"/>
        </w:trPr>
        <w:tc>
          <w:tcPr>
            <w:tcW w:w="1603" w:type="dxa"/>
          </w:tcPr>
          <w:p w14:paraId="6BC41A0C" w14:textId="77777777" w:rsidR="009B3794" w:rsidRPr="00C45431" w:rsidRDefault="009B3794" w:rsidP="00CE5AA9">
            <w:pPr>
              <w:widowControl/>
              <w:spacing w:before="120"/>
              <w:rPr>
                <w:rFonts w:ascii="Arial" w:hAnsi="Arial" w:cs="Arial"/>
                <w:sz w:val="24"/>
              </w:rPr>
            </w:pPr>
            <w:r w:rsidRPr="00C45431">
              <w:rPr>
                <w:rFonts w:ascii="Arial" w:hAnsi="Arial" w:cs="Arial"/>
                <w:sz w:val="24"/>
              </w:rPr>
              <w:t>Total</w:t>
            </w:r>
          </w:p>
        </w:tc>
        <w:tc>
          <w:tcPr>
            <w:tcW w:w="1277" w:type="dxa"/>
          </w:tcPr>
          <w:p w14:paraId="5D282F6D" w14:textId="77777777" w:rsidR="009B3794" w:rsidRPr="00C45431" w:rsidRDefault="00B06EB1" w:rsidP="00CE5AA9">
            <w:pPr>
              <w:widowControl/>
              <w:spacing w:before="120"/>
              <w:rPr>
                <w:rFonts w:ascii="Arial" w:hAnsi="Arial" w:cs="Arial"/>
                <w:sz w:val="24"/>
              </w:rPr>
            </w:pPr>
            <w:r>
              <w:rPr>
                <w:rFonts w:ascii="Arial" w:hAnsi="Arial" w:cs="Arial"/>
                <w:sz w:val="24"/>
              </w:rPr>
              <w:t>72</w:t>
            </w:r>
          </w:p>
        </w:tc>
        <w:tc>
          <w:tcPr>
            <w:tcW w:w="1342" w:type="dxa"/>
          </w:tcPr>
          <w:p w14:paraId="69B0462E" w14:textId="77777777" w:rsidR="009B3794" w:rsidRPr="00C45431" w:rsidRDefault="00151695" w:rsidP="00CE5AA9">
            <w:pPr>
              <w:widowControl/>
              <w:spacing w:before="120"/>
              <w:jc w:val="right"/>
              <w:rPr>
                <w:rFonts w:ascii="Arial" w:hAnsi="Arial" w:cs="Arial"/>
                <w:sz w:val="24"/>
              </w:rPr>
            </w:pPr>
            <w:r>
              <w:rPr>
                <w:rFonts w:ascii="Arial" w:hAnsi="Arial" w:cs="Arial"/>
                <w:sz w:val="24"/>
              </w:rPr>
              <w:t>$52.99</w:t>
            </w:r>
          </w:p>
        </w:tc>
        <w:tc>
          <w:tcPr>
            <w:tcW w:w="1743" w:type="dxa"/>
          </w:tcPr>
          <w:p w14:paraId="2A814DE5" w14:textId="77777777" w:rsidR="009B3794" w:rsidRPr="00C45431" w:rsidRDefault="00151695" w:rsidP="00B06EB1">
            <w:pPr>
              <w:widowControl/>
              <w:spacing w:before="120"/>
              <w:jc w:val="right"/>
              <w:rPr>
                <w:rFonts w:ascii="Arial" w:hAnsi="Arial" w:cs="Arial"/>
                <w:sz w:val="24"/>
              </w:rPr>
            </w:pPr>
            <w:r>
              <w:rPr>
                <w:rFonts w:ascii="Arial" w:hAnsi="Arial" w:cs="Arial"/>
                <w:sz w:val="24"/>
              </w:rPr>
              <w:t>$</w:t>
            </w:r>
            <w:r w:rsidR="00B06EB1">
              <w:rPr>
                <w:rFonts w:ascii="Arial" w:hAnsi="Arial" w:cs="Arial"/>
                <w:sz w:val="24"/>
              </w:rPr>
              <w:t>3,815.28</w:t>
            </w:r>
          </w:p>
        </w:tc>
      </w:tr>
    </w:tbl>
    <w:p w14:paraId="41BDB1ED" w14:textId="77777777" w:rsidR="006120C8" w:rsidRDefault="006120C8" w:rsidP="00D11CA3">
      <w:pPr>
        <w:spacing w:before="240"/>
        <w:ind w:left="360"/>
        <w:rPr>
          <w:rFonts w:ascii="Arial" w:hAnsi="Arial" w:cs="Arial"/>
          <w:bCs/>
          <w:sz w:val="24"/>
        </w:rPr>
      </w:pPr>
      <w:r w:rsidRPr="006120C8">
        <w:rPr>
          <w:rFonts w:ascii="Arial" w:hAnsi="Arial" w:cs="Arial"/>
          <w:bCs/>
          <w:sz w:val="24"/>
        </w:rPr>
        <w:t xml:space="preserve">Source of hourly wage rate: </w:t>
      </w:r>
      <w:hyperlink r:id="rId14" w:history="1">
        <w:r w:rsidRPr="00983307">
          <w:rPr>
            <w:rStyle w:val="Hyperlink"/>
            <w:rFonts w:ascii="Arial" w:hAnsi="Arial" w:cs="Arial"/>
            <w:bCs/>
            <w:sz w:val="24"/>
          </w:rPr>
          <w:t>http://www.bls.gov/oes/current/oes119199.htm</w:t>
        </w:r>
      </w:hyperlink>
    </w:p>
    <w:p w14:paraId="255FAC96" w14:textId="77777777" w:rsidR="006120C8" w:rsidRDefault="006120C8" w:rsidP="00D11CA3">
      <w:pPr>
        <w:spacing w:before="240"/>
        <w:ind w:left="360"/>
        <w:rPr>
          <w:rFonts w:ascii="Arial" w:hAnsi="Arial" w:cs="Arial"/>
          <w:bCs/>
          <w:sz w:val="24"/>
        </w:rPr>
      </w:pPr>
    </w:p>
    <w:p w14:paraId="626CC803" w14:textId="77777777" w:rsidR="009B3794" w:rsidRPr="006120C8"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 xml:space="preserve">Estimates of other Total Annual Cost Burden to Respondents or </w:t>
      </w:r>
      <w:proofErr w:type="spellStart"/>
      <w:r w:rsidRPr="00C45431">
        <w:rPr>
          <w:rFonts w:ascii="Arial" w:hAnsi="Arial" w:cs="Arial"/>
          <w:b/>
          <w:sz w:val="24"/>
          <w:u w:val="single"/>
        </w:rPr>
        <w:t>Recordkeepers</w:t>
      </w:r>
      <w:proofErr w:type="spellEnd"/>
      <w:r w:rsidRPr="00C45431">
        <w:rPr>
          <w:rFonts w:ascii="Arial" w:hAnsi="Arial" w:cs="Arial"/>
          <w:b/>
          <w:sz w:val="24"/>
          <w:u w:val="single"/>
        </w:rPr>
        <w:t>/Capital Costs</w:t>
      </w:r>
    </w:p>
    <w:p w14:paraId="02420CE9" w14:textId="77777777" w:rsidR="006120C8" w:rsidRPr="006120C8" w:rsidRDefault="006120C8" w:rsidP="006120C8">
      <w:pPr>
        <w:spacing w:before="240"/>
        <w:ind w:left="360"/>
        <w:rPr>
          <w:rFonts w:ascii="Arial" w:hAnsi="Arial" w:cs="Arial"/>
          <w:sz w:val="24"/>
        </w:rPr>
      </w:pPr>
      <w:r w:rsidRPr="006120C8">
        <w:rPr>
          <w:rFonts w:ascii="Arial" w:hAnsi="Arial" w:cs="Arial"/>
          <w:sz w:val="24"/>
        </w:rPr>
        <w:t>Other than their time, there is no cost to respondents</w:t>
      </w:r>
      <w:r>
        <w:rPr>
          <w:rFonts w:ascii="Arial" w:hAnsi="Arial" w:cs="Arial"/>
          <w:sz w:val="24"/>
        </w:rPr>
        <w:t>.</w:t>
      </w:r>
    </w:p>
    <w:p w14:paraId="3AF5F6C0"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commentRangeStart w:id="2"/>
      <w:r w:rsidRPr="00C45431">
        <w:rPr>
          <w:rFonts w:ascii="Arial" w:hAnsi="Arial" w:cs="Arial"/>
          <w:b/>
          <w:sz w:val="24"/>
          <w:u w:val="single"/>
        </w:rPr>
        <w:t xml:space="preserve">Annualized Cost to Federal </w:t>
      </w:r>
      <w:commentRangeStart w:id="3"/>
      <w:r w:rsidRPr="00C45431">
        <w:rPr>
          <w:rFonts w:ascii="Arial" w:hAnsi="Arial" w:cs="Arial"/>
          <w:b/>
          <w:sz w:val="24"/>
          <w:u w:val="single"/>
        </w:rPr>
        <w:t>Government</w:t>
      </w:r>
      <w:commentRangeEnd w:id="2"/>
      <w:r w:rsidR="00F07F05">
        <w:rPr>
          <w:rStyle w:val="CommentReference"/>
        </w:rPr>
        <w:commentReference w:id="2"/>
      </w:r>
      <w:commentRangeEnd w:id="3"/>
      <w:r w:rsidR="00E85943">
        <w:rPr>
          <w:rStyle w:val="CommentReference"/>
        </w:rPr>
        <w:commentReference w:id="3"/>
      </w:r>
    </w:p>
    <w:p w14:paraId="0907EEC2" w14:textId="77777777" w:rsidR="006120C8" w:rsidRDefault="006120C8" w:rsidP="006120C8">
      <w:pPr>
        <w:pStyle w:val="BodyTextIndent"/>
        <w:spacing w:before="120"/>
        <w:ind w:left="360"/>
        <w:rPr>
          <w:rFonts w:ascii="Arial" w:hAnsi="Arial" w:cs="Arial"/>
        </w:rPr>
      </w:pPr>
    </w:p>
    <w:p w14:paraId="105F4C24" w14:textId="77777777" w:rsidR="006120C8" w:rsidRDefault="00E10930" w:rsidP="00236EAB">
      <w:pPr>
        <w:pStyle w:val="BodyTextIndent"/>
        <w:spacing w:before="120"/>
        <w:ind w:left="360"/>
        <w:rPr>
          <w:rFonts w:ascii="Arial" w:hAnsi="Arial" w:cs="Arial"/>
        </w:rPr>
      </w:pPr>
      <w:r w:rsidRPr="00E10930">
        <w:rPr>
          <w:rFonts w:ascii="Arial" w:hAnsi="Arial" w:cs="Arial"/>
        </w:rPr>
        <w:t>Annual data collection for this program is expected to be carried out at a cost to the Federal Government of $33,000.</w:t>
      </w:r>
      <w:r w:rsidRPr="003105CD">
        <w:t xml:space="preserve">  </w:t>
      </w:r>
      <w:r w:rsidR="006120C8" w:rsidRPr="006120C8">
        <w:rPr>
          <w:rFonts w:ascii="Arial" w:hAnsi="Arial" w:cs="Arial"/>
        </w:rPr>
        <w:t>Staff at FORHP monitor the contracts and provide guidance to grantee project staff at a cost of $3,</w:t>
      </w:r>
      <w:r w:rsidR="0051450C">
        <w:rPr>
          <w:rFonts w:ascii="Arial" w:hAnsi="Arial" w:cs="Arial"/>
        </w:rPr>
        <w:t xml:space="preserve">814.56 </w:t>
      </w:r>
      <w:r w:rsidR="006120C8" w:rsidRPr="006120C8">
        <w:rPr>
          <w:rFonts w:ascii="Arial" w:hAnsi="Arial" w:cs="Arial"/>
        </w:rPr>
        <w:t>per year (72 hours per year at $5</w:t>
      </w:r>
      <w:r w:rsidR="00351F97">
        <w:rPr>
          <w:rFonts w:ascii="Arial" w:hAnsi="Arial" w:cs="Arial"/>
        </w:rPr>
        <w:t>2</w:t>
      </w:r>
      <w:r w:rsidR="006120C8" w:rsidRPr="006120C8">
        <w:rPr>
          <w:rFonts w:ascii="Arial" w:hAnsi="Arial" w:cs="Arial"/>
        </w:rPr>
        <w:t>.</w:t>
      </w:r>
      <w:r w:rsidR="0051450C">
        <w:rPr>
          <w:rFonts w:ascii="Arial" w:hAnsi="Arial" w:cs="Arial"/>
        </w:rPr>
        <w:t>98</w:t>
      </w:r>
      <w:r w:rsidR="006120C8" w:rsidRPr="006120C8">
        <w:rPr>
          <w:rFonts w:ascii="Arial" w:hAnsi="Arial" w:cs="Arial"/>
        </w:rPr>
        <w:t xml:space="preserve"> per hour at a GS-13, Step </w:t>
      </w:r>
      <w:r>
        <w:rPr>
          <w:rFonts w:ascii="Arial" w:hAnsi="Arial" w:cs="Arial"/>
        </w:rPr>
        <w:t>7</w:t>
      </w:r>
      <w:r w:rsidR="006120C8" w:rsidRPr="006120C8">
        <w:rPr>
          <w:rFonts w:ascii="Arial" w:hAnsi="Arial" w:cs="Arial"/>
        </w:rPr>
        <w:t xml:space="preserve"> salary level).  The total annualized cost to the government for this project is $</w:t>
      </w:r>
      <w:r>
        <w:rPr>
          <w:rFonts w:ascii="Arial" w:hAnsi="Arial" w:cs="Arial"/>
        </w:rPr>
        <w:t>36,814.56</w:t>
      </w:r>
      <w:r w:rsidR="006120C8" w:rsidRPr="006120C8">
        <w:rPr>
          <w:rFonts w:ascii="Arial" w:hAnsi="Arial" w:cs="Arial"/>
        </w:rPr>
        <w:t>.</w:t>
      </w:r>
    </w:p>
    <w:p w14:paraId="32F8B56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lastRenderedPageBreak/>
        <w:t>Explanation for Program Changes or Adjustments</w:t>
      </w:r>
    </w:p>
    <w:p w14:paraId="0A531BD7" w14:textId="77777777" w:rsidR="009B3794" w:rsidRPr="00C45431" w:rsidRDefault="009B3794" w:rsidP="00CA3DA6">
      <w:pPr>
        <w:pStyle w:val="BodyTextIndent"/>
        <w:spacing w:before="120"/>
        <w:ind w:left="360"/>
        <w:rPr>
          <w:rFonts w:ascii="Arial" w:hAnsi="Arial" w:cs="Arial"/>
          <w:b/>
        </w:rPr>
      </w:pPr>
      <w:r w:rsidRPr="00C45431">
        <w:rPr>
          <w:rFonts w:ascii="Arial" w:hAnsi="Arial" w:cs="Arial"/>
        </w:rPr>
        <w:t xml:space="preserve">This is a new </w:t>
      </w:r>
      <w:r w:rsidR="00FE6C30" w:rsidRPr="00C45431">
        <w:rPr>
          <w:rFonts w:ascii="Arial" w:hAnsi="Arial" w:cs="Arial"/>
        </w:rPr>
        <w:t>information</w:t>
      </w:r>
      <w:r w:rsidRPr="00C45431">
        <w:rPr>
          <w:rFonts w:ascii="Arial" w:hAnsi="Arial" w:cs="Arial"/>
        </w:rPr>
        <w:t xml:space="preserve"> collection.</w:t>
      </w:r>
    </w:p>
    <w:p w14:paraId="315FB32A" w14:textId="77777777" w:rsidR="009B3794" w:rsidRPr="00392575"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3F69249B" w14:textId="77777777" w:rsidR="00392575" w:rsidRPr="00392575" w:rsidRDefault="00392575" w:rsidP="00392575">
      <w:pPr>
        <w:spacing w:before="240"/>
        <w:ind w:left="360"/>
        <w:rPr>
          <w:rFonts w:ascii="Arial" w:hAnsi="Arial" w:cs="Arial"/>
          <w:sz w:val="24"/>
        </w:rPr>
      </w:pPr>
      <w:r w:rsidRPr="00392575">
        <w:rPr>
          <w:rFonts w:ascii="Arial" w:hAnsi="Arial" w:cs="Arial"/>
          <w:sz w:val="24"/>
        </w:rPr>
        <w:t xml:space="preserve">There are no plans to publish the data. The data may be used on an aggregate program level to document </w:t>
      </w:r>
      <w:r w:rsidR="00EE3458">
        <w:rPr>
          <w:rFonts w:ascii="Arial" w:hAnsi="Arial" w:cs="Arial"/>
          <w:sz w:val="24"/>
        </w:rPr>
        <w:t xml:space="preserve">the </w:t>
      </w:r>
      <w:r w:rsidRPr="00392575">
        <w:rPr>
          <w:rFonts w:ascii="Arial" w:hAnsi="Arial" w:cs="Arial"/>
          <w:sz w:val="24"/>
        </w:rPr>
        <w:t xml:space="preserve">success of program.  This information might be used in the </w:t>
      </w:r>
      <w:r w:rsidR="000F7CDE">
        <w:rPr>
          <w:rFonts w:ascii="Arial" w:hAnsi="Arial" w:cs="Arial"/>
          <w:sz w:val="24"/>
        </w:rPr>
        <w:t>F</w:t>
      </w:r>
      <w:r w:rsidRPr="00392575">
        <w:rPr>
          <w:rFonts w:ascii="Arial" w:hAnsi="Arial" w:cs="Arial"/>
          <w:sz w:val="24"/>
        </w:rPr>
        <w:t xml:space="preserve">ORHP Annual Report produced internally for the agency.  </w:t>
      </w:r>
    </w:p>
    <w:p w14:paraId="3FAE19B0" w14:textId="77777777" w:rsidR="009B3794" w:rsidRPr="002C749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151C4470" w14:textId="77777777" w:rsidR="002C7496" w:rsidRPr="002C7496" w:rsidRDefault="002C7496" w:rsidP="002C7496">
      <w:pPr>
        <w:spacing w:before="240"/>
        <w:ind w:left="360"/>
        <w:rPr>
          <w:rFonts w:ascii="Arial" w:hAnsi="Arial" w:cs="Arial"/>
          <w:sz w:val="24"/>
        </w:rPr>
      </w:pPr>
      <w:r w:rsidRPr="002C7496">
        <w:rPr>
          <w:rFonts w:ascii="Arial" w:hAnsi="Arial" w:cs="Arial"/>
          <w:sz w:val="24"/>
        </w:rPr>
        <w:t>The expiration date will be displayed.</w:t>
      </w:r>
    </w:p>
    <w:p w14:paraId="787A4BCF"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06BB3D36" w14:textId="77777777" w:rsidR="009B3794" w:rsidRPr="002C7496" w:rsidRDefault="009B3794" w:rsidP="00CA3DA6">
      <w:pPr>
        <w:pStyle w:val="BodyTextIndent"/>
        <w:spacing w:before="120"/>
        <w:ind w:left="360"/>
        <w:rPr>
          <w:rFonts w:ascii="Arial" w:hAnsi="Arial" w:cs="Arial"/>
        </w:rPr>
      </w:pPr>
      <w:r w:rsidRPr="002C7496">
        <w:rPr>
          <w:rFonts w:ascii="Arial" w:hAnsi="Arial" w:cs="Arial"/>
        </w:rPr>
        <w:t>There are no exceptions to the certification.</w:t>
      </w:r>
    </w:p>
    <w:sectPr w:rsidR="009B3794" w:rsidRPr="002C7496" w:rsidSect="001D4856">
      <w:footerReference w:type="default" r:id="rId15"/>
      <w:endnotePr>
        <w:numFmt w:val="decimal"/>
      </w:endnotePr>
      <w:type w:val="continuous"/>
      <w:pgSz w:w="12240" w:h="15840"/>
      <w:pgMar w:top="1440" w:right="1440"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date="2016-09-26T17:22:00Z" w:initials=" ">
    <w:p w14:paraId="599D676E" w14:textId="3DB5A03E" w:rsidR="001B0B3A" w:rsidRDefault="001B0B3A">
      <w:pPr>
        <w:pStyle w:val="CommentText"/>
      </w:pPr>
      <w:r>
        <w:rPr>
          <w:rStyle w:val="CommentReference"/>
        </w:rPr>
        <w:annotationRef/>
      </w:r>
      <w:r>
        <w:t>Are the estimates averages of responses by the 4 grantees?</w:t>
      </w:r>
    </w:p>
  </w:comment>
  <w:comment w:id="1" w:author="MIchele" w:date="2016-09-28T10:04:00Z" w:initials="MPG">
    <w:p w14:paraId="28DCFABA" w14:textId="352CD715" w:rsidR="00E85943" w:rsidRDefault="00E85943">
      <w:pPr>
        <w:pStyle w:val="CommentText"/>
      </w:pPr>
      <w:r>
        <w:rPr>
          <w:rStyle w:val="CommentReference"/>
        </w:rPr>
        <w:annotationRef/>
      </w:r>
      <w:r>
        <w:t>The average is an estimate of the responses by the four grantees</w:t>
      </w:r>
    </w:p>
  </w:comment>
  <w:comment w:id="2" w:author="Author" w:date="2016-09-26T17:18:00Z" w:initials=" ">
    <w:p w14:paraId="11D1771D" w14:textId="77777777" w:rsidR="00F07F05" w:rsidRDefault="00F07F05">
      <w:pPr>
        <w:pStyle w:val="CommentText"/>
      </w:pPr>
      <w:r>
        <w:rPr>
          <w:rStyle w:val="CommentReference"/>
        </w:rPr>
        <w:annotationRef/>
      </w:r>
      <w:r>
        <w:t>What about costs to code the form into EHB and maintain the data collected in EHB?</w:t>
      </w:r>
    </w:p>
  </w:comment>
  <w:comment w:id="3" w:author="MIchele" w:date="2016-09-28T10:06:00Z" w:initials="MPG">
    <w:p w14:paraId="107F4463" w14:textId="6715A6CC" w:rsidR="00E85943" w:rsidRDefault="00E85943">
      <w:pPr>
        <w:pStyle w:val="CommentText"/>
      </w:pPr>
      <w:r>
        <w:rPr>
          <w:rStyle w:val="CommentReference"/>
        </w:rPr>
        <w:annotationRef/>
      </w:r>
      <w:r>
        <w:t xml:space="preserve">The $33,000 is the cost for </w:t>
      </w:r>
      <w:proofErr w:type="spellStart"/>
      <w:r>
        <w:t>settting</w:t>
      </w:r>
      <w:proofErr w:type="spellEnd"/>
      <w:r>
        <w:t xml:space="preserve"> up the system in EHB and maintaining the database.  It also includes any ad hoc reports generated by the system.</w:t>
      </w:r>
      <w:bookmarkStart w:id="4" w:name="_GoBack"/>
      <w:bookmarkEnd w:id="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9D676E" w15:done="0"/>
  <w15:commentEx w15:paraId="11D177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0190A" w14:textId="77777777" w:rsidR="00D618D7" w:rsidRDefault="00D618D7">
      <w:r>
        <w:separator/>
      </w:r>
    </w:p>
  </w:endnote>
  <w:endnote w:type="continuationSeparator" w:id="0">
    <w:p w14:paraId="6D100072" w14:textId="77777777" w:rsidR="00D618D7" w:rsidRDefault="00D6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4FAB" w14:textId="77777777" w:rsidR="00D92E1D" w:rsidRDefault="00D92E1D">
    <w:pPr>
      <w:spacing w:line="240" w:lineRule="exact"/>
    </w:pPr>
  </w:p>
  <w:p w14:paraId="330637E7" w14:textId="7777777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E85943">
      <w:rPr>
        <w:noProof/>
        <w:sz w:val="24"/>
      </w:rPr>
      <w:t>1</w:t>
    </w:r>
    <w:r>
      <w:rPr>
        <w:sz w:val="24"/>
      </w:rPr>
      <w:fldChar w:fldCharType="end"/>
    </w:r>
  </w:p>
  <w:p w14:paraId="109B5829"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DEA40" w14:textId="77777777" w:rsidR="00D618D7" w:rsidRDefault="00D618D7">
      <w:r>
        <w:separator/>
      </w:r>
    </w:p>
  </w:footnote>
  <w:footnote w:type="continuationSeparator" w:id="0">
    <w:p w14:paraId="3922DA3B" w14:textId="77777777" w:rsidR="00D618D7" w:rsidRDefault="00D618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2F730E45"/>
    <w:multiLevelType w:val="hybridMultilevel"/>
    <w:tmpl w:val="635A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2C3ED35A"/>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EBF3E72"/>
    <w:multiLevelType w:val="hybridMultilevel"/>
    <w:tmpl w:val="F7B2F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D34116E"/>
    <w:multiLevelType w:val="hybridMultilevel"/>
    <w:tmpl w:val="A3C67E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2"/>
  </w:num>
  <w:num w:numId="3">
    <w:abstractNumId w:val="14"/>
  </w:num>
  <w:num w:numId="4">
    <w:abstractNumId w:val="40"/>
  </w:num>
  <w:num w:numId="5">
    <w:abstractNumId w:val="44"/>
  </w:num>
  <w:num w:numId="6">
    <w:abstractNumId w:val="9"/>
  </w:num>
  <w:num w:numId="7">
    <w:abstractNumId w:val="36"/>
  </w:num>
  <w:num w:numId="8">
    <w:abstractNumId w:val="18"/>
  </w:num>
  <w:num w:numId="9">
    <w:abstractNumId w:val="27"/>
  </w:num>
  <w:num w:numId="10">
    <w:abstractNumId w:val="20"/>
  </w:num>
  <w:num w:numId="11">
    <w:abstractNumId w:val="8"/>
  </w:num>
  <w:num w:numId="12">
    <w:abstractNumId w:val="25"/>
  </w:num>
  <w:num w:numId="13">
    <w:abstractNumId w:val="21"/>
  </w:num>
  <w:num w:numId="14">
    <w:abstractNumId w:val="23"/>
  </w:num>
  <w:num w:numId="15">
    <w:abstractNumId w:val="7"/>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39"/>
  </w:num>
  <w:num w:numId="23">
    <w:abstractNumId w:val="31"/>
  </w:num>
  <w:num w:numId="24">
    <w:abstractNumId w:val="32"/>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3"/>
  </w:num>
  <w:num w:numId="38">
    <w:abstractNumId w:val="4"/>
  </w:num>
  <w:num w:numId="39">
    <w:abstractNumId w:val="30"/>
  </w:num>
  <w:num w:numId="40">
    <w:abstractNumId w:val="6"/>
  </w:num>
  <w:num w:numId="41">
    <w:abstractNumId w:val="29"/>
  </w:num>
  <w:num w:numId="42">
    <w:abstractNumId w:val="24"/>
  </w:num>
  <w:num w:numId="43">
    <w:abstractNumId w:val="5"/>
  </w:num>
  <w:num w:numId="44">
    <w:abstractNumId w:val="43"/>
  </w:num>
  <w:num w:numId="45">
    <w:abstractNumId w:val="26"/>
  </w:num>
  <w:num w:numId="4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B2913"/>
    <w:rsid w:val="000F7CDE"/>
    <w:rsid w:val="00102B98"/>
    <w:rsid w:val="001034AC"/>
    <w:rsid w:val="001325B2"/>
    <w:rsid w:val="001369D2"/>
    <w:rsid w:val="00151695"/>
    <w:rsid w:val="001920C3"/>
    <w:rsid w:val="001B0B3A"/>
    <w:rsid w:val="001D4856"/>
    <w:rsid w:val="001E74CF"/>
    <w:rsid w:val="001F1989"/>
    <w:rsid w:val="00205E5E"/>
    <w:rsid w:val="002118B4"/>
    <w:rsid w:val="00236EAB"/>
    <w:rsid w:val="002640E7"/>
    <w:rsid w:val="002871F2"/>
    <w:rsid w:val="002942A2"/>
    <w:rsid w:val="002B08B2"/>
    <w:rsid w:val="002C7496"/>
    <w:rsid w:val="002D2A8F"/>
    <w:rsid w:val="002D6622"/>
    <w:rsid w:val="002F3FC2"/>
    <w:rsid w:val="00301EC0"/>
    <w:rsid w:val="00322313"/>
    <w:rsid w:val="0034052A"/>
    <w:rsid w:val="00351F97"/>
    <w:rsid w:val="00360C83"/>
    <w:rsid w:val="00391B55"/>
    <w:rsid w:val="00391E16"/>
    <w:rsid w:val="00392575"/>
    <w:rsid w:val="0039552C"/>
    <w:rsid w:val="003A1EE6"/>
    <w:rsid w:val="003A3B58"/>
    <w:rsid w:val="003A5E22"/>
    <w:rsid w:val="003D23B1"/>
    <w:rsid w:val="00472847"/>
    <w:rsid w:val="004746CA"/>
    <w:rsid w:val="00490720"/>
    <w:rsid w:val="004E687D"/>
    <w:rsid w:val="004F215E"/>
    <w:rsid w:val="00503BAB"/>
    <w:rsid w:val="00504DD0"/>
    <w:rsid w:val="00513D12"/>
    <w:rsid w:val="0051450C"/>
    <w:rsid w:val="00541BE8"/>
    <w:rsid w:val="00547942"/>
    <w:rsid w:val="005B1B6D"/>
    <w:rsid w:val="005D7625"/>
    <w:rsid w:val="005E1765"/>
    <w:rsid w:val="006120C8"/>
    <w:rsid w:val="00624019"/>
    <w:rsid w:val="00627FFD"/>
    <w:rsid w:val="0065344F"/>
    <w:rsid w:val="00653A8C"/>
    <w:rsid w:val="006800F8"/>
    <w:rsid w:val="00680D76"/>
    <w:rsid w:val="00694E3B"/>
    <w:rsid w:val="006D6293"/>
    <w:rsid w:val="006F126D"/>
    <w:rsid w:val="006F53A2"/>
    <w:rsid w:val="0073114C"/>
    <w:rsid w:val="007564AD"/>
    <w:rsid w:val="0077109D"/>
    <w:rsid w:val="0078656A"/>
    <w:rsid w:val="007F047A"/>
    <w:rsid w:val="007F6D14"/>
    <w:rsid w:val="008002AB"/>
    <w:rsid w:val="0081577E"/>
    <w:rsid w:val="00835506"/>
    <w:rsid w:val="0085622F"/>
    <w:rsid w:val="00861D0C"/>
    <w:rsid w:val="008B04CA"/>
    <w:rsid w:val="008B70C2"/>
    <w:rsid w:val="008D2D67"/>
    <w:rsid w:val="00935E77"/>
    <w:rsid w:val="009378BB"/>
    <w:rsid w:val="009733A0"/>
    <w:rsid w:val="009B3794"/>
    <w:rsid w:val="009B7E4D"/>
    <w:rsid w:val="009E39DC"/>
    <w:rsid w:val="009F3718"/>
    <w:rsid w:val="00A1688A"/>
    <w:rsid w:val="00A92CAB"/>
    <w:rsid w:val="00AE5CBD"/>
    <w:rsid w:val="00AE7154"/>
    <w:rsid w:val="00AF6D21"/>
    <w:rsid w:val="00B06EB1"/>
    <w:rsid w:val="00B1609F"/>
    <w:rsid w:val="00B21222"/>
    <w:rsid w:val="00B34021"/>
    <w:rsid w:val="00B4543A"/>
    <w:rsid w:val="00B535C6"/>
    <w:rsid w:val="00B655C6"/>
    <w:rsid w:val="00BA1A0C"/>
    <w:rsid w:val="00BD6C44"/>
    <w:rsid w:val="00BE6DA4"/>
    <w:rsid w:val="00C15D94"/>
    <w:rsid w:val="00C45431"/>
    <w:rsid w:val="00C74B86"/>
    <w:rsid w:val="00C75E42"/>
    <w:rsid w:val="00C8226F"/>
    <w:rsid w:val="00C836BE"/>
    <w:rsid w:val="00CA3DA6"/>
    <w:rsid w:val="00CD36E7"/>
    <w:rsid w:val="00CE5AA9"/>
    <w:rsid w:val="00D11CA3"/>
    <w:rsid w:val="00D46313"/>
    <w:rsid w:val="00D54391"/>
    <w:rsid w:val="00D56CC2"/>
    <w:rsid w:val="00D618D7"/>
    <w:rsid w:val="00D74B86"/>
    <w:rsid w:val="00D81B96"/>
    <w:rsid w:val="00D844C9"/>
    <w:rsid w:val="00D92E1D"/>
    <w:rsid w:val="00DD7D92"/>
    <w:rsid w:val="00DE3A45"/>
    <w:rsid w:val="00DE6547"/>
    <w:rsid w:val="00E00CEE"/>
    <w:rsid w:val="00E10930"/>
    <w:rsid w:val="00E203FA"/>
    <w:rsid w:val="00E34A1F"/>
    <w:rsid w:val="00E447A8"/>
    <w:rsid w:val="00E85943"/>
    <w:rsid w:val="00E87554"/>
    <w:rsid w:val="00E962DB"/>
    <w:rsid w:val="00EC38CD"/>
    <w:rsid w:val="00ED18EA"/>
    <w:rsid w:val="00EE3458"/>
    <w:rsid w:val="00EE529C"/>
    <w:rsid w:val="00F07F05"/>
    <w:rsid w:val="00F155FE"/>
    <w:rsid w:val="00F4221E"/>
    <w:rsid w:val="00F54E89"/>
    <w:rsid w:val="00F66AED"/>
    <w:rsid w:val="00F9183F"/>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E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F66AED"/>
    <w:rPr>
      <w:color w:val="800080" w:themeColor="followedHyperlink"/>
      <w:u w:val="single"/>
    </w:rPr>
  </w:style>
  <w:style w:type="character" w:styleId="CommentReference">
    <w:name w:val="annotation reference"/>
    <w:basedOn w:val="DefaultParagraphFont"/>
    <w:rsid w:val="000F7CDE"/>
    <w:rPr>
      <w:sz w:val="16"/>
      <w:szCs w:val="16"/>
    </w:rPr>
  </w:style>
  <w:style w:type="paragraph" w:styleId="CommentText">
    <w:name w:val="annotation text"/>
    <w:basedOn w:val="Normal"/>
    <w:link w:val="CommentTextChar"/>
    <w:rsid w:val="000F7CDE"/>
    <w:rPr>
      <w:szCs w:val="20"/>
    </w:rPr>
  </w:style>
  <w:style w:type="character" w:customStyle="1" w:styleId="CommentTextChar">
    <w:name w:val="Comment Text Char"/>
    <w:basedOn w:val="DefaultParagraphFont"/>
    <w:link w:val="CommentText"/>
    <w:rsid w:val="000F7CDE"/>
  </w:style>
  <w:style w:type="paragraph" w:styleId="CommentSubject">
    <w:name w:val="annotation subject"/>
    <w:basedOn w:val="CommentText"/>
    <w:next w:val="CommentText"/>
    <w:link w:val="CommentSubjectChar"/>
    <w:rsid w:val="000F7CDE"/>
    <w:rPr>
      <w:b/>
      <w:bCs/>
    </w:rPr>
  </w:style>
  <w:style w:type="character" w:customStyle="1" w:styleId="CommentSubjectChar">
    <w:name w:val="Comment Subject Char"/>
    <w:basedOn w:val="CommentTextChar"/>
    <w:link w:val="CommentSubject"/>
    <w:rsid w:val="000F7CDE"/>
    <w:rPr>
      <w:b/>
      <w:bCs/>
    </w:rPr>
  </w:style>
  <w:style w:type="paragraph" w:styleId="BodyText">
    <w:name w:val="Body Text"/>
    <w:basedOn w:val="Normal"/>
    <w:link w:val="BodyTextChar"/>
    <w:rsid w:val="00205E5E"/>
    <w:pPr>
      <w:spacing w:after="120"/>
    </w:pPr>
  </w:style>
  <w:style w:type="character" w:customStyle="1" w:styleId="BodyTextChar">
    <w:name w:val="Body Text Char"/>
    <w:basedOn w:val="DefaultParagraphFont"/>
    <w:link w:val="BodyText"/>
    <w:rsid w:val="00205E5E"/>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F66AED"/>
    <w:rPr>
      <w:color w:val="800080" w:themeColor="followedHyperlink"/>
      <w:u w:val="single"/>
    </w:rPr>
  </w:style>
  <w:style w:type="character" w:styleId="CommentReference">
    <w:name w:val="annotation reference"/>
    <w:basedOn w:val="DefaultParagraphFont"/>
    <w:rsid w:val="000F7CDE"/>
    <w:rPr>
      <w:sz w:val="16"/>
      <w:szCs w:val="16"/>
    </w:rPr>
  </w:style>
  <w:style w:type="paragraph" w:styleId="CommentText">
    <w:name w:val="annotation text"/>
    <w:basedOn w:val="Normal"/>
    <w:link w:val="CommentTextChar"/>
    <w:rsid w:val="000F7CDE"/>
    <w:rPr>
      <w:szCs w:val="20"/>
    </w:rPr>
  </w:style>
  <w:style w:type="character" w:customStyle="1" w:styleId="CommentTextChar">
    <w:name w:val="Comment Text Char"/>
    <w:basedOn w:val="DefaultParagraphFont"/>
    <w:link w:val="CommentText"/>
    <w:rsid w:val="000F7CDE"/>
  </w:style>
  <w:style w:type="paragraph" w:styleId="CommentSubject">
    <w:name w:val="annotation subject"/>
    <w:basedOn w:val="CommentText"/>
    <w:next w:val="CommentText"/>
    <w:link w:val="CommentSubjectChar"/>
    <w:rsid w:val="000F7CDE"/>
    <w:rPr>
      <w:b/>
      <w:bCs/>
    </w:rPr>
  </w:style>
  <w:style w:type="character" w:customStyle="1" w:styleId="CommentSubjectChar">
    <w:name w:val="Comment Subject Char"/>
    <w:basedOn w:val="CommentTextChar"/>
    <w:link w:val="CommentSubject"/>
    <w:rsid w:val="000F7CDE"/>
    <w:rPr>
      <w:b/>
      <w:bCs/>
    </w:rPr>
  </w:style>
  <w:style w:type="paragraph" w:styleId="BodyText">
    <w:name w:val="Body Text"/>
    <w:basedOn w:val="Normal"/>
    <w:link w:val="BodyTextChar"/>
    <w:rsid w:val="00205E5E"/>
    <w:pPr>
      <w:spacing w:after="120"/>
    </w:pPr>
  </w:style>
  <w:style w:type="character" w:customStyle="1" w:styleId="BodyTextChar">
    <w:name w:val="Body Text Char"/>
    <w:basedOn w:val="DefaultParagraphFont"/>
    <w:link w:val="BodyText"/>
    <w:rsid w:val="00205E5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119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e58e36d585a313afc26e4675f564dc74">
  <xsd:schema xmlns:xsd="http://www.w3.org/2001/XMLSchema" xmlns:xs="http://www.w3.org/2001/XMLSchema" xmlns:p="http://schemas.microsoft.com/office/2006/metadata/properties" xmlns:ns2="053a5afd-1424-405b-82d9-63deec7446f8" targetNamespace="http://schemas.microsoft.com/office/2006/metadata/properties" ma:root="true" ma:fieldsID="1b3cf52e81418d929208751e4b328b4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DZXA3YQD6WY2-5511-50</_dlc_DocId>
    <_dlc_DocIdUrl xmlns="053a5afd-1424-405b-82d9-63deec7446f8">
      <Url>https://sharepoint.hrsa.gov/teams/forhp/cbd/_layouts/DocIdRedir.aspx?ID=DZXA3YQD6WY2-5511-50</Url>
      <Description>DZXA3YQD6WY2-5511-50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DD605-ECC0-417D-B343-1E0BB1E0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61F59-AA05-4CE7-8F23-257D5D83D67C}">
  <ds:schemaRefs>
    <ds:schemaRef ds:uri="http://schemas.microsoft.com/office/2006/metadata/properties"/>
    <ds:schemaRef ds:uri="http://www.w3.org/XML/1998/namespace"/>
    <ds:schemaRef ds:uri="053a5afd-1424-405b-82d9-63deec7446f8"/>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1C26433-930D-4BE7-BD11-4F2DDF265173}">
  <ds:schemaRefs>
    <ds:schemaRef ds:uri="http://schemas.microsoft.com/sharepoint/v3/contenttype/forms"/>
  </ds:schemaRefs>
</ds:datastoreItem>
</file>

<file path=customXml/itemProps4.xml><?xml version="1.0" encoding="utf-8"?>
<ds:datastoreItem xmlns:ds="http://schemas.openxmlformats.org/officeDocument/2006/customXml" ds:itemID="{A299A21A-1E87-41AB-A8AF-341CDAF5B1AA}">
  <ds:schemaRefs>
    <ds:schemaRef ds:uri="http://schemas.microsoft.com/sharepoint/events"/>
  </ds:schemaRefs>
</ds:datastoreItem>
</file>

<file path=customXml/itemProps5.xml><?xml version="1.0" encoding="utf-8"?>
<ds:datastoreItem xmlns:ds="http://schemas.openxmlformats.org/officeDocument/2006/customXml" ds:itemID="{825188DC-B99E-4F45-9993-E495F0D6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8789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MIchele</cp:lastModifiedBy>
  <cp:revision>2</cp:revision>
  <cp:lastPrinted>2010-10-14T13:41:00Z</cp:lastPrinted>
  <dcterms:created xsi:type="dcterms:W3CDTF">2016-09-28T14:07:00Z</dcterms:created>
  <dcterms:modified xsi:type="dcterms:W3CDTF">2016-09-28T14:07:00Z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60419d27-7bfa-4b4e-98fa-a2fdf36e5fa2</vt:lpwstr>
  </property>
</Properties>
</file>