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B3D7E" w14:textId="57110720" w:rsidR="00882C77" w:rsidRDefault="00F06866" w:rsidP="00FC6997">
      <w:pPr>
        <w:pStyle w:val="Heading2"/>
        <w:tabs>
          <w:tab w:val="left" w:pos="900"/>
        </w:tabs>
        <w:ind w:right="-180"/>
        <w:rPr>
          <w:sz w:val="28"/>
        </w:rPr>
      </w:pPr>
      <w:bookmarkStart w:id="0" w:name="_GoBack"/>
      <w:bookmarkEnd w:id="0"/>
      <w:r>
        <w:rPr>
          <w:sz w:val="28"/>
        </w:rPr>
        <w:t xml:space="preserve">Request for Approval </w:t>
      </w:r>
      <w:r w:rsidR="00882C77">
        <w:rPr>
          <w:sz w:val="28"/>
        </w:rPr>
        <w:t xml:space="preserve">to Collect Information </w:t>
      </w:r>
      <w:r w:rsidR="001261BD">
        <w:rPr>
          <w:sz w:val="28"/>
        </w:rPr>
        <w:t>Under</w:t>
      </w:r>
      <w:r w:rsidR="00882C77">
        <w:rPr>
          <w:sz w:val="28"/>
        </w:rPr>
        <w:t xml:space="preserve"> an</w:t>
      </w:r>
    </w:p>
    <w:p w14:paraId="13301C12" w14:textId="097929D7" w:rsidR="005E714A" w:rsidRDefault="00882C77" w:rsidP="00F06866">
      <w:pPr>
        <w:pStyle w:val="Heading2"/>
        <w:tabs>
          <w:tab w:val="left" w:pos="900"/>
        </w:tabs>
        <w:ind w:right="-180"/>
        <w:rPr>
          <w:sz w:val="28"/>
        </w:rPr>
      </w:pPr>
      <w:r>
        <w:rPr>
          <w:sz w:val="28"/>
        </w:rPr>
        <w:t xml:space="preserve">Approved </w:t>
      </w:r>
      <w:r w:rsidR="001261BD">
        <w:rPr>
          <w:sz w:val="28"/>
        </w:rPr>
        <w:t xml:space="preserve">Generic </w:t>
      </w:r>
      <w:r>
        <w:rPr>
          <w:sz w:val="28"/>
        </w:rPr>
        <w:t>Collection</w:t>
      </w:r>
    </w:p>
    <w:p w14:paraId="0846DCB9" w14:textId="597A5C1D" w:rsidR="001261BD" w:rsidRPr="001261BD" w:rsidRDefault="00FC6997" w:rsidP="001261BD">
      <w:r>
        <w:rPr>
          <w:b/>
          <w:noProof/>
        </w:rPr>
        <mc:AlternateContent>
          <mc:Choice Requires="wps">
            <w:drawing>
              <wp:anchor distT="0" distB="0" distL="114300" distR="114300" simplePos="0" relativeHeight="251657728" behindDoc="0" locked="0" layoutInCell="0" allowOverlap="1" wp14:anchorId="2350F7CC" wp14:editId="380A0850">
                <wp:simplePos x="0" y="0"/>
                <wp:positionH relativeFrom="margin">
                  <wp:align>right</wp:align>
                </wp:positionH>
                <wp:positionV relativeFrom="paragraph">
                  <wp:posOffset>28956</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610419" id="Line 3" o:spid="_x0000_s1026"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3pt" to="884.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" o:allowincell="f" strokeweight="1.5pt">
                <w10:wrap anchorx="margin"/>
              </v:line>
            </w:pict>
          </mc:Fallback>
        </mc:AlternateContent>
      </w:r>
    </w:p>
    <w:p w14:paraId="73EDA725" w14:textId="77777777" w:rsidR="00FC6997" w:rsidRDefault="00FC6997" w:rsidP="00434E33">
      <w:pPr>
        <w:rPr>
          <w:b/>
        </w:rPr>
      </w:pPr>
    </w:p>
    <w:p w14:paraId="37B191DE" w14:textId="794BF14C" w:rsidR="00621951" w:rsidRDefault="005E714A" w:rsidP="00FC6997">
      <w:r w:rsidRPr="00FC6997">
        <w:rPr>
          <w:b/>
        </w:rPr>
        <w:t>TITLE OF INFORMATION COLLECTION:</w:t>
      </w:r>
      <w:r>
        <w:t xml:space="preserve">  </w:t>
      </w:r>
      <w:r w:rsidR="00FF3251">
        <w:t>State of Hawaii Hurricane Behavioral Survey</w:t>
      </w:r>
    </w:p>
    <w:p w14:paraId="517C523B" w14:textId="7EDF0F33" w:rsidR="00D0098D" w:rsidRDefault="00D0098D"/>
    <w:p w14:paraId="764E59DB" w14:textId="77777777" w:rsidR="00FC6997" w:rsidRDefault="00FC6997">
      <w:pPr>
        <w:rPr>
          <w:b/>
        </w:rPr>
      </w:pPr>
    </w:p>
    <w:p w14:paraId="4E570D77" w14:textId="7B9B359C" w:rsidR="00A00810" w:rsidRPr="001261BD" w:rsidRDefault="00FC6997">
      <w:pPr>
        <w:rPr>
          <w:b/>
        </w:rPr>
      </w:pPr>
      <w:r>
        <w:rPr>
          <w:b/>
        </w:rPr>
        <w:t>TITLE</w:t>
      </w:r>
      <w:r w:rsidR="001261BD" w:rsidRPr="001261BD">
        <w:rPr>
          <w:b/>
        </w:rPr>
        <w:t xml:space="preserve"> AND OMB CONTROL NUMBER OF APPROVED </w:t>
      </w:r>
      <w:r w:rsidR="001261BD">
        <w:rPr>
          <w:b/>
        </w:rPr>
        <w:t>GENERIC</w:t>
      </w:r>
      <w:r w:rsidR="001261BD" w:rsidRPr="001261BD">
        <w:rPr>
          <w:b/>
        </w:rPr>
        <w:t xml:space="preserve"> COLLECTION:</w:t>
      </w:r>
    </w:p>
    <w:p w14:paraId="281965A2" w14:textId="2B560F32" w:rsidR="00A00810" w:rsidRDefault="00FF3251">
      <w:r>
        <w:t>Hurricane Evacuation Behavioral Survey, 0710-0016</w:t>
      </w:r>
    </w:p>
    <w:p w14:paraId="4B678D4D" w14:textId="77777777" w:rsidR="00422971" w:rsidRDefault="00422971">
      <w:pPr>
        <w:rPr>
          <w:b/>
        </w:rPr>
      </w:pPr>
    </w:p>
    <w:p w14:paraId="6EF43501" w14:textId="77777777" w:rsidR="004E5790" w:rsidRDefault="004E5790">
      <w:pPr>
        <w:rPr>
          <w:b/>
        </w:rPr>
      </w:pPr>
    </w:p>
    <w:p w14:paraId="6C663C3D" w14:textId="13BA0476" w:rsidR="00991760" w:rsidRPr="00991760" w:rsidRDefault="00F15956" w:rsidP="00991760">
      <w:pPr>
        <w:rPr>
          <w:i/>
        </w:rPr>
      </w:pPr>
      <w:r>
        <w:rPr>
          <w:b/>
        </w:rPr>
        <w:t>PURPOSE</w:t>
      </w:r>
      <w:r w:rsidRPr="009239AA">
        <w:rPr>
          <w:b/>
        </w:rPr>
        <w:t>:</w:t>
      </w:r>
      <w:r w:rsidR="00C14CC4" w:rsidRPr="009239AA">
        <w:rPr>
          <w:b/>
        </w:rPr>
        <w:t xml:space="preserve">  </w:t>
      </w:r>
      <w:r w:rsidR="00FF3251">
        <w:t>T</w:t>
      </w:r>
      <w:r w:rsidR="00FF3251" w:rsidRPr="007158E7">
        <w:t xml:space="preserve">he State of Hawaii </w:t>
      </w:r>
      <w:r w:rsidR="00FF3251">
        <w:t>Emergency Management Agency (HI-EMA</w:t>
      </w:r>
      <w:r w:rsidR="00FF3251" w:rsidRPr="007158E7">
        <w:t xml:space="preserve">), Federal Emergency Management Agency (FEMA), and U.S. Army Corps of Engineers (USACE) </w:t>
      </w:r>
      <w:r w:rsidR="00FF3251">
        <w:t>are updating the data from research</w:t>
      </w:r>
      <w:r w:rsidR="00991760">
        <w:t xml:space="preserve"> conducted in 2009 </w:t>
      </w:r>
      <w:r w:rsidR="00FF3251">
        <w:t xml:space="preserve">with a survey of similar content and the same universe of respondents.  </w:t>
      </w:r>
      <w:r w:rsidR="00991760" w:rsidRPr="00991760">
        <w:t xml:space="preserve">Much has changed </w:t>
      </w:r>
      <w:r w:rsidR="00991760">
        <w:t xml:space="preserve">since 2009; </w:t>
      </w:r>
      <w:r w:rsidR="00991760" w:rsidRPr="00991760">
        <w:t xml:space="preserve">the State and Counties need updates of information as they ponder policy and program changes.  </w:t>
      </w:r>
      <w:r w:rsidR="00991760" w:rsidRPr="00991760">
        <w:rPr>
          <w:i/>
        </w:rPr>
        <w:t xml:space="preserve">Details related to the 2009 survey are outlined below under “Additional Information.”  </w:t>
      </w:r>
    </w:p>
    <w:p w14:paraId="16525B76" w14:textId="77777777" w:rsidR="00991760" w:rsidRDefault="00991760" w:rsidP="00991760"/>
    <w:p w14:paraId="3E641AA4" w14:textId="2921D025" w:rsidR="00FF3251" w:rsidRPr="00740A2A" w:rsidRDefault="00991760" w:rsidP="00991760">
      <w:r w:rsidRPr="00991760">
        <w:t xml:space="preserve">The </w:t>
      </w:r>
      <w:r>
        <w:t>HI-EMA</w:t>
      </w:r>
      <w:r w:rsidRPr="00991760">
        <w:t xml:space="preserve"> will be using the survey results to assess public demand for their hurricane evacuation shelters and identify areas of focus to educate the public on sheltering options.</w:t>
      </w:r>
      <w:r>
        <w:t xml:space="preserve">  Additionally, the</w:t>
      </w:r>
      <w:r w:rsidR="00FF3251">
        <w:t xml:space="preserve"> purpose of the current survey is, at a minimum, to gather the following:</w:t>
      </w:r>
    </w:p>
    <w:p w14:paraId="215EDBAC" w14:textId="77777777" w:rsidR="00FF3251" w:rsidRPr="00740A2A" w:rsidRDefault="00FF3251" w:rsidP="00FF3251"/>
    <w:p w14:paraId="4F1E2402" w14:textId="77777777" w:rsidR="00FF3251" w:rsidRPr="00740A2A" w:rsidRDefault="00FF3251" w:rsidP="00FF3251">
      <w:pPr>
        <w:pStyle w:val="ListParagraph"/>
        <w:numPr>
          <w:ilvl w:val="0"/>
          <w:numId w:val="25"/>
        </w:numPr>
        <w:tabs>
          <w:tab w:val="left" w:pos="1080"/>
        </w:tabs>
        <w:ind w:left="1080"/>
      </w:pPr>
      <w:r w:rsidRPr="00740A2A">
        <w:t>Given the reality of resource limitations, determine whether the State and Counties should continue to upgrade old and construct new shelter spaces or whether sheltering in place is an acceptable option for protecting the resident population.   Identify policy changes that might make sheltering in p</w:t>
      </w:r>
      <w:r>
        <w:t>l</w:t>
      </w:r>
      <w:r w:rsidRPr="00740A2A">
        <w:t>ace a realistic option (e.g. incentives, bui</w:t>
      </w:r>
      <w:r>
        <w:t xml:space="preserve">lding regulation adjustments).  </w:t>
      </w:r>
      <w:r w:rsidRPr="00740A2A">
        <w:t>Determine whether retro-fitting shelters to be pet friendly is still important.</w:t>
      </w:r>
    </w:p>
    <w:p w14:paraId="5258485A" w14:textId="77777777" w:rsidR="00FF3251" w:rsidRPr="00740A2A" w:rsidRDefault="00FF3251" w:rsidP="00FF3251">
      <w:pPr>
        <w:pStyle w:val="ListParagraph"/>
        <w:tabs>
          <w:tab w:val="left" w:pos="1080"/>
        </w:tabs>
        <w:ind w:left="1080"/>
      </w:pPr>
    </w:p>
    <w:p w14:paraId="1FDC868E" w14:textId="77777777" w:rsidR="00FF3251" w:rsidRPr="00740A2A" w:rsidRDefault="00FF3251" w:rsidP="00FF3251">
      <w:pPr>
        <w:pStyle w:val="ListParagraph"/>
        <w:numPr>
          <w:ilvl w:val="0"/>
          <w:numId w:val="25"/>
        </w:numPr>
        <w:tabs>
          <w:tab w:val="left" w:pos="1080"/>
        </w:tabs>
        <w:ind w:left="1080"/>
      </w:pPr>
      <w:r w:rsidRPr="00740A2A">
        <w:t xml:space="preserve">Determine the level of hurricane understanding and preparedness among the resident population.   Improve the understanding of how residents will behave in the face of a hurricane.  Identify the specific elements of a stepped-up education program </w:t>
      </w:r>
      <w:r>
        <w:t>that will both increase preparedness</w:t>
      </w:r>
      <w:r w:rsidRPr="00740A2A">
        <w:t xml:space="preserve"> and </w:t>
      </w:r>
      <w:r>
        <w:t>also</w:t>
      </w:r>
      <w:r w:rsidRPr="00740A2A">
        <w:t xml:space="preserve"> impact evacuation decisions.</w:t>
      </w:r>
      <w:r>
        <w:t xml:space="preserve">  Depending upon what is learned regarding opportunities for sheltering in place, the education plan may become critical in decreasing the shelter shortage by educating the public on options.</w:t>
      </w:r>
      <w:r w:rsidRPr="00740A2A">
        <w:t xml:space="preserve">  </w:t>
      </w:r>
      <w:r>
        <w:t>Finally, a</w:t>
      </w:r>
      <w:r w:rsidRPr="00740A2A">
        <w:t xml:space="preserve">s the world of communication continues to change, understand improved ways to reach and educate residents, especially vulnerable populations.   </w:t>
      </w:r>
    </w:p>
    <w:p w14:paraId="6A22B19A" w14:textId="77777777" w:rsidR="00FF3251" w:rsidRPr="00740A2A" w:rsidRDefault="00FF3251" w:rsidP="00FF3251">
      <w:pPr>
        <w:tabs>
          <w:tab w:val="left" w:pos="1080"/>
        </w:tabs>
      </w:pPr>
    </w:p>
    <w:p w14:paraId="50044DBE" w14:textId="77777777" w:rsidR="00FF3251" w:rsidRPr="00080AB2" w:rsidRDefault="00FF3251" w:rsidP="00FF3251">
      <w:pPr>
        <w:pStyle w:val="ListParagraph"/>
        <w:numPr>
          <w:ilvl w:val="0"/>
          <w:numId w:val="25"/>
        </w:numPr>
        <w:tabs>
          <w:tab w:val="left" w:pos="1080"/>
        </w:tabs>
        <w:ind w:left="1080"/>
      </w:pPr>
      <w:r w:rsidRPr="00080AB2">
        <w:t>Earlier this year, a mistake by an emergency management employee regarding a North Korean ballistic missile caused evacuation and high levels of anxiety among the Hawaii population.  The false alarm was the talk of national commentators and in the headlines for weeks.  Employees were released, decision-making protocols were altered.</w:t>
      </w:r>
      <w:r>
        <w:t xml:space="preserve">  Additionally, there have been landfall events and near misses since the 2009 survey.</w:t>
      </w:r>
      <w:r w:rsidRPr="00080AB2">
        <w:t xml:space="preserve">  Determine whether there </w:t>
      </w:r>
      <w:r>
        <w:t>may be</w:t>
      </w:r>
      <w:r w:rsidRPr="00080AB2">
        <w:t xml:space="preserve"> impacts on the public’s </w:t>
      </w:r>
      <w:r>
        <w:t>confidence</w:t>
      </w:r>
      <w:r w:rsidRPr="00080AB2">
        <w:t xml:space="preserve"> </w:t>
      </w:r>
      <w:r>
        <w:t>in a warning from</w:t>
      </w:r>
      <w:r w:rsidRPr="00080AB2">
        <w:t xml:space="preserve"> public emergency managers and if so, given the extreme importance of their role in crisis situations, identify ways in which </w:t>
      </w:r>
      <w:r>
        <w:t>high</w:t>
      </w:r>
      <w:r w:rsidRPr="00080AB2">
        <w:t xml:space="preserve"> levels of </w:t>
      </w:r>
      <w:r>
        <w:t>confidence</w:t>
      </w:r>
      <w:r w:rsidRPr="00080AB2">
        <w:t xml:space="preserve"> can be </w:t>
      </w:r>
      <w:r>
        <w:t xml:space="preserve">maintained or </w:t>
      </w:r>
      <w:r w:rsidRPr="00080AB2">
        <w:t>recaptured.</w:t>
      </w:r>
    </w:p>
    <w:p w14:paraId="502741F9" w14:textId="77777777" w:rsidR="00FF3251" w:rsidRPr="00080AB2" w:rsidRDefault="00FF3251" w:rsidP="00FF3251"/>
    <w:p w14:paraId="0D1AC008" w14:textId="77777777" w:rsidR="00FF3251" w:rsidRPr="00080AB2" w:rsidRDefault="00FF3251" w:rsidP="00FF3251">
      <w:pPr>
        <w:ind w:left="360"/>
      </w:pPr>
      <w:r w:rsidRPr="00080AB2">
        <w:lastRenderedPageBreak/>
        <w:t>These issues have significant financial and program implications for the State and the Counties.  The information from this and the previous survey will greatly assist policy makers and program managers as they make decisions on these matters.</w:t>
      </w:r>
      <w:r>
        <w:t xml:space="preserve"> The survey is being funded by FEMA through the Hurricane Evacuation Studies (FPMS) National Program in NAB.   The Corps and FEMA partner in the HES program and an agreement was made between the agencies that USACE would handle all survey implementation.  </w:t>
      </w:r>
    </w:p>
    <w:p w14:paraId="477109E3" w14:textId="3EF99779" w:rsidR="002A0D44" w:rsidRDefault="002A0D44" w:rsidP="00434E33">
      <w:pPr>
        <w:pStyle w:val="Header"/>
        <w:tabs>
          <w:tab w:val="clear" w:pos="4320"/>
          <w:tab w:val="clear" w:pos="8640"/>
        </w:tabs>
        <w:rPr>
          <w:b/>
        </w:rPr>
      </w:pPr>
    </w:p>
    <w:p w14:paraId="3C6E4FB2" w14:textId="77777777" w:rsidR="004E5790" w:rsidRDefault="004E5790" w:rsidP="004E5790">
      <w:pPr>
        <w:pStyle w:val="Header"/>
        <w:tabs>
          <w:tab w:val="clear" w:pos="4320"/>
          <w:tab w:val="clear" w:pos="8640"/>
        </w:tabs>
        <w:rPr>
          <w:b/>
        </w:rPr>
      </w:pPr>
    </w:p>
    <w:p w14:paraId="48400764" w14:textId="2FE77237" w:rsidR="00FF3251" w:rsidRDefault="004E5790" w:rsidP="00FF3251">
      <w:pPr>
        <w:pStyle w:val="ListParagraph"/>
        <w:ind w:left="360"/>
      </w:pPr>
      <w:r w:rsidRPr="00434E33">
        <w:rPr>
          <w:b/>
        </w:rPr>
        <w:t>DESCRIPTION OF RESPONDENTS</w:t>
      </w:r>
      <w:r>
        <w:t xml:space="preserve">: </w:t>
      </w:r>
      <w:r w:rsidR="00FF3251">
        <w:t xml:space="preserve"> </w:t>
      </w:r>
      <w:r w:rsidR="00FF3251" w:rsidRPr="00080AB2">
        <w:t xml:space="preserve">The survey’s overall universe of respondents is the totality of residential households in the State of Hawaii.  The research also queries households within the context of the County within which they are located and whether they are situated in a coastal or inland setting.  One might call these sub-universes as the research is concerned about maintaining a certain level of accuracy within those sub-sets.  </w:t>
      </w:r>
      <w:r w:rsidR="00FF3251" w:rsidRPr="00080AB2">
        <w:rPr>
          <w:u w:val="single"/>
        </w:rPr>
        <w:t>The overall universe is 450,600 households</w:t>
      </w:r>
      <w:r w:rsidR="00FF3251">
        <w:t xml:space="preserve">.  </w:t>
      </w:r>
      <w:r w:rsidR="00FF3251" w:rsidRPr="00000D4D">
        <w:t>The approximate number of households in the sub-universes are as follows:</w:t>
      </w:r>
    </w:p>
    <w:p w14:paraId="5D156891" w14:textId="77777777" w:rsidR="00FF3251" w:rsidRDefault="00FF3251" w:rsidP="00FF3251">
      <w:pPr>
        <w:pStyle w:val="ListParagraph"/>
        <w:ind w:left="360"/>
      </w:pPr>
    </w:p>
    <w:tbl>
      <w:tblPr>
        <w:tblStyle w:val="TableGrid"/>
        <w:tblW w:w="0" w:type="auto"/>
        <w:tblInd w:w="538" w:type="dxa"/>
        <w:tblLook w:val="04A0" w:firstRow="1" w:lastRow="0" w:firstColumn="1" w:lastColumn="0" w:noHBand="0" w:noVBand="1"/>
      </w:tblPr>
      <w:tblGrid>
        <w:gridCol w:w="1695"/>
        <w:gridCol w:w="1642"/>
        <w:gridCol w:w="1672"/>
        <w:gridCol w:w="1642"/>
        <w:gridCol w:w="1619"/>
      </w:tblGrid>
      <w:tr w:rsidR="00FF3251" w:rsidRPr="00603F4C" w14:paraId="768C070D" w14:textId="77777777" w:rsidTr="00FF3251">
        <w:trPr>
          <w:trHeight w:hRule="exact" w:val="288"/>
        </w:trPr>
        <w:tc>
          <w:tcPr>
            <w:tcW w:w="1695" w:type="dxa"/>
            <w:shd w:val="clear" w:color="auto" w:fill="D9D9D9" w:themeFill="background1" w:themeFillShade="D9"/>
          </w:tcPr>
          <w:p w14:paraId="4FAC318D" w14:textId="77777777" w:rsidR="00FF3251" w:rsidRPr="000E5B91" w:rsidRDefault="00FF3251" w:rsidP="00913337">
            <w:pPr>
              <w:pStyle w:val="ListParagraph"/>
              <w:ind w:left="0"/>
              <w:jc w:val="center"/>
              <w:rPr>
                <w:b/>
                <w:sz w:val="23"/>
                <w:szCs w:val="23"/>
              </w:rPr>
            </w:pPr>
            <w:r w:rsidRPr="000E5B91">
              <w:rPr>
                <w:b/>
                <w:sz w:val="23"/>
                <w:szCs w:val="23"/>
              </w:rPr>
              <w:t>County</w:t>
            </w:r>
          </w:p>
        </w:tc>
        <w:tc>
          <w:tcPr>
            <w:tcW w:w="1642" w:type="dxa"/>
            <w:shd w:val="clear" w:color="auto" w:fill="D9D9D9" w:themeFill="background1" w:themeFillShade="D9"/>
          </w:tcPr>
          <w:p w14:paraId="1BF5BE2C" w14:textId="77777777" w:rsidR="00FF3251" w:rsidRPr="000E5B91" w:rsidRDefault="00FF3251" w:rsidP="00913337">
            <w:pPr>
              <w:pStyle w:val="ListParagraph"/>
              <w:ind w:left="0"/>
              <w:jc w:val="center"/>
              <w:rPr>
                <w:b/>
                <w:sz w:val="23"/>
                <w:szCs w:val="23"/>
              </w:rPr>
            </w:pPr>
            <w:r w:rsidRPr="000E5B91">
              <w:rPr>
                <w:b/>
                <w:sz w:val="23"/>
                <w:szCs w:val="23"/>
              </w:rPr>
              <w:t>Island</w:t>
            </w:r>
          </w:p>
        </w:tc>
        <w:tc>
          <w:tcPr>
            <w:tcW w:w="1672" w:type="dxa"/>
            <w:shd w:val="clear" w:color="auto" w:fill="D9D9D9" w:themeFill="background1" w:themeFillShade="D9"/>
          </w:tcPr>
          <w:p w14:paraId="3D8D708E" w14:textId="77777777" w:rsidR="00FF3251" w:rsidRPr="000E5B91" w:rsidRDefault="00FF3251" w:rsidP="00913337">
            <w:pPr>
              <w:pStyle w:val="ListParagraph"/>
              <w:ind w:left="0"/>
              <w:jc w:val="center"/>
              <w:rPr>
                <w:b/>
                <w:sz w:val="23"/>
                <w:szCs w:val="23"/>
              </w:rPr>
            </w:pPr>
            <w:r w:rsidRPr="000E5B91">
              <w:rPr>
                <w:b/>
                <w:sz w:val="23"/>
                <w:szCs w:val="23"/>
              </w:rPr>
              <w:t>Coastal</w:t>
            </w:r>
          </w:p>
        </w:tc>
        <w:tc>
          <w:tcPr>
            <w:tcW w:w="1642" w:type="dxa"/>
            <w:shd w:val="clear" w:color="auto" w:fill="D9D9D9" w:themeFill="background1" w:themeFillShade="D9"/>
          </w:tcPr>
          <w:p w14:paraId="7623D7DE" w14:textId="77777777" w:rsidR="00FF3251" w:rsidRPr="000E5B91" w:rsidRDefault="00FF3251" w:rsidP="00913337">
            <w:pPr>
              <w:pStyle w:val="ListParagraph"/>
              <w:ind w:left="0"/>
              <w:jc w:val="center"/>
              <w:rPr>
                <w:b/>
                <w:sz w:val="23"/>
                <w:szCs w:val="23"/>
              </w:rPr>
            </w:pPr>
            <w:r w:rsidRPr="000E5B91">
              <w:rPr>
                <w:b/>
                <w:sz w:val="23"/>
                <w:szCs w:val="23"/>
              </w:rPr>
              <w:t>Inland</w:t>
            </w:r>
          </w:p>
        </w:tc>
        <w:tc>
          <w:tcPr>
            <w:tcW w:w="1619" w:type="dxa"/>
            <w:shd w:val="clear" w:color="auto" w:fill="D9D9D9" w:themeFill="background1" w:themeFillShade="D9"/>
          </w:tcPr>
          <w:p w14:paraId="581D4925" w14:textId="77777777" w:rsidR="00FF3251" w:rsidRPr="000E5B91" w:rsidRDefault="00FF3251" w:rsidP="00913337">
            <w:pPr>
              <w:pStyle w:val="ListParagraph"/>
              <w:ind w:left="0"/>
              <w:jc w:val="center"/>
              <w:rPr>
                <w:b/>
                <w:sz w:val="23"/>
                <w:szCs w:val="23"/>
              </w:rPr>
            </w:pPr>
            <w:r w:rsidRPr="000E5B91">
              <w:rPr>
                <w:b/>
                <w:sz w:val="23"/>
                <w:szCs w:val="23"/>
              </w:rPr>
              <w:t>Total</w:t>
            </w:r>
          </w:p>
        </w:tc>
      </w:tr>
      <w:tr w:rsidR="00FF3251" w:rsidRPr="00603F4C" w14:paraId="34EDA388" w14:textId="77777777" w:rsidTr="00FF3251">
        <w:trPr>
          <w:trHeight w:hRule="exact" w:val="288"/>
        </w:trPr>
        <w:tc>
          <w:tcPr>
            <w:tcW w:w="1695" w:type="dxa"/>
            <w:vAlign w:val="bottom"/>
          </w:tcPr>
          <w:p w14:paraId="74F76C2A" w14:textId="77777777" w:rsidR="00FF3251" w:rsidRPr="000E5B91" w:rsidRDefault="00FF3251" w:rsidP="00FF3251">
            <w:pPr>
              <w:pStyle w:val="ListParagraph"/>
              <w:ind w:left="0"/>
              <w:rPr>
                <w:sz w:val="23"/>
                <w:szCs w:val="23"/>
              </w:rPr>
            </w:pPr>
            <w:r w:rsidRPr="000E5B91">
              <w:rPr>
                <w:sz w:val="23"/>
                <w:szCs w:val="23"/>
              </w:rPr>
              <w:t>Honolulu</w:t>
            </w:r>
          </w:p>
        </w:tc>
        <w:tc>
          <w:tcPr>
            <w:tcW w:w="1642" w:type="dxa"/>
            <w:vAlign w:val="bottom"/>
          </w:tcPr>
          <w:p w14:paraId="52FD7D92" w14:textId="77777777" w:rsidR="00FF3251" w:rsidRPr="000E5B91" w:rsidRDefault="00FF3251" w:rsidP="00FF3251">
            <w:pPr>
              <w:pStyle w:val="ListParagraph"/>
              <w:ind w:left="0"/>
              <w:rPr>
                <w:sz w:val="23"/>
                <w:szCs w:val="23"/>
              </w:rPr>
            </w:pPr>
            <w:r w:rsidRPr="000E5B91">
              <w:rPr>
                <w:sz w:val="23"/>
                <w:szCs w:val="23"/>
              </w:rPr>
              <w:t>Oahu</w:t>
            </w:r>
          </w:p>
        </w:tc>
        <w:tc>
          <w:tcPr>
            <w:tcW w:w="1672" w:type="dxa"/>
            <w:vAlign w:val="bottom"/>
          </w:tcPr>
          <w:p w14:paraId="61C71CAF" w14:textId="77777777" w:rsidR="00FF3251" w:rsidRPr="000E5B91" w:rsidRDefault="00FF3251" w:rsidP="00FF3251">
            <w:pPr>
              <w:pStyle w:val="ListParagraph"/>
              <w:ind w:left="0"/>
              <w:jc w:val="center"/>
              <w:rPr>
                <w:sz w:val="23"/>
                <w:szCs w:val="23"/>
              </w:rPr>
            </w:pPr>
            <w:r w:rsidRPr="000E5B91">
              <w:rPr>
                <w:sz w:val="23"/>
                <w:szCs w:val="23"/>
              </w:rPr>
              <w:t>265,900</w:t>
            </w:r>
          </w:p>
        </w:tc>
        <w:tc>
          <w:tcPr>
            <w:tcW w:w="1642" w:type="dxa"/>
            <w:vAlign w:val="bottom"/>
          </w:tcPr>
          <w:p w14:paraId="2EA44CD4" w14:textId="77777777" w:rsidR="00FF3251" w:rsidRPr="000E5B91" w:rsidRDefault="00FF3251" w:rsidP="00FF3251">
            <w:pPr>
              <w:pStyle w:val="ListParagraph"/>
              <w:ind w:left="0"/>
              <w:jc w:val="center"/>
              <w:rPr>
                <w:sz w:val="23"/>
                <w:szCs w:val="23"/>
              </w:rPr>
            </w:pPr>
            <w:r w:rsidRPr="000E5B91">
              <w:rPr>
                <w:sz w:val="23"/>
                <w:szCs w:val="23"/>
              </w:rPr>
              <w:t>43,700</w:t>
            </w:r>
          </w:p>
        </w:tc>
        <w:tc>
          <w:tcPr>
            <w:tcW w:w="1619" w:type="dxa"/>
            <w:vAlign w:val="bottom"/>
          </w:tcPr>
          <w:p w14:paraId="70242007" w14:textId="77777777" w:rsidR="00FF3251" w:rsidRPr="000E5B91" w:rsidRDefault="00FF3251" w:rsidP="00FF3251">
            <w:pPr>
              <w:pStyle w:val="ListParagraph"/>
              <w:ind w:left="0"/>
              <w:jc w:val="center"/>
              <w:rPr>
                <w:sz w:val="23"/>
                <w:szCs w:val="23"/>
              </w:rPr>
            </w:pPr>
            <w:r w:rsidRPr="000E5B91">
              <w:rPr>
                <w:sz w:val="23"/>
                <w:szCs w:val="23"/>
              </w:rPr>
              <w:t>309,600</w:t>
            </w:r>
          </w:p>
        </w:tc>
      </w:tr>
      <w:tr w:rsidR="00FF3251" w:rsidRPr="00603F4C" w14:paraId="31ED2DCB" w14:textId="77777777" w:rsidTr="00FF3251">
        <w:trPr>
          <w:trHeight w:hRule="exact" w:val="288"/>
        </w:trPr>
        <w:tc>
          <w:tcPr>
            <w:tcW w:w="1695" w:type="dxa"/>
            <w:vAlign w:val="bottom"/>
          </w:tcPr>
          <w:p w14:paraId="1BA75CF8" w14:textId="77777777" w:rsidR="00FF3251" w:rsidRPr="000E5B91" w:rsidRDefault="00FF3251" w:rsidP="00FF3251">
            <w:pPr>
              <w:pStyle w:val="ListParagraph"/>
              <w:ind w:left="0"/>
              <w:rPr>
                <w:sz w:val="23"/>
                <w:szCs w:val="23"/>
              </w:rPr>
            </w:pPr>
            <w:r w:rsidRPr="000E5B91">
              <w:rPr>
                <w:sz w:val="23"/>
                <w:szCs w:val="23"/>
              </w:rPr>
              <w:t>Kauai</w:t>
            </w:r>
          </w:p>
        </w:tc>
        <w:tc>
          <w:tcPr>
            <w:tcW w:w="1642" w:type="dxa"/>
            <w:vAlign w:val="bottom"/>
          </w:tcPr>
          <w:p w14:paraId="7EA65149" w14:textId="77777777" w:rsidR="00FF3251" w:rsidRPr="000E5B91" w:rsidRDefault="00FF3251" w:rsidP="00FF3251">
            <w:pPr>
              <w:pStyle w:val="ListParagraph"/>
              <w:ind w:left="0"/>
              <w:rPr>
                <w:sz w:val="23"/>
                <w:szCs w:val="23"/>
              </w:rPr>
            </w:pPr>
            <w:r w:rsidRPr="000E5B91">
              <w:rPr>
                <w:sz w:val="23"/>
                <w:szCs w:val="23"/>
              </w:rPr>
              <w:t>Kauai</w:t>
            </w:r>
          </w:p>
        </w:tc>
        <w:tc>
          <w:tcPr>
            <w:tcW w:w="1672" w:type="dxa"/>
            <w:vAlign w:val="bottom"/>
          </w:tcPr>
          <w:p w14:paraId="4D894A64" w14:textId="77777777" w:rsidR="00FF3251" w:rsidRPr="000E5B91" w:rsidRDefault="00FF3251" w:rsidP="00FF3251">
            <w:pPr>
              <w:pStyle w:val="ListParagraph"/>
              <w:ind w:left="0"/>
              <w:jc w:val="center"/>
              <w:rPr>
                <w:sz w:val="23"/>
                <w:szCs w:val="23"/>
              </w:rPr>
            </w:pPr>
            <w:r w:rsidRPr="000E5B91">
              <w:rPr>
                <w:sz w:val="23"/>
                <w:szCs w:val="23"/>
              </w:rPr>
              <w:t>10,400</w:t>
            </w:r>
          </w:p>
        </w:tc>
        <w:tc>
          <w:tcPr>
            <w:tcW w:w="1642" w:type="dxa"/>
            <w:vAlign w:val="bottom"/>
          </w:tcPr>
          <w:p w14:paraId="26F7B552" w14:textId="77777777" w:rsidR="00FF3251" w:rsidRPr="000E5B91" w:rsidRDefault="00FF3251" w:rsidP="00FF3251">
            <w:pPr>
              <w:pStyle w:val="ListParagraph"/>
              <w:ind w:left="0"/>
              <w:jc w:val="center"/>
              <w:rPr>
                <w:sz w:val="23"/>
                <w:szCs w:val="23"/>
              </w:rPr>
            </w:pPr>
            <w:r w:rsidRPr="000E5B91">
              <w:rPr>
                <w:sz w:val="23"/>
                <w:szCs w:val="23"/>
              </w:rPr>
              <w:t>12,000</w:t>
            </w:r>
          </w:p>
        </w:tc>
        <w:tc>
          <w:tcPr>
            <w:tcW w:w="1619" w:type="dxa"/>
            <w:vAlign w:val="bottom"/>
          </w:tcPr>
          <w:p w14:paraId="07F3E036" w14:textId="77777777" w:rsidR="00FF3251" w:rsidRPr="000E5B91" w:rsidRDefault="00FF3251" w:rsidP="00FF3251">
            <w:pPr>
              <w:pStyle w:val="ListParagraph"/>
              <w:ind w:left="0"/>
              <w:jc w:val="center"/>
              <w:rPr>
                <w:sz w:val="23"/>
                <w:szCs w:val="23"/>
              </w:rPr>
            </w:pPr>
            <w:r w:rsidRPr="000E5B91">
              <w:rPr>
                <w:sz w:val="23"/>
                <w:szCs w:val="23"/>
              </w:rPr>
              <w:t>22,400</w:t>
            </w:r>
          </w:p>
        </w:tc>
      </w:tr>
      <w:tr w:rsidR="00FF3251" w:rsidRPr="00603F4C" w14:paraId="14AF136E" w14:textId="77777777" w:rsidTr="00FF3251">
        <w:trPr>
          <w:trHeight w:hRule="exact" w:val="288"/>
        </w:trPr>
        <w:tc>
          <w:tcPr>
            <w:tcW w:w="1695" w:type="dxa"/>
            <w:tcBorders>
              <w:bottom w:val="single" w:sz="4" w:space="0" w:color="auto"/>
            </w:tcBorders>
            <w:vAlign w:val="bottom"/>
          </w:tcPr>
          <w:p w14:paraId="730284BB" w14:textId="77777777" w:rsidR="00FF3251" w:rsidRPr="000E5B91" w:rsidRDefault="00FF3251" w:rsidP="00FF3251">
            <w:pPr>
              <w:pStyle w:val="ListParagraph"/>
              <w:ind w:left="0"/>
              <w:rPr>
                <w:sz w:val="23"/>
                <w:szCs w:val="23"/>
              </w:rPr>
            </w:pPr>
            <w:r w:rsidRPr="000E5B91">
              <w:rPr>
                <w:sz w:val="23"/>
                <w:szCs w:val="23"/>
              </w:rPr>
              <w:t>Hawaii</w:t>
            </w:r>
          </w:p>
        </w:tc>
        <w:tc>
          <w:tcPr>
            <w:tcW w:w="1642" w:type="dxa"/>
            <w:vAlign w:val="bottom"/>
          </w:tcPr>
          <w:p w14:paraId="42AAFEC8" w14:textId="77777777" w:rsidR="00FF3251" w:rsidRPr="000E5B91" w:rsidRDefault="00FF3251" w:rsidP="00FF3251">
            <w:pPr>
              <w:pStyle w:val="ListParagraph"/>
              <w:ind w:left="0"/>
              <w:rPr>
                <w:sz w:val="23"/>
                <w:szCs w:val="23"/>
              </w:rPr>
            </w:pPr>
            <w:r w:rsidRPr="000E5B91">
              <w:rPr>
                <w:sz w:val="23"/>
                <w:szCs w:val="23"/>
              </w:rPr>
              <w:t>Hawaii</w:t>
            </w:r>
          </w:p>
        </w:tc>
        <w:tc>
          <w:tcPr>
            <w:tcW w:w="1672" w:type="dxa"/>
            <w:vAlign w:val="bottom"/>
          </w:tcPr>
          <w:p w14:paraId="34FD1A72" w14:textId="77777777" w:rsidR="00FF3251" w:rsidRPr="000E5B91" w:rsidRDefault="00FF3251" w:rsidP="00FF3251">
            <w:pPr>
              <w:pStyle w:val="ListParagraph"/>
              <w:ind w:left="0"/>
              <w:jc w:val="center"/>
              <w:rPr>
                <w:sz w:val="23"/>
                <w:szCs w:val="23"/>
              </w:rPr>
            </w:pPr>
            <w:r w:rsidRPr="000E5B91">
              <w:rPr>
                <w:sz w:val="23"/>
                <w:szCs w:val="23"/>
              </w:rPr>
              <w:t>22,700</w:t>
            </w:r>
          </w:p>
        </w:tc>
        <w:tc>
          <w:tcPr>
            <w:tcW w:w="1642" w:type="dxa"/>
            <w:vAlign w:val="bottom"/>
          </w:tcPr>
          <w:p w14:paraId="6CEC4E72" w14:textId="77777777" w:rsidR="00FF3251" w:rsidRPr="000E5B91" w:rsidRDefault="00FF3251" w:rsidP="00FF3251">
            <w:pPr>
              <w:pStyle w:val="ListParagraph"/>
              <w:ind w:left="0"/>
              <w:jc w:val="center"/>
              <w:rPr>
                <w:sz w:val="23"/>
                <w:szCs w:val="23"/>
              </w:rPr>
            </w:pPr>
            <w:r w:rsidRPr="000E5B91">
              <w:rPr>
                <w:sz w:val="23"/>
                <w:szCs w:val="23"/>
              </w:rPr>
              <w:t>42,400</w:t>
            </w:r>
          </w:p>
        </w:tc>
        <w:tc>
          <w:tcPr>
            <w:tcW w:w="1619" w:type="dxa"/>
            <w:vAlign w:val="bottom"/>
          </w:tcPr>
          <w:p w14:paraId="408A4CBF" w14:textId="77777777" w:rsidR="00FF3251" w:rsidRPr="000E5B91" w:rsidRDefault="00FF3251" w:rsidP="00FF3251">
            <w:pPr>
              <w:pStyle w:val="ListParagraph"/>
              <w:ind w:left="0"/>
              <w:jc w:val="center"/>
              <w:rPr>
                <w:sz w:val="23"/>
                <w:szCs w:val="23"/>
              </w:rPr>
            </w:pPr>
            <w:r w:rsidRPr="000E5B91">
              <w:rPr>
                <w:sz w:val="23"/>
                <w:szCs w:val="23"/>
              </w:rPr>
              <w:t>65,100</w:t>
            </w:r>
          </w:p>
        </w:tc>
      </w:tr>
      <w:tr w:rsidR="00FF3251" w:rsidRPr="00603F4C" w14:paraId="275E1713" w14:textId="77777777" w:rsidTr="00FF3251">
        <w:trPr>
          <w:trHeight w:hRule="exact" w:val="288"/>
        </w:trPr>
        <w:tc>
          <w:tcPr>
            <w:tcW w:w="1695" w:type="dxa"/>
            <w:tcBorders>
              <w:top w:val="single" w:sz="4" w:space="0" w:color="auto"/>
              <w:bottom w:val="nil"/>
            </w:tcBorders>
            <w:vAlign w:val="bottom"/>
          </w:tcPr>
          <w:p w14:paraId="1B8926D9" w14:textId="77777777" w:rsidR="00FF3251" w:rsidRPr="000E5B91" w:rsidRDefault="00FF3251" w:rsidP="00FF3251">
            <w:pPr>
              <w:pStyle w:val="ListParagraph"/>
              <w:ind w:left="0"/>
              <w:rPr>
                <w:sz w:val="23"/>
                <w:szCs w:val="23"/>
              </w:rPr>
            </w:pPr>
          </w:p>
        </w:tc>
        <w:tc>
          <w:tcPr>
            <w:tcW w:w="1642" w:type="dxa"/>
            <w:vAlign w:val="bottom"/>
          </w:tcPr>
          <w:p w14:paraId="77A41C09" w14:textId="77777777" w:rsidR="00FF3251" w:rsidRPr="000E5B91" w:rsidRDefault="00FF3251" w:rsidP="00FF3251">
            <w:pPr>
              <w:pStyle w:val="ListParagraph"/>
              <w:ind w:left="0"/>
              <w:rPr>
                <w:sz w:val="23"/>
                <w:szCs w:val="23"/>
              </w:rPr>
            </w:pPr>
            <w:r w:rsidRPr="000E5B91">
              <w:rPr>
                <w:sz w:val="23"/>
                <w:szCs w:val="23"/>
              </w:rPr>
              <w:t>Maui</w:t>
            </w:r>
          </w:p>
        </w:tc>
        <w:tc>
          <w:tcPr>
            <w:tcW w:w="1672" w:type="dxa"/>
            <w:vAlign w:val="bottom"/>
          </w:tcPr>
          <w:p w14:paraId="6DD470DD" w14:textId="77777777" w:rsidR="00FF3251" w:rsidRPr="000E5B91" w:rsidRDefault="00FF3251" w:rsidP="00FF3251">
            <w:pPr>
              <w:pStyle w:val="ListParagraph"/>
              <w:ind w:left="0"/>
              <w:jc w:val="center"/>
              <w:rPr>
                <w:sz w:val="23"/>
                <w:szCs w:val="23"/>
              </w:rPr>
            </w:pPr>
            <w:r w:rsidRPr="000E5B91">
              <w:rPr>
                <w:sz w:val="23"/>
                <w:szCs w:val="23"/>
              </w:rPr>
              <w:t>15,900</w:t>
            </w:r>
          </w:p>
        </w:tc>
        <w:tc>
          <w:tcPr>
            <w:tcW w:w="1642" w:type="dxa"/>
            <w:vAlign w:val="bottom"/>
          </w:tcPr>
          <w:p w14:paraId="09FAC832" w14:textId="77777777" w:rsidR="00FF3251" w:rsidRPr="000E5B91" w:rsidRDefault="00FF3251" w:rsidP="00FF3251">
            <w:pPr>
              <w:pStyle w:val="ListParagraph"/>
              <w:ind w:left="0"/>
              <w:jc w:val="center"/>
              <w:rPr>
                <w:sz w:val="23"/>
                <w:szCs w:val="23"/>
              </w:rPr>
            </w:pPr>
            <w:r w:rsidRPr="000E5B91">
              <w:rPr>
                <w:sz w:val="23"/>
                <w:szCs w:val="23"/>
              </w:rPr>
              <w:t>34,000</w:t>
            </w:r>
          </w:p>
        </w:tc>
        <w:tc>
          <w:tcPr>
            <w:tcW w:w="1619" w:type="dxa"/>
            <w:vAlign w:val="bottom"/>
          </w:tcPr>
          <w:p w14:paraId="74DEEE04" w14:textId="77777777" w:rsidR="00FF3251" w:rsidRPr="000E5B91" w:rsidRDefault="00FF3251" w:rsidP="00FF3251">
            <w:pPr>
              <w:pStyle w:val="ListParagraph"/>
              <w:ind w:left="0"/>
              <w:jc w:val="center"/>
              <w:rPr>
                <w:sz w:val="23"/>
                <w:szCs w:val="23"/>
              </w:rPr>
            </w:pPr>
            <w:r w:rsidRPr="000E5B91">
              <w:rPr>
                <w:sz w:val="23"/>
                <w:szCs w:val="23"/>
              </w:rPr>
              <w:t>49,900</w:t>
            </w:r>
          </w:p>
        </w:tc>
      </w:tr>
      <w:tr w:rsidR="00FF3251" w:rsidRPr="00603F4C" w14:paraId="1CD5FBC3" w14:textId="77777777" w:rsidTr="00FF3251">
        <w:trPr>
          <w:trHeight w:hRule="exact" w:val="288"/>
        </w:trPr>
        <w:tc>
          <w:tcPr>
            <w:tcW w:w="1695" w:type="dxa"/>
            <w:tcBorders>
              <w:top w:val="nil"/>
              <w:bottom w:val="nil"/>
            </w:tcBorders>
            <w:vAlign w:val="bottom"/>
          </w:tcPr>
          <w:p w14:paraId="5FA8050C" w14:textId="77777777" w:rsidR="00FF3251" w:rsidRPr="000E5B91" w:rsidRDefault="00FF3251" w:rsidP="00FF3251">
            <w:pPr>
              <w:pStyle w:val="ListParagraph"/>
              <w:ind w:left="0"/>
              <w:rPr>
                <w:sz w:val="23"/>
                <w:szCs w:val="23"/>
              </w:rPr>
            </w:pPr>
            <w:r w:rsidRPr="000E5B91">
              <w:rPr>
                <w:sz w:val="23"/>
                <w:szCs w:val="23"/>
              </w:rPr>
              <w:t>Maui</w:t>
            </w:r>
          </w:p>
        </w:tc>
        <w:tc>
          <w:tcPr>
            <w:tcW w:w="1642" w:type="dxa"/>
            <w:vAlign w:val="bottom"/>
          </w:tcPr>
          <w:p w14:paraId="4BD692B2" w14:textId="77777777" w:rsidR="00FF3251" w:rsidRPr="000E5B91" w:rsidRDefault="00FF3251" w:rsidP="00FF3251">
            <w:pPr>
              <w:pStyle w:val="ListParagraph"/>
              <w:ind w:left="0"/>
              <w:rPr>
                <w:sz w:val="23"/>
                <w:szCs w:val="23"/>
              </w:rPr>
            </w:pPr>
            <w:r w:rsidRPr="000E5B91">
              <w:rPr>
                <w:sz w:val="23"/>
                <w:szCs w:val="23"/>
              </w:rPr>
              <w:t>Molokai</w:t>
            </w:r>
          </w:p>
        </w:tc>
        <w:tc>
          <w:tcPr>
            <w:tcW w:w="1672" w:type="dxa"/>
            <w:vAlign w:val="bottom"/>
          </w:tcPr>
          <w:p w14:paraId="01C6A1BE" w14:textId="77777777" w:rsidR="00FF3251" w:rsidRPr="000E5B91" w:rsidRDefault="00FF3251" w:rsidP="00FF3251">
            <w:pPr>
              <w:pStyle w:val="ListParagraph"/>
              <w:ind w:left="0"/>
              <w:jc w:val="center"/>
              <w:rPr>
                <w:sz w:val="23"/>
                <w:szCs w:val="23"/>
              </w:rPr>
            </w:pPr>
            <w:r w:rsidRPr="000E5B91">
              <w:rPr>
                <w:sz w:val="23"/>
                <w:szCs w:val="23"/>
              </w:rPr>
              <w:t>300</w:t>
            </w:r>
          </w:p>
        </w:tc>
        <w:tc>
          <w:tcPr>
            <w:tcW w:w="1642" w:type="dxa"/>
            <w:vAlign w:val="bottom"/>
          </w:tcPr>
          <w:p w14:paraId="3C3798CA" w14:textId="77777777" w:rsidR="00FF3251" w:rsidRPr="000E5B91" w:rsidRDefault="00FF3251" w:rsidP="00FF3251">
            <w:pPr>
              <w:pStyle w:val="ListParagraph"/>
              <w:ind w:left="0"/>
              <w:jc w:val="center"/>
              <w:rPr>
                <w:sz w:val="23"/>
                <w:szCs w:val="23"/>
              </w:rPr>
            </w:pPr>
            <w:r w:rsidRPr="000E5B91">
              <w:rPr>
                <w:sz w:val="23"/>
                <w:szCs w:val="23"/>
              </w:rPr>
              <w:t>2,100</w:t>
            </w:r>
          </w:p>
        </w:tc>
        <w:tc>
          <w:tcPr>
            <w:tcW w:w="1619" w:type="dxa"/>
            <w:vAlign w:val="bottom"/>
          </w:tcPr>
          <w:p w14:paraId="3BED6204" w14:textId="77777777" w:rsidR="00FF3251" w:rsidRPr="000E5B91" w:rsidRDefault="00FF3251" w:rsidP="00FF3251">
            <w:pPr>
              <w:pStyle w:val="ListParagraph"/>
              <w:ind w:left="0"/>
              <w:jc w:val="center"/>
              <w:rPr>
                <w:sz w:val="23"/>
                <w:szCs w:val="23"/>
              </w:rPr>
            </w:pPr>
            <w:r w:rsidRPr="000E5B91">
              <w:rPr>
                <w:sz w:val="23"/>
                <w:szCs w:val="23"/>
              </w:rPr>
              <w:t>2,400</w:t>
            </w:r>
          </w:p>
        </w:tc>
      </w:tr>
      <w:tr w:rsidR="00FF3251" w:rsidRPr="00603F4C" w14:paraId="1286A06E" w14:textId="77777777" w:rsidTr="00FF3251">
        <w:trPr>
          <w:trHeight w:hRule="exact" w:val="288"/>
        </w:trPr>
        <w:tc>
          <w:tcPr>
            <w:tcW w:w="1695" w:type="dxa"/>
            <w:tcBorders>
              <w:top w:val="nil"/>
            </w:tcBorders>
            <w:vAlign w:val="bottom"/>
          </w:tcPr>
          <w:p w14:paraId="5828262E" w14:textId="77777777" w:rsidR="00FF3251" w:rsidRPr="000E5B91" w:rsidRDefault="00FF3251" w:rsidP="00FF3251">
            <w:pPr>
              <w:pStyle w:val="ListParagraph"/>
              <w:ind w:left="0"/>
              <w:rPr>
                <w:sz w:val="23"/>
                <w:szCs w:val="23"/>
              </w:rPr>
            </w:pPr>
          </w:p>
        </w:tc>
        <w:tc>
          <w:tcPr>
            <w:tcW w:w="1642" w:type="dxa"/>
            <w:vAlign w:val="bottom"/>
          </w:tcPr>
          <w:p w14:paraId="174D9159" w14:textId="77777777" w:rsidR="00FF3251" w:rsidRPr="000E5B91" w:rsidRDefault="00FF3251" w:rsidP="00FF3251">
            <w:pPr>
              <w:pStyle w:val="ListParagraph"/>
              <w:ind w:left="0"/>
              <w:rPr>
                <w:sz w:val="23"/>
                <w:szCs w:val="23"/>
              </w:rPr>
            </w:pPr>
            <w:r w:rsidRPr="000E5B91">
              <w:rPr>
                <w:sz w:val="23"/>
                <w:szCs w:val="23"/>
              </w:rPr>
              <w:t>Lanai</w:t>
            </w:r>
          </w:p>
        </w:tc>
        <w:tc>
          <w:tcPr>
            <w:tcW w:w="1672" w:type="dxa"/>
            <w:vAlign w:val="bottom"/>
          </w:tcPr>
          <w:p w14:paraId="15CDC69F" w14:textId="77777777" w:rsidR="00FF3251" w:rsidRPr="000E5B91" w:rsidRDefault="00FF3251" w:rsidP="00FF3251">
            <w:pPr>
              <w:pStyle w:val="ListParagraph"/>
              <w:ind w:left="0"/>
              <w:jc w:val="center"/>
              <w:rPr>
                <w:sz w:val="23"/>
                <w:szCs w:val="23"/>
              </w:rPr>
            </w:pPr>
            <w:r w:rsidRPr="000E5B91">
              <w:rPr>
                <w:sz w:val="23"/>
                <w:szCs w:val="23"/>
              </w:rPr>
              <w:t>1,100</w:t>
            </w:r>
          </w:p>
        </w:tc>
        <w:tc>
          <w:tcPr>
            <w:tcW w:w="1642" w:type="dxa"/>
            <w:vAlign w:val="bottom"/>
          </w:tcPr>
          <w:p w14:paraId="12497996" w14:textId="77777777" w:rsidR="00FF3251" w:rsidRPr="000E5B91" w:rsidRDefault="00FF3251" w:rsidP="00FF3251">
            <w:pPr>
              <w:pStyle w:val="ListParagraph"/>
              <w:ind w:left="0"/>
              <w:jc w:val="center"/>
              <w:rPr>
                <w:sz w:val="23"/>
                <w:szCs w:val="23"/>
              </w:rPr>
            </w:pPr>
            <w:r w:rsidRPr="000E5B91">
              <w:rPr>
                <w:sz w:val="23"/>
                <w:szCs w:val="23"/>
              </w:rPr>
              <w:t>100</w:t>
            </w:r>
          </w:p>
        </w:tc>
        <w:tc>
          <w:tcPr>
            <w:tcW w:w="1619" w:type="dxa"/>
            <w:vAlign w:val="bottom"/>
          </w:tcPr>
          <w:p w14:paraId="27CA2F55" w14:textId="77777777" w:rsidR="00FF3251" w:rsidRPr="000E5B91" w:rsidRDefault="00FF3251" w:rsidP="00FF3251">
            <w:pPr>
              <w:pStyle w:val="ListParagraph"/>
              <w:ind w:left="0"/>
              <w:jc w:val="center"/>
              <w:rPr>
                <w:sz w:val="23"/>
                <w:szCs w:val="23"/>
              </w:rPr>
            </w:pPr>
            <w:r w:rsidRPr="000E5B91">
              <w:rPr>
                <w:sz w:val="23"/>
                <w:szCs w:val="23"/>
              </w:rPr>
              <w:t>1,200</w:t>
            </w:r>
          </w:p>
        </w:tc>
      </w:tr>
      <w:tr w:rsidR="00FF3251" w:rsidRPr="00603F4C" w14:paraId="136A0811" w14:textId="77777777" w:rsidTr="00FF3251">
        <w:trPr>
          <w:trHeight w:hRule="exact" w:val="586"/>
        </w:trPr>
        <w:tc>
          <w:tcPr>
            <w:tcW w:w="1695" w:type="dxa"/>
            <w:vAlign w:val="bottom"/>
          </w:tcPr>
          <w:p w14:paraId="51C5598D" w14:textId="77777777" w:rsidR="00FF3251" w:rsidRPr="000E5B91" w:rsidRDefault="00FF3251" w:rsidP="00FF3251">
            <w:pPr>
              <w:pStyle w:val="ListParagraph"/>
              <w:ind w:left="0"/>
              <w:rPr>
                <w:b/>
                <w:sz w:val="23"/>
                <w:szCs w:val="23"/>
              </w:rPr>
            </w:pPr>
            <w:r w:rsidRPr="000E5B91">
              <w:rPr>
                <w:b/>
                <w:sz w:val="23"/>
                <w:szCs w:val="23"/>
              </w:rPr>
              <w:t>STATE TOTAL</w:t>
            </w:r>
          </w:p>
        </w:tc>
        <w:tc>
          <w:tcPr>
            <w:tcW w:w="1642" w:type="dxa"/>
            <w:vAlign w:val="bottom"/>
          </w:tcPr>
          <w:p w14:paraId="1B095BE7" w14:textId="77777777" w:rsidR="00FF3251" w:rsidRPr="000E5B91" w:rsidRDefault="00FF3251" w:rsidP="00FF3251">
            <w:pPr>
              <w:pStyle w:val="ListParagraph"/>
              <w:ind w:left="0"/>
              <w:rPr>
                <w:sz w:val="23"/>
                <w:szCs w:val="23"/>
              </w:rPr>
            </w:pPr>
          </w:p>
        </w:tc>
        <w:tc>
          <w:tcPr>
            <w:tcW w:w="1672" w:type="dxa"/>
            <w:vAlign w:val="bottom"/>
          </w:tcPr>
          <w:p w14:paraId="5117730D" w14:textId="77777777" w:rsidR="00FF3251" w:rsidRPr="000E5B91" w:rsidRDefault="00FF3251" w:rsidP="00FF3251">
            <w:pPr>
              <w:pStyle w:val="ListParagraph"/>
              <w:ind w:left="0"/>
              <w:jc w:val="center"/>
              <w:rPr>
                <w:sz w:val="23"/>
                <w:szCs w:val="23"/>
              </w:rPr>
            </w:pPr>
            <w:r w:rsidRPr="000E5B91">
              <w:rPr>
                <w:sz w:val="23"/>
                <w:szCs w:val="23"/>
              </w:rPr>
              <w:t>316,300</w:t>
            </w:r>
          </w:p>
        </w:tc>
        <w:tc>
          <w:tcPr>
            <w:tcW w:w="1642" w:type="dxa"/>
            <w:vAlign w:val="bottom"/>
          </w:tcPr>
          <w:p w14:paraId="0BA5942A" w14:textId="77777777" w:rsidR="00FF3251" w:rsidRPr="000E5B91" w:rsidRDefault="00FF3251" w:rsidP="00FF3251">
            <w:pPr>
              <w:pStyle w:val="ListParagraph"/>
              <w:ind w:left="0"/>
              <w:jc w:val="center"/>
              <w:rPr>
                <w:sz w:val="23"/>
                <w:szCs w:val="23"/>
              </w:rPr>
            </w:pPr>
            <w:r w:rsidRPr="000E5B91">
              <w:rPr>
                <w:sz w:val="23"/>
                <w:szCs w:val="23"/>
              </w:rPr>
              <w:t>134,300</w:t>
            </w:r>
          </w:p>
        </w:tc>
        <w:tc>
          <w:tcPr>
            <w:tcW w:w="1619" w:type="dxa"/>
            <w:vAlign w:val="bottom"/>
          </w:tcPr>
          <w:p w14:paraId="6A31CBF3" w14:textId="77777777" w:rsidR="00FF3251" w:rsidRPr="000E5B91" w:rsidRDefault="00FF3251" w:rsidP="00FF3251">
            <w:pPr>
              <w:pStyle w:val="ListParagraph"/>
              <w:ind w:left="0"/>
              <w:jc w:val="center"/>
              <w:rPr>
                <w:sz w:val="23"/>
                <w:szCs w:val="23"/>
              </w:rPr>
            </w:pPr>
            <w:r w:rsidRPr="000E5B91">
              <w:rPr>
                <w:sz w:val="23"/>
                <w:szCs w:val="23"/>
              </w:rPr>
              <w:t>450,600</w:t>
            </w:r>
          </w:p>
        </w:tc>
      </w:tr>
    </w:tbl>
    <w:p w14:paraId="65C41F08" w14:textId="77777777" w:rsidR="00FF3251" w:rsidRDefault="00FF3251" w:rsidP="00FF3251">
      <w:pPr>
        <w:rPr>
          <w:rFonts w:ascii="Times New Roman Bold" w:hAnsi="Times New Roman Bold"/>
          <w:b/>
          <w:smallCaps/>
        </w:rPr>
      </w:pPr>
    </w:p>
    <w:p w14:paraId="0834D48D" w14:textId="5AB7A2C5" w:rsidR="001261BD" w:rsidRDefault="001261BD" w:rsidP="00434E33">
      <w:pPr>
        <w:pStyle w:val="Header"/>
        <w:tabs>
          <w:tab w:val="clear" w:pos="4320"/>
          <w:tab w:val="clear" w:pos="8640"/>
        </w:tabs>
        <w:rPr>
          <w:i/>
          <w:snapToGrid/>
        </w:rPr>
      </w:pPr>
    </w:p>
    <w:p w14:paraId="4E627431" w14:textId="0EC4330F" w:rsidR="00FF3251" w:rsidRPr="00080AB2" w:rsidRDefault="001261BD" w:rsidP="00FF3251">
      <w:pPr>
        <w:pStyle w:val="Header"/>
        <w:tabs>
          <w:tab w:val="clear" w:pos="4320"/>
          <w:tab w:val="clear" w:pos="8640"/>
        </w:tabs>
      </w:pPr>
      <w:r>
        <w:rPr>
          <w:b/>
        </w:rPr>
        <w:t>HOW INFORMATION WILL BE COLLECTED:</w:t>
      </w:r>
      <w:r w:rsidR="00FF3251">
        <w:rPr>
          <w:b/>
        </w:rPr>
        <w:t xml:space="preserve">  </w:t>
      </w:r>
      <w:r w:rsidR="00FF3251" w:rsidRPr="00080AB2">
        <w:t>This survey</w:t>
      </w:r>
      <w:r w:rsidR="00FF3251">
        <w:t xml:space="preserve">’s universe includes all </w:t>
      </w:r>
      <w:r w:rsidR="00FF3251" w:rsidRPr="00080AB2">
        <w:t>households</w:t>
      </w:r>
      <w:r w:rsidR="00FF3251">
        <w:t xml:space="preserve"> in the State</w:t>
      </w:r>
      <w:r w:rsidR="00FF3251" w:rsidRPr="00080AB2">
        <w:t>.  Household data is the most commonly collected data and will</w:t>
      </w:r>
      <w:r w:rsidR="00FF3251">
        <w:t xml:space="preserve"> be the base of this research. The Consultant </w:t>
      </w:r>
      <w:r w:rsidR="00FF3251" w:rsidRPr="00080AB2">
        <w:t xml:space="preserve">and their mail house partners </w:t>
      </w:r>
      <w:r w:rsidR="00FF3251">
        <w:t xml:space="preserve">maintain </w:t>
      </w:r>
      <w:r w:rsidR="00FF3251" w:rsidRPr="00080AB2">
        <w:t>list</w:t>
      </w:r>
      <w:r w:rsidR="00FF3251">
        <w:t>s</w:t>
      </w:r>
      <w:r w:rsidR="00FF3251" w:rsidRPr="00080AB2">
        <w:t xml:space="preserve"> of most residences in the State (they estimate between 90% and 100% depending on the island).  They will electronically bundle all households within each sub-area and </w:t>
      </w:r>
      <w:r w:rsidR="00FF3251" w:rsidRPr="00080AB2">
        <w:rPr>
          <w:u w:val="single"/>
        </w:rPr>
        <w:t>randomly</w:t>
      </w:r>
      <w:r w:rsidR="00FF3251" w:rsidRPr="00080AB2">
        <w:t xml:space="preserve"> draw enough addresses to satisfy the sample sizes that the research design requires.  </w:t>
      </w:r>
      <w:r w:rsidR="00FF3251">
        <w:t xml:space="preserve">The Consultant will </w:t>
      </w:r>
      <w:r w:rsidR="00FF3251" w:rsidRPr="00080AB2">
        <w:t>draw a pool of addresses assuming a 15% response rate (e.g. to achieve a 450 sample size in Coastal Oahu, 3,000 Coastal Oahu households</w:t>
      </w:r>
      <w:r w:rsidR="00FF3251">
        <w:t xml:space="preserve"> will be randomly drawn to make up the pool for that cell</w:t>
      </w:r>
      <w:r w:rsidR="00FF3251" w:rsidRPr="00080AB2">
        <w:t xml:space="preserve">).    </w:t>
      </w:r>
    </w:p>
    <w:p w14:paraId="31039ADA" w14:textId="77777777" w:rsidR="00FF3251" w:rsidRDefault="00FF3251" w:rsidP="00FF3251"/>
    <w:p w14:paraId="392DB52E" w14:textId="77777777" w:rsidR="00FF3251" w:rsidRPr="00080AB2" w:rsidRDefault="00FF3251" w:rsidP="00FF3251">
      <w:r w:rsidRPr="00080AB2">
        <w:t xml:space="preserve">The samples sizes that the research is designed to achieve are as follows: </w:t>
      </w:r>
    </w:p>
    <w:p w14:paraId="298C7835" w14:textId="77777777" w:rsidR="00FF3251" w:rsidRPr="00080AB2" w:rsidRDefault="00FF3251" w:rsidP="00FF3251">
      <w:pPr>
        <w:pStyle w:val="ListParagraph"/>
        <w:ind w:left="1080"/>
      </w:pPr>
    </w:p>
    <w:tbl>
      <w:tblPr>
        <w:tblStyle w:val="TableGrid"/>
        <w:tblW w:w="0" w:type="auto"/>
        <w:tblInd w:w="538" w:type="dxa"/>
        <w:tblLook w:val="04A0" w:firstRow="1" w:lastRow="0" w:firstColumn="1" w:lastColumn="0" w:noHBand="0" w:noVBand="1"/>
      </w:tblPr>
      <w:tblGrid>
        <w:gridCol w:w="1698"/>
        <w:gridCol w:w="1646"/>
        <w:gridCol w:w="1676"/>
        <w:gridCol w:w="1641"/>
        <w:gridCol w:w="1609"/>
      </w:tblGrid>
      <w:tr w:rsidR="00FF3251" w:rsidRPr="00080AB2" w14:paraId="647D7DE0" w14:textId="77777777" w:rsidTr="00FF3251">
        <w:tc>
          <w:tcPr>
            <w:tcW w:w="1698" w:type="dxa"/>
            <w:shd w:val="clear" w:color="auto" w:fill="D9D9D9" w:themeFill="background1" w:themeFillShade="D9"/>
          </w:tcPr>
          <w:p w14:paraId="0CEC6292" w14:textId="77777777" w:rsidR="00FF3251" w:rsidRPr="00080AB2" w:rsidRDefault="00FF3251" w:rsidP="00913337">
            <w:pPr>
              <w:pStyle w:val="ListParagraph"/>
              <w:ind w:left="0"/>
              <w:jc w:val="center"/>
              <w:rPr>
                <w:b/>
              </w:rPr>
            </w:pPr>
            <w:r w:rsidRPr="00080AB2">
              <w:rPr>
                <w:b/>
              </w:rPr>
              <w:t>County</w:t>
            </w:r>
          </w:p>
        </w:tc>
        <w:tc>
          <w:tcPr>
            <w:tcW w:w="1646" w:type="dxa"/>
            <w:shd w:val="clear" w:color="auto" w:fill="D9D9D9" w:themeFill="background1" w:themeFillShade="D9"/>
          </w:tcPr>
          <w:p w14:paraId="638E424B" w14:textId="77777777" w:rsidR="00FF3251" w:rsidRPr="00080AB2" w:rsidRDefault="00FF3251" w:rsidP="00913337">
            <w:pPr>
              <w:pStyle w:val="ListParagraph"/>
              <w:ind w:left="0"/>
              <w:jc w:val="center"/>
              <w:rPr>
                <w:b/>
              </w:rPr>
            </w:pPr>
            <w:r w:rsidRPr="00080AB2">
              <w:rPr>
                <w:b/>
              </w:rPr>
              <w:t>Island</w:t>
            </w:r>
          </w:p>
        </w:tc>
        <w:tc>
          <w:tcPr>
            <w:tcW w:w="1676" w:type="dxa"/>
            <w:shd w:val="clear" w:color="auto" w:fill="D9D9D9" w:themeFill="background1" w:themeFillShade="D9"/>
          </w:tcPr>
          <w:p w14:paraId="63922D7B" w14:textId="77777777" w:rsidR="00FF3251" w:rsidRPr="00080AB2" w:rsidRDefault="00FF3251" w:rsidP="00913337">
            <w:pPr>
              <w:pStyle w:val="ListParagraph"/>
              <w:ind w:left="0"/>
              <w:jc w:val="center"/>
              <w:rPr>
                <w:b/>
              </w:rPr>
            </w:pPr>
            <w:r w:rsidRPr="00080AB2">
              <w:rPr>
                <w:b/>
              </w:rPr>
              <w:t>Coastal</w:t>
            </w:r>
          </w:p>
        </w:tc>
        <w:tc>
          <w:tcPr>
            <w:tcW w:w="1641" w:type="dxa"/>
            <w:shd w:val="clear" w:color="auto" w:fill="D9D9D9" w:themeFill="background1" w:themeFillShade="D9"/>
          </w:tcPr>
          <w:p w14:paraId="79E7B9A5" w14:textId="77777777" w:rsidR="00FF3251" w:rsidRPr="00080AB2" w:rsidRDefault="00FF3251" w:rsidP="00913337">
            <w:pPr>
              <w:pStyle w:val="ListParagraph"/>
              <w:ind w:left="0"/>
              <w:jc w:val="center"/>
              <w:rPr>
                <w:b/>
              </w:rPr>
            </w:pPr>
            <w:r w:rsidRPr="00080AB2">
              <w:rPr>
                <w:b/>
              </w:rPr>
              <w:t>Inland</w:t>
            </w:r>
          </w:p>
        </w:tc>
        <w:tc>
          <w:tcPr>
            <w:tcW w:w="1609" w:type="dxa"/>
            <w:shd w:val="clear" w:color="auto" w:fill="D9D9D9" w:themeFill="background1" w:themeFillShade="D9"/>
          </w:tcPr>
          <w:p w14:paraId="49C9F9B5" w14:textId="77777777" w:rsidR="00FF3251" w:rsidRPr="00080AB2" w:rsidRDefault="00FF3251" w:rsidP="00913337">
            <w:pPr>
              <w:pStyle w:val="ListParagraph"/>
              <w:ind w:left="0"/>
              <w:jc w:val="center"/>
              <w:rPr>
                <w:b/>
              </w:rPr>
            </w:pPr>
            <w:r w:rsidRPr="00080AB2">
              <w:rPr>
                <w:b/>
              </w:rPr>
              <w:t>Total</w:t>
            </w:r>
          </w:p>
        </w:tc>
      </w:tr>
      <w:tr w:rsidR="00FF3251" w:rsidRPr="00080AB2" w14:paraId="6E9C0EF2" w14:textId="77777777" w:rsidTr="00FF3251">
        <w:tc>
          <w:tcPr>
            <w:tcW w:w="1698" w:type="dxa"/>
            <w:vAlign w:val="bottom"/>
          </w:tcPr>
          <w:p w14:paraId="41D8F443" w14:textId="77777777" w:rsidR="00FF3251" w:rsidRPr="00080AB2" w:rsidRDefault="00FF3251" w:rsidP="00FF3251">
            <w:pPr>
              <w:pStyle w:val="ListParagraph"/>
              <w:ind w:left="0"/>
            </w:pPr>
            <w:r w:rsidRPr="00080AB2">
              <w:t>Honolulu</w:t>
            </w:r>
          </w:p>
        </w:tc>
        <w:tc>
          <w:tcPr>
            <w:tcW w:w="1646" w:type="dxa"/>
            <w:vAlign w:val="bottom"/>
          </w:tcPr>
          <w:p w14:paraId="3B1F90A5" w14:textId="77777777" w:rsidR="00FF3251" w:rsidRPr="00080AB2" w:rsidRDefault="00FF3251" w:rsidP="00FF3251">
            <w:pPr>
              <w:pStyle w:val="ListParagraph"/>
              <w:ind w:left="0"/>
            </w:pPr>
            <w:r w:rsidRPr="00080AB2">
              <w:t>Oahu</w:t>
            </w:r>
          </w:p>
        </w:tc>
        <w:tc>
          <w:tcPr>
            <w:tcW w:w="1676" w:type="dxa"/>
            <w:vAlign w:val="bottom"/>
          </w:tcPr>
          <w:p w14:paraId="44FCEFC5" w14:textId="77777777" w:rsidR="00FF3251" w:rsidRPr="00080AB2" w:rsidRDefault="00FF3251" w:rsidP="00FF3251">
            <w:pPr>
              <w:pStyle w:val="ListParagraph"/>
              <w:ind w:left="0"/>
              <w:jc w:val="center"/>
            </w:pPr>
            <w:r w:rsidRPr="00080AB2">
              <w:t>450</w:t>
            </w:r>
          </w:p>
        </w:tc>
        <w:tc>
          <w:tcPr>
            <w:tcW w:w="1641" w:type="dxa"/>
            <w:vAlign w:val="bottom"/>
          </w:tcPr>
          <w:p w14:paraId="36872CA3" w14:textId="77777777" w:rsidR="00FF3251" w:rsidRPr="00080AB2" w:rsidRDefault="00FF3251" w:rsidP="00FF3251">
            <w:pPr>
              <w:pStyle w:val="ListParagraph"/>
              <w:ind w:left="0"/>
              <w:jc w:val="center"/>
            </w:pPr>
            <w:r w:rsidRPr="00080AB2">
              <w:t>450</w:t>
            </w:r>
          </w:p>
        </w:tc>
        <w:tc>
          <w:tcPr>
            <w:tcW w:w="1609" w:type="dxa"/>
            <w:vAlign w:val="bottom"/>
          </w:tcPr>
          <w:p w14:paraId="7AC83B68" w14:textId="77777777" w:rsidR="00FF3251" w:rsidRPr="00080AB2" w:rsidRDefault="00FF3251" w:rsidP="00FF3251">
            <w:pPr>
              <w:pStyle w:val="ListParagraph"/>
              <w:ind w:left="0"/>
              <w:jc w:val="center"/>
            </w:pPr>
            <w:r w:rsidRPr="00080AB2">
              <w:t>900</w:t>
            </w:r>
          </w:p>
        </w:tc>
      </w:tr>
      <w:tr w:rsidR="00FF3251" w:rsidRPr="00080AB2" w14:paraId="1FBD40F9" w14:textId="77777777" w:rsidTr="00FF3251">
        <w:tc>
          <w:tcPr>
            <w:tcW w:w="1698" w:type="dxa"/>
            <w:vAlign w:val="bottom"/>
          </w:tcPr>
          <w:p w14:paraId="73F65804" w14:textId="77777777" w:rsidR="00FF3251" w:rsidRPr="00080AB2" w:rsidRDefault="00FF3251" w:rsidP="00FF3251">
            <w:pPr>
              <w:pStyle w:val="ListParagraph"/>
              <w:ind w:left="0"/>
            </w:pPr>
            <w:r w:rsidRPr="00080AB2">
              <w:t>Kauai</w:t>
            </w:r>
          </w:p>
        </w:tc>
        <w:tc>
          <w:tcPr>
            <w:tcW w:w="1646" w:type="dxa"/>
            <w:vAlign w:val="bottom"/>
          </w:tcPr>
          <w:p w14:paraId="4C9B8644" w14:textId="77777777" w:rsidR="00FF3251" w:rsidRPr="00080AB2" w:rsidRDefault="00FF3251" w:rsidP="00FF3251">
            <w:pPr>
              <w:pStyle w:val="ListParagraph"/>
              <w:ind w:left="0"/>
            </w:pPr>
            <w:r w:rsidRPr="00080AB2">
              <w:t>Kauai</w:t>
            </w:r>
          </w:p>
        </w:tc>
        <w:tc>
          <w:tcPr>
            <w:tcW w:w="1676" w:type="dxa"/>
            <w:vAlign w:val="bottom"/>
          </w:tcPr>
          <w:p w14:paraId="057ABF70" w14:textId="77777777" w:rsidR="00FF3251" w:rsidRPr="00080AB2" w:rsidRDefault="00FF3251" w:rsidP="00FF3251">
            <w:pPr>
              <w:pStyle w:val="ListParagraph"/>
              <w:ind w:left="0"/>
              <w:jc w:val="center"/>
            </w:pPr>
            <w:r w:rsidRPr="00080AB2">
              <w:t>200</w:t>
            </w:r>
          </w:p>
        </w:tc>
        <w:tc>
          <w:tcPr>
            <w:tcW w:w="1641" w:type="dxa"/>
            <w:vAlign w:val="bottom"/>
          </w:tcPr>
          <w:p w14:paraId="510EF245" w14:textId="77777777" w:rsidR="00FF3251" w:rsidRPr="00080AB2" w:rsidRDefault="00FF3251" w:rsidP="00FF3251">
            <w:pPr>
              <w:pStyle w:val="ListParagraph"/>
              <w:ind w:left="0"/>
              <w:jc w:val="center"/>
            </w:pPr>
            <w:r w:rsidRPr="00080AB2">
              <w:t>200</w:t>
            </w:r>
          </w:p>
        </w:tc>
        <w:tc>
          <w:tcPr>
            <w:tcW w:w="1609" w:type="dxa"/>
            <w:vAlign w:val="bottom"/>
          </w:tcPr>
          <w:p w14:paraId="45711EF4" w14:textId="77777777" w:rsidR="00FF3251" w:rsidRPr="00080AB2" w:rsidRDefault="00FF3251" w:rsidP="00FF3251">
            <w:pPr>
              <w:pStyle w:val="ListParagraph"/>
              <w:ind w:left="0"/>
              <w:jc w:val="center"/>
            </w:pPr>
            <w:r w:rsidRPr="00080AB2">
              <w:t>400</w:t>
            </w:r>
          </w:p>
        </w:tc>
      </w:tr>
      <w:tr w:rsidR="00FF3251" w:rsidRPr="00080AB2" w14:paraId="64D37448" w14:textId="77777777" w:rsidTr="00FF3251">
        <w:tc>
          <w:tcPr>
            <w:tcW w:w="1698" w:type="dxa"/>
            <w:tcBorders>
              <w:bottom w:val="single" w:sz="4" w:space="0" w:color="auto"/>
            </w:tcBorders>
            <w:vAlign w:val="bottom"/>
          </w:tcPr>
          <w:p w14:paraId="3A724B20" w14:textId="77777777" w:rsidR="00FF3251" w:rsidRPr="00080AB2" w:rsidRDefault="00FF3251" w:rsidP="00FF3251">
            <w:pPr>
              <w:pStyle w:val="ListParagraph"/>
              <w:ind w:left="0"/>
            </w:pPr>
            <w:r w:rsidRPr="00080AB2">
              <w:t>Hawaii</w:t>
            </w:r>
          </w:p>
        </w:tc>
        <w:tc>
          <w:tcPr>
            <w:tcW w:w="1646" w:type="dxa"/>
            <w:vAlign w:val="bottom"/>
          </w:tcPr>
          <w:p w14:paraId="4DB8ED15" w14:textId="77777777" w:rsidR="00FF3251" w:rsidRPr="00080AB2" w:rsidRDefault="00FF3251" w:rsidP="00FF3251">
            <w:pPr>
              <w:pStyle w:val="ListParagraph"/>
              <w:ind w:left="0"/>
            </w:pPr>
            <w:r w:rsidRPr="00080AB2">
              <w:t>Hawaii</w:t>
            </w:r>
          </w:p>
        </w:tc>
        <w:tc>
          <w:tcPr>
            <w:tcW w:w="1676" w:type="dxa"/>
            <w:vAlign w:val="bottom"/>
          </w:tcPr>
          <w:p w14:paraId="4A6C0C08" w14:textId="77777777" w:rsidR="00FF3251" w:rsidRPr="00080AB2" w:rsidRDefault="00FF3251" w:rsidP="00FF3251">
            <w:pPr>
              <w:pStyle w:val="ListParagraph"/>
              <w:ind w:left="0"/>
              <w:jc w:val="center"/>
            </w:pPr>
            <w:r w:rsidRPr="00080AB2">
              <w:t>200</w:t>
            </w:r>
          </w:p>
        </w:tc>
        <w:tc>
          <w:tcPr>
            <w:tcW w:w="1641" w:type="dxa"/>
            <w:vAlign w:val="bottom"/>
          </w:tcPr>
          <w:p w14:paraId="2E165ABC" w14:textId="77777777" w:rsidR="00FF3251" w:rsidRPr="00080AB2" w:rsidRDefault="00FF3251" w:rsidP="00FF3251">
            <w:pPr>
              <w:pStyle w:val="ListParagraph"/>
              <w:ind w:left="0"/>
              <w:jc w:val="center"/>
            </w:pPr>
            <w:r w:rsidRPr="00080AB2">
              <w:t>200</w:t>
            </w:r>
          </w:p>
        </w:tc>
        <w:tc>
          <w:tcPr>
            <w:tcW w:w="1609" w:type="dxa"/>
            <w:vAlign w:val="bottom"/>
          </w:tcPr>
          <w:p w14:paraId="2AA3B13E" w14:textId="77777777" w:rsidR="00FF3251" w:rsidRPr="00080AB2" w:rsidRDefault="00FF3251" w:rsidP="00FF3251">
            <w:pPr>
              <w:pStyle w:val="ListParagraph"/>
              <w:ind w:left="0"/>
              <w:jc w:val="center"/>
            </w:pPr>
            <w:r w:rsidRPr="00080AB2">
              <w:t>400</w:t>
            </w:r>
          </w:p>
        </w:tc>
      </w:tr>
      <w:tr w:rsidR="00FF3251" w:rsidRPr="00080AB2" w14:paraId="120EF05B" w14:textId="77777777" w:rsidTr="00FF3251">
        <w:tc>
          <w:tcPr>
            <w:tcW w:w="1698" w:type="dxa"/>
            <w:tcBorders>
              <w:top w:val="single" w:sz="4" w:space="0" w:color="auto"/>
              <w:bottom w:val="nil"/>
            </w:tcBorders>
            <w:vAlign w:val="bottom"/>
          </w:tcPr>
          <w:p w14:paraId="1F20E96A" w14:textId="77777777" w:rsidR="00FF3251" w:rsidRPr="00080AB2" w:rsidRDefault="00FF3251" w:rsidP="00FF3251">
            <w:pPr>
              <w:pStyle w:val="ListParagraph"/>
              <w:ind w:left="0"/>
            </w:pPr>
            <w:r w:rsidRPr="00080AB2">
              <w:t>Maui</w:t>
            </w:r>
          </w:p>
        </w:tc>
        <w:tc>
          <w:tcPr>
            <w:tcW w:w="1646" w:type="dxa"/>
            <w:vAlign w:val="bottom"/>
          </w:tcPr>
          <w:p w14:paraId="4CA759A1" w14:textId="77777777" w:rsidR="00FF3251" w:rsidRPr="00080AB2" w:rsidRDefault="00FF3251" w:rsidP="00FF3251">
            <w:pPr>
              <w:pStyle w:val="ListParagraph"/>
              <w:ind w:left="0"/>
            </w:pPr>
            <w:r w:rsidRPr="00080AB2">
              <w:t>Maui</w:t>
            </w:r>
          </w:p>
        </w:tc>
        <w:tc>
          <w:tcPr>
            <w:tcW w:w="1676" w:type="dxa"/>
            <w:vAlign w:val="bottom"/>
          </w:tcPr>
          <w:p w14:paraId="4B265253" w14:textId="77777777" w:rsidR="00FF3251" w:rsidRPr="00080AB2" w:rsidRDefault="00FF3251" w:rsidP="00FF3251">
            <w:pPr>
              <w:pStyle w:val="ListParagraph"/>
              <w:ind w:left="0"/>
              <w:jc w:val="center"/>
            </w:pPr>
            <w:r w:rsidRPr="00080AB2">
              <w:t>200</w:t>
            </w:r>
          </w:p>
        </w:tc>
        <w:tc>
          <w:tcPr>
            <w:tcW w:w="1641" w:type="dxa"/>
            <w:vAlign w:val="bottom"/>
          </w:tcPr>
          <w:p w14:paraId="18311604" w14:textId="77777777" w:rsidR="00FF3251" w:rsidRPr="00080AB2" w:rsidRDefault="00FF3251" w:rsidP="00FF3251">
            <w:pPr>
              <w:pStyle w:val="ListParagraph"/>
              <w:ind w:left="0"/>
              <w:jc w:val="center"/>
            </w:pPr>
            <w:r w:rsidRPr="00080AB2">
              <w:t>200</w:t>
            </w:r>
          </w:p>
        </w:tc>
        <w:tc>
          <w:tcPr>
            <w:tcW w:w="1609" w:type="dxa"/>
            <w:vAlign w:val="bottom"/>
          </w:tcPr>
          <w:p w14:paraId="2E266574" w14:textId="77777777" w:rsidR="00FF3251" w:rsidRPr="00080AB2" w:rsidRDefault="00FF3251" w:rsidP="00FF3251">
            <w:pPr>
              <w:pStyle w:val="ListParagraph"/>
              <w:ind w:left="0"/>
              <w:jc w:val="center"/>
            </w:pPr>
            <w:r w:rsidRPr="00080AB2">
              <w:t>400</w:t>
            </w:r>
          </w:p>
        </w:tc>
      </w:tr>
      <w:tr w:rsidR="00FF3251" w:rsidRPr="00080AB2" w14:paraId="54E0E3B5" w14:textId="77777777" w:rsidTr="00FF3251">
        <w:tc>
          <w:tcPr>
            <w:tcW w:w="1698" w:type="dxa"/>
            <w:tcBorders>
              <w:top w:val="nil"/>
              <w:bottom w:val="nil"/>
            </w:tcBorders>
            <w:vAlign w:val="bottom"/>
          </w:tcPr>
          <w:p w14:paraId="62278509" w14:textId="77777777" w:rsidR="00FF3251" w:rsidRPr="00080AB2" w:rsidRDefault="00FF3251" w:rsidP="00FF3251">
            <w:pPr>
              <w:pStyle w:val="ListParagraph"/>
              <w:ind w:left="0"/>
            </w:pPr>
          </w:p>
        </w:tc>
        <w:tc>
          <w:tcPr>
            <w:tcW w:w="1646" w:type="dxa"/>
            <w:vAlign w:val="bottom"/>
          </w:tcPr>
          <w:p w14:paraId="21278A08" w14:textId="77777777" w:rsidR="00FF3251" w:rsidRPr="00080AB2" w:rsidRDefault="00FF3251" w:rsidP="00FF3251">
            <w:pPr>
              <w:pStyle w:val="ListParagraph"/>
              <w:ind w:left="0"/>
            </w:pPr>
            <w:r w:rsidRPr="00080AB2">
              <w:t>Molokai</w:t>
            </w:r>
          </w:p>
        </w:tc>
        <w:tc>
          <w:tcPr>
            <w:tcW w:w="1676" w:type="dxa"/>
            <w:vAlign w:val="bottom"/>
          </w:tcPr>
          <w:p w14:paraId="04E70DA2" w14:textId="77777777" w:rsidR="00FF3251" w:rsidRPr="00080AB2" w:rsidRDefault="00FF3251" w:rsidP="00FF3251">
            <w:pPr>
              <w:pStyle w:val="ListParagraph"/>
              <w:ind w:left="0"/>
              <w:jc w:val="center"/>
            </w:pPr>
            <w:r w:rsidRPr="00080AB2">
              <w:t>25</w:t>
            </w:r>
          </w:p>
        </w:tc>
        <w:tc>
          <w:tcPr>
            <w:tcW w:w="1641" w:type="dxa"/>
            <w:vAlign w:val="bottom"/>
          </w:tcPr>
          <w:p w14:paraId="2F02A039" w14:textId="77777777" w:rsidR="00FF3251" w:rsidRPr="00080AB2" w:rsidRDefault="00FF3251" w:rsidP="00FF3251">
            <w:pPr>
              <w:pStyle w:val="ListParagraph"/>
              <w:ind w:left="0"/>
              <w:jc w:val="center"/>
            </w:pPr>
            <w:r w:rsidRPr="00080AB2">
              <w:t>25</w:t>
            </w:r>
          </w:p>
        </w:tc>
        <w:tc>
          <w:tcPr>
            <w:tcW w:w="1609" w:type="dxa"/>
            <w:vAlign w:val="bottom"/>
          </w:tcPr>
          <w:p w14:paraId="12C9702B" w14:textId="77777777" w:rsidR="00FF3251" w:rsidRPr="00080AB2" w:rsidRDefault="00FF3251" w:rsidP="00FF3251">
            <w:pPr>
              <w:pStyle w:val="ListParagraph"/>
              <w:ind w:left="0"/>
              <w:jc w:val="center"/>
            </w:pPr>
            <w:r w:rsidRPr="00080AB2">
              <w:t>50</w:t>
            </w:r>
          </w:p>
        </w:tc>
      </w:tr>
      <w:tr w:rsidR="00FF3251" w:rsidRPr="00080AB2" w14:paraId="7400CFA4" w14:textId="77777777" w:rsidTr="00FF3251">
        <w:tc>
          <w:tcPr>
            <w:tcW w:w="1698" w:type="dxa"/>
            <w:tcBorders>
              <w:top w:val="nil"/>
            </w:tcBorders>
            <w:vAlign w:val="bottom"/>
          </w:tcPr>
          <w:p w14:paraId="528C7889" w14:textId="77777777" w:rsidR="00FF3251" w:rsidRPr="00080AB2" w:rsidRDefault="00FF3251" w:rsidP="00FF3251">
            <w:pPr>
              <w:pStyle w:val="ListParagraph"/>
              <w:ind w:left="0"/>
            </w:pPr>
          </w:p>
        </w:tc>
        <w:tc>
          <w:tcPr>
            <w:tcW w:w="1646" w:type="dxa"/>
            <w:vAlign w:val="bottom"/>
          </w:tcPr>
          <w:p w14:paraId="71F8FB2E" w14:textId="77777777" w:rsidR="00FF3251" w:rsidRPr="00080AB2" w:rsidRDefault="00FF3251" w:rsidP="00FF3251">
            <w:pPr>
              <w:pStyle w:val="ListParagraph"/>
              <w:ind w:left="0"/>
            </w:pPr>
            <w:r w:rsidRPr="00080AB2">
              <w:t>Lanai</w:t>
            </w:r>
          </w:p>
        </w:tc>
        <w:tc>
          <w:tcPr>
            <w:tcW w:w="1676" w:type="dxa"/>
            <w:vAlign w:val="bottom"/>
          </w:tcPr>
          <w:p w14:paraId="77C904A0" w14:textId="77777777" w:rsidR="00FF3251" w:rsidRPr="00080AB2" w:rsidRDefault="00FF3251" w:rsidP="00FF3251">
            <w:pPr>
              <w:pStyle w:val="ListParagraph"/>
              <w:ind w:left="0"/>
              <w:jc w:val="center"/>
            </w:pPr>
            <w:r w:rsidRPr="00080AB2">
              <w:t>10</w:t>
            </w:r>
          </w:p>
        </w:tc>
        <w:tc>
          <w:tcPr>
            <w:tcW w:w="1641" w:type="dxa"/>
            <w:vAlign w:val="bottom"/>
          </w:tcPr>
          <w:p w14:paraId="75C36422" w14:textId="77777777" w:rsidR="00FF3251" w:rsidRPr="00080AB2" w:rsidRDefault="00FF3251" w:rsidP="00FF3251">
            <w:pPr>
              <w:pStyle w:val="ListParagraph"/>
              <w:ind w:left="0"/>
              <w:jc w:val="center"/>
            </w:pPr>
            <w:r w:rsidRPr="00080AB2">
              <w:t>40</w:t>
            </w:r>
          </w:p>
        </w:tc>
        <w:tc>
          <w:tcPr>
            <w:tcW w:w="1609" w:type="dxa"/>
            <w:vAlign w:val="bottom"/>
          </w:tcPr>
          <w:p w14:paraId="63E56FD9" w14:textId="77777777" w:rsidR="00FF3251" w:rsidRPr="00080AB2" w:rsidRDefault="00FF3251" w:rsidP="00FF3251">
            <w:pPr>
              <w:pStyle w:val="ListParagraph"/>
              <w:ind w:left="0"/>
              <w:jc w:val="center"/>
            </w:pPr>
            <w:r w:rsidRPr="00080AB2">
              <w:t>50</w:t>
            </w:r>
          </w:p>
        </w:tc>
      </w:tr>
      <w:tr w:rsidR="00FF3251" w:rsidRPr="00080AB2" w14:paraId="4C4A0E90" w14:textId="77777777" w:rsidTr="00FF3251">
        <w:tc>
          <w:tcPr>
            <w:tcW w:w="1698" w:type="dxa"/>
            <w:vAlign w:val="bottom"/>
          </w:tcPr>
          <w:p w14:paraId="5E2AB16D" w14:textId="77777777" w:rsidR="00FF3251" w:rsidRPr="00080AB2" w:rsidRDefault="00FF3251" w:rsidP="00FF3251">
            <w:pPr>
              <w:pStyle w:val="ListParagraph"/>
              <w:ind w:left="0"/>
              <w:rPr>
                <w:b/>
              </w:rPr>
            </w:pPr>
            <w:r w:rsidRPr="00080AB2">
              <w:rPr>
                <w:b/>
              </w:rPr>
              <w:t>STATE TOTAL</w:t>
            </w:r>
          </w:p>
        </w:tc>
        <w:tc>
          <w:tcPr>
            <w:tcW w:w="1646" w:type="dxa"/>
            <w:vAlign w:val="bottom"/>
          </w:tcPr>
          <w:p w14:paraId="26E57D56" w14:textId="77777777" w:rsidR="00FF3251" w:rsidRPr="00080AB2" w:rsidRDefault="00FF3251" w:rsidP="00FF3251">
            <w:pPr>
              <w:pStyle w:val="ListParagraph"/>
              <w:ind w:left="0"/>
            </w:pPr>
          </w:p>
        </w:tc>
        <w:tc>
          <w:tcPr>
            <w:tcW w:w="1676" w:type="dxa"/>
            <w:vAlign w:val="bottom"/>
          </w:tcPr>
          <w:p w14:paraId="4D0624CF" w14:textId="77777777" w:rsidR="00FF3251" w:rsidRPr="00080AB2" w:rsidRDefault="00FF3251" w:rsidP="00FF3251">
            <w:pPr>
              <w:pStyle w:val="ListParagraph"/>
              <w:ind w:left="0"/>
              <w:jc w:val="center"/>
            </w:pPr>
            <w:r w:rsidRPr="00080AB2">
              <w:t>1,085</w:t>
            </w:r>
          </w:p>
        </w:tc>
        <w:tc>
          <w:tcPr>
            <w:tcW w:w="1641" w:type="dxa"/>
            <w:vAlign w:val="bottom"/>
          </w:tcPr>
          <w:p w14:paraId="7FBEE77F" w14:textId="77777777" w:rsidR="00FF3251" w:rsidRPr="00080AB2" w:rsidRDefault="00FF3251" w:rsidP="00FF3251">
            <w:pPr>
              <w:pStyle w:val="ListParagraph"/>
              <w:ind w:left="0"/>
              <w:jc w:val="center"/>
            </w:pPr>
            <w:r w:rsidRPr="00080AB2">
              <w:t>1,115</w:t>
            </w:r>
          </w:p>
        </w:tc>
        <w:tc>
          <w:tcPr>
            <w:tcW w:w="1609" w:type="dxa"/>
            <w:vAlign w:val="bottom"/>
          </w:tcPr>
          <w:p w14:paraId="59C3EC38" w14:textId="77777777" w:rsidR="00FF3251" w:rsidRPr="00080AB2" w:rsidRDefault="00FF3251" w:rsidP="00FF3251">
            <w:pPr>
              <w:pStyle w:val="ListParagraph"/>
              <w:ind w:left="0"/>
              <w:jc w:val="center"/>
            </w:pPr>
            <w:r w:rsidRPr="00080AB2">
              <w:t>2,200</w:t>
            </w:r>
          </w:p>
        </w:tc>
      </w:tr>
    </w:tbl>
    <w:p w14:paraId="08E60DAD" w14:textId="77777777" w:rsidR="00FF3251" w:rsidRDefault="00FF3251" w:rsidP="00FF3251">
      <w:pPr>
        <w:ind w:left="180"/>
      </w:pPr>
      <w:r w:rsidRPr="00E50448">
        <w:rPr>
          <w:u w:val="single"/>
        </w:rPr>
        <w:lastRenderedPageBreak/>
        <w:t>Administration</w:t>
      </w:r>
      <w:r>
        <w:t xml:space="preserve">. The Consultant will mail the survey package to all households within the mailing pool; the package includes a letter of introduction and explanation, a handout describing different levels of hurricanes, and the survey instrument itself.  After two weeks a reminder postcard will be mailed to all recipients, and after two more weeks a second wave of surveys will be mailed to recipients who have not returned their survey.  The volume of the second wave will depend upon the number of instruments returned at that point.  </w:t>
      </w:r>
      <w:r w:rsidRPr="00080AB2">
        <w:t xml:space="preserve">If, in the off-chance, the required sample sizes are not achieved through two waves of </w:t>
      </w:r>
      <w:r>
        <w:t>mail, the consultant</w:t>
      </w:r>
      <w:r w:rsidRPr="00080AB2">
        <w:t xml:space="preserve"> will follow up with a telephone survey from their Honolulu call center, fielding the same, exact survey till sample size requirements are met.  </w:t>
      </w:r>
    </w:p>
    <w:p w14:paraId="7CA74C6F" w14:textId="77777777" w:rsidR="00FF3251" w:rsidRDefault="00FF3251" w:rsidP="00FF3251">
      <w:pPr>
        <w:ind w:left="180"/>
      </w:pPr>
      <w:r w:rsidRPr="00080AB2">
        <w:t xml:space="preserve"> </w:t>
      </w:r>
    </w:p>
    <w:p w14:paraId="392C2D12" w14:textId="77777777" w:rsidR="00FF3251" w:rsidRPr="00080AB2" w:rsidRDefault="00FF3251" w:rsidP="00FF3251">
      <w:pPr>
        <w:ind w:left="180"/>
      </w:pPr>
      <w:r>
        <w:t xml:space="preserve">The survey instruments will be reviewed for completeness and quality, then scanned into the Consultants’ data base.  The primary software for analysis will be SPSS.  </w:t>
      </w:r>
      <w:r w:rsidRPr="00080AB2">
        <w:t xml:space="preserve">As a result of disproportionate </w:t>
      </w:r>
      <w:r>
        <w:t xml:space="preserve">geographic </w:t>
      </w:r>
      <w:r w:rsidRPr="00080AB2">
        <w:t xml:space="preserve">sampling, the results will be weighted before any analysis takes place.  </w:t>
      </w:r>
    </w:p>
    <w:p w14:paraId="6EC9D0FF" w14:textId="77777777" w:rsidR="00FF3251" w:rsidRPr="00AE750F" w:rsidRDefault="00FF3251" w:rsidP="00FF3251">
      <w:pPr>
        <w:ind w:left="180"/>
      </w:pPr>
    </w:p>
    <w:p w14:paraId="4F63AF16" w14:textId="77777777" w:rsidR="00FF3251" w:rsidRPr="00080AB2" w:rsidRDefault="00FF3251" w:rsidP="00FF3251">
      <w:pPr>
        <w:ind w:left="180"/>
      </w:pPr>
      <w:r>
        <w:rPr>
          <w:u w:val="single"/>
        </w:rPr>
        <w:t>E</w:t>
      </w:r>
      <w:r w:rsidRPr="00080AB2">
        <w:rPr>
          <w:u w:val="single"/>
        </w:rPr>
        <w:t xml:space="preserve">xpected response rate and </w:t>
      </w:r>
      <w:r>
        <w:rPr>
          <w:u w:val="single"/>
        </w:rPr>
        <w:t xml:space="preserve">level of </w:t>
      </w:r>
      <w:r w:rsidRPr="00080AB2">
        <w:rPr>
          <w:u w:val="single"/>
        </w:rPr>
        <w:t>confidence</w:t>
      </w:r>
      <w:r>
        <w:rPr>
          <w:u w:val="single"/>
        </w:rPr>
        <w:t>.</w:t>
      </w:r>
      <w:r w:rsidRPr="00A30C80">
        <w:t xml:space="preserve"> </w:t>
      </w:r>
      <w:r>
        <w:t xml:space="preserve"> The sample</w:t>
      </w:r>
      <w:r w:rsidRPr="00080AB2">
        <w:t xml:space="preserve"> plan assumes a </w:t>
      </w:r>
      <w:r>
        <w:t xml:space="preserve">15 to </w:t>
      </w:r>
      <w:r w:rsidRPr="00080AB2">
        <w:t>20% response rate.  This is consistent with survey</w:t>
      </w:r>
      <w:r>
        <w:t>s</w:t>
      </w:r>
      <w:r w:rsidRPr="00080AB2">
        <w:t xml:space="preserve"> of this nature that </w:t>
      </w:r>
      <w:r>
        <w:t xml:space="preserve">the Consultant has fielded </w:t>
      </w:r>
      <w:r w:rsidRPr="00080AB2">
        <w:t>in the past.  The 2009 mail survey achieved a 21% response rate using the same methodology and a survey of approximately the same length and complexity.</w:t>
      </w:r>
    </w:p>
    <w:p w14:paraId="3E40C0ED" w14:textId="77777777" w:rsidR="00FF3251" w:rsidRPr="00080AB2" w:rsidRDefault="00FF3251" w:rsidP="00FF3251">
      <w:pPr>
        <w:pStyle w:val="ListParagraph"/>
        <w:ind w:left="1080"/>
      </w:pPr>
    </w:p>
    <w:p w14:paraId="55360715" w14:textId="77777777" w:rsidR="00FF3251" w:rsidRPr="00080AB2" w:rsidRDefault="00FF3251" w:rsidP="00FF3251">
      <w:pPr>
        <w:pStyle w:val="ListParagraph"/>
        <w:ind w:left="180"/>
      </w:pPr>
      <w:r w:rsidRPr="00080AB2">
        <w:t>The sampling plan is designed to result in a minimum of 400 household surveys in each County</w:t>
      </w:r>
      <w:r>
        <w:t xml:space="preserve">.  This will </w:t>
      </w:r>
      <w:r w:rsidRPr="00080AB2">
        <w:t xml:space="preserve">yield a maximum 5% sample error at 95% confidence Countywide.  The Statewide totals </w:t>
      </w:r>
      <w:r>
        <w:t xml:space="preserve">will achieve a maximum </w:t>
      </w:r>
      <w:r w:rsidRPr="00080AB2">
        <w:t>2.6% sample error at 95% confidence.  The coastal/inland splits on Oahu wil</w:t>
      </w:r>
      <w:r>
        <w:t xml:space="preserve">l achieve a maximum </w:t>
      </w:r>
      <w:r w:rsidRPr="00080AB2">
        <w:t xml:space="preserve">5% sample error at 95% confidence, but that will not be achieved on the Neighbor Islands.  As such, although their results will be reported, the more accurate coastal/inland splits will be analyzed on the Statewide level, where </w:t>
      </w:r>
      <w:r>
        <w:t>sample error will not exceed 3%</w:t>
      </w:r>
      <w:r w:rsidRPr="00080AB2">
        <w:t xml:space="preserve"> at 95% confidence.</w:t>
      </w:r>
    </w:p>
    <w:p w14:paraId="14BA994F" w14:textId="77777777" w:rsidR="00FF3251" w:rsidRDefault="00FF3251" w:rsidP="00FF3251">
      <w:pPr>
        <w:pStyle w:val="ListParagraph"/>
        <w:ind w:left="1080"/>
      </w:pPr>
    </w:p>
    <w:p w14:paraId="559815A8" w14:textId="77777777" w:rsidR="00FF3251" w:rsidRDefault="00FF3251" w:rsidP="00FF3251">
      <w:pPr>
        <w:pStyle w:val="ListParagraph"/>
        <w:ind w:left="180"/>
      </w:pPr>
      <w:r>
        <w:rPr>
          <w:u w:val="single"/>
        </w:rPr>
        <w:t>N</w:t>
      </w:r>
      <w:r w:rsidRPr="00080AB2">
        <w:rPr>
          <w:u w:val="single"/>
        </w:rPr>
        <w:t xml:space="preserve">on-response </w:t>
      </w:r>
      <w:r>
        <w:rPr>
          <w:u w:val="single"/>
        </w:rPr>
        <w:t>error</w:t>
      </w:r>
      <w:r>
        <w:t xml:space="preserve">.  </w:t>
      </w:r>
      <w:r w:rsidRPr="00080AB2">
        <w:t xml:space="preserve">Researchers are always concerned with non-response error, especially when using mail surveys.  To understand whether any non-response error is evident and to protect against it, </w:t>
      </w:r>
      <w:r>
        <w:t xml:space="preserve">the Consultants have </w:t>
      </w:r>
      <w:r w:rsidRPr="00080AB2">
        <w:t>focus</w:t>
      </w:r>
      <w:r>
        <w:t>ed</w:t>
      </w:r>
      <w:r w:rsidRPr="00080AB2">
        <w:t xml:space="preserve"> on the administration of the survey.  The following steps </w:t>
      </w:r>
      <w:r>
        <w:t xml:space="preserve">are taken </w:t>
      </w:r>
      <w:r w:rsidRPr="00080AB2">
        <w:t xml:space="preserve">on all </w:t>
      </w:r>
      <w:r>
        <w:t>of the Consultant’s</w:t>
      </w:r>
      <w:r w:rsidRPr="00080AB2">
        <w:t xml:space="preserve"> mail-surveys</w:t>
      </w:r>
      <w:r>
        <w:t xml:space="preserve"> of this magnitude</w:t>
      </w:r>
      <w:r w:rsidRPr="00080AB2">
        <w:t>:</w:t>
      </w:r>
    </w:p>
    <w:p w14:paraId="5734328F" w14:textId="77777777" w:rsidR="00991760" w:rsidRPr="00080AB2" w:rsidRDefault="00991760" w:rsidP="00FF3251">
      <w:pPr>
        <w:pStyle w:val="ListParagraph"/>
        <w:ind w:left="180"/>
      </w:pPr>
    </w:p>
    <w:p w14:paraId="4683C372" w14:textId="77777777" w:rsidR="00FF3251" w:rsidRPr="009D0DEA" w:rsidRDefault="00FF3251" w:rsidP="00FF3251">
      <w:pPr>
        <w:pStyle w:val="ListParagraph"/>
        <w:numPr>
          <w:ilvl w:val="0"/>
          <w:numId w:val="26"/>
        </w:numPr>
        <w:ind w:left="630" w:hanging="450"/>
      </w:pPr>
      <w:r w:rsidRPr="009D0DEA">
        <w:t>The instrument is pre-tested extensively, especially with a sample size this large.  This instrument has already gone through pre-test with both professional peers and selected households.  Following the</w:t>
      </w:r>
      <w:r>
        <w:t>ir</w:t>
      </w:r>
      <w:r w:rsidRPr="009D0DEA">
        <w:t xml:space="preserve"> completion of the survey, these pre-tested respondents were interviewed in-person or by phone to ask about the package, principally the survey itself.  Adjustments were made to ease Administration and to ensure validity and reliability.  As a result of the pre-test, the Consultant found that the introduction letter and the format of the questionnaire negate the need for question by question instructions.  They suggest not including it as it adds to the burden of the respondent. </w:t>
      </w:r>
    </w:p>
    <w:p w14:paraId="47EDB817" w14:textId="77777777" w:rsidR="00FF3251" w:rsidRPr="00080AB2" w:rsidRDefault="00FF3251" w:rsidP="00FF3251">
      <w:pPr>
        <w:pStyle w:val="ListParagraph"/>
        <w:numPr>
          <w:ilvl w:val="0"/>
          <w:numId w:val="26"/>
        </w:numPr>
        <w:ind w:left="630" w:hanging="450"/>
      </w:pPr>
      <w:r w:rsidRPr="00080AB2">
        <w:t xml:space="preserve">The sampling will utilize unbiased random procedure of selection, disproportionate only due to geographic differentiation by County and by Inland/Coastal identification.  As the lack of representativeness is the primary problem created by non-response, the size and the randomness of the sample is critical. </w:t>
      </w:r>
    </w:p>
    <w:p w14:paraId="05BC35BB" w14:textId="77777777" w:rsidR="00FF3251" w:rsidRPr="00080AB2" w:rsidRDefault="00FF3251" w:rsidP="00FF3251">
      <w:pPr>
        <w:pStyle w:val="ListParagraph"/>
        <w:numPr>
          <w:ilvl w:val="0"/>
          <w:numId w:val="26"/>
        </w:numPr>
        <w:ind w:left="630" w:hanging="450"/>
      </w:pPr>
      <w:r w:rsidRPr="00080AB2">
        <w:t xml:space="preserve">Demographic questions have been included to ascertain whether the responders are generally representative of the universe.  These include Age, Household Size, Income, Employment Status.  </w:t>
      </w:r>
    </w:p>
    <w:p w14:paraId="20660593" w14:textId="77777777" w:rsidR="00FF3251" w:rsidRPr="00080AB2" w:rsidRDefault="00FF3251" w:rsidP="00FF3251">
      <w:pPr>
        <w:pStyle w:val="ListParagraph"/>
        <w:numPr>
          <w:ilvl w:val="0"/>
          <w:numId w:val="26"/>
        </w:numPr>
        <w:ind w:left="630" w:hanging="450"/>
      </w:pPr>
      <w:r w:rsidRPr="00080AB2">
        <w:t xml:space="preserve">During the response stage, </w:t>
      </w:r>
      <w:r>
        <w:t xml:space="preserve">the Consultant’s </w:t>
      </w:r>
      <w:r w:rsidRPr="00080AB2">
        <w:t xml:space="preserve">analysts will be closely monitoring the completeness of the responses and red-flagging any indications that there is confusion that might result in a high level of non-response.  </w:t>
      </w:r>
    </w:p>
    <w:p w14:paraId="04F0AC8D" w14:textId="77777777" w:rsidR="00FF3251" w:rsidRPr="00080AB2" w:rsidRDefault="00FF3251" w:rsidP="00FF3251">
      <w:pPr>
        <w:pStyle w:val="ListParagraph"/>
        <w:numPr>
          <w:ilvl w:val="0"/>
          <w:numId w:val="26"/>
        </w:numPr>
        <w:ind w:left="630" w:hanging="450"/>
      </w:pPr>
      <w:r w:rsidRPr="00080AB2">
        <w:t>If the targeted response rates are not achieved, the analysts will follow up by telephone with non-responders to ascertain whether there is something amiss in the administration and whether the opinions of non-responders differs significantly from those of the responders.  This can be an expensive step and will only be taken with the clients’ understanding and approval.</w:t>
      </w:r>
    </w:p>
    <w:p w14:paraId="20185007" w14:textId="77777777" w:rsidR="00FF3251" w:rsidRPr="00080AB2" w:rsidRDefault="00FF3251" w:rsidP="00FF3251">
      <w:pPr>
        <w:pStyle w:val="ListParagraph"/>
        <w:ind w:left="1080"/>
      </w:pPr>
    </w:p>
    <w:p w14:paraId="5FC2D5DD" w14:textId="77777777" w:rsidR="00FF3251" w:rsidRPr="00080AB2" w:rsidRDefault="00FF3251" w:rsidP="00991760">
      <w:pPr>
        <w:pStyle w:val="ListParagraph"/>
        <w:ind w:left="0"/>
      </w:pPr>
      <w:r w:rsidRPr="00080AB2">
        <w:t xml:space="preserve">The cure for a finding of significant bias caused by non-response depends on the magnitude of the problem.  It may be as simple as weighting the sample or as serious as re-mailing another survey with more detailed instructions that address the problem.  </w:t>
      </w:r>
    </w:p>
    <w:p w14:paraId="50935766" w14:textId="77777777" w:rsidR="00FF3251" w:rsidRPr="00080AB2" w:rsidRDefault="00FF3251" w:rsidP="00991760">
      <w:pPr>
        <w:pStyle w:val="ListParagraph"/>
        <w:ind w:left="0"/>
      </w:pPr>
    </w:p>
    <w:p w14:paraId="3F8CD546" w14:textId="77777777" w:rsidR="00FF3251" w:rsidRPr="00080AB2" w:rsidRDefault="00FF3251" w:rsidP="00991760">
      <w:pPr>
        <w:pStyle w:val="ListParagraph"/>
        <w:ind w:left="0"/>
      </w:pPr>
      <w:r w:rsidRPr="00FF3251">
        <w:rPr>
          <w:u w:val="single"/>
        </w:rPr>
        <w:t>Reporting</w:t>
      </w:r>
      <w:r w:rsidRPr="00FF3251">
        <w:t xml:space="preserve">.  </w:t>
      </w:r>
      <w:r w:rsidRPr="00080AB2">
        <w:t>The results will be prepared in hard copy and electronic reports.  The specific results on a question by question basis will be summarized with</w:t>
      </w:r>
      <w:r>
        <w:t>in</w:t>
      </w:r>
      <w:r w:rsidRPr="00080AB2">
        <w:t xml:space="preserve"> the body of the report and appended in detailed.  The methodology used and the results achieved will also be summarized in the report and appended in detail. </w:t>
      </w:r>
      <w:r>
        <w:t xml:space="preserve"> The C</w:t>
      </w:r>
      <w:r w:rsidRPr="00080AB2">
        <w:t xml:space="preserve">onsultant will not present a report that does not meet the design guidelines.  </w:t>
      </w:r>
      <w:r>
        <w:t xml:space="preserve">The Consultant is prepared to present the findings to the Clients and to internal working groups.  There are no public presentations included in the contract. </w:t>
      </w:r>
    </w:p>
    <w:p w14:paraId="7E090D5A" w14:textId="77777777" w:rsidR="00FC6997" w:rsidRDefault="00FC6997" w:rsidP="001261BD">
      <w:pPr>
        <w:pStyle w:val="Header"/>
        <w:tabs>
          <w:tab w:val="clear" w:pos="4320"/>
          <w:tab w:val="clear" w:pos="8640"/>
        </w:tabs>
        <w:rPr>
          <w:b/>
        </w:rPr>
      </w:pPr>
    </w:p>
    <w:p w14:paraId="7BEBF888" w14:textId="305B8387" w:rsidR="00CA2650" w:rsidRDefault="008F385D">
      <w:pPr>
        <w:rPr>
          <w:b/>
        </w:rPr>
      </w:pPr>
      <w:r>
        <w:rPr>
          <w:b/>
        </w:rPr>
        <w:t>CERTIFICATION</w:t>
      </w:r>
      <w:r w:rsidR="009C13B9">
        <w:rPr>
          <w:b/>
        </w:rPr>
        <w:t>:</w:t>
      </w:r>
    </w:p>
    <w:p w14:paraId="3FA594A3" w14:textId="6FC145AC" w:rsidR="000660AD" w:rsidRDefault="000660AD" w:rsidP="000660AD">
      <w:r w:rsidRPr="000660AD">
        <w:t>A generic information collection cover</w:t>
      </w:r>
      <w:r>
        <w:t>s</w:t>
      </w:r>
      <w:r w:rsidRPr="000660AD">
        <w:t xml:space="preserve"> collections that are voluntary, low-burdened (based on a consideration of total burden, total respondents, or burden per respondent), and uncontroversial.  If this information collection falls outside the scope of the approved umbrella collection or is otherwise inconsistent with the terms of the approved umbrella collection, your proposed information collection will be returned for additional information or require that the full process be followed, including the 60-Day and 30-Day public notices and comment.  </w:t>
      </w:r>
    </w:p>
    <w:p w14:paraId="649AD1FE" w14:textId="77777777" w:rsidR="000660AD" w:rsidRDefault="000660AD" w:rsidP="000660AD"/>
    <w:p w14:paraId="2276ED71" w14:textId="477FDEAB" w:rsidR="000660AD" w:rsidRPr="000660AD" w:rsidRDefault="000660AD" w:rsidP="000660AD">
      <w:r>
        <w:t>By entering your name below, you agree to the following.</w:t>
      </w:r>
    </w:p>
    <w:p w14:paraId="2F9DAAF9" w14:textId="77777777" w:rsidR="008F385D" w:rsidRDefault="008F385D">
      <w:pPr>
        <w:rPr>
          <w:sz w:val="16"/>
          <w:szCs w:val="16"/>
        </w:rPr>
      </w:pPr>
    </w:p>
    <w:p w14:paraId="4E440043" w14:textId="77777777" w:rsidR="000660AD" w:rsidRDefault="000660AD" w:rsidP="008101A5"/>
    <w:p w14:paraId="74502FB1" w14:textId="41D1A7E9" w:rsidR="008101A5" w:rsidRPr="009C13B9" w:rsidRDefault="008F385D" w:rsidP="008101A5">
      <w:r>
        <w:t>I CERTIFY TO THE FOLLOWING:</w:t>
      </w:r>
    </w:p>
    <w:p w14:paraId="43429B3A" w14:textId="232375A1" w:rsidR="008101A5" w:rsidRDefault="008F385D" w:rsidP="008101A5">
      <w:pPr>
        <w:pStyle w:val="ListParagraph"/>
        <w:numPr>
          <w:ilvl w:val="0"/>
          <w:numId w:val="14"/>
        </w:numPr>
      </w:pPr>
      <w:r>
        <w:t>T</w:t>
      </w:r>
      <w:r w:rsidR="008101A5">
        <w:t>he collection is voluntary.</w:t>
      </w:r>
      <w:r w:rsidR="008101A5" w:rsidRPr="00C14CC4">
        <w:t xml:space="preserve"> </w:t>
      </w:r>
    </w:p>
    <w:p w14:paraId="6D49D8B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8220BB6" w14:textId="568779B1" w:rsidR="008101A5" w:rsidRDefault="008101A5" w:rsidP="008F385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r>
        <w:tab/>
      </w:r>
    </w:p>
    <w:p w14:paraId="7D2841A5"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C6B52C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0C543FB1" w14:textId="77777777" w:rsidR="009C13B9" w:rsidRDefault="009C13B9" w:rsidP="009C13B9"/>
    <w:p w14:paraId="171C2C24" w14:textId="3F3142DD" w:rsidR="00BF33DC" w:rsidRPr="00FF3251" w:rsidRDefault="009C13B9" w:rsidP="002A0D44">
      <w:pPr>
        <w:ind w:left="1440" w:hanging="1440"/>
        <w:rPr>
          <w:rFonts w:ascii="Brush Script MT" w:hAnsi="Brush Script MT"/>
          <w:i/>
        </w:rPr>
      </w:pPr>
      <w:r>
        <w:t>Name</w:t>
      </w:r>
      <w:r w:rsidR="00B5381B">
        <w:t>:</w:t>
      </w:r>
      <w:r w:rsidR="005D7C41">
        <w:t xml:space="preserve"> </w:t>
      </w:r>
      <w:r w:rsidR="00FF3251" w:rsidRPr="00FF3251">
        <w:rPr>
          <w:rFonts w:ascii="Brush Script MT" w:hAnsi="Brush Script MT"/>
          <w:i/>
        </w:rPr>
        <w:t>Milton Yoshimoto</w:t>
      </w:r>
    </w:p>
    <w:p w14:paraId="2ED61574" w14:textId="77777777" w:rsidR="009C13B9" w:rsidRDefault="009C13B9" w:rsidP="009C13B9">
      <w:pPr>
        <w:pStyle w:val="ListParagraph"/>
        <w:ind w:left="360"/>
      </w:pPr>
    </w:p>
    <w:p w14:paraId="7933296E" w14:textId="675FC0C0" w:rsidR="0067089C" w:rsidRDefault="0067089C" w:rsidP="0067089C"/>
    <w:p w14:paraId="65C15781" w14:textId="77777777" w:rsidR="00991760" w:rsidRDefault="00991760" w:rsidP="0067089C"/>
    <w:p w14:paraId="4546D1A5" w14:textId="77777777" w:rsidR="00991760" w:rsidRDefault="00991760" w:rsidP="0067089C"/>
    <w:p w14:paraId="48E5825B" w14:textId="77777777" w:rsidR="00991760" w:rsidRDefault="00991760" w:rsidP="0067089C"/>
    <w:p w14:paraId="27C6A79D" w14:textId="77777777" w:rsidR="00991760" w:rsidRDefault="00991760" w:rsidP="0067089C"/>
    <w:p w14:paraId="1094CB7F" w14:textId="77777777" w:rsidR="005E714A" w:rsidRDefault="005E714A" w:rsidP="00C86E91">
      <w:pPr>
        <w:rPr>
          <w:i/>
        </w:rPr>
      </w:pPr>
      <w:r>
        <w:rPr>
          <w:b/>
        </w:rPr>
        <w:t>BURDEN HOUR</w:t>
      </w:r>
      <w:r w:rsidR="00441434">
        <w:rPr>
          <w:b/>
        </w:rPr>
        <w:t>S</w:t>
      </w:r>
      <w:r>
        <w:t xml:space="preserve"> </w:t>
      </w:r>
    </w:p>
    <w:p w14:paraId="374F8E8B"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6165C1C3" w14:textId="77777777" w:rsidTr="002A0D44">
        <w:trPr>
          <w:trHeight w:val="274"/>
        </w:trPr>
        <w:tc>
          <w:tcPr>
            <w:tcW w:w="3505" w:type="dxa"/>
          </w:tcPr>
          <w:p w14:paraId="021C484F" w14:textId="77777777" w:rsidR="006832D9" w:rsidRPr="00F6240A" w:rsidRDefault="00E40B50" w:rsidP="00C8488C">
            <w:pPr>
              <w:rPr>
                <w:b/>
              </w:rPr>
            </w:pPr>
            <w:r>
              <w:rPr>
                <w:b/>
              </w:rPr>
              <w:t>Category of Respondent</w:t>
            </w:r>
            <w:r w:rsidR="00EF2095">
              <w:rPr>
                <w:b/>
              </w:rPr>
              <w:t xml:space="preserve"> </w:t>
            </w:r>
          </w:p>
        </w:tc>
        <w:tc>
          <w:tcPr>
            <w:tcW w:w="2250" w:type="dxa"/>
          </w:tcPr>
          <w:p w14:paraId="120EC210"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5B379E9A" w14:textId="77777777" w:rsidR="006832D9" w:rsidRPr="00F6240A" w:rsidRDefault="006832D9" w:rsidP="00843796">
            <w:pPr>
              <w:rPr>
                <w:b/>
              </w:rPr>
            </w:pPr>
            <w:r w:rsidRPr="00F6240A">
              <w:rPr>
                <w:b/>
              </w:rPr>
              <w:t>Participation Time</w:t>
            </w:r>
          </w:p>
        </w:tc>
        <w:tc>
          <w:tcPr>
            <w:tcW w:w="1746" w:type="dxa"/>
          </w:tcPr>
          <w:p w14:paraId="7FCC7307" w14:textId="77777777" w:rsidR="006832D9" w:rsidRPr="00F6240A" w:rsidRDefault="006832D9" w:rsidP="00843796">
            <w:pPr>
              <w:rPr>
                <w:b/>
              </w:rPr>
            </w:pPr>
            <w:r w:rsidRPr="00F6240A">
              <w:rPr>
                <w:b/>
              </w:rPr>
              <w:t>Burden</w:t>
            </w:r>
            <w:r w:rsidR="002A0D44">
              <w:rPr>
                <w:b/>
              </w:rPr>
              <w:t xml:space="preserve"> Hours</w:t>
            </w:r>
          </w:p>
        </w:tc>
      </w:tr>
      <w:tr w:rsidR="00EF2095" w14:paraId="61B55EA6" w14:textId="77777777" w:rsidTr="002A0D44">
        <w:trPr>
          <w:trHeight w:val="274"/>
        </w:trPr>
        <w:tc>
          <w:tcPr>
            <w:tcW w:w="3505" w:type="dxa"/>
          </w:tcPr>
          <w:p w14:paraId="17C7372D" w14:textId="3C610D19" w:rsidR="006832D9" w:rsidRDefault="00FF3251" w:rsidP="00843796">
            <w:r>
              <w:t>Individuals &amp; Households</w:t>
            </w:r>
          </w:p>
        </w:tc>
        <w:tc>
          <w:tcPr>
            <w:tcW w:w="2250" w:type="dxa"/>
          </w:tcPr>
          <w:p w14:paraId="509C6AF3" w14:textId="72405630" w:rsidR="006832D9" w:rsidRPr="00FF3251" w:rsidRDefault="00FF3251" w:rsidP="00FF3251">
            <w:pPr>
              <w:jc w:val="center"/>
            </w:pPr>
            <w:r w:rsidRPr="00FF3251">
              <w:t>2200</w:t>
            </w:r>
          </w:p>
        </w:tc>
        <w:tc>
          <w:tcPr>
            <w:tcW w:w="2160" w:type="dxa"/>
          </w:tcPr>
          <w:p w14:paraId="1BBFCF8F" w14:textId="29377509" w:rsidR="006832D9" w:rsidRPr="00FF3251" w:rsidRDefault="00FF3251" w:rsidP="00FF3251">
            <w:pPr>
              <w:jc w:val="center"/>
            </w:pPr>
            <w:r w:rsidRPr="00FF3251">
              <w:t>30</w:t>
            </w:r>
          </w:p>
        </w:tc>
        <w:tc>
          <w:tcPr>
            <w:tcW w:w="1746" w:type="dxa"/>
          </w:tcPr>
          <w:p w14:paraId="288A6E47" w14:textId="4F91AF03" w:rsidR="006832D9" w:rsidRPr="00FF3251" w:rsidRDefault="00FF3251" w:rsidP="00FF3251">
            <w:pPr>
              <w:jc w:val="center"/>
            </w:pPr>
            <w:r w:rsidRPr="00FF3251">
              <w:t>1100</w:t>
            </w:r>
          </w:p>
        </w:tc>
      </w:tr>
      <w:tr w:rsidR="00EF2095" w14:paraId="1D85CC2E" w14:textId="77777777" w:rsidTr="002A0D44">
        <w:trPr>
          <w:trHeight w:val="274"/>
        </w:trPr>
        <w:tc>
          <w:tcPr>
            <w:tcW w:w="3505" w:type="dxa"/>
          </w:tcPr>
          <w:p w14:paraId="05FD03BD" w14:textId="77777777" w:rsidR="006832D9" w:rsidRDefault="006832D9" w:rsidP="00843796"/>
        </w:tc>
        <w:tc>
          <w:tcPr>
            <w:tcW w:w="2250" w:type="dxa"/>
          </w:tcPr>
          <w:p w14:paraId="56851FAF" w14:textId="77777777" w:rsidR="006832D9" w:rsidRPr="00FF3251" w:rsidRDefault="006832D9" w:rsidP="00FF3251">
            <w:pPr>
              <w:jc w:val="center"/>
              <w:rPr>
                <w:b/>
              </w:rPr>
            </w:pPr>
          </w:p>
        </w:tc>
        <w:tc>
          <w:tcPr>
            <w:tcW w:w="2160" w:type="dxa"/>
          </w:tcPr>
          <w:p w14:paraId="4C1D54FD" w14:textId="77777777" w:rsidR="006832D9" w:rsidRPr="00FF3251" w:rsidRDefault="006832D9" w:rsidP="00FF3251">
            <w:pPr>
              <w:jc w:val="center"/>
              <w:rPr>
                <w:b/>
              </w:rPr>
            </w:pPr>
          </w:p>
        </w:tc>
        <w:tc>
          <w:tcPr>
            <w:tcW w:w="1746" w:type="dxa"/>
          </w:tcPr>
          <w:p w14:paraId="1C5254A4" w14:textId="77777777" w:rsidR="006832D9" w:rsidRPr="00FF3251" w:rsidRDefault="006832D9" w:rsidP="00FF3251">
            <w:pPr>
              <w:jc w:val="center"/>
              <w:rPr>
                <w:b/>
              </w:rPr>
            </w:pPr>
          </w:p>
        </w:tc>
      </w:tr>
      <w:tr w:rsidR="00EF2095" w14:paraId="42D92490" w14:textId="77777777" w:rsidTr="002A0D44">
        <w:trPr>
          <w:trHeight w:val="289"/>
        </w:trPr>
        <w:tc>
          <w:tcPr>
            <w:tcW w:w="3505" w:type="dxa"/>
          </w:tcPr>
          <w:p w14:paraId="30F6C7D2" w14:textId="35F92609" w:rsidR="006832D9" w:rsidRPr="00F6240A" w:rsidRDefault="006832D9" w:rsidP="00843796">
            <w:pPr>
              <w:rPr>
                <w:b/>
              </w:rPr>
            </w:pPr>
            <w:r>
              <w:rPr>
                <w:b/>
              </w:rPr>
              <w:t>Total</w:t>
            </w:r>
          </w:p>
        </w:tc>
        <w:tc>
          <w:tcPr>
            <w:tcW w:w="2250" w:type="dxa"/>
          </w:tcPr>
          <w:p w14:paraId="065C853B" w14:textId="22F3F0A4" w:rsidR="006832D9" w:rsidRPr="00FF3251" w:rsidRDefault="00FF3251" w:rsidP="00FF3251">
            <w:pPr>
              <w:jc w:val="center"/>
              <w:rPr>
                <w:b/>
              </w:rPr>
            </w:pPr>
            <w:r w:rsidRPr="00FF3251">
              <w:rPr>
                <w:b/>
              </w:rPr>
              <w:t>2200</w:t>
            </w:r>
          </w:p>
        </w:tc>
        <w:tc>
          <w:tcPr>
            <w:tcW w:w="2160" w:type="dxa"/>
          </w:tcPr>
          <w:p w14:paraId="266FD5EB" w14:textId="0363824C" w:rsidR="006832D9" w:rsidRPr="00FF3251" w:rsidRDefault="00FF3251" w:rsidP="00FF3251">
            <w:pPr>
              <w:jc w:val="center"/>
              <w:rPr>
                <w:b/>
              </w:rPr>
            </w:pPr>
            <w:r w:rsidRPr="00FF3251">
              <w:rPr>
                <w:b/>
              </w:rPr>
              <w:t>30</w:t>
            </w:r>
          </w:p>
        </w:tc>
        <w:tc>
          <w:tcPr>
            <w:tcW w:w="1746" w:type="dxa"/>
          </w:tcPr>
          <w:p w14:paraId="2B6E55AA" w14:textId="1B8A525D" w:rsidR="006832D9" w:rsidRPr="00FF3251" w:rsidRDefault="00FF3251" w:rsidP="00FF3251">
            <w:pPr>
              <w:jc w:val="center"/>
              <w:rPr>
                <w:b/>
              </w:rPr>
            </w:pPr>
            <w:r w:rsidRPr="00FF3251">
              <w:rPr>
                <w:b/>
              </w:rPr>
              <w:t>1100</w:t>
            </w:r>
          </w:p>
        </w:tc>
      </w:tr>
    </w:tbl>
    <w:p w14:paraId="1F5C7EEF" w14:textId="77777777" w:rsidR="00F3170F" w:rsidRDefault="00F3170F" w:rsidP="00F3170F"/>
    <w:p w14:paraId="04D09B7E" w14:textId="77777777" w:rsidR="008F385D" w:rsidRDefault="008F385D" w:rsidP="00A00810">
      <w:pPr>
        <w:rPr>
          <w:b/>
        </w:rPr>
      </w:pPr>
    </w:p>
    <w:p w14:paraId="63E401D7" w14:textId="71B39FC7" w:rsidR="00882C77" w:rsidRPr="00FF3251" w:rsidRDefault="001C39F7">
      <w:r>
        <w:rPr>
          <w:b/>
        </w:rPr>
        <w:t xml:space="preserve">FEDERAL </w:t>
      </w:r>
      <w:r w:rsidR="009F5923">
        <w:rPr>
          <w:b/>
        </w:rPr>
        <w:t>COST</w:t>
      </w:r>
      <w:r w:rsidR="00F06866">
        <w:rPr>
          <w:b/>
        </w:rPr>
        <w:t>:</w:t>
      </w:r>
      <w:r w:rsidR="00895229">
        <w:rPr>
          <w:b/>
        </w:rPr>
        <w:t xml:space="preserve"> </w:t>
      </w:r>
      <w:r w:rsidR="00C86E91">
        <w:rPr>
          <w:b/>
        </w:rPr>
        <w:t xml:space="preserve"> </w:t>
      </w:r>
      <w:r w:rsidR="00FF3251" w:rsidRPr="00FF3251">
        <w:t>$129,190</w:t>
      </w:r>
    </w:p>
    <w:p w14:paraId="714EA8EE" w14:textId="77777777" w:rsidR="00FF3251" w:rsidRPr="00FF3251" w:rsidRDefault="00FF3251"/>
    <w:p w14:paraId="2FCE68FC" w14:textId="77777777" w:rsidR="00991760" w:rsidRDefault="00882C77" w:rsidP="00991760">
      <w:r w:rsidRPr="00882C77">
        <w:rPr>
          <w:b/>
        </w:rPr>
        <w:t>ADDITIONAL INFORMATION:</w:t>
      </w:r>
      <w:r w:rsidR="00991760">
        <w:rPr>
          <w:b/>
        </w:rPr>
        <w:t xml:space="preserve">  </w:t>
      </w:r>
      <w:r w:rsidR="00991760" w:rsidRPr="00740A2A">
        <w:t xml:space="preserve">In 2009-2010, the US Army Corps of Engineers (USACE) commissioned multi-phased research to better understand the behavior of Hawaii’s de facto population when faced with imminent danger from either a hurricane or a tsunami.  The data collected through all phases of that effort were used to help calibrate a Mass Management System (MMS) that was being developed under the USACE Hurricane Evacuation Studies Program (HES).  In addition, it </w:t>
      </w:r>
      <w:r w:rsidR="00991760">
        <w:t>was used by the State of Hawaii</w:t>
      </w:r>
      <w:r w:rsidR="00991760" w:rsidRPr="00740A2A">
        <w:t xml:space="preserve"> and the four Counties to re-examine publ</w:t>
      </w:r>
      <w:r w:rsidR="00991760">
        <w:t>ic policy concerning and</w:t>
      </w:r>
      <w:r w:rsidR="00991760" w:rsidRPr="00740A2A">
        <w:t xml:space="preserve"> supplement</w:t>
      </w:r>
      <w:r w:rsidR="00991760">
        <w:t>ing</w:t>
      </w:r>
      <w:r w:rsidR="00991760" w:rsidRPr="00740A2A">
        <w:t xml:space="preserve"> their on-going emergency management planning.  </w:t>
      </w:r>
    </w:p>
    <w:p w14:paraId="1C9E59D9" w14:textId="77777777" w:rsidR="00991760" w:rsidRPr="00740A2A" w:rsidRDefault="00991760" w:rsidP="00991760"/>
    <w:p w14:paraId="01E9AC8F" w14:textId="77777777" w:rsidR="00991760" w:rsidRDefault="00991760" w:rsidP="00991760">
      <w:pPr>
        <w:ind w:left="360"/>
      </w:pPr>
      <w:r>
        <w:t>Among the more</w:t>
      </w:r>
      <w:r w:rsidRPr="00740A2A">
        <w:t xml:space="preserve"> important supplemental findings </w:t>
      </w:r>
      <w:r>
        <w:t xml:space="preserve">from the 2009 surveys </w:t>
      </w:r>
      <w:r w:rsidRPr="00740A2A">
        <w:t>were the following:</w:t>
      </w:r>
    </w:p>
    <w:p w14:paraId="7C8D8B70" w14:textId="77777777" w:rsidR="00991760" w:rsidRPr="00740A2A" w:rsidRDefault="00991760" w:rsidP="00991760">
      <w:pPr>
        <w:ind w:left="360"/>
      </w:pPr>
    </w:p>
    <w:p w14:paraId="5D2B4F4F" w14:textId="77777777" w:rsidR="00991760" w:rsidRPr="00740A2A" w:rsidRDefault="00991760" w:rsidP="00991760">
      <w:pPr>
        <w:pStyle w:val="ListParagraph"/>
        <w:numPr>
          <w:ilvl w:val="0"/>
          <w:numId w:val="24"/>
        </w:numPr>
      </w:pPr>
      <w:r w:rsidRPr="00740A2A">
        <w:t>In anticipation of an incoming hurricane, and upon recommendation of public officials to evacuate, 37% of the households in the State would evacuate to a public shelter.  This is in excess of the</w:t>
      </w:r>
      <w:r>
        <w:t xml:space="preserve"> capacity of the existing shelters</w:t>
      </w:r>
      <w:r w:rsidRPr="00740A2A">
        <w:t xml:space="preserve"> to accommodate and in excess of the State/Counties resources to construct.  Further, this number does not include the tourists who cannot be accommodated within hotel operations.</w:t>
      </w:r>
    </w:p>
    <w:p w14:paraId="618E71C6" w14:textId="77777777" w:rsidR="00991760" w:rsidRPr="00740A2A" w:rsidRDefault="00991760" w:rsidP="00991760">
      <w:pPr>
        <w:pStyle w:val="ListParagraph"/>
        <w:ind w:left="1080"/>
      </w:pPr>
    </w:p>
    <w:p w14:paraId="30AF9E3C" w14:textId="77777777" w:rsidR="00991760" w:rsidRPr="00740A2A" w:rsidRDefault="00991760" w:rsidP="00991760">
      <w:pPr>
        <w:pStyle w:val="ListParagraph"/>
        <w:numPr>
          <w:ilvl w:val="0"/>
          <w:numId w:val="24"/>
        </w:numPr>
      </w:pPr>
      <w:r w:rsidRPr="00740A2A">
        <w:t>Nearly half the households in the State have pets and many pet owners will not evacuate without their pets.  Pet friendly shelters were in very short supply at the time of the survey</w:t>
      </w:r>
      <w:r>
        <w:t>s</w:t>
      </w:r>
      <w:r w:rsidRPr="00740A2A">
        <w:t>.</w:t>
      </w:r>
    </w:p>
    <w:p w14:paraId="5C562D73" w14:textId="77777777" w:rsidR="00991760" w:rsidRPr="00740A2A" w:rsidRDefault="00991760" w:rsidP="00991760">
      <w:pPr>
        <w:pStyle w:val="ListParagraph"/>
        <w:ind w:left="1080"/>
      </w:pPr>
    </w:p>
    <w:p w14:paraId="711A83D2" w14:textId="77777777" w:rsidR="00991760" w:rsidRPr="00740A2A" w:rsidRDefault="00991760" w:rsidP="00991760">
      <w:pPr>
        <w:pStyle w:val="ListParagraph"/>
        <w:numPr>
          <w:ilvl w:val="0"/>
          <w:numId w:val="24"/>
        </w:numPr>
      </w:pPr>
      <w:r w:rsidRPr="00740A2A">
        <w:t xml:space="preserve">Although well informed, the vast majority of households were unprepared for a hurricane at any level.  There was no sense of urgency, nor a realistic understanding of the level of damage a hurricane can cause.  Access was available, but the message was not coming through.  </w:t>
      </w:r>
    </w:p>
    <w:p w14:paraId="213FF079" w14:textId="77777777" w:rsidR="00991760" w:rsidRPr="00740A2A" w:rsidRDefault="00991760" w:rsidP="00991760">
      <w:pPr>
        <w:pStyle w:val="ListParagraph"/>
        <w:ind w:left="1080"/>
      </w:pPr>
    </w:p>
    <w:p w14:paraId="2CF91C10" w14:textId="77777777" w:rsidR="00991760" w:rsidRPr="00740A2A" w:rsidRDefault="00991760" w:rsidP="00991760">
      <w:pPr>
        <w:pStyle w:val="ListParagraph"/>
        <w:numPr>
          <w:ilvl w:val="0"/>
          <w:numId w:val="24"/>
        </w:numPr>
      </w:pPr>
      <w:r w:rsidRPr="00740A2A">
        <w:t xml:space="preserve">Hurricane preparedness and evacuation rates were highly determined by recommendations from public emergency managers.  They enjoyed high esteem and were followed with few exceptions. </w:t>
      </w:r>
    </w:p>
    <w:p w14:paraId="6BB65DF0" w14:textId="77777777" w:rsidR="00991760" w:rsidRPr="00740A2A" w:rsidRDefault="00991760" w:rsidP="00991760">
      <w:pPr>
        <w:pStyle w:val="ListParagraph"/>
      </w:pPr>
    </w:p>
    <w:p w14:paraId="2244BC51" w14:textId="77777777" w:rsidR="00991760" w:rsidRDefault="00991760" w:rsidP="00882C77">
      <w:pPr>
        <w:rPr>
          <w:b/>
        </w:rPr>
      </w:pPr>
    </w:p>
    <w:p w14:paraId="51E9E034" w14:textId="5D2FF905" w:rsidR="008F385D" w:rsidRDefault="008F385D" w:rsidP="00882C77">
      <w:pPr>
        <w:rPr>
          <w:b/>
        </w:rPr>
      </w:pPr>
      <w:r>
        <w:rPr>
          <w:b/>
        </w:rPr>
        <w:t>Publication of Results:</w:t>
      </w:r>
    </w:p>
    <w:p w14:paraId="75A7278A" w14:textId="5B8CDF95" w:rsidR="000660AD" w:rsidRDefault="000660AD" w:rsidP="000660AD">
      <w:r w:rsidRPr="008F385D">
        <w:t xml:space="preserve">Will the results be published? </w:t>
      </w:r>
      <w:r>
        <w:t xml:space="preserve"> </w:t>
      </w:r>
      <w:r w:rsidR="00FF3251">
        <w:t>No</w:t>
      </w:r>
    </w:p>
    <w:p w14:paraId="28A4D79D" w14:textId="77777777" w:rsidR="000660AD" w:rsidRPr="008F385D" w:rsidRDefault="000660AD" w:rsidP="000660AD"/>
    <w:p w14:paraId="41F941FF" w14:textId="77777777" w:rsidR="00991760" w:rsidRDefault="00991760" w:rsidP="00882C77">
      <w:pPr>
        <w:rPr>
          <w:b/>
        </w:rPr>
      </w:pPr>
    </w:p>
    <w:p w14:paraId="499282C3" w14:textId="77777777" w:rsidR="00882C77" w:rsidRPr="00C86E91" w:rsidRDefault="00882C77" w:rsidP="00882C77">
      <w:pPr>
        <w:rPr>
          <w:b/>
        </w:rPr>
      </w:pPr>
      <w:r w:rsidRPr="00C86E91">
        <w:rPr>
          <w:b/>
        </w:rPr>
        <w:t>Personally Identifiable Information:</w:t>
      </w:r>
    </w:p>
    <w:p w14:paraId="14AF5B25" w14:textId="0C9CA93D" w:rsidR="00882C77" w:rsidRDefault="00882C77" w:rsidP="00882C77">
      <w:pPr>
        <w:pStyle w:val="ListParagraph"/>
        <w:numPr>
          <w:ilvl w:val="0"/>
          <w:numId w:val="18"/>
        </w:numPr>
      </w:pPr>
      <w:r>
        <w:t xml:space="preserve">Is personally identifiable information (PII) collected?  </w:t>
      </w:r>
      <w:r w:rsidR="00FF3251" w:rsidRPr="00FF3251">
        <w:rPr>
          <w:b/>
        </w:rPr>
        <w:t>No</w:t>
      </w:r>
      <w:r w:rsidRPr="00FF3251">
        <w:rPr>
          <w:b/>
        </w:rPr>
        <w:t xml:space="preserve"> </w:t>
      </w:r>
    </w:p>
    <w:p w14:paraId="264847ED" w14:textId="675494D1" w:rsidR="00882C77" w:rsidRDefault="00096F98" w:rsidP="00882C77">
      <w:pPr>
        <w:pStyle w:val="ListParagraph"/>
        <w:numPr>
          <w:ilvl w:val="0"/>
          <w:numId w:val="18"/>
        </w:numPr>
      </w:pPr>
      <w:r>
        <w:t>If PII is collected</w:t>
      </w:r>
      <w:r w:rsidR="00882C77">
        <w:t>,</w:t>
      </w:r>
      <w:r>
        <w:t xml:space="preserve"> </w:t>
      </w:r>
      <w:r w:rsidR="00882C77">
        <w:t xml:space="preserve">is the information that will be collected included in records that are subject to the Privacy Act of 1974?   </w:t>
      </w:r>
      <w:r w:rsidR="00FF3251" w:rsidRPr="00FF3251">
        <w:rPr>
          <w:b/>
        </w:rPr>
        <w:t>N/A</w:t>
      </w:r>
      <w:r w:rsidR="00882C77">
        <w:t xml:space="preserve">   </w:t>
      </w:r>
    </w:p>
    <w:p w14:paraId="3DFC0C64" w14:textId="0F955D95" w:rsidR="00882C77" w:rsidRDefault="00882C77" w:rsidP="00882C77">
      <w:pPr>
        <w:pStyle w:val="ListParagraph"/>
        <w:numPr>
          <w:ilvl w:val="0"/>
          <w:numId w:val="18"/>
        </w:numPr>
      </w:pPr>
      <w:r>
        <w:t xml:space="preserve">If Applicable, has a System or Records Notice been published?  </w:t>
      </w:r>
      <w:r w:rsidR="00FF3251" w:rsidRPr="00FF3251">
        <w:rPr>
          <w:b/>
        </w:rPr>
        <w:t>N/A</w:t>
      </w:r>
    </w:p>
    <w:p w14:paraId="09742223" w14:textId="77777777" w:rsidR="00882C77" w:rsidRDefault="00882C77" w:rsidP="00882C77">
      <w:pPr>
        <w:pStyle w:val="ListParagraph"/>
        <w:ind w:left="0"/>
        <w:rPr>
          <w:b/>
        </w:rPr>
      </w:pPr>
    </w:p>
    <w:p w14:paraId="56F06CE3" w14:textId="77777777" w:rsidR="000660AD" w:rsidRDefault="000660AD" w:rsidP="00882C77">
      <w:pPr>
        <w:pStyle w:val="ListParagraph"/>
        <w:ind w:left="0"/>
        <w:rPr>
          <w:b/>
        </w:rPr>
      </w:pPr>
    </w:p>
    <w:p w14:paraId="474E48F8" w14:textId="77777777" w:rsidR="00882C77" w:rsidRPr="00C86E91" w:rsidRDefault="00882C77" w:rsidP="00882C77">
      <w:pPr>
        <w:pStyle w:val="ListParagraph"/>
        <w:ind w:left="0"/>
        <w:rPr>
          <w:b/>
        </w:rPr>
      </w:pPr>
      <w:r>
        <w:rPr>
          <w:b/>
        </w:rPr>
        <w:t>Gifts or Payments:</w:t>
      </w:r>
    </w:p>
    <w:p w14:paraId="21522B09" w14:textId="7B78D3A9" w:rsidR="00882C77" w:rsidRPr="00FF3251" w:rsidRDefault="00882C77" w:rsidP="00882C77">
      <w:pPr>
        <w:rPr>
          <w:b/>
        </w:rPr>
      </w:pPr>
      <w:r>
        <w:t xml:space="preserve">Is an incentive (e.g., money or reimbursement of expenses, token of appreciation) provided to participants?  </w:t>
      </w:r>
      <w:r w:rsidR="00FF3251" w:rsidRPr="00FF3251">
        <w:rPr>
          <w:b/>
        </w:rPr>
        <w:t>No</w:t>
      </w:r>
    </w:p>
    <w:p w14:paraId="3DA54841" w14:textId="77777777" w:rsidR="00096F98" w:rsidRDefault="00096F98" w:rsidP="00882C77"/>
    <w:p w14:paraId="35EB8FCF" w14:textId="0A2451AE" w:rsidR="00882C77" w:rsidRDefault="00882C77">
      <w:pPr>
        <w:rPr>
          <w:b/>
        </w:rPr>
      </w:pPr>
      <w:r>
        <w:rPr>
          <w:b/>
        </w:rPr>
        <w:t>Instructions:</w:t>
      </w:r>
    </w:p>
    <w:p w14:paraId="4A5CE3CE" w14:textId="78B493A6" w:rsidR="00882C77" w:rsidRPr="00FF3251" w:rsidRDefault="00882C77" w:rsidP="00882C77">
      <w:pPr>
        <w:pStyle w:val="ListParagraph"/>
        <w:numPr>
          <w:ilvl w:val="0"/>
          <w:numId w:val="19"/>
        </w:numPr>
        <w:ind w:left="360"/>
        <w:rPr>
          <w:b/>
        </w:rPr>
      </w:pPr>
      <w:r w:rsidRPr="00882C77">
        <w:t xml:space="preserve">Have all applicable </w:t>
      </w:r>
      <w:r w:rsidR="008F385D">
        <w:t>instruments,</w:t>
      </w:r>
      <w:r w:rsidRPr="00882C77">
        <w:t xml:space="preserve"> instructions and scripts been submitted?</w:t>
      </w:r>
      <w:r w:rsidR="00FF3251">
        <w:t xml:space="preserve">  </w:t>
      </w:r>
      <w:r w:rsidR="00FF3251" w:rsidRPr="00FF3251">
        <w:rPr>
          <w:b/>
        </w:rPr>
        <w:t>Yes</w:t>
      </w:r>
    </w:p>
    <w:p w14:paraId="3BCCFBD2" w14:textId="40CBEBEB" w:rsidR="00A00810" w:rsidRPr="00FF3251" w:rsidRDefault="001261BD" w:rsidP="00142E1C">
      <w:pPr>
        <w:pStyle w:val="ListParagraph"/>
        <w:numPr>
          <w:ilvl w:val="0"/>
          <w:numId w:val="19"/>
        </w:numPr>
        <w:ind w:left="360"/>
        <w:rPr>
          <w:b/>
        </w:rPr>
      </w:pPr>
      <w:r>
        <w:t>If N</w:t>
      </w:r>
      <w:r w:rsidR="00882C77">
        <w:t>o, why not?</w:t>
      </w:r>
      <w:r w:rsidR="00FF3251">
        <w:t xml:space="preserve">  </w:t>
      </w:r>
      <w:r w:rsidR="00FF3251" w:rsidRPr="00FF3251">
        <w:rPr>
          <w:b/>
        </w:rPr>
        <w:t>N/A</w:t>
      </w:r>
    </w:p>
    <w:sectPr w:rsidR="00A00810" w:rsidRPr="00FF3251"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B0095" w14:textId="77777777" w:rsidR="00A9337C" w:rsidRDefault="00A9337C">
      <w:r>
        <w:separator/>
      </w:r>
    </w:p>
  </w:endnote>
  <w:endnote w:type="continuationSeparator" w:id="0">
    <w:p w14:paraId="1B6FF367" w14:textId="77777777" w:rsidR="00A9337C" w:rsidRDefault="00A9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pitch w:val="variable"/>
    <w:sig w:usb0="E0002AE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3AF2C" w14:textId="76AA2C71" w:rsidR="00010179" w:rsidRDefault="0001017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20E9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6ED02" w14:textId="77777777" w:rsidR="00A9337C" w:rsidRDefault="00A9337C">
      <w:r>
        <w:separator/>
      </w:r>
    </w:p>
  </w:footnote>
  <w:footnote w:type="continuationSeparator" w:id="0">
    <w:p w14:paraId="2FA4C44D" w14:textId="77777777" w:rsidR="00A9337C" w:rsidRDefault="00A93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2B890" w14:textId="77777777" w:rsidR="00010179" w:rsidRDefault="00010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8E33F2"/>
    <w:multiLevelType w:val="hybridMultilevel"/>
    <w:tmpl w:val="66F09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B17D8B"/>
    <w:multiLevelType w:val="hybridMultilevel"/>
    <w:tmpl w:val="D8D6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D2EAF"/>
    <w:multiLevelType w:val="hybridMultilevel"/>
    <w:tmpl w:val="988A7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566C2F"/>
    <w:multiLevelType w:val="hybridMultilevel"/>
    <w:tmpl w:val="8C16886E"/>
    <w:lvl w:ilvl="0" w:tplc="C8283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371133"/>
    <w:multiLevelType w:val="hybridMultilevel"/>
    <w:tmpl w:val="18C0F89A"/>
    <w:lvl w:ilvl="0" w:tplc="464C6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22"/>
  </w:num>
  <w:num w:numId="4">
    <w:abstractNumId w:val="25"/>
  </w:num>
  <w:num w:numId="5">
    <w:abstractNumId w:val="5"/>
  </w:num>
  <w:num w:numId="6">
    <w:abstractNumId w:val="2"/>
  </w:num>
  <w:num w:numId="7">
    <w:abstractNumId w:val="10"/>
  </w:num>
  <w:num w:numId="8">
    <w:abstractNumId w:val="19"/>
  </w:num>
  <w:num w:numId="9">
    <w:abstractNumId w:val="11"/>
  </w:num>
  <w:num w:numId="10">
    <w:abstractNumId w:val="3"/>
  </w:num>
  <w:num w:numId="11">
    <w:abstractNumId w:val="8"/>
  </w:num>
  <w:num w:numId="12">
    <w:abstractNumId w:val="9"/>
  </w:num>
  <w:num w:numId="13">
    <w:abstractNumId w:val="1"/>
  </w:num>
  <w:num w:numId="14">
    <w:abstractNumId w:val="20"/>
  </w:num>
  <w:num w:numId="15">
    <w:abstractNumId w:val="18"/>
  </w:num>
  <w:num w:numId="16">
    <w:abstractNumId w:val="15"/>
  </w:num>
  <w:num w:numId="17">
    <w:abstractNumId w:val="6"/>
  </w:num>
  <w:num w:numId="18">
    <w:abstractNumId w:val="7"/>
  </w:num>
  <w:num w:numId="19">
    <w:abstractNumId w:val="13"/>
  </w:num>
  <w:num w:numId="20">
    <w:abstractNumId w:val="24"/>
  </w:num>
  <w:num w:numId="21">
    <w:abstractNumId w:val="14"/>
  </w:num>
  <w:num w:numId="22">
    <w:abstractNumId w:val="0"/>
  </w:num>
  <w:num w:numId="23">
    <w:abstractNumId w:val="16"/>
  </w:num>
  <w:num w:numId="24">
    <w:abstractNumId w:val="21"/>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179"/>
    <w:rsid w:val="00023A57"/>
    <w:rsid w:val="00042BFE"/>
    <w:rsid w:val="000475F1"/>
    <w:rsid w:val="00047A64"/>
    <w:rsid w:val="000660AD"/>
    <w:rsid w:val="00067329"/>
    <w:rsid w:val="00096F98"/>
    <w:rsid w:val="000B2838"/>
    <w:rsid w:val="000C06EF"/>
    <w:rsid w:val="000D44CA"/>
    <w:rsid w:val="000E200B"/>
    <w:rsid w:val="000F68BE"/>
    <w:rsid w:val="001261BD"/>
    <w:rsid w:val="001927A4"/>
    <w:rsid w:val="00194AC6"/>
    <w:rsid w:val="001A23B0"/>
    <w:rsid w:val="001A25CC"/>
    <w:rsid w:val="001B0AAA"/>
    <w:rsid w:val="001C39F7"/>
    <w:rsid w:val="001F58FA"/>
    <w:rsid w:val="002100BE"/>
    <w:rsid w:val="00237B48"/>
    <w:rsid w:val="00240F00"/>
    <w:rsid w:val="0024521E"/>
    <w:rsid w:val="00263C3D"/>
    <w:rsid w:val="00274D0B"/>
    <w:rsid w:val="002A0D44"/>
    <w:rsid w:val="002B3C95"/>
    <w:rsid w:val="002D0B92"/>
    <w:rsid w:val="003B63F1"/>
    <w:rsid w:val="003D5BBE"/>
    <w:rsid w:val="003E3C61"/>
    <w:rsid w:val="003F1C5B"/>
    <w:rsid w:val="00415B10"/>
    <w:rsid w:val="00422971"/>
    <w:rsid w:val="00431CA9"/>
    <w:rsid w:val="00434E33"/>
    <w:rsid w:val="00441434"/>
    <w:rsid w:val="0045264C"/>
    <w:rsid w:val="004551E2"/>
    <w:rsid w:val="00457711"/>
    <w:rsid w:val="00476BF8"/>
    <w:rsid w:val="00483476"/>
    <w:rsid w:val="004876EC"/>
    <w:rsid w:val="004D6E14"/>
    <w:rsid w:val="004E5790"/>
    <w:rsid w:val="005009B0"/>
    <w:rsid w:val="0050604A"/>
    <w:rsid w:val="00532239"/>
    <w:rsid w:val="005A1006"/>
    <w:rsid w:val="005D7C41"/>
    <w:rsid w:val="005E714A"/>
    <w:rsid w:val="006140A0"/>
    <w:rsid w:val="00621951"/>
    <w:rsid w:val="00636621"/>
    <w:rsid w:val="00642B49"/>
    <w:rsid w:val="0067089C"/>
    <w:rsid w:val="00681DF4"/>
    <w:rsid w:val="006832D9"/>
    <w:rsid w:val="0069403B"/>
    <w:rsid w:val="006C3777"/>
    <w:rsid w:val="006F3DDE"/>
    <w:rsid w:val="00701C38"/>
    <w:rsid w:val="00704678"/>
    <w:rsid w:val="007425E7"/>
    <w:rsid w:val="007A1D6F"/>
    <w:rsid w:val="007A2216"/>
    <w:rsid w:val="00802607"/>
    <w:rsid w:val="008101A5"/>
    <w:rsid w:val="00822664"/>
    <w:rsid w:val="00843796"/>
    <w:rsid w:val="00882C77"/>
    <w:rsid w:val="00895229"/>
    <w:rsid w:val="008B7F89"/>
    <w:rsid w:val="008D65DC"/>
    <w:rsid w:val="008F0203"/>
    <w:rsid w:val="008F385D"/>
    <w:rsid w:val="008F50D4"/>
    <w:rsid w:val="009239AA"/>
    <w:rsid w:val="00935ADA"/>
    <w:rsid w:val="00946B6C"/>
    <w:rsid w:val="00955A71"/>
    <w:rsid w:val="00957FCE"/>
    <w:rsid w:val="0096108F"/>
    <w:rsid w:val="00991760"/>
    <w:rsid w:val="009C13B9"/>
    <w:rsid w:val="009D01A2"/>
    <w:rsid w:val="009F5923"/>
    <w:rsid w:val="00A00810"/>
    <w:rsid w:val="00A20E98"/>
    <w:rsid w:val="00A22375"/>
    <w:rsid w:val="00A403BB"/>
    <w:rsid w:val="00A674DF"/>
    <w:rsid w:val="00A70B40"/>
    <w:rsid w:val="00A83AA6"/>
    <w:rsid w:val="00A9337C"/>
    <w:rsid w:val="00AE1809"/>
    <w:rsid w:val="00B5381B"/>
    <w:rsid w:val="00B80D76"/>
    <w:rsid w:val="00BA2105"/>
    <w:rsid w:val="00BA7E06"/>
    <w:rsid w:val="00BB43B5"/>
    <w:rsid w:val="00BB6219"/>
    <w:rsid w:val="00BC7427"/>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0098D"/>
    <w:rsid w:val="00D24698"/>
    <w:rsid w:val="00D6383F"/>
    <w:rsid w:val="00D85BC6"/>
    <w:rsid w:val="00DA161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C6997"/>
    <w:rsid w:val="00FE2FA6"/>
    <w:rsid w:val="00FE3DF2"/>
    <w:rsid w:val="00FF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4DA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rsid w:val="00FC69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97"/>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semiHidden/>
    <w:unhideWhenUsed/>
    <w:rsid w:val="00991760"/>
    <w:rPr>
      <w:rFonts w:ascii="Consolas" w:hAnsi="Consolas"/>
      <w:sz w:val="21"/>
      <w:szCs w:val="21"/>
    </w:rPr>
  </w:style>
  <w:style w:type="character" w:customStyle="1" w:styleId="PlainTextChar">
    <w:name w:val="Plain Text Char"/>
    <w:basedOn w:val="DefaultParagraphFont"/>
    <w:link w:val="PlainText"/>
    <w:semiHidden/>
    <w:rsid w:val="00991760"/>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rsid w:val="00FC699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97"/>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semiHidden/>
    <w:unhideWhenUsed/>
    <w:rsid w:val="00991760"/>
    <w:rPr>
      <w:rFonts w:ascii="Consolas" w:hAnsi="Consolas"/>
      <w:sz w:val="21"/>
      <w:szCs w:val="21"/>
    </w:rPr>
  </w:style>
  <w:style w:type="character" w:customStyle="1" w:styleId="PlainTextChar">
    <w:name w:val="Plain Text Char"/>
    <w:basedOn w:val="DefaultParagraphFont"/>
    <w:link w:val="PlainText"/>
    <w:semiHidden/>
    <w:rsid w:val="0099176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06900">
      <w:bodyDiv w:val="1"/>
      <w:marLeft w:val="0"/>
      <w:marRight w:val="0"/>
      <w:marTop w:val="0"/>
      <w:marBottom w:val="0"/>
      <w:divBdr>
        <w:top w:val="none" w:sz="0" w:space="0" w:color="auto"/>
        <w:left w:val="none" w:sz="0" w:space="0" w:color="auto"/>
        <w:bottom w:val="none" w:sz="0" w:space="0" w:color="auto"/>
        <w:right w:val="none" w:sz="0" w:space="0" w:color="auto"/>
      </w:divBdr>
    </w:div>
    <w:div w:id="6573433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934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2018-11-19T15:23:00Z</dcterms:created>
  <dcterms:modified xsi:type="dcterms:W3CDTF">2018-11-19T15:23:00Z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