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992B8" w14:textId="13157894" w:rsidR="008C7A2D" w:rsidRPr="00DF784B" w:rsidRDefault="008C7A2D" w:rsidP="008C7A2D">
      <w:pPr>
        <w:jc w:val="center"/>
        <w:rPr>
          <w:rFonts w:cs="Times New Roman"/>
          <w:b/>
          <w:color w:val="0070C0"/>
          <w:sz w:val="56"/>
          <w:szCs w:val="56"/>
        </w:rPr>
      </w:pPr>
      <w:bookmarkStart w:id="0" w:name="_GoBack"/>
      <w:bookmarkEnd w:id="0"/>
      <w:r>
        <w:rPr>
          <w:rFonts w:cs="Times New Roman"/>
          <w:b/>
          <w:color w:val="0070C0"/>
          <w:sz w:val="56"/>
          <w:szCs w:val="56"/>
        </w:rPr>
        <w:t>Address Canvassing</w:t>
      </w:r>
      <w:r w:rsidRPr="00DF784B">
        <w:rPr>
          <w:rFonts w:cs="Times New Roman"/>
          <w:b/>
          <w:color w:val="0070C0"/>
          <w:sz w:val="56"/>
          <w:szCs w:val="56"/>
        </w:rPr>
        <w:t xml:space="preserve"> Test</w:t>
      </w:r>
    </w:p>
    <w:p w14:paraId="17CE9FBF" w14:textId="27FC243F" w:rsidR="008C7A2D" w:rsidRPr="005230E0" w:rsidRDefault="008C7A2D" w:rsidP="008C7A2D">
      <w:pPr>
        <w:jc w:val="center"/>
        <w:rPr>
          <w:rFonts w:cs="Times New Roman"/>
          <w:b/>
          <w:color w:val="0070C0"/>
          <w:sz w:val="32"/>
          <w:szCs w:val="32"/>
        </w:rPr>
      </w:pPr>
      <w:r>
        <w:rPr>
          <w:rFonts w:cs="Times New Roman"/>
          <w:b/>
          <w:color w:val="0070C0"/>
          <w:sz w:val="32"/>
          <w:szCs w:val="32"/>
        </w:rPr>
        <w:t>Draft a</w:t>
      </w:r>
      <w:r w:rsidRPr="005230E0">
        <w:rPr>
          <w:rFonts w:cs="Times New Roman"/>
          <w:b/>
          <w:color w:val="0070C0"/>
          <w:sz w:val="32"/>
          <w:szCs w:val="32"/>
        </w:rPr>
        <w:t xml:space="preserve">s of </w:t>
      </w:r>
      <w:r w:rsidR="009578E0">
        <w:rPr>
          <w:rFonts w:cs="Times New Roman"/>
          <w:b/>
          <w:color w:val="0070C0"/>
          <w:sz w:val="32"/>
          <w:szCs w:val="32"/>
        </w:rPr>
        <w:t>February 8</w:t>
      </w:r>
      <w:r>
        <w:rPr>
          <w:rFonts w:cs="Times New Roman"/>
          <w:b/>
          <w:color w:val="0070C0"/>
          <w:sz w:val="32"/>
          <w:szCs w:val="32"/>
        </w:rPr>
        <w:t>, 2016</w:t>
      </w:r>
    </w:p>
    <w:p w14:paraId="6CD32273" w14:textId="77777777" w:rsidR="008C7A2D" w:rsidRPr="0009063B" w:rsidRDefault="008C7A2D" w:rsidP="008C7A2D">
      <w:pPr>
        <w:pStyle w:val="ListParagraph"/>
        <w:spacing w:after="0" w:line="240" w:lineRule="auto"/>
        <w:ind w:left="2160"/>
        <w:rPr>
          <w:rFonts w:cs="Times New Roman"/>
          <w:color w:val="FF0000"/>
          <w:sz w:val="24"/>
          <w:szCs w:val="24"/>
        </w:rPr>
      </w:pPr>
    </w:p>
    <w:tbl>
      <w:tblPr>
        <w:tblStyle w:val="TableGrid2"/>
        <w:tblpPr w:leftFromText="180" w:rightFromText="180" w:vertAnchor="text" w:horzAnchor="margin" w:tblpXSpec="center" w:tblpY="428"/>
        <w:tblW w:w="0" w:type="auto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ook w:val="04A0" w:firstRow="1" w:lastRow="0" w:firstColumn="1" w:lastColumn="0" w:noHBand="0" w:noVBand="1"/>
      </w:tblPr>
      <w:tblGrid>
        <w:gridCol w:w="3545"/>
        <w:gridCol w:w="3500"/>
        <w:gridCol w:w="4770"/>
        <w:gridCol w:w="3831"/>
      </w:tblGrid>
      <w:tr w:rsidR="008C7A2D" w:rsidRPr="00DF784B" w14:paraId="0B6DD0C7" w14:textId="77777777" w:rsidTr="00994015">
        <w:tc>
          <w:tcPr>
            <w:tcW w:w="3545" w:type="dxa"/>
            <w:shd w:val="clear" w:color="auto" w:fill="002060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ADD7B3A" w14:textId="77777777" w:rsidR="008C7A2D" w:rsidRPr="00DF784B" w:rsidRDefault="008C7A2D" w:rsidP="00994015">
            <w:pPr>
              <w:ind w:left="180"/>
              <w:rPr>
                <w:color w:val="FFFFFF" w:themeColor="background1"/>
                <w:sz w:val="32"/>
                <w:szCs w:val="32"/>
              </w:rPr>
            </w:pPr>
            <w:r w:rsidRPr="00DF784B">
              <w:rPr>
                <w:color w:val="FFFFFF" w:themeColor="background1"/>
                <w:sz w:val="32"/>
                <w:szCs w:val="32"/>
              </w:rPr>
              <w:t>Operation</w:t>
            </w:r>
          </w:p>
        </w:tc>
        <w:tc>
          <w:tcPr>
            <w:tcW w:w="3500" w:type="dxa"/>
            <w:shd w:val="clear" w:color="auto" w:fill="002060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DCD5E07" w14:textId="77777777" w:rsidR="008C7A2D" w:rsidRPr="00DF784B" w:rsidRDefault="008C7A2D" w:rsidP="00994015">
            <w:pPr>
              <w:ind w:left="145"/>
              <w:rPr>
                <w:color w:val="FFFFFF" w:themeColor="background1"/>
                <w:sz w:val="32"/>
                <w:szCs w:val="32"/>
              </w:rPr>
            </w:pPr>
            <w:r w:rsidRPr="00DF784B">
              <w:rPr>
                <w:color w:val="FFFFFF" w:themeColor="background1"/>
                <w:sz w:val="32"/>
                <w:szCs w:val="32"/>
              </w:rPr>
              <w:t>Approving Official</w:t>
            </w:r>
          </w:p>
        </w:tc>
        <w:tc>
          <w:tcPr>
            <w:tcW w:w="4770" w:type="dxa"/>
            <w:shd w:val="clear" w:color="auto" w:fill="002060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A9CF30E" w14:textId="77777777" w:rsidR="008C7A2D" w:rsidRPr="00DF784B" w:rsidRDefault="008C7A2D" w:rsidP="00994015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DF784B">
              <w:rPr>
                <w:color w:val="FFFFFF" w:themeColor="background1"/>
                <w:sz w:val="32"/>
                <w:szCs w:val="32"/>
              </w:rPr>
              <w:t>Approving Official - Signature</w:t>
            </w:r>
          </w:p>
        </w:tc>
        <w:tc>
          <w:tcPr>
            <w:tcW w:w="3831" w:type="dxa"/>
            <w:shd w:val="clear" w:color="auto" w:fill="002060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22548FD" w14:textId="77777777" w:rsidR="008C7A2D" w:rsidRPr="00DF784B" w:rsidRDefault="008C7A2D" w:rsidP="00994015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DF784B">
              <w:rPr>
                <w:color w:val="FFFFFF" w:themeColor="background1"/>
                <w:sz w:val="32"/>
                <w:szCs w:val="32"/>
              </w:rPr>
              <w:t>Date approved</w:t>
            </w:r>
          </w:p>
        </w:tc>
      </w:tr>
      <w:tr w:rsidR="008C7A2D" w:rsidRPr="00DF784B" w14:paraId="57F21F6F" w14:textId="77777777" w:rsidTr="00994015">
        <w:tc>
          <w:tcPr>
            <w:tcW w:w="354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EEF24FC" w14:textId="38CA618D" w:rsidR="008C7A2D" w:rsidRPr="00DF784B" w:rsidRDefault="008C7A2D" w:rsidP="00994015">
            <w:pPr>
              <w:ind w:left="180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Address Canvassing</w:t>
            </w:r>
          </w:p>
        </w:tc>
        <w:tc>
          <w:tcPr>
            <w:tcW w:w="350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76A7DFD" w14:textId="77777777" w:rsidR="008C7A2D" w:rsidRPr="00DF784B" w:rsidRDefault="008C7A2D" w:rsidP="00994015">
            <w:pPr>
              <w:ind w:left="145"/>
              <w:rPr>
                <w:color w:val="0000FF"/>
                <w:sz w:val="24"/>
                <w:szCs w:val="24"/>
              </w:rPr>
            </w:pPr>
            <w:r w:rsidRPr="00DF784B">
              <w:rPr>
                <w:color w:val="0000FF"/>
                <w:sz w:val="24"/>
                <w:szCs w:val="24"/>
              </w:rPr>
              <w:t>Evan Moffett</w:t>
            </w:r>
          </w:p>
        </w:tc>
        <w:tc>
          <w:tcPr>
            <w:tcW w:w="47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B700D5B" w14:textId="77777777" w:rsidR="008C7A2D" w:rsidRPr="00DF784B" w:rsidRDefault="008C7A2D" w:rsidP="00994015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383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4BD299C" w14:textId="77777777" w:rsidR="008C7A2D" w:rsidRPr="00DF784B" w:rsidRDefault="008C7A2D" w:rsidP="00994015">
            <w:pPr>
              <w:rPr>
                <w:color w:val="0000FF"/>
                <w:sz w:val="32"/>
                <w:szCs w:val="32"/>
              </w:rPr>
            </w:pPr>
          </w:p>
        </w:tc>
      </w:tr>
      <w:tr w:rsidR="008C7A2D" w:rsidRPr="00DF784B" w14:paraId="440CCBE2" w14:textId="77777777" w:rsidTr="00994015">
        <w:tc>
          <w:tcPr>
            <w:tcW w:w="354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EACD663" w14:textId="0AB71EBD" w:rsidR="008C7A2D" w:rsidRPr="00DF784B" w:rsidRDefault="008C7A2D" w:rsidP="004E1943">
            <w:pPr>
              <w:ind w:left="180"/>
              <w:rPr>
                <w:color w:val="0000FF"/>
                <w:sz w:val="24"/>
                <w:szCs w:val="24"/>
              </w:rPr>
            </w:pPr>
            <w:r w:rsidRPr="00DF784B">
              <w:rPr>
                <w:color w:val="0000FF"/>
                <w:sz w:val="24"/>
                <w:szCs w:val="24"/>
              </w:rPr>
              <w:t xml:space="preserve">Geographic </w:t>
            </w:r>
            <w:r w:rsidR="004E1943">
              <w:rPr>
                <w:color w:val="0000FF"/>
                <w:sz w:val="24"/>
                <w:szCs w:val="24"/>
              </w:rPr>
              <w:t>Programs</w:t>
            </w:r>
          </w:p>
        </w:tc>
        <w:tc>
          <w:tcPr>
            <w:tcW w:w="350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032E0F5" w14:textId="65DBDE69" w:rsidR="008C7A2D" w:rsidRPr="00DF784B" w:rsidRDefault="008C7A2D" w:rsidP="00994015">
            <w:pPr>
              <w:ind w:left="145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Evan Moffett</w:t>
            </w:r>
          </w:p>
        </w:tc>
        <w:tc>
          <w:tcPr>
            <w:tcW w:w="47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AECE647" w14:textId="77777777" w:rsidR="008C7A2D" w:rsidRPr="00DF784B" w:rsidRDefault="008C7A2D" w:rsidP="00994015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383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D4B125F" w14:textId="77777777" w:rsidR="008C7A2D" w:rsidRPr="00DF784B" w:rsidRDefault="008C7A2D" w:rsidP="00994015">
            <w:pPr>
              <w:rPr>
                <w:color w:val="0000FF"/>
                <w:sz w:val="32"/>
                <w:szCs w:val="32"/>
              </w:rPr>
            </w:pPr>
          </w:p>
        </w:tc>
      </w:tr>
      <w:tr w:rsidR="008C7A2D" w:rsidRPr="00DF784B" w14:paraId="4A1058F7" w14:textId="77777777" w:rsidTr="00994015">
        <w:tc>
          <w:tcPr>
            <w:tcW w:w="354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9F6833B" w14:textId="77777777" w:rsidR="008C7A2D" w:rsidRPr="00DF784B" w:rsidRDefault="008C7A2D" w:rsidP="00994015">
            <w:pPr>
              <w:ind w:left="180"/>
              <w:rPr>
                <w:color w:val="0000FF"/>
                <w:sz w:val="24"/>
                <w:szCs w:val="24"/>
              </w:rPr>
            </w:pPr>
            <w:r w:rsidRPr="00DF784B">
              <w:rPr>
                <w:color w:val="0000FF"/>
                <w:sz w:val="24"/>
                <w:szCs w:val="24"/>
              </w:rPr>
              <w:t>Content and Forms Design</w:t>
            </w:r>
          </w:p>
        </w:tc>
        <w:tc>
          <w:tcPr>
            <w:tcW w:w="350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1153803" w14:textId="77777777" w:rsidR="008C7A2D" w:rsidRPr="00DF784B" w:rsidRDefault="008C7A2D" w:rsidP="00994015">
            <w:pPr>
              <w:ind w:left="145"/>
              <w:rPr>
                <w:color w:val="0000FF"/>
                <w:sz w:val="24"/>
                <w:szCs w:val="24"/>
              </w:rPr>
            </w:pPr>
            <w:r w:rsidRPr="00DF784B">
              <w:rPr>
                <w:color w:val="0000FF"/>
                <w:sz w:val="24"/>
                <w:szCs w:val="24"/>
              </w:rPr>
              <w:t>Jessica Graber</w:t>
            </w:r>
          </w:p>
        </w:tc>
        <w:tc>
          <w:tcPr>
            <w:tcW w:w="47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612B32A" w14:textId="77777777" w:rsidR="008C7A2D" w:rsidRPr="00DF784B" w:rsidRDefault="008C7A2D" w:rsidP="00994015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383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670378F" w14:textId="77777777" w:rsidR="008C7A2D" w:rsidRPr="00DF784B" w:rsidRDefault="008C7A2D" w:rsidP="00994015">
            <w:pPr>
              <w:rPr>
                <w:color w:val="0000FF"/>
                <w:sz w:val="32"/>
                <w:szCs w:val="32"/>
              </w:rPr>
            </w:pPr>
          </w:p>
        </w:tc>
      </w:tr>
      <w:tr w:rsidR="008C7A2D" w:rsidRPr="00DF784B" w14:paraId="3882DB39" w14:textId="77777777" w:rsidTr="00994015">
        <w:tc>
          <w:tcPr>
            <w:tcW w:w="354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1041EAC" w14:textId="77777777" w:rsidR="008C7A2D" w:rsidRPr="00DF784B" w:rsidRDefault="008C7A2D" w:rsidP="00994015">
            <w:pPr>
              <w:ind w:left="180"/>
              <w:rPr>
                <w:color w:val="0000FF"/>
                <w:sz w:val="24"/>
                <w:szCs w:val="24"/>
              </w:rPr>
            </w:pPr>
            <w:r w:rsidRPr="00DF784B">
              <w:rPr>
                <w:color w:val="0000FF"/>
                <w:sz w:val="24"/>
                <w:szCs w:val="24"/>
              </w:rPr>
              <w:t>Communications</w:t>
            </w:r>
          </w:p>
        </w:tc>
        <w:tc>
          <w:tcPr>
            <w:tcW w:w="350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6198F3D" w14:textId="73EEE86E" w:rsidR="008C7A2D" w:rsidRPr="00DF784B" w:rsidRDefault="008C7A2D" w:rsidP="00994015">
            <w:pPr>
              <w:ind w:left="145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Kimberly Higginbotham</w:t>
            </w:r>
          </w:p>
        </w:tc>
        <w:tc>
          <w:tcPr>
            <w:tcW w:w="47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D99006F" w14:textId="77777777" w:rsidR="008C7A2D" w:rsidRPr="00DF784B" w:rsidRDefault="008C7A2D" w:rsidP="00994015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383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1B2841C" w14:textId="77777777" w:rsidR="008C7A2D" w:rsidRPr="00DF784B" w:rsidRDefault="008C7A2D" w:rsidP="00994015">
            <w:pPr>
              <w:rPr>
                <w:color w:val="0000FF"/>
                <w:sz w:val="32"/>
                <w:szCs w:val="32"/>
              </w:rPr>
            </w:pPr>
          </w:p>
        </w:tc>
      </w:tr>
      <w:tr w:rsidR="008C7A2D" w:rsidRPr="00DF784B" w14:paraId="79B8A466" w14:textId="77777777" w:rsidTr="00994015">
        <w:tc>
          <w:tcPr>
            <w:tcW w:w="354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B205C08" w14:textId="77777777" w:rsidR="008C7A2D" w:rsidRPr="00DF784B" w:rsidRDefault="008C7A2D" w:rsidP="00994015">
            <w:pPr>
              <w:ind w:left="180"/>
              <w:rPr>
                <w:color w:val="0000FF"/>
                <w:sz w:val="24"/>
                <w:szCs w:val="24"/>
              </w:rPr>
            </w:pPr>
            <w:r w:rsidRPr="00DF784B">
              <w:rPr>
                <w:color w:val="0000FF"/>
                <w:sz w:val="24"/>
                <w:szCs w:val="24"/>
              </w:rPr>
              <w:t>Field Infrastructure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 w:rsidRPr="00705B3F">
              <w:rPr>
                <w:i/>
                <w:color w:val="0000FF"/>
                <w:sz w:val="20"/>
                <w:szCs w:val="20"/>
              </w:rPr>
              <w:t>(includes MDCP)</w:t>
            </w:r>
          </w:p>
        </w:tc>
        <w:tc>
          <w:tcPr>
            <w:tcW w:w="350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3777A9F" w14:textId="77777777" w:rsidR="008C7A2D" w:rsidRPr="00DF784B" w:rsidRDefault="008C7A2D" w:rsidP="00994015">
            <w:pPr>
              <w:ind w:left="145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Alexa Jones-Puthoff</w:t>
            </w:r>
          </w:p>
        </w:tc>
        <w:tc>
          <w:tcPr>
            <w:tcW w:w="47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9A7E5D4" w14:textId="77777777" w:rsidR="008C7A2D" w:rsidRPr="00DF784B" w:rsidRDefault="008C7A2D" w:rsidP="00994015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383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928B51C" w14:textId="77777777" w:rsidR="008C7A2D" w:rsidRPr="00DF784B" w:rsidRDefault="008C7A2D" w:rsidP="00994015">
            <w:pPr>
              <w:rPr>
                <w:color w:val="0000FF"/>
                <w:sz w:val="32"/>
                <w:szCs w:val="32"/>
              </w:rPr>
            </w:pPr>
          </w:p>
        </w:tc>
      </w:tr>
      <w:tr w:rsidR="008C7A2D" w:rsidRPr="00DF784B" w14:paraId="0611A9D4" w14:textId="77777777" w:rsidTr="00994015">
        <w:tc>
          <w:tcPr>
            <w:tcW w:w="354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B87C3DB" w14:textId="77777777" w:rsidR="008C7A2D" w:rsidRPr="00DF784B" w:rsidRDefault="008C7A2D" w:rsidP="00994015">
            <w:pPr>
              <w:ind w:left="180"/>
              <w:rPr>
                <w:color w:val="0000FF"/>
                <w:sz w:val="24"/>
                <w:szCs w:val="24"/>
              </w:rPr>
            </w:pPr>
            <w:r w:rsidRPr="00DF784B">
              <w:rPr>
                <w:color w:val="0000FF"/>
                <w:sz w:val="24"/>
                <w:szCs w:val="24"/>
              </w:rPr>
              <w:t>IT Infrastructure</w:t>
            </w:r>
          </w:p>
        </w:tc>
        <w:tc>
          <w:tcPr>
            <w:tcW w:w="350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8DAC6C3" w14:textId="7E024939" w:rsidR="008C7A2D" w:rsidRPr="00DF784B" w:rsidRDefault="001A3C57" w:rsidP="001A3C57">
            <w:pPr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   </w:t>
            </w:r>
            <w:r w:rsidR="008C7A2D" w:rsidRPr="00DF784B">
              <w:rPr>
                <w:color w:val="0000FF"/>
                <w:sz w:val="24"/>
                <w:szCs w:val="24"/>
              </w:rPr>
              <w:t>Pete Boudriault</w:t>
            </w:r>
          </w:p>
        </w:tc>
        <w:tc>
          <w:tcPr>
            <w:tcW w:w="47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C07E927" w14:textId="77777777" w:rsidR="008C7A2D" w:rsidRPr="00DF784B" w:rsidRDefault="008C7A2D" w:rsidP="00994015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383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6884D7E" w14:textId="77777777" w:rsidR="008C7A2D" w:rsidRPr="00DF784B" w:rsidRDefault="008C7A2D" w:rsidP="00994015">
            <w:pPr>
              <w:rPr>
                <w:color w:val="0000FF"/>
                <w:sz w:val="32"/>
                <w:szCs w:val="32"/>
              </w:rPr>
            </w:pPr>
          </w:p>
        </w:tc>
      </w:tr>
      <w:tr w:rsidR="00B97263" w:rsidRPr="00DF784B" w14:paraId="6DB18BE4" w14:textId="77777777" w:rsidTr="00994015">
        <w:tc>
          <w:tcPr>
            <w:tcW w:w="354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8EB9621" w14:textId="4F509E44" w:rsidR="00B97263" w:rsidRPr="00DF784B" w:rsidRDefault="00B97263" w:rsidP="00994015">
            <w:pPr>
              <w:ind w:left="180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Decennial Logistics Management</w:t>
            </w:r>
          </w:p>
        </w:tc>
        <w:tc>
          <w:tcPr>
            <w:tcW w:w="350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0EB2604" w14:textId="7197A99A" w:rsidR="00B97263" w:rsidRDefault="008B76A3" w:rsidP="00994015">
            <w:pPr>
              <w:ind w:left="145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Alexa Jones-Puthoff</w:t>
            </w:r>
          </w:p>
        </w:tc>
        <w:tc>
          <w:tcPr>
            <w:tcW w:w="47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81E1981" w14:textId="77777777" w:rsidR="00B97263" w:rsidRPr="00DF784B" w:rsidRDefault="00B97263" w:rsidP="00994015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383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5C55097" w14:textId="77777777" w:rsidR="00B97263" w:rsidRPr="00DF784B" w:rsidRDefault="00B97263" w:rsidP="00994015">
            <w:pPr>
              <w:rPr>
                <w:color w:val="0000FF"/>
                <w:sz w:val="32"/>
                <w:szCs w:val="32"/>
              </w:rPr>
            </w:pPr>
          </w:p>
        </w:tc>
      </w:tr>
      <w:tr w:rsidR="00B97263" w:rsidRPr="00DF784B" w14:paraId="6C01B3F1" w14:textId="77777777" w:rsidTr="00994015">
        <w:tc>
          <w:tcPr>
            <w:tcW w:w="354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AA0361A" w14:textId="5DCF769F" w:rsidR="00B97263" w:rsidRDefault="00B97263" w:rsidP="00994015">
            <w:pPr>
              <w:ind w:left="180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Decennial Service Center</w:t>
            </w:r>
          </w:p>
        </w:tc>
        <w:tc>
          <w:tcPr>
            <w:tcW w:w="350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F484AC7" w14:textId="625273E7" w:rsidR="00B97263" w:rsidRDefault="008B76A3" w:rsidP="00994015">
            <w:pPr>
              <w:ind w:left="145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Alexa Jones-Puthoff</w:t>
            </w:r>
          </w:p>
        </w:tc>
        <w:tc>
          <w:tcPr>
            <w:tcW w:w="47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3698B24" w14:textId="77777777" w:rsidR="00B97263" w:rsidRPr="00DF784B" w:rsidRDefault="00B97263" w:rsidP="00994015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383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30B8533" w14:textId="77777777" w:rsidR="00B97263" w:rsidRPr="00DF784B" w:rsidRDefault="00B97263" w:rsidP="00994015">
            <w:pPr>
              <w:rPr>
                <w:color w:val="0000FF"/>
                <w:sz w:val="32"/>
                <w:szCs w:val="32"/>
              </w:rPr>
            </w:pPr>
          </w:p>
        </w:tc>
      </w:tr>
      <w:tr w:rsidR="008C7A2D" w:rsidRPr="00DF784B" w14:paraId="50DD1D96" w14:textId="77777777" w:rsidTr="00994015">
        <w:tc>
          <w:tcPr>
            <w:tcW w:w="354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EACCF54" w14:textId="77777777" w:rsidR="008C7A2D" w:rsidRPr="00DF784B" w:rsidRDefault="008C7A2D" w:rsidP="00994015">
            <w:pPr>
              <w:ind w:left="180"/>
              <w:rPr>
                <w:color w:val="0000FF"/>
                <w:sz w:val="24"/>
                <w:szCs w:val="24"/>
              </w:rPr>
            </w:pPr>
            <w:r w:rsidRPr="00DF784B">
              <w:rPr>
                <w:color w:val="0000FF"/>
                <w:sz w:val="24"/>
                <w:szCs w:val="24"/>
              </w:rPr>
              <w:t>Approving all of the above</w:t>
            </w:r>
          </w:p>
        </w:tc>
        <w:tc>
          <w:tcPr>
            <w:tcW w:w="350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69AB4E3" w14:textId="77777777" w:rsidR="008C7A2D" w:rsidRPr="00DF784B" w:rsidRDefault="008C7A2D" w:rsidP="00994015">
            <w:pPr>
              <w:ind w:left="145"/>
              <w:rPr>
                <w:color w:val="0000FF"/>
                <w:sz w:val="24"/>
                <w:szCs w:val="24"/>
              </w:rPr>
            </w:pPr>
            <w:r w:rsidRPr="00DF784B">
              <w:rPr>
                <w:color w:val="0000FF"/>
                <w:sz w:val="24"/>
                <w:szCs w:val="24"/>
              </w:rPr>
              <w:t>Deirdre Bishop</w:t>
            </w:r>
          </w:p>
        </w:tc>
        <w:tc>
          <w:tcPr>
            <w:tcW w:w="477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81A4D8B" w14:textId="77777777" w:rsidR="008C7A2D" w:rsidRPr="00DF784B" w:rsidRDefault="008C7A2D" w:rsidP="00994015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383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41DA8B0" w14:textId="77777777" w:rsidR="008C7A2D" w:rsidRPr="00DF784B" w:rsidRDefault="008C7A2D" w:rsidP="00994015">
            <w:pPr>
              <w:rPr>
                <w:color w:val="0000FF"/>
                <w:sz w:val="32"/>
                <w:szCs w:val="32"/>
              </w:rPr>
            </w:pPr>
          </w:p>
        </w:tc>
      </w:tr>
    </w:tbl>
    <w:p w14:paraId="4DC4DF6E" w14:textId="77777777" w:rsidR="008C7A2D" w:rsidRPr="003C0258" w:rsidRDefault="008C7A2D" w:rsidP="008C7A2D">
      <w:pPr>
        <w:spacing w:after="0" w:line="240" w:lineRule="auto"/>
        <w:rPr>
          <w:rFonts w:cs="Times New Roman"/>
          <w:color w:val="FF0000"/>
          <w:sz w:val="24"/>
          <w:szCs w:val="24"/>
        </w:rPr>
      </w:pPr>
    </w:p>
    <w:p w14:paraId="14BC53EF" w14:textId="77777777" w:rsidR="008C7A2D" w:rsidRDefault="008C7A2D" w:rsidP="008C7A2D">
      <w:pPr>
        <w:rPr>
          <w:rFonts w:cs="Times New Roman"/>
          <w:b/>
          <w:color w:val="0070C0"/>
          <w:sz w:val="40"/>
          <w:szCs w:val="40"/>
        </w:rPr>
      </w:pPr>
    </w:p>
    <w:p w14:paraId="17ECAA8E" w14:textId="77777777" w:rsidR="008C7A2D" w:rsidRPr="005230E0" w:rsidRDefault="008C7A2D" w:rsidP="008C7A2D">
      <w:pPr>
        <w:pStyle w:val="ListParagraph"/>
        <w:ind w:left="3600"/>
        <w:rPr>
          <w:rFonts w:cs="Times New Roman"/>
          <w:b/>
          <w:color w:val="0070C0"/>
          <w:sz w:val="40"/>
          <w:szCs w:val="40"/>
        </w:rPr>
      </w:pPr>
    </w:p>
    <w:p w14:paraId="6D57BBEF" w14:textId="77777777" w:rsidR="008C7A2D" w:rsidRDefault="008C7A2D" w:rsidP="008C7A2D">
      <w:pPr>
        <w:rPr>
          <w:rFonts w:cs="Times New Roman"/>
          <w:b/>
          <w:color w:val="0070C0"/>
          <w:sz w:val="40"/>
          <w:szCs w:val="40"/>
        </w:rPr>
      </w:pPr>
    </w:p>
    <w:p w14:paraId="59D1C26C" w14:textId="77777777" w:rsidR="008C7A2D" w:rsidRDefault="008C7A2D" w:rsidP="008C7A2D">
      <w:pPr>
        <w:rPr>
          <w:rFonts w:cs="Times New Roman"/>
          <w:b/>
          <w:color w:val="0070C0"/>
          <w:sz w:val="40"/>
          <w:szCs w:val="40"/>
        </w:rPr>
      </w:pPr>
    </w:p>
    <w:p w14:paraId="5F1C9A26" w14:textId="77777777" w:rsidR="008C7A2D" w:rsidRDefault="008C7A2D" w:rsidP="008C7A2D">
      <w:pPr>
        <w:rPr>
          <w:rFonts w:cs="Times New Roman"/>
          <w:b/>
          <w:color w:val="0070C0"/>
          <w:sz w:val="40"/>
          <w:szCs w:val="40"/>
        </w:rPr>
      </w:pPr>
    </w:p>
    <w:p w14:paraId="675299BD" w14:textId="77777777" w:rsidR="008C7A2D" w:rsidRDefault="008C7A2D" w:rsidP="008C7A2D">
      <w:pPr>
        <w:rPr>
          <w:rFonts w:cs="Times New Roman"/>
          <w:b/>
          <w:color w:val="0070C0"/>
          <w:sz w:val="40"/>
          <w:szCs w:val="40"/>
        </w:rPr>
      </w:pPr>
    </w:p>
    <w:p w14:paraId="66E0E41D" w14:textId="77777777" w:rsidR="008C7A2D" w:rsidRDefault="008C7A2D" w:rsidP="008C7A2D">
      <w:pPr>
        <w:rPr>
          <w:rFonts w:cs="Times New Roman"/>
          <w:b/>
          <w:color w:val="0070C0"/>
          <w:sz w:val="40"/>
          <w:szCs w:val="40"/>
        </w:rPr>
      </w:pPr>
    </w:p>
    <w:p w14:paraId="5C9C216C" w14:textId="77777777" w:rsidR="008C7A2D" w:rsidRDefault="008C7A2D" w:rsidP="008C7A2D">
      <w:pPr>
        <w:rPr>
          <w:rFonts w:cs="Times New Roman"/>
          <w:b/>
          <w:color w:val="0070C0"/>
          <w:sz w:val="40"/>
          <w:szCs w:val="40"/>
        </w:rPr>
      </w:pPr>
      <w:r>
        <w:rPr>
          <w:rFonts w:cs="Times New Roman"/>
          <w:b/>
          <w:color w:val="0070C0"/>
          <w:sz w:val="40"/>
          <w:szCs w:val="40"/>
        </w:rPr>
        <w:br w:type="page"/>
      </w:r>
    </w:p>
    <w:p w14:paraId="6CBB13DC" w14:textId="77777777" w:rsidR="008C7A2D" w:rsidRDefault="008C7A2D" w:rsidP="008C7A2D">
      <w:pPr>
        <w:rPr>
          <w:rFonts w:cs="Times New Roman"/>
          <w:b/>
          <w:color w:val="0070C0"/>
          <w:sz w:val="40"/>
          <w:szCs w:val="40"/>
        </w:rPr>
      </w:pPr>
    </w:p>
    <w:p w14:paraId="71F174AC" w14:textId="77777777" w:rsidR="008C7A2D" w:rsidRDefault="008C7A2D" w:rsidP="008C7A2D">
      <w:pPr>
        <w:pStyle w:val="ListParagraph"/>
        <w:ind w:left="3600"/>
        <w:rPr>
          <w:rFonts w:cs="Times New Roman"/>
          <w:b/>
          <w:color w:val="0070C0"/>
          <w:sz w:val="40"/>
          <w:szCs w:val="40"/>
        </w:rPr>
      </w:pP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17640"/>
      </w:tblGrid>
      <w:tr w:rsidR="00994015" w:rsidRPr="005230E0" w14:paraId="6E882960" w14:textId="77777777" w:rsidTr="00994015">
        <w:trPr>
          <w:trHeight w:val="507"/>
          <w:tblHeader/>
        </w:trPr>
        <w:tc>
          <w:tcPr>
            <w:tcW w:w="17640" w:type="dxa"/>
            <w:shd w:val="clear" w:color="auto" w:fill="FFFFCC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5BEA9E3" w14:textId="4A00A381" w:rsidR="00994015" w:rsidRPr="0009063B" w:rsidRDefault="0061260F" w:rsidP="00994015">
            <w:pPr>
              <w:jc w:val="center"/>
              <w:rPr>
                <w:rFonts w:cs="Times New Roman"/>
                <w:b/>
                <w:color w:val="0070C0"/>
                <w:sz w:val="40"/>
                <w:szCs w:val="40"/>
              </w:rPr>
            </w:pPr>
            <w:r>
              <w:rPr>
                <w:rFonts w:cs="Times New Roman"/>
                <w:b/>
                <w:color w:val="0070C0"/>
                <w:sz w:val="40"/>
                <w:szCs w:val="40"/>
              </w:rPr>
              <w:t xml:space="preserve">Assumptions and </w:t>
            </w:r>
            <w:r w:rsidR="00994015" w:rsidRPr="0009063B">
              <w:rPr>
                <w:rFonts w:cs="Times New Roman"/>
                <w:b/>
                <w:color w:val="0070C0"/>
                <w:sz w:val="40"/>
                <w:szCs w:val="40"/>
              </w:rPr>
              <w:t>Site Selection Criteria</w:t>
            </w:r>
          </w:p>
        </w:tc>
      </w:tr>
      <w:tr w:rsidR="00994015" w:rsidRPr="005230E0" w14:paraId="6A88DCF2" w14:textId="77777777" w:rsidTr="00994015">
        <w:tc>
          <w:tcPr>
            <w:tcW w:w="17640" w:type="dxa"/>
            <w:shd w:val="clear" w:color="auto" w:fill="FFFFCC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8A845C0" w14:textId="74BE2C7E" w:rsidR="00994015" w:rsidRPr="005230E0" w:rsidRDefault="00994015" w:rsidP="00994015">
            <w:pPr>
              <w:rPr>
                <w:rFonts w:cs="Times New Roman"/>
                <w:sz w:val="24"/>
                <w:szCs w:val="24"/>
              </w:rPr>
            </w:pPr>
            <w:r w:rsidRPr="009A2FBC">
              <w:rPr>
                <w:rFonts w:cs="Times New Roman"/>
                <w:b/>
                <w:color w:val="0070C0"/>
                <w:sz w:val="32"/>
                <w:szCs w:val="32"/>
              </w:rPr>
              <w:t>Operations</w:t>
            </w:r>
            <w:r w:rsidRPr="009A2FBC">
              <w:rPr>
                <w:rFonts w:cs="Times New Roman"/>
                <w:color w:val="0070C0"/>
                <w:sz w:val="32"/>
                <w:szCs w:val="32"/>
              </w:rPr>
              <w:t xml:space="preserve"> --</w:t>
            </w:r>
            <w:r>
              <w:rPr>
                <w:rFonts w:cs="Times New Roman"/>
                <w:color w:val="0070C0"/>
                <w:sz w:val="48"/>
                <w:szCs w:val="48"/>
              </w:rPr>
              <w:t xml:space="preserve"> </w:t>
            </w:r>
            <w:r w:rsidRPr="005230E0">
              <w:rPr>
                <w:rFonts w:cs="Times New Roman"/>
                <w:color w:val="0070C0"/>
                <w:sz w:val="24"/>
                <w:szCs w:val="24"/>
              </w:rPr>
              <w:t>(Note – Support Operations have not test objectives or research questions.)</w:t>
            </w:r>
          </w:p>
        </w:tc>
      </w:tr>
      <w:tr w:rsidR="00994015" w:rsidRPr="005230E0" w14:paraId="184EF283" w14:textId="77777777" w:rsidTr="00994015">
        <w:tc>
          <w:tcPr>
            <w:tcW w:w="17640" w:type="dxa"/>
            <w:shd w:val="clear" w:color="auto" w:fill="FFFFFF" w:themeFill="background1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AE58C7F" w14:textId="734BAED6" w:rsidR="00994015" w:rsidRDefault="00994015" w:rsidP="00994015">
            <w:pPr>
              <w:ind w:left="7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Address Canvassing</w:t>
            </w:r>
          </w:p>
          <w:p w14:paraId="6B7F939E" w14:textId="2BC110E2" w:rsidR="00994015" w:rsidRPr="005230E0" w:rsidRDefault="00994015" w:rsidP="00994015">
            <w:pPr>
              <w:ind w:left="720"/>
              <w:rPr>
                <w:rFonts w:cs="Times New Roman"/>
                <w:sz w:val="24"/>
                <w:szCs w:val="24"/>
              </w:rPr>
            </w:pPr>
          </w:p>
        </w:tc>
      </w:tr>
      <w:tr w:rsidR="00994015" w:rsidRPr="005230E0" w14:paraId="2FE1378A" w14:textId="77777777" w:rsidTr="00994015">
        <w:trPr>
          <w:trHeight w:val="471"/>
        </w:trPr>
        <w:tc>
          <w:tcPr>
            <w:tcW w:w="17640" w:type="dxa"/>
            <w:shd w:val="clear" w:color="auto" w:fill="FFFFCC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7BA4476" w14:textId="340BB413" w:rsidR="00994015" w:rsidRPr="009A2FBC" w:rsidRDefault="00994015" w:rsidP="00994015">
            <w:pPr>
              <w:rPr>
                <w:rFonts w:cs="Times New Roman"/>
                <w:b/>
                <w:color w:val="0070C0"/>
                <w:sz w:val="32"/>
                <w:szCs w:val="32"/>
              </w:rPr>
            </w:pPr>
            <w:r w:rsidRPr="009A2FBC">
              <w:rPr>
                <w:rFonts w:cs="Times New Roman"/>
                <w:b/>
                <w:color w:val="0070C0"/>
                <w:sz w:val="32"/>
                <w:szCs w:val="32"/>
              </w:rPr>
              <w:t>Assu</w:t>
            </w:r>
            <w:r w:rsidR="00847B08">
              <w:rPr>
                <w:rFonts w:cs="Times New Roman"/>
                <w:b/>
                <w:color w:val="0070C0"/>
                <w:sz w:val="32"/>
                <w:szCs w:val="32"/>
              </w:rPr>
              <w:t xml:space="preserve">mptions </w:t>
            </w:r>
            <w:r w:rsidRPr="009A2FBC">
              <w:rPr>
                <w:rFonts w:cs="Times New Roman"/>
                <w:b/>
                <w:color w:val="0070C0"/>
                <w:sz w:val="32"/>
                <w:szCs w:val="32"/>
              </w:rPr>
              <w:t>and Site Selection Criteria</w:t>
            </w:r>
          </w:p>
        </w:tc>
      </w:tr>
      <w:tr w:rsidR="00994015" w:rsidRPr="005230E0" w14:paraId="11C235B2" w14:textId="77777777" w:rsidTr="00994015">
        <w:tc>
          <w:tcPr>
            <w:tcW w:w="17640" w:type="dxa"/>
            <w:shd w:val="clear" w:color="auto" w:fill="FFFFFF" w:themeFill="background1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E62176B" w14:textId="77777777" w:rsidR="00847B08" w:rsidRDefault="00847B08" w:rsidP="00847B08">
            <w:pPr>
              <w:rPr>
                <w:u w:val="single"/>
              </w:rPr>
            </w:pPr>
            <w:r w:rsidRPr="00FE3B79">
              <w:rPr>
                <w:u w:val="single"/>
              </w:rPr>
              <w:t>Universe</w:t>
            </w:r>
          </w:p>
          <w:p w14:paraId="6C47F326" w14:textId="77777777" w:rsidR="00A54C67" w:rsidRPr="00FE3B79" w:rsidRDefault="00A54C67" w:rsidP="00847B08">
            <w:pPr>
              <w:rPr>
                <w:u w:val="single"/>
              </w:rPr>
            </w:pPr>
          </w:p>
          <w:p w14:paraId="14295863" w14:textId="0A871651" w:rsidR="00847B08" w:rsidRPr="00FE3B79" w:rsidRDefault="00847B08" w:rsidP="00CB59EE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 w:rsidRPr="00FE3B79">
              <w:t>The Address Canvassing Test will occur in two sites within the United States, with each containing 4</w:t>
            </w:r>
            <w:r w:rsidR="00AC6309">
              <w:t>,</w:t>
            </w:r>
            <w:r w:rsidRPr="00FE3B79">
              <w:t xml:space="preserve">000 contiguous non-zero </w:t>
            </w:r>
            <w:r w:rsidR="00090881">
              <w:t xml:space="preserve">housing unit </w:t>
            </w:r>
            <w:r w:rsidRPr="00FE3B79">
              <w:t>blocks.</w:t>
            </w:r>
          </w:p>
          <w:p w14:paraId="113092D4" w14:textId="5CC3FF1F" w:rsidR="00847B08" w:rsidRPr="00FE3B79" w:rsidRDefault="00847B08" w:rsidP="00CB59EE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 w:rsidRPr="00FE3B79">
              <w:t>The Address Canvassing Test will occur in two sites in the lower 48 states</w:t>
            </w:r>
            <w:r w:rsidR="0054226D">
              <w:t xml:space="preserve"> </w:t>
            </w:r>
            <w:r w:rsidR="00226EFC">
              <w:t>(</w:t>
            </w:r>
            <w:r w:rsidRPr="00FE3B79">
              <w:t>the test sites will not be in Alaska, Hawaii, Puerto Rico or the Island Areas</w:t>
            </w:r>
            <w:r w:rsidR="00226EFC">
              <w:t>)</w:t>
            </w:r>
            <w:r w:rsidRPr="00FE3B79">
              <w:t>.</w:t>
            </w:r>
          </w:p>
          <w:p w14:paraId="0F7D7FB9" w14:textId="0FC3ABC7" w:rsidR="00847B08" w:rsidRPr="00FE3B79" w:rsidRDefault="00847B08" w:rsidP="00CB59EE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 w:rsidRPr="00FE3B79">
              <w:t>The Address Canvassing Test sites will contain a variety of address styles, such as city-style addresses, non city-style address, and location descriptions (low priority)</w:t>
            </w:r>
            <w:r w:rsidR="00BF2A97">
              <w:t>.</w:t>
            </w:r>
          </w:p>
          <w:p w14:paraId="5C99923B" w14:textId="77777777" w:rsidR="00847B08" w:rsidRPr="00FE3B79" w:rsidRDefault="00847B08" w:rsidP="00CB59EE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 w:rsidRPr="00FE3B79">
              <w:t>The Address Canvassing Test will contain one site that has been through GSS-I Local File Updating (specifically through the Address Source Evaluation) and one site that has not.</w:t>
            </w:r>
          </w:p>
          <w:p w14:paraId="32CE276C" w14:textId="4CDB7A42" w:rsidR="005C7DD1" w:rsidRDefault="005C7DD1" w:rsidP="00CB59EE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>
              <w:t>The Address Canvassing Test will contain one site that has commercial file data available for updating and one site that has not.</w:t>
            </w:r>
          </w:p>
          <w:p w14:paraId="0A8BB9DA" w14:textId="20C9C97F" w:rsidR="00847B08" w:rsidRPr="00FE3B79" w:rsidRDefault="00847B08" w:rsidP="00CB59EE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 w:rsidRPr="00FE3B79">
              <w:t xml:space="preserve">The Address Canvassing Test will contain one site that is experiencing growth </w:t>
            </w:r>
            <w:r w:rsidR="002E0E70">
              <w:t>(</w:t>
            </w:r>
            <w:r w:rsidR="006065E7">
              <w:t xml:space="preserve">≥1.7% based on 2010-2014 housing unit estimates) </w:t>
            </w:r>
            <w:r w:rsidRPr="00FE3B79">
              <w:t>and one site that is experiencing decline</w:t>
            </w:r>
            <w:r w:rsidR="006065E7">
              <w:t xml:space="preserve"> (&lt;</w:t>
            </w:r>
            <w:r w:rsidR="001D4A3C">
              <w:t>0% based on 2010-2014 housing unit estimates)</w:t>
            </w:r>
            <w:r w:rsidRPr="00FE3B79">
              <w:t>.</w:t>
            </w:r>
          </w:p>
          <w:p w14:paraId="2D65A08F" w14:textId="21C2E5F3" w:rsidR="00847B08" w:rsidRPr="00FE3B79" w:rsidRDefault="00847B08" w:rsidP="00CB59EE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 w:rsidRPr="00FE3B79">
              <w:t>The Address Canvassing Test will contain one site that contain</w:t>
            </w:r>
            <w:r w:rsidR="00350525">
              <w:t>s</w:t>
            </w:r>
            <w:r w:rsidRPr="00FE3B79">
              <w:t xml:space="preserve"> geographic areas </w:t>
            </w:r>
            <w:r w:rsidR="004D428D">
              <w:t xml:space="preserve">identified as </w:t>
            </w:r>
            <w:r w:rsidR="00FD28A6">
              <w:t xml:space="preserve">potential </w:t>
            </w:r>
            <w:r w:rsidRPr="00FE3B79">
              <w:t xml:space="preserve">In-Field Address Canvassing </w:t>
            </w:r>
            <w:r w:rsidR="004D428D">
              <w:t xml:space="preserve">blocks </w:t>
            </w:r>
            <w:r w:rsidR="00D620F6">
              <w:t xml:space="preserve">(i.e., excludes preliminary Update Enumerate areas, blocks with 100% Delivery Sequence File coverage, </w:t>
            </w:r>
            <w:r w:rsidR="00C1763C">
              <w:t xml:space="preserve">and </w:t>
            </w:r>
            <w:r w:rsidR="00D620F6">
              <w:t>blocks that have not experienced any changes in the MAF inventory of addresses between 2010 and 2014)</w:t>
            </w:r>
            <w:r w:rsidRPr="00FE3B79">
              <w:t xml:space="preserve">.  </w:t>
            </w:r>
          </w:p>
          <w:p w14:paraId="2ECD68EA" w14:textId="77777777" w:rsidR="00847B08" w:rsidRPr="00FE3B79" w:rsidRDefault="00847B08" w:rsidP="00CB59EE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 w:rsidRPr="00FE3B79">
              <w:t>The Address Canvassing Test sites will not contain Update Enumerate areas.</w:t>
            </w:r>
          </w:p>
          <w:p w14:paraId="193EA01E" w14:textId="77777777" w:rsidR="00847B08" w:rsidRPr="00FE3B79" w:rsidRDefault="00847B08" w:rsidP="00CB59EE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 w:rsidRPr="00FE3B79">
              <w:t>The Address Canvassing Test sites will not contain military areas.</w:t>
            </w:r>
          </w:p>
          <w:p w14:paraId="6E3CC596" w14:textId="77777777" w:rsidR="00847B08" w:rsidRDefault="00847B08" w:rsidP="00CB59EE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 w:rsidRPr="00FE3B79">
              <w:t>The Address Canvassing Test will use the Basic Collection Unit (BCU) as the unit of geography to organize and manage work assignments.</w:t>
            </w:r>
          </w:p>
          <w:p w14:paraId="5B61038C" w14:textId="0A3B6746" w:rsidR="002E0E70" w:rsidRDefault="002E0E70" w:rsidP="002E0E70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>
              <w:t xml:space="preserve">All BCUs </w:t>
            </w:r>
            <w:r w:rsidRPr="00FE3B79">
              <w:t>in the Address Canvassing Test sites will be canvassed in b</w:t>
            </w:r>
            <w:r>
              <w:t xml:space="preserve">oth the office and the field.  </w:t>
            </w:r>
          </w:p>
          <w:p w14:paraId="1F47F916" w14:textId="77777777" w:rsidR="00A54C67" w:rsidRDefault="00A54C67" w:rsidP="00A54C67">
            <w:pPr>
              <w:spacing w:after="120"/>
            </w:pPr>
          </w:p>
          <w:p w14:paraId="254AB9AC" w14:textId="77777777" w:rsidR="00A54C67" w:rsidRDefault="00A54C67" w:rsidP="00A54C67">
            <w:pPr>
              <w:spacing w:after="120"/>
            </w:pPr>
          </w:p>
          <w:p w14:paraId="5948DBEF" w14:textId="77777777" w:rsidR="00E47A5E" w:rsidRDefault="00E47A5E" w:rsidP="00A54C67">
            <w:pPr>
              <w:spacing w:after="120"/>
            </w:pPr>
          </w:p>
          <w:p w14:paraId="2C74EF26" w14:textId="77777777" w:rsidR="00847B08" w:rsidRPr="00FE3B79" w:rsidRDefault="00847B08" w:rsidP="00847B08">
            <w:pPr>
              <w:rPr>
                <w:u w:val="single"/>
              </w:rPr>
            </w:pPr>
            <w:r w:rsidRPr="00FE3B79">
              <w:rPr>
                <w:u w:val="single"/>
              </w:rPr>
              <w:t>In-Field Canvassing</w:t>
            </w:r>
          </w:p>
          <w:p w14:paraId="1D074E9D" w14:textId="289A4395" w:rsidR="00847B08" w:rsidRPr="00FE3B79" w:rsidRDefault="00847B08" w:rsidP="00CB59EE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 w:rsidRPr="00FE3B79">
              <w:t>In-Field Address Canvassing will be conducted using Corporate Listing a</w:t>
            </w:r>
            <w:r w:rsidR="00EE5A0A">
              <w:t xml:space="preserve">nd Mapping Solutions (LiMA), </w:t>
            </w:r>
            <w:r w:rsidRPr="00FE3B79">
              <w:t>M</w:t>
            </w:r>
            <w:r w:rsidR="00EE5A0A">
              <w:t xml:space="preserve">obile </w:t>
            </w:r>
            <w:r w:rsidRPr="00FE3B79">
              <w:t>C</w:t>
            </w:r>
            <w:r w:rsidR="00EE5A0A">
              <w:t xml:space="preserve">ase </w:t>
            </w:r>
            <w:r w:rsidRPr="00FE3B79">
              <w:t>M</w:t>
            </w:r>
            <w:r w:rsidR="00EE5A0A">
              <w:t>anagement, MOJO and UTS (i.e., CEDCaP systems)</w:t>
            </w:r>
            <w:r w:rsidRPr="00FE3B79">
              <w:t>.</w:t>
            </w:r>
          </w:p>
          <w:p w14:paraId="38BC28D3" w14:textId="5D436065" w:rsidR="00847B08" w:rsidRDefault="00847B08" w:rsidP="00CB59EE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 w:rsidRPr="00FE3B79">
              <w:t xml:space="preserve">In-Field Address Canvassing </w:t>
            </w:r>
            <w:r w:rsidR="0044321C">
              <w:t xml:space="preserve">data collection </w:t>
            </w:r>
            <w:r w:rsidR="00EE5A0A">
              <w:t>will be conducted using</w:t>
            </w:r>
            <w:r w:rsidRPr="00FE3B79">
              <w:t xml:space="preserve"> a </w:t>
            </w:r>
            <w:r w:rsidR="0044321C">
              <w:t>smartphone</w:t>
            </w:r>
            <w:r w:rsidRPr="00FE3B79">
              <w:t xml:space="preserve"> device.  </w:t>
            </w:r>
          </w:p>
          <w:p w14:paraId="15469A50" w14:textId="5F154C80" w:rsidR="00D4685E" w:rsidRPr="00FE3B79" w:rsidRDefault="00D4685E" w:rsidP="00B049B6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>
              <w:t xml:space="preserve">In-Field Address Canvassing will </w:t>
            </w:r>
            <w:r>
              <w:rPr>
                <w:rFonts w:ascii="Calibri" w:hAnsi="Calibri"/>
                <w:color w:val="000000"/>
              </w:rPr>
              <w:t xml:space="preserve">conduct a second canvass of selected BCUs to perform </w:t>
            </w:r>
            <w:r w:rsidR="00EE5A0A">
              <w:rPr>
                <w:rFonts w:ascii="Calibri" w:hAnsi="Calibri"/>
                <w:color w:val="000000"/>
              </w:rPr>
              <w:t>a rudimentary</w:t>
            </w:r>
            <w:r>
              <w:rPr>
                <w:rFonts w:ascii="Calibri" w:hAnsi="Calibri"/>
                <w:color w:val="000000"/>
              </w:rPr>
              <w:t xml:space="preserve"> quality estimation on those BCUs. If a large discrepancy rate </w:t>
            </w:r>
            <w:r w:rsidR="00F428FE">
              <w:rPr>
                <w:rFonts w:ascii="Calibri" w:hAnsi="Calibri"/>
                <w:color w:val="000000"/>
              </w:rPr>
              <w:t xml:space="preserve">is found </w:t>
            </w:r>
            <w:r>
              <w:rPr>
                <w:rFonts w:ascii="Calibri" w:hAnsi="Calibri"/>
                <w:color w:val="000000"/>
              </w:rPr>
              <w:t xml:space="preserve">between the two listings </w:t>
            </w:r>
            <w:r w:rsidR="00F428FE">
              <w:rPr>
                <w:rFonts w:ascii="Calibri" w:hAnsi="Calibri"/>
                <w:color w:val="000000"/>
              </w:rPr>
              <w:t>on the same BCU</w:t>
            </w:r>
            <w:r>
              <w:rPr>
                <w:rFonts w:ascii="Calibri" w:hAnsi="Calibri"/>
                <w:color w:val="000000"/>
              </w:rPr>
              <w:t>, it may imply one of the two listings was of poor quality, or the block was difficult to list.  This information may be of use when resolving discrepancies between</w:t>
            </w:r>
            <w:r w:rsidR="00E7310F">
              <w:rPr>
                <w:rFonts w:ascii="Calibri" w:hAnsi="Calibri"/>
                <w:color w:val="000000"/>
              </w:rPr>
              <w:t xml:space="preserve"> In-Office Address Canvassing and In-Field Address Canvassing.</w:t>
            </w:r>
          </w:p>
          <w:p w14:paraId="4F1E3086" w14:textId="49363C18" w:rsidR="00B049B6" w:rsidRDefault="00B049B6" w:rsidP="00B049B6">
            <w:pPr>
              <w:pStyle w:val="ListParagraph"/>
              <w:numPr>
                <w:ilvl w:val="0"/>
                <w:numId w:val="4"/>
              </w:numPr>
              <w:spacing w:line="360" w:lineRule="auto"/>
              <w:contextualSpacing w:val="0"/>
            </w:pPr>
            <w:r>
              <w:t>In-Field Address Canvassing will not collect feature updates.</w:t>
            </w:r>
          </w:p>
          <w:p w14:paraId="110D38D2" w14:textId="22CD7298" w:rsidR="00CB59EE" w:rsidRDefault="00CB59EE" w:rsidP="00CB59EE">
            <w:pPr>
              <w:pStyle w:val="ListParagraph"/>
              <w:numPr>
                <w:ilvl w:val="0"/>
                <w:numId w:val="4"/>
              </w:numPr>
              <w:spacing w:after="120" w:line="360" w:lineRule="auto"/>
            </w:pPr>
            <w:r w:rsidRPr="00FE3B79">
              <w:t>In-Field Address Canvassing results will update the MAF/TIGER database.</w:t>
            </w:r>
          </w:p>
          <w:p w14:paraId="3EC1C55D" w14:textId="77777777" w:rsidR="00A54C67" w:rsidRPr="00FE3B79" w:rsidRDefault="00A54C67" w:rsidP="00A54C67">
            <w:pPr>
              <w:pStyle w:val="ListParagraph"/>
              <w:spacing w:after="120"/>
              <w:ind w:left="360"/>
              <w:contextualSpacing w:val="0"/>
            </w:pPr>
          </w:p>
          <w:p w14:paraId="2576F16F" w14:textId="77777777" w:rsidR="00847B08" w:rsidRPr="00FE3B79" w:rsidRDefault="00847B08" w:rsidP="00847B08">
            <w:pPr>
              <w:rPr>
                <w:u w:val="single"/>
              </w:rPr>
            </w:pPr>
            <w:r w:rsidRPr="00FE3B79">
              <w:rPr>
                <w:u w:val="single"/>
              </w:rPr>
              <w:t>Other</w:t>
            </w:r>
          </w:p>
          <w:p w14:paraId="5F18ED70" w14:textId="77777777" w:rsidR="00847B08" w:rsidRPr="00FE3B79" w:rsidRDefault="00847B08" w:rsidP="00CB59EE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 w:rsidRPr="00FE3B79">
              <w:t>In-Office Address Canvassing and In-Field Address Canvassing will inform the same management reporting system.</w:t>
            </w:r>
          </w:p>
          <w:p w14:paraId="5A59D1C7" w14:textId="1ED90561" w:rsidR="00847B08" w:rsidRPr="00FE3B79" w:rsidRDefault="00847B08" w:rsidP="00CB59EE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 w:rsidRPr="00FE3B79">
              <w:t xml:space="preserve">The Address Canvassing </w:t>
            </w:r>
            <w:r w:rsidR="00E47A5E">
              <w:t xml:space="preserve">Integrated Product Team </w:t>
            </w:r>
            <w:r w:rsidRPr="00FE3B79">
              <w:t xml:space="preserve">will review Lessons Learned from previous census tests and use them to guide the planning for the test if appropriate.  </w:t>
            </w:r>
          </w:p>
          <w:p w14:paraId="799CDC74" w14:textId="2F3EB111" w:rsidR="00847B08" w:rsidRPr="00994015" w:rsidRDefault="00847B08" w:rsidP="00847B08">
            <w:pPr>
              <w:rPr>
                <w:rFonts w:cs="Times New Roman"/>
                <w:sz w:val="24"/>
                <w:szCs w:val="24"/>
                <w:u w:val="single"/>
              </w:rPr>
            </w:pPr>
          </w:p>
        </w:tc>
      </w:tr>
    </w:tbl>
    <w:p w14:paraId="24828901" w14:textId="288BA8E1" w:rsidR="00A54C67" w:rsidRDefault="00A54C67" w:rsidP="00994015">
      <w:pPr>
        <w:rPr>
          <w:rFonts w:cs="Times New Roman"/>
          <w:color w:val="0070C0"/>
          <w:sz w:val="40"/>
          <w:szCs w:val="40"/>
        </w:rPr>
      </w:pPr>
    </w:p>
    <w:p w14:paraId="41EC7D31" w14:textId="293AA2DE" w:rsidR="008C7A2D" w:rsidRPr="00994015" w:rsidRDefault="00A54C67" w:rsidP="00994015">
      <w:pPr>
        <w:rPr>
          <w:rFonts w:cs="Times New Roman"/>
          <w:color w:val="0070C0"/>
          <w:sz w:val="40"/>
          <w:szCs w:val="40"/>
        </w:rPr>
      </w:pPr>
      <w:r>
        <w:rPr>
          <w:rFonts w:cs="Times New Roman"/>
          <w:color w:val="0070C0"/>
          <w:sz w:val="40"/>
          <w:szCs w:val="40"/>
        </w:rPr>
        <w:br w:type="page"/>
      </w:r>
    </w:p>
    <w:p w14:paraId="48F4B467" w14:textId="0DBED041" w:rsidR="00A54C67" w:rsidRPr="005230E0" w:rsidRDefault="00A54C67" w:rsidP="00A54C67">
      <w:pPr>
        <w:jc w:val="center"/>
        <w:rPr>
          <w:rFonts w:cs="Times New Roman"/>
          <w:b/>
          <w:color w:val="4F81BD" w:themeColor="accent1"/>
          <w:sz w:val="56"/>
          <w:szCs w:val="56"/>
        </w:rPr>
      </w:pPr>
      <w:r>
        <w:rPr>
          <w:rFonts w:cs="Times New Roman"/>
          <w:b/>
          <w:color w:val="4F81BD" w:themeColor="accent1"/>
          <w:sz w:val="56"/>
          <w:szCs w:val="56"/>
        </w:rPr>
        <w:lastRenderedPageBreak/>
        <w:t>Address Canvassing</w:t>
      </w:r>
      <w:r w:rsidRPr="005230E0">
        <w:rPr>
          <w:rFonts w:cs="Times New Roman"/>
          <w:b/>
          <w:color w:val="4F81BD" w:themeColor="accent1"/>
          <w:sz w:val="56"/>
          <w:szCs w:val="56"/>
        </w:rPr>
        <w:t xml:space="preserve"> Test</w:t>
      </w:r>
    </w:p>
    <w:p w14:paraId="6EB9A576" w14:textId="77777777" w:rsidR="00A54C67" w:rsidRPr="005230E0" w:rsidRDefault="00A54C67" w:rsidP="00A54C67">
      <w:pPr>
        <w:tabs>
          <w:tab w:val="left" w:pos="3600"/>
        </w:tabs>
        <w:spacing w:after="0" w:line="240" w:lineRule="auto"/>
        <w:jc w:val="center"/>
        <w:rPr>
          <w:rFonts w:cs="Times New Roman"/>
          <w:b/>
          <w:color w:val="0000FF"/>
          <w:sz w:val="32"/>
          <w:szCs w:val="32"/>
        </w:rPr>
      </w:pP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2333"/>
        <w:gridCol w:w="16387"/>
      </w:tblGrid>
      <w:tr w:rsidR="00A54C67" w:rsidRPr="005230E0" w14:paraId="739683A0" w14:textId="77777777" w:rsidTr="00A54C67">
        <w:tc>
          <w:tcPr>
            <w:tcW w:w="2333" w:type="dxa"/>
            <w:shd w:val="clear" w:color="auto" w:fill="DBE5F1" w:themeFill="accent1" w:themeFillTint="33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30D9C19" w14:textId="77777777" w:rsidR="00A54C67" w:rsidRPr="005230E0" w:rsidRDefault="00A54C67" w:rsidP="00A54C67">
            <w:pPr>
              <w:rPr>
                <w:rFonts w:cs="Times New Roman"/>
                <w:sz w:val="24"/>
                <w:szCs w:val="24"/>
              </w:rPr>
            </w:pPr>
            <w:r w:rsidRPr="005230E0">
              <w:rPr>
                <w:rFonts w:cs="Times New Roman"/>
                <w:sz w:val="24"/>
                <w:szCs w:val="24"/>
              </w:rPr>
              <w:t>Test Focus</w:t>
            </w:r>
          </w:p>
        </w:tc>
        <w:tc>
          <w:tcPr>
            <w:tcW w:w="16387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C2A4B11" w14:textId="77777777" w:rsidR="00A54C67" w:rsidRPr="00A465AB" w:rsidRDefault="00A54C67" w:rsidP="00A54C67">
            <w:pPr>
              <w:rPr>
                <w:rFonts w:cs="Times New Roman"/>
                <w:sz w:val="24"/>
                <w:szCs w:val="24"/>
              </w:rPr>
            </w:pPr>
            <w:r w:rsidRPr="00A465AB">
              <w:rPr>
                <w:rFonts w:cs="Times New Roman"/>
                <w:sz w:val="24"/>
                <w:szCs w:val="24"/>
              </w:rPr>
              <w:t xml:space="preserve">Focus of the test is: </w:t>
            </w:r>
          </w:p>
          <w:p w14:paraId="49ED89F7" w14:textId="77777777" w:rsidR="00A54C67" w:rsidRDefault="00A465AB" w:rsidP="00A465AB">
            <w:pPr>
              <w:pStyle w:val="ListParagraph"/>
              <w:numPr>
                <w:ilvl w:val="0"/>
                <w:numId w:val="36"/>
              </w:numPr>
              <w:ind w:left="342"/>
              <w:rPr>
                <w:rFonts w:cs="Times New Roman"/>
                <w:sz w:val="24"/>
                <w:szCs w:val="24"/>
              </w:rPr>
            </w:pPr>
            <w:r w:rsidRPr="00A465AB">
              <w:rPr>
                <w:sz w:val="24"/>
                <w:szCs w:val="24"/>
              </w:rPr>
              <w:t>Measure the effectiveness of In-Office Address Canvassing through In-Field Address Canvassing</w:t>
            </w:r>
            <w:r w:rsidRPr="00A465AB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DD20D9D" w14:textId="77777777" w:rsidR="00946E87" w:rsidRDefault="00946E87" w:rsidP="00946E87">
            <w:pPr>
              <w:pStyle w:val="ListParagraph"/>
              <w:numPr>
                <w:ilvl w:val="0"/>
                <w:numId w:val="36"/>
              </w:numPr>
              <w:ind w:left="342"/>
              <w:rPr>
                <w:sz w:val="24"/>
                <w:szCs w:val="24"/>
              </w:rPr>
            </w:pPr>
            <w:r w:rsidRPr="00946E87">
              <w:rPr>
                <w:sz w:val="24"/>
                <w:szCs w:val="24"/>
              </w:rPr>
              <w:t>Measure the effectiveness of In-Field Address Canvassing</w:t>
            </w:r>
          </w:p>
          <w:p w14:paraId="55CEA4D6" w14:textId="706DC405" w:rsidR="00946E87" w:rsidRPr="00946E87" w:rsidRDefault="00946E87" w:rsidP="002C51CC">
            <w:pPr>
              <w:pStyle w:val="ListParagraph"/>
              <w:numPr>
                <w:ilvl w:val="0"/>
                <w:numId w:val="36"/>
              </w:numPr>
              <w:ind w:left="342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Understand the implications of moving from Assignment Area (a grouping of blocks) to Basic Collection Unit (BCU), whi</w:t>
            </w:r>
            <w:r>
              <w:rPr>
                <w:sz w:val="24"/>
                <w:szCs w:val="24"/>
              </w:rPr>
              <w:t xml:space="preserve">ch </w:t>
            </w:r>
            <w:r w:rsidR="002C51CC">
              <w:rPr>
                <w:sz w:val="24"/>
                <w:szCs w:val="24"/>
              </w:rPr>
              <w:t>encompass the characteristics of both</w:t>
            </w:r>
            <w:r>
              <w:rPr>
                <w:sz w:val="24"/>
                <w:szCs w:val="24"/>
              </w:rPr>
              <w:t xml:space="preserve"> </w:t>
            </w:r>
            <w:r w:rsidR="002C51CC">
              <w:rPr>
                <w:sz w:val="24"/>
                <w:szCs w:val="24"/>
              </w:rPr>
              <w:t xml:space="preserve">collection </w:t>
            </w:r>
            <w:r>
              <w:rPr>
                <w:sz w:val="24"/>
                <w:szCs w:val="24"/>
              </w:rPr>
              <w:t>blocks</w:t>
            </w:r>
            <w:r w:rsidR="002C51CC">
              <w:rPr>
                <w:sz w:val="24"/>
                <w:szCs w:val="24"/>
              </w:rPr>
              <w:t xml:space="preserve"> and assignment areas.</w:t>
            </w:r>
          </w:p>
        </w:tc>
      </w:tr>
      <w:tr w:rsidR="00A54C67" w:rsidRPr="005230E0" w14:paraId="4025E8D7" w14:textId="77777777" w:rsidTr="00A54C67">
        <w:tc>
          <w:tcPr>
            <w:tcW w:w="2333" w:type="dxa"/>
            <w:shd w:val="clear" w:color="auto" w:fill="DBE5F1" w:themeFill="accent1" w:themeFillTint="33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04498D1" w14:textId="67A14EC0" w:rsidR="00A54C67" w:rsidRPr="005230E0" w:rsidRDefault="000A32FA" w:rsidP="00A54C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Milestone Schedule</w:t>
            </w:r>
          </w:p>
        </w:tc>
        <w:tc>
          <w:tcPr>
            <w:tcW w:w="16387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A6D7F4E" w14:textId="26BF36C9" w:rsidR="00BA1CFE" w:rsidRDefault="00CB5F82" w:rsidP="00A54C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Begin </w:t>
            </w:r>
            <w:r w:rsidR="00BA1CFE">
              <w:rPr>
                <w:rFonts w:cs="Times New Roman"/>
                <w:sz w:val="24"/>
                <w:szCs w:val="24"/>
              </w:rPr>
              <w:t>Field Management Training     August 29, 2016</w:t>
            </w:r>
          </w:p>
          <w:p w14:paraId="06631550" w14:textId="10A59104" w:rsidR="00BA1CFE" w:rsidRDefault="00CB5F82" w:rsidP="00A54C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Begin </w:t>
            </w:r>
            <w:r w:rsidR="00BA1CFE">
              <w:rPr>
                <w:rFonts w:cs="Times New Roman"/>
                <w:sz w:val="24"/>
                <w:szCs w:val="24"/>
              </w:rPr>
              <w:t>Field Supervisor Training     September 13, 2016</w:t>
            </w:r>
          </w:p>
          <w:p w14:paraId="2FD6B027" w14:textId="3AB911AF" w:rsidR="000A32FA" w:rsidRDefault="00CB5F82" w:rsidP="00A54C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Begin </w:t>
            </w:r>
            <w:r w:rsidR="00BA1CFE">
              <w:rPr>
                <w:rFonts w:cs="Times New Roman"/>
                <w:sz w:val="24"/>
                <w:szCs w:val="24"/>
              </w:rPr>
              <w:t>Field Representative Training</w:t>
            </w:r>
            <w:r w:rsidR="000A32FA">
              <w:rPr>
                <w:rFonts w:cs="Times New Roman"/>
                <w:sz w:val="24"/>
                <w:szCs w:val="24"/>
              </w:rPr>
              <w:t xml:space="preserve">    </w:t>
            </w:r>
            <w:r w:rsidR="00BA1CFE">
              <w:rPr>
                <w:rFonts w:cs="Times New Roman"/>
                <w:sz w:val="24"/>
                <w:szCs w:val="24"/>
              </w:rPr>
              <w:t>September 26, 2016</w:t>
            </w:r>
          </w:p>
          <w:p w14:paraId="2D589E15" w14:textId="77777777" w:rsidR="00A54C67" w:rsidRDefault="00CB5F82" w:rsidP="00A54C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Begin </w:t>
            </w:r>
            <w:r w:rsidR="00BA1CFE">
              <w:rPr>
                <w:rFonts w:cs="Times New Roman"/>
                <w:sz w:val="24"/>
                <w:szCs w:val="24"/>
              </w:rPr>
              <w:t xml:space="preserve">In-Field Data Collection     </w:t>
            </w:r>
            <w:r w:rsidR="000A32FA">
              <w:rPr>
                <w:rFonts w:cs="Times New Roman"/>
                <w:sz w:val="24"/>
                <w:szCs w:val="24"/>
              </w:rPr>
              <w:t>October 3, 2016</w:t>
            </w:r>
          </w:p>
          <w:p w14:paraId="158D5FF0" w14:textId="77777777" w:rsidR="00CB5F82" w:rsidRDefault="00CB5F82" w:rsidP="00A54C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End In-Field Data Collection     November 15, 2016</w:t>
            </w:r>
          </w:p>
          <w:p w14:paraId="12A78855" w14:textId="17F9B5E6" w:rsidR="0061260F" w:rsidRPr="005230E0" w:rsidRDefault="0061260F" w:rsidP="003956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Release Address Canvassi</w:t>
            </w:r>
            <w:r w:rsidR="0039565F">
              <w:rPr>
                <w:rFonts w:cs="Times New Roman"/>
                <w:sz w:val="24"/>
                <w:szCs w:val="24"/>
              </w:rPr>
              <w:t>ng Test Analysis Report    April 29</w:t>
            </w:r>
            <w:r>
              <w:rPr>
                <w:rFonts w:cs="Times New Roman"/>
                <w:sz w:val="24"/>
                <w:szCs w:val="24"/>
              </w:rPr>
              <w:t>, 2017</w:t>
            </w:r>
          </w:p>
        </w:tc>
      </w:tr>
      <w:tr w:rsidR="00A54C67" w:rsidRPr="005230E0" w14:paraId="2C5FA32C" w14:textId="77777777" w:rsidTr="00A54C67">
        <w:tc>
          <w:tcPr>
            <w:tcW w:w="2333" w:type="dxa"/>
            <w:shd w:val="clear" w:color="auto" w:fill="DBE5F1" w:themeFill="accent1" w:themeFillTint="33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9625048" w14:textId="77777777" w:rsidR="00A54C67" w:rsidRPr="005230E0" w:rsidRDefault="00A54C67" w:rsidP="00A54C67">
            <w:pPr>
              <w:rPr>
                <w:rFonts w:cs="Times New Roman"/>
                <w:sz w:val="24"/>
                <w:szCs w:val="24"/>
              </w:rPr>
            </w:pPr>
            <w:r w:rsidRPr="005230E0">
              <w:rPr>
                <w:rFonts w:cs="Times New Roman"/>
                <w:sz w:val="24"/>
                <w:szCs w:val="24"/>
              </w:rPr>
              <w:t>Scope and Limitations</w:t>
            </w:r>
          </w:p>
        </w:tc>
        <w:tc>
          <w:tcPr>
            <w:tcW w:w="16387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48779FD" w14:textId="23618522" w:rsidR="00A54C67" w:rsidRPr="00A34991" w:rsidRDefault="00C33095" w:rsidP="00A54C67">
            <w:pPr>
              <w:rPr>
                <w:rFonts w:cs="Times New Roman"/>
                <w:sz w:val="24"/>
                <w:szCs w:val="24"/>
              </w:rPr>
            </w:pPr>
            <w:r w:rsidRPr="00A34991">
              <w:rPr>
                <w:rFonts w:cs="Times New Roman"/>
                <w:sz w:val="24"/>
                <w:szCs w:val="24"/>
              </w:rPr>
              <w:t xml:space="preserve">The </w:t>
            </w:r>
            <w:r w:rsidR="00C82596">
              <w:rPr>
                <w:rFonts w:cs="Times New Roman"/>
                <w:sz w:val="24"/>
                <w:szCs w:val="24"/>
              </w:rPr>
              <w:t>Address Canvassing T</w:t>
            </w:r>
            <w:r w:rsidR="00A34991">
              <w:rPr>
                <w:rFonts w:cs="Times New Roman"/>
                <w:sz w:val="24"/>
                <w:szCs w:val="24"/>
              </w:rPr>
              <w:t>est</w:t>
            </w:r>
            <w:r w:rsidR="00A34991" w:rsidRPr="00A34991">
              <w:rPr>
                <w:rFonts w:cs="Times New Roman"/>
                <w:sz w:val="24"/>
                <w:szCs w:val="24"/>
              </w:rPr>
              <w:t xml:space="preserve"> allows for the comparison of results from both In-Office Address Canvassing and In-Field Address Canvasing to measure the effectiveness of In-Office Address Canvassing procedures and processes</w:t>
            </w:r>
            <w:r w:rsidR="00A34991">
              <w:rPr>
                <w:rFonts w:cs="Times New Roman"/>
                <w:sz w:val="24"/>
                <w:szCs w:val="24"/>
              </w:rPr>
              <w:t>.</w:t>
            </w:r>
            <w:r w:rsidR="00C82596">
              <w:rPr>
                <w:rFonts w:cs="Times New Roman"/>
                <w:sz w:val="24"/>
                <w:szCs w:val="24"/>
              </w:rPr>
              <w:t xml:space="preserve">  This test is not intended to measure or assess the coverage of the Master Address File.  </w:t>
            </w:r>
            <w:r w:rsidR="00AC110E">
              <w:rPr>
                <w:rFonts w:cs="Times New Roman"/>
                <w:sz w:val="24"/>
                <w:szCs w:val="24"/>
              </w:rPr>
              <w:t xml:space="preserve"> Field Staff hired to support the Test will be </w:t>
            </w:r>
            <w:r w:rsidR="00AC110E">
              <w:rPr>
                <w:rFonts w:cs="Arial"/>
                <w:sz w:val="24"/>
                <w:szCs w:val="24"/>
              </w:rPr>
              <w:t>Field Representatives</w:t>
            </w:r>
            <w:r w:rsidR="00AC110E" w:rsidRPr="00FE3B79">
              <w:rPr>
                <w:rFonts w:cs="Arial"/>
                <w:sz w:val="24"/>
                <w:szCs w:val="24"/>
              </w:rPr>
              <w:t xml:space="preserve"> and </w:t>
            </w:r>
            <w:r w:rsidR="00AC110E">
              <w:rPr>
                <w:rFonts w:cs="Arial"/>
                <w:sz w:val="24"/>
                <w:szCs w:val="24"/>
              </w:rPr>
              <w:t>F</w:t>
            </w:r>
            <w:r w:rsidR="00AC110E" w:rsidRPr="00FE3B79">
              <w:rPr>
                <w:rFonts w:cs="Arial"/>
                <w:sz w:val="24"/>
                <w:szCs w:val="24"/>
              </w:rPr>
              <w:t xml:space="preserve">ield </w:t>
            </w:r>
            <w:r w:rsidR="00AC110E">
              <w:rPr>
                <w:rFonts w:cs="Arial"/>
                <w:sz w:val="24"/>
                <w:szCs w:val="24"/>
              </w:rPr>
              <w:t>S</w:t>
            </w:r>
            <w:r w:rsidR="00AC110E" w:rsidRPr="00FE3B79">
              <w:rPr>
                <w:rFonts w:cs="Arial"/>
                <w:sz w:val="24"/>
                <w:szCs w:val="24"/>
              </w:rPr>
              <w:t>upervisors</w:t>
            </w:r>
            <w:r w:rsidR="00AC110E">
              <w:rPr>
                <w:rFonts w:cs="Arial"/>
                <w:sz w:val="24"/>
                <w:szCs w:val="24"/>
              </w:rPr>
              <w:t xml:space="preserve">; we are not hiring staff via DAPPS due to time constraints. </w:t>
            </w:r>
            <w:r w:rsidR="00AC110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W w:w="18742" w:type="dxa"/>
        <w:tblInd w:w="93" w:type="dxa"/>
        <w:tblBorders>
          <w:top w:val="single" w:sz="4" w:space="0" w:color="76923C" w:themeColor="accent3" w:themeShade="BF"/>
          <w:left w:val="single" w:sz="4" w:space="0" w:color="76923C" w:themeColor="accent3" w:themeShade="BF"/>
          <w:bottom w:val="single" w:sz="4" w:space="0" w:color="76923C" w:themeColor="accent3" w:themeShade="BF"/>
          <w:right w:val="single" w:sz="4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3352"/>
        <w:gridCol w:w="5670"/>
        <w:gridCol w:w="4140"/>
        <w:gridCol w:w="5580"/>
      </w:tblGrid>
      <w:tr w:rsidR="00A54C67" w:rsidRPr="005230E0" w14:paraId="606B3B1C" w14:textId="77777777" w:rsidTr="00A54C67">
        <w:trPr>
          <w:trHeight w:val="503"/>
          <w:tblHeader/>
        </w:trPr>
        <w:tc>
          <w:tcPr>
            <w:tcW w:w="18742" w:type="dxa"/>
            <w:gridSpan w:val="4"/>
            <w:shd w:val="clear" w:color="auto" w:fill="C2D69B" w:themeFill="accent3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0394AA" w14:textId="77777777" w:rsidR="00A54C67" w:rsidRPr="005230E0" w:rsidRDefault="00A54C67" w:rsidP="00995A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5230E0">
              <w:rPr>
                <w:rFonts w:cs="Times New Roman"/>
                <w:b/>
                <w:color w:val="FF0000"/>
                <w:sz w:val="24"/>
                <w:szCs w:val="24"/>
              </w:rPr>
              <w:br w:type="page"/>
            </w:r>
            <w:r w:rsidRPr="005230E0">
              <w:rPr>
                <w:rFonts w:eastAsia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>Operations with Test Objectives and Research Questions</w:t>
            </w:r>
          </w:p>
        </w:tc>
      </w:tr>
      <w:tr w:rsidR="00A54C67" w:rsidRPr="005230E0" w14:paraId="3CCBE2AC" w14:textId="77777777" w:rsidTr="00A54C67">
        <w:trPr>
          <w:trHeight w:val="503"/>
          <w:tblHeader/>
        </w:trPr>
        <w:tc>
          <w:tcPr>
            <w:tcW w:w="3352" w:type="dxa"/>
            <w:shd w:val="clear" w:color="auto" w:fill="C2D69B" w:themeFill="accent3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CC79D08" w14:textId="77777777" w:rsidR="00A54C67" w:rsidRPr="005230E0" w:rsidRDefault="00A54C67" w:rsidP="00995A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5230E0">
              <w:rPr>
                <w:rFonts w:eastAsia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 xml:space="preserve">Goals </w:t>
            </w:r>
          </w:p>
        </w:tc>
        <w:tc>
          <w:tcPr>
            <w:tcW w:w="5670" w:type="dxa"/>
            <w:shd w:val="clear" w:color="auto" w:fill="C2D69B" w:themeFill="accent3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0DFF90C" w14:textId="77777777" w:rsidR="00A54C67" w:rsidRPr="005230E0" w:rsidRDefault="00A54C67" w:rsidP="00995A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5230E0">
              <w:rPr>
                <w:rFonts w:eastAsia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>Objectives</w:t>
            </w:r>
          </w:p>
        </w:tc>
        <w:tc>
          <w:tcPr>
            <w:tcW w:w="4140" w:type="dxa"/>
            <w:shd w:val="clear" w:color="auto" w:fill="C2D69B" w:themeFill="accent3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B622398" w14:textId="77777777" w:rsidR="00A54C67" w:rsidRPr="005230E0" w:rsidRDefault="00A54C67" w:rsidP="00995A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5230E0">
              <w:rPr>
                <w:rFonts w:eastAsia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>Success Criteria</w:t>
            </w:r>
          </w:p>
        </w:tc>
        <w:tc>
          <w:tcPr>
            <w:tcW w:w="5580" w:type="dxa"/>
            <w:shd w:val="clear" w:color="auto" w:fill="C2D69B" w:themeFill="accent3" w:themeFillTint="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EFC36B7" w14:textId="129C9BD4" w:rsidR="00A54C67" w:rsidRPr="005230E0" w:rsidRDefault="00F33961" w:rsidP="00995A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>Questions to Answer</w:t>
            </w:r>
            <w:r w:rsidR="00A54C67" w:rsidRPr="005230E0">
              <w:rPr>
                <w:rFonts w:eastAsia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 xml:space="preserve"> </w:t>
            </w:r>
          </w:p>
        </w:tc>
      </w:tr>
      <w:tr w:rsidR="00A54C67" w:rsidRPr="005230E0" w14:paraId="0312C149" w14:textId="77777777" w:rsidTr="00A54C67">
        <w:trPr>
          <w:trHeight w:val="449"/>
        </w:trPr>
        <w:tc>
          <w:tcPr>
            <w:tcW w:w="18742" w:type="dxa"/>
            <w:gridSpan w:val="4"/>
            <w:shd w:val="clear" w:color="auto" w:fill="EAF1DD" w:themeFill="accent3" w:themeFillTint="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D63743" w14:textId="08DC2037" w:rsidR="00A54C67" w:rsidRPr="00B12D9B" w:rsidRDefault="00B12D9B" w:rsidP="00995A36">
            <w:pPr>
              <w:spacing w:after="0" w:line="240" w:lineRule="auto"/>
              <w:rPr>
                <w:rFonts w:eastAsia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B050"/>
                <w:sz w:val="24"/>
                <w:szCs w:val="24"/>
              </w:rPr>
              <w:t>Address Canvassing</w:t>
            </w:r>
          </w:p>
        </w:tc>
      </w:tr>
      <w:tr w:rsidR="00127774" w:rsidRPr="005230E0" w14:paraId="663EE6A0" w14:textId="77777777" w:rsidTr="00A54C67">
        <w:trPr>
          <w:trHeight w:val="757"/>
        </w:trPr>
        <w:tc>
          <w:tcPr>
            <w:tcW w:w="33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8DCCFD" w14:textId="525AAF47" w:rsidR="00127774" w:rsidRPr="005230E0" w:rsidRDefault="00127774" w:rsidP="00995A36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Measure the effectiveness of In-Office Address Canv</w:t>
            </w:r>
            <w:r w:rsidR="0039565F">
              <w:rPr>
                <w:sz w:val="24"/>
                <w:szCs w:val="24"/>
              </w:rPr>
              <w:t xml:space="preserve">assing </w:t>
            </w:r>
          </w:p>
        </w:tc>
        <w:tc>
          <w:tcPr>
            <w:tcW w:w="5670" w:type="dxa"/>
            <w:shd w:val="clear" w:color="auto" w:fill="auto"/>
            <w:tcMar>
              <w:top w:w="115" w:type="dxa"/>
              <w:bottom w:w="115" w:type="dxa"/>
            </w:tcMar>
          </w:tcPr>
          <w:p w14:paraId="11B3480D" w14:textId="77777777" w:rsidR="00127774" w:rsidRPr="00995A36" w:rsidRDefault="00127774" w:rsidP="00995A3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42"/>
              <w:rPr>
                <w:sz w:val="24"/>
                <w:szCs w:val="24"/>
              </w:rPr>
            </w:pPr>
            <w:r w:rsidRPr="00995A36">
              <w:rPr>
                <w:sz w:val="24"/>
                <w:szCs w:val="24"/>
              </w:rPr>
              <w:t>Implement In-Office Address Canvassing processes.  Including:</w:t>
            </w:r>
          </w:p>
          <w:p w14:paraId="25DFDACA" w14:textId="77777777" w:rsidR="00127774" w:rsidRPr="00995A36" w:rsidRDefault="00127774" w:rsidP="00995A3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4"/>
                <w:szCs w:val="24"/>
              </w:rPr>
            </w:pPr>
            <w:r w:rsidRPr="00995A36">
              <w:rPr>
                <w:sz w:val="24"/>
                <w:szCs w:val="24"/>
              </w:rPr>
              <w:t>Interactive Review</w:t>
            </w:r>
          </w:p>
          <w:p w14:paraId="17D9367A" w14:textId="77777777" w:rsidR="00127774" w:rsidRPr="00FE3B79" w:rsidRDefault="00127774" w:rsidP="00995A3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Active Block Resolution (ABR)</w:t>
            </w:r>
          </w:p>
          <w:p w14:paraId="030B978D" w14:textId="77777777" w:rsidR="00127774" w:rsidRPr="00FE3B79" w:rsidRDefault="00127774" w:rsidP="00995A3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MAF Update</w:t>
            </w:r>
          </w:p>
          <w:p w14:paraId="6EC1BCA9" w14:textId="77777777" w:rsidR="00127774" w:rsidRPr="00FE3B79" w:rsidRDefault="00127774" w:rsidP="00995A3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Identification of the In-Field Address Canvassing workload</w:t>
            </w:r>
          </w:p>
          <w:p w14:paraId="1AE09D98" w14:textId="5261EC4E" w:rsidR="00127774" w:rsidRPr="00127774" w:rsidRDefault="00127774" w:rsidP="00995A36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15" w:type="dxa"/>
              <w:bottom w:w="115" w:type="dxa"/>
            </w:tcMar>
          </w:tcPr>
          <w:p w14:paraId="43C72D79" w14:textId="77777777" w:rsidR="00127774" w:rsidRPr="00FE3B79" w:rsidRDefault="00127774" w:rsidP="00995A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 w:hanging="342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lastRenderedPageBreak/>
              <w:t>Update the MAF</w:t>
            </w:r>
          </w:p>
          <w:p w14:paraId="4B284C1B" w14:textId="77777777" w:rsidR="00127774" w:rsidRPr="00FE3B79" w:rsidRDefault="00127774" w:rsidP="00995A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 w:hanging="342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Collect production metrics</w:t>
            </w:r>
          </w:p>
          <w:p w14:paraId="63FC76C8" w14:textId="31F134F4" w:rsidR="00127774" w:rsidRPr="00FE3B79" w:rsidRDefault="00127774" w:rsidP="00995A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 w:hanging="342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Make use of resources provided by local governments an</w:t>
            </w:r>
            <w:r w:rsidR="0039565F">
              <w:rPr>
                <w:sz w:val="24"/>
                <w:szCs w:val="24"/>
              </w:rPr>
              <w:t>d commercial third party data</w:t>
            </w:r>
          </w:p>
          <w:p w14:paraId="07058994" w14:textId="4DF6E315" w:rsidR="00AC2A7F" w:rsidRPr="00AC2A7F" w:rsidRDefault="00127774" w:rsidP="00995A3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/>
              <w:rPr>
                <w:rFonts w:eastAsia="Times New Roman" w:cs="Times New Roman"/>
                <w:bCs/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 xml:space="preserve">Collect data to directly compare In-Office to In-Field </w:t>
            </w:r>
            <w:r w:rsidR="00365C94">
              <w:rPr>
                <w:sz w:val="24"/>
                <w:szCs w:val="24"/>
              </w:rPr>
              <w:t xml:space="preserve">Address </w:t>
            </w:r>
            <w:r w:rsidR="00365C94">
              <w:rPr>
                <w:sz w:val="24"/>
                <w:szCs w:val="24"/>
              </w:rPr>
              <w:lastRenderedPageBreak/>
              <w:t xml:space="preserve">Canvassing </w:t>
            </w:r>
            <w:r w:rsidRPr="00FE3B79">
              <w:rPr>
                <w:sz w:val="24"/>
                <w:szCs w:val="24"/>
              </w:rPr>
              <w:t xml:space="preserve">results </w:t>
            </w:r>
          </w:p>
          <w:p w14:paraId="231BA239" w14:textId="13727B0B" w:rsidR="00127774" w:rsidRPr="005230E0" w:rsidRDefault="00127774" w:rsidP="00995A3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/>
              <w:rPr>
                <w:rFonts w:eastAsia="Times New Roman" w:cs="Times New Roman"/>
                <w:bCs/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 xml:space="preserve">Collect data to determine if the identification of the In-Field </w:t>
            </w:r>
            <w:r w:rsidR="00365C94">
              <w:rPr>
                <w:sz w:val="24"/>
                <w:szCs w:val="24"/>
              </w:rPr>
              <w:t xml:space="preserve">Address Canvassing </w:t>
            </w:r>
            <w:r w:rsidRPr="00FE3B79">
              <w:rPr>
                <w:sz w:val="24"/>
                <w:szCs w:val="24"/>
              </w:rPr>
              <w:t>workload was accurate</w:t>
            </w:r>
          </w:p>
        </w:tc>
        <w:tc>
          <w:tcPr>
            <w:tcW w:w="5580" w:type="dxa"/>
            <w:shd w:val="clear" w:color="auto" w:fill="auto"/>
            <w:tcMar>
              <w:top w:w="115" w:type="dxa"/>
              <w:bottom w:w="115" w:type="dxa"/>
            </w:tcMar>
          </w:tcPr>
          <w:p w14:paraId="54FE0671" w14:textId="77777777" w:rsidR="00127774" w:rsidRPr="00FE3B79" w:rsidRDefault="00127774" w:rsidP="00995A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lastRenderedPageBreak/>
              <w:t>How accurate are the results from In-Office Address Canvassing relative to In-Field Address Canvassing?</w:t>
            </w:r>
          </w:p>
          <w:p w14:paraId="3049F4B8" w14:textId="63C4FB98" w:rsidR="00127774" w:rsidRDefault="00127774" w:rsidP="00995A36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02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Did In-Office Address Canvassing miss housing units</w:t>
            </w:r>
            <w:r w:rsidR="00F2448F">
              <w:rPr>
                <w:sz w:val="24"/>
                <w:szCs w:val="24"/>
              </w:rPr>
              <w:t xml:space="preserve"> that In-Field Address Canvassing identified</w:t>
            </w:r>
            <w:r w:rsidRPr="00FE3B79">
              <w:rPr>
                <w:sz w:val="24"/>
                <w:szCs w:val="24"/>
              </w:rPr>
              <w:t>?</w:t>
            </w:r>
            <w:r w:rsidR="00F2448F">
              <w:rPr>
                <w:sz w:val="24"/>
                <w:szCs w:val="24"/>
              </w:rPr>
              <w:t xml:space="preserve"> </w:t>
            </w:r>
            <w:r w:rsidR="005762A8">
              <w:rPr>
                <w:sz w:val="24"/>
                <w:szCs w:val="24"/>
              </w:rPr>
              <w:t>What types of units were missed (e.g., multi-units, trailers)</w:t>
            </w:r>
            <w:r w:rsidR="00F2448F">
              <w:rPr>
                <w:sz w:val="24"/>
                <w:szCs w:val="24"/>
              </w:rPr>
              <w:t>?</w:t>
            </w:r>
          </w:p>
          <w:p w14:paraId="36A13EC1" w14:textId="1F97EFDD" w:rsidR="002C51CC" w:rsidRDefault="002C51CC" w:rsidP="00995A36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Did In-Office Address Canvassing identify housing units that In-Field Address Canvassing missed?</w:t>
            </w:r>
            <w:r w:rsidR="00F2448F">
              <w:rPr>
                <w:sz w:val="24"/>
                <w:szCs w:val="24"/>
              </w:rPr>
              <w:t xml:space="preserve"> </w:t>
            </w:r>
            <w:r w:rsidR="00C86A7E">
              <w:rPr>
                <w:sz w:val="24"/>
                <w:szCs w:val="24"/>
              </w:rPr>
              <w:t>What types of units</w:t>
            </w:r>
            <w:r w:rsidR="00F2448F">
              <w:rPr>
                <w:sz w:val="24"/>
                <w:szCs w:val="24"/>
              </w:rPr>
              <w:t>?</w:t>
            </w:r>
          </w:p>
          <w:p w14:paraId="1ABA9126" w14:textId="4A35D7B2" w:rsidR="00E73A4A" w:rsidRDefault="00E73A4A" w:rsidP="00995A36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In-Field Address Canvassing take actions (adds, deletes, changes, moves) that </w:t>
            </w:r>
            <w:r w:rsidR="00273CFD">
              <w:rPr>
                <w:sz w:val="24"/>
                <w:szCs w:val="24"/>
              </w:rPr>
              <w:t>appear to be consistent with other sources of data (e.g., DSF status, GSS-I local file update status)?</w:t>
            </w:r>
          </w:p>
          <w:p w14:paraId="30EB39C6" w14:textId="574D5D08" w:rsidR="00553627" w:rsidRPr="006F5E5C" w:rsidRDefault="00553627" w:rsidP="00995A3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Can we identify the kinds </w:t>
            </w:r>
            <w:r w:rsidR="0039565F">
              <w:rPr>
                <w:rFonts w:eastAsia="Times New Roman" w:cs="Times New Roman"/>
                <w:bCs/>
                <w:sz w:val="24"/>
                <w:szCs w:val="24"/>
              </w:rPr>
              <w:t>of housing situations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in which In-Office Address Canvassing performs as or more effectively than In-Field Address Canvassing and vice versa?</w:t>
            </w:r>
          </w:p>
          <w:p w14:paraId="7028BF46" w14:textId="7CF8B2C8" w:rsidR="00127774" w:rsidRPr="005230E0" w:rsidRDefault="00127774" w:rsidP="00A5500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eastAsia="Times New Roman" w:cs="Times New Roman"/>
                <w:bCs/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 xml:space="preserve">Did </w:t>
            </w:r>
            <w:r w:rsidR="00A55006">
              <w:rPr>
                <w:sz w:val="24"/>
                <w:szCs w:val="24"/>
              </w:rPr>
              <w:t xml:space="preserve">In-Office Canvassing </w:t>
            </w:r>
            <w:r w:rsidRPr="00FE3B79">
              <w:rPr>
                <w:sz w:val="24"/>
                <w:szCs w:val="24"/>
              </w:rPr>
              <w:t xml:space="preserve">accurately identify </w:t>
            </w:r>
            <w:r w:rsidR="00A55006">
              <w:rPr>
                <w:sz w:val="24"/>
                <w:szCs w:val="24"/>
              </w:rPr>
              <w:t>the BCUs that required In</w:t>
            </w:r>
            <w:r w:rsidRPr="00FE3B79">
              <w:rPr>
                <w:sz w:val="24"/>
                <w:szCs w:val="24"/>
              </w:rPr>
              <w:t xml:space="preserve">-Field Address Canvassing </w:t>
            </w:r>
            <w:r w:rsidR="00A55006">
              <w:rPr>
                <w:sz w:val="24"/>
                <w:szCs w:val="24"/>
              </w:rPr>
              <w:t>work</w:t>
            </w:r>
            <w:r w:rsidRPr="00FE3B79">
              <w:rPr>
                <w:sz w:val="24"/>
                <w:szCs w:val="24"/>
              </w:rPr>
              <w:t>?</w:t>
            </w:r>
          </w:p>
        </w:tc>
      </w:tr>
      <w:tr w:rsidR="00995A36" w:rsidRPr="005230E0" w14:paraId="1B492CFF" w14:textId="77777777" w:rsidTr="00A54C67">
        <w:trPr>
          <w:trHeight w:val="757"/>
        </w:trPr>
        <w:tc>
          <w:tcPr>
            <w:tcW w:w="33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1FEA2F" w14:textId="7A8FC8FD" w:rsidR="00FD28A6" w:rsidRDefault="00FD28A6" w:rsidP="00FD28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Measure the effectiveness of system integration for In-Field Address Canvassing</w:t>
            </w:r>
          </w:p>
          <w:p w14:paraId="3603F99C" w14:textId="1C86C0B8" w:rsidR="00946E87" w:rsidRPr="00FE3B79" w:rsidRDefault="00946E87" w:rsidP="00995A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115" w:type="dxa"/>
              <w:bottom w:w="115" w:type="dxa"/>
            </w:tcMar>
          </w:tcPr>
          <w:p w14:paraId="518BB3DB" w14:textId="2AB070D3" w:rsidR="00995A36" w:rsidRPr="00995A36" w:rsidRDefault="00995A36" w:rsidP="00C3309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2"/>
              <w:rPr>
                <w:sz w:val="24"/>
                <w:szCs w:val="24"/>
              </w:rPr>
            </w:pPr>
            <w:r w:rsidRPr="00995A36">
              <w:rPr>
                <w:sz w:val="24"/>
                <w:szCs w:val="24"/>
              </w:rPr>
              <w:t>Integrate multiple information technology ap</w:t>
            </w:r>
            <w:r w:rsidR="001D269E">
              <w:rPr>
                <w:sz w:val="24"/>
                <w:szCs w:val="24"/>
              </w:rPr>
              <w:t xml:space="preserve">plications (LiMA, MCM, MOJO, </w:t>
            </w:r>
            <w:r w:rsidRPr="00995A36">
              <w:rPr>
                <w:sz w:val="24"/>
                <w:szCs w:val="24"/>
              </w:rPr>
              <w:t>MOCs</w:t>
            </w:r>
            <w:r w:rsidR="001D269E">
              <w:rPr>
                <w:sz w:val="24"/>
                <w:szCs w:val="24"/>
              </w:rPr>
              <w:t>, MAF/TIGER, UTS and CEM</w:t>
            </w:r>
            <w:r w:rsidRPr="00995A36">
              <w:rPr>
                <w:sz w:val="24"/>
                <w:szCs w:val="24"/>
              </w:rPr>
              <w:t>) to create one seamless operational data collection, control, and management system</w:t>
            </w:r>
          </w:p>
        </w:tc>
        <w:tc>
          <w:tcPr>
            <w:tcW w:w="4140" w:type="dxa"/>
            <w:shd w:val="clear" w:color="auto" w:fill="auto"/>
            <w:tcMar>
              <w:top w:w="115" w:type="dxa"/>
              <w:bottom w:w="115" w:type="dxa"/>
            </w:tcMar>
          </w:tcPr>
          <w:p w14:paraId="777FBEC2" w14:textId="3F918813" w:rsidR="00995A36" w:rsidRPr="00995A36" w:rsidRDefault="00995A36" w:rsidP="00365C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 xml:space="preserve">The appropriate data were passed from system to system in order to implement In-Field </w:t>
            </w:r>
            <w:r w:rsidR="00365C94">
              <w:rPr>
                <w:sz w:val="24"/>
                <w:szCs w:val="24"/>
              </w:rPr>
              <w:t xml:space="preserve">Address Canvassing </w:t>
            </w:r>
            <w:r w:rsidRPr="00FE3B79">
              <w:rPr>
                <w:sz w:val="24"/>
                <w:szCs w:val="24"/>
              </w:rPr>
              <w:t>processes</w:t>
            </w:r>
          </w:p>
        </w:tc>
        <w:tc>
          <w:tcPr>
            <w:tcW w:w="5580" w:type="dxa"/>
            <w:shd w:val="clear" w:color="auto" w:fill="auto"/>
            <w:tcMar>
              <w:top w:w="115" w:type="dxa"/>
              <w:bottom w:w="115" w:type="dxa"/>
            </w:tcMar>
          </w:tcPr>
          <w:p w14:paraId="7AC60F62" w14:textId="1A776CDF" w:rsidR="00995A36" w:rsidRPr="00DE0320" w:rsidRDefault="00DE0320" w:rsidP="00DE03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995A36" w:rsidRPr="005230E0" w14:paraId="0D4679EC" w14:textId="77777777" w:rsidTr="00A54C67">
        <w:trPr>
          <w:trHeight w:val="757"/>
        </w:trPr>
        <w:tc>
          <w:tcPr>
            <w:tcW w:w="33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6D5026" w14:textId="77777777" w:rsidR="008B76A3" w:rsidRDefault="008B76A3" w:rsidP="008B76A3">
            <w:pPr>
              <w:spacing w:after="0" w:line="240" w:lineRule="auto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Measure the effectiveness of In-Field Address Canvassing</w:t>
            </w:r>
          </w:p>
          <w:p w14:paraId="4898D85C" w14:textId="77777777" w:rsidR="00995A36" w:rsidRPr="00FE3B79" w:rsidRDefault="00995A36" w:rsidP="00995A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115" w:type="dxa"/>
              <w:bottom w:w="115" w:type="dxa"/>
            </w:tcMar>
          </w:tcPr>
          <w:p w14:paraId="2AB1265A" w14:textId="7B0E42BA" w:rsidR="00995A36" w:rsidRPr="00995A36" w:rsidRDefault="00995A36" w:rsidP="00D972B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2"/>
              <w:rPr>
                <w:sz w:val="24"/>
                <w:szCs w:val="24"/>
              </w:rPr>
            </w:pPr>
            <w:r w:rsidRPr="00995A36">
              <w:rPr>
                <w:sz w:val="24"/>
                <w:szCs w:val="24"/>
              </w:rPr>
              <w:t>Implement In-Field Address Canvassing on a small platform device</w:t>
            </w:r>
          </w:p>
        </w:tc>
        <w:tc>
          <w:tcPr>
            <w:tcW w:w="4140" w:type="dxa"/>
            <w:shd w:val="clear" w:color="auto" w:fill="auto"/>
            <w:tcMar>
              <w:top w:w="115" w:type="dxa"/>
              <w:bottom w:w="115" w:type="dxa"/>
            </w:tcMar>
          </w:tcPr>
          <w:p w14:paraId="6D22D62C" w14:textId="1E79646D" w:rsidR="00995A36" w:rsidRPr="00FE3B79" w:rsidRDefault="00995A36" w:rsidP="00D972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Data were collected to assess the effectiveness of lis</w:t>
            </w:r>
            <w:r w:rsidR="00365C94">
              <w:rPr>
                <w:sz w:val="24"/>
                <w:szCs w:val="24"/>
              </w:rPr>
              <w:t>ting on a small platform device</w:t>
            </w:r>
          </w:p>
          <w:p w14:paraId="691917DF" w14:textId="6DC4A02C" w:rsidR="00995A36" w:rsidRPr="00995A36" w:rsidRDefault="00995A36" w:rsidP="00D972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Data were collected to assess whether th</w:t>
            </w:r>
            <w:r w:rsidR="00365C94">
              <w:rPr>
                <w:sz w:val="24"/>
                <w:szCs w:val="24"/>
              </w:rPr>
              <w:t>ere is an impact on field staff</w:t>
            </w:r>
          </w:p>
        </w:tc>
        <w:tc>
          <w:tcPr>
            <w:tcW w:w="5580" w:type="dxa"/>
            <w:shd w:val="clear" w:color="auto" w:fill="auto"/>
            <w:tcMar>
              <w:top w:w="115" w:type="dxa"/>
              <w:bottom w:w="115" w:type="dxa"/>
            </w:tcMar>
          </w:tcPr>
          <w:p w14:paraId="482A6C92" w14:textId="77777777" w:rsidR="00995A36" w:rsidRPr="00FE3B79" w:rsidRDefault="00995A36" w:rsidP="00D972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Can listing effectively be completed on a small platform device?</w:t>
            </w:r>
          </w:p>
          <w:p w14:paraId="02B5A34D" w14:textId="2E2ADF22" w:rsidR="00995A36" w:rsidRPr="00FE3B79" w:rsidRDefault="00995A36" w:rsidP="00D972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What are the impacts on field staff?</w:t>
            </w:r>
          </w:p>
        </w:tc>
      </w:tr>
      <w:tr w:rsidR="00D972B5" w:rsidRPr="005230E0" w14:paraId="5231A96A" w14:textId="77777777" w:rsidTr="00A54C67">
        <w:trPr>
          <w:trHeight w:val="757"/>
        </w:trPr>
        <w:tc>
          <w:tcPr>
            <w:tcW w:w="33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9CD3AA" w14:textId="0D66AD3B" w:rsidR="008B76A3" w:rsidRDefault="008B76A3" w:rsidP="008B76A3">
            <w:pPr>
              <w:spacing w:after="0" w:line="240" w:lineRule="auto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 xml:space="preserve">Measure the </w:t>
            </w:r>
            <w:r w:rsidR="00050264">
              <w:rPr>
                <w:sz w:val="24"/>
                <w:szCs w:val="24"/>
              </w:rPr>
              <w:t xml:space="preserve">efficiency </w:t>
            </w:r>
            <w:r w:rsidRPr="00FE3B79">
              <w:rPr>
                <w:sz w:val="24"/>
                <w:szCs w:val="24"/>
              </w:rPr>
              <w:t>of In-Field Address Canvassing</w:t>
            </w:r>
          </w:p>
          <w:p w14:paraId="032BBC84" w14:textId="77777777" w:rsidR="00D972B5" w:rsidRPr="00FE3B79" w:rsidRDefault="00D972B5" w:rsidP="00D972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115" w:type="dxa"/>
              <w:bottom w:w="115" w:type="dxa"/>
            </w:tcMar>
          </w:tcPr>
          <w:p w14:paraId="3FEBBBBE" w14:textId="40CB79D8" w:rsidR="00D972B5" w:rsidRPr="00D972B5" w:rsidRDefault="00D972B5" w:rsidP="00D972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D972B5">
              <w:rPr>
                <w:sz w:val="24"/>
                <w:szCs w:val="24"/>
              </w:rPr>
              <w:lastRenderedPageBreak/>
              <w:t>Collect operational paradata</w:t>
            </w:r>
          </w:p>
        </w:tc>
        <w:tc>
          <w:tcPr>
            <w:tcW w:w="4140" w:type="dxa"/>
            <w:shd w:val="clear" w:color="auto" w:fill="auto"/>
            <w:tcMar>
              <w:top w:w="115" w:type="dxa"/>
              <w:bottom w:w="115" w:type="dxa"/>
            </w:tcMar>
          </w:tcPr>
          <w:p w14:paraId="590E21D8" w14:textId="77777777" w:rsidR="00D972B5" w:rsidRPr="00FE3B79" w:rsidRDefault="00D972B5" w:rsidP="00D972B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 xml:space="preserve">Data are summarized to inform field cost factors for future budget </w:t>
            </w:r>
            <w:r w:rsidRPr="00FE3B79">
              <w:rPr>
                <w:sz w:val="24"/>
                <w:szCs w:val="24"/>
              </w:rPr>
              <w:lastRenderedPageBreak/>
              <w:t>estimation</w:t>
            </w:r>
          </w:p>
          <w:p w14:paraId="518E2CCF" w14:textId="7499CCBF" w:rsidR="00D972B5" w:rsidRPr="00D972B5" w:rsidRDefault="00D972B5" w:rsidP="00D972B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Data are collected from</w:t>
            </w:r>
            <w:r w:rsidR="00A85919">
              <w:rPr>
                <w:sz w:val="24"/>
                <w:szCs w:val="24"/>
              </w:rPr>
              <w:t xml:space="preserve"> systems to inform future operational planning activities</w:t>
            </w:r>
          </w:p>
        </w:tc>
        <w:tc>
          <w:tcPr>
            <w:tcW w:w="5580" w:type="dxa"/>
            <w:shd w:val="clear" w:color="auto" w:fill="auto"/>
            <w:tcMar>
              <w:top w:w="115" w:type="dxa"/>
              <w:bottom w:w="115" w:type="dxa"/>
            </w:tcMar>
          </w:tcPr>
          <w:p w14:paraId="2A4529A2" w14:textId="79D9C10F" w:rsidR="00D972B5" w:rsidRPr="00FE3B79" w:rsidRDefault="00D972B5" w:rsidP="00D972B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lastRenderedPageBreak/>
              <w:t xml:space="preserve">How much time did </w:t>
            </w:r>
            <w:r w:rsidR="000F0B45">
              <w:rPr>
                <w:sz w:val="24"/>
                <w:szCs w:val="24"/>
              </w:rPr>
              <w:t>FRs</w:t>
            </w:r>
            <w:r w:rsidRPr="00FE3B79">
              <w:rPr>
                <w:sz w:val="24"/>
                <w:szCs w:val="24"/>
              </w:rPr>
              <w:t xml:space="preserve"> spend doing each of the following tasks:</w:t>
            </w:r>
          </w:p>
          <w:p w14:paraId="3A5AE71F" w14:textId="77777777" w:rsidR="00D972B5" w:rsidRPr="00FE3B79" w:rsidRDefault="00D972B5" w:rsidP="00494A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0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lastRenderedPageBreak/>
              <w:t>Driving to the assigned block?</w:t>
            </w:r>
          </w:p>
          <w:p w14:paraId="5659E84D" w14:textId="4C615DBD" w:rsidR="00D972B5" w:rsidRPr="00FE3B79" w:rsidRDefault="00D972B5" w:rsidP="00494AFB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20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Conducting work in the assigned block?</w:t>
            </w:r>
          </w:p>
        </w:tc>
      </w:tr>
      <w:tr w:rsidR="00D972B5" w:rsidRPr="005230E0" w14:paraId="13625823" w14:textId="77777777" w:rsidTr="00A54C67">
        <w:trPr>
          <w:trHeight w:val="757"/>
        </w:trPr>
        <w:tc>
          <w:tcPr>
            <w:tcW w:w="33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282038" w14:textId="1CA6048C" w:rsidR="00D972B5" w:rsidRPr="00FE3B79" w:rsidRDefault="00D972B5" w:rsidP="00D972B5">
            <w:pPr>
              <w:spacing w:after="0" w:line="240" w:lineRule="auto"/>
              <w:rPr>
                <w:sz w:val="24"/>
                <w:szCs w:val="24"/>
              </w:rPr>
            </w:pPr>
            <w:r w:rsidRPr="00FE3B79">
              <w:rPr>
                <w:rFonts w:ascii="Calibri" w:hAnsi="Calibri"/>
                <w:bCs/>
                <w:sz w:val="24"/>
                <w:szCs w:val="24"/>
              </w:rPr>
              <w:lastRenderedPageBreak/>
              <w:t>Assess management of Address Canvassing using the NRFU approach to alerts</w:t>
            </w:r>
          </w:p>
        </w:tc>
        <w:tc>
          <w:tcPr>
            <w:tcW w:w="5670" w:type="dxa"/>
            <w:shd w:val="clear" w:color="auto" w:fill="auto"/>
            <w:tcMar>
              <w:top w:w="115" w:type="dxa"/>
              <w:bottom w:w="115" w:type="dxa"/>
            </w:tcMar>
          </w:tcPr>
          <w:p w14:paraId="5968F735" w14:textId="2CC0123E" w:rsidR="00D972B5" w:rsidRPr="00D972B5" w:rsidRDefault="00164F42" w:rsidP="00D972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Refine</w:t>
            </w:r>
            <w:r w:rsidR="00D972B5" w:rsidRPr="00D972B5">
              <w:rPr>
                <w:rFonts w:ascii="Calibri" w:hAnsi="Calibri"/>
                <w:sz w:val="24"/>
                <w:szCs w:val="24"/>
              </w:rPr>
              <w:t xml:space="preserve"> and expand alerting capabilities related t</w:t>
            </w:r>
            <w:r w:rsidR="00035442">
              <w:rPr>
                <w:rFonts w:ascii="Calibri" w:hAnsi="Calibri"/>
                <w:sz w:val="24"/>
                <w:szCs w:val="24"/>
              </w:rPr>
              <w:t>o Address Canvassing activities</w:t>
            </w:r>
          </w:p>
        </w:tc>
        <w:tc>
          <w:tcPr>
            <w:tcW w:w="4140" w:type="dxa"/>
            <w:shd w:val="clear" w:color="auto" w:fill="auto"/>
            <w:tcMar>
              <w:top w:w="115" w:type="dxa"/>
              <w:bottom w:w="115" w:type="dxa"/>
            </w:tcMar>
          </w:tcPr>
          <w:p w14:paraId="2AE097A1" w14:textId="6F932B8E" w:rsidR="00D972B5" w:rsidRPr="00FE3B79" w:rsidRDefault="00D972B5" w:rsidP="00D972B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FE3B79">
              <w:rPr>
                <w:rFonts w:ascii="Calibri" w:hAnsi="Calibri"/>
                <w:sz w:val="24"/>
                <w:szCs w:val="24"/>
              </w:rPr>
              <w:t>Newly developed alerts are deemed effective.  Refinements to existing alerts a</w:t>
            </w:r>
            <w:r w:rsidR="00A85919">
              <w:rPr>
                <w:rFonts w:ascii="Calibri" w:hAnsi="Calibri"/>
                <w:sz w:val="24"/>
                <w:szCs w:val="24"/>
              </w:rPr>
              <w:t>re deemed potentially effective</w:t>
            </w:r>
          </w:p>
        </w:tc>
        <w:tc>
          <w:tcPr>
            <w:tcW w:w="5580" w:type="dxa"/>
            <w:shd w:val="clear" w:color="auto" w:fill="auto"/>
            <w:tcMar>
              <w:top w:w="115" w:type="dxa"/>
              <w:bottom w:w="115" w:type="dxa"/>
            </w:tcMar>
          </w:tcPr>
          <w:p w14:paraId="0525BA22" w14:textId="6FDB2CF8" w:rsidR="00D972B5" w:rsidRPr="00FE3B79" w:rsidRDefault="00D972B5" w:rsidP="00D972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FE3B79">
              <w:rPr>
                <w:rFonts w:ascii="Calibri" w:hAnsi="Calibri"/>
                <w:sz w:val="24"/>
                <w:szCs w:val="24"/>
              </w:rPr>
              <w:t xml:space="preserve">What are the most effective set of alerts for field supervisors to stay aware of potential issues in the Address Canvassing operation? </w:t>
            </w:r>
          </w:p>
        </w:tc>
      </w:tr>
      <w:tr w:rsidR="00D972B5" w:rsidRPr="005230E0" w14:paraId="21E1E214" w14:textId="77777777" w:rsidTr="00A54C67">
        <w:trPr>
          <w:trHeight w:val="757"/>
        </w:trPr>
        <w:tc>
          <w:tcPr>
            <w:tcW w:w="33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82DFA5" w14:textId="1AEECFF0" w:rsidR="00D972B5" w:rsidRPr="00FE3B79" w:rsidRDefault="00D972B5" w:rsidP="00A85919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T</w:t>
            </w:r>
            <w:r w:rsidR="008B76A3">
              <w:rPr>
                <w:sz w:val="24"/>
                <w:szCs w:val="24"/>
              </w:rPr>
              <w:t xml:space="preserve">est </w:t>
            </w:r>
            <w:r w:rsidRPr="00FE3B79">
              <w:rPr>
                <w:sz w:val="24"/>
                <w:szCs w:val="24"/>
              </w:rPr>
              <w:t xml:space="preserve">methods to train </w:t>
            </w:r>
            <w:r w:rsidR="00E52F7F">
              <w:rPr>
                <w:sz w:val="24"/>
                <w:szCs w:val="24"/>
              </w:rPr>
              <w:t>F</w:t>
            </w:r>
            <w:r w:rsidR="00A85919">
              <w:rPr>
                <w:sz w:val="24"/>
                <w:szCs w:val="24"/>
              </w:rPr>
              <w:t>ield Staff</w:t>
            </w:r>
            <w:r w:rsidRPr="00FE3B79">
              <w:rPr>
                <w:sz w:val="24"/>
                <w:szCs w:val="24"/>
              </w:rPr>
              <w:t xml:space="preserve"> to effectively conduct In-Field Addressing Canvassing</w:t>
            </w:r>
          </w:p>
        </w:tc>
        <w:tc>
          <w:tcPr>
            <w:tcW w:w="5670" w:type="dxa"/>
            <w:shd w:val="clear" w:color="auto" w:fill="auto"/>
            <w:tcMar>
              <w:top w:w="115" w:type="dxa"/>
              <w:bottom w:w="115" w:type="dxa"/>
            </w:tcMar>
          </w:tcPr>
          <w:p w14:paraId="1FAC0476" w14:textId="77777777" w:rsidR="00D972B5" w:rsidRPr="00D972B5" w:rsidRDefault="00D972B5" w:rsidP="00D972B5">
            <w:pPr>
              <w:pStyle w:val="ListParagraph"/>
              <w:numPr>
                <w:ilvl w:val="0"/>
                <w:numId w:val="31"/>
              </w:numPr>
              <w:tabs>
                <w:tab w:val="left" w:pos="342"/>
              </w:tabs>
              <w:spacing w:after="0" w:line="240" w:lineRule="auto"/>
              <w:ind w:left="342"/>
              <w:rPr>
                <w:rFonts w:cs="Arial"/>
                <w:sz w:val="24"/>
                <w:szCs w:val="24"/>
              </w:rPr>
            </w:pPr>
            <w:r w:rsidRPr="00D972B5">
              <w:rPr>
                <w:rFonts w:cs="Arial"/>
                <w:sz w:val="24"/>
                <w:szCs w:val="24"/>
              </w:rPr>
              <w:t>Evaluate the effectiveness of:</w:t>
            </w:r>
          </w:p>
          <w:p w14:paraId="2533EBB3" w14:textId="0524D5CA" w:rsidR="00D972B5" w:rsidRPr="00FE3B79" w:rsidRDefault="00E52F7F" w:rsidP="00D972B5">
            <w:pPr>
              <w:pStyle w:val="ListParagraph"/>
              <w:numPr>
                <w:ilvl w:val="0"/>
                <w:numId w:val="32"/>
              </w:numPr>
              <w:tabs>
                <w:tab w:val="left" w:pos="432"/>
              </w:tabs>
              <w:spacing w:after="0" w:line="240" w:lineRule="auto"/>
              <w:ind w:left="702"/>
              <w:rPr>
                <w:rFonts w:cs="Arial"/>
                <w:sz w:val="24"/>
                <w:szCs w:val="24"/>
                <w:u w:val="single"/>
              </w:rPr>
            </w:pPr>
            <w:r>
              <w:rPr>
                <w:rFonts w:cs="Arial"/>
                <w:sz w:val="24"/>
                <w:szCs w:val="24"/>
              </w:rPr>
              <w:t>F</w:t>
            </w:r>
            <w:r w:rsidR="00A85919">
              <w:rPr>
                <w:rFonts w:cs="Arial"/>
                <w:sz w:val="24"/>
                <w:szCs w:val="24"/>
              </w:rPr>
              <w:t xml:space="preserve">ield </w:t>
            </w:r>
            <w:r>
              <w:rPr>
                <w:rFonts w:cs="Arial"/>
                <w:sz w:val="24"/>
                <w:szCs w:val="24"/>
              </w:rPr>
              <w:t>R</w:t>
            </w:r>
            <w:r w:rsidR="00A85919">
              <w:rPr>
                <w:rFonts w:cs="Arial"/>
                <w:sz w:val="24"/>
                <w:szCs w:val="24"/>
              </w:rPr>
              <w:t>epresentative</w:t>
            </w:r>
            <w:r w:rsidR="00D972B5" w:rsidRPr="00FE3B79">
              <w:rPr>
                <w:rFonts w:cs="Arial"/>
                <w:sz w:val="24"/>
                <w:szCs w:val="24"/>
              </w:rPr>
              <w:t xml:space="preserve"> and  Field Supervisor </w:t>
            </w:r>
            <w:r w:rsidR="00D972B5" w:rsidRPr="00FE3B79">
              <w:rPr>
                <w:rFonts w:cs="Arial"/>
                <w:sz w:val="24"/>
                <w:szCs w:val="24"/>
                <w:u w:val="single"/>
              </w:rPr>
              <w:t>Online training</w:t>
            </w:r>
          </w:p>
          <w:p w14:paraId="53E5FAC8" w14:textId="02DCC68B" w:rsidR="00D972B5" w:rsidRPr="00FE3B79" w:rsidRDefault="00E52F7F" w:rsidP="00D972B5">
            <w:pPr>
              <w:pStyle w:val="ListParagraph"/>
              <w:numPr>
                <w:ilvl w:val="0"/>
                <w:numId w:val="32"/>
              </w:numPr>
              <w:tabs>
                <w:tab w:val="left" w:pos="432"/>
              </w:tabs>
              <w:spacing w:after="0" w:line="240" w:lineRule="auto"/>
              <w:ind w:left="702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</w:t>
            </w:r>
            <w:r w:rsidR="00A85919">
              <w:rPr>
                <w:rFonts w:cs="Arial"/>
                <w:sz w:val="24"/>
                <w:szCs w:val="24"/>
              </w:rPr>
              <w:t xml:space="preserve">ield </w:t>
            </w:r>
            <w:r>
              <w:rPr>
                <w:rFonts w:cs="Arial"/>
                <w:sz w:val="24"/>
                <w:szCs w:val="24"/>
              </w:rPr>
              <w:t>R</w:t>
            </w:r>
            <w:r w:rsidR="00A85919">
              <w:rPr>
                <w:rFonts w:cs="Arial"/>
                <w:sz w:val="24"/>
                <w:szCs w:val="24"/>
              </w:rPr>
              <w:t>epresentative</w:t>
            </w:r>
            <w:r w:rsidR="00D972B5" w:rsidRPr="00FE3B79">
              <w:rPr>
                <w:rFonts w:cs="Arial"/>
                <w:sz w:val="24"/>
                <w:szCs w:val="24"/>
              </w:rPr>
              <w:t xml:space="preserve"> </w:t>
            </w:r>
            <w:r w:rsidR="00D972B5" w:rsidRPr="00FE3B79">
              <w:rPr>
                <w:rFonts w:cs="Arial"/>
                <w:sz w:val="24"/>
                <w:szCs w:val="24"/>
                <w:u w:val="single"/>
              </w:rPr>
              <w:t>Classroom training</w:t>
            </w:r>
            <w:r w:rsidR="00D972B5" w:rsidRPr="00FE3B79">
              <w:rPr>
                <w:rFonts w:cs="Arial"/>
                <w:sz w:val="24"/>
                <w:szCs w:val="24"/>
              </w:rPr>
              <w:t xml:space="preserve"> utilizing Field Supervisors who will be trained on facilitation skills and subject matter.</w:t>
            </w:r>
          </w:p>
          <w:p w14:paraId="6ECA7AE8" w14:textId="38D2B2CF" w:rsidR="00D972B5" w:rsidRPr="00D972B5" w:rsidRDefault="00D972B5" w:rsidP="000D465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702"/>
              <w:rPr>
                <w:rFonts w:ascii="Calibri" w:hAnsi="Calibri"/>
                <w:sz w:val="24"/>
                <w:szCs w:val="24"/>
              </w:rPr>
            </w:pPr>
            <w:r w:rsidRPr="00D972B5">
              <w:rPr>
                <w:rFonts w:cs="Arial"/>
                <w:sz w:val="24"/>
                <w:szCs w:val="24"/>
              </w:rPr>
              <w:t xml:space="preserve">Field Supervisors </w:t>
            </w:r>
            <w:r w:rsidRPr="00D972B5">
              <w:rPr>
                <w:rFonts w:cs="Arial"/>
                <w:sz w:val="24"/>
                <w:szCs w:val="24"/>
                <w:u w:val="single"/>
              </w:rPr>
              <w:t>Classroom training</w:t>
            </w:r>
            <w:r w:rsidRPr="00D972B5">
              <w:rPr>
                <w:rFonts w:cs="Arial"/>
                <w:sz w:val="24"/>
                <w:szCs w:val="24"/>
              </w:rPr>
              <w:t xml:space="preserve"> utilizing Field Managers who will be trained on facilitation skills and subject matter</w:t>
            </w:r>
          </w:p>
        </w:tc>
        <w:tc>
          <w:tcPr>
            <w:tcW w:w="4140" w:type="dxa"/>
            <w:shd w:val="clear" w:color="auto" w:fill="auto"/>
            <w:tcMar>
              <w:top w:w="115" w:type="dxa"/>
              <w:bottom w:w="115" w:type="dxa"/>
            </w:tcMar>
          </w:tcPr>
          <w:p w14:paraId="0622751C" w14:textId="0CBD00ED" w:rsidR="00D972B5" w:rsidRPr="00FE3B79" w:rsidRDefault="00A85919" w:rsidP="00D972B5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Field Representatives </w:t>
            </w:r>
            <w:r w:rsidR="00D972B5" w:rsidRPr="00FE3B79">
              <w:rPr>
                <w:rFonts w:cs="Arial"/>
                <w:sz w:val="24"/>
                <w:szCs w:val="24"/>
              </w:rPr>
              <w:t xml:space="preserve">and </w:t>
            </w:r>
            <w:r>
              <w:rPr>
                <w:rFonts w:cs="Arial"/>
                <w:sz w:val="24"/>
                <w:szCs w:val="24"/>
              </w:rPr>
              <w:t>Field S</w:t>
            </w:r>
            <w:r w:rsidR="00D972B5" w:rsidRPr="00FE3B79">
              <w:rPr>
                <w:rFonts w:cs="Arial"/>
                <w:sz w:val="24"/>
                <w:szCs w:val="24"/>
              </w:rPr>
              <w:t>upervisors demonstrate competency and application of knowledge and ski</w:t>
            </w:r>
            <w:r>
              <w:rPr>
                <w:rFonts w:cs="Arial"/>
                <w:sz w:val="24"/>
                <w:szCs w:val="24"/>
              </w:rPr>
              <w:t>lls to perform at desired level</w:t>
            </w:r>
          </w:p>
          <w:p w14:paraId="68D9F86F" w14:textId="77777777" w:rsidR="00D972B5" w:rsidRPr="00FE3B79" w:rsidRDefault="00D972B5" w:rsidP="00D972B5">
            <w:pPr>
              <w:pStyle w:val="ListParagraph"/>
              <w:spacing w:after="0" w:line="240" w:lineRule="auto"/>
              <w:ind w:left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  <w:tcMar>
              <w:top w:w="115" w:type="dxa"/>
              <w:bottom w:w="115" w:type="dxa"/>
            </w:tcMar>
          </w:tcPr>
          <w:p w14:paraId="72F378B4" w14:textId="69A73D8C" w:rsidR="00D972B5" w:rsidRPr="00FE3B79" w:rsidRDefault="00D972B5" w:rsidP="00D972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FE3B79">
              <w:rPr>
                <w:rFonts w:cs="Arial"/>
                <w:sz w:val="24"/>
                <w:szCs w:val="24"/>
              </w:rPr>
              <w:t xml:space="preserve">To what degree </w:t>
            </w:r>
            <w:r w:rsidR="00A85919">
              <w:rPr>
                <w:rFonts w:cs="Arial"/>
                <w:sz w:val="24"/>
                <w:szCs w:val="24"/>
              </w:rPr>
              <w:t>do Field Representatives</w:t>
            </w:r>
            <w:r w:rsidRPr="00FE3B79">
              <w:rPr>
                <w:rFonts w:cs="Arial"/>
                <w:sz w:val="24"/>
                <w:szCs w:val="24"/>
              </w:rPr>
              <w:t xml:space="preserve"> and </w:t>
            </w:r>
            <w:r w:rsidR="00A85919">
              <w:rPr>
                <w:rFonts w:cs="Arial"/>
                <w:sz w:val="24"/>
                <w:szCs w:val="24"/>
              </w:rPr>
              <w:t>F</w:t>
            </w:r>
            <w:r w:rsidRPr="00FE3B79">
              <w:rPr>
                <w:rFonts w:cs="Arial"/>
                <w:sz w:val="24"/>
                <w:szCs w:val="24"/>
              </w:rPr>
              <w:t xml:space="preserve">ield </w:t>
            </w:r>
            <w:r w:rsidR="00A85919">
              <w:rPr>
                <w:rFonts w:cs="Arial"/>
                <w:sz w:val="24"/>
                <w:szCs w:val="24"/>
              </w:rPr>
              <w:t>S</w:t>
            </w:r>
            <w:r w:rsidRPr="00FE3B79">
              <w:rPr>
                <w:rFonts w:cs="Arial"/>
                <w:sz w:val="24"/>
                <w:szCs w:val="24"/>
              </w:rPr>
              <w:t xml:space="preserve">upervisors react favorably to the Online and Classroom training </w:t>
            </w:r>
          </w:p>
          <w:p w14:paraId="016A80D0" w14:textId="481CF1F3" w:rsidR="00D972B5" w:rsidRPr="00FE3B79" w:rsidRDefault="00E52F7F" w:rsidP="00D972B5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what degree do </w:t>
            </w:r>
            <w:r w:rsidR="00A85919">
              <w:rPr>
                <w:rFonts w:cs="Arial"/>
                <w:sz w:val="24"/>
                <w:szCs w:val="24"/>
              </w:rPr>
              <w:t>Field Representatives</w:t>
            </w:r>
            <w:r w:rsidR="00A85919" w:rsidRPr="00FE3B79">
              <w:rPr>
                <w:rFonts w:cs="Arial"/>
                <w:sz w:val="24"/>
                <w:szCs w:val="24"/>
              </w:rPr>
              <w:t xml:space="preserve"> and </w:t>
            </w:r>
            <w:r w:rsidR="00A85919">
              <w:rPr>
                <w:rFonts w:cs="Arial"/>
                <w:sz w:val="24"/>
                <w:szCs w:val="24"/>
              </w:rPr>
              <w:t>F</w:t>
            </w:r>
            <w:r w:rsidR="00A85919" w:rsidRPr="00FE3B79">
              <w:rPr>
                <w:rFonts w:cs="Arial"/>
                <w:sz w:val="24"/>
                <w:szCs w:val="24"/>
              </w:rPr>
              <w:t xml:space="preserve">ield </w:t>
            </w:r>
            <w:r w:rsidR="00A85919">
              <w:rPr>
                <w:rFonts w:cs="Arial"/>
                <w:sz w:val="24"/>
                <w:szCs w:val="24"/>
              </w:rPr>
              <w:t>S</w:t>
            </w:r>
            <w:r w:rsidR="00A85919" w:rsidRPr="00FE3B79">
              <w:rPr>
                <w:rFonts w:cs="Arial"/>
                <w:sz w:val="24"/>
                <w:szCs w:val="24"/>
              </w:rPr>
              <w:t>upervisors</w:t>
            </w:r>
            <w:r w:rsidR="00D972B5" w:rsidRPr="00FE3B79">
              <w:rPr>
                <w:rFonts w:cs="Arial"/>
                <w:sz w:val="24"/>
                <w:szCs w:val="24"/>
              </w:rPr>
              <w:t xml:space="preserve"> acquire the intended knowledge and skills based on their participation in the Online and Classroom training</w:t>
            </w:r>
          </w:p>
          <w:p w14:paraId="0D1CB895" w14:textId="40E19AF1" w:rsidR="00D972B5" w:rsidRPr="00FE3B79" w:rsidRDefault="00D972B5" w:rsidP="00E52F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FE3B79">
              <w:rPr>
                <w:rFonts w:cs="Arial"/>
                <w:sz w:val="24"/>
                <w:szCs w:val="24"/>
              </w:rPr>
              <w:t>To what degree</w:t>
            </w:r>
            <w:r w:rsidR="00E52F7F">
              <w:rPr>
                <w:rFonts w:cs="Arial"/>
                <w:sz w:val="24"/>
                <w:szCs w:val="24"/>
              </w:rPr>
              <w:t xml:space="preserve"> so </w:t>
            </w:r>
            <w:r w:rsidR="00035442">
              <w:rPr>
                <w:rFonts w:cs="Arial"/>
                <w:sz w:val="24"/>
                <w:szCs w:val="24"/>
              </w:rPr>
              <w:t>Field Representatives</w:t>
            </w:r>
            <w:r w:rsidR="00035442" w:rsidRPr="00FE3B79">
              <w:rPr>
                <w:rFonts w:cs="Arial"/>
                <w:sz w:val="24"/>
                <w:szCs w:val="24"/>
              </w:rPr>
              <w:t xml:space="preserve"> and </w:t>
            </w:r>
            <w:r w:rsidR="00035442">
              <w:rPr>
                <w:rFonts w:cs="Arial"/>
                <w:sz w:val="24"/>
                <w:szCs w:val="24"/>
              </w:rPr>
              <w:t>F</w:t>
            </w:r>
            <w:r w:rsidR="00035442" w:rsidRPr="00FE3B79">
              <w:rPr>
                <w:rFonts w:cs="Arial"/>
                <w:sz w:val="24"/>
                <w:szCs w:val="24"/>
              </w:rPr>
              <w:t xml:space="preserve">ield </w:t>
            </w:r>
            <w:r w:rsidR="00035442">
              <w:rPr>
                <w:rFonts w:cs="Arial"/>
                <w:sz w:val="24"/>
                <w:szCs w:val="24"/>
              </w:rPr>
              <w:t>S</w:t>
            </w:r>
            <w:r w:rsidR="00035442" w:rsidRPr="00FE3B79">
              <w:rPr>
                <w:rFonts w:cs="Arial"/>
                <w:sz w:val="24"/>
                <w:szCs w:val="24"/>
              </w:rPr>
              <w:t xml:space="preserve">upervisors </w:t>
            </w:r>
            <w:r w:rsidRPr="00FE3B79">
              <w:rPr>
                <w:rFonts w:cs="Arial"/>
                <w:sz w:val="24"/>
                <w:szCs w:val="24"/>
              </w:rPr>
              <w:t>apply what they learned during training when they are on the job</w:t>
            </w:r>
            <w:r w:rsidRPr="00FE3B79">
              <w:rPr>
                <w:sz w:val="24"/>
                <w:szCs w:val="24"/>
              </w:rPr>
              <w:t xml:space="preserve"> </w:t>
            </w:r>
          </w:p>
        </w:tc>
      </w:tr>
      <w:tr w:rsidR="00D972B5" w:rsidRPr="005230E0" w14:paraId="5E497359" w14:textId="77777777" w:rsidTr="00A54C67">
        <w:trPr>
          <w:trHeight w:val="757"/>
        </w:trPr>
        <w:tc>
          <w:tcPr>
            <w:tcW w:w="33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F13EC5" w14:textId="6302D24E" w:rsidR="00D972B5" w:rsidRPr="00FE3B79" w:rsidRDefault="00D972B5" w:rsidP="00D972B5">
            <w:pPr>
              <w:spacing w:after="0" w:line="240" w:lineRule="auto"/>
              <w:rPr>
                <w:rFonts w:ascii="Calibri" w:hAnsi="Calibri"/>
                <w:bCs/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Understand the implications of moving from Assignment Area (a grouping of blocks) to Basic Collection Unit (BCU), which are the equivalent of blocks.</w:t>
            </w:r>
          </w:p>
        </w:tc>
        <w:tc>
          <w:tcPr>
            <w:tcW w:w="5670" w:type="dxa"/>
            <w:shd w:val="clear" w:color="auto" w:fill="auto"/>
            <w:tcMar>
              <w:top w:w="115" w:type="dxa"/>
              <w:bottom w:w="115" w:type="dxa"/>
            </w:tcMar>
          </w:tcPr>
          <w:p w14:paraId="5E01D85E" w14:textId="161DBF6C" w:rsidR="00D972B5" w:rsidRPr="00CF7566" w:rsidRDefault="00D972B5" w:rsidP="00CF75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CF7566">
              <w:rPr>
                <w:sz w:val="24"/>
                <w:szCs w:val="24"/>
              </w:rPr>
              <w:t>Use BCUs as the lowest level collectio</w:t>
            </w:r>
            <w:r w:rsidR="00035442">
              <w:rPr>
                <w:sz w:val="24"/>
                <w:szCs w:val="24"/>
              </w:rPr>
              <w:t>n geography used for canvassing</w:t>
            </w:r>
          </w:p>
        </w:tc>
        <w:tc>
          <w:tcPr>
            <w:tcW w:w="4140" w:type="dxa"/>
            <w:shd w:val="clear" w:color="auto" w:fill="auto"/>
            <w:tcMar>
              <w:top w:w="115" w:type="dxa"/>
              <w:bottom w:w="115" w:type="dxa"/>
            </w:tcMar>
          </w:tcPr>
          <w:p w14:paraId="07D66EF6" w14:textId="25ED984E" w:rsidR="00D972B5" w:rsidRPr="00FE3B79" w:rsidRDefault="00D972B5" w:rsidP="00D972B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The operation is su</w:t>
            </w:r>
            <w:r w:rsidR="00035442">
              <w:rPr>
                <w:sz w:val="24"/>
                <w:szCs w:val="24"/>
              </w:rPr>
              <w:t>ccessfully completed using BCUs</w:t>
            </w:r>
          </w:p>
        </w:tc>
        <w:tc>
          <w:tcPr>
            <w:tcW w:w="5580" w:type="dxa"/>
            <w:shd w:val="clear" w:color="auto" w:fill="auto"/>
            <w:tcMar>
              <w:top w:w="115" w:type="dxa"/>
              <w:bottom w:w="115" w:type="dxa"/>
            </w:tcMar>
          </w:tcPr>
          <w:p w14:paraId="59783590" w14:textId="77777777" w:rsidR="00D972B5" w:rsidRPr="00FE3B79" w:rsidRDefault="00D972B5" w:rsidP="00D972B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3"/>
              <w:rPr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 xml:space="preserve">What was the impact of using BCUs?  </w:t>
            </w:r>
          </w:p>
          <w:p w14:paraId="486B7A8E" w14:textId="73ABAA94" w:rsidR="00D972B5" w:rsidRPr="00FE3B79" w:rsidRDefault="00D972B5" w:rsidP="00D972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Did the field staff successfully canvass the BCUs?</w:t>
            </w:r>
          </w:p>
        </w:tc>
      </w:tr>
    </w:tbl>
    <w:p w14:paraId="3BF2C031" w14:textId="0BCD35B2" w:rsidR="00131AEB" w:rsidRDefault="009441DC" w:rsidP="009441DC">
      <w:r w:rsidRPr="00FE3B79">
        <w:br w:type="page"/>
      </w:r>
    </w:p>
    <w:tbl>
      <w:tblPr>
        <w:tblStyle w:val="TableGrid"/>
        <w:tblW w:w="18835" w:type="dxa"/>
        <w:tblLook w:val="04A0" w:firstRow="1" w:lastRow="0" w:firstColumn="1" w:lastColumn="0" w:noHBand="0" w:noVBand="1"/>
      </w:tblPr>
      <w:tblGrid>
        <w:gridCol w:w="18835"/>
      </w:tblGrid>
      <w:tr w:rsidR="00686FCA" w:rsidRPr="005230E0" w14:paraId="480270E9" w14:textId="77777777" w:rsidTr="007D7FAF">
        <w:trPr>
          <w:trHeight w:val="577"/>
        </w:trPr>
        <w:tc>
          <w:tcPr>
            <w:tcW w:w="18835" w:type="dxa"/>
            <w:shd w:val="clear" w:color="auto" w:fill="8DB3E2" w:themeFill="text2" w:themeFillTint="66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61969F2" w14:textId="77777777" w:rsidR="00686FCA" w:rsidRPr="005230E0" w:rsidRDefault="00686FCA" w:rsidP="007D7FAF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5230E0">
              <w:lastRenderedPageBreak/>
              <w:br w:type="page"/>
            </w:r>
            <w:r w:rsidRPr="005230E0">
              <w:rPr>
                <w:b/>
                <w:color w:val="0F243E" w:themeColor="text2" w:themeShade="80"/>
                <w:sz w:val="28"/>
                <w:szCs w:val="28"/>
              </w:rPr>
              <w:t>Support Operations</w:t>
            </w:r>
          </w:p>
        </w:tc>
      </w:tr>
      <w:tr w:rsidR="00686FCA" w:rsidRPr="005230E0" w14:paraId="77541FED" w14:textId="77777777" w:rsidTr="007D7FAF">
        <w:tc>
          <w:tcPr>
            <w:tcW w:w="18835" w:type="dxa"/>
            <w:shd w:val="clear" w:color="auto" w:fill="C6D9F1" w:themeFill="text2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B26833" w14:textId="3C645CF6" w:rsidR="00686FCA" w:rsidRPr="0016683D" w:rsidRDefault="00686FCA" w:rsidP="00971E90">
            <w:r w:rsidRPr="0016683D">
              <w:rPr>
                <w:color w:val="0F243E" w:themeColor="text2" w:themeShade="80"/>
              </w:rPr>
              <w:t xml:space="preserve"> Geographic Programs </w:t>
            </w:r>
          </w:p>
        </w:tc>
      </w:tr>
      <w:tr w:rsidR="00686FCA" w:rsidRPr="005230E0" w14:paraId="41109774" w14:textId="77777777" w:rsidTr="007D7FAF">
        <w:tc>
          <w:tcPr>
            <w:tcW w:w="18835" w:type="dxa"/>
            <w:shd w:val="clear" w:color="auto" w:fill="FFFFFF" w:themeFill="background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C5697F7" w14:textId="47C780DB" w:rsidR="00686FCA" w:rsidRPr="00AC110E" w:rsidRDefault="00AC110E" w:rsidP="00AC110E">
            <w:r>
              <w:t>N</w:t>
            </w:r>
            <w:r w:rsidR="00681E9F">
              <w:t>/</w:t>
            </w:r>
            <w:r>
              <w:t>A</w:t>
            </w:r>
          </w:p>
        </w:tc>
      </w:tr>
      <w:tr w:rsidR="00686FCA" w:rsidRPr="005230E0" w14:paraId="6D946DD5" w14:textId="77777777" w:rsidTr="007D7FAF">
        <w:tc>
          <w:tcPr>
            <w:tcW w:w="18835" w:type="dxa"/>
            <w:shd w:val="clear" w:color="auto" w:fill="C6D9F1" w:themeFill="text2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48F03E0" w14:textId="5CA49253" w:rsidR="00686FCA" w:rsidRPr="0016683D" w:rsidRDefault="0016683D" w:rsidP="007D7FAF">
            <w:pPr>
              <w:rPr>
                <w:rFonts w:eastAsia="Times New Roman" w:cs="Times New Roman"/>
                <w:sz w:val="24"/>
                <w:szCs w:val="24"/>
              </w:rPr>
            </w:pPr>
            <w:r w:rsidRPr="0016683D">
              <w:rPr>
                <w:sz w:val="24"/>
                <w:szCs w:val="24"/>
              </w:rPr>
              <w:t>Content and Forms Design</w:t>
            </w:r>
          </w:p>
        </w:tc>
      </w:tr>
      <w:tr w:rsidR="00686FCA" w:rsidRPr="005230E0" w14:paraId="12C9E2CD" w14:textId="77777777" w:rsidTr="007D7FAF">
        <w:tc>
          <w:tcPr>
            <w:tcW w:w="18835" w:type="dxa"/>
            <w:shd w:val="clear" w:color="auto" w:fill="FFFFFF" w:themeFill="background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2466CD4" w14:textId="4BA72E9F" w:rsidR="00686FCA" w:rsidRPr="0016683D" w:rsidRDefault="00AC110E" w:rsidP="007D7FAF">
            <w:pPr>
              <w:rPr>
                <w:rFonts w:eastAsia="Times New Roman" w:cs="Times New Roman"/>
                <w:sz w:val="24"/>
                <w:szCs w:val="24"/>
              </w:rPr>
            </w:pPr>
            <w:r>
              <w:t>N</w:t>
            </w:r>
            <w:r w:rsidR="00681E9F">
              <w:t>/</w:t>
            </w:r>
            <w:r>
              <w:t>A</w:t>
            </w:r>
          </w:p>
        </w:tc>
      </w:tr>
      <w:tr w:rsidR="00686FCA" w:rsidRPr="005230E0" w14:paraId="5674CA1A" w14:textId="77777777" w:rsidTr="007D7FAF">
        <w:tc>
          <w:tcPr>
            <w:tcW w:w="18835" w:type="dxa"/>
            <w:shd w:val="clear" w:color="auto" w:fill="C6D9F1" w:themeFill="text2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60E8798" w14:textId="3AFDE08D" w:rsidR="00686FCA" w:rsidRPr="0016683D" w:rsidRDefault="0016683D" w:rsidP="007D7FAF">
            <w:pPr>
              <w:rPr>
                <w:rFonts w:eastAsia="Times New Roman" w:cs="Times New Roman"/>
                <w:sz w:val="24"/>
                <w:szCs w:val="24"/>
              </w:rPr>
            </w:pPr>
            <w:r w:rsidRPr="0016683D">
              <w:rPr>
                <w:sz w:val="24"/>
                <w:szCs w:val="24"/>
              </w:rPr>
              <w:t>Communications</w:t>
            </w:r>
          </w:p>
        </w:tc>
      </w:tr>
      <w:tr w:rsidR="00686FCA" w:rsidRPr="005230E0" w14:paraId="40F395CF" w14:textId="77777777" w:rsidTr="007D7FAF">
        <w:tc>
          <w:tcPr>
            <w:tcW w:w="18835" w:type="dxa"/>
            <w:shd w:val="clear" w:color="auto" w:fill="FFFFFF" w:themeFill="background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97A3943" w14:textId="67B4542A" w:rsidR="00686FCA" w:rsidRPr="0016683D" w:rsidRDefault="00AC110E" w:rsidP="007D7FAF">
            <w:pPr>
              <w:rPr>
                <w:rFonts w:eastAsia="Times New Roman" w:cs="Times New Roman"/>
                <w:sz w:val="24"/>
                <w:szCs w:val="24"/>
              </w:rPr>
            </w:pPr>
            <w:r>
              <w:t>N</w:t>
            </w:r>
            <w:r w:rsidR="00681E9F">
              <w:t>/</w:t>
            </w:r>
            <w:r>
              <w:t>A</w:t>
            </w:r>
          </w:p>
        </w:tc>
      </w:tr>
      <w:tr w:rsidR="00686FCA" w:rsidRPr="005230E0" w14:paraId="7A202AE8" w14:textId="77777777" w:rsidTr="007D7FAF">
        <w:tc>
          <w:tcPr>
            <w:tcW w:w="18835" w:type="dxa"/>
            <w:shd w:val="clear" w:color="auto" w:fill="C6D9F1" w:themeFill="text2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BC6F133" w14:textId="0EDD549B" w:rsidR="00686FCA" w:rsidRPr="0016683D" w:rsidRDefault="0016683D" w:rsidP="007D7FAF">
            <w:pPr>
              <w:rPr>
                <w:rFonts w:eastAsia="Times New Roman" w:cs="Times New Roman"/>
                <w:sz w:val="24"/>
                <w:szCs w:val="24"/>
              </w:rPr>
            </w:pPr>
            <w:r w:rsidRPr="0016683D">
              <w:rPr>
                <w:rFonts w:eastAsia="Times New Roman" w:cs="Times New Roman"/>
                <w:sz w:val="24"/>
                <w:szCs w:val="24"/>
              </w:rPr>
              <w:t>Field Infrastructure</w:t>
            </w:r>
          </w:p>
        </w:tc>
      </w:tr>
      <w:tr w:rsidR="00686FCA" w:rsidRPr="005230E0" w14:paraId="0C5003BA" w14:textId="77777777" w:rsidTr="0016683D">
        <w:trPr>
          <w:trHeight w:val="352"/>
        </w:trPr>
        <w:tc>
          <w:tcPr>
            <w:tcW w:w="1883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F1B1060" w14:textId="0C0DB743" w:rsidR="00686FCA" w:rsidRPr="0016683D" w:rsidRDefault="00AC110E" w:rsidP="007D7FAF">
            <w:pPr>
              <w:rPr>
                <w:rFonts w:eastAsia="Times New Roman" w:cs="Times New Roman"/>
                <w:sz w:val="24"/>
                <w:szCs w:val="24"/>
              </w:rPr>
            </w:pPr>
            <w:r>
              <w:t>N</w:t>
            </w:r>
            <w:r w:rsidR="00681E9F">
              <w:t>/</w:t>
            </w:r>
            <w:r>
              <w:t>A</w:t>
            </w:r>
          </w:p>
        </w:tc>
      </w:tr>
      <w:tr w:rsidR="00686FCA" w:rsidRPr="005230E0" w14:paraId="789900AD" w14:textId="77777777" w:rsidTr="007D7FAF">
        <w:tc>
          <w:tcPr>
            <w:tcW w:w="18835" w:type="dxa"/>
            <w:shd w:val="clear" w:color="auto" w:fill="C6D9F1" w:themeFill="text2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4ABA9AB" w14:textId="5294FCB9" w:rsidR="00686FCA" w:rsidRPr="0016683D" w:rsidRDefault="0016683D" w:rsidP="007D7FAF">
            <w:r w:rsidRPr="0016683D">
              <w:rPr>
                <w:rFonts w:eastAsia="Times New Roman" w:cs="Times New Roman"/>
                <w:sz w:val="24"/>
                <w:szCs w:val="24"/>
              </w:rPr>
              <w:t>IT Infrastructure</w:t>
            </w:r>
          </w:p>
        </w:tc>
      </w:tr>
      <w:tr w:rsidR="00686FCA" w:rsidRPr="005230E0" w14:paraId="2944EB3D" w14:textId="77777777" w:rsidTr="007D7FAF">
        <w:tc>
          <w:tcPr>
            <w:tcW w:w="1883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642891" w14:textId="77777777" w:rsidR="00440611" w:rsidRDefault="00440611" w:rsidP="00440611">
            <w:r>
              <w:t>Multiple devices, including iOS and Android, will be fielded under the Device-as-a-Service capability.</w:t>
            </w:r>
          </w:p>
          <w:p w14:paraId="58753CA8" w14:textId="77777777" w:rsidR="00440611" w:rsidRDefault="00440611" w:rsidP="00440611"/>
          <w:p w14:paraId="24A4EE25" w14:textId="77777777" w:rsidR="00440611" w:rsidRDefault="00440611" w:rsidP="00440611">
            <w:r>
              <w:t>Further testing of field data collection automation in a disconnected state.</w:t>
            </w:r>
          </w:p>
          <w:p w14:paraId="6650D79B" w14:textId="77777777" w:rsidR="00440611" w:rsidRDefault="00440611" w:rsidP="00440611"/>
          <w:p w14:paraId="466C512A" w14:textId="77777777" w:rsidR="00440611" w:rsidRDefault="00440611" w:rsidP="00440611">
            <w:r>
              <w:t>Further testing and paradata collection related to GPS point collection.</w:t>
            </w:r>
          </w:p>
          <w:p w14:paraId="01515C0C" w14:textId="2423403D" w:rsidR="00773628" w:rsidRPr="0016683D" w:rsidRDefault="00773628" w:rsidP="00686FCA"/>
        </w:tc>
      </w:tr>
      <w:tr w:rsidR="00686FCA" w:rsidRPr="005230E0" w14:paraId="4682B279" w14:textId="77777777" w:rsidTr="0016683D">
        <w:tc>
          <w:tcPr>
            <w:tcW w:w="18835" w:type="dxa"/>
            <w:tcBorders>
              <w:bottom w:val="single" w:sz="4" w:space="0" w:color="auto"/>
            </w:tcBorders>
            <w:shd w:val="clear" w:color="auto" w:fill="C6D9F1" w:themeFill="text2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3CB3A27" w14:textId="389C470E" w:rsidR="00686FCA" w:rsidRPr="0016683D" w:rsidRDefault="0016683D" w:rsidP="007D7FAF">
            <w:r w:rsidRPr="0016683D">
              <w:rPr>
                <w:sz w:val="24"/>
                <w:szCs w:val="24"/>
              </w:rPr>
              <w:t>Decennial Logistics Management</w:t>
            </w:r>
          </w:p>
        </w:tc>
      </w:tr>
      <w:tr w:rsidR="0016683D" w:rsidRPr="005230E0" w14:paraId="136F7949" w14:textId="77777777" w:rsidTr="0016683D">
        <w:tc>
          <w:tcPr>
            <w:tcW w:w="1883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BA2E672" w14:textId="77777777" w:rsidR="0016683D" w:rsidRPr="0016683D" w:rsidRDefault="0016683D" w:rsidP="007D7FAF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86FCA" w:rsidRPr="005230E0" w14:paraId="38572208" w14:textId="77777777" w:rsidTr="007D7FAF">
        <w:tc>
          <w:tcPr>
            <w:tcW w:w="18835" w:type="dxa"/>
            <w:shd w:val="clear" w:color="auto" w:fill="C6D9F1" w:themeFill="text2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F05B0AA" w14:textId="47994B1E" w:rsidR="00686FCA" w:rsidRPr="0016683D" w:rsidRDefault="0016683D" w:rsidP="007D7FAF">
            <w:r w:rsidRPr="0016683D">
              <w:rPr>
                <w:rFonts w:eastAsia="Times New Roman" w:cs="Times New Roman"/>
                <w:sz w:val="24"/>
                <w:szCs w:val="24"/>
              </w:rPr>
              <w:t xml:space="preserve">Decennial </w:t>
            </w:r>
            <w:r w:rsidR="00686FCA" w:rsidRPr="0016683D">
              <w:rPr>
                <w:rFonts w:eastAsia="Times New Roman" w:cs="Times New Roman"/>
                <w:sz w:val="24"/>
                <w:szCs w:val="24"/>
              </w:rPr>
              <w:t>Service Center</w:t>
            </w:r>
            <w:r w:rsidR="007D7FAF" w:rsidRPr="0016683D">
              <w:rPr>
                <w:rFonts w:eastAsia="Times New Roman" w:cs="Times New Roman"/>
              </w:rPr>
              <w:t xml:space="preserve">   </w:t>
            </w:r>
          </w:p>
        </w:tc>
      </w:tr>
      <w:tr w:rsidR="00686FCA" w:rsidRPr="005230E0" w14:paraId="702E45FC" w14:textId="77777777" w:rsidTr="007D7FAF">
        <w:tc>
          <w:tcPr>
            <w:tcW w:w="1883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B145FD4" w14:textId="6685D0E9" w:rsidR="00B8301C" w:rsidRDefault="00F86FE6" w:rsidP="00B8301C">
            <w:pPr>
              <w:contextualSpacing/>
            </w:pPr>
            <w:r>
              <w:t xml:space="preserve">Identifying and cataloging the types of Service Desk </w:t>
            </w:r>
            <w:r w:rsidR="008730F4">
              <w:t>tickets/</w:t>
            </w:r>
            <w:r>
              <w:t>issues associated with an In-Field Address Canvassing operation</w:t>
            </w:r>
          </w:p>
          <w:p w14:paraId="01C15032" w14:textId="74AE1531" w:rsidR="008730F4" w:rsidRPr="0016683D" w:rsidRDefault="008730F4" w:rsidP="00B8301C">
            <w:pPr>
              <w:contextualSpacing/>
            </w:pPr>
          </w:p>
        </w:tc>
      </w:tr>
    </w:tbl>
    <w:p w14:paraId="79EF8DA2" w14:textId="77777777" w:rsidR="00686FCA" w:rsidRPr="00FE3B79" w:rsidRDefault="00686FCA" w:rsidP="009441DC"/>
    <w:p w14:paraId="10BA7553" w14:textId="20453A93" w:rsidR="009B4477" w:rsidRPr="00FE3B79" w:rsidRDefault="009B4477" w:rsidP="6B2F9303"/>
    <w:sectPr w:rsidR="009B4477" w:rsidRPr="00FE3B79" w:rsidSect="003B796C">
      <w:footerReference w:type="default" r:id="rId13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DBFEF" w14:textId="77777777" w:rsidR="008730F4" w:rsidRDefault="008730F4" w:rsidP="00F11900">
      <w:pPr>
        <w:spacing w:after="0" w:line="240" w:lineRule="auto"/>
      </w:pPr>
      <w:r>
        <w:separator/>
      </w:r>
    </w:p>
  </w:endnote>
  <w:endnote w:type="continuationSeparator" w:id="0">
    <w:p w14:paraId="3A1DBFF0" w14:textId="77777777" w:rsidR="008730F4" w:rsidRDefault="008730F4" w:rsidP="00F1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672935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B6D5F7B" w14:textId="735323CC" w:rsidR="008730F4" w:rsidRDefault="008730F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7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70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1DBFF4" w14:textId="77777777" w:rsidR="008730F4" w:rsidRDefault="008730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DBFED" w14:textId="77777777" w:rsidR="008730F4" w:rsidRDefault="008730F4" w:rsidP="00F11900">
      <w:pPr>
        <w:spacing w:after="0" w:line="240" w:lineRule="auto"/>
      </w:pPr>
      <w:r>
        <w:separator/>
      </w:r>
    </w:p>
  </w:footnote>
  <w:footnote w:type="continuationSeparator" w:id="0">
    <w:p w14:paraId="3A1DBFEE" w14:textId="77777777" w:rsidR="008730F4" w:rsidRDefault="008730F4" w:rsidP="00F11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567"/>
    <w:multiLevelType w:val="hybridMultilevel"/>
    <w:tmpl w:val="10A8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F5E4B"/>
    <w:multiLevelType w:val="hybridMultilevel"/>
    <w:tmpl w:val="470AC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30167F"/>
    <w:multiLevelType w:val="hybridMultilevel"/>
    <w:tmpl w:val="C8E0B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690079"/>
    <w:multiLevelType w:val="hybridMultilevel"/>
    <w:tmpl w:val="7BB68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353D75"/>
    <w:multiLevelType w:val="hybridMultilevel"/>
    <w:tmpl w:val="18EE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6413D"/>
    <w:multiLevelType w:val="hybridMultilevel"/>
    <w:tmpl w:val="18946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E271A"/>
    <w:multiLevelType w:val="hybridMultilevel"/>
    <w:tmpl w:val="A5E8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0274D"/>
    <w:multiLevelType w:val="hybridMultilevel"/>
    <w:tmpl w:val="B7D0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227BD"/>
    <w:multiLevelType w:val="hybridMultilevel"/>
    <w:tmpl w:val="45762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C02D5"/>
    <w:multiLevelType w:val="hybridMultilevel"/>
    <w:tmpl w:val="314E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24839"/>
    <w:multiLevelType w:val="hybridMultilevel"/>
    <w:tmpl w:val="F7922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12B08"/>
    <w:multiLevelType w:val="hybridMultilevel"/>
    <w:tmpl w:val="0E80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25FD3"/>
    <w:multiLevelType w:val="hybridMultilevel"/>
    <w:tmpl w:val="F3C6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E6277"/>
    <w:multiLevelType w:val="hybridMultilevel"/>
    <w:tmpl w:val="D49C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C3A82"/>
    <w:multiLevelType w:val="hybridMultilevel"/>
    <w:tmpl w:val="4F6EB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512AE6"/>
    <w:multiLevelType w:val="hybridMultilevel"/>
    <w:tmpl w:val="FA0E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844D6"/>
    <w:multiLevelType w:val="hybridMultilevel"/>
    <w:tmpl w:val="322630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E841D7"/>
    <w:multiLevelType w:val="hybridMultilevel"/>
    <w:tmpl w:val="24FAD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4E3FC7"/>
    <w:multiLevelType w:val="hybridMultilevel"/>
    <w:tmpl w:val="B360F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C067B1"/>
    <w:multiLevelType w:val="hybridMultilevel"/>
    <w:tmpl w:val="1610AB1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>
    <w:nsid w:val="54CC5CEF"/>
    <w:multiLevelType w:val="hybridMultilevel"/>
    <w:tmpl w:val="045810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452A21"/>
    <w:multiLevelType w:val="hybridMultilevel"/>
    <w:tmpl w:val="E47C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C274F2"/>
    <w:multiLevelType w:val="hybridMultilevel"/>
    <w:tmpl w:val="0594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C54555"/>
    <w:multiLevelType w:val="hybridMultilevel"/>
    <w:tmpl w:val="97E0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913070"/>
    <w:multiLevelType w:val="hybridMultilevel"/>
    <w:tmpl w:val="EBCE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24155A"/>
    <w:multiLevelType w:val="hybridMultilevel"/>
    <w:tmpl w:val="C14A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46FDF"/>
    <w:multiLevelType w:val="hybridMultilevel"/>
    <w:tmpl w:val="8F8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036D3"/>
    <w:multiLevelType w:val="hybridMultilevel"/>
    <w:tmpl w:val="01B872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FF2600"/>
    <w:multiLevelType w:val="hybridMultilevel"/>
    <w:tmpl w:val="6FE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E3B07"/>
    <w:multiLevelType w:val="hybridMultilevel"/>
    <w:tmpl w:val="8DBE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465A4"/>
    <w:multiLevelType w:val="hybridMultilevel"/>
    <w:tmpl w:val="8FAAF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DA4174"/>
    <w:multiLevelType w:val="hybridMultilevel"/>
    <w:tmpl w:val="002A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33A509A"/>
    <w:multiLevelType w:val="hybridMultilevel"/>
    <w:tmpl w:val="1DB86E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8E503C"/>
    <w:multiLevelType w:val="hybridMultilevel"/>
    <w:tmpl w:val="379491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29"/>
  </w:num>
  <w:num w:numId="5">
    <w:abstractNumId w:val="0"/>
  </w:num>
  <w:num w:numId="6">
    <w:abstractNumId w:val="21"/>
  </w:num>
  <w:num w:numId="7">
    <w:abstractNumId w:val="18"/>
  </w:num>
  <w:num w:numId="8">
    <w:abstractNumId w:val="14"/>
  </w:num>
  <w:num w:numId="9">
    <w:abstractNumId w:val="33"/>
  </w:num>
  <w:num w:numId="10">
    <w:abstractNumId w:val="23"/>
  </w:num>
  <w:num w:numId="11">
    <w:abstractNumId w:val="15"/>
  </w:num>
  <w:num w:numId="12">
    <w:abstractNumId w:val="1"/>
  </w:num>
  <w:num w:numId="13">
    <w:abstractNumId w:val="7"/>
  </w:num>
  <w:num w:numId="14">
    <w:abstractNumId w:val="3"/>
  </w:num>
  <w:num w:numId="15">
    <w:abstractNumId w:val="17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30"/>
  </w:num>
  <w:num w:numId="22">
    <w:abstractNumId w:val="28"/>
  </w:num>
  <w:num w:numId="23">
    <w:abstractNumId w:val="5"/>
  </w:num>
  <w:num w:numId="24">
    <w:abstractNumId w:val="2"/>
  </w:num>
  <w:num w:numId="25">
    <w:abstractNumId w:val="11"/>
  </w:num>
  <w:num w:numId="26">
    <w:abstractNumId w:val="27"/>
  </w:num>
  <w:num w:numId="27">
    <w:abstractNumId w:val="25"/>
  </w:num>
  <w:num w:numId="28">
    <w:abstractNumId w:val="20"/>
  </w:num>
  <w:num w:numId="29">
    <w:abstractNumId w:val="13"/>
  </w:num>
  <w:num w:numId="30">
    <w:abstractNumId w:val="16"/>
  </w:num>
  <w:num w:numId="31">
    <w:abstractNumId w:val="26"/>
  </w:num>
  <w:num w:numId="32">
    <w:abstractNumId w:val="32"/>
  </w:num>
  <w:num w:numId="33">
    <w:abstractNumId w:val="9"/>
  </w:num>
  <w:num w:numId="34">
    <w:abstractNumId w:val="12"/>
  </w:num>
  <w:num w:numId="35">
    <w:abstractNumId w:val="10"/>
  </w:num>
  <w:num w:numId="36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E0"/>
    <w:rsid w:val="000005E4"/>
    <w:rsid w:val="0000061A"/>
    <w:rsid w:val="0000182A"/>
    <w:rsid w:val="000019D0"/>
    <w:rsid w:val="0000299F"/>
    <w:rsid w:val="00003A86"/>
    <w:rsid w:val="000041C9"/>
    <w:rsid w:val="00004A95"/>
    <w:rsid w:val="0000529D"/>
    <w:rsid w:val="0000586A"/>
    <w:rsid w:val="00006FD5"/>
    <w:rsid w:val="000105B1"/>
    <w:rsid w:val="00012009"/>
    <w:rsid w:val="000126C5"/>
    <w:rsid w:val="00012C3E"/>
    <w:rsid w:val="000138AA"/>
    <w:rsid w:val="00013E4C"/>
    <w:rsid w:val="0001437F"/>
    <w:rsid w:val="0001447D"/>
    <w:rsid w:val="00014496"/>
    <w:rsid w:val="0001499F"/>
    <w:rsid w:val="00014ACE"/>
    <w:rsid w:val="00015922"/>
    <w:rsid w:val="00015FD4"/>
    <w:rsid w:val="00017352"/>
    <w:rsid w:val="00017485"/>
    <w:rsid w:val="00017C31"/>
    <w:rsid w:val="000212DB"/>
    <w:rsid w:val="00021546"/>
    <w:rsid w:val="000220C1"/>
    <w:rsid w:val="0002243E"/>
    <w:rsid w:val="00022C11"/>
    <w:rsid w:val="00022E16"/>
    <w:rsid w:val="00023356"/>
    <w:rsid w:val="00023691"/>
    <w:rsid w:val="000236CF"/>
    <w:rsid w:val="00025B7D"/>
    <w:rsid w:val="000264B8"/>
    <w:rsid w:val="000269AD"/>
    <w:rsid w:val="00027017"/>
    <w:rsid w:val="00027111"/>
    <w:rsid w:val="00030525"/>
    <w:rsid w:val="00031E0C"/>
    <w:rsid w:val="00032BDC"/>
    <w:rsid w:val="00032EC6"/>
    <w:rsid w:val="00032F7C"/>
    <w:rsid w:val="000345F6"/>
    <w:rsid w:val="00034B06"/>
    <w:rsid w:val="00034CA0"/>
    <w:rsid w:val="00035442"/>
    <w:rsid w:val="000364DB"/>
    <w:rsid w:val="000365D7"/>
    <w:rsid w:val="00037BD8"/>
    <w:rsid w:val="000403DC"/>
    <w:rsid w:val="00041126"/>
    <w:rsid w:val="0004129D"/>
    <w:rsid w:val="0004163B"/>
    <w:rsid w:val="00041E6F"/>
    <w:rsid w:val="0004295B"/>
    <w:rsid w:val="00043338"/>
    <w:rsid w:val="0004335D"/>
    <w:rsid w:val="00044C16"/>
    <w:rsid w:val="0004528D"/>
    <w:rsid w:val="0004544C"/>
    <w:rsid w:val="0004555D"/>
    <w:rsid w:val="00045FA3"/>
    <w:rsid w:val="00047E19"/>
    <w:rsid w:val="00050264"/>
    <w:rsid w:val="000510B4"/>
    <w:rsid w:val="000510CC"/>
    <w:rsid w:val="00051306"/>
    <w:rsid w:val="000522BC"/>
    <w:rsid w:val="00053AFC"/>
    <w:rsid w:val="00053B80"/>
    <w:rsid w:val="000541BC"/>
    <w:rsid w:val="00054C47"/>
    <w:rsid w:val="00055136"/>
    <w:rsid w:val="00055192"/>
    <w:rsid w:val="000558E6"/>
    <w:rsid w:val="00055FE2"/>
    <w:rsid w:val="000562EB"/>
    <w:rsid w:val="00057C2A"/>
    <w:rsid w:val="00057EDD"/>
    <w:rsid w:val="00061A9A"/>
    <w:rsid w:val="00062DAA"/>
    <w:rsid w:val="00064E9B"/>
    <w:rsid w:val="00065FA0"/>
    <w:rsid w:val="00070AC4"/>
    <w:rsid w:val="0007131F"/>
    <w:rsid w:val="0007218B"/>
    <w:rsid w:val="00072831"/>
    <w:rsid w:val="00072867"/>
    <w:rsid w:val="00075540"/>
    <w:rsid w:val="00075818"/>
    <w:rsid w:val="00075CFD"/>
    <w:rsid w:val="00076255"/>
    <w:rsid w:val="000763FE"/>
    <w:rsid w:val="000768A7"/>
    <w:rsid w:val="00076E45"/>
    <w:rsid w:val="00077D36"/>
    <w:rsid w:val="00080CC4"/>
    <w:rsid w:val="0008125C"/>
    <w:rsid w:val="000822AE"/>
    <w:rsid w:val="0008326A"/>
    <w:rsid w:val="00083276"/>
    <w:rsid w:val="00084D64"/>
    <w:rsid w:val="00084DBA"/>
    <w:rsid w:val="00085563"/>
    <w:rsid w:val="0008566A"/>
    <w:rsid w:val="000856AC"/>
    <w:rsid w:val="000875DA"/>
    <w:rsid w:val="0008795E"/>
    <w:rsid w:val="000879A0"/>
    <w:rsid w:val="00087EDC"/>
    <w:rsid w:val="000902D4"/>
    <w:rsid w:val="000905E3"/>
    <w:rsid w:val="00090743"/>
    <w:rsid w:val="00090881"/>
    <w:rsid w:val="00091ADA"/>
    <w:rsid w:val="00092DDE"/>
    <w:rsid w:val="00093B8B"/>
    <w:rsid w:val="00093BB4"/>
    <w:rsid w:val="00094B1A"/>
    <w:rsid w:val="00094B3E"/>
    <w:rsid w:val="00094E20"/>
    <w:rsid w:val="0009639E"/>
    <w:rsid w:val="000965B3"/>
    <w:rsid w:val="000977B6"/>
    <w:rsid w:val="00097DE9"/>
    <w:rsid w:val="000A028E"/>
    <w:rsid w:val="000A02E8"/>
    <w:rsid w:val="000A1056"/>
    <w:rsid w:val="000A107F"/>
    <w:rsid w:val="000A17DE"/>
    <w:rsid w:val="000A1A5F"/>
    <w:rsid w:val="000A2342"/>
    <w:rsid w:val="000A2A78"/>
    <w:rsid w:val="000A32FA"/>
    <w:rsid w:val="000A4137"/>
    <w:rsid w:val="000A4ABE"/>
    <w:rsid w:val="000A507E"/>
    <w:rsid w:val="000A5151"/>
    <w:rsid w:val="000A530C"/>
    <w:rsid w:val="000A6DE6"/>
    <w:rsid w:val="000A7BC2"/>
    <w:rsid w:val="000B0383"/>
    <w:rsid w:val="000B0860"/>
    <w:rsid w:val="000B1054"/>
    <w:rsid w:val="000B17B3"/>
    <w:rsid w:val="000B2448"/>
    <w:rsid w:val="000B39A2"/>
    <w:rsid w:val="000B4CD2"/>
    <w:rsid w:val="000B4E97"/>
    <w:rsid w:val="000B51EF"/>
    <w:rsid w:val="000B5742"/>
    <w:rsid w:val="000B5DDC"/>
    <w:rsid w:val="000B6A06"/>
    <w:rsid w:val="000B77B9"/>
    <w:rsid w:val="000C002E"/>
    <w:rsid w:val="000C00C8"/>
    <w:rsid w:val="000C1657"/>
    <w:rsid w:val="000C17A2"/>
    <w:rsid w:val="000C279A"/>
    <w:rsid w:val="000C2A22"/>
    <w:rsid w:val="000C2E12"/>
    <w:rsid w:val="000C34DD"/>
    <w:rsid w:val="000C3812"/>
    <w:rsid w:val="000C3A01"/>
    <w:rsid w:val="000C5151"/>
    <w:rsid w:val="000C5170"/>
    <w:rsid w:val="000C6F4C"/>
    <w:rsid w:val="000C72A1"/>
    <w:rsid w:val="000C737B"/>
    <w:rsid w:val="000C7FA9"/>
    <w:rsid w:val="000D0487"/>
    <w:rsid w:val="000D0C7D"/>
    <w:rsid w:val="000D0EBE"/>
    <w:rsid w:val="000D16E0"/>
    <w:rsid w:val="000D1713"/>
    <w:rsid w:val="000D2D5E"/>
    <w:rsid w:val="000D328E"/>
    <w:rsid w:val="000D384D"/>
    <w:rsid w:val="000D465C"/>
    <w:rsid w:val="000D508F"/>
    <w:rsid w:val="000D54A6"/>
    <w:rsid w:val="000D5664"/>
    <w:rsid w:val="000D5C40"/>
    <w:rsid w:val="000D6005"/>
    <w:rsid w:val="000D645E"/>
    <w:rsid w:val="000E1827"/>
    <w:rsid w:val="000E2337"/>
    <w:rsid w:val="000E23EA"/>
    <w:rsid w:val="000E299A"/>
    <w:rsid w:val="000E31E6"/>
    <w:rsid w:val="000E39F8"/>
    <w:rsid w:val="000E3BCF"/>
    <w:rsid w:val="000E3CC3"/>
    <w:rsid w:val="000E44C7"/>
    <w:rsid w:val="000E4640"/>
    <w:rsid w:val="000E5B55"/>
    <w:rsid w:val="000E785D"/>
    <w:rsid w:val="000E7BCF"/>
    <w:rsid w:val="000E7C59"/>
    <w:rsid w:val="000F03D4"/>
    <w:rsid w:val="000F0B45"/>
    <w:rsid w:val="000F0FFB"/>
    <w:rsid w:val="000F15E8"/>
    <w:rsid w:val="000F282A"/>
    <w:rsid w:val="000F2941"/>
    <w:rsid w:val="000F29D6"/>
    <w:rsid w:val="000F2E83"/>
    <w:rsid w:val="000F4851"/>
    <w:rsid w:val="000F4CEA"/>
    <w:rsid w:val="000F4E38"/>
    <w:rsid w:val="000F4FC5"/>
    <w:rsid w:val="000F5613"/>
    <w:rsid w:val="000F5D26"/>
    <w:rsid w:val="000F648B"/>
    <w:rsid w:val="000F668D"/>
    <w:rsid w:val="000F70CD"/>
    <w:rsid w:val="000F73BB"/>
    <w:rsid w:val="000F7B15"/>
    <w:rsid w:val="0010023E"/>
    <w:rsid w:val="001008C6"/>
    <w:rsid w:val="00103093"/>
    <w:rsid w:val="00104644"/>
    <w:rsid w:val="00104BAA"/>
    <w:rsid w:val="00104E15"/>
    <w:rsid w:val="001050C6"/>
    <w:rsid w:val="00106A05"/>
    <w:rsid w:val="00107056"/>
    <w:rsid w:val="001073B9"/>
    <w:rsid w:val="001075AC"/>
    <w:rsid w:val="00107B3C"/>
    <w:rsid w:val="00107D56"/>
    <w:rsid w:val="00107E7C"/>
    <w:rsid w:val="0011104F"/>
    <w:rsid w:val="00111D3E"/>
    <w:rsid w:val="00112364"/>
    <w:rsid w:val="00112911"/>
    <w:rsid w:val="001131C6"/>
    <w:rsid w:val="00113560"/>
    <w:rsid w:val="00114303"/>
    <w:rsid w:val="0011442D"/>
    <w:rsid w:val="0011466B"/>
    <w:rsid w:val="001148D6"/>
    <w:rsid w:val="001152FA"/>
    <w:rsid w:val="00115341"/>
    <w:rsid w:val="00115A8F"/>
    <w:rsid w:val="00116E56"/>
    <w:rsid w:val="00117707"/>
    <w:rsid w:val="001205C9"/>
    <w:rsid w:val="001205D9"/>
    <w:rsid w:val="001206E3"/>
    <w:rsid w:val="00120CFB"/>
    <w:rsid w:val="00121183"/>
    <w:rsid w:val="00121869"/>
    <w:rsid w:val="00122096"/>
    <w:rsid w:val="00123760"/>
    <w:rsid w:val="00123F94"/>
    <w:rsid w:val="00124880"/>
    <w:rsid w:val="00125BC3"/>
    <w:rsid w:val="00126111"/>
    <w:rsid w:val="001264C9"/>
    <w:rsid w:val="001265AD"/>
    <w:rsid w:val="00126667"/>
    <w:rsid w:val="00127774"/>
    <w:rsid w:val="00130037"/>
    <w:rsid w:val="0013186E"/>
    <w:rsid w:val="001319C3"/>
    <w:rsid w:val="00131AEB"/>
    <w:rsid w:val="00131EEE"/>
    <w:rsid w:val="001321F8"/>
    <w:rsid w:val="00132483"/>
    <w:rsid w:val="001326EC"/>
    <w:rsid w:val="001327D4"/>
    <w:rsid w:val="00132A79"/>
    <w:rsid w:val="00133EE6"/>
    <w:rsid w:val="0013427E"/>
    <w:rsid w:val="001361A3"/>
    <w:rsid w:val="0013636A"/>
    <w:rsid w:val="00137425"/>
    <w:rsid w:val="001374C9"/>
    <w:rsid w:val="00137775"/>
    <w:rsid w:val="0013777A"/>
    <w:rsid w:val="00137C99"/>
    <w:rsid w:val="00140ACC"/>
    <w:rsid w:val="00141F1A"/>
    <w:rsid w:val="0014215A"/>
    <w:rsid w:val="001425CA"/>
    <w:rsid w:val="00142DD0"/>
    <w:rsid w:val="001431EC"/>
    <w:rsid w:val="00143573"/>
    <w:rsid w:val="00144165"/>
    <w:rsid w:val="001447B8"/>
    <w:rsid w:val="00144FB9"/>
    <w:rsid w:val="001451FC"/>
    <w:rsid w:val="00145E35"/>
    <w:rsid w:val="00145EE4"/>
    <w:rsid w:val="001471EA"/>
    <w:rsid w:val="001506FE"/>
    <w:rsid w:val="00150840"/>
    <w:rsid w:val="00150BAD"/>
    <w:rsid w:val="00151B64"/>
    <w:rsid w:val="00152426"/>
    <w:rsid w:val="00153D74"/>
    <w:rsid w:val="001553CD"/>
    <w:rsid w:val="001553F3"/>
    <w:rsid w:val="00155AEC"/>
    <w:rsid w:val="00155BDB"/>
    <w:rsid w:val="00155C08"/>
    <w:rsid w:val="00155FE7"/>
    <w:rsid w:val="00156B5D"/>
    <w:rsid w:val="00157438"/>
    <w:rsid w:val="001574F7"/>
    <w:rsid w:val="00157524"/>
    <w:rsid w:val="00157AAF"/>
    <w:rsid w:val="0016007E"/>
    <w:rsid w:val="00160C7B"/>
    <w:rsid w:val="00160D46"/>
    <w:rsid w:val="00161408"/>
    <w:rsid w:val="00162810"/>
    <w:rsid w:val="00162830"/>
    <w:rsid w:val="0016480E"/>
    <w:rsid w:val="00164DD2"/>
    <w:rsid w:val="00164F42"/>
    <w:rsid w:val="00165347"/>
    <w:rsid w:val="00165B18"/>
    <w:rsid w:val="001660BB"/>
    <w:rsid w:val="0016683D"/>
    <w:rsid w:val="00166D3E"/>
    <w:rsid w:val="0016720F"/>
    <w:rsid w:val="00167422"/>
    <w:rsid w:val="001704A8"/>
    <w:rsid w:val="001709F0"/>
    <w:rsid w:val="001712D9"/>
    <w:rsid w:val="00171BB1"/>
    <w:rsid w:val="00171DDE"/>
    <w:rsid w:val="0017272D"/>
    <w:rsid w:val="00172B3E"/>
    <w:rsid w:val="0017356F"/>
    <w:rsid w:val="00173864"/>
    <w:rsid w:val="00173BC9"/>
    <w:rsid w:val="00174038"/>
    <w:rsid w:val="0017483A"/>
    <w:rsid w:val="00175A64"/>
    <w:rsid w:val="00176500"/>
    <w:rsid w:val="001769A1"/>
    <w:rsid w:val="00177B8C"/>
    <w:rsid w:val="00177F5D"/>
    <w:rsid w:val="00180FD8"/>
    <w:rsid w:val="0018186D"/>
    <w:rsid w:val="00182FA3"/>
    <w:rsid w:val="00183798"/>
    <w:rsid w:val="00183844"/>
    <w:rsid w:val="00184E66"/>
    <w:rsid w:val="001854C0"/>
    <w:rsid w:val="00185FE0"/>
    <w:rsid w:val="00186164"/>
    <w:rsid w:val="00187EF6"/>
    <w:rsid w:val="001908B9"/>
    <w:rsid w:val="001908C3"/>
    <w:rsid w:val="00190AA4"/>
    <w:rsid w:val="00190DA4"/>
    <w:rsid w:val="00191AA4"/>
    <w:rsid w:val="00191D56"/>
    <w:rsid w:val="001922FB"/>
    <w:rsid w:val="001927E1"/>
    <w:rsid w:val="0019314A"/>
    <w:rsid w:val="00194985"/>
    <w:rsid w:val="00194AB1"/>
    <w:rsid w:val="00195787"/>
    <w:rsid w:val="0019584E"/>
    <w:rsid w:val="00195B16"/>
    <w:rsid w:val="00197182"/>
    <w:rsid w:val="00197AF5"/>
    <w:rsid w:val="001A02A7"/>
    <w:rsid w:val="001A1B50"/>
    <w:rsid w:val="001A26BD"/>
    <w:rsid w:val="001A2978"/>
    <w:rsid w:val="001A29E8"/>
    <w:rsid w:val="001A2BBD"/>
    <w:rsid w:val="001A31E3"/>
    <w:rsid w:val="001A3C57"/>
    <w:rsid w:val="001A47E1"/>
    <w:rsid w:val="001A4D72"/>
    <w:rsid w:val="001A54FD"/>
    <w:rsid w:val="001A5A9E"/>
    <w:rsid w:val="001A5D62"/>
    <w:rsid w:val="001A6220"/>
    <w:rsid w:val="001A6A75"/>
    <w:rsid w:val="001B131F"/>
    <w:rsid w:val="001B1DE1"/>
    <w:rsid w:val="001B21C0"/>
    <w:rsid w:val="001B221D"/>
    <w:rsid w:val="001B2F8E"/>
    <w:rsid w:val="001B30CB"/>
    <w:rsid w:val="001B3B4D"/>
    <w:rsid w:val="001B4604"/>
    <w:rsid w:val="001B46EB"/>
    <w:rsid w:val="001B4D19"/>
    <w:rsid w:val="001B5355"/>
    <w:rsid w:val="001B5613"/>
    <w:rsid w:val="001B5E32"/>
    <w:rsid w:val="001B60A2"/>
    <w:rsid w:val="001B6219"/>
    <w:rsid w:val="001B62FE"/>
    <w:rsid w:val="001B67DD"/>
    <w:rsid w:val="001B6FB1"/>
    <w:rsid w:val="001B73D6"/>
    <w:rsid w:val="001B787F"/>
    <w:rsid w:val="001B7CC5"/>
    <w:rsid w:val="001C08C1"/>
    <w:rsid w:val="001C1ABC"/>
    <w:rsid w:val="001C1CE8"/>
    <w:rsid w:val="001C3C0F"/>
    <w:rsid w:val="001C3EEE"/>
    <w:rsid w:val="001C4220"/>
    <w:rsid w:val="001C5726"/>
    <w:rsid w:val="001C5F83"/>
    <w:rsid w:val="001C648D"/>
    <w:rsid w:val="001C6908"/>
    <w:rsid w:val="001C7F7A"/>
    <w:rsid w:val="001D0730"/>
    <w:rsid w:val="001D0C35"/>
    <w:rsid w:val="001D207B"/>
    <w:rsid w:val="001D269E"/>
    <w:rsid w:val="001D36B3"/>
    <w:rsid w:val="001D3C4D"/>
    <w:rsid w:val="001D3D9B"/>
    <w:rsid w:val="001D4273"/>
    <w:rsid w:val="001D46E5"/>
    <w:rsid w:val="001D4A3C"/>
    <w:rsid w:val="001D4CC5"/>
    <w:rsid w:val="001D7698"/>
    <w:rsid w:val="001D7834"/>
    <w:rsid w:val="001D7AC3"/>
    <w:rsid w:val="001D7F43"/>
    <w:rsid w:val="001E0B44"/>
    <w:rsid w:val="001E1564"/>
    <w:rsid w:val="001E1B5E"/>
    <w:rsid w:val="001E28BA"/>
    <w:rsid w:val="001E42D2"/>
    <w:rsid w:val="001E4F5A"/>
    <w:rsid w:val="001E50AF"/>
    <w:rsid w:val="001E54A2"/>
    <w:rsid w:val="001E5AA7"/>
    <w:rsid w:val="001E5D5C"/>
    <w:rsid w:val="001E791C"/>
    <w:rsid w:val="001F09E2"/>
    <w:rsid w:val="001F0B39"/>
    <w:rsid w:val="001F0F03"/>
    <w:rsid w:val="001F189A"/>
    <w:rsid w:val="001F21A3"/>
    <w:rsid w:val="001F2291"/>
    <w:rsid w:val="001F2FD7"/>
    <w:rsid w:val="001F32D5"/>
    <w:rsid w:val="001F35DF"/>
    <w:rsid w:val="001F482F"/>
    <w:rsid w:val="001F5B88"/>
    <w:rsid w:val="001F655C"/>
    <w:rsid w:val="001F665F"/>
    <w:rsid w:val="001F673F"/>
    <w:rsid w:val="00200D1F"/>
    <w:rsid w:val="00201AA9"/>
    <w:rsid w:val="00201ADC"/>
    <w:rsid w:val="00202156"/>
    <w:rsid w:val="00202B20"/>
    <w:rsid w:val="00202C85"/>
    <w:rsid w:val="002036D4"/>
    <w:rsid w:val="00203730"/>
    <w:rsid w:val="002037D5"/>
    <w:rsid w:val="00203FCD"/>
    <w:rsid w:val="0020488C"/>
    <w:rsid w:val="00204C2A"/>
    <w:rsid w:val="002061C8"/>
    <w:rsid w:val="002070CE"/>
    <w:rsid w:val="00207367"/>
    <w:rsid w:val="0021015B"/>
    <w:rsid w:val="002111E7"/>
    <w:rsid w:val="002114A7"/>
    <w:rsid w:val="00211669"/>
    <w:rsid w:val="00211D70"/>
    <w:rsid w:val="002124EA"/>
    <w:rsid w:val="002126E2"/>
    <w:rsid w:val="00212858"/>
    <w:rsid w:val="002130BB"/>
    <w:rsid w:val="002132FC"/>
    <w:rsid w:val="00213362"/>
    <w:rsid w:val="00213D76"/>
    <w:rsid w:val="0021441C"/>
    <w:rsid w:val="002149CD"/>
    <w:rsid w:val="00214A4D"/>
    <w:rsid w:val="002156C5"/>
    <w:rsid w:val="0021571D"/>
    <w:rsid w:val="00215EF3"/>
    <w:rsid w:val="0021630D"/>
    <w:rsid w:val="00216B7B"/>
    <w:rsid w:val="00216DA5"/>
    <w:rsid w:val="002171E9"/>
    <w:rsid w:val="0021735E"/>
    <w:rsid w:val="00217929"/>
    <w:rsid w:val="0022000E"/>
    <w:rsid w:val="00220272"/>
    <w:rsid w:val="00220A86"/>
    <w:rsid w:val="00220C8C"/>
    <w:rsid w:val="00221D49"/>
    <w:rsid w:val="00222737"/>
    <w:rsid w:val="00222C8F"/>
    <w:rsid w:val="0022330C"/>
    <w:rsid w:val="00224012"/>
    <w:rsid w:val="00224635"/>
    <w:rsid w:val="002247FC"/>
    <w:rsid w:val="00225C4A"/>
    <w:rsid w:val="0022633F"/>
    <w:rsid w:val="002267D1"/>
    <w:rsid w:val="00226EBF"/>
    <w:rsid w:val="00226EFC"/>
    <w:rsid w:val="00226FFC"/>
    <w:rsid w:val="002273A1"/>
    <w:rsid w:val="0022763E"/>
    <w:rsid w:val="00227CDD"/>
    <w:rsid w:val="0023003D"/>
    <w:rsid w:val="0023030C"/>
    <w:rsid w:val="00230825"/>
    <w:rsid w:val="00230855"/>
    <w:rsid w:val="002313C2"/>
    <w:rsid w:val="00231E6A"/>
    <w:rsid w:val="00232A99"/>
    <w:rsid w:val="002341C8"/>
    <w:rsid w:val="00235B08"/>
    <w:rsid w:val="00236D74"/>
    <w:rsid w:val="00236E3C"/>
    <w:rsid w:val="002375D3"/>
    <w:rsid w:val="00237A73"/>
    <w:rsid w:val="0024016F"/>
    <w:rsid w:val="00240B01"/>
    <w:rsid w:val="00241A50"/>
    <w:rsid w:val="00241E56"/>
    <w:rsid w:val="00242158"/>
    <w:rsid w:val="00242868"/>
    <w:rsid w:val="002448AB"/>
    <w:rsid w:val="00245826"/>
    <w:rsid w:val="00245AD8"/>
    <w:rsid w:val="00245C96"/>
    <w:rsid w:val="00245CC5"/>
    <w:rsid w:val="002511D7"/>
    <w:rsid w:val="00251323"/>
    <w:rsid w:val="00251784"/>
    <w:rsid w:val="00252C53"/>
    <w:rsid w:val="00252FD3"/>
    <w:rsid w:val="0025301E"/>
    <w:rsid w:val="00253A55"/>
    <w:rsid w:val="00253D89"/>
    <w:rsid w:val="002557F6"/>
    <w:rsid w:val="002558D1"/>
    <w:rsid w:val="00256C4A"/>
    <w:rsid w:val="0025762E"/>
    <w:rsid w:val="0025780E"/>
    <w:rsid w:val="00257E3C"/>
    <w:rsid w:val="00260107"/>
    <w:rsid w:val="0026092B"/>
    <w:rsid w:val="0026115D"/>
    <w:rsid w:val="0026170D"/>
    <w:rsid w:val="00262005"/>
    <w:rsid w:val="00262711"/>
    <w:rsid w:val="0026353D"/>
    <w:rsid w:val="00264FC0"/>
    <w:rsid w:val="00265789"/>
    <w:rsid w:val="00265A2B"/>
    <w:rsid w:val="00265A8B"/>
    <w:rsid w:val="00265E75"/>
    <w:rsid w:val="002662AC"/>
    <w:rsid w:val="00267061"/>
    <w:rsid w:val="0026734F"/>
    <w:rsid w:val="00270132"/>
    <w:rsid w:val="002710D0"/>
    <w:rsid w:val="00271A3D"/>
    <w:rsid w:val="00271D3B"/>
    <w:rsid w:val="00272A43"/>
    <w:rsid w:val="002730E6"/>
    <w:rsid w:val="00273CFD"/>
    <w:rsid w:val="002752E3"/>
    <w:rsid w:val="002758CD"/>
    <w:rsid w:val="00275DBD"/>
    <w:rsid w:val="002760F1"/>
    <w:rsid w:val="00276976"/>
    <w:rsid w:val="002778D1"/>
    <w:rsid w:val="002814D0"/>
    <w:rsid w:val="00281848"/>
    <w:rsid w:val="00281969"/>
    <w:rsid w:val="00281B13"/>
    <w:rsid w:val="002820BE"/>
    <w:rsid w:val="00282A2D"/>
    <w:rsid w:val="00283081"/>
    <w:rsid w:val="0028338E"/>
    <w:rsid w:val="00283F97"/>
    <w:rsid w:val="00284B1E"/>
    <w:rsid w:val="00285DB8"/>
    <w:rsid w:val="00286159"/>
    <w:rsid w:val="002865D2"/>
    <w:rsid w:val="00286E39"/>
    <w:rsid w:val="00286F2F"/>
    <w:rsid w:val="002876FF"/>
    <w:rsid w:val="002878F5"/>
    <w:rsid w:val="00290ADF"/>
    <w:rsid w:val="0029135A"/>
    <w:rsid w:val="00291518"/>
    <w:rsid w:val="0029291C"/>
    <w:rsid w:val="0029295B"/>
    <w:rsid w:val="00292DED"/>
    <w:rsid w:val="00293071"/>
    <w:rsid w:val="0029313D"/>
    <w:rsid w:val="0029376C"/>
    <w:rsid w:val="0029432E"/>
    <w:rsid w:val="00295123"/>
    <w:rsid w:val="00295B83"/>
    <w:rsid w:val="00296B40"/>
    <w:rsid w:val="00296D97"/>
    <w:rsid w:val="002A1370"/>
    <w:rsid w:val="002A1936"/>
    <w:rsid w:val="002A1EEE"/>
    <w:rsid w:val="002A1F1C"/>
    <w:rsid w:val="002A2D45"/>
    <w:rsid w:val="002A3D17"/>
    <w:rsid w:val="002A3E42"/>
    <w:rsid w:val="002A4C0B"/>
    <w:rsid w:val="002A4DF5"/>
    <w:rsid w:val="002A57D9"/>
    <w:rsid w:val="002A6FF2"/>
    <w:rsid w:val="002B0CF3"/>
    <w:rsid w:val="002B140B"/>
    <w:rsid w:val="002B1BBE"/>
    <w:rsid w:val="002B2031"/>
    <w:rsid w:val="002B20C2"/>
    <w:rsid w:val="002B2F6E"/>
    <w:rsid w:val="002B308C"/>
    <w:rsid w:val="002B337D"/>
    <w:rsid w:val="002B369B"/>
    <w:rsid w:val="002B3A36"/>
    <w:rsid w:val="002B4A03"/>
    <w:rsid w:val="002B55FC"/>
    <w:rsid w:val="002B5BB4"/>
    <w:rsid w:val="002B63B8"/>
    <w:rsid w:val="002B72E3"/>
    <w:rsid w:val="002C0445"/>
    <w:rsid w:val="002C16AF"/>
    <w:rsid w:val="002C2406"/>
    <w:rsid w:val="002C415A"/>
    <w:rsid w:val="002C4B20"/>
    <w:rsid w:val="002C4E62"/>
    <w:rsid w:val="002C51CC"/>
    <w:rsid w:val="002C5B81"/>
    <w:rsid w:val="002C60E1"/>
    <w:rsid w:val="002C6869"/>
    <w:rsid w:val="002C693D"/>
    <w:rsid w:val="002C77D3"/>
    <w:rsid w:val="002C78F1"/>
    <w:rsid w:val="002D3968"/>
    <w:rsid w:val="002D3B63"/>
    <w:rsid w:val="002D3FAE"/>
    <w:rsid w:val="002D4C0E"/>
    <w:rsid w:val="002D4F66"/>
    <w:rsid w:val="002D4FFC"/>
    <w:rsid w:val="002D6F9E"/>
    <w:rsid w:val="002D6FD4"/>
    <w:rsid w:val="002D715B"/>
    <w:rsid w:val="002D79A4"/>
    <w:rsid w:val="002E0544"/>
    <w:rsid w:val="002E071F"/>
    <w:rsid w:val="002E0E70"/>
    <w:rsid w:val="002E0F72"/>
    <w:rsid w:val="002E13B8"/>
    <w:rsid w:val="002E1CBC"/>
    <w:rsid w:val="002E2314"/>
    <w:rsid w:val="002E26E6"/>
    <w:rsid w:val="002E35C7"/>
    <w:rsid w:val="002E3925"/>
    <w:rsid w:val="002E439B"/>
    <w:rsid w:val="002E4664"/>
    <w:rsid w:val="002E4A6F"/>
    <w:rsid w:val="002E4E09"/>
    <w:rsid w:val="002E5365"/>
    <w:rsid w:val="002E58B7"/>
    <w:rsid w:val="002E63A1"/>
    <w:rsid w:val="002E69DD"/>
    <w:rsid w:val="002E6C3C"/>
    <w:rsid w:val="002E776C"/>
    <w:rsid w:val="002E7CE8"/>
    <w:rsid w:val="002E7D26"/>
    <w:rsid w:val="002E7DF9"/>
    <w:rsid w:val="002F09E8"/>
    <w:rsid w:val="002F1680"/>
    <w:rsid w:val="002F189C"/>
    <w:rsid w:val="002F1DDA"/>
    <w:rsid w:val="002F2048"/>
    <w:rsid w:val="002F21B0"/>
    <w:rsid w:val="002F3ECE"/>
    <w:rsid w:val="002F490A"/>
    <w:rsid w:val="002F5728"/>
    <w:rsid w:val="002F5B7B"/>
    <w:rsid w:val="002F6309"/>
    <w:rsid w:val="002F6E44"/>
    <w:rsid w:val="002F7242"/>
    <w:rsid w:val="00301357"/>
    <w:rsid w:val="00301DDC"/>
    <w:rsid w:val="0030274A"/>
    <w:rsid w:val="003027AB"/>
    <w:rsid w:val="0030294B"/>
    <w:rsid w:val="003029E3"/>
    <w:rsid w:val="00302EFC"/>
    <w:rsid w:val="00303413"/>
    <w:rsid w:val="003038D1"/>
    <w:rsid w:val="00304200"/>
    <w:rsid w:val="00304517"/>
    <w:rsid w:val="003049FF"/>
    <w:rsid w:val="003060DF"/>
    <w:rsid w:val="00306A24"/>
    <w:rsid w:val="00306AB5"/>
    <w:rsid w:val="00306EAE"/>
    <w:rsid w:val="00307A12"/>
    <w:rsid w:val="00307EAF"/>
    <w:rsid w:val="00307F88"/>
    <w:rsid w:val="003109FA"/>
    <w:rsid w:val="00310DBF"/>
    <w:rsid w:val="00311694"/>
    <w:rsid w:val="00312B89"/>
    <w:rsid w:val="0031420B"/>
    <w:rsid w:val="00314421"/>
    <w:rsid w:val="00314874"/>
    <w:rsid w:val="00314C83"/>
    <w:rsid w:val="00315639"/>
    <w:rsid w:val="00315D4F"/>
    <w:rsid w:val="003177C9"/>
    <w:rsid w:val="00320694"/>
    <w:rsid w:val="00320928"/>
    <w:rsid w:val="003210B6"/>
    <w:rsid w:val="00321191"/>
    <w:rsid w:val="00321A1F"/>
    <w:rsid w:val="00322B8C"/>
    <w:rsid w:val="0032351C"/>
    <w:rsid w:val="00323766"/>
    <w:rsid w:val="00323F76"/>
    <w:rsid w:val="003244FB"/>
    <w:rsid w:val="003248AE"/>
    <w:rsid w:val="00324956"/>
    <w:rsid w:val="003250C7"/>
    <w:rsid w:val="003251D5"/>
    <w:rsid w:val="00325992"/>
    <w:rsid w:val="00326220"/>
    <w:rsid w:val="003271B9"/>
    <w:rsid w:val="003274D6"/>
    <w:rsid w:val="0032759F"/>
    <w:rsid w:val="0032798D"/>
    <w:rsid w:val="003313AA"/>
    <w:rsid w:val="003320F3"/>
    <w:rsid w:val="003324B7"/>
    <w:rsid w:val="003329D4"/>
    <w:rsid w:val="00332FDA"/>
    <w:rsid w:val="00334A69"/>
    <w:rsid w:val="0033506D"/>
    <w:rsid w:val="0033537A"/>
    <w:rsid w:val="0033544E"/>
    <w:rsid w:val="003363B6"/>
    <w:rsid w:val="00336D23"/>
    <w:rsid w:val="00337310"/>
    <w:rsid w:val="0034003C"/>
    <w:rsid w:val="00340B2E"/>
    <w:rsid w:val="00340E7B"/>
    <w:rsid w:val="003430C3"/>
    <w:rsid w:val="0034383F"/>
    <w:rsid w:val="00344B39"/>
    <w:rsid w:val="00344C6C"/>
    <w:rsid w:val="003457F7"/>
    <w:rsid w:val="00345BE1"/>
    <w:rsid w:val="00345FBA"/>
    <w:rsid w:val="0034608F"/>
    <w:rsid w:val="00346FCC"/>
    <w:rsid w:val="00347275"/>
    <w:rsid w:val="00347644"/>
    <w:rsid w:val="00350525"/>
    <w:rsid w:val="00350BCA"/>
    <w:rsid w:val="003519F5"/>
    <w:rsid w:val="00351BCC"/>
    <w:rsid w:val="00352937"/>
    <w:rsid w:val="00352A73"/>
    <w:rsid w:val="00352BCE"/>
    <w:rsid w:val="003530C3"/>
    <w:rsid w:val="00353D31"/>
    <w:rsid w:val="00357299"/>
    <w:rsid w:val="00357D1F"/>
    <w:rsid w:val="00360C7E"/>
    <w:rsid w:val="00361779"/>
    <w:rsid w:val="00361BC6"/>
    <w:rsid w:val="00361E95"/>
    <w:rsid w:val="003625E9"/>
    <w:rsid w:val="00362CEF"/>
    <w:rsid w:val="00362E2F"/>
    <w:rsid w:val="00363A77"/>
    <w:rsid w:val="00363B9C"/>
    <w:rsid w:val="0036458E"/>
    <w:rsid w:val="00365C94"/>
    <w:rsid w:val="003667A6"/>
    <w:rsid w:val="00366D71"/>
    <w:rsid w:val="00367CBD"/>
    <w:rsid w:val="0037026F"/>
    <w:rsid w:val="00370A6F"/>
    <w:rsid w:val="00370ACE"/>
    <w:rsid w:val="00370D0B"/>
    <w:rsid w:val="00373036"/>
    <w:rsid w:val="00374A9D"/>
    <w:rsid w:val="00374F19"/>
    <w:rsid w:val="0037541C"/>
    <w:rsid w:val="00375865"/>
    <w:rsid w:val="00375C09"/>
    <w:rsid w:val="00376694"/>
    <w:rsid w:val="00376B9F"/>
    <w:rsid w:val="00377136"/>
    <w:rsid w:val="00377A6E"/>
    <w:rsid w:val="003802B2"/>
    <w:rsid w:val="003812BD"/>
    <w:rsid w:val="0038258C"/>
    <w:rsid w:val="00383BAF"/>
    <w:rsid w:val="00383DB3"/>
    <w:rsid w:val="00384402"/>
    <w:rsid w:val="00386CE8"/>
    <w:rsid w:val="00387896"/>
    <w:rsid w:val="00387E02"/>
    <w:rsid w:val="00387FB1"/>
    <w:rsid w:val="003902C1"/>
    <w:rsid w:val="003903CE"/>
    <w:rsid w:val="00392BFE"/>
    <w:rsid w:val="00393755"/>
    <w:rsid w:val="0039488B"/>
    <w:rsid w:val="003948EB"/>
    <w:rsid w:val="00395567"/>
    <w:rsid w:val="0039565F"/>
    <w:rsid w:val="00395B1B"/>
    <w:rsid w:val="00395CCB"/>
    <w:rsid w:val="003969B8"/>
    <w:rsid w:val="00396E9C"/>
    <w:rsid w:val="003A3340"/>
    <w:rsid w:val="003A346E"/>
    <w:rsid w:val="003A4410"/>
    <w:rsid w:val="003A565F"/>
    <w:rsid w:val="003A6917"/>
    <w:rsid w:val="003A6C24"/>
    <w:rsid w:val="003A6C4C"/>
    <w:rsid w:val="003A714F"/>
    <w:rsid w:val="003A7D22"/>
    <w:rsid w:val="003B0381"/>
    <w:rsid w:val="003B15C8"/>
    <w:rsid w:val="003B1A4D"/>
    <w:rsid w:val="003B1C1B"/>
    <w:rsid w:val="003B30CE"/>
    <w:rsid w:val="003B42A0"/>
    <w:rsid w:val="003B51EE"/>
    <w:rsid w:val="003B5265"/>
    <w:rsid w:val="003B538A"/>
    <w:rsid w:val="003B583A"/>
    <w:rsid w:val="003B59A3"/>
    <w:rsid w:val="003B6D88"/>
    <w:rsid w:val="003B70F0"/>
    <w:rsid w:val="003B78AF"/>
    <w:rsid w:val="003B796C"/>
    <w:rsid w:val="003C0B03"/>
    <w:rsid w:val="003C0BED"/>
    <w:rsid w:val="003C1229"/>
    <w:rsid w:val="003C267C"/>
    <w:rsid w:val="003C3DBA"/>
    <w:rsid w:val="003C4C0D"/>
    <w:rsid w:val="003C5065"/>
    <w:rsid w:val="003C6F21"/>
    <w:rsid w:val="003D010F"/>
    <w:rsid w:val="003D1446"/>
    <w:rsid w:val="003D147D"/>
    <w:rsid w:val="003D14E9"/>
    <w:rsid w:val="003D2CC5"/>
    <w:rsid w:val="003D3047"/>
    <w:rsid w:val="003D3642"/>
    <w:rsid w:val="003D3648"/>
    <w:rsid w:val="003D4E0A"/>
    <w:rsid w:val="003D52D0"/>
    <w:rsid w:val="003D5533"/>
    <w:rsid w:val="003D5D1E"/>
    <w:rsid w:val="003D5FBC"/>
    <w:rsid w:val="003D64D3"/>
    <w:rsid w:val="003D705C"/>
    <w:rsid w:val="003E14A8"/>
    <w:rsid w:val="003E17FB"/>
    <w:rsid w:val="003E190D"/>
    <w:rsid w:val="003E2751"/>
    <w:rsid w:val="003E3FA6"/>
    <w:rsid w:val="003E57DA"/>
    <w:rsid w:val="003E5985"/>
    <w:rsid w:val="003E68E8"/>
    <w:rsid w:val="003E6DAF"/>
    <w:rsid w:val="003E6E4A"/>
    <w:rsid w:val="003E76CF"/>
    <w:rsid w:val="003E7AA8"/>
    <w:rsid w:val="003E7BEA"/>
    <w:rsid w:val="003F040E"/>
    <w:rsid w:val="003F0752"/>
    <w:rsid w:val="003F11BE"/>
    <w:rsid w:val="003F255D"/>
    <w:rsid w:val="003F2B2A"/>
    <w:rsid w:val="003F2DC2"/>
    <w:rsid w:val="003F3CAF"/>
    <w:rsid w:val="003F428B"/>
    <w:rsid w:val="003F4418"/>
    <w:rsid w:val="003F508F"/>
    <w:rsid w:val="003F5E5B"/>
    <w:rsid w:val="003F65CB"/>
    <w:rsid w:val="003F6937"/>
    <w:rsid w:val="0040038C"/>
    <w:rsid w:val="004007FA"/>
    <w:rsid w:val="00400FA6"/>
    <w:rsid w:val="004030B2"/>
    <w:rsid w:val="004030FC"/>
    <w:rsid w:val="00404062"/>
    <w:rsid w:val="004040E7"/>
    <w:rsid w:val="00404CAD"/>
    <w:rsid w:val="0040524F"/>
    <w:rsid w:val="00405DFE"/>
    <w:rsid w:val="004060D8"/>
    <w:rsid w:val="0040668E"/>
    <w:rsid w:val="00406CDB"/>
    <w:rsid w:val="004071F0"/>
    <w:rsid w:val="004074D8"/>
    <w:rsid w:val="004075C9"/>
    <w:rsid w:val="00407ED8"/>
    <w:rsid w:val="0041024F"/>
    <w:rsid w:val="0041083E"/>
    <w:rsid w:val="00410D91"/>
    <w:rsid w:val="00411649"/>
    <w:rsid w:val="0041180F"/>
    <w:rsid w:val="004123AF"/>
    <w:rsid w:val="004129F2"/>
    <w:rsid w:val="004130D3"/>
    <w:rsid w:val="004136B3"/>
    <w:rsid w:val="00413790"/>
    <w:rsid w:val="00413884"/>
    <w:rsid w:val="00413A8B"/>
    <w:rsid w:val="0041446C"/>
    <w:rsid w:val="00414D09"/>
    <w:rsid w:val="00414E05"/>
    <w:rsid w:val="00414EFF"/>
    <w:rsid w:val="0041545E"/>
    <w:rsid w:val="004159D2"/>
    <w:rsid w:val="004178FA"/>
    <w:rsid w:val="00417A13"/>
    <w:rsid w:val="00421092"/>
    <w:rsid w:val="00421494"/>
    <w:rsid w:val="004222A5"/>
    <w:rsid w:val="0042252D"/>
    <w:rsid w:val="0042275A"/>
    <w:rsid w:val="00422FBD"/>
    <w:rsid w:val="004235A6"/>
    <w:rsid w:val="00423863"/>
    <w:rsid w:val="0042387C"/>
    <w:rsid w:val="00424875"/>
    <w:rsid w:val="00424F74"/>
    <w:rsid w:val="0042552A"/>
    <w:rsid w:val="00425F2F"/>
    <w:rsid w:val="0042647A"/>
    <w:rsid w:val="00426B77"/>
    <w:rsid w:val="00426DAD"/>
    <w:rsid w:val="00427457"/>
    <w:rsid w:val="00427659"/>
    <w:rsid w:val="00431092"/>
    <w:rsid w:val="00431803"/>
    <w:rsid w:val="00431AD1"/>
    <w:rsid w:val="00433251"/>
    <w:rsid w:val="00434976"/>
    <w:rsid w:val="0043539B"/>
    <w:rsid w:val="004355BE"/>
    <w:rsid w:val="004367DC"/>
    <w:rsid w:val="0043726C"/>
    <w:rsid w:val="004373E2"/>
    <w:rsid w:val="00437EAF"/>
    <w:rsid w:val="00440345"/>
    <w:rsid w:val="0044042A"/>
    <w:rsid w:val="00440611"/>
    <w:rsid w:val="00441B1E"/>
    <w:rsid w:val="00442048"/>
    <w:rsid w:val="0044321C"/>
    <w:rsid w:val="00444AA4"/>
    <w:rsid w:val="004457CE"/>
    <w:rsid w:val="00451753"/>
    <w:rsid w:val="00451B48"/>
    <w:rsid w:val="00452BF2"/>
    <w:rsid w:val="004540C6"/>
    <w:rsid w:val="004547BF"/>
    <w:rsid w:val="00455505"/>
    <w:rsid w:val="0045609A"/>
    <w:rsid w:val="004569C8"/>
    <w:rsid w:val="00456A84"/>
    <w:rsid w:val="004573B8"/>
    <w:rsid w:val="004578B5"/>
    <w:rsid w:val="0046046F"/>
    <w:rsid w:val="00461C8A"/>
    <w:rsid w:val="00463FB2"/>
    <w:rsid w:val="00464BFA"/>
    <w:rsid w:val="00464CE9"/>
    <w:rsid w:val="00465631"/>
    <w:rsid w:val="004656BC"/>
    <w:rsid w:val="004659D6"/>
    <w:rsid w:val="0046648D"/>
    <w:rsid w:val="00466EEB"/>
    <w:rsid w:val="0046723F"/>
    <w:rsid w:val="00470AC0"/>
    <w:rsid w:val="00471D4D"/>
    <w:rsid w:val="004723C3"/>
    <w:rsid w:val="00472456"/>
    <w:rsid w:val="00472796"/>
    <w:rsid w:val="00473CE1"/>
    <w:rsid w:val="00473DDC"/>
    <w:rsid w:val="004741B0"/>
    <w:rsid w:val="004743A3"/>
    <w:rsid w:val="00474BFB"/>
    <w:rsid w:val="00475D19"/>
    <w:rsid w:val="00476B03"/>
    <w:rsid w:val="00476CE7"/>
    <w:rsid w:val="00476FDC"/>
    <w:rsid w:val="00477BCF"/>
    <w:rsid w:val="00477E1E"/>
    <w:rsid w:val="00480035"/>
    <w:rsid w:val="00480291"/>
    <w:rsid w:val="004802B7"/>
    <w:rsid w:val="004828DB"/>
    <w:rsid w:val="004828F3"/>
    <w:rsid w:val="00483793"/>
    <w:rsid w:val="00483A22"/>
    <w:rsid w:val="00483FDC"/>
    <w:rsid w:val="00484520"/>
    <w:rsid w:val="00485E86"/>
    <w:rsid w:val="00486807"/>
    <w:rsid w:val="0048731C"/>
    <w:rsid w:val="00487345"/>
    <w:rsid w:val="0048785A"/>
    <w:rsid w:val="00490096"/>
    <w:rsid w:val="00490FAC"/>
    <w:rsid w:val="004914EF"/>
    <w:rsid w:val="0049168B"/>
    <w:rsid w:val="0049224C"/>
    <w:rsid w:val="004929E8"/>
    <w:rsid w:val="00492DBB"/>
    <w:rsid w:val="004938AB"/>
    <w:rsid w:val="004938C0"/>
    <w:rsid w:val="0049432E"/>
    <w:rsid w:val="00494AFB"/>
    <w:rsid w:val="00496A57"/>
    <w:rsid w:val="00496B67"/>
    <w:rsid w:val="00497C26"/>
    <w:rsid w:val="00497EF9"/>
    <w:rsid w:val="004A0237"/>
    <w:rsid w:val="004A06F1"/>
    <w:rsid w:val="004A1A42"/>
    <w:rsid w:val="004A385B"/>
    <w:rsid w:val="004A492D"/>
    <w:rsid w:val="004A4C8E"/>
    <w:rsid w:val="004A51E6"/>
    <w:rsid w:val="004A5AFC"/>
    <w:rsid w:val="004A7818"/>
    <w:rsid w:val="004A7B55"/>
    <w:rsid w:val="004B3668"/>
    <w:rsid w:val="004B3B7D"/>
    <w:rsid w:val="004B4FFA"/>
    <w:rsid w:val="004B5822"/>
    <w:rsid w:val="004B7207"/>
    <w:rsid w:val="004B743E"/>
    <w:rsid w:val="004B7990"/>
    <w:rsid w:val="004C145F"/>
    <w:rsid w:val="004C1928"/>
    <w:rsid w:val="004C1967"/>
    <w:rsid w:val="004C1D62"/>
    <w:rsid w:val="004C1E09"/>
    <w:rsid w:val="004C202D"/>
    <w:rsid w:val="004C2249"/>
    <w:rsid w:val="004C3019"/>
    <w:rsid w:val="004C31B4"/>
    <w:rsid w:val="004C3323"/>
    <w:rsid w:val="004C332B"/>
    <w:rsid w:val="004C4BE1"/>
    <w:rsid w:val="004C5331"/>
    <w:rsid w:val="004C54D9"/>
    <w:rsid w:val="004C6CDD"/>
    <w:rsid w:val="004C72E2"/>
    <w:rsid w:val="004D1D44"/>
    <w:rsid w:val="004D279B"/>
    <w:rsid w:val="004D2D43"/>
    <w:rsid w:val="004D39DB"/>
    <w:rsid w:val="004D3BD1"/>
    <w:rsid w:val="004D428D"/>
    <w:rsid w:val="004D48FE"/>
    <w:rsid w:val="004D55D5"/>
    <w:rsid w:val="004D6557"/>
    <w:rsid w:val="004E0915"/>
    <w:rsid w:val="004E12B5"/>
    <w:rsid w:val="004E1943"/>
    <w:rsid w:val="004E1FB0"/>
    <w:rsid w:val="004E312D"/>
    <w:rsid w:val="004E3215"/>
    <w:rsid w:val="004E43CC"/>
    <w:rsid w:val="004E4795"/>
    <w:rsid w:val="004E529E"/>
    <w:rsid w:val="004E5C18"/>
    <w:rsid w:val="004E5C26"/>
    <w:rsid w:val="004E5E7D"/>
    <w:rsid w:val="004E627A"/>
    <w:rsid w:val="004E6366"/>
    <w:rsid w:val="004E691D"/>
    <w:rsid w:val="004E6B51"/>
    <w:rsid w:val="004E73E1"/>
    <w:rsid w:val="004E7595"/>
    <w:rsid w:val="004E7F20"/>
    <w:rsid w:val="004F03CE"/>
    <w:rsid w:val="004F141F"/>
    <w:rsid w:val="004F26F9"/>
    <w:rsid w:val="004F2EDE"/>
    <w:rsid w:val="004F6FCF"/>
    <w:rsid w:val="004F7A29"/>
    <w:rsid w:val="0050003B"/>
    <w:rsid w:val="00500AF8"/>
    <w:rsid w:val="00500BAA"/>
    <w:rsid w:val="0050108C"/>
    <w:rsid w:val="00502889"/>
    <w:rsid w:val="005028F8"/>
    <w:rsid w:val="00503A2E"/>
    <w:rsid w:val="00503BC9"/>
    <w:rsid w:val="005044A7"/>
    <w:rsid w:val="0050472B"/>
    <w:rsid w:val="00504BC4"/>
    <w:rsid w:val="005053EE"/>
    <w:rsid w:val="00505723"/>
    <w:rsid w:val="00505DC3"/>
    <w:rsid w:val="005068B8"/>
    <w:rsid w:val="00506BE5"/>
    <w:rsid w:val="0050711B"/>
    <w:rsid w:val="005072CA"/>
    <w:rsid w:val="005079F3"/>
    <w:rsid w:val="00507F01"/>
    <w:rsid w:val="00512488"/>
    <w:rsid w:val="0051248C"/>
    <w:rsid w:val="00512BBD"/>
    <w:rsid w:val="005134EB"/>
    <w:rsid w:val="0051456C"/>
    <w:rsid w:val="00516389"/>
    <w:rsid w:val="00516710"/>
    <w:rsid w:val="005169EB"/>
    <w:rsid w:val="00516F37"/>
    <w:rsid w:val="00517112"/>
    <w:rsid w:val="00521468"/>
    <w:rsid w:val="00521816"/>
    <w:rsid w:val="00521A92"/>
    <w:rsid w:val="00523C93"/>
    <w:rsid w:val="005256E8"/>
    <w:rsid w:val="0052642E"/>
    <w:rsid w:val="00526480"/>
    <w:rsid w:val="00526496"/>
    <w:rsid w:val="00530522"/>
    <w:rsid w:val="00530565"/>
    <w:rsid w:val="0053104B"/>
    <w:rsid w:val="00531DF6"/>
    <w:rsid w:val="00532E6D"/>
    <w:rsid w:val="0053492B"/>
    <w:rsid w:val="00534FF2"/>
    <w:rsid w:val="0053563C"/>
    <w:rsid w:val="00535C10"/>
    <w:rsid w:val="00536647"/>
    <w:rsid w:val="00537B24"/>
    <w:rsid w:val="00537E11"/>
    <w:rsid w:val="00540422"/>
    <w:rsid w:val="00540534"/>
    <w:rsid w:val="005408D1"/>
    <w:rsid w:val="00540DC1"/>
    <w:rsid w:val="0054144F"/>
    <w:rsid w:val="0054187C"/>
    <w:rsid w:val="00541A06"/>
    <w:rsid w:val="0054226D"/>
    <w:rsid w:val="00543F8E"/>
    <w:rsid w:val="00545EB9"/>
    <w:rsid w:val="005469FD"/>
    <w:rsid w:val="005472FA"/>
    <w:rsid w:val="00547491"/>
    <w:rsid w:val="0054750D"/>
    <w:rsid w:val="00550B7F"/>
    <w:rsid w:val="00550E4D"/>
    <w:rsid w:val="00550F3F"/>
    <w:rsid w:val="0055303C"/>
    <w:rsid w:val="00553627"/>
    <w:rsid w:val="00553825"/>
    <w:rsid w:val="005544CC"/>
    <w:rsid w:val="0055591B"/>
    <w:rsid w:val="00555E75"/>
    <w:rsid w:val="00557040"/>
    <w:rsid w:val="00557753"/>
    <w:rsid w:val="00557A09"/>
    <w:rsid w:val="005607DD"/>
    <w:rsid w:val="0056083A"/>
    <w:rsid w:val="00561040"/>
    <w:rsid w:val="00561427"/>
    <w:rsid w:val="005615E1"/>
    <w:rsid w:val="00561A98"/>
    <w:rsid w:val="00562106"/>
    <w:rsid w:val="00562758"/>
    <w:rsid w:val="00562AFE"/>
    <w:rsid w:val="0056326F"/>
    <w:rsid w:val="005634D8"/>
    <w:rsid w:val="005638EE"/>
    <w:rsid w:val="00563CB8"/>
    <w:rsid w:val="00564C2F"/>
    <w:rsid w:val="0056521D"/>
    <w:rsid w:val="005660C2"/>
    <w:rsid w:val="00566125"/>
    <w:rsid w:val="00567A69"/>
    <w:rsid w:val="00567F35"/>
    <w:rsid w:val="005707A4"/>
    <w:rsid w:val="00570A21"/>
    <w:rsid w:val="005715C0"/>
    <w:rsid w:val="005716DA"/>
    <w:rsid w:val="0057203E"/>
    <w:rsid w:val="005725AF"/>
    <w:rsid w:val="00572944"/>
    <w:rsid w:val="00572D6C"/>
    <w:rsid w:val="0057373D"/>
    <w:rsid w:val="0057409E"/>
    <w:rsid w:val="005747C1"/>
    <w:rsid w:val="005759C9"/>
    <w:rsid w:val="00575BE2"/>
    <w:rsid w:val="00575EB6"/>
    <w:rsid w:val="005762A8"/>
    <w:rsid w:val="00577B0F"/>
    <w:rsid w:val="005801FC"/>
    <w:rsid w:val="005802FE"/>
    <w:rsid w:val="005803D7"/>
    <w:rsid w:val="00581361"/>
    <w:rsid w:val="005816CD"/>
    <w:rsid w:val="00582930"/>
    <w:rsid w:val="00583C8F"/>
    <w:rsid w:val="005843BD"/>
    <w:rsid w:val="005850E7"/>
    <w:rsid w:val="0058594A"/>
    <w:rsid w:val="00585F1E"/>
    <w:rsid w:val="00586619"/>
    <w:rsid w:val="00586652"/>
    <w:rsid w:val="0058682B"/>
    <w:rsid w:val="00586B70"/>
    <w:rsid w:val="00587155"/>
    <w:rsid w:val="005879F2"/>
    <w:rsid w:val="00590181"/>
    <w:rsid w:val="00590CAF"/>
    <w:rsid w:val="00590D2D"/>
    <w:rsid w:val="00590F36"/>
    <w:rsid w:val="00591753"/>
    <w:rsid w:val="00592518"/>
    <w:rsid w:val="0059257A"/>
    <w:rsid w:val="005926B2"/>
    <w:rsid w:val="0059282C"/>
    <w:rsid w:val="00593526"/>
    <w:rsid w:val="00593643"/>
    <w:rsid w:val="00593CB8"/>
    <w:rsid w:val="00593CED"/>
    <w:rsid w:val="00594240"/>
    <w:rsid w:val="00594C1C"/>
    <w:rsid w:val="005952B0"/>
    <w:rsid w:val="005952D3"/>
    <w:rsid w:val="00595794"/>
    <w:rsid w:val="00595D02"/>
    <w:rsid w:val="0059607F"/>
    <w:rsid w:val="0059618A"/>
    <w:rsid w:val="00596309"/>
    <w:rsid w:val="00596B56"/>
    <w:rsid w:val="00596BA4"/>
    <w:rsid w:val="00596CB4"/>
    <w:rsid w:val="00596D11"/>
    <w:rsid w:val="00597590"/>
    <w:rsid w:val="00597687"/>
    <w:rsid w:val="005A03EA"/>
    <w:rsid w:val="005A095E"/>
    <w:rsid w:val="005A1241"/>
    <w:rsid w:val="005A14DD"/>
    <w:rsid w:val="005A2248"/>
    <w:rsid w:val="005A48FE"/>
    <w:rsid w:val="005A4BAF"/>
    <w:rsid w:val="005A5FA4"/>
    <w:rsid w:val="005A6DF5"/>
    <w:rsid w:val="005A6FAD"/>
    <w:rsid w:val="005B089F"/>
    <w:rsid w:val="005B1C2C"/>
    <w:rsid w:val="005B35C7"/>
    <w:rsid w:val="005B480E"/>
    <w:rsid w:val="005B6FD7"/>
    <w:rsid w:val="005B7FBC"/>
    <w:rsid w:val="005C0612"/>
    <w:rsid w:val="005C064A"/>
    <w:rsid w:val="005C067F"/>
    <w:rsid w:val="005C1B14"/>
    <w:rsid w:val="005C277C"/>
    <w:rsid w:val="005C277D"/>
    <w:rsid w:val="005C2EA1"/>
    <w:rsid w:val="005C4613"/>
    <w:rsid w:val="005C5979"/>
    <w:rsid w:val="005C5B40"/>
    <w:rsid w:val="005C62A3"/>
    <w:rsid w:val="005C63D4"/>
    <w:rsid w:val="005C7DB7"/>
    <w:rsid w:val="005C7DD1"/>
    <w:rsid w:val="005D03D1"/>
    <w:rsid w:val="005D119A"/>
    <w:rsid w:val="005D135D"/>
    <w:rsid w:val="005D27D6"/>
    <w:rsid w:val="005D375F"/>
    <w:rsid w:val="005D3F2E"/>
    <w:rsid w:val="005D4847"/>
    <w:rsid w:val="005D5060"/>
    <w:rsid w:val="005D5436"/>
    <w:rsid w:val="005D665F"/>
    <w:rsid w:val="005E0B99"/>
    <w:rsid w:val="005E0E1F"/>
    <w:rsid w:val="005E259B"/>
    <w:rsid w:val="005E648D"/>
    <w:rsid w:val="005E7551"/>
    <w:rsid w:val="005E78EC"/>
    <w:rsid w:val="005F01E4"/>
    <w:rsid w:val="005F12AF"/>
    <w:rsid w:val="005F265B"/>
    <w:rsid w:val="005F2670"/>
    <w:rsid w:val="005F26E4"/>
    <w:rsid w:val="005F2FDC"/>
    <w:rsid w:val="005F47E6"/>
    <w:rsid w:val="005F53C8"/>
    <w:rsid w:val="005F565F"/>
    <w:rsid w:val="005F6C11"/>
    <w:rsid w:val="006036D5"/>
    <w:rsid w:val="00604B02"/>
    <w:rsid w:val="00605217"/>
    <w:rsid w:val="00605780"/>
    <w:rsid w:val="006065E7"/>
    <w:rsid w:val="006068C8"/>
    <w:rsid w:val="00606D8F"/>
    <w:rsid w:val="00610ED6"/>
    <w:rsid w:val="0061149C"/>
    <w:rsid w:val="00611D30"/>
    <w:rsid w:val="0061260F"/>
    <w:rsid w:val="00612624"/>
    <w:rsid w:val="0061277A"/>
    <w:rsid w:val="00612D2A"/>
    <w:rsid w:val="006139C2"/>
    <w:rsid w:val="0061452E"/>
    <w:rsid w:val="006158D5"/>
    <w:rsid w:val="00620C80"/>
    <w:rsid w:val="00620E0E"/>
    <w:rsid w:val="0062144C"/>
    <w:rsid w:val="006214A6"/>
    <w:rsid w:val="00622281"/>
    <w:rsid w:val="006234DF"/>
    <w:rsid w:val="00625082"/>
    <w:rsid w:val="00625533"/>
    <w:rsid w:val="0062554E"/>
    <w:rsid w:val="006257B0"/>
    <w:rsid w:val="00625A9C"/>
    <w:rsid w:val="00625C80"/>
    <w:rsid w:val="00625F9D"/>
    <w:rsid w:val="00626407"/>
    <w:rsid w:val="0062673A"/>
    <w:rsid w:val="006267DA"/>
    <w:rsid w:val="0062788F"/>
    <w:rsid w:val="00627FE2"/>
    <w:rsid w:val="0063035E"/>
    <w:rsid w:val="00630F44"/>
    <w:rsid w:val="0063132A"/>
    <w:rsid w:val="006315D1"/>
    <w:rsid w:val="006319E8"/>
    <w:rsid w:val="006335F1"/>
    <w:rsid w:val="0063584F"/>
    <w:rsid w:val="006372D5"/>
    <w:rsid w:val="00637862"/>
    <w:rsid w:val="00640035"/>
    <w:rsid w:val="006400D0"/>
    <w:rsid w:val="006406A3"/>
    <w:rsid w:val="00641232"/>
    <w:rsid w:val="00641865"/>
    <w:rsid w:val="00641A91"/>
    <w:rsid w:val="00641E75"/>
    <w:rsid w:val="0064239C"/>
    <w:rsid w:val="0064250F"/>
    <w:rsid w:val="0064320A"/>
    <w:rsid w:val="006432BE"/>
    <w:rsid w:val="006434A5"/>
    <w:rsid w:val="006434F5"/>
    <w:rsid w:val="00643DBD"/>
    <w:rsid w:val="00644DB1"/>
    <w:rsid w:val="00645603"/>
    <w:rsid w:val="00650468"/>
    <w:rsid w:val="00650A9E"/>
    <w:rsid w:val="00650D21"/>
    <w:rsid w:val="00650DB4"/>
    <w:rsid w:val="006518DD"/>
    <w:rsid w:val="00651A61"/>
    <w:rsid w:val="00651DA7"/>
    <w:rsid w:val="00652226"/>
    <w:rsid w:val="006523A2"/>
    <w:rsid w:val="0065294B"/>
    <w:rsid w:val="0065308E"/>
    <w:rsid w:val="00653BA6"/>
    <w:rsid w:val="0065404A"/>
    <w:rsid w:val="00654065"/>
    <w:rsid w:val="00654E7E"/>
    <w:rsid w:val="00654FC2"/>
    <w:rsid w:val="00656198"/>
    <w:rsid w:val="00657A62"/>
    <w:rsid w:val="00657F2C"/>
    <w:rsid w:val="0066045B"/>
    <w:rsid w:val="0066083B"/>
    <w:rsid w:val="00661453"/>
    <w:rsid w:val="00661686"/>
    <w:rsid w:val="00661C20"/>
    <w:rsid w:val="00662899"/>
    <w:rsid w:val="00663217"/>
    <w:rsid w:val="006635F1"/>
    <w:rsid w:val="006638F4"/>
    <w:rsid w:val="00663EEA"/>
    <w:rsid w:val="0066429D"/>
    <w:rsid w:val="006650D4"/>
    <w:rsid w:val="00665143"/>
    <w:rsid w:val="00665D8C"/>
    <w:rsid w:val="00666C48"/>
    <w:rsid w:val="00667CA0"/>
    <w:rsid w:val="00670527"/>
    <w:rsid w:val="00670623"/>
    <w:rsid w:val="00670ADE"/>
    <w:rsid w:val="00670F45"/>
    <w:rsid w:val="00671824"/>
    <w:rsid w:val="0067189A"/>
    <w:rsid w:val="0067237E"/>
    <w:rsid w:val="00672B49"/>
    <w:rsid w:val="00673C19"/>
    <w:rsid w:val="00674F6B"/>
    <w:rsid w:val="006752D1"/>
    <w:rsid w:val="00675424"/>
    <w:rsid w:val="00675F18"/>
    <w:rsid w:val="00676812"/>
    <w:rsid w:val="00676E0D"/>
    <w:rsid w:val="00677B38"/>
    <w:rsid w:val="006807C8"/>
    <w:rsid w:val="00681E9F"/>
    <w:rsid w:val="00682396"/>
    <w:rsid w:val="00682B6C"/>
    <w:rsid w:val="00684DDF"/>
    <w:rsid w:val="0068507D"/>
    <w:rsid w:val="006852A5"/>
    <w:rsid w:val="00685567"/>
    <w:rsid w:val="00685D8B"/>
    <w:rsid w:val="00686D73"/>
    <w:rsid w:val="00686FCA"/>
    <w:rsid w:val="006873E0"/>
    <w:rsid w:val="00687CEE"/>
    <w:rsid w:val="00690BD2"/>
    <w:rsid w:val="00691463"/>
    <w:rsid w:val="00691D2B"/>
    <w:rsid w:val="00692344"/>
    <w:rsid w:val="0069360A"/>
    <w:rsid w:val="00694375"/>
    <w:rsid w:val="006952B7"/>
    <w:rsid w:val="00695520"/>
    <w:rsid w:val="006959C8"/>
    <w:rsid w:val="00696970"/>
    <w:rsid w:val="0069791E"/>
    <w:rsid w:val="006A13AE"/>
    <w:rsid w:val="006A210B"/>
    <w:rsid w:val="006A2281"/>
    <w:rsid w:val="006A2E69"/>
    <w:rsid w:val="006A31E8"/>
    <w:rsid w:val="006A3B8F"/>
    <w:rsid w:val="006A3C23"/>
    <w:rsid w:val="006A4983"/>
    <w:rsid w:val="006A49FD"/>
    <w:rsid w:val="006A4B59"/>
    <w:rsid w:val="006A4EA4"/>
    <w:rsid w:val="006A5E27"/>
    <w:rsid w:val="006A6C98"/>
    <w:rsid w:val="006B0A29"/>
    <w:rsid w:val="006B1762"/>
    <w:rsid w:val="006B18ED"/>
    <w:rsid w:val="006B1BB4"/>
    <w:rsid w:val="006B3003"/>
    <w:rsid w:val="006B352F"/>
    <w:rsid w:val="006B3D29"/>
    <w:rsid w:val="006B502D"/>
    <w:rsid w:val="006B50BA"/>
    <w:rsid w:val="006C002E"/>
    <w:rsid w:val="006C0A16"/>
    <w:rsid w:val="006C0C3F"/>
    <w:rsid w:val="006C0C64"/>
    <w:rsid w:val="006C10F6"/>
    <w:rsid w:val="006C1D4C"/>
    <w:rsid w:val="006C29D4"/>
    <w:rsid w:val="006C3081"/>
    <w:rsid w:val="006C3339"/>
    <w:rsid w:val="006C37CB"/>
    <w:rsid w:val="006C5281"/>
    <w:rsid w:val="006C63BD"/>
    <w:rsid w:val="006C7729"/>
    <w:rsid w:val="006C7EC8"/>
    <w:rsid w:val="006D0838"/>
    <w:rsid w:val="006D12B7"/>
    <w:rsid w:val="006D14E4"/>
    <w:rsid w:val="006D1746"/>
    <w:rsid w:val="006D3A7A"/>
    <w:rsid w:val="006D4954"/>
    <w:rsid w:val="006D514B"/>
    <w:rsid w:val="006D51B6"/>
    <w:rsid w:val="006D5702"/>
    <w:rsid w:val="006D6115"/>
    <w:rsid w:val="006D654B"/>
    <w:rsid w:val="006D663C"/>
    <w:rsid w:val="006D7873"/>
    <w:rsid w:val="006D7C66"/>
    <w:rsid w:val="006D7F40"/>
    <w:rsid w:val="006E02BB"/>
    <w:rsid w:val="006E26B2"/>
    <w:rsid w:val="006E3A1E"/>
    <w:rsid w:val="006E4EA2"/>
    <w:rsid w:val="006E5D1B"/>
    <w:rsid w:val="006E6E79"/>
    <w:rsid w:val="006E7090"/>
    <w:rsid w:val="006E788E"/>
    <w:rsid w:val="006E7E97"/>
    <w:rsid w:val="006F080E"/>
    <w:rsid w:val="006F08B7"/>
    <w:rsid w:val="006F14D4"/>
    <w:rsid w:val="006F195D"/>
    <w:rsid w:val="006F2018"/>
    <w:rsid w:val="006F23CF"/>
    <w:rsid w:val="006F3241"/>
    <w:rsid w:val="006F3627"/>
    <w:rsid w:val="006F4269"/>
    <w:rsid w:val="006F42EE"/>
    <w:rsid w:val="006F46F3"/>
    <w:rsid w:val="006F52D3"/>
    <w:rsid w:val="006F5356"/>
    <w:rsid w:val="006F5E5C"/>
    <w:rsid w:val="006F61E5"/>
    <w:rsid w:val="006F620D"/>
    <w:rsid w:val="006F6558"/>
    <w:rsid w:val="006F76CC"/>
    <w:rsid w:val="00700274"/>
    <w:rsid w:val="00701264"/>
    <w:rsid w:val="007014E4"/>
    <w:rsid w:val="0070159F"/>
    <w:rsid w:val="00702125"/>
    <w:rsid w:val="007029C4"/>
    <w:rsid w:val="00702E6F"/>
    <w:rsid w:val="007053E0"/>
    <w:rsid w:val="00705995"/>
    <w:rsid w:val="007069EC"/>
    <w:rsid w:val="00706B6B"/>
    <w:rsid w:val="00706D6F"/>
    <w:rsid w:val="00707348"/>
    <w:rsid w:val="00707A77"/>
    <w:rsid w:val="00707D6D"/>
    <w:rsid w:val="00710384"/>
    <w:rsid w:val="00710B44"/>
    <w:rsid w:val="007119CF"/>
    <w:rsid w:val="00711C46"/>
    <w:rsid w:val="0071237E"/>
    <w:rsid w:val="00712A4D"/>
    <w:rsid w:val="00713086"/>
    <w:rsid w:val="0071332C"/>
    <w:rsid w:val="00714098"/>
    <w:rsid w:val="00714807"/>
    <w:rsid w:val="00714AC4"/>
    <w:rsid w:val="00716824"/>
    <w:rsid w:val="00716B32"/>
    <w:rsid w:val="007176CC"/>
    <w:rsid w:val="00717C95"/>
    <w:rsid w:val="007202CA"/>
    <w:rsid w:val="0072068E"/>
    <w:rsid w:val="00720C48"/>
    <w:rsid w:val="00720DD5"/>
    <w:rsid w:val="00722049"/>
    <w:rsid w:val="00722352"/>
    <w:rsid w:val="00722366"/>
    <w:rsid w:val="00722585"/>
    <w:rsid w:val="00722F86"/>
    <w:rsid w:val="0072324C"/>
    <w:rsid w:val="0072401C"/>
    <w:rsid w:val="007242B0"/>
    <w:rsid w:val="00724C1C"/>
    <w:rsid w:val="00724C5E"/>
    <w:rsid w:val="00725BAE"/>
    <w:rsid w:val="00726EBD"/>
    <w:rsid w:val="00727852"/>
    <w:rsid w:val="00727D4B"/>
    <w:rsid w:val="0073020A"/>
    <w:rsid w:val="00730211"/>
    <w:rsid w:val="007302CB"/>
    <w:rsid w:val="007303F5"/>
    <w:rsid w:val="007316E4"/>
    <w:rsid w:val="007317A4"/>
    <w:rsid w:val="007321BF"/>
    <w:rsid w:val="00732BA4"/>
    <w:rsid w:val="00732C6E"/>
    <w:rsid w:val="007338D0"/>
    <w:rsid w:val="00733F0A"/>
    <w:rsid w:val="00734275"/>
    <w:rsid w:val="00734C25"/>
    <w:rsid w:val="00734C3A"/>
    <w:rsid w:val="00735627"/>
    <w:rsid w:val="0073573E"/>
    <w:rsid w:val="00735BFE"/>
    <w:rsid w:val="00736011"/>
    <w:rsid w:val="0073615A"/>
    <w:rsid w:val="00736F21"/>
    <w:rsid w:val="0073724F"/>
    <w:rsid w:val="007427E4"/>
    <w:rsid w:val="00742AD6"/>
    <w:rsid w:val="00743230"/>
    <w:rsid w:val="007453C3"/>
    <w:rsid w:val="0074579B"/>
    <w:rsid w:val="00745C2B"/>
    <w:rsid w:val="00745D0C"/>
    <w:rsid w:val="007468E7"/>
    <w:rsid w:val="00747AF0"/>
    <w:rsid w:val="00747F51"/>
    <w:rsid w:val="007504DE"/>
    <w:rsid w:val="00750664"/>
    <w:rsid w:val="007507AC"/>
    <w:rsid w:val="00751630"/>
    <w:rsid w:val="00751633"/>
    <w:rsid w:val="00752A93"/>
    <w:rsid w:val="00752B2B"/>
    <w:rsid w:val="0075307C"/>
    <w:rsid w:val="00753132"/>
    <w:rsid w:val="00754398"/>
    <w:rsid w:val="00754449"/>
    <w:rsid w:val="00754EBF"/>
    <w:rsid w:val="00756B5B"/>
    <w:rsid w:val="0075768D"/>
    <w:rsid w:val="00760FCE"/>
    <w:rsid w:val="00761D31"/>
    <w:rsid w:val="00762CF0"/>
    <w:rsid w:val="00762E3D"/>
    <w:rsid w:val="00763869"/>
    <w:rsid w:val="00763D8D"/>
    <w:rsid w:val="007643A5"/>
    <w:rsid w:val="00765C6E"/>
    <w:rsid w:val="0076610E"/>
    <w:rsid w:val="007663A4"/>
    <w:rsid w:val="00767226"/>
    <w:rsid w:val="0077142F"/>
    <w:rsid w:val="0077244F"/>
    <w:rsid w:val="00772527"/>
    <w:rsid w:val="00773628"/>
    <w:rsid w:val="007736D0"/>
    <w:rsid w:val="007736EE"/>
    <w:rsid w:val="0077393E"/>
    <w:rsid w:val="00775392"/>
    <w:rsid w:val="00775422"/>
    <w:rsid w:val="00775762"/>
    <w:rsid w:val="0077656E"/>
    <w:rsid w:val="00777507"/>
    <w:rsid w:val="00777C4D"/>
    <w:rsid w:val="00781CFC"/>
    <w:rsid w:val="007826C1"/>
    <w:rsid w:val="00782F7F"/>
    <w:rsid w:val="0078314F"/>
    <w:rsid w:val="0078343A"/>
    <w:rsid w:val="00783846"/>
    <w:rsid w:val="00783A4A"/>
    <w:rsid w:val="00784709"/>
    <w:rsid w:val="00784753"/>
    <w:rsid w:val="00785072"/>
    <w:rsid w:val="007850AA"/>
    <w:rsid w:val="007854C7"/>
    <w:rsid w:val="00790558"/>
    <w:rsid w:val="00792E96"/>
    <w:rsid w:val="007933C8"/>
    <w:rsid w:val="00793D19"/>
    <w:rsid w:val="0079501A"/>
    <w:rsid w:val="00795AD9"/>
    <w:rsid w:val="00795FAF"/>
    <w:rsid w:val="007962EB"/>
    <w:rsid w:val="0079753D"/>
    <w:rsid w:val="007A049B"/>
    <w:rsid w:val="007A0AA5"/>
    <w:rsid w:val="007A12A1"/>
    <w:rsid w:val="007A20E5"/>
    <w:rsid w:val="007A21BD"/>
    <w:rsid w:val="007A3127"/>
    <w:rsid w:val="007A371F"/>
    <w:rsid w:val="007A37BB"/>
    <w:rsid w:val="007A3C5D"/>
    <w:rsid w:val="007A41FC"/>
    <w:rsid w:val="007A5B58"/>
    <w:rsid w:val="007A5DEB"/>
    <w:rsid w:val="007A6BF7"/>
    <w:rsid w:val="007A71A4"/>
    <w:rsid w:val="007A7255"/>
    <w:rsid w:val="007A7B12"/>
    <w:rsid w:val="007A7D20"/>
    <w:rsid w:val="007A7E6C"/>
    <w:rsid w:val="007B0944"/>
    <w:rsid w:val="007B2C2C"/>
    <w:rsid w:val="007B42F7"/>
    <w:rsid w:val="007B6DB1"/>
    <w:rsid w:val="007B7DD9"/>
    <w:rsid w:val="007C09AB"/>
    <w:rsid w:val="007C0EF6"/>
    <w:rsid w:val="007C17FB"/>
    <w:rsid w:val="007C196E"/>
    <w:rsid w:val="007C1A96"/>
    <w:rsid w:val="007C1C59"/>
    <w:rsid w:val="007C1C9A"/>
    <w:rsid w:val="007C216B"/>
    <w:rsid w:val="007C2539"/>
    <w:rsid w:val="007C2927"/>
    <w:rsid w:val="007C359B"/>
    <w:rsid w:val="007C49E7"/>
    <w:rsid w:val="007C5101"/>
    <w:rsid w:val="007C541F"/>
    <w:rsid w:val="007C5CBA"/>
    <w:rsid w:val="007C5E6D"/>
    <w:rsid w:val="007C5F71"/>
    <w:rsid w:val="007C7D4F"/>
    <w:rsid w:val="007D0C0E"/>
    <w:rsid w:val="007D1508"/>
    <w:rsid w:val="007D221D"/>
    <w:rsid w:val="007D4032"/>
    <w:rsid w:val="007D4984"/>
    <w:rsid w:val="007D51BB"/>
    <w:rsid w:val="007D5227"/>
    <w:rsid w:val="007D63E9"/>
    <w:rsid w:val="007D7A69"/>
    <w:rsid w:val="007D7FAF"/>
    <w:rsid w:val="007E0B11"/>
    <w:rsid w:val="007E10B1"/>
    <w:rsid w:val="007E2876"/>
    <w:rsid w:val="007E3B9D"/>
    <w:rsid w:val="007E409D"/>
    <w:rsid w:val="007E41D2"/>
    <w:rsid w:val="007E4954"/>
    <w:rsid w:val="007E4F07"/>
    <w:rsid w:val="007E53CE"/>
    <w:rsid w:val="007E5472"/>
    <w:rsid w:val="007E5EA1"/>
    <w:rsid w:val="007E62E2"/>
    <w:rsid w:val="007E7591"/>
    <w:rsid w:val="007E7E3E"/>
    <w:rsid w:val="007E7E47"/>
    <w:rsid w:val="007F1FFF"/>
    <w:rsid w:val="007F2251"/>
    <w:rsid w:val="007F23A6"/>
    <w:rsid w:val="007F272F"/>
    <w:rsid w:val="007F342E"/>
    <w:rsid w:val="007F3ABD"/>
    <w:rsid w:val="007F47BE"/>
    <w:rsid w:val="007F4A44"/>
    <w:rsid w:val="007F5C43"/>
    <w:rsid w:val="007F6C88"/>
    <w:rsid w:val="007F6D43"/>
    <w:rsid w:val="007F6E39"/>
    <w:rsid w:val="007F704A"/>
    <w:rsid w:val="007F793E"/>
    <w:rsid w:val="007F7D6E"/>
    <w:rsid w:val="007F7FA3"/>
    <w:rsid w:val="008008AB"/>
    <w:rsid w:val="00800A8D"/>
    <w:rsid w:val="00800DFE"/>
    <w:rsid w:val="00801456"/>
    <w:rsid w:val="00801C4F"/>
    <w:rsid w:val="0080206C"/>
    <w:rsid w:val="008021B0"/>
    <w:rsid w:val="00802212"/>
    <w:rsid w:val="008024C2"/>
    <w:rsid w:val="00802538"/>
    <w:rsid w:val="00803ACB"/>
    <w:rsid w:val="00803DC2"/>
    <w:rsid w:val="00805131"/>
    <w:rsid w:val="008052D3"/>
    <w:rsid w:val="00805EFC"/>
    <w:rsid w:val="00806702"/>
    <w:rsid w:val="00806DBF"/>
    <w:rsid w:val="008073EE"/>
    <w:rsid w:val="008075B8"/>
    <w:rsid w:val="00807AE2"/>
    <w:rsid w:val="00810CB8"/>
    <w:rsid w:val="0081146D"/>
    <w:rsid w:val="00811795"/>
    <w:rsid w:val="00811B8E"/>
    <w:rsid w:val="00813B38"/>
    <w:rsid w:val="00813F0D"/>
    <w:rsid w:val="00815211"/>
    <w:rsid w:val="0081654D"/>
    <w:rsid w:val="00816551"/>
    <w:rsid w:val="00816EAC"/>
    <w:rsid w:val="008201E9"/>
    <w:rsid w:val="00821CA2"/>
    <w:rsid w:val="00822560"/>
    <w:rsid w:val="0082289C"/>
    <w:rsid w:val="008244FE"/>
    <w:rsid w:val="00825B6A"/>
    <w:rsid w:val="00825FD7"/>
    <w:rsid w:val="008263BC"/>
    <w:rsid w:val="00826D72"/>
    <w:rsid w:val="00826FB7"/>
    <w:rsid w:val="008272CB"/>
    <w:rsid w:val="00830095"/>
    <w:rsid w:val="00830E4F"/>
    <w:rsid w:val="00830FFD"/>
    <w:rsid w:val="008319F4"/>
    <w:rsid w:val="0083231E"/>
    <w:rsid w:val="00833872"/>
    <w:rsid w:val="00835227"/>
    <w:rsid w:val="008353A4"/>
    <w:rsid w:val="00835B6E"/>
    <w:rsid w:val="0083660A"/>
    <w:rsid w:val="00837AE6"/>
    <w:rsid w:val="00837B01"/>
    <w:rsid w:val="00837EEE"/>
    <w:rsid w:val="008405BC"/>
    <w:rsid w:val="00841B2A"/>
    <w:rsid w:val="008431EB"/>
    <w:rsid w:val="008438D8"/>
    <w:rsid w:val="008442B2"/>
    <w:rsid w:val="008458F1"/>
    <w:rsid w:val="00845A32"/>
    <w:rsid w:val="00846DFC"/>
    <w:rsid w:val="008471B9"/>
    <w:rsid w:val="008472CA"/>
    <w:rsid w:val="00847B08"/>
    <w:rsid w:val="00850224"/>
    <w:rsid w:val="008505D7"/>
    <w:rsid w:val="00850D8D"/>
    <w:rsid w:val="00851EED"/>
    <w:rsid w:val="00851F97"/>
    <w:rsid w:val="0085210D"/>
    <w:rsid w:val="0085485D"/>
    <w:rsid w:val="0085556C"/>
    <w:rsid w:val="00855C32"/>
    <w:rsid w:val="0085698C"/>
    <w:rsid w:val="00856A1F"/>
    <w:rsid w:val="008574E8"/>
    <w:rsid w:val="00860C45"/>
    <w:rsid w:val="00861DDD"/>
    <w:rsid w:val="00861DF9"/>
    <w:rsid w:val="00862E6C"/>
    <w:rsid w:val="00863101"/>
    <w:rsid w:val="008631E2"/>
    <w:rsid w:val="00864337"/>
    <w:rsid w:val="00864882"/>
    <w:rsid w:val="00864A0C"/>
    <w:rsid w:val="00865C74"/>
    <w:rsid w:val="00866296"/>
    <w:rsid w:val="00866C7E"/>
    <w:rsid w:val="00867006"/>
    <w:rsid w:val="008703C0"/>
    <w:rsid w:val="00870B1D"/>
    <w:rsid w:val="008711E9"/>
    <w:rsid w:val="00871888"/>
    <w:rsid w:val="00872175"/>
    <w:rsid w:val="008724B0"/>
    <w:rsid w:val="00872CA8"/>
    <w:rsid w:val="00872F51"/>
    <w:rsid w:val="008730F4"/>
    <w:rsid w:val="00875711"/>
    <w:rsid w:val="00875CE9"/>
    <w:rsid w:val="00876A9B"/>
    <w:rsid w:val="0087786D"/>
    <w:rsid w:val="00877F9D"/>
    <w:rsid w:val="0088014F"/>
    <w:rsid w:val="008810AC"/>
    <w:rsid w:val="00882AC2"/>
    <w:rsid w:val="008838BD"/>
    <w:rsid w:val="00883B25"/>
    <w:rsid w:val="008840C8"/>
    <w:rsid w:val="00884945"/>
    <w:rsid w:val="00885105"/>
    <w:rsid w:val="008852D3"/>
    <w:rsid w:val="0088531C"/>
    <w:rsid w:val="00885F2E"/>
    <w:rsid w:val="00886AC9"/>
    <w:rsid w:val="00886ADA"/>
    <w:rsid w:val="00887C15"/>
    <w:rsid w:val="00887CB0"/>
    <w:rsid w:val="00887CE2"/>
    <w:rsid w:val="00887E91"/>
    <w:rsid w:val="0089007E"/>
    <w:rsid w:val="0089025A"/>
    <w:rsid w:val="00890646"/>
    <w:rsid w:val="00890BD3"/>
    <w:rsid w:val="00891194"/>
    <w:rsid w:val="00891388"/>
    <w:rsid w:val="00891C35"/>
    <w:rsid w:val="0089372D"/>
    <w:rsid w:val="0089451E"/>
    <w:rsid w:val="00894690"/>
    <w:rsid w:val="00894904"/>
    <w:rsid w:val="00895375"/>
    <w:rsid w:val="00896121"/>
    <w:rsid w:val="00896B9D"/>
    <w:rsid w:val="00897098"/>
    <w:rsid w:val="008A00A5"/>
    <w:rsid w:val="008A1185"/>
    <w:rsid w:val="008A1374"/>
    <w:rsid w:val="008A23F7"/>
    <w:rsid w:val="008A25F3"/>
    <w:rsid w:val="008A3266"/>
    <w:rsid w:val="008A3864"/>
    <w:rsid w:val="008A38EF"/>
    <w:rsid w:val="008A3B8A"/>
    <w:rsid w:val="008A4B4E"/>
    <w:rsid w:val="008A5389"/>
    <w:rsid w:val="008A602E"/>
    <w:rsid w:val="008A6228"/>
    <w:rsid w:val="008A6E5A"/>
    <w:rsid w:val="008B01D5"/>
    <w:rsid w:val="008B0A3B"/>
    <w:rsid w:val="008B1870"/>
    <w:rsid w:val="008B1ACF"/>
    <w:rsid w:val="008B2DB9"/>
    <w:rsid w:val="008B3901"/>
    <w:rsid w:val="008B3B55"/>
    <w:rsid w:val="008B439E"/>
    <w:rsid w:val="008B45AC"/>
    <w:rsid w:val="008B4746"/>
    <w:rsid w:val="008B4EFF"/>
    <w:rsid w:val="008B5C9F"/>
    <w:rsid w:val="008B6978"/>
    <w:rsid w:val="008B745D"/>
    <w:rsid w:val="008B74A4"/>
    <w:rsid w:val="008B76A3"/>
    <w:rsid w:val="008C1449"/>
    <w:rsid w:val="008C19E1"/>
    <w:rsid w:val="008C21A1"/>
    <w:rsid w:val="008C2C96"/>
    <w:rsid w:val="008C3256"/>
    <w:rsid w:val="008C400D"/>
    <w:rsid w:val="008C4E55"/>
    <w:rsid w:val="008C5462"/>
    <w:rsid w:val="008C5D6E"/>
    <w:rsid w:val="008C63B2"/>
    <w:rsid w:val="008C6501"/>
    <w:rsid w:val="008C6666"/>
    <w:rsid w:val="008C6CE1"/>
    <w:rsid w:val="008C7119"/>
    <w:rsid w:val="008C7A2D"/>
    <w:rsid w:val="008D0275"/>
    <w:rsid w:val="008D103A"/>
    <w:rsid w:val="008D138D"/>
    <w:rsid w:val="008D1D3D"/>
    <w:rsid w:val="008D22D6"/>
    <w:rsid w:val="008D23B1"/>
    <w:rsid w:val="008D2D05"/>
    <w:rsid w:val="008D2DA6"/>
    <w:rsid w:val="008D320D"/>
    <w:rsid w:val="008D3614"/>
    <w:rsid w:val="008D36C6"/>
    <w:rsid w:val="008D4BD4"/>
    <w:rsid w:val="008D4BF2"/>
    <w:rsid w:val="008D5A30"/>
    <w:rsid w:val="008D5D22"/>
    <w:rsid w:val="008D5F7D"/>
    <w:rsid w:val="008D5FAF"/>
    <w:rsid w:val="008D62B5"/>
    <w:rsid w:val="008D63F8"/>
    <w:rsid w:val="008D6C0D"/>
    <w:rsid w:val="008D771A"/>
    <w:rsid w:val="008E046C"/>
    <w:rsid w:val="008E14B4"/>
    <w:rsid w:val="008E1880"/>
    <w:rsid w:val="008E1AC7"/>
    <w:rsid w:val="008E1BC7"/>
    <w:rsid w:val="008E34ED"/>
    <w:rsid w:val="008E3B3F"/>
    <w:rsid w:val="008E400A"/>
    <w:rsid w:val="008E5482"/>
    <w:rsid w:val="008E748F"/>
    <w:rsid w:val="008E78C7"/>
    <w:rsid w:val="008F072F"/>
    <w:rsid w:val="008F08B6"/>
    <w:rsid w:val="008F0AA0"/>
    <w:rsid w:val="008F10F6"/>
    <w:rsid w:val="008F162D"/>
    <w:rsid w:val="008F225C"/>
    <w:rsid w:val="008F2FB4"/>
    <w:rsid w:val="008F336F"/>
    <w:rsid w:val="008F5C4A"/>
    <w:rsid w:val="008F67E7"/>
    <w:rsid w:val="008F7262"/>
    <w:rsid w:val="008F7D16"/>
    <w:rsid w:val="00900255"/>
    <w:rsid w:val="00900F0D"/>
    <w:rsid w:val="0090192B"/>
    <w:rsid w:val="00901F66"/>
    <w:rsid w:val="0090212A"/>
    <w:rsid w:val="00902BAD"/>
    <w:rsid w:val="00903721"/>
    <w:rsid w:val="009038E7"/>
    <w:rsid w:val="009048B8"/>
    <w:rsid w:val="00907090"/>
    <w:rsid w:val="009075D9"/>
    <w:rsid w:val="009117AF"/>
    <w:rsid w:val="00911A33"/>
    <w:rsid w:val="00913A24"/>
    <w:rsid w:val="00913ADC"/>
    <w:rsid w:val="00913F0D"/>
    <w:rsid w:val="009142E8"/>
    <w:rsid w:val="009150BF"/>
    <w:rsid w:val="0091588E"/>
    <w:rsid w:val="009159DA"/>
    <w:rsid w:val="00915AFD"/>
    <w:rsid w:val="009162F8"/>
    <w:rsid w:val="009177D0"/>
    <w:rsid w:val="00917A5A"/>
    <w:rsid w:val="00917AD3"/>
    <w:rsid w:val="009205D6"/>
    <w:rsid w:val="00921408"/>
    <w:rsid w:val="009214CF"/>
    <w:rsid w:val="00922A11"/>
    <w:rsid w:val="009232A4"/>
    <w:rsid w:val="0092413D"/>
    <w:rsid w:val="0092446E"/>
    <w:rsid w:val="009249A2"/>
    <w:rsid w:val="00924D6C"/>
    <w:rsid w:val="00925B02"/>
    <w:rsid w:val="00926352"/>
    <w:rsid w:val="00926A41"/>
    <w:rsid w:val="00926F2D"/>
    <w:rsid w:val="00927549"/>
    <w:rsid w:val="00927B24"/>
    <w:rsid w:val="009307D5"/>
    <w:rsid w:val="00930871"/>
    <w:rsid w:val="00930E92"/>
    <w:rsid w:val="00932941"/>
    <w:rsid w:val="009332DE"/>
    <w:rsid w:val="00933545"/>
    <w:rsid w:val="009335DB"/>
    <w:rsid w:val="0093368A"/>
    <w:rsid w:val="00934243"/>
    <w:rsid w:val="009343C9"/>
    <w:rsid w:val="009346D7"/>
    <w:rsid w:val="009347D1"/>
    <w:rsid w:val="00934814"/>
    <w:rsid w:val="00934FB9"/>
    <w:rsid w:val="0093519C"/>
    <w:rsid w:val="00935839"/>
    <w:rsid w:val="0093627F"/>
    <w:rsid w:val="00936C9C"/>
    <w:rsid w:val="00936D85"/>
    <w:rsid w:val="0093731C"/>
    <w:rsid w:val="00940328"/>
    <w:rsid w:val="009406CA"/>
    <w:rsid w:val="00941229"/>
    <w:rsid w:val="00941735"/>
    <w:rsid w:val="00942E93"/>
    <w:rsid w:val="00943D50"/>
    <w:rsid w:val="009441DC"/>
    <w:rsid w:val="00945B4D"/>
    <w:rsid w:val="00946A18"/>
    <w:rsid w:val="00946DA5"/>
    <w:rsid w:val="00946E1E"/>
    <w:rsid w:val="00946E87"/>
    <w:rsid w:val="00946EB4"/>
    <w:rsid w:val="0094719F"/>
    <w:rsid w:val="0094727B"/>
    <w:rsid w:val="00951615"/>
    <w:rsid w:val="00952DDD"/>
    <w:rsid w:val="00952EF7"/>
    <w:rsid w:val="0095399A"/>
    <w:rsid w:val="00953FF6"/>
    <w:rsid w:val="009542C8"/>
    <w:rsid w:val="0095566D"/>
    <w:rsid w:val="00956778"/>
    <w:rsid w:val="00957637"/>
    <w:rsid w:val="009578E0"/>
    <w:rsid w:val="00962B12"/>
    <w:rsid w:val="00963087"/>
    <w:rsid w:val="0096475B"/>
    <w:rsid w:val="0096498B"/>
    <w:rsid w:val="00965D88"/>
    <w:rsid w:val="00966EB9"/>
    <w:rsid w:val="00967370"/>
    <w:rsid w:val="0096751B"/>
    <w:rsid w:val="00970452"/>
    <w:rsid w:val="009704C6"/>
    <w:rsid w:val="00970C81"/>
    <w:rsid w:val="00971E90"/>
    <w:rsid w:val="00972618"/>
    <w:rsid w:val="0097267E"/>
    <w:rsid w:val="009744FA"/>
    <w:rsid w:val="0097450C"/>
    <w:rsid w:val="00974701"/>
    <w:rsid w:val="0097496A"/>
    <w:rsid w:val="009749A4"/>
    <w:rsid w:val="0097561D"/>
    <w:rsid w:val="00975C07"/>
    <w:rsid w:val="00976C54"/>
    <w:rsid w:val="00982AB0"/>
    <w:rsid w:val="009830A6"/>
    <w:rsid w:val="0098346F"/>
    <w:rsid w:val="0098389A"/>
    <w:rsid w:val="00983E7B"/>
    <w:rsid w:val="009840C7"/>
    <w:rsid w:val="0098429C"/>
    <w:rsid w:val="009844BF"/>
    <w:rsid w:val="0098546C"/>
    <w:rsid w:val="00985652"/>
    <w:rsid w:val="00985972"/>
    <w:rsid w:val="0098654B"/>
    <w:rsid w:val="00986A7F"/>
    <w:rsid w:val="00990013"/>
    <w:rsid w:val="009901C7"/>
    <w:rsid w:val="00990A65"/>
    <w:rsid w:val="00990CB8"/>
    <w:rsid w:val="00992268"/>
    <w:rsid w:val="00992E35"/>
    <w:rsid w:val="00993B59"/>
    <w:rsid w:val="00994015"/>
    <w:rsid w:val="00994050"/>
    <w:rsid w:val="00994D19"/>
    <w:rsid w:val="009953AF"/>
    <w:rsid w:val="00995A36"/>
    <w:rsid w:val="00995E33"/>
    <w:rsid w:val="009A0889"/>
    <w:rsid w:val="009A0D50"/>
    <w:rsid w:val="009A0FFC"/>
    <w:rsid w:val="009A10F3"/>
    <w:rsid w:val="009A2CFB"/>
    <w:rsid w:val="009A2F52"/>
    <w:rsid w:val="009A3150"/>
    <w:rsid w:val="009A42BD"/>
    <w:rsid w:val="009A42BE"/>
    <w:rsid w:val="009A4CB2"/>
    <w:rsid w:val="009A4EC8"/>
    <w:rsid w:val="009A5C79"/>
    <w:rsid w:val="009A5EC9"/>
    <w:rsid w:val="009A693B"/>
    <w:rsid w:val="009A6D96"/>
    <w:rsid w:val="009A741B"/>
    <w:rsid w:val="009B012C"/>
    <w:rsid w:val="009B0633"/>
    <w:rsid w:val="009B0C2C"/>
    <w:rsid w:val="009B14E4"/>
    <w:rsid w:val="009B1D7E"/>
    <w:rsid w:val="009B2C23"/>
    <w:rsid w:val="009B2F6F"/>
    <w:rsid w:val="009B3156"/>
    <w:rsid w:val="009B38DB"/>
    <w:rsid w:val="009B3DE3"/>
    <w:rsid w:val="009B43C3"/>
    <w:rsid w:val="009B4477"/>
    <w:rsid w:val="009B44E3"/>
    <w:rsid w:val="009B46FC"/>
    <w:rsid w:val="009B493A"/>
    <w:rsid w:val="009B50F3"/>
    <w:rsid w:val="009B5817"/>
    <w:rsid w:val="009B6401"/>
    <w:rsid w:val="009B7210"/>
    <w:rsid w:val="009B761D"/>
    <w:rsid w:val="009B7A21"/>
    <w:rsid w:val="009C00BD"/>
    <w:rsid w:val="009C03C3"/>
    <w:rsid w:val="009C0C20"/>
    <w:rsid w:val="009C0DB3"/>
    <w:rsid w:val="009C22A2"/>
    <w:rsid w:val="009C24D3"/>
    <w:rsid w:val="009C2EF0"/>
    <w:rsid w:val="009C4894"/>
    <w:rsid w:val="009C48A8"/>
    <w:rsid w:val="009C4B78"/>
    <w:rsid w:val="009C6302"/>
    <w:rsid w:val="009C6678"/>
    <w:rsid w:val="009C6FBD"/>
    <w:rsid w:val="009C70B3"/>
    <w:rsid w:val="009D209B"/>
    <w:rsid w:val="009D2314"/>
    <w:rsid w:val="009D2AB4"/>
    <w:rsid w:val="009D338F"/>
    <w:rsid w:val="009D3544"/>
    <w:rsid w:val="009D4A8A"/>
    <w:rsid w:val="009D5A35"/>
    <w:rsid w:val="009D632C"/>
    <w:rsid w:val="009D7A89"/>
    <w:rsid w:val="009D7E2D"/>
    <w:rsid w:val="009E032D"/>
    <w:rsid w:val="009E1302"/>
    <w:rsid w:val="009E145C"/>
    <w:rsid w:val="009E224C"/>
    <w:rsid w:val="009E2877"/>
    <w:rsid w:val="009E2CCF"/>
    <w:rsid w:val="009E36C3"/>
    <w:rsid w:val="009E3E8D"/>
    <w:rsid w:val="009E500D"/>
    <w:rsid w:val="009E5E60"/>
    <w:rsid w:val="009E6129"/>
    <w:rsid w:val="009E6995"/>
    <w:rsid w:val="009F02D7"/>
    <w:rsid w:val="009F1106"/>
    <w:rsid w:val="009F1324"/>
    <w:rsid w:val="009F2D63"/>
    <w:rsid w:val="009F2DA1"/>
    <w:rsid w:val="009F336F"/>
    <w:rsid w:val="009F406C"/>
    <w:rsid w:val="009F44CB"/>
    <w:rsid w:val="009F44EF"/>
    <w:rsid w:val="009F493C"/>
    <w:rsid w:val="009F5131"/>
    <w:rsid w:val="009F54C3"/>
    <w:rsid w:val="009F562C"/>
    <w:rsid w:val="009F58D1"/>
    <w:rsid w:val="009F5AF1"/>
    <w:rsid w:val="009F619C"/>
    <w:rsid w:val="009F66E8"/>
    <w:rsid w:val="009F7061"/>
    <w:rsid w:val="009F742F"/>
    <w:rsid w:val="009F7676"/>
    <w:rsid w:val="00A0033A"/>
    <w:rsid w:val="00A00725"/>
    <w:rsid w:val="00A00875"/>
    <w:rsid w:val="00A012ED"/>
    <w:rsid w:val="00A01433"/>
    <w:rsid w:val="00A01B97"/>
    <w:rsid w:val="00A01FA2"/>
    <w:rsid w:val="00A02890"/>
    <w:rsid w:val="00A0336D"/>
    <w:rsid w:val="00A035A1"/>
    <w:rsid w:val="00A041EB"/>
    <w:rsid w:val="00A057E1"/>
    <w:rsid w:val="00A05EED"/>
    <w:rsid w:val="00A06178"/>
    <w:rsid w:val="00A0618C"/>
    <w:rsid w:val="00A061BF"/>
    <w:rsid w:val="00A06765"/>
    <w:rsid w:val="00A072FE"/>
    <w:rsid w:val="00A07766"/>
    <w:rsid w:val="00A10151"/>
    <w:rsid w:val="00A10F4B"/>
    <w:rsid w:val="00A1279F"/>
    <w:rsid w:val="00A1399D"/>
    <w:rsid w:val="00A139C6"/>
    <w:rsid w:val="00A14E1C"/>
    <w:rsid w:val="00A15615"/>
    <w:rsid w:val="00A15670"/>
    <w:rsid w:val="00A15AB0"/>
    <w:rsid w:val="00A15B95"/>
    <w:rsid w:val="00A17511"/>
    <w:rsid w:val="00A178DD"/>
    <w:rsid w:val="00A20BD8"/>
    <w:rsid w:val="00A20D4E"/>
    <w:rsid w:val="00A20D75"/>
    <w:rsid w:val="00A21258"/>
    <w:rsid w:val="00A21CCA"/>
    <w:rsid w:val="00A229C4"/>
    <w:rsid w:val="00A23F3A"/>
    <w:rsid w:val="00A24266"/>
    <w:rsid w:val="00A242A2"/>
    <w:rsid w:val="00A253AD"/>
    <w:rsid w:val="00A253F9"/>
    <w:rsid w:val="00A25684"/>
    <w:rsid w:val="00A259F5"/>
    <w:rsid w:val="00A25F14"/>
    <w:rsid w:val="00A26CCD"/>
    <w:rsid w:val="00A26CF4"/>
    <w:rsid w:val="00A27085"/>
    <w:rsid w:val="00A270A8"/>
    <w:rsid w:val="00A277BA"/>
    <w:rsid w:val="00A27E8D"/>
    <w:rsid w:val="00A3068C"/>
    <w:rsid w:val="00A30890"/>
    <w:rsid w:val="00A32313"/>
    <w:rsid w:val="00A32E4E"/>
    <w:rsid w:val="00A33CBC"/>
    <w:rsid w:val="00A34991"/>
    <w:rsid w:val="00A35AD2"/>
    <w:rsid w:val="00A36B63"/>
    <w:rsid w:val="00A37120"/>
    <w:rsid w:val="00A3790B"/>
    <w:rsid w:val="00A40DD3"/>
    <w:rsid w:val="00A422EC"/>
    <w:rsid w:val="00A42ADD"/>
    <w:rsid w:val="00A42D15"/>
    <w:rsid w:val="00A44075"/>
    <w:rsid w:val="00A44A73"/>
    <w:rsid w:val="00A46399"/>
    <w:rsid w:val="00A465AB"/>
    <w:rsid w:val="00A46E40"/>
    <w:rsid w:val="00A47100"/>
    <w:rsid w:val="00A47BFC"/>
    <w:rsid w:val="00A50212"/>
    <w:rsid w:val="00A5022B"/>
    <w:rsid w:val="00A502CA"/>
    <w:rsid w:val="00A50E74"/>
    <w:rsid w:val="00A50F2A"/>
    <w:rsid w:val="00A531C4"/>
    <w:rsid w:val="00A5328A"/>
    <w:rsid w:val="00A54121"/>
    <w:rsid w:val="00A54787"/>
    <w:rsid w:val="00A54B2B"/>
    <w:rsid w:val="00A54C67"/>
    <w:rsid w:val="00A54CF5"/>
    <w:rsid w:val="00A55006"/>
    <w:rsid w:val="00A562C3"/>
    <w:rsid w:val="00A56DCF"/>
    <w:rsid w:val="00A57602"/>
    <w:rsid w:val="00A60C38"/>
    <w:rsid w:val="00A60F4C"/>
    <w:rsid w:val="00A611C7"/>
    <w:rsid w:val="00A621C1"/>
    <w:rsid w:val="00A62EED"/>
    <w:rsid w:val="00A63331"/>
    <w:rsid w:val="00A63D54"/>
    <w:rsid w:val="00A64308"/>
    <w:rsid w:val="00A649F3"/>
    <w:rsid w:val="00A6516F"/>
    <w:rsid w:val="00A65451"/>
    <w:rsid w:val="00A65BB2"/>
    <w:rsid w:val="00A65D56"/>
    <w:rsid w:val="00A66437"/>
    <w:rsid w:val="00A67268"/>
    <w:rsid w:val="00A677CE"/>
    <w:rsid w:val="00A677DC"/>
    <w:rsid w:val="00A67985"/>
    <w:rsid w:val="00A67DA3"/>
    <w:rsid w:val="00A67F91"/>
    <w:rsid w:val="00A70305"/>
    <w:rsid w:val="00A70C31"/>
    <w:rsid w:val="00A70D6F"/>
    <w:rsid w:val="00A70DE4"/>
    <w:rsid w:val="00A7125F"/>
    <w:rsid w:val="00A7267F"/>
    <w:rsid w:val="00A72B23"/>
    <w:rsid w:val="00A73476"/>
    <w:rsid w:val="00A734A9"/>
    <w:rsid w:val="00A74EDB"/>
    <w:rsid w:val="00A7567F"/>
    <w:rsid w:val="00A75DC9"/>
    <w:rsid w:val="00A76B2D"/>
    <w:rsid w:val="00A77697"/>
    <w:rsid w:val="00A81A6C"/>
    <w:rsid w:val="00A82487"/>
    <w:rsid w:val="00A82E30"/>
    <w:rsid w:val="00A837DE"/>
    <w:rsid w:val="00A83BF8"/>
    <w:rsid w:val="00A8474B"/>
    <w:rsid w:val="00A84842"/>
    <w:rsid w:val="00A84A16"/>
    <w:rsid w:val="00A84B01"/>
    <w:rsid w:val="00A850E8"/>
    <w:rsid w:val="00A851A0"/>
    <w:rsid w:val="00A857E1"/>
    <w:rsid w:val="00A85919"/>
    <w:rsid w:val="00A85D2C"/>
    <w:rsid w:val="00A860C2"/>
    <w:rsid w:val="00A8677A"/>
    <w:rsid w:val="00A874E1"/>
    <w:rsid w:val="00A90E73"/>
    <w:rsid w:val="00A9105C"/>
    <w:rsid w:val="00A91863"/>
    <w:rsid w:val="00A9242E"/>
    <w:rsid w:val="00A928A1"/>
    <w:rsid w:val="00A933B9"/>
    <w:rsid w:val="00A940FB"/>
    <w:rsid w:val="00A94B92"/>
    <w:rsid w:val="00A95526"/>
    <w:rsid w:val="00A95A36"/>
    <w:rsid w:val="00A95A43"/>
    <w:rsid w:val="00A95D50"/>
    <w:rsid w:val="00A974D4"/>
    <w:rsid w:val="00A9750A"/>
    <w:rsid w:val="00A97A36"/>
    <w:rsid w:val="00A97DFB"/>
    <w:rsid w:val="00AA1B8D"/>
    <w:rsid w:val="00AA1C1F"/>
    <w:rsid w:val="00AA1E3F"/>
    <w:rsid w:val="00AA2A10"/>
    <w:rsid w:val="00AA3B80"/>
    <w:rsid w:val="00AA4083"/>
    <w:rsid w:val="00AA66AE"/>
    <w:rsid w:val="00AA6D6B"/>
    <w:rsid w:val="00AA7300"/>
    <w:rsid w:val="00AA7378"/>
    <w:rsid w:val="00AA7966"/>
    <w:rsid w:val="00AB12AE"/>
    <w:rsid w:val="00AB1386"/>
    <w:rsid w:val="00AB18C8"/>
    <w:rsid w:val="00AB2EBE"/>
    <w:rsid w:val="00AB3537"/>
    <w:rsid w:val="00AB37AC"/>
    <w:rsid w:val="00AB37FC"/>
    <w:rsid w:val="00AB4F75"/>
    <w:rsid w:val="00AB525B"/>
    <w:rsid w:val="00AB5353"/>
    <w:rsid w:val="00AB535F"/>
    <w:rsid w:val="00AB61F6"/>
    <w:rsid w:val="00AB6525"/>
    <w:rsid w:val="00AB6D8C"/>
    <w:rsid w:val="00AC0288"/>
    <w:rsid w:val="00AC110E"/>
    <w:rsid w:val="00AC2190"/>
    <w:rsid w:val="00AC2A7F"/>
    <w:rsid w:val="00AC3604"/>
    <w:rsid w:val="00AC3EE5"/>
    <w:rsid w:val="00AC4F58"/>
    <w:rsid w:val="00AC6309"/>
    <w:rsid w:val="00AC6902"/>
    <w:rsid w:val="00AC6CC1"/>
    <w:rsid w:val="00AC7A19"/>
    <w:rsid w:val="00AC7D53"/>
    <w:rsid w:val="00AC7F3B"/>
    <w:rsid w:val="00AD046F"/>
    <w:rsid w:val="00AD1DFF"/>
    <w:rsid w:val="00AD3379"/>
    <w:rsid w:val="00AD3A89"/>
    <w:rsid w:val="00AD3C8A"/>
    <w:rsid w:val="00AD4956"/>
    <w:rsid w:val="00AD4EB2"/>
    <w:rsid w:val="00AD6EF2"/>
    <w:rsid w:val="00AD759E"/>
    <w:rsid w:val="00AD7AD8"/>
    <w:rsid w:val="00AE028F"/>
    <w:rsid w:val="00AE0E48"/>
    <w:rsid w:val="00AE1982"/>
    <w:rsid w:val="00AE1A96"/>
    <w:rsid w:val="00AE1E47"/>
    <w:rsid w:val="00AE3750"/>
    <w:rsid w:val="00AE3AFE"/>
    <w:rsid w:val="00AE4598"/>
    <w:rsid w:val="00AE639F"/>
    <w:rsid w:val="00AE670E"/>
    <w:rsid w:val="00AE6727"/>
    <w:rsid w:val="00AE700D"/>
    <w:rsid w:val="00AE72FB"/>
    <w:rsid w:val="00AE73C7"/>
    <w:rsid w:val="00AE7D5B"/>
    <w:rsid w:val="00AF038E"/>
    <w:rsid w:val="00AF13F9"/>
    <w:rsid w:val="00AF253F"/>
    <w:rsid w:val="00AF3EDE"/>
    <w:rsid w:val="00AF4374"/>
    <w:rsid w:val="00AF442F"/>
    <w:rsid w:val="00AF48BF"/>
    <w:rsid w:val="00AF5098"/>
    <w:rsid w:val="00AF65C0"/>
    <w:rsid w:val="00AF69C8"/>
    <w:rsid w:val="00AF7954"/>
    <w:rsid w:val="00B00085"/>
    <w:rsid w:val="00B01960"/>
    <w:rsid w:val="00B01ACF"/>
    <w:rsid w:val="00B02A9A"/>
    <w:rsid w:val="00B02CFD"/>
    <w:rsid w:val="00B0389B"/>
    <w:rsid w:val="00B043BF"/>
    <w:rsid w:val="00B049B6"/>
    <w:rsid w:val="00B0547E"/>
    <w:rsid w:val="00B068EB"/>
    <w:rsid w:val="00B07A26"/>
    <w:rsid w:val="00B10186"/>
    <w:rsid w:val="00B10252"/>
    <w:rsid w:val="00B1026F"/>
    <w:rsid w:val="00B102EE"/>
    <w:rsid w:val="00B109E8"/>
    <w:rsid w:val="00B10B2A"/>
    <w:rsid w:val="00B12D8E"/>
    <w:rsid w:val="00B12D9B"/>
    <w:rsid w:val="00B136FF"/>
    <w:rsid w:val="00B137BD"/>
    <w:rsid w:val="00B13857"/>
    <w:rsid w:val="00B13B6C"/>
    <w:rsid w:val="00B13C23"/>
    <w:rsid w:val="00B14FD2"/>
    <w:rsid w:val="00B14FF4"/>
    <w:rsid w:val="00B15857"/>
    <w:rsid w:val="00B15CB5"/>
    <w:rsid w:val="00B1653F"/>
    <w:rsid w:val="00B170F9"/>
    <w:rsid w:val="00B177B4"/>
    <w:rsid w:val="00B17D74"/>
    <w:rsid w:val="00B20433"/>
    <w:rsid w:val="00B20870"/>
    <w:rsid w:val="00B212F8"/>
    <w:rsid w:val="00B21369"/>
    <w:rsid w:val="00B22A44"/>
    <w:rsid w:val="00B23C76"/>
    <w:rsid w:val="00B241D0"/>
    <w:rsid w:val="00B24C54"/>
    <w:rsid w:val="00B25A68"/>
    <w:rsid w:val="00B27155"/>
    <w:rsid w:val="00B2748D"/>
    <w:rsid w:val="00B27A80"/>
    <w:rsid w:val="00B27FA7"/>
    <w:rsid w:val="00B30CE6"/>
    <w:rsid w:val="00B31073"/>
    <w:rsid w:val="00B32BD7"/>
    <w:rsid w:val="00B342AF"/>
    <w:rsid w:val="00B3626B"/>
    <w:rsid w:val="00B36E11"/>
    <w:rsid w:val="00B36FA6"/>
    <w:rsid w:val="00B37250"/>
    <w:rsid w:val="00B376B7"/>
    <w:rsid w:val="00B4038C"/>
    <w:rsid w:val="00B4097E"/>
    <w:rsid w:val="00B40D12"/>
    <w:rsid w:val="00B416A0"/>
    <w:rsid w:val="00B4220B"/>
    <w:rsid w:val="00B433EB"/>
    <w:rsid w:val="00B44634"/>
    <w:rsid w:val="00B4525F"/>
    <w:rsid w:val="00B465DE"/>
    <w:rsid w:val="00B46BEF"/>
    <w:rsid w:val="00B47416"/>
    <w:rsid w:val="00B4779A"/>
    <w:rsid w:val="00B47E85"/>
    <w:rsid w:val="00B504E9"/>
    <w:rsid w:val="00B50A0C"/>
    <w:rsid w:val="00B527D7"/>
    <w:rsid w:val="00B528C8"/>
    <w:rsid w:val="00B52E51"/>
    <w:rsid w:val="00B54A19"/>
    <w:rsid w:val="00B54D54"/>
    <w:rsid w:val="00B5633D"/>
    <w:rsid w:val="00B56479"/>
    <w:rsid w:val="00B5664D"/>
    <w:rsid w:val="00B571AD"/>
    <w:rsid w:val="00B60CBD"/>
    <w:rsid w:val="00B6104F"/>
    <w:rsid w:val="00B615FF"/>
    <w:rsid w:val="00B62757"/>
    <w:rsid w:val="00B62B1E"/>
    <w:rsid w:val="00B63FF7"/>
    <w:rsid w:val="00B64442"/>
    <w:rsid w:val="00B64BA2"/>
    <w:rsid w:val="00B64BD8"/>
    <w:rsid w:val="00B6572E"/>
    <w:rsid w:val="00B65B28"/>
    <w:rsid w:val="00B66161"/>
    <w:rsid w:val="00B667C1"/>
    <w:rsid w:val="00B67B3F"/>
    <w:rsid w:val="00B7036D"/>
    <w:rsid w:val="00B70E65"/>
    <w:rsid w:val="00B7175A"/>
    <w:rsid w:val="00B72245"/>
    <w:rsid w:val="00B7259B"/>
    <w:rsid w:val="00B72EE8"/>
    <w:rsid w:val="00B733B0"/>
    <w:rsid w:val="00B75894"/>
    <w:rsid w:val="00B75938"/>
    <w:rsid w:val="00B75B26"/>
    <w:rsid w:val="00B8081D"/>
    <w:rsid w:val="00B81329"/>
    <w:rsid w:val="00B81833"/>
    <w:rsid w:val="00B8301C"/>
    <w:rsid w:val="00B83128"/>
    <w:rsid w:val="00B83141"/>
    <w:rsid w:val="00B83FD4"/>
    <w:rsid w:val="00B842B9"/>
    <w:rsid w:val="00B8466C"/>
    <w:rsid w:val="00B84EBC"/>
    <w:rsid w:val="00B852C8"/>
    <w:rsid w:val="00B85704"/>
    <w:rsid w:val="00B85835"/>
    <w:rsid w:val="00B8589D"/>
    <w:rsid w:val="00B86553"/>
    <w:rsid w:val="00B86584"/>
    <w:rsid w:val="00B86AEA"/>
    <w:rsid w:val="00B903D2"/>
    <w:rsid w:val="00B90B6A"/>
    <w:rsid w:val="00B90D70"/>
    <w:rsid w:val="00B92313"/>
    <w:rsid w:val="00B932DF"/>
    <w:rsid w:val="00B9332B"/>
    <w:rsid w:val="00B943EA"/>
    <w:rsid w:val="00B9493D"/>
    <w:rsid w:val="00B95A53"/>
    <w:rsid w:val="00B96114"/>
    <w:rsid w:val="00B967DA"/>
    <w:rsid w:val="00B97263"/>
    <w:rsid w:val="00B9793B"/>
    <w:rsid w:val="00B97DD5"/>
    <w:rsid w:val="00BA0540"/>
    <w:rsid w:val="00BA139A"/>
    <w:rsid w:val="00BA1503"/>
    <w:rsid w:val="00BA1CFE"/>
    <w:rsid w:val="00BA2232"/>
    <w:rsid w:val="00BA31F9"/>
    <w:rsid w:val="00BA46B9"/>
    <w:rsid w:val="00BA4A81"/>
    <w:rsid w:val="00BA575C"/>
    <w:rsid w:val="00BA62A7"/>
    <w:rsid w:val="00BA64C4"/>
    <w:rsid w:val="00BA6B95"/>
    <w:rsid w:val="00BA7462"/>
    <w:rsid w:val="00BA79C1"/>
    <w:rsid w:val="00BA7DA4"/>
    <w:rsid w:val="00BB040A"/>
    <w:rsid w:val="00BB0609"/>
    <w:rsid w:val="00BB1AA7"/>
    <w:rsid w:val="00BB1CDC"/>
    <w:rsid w:val="00BB1F4B"/>
    <w:rsid w:val="00BB2462"/>
    <w:rsid w:val="00BB42BC"/>
    <w:rsid w:val="00BB50E1"/>
    <w:rsid w:val="00BB54B0"/>
    <w:rsid w:val="00BB54BE"/>
    <w:rsid w:val="00BB55E6"/>
    <w:rsid w:val="00BB5934"/>
    <w:rsid w:val="00BB5BE9"/>
    <w:rsid w:val="00BB5C60"/>
    <w:rsid w:val="00BB65D7"/>
    <w:rsid w:val="00BB6861"/>
    <w:rsid w:val="00BB6CE3"/>
    <w:rsid w:val="00BB7073"/>
    <w:rsid w:val="00BB70B2"/>
    <w:rsid w:val="00BB76B9"/>
    <w:rsid w:val="00BC0F6E"/>
    <w:rsid w:val="00BC1154"/>
    <w:rsid w:val="00BC12FF"/>
    <w:rsid w:val="00BC14EB"/>
    <w:rsid w:val="00BC1A80"/>
    <w:rsid w:val="00BC45F4"/>
    <w:rsid w:val="00BC51ED"/>
    <w:rsid w:val="00BD0124"/>
    <w:rsid w:val="00BD0364"/>
    <w:rsid w:val="00BD05E2"/>
    <w:rsid w:val="00BD0ADA"/>
    <w:rsid w:val="00BD247E"/>
    <w:rsid w:val="00BD2761"/>
    <w:rsid w:val="00BD2B48"/>
    <w:rsid w:val="00BD2B70"/>
    <w:rsid w:val="00BD3772"/>
    <w:rsid w:val="00BD3DD9"/>
    <w:rsid w:val="00BD4125"/>
    <w:rsid w:val="00BD4877"/>
    <w:rsid w:val="00BD5603"/>
    <w:rsid w:val="00BD5870"/>
    <w:rsid w:val="00BD614B"/>
    <w:rsid w:val="00BD6C91"/>
    <w:rsid w:val="00BD7338"/>
    <w:rsid w:val="00BD75FC"/>
    <w:rsid w:val="00BD7ACB"/>
    <w:rsid w:val="00BE2F3B"/>
    <w:rsid w:val="00BE30CD"/>
    <w:rsid w:val="00BE3662"/>
    <w:rsid w:val="00BE4381"/>
    <w:rsid w:val="00BE478A"/>
    <w:rsid w:val="00BE511C"/>
    <w:rsid w:val="00BE6710"/>
    <w:rsid w:val="00BE6E22"/>
    <w:rsid w:val="00BE73F2"/>
    <w:rsid w:val="00BE7824"/>
    <w:rsid w:val="00BE7E3B"/>
    <w:rsid w:val="00BF2580"/>
    <w:rsid w:val="00BF2A97"/>
    <w:rsid w:val="00BF566B"/>
    <w:rsid w:val="00BF5945"/>
    <w:rsid w:val="00BF5DFF"/>
    <w:rsid w:val="00BF6066"/>
    <w:rsid w:val="00BF61B7"/>
    <w:rsid w:val="00BF6438"/>
    <w:rsid w:val="00BF6792"/>
    <w:rsid w:val="00BF6817"/>
    <w:rsid w:val="00BF7D2A"/>
    <w:rsid w:val="00C007ED"/>
    <w:rsid w:val="00C00841"/>
    <w:rsid w:val="00C00AC7"/>
    <w:rsid w:val="00C010BF"/>
    <w:rsid w:val="00C02079"/>
    <w:rsid w:val="00C02719"/>
    <w:rsid w:val="00C028AE"/>
    <w:rsid w:val="00C03399"/>
    <w:rsid w:val="00C03470"/>
    <w:rsid w:val="00C034A5"/>
    <w:rsid w:val="00C03B06"/>
    <w:rsid w:val="00C044EF"/>
    <w:rsid w:val="00C04ACE"/>
    <w:rsid w:val="00C04F44"/>
    <w:rsid w:val="00C05206"/>
    <w:rsid w:val="00C05E54"/>
    <w:rsid w:val="00C0755A"/>
    <w:rsid w:val="00C07B95"/>
    <w:rsid w:val="00C10829"/>
    <w:rsid w:val="00C108C4"/>
    <w:rsid w:val="00C10F5F"/>
    <w:rsid w:val="00C1111B"/>
    <w:rsid w:val="00C11738"/>
    <w:rsid w:val="00C11C6D"/>
    <w:rsid w:val="00C11DD6"/>
    <w:rsid w:val="00C12DA5"/>
    <w:rsid w:val="00C137A5"/>
    <w:rsid w:val="00C1571A"/>
    <w:rsid w:val="00C15CD5"/>
    <w:rsid w:val="00C1621C"/>
    <w:rsid w:val="00C1625A"/>
    <w:rsid w:val="00C16402"/>
    <w:rsid w:val="00C17235"/>
    <w:rsid w:val="00C1763C"/>
    <w:rsid w:val="00C17797"/>
    <w:rsid w:val="00C177F4"/>
    <w:rsid w:val="00C17C80"/>
    <w:rsid w:val="00C17E4D"/>
    <w:rsid w:val="00C208A9"/>
    <w:rsid w:val="00C21EBB"/>
    <w:rsid w:val="00C22E3C"/>
    <w:rsid w:val="00C22EDA"/>
    <w:rsid w:val="00C2326B"/>
    <w:rsid w:val="00C24F13"/>
    <w:rsid w:val="00C25081"/>
    <w:rsid w:val="00C25162"/>
    <w:rsid w:val="00C253C1"/>
    <w:rsid w:val="00C268C5"/>
    <w:rsid w:val="00C272B7"/>
    <w:rsid w:val="00C27F88"/>
    <w:rsid w:val="00C30E53"/>
    <w:rsid w:val="00C31398"/>
    <w:rsid w:val="00C31510"/>
    <w:rsid w:val="00C316F8"/>
    <w:rsid w:val="00C31892"/>
    <w:rsid w:val="00C32C3D"/>
    <w:rsid w:val="00C33095"/>
    <w:rsid w:val="00C337C2"/>
    <w:rsid w:val="00C34072"/>
    <w:rsid w:val="00C36101"/>
    <w:rsid w:val="00C3621F"/>
    <w:rsid w:val="00C37F93"/>
    <w:rsid w:val="00C40A40"/>
    <w:rsid w:val="00C414C0"/>
    <w:rsid w:val="00C41EC7"/>
    <w:rsid w:val="00C42851"/>
    <w:rsid w:val="00C434E8"/>
    <w:rsid w:val="00C434FB"/>
    <w:rsid w:val="00C43E74"/>
    <w:rsid w:val="00C44045"/>
    <w:rsid w:val="00C44D70"/>
    <w:rsid w:val="00C45C35"/>
    <w:rsid w:val="00C4681C"/>
    <w:rsid w:val="00C468C9"/>
    <w:rsid w:val="00C47C4C"/>
    <w:rsid w:val="00C50DA2"/>
    <w:rsid w:val="00C5230B"/>
    <w:rsid w:val="00C52E13"/>
    <w:rsid w:val="00C52E87"/>
    <w:rsid w:val="00C52FD6"/>
    <w:rsid w:val="00C53142"/>
    <w:rsid w:val="00C5364E"/>
    <w:rsid w:val="00C547F5"/>
    <w:rsid w:val="00C558B3"/>
    <w:rsid w:val="00C608E9"/>
    <w:rsid w:val="00C609F6"/>
    <w:rsid w:val="00C60F5C"/>
    <w:rsid w:val="00C619CF"/>
    <w:rsid w:val="00C6202F"/>
    <w:rsid w:val="00C62351"/>
    <w:rsid w:val="00C62F00"/>
    <w:rsid w:val="00C6326C"/>
    <w:rsid w:val="00C635F3"/>
    <w:rsid w:val="00C64168"/>
    <w:rsid w:val="00C64A52"/>
    <w:rsid w:val="00C64C29"/>
    <w:rsid w:val="00C64D82"/>
    <w:rsid w:val="00C65842"/>
    <w:rsid w:val="00C66516"/>
    <w:rsid w:val="00C66597"/>
    <w:rsid w:val="00C66756"/>
    <w:rsid w:val="00C66A2C"/>
    <w:rsid w:val="00C67327"/>
    <w:rsid w:val="00C701C4"/>
    <w:rsid w:val="00C70603"/>
    <w:rsid w:val="00C706B9"/>
    <w:rsid w:val="00C70B38"/>
    <w:rsid w:val="00C728C5"/>
    <w:rsid w:val="00C72F27"/>
    <w:rsid w:val="00C73499"/>
    <w:rsid w:val="00C7375B"/>
    <w:rsid w:val="00C755BF"/>
    <w:rsid w:val="00C75E20"/>
    <w:rsid w:val="00C76375"/>
    <w:rsid w:val="00C76A66"/>
    <w:rsid w:val="00C76E9C"/>
    <w:rsid w:val="00C77293"/>
    <w:rsid w:val="00C77963"/>
    <w:rsid w:val="00C77D68"/>
    <w:rsid w:val="00C80664"/>
    <w:rsid w:val="00C80E6E"/>
    <w:rsid w:val="00C81256"/>
    <w:rsid w:val="00C82596"/>
    <w:rsid w:val="00C82B53"/>
    <w:rsid w:val="00C8403B"/>
    <w:rsid w:val="00C84713"/>
    <w:rsid w:val="00C85166"/>
    <w:rsid w:val="00C8547A"/>
    <w:rsid w:val="00C85EA1"/>
    <w:rsid w:val="00C8637F"/>
    <w:rsid w:val="00C86A7E"/>
    <w:rsid w:val="00C90022"/>
    <w:rsid w:val="00C9040C"/>
    <w:rsid w:val="00C905A5"/>
    <w:rsid w:val="00C90F5F"/>
    <w:rsid w:val="00C92C7E"/>
    <w:rsid w:val="00C92CD6"/>
    <w:rsid w:val="00C92DBB"/>
    <w:rsid w:val="00C94247"/>
    <w:rsid w:val="00C94D8A"/>
    <w:rsid w:val="00C959B2"/>
    <w:rsid w:val="00C95C9F"/>
    <w:rsid w:val="00C96169"/>
    <w:rsid w:val="00C974BB"/>
    <w:rsid w:val="00CA0F3E"/>
    <w:rsid w:val="00CA1616"/>
    <w:rsid w:val="00CA346C"/>
    <w:rsid w:val="00CA456C"/>
    <w:rsid w:val="00CA4A9A"/>
    <w:rsid w:val="00CA4D10"/>
    <w:rsid w:val="00CA5528"/>
    <w:rsid w:val="00CA6E5D"/>
    <w:rsid w:val="00CA7FB0"/>
    <w:rsid w:val="00CB13B0"/>
    <w:rsid w:val="00CB14FE"/>
    <w:rsid w:val="00CB23EE"/>
    <w:rsid w:val="00CB2979"/>
    <w:rsid w:val="00CB3628"/>
    <w:rsid w:val="00CB39EA"/>
    <w:rsid w:val="00CB3E69"/>
    <w:rsid w:val="00CB3F5F"/>
    <w:rsid w:val="00CB4332"/>
    <w:rsid w:val="00CB4942"/>
    <w:rsid w:val="00CB4E4B"/>
    <w:rsid w:val="00CB535D"/>
    <w:rsid w:val="00CB59EE"/>
    <w:rsid w:val="00CB5F82"/>
    <w:rsid w:val="00CB608C"/>
    <w:rsid w:val="00CB6ACE"/>
    <w:rsid w:val="00CB771D"/>
    <w:rsid w:val="00CB791F"/>
    <w:rsid w:val="00CC1B1D"/>
    <w:rsid w:val="00CC22F0"/>
    <w:rsid w:val="00CC32B1"/>
    <w:rsid w:val="00CC51FB"/>
    <w:rsid w:val="00CC5EFF"/>
    <w:rsid w:val="00CC6079"/>
    <w:rsid w:val="00CC6254"/>
    <w:rsid w:val="00CC6931"/>
    <w:rsid w:val="00CC6A11"/>
    <w:rsid w:val="00CC6C11"/>
    <w:rsid w:val="00CC6F40"/>
    <w:rsid w:val="00CC7167"/>
    <w:rsid w:val="00CC77FC"/>
    <w:rsid w:val="00CC7A78"/>
    <w:rsid w:val="00CD1AD0"/>
    <w:rsid w:val="00CD2015"/>
    <w:rsid w:val="00CD2939"/>
    <w:rsid w:val="00CD307F"/>
    <w:rsid w:val="00CD36D6"/>
    <w:rsid w:val="00CD39A7"/>
    <w:rsid w:val="00CD4403"/>
    <w:rsid w:val="00CD5BD1"/>
    <w:rsid w:val="00CD5C6A"/>
    <w:rsid w:val="00CD6E7E"/>
    <w:rsid w:val="00CD7021"/>
    <w:rsid w:val="00CD7637"/>
    <w:rsid w:val="00CE0A99"/>
    <w:rsid w:val="00CE0E6F"/>
    <w:rsid w:val="00CE14FD"/>
    <w:rsid w:val="00CE1A70"/>
    <w:rsid w:val="00CE211D"/>
    <w:rsid w:val="00CE2682"/>
    <w:rsid w:val="00CE30EA"/>
    <w:rsid w:val="00CE3634"/>
    <w:rsid w:val="00CE5BAB"/>
    <w:rsid w:val="00CE609C"/>
    <w:rsid w:val="00CE6333"/>
    <w:rsid w:val="00CE6FAE"/>
    <w:rsid w:val="00CE7BC8"/>
    <w:rsid w:val="00CE7C7B"/>
    <w:rsid w:val="00CE7DF6"/>
    <w:rsid w:val="00CF2246"/>
    <w:rsid w:val="00CF3E07"/>
    <w:rsid w:val="00CF494D"/>
    <w:rsid w:val="00CF5CD0"/>
    <w:rsid w:val="00CF6065"/>
    <w:rsid w:val="00CF68D2"/>
    <w:rsid w:val="00CF7566"/>
    <w:rsid w:val="00CF7723"/>
    <w:rsid w:val="00D00299"/>
    <w:rsid w:val="00D01C1C"/>
    <w:rsid w:val="00D02B4D"/>
    <w:rsid w:val="00D04073"/>
    <w:rsid w:val="00D04984"/>
    <w:rsid w:val="00D058DE"/>
    <w:rsid w:val="00D05A8B"/>
    <w:rsid w:val="00D05AB2"/>
    <w:rsid w:val="00D05BAF"/>
    <w:rsid w:val="00D06B2E"/>
    <w:rsid w:val="00D06D15"/>
    <w:rsid w:val="00D1040E"/>
    <w:rsid w:val="00D10D35"/>
    <w:rsid w:val="00D12539"/>
    <w:rsid w:val="00D130A9"/>
    <w:rsid w:val="00D13AD5"/>
    <w:rsid w:val="00D13E18"/>
    <w:rsid w:val="00D14318"/>
    <w:rsid w:val="00D15B88"/>
    <w:rsid w:val="00D1612C"/>
    <w:rsid w:val="00D168F8"/>
    <w:rsid w:val="00D17F6E"/>
    <w:rsid w:val="00D17FBF"/>
    <w:rsid w:val="00D205AE"/>
    <w:rsid w:val="00D209B5"/>
    <w:rsid w:val="00D21589"/>
    <w:rsid w:val="00D21962"/>
    <w:rsid w:val="00D21BA8"/>
    <w:rsid w:val="00D21C50"/>
    <w:rsid w:val="00D21E73"/>
    <w:rsid w:val="00D23EA5"/>
    <w:rsid w:val="00D2451C"/>
    <w:rsid w:val="00D25670"/>
    <w:rsid w:val="00D2669C"/>
    <w:rsid w:val="00D274A0"/>
    <w:rsid w:val="00D27628"/>
    <w:rsid w:val="00D2796A"/>
    <w:rsid w:val="00D27E2C"/>
    <w:rsid w:val="00D3083D"/>
    <w:rsid w:val="00D30DDA"/>
    <w:rsid w:val="00D313B7"/>
    <w:rsid w:val="00D31DA1"/>
    <w:rsid w:val="00D31F7A"/>
    <w:rsid w:val="00D32529"/>
    <w:rsid w:val="00D32B2B"/>
    <w:rsid w:val="00D33D7C"/>
    <w:rsid w:val="00D33FF6"/>
    <w:rsid w:val="00D3470B"/>
    <w:rsid w:val="00D34D6F"/>
    <w:rsid w:val="00D352C4"/>
    <w:rsid w:val="00D37E18"/>
    <w:rsid w:val="00D40202"/>
    <w:rsid w:val="00D41358"/>
    <w:rsid w:val="00D42CC8"/>
    <w:rsid w:val="00D44264"/>
    <w:rsid w:val="00D449C8"/>
    <w:rsid w:val="00D450A9"/>
    <w:rsid w:val="00D45AB9"/>
    <w:rsid w:val="00D4685E"/>
    <w:rsid w:val="00D46F6D"/>
    <w:rsid w:val="00D47F9C"/>
    <w:rsid w:val="00D50E4A"/>
    <w:rsid w:val="00D510D7"/>
    <w:rsid w:val="00D5287D"/>
    <w:rsid w:val="00D52AE1"/>
    <w:rsid w:val="00D52ED9"/>
    <w:rsid w:val="00D542AE"/>
    <w:rsid w:val="00D549B4"/>
    <w:rsid w:val="00D56547"/>
    <w:rsid w:val="00D56D1D"/>
    <w:rsid w:val="00D5761D"/>
    <w:rsid w:val="00D60450"/>
    <w:rsid w:val="00D605C5"/>
    <w:rsid w:val="00D60956"/>
    <w:rsid w:val="00D60DCF"/>
    <w:rsid w:val="00D61132"/>
    <w:rsid w:val="00D61C59"/>
    <w:rsid w:val="00D61E64"/>
    <w:rsid w:val="00D620F6"/>
    <w:rsid w:val="00D6215A"/>
    <w:rsid w:val="00D62A8D"/>
    <w:rsid w:val="00D633A3"/>
    <w:rsid w:val="00D63C7B"/>
    <w:rsid w:val="00D644B5"/>
    <w:rsid w:val="00D64A04"/>
    <w:rsid w:val="00D65277"/>
    <w:rsid w:val="00D6597F"/>
    <w:rsid w:val="00D663DC"/>
    <w:rsid w:val="00D678EC"/>
    <w:rsid w:val="00D67DF6"/>
    <w:rsid w:val="00D70086"/>
    <w:rsid w:val="00D70A43"/>
    <w:rsid w:val="00D70B0F"/>
    <w:rsid w:val="00D70CE2"/>
    <w:rsid w:val="00D71223"/>
    <w:rsid w:val="00D71C49"/>
    <w:rsid w:val="00D72498"/>
    <w:rsid w:val="00D72AD8"/>
    <w:rsid w:val="00D73573"/>
    <w:rsid w:val="00D73709"/>
    <w:rsid w:val="00D739BF"/>
    <w:rsid w:val="00D7574A"/>
    <w:rsid w:val="00D773FD"/>
    <w:rsid w:val="00D775F2"/>
    <w:rsid w:val="00D77608"/>
    <w:rsid w:val="00D8004E"/>
    <w:rsid w:val="00D80D0E"/>
    <w:rsid w:val="00D81AE0"/>
    <w:rsid w:val="00D81EA1"/>
    <w:rsid w:val="00D82947"/>
    <w:rsid w:val="00D82CD8"/>
    <w:rsid w:val="00D830DD"/>
    <w:rsid w:val="00D83CED"/>
    <w:rsid w:val="00D84323"/>
    <w:rsid w:val="00D84A41"/>
    <w:rsid w:val="00D86121"/>
    <w:rsid w:val="00D876AF"/>
    <w:rsid w:val="00D87970"/>
    <w:rsid w:val="00D87EFF"/>
    <w:rsid w:val="00D907CF"/>
    <w:rsid w:val="00D939D8"/>
    <w:rsid w:val="00D93CB0"/>
    <w:rsid w:val="00D93D45"/>
    <w:rsid w:val="00D93E91"/>
    <w:rsid w:val="00D94C9C"/>
    <w:rsid w:val="00D954A3"/>
    <w:rsid w:val="00D95F0D"/>
    <w:rsid w:val="00D96199"/>
    <w:rsid w:val="00D972B5"/>
    <w:rsid w:val="00D9760F"/>
    <w:rsid w:val="00DA03FD"/>
    <w:rsid w:val="00DA0C4B"/>
    <w:rsid w:val="00DA163E"/>
    <w:rsid w:val="00DA2BF9"/>
    <w:rsid w:val="00DA2F1B"/>
    <w:rsid w:val="00DA330E"/>
    <w:rsid w:val="00DA47A7"/>
    <w:rsid w:val="00DA4E45"/>
    <w:rsid w:val="00DA5DC5"/>
    <w:rsid w:val="00DA5EC0"/>
    <w:rsid w:val="00DA6428"/>
    <w:rsid w:val="00DB02AF"/>
    <w:rsid w:val="00DB07AB"/>
    <w:rsid w:val="00DB0CEC"/>
    <w:rsid w:val="00DB0EF4"/>
    <w:rsid w:val="00DB1635"/>
    <w:rsid w:val="00DB1ECF"/>
    <w:rsid w:val="00DB25BD"/>
    <w:rsid w:val="00DB3270"/>
    <w:rsid w:val="00DB3D43"/>
    <w:rsid w:val="00DB4C0A"/>
    <w:rsid w:val="00DB5385"/>
    <w:rsid w:val="00DB56B6"/>
    <w:rsid w:val="00DB5B41"/>
    <w:rsid w:val="00DB6308"/>
    <w:rsid w:val="00DB6B4A"/>
    <w:rsid w:val="00DB6C71"/>
    <w:rsid w:val="00DB6EBB"/>
    <w:rsid w:val="00DB7409"/>
    <w:rsid w:val="00DC0778"/>
    <w:rsid w:val="00DC0957"/>
    <w:rsid w:val="00DC1DD0"/>
    <w:rsid w:val="00DC2B37"/>
    <w:rsid w:val="00DC3286"/>
    <w:rsid w:val="00DC3F3E"/>
    <w:rsid w:val="00DC54F7"/>
    <w:rsid w:val="00DC59F9"/>
    <w:rsid w:val="00DC6516"/>
    <w:rsid w:val="00DC6A1C"/>
    <w:rsid w:val="00DC6D67"/>
    <w:rsid w:val="00DC6FB0"/>
    <w:rsid w:val="00DC7050"/>
    <w:rsid w:val="00DC743D"/>
    <w:rsid w:val="00DC7D7C"/>
    <w:rsid w:val="00DC7ED7"/>
    <w:rsid w:val="00DD07AA"/>
    <w:rsid w:val="00DD082A"/>
    <w:rsid w:val="00DD0B92"/>
    <w:rsid w:val="00DD1756"/>
    <w:rsid w:val="00DD2628"/>
    <w:rsid w:val="00DD2C20"/>
    <w:rsid w:val="00DD309F"/>
    <w:rsid w:val="00DD3325"/>
    <w:rsid w:val="00DD3DB5"/>
    <w:rsid w:val="00DD43A5"/>
    <w:rsid w:val="00DD4ABF"/>
    <w:rsid w:val="00DD6022"/>
    <w:rsid w:val="00DD7390"/>
    <w:rsid w:val="00DD7B9B"/>
    <w:rsid w:val="00DE0320"/>
    <w:rsid w:val="00DE043B"/>
    <w:rsid w:val="00DE1245"/>
    <w:rsid w:val="00DE3169"/>
    <w:rsid w:val="00DE3238"/>
    <w:rsid w:val="00DE5D9A"/>
    <w:rsid w:val="00DE5F40"/>
    <w:rsid w:val="00DE6219"/>
    <w:rsid w:val="00DE671E"/>
    <w:rsid w:val="00DE6B7C"/>
    <w:rsid w:val="00DE73CD"/>
    <w:rsid w:val="00DF035E"/>
    <w:rsid w:val="00DF065D"/>
    <w:rsid w:val="00DF0FE4"/>
    <w:rsid w:val="00DF1CB2"/>
    <w:rsid w:val="00DF3085"/>
    <w:rsid w:val="00DF403B"/>
    <w:rsid w:val="00DF4516"/>
    <w:rsid w:val="00DF4ADF"/>
    <w:rsid w:val="00DF5195"/>
    <w:rsid w:val="00DF5EA7"/>
    <w:rsid w:val="00DF5EAB"/>
    <w:rsid w:val="00DF6343"/>
    <w:rsid w:val="00DF6410"/>
    <w:rsid w:val="00DF65E2"/>
    <w:rsid w:val="00DF6FCE"/>
    <w:rsid w:val="00DF745B"/>
    <w:rsid w:val="00E008EE"/>
    <w:rsid w:val="00E00B6E"/>
    <w:rsid w:val="00E01B85"/>
    <w:rsid w:val="00E01E30"/>
    <w:rsid w:val="00E02D70"/>
    <w:rsid w:val="00E03705"/>
    <w:rsid w:val="00E03DF7"/>
    <w:rsid w:val="00E0461B"/>
    <w:rsid w:val="00E04F54"/>
    <w:rsid w:val="00E06271"/>
    <w:rsid w:val="00E06F95"/>
    <w:rsid w:val="00E06FB0"/>
    <w:rsid w:val="00E0758B"/>
    <w:rsid w:val="00E07A37"/>
    <w:rsid w:val="00E105F9"/>
    <w:rsid w:val="00E11132"/>
    <w:rsid w:val="00E113D0"/>
    <w:rsid w:val="00E11F5E"/>
    <w:rsid w:val="00E14341"/>
    <w:rsid w:val="00E14755"/>
    <w:rsid w:val="00E147C4"/>
    <w:rsid w:val="00E14887"/>
    <w:rsid w:val="00E14974"/>
    <w:rsid w:val="00E14DF9"/>
    <w:rsid w:val="00E1621B"/>
    <w:rsid w:val="00E162F5"/>
    <w:rsid w:val="00E16F17"/>
    <w:rsid w:val="00E17E2E"/>
    <w:rsid w:val="00E20957"/>
    <w:rsid w:val="00E20B79"/>
    <w:rsid w:val="00E2395A"/>
    <w:rsid w:val="00E2580A"/>
    <w:rsid w:val="00E25C81"/>
    <w:rsid w:val="00E2639F"/>
    <w:rsid w:val="00E26400"/>
    <w:rsid w:val="00E2690F"/>
    <w:rsid w:val="00E26976"/>
    <w:rsid w:val="00E26D43"/>
    <w:rsid w:val="00E27800"/>
    <w:rsid w:val="00E27991"/>
    <w:rsid w:val="00E30972"/>
    <w:rsid w:val="00E30C79"/>
    <w:rsid w:val="00E315BA"/>
    <w:rsid w:val="00E332EA"/>
    <w:rsid w:val="00E334A1"/>
    <w:rsid w:val="00E33ACB"/>
    <w:rsid w:val="00E33DE1"/>
    <w:rsid w:val="00E340D8"/>
    <w:rsid w:val="00E346E8"/>
    <w:rsid w:val="00E3674F"/>
    <w:rsid w:val="00E36F33"/>
    <w:rsid w:val="00E37AEF"/>
    <w:rsid w:val="00E402E2"/>
    <w:rsid w:val="00E40F00"/>
    <w:rsid w:val="00E415B9"/>
    <w:rsid w:val="00E41776"/>
    <w:rsid w:val="00E41CFA"/>
    <w:rsid w:val="00E446FB"/>
    <w:rsid w:val="00E44E3D"/>
    <w:rsid w:val="00E44EDF"/>
    <w:rsid w:val="00E45294"/>
    <w:rsid w:val="00E452CE"/>
    <w:rsid w:val="00E455ED"/>
    <w:rsid w:val="00E46927"/>
    <w:rsid w:val="00E46B7D"/>
    <w:rsid w:val="00E47420"/>
    <w:rsid w:val="00E478DC"/>
    <w:rsid w:val="00E47A5E"/>
    <w:rsid w:val="00E50EDD"/>
    <w:rsid w:val="00E52936"/>
    <w:rsid w:val="00E52F7F"/>
    <w:rsid w:val="00E5307D"/>
    <w:rsid w:val="00E531A4"/>
    <w:rsid w:val="00E53969"/>
    <w:rsid w:val="00E54288"/>
    <w:rsid w:val="00E54703"/>
    <w:rsid w:val="00E548C7"/>
    <w:rsid w:val="00E54A9A"/>
    <w:rsid w:val="00E54F5A"/>
    <w:rsid w:val="00E55088"/>
    <w:rsid w:val="00E55449"/>
    <w:rsid w:val="00E6081A"/>
    <w:rsid w:val="00E60FF9"/>
    <w:rsid w:val="00E6118B"/>
    <w:rsid w:val="00E6135E"/>
    <w:rsid w:val="00E61A6F"/>
    <w:rsid w:val="00E61E52"/>
    <w:rsid w:val="00E6276C"/>
    <w:rsid w:val="00E62A69"/>
    <w:rsid w:val="00E63265"/>
    <w:rsid w:val="00E63B79"/>
    <w:rsid w:val="00E65AC3"/>
    <w:rsid w:val="00E6649B"/>
    <w:rsid w:val="00E66B9E"/>
    <w:rsid w:val="00E6730F"/>
    <w:rsid w:val="00E70F80"/>
    <w:rsid w:val="00E71BAC"/>
    <w:rsid w:val="00E7310F"/>
    <w:rsid w:val="00E7327D"/>
    <w:rsid w:val="00E73A4A"/>
    <w:rsid w:val="00E75A36"/>
    <w:rsid w:val="00E75BDB"/>
    <w:rsid w:val="00E76652"/>
    <w:rsid w:val="00E76E1E"/>
    <w:rsid w:val="00E76E9F"/>
    <w:rsid w:val="00E77DF6"/>
    <w:rsid w:val="00E804B2"/>
    <w:rsid w:val="00E8065D"/>
    <w:rsid w:val="00E80F28"/>
    <w:rsid w:val="00E8123A"/>
    <w:rsid w:val="00E81F0B"/>
    <w:rsid w:val="00E81F44"/>
    <w:rsid w:val="00E828AE"/>
    <w:rsid w:val="00E82B28"/>
    <w:rsid w:val="00E8359A"/>
    <w:rsid w:val="00E837CD"/>
    <w:rsid w:val="00E85257"/>
    <w:rsid w:val="00E8552A"/>
    <w:rsid w:val="00E85B97"/>
    <w:rsid w:val="00E86005"/>
    <w:rsid w:val="00E8620C"/>
    <w:rsid w:val="00E8642D"/>
    <w:rsid w:val="00E86B2E"/>
    <w:rsid w:val="00E86C32"/>
    <w:rsid w:val="00E86F2E"/>
    <w:rsid w:val="00E87274"/>
    <w:rsid w:val="00E872BE"/>
    <w:rsid w:val="00E9004D"/>
    <w:rsid w:val="00E92AA5"/>
    <w:rsid w:val="00E93866"/>
    <w:rsid w:val="00E943A8"/>
    <w:rsid w:val="00E94BB6"/>
    <w:rsid w:val="00E95FF7"/>
    <w:rsid w:val="00E96D52"/>
    <w:rsid w:val="00E971D0"/>
    <w:rsid w:val="00E97323"/>
    <w:rsid w:val="00E976CA"/>
    <w:rsid w:val="00EA0345"/>
    <w:rsid w:val="00EA0D81"/>
    <w:rsid w:val="00EA1548"/>
    <w:rsid w:val="00EA24C2"/>
    <w:rsid w:val="00EA27A5"/>
    <w:rsid w:val="00EA2D30"/>
    <w:rsid w:val="00EA34EF"/>
    <w:rsid w:val="00EA3827"/>
    <w:rsid w:val="00EA3E81"/>
    <w:rsid w:val="00EA4C41"/>
    <w:rsid w:val="00EA4DC6"/>
    <w:rsid w:val="00EA5585"/>
    <w:rsid w:val="00EA6C93"/>
    <w:rsid w:val="00EA711C"/>
    <w:rsid w:val="00EA71A7"/>
    <w:rsid w:val="00EA7948"/>
    <w:rsid w:val="00EB019E"/>
    <w:rsid w:val="00EB033F"/>
    <w:rsid w:val="00EB0A73"/>
    <w:rsid w:val="00EB139D"/>
    <w:rsid w:val="00EB31FB"/>
    <w:rsid w:val="00EB3231"/>
    <w:rsid w:val="00EB523C"/>
    <w:rsid w:val="00EB5C5D"/>
    <w:rsid w:val="00EB6199"/>
    <w:rsid w:val="00EB6B72"/>
    <w:rsid w:val="00EB6D5A"/>
    <w:rsid w:val="00EB74A7"/>
    <w:rsid w:val="00EB7ACC"/>
    <w:rsid w:val="00EC1E6C"/>
    <w:rsid w:val="00EC249F"/>
    <w:rsid w:val="00EC2B1C"/>
    <w:rsid w:val="00EC327A"/>
    <w:rsid w:val="00EC3BD6"/>
    <w:rsid w:val="00EC42AE"/>
    <w:rsid w:val="00EC48FB"/>
    <w:rsid w:val="00EC5054"/>
    <w:rsid w:val="00EC573C"/>
    <w:rsid w:val="00EC62A7"/>
    <w:rsid w:val="00EC6991"/>
    <w:rsid w:val="00EC6AEB"/>
    <w:rsid w:val="00EC76BF"/>
    <w:rsid w:val="00EC7CB1"/>
    <w:rsid w:val="00EC7EE6"/>
    <w:rsid w:val="00ED3D4C"/>
    <w:rsid w:val="00ED40FB"/>
    <w:rsid w:val="00ED49E5"/>
    <w:rsid w:val="00ED4E74"/>
    <w:rsid w:val="00ED5403"/>
    <w:rsid w:val="00ED5C3B"/>
    <w:rsid w:val="00ED5D6D"/>
    <w:rsid w:val="00EE215A"/>
    <w:rsid w:val="00EE27DF"/>
    <w:rsid w:val="00EE2EA0"/>
    <w:rsid w:val="00EE356A"/>
    <w:rsid w:val="00EE3B4C"/>
    <w:rsid w:val="00EE3D9D"/>
    <w:rsid w:val="00EE3E8C"/>
    <w:rsid w:val="00EE3E95"/>
    <w:rsid w:val="00EE3EEE"/>
    <w:rsid w:val="00EE43D5"/>
    <w:rsid w:val="00EE482A"/>
    <w:rsid w:val="00EE4D72"/>
    <w:rsid w:val="00EE5241"/>
    <w:rsid w:val="00EE5386"/>
    <w:rsid w:val="00EE5A0A"/>
    <w:rsid w:val="00EE5B40"/>
    <w:rsid w:val="00EE5C2C"/>
    <w:rsid w:val="00EE5CE8"/>
    <w:rsid w:val="00EE6696"/>
    <w:rsid w:val="00EE6EC5"/>
    <w:rsid w:val="00EE7788"/>
    <w:rsid w:val="00EF0307"/>
    <w:rsid w:val="00EF0A55"/>
    <w:rsid w:val="00EF1541"/>
    <w:rsid w:val="00EF1C06"/>
    <w:rsid w:val="00EF227D"/>
    <w:rsid w:val="00EF3F38"/>
    <w:rsid w:val="00EF42D7"/>
    <w:rsid w:val="00EF6674"/>
    <w:rsid w:val="00EF71B8"/>
    <w:rsid w:val="00F016E5"/>
    <w:rsid w:val="00F01758"/>
    <w:rsid w:val="00F01C08"/>
    <w:rsid w:val="00F02FB0"/>
    <w:rsid w:val="00F04FD5"/>
    <w:rsid w:val="00F056A1"/>
    <w:rsid w:val="00F05E10"/>
    <w:rsid w:val="00F05E4D"/>
    <w:rsid w:val="00F10E0A"/>
    <w:rsid w:val="00F113DC"/>
    <w:rsid w:val="00F117EC"/>
    <w:rsid w:val="00F1183F"/>
    <w:rsid w:val="00F11900"/>
    <w:rsid w:val="00F13796"/>
    <w:rsid w:val="00F13C33"/>
    <w:rsid w:val="00F14057"/>
    <w:rsid w:val="00F1470D"/>
    <w:rsid w:val="00F14FFE"/>
    <w:rsid w:val="00F15030"/>
    <w:rsid w:val="00F15232"/>
    <w:rsid w:val="00F1656A"/>
    <w:rsid w:val="00F166A7"/>
    <w:rsid w:val="00F17E98"/>
    <w:rsid w:val="00F2173B"/>
    <w:rsid w:val="00F22763"/>
    <w:rsid w:val="00F23C10"/>
    <w:rsid w:val="00F23FEF"/>
    <w:rsid w:val="00F2402C"/>
    <w:rsid w:val="00F240DD"/>
    <w:rsid w:val="00F2448F"/>
    <w:rsid w:val="00F24653"/>
    <w:rsid w:val="00F2536C"/>
    <w:rsid w:val="00F25748"/>
    <w:rsid w:val="00F25D74"/>
    <w:rsid w:val="00F27004"/>
    <w:rsid w:val="00F2796F"/>
    <w:rsid w:val="00F27A44"/>
    <w:rsid w:val="00F3189D"/>
    <w:rsid w:val="00F32C00"/>
    <w:rsid w:val="00F32DCC"/>
    <w:rsid w:val="00F33767"/>
    <w:rsid w:val="00F33961"/>
    <w:rsid w:val="00F33989"/>
    <w:rsid w:val="00F339A8"/>
    <w:rsid w:val="00F34575"/>
    <w:rsid w:val="00F34ABC"/>
    <w:rsid w:val="00F34E10"/>
    <w:rsid w:val="00F37217"/>
    <w:rsid w:val="00F4044F"/>
    <w:rsid w:val="00F40C23"/>
    <w:rsid w:val="00F428C7"/>
    <w:rsid w:val="00F428FE"/>
    <w:rsid w:val="00F42C00"/>
    <w:rsid w:val="00F42EC2"/>
    <w:rsid w:val="00F44398"/>
    <w:rsid w:val="00F44D88"/>
    <w:rsid w:val="00F472C9"/>
    <w:rsid w:val="00F478AF"/>
    <w:rsid w:val="00F47C98"/>
    <w:rsid w:val="00F50C7F"/>
    <w:rsid w:val="00F50EE8"/>
    <w:rsid w:val="00F50FAD"/>
    <w:rsid w:val="00F51A4E"/>
    <w:rsid w:val="00F54362"/>
    <w:rsid w:val="00F5677C"/>
    <w:rsid w:val="00F575C8"/>
    <w:rsid w:val="00F575CA"/>
    <w:rsid w:val="00F60F0B"/>
    <w:rsid w:val="00F60F2E"/>
    <w:rsid w:val="00F610C1"/>
    <w:rsid w:val="00F61234"/>
    <w:rsid w:val="00F61405"/>
    <w:rsid w:val="00F61C6C"/>
    <w:rsid w:val="00F61EB9"/>
    <w:rsid w:val="00F61FB4"/>
    <w:rsid w:val="00F620BF"/>
    <w:rsid w:val="00F62104"/>
    <w:rsid w:val="00F62A2D"/>
    <w:rsid w:val="00F654A2"/>
    <w:rsid w:val="00F66377"/>
    <w:rsid w:val="00F66FF4"/>
    <w:rsid w:val="00F670EF"/>
    <w:rsid w:val="00F67C91"/>
    <w:rsid w:val="00F70755"/>
    <w:rsid w:val="00F718C7"/>
    <w:rsid w:val="00F71946"/>
    <w:rsid w:val="00F73057"/>
    <w:rsid w:val="00F73522"/>
    <w:rsid w:val="00F73694"/>
    <w:rsid w:val="00F73D7F"/>
    <w:rsid w:val="00F74820"/>
    <w:rsid w:val="00F74849"/>
    <w:rsid w:val="00F74E1A"/>
    <w:rsid w:val="00F761DE"/>
    <w:rsid w:val="00F77032"/>
    <w:rsid w:val="00F77C67"/>
    <w:rsid w:val="00F77D59"/>
    <w:rsid w:val="00F80218"/>
    <w:rsid w:val="00F805E9"/>
    <w:rsid w:val="00F81552"/>
    <w:rsid w:val="00F81FA9"/>
    <w:rsid w:val="00F8206E"/>
    <w:rsid w:val="00F825B2"/>
    <w:rsid w:val="00F82BCD"/>
    <w:rsid w:val="00F836DA"/>
    <w:rsid w:val="00F83946"/>
    <w:rsid w:val="00F84FA8"/>
    <w:rsid w:val="00F85329"/>
    <w:rsid w:val="00F85DBA"/>
    <w:rsid w:val="00F86E6F"/>
    <w:rsid w:val="00F86FE6"/>
    <w:rsid w:val="00F876E5"/>
    <w:rsid w:val="00F87C1D"/>
    <w:rsid w:val="00F90992"/>
    <w:rsid w:val="00F92234"/>
    <w:rsid w:val="00F922E0"/>
    <w:rsid w:val="00F9241E"/>
    <w:rsid w:val="00F9281E"/>
    <w:rsid w:val="00F93385"/>
    <w:rsid w:val="00F9350F"/>
    <w:rsid w:val="00F9421F"/>
    <w:rsid w:val="00F94702"/>
    <w:rsid w:val="00F94C21"/>
    <w:rsid w:val="00F95100"/>
    <w:rsid w:val="00F957C7"/>
    <w:rsid w:val="00F974E5"/>
    <w:rsid w:val="00FA080B"/>
    <w:rsid w:val="00FA0A8D"/>
    <w:rsid w:val="00FA10B0"/>
    <w:rsid w:val="00FA14F9"/>
    <w:rsid w:val="00FA2D56"/>
    <w:rsid w:val="00FA6868"/>
    <w:rsid w:val="00FA7632"/>
    <w:rsid w:val="00FA7925"/>
    <w:rsid w:val="00FB17FA"/>
    <w:rsid w:val="00FB1BED"/>
    <w:rsid w:val="00FB1C39"/>
    <w:rsid w:val="00FB1C69"/>
    <w:rsid w:val="00FB2F6C"/>
    <w:rsid w:val="00FB3069"/>
    <w:rsid w:val="00FB3C54"/>
    <w:rsid w:val="00FB3FF1"/>
    <w:rsid w:val="00FB47E0"/>
    <w:rsid w:val="00FB6AD9"/>
    <w:rsid w:val="00FB6AFF"/>
    <w:rsid w:val="00FB7357"/>
    <w:rsid w:val="00FC0789"/>
    <w:rsid w:val="00FC0B80"/>
    <w:rsid w:val="00FC0BC8"/>
    <w:rsid w:val="00FC2147"/>
    <w:rsid w:val="00FC2BCA"/>
    <w:rsid w:val="00FC433B"/>
    <w:rsid w:val="00FC43B2"/>
    <w:rsid w:val="00FC47B3"/>
    <w:rsid w:val="00FC480D"/>
    <w:rsid w:val="00FC572A"/>
    <w:rsid w:val="00FC582B"/>
    <w:rsid w:val="00FC5B33"/>
    <w:rsid w:val="00FC6040"/>
    <w:rsid w:val="00FC6D10"/>
    <w:rsid w:val="00FC716E"/>
    <w:rsid w:val="00FC73C0"/>
    <w:rsid w:val="00FC7ED3"/>
    <w:rsid w:val="00FD03C1"/>
    <w:rsid w:val="00FD0D80"/>
    <w:rsid w:val="00FD2011"/>
    <w:rsid w:val="00FD24AB"/>
    <w:rsid w:val="00FD25A2"/>
    <w:rsid w:val="00FD2821"/>
    <w:rsid w:val="00FD28A6"/>
    <w:rsid w:val="00FD2965"/>
    <w:rsid w:val="00FD33AF"/>
    <w:rsid w:val="00FD4C86"/>
    <w:rsid w:val="00FD4E6D"/>
    <w:rsid w:val="00FD6511"/>
    <w:rsid w:val="00FD6EA8"/>
    <w:rsid w:val="00FD73EE"/>
    <w:rsid w:val="00FE023A"/>
    <w:rsid w:val="00FE02A8"/>
    <w:rsid w:val="00FE039A"/>
    <w:rsid w:val="00FE12BA"/>
    <w:rsid w:val="00FE1F9A"/>
    <w:rsid w:val="00FE3B79"/>
    <w:rsid w:val="00FE50D5"/>
    <w:rsid w:val="00FE5AD9"/>
    <w:rsid w:val="00FE5E8A"/>
    <w:rsid w:val="00FE67E1"/>
    <w:rsid w:val="00FE67E5"/>
    <w:rsid w:val="00FE761B"/>
    <w:rsid w:val="00FF0016"/>
    <w:rsid w:val="00FF1743"/>
    <w:rsid w:val="00FF1DF1"/>
    <w:rsid w:val="00FF2A73"/>
    <w:rsid w:val="00FF2FEF"/>
    <w:rsid w:val="00FF33E2"/>
    <w:rsid w:val="00FF3C3B"/>
    <w:rsid w:val="00FF49DF"/>
    <w:rsid w:val="00FF4B21"/>
    <w:rsid w:val="00FF4D79"/>
    <w:rsid w:val="00FF54EF"/>
    <w:rsid w:val="00FF59B9"/>
    <w:rsid w:val="00FF611C"/>
    <w:rsid w:val="00FF7C56"/>
    <w:rsid w:val="6B2F9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3A1DB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3E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119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9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90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C23"/>
  </w:style>
  <w:style w:type="paragraph" w:styleId="Footer">
    <w:name w:val="footer"/>
    <w:basedOn w:val="Normal"/>
    <w:link w:val="FooterChar"/>
    <w:uiPriority w:val="99"/>
    <w:unhideWhenUsed/>
    <w:rsid w:val="00F4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C23"/>
  </w:style>
  <w:style w:type="character" w:styleId="CommentReference">
    <w:name w:val="annotation reference"/>
    <w:basedOn w:val="DefaultParagraphFont"/>
    <w:uiPriority w:val="99"/>
    <w:semiHidden/>
    <w:unhideWhenUsed/>
    <w:rsid w:val="00BB5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4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4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B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14098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8C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3E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119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9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90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C23"/>
  </w:style>
  <w:style w:type="paragraph" w:styleId="Footer">
    <w:name w:val="footer"/>
    <w:basedOn w:val="Normal"/>
    <w:link w:val="FooterChar"/>
    <w:uiPriority w:val="99"/>
    <w:unhideWhenUsed/>
    <w:rsid w:val="00F4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C23"/>
  </w:style>
  <w:style w:type="character" w:styleId="CommentReference">
    <w:name w:val="annotation reference"/>
    <w:basedOn w:val="DefaultParagraphFont"/>
    <w:uiPriority w:val="99"/>
    <w:semiHidden/>
    <w:unhideWhenUsed/>
    <w:rsid w:val="00BB5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4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4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B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14098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8C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7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0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17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58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64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05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1468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42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698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32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79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55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93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469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684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030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131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3625487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605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4921687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19461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9932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55332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9762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8786e127-8cf9-45af-9c33-81dcc7df3a97">Requirements</Document_x0020_Type><Sensitivity xmlns="8786e127-8cf9-45af-9c33-81dcc7df3a97">(not specified)</Sensitivity><Program_x0020_Phase xmlns="8786e127-8cf9-45af-9c33-81dcc7df3a97"><Value>2020 Research and Test</Value></Program_x0020_Phase><DocumentStatus xmlns="$ListId:Team Documents;">Draft</DocumentStatus><HomePage xmlns="$ListId:Team Documents;">false</HomePage><Category xmlns="$ListId:Team Documents;">Address Canvassing OMB Package</Category></documentManagement>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8/19/2014 9:07:24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8/19/2014 9:07:24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8/19/2014 9:07:24 PM</Data>
    <Filter/>
  </Receiver>
</spe:Receivers>
</file>

<file path=customXml/item4.xml><?xml version="1.0" encoding="utf-8"?><ct:contentTypeSchema ct:_="" ma:_="" ma:contentTypeName="Document" ma:contentTypeID="0x010100FC8AA67730A42443955637BE25AD0307" ma:contentTypeVersion="0" ma:contentTypeDescription="Create a new document." ma:contentTypeScope="" ma:versionID="2447bef627d33dba025ee315ceb9ac40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17bfe22201042e9791e7bc8fcac60470" ns2:_="" ns3:_="" xmlns:xsd="http://www.w3.org/2001/XMLSchema" xmlns:xs="http://www.w3.org/2001/XMLSchema" xmlns:p="http://schemas.microsoft.com/office/2006/metadata/properties" xmlns:ns2="$ListId:Team Documents;" xmlns:ns3="8786e127-8cf9-45af-9c33-81dcc7df3a97">
<xsd:import namespace="$ListId:Team Documents;"/>
<xsd:import namespace="8786e127-8cf9-45af-9c33-81dcc7df3a97"/>
<xsd:element name="properties">
<xsd:complexType>
<xsd:sequence>
<xsd:element name="documentManagement">
<xsd:complexType>
<xsd:all>
<xsd:element ref="ns2:DocumentStatus" minOccurs="0"/>
<xsd:element ref="ns3:Program_x0020_Phase" minOccurs="0"/>
<xsd:element ref="ns3:Sensitivity"/>
<xsd:element ref="ns3:Document_x0020_Type"/>
<xsd:element ref="ns2:Category"/>
<xsd:element ref="ns2:HomePage" minOccurs="0"/>
</xsd:all>
</xsd:complexType>
</xsd:element>
</xsd:sequence>
</xsd:complexType>
</xsd:element>
</xsd:schema>
<xsd:schema targetNamespace="$ListId:Team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DocumentStatus" ma:index="8" nillable="true" ma:displayName="Document Status" ma:default="Draft" ma:format="Dropdown" ma:internalName="DocumentStatus">
<xsd:simpleType>
<xsd:restriction base="dms:Choice">
<xsd:enumeration value="Draft"/>
<xsd:enumeration value="Final"/>
<xsd:enumeration value="Archived"/>
</xsd:restriction>
</xsd:simpleType>
</xsd:element>
<xsd:element name="Category" ma:index="12" ma:displayName="Category" ma:format="Dropdown" ma:internalName="Category">
<xsd:simpleType>
<xsd:union memberTypes="dms:Text">
<xsd:simpleType>
<xsd:restriction base="dms:Choice">
<xsd:enumeration value="Test Plan"/>
<xsd:enumeration value="Overview"/>
<xsd:enumeration value="POC List"/>
<xsd:enumeration value="GOSCs"/>
<xsd:enumeration value="Tuesday 2:00 Meetings"/>
<xsd:enumeration value="Key Activity Report"/>
<xsd:enumeration value="Roles and Responsibilities"/>
<xsd:enumeration value="2010 Census Evals, Exps &amp; Assess"/>
<xsd:enumeration value="Operational Readiness Plan"/>
<xsd:enumeration value="Spec Status"/>
<xsd:enumeration value="Old Versions of Test Plan"/>
<xsd:enumeration value="Decennial Directorate Program Management Reviews"/>
<xsd:enumeration value="2014 March PMR"/>
<xsd:enumeration value="Tuesday Team Meetings"/>
<xsd:enumeration value="Schedule"/>
<xsd:enumeration value="PMR"/>
<xsd:enumeration value="PMGB IMR"/>
<xsd:enumeration value="DLG"/>
<xsd:enumeration value="NAS panel"/>
<xsd:enumeration value="Lessons Learned"/>
<xsd:enumeration value="2014 Service Desk Support"/>
<xsd:enumeration value="Report"/>
<xsd:enumeration value="2-24-15 Meeting Slides"/>
<xsd:enumeration value="Scope"/>
<xsd:enumeration value="2020 Census Operations"/>
<xsd:enumeration value="Tracker - GOSC RQ"/>
<xsd:enumeration value="2016 CT OMB Package"/>
<xsd:enumeration value="SE&amp;I Test on a Page"/>
<xsd:enumeration value="High-Level Flow"/>
<xsd:enumeration value="Timeline"/>
</xsd:restriction>
</xsd:simpleType>
</xsd:union>
</xsd:simpleType>
</xsd:element>
<xsd:element name="HomePage" ma:index="13" nillable="true" ma:displayName="HomePage" ma:default="0" ma:internalName="HomePage">
<xsd:simpleType>
<xsd:restriction base="dms:Boolean"/>
</xsd:simpleType>
</xsd:element>
</xsd:schema>
<xsd:schema targetNamespace="8786e127-8cf9-45af-9c33-81dcc7df3a97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Program_x0020_Phase" ma:index="9" nillable="true" ma:displayName="Program Phase" ma:default="2020 Research and Test" ma:description="Select the program(s) this document belongs to." ma:internalName="Program_x0020_Phase" ma:requiredMultiChoice="true">
<xsd:complexType>
<xsd:complexContent>
<xsd:extension base="dms:MultiChoice">
<xsd:sequence>
<xsd:element name="Value" maxOccurs="unbounded" minOccurs="0" nillable="true">
<xsd:simpleType>
<xsd:restriction base="dms:Choice">
<xsd:enumeration value="2020 Research and Test"/>
<xsd:enumeration value="2020 Decennial Census"/>
<xsd:enumeration value="Other"/>
</xsd:restriction>
</xsd:simpleType>
</xsd:element>
</xsd:sequence>
</xsd:extension>
</xsd:complexContent>
</xsd:complexType>
</xsd:element>
<xsd:element name="Sensitivity" ma:index="10" ma:displayName="Sensitivity" ma:default="(not specified)" ma:description="Specifies whether or not the document contains any administratively restricted information.  At this time, DO NOT UPLOAD Title 5, 13, 26; procurement; PII; and budget documents into Sharepoint.&#xA;" ma:format="Dropdown" ma:indexed="true" ma:internalName="Sensitivity">
<xsd:simpleType>
<xsd:restriction base="dms:Choice">
<xsd:enumeration value="(not specified)"/>
<xsd:enumeration value="None"/>
</xsd:restriction>
</xsd:simpleType>
</xsd:element>
<xsd:element name="Document_x0020_Type" ma:index="11" ma:displayName="Document Type" ma:default="(not specified)" ma:description="What information does the document contain?" ma:format="Dropdown" ma:indexed="true" ma:internalName="Document_x0020_Type">
<xsd:simpleType>
<xsd:restriction base="dms:Choice">
<xsd:enumeration value="(not specified)"/>
<xsd:enumeration value="Agenda"/>
<xsd:enumeration value="Checklist"/>
<xsd:enumeration value="COTS document"/>
<xsd:enumeration value="Guide"/>
<xsd:enumeration value="Minutes"/>
<xsd:enumeration value="Other"/>
<xsd:enumeration value="Plan"/>
<xsd:enumeration value="Procedure"/>
<xsd:enumeration value="Process"/>
<xsd:enumeration value="Requirements"/>
<xsd:enumeration value="Schedule"/>
<xsd:enumeration value="Strategy"/>
<xsd:enumeration value="Template"/>
<xsd:enumeration value="Workflow"/>
</xsd:restrict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EF2D7-6EA2-4740-85F6-F1F73FDE997A}">
  <ds:schemaRefs>
    <ds:schemaRef ds:uri="8786e127-8cf9-45af-9c33-81dcc7df3a97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$ListId:Team Documents;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95B1EB-300F-4541-80C2-9B894E44C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3C92A-E94D-477C-95A6-856F2B81A4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6239247-8089-4480-84A1-4C02214DD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Team Documents;"/>
    <ds:schemaRef ds:uri="8786e127-8cf9-45af-9c33-81dcc7df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D3967F-DF3B-4110-8916-BAAAFC5F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ED42F174</Template>
  <TotalTime>0</TotalTime>
  <Pages>7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Address Canvassing Test Objectives</vt:lpstr>
    </vt:vector>
  </TitlesOfParts>
  <Company>U.S. Department of Commerce</Company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Address Canvassing Test Objectives</dc:title>
  <dc:creator>Karen Owens (CENSUS/ACSO FED)</dc:creator>
  <cp:lastModifiedBy>Robin A Pennington</cp:lastModifiedBy>
  <cp:revision>2</cp:revision>
  <cp:lastPrinted>2016-02-02T13:51:00Z</cp:lastPrinted>
  <dcterms:created xsi:type="dcterms:W3CDTF">2016-06-17T12:53:00Z</dcterms:created>
  <dcterms:modified xsi:type="dcterms:W3CDTF">2016-06-17T12:53:00Z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0x010100FC8AA67730A42443955637BE25AD0307</vt:lpwstr>
  </property>
  <property fmtid="{D5CDD505-2E9C-101B-9397-08002B2CF9AE}" pid="3" name="Order">
    <vt:r8>5600</vt:r8>
  </property>
  <property fmtid="{D5CDD505-2E9C-101B-9397-08002B2CF9AE}" pid="4" name="TemplateUrl">
    <vt:lpwstr/>
  </property>
  <property fmtid="{D5CDD505-2E9C-101B-9397-08002B2CF9AE}" pid="5" name="_CopySource">
    <vt:lpwstr/>
  </property>
  <property fmtid="{D5CDD505-2E9C-101B-9397-08002B2CF9AE}" pid="6" name="xd_ProgID">
    <vt:lpwstr/>
  </property>
</Properties>
</file>