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FB6E8" w14:textId="5B883512" w:rsidR="004101A3" w:rsidRPr="007B08ED" w:rsidRDefault="004101A3" w:rsidP="00E50B7B">
      <w:pPr>
        <w:rPr>
          <w:b/>
          <w:sz w:val="24"/>
          <w:szCs w:val="24"/>
        </w:rPr>
      </w:pPr>
      <w:bookmarkStart w:id="0" w:name="_GoBack"/>
      <w:bookmarkEnd w:id="0"/>
      <w:r w:rsidRPr="007B08ED">
        <w:rPr>
          <w:b/>
          <w:sz w:val="24"/>
          <w:szCs w:val="24"/>
        </w:rPr>
        <w:t>2018 Census Test Group Quarters Enumeration eResponse Debriefings</w:t>
      </w:r>
    </w:p>
    <w:p w14:paraId="6058A9B0" w14:textId="586F7C3C" w:rsidR="00320F67" w:rsidRPr="007A4A74" w:rsidRDefault="004101A3" w:rsidP="007B08ED">
      <w:pPr>
        <w:rPr>
          <w:color w:val="000000"/>
          <w:sz w:val="24"/>
          <w:szCs w:val="24"/>
        </w:rPr>
      </w:pPr>
      <w:r w:rsidRPr="007B08ED">
        <w:rPr>
          <w:b/>
          <w:sz w:val="24"/>
          <w:szCs w:val="24"/>
        </w:rPr>
        <w:t>Request:</w:t>
      </w:r>
      <w:r w:rsidR="00B36B26">
        <w:rPr>
          <w:b/>
          <w:sz w:val="24"/>
          <w:szCs w:val="24"/>
        </w:rPr>
        <w:t xml:space="preserve"> </w:t>
      </w:r>
      <w:r w:rsidR="007B08ED" w:rsidRPr="007156A3">
        <w:rPr>
          <w:color w:val="000000"/>
          <w:sz w:val="24"/>
          <w:szCs w:val="24"/>
        </w:rPr>
        <w:t>The Census Bureau plans to conduct additional research under the generic clearance for questionnaire pretesting research (OMB number 0607-0725). We propose to conduct</w:t>
      </w:r>
      <w:r w:rsidR="007B08ED">
        <w:rPr>
          <w:color w:val="000000"/>
          <w:sz w:val="24"/>
          <w:szCs w:val="24"/>
        </w:rPr>
        <w:t xml:space="preserve"> debriefings of respondents who use the eResponse data collection system</w:t>
      </w:r>
      <w:r w:rsidR="007B08ED" w:rsidRPr="007A4A74">
        <w:rPr>
          <w:color w:val="000000"/>
          <w:sz w:val="24"/>
          <w:szCs w:val="24"/>
        </w:rPr>
        <w:t xml:space="preserve">. </w:t>
      </w:r>
      <w:r w:rsidR="004B1B3A" w:rsidRPr="007A4A74">
        <w:rPr>
          <w:color w:val="000000"/>
          <w:sz w:val="24"/>
          <w:szCs w:val="24"/>
        </w:rPr>
        <w:t xml:space="preserve">eResponse is a new application of the Census Bureau's Centurion data collection system that </w:t>
      </w:r>
      <w:r w:rsidR="00710A27" w:rsidRPr="007A4A74">
        <w:rPr>
          <w:color w:val="000000"/>
          <w:sz w:val="24"/>
          <w:szCs w:val="24"/>
        </w:rPr>
        <w:t>will be field-tested in the 2018 Census Test</w:t>
      </w:r>
      <w:r w:rsidR="00710A27">
        <w:rPr>
          <w:color w:val="000000"/>
          <w:sz w:val="24"/>
          <w:szCs w:val="24"/>
        </w:rPr>
        <w:t xml:space="preserve"> Group Quarters Enumeration (GQE) prior to its use in the 2020 Census</w:t>
      </w:r>
      <w:r w:rsidR="007B08ED" w:rsidRPr="007A4A74">
        <w:rPr>
          <w:color w:val="000000"/>
          <w:sz w:val="24"/>
          <w:szCs w:val="24"/>
        </w:rPr>
        <w:t xml:space="preserve">. </w:t>
      </w:r>
      <w:r w:rsidR="00CB4A2A" w:rsidRPr="007A4A74">
        <w:rPr>
          <w:color w:val="000000"/>
          <w:sz w:val="24"/>
          <w:szCs w:val="24"/>
        </w:rPr>
        <w:t>eResponse will be used by the staff at group quarters facilities</w:t>
      </w:r>
      <w:r w:rsidR="00710A27">
        <w:rPr>
          <w:color w:val="000000"/>
          <w:sz w:val="24"/>
          <w:szCs w:val="24"/>
        </w:rPr>
        <w:t xml:space="preserve"> </w:t>
      </w:r>
      <w:r w:rsidR="00710A27" w:rsidRPr="007A4A74">
        <w:rPr>
          <w:sz w:val="24"/>
          <w:szCs w:val="24"/>
        </w:rPr>
        <w:t>(GQs)</w:t>
      </w:r>
      <w:r w:rsidR="00CB4A2A" w:rsidRPr="007A4A74">
        <w:rPr>
          <w:color w:val="000000"/>
          <w:sz w:val="24"/>
          <w:szCs w:val="24"/>
        </w:rPr>
        <w:t xml:space="preserve"> </w:t>
      </w:r>
      <w:r w:rsidR="000A4CDF" w:rsidRPr="007A4A74">
        <w:rPr>
          <w:color w:val="000000"/>
          <w:sz w:val="24"/>
          <w:szCs w:val="24"/>
        </w:rPr>
        <w:t>to provide</w:t>
      </w:r>
      <w:r w:rsidR="00CB4A2A" w:rsidRPr="007A4A74">
        <w:rPr>
          <w:color w:val="000000"/>
          <w:sz w:val="24"/>
          <w:szCs w:val="24"/>
        </w:rPr>
        <w:t xml:space="preserve"> information about their residents from electronic records</w:t>
      </w:r>
      <w:r w:rsidR="00710A27" w:rsidRPr="007A4A74">
        <w:rPr>
          <w:sz w:val="24"/>
          <w:szCs w:val="24"/>
        </w:rPr>
        <w:t>, as an alternative to individual and paper form-based enumeration of residents</w:t>
      </w:r>
      <w:r w:rsidR="00CB4A2A" w:rsidRPr="007A4A74">
        <w:rPr>
          <w:color w:val="000000"/>
          <w:sz w:val="24"/>
          <w:szCs w:val="24"/>
        </w:rPr>
        <w:t xml:space="preserve">. </w:t>
      </w:r>
      <w:r w:rsidR="00320F67" w:rsidRPr="007A4A74">
        <w:rPr>
          <w:color w:val="000000"/>
          <w:sz w:val="24"/>
          <w:szCs w:val="24"/>
        </w:rPr>
        <w:t>This evaluation will be conducted</w:t>
      </w:r>
      <w:r w:rsidR="00320F67" w:rsidRPr="007A4A74">
        <w:rPr>
          <w:sz w:val="24"/>
        </w:rPr>
        <w:t xml:space="preserve"> by staff in the Center for Survey Measurement (CSM).</w:t>
      </w:r>
    </w:p>
    <w:p w14:paraId="4472A2BF" w14:textId="33464D92" w:rsidR="001941B1" w:rsidRDefault="004101A3" w:rsidP="004101A3">
      <w:pPr>
        <w:rPr>
          <w:sz w:val="24"/>
          <w:szCs w:val="24"/>
        </w:rPr>
      </w:pPr>
      <w:r w:rsidRPr="007A4A74">
        <w:rPr>
          <w:b/>
          <w:sz w:val="24"/>
          <w:szCs w:val="24"/>
        </w:rPr>
        <w:t xml:space="preserve">Purpose: </w:t>
      </w:r>
      <w:r w:rsidR="00C0595F" w:rsidRPr="007A4A74">
        <w:rPr>
          <w:sz w:val="24"/>
          <w:szCs w:val="24"/>
        </w:rPr>
        <w:t>The purpose of the debriefings is to evaluate the effectiveness and utility of the eResponse system</w:t>
      </w:r>
      <w:r w:rsidR="00102CF1" w:rsidRPr="007A4A74">
        <w:rPr>
          <w:sz w:val="24"/>
          <w:szCs w:val="24"/>
        </w:rPr>
        <w:t xml:space="preserve">. </w:t>
      </w:r>
      <w:r w:rsidR="001941B1" w:rsidRPr="007A4A74">
        <w:rPr>
          <w:color w:val="000000"/>
          <w:sz w:val="24"/>
          <w:szCs w:val="24"/>
        </w:rPr>
        <w:t xml:space="preserve">eResponse consists of a secure web site by which </w:t>
      </w:r>
      <w:r w:rsidR="008C73B8" w:rsidRPr="007A4A74">
        <w:rPr>
          <w:color w:val="000000"/>
          <w:sz w:val="24"/>
          <w:szCs w:val="24"/>
        </w:rPr>
        <w:t>GQ</w:t>
      </w:r>
      <w:r w:rsidR="001941B1" w:rsidRPr="007A4A74">
        <w:rPr>
          <w:color w:val="000000"/>
          <w:sz w:val="24"/>
          <w:szCs w:val="24"/>
        </w:rPr>
        <w:t xml:space="preserve"> respondents can download an Excel spreadsheet reporting template</w:t>
      </w:r>
      <w:r w:rsidR="00EA28A8" w:rsidRPr="007A4A74">
        <w:rPr>
          <w:color w:val="000000"/>
          <w:sz w:val="24"/>
          <w:szCs w:val="24"/>
        </w:rPr>
        <w:t xml:space="preserve"> containing instructions for providing requested information</w:t>
      </w:r>
      <w:r w:rsidR="004D7C01" w:rsidRPr="007A4A74">
        <w:rPr>
          <w:color w:val="000000"/>
          <w:sz w:val="24"/>
          <w:szCs w:val="24"/>
        </w:rPr>
        <w:t xml:space="preserve"> </w:t>
      </w:r>
      <w:r w:rsidR="00536BA0">
        <w:rPr>
          <w:color w:val="000000"/>
          <w:sz w:val="24"/>
          <w:szCs w:val="24"/>
        </w:rPr>
        <w:t>in</w:t>
      </w:r>
      <w:r w:rsidR="00536BA0" w:rsidRPr="007A4A74">
        <w:rPr>
          <w:color w:val="000000"/>
          <w:sz w:val="24"/>
          <w:szCs w:val="24"/>
        </w:rPr>
        <w:t xml:space="preserve"> </w:t>
      </w:r>
      <w:r w:rsidR="004D7C01" w:rsidRPr="007A4A74">
        <w:rPr>
          <w:color w:val="000000"/>
          <w:sz w:val="24"/>
          <w:szCs w:val="24"/>
        </w:rPr>
        <w:t>the desired format</w:t>
      </w:r>
      <w:r w:rsidR="001941B1" w:rsidRPr="007A4A74">
        <w:rPr>
          <w:color w:val="000000"/>
          <w:sz w:val="24"/>
          <w:szCs w:val="24"/>
        </w:rPr>
        <w:t xml:space="preserve">. Respondents </w:t>
      </w:r>
      <w:r w:rsidR="000A4CDF" w:rsidRPr="007A4A74">
        <w:rPr>
          <w:color w:val="000000"/>
          <w:sz w:val="24"/>
          <w:szCs w:val="24"/>
        </w:rPr>
        <w:t>will</w:t>
      </w:r>
      <w:r w:rsidR="001941B1" w:rsidRPr="007A4A74">
        <w:rPr>
          <w:color w:val="000000"/>
          <w:sz w:val="24"/>
          <w:szCs w:val="24"/>
        </w:rPr>
        <w:t xml:space="preserve"> transfer data about </w:t>
      </w:r>
      <w:r w:rsidR="00EA28A8" w:rsidRPr="007A4A74">
        <w:rPr>
          <w:color w:val="000000"/>
          <w:sz w:val="24"/>
          <w:szCs w:val="24"/>
        </w:rPr>
        <w:t xml:space="preserve">the </w:t>
      </w:r>
      <w:r w:rsidR="001941B1" w:rsidRPr="007A4A74">
        <w:rPr>
          <w:color w:val="000000"/>
          <w:sz w:val="24"/>
          <w:szCs w:val="24"/>
        </w:rPr>
        <w:t xml:space="preserve">group quarters </w:t>
      </w:r>
      <w:r w:rsidR="00EA28A8" w:rsidRPr="007A4A74">
        <w:rPr>
          <w:color w:val="000000"/>
          <w:sz w:val="24"/>
          <w:szCs w:val="24"/>
        </w:rPr>
        <w:t xml:space="preserve">and its </w:t>
      </w:r>
      <w:r w:rsidR="001941B1" w:rsidRPr="007A4A74">
        <w:rPr>
          <w:color w:val="000000"/>
          <w:sz w:val="24"/>
          <w:szCs w:val="24"/>
        </w:rPr>
        <w:t>residents</w:t>
      </w:r>
      <w:r w:rsidR="001941B1">
        <w:rPr>
          <w:color w:val="000000"/>
          <w:sz w:val="24"/>
          <w:szCs w:val="24"/>
        </w:rPr>
        <w:t xml:space="preserve"> from electronic records into the</w:t>
      </w:r>
      <w:r w:rsidR="007209B5">
        <w:rPr>
          <w:color w:val="000000"/>
          <w:sz w:val="24"/>
          <w:szCs w:val="24"/>
        </w:rPr>
        <w:t xml:space="preserve"> spreadsheet</w:t>
      </w:r>
      <w:r w:rsidR="001941B1">
        <w:rPr>
          <w:color w:val="000000"/>
          <w:sz w:val="24"/>
          <w:szCs w:val="24"/>
        </w:rPr>
        <w:t xml:space="preserve"> template and upload it to submit their responses. The web site will review uploaded data for errors and provide feedback so that respondents can make corrections and resubmit corrected data.</w:t>
      </w:r>
      <w:r w:rsidR="00C53140">
        <w:rPr>
          <w:color w:val="000000"/>
          <w:sz w:val="24"/>
          <w:szCs w:val="24"/>
        </w:rPr>
        <w:t xml:space="preserve"> Screens</w:t>
      </w:r>
      <w:r w:rsidR="00F164B7">
        <w:rPr>
          <w:color w:val="000000"/>
          <w:sz w:val="24"/>
          <w:szCs w:val="24"/>
        </w:rPr>
        <w:t xml:space="preserve">hots from the eResponse website, </w:t>
      </w:r>
      <w:r w:rsidR="00C53140">
        <w:rPr>
          <w:color w:val="000000"/>
          <w:sz w:val="24"/>
          <w:szCs w:val="24"/>
        </w:rPr>
        <w:t xml:space="preserve">the </w:t>
      </w:r>
      <w:r w:rsidR="007209B5">
        <w:rPr>
          <w:color w:val="000000"/>
          <w:sz w:val="24"/>
          <w:szCs w:val="24"/>
        </w:rPr>
        <w:t>spreadsheet</w:t>
      </w:r>
      <w:r w:rsidR="00C53140">
        <w:rPr>
          <w:color w:val="000000"/>
          <w:sz w:val="24"/>
          <w:szCs w:val="24"/>
        </w:rPr>
        <w:t xml:space="preserve"> reporting template</w:t>
      </w:r>
      <w:r w:rsidR="00F164B7">
        <w:rPr>
          <w:color w:val="000000"/>
          <w:sz w:val="24"/>
          <w:szCs w:val="24"/>
        </w:rPr>
        <w:t xml:space="preserve">, the </w:t>
      </w:r>
      <w:r w:rsidR="00923058">
        <w:rPr>
          <w:color w:val="000000"/>
          <w:sz w:val="24"/>
          <w:szCs w:val="24"/>
        </w:rPr>
        <w:t>GQE</w:t>
      </w:r>
      <w:r w:rsidR="00F164B7">
        <w:rPr>
          <w:color w:val="000000"/>
          <w:sz w:val="24"/>
          <w:szCs w:val="24"/>
        </w:rPr>
        <w:t xml:space="preserve"> invitation letter</w:t>
      </w:r>
      <w:r w:rsidR="00923058">
        <w:rPr>
          <w:color w:val="000000"/>
          <w:sz w:val="24"/>
          <w:szCs w:val="24"/>
        </w:rPr>
        <w:t>, and the eResponse User Guide</w:t>
      </w:r>
      <w:r w:rsidR="00C53140">
        <w:rPr>
          <w:color w:val="000000"/>
          <w:sz w:val="24"/>
          <w:szCs w:val="24"/>
        </w:rPr>
        <w:t xml:space="preserve"> are included as attachments (see </w:t>
      </w:r>
      <w:r w:rsidR="00F164B7" w:rsidRPr="001711D7">
        <w:rPr>
          <w:color w:val="000000"/>
          <w:sz w:val="24"/>
          <w:szCs w:val="24"/>
        </w:rPr>
        <w:t xml:space="preserve">Enclosures 2, </w:t>
      </w:r>
      <w:r w:rsidR="00C53140" w:rsidRPr="001711D7">
        <w:rPr>
          <w:color w:val="000000"/>
          <w:sz w:val="24"/>
          <w:szCs w:val="24"/>
        </w:rPr>
        <w:t>3,</w:t>
      </w:r>
      <w:r w:rsidR="00F164B7" w:rsidRPr="001711D7">
        <w:rPr>
          <w:color w:val="000000"/>
          <w:sz w:val="24"/>
          <w:szCs w:val="24"/>
        </w:rPr>
        <w:t xml:space="preserve"> 4,</w:t>
      </w:r>
      <w:r w:rsidR="00923058">
        <w:rPr>
          <w:color w:val="000000"/>
          <w:sz w:val="24"/>
          <w:szCs w:val="24"/>
        </w:rPr>
        <w:t xml:space="preserve"> and 5,</w:t>
      </w:r>
      <w:r w:rsidR="00C53140">
        <w:rPr>
          <w:color w:val="000000"/>
          <w:sz w:val="24"/>
          <w:szCs w:val="24"/>
        </w:rPr>
        <w:t xml:space="preserve"> respectively).</w:t>
      </w:r>
    </w:p>
    <w:p w14:paraId="7CDA631B" w14:textId="38EC9167" w:rsidR="004101A3" w:rsidRDefault="00102CF1" w:rsidP="004101A3">
      <w:pPr>
        <w:rPr>
          <w:sz w:val="24"/>
          <w:szCs w:val="24"/>
        </w:rPr>
      </w:pPr>
      <w:r>
        <w:rPr>
          <w:sz w:val="24"/>
          <w:szCs w:val="24"/>
        </w:rPr>
        <w:t xml:space="preserve">We will conduct interviews </w:t>
      </w:r>
      <w:r w:rsidR="00536BA0">
        <w:rPr>
          <w:sz w:val="24"/>
          <w:szCs w:val="24"/>
        </w:rPr>
        <w:t xml:space="preserve">with 2018 Census Test </w:t>
      </w:r>
      <w:r w:rsidR="005170A0">
        <w:rPr>
          <w:sz w:val="24"/>
          <w:szCs w:val="24"/>
        </w:rPr>
        <w:t>GQ</w:t>
      </w:r>
      <w:r w:rsidR="00A543C3">
        <w:rPr>
          <w:sz w:val="24"/>
          <w:szCs w:val="24"/>
        </w:rPr>
        <w:t>E</w:t>
      </w:r>
      <w:r>
        <w:rPr>
          <w:sz w:val="24"/>
          <w:szCs w:val="24"/>
        </w:rPr>
        <w:t xml:space="preserve"> respondents who use the </w:t>
      </w:r>
      <w:r w:rsidR="00536BA0">
        <w:rPr>
          <w:sz w:val="24"/>
          <w:szCs w:val="24"/>
        </w:rPr>
        <w:t xml:space="preserve">eResponse </w:t>
      </w:r>
      <w:r>
        <w:rPr>
          <w:sz w:val="24"/>
          <w:szCs w:val="24"/>
        </w:rPr>
        <w:t>system to accomplish the following objectives:</w:t>
      </w:r>
    </w:p>
    <w:p w14:paraId="61190E53" w14:textId="77777777" w:rsidR="00B36B26" w:rsidRPr="00B36B26" w:rsidRDefault="00B36B26" w:rsidP="00B36B26">
      <w:pPr>
        <w:numPr>
          <w:ilvl w:val="0"/>
          <w:numId w:val="1"/>
        </w:numPr>
        <w:contextualSpacing/>
        <w:rPr>
          <w:sz w:val="24"/>
          <w:szCs w:val="24"/>
        </w:rPr>
      </w:pPr>
      <w:r w:rsidRPr="00B36B26">
        <w:rPr>
          <w:sz w:val="24"/>
          <w:szCs w:val="24"/>
        </w:rPr>
        <w:t xml:space="preserve">Evaluate the instrument’s performance in terms of efficiency, </w:t>
      </w:r>
      <w:r w:rsidR="00827A06">
        <w:rPr>
          <w:sz w:val="24"/>
          <w:szCs w:val="24"/>
        </w:rPr>
        <w:t xml:space="preserve">meeting </w:t>
      </w:r>
      <w:r w:rsidR="00651825">
        <w:rPr>
          <w:sz w:val="24"/>
          <w:szCs w:val="24"/>
        </w:rPr>
        <w:t>users’ expectations</w:t>
      </w:r>
      <w:r w:rsidRPr="00B36B26">
        <w:rPr>
          <w:sz w:val="24"/>
          <w:szCs w:val="24"/>
        </w:rPr>
        <w:t xml:space="preserve">, and user satisfaction </w:t>
      </w:r>
    </w:p>
    <w:p w14:paraId="19476863" w14:textId="77777777" w:rsidR="00B36B26" w:rsidRDefault="00B36B26" w:rsidP="00690D3E">
      <w:pPr>
        <w:numPr>
          <w:ilvl w:val="0"/>
          <w:numId w:val="1"/>
        </w:numPr>
        <w:contextualSpacing/>
        <w:rPr>
          <w:sz w:val="24"/>
          <w:szCs w:val="24"/>
        </w:rPr>
      </w:pPr>
      <w:r w:rsidRPr="00B36B26">
        <w:rPr>
          <w:sz w:val="24"/>
          <w:szCs w:val="24"/>
        </w:rPr>
        <w:t xml:space="preserve">Identify areas of the instrument that are problematic for users </w:t>
      </w:r>
      <w:r w:rsidR="00690D3E" w:rsidRPr="00690D3E">
        <w:rPr>
          <w:sz w:val="24"/>
          <w:szCs w:val="24"/>
        </w:rPr>
        <w:t>and</w:t>
      </w:r>
      <w:r w:rsidRPr="00690D3E">
        <w:rPr>
          <w:sz w:val="24"/>
          <w:szCs w:val="24"/>
        </w:rPr>
        <w:t xml:space="preserve"> features that are difficult to understand </w:t>
      </w:r>
    </w:p>
    <w:p w14:paraId="637C5675" w14:textId="77777777" w:rsidR="00E567E1" w:rsidRPr="00690D3E" w:rsidRDefault="00E567E1" w:rsidP="00690D3E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Explore the context of group quarters enumeration with regard to respondents’ response processes</w:t>
      </w:r>
      <w:r w:rsidR="00AB092E">
        <w:rPr>
          <w:sz w:val="24"/>
          <w:szCs w:val="24"/>
        </w:rPr>
        <w:t>, the nature of their records, etc.</w:t>
      </w:r>
    </w:p>
    <w:p w14:paraId="340DC50F" w14:textId="77777777" w:rsidR="00827A06" w:rsidRPr="00651825" w:rsidRDefault="00827A06" w:rsidP="00827A06">
      <w:pPr>
        <w:numPr>
          <w:ilvl w:val="0"/>
          <w:numId w:val="1"/>
        </w:numPr>
        <w:contextualSpacing/>
        <w:rPr>
          <w:sz w:val="24"/>
          <w:szCs w:val="24"/>
        </w:rPr>
      </w:pPr>
      <w:r w:rsidRPr="00B36B26">
        <w:rPr>
          <w:sz w:val="24"/>
          <w:szCs w:val="24"/>
        </w:rPr>
        <w:t xml:space="preserve">Provide recommendations for improvements to the design of the instrument that will enhance its usability </w:t>
      </w:r>
    </w:p>
    <w:p w14:paraId="0F4DA246" w14:textId="46DA7F43" w:rsidR="007A247B" w:rsidRDefault="007A247B" w:rsidP="00827A0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Evaluate the effectiveness of instructions for using the system contained in the </w:t>
      </w:r>
      <w:r w:rsidR="00923058">
        <w:rPr>
          <w:sz w:val="24"/>
          <w:szCs w:val="24"/>
        </w:rPr>
        <w:t>GQE</w:t>
      </w:r>
      <w:r>
        <w:rPr>
          <w:sz w:val="24"/>
          <w:szCs w:val="24"/>
        </w:rPr>
        <w:t xml:space="preserve"> invitation letter and user instruction guide</w:t>
      </w:r>
      <w:r w:rsidR="00827A06">
        <w:rPr>
          <w:sz w:val="24"/>
          <w:szCs w:val="24"/>
        </w:rPr>
        <w:t xml:space="preserve"> and look for ways to improve the</w:t>
      </w:r>
      <w:r w:rsidR="00536BA0">
        <w:rPr>
          <w:sz w:val="24"/>
          <w:szCs w:val="24"/>
        </w:rPr>
        <w:t xml:space="preserve"> instructions</w:t>
      </w:r>
    </w:p>
    <w:p w14:paraId="30571865" w14:textId="77777777" w:rsidR="00102CF1" w:rsidRPr="00B36B26" w:rsidRDefault="00D81F95" w:rsidP="00102CF1">
      <w:pPr>
        <w:rPr>
          <w:sz w:val="24"/>
          <w:szCs w:val="24"/>
        </w:rPr>
      </w:pPr>
      <w:r>
        <w:rPr>
          <w:sz w:val="24"/>
          <w:szCs w:val="24"/>
        </w:rPr>
        <w:t>Results from the interviews will be summarized in a report, along with recommendations for improving the eResponse system.</w:t>
      </w:r>
    </w:p>
    <w:p w14:paraId="184FA0AD" w14:textId="77777777" w:rsidR="00CB4A2A" w:rsidRDefault="004101A3" w:rsidP="004101A3">
      <w:pPr>
        <w:rPr>
          <w:sz w:val="24"/>
          <w:szCs w:val="24"/>
        </w:rPr>
      </w:pPr>
      <w:r w:rsidRPr="007B08ED">
        <w:rPr>
          <w:b/>
          <w:sz w:val="24"/>
          <w:szCs w:val="24"/>
        </w:rPr>
        <w:t>Population of Interest</w:t>
      </w:r>
      <w:r w:rsidRPr="007B08ED">
        <w:rPr>
          <w:sz w:val="24"/>
          <w:szCs w:val="24"/>
        </w:rPr>
        <w:t>:</w:t>
      </w:r>
      <w:r w:rsidR="00651825">
        <w:rPr>
          <w:b/>
          <w:sz w:val="24"/>
          <w:szCs w:val="24"/>
        </w:rPr>
        <w:t xml:space="preserve"> </w:t>
      </w:r>
      <w:r w:rsidR="00827A06" w:rsidRPr="00827A06">
        <w:rPr>
          <w:sz w:val="24"/>
          <w:szCs w:val="24"/>
        </w:rPr>
        <w:t>The Ce</w:t>
      </w:r>
      <w:r w:rsidR="00827A06">
        <w:rPr>
          <w:sz w:val="24"/>
          <w:szCs w:val="24"/>
        </w:rPr>
        <w:t xml:space="preserve">nsus Bureau enumerates residents of </w:t>
      </w:r>
      <w:r w:rsidR="00E978D1">
        <w:rPr>
          <w:sz w:val="24"/>
          <w:szCs w:val="24"/>
        </w:rPr>
        <w:t>GQs</w:t>
      </w:r>
      <w:r w:rsidR="00827A06">
        <w:rPr>
          <w:sz w:val="24"/>
          <w:szCs w:val="24"/>
        </w:rPr>
        <w:t xml:space="preserve"> as part of the decennial census. </w:t>
      </w:r>
      <w:r w:rsidR="00CB4A2A" w:rsidRPr="007B08ED">
        <w:rPr>
          <w:sz w:val="24"/>
          <w:szCs w:val="24"/>
        </w:rPr>
        <w:t xml:space="preserve">A </w:t>
      </w:r>
      <w:r w:rsidR="008C73B8">
        <w:rPr>
          <w:sz w:val="24"/>
          <w:szCs w:val="24"/>
        </w:rPr>
        <w:t>GQ</w:t>
      </w:r>
      <w:r w:rsidR="00CB4A2A" w:rsidRPr="007B08ED">
        <w:rPr>
          <w:sz w:val="24"/>
          <w:szCs w:val="24"/>
        </w:rPr>
        <w:t xml:space="preserve"> is a place where people live or stay in a group living arrangement that is owned or managed by an entity or organization providing housing and/or services for the </w:t>
      </w:r>
      <w:r w:rsidR="00CB4A2A" w:rsidRPr="007B08ED">
        <w:rPr>
          <w:sz w:val="24"/>
          <w:szCs w:val="24"/>
        </w:rPr>
        <w:lastRenderedPageBreak/>
        <w:t>residents. This is not a typical hous</w:t>
      </w:r>
      <w:r w:rsidR="00CB4A2A">
        <w:rPr>
          <w:sz w:val="24"/>
          <w:szCs w:val="24"/>
        </w:rPr>
        <w:t>ehold-type living arrangement, and p</w:t>
      </w:r>
      <w:r w:rsidR="00CB4A2A" w:rsidRPr="007B08ED">
        <w:rPr>
          <w:sz w:val="24"/>
          <w:szCs w:val="24"/>
        </w:rPr>
        <w:t>eople living in group quarters are usually not related to each other.</w:t>
      </w:r>
      <w:r w:rsidR="00CB4A2A">
        <w:rPr>
          <w:sz w:val="24"/>
          <w:szCs w:val="24"/>
        </w:rPr>
        <w:t xml:space="preserve"> </w:t>
      </w:r>
      <w:r w:rsidR="00E978D1">
        <w:rPr>
          <w:sz w:val="24"/>
          <w:szCs w:val="24"/>
        </w:rPr>
        <w:t>GQs</w:t>
      </w:r>
      <w:r w:rsidR="00CE0966" w:rsidRPr="007B08ED">
        <w:rPr>
          <w:sz w:val="24"/>
          <w:szCs w:val="24"/>
        </w:rPr>
        <w:t xml:space="preserve"> </w:t>
      </w:r>
      <w:r w:rsidR="00CB4A2A" w:rsidRPr="007B08ED">
        <w:rPr>
          <w:sz w:val="24"/>
          <w:szCs w:val="24"/>
        </w:rPr>
        <w:t>include such places as college residence halls, residential treatment centers, skilled-nursing facilities, group homes, military barracks, correctional facilities, and workers’</w:t>
      </w:r>
      <w:r w:rsidR="00E567E1">
        <w:rPr>
          <w:sz w:val="24"/>
          <w:szCs w:val="24"/>
        </w:rPr>
        <w:t xml:space="preserve"> </w:t>
      </w:r>
      <w:r w:rsidR="00CB4A2A" w:rsidRPr="007B08ED">
        <w:rPr>
          <w:sz w:val="24"/>
          <w:szCs w:val="24"/>
        </w:rPr>
        <w:t>dormitories.</w:t>
      </w:r>
      <w:r w:rsidR="00D81F95">
        <w:rPr>
          <w:sz w:val="24"/>
          <w:szCs w:val="24"/>
        </w:rPr>
        <w:t xml:space="preserve"> For this </w:t>
      </w:r>
      <w:r w:rsidR="000A4CDF">
        <w:rPr>
          <w:sz w:val="24"/>
          <w:szCs w:val="24"/>
        </w:rPr>
        <w:t>study</w:t>
      </w:r>
      <w:r w:rsidR="00D81F95">
        <w:rPr>
          <w:sz w:val="24"/>
          <w:szCs w:val="24"/>
        </w:rPr>
        <w:t xml:space="preserve">, the </w:t>
      </w:r>
      <w:r w:rsidR="00E978D1">
        <w:rPr>
          <w:sz w:val="24"/>
          <w:szCs w:val="24"/>
        </w:rPr>
        <w:t>GQs</w:t>
      </w:r>
      <w:r w:rsidR="00CE0966">
        <w:rPr>
          <w:sz w:val="24"/>
          <w:szCs w:val="24"/>
        </w:rPr>
        <w:t xml:space="preserve"> </w:t>
      </w:r>
      <w:r w:rsidR="00D81F95">
        <w:rPr>
          <w:sz w:val="24"/>
          <w:szCs w:val="24"/>
        </w:rPr>
        <w:t>themselves are the population of interest, not the persons who reside in them.</w:t>
      </w:r>
    </w:p>
    <w:p w14:paraId="41D3D95A" w14:textId="77777777" w:rsidR="004101A3" w:rsidRPr="007B08ED" w:rsidRDefault="004101A3" w:rsidP="004101A3">
      <w:pPr>
        <w:rPr>
          <w:color w:val="000000"/>
          <w:sz w:val="24"/>
          <w:szCs w:val="24"/>
        </w:rPr>
      </w:pPr>
      <w:r w:rsidRPr="007B08ED">
        <w:rPr>
          <w:b/>
          <w:color w:val="000000"/>
          <w:sz w:val="24"/>
          <w:szCs w:val="24"/>
        </w:rPr>
        <w:t>Timeline</w:t>
      </w:r>
      <w:r w:rsidRPr="007B08ED">
        <w:rPr>
          <w:color w:val="000000"/>
          <w:sz w:val="24"/>
          <w:szCs w:val="24"/>
        </w:rPr>
        <w:t>:</w:t>
      </w:r>
      <w:r w:rsidR="00E94FAD">
        <w:rPr>
          <w:color w:val="000000"/>
          <w:sz w:val="24"/>
          <w:szCs w:val="24"/>
        </w:rPr>
        <w:t xml:space="preserve"> Interviews will be conducted in August-September 2018.</w:t>
      </w:r>
    </w:p>
    <w:p w14:paraId="774616A0" w14:textId="77777777" w:rsidR="004101A3" w:rsidRPr="007B08ED" w:rsidRDefault="004101A3" w:rsidP="004101A3">
      <w:pPr>
        <w:rPr>
          <w:color w:val="000000"/>
          <w:sz w:val="24"/>
          <w:szCs w:val="24"/>
        </w:rPr>
      </w:pPr>
      <w:r w:rsidRPr="007B08ED">
        <w:rPr>
          <w:b/>
          <w:color w:val="000000"/>
          <w:sz w:val="24"/>
          <w:szCs w:val="24"/>
        </w:rPr>
        <w:t>Language</w:t>
      </w:r>
      <w:r w:rsidRPr="007B08ED">
        <w:rPr>
          <w:color w:val="000000"/>
          <w:sz w:val="24"/>
          <w:szCs w:val="24"/>
        </w:rPr>
        <w:t>:</w:t>
      </w:r>
      <w:r w:rsidR="00CB4A2A">
        <w:rPr>
          <w:color w:val="000000"/>
          <w:sz w:val="24"/>
          <w:szCs w:val="24"/>
        </w:rPr>
        <w:t xml:space="preserve"> </w:t>
      </w:r>
      <w:r w:rsidR="00CB4A2A">
        <w:rPr>
          <w:color w:val="000000" w:themeColor="text1"/>
          <w:sz w:val="24"/>
          <w:szCs w:val="24"/>
        </w:rPr>
        <w:t>Interviews</w:t>
      </w:r>
      <w:r w:rsidR="00CB4A2A" w:rsidRPr="58A2C2C5">
        <w:rPr>
          <w:color w:val="000000" w:themeColor="text1"/>
          <w:sz w:val="24"/>
          <w:szCs w:val="24"/>
        </w:rPr>
        <w:t xml:space="preserve"> will be conducted in English only.  </w:t>
      </w:r>
    </w:p>
    <w:p w14:paraId="56DEFC86" w14:textId="43105C1E" w:rsidR="004101A3" w:rsidRPr="000B06C4" w:rsidRDefault="004101A3" w:rsidP="004101A3">
      <w:pPr>
        <w:rPr>
          <w:sz w:val="24"/>
          <w:szCs w:val="24"/>
        </w:rPr>
      </w:pPr>
      <w:r w:rsidRPr="007B08ED">
        <w:rPr>
          <w:b/>
          <w:color w:val="000000"/>
          <w:sz w:val="24"/>
          <w:szCs w:val="24"/>
        </w:rPr>
        <w:t>Method</w:t>
      </w:r>
      <w:r w:rsidRPr="007B08ED">
        <w:rPr>
          <w:color w:val="000000"/>
          <w:sz w:val="24"/>
          <w:szCs w:val="24"/>
        </w:rPr>
        <w:t>:</w:t>
      </w:r>
      <w:r w:rsidR="00E94FAD" w:rsidRPr="00E94FAD">
        <w:rPr>
          <w:sz w:val="24"/>
          <w:szCs w:val="24"/>
        </w:rPr>
        <w:t xml:space="preserve"> </w:t>
      </w:r>
      <w:r w:rsidR="0035437D" w:rsidRPr="00686686">
        <w:rPr>
          <w:color w:val="000000"/>
          <w:sz w:val="24"/>
          <w:szCs w:val="24"/>
        </w:rPr>
        <w:t xml:space="preserve">We </w:t>
      </w:r>
      <w:r w:rsidR="0035437D">
        <w:rPr>
          <w:color w:val="000000"/>
          <w:sz w:val="24"/>
          <w:szCs w:val="24"/>
        </w:rPr>
        <w:t>will</w:t>
      </w:r>
      <w:r w:rsidR="0035437D" w:rsidRPr="00686686">
        <w:rPr>
          <w:color w:val="000000"/>
          <w:sz w:val="24"/>
          <w:szCs w:val="24"/>
        </w:rPr>
        <w:t xml:space="preserve"> conduct debriefings with </w:t>
      </w:r>
      <w:r w:rsidR="00E30848">
        <w:rPr>
          <w:color w:val="000000"/>
          <w:sz w:val="24"/>
          <w:szCs w:val="24"/>
        </w:rPr>
        <w:t xml:space="preserve">respondents and other </w:t>
      </w:r>
      <w:r w:rsidR="0035437D">
        <w:rPr>
          <w:color w:val="000000"/>
          <w:sz w:val="24"/>
          <w:szCs w:val="24"/>
        </w:rPr>
        <w:t xml:space="preserve">staff from </w:t>
      </w:r>
      <w:r w:rsidR="0035437D" w:rsidRPr="00686686">
        <w:rPr>
          <w:color w:val="000000"/>
          <w:sz w:val="24"/>
          <w:szCs w:val="24"/>
        </w:rPr>
        <w:t xml:space="preserve">up to </w:t>
      </w:r>
      <w:r w:rsidR="00E30848">
        <w:rPr>
          <w:color w:val="000000"/>
          <w:sz w:val="24"/>
          <w:szCs w:val="24"/>
        </w:rPr>
        <w:t>20</w:t>
      </w:r>
      <w:r w:rsidR="0035437D" w:rsidRPr="00686686">
        <w:rPr>
          <w:color w:val="000000"/>
          <w:sz w:val="24"/>
          <w:szCs w:val="24"/>
        </w:rPr>
        <w:t xml:space="preserve"> </w:t>
      </w:r>
      <w:r w:rsidR="00E978D1">
        <w:rPr>
          <w:color w:val="000000"/>
          <w:sz w:val="24"/>
          <w:szCs w:val="24"/>
        </w:rPr>
        <w:t>GQs</w:t>
      </w:r>
      <w:r w:rsidR="0035437D" w:rsidRPr="00686686">
        <w:rPr>
          <w:color w:val="000000"/>
          <w:sz w:val="24"/>
          <w:szCs w:val="24"/>
        </w:rPr>
        <w:t xml:space="preserve"> </w:t>
      </w:r>
      <w:r w:rsidR="0035437D">
        <w:rPr>
          <w:color w:val="000000"/>
          <w:sz w:val="24"/>
          <w:szCs w:val="24"/>
        </w:rPr>
        <w:t xml:space="preserve">in </w:t>
      </w:r>
      <w:r w:rsidR="0035437D" w:rsidRPr="00686686">
        <w:rPr>
          <w:color w:val="000000"/>
          <w:sz w:val="24"/>
          <w:szCs w:val="24"/>
        </w:rPr>
        <w:t>Providence County, Rhode Island</w:t>
      </w:r>
      <w:r w:rsidR="00536BA0">
        <w:rPr>
          <w:color w:val="000000"/>
          <w:sz w:val="24"/>
          <w:szCs w:val="24"/>
        </w:rPr>
        <w:t xml:space="preserve"> (</w:t>
      </w:r>
      <w:r w:rsidR="0035437D">
        <w:rPr>
          <w:color w:val="000000"/>
          <w:sz w:val="24"/>
          <w:szCs w:val="24"/>
        </w:rPr>
        <w:t>the location of the 2018 Census Test</w:t>
      </w:r>
      <w:r w:rsidR="00536BA0">
        <w:rPr>
          <w:color w:val="000000"/>
          <w:sz w:val="24"/>
          <w:szCs w:val="24"/>
        </w:rPr>
        <w:t>)</w:t>
      </w:r>
      <w:r w:rsidR="0035437D" w:rsidRPr="00686686">
        <w:rPr>
          <w:color w:val="000000"/>
          <w:sz w:val="24"/>
          <w:szCs w:val="24"/>
        </w:rPr>
        <w:t>.</w:t>
      </w:r>
      <w:r w:rsidR="00981588">
        <w:rPr>
          <w:sz w:val="24"/>
          <w:szCs w:val="24"/>
        </w:rPr>
        <w:t xml:space="preserve"> </w:t>
      </w:r>
      <w:r w:rsidR="005623DD">
        <w:rPr>
          <w:color w:val="000000"/>
          <w:sz w:val="24"/>
          <w:szCs w:val="24"/>
        </w:rPr>
        <w:t xml:space="preserve">We will conduct the </w:t>
      </w:r>
      <w:r w:rsidR="00505749">
        <w:rPr>
          <w:color w:val="000000"/>
          <w:sz w:val="24"/>
          <w:szCs w:val="24"/>
        </w:rPr>
        <w:t xml:space="preserve">interviews </w:t>
      </w:r>
      <w:r w:rsidR="00163AE9">
        <w:rPr>
          <w:color w:val="000000"/>
          <w:sz w:val="24"/>
          <w:szCs w:val="24"/>
        </w:rPr>
        <w:t xml:space="preserve">at </w:t>
      </w:r>
      <w:r w:rsidR="00505749">
        <w:rPr>
          <w:color w:val="000000"/>
          <w:sz w:val="24"/>
          <w:szCs w:val="24"/>
        </w:rPr>
        <w:t xml:space="preserve">the </w:t>
      </w:r>
      <w:r w:rsidR="00E978D1">
        <w:rPr>
          <w:color w:val="000000"/>
          <w:sz w:val="24"/>
          <w:szCs w:val="24"/>
        </w:rPr>
        <w:t>GQs</w:t>
      </w:r>
      <w:r w:rsidR="00505749">
        <w:rPr>
          <w:color w:val="000000"/>
          <w:sz w:val="24"/>
          <w:szCs w:val="24"/>
        </w:rPr>
        <w:t xml:space="preserve"> or </w:t>
      </w:r>
      <w:r w:rsidR="00E759D1">
        <w:rPr>
          <w:color w:val="000000"/>
          <w:sz w:val="24"/>
          <w:szCs w:val="24"/>
        </w:rPr>
        <w:t>at</w:t>
      </w:r>
      <w:r w:rsidR="00505749">
        <w:rPr>
          <w:color w:val="000000"/>
          <w:sz w:val="24"/>
          <w:szCs w:val="24"/>
        </w:rPr>
        <w:t xml:space="preserve"> </w:t>
      </w:r>
      <w:r w:rsidR="00163AE9">
        <w:rPr>
          <w:color w:val="000000"/>
          <w:sz w:val="24"/>
          <w:szCs w:val="24"/>
        </w:rPr>
        <w:t xml:space="preserve">separate </w:t>
      </w:r>
      <w:r w:rsidR="00505749">
        <w:rPr>
          <w:color w:val="000000"/>
          <w:sz w:val="24"/>
          <w:szCs w:val="24"/>
        </w:rPr>
        <w:t>administrative offices</w:t>
      </w:r>
      <w:r w:rsidR="00E759D1">
        <w:rPr>
          <w:color w:val="000000"/>
          <w:sz w:val="24"/>
          <w:szCs w:val="24"/>
        </w:rPr>
        <w:t xml:space="preserve"> that support the </w:t>
      </w:r>
      <w:r w:rsidR="00E978D1">
        <w:rPr>
          <w:color w:val="000000"/>
          <w:sz w:val="24"/>
          <w:szCs w:val="24"/>
        </w:rPr>
        <w:t>GQs</w:t>
      </w:r>
      <w:r w:rsidR="0035437D">
        <w:rPr>
          <w:color w:val="000000"/>
          <w:sz w:val="24"/>
          <w:szCs w:val="24"/>
        </w:rPr>
        <w:t>, depending on where the respondents work</w:t>
      </w:r>
      <w:r w:rsidR="005623DD">
        <w:rPr>
          <w:color w:val="000000"/>
          <w:sz w:val="24"/>
          <w:szCs w:val="24"/>
        </w:rPr>
        <w:t xml:space="preserve">. </w:t>
      </w:r>
      <w:r w:rsidR="00E30848">
        <w:rPr>
          <w:color w:val="000000"/>
          <w:sz w:val="24"/>
          <w:szCs w:val="24"/>
        </w:rPr>
        <w:t xml:space="preserve">We may also conduct a small number of interviews by telephone, such as in cases where respondents are not be able to meet in person during </w:t>
      </w:r>
      <w:r w:rsidR="00152CEE">
        <w:rPr>
          <w:color w:val="000000"/>
          <w:sz w:val="24"/>
          <w:szCs w:val="24"/>
        </w:rPr>
        <w:t>the research team’s</w:t>
      </w:r>
      <w:r w:rsidR="00E30848">
        <w:rPr>
          <w:color w:val="000000"/>
          <w:sz w:val="24"/>
          <w:szCs w:val="24"/>
        </w:rPr>
        <w:t xml:space="preserve"> trip to their area.</w:t>
      </w:r>
    </w:p>
    <w:p w14:paraId="438A7905" w14:textId="77777777" w:rsidR="00CB4A2A" w:rsidRDefault="004101A3" w:rsidP="00CB4A2A">
      <w:pPr>
        <w:rPr>
          <w:sz w:val="24"/>
          <w:szCs w:val="24"/>
        </w:rPr>
      </w:pPr>
      <w:r w:rsidRPr="007B08ED">
        <w:rPr>
          <w:b/>
          <w:color w:val="000000"/>
          <w:sz w:val="24"/>
          <w:szCs w:val="24"/>
        </w:rPr>
        <w:t>Sample</w:t>
      </w:r>
      <w:r w:rsidRPr="007B08ED">
        <w:rPr>
          <w:color w:val="000000"/>
          <w:sz w:val="24"/>
          <w:szCs w:val="24"/>
        </w:rPr>
        <w:t>:</w:t>
      </w:r>
      <w:r w:rsidR="00CB4A2A">
        <w:rPr>
          <w:color w:val="000000"/>
          <w:sz w:val="24"/>
          <w:szCs w:val="24"/>
        </w:rPr>
        <w:t xml:space="preserve"> </w:t>
      </w:r>
      <w:r w:rsidR="00E759D1">
        <w:rPr>
          <w:color w:val="000000"/>
          <w:sz w:val="24"/>
          <w:szCs w:val="24"/>
        </w:rPr>
        <w:t xml:space="preserve">We will select </w:t>
      </w:r>
      <w:r w:rsidR="00E978D1">
        <w:rPr>
          <w:color w:val="000000"/>
          <w:sz w:val="24"/>
          <w:szCs w:val="24"/>
        </w:rPr>
        <w:t>GQs</w:t>
      </w:r>
      <w:r w:rsidR="00E759D1">
        <w:rPr>
          <w:color w:val="000000"/>
          <w:sz w:val="24"/>
          <w:szCs w:val="24"/>
        </w:rPr>
        <w:t xml:space="preserve"> purposively to obtain a sample </w:t>
      </w:r>
      <w:r w:rsidR="00546D56">
        <w:rPr>
          <w:color w:val="000000"/>
          <w:sz w:val="24"/>
          <w:szCs w:val="24"/>
        </w:rPr>
        <w:t xml:space="preserve">that is diverse </w:t>
      </w:r>
      <w:r w:rsidR="00E759D1">
        <w:rPr>
          <w:color w:val="000000"/>
          <w:sz w:val="24"/>
          <w:szCs w:val="24"/>
        </w:rPr>
        <w:t>with regard to c</w:t>
      </w:r>
      <w:r w:rsidR="00CB4A2A">
        <w:rPr>
          <w:sz w:val="24"/>
          <w:szCs w:val="24"/>
        </w:rPr>
        <w:t xml:space="preserve">haracteristics </w:t>
      </w:r>
      <w:r w:rsidR="00E759D1">
        <w:rPr>
          <w:sz w:val="24"/>
          <w:szCs w:val="24"/>
        </w:rPr>
        <w:t>hypothesized to</w:t>
      </w:r>
      <w:r w:rsidR="00CB4A2A">
        <w:rPr>
          <w:sz w:val="24"/>
          <w:szCs w:val="24"/>
        </w:rPr>
        <w:t xml:space="preserve"> be related to differences in response preparation processes</w:t>
      </w:r>
      <w:r w:rsidR="00C10CE2">
        <w:rPr>
          <w:sz w:val="24"/>
          <w:szCs w:val="24"/>
        </w:rPr>
        <w:t xml:space="preserve"> and capabilities</w:t>
      </w:r>
      <w:r w:rsidR="00AB092E">
        <w:rPr>
          <w:sz w:val="24"/>
          <w:szCs w:val="24"/>
        </w:rPr>
        <w:t>, such as</w:t>
      </w:r>
      <w:r w:rsidR="00E759D1">
        <w:rPr>
          <w:sz w:val="24"/>
          <w:szCs w:val="24"/>
        </w:rPr>
        <w:t>:</w:t>
      </w:r>
    </w:p>
    <w:p w14:paraId="32519493" w14:textId="77777777" w:rsidR="00CB4A2A" w:rsidRDefault="00CB4A2A" w:rsidP="00CB4A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Type of facility (university housing, nursing home, correctional facility, etc.)</w:t>
      </w:r>
    </w:p>
    <w:p w14:paraId="7EBDAA7C" w14:textId="77777777" w:rsidR="00CB4A2A" w:rsidRPr="00686686" w:rsidRDefault="00C10CE2" w:rsidP="00CB4A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Type of o</w:t>
      </w:r>
      <w:r w:rsidR="00CB4A2A" w:rsidRPr="00686686">
        <w:rPr>
          <w:sz w:val="24"/>
          <w:szCs w:val="24"/>
        </w:rPr>
        <w:t>wnership (government, private, etc.)</w:t>
      </w:r>
    </w:p>
    <w:p w14:paraId="4D424424" w14:textId="124272C5" w:rsidR="00CB4A2A" w:rsidRPr="00686686" w:rsidRDefault="00CB4A2A" w:rsidP="00CB4A2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86686">
        <w:rPr>
          <w:sz w:val="24"/>
          <w:szCs w:val="24"/>
        </w:rPr>
        <w:t>Number of residents</w:t>
      </w:r>
      <w:r w:rsidR="00FD72C9">
        <w:rPr>
          <w:sz w:val="24"/>
          <w:szCs w:val="24"/>
        </w:rPr>
        <w:t xml:space="preserve"> enumerated</w:t>
      </w:r>
    </w:p>
    <w:p w14:paraId="023D04E7" w14:textId="77777777" w:rsidR="00686686" w:rsidRPr="00686686" w:rsidRDefault="00E759D1" w:rsidP="00686686">
      <w:pPr>
        <w:rPr>
          <w:sz w:val="24"/>
          <w:szCs w:val="24"/>
        </w:rPr>
      </w:pPr>
      <w:r>
        <w:rPr>
          <w:sz w:val="24"/>
          <w:szCs w:val="24"/>
        </w:rPr>
        <w:t>In addition, we will select cases with a variety of response outcomes related to data</w:t>
      </w:r>
      <w:r w:rsidR="00CE0966">
        <w:rPr>
          <w:sz w:val="24"/>
          <w:szCs w:val="24"/>
        </w:rPr>
        <w:t xml:space="preserve"> quality, such as:</w:t>
      </w:r>
    </w:p>
    <w:p w14:paraId="79F1D400" w14:textId="77777777" w:rsidR="00686686" w:rsidRPr="00686686" w:rsidRDefault="00686686" w:rsidP="0068668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86686">
        <w:rPr>
          <w:sz w:val="24"/>
          <w:szCs w:val="24"/>
        </w:rPr>
        <w:t>Cases with no apparent errors</w:t>
      </w:r>
    </w:p>
    <w:p w14:paraId="4D5F0C26" w14:textId="77777777" w:rsidR="00686686" w:rsidRPr="00686686" w:rsidRDefault="00686686" w:rsidP="0068668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86686">
        <w:rPr>
          <w:sz w:val="24"/>
          <w:szCs w:val="24"/>
        </w:rPr>
        <w:t>Cases with item nonresponse</w:t>
      </w:r>
    </w:p>
    <w:p w14:paraId="5261D9DB" w14:textId="77777777" w:rsidR="00686686" w:rsidRPr="00686686" w:rsidRDefault="00686686" w:rsidP="0068668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86686">
        <w:rPr>
          <w:sz w:val="24"/>
          <w:szCs w:val="24"/>
        </w:rPr>
        <w:t xml:space="preserve">Cases whose anticipated number of </w:t>
      </w:r>
      <w:r w:rsidR="00CE0966">
        <w:rPr>
          <w:sz w:val="24"/>
          <w:szCs w:val="24"/>
        </w:rPr>
        <w:t>residents</w:t>
      </w:r>
      <w:r w:rsidRPr="00686686">
        <w:rPr>
          <w:sz w:val="24"/>
          <w:szCs w:val="24"/>
        </w:rPr>
        <w:t xml:space="preserve"> enumerated is outside the expected range </w:t>
      </w:r>
    </w:p>
    <w:p w14:paraId="0EEF8E6A" w14:textId="77777777" w:rsidR="00CE0966" w:rsidRPr="00CE0966" w:rsidRDefault="00686686" w:rsidP="00CE096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86686">
        <w:rPr>
          <w:sz w:val="24"/>
          <w:szCs w:val="24"/>
        </w:rPr>
        <w:t xml:space="preserve">Cases that demonstrate other types of errors as determined by </w:t>
      </w:r>
      <w:r w:rsidR="00CE0966">
        <w:rPr>
          <w:sz w:val="24"/>
          <w:szCs w:val="24"/>
        </w:rPr>
        <w:t>subject matter experts</w:t>
      </w:r>
    </w:p>
    <w:p w14:paraId="1737228C" w14:textId="77777777" w:rsidR="00686686" w:rsidRDefault="00CE0966" w:rsidP="00CE0966">
      <w:pPr>
        <w:rPr>
          <w:sz w:val="24"/>
          <w:szCs w:val="24"/>
        </w:rPr>
      </w:pPr>
      <w:r>
        <w:rPr>
          <w:sz w:val="24"/>
          <w:szCs w:val="24"/>
        </w:rPr>
        <w:t xml:space="preserve">We will also </w:t>
      </w:r>
      <w:r w:rsidR="0035437D">
        <w:rPr>
          <w:sz w:val="24"/>
          <w:szCs w:val="24"/>
        </w:rPr>
        <w:t>identify</w:t>
      </w:r>
      <w:r>
        <w:rPr>
          <w:sz w:val="24"/>
          <w:szCs w:val="24"/>
        </w:rPr>
        <w:t xml:space="preserve"> </w:t>
      </w:r>
      <w:r w:rsidR="0035437D">
        <w:rPr>
          <w:sz w:val="24"/>
          <w:szCs w:val="24"/>
        </w:rPr>
        <w:t xml:space="preserve">a few </w:t>
      </w:r>
      <w:r w:rsidR="00E978D1">
        <w:rPr>
          <w:sz w:val="24"/>
          <w:szCs w:val="24"/>
        </w:rPr>
        <w:t>GQs</w:t>
      </w:r>
      <w:r>
        <w:rPr>
          <w:sz w:val="24"/>
          <w:szCs w:val="24"/>
        </w:rPr>
        <w:t xml:space="preserve"> who</w:t>
      </w:r>
      <w:r w:rsidR="0035437D">
        <w:rPr>
          <w:sz w:val="24"/>
          <w:szCs w:val="24"/>
        </w:rPr>
        <w:t>se respondents</w:t>
      </w:r>
      <w:r>
        <w:rPr>
          <w:sz w:val="24"/>
          <w:szCs w:val="24"/>
        </w:rPr>
        <w:t xml:space="preserve"> told the Census Bureau during an advance contact operation </w:t>
      </w:r>
      <w:r w:rsidR="00686686" w:rsidRPr="00CE0966">
        <w:rPr>
          <w:sz w:val="24"/>
          <w:szCs w:val="24"/>
        </w:rPr>
        <w:t xml:space="preserve">that they would report via eResponse but </w:t>
      </w:r>
      <w:r w:rsidR="0035437D">
        <w:rPr>
          <w:sz w:val="24"/>
          <w:szCs w:val="24"/>
        </w:rPr>
        <w:t xml:space="preserve">who </w:t>
      </w:r>
      <w:r w:rsidR="00686686" w:rsidRPr="00CE0966">
        <w:rPr>
          <w:sz w:val="24"/>
          <w:szCs w:val="24"/>
        </w:rPr>
        <w:t xml:space="preserve">did not </w:t>
      </w:r>
      <w:r w:rsidR="0035437D">
        <w:rPr>
          <w:sz w:val="24"/>
          <w:szCs w:val="24"/>
        </w:rPr>
        <w:t>respond via that option</w:t>
      </w:r>
      <w:r>
        <w:rPr>
          <w:sz w:val="24"/>
          <w:szCs w:val="24"/>
        </w:rPr>
        <w:t>, to identify</w:t>
      </w:r>
      <w:r w:rsidR="00321F97">
        <w:rPr>
          <w:sz w:val="24"/>
          <w:szCs w:val="24"/>
        </w:rPr>
        <w:t xml:space="preserve"> any</w:t>
      </w:r>
      <w:r w:rsidR="008F173D">
        <w:rPr>
          <w:sz w:val="24"/>
          <w:szCs w:val="24"/>
        </w:rPr>
        <w:t xml:space="preserve"> problems that </w:t>
      </w:r>
      <w:r w:rsidR="00321F97">
        <w:rPr>
          <w:sz w:val="24"/>
          <w:szCs w:val="24"/>
        </w:rPr>
        <w:t xml:space="preserve">may have </w:t>
      </w:r>
      <w:r w:rsidR="008F173D">
        <w:rPr>
          <w:sz w:val="24"/>
          <w:szCs w:val="24"/>
        </w:rPr>
        <w:t>prevented them from using the system.</w:t>
      </w:r>
    </w:p>
    <w:p w14:paraId="39350484" w14:textId="65AAC569" w:rsidR="008F173D" w:rsidRPr="008F173D" w:rsidRDefault="004101A3" w:rsidP="008F173D">
      <w:pPr>
        <w:rPr>
          <w:color w:val="000000"/>
          <w:sz w:val="24"/>
          <w:szCs w:val="24"/>
        </w:rPr>
      </w:pPr>
      <w:r w:rsidRPr="007B08ED">
        <w:rPr>
          <w:b/>
          <w:color w:val="000000"/>
          <w:sz w:val="24"/>
          <w:szCs w:val="24"/>
        </w:rPr>
        <w:t>Recruitment</w:t>
      </w:r>
      <w:r w:rsidRPr="007B08ED">
        <w:rPr>
          <w:color w:val="000000"/>
          <w:sz w:val="24"/>
          <w:szCs w:val="24"/>
        </w:rPr>
        <w:t>:</w:t>
      </w:r>
      <w:r w:rsidR="008F173D">
        <w:rPr>
          <w:color w:val="000000"/>
          <w:sz w:val="24"/>
          <w:szCs w:val="24"/>
        </w:rPr>
        <w:t xml:space="preserve"> </w:t>
      </w:r>
      <w:r w:rsidR="00321F97">
        <w:rPr>
          <w:color w:val="000000"/>
          <w:sz w:val="24"/>
          <w:szCs w:val="24"/>
        </w:rPr>
        <w:t>Once we have identified</w:t>
      </w:r>
      <w:r w:rsidR="008F173D" w:rsidRPr="008F173D">
        <w:rPr>
          <w:color w:val="000000"/>
          <w:sz w:val="24"/>
          <w:szCs w:val="24"/>
        </w:rPr>
        <w:t xml:space="preserve"> </w:t>
      </w:r>
      <w:r w:rsidR="00E978D1">
        <w:rPr>
          <w:color w:val="000000"/>
          <w:sz w:val="24"/>
          <w:szCs w:val="24"/>
        </w:rPr>
        <w:t>GQs</w:t>
      </w:r>
      <w:r w:rsidR="00163AE9">
        <w:rPr>
          <w:color w:val="000000"/>
          <w:sz w:val="24"/>
          <w:szCs w:val="24"/>
        </w:rPr>
        <w:t xml:space="preserve"> that meet our criteria</w:t>
      </w:r>
      <w:r w:rsidR="0048205D">
        <w:rPr>
          <w:color w:val="000000"/>
          <w:sz w:val="24"/>
          <w:szCs w:val="24"/>
        </w:rPr>
        <w:t>,</w:t>
      </w:r>
      <w:r w:rsidR="008F173D" w:rsidRPr="008F173D">
        <w:rPr>
          <w:color w:val="000000"/>
          <w:sz w:val="24"/>
          <w:szCs w:val="24"/>
        </w:rPr>
        <w:t xml:space="preserve"> </w:t>
      </w:r>
      <w:r w:rsidR="00321F97">
        <w:rPr>
          <w:color w:val="000000"/>
          <w:sz w:val="24"/>
          <w:szCs w:val="24"/>
        </w:rPr>
        <w:t xml:space="preserve">we will attempt to </w:t>
      </w:r>
      <w:r w:rsidR="00C10CE2">
        <w:rPr>
          <w:color w:val="000000"/>
          <w:sz w:val="24"/>
          <w:szCs w:val="24"/>
        </w:rPr>
        <w:t xml:space="preserve">contact their respondents </w:t>
      </w:r>
      <w:r w:rsidR="008F173D">
        <w:rPr>
          <w:color w:val="000000"/>
          <w:sz w:val="24"/>
          <w:szCs w:val="24"/>
        </w:rPr>
        <w:t>by</w:t>
      </w:r>
      <w:r w:rsidR="008F173D" w:rsidRPr="008F173D">
        <w:rPr>
          <w:color w:val="000000"/>
          <w:sz w:val="24"/>
          <w:szCs w:val="24"/>
        </w:rPr>
        <w:t xml:space="preserve"> </w:t>
      </w:r>
      <w:r w:rsidR="008F173D">
        <w:rPr>
          <w:color w:val="000000"/>
          <w:sz w:val="24"/>
          <w:szCs w:val="24"/>
        </w:rPr>
        <w:t>tele</w:t>
      </w:r>
      <w:r w:rsidR="008F173D" w:rsidRPr="008F173D">
        <w:rPr>
          <w:color w:val="000000"/>
          <w:sz w:val="24"/>
          <w:szCs w:val="24"/>
        </w:rPr>
        <w:t>phone, explain the nature of our research, ask the</w:t>
      </w:r>
      <w:r w:rsidR="00321F97">
        <w:rPr>
          <w:color w:val="000000"/>
          <w:sz w:val="24"/>
          <w:szCs w:val="24"/>
        </w:rPr>
        <w:t>m to participate in our study</w:t>
      </w:r>
      <w:r w:rsidR="00AE057C">
        <w:rPr>
          <w:color w:val="000000"/>
          <w:sz w:val="24"/>
          <w:szCs w:val="24"/>
        </w:rPr>
        <w:t>,</w:t>
      </w:r>
      <w:r w:rsidR="00AE057C" w:rsidRPr="00AE057C">
        <w:rPr>
          <w:color w:val="000000"/>
          <w:sz w:val="24"/>
          <w:szCs w:val="24"/>
        </w:rPr>
        <w:t xml:space="preserve"> </w:t>
      </w:r>
      <w:r w:rsidR="00AE057C" w:rsidRPr="008F173D">
        <w:rPr>
          <w:color w:val="000000"/>
          <w:sz w:val="24"/>
          <w:szCs w:val="24"/>
        </w:rPr>
        <w:t>and</w:t>
      </w:r>
      <w:r w:rsidR="00AE057C">
        <w:rPr>
          <w:color w:val="000000"/>
          <w:sz w:val="24"/>
          <w:szCs w:val="24"/>
        </w:rPr>
        <w:t xml:space="preserve"> attempt to schedule an appointment to visit their work place</w:t>
      </w:r>
      <w:r w:rsidR="00321F97">
        <w:rPr>
          <w:color w:val="000000"/>
          <w:sz w:val="24"/>
          <w:szCs w:val="24"/>
        </w:rPr>
        <w:t xml:space="preserve">. </w:t>
      </w:r>
      <w:r w:rsidR="008F173D" w:rsidRPr="008F173D">
        <w:rPr>
          <w:color w:val="000000"/>
          <w:sz w:val="24"/>
          <w:szCs w:val="24"/>
        </w:rPr>
        <w:t>T</w:t>
      </w:r>
      <w:r w:rsidR="00592E15">
        <w:rPr>
          <w:color w:val="000000"/>
          <w:sz w:val="24"/>
          <w:szCs w:val="24"/>
        </w:rPr>
        <w:t>hus t</w:t>
      </w:r>
      <w:r w:rsidR="008F173D" w:rsidRPr="008F173D">
        <w:rPr>
          <w:color w:val="000000"/>
          <w:sz w:val="24"/>
          <w:szCs w:val="24"/>
        </w:rPr>
        <w:t>he sample of participants will be th</w:t>
      </w:r>
      <w:r w:rsidR="00152CEE">
        <w:rPr>
          <w:color w:val="000000"/>
          <w:sz w:val="24"/>
          <w:szCs w:val="24"/>
        </w:rPr>
        <w:t>e subset of selected respondents</w:t>
      </w:r>
      <w:r w:rsidR="008F173D" w:rsidRPr="008F173D">
        <w:rPr>
          <w:color w:val="000000"/>
          <w:sz w:val="24"/>
          <w:szCs w:val="24"/>
        </w:rPr>
        <w:t xml:space="preserve"> who</w:t>
      </w:r>
      <w:r w:rsidR="00321F97">
        <w:rPr>
          <w:color w:val="000000"/>
          <w:sz w:val="24"/>
          <w:szCs w:val="24"/>
        </w:rPr>
        <w:t>m we</w:t>
      </w:r>
      <w:r w:rsidR="008F173D" w:rsidRPr="008F173D">
        <w:rPr>
          <w:color w:val="000000"/>
          <w:sz w:val="24"/>
          <w:szCs w:val="24"/>
        </w:rPr>
        <w:t xml:space="preserve"> are able to </w:t>
      </w:r>
      <w:r w:rsidR="00321F97">
        <w:rPr>
          <w:color w:val="000000"/>
          <w:sz w:val="24"/>
          <w:szCs w:val="24"/>
        </w:rPr>
        <w:t>contact</w:t>
      </w:r>
      <w:r w:rsidR="008F173D" w:rsidRPr="008F173D">
        <w:rPr>
          <w:color w:val="000000"/>
          <w:sz w:val="24"/>
          <w:szCs w:val="24"/>
        </w:rPr>
        <w:t xml:space="preserve"> and who agree to participate in the study.  </w:t>
      </w:r>
      <w:r w:rsidR="00C10CE2">
        <w:rPr>
          <w:color w:val="000000"/>
          <w:sz w:val="24"/>
          <w:szCs w:val="24"/>
        </w:rPr>
        <w:t>W</w:t>
      </w:r>
      <w:r w:rsidR="0048205D">
        <w:rPr>
          <w:color w:val="000000"/>
          <w:sz w:val="24"/>
          <w:szCs w:val="24"/>
        </w:rPr>
        <w:t>hen interview</w:t>
      </w:r>
      <w:r w:rsidR="008F173D" w:rsidRPr="008F173D">
        <w:rPr>
          <w:color w:val="000000"/>
          <w:sz w:val="24"/>
          <w:szCs w:val="24"/>
        </w:rPr>
        <w:t xml:space="preserve">s </w:t>
      </w:r>
      <w:r w:rsidR="0048205D">
        <w:rPr>
          <w:color w:val="000000"/>
          <w:sz w:val="24"/>
          <w:szCs w:val="24"/>
        </w:rPr>
        <w:t xml:space="preserve">are </w:t>
      </w:r>
      <w:r w:rsidR="008F173D" w:rsidRPr="008F173D">
        <w:rPr>
          <w:color w:val="000000"/>
          <w:sz w:val="24"/>
          <w:szCs w:val="24"/>
        </w:rPr>
        <w:t>scheduled, respondents will receive a confirmation email</w:t>
      </w:r>
      <w:r w:rsidR="0048205D">
        <w:rPr>
          <w:color w:val="000000"/>
          <w:sz w:val="24"/>
          <w:szCs w:val="24"/>
        </w:rPr>
        <w:t xml:space="preserve">, and may receive </w:t>
      </w:r>
      <w:r w:rsidR="008F173D" w:rsidRPr="008F173D">
        <w:rPr>
          <w:color w:val="000000"/>
          <w:sz w:val="24"/>
          <w:szCs w:val="24"/>
        </w:rPr>
        <w:t xml:space="preserve">a reminder email or phone call prior to the interview.  </w:t>
      </w:r>
    </w:p>
    <w:p w14:paraId="41FB0383" w14:textId="5DAC8D1D" w:rsidR="00163AE9" w:rsidRPr="000B06C4" w:rsidRDefault="004101A3" w:rsidP="00BF62C7">
      <w:pPr>
        <w:rPr>
          <w:sz w:val="24"/>
          <w:szCs w:val="24"/>
        </w:rPr>
      </w:pPr>
      <w:r w:rsidRPr="007B08ED">
        <w:rPr>
          <w:b/>
          <w:color w:val="000000"/>
          <w:sz w:val="24"/>
          <w:szCs w:val="24"/>
        </w:rPr>
        <w:lastRenderedPageBreak/>
        <w:t>Protocol:</w:t>
      </w:r>
      <w:r w:rsidR="009127D0">
        <w:rPr>
          <w:b/>
          <w:color w:val="000000"/>
          <w:sz w:val="24"/>
          <w:szCs w:val="24"/>
        </w:rPr>
        <w:t xml:space="preserve"> </w:t>
      </w:r>
      <w:r w:rsidR="009127D0">
        <w:rPr>
          <w:color w:val="000000"/>
          <w:sz w:val="24"/>
          <w:szCs w:val="24"/>
        </w:rPr>
        <w:t xml:space="preserve">We will conduct respondent debriefings in which the goals </w:t>
      </w:r>
      <w:r w:rsidR="00E30848">
        <w:rPr>
          <w:color w:val="000000"/>
          <w:sz w:val="24"/>
          <w:szCs w:val="24"/>
        </w:rPr>
        <w:t>are to obtain, as much as possible, factual information about respondents’ experiences with using eResponse</w:t>
      </w:r>
      <w:r w:rsidR="00790935">
        <w:rPr>
          <w:color w:val="000000"/>
          <w:sz w:val="24"/>
          <w:szCs w:val="24"/>
        </w:rPr>
        <w:t>, as well as their opinions and suggestions for improving the system.</w:t>
      </w:r>
      <w:r w:rsidR="006C773B">
        <w:rPr>
          <w:color w:val="000000"/>
          <w:sz w:val="24"/>
          <w:szCs w:val="24"/>
        </w:rPr>
        <w:t xml:space="preserve"> We will ask respondents to describe the steps they followed in using the system, retrieving requested data, entering data into and uploading the reporting template, etc. </w:t>
      </w:r>
      <w:r w:rsidR="00070F0E">
        <w:rPr>
          <w:color w:val="000000"/>
          <w:sz w:val="24"/>
          <w:szCs w:val="24"/>
        </w:rPr>
        <w:t>To identify potential areas for improvement, w</w:t>
      </w:r>
      <w:r w:rsidR="00F7270A">
        <w:rPr>
          <w:color w:val="000000"/>
          <w:sz w:val="24"/>
          <w:szCs w:val="24"/>
        </w:rPr>
        <w:t xml:space="preserve">e will attempt to evaluate how well the various features of the system worked for respondents. </w:t>
      </w:r>
      <w:r w:rsidR="006C773B">
        <w:rPr>
          <w:color w:val="000000"/>
          <w:sz w:val="24"/>
          <w:szCs w:val="24"/>
        </w:rPr>
        <w:t xml:space="preserve">We will also ask about </w:t>
      </w:r>
      <w:r w:rsidR="00BF62C7">
        <w:rPr>
          <w:color w:val="000000"/>
          <w:sz w:val="24"/>
          <w:szCs w:val="24"/>
        </w:rPr>
        <w:t xml:space="preserve">the nature of </w:t>
      </w:r>
      <w:r w:rsidR="006C773B">
        <w:rPr>
          <w:color w:val="000000"/>
          <w:sz w:val="24"/>
          <w:szCs w:val="24"/>
        </w:rPr>
        <w:t xml:space="preserve">their electronic records related to the enumeration (structure, naming conventions, etc.) and about the purposes and uses of </w:t>
      </w:r>
      <w:r w:rsidR="00BF62C7">
        <w:rPr>
          <w:color w:val="000000"/>
          <w:sz w:val="24"/>
          <w:szCs w:val="24"/>
        </w:rPr>
        <w:t>such</w:t>
      </w:r>
      <w:r w:rsidR="006C773B">
        <w:rPr>
          <w:color w:val="000000"/>
          <w:sz w:val="24"/>
          <w:szCs w:val="24"/>
        </w:rPr>
        <w:t xml:space="preserve"> records</w:t>
      </w:r>
      <w:r w:rsidR="00F7270A">
        <w:rPr>
          <w:color w:val="000000"/>
          <w:sz w:val="24"/>
          <w:szCs w:val="24"/>
        </w:rPr>
        <w:t xml:space="preserve">, to </w:t>
      </w:r>
      <w:r w:rsidR="00BF2986">
        <w:rPr>
          <w:color w:val="000000"/>
          <w:sz w:val="24"/>
          <w:szCs w:val="24"/>
        </w:rPr>
        <w:t>evaluate how well the required</w:t>
      </w:r>
      <w:r w:rsidR="00C61F5C">
        <w:rPr>
          <w:color w:val="000000"/>
          <w:sz w:val="24"/>
          <w:szCs w:val="24"/>
        </w:rPr>
        <w:t xml:space="preserve"> data format corresponds to GQ records</w:t>
      </w:r>
      <w:r w:rsidR="00BF2986">
        <w:rPr>
          <w:color w:val="000000"/>
          <w:sz w:val="24"/>
          <w:szCs w:val="24"/>
        </w:rPr>
        <w:t xml:space="preserve"> and investigate possibilities for better aligning </w:t>
      </w:r>
      <w:r w:rsidR="00070F0E">
        <w:rPr>
          <w:color w:val="000000"/>
          <w:sz w:val="24"/>
          <w:szCs w:val="24"/>
        </w:rPr>
        <w:t>the information</w:t>
      </w:r>
      <w:r w:rsidR="00BF2986">
        <w:rPr>
          <w:color w:val="000000"/>
          <w:sz w:val="24"/>
          <w:szCs w:val="24"/>
        </w:rPr>
        <w:t xml:space="preserve"> request with their records</w:t>
      </w:r>
      <w:r w:rsidR="006C773B">
        <w:rPr>
          <w:color w:val="000000"/>
          <w:sz w:val="24"/>
          <w:szCs w:val="24"/>
        </w:rPr>
        <w:t>.</w:t>
      </w:r>
      <w:r w:rsidR="00BF62C7">
        <w:rPr>
          <w:color w:val="000000"/>
          <w:sz w:val="24"/>
          <w:szCs w:val="24"/>
        </w:rPr>
        <w:t xml:space="preserve"> The protocol to be used in this study </w:t>
      </w:r>
      <w:r w:rsidR="00DA5909">
        <w:rPr>
          <w:color w:val="000000"/>
          <w:sz w:val="24"/>
          <w:szCs w:val="24"/>
        </w:rPr>
        <w:t>is included as an attachment (</w:t>
      </w:r>
      <w:r w:rsidR="00DA5909" w:rsidRPr="001711D7">
        <w:rPr>
          <w:color w:val="000000"/>
          <w:sz w:val="24"/>
          <w:szCs w:val="24"/>
        </w:rPr>
        <w:t>see Enclosure 1</w:t>
      </w:r>
      <w:r w:rsidR="00DA5909">
        <w:rPr>
          <w:color w:val="000000"/>
          <w:sz w:val="24"/>
          <w:szCs w:val="24"/>
        </w:rPr>
        <w:t>).</w:t>
      </w:r>
      <w:r w:rsidR="00BF62C7">
        <w:rPr>
          <w:color w:val="000000"/>
          <w:sz w:val="24"/>
          <w:szCs w:val="24"/>
        </w:rPr>
        <w:t xml:space="preserve"> </w:t>
      </w:r>
    </w:p>
    <w:p w14:paraId="55C27DF9" w14:textId="59D83520" w:rsidR="004101A3" w:rsidRPr="001B7A2D" w:rsidRDefault="004101A3" w:rsidP="001B7A2D">
      <w:pPr>
        <w:pStyle w:val="NormalWeb"/>
        <w:shd w:val="clear" w:color="auto" w:fill="FFFFFF"/>
        <w:spacing w:before="0" w:beforeAutospacing="0" w:after="160" w:afterAutospacing="0" w:line="259" w:lineRule="auto"/>
        <w:rPr>
          <w:rFonts w:asciiTheme="minorHAnsi" w:hAnsiTheme="minorHAnsi"/>
          <w:b/>
          <w:color w:val="000000"/>
        </w:rPr>
      </w:pPr>
      <w:r w:rsidRPr="007B08ED">
        <w:rPr>
          <w:rFonts w:asciiTheme="minorHAnsi" w:hAnsiTheme="minorHAnsi"/>
          <w:b/>
          <w:color w:val="000000"/>
        </w:rPr>
        <w:t>Consent:</w:t>
      </w:r>
      <w:r w:rsidR="00163AE9" w:rsidRPr="00163AE9">
        <w:rPr>
          <w:color w:val="000000"/>
        </w:rPr>
        <w:t xml:space="preserve"> </w:t>
      </w:r>
      <w:r w:rsidR="00163AE9" w:rsidRPr="007156A3">
        <w:rPr>
          <w:rFonts w:asciiTheme="minorHAnsi" w:hAnsiTheme="minorHAnsi"/>
          <w:color w:val="000000"/>
        </w:rPr>
        <w:t xml:space="preserve">We will inform participants that their response </w:t>
      </w:r>
      <w:r w:rsidR="00070F0E">
        <w:rPr>
          <w:rFonts w:asciiTheme="minorHAnsi" w:hAnsiTheme="minorHAnsi"/>
          <w:color w:val="000000"/>
        </w:rPr>
        <w:t xml:space="preserve">to the debriefing </w:t>
      </w:r>
      <w:r w:rsidR="00163AE9" w:rsidRPr="007156A3">
        <w:rPr>
          <w:rFonts w:asciiTheme="minorHAnsi" w:hAnsiTheme="minorHAnsi"/>
          <w:color w:val="000000"/>
        </w:rPr>
        <w:t xml:space="preserve">is voluntary and that the information they provide is confidential and will be </w:t>
      </w:r>
      <w:r w:rsidR="00163AE9">
        <w:rPr>
          <w:rFonts w:asciiTheme="minorHAnsi" w:hAnsiTheme="minorHAnsi"/>
          <w:color w:val="000000"/>
        </w:rPr>
        <w:t>accessible</w:t>
      </w:r>
      <w:r w:rsidR="00163AE9" w:rsidRPr="007156A3">
        <w:rPr>
          <w:rFonts w:asciiTheme="minorHAnsi" w:hAnsiTheme="minorHAnsi"/>
          <w:color w:val="000000"/>
        </w:rPr>
        <w:t xml:space="preserve"> only by employees involved in the research project. The consent form will also indicate that the respondent agrees that the interview can be audio-taped to facilitate analysis of the results (see </w:t>
      </w:r>
      <w:r w:rsidR="00163AE9" w:rsidRPr="001711D7">
        <w:rPr>
          <w:rFonts w:asciiTheme="minorHAnsi" w:hAnsiTheme="minorHAnsi"/>
          <w:color w:val="000000"/>
        </w:rPr>
        <w:t xml:space="preserve">Enclosure </w:t>
      </w:r>
      <w:r w:rsidR="00923058">
        <w:rPr>
          <w:rFonts w:asciiTheme="minorHAnsi" w:hAnsiTheme="minorHAnsi"/>
          <w:color w:val="000000"/>
        </w:rPr>
        <w:t>6</w:t>
      </w:r>
      <w:r w:rsidR="00163AE9" w:rsidRPr="007156A3">
        <w:rPr>
          <w:rFonts w:asciiTheme="minorHAnsi" w:hAnsiTheme="minorHAnsi"/>
          <w:color w:val="000000"/>
        </w:rPr>
        <w:t xml:space="preserve">). Participants who do not consent to be audio-taped will still be allowed to participate.  </w:t>
      </w:r>
    </w:p>
    <w:p w14:paraId="21679AF1" w14:textId="77777777" w:rsidR="004101A3" w:rsidRPr="007B08ED" w:rsidRDefault="004101A3" w:rsidP="004101A3">
      <w:pPr>
        <w:rPr>
          <w:color w:val="000000"/>
          <w:sz w:val="24"/>
          <w:szCs w:val="24"/>
        </w:rPr>
      </w:pPr>
      <w:r w:rsidRPr="007B08ED">
        <w:rPr>
          <w:b/>
          <w:color w:val="000000"/>
          <w:sz w:val="24"/>
          <w:szCs w:val="24"/>
        </w:rPr>
        <w:t>Use of Incentive</w:t>
      </w:r>
      <w:r w:rsidRPr="007B08ED">
        <w:rPr>
          <w:color w:val="000000"/>
          <w:sz w:val="24"/>
          <w:szCs w:val="24"/>
        </w:rPr>
        <w:t>:</w:t>
      </w:r>
      <w:r w:rsidR="00B25B64">
        <w:rPr>
          <w:color w:val="000000"/>
          <w:sz w:val="24"/>
          <w:szCs w:val="24"/>
        </w:rPr>
        <w:t xml:space="preserve"> </w:t>
      </w:r>
      <w:r w:rsidR="00321F97" w:rsidRPr="008F173D">
        <w:rPr>
          <w:color w:val="000000"/>
          <w:sz w:val="24"/>
          <w:szCs w:val="24"/>
        </w:rPr>
        <w:t>We will not be providing monetary incentives to participants in thi</w:t>
      </w:r>
      <w:r w:rsidR="00321F97">
        <w:rPr>
          <w:color w:val="000000"/>
          <w:sz w:val="24"/>
          <w:szCs w:val="24"/>
        </w:rPr>
        <w:t>s study.</w:t>
      </w:r>
    </w:p>
    <w:p w14:paraId="1EAFCF18" w14:textId="77777777" w:rsidR="007B08ED" w:rsidRPr="007B08ED" w:rsidRDefault="004101A3" w:rsidP="007B08ED">
      <w:pPr>
        <w:rPr>
          <w:color w:val="000000"/>
          <w:sz w:val="24"/>
          <w:szCs w:val="24"/>
        </w:rPr>
      </w:pPr>
      <w:r w:rsidRPr="007B08ED">
        <w:rPr>
          <w:b/>
          <w:color w:val="000000"/>
          <w:sz w:val="24"/>
          <w:szCs w:val="24"/>
        </w:rPr>
        <w:t>Enclosures:</w:t>
      </w:r>
      <w:r w:rsidR="007B08ED" w:rsidRPr="007B08ED">
        <w:rPr>
          <w:b/>
          <w:color w:val="000000"/>
          <w:sz w:val="24"/>
          <w:szCs w:val="24"/>
        </w:rPr>
        <w:t xml:space="preserve"> </w:t>
      </w:r>
      <w:r w:rsidR="007B08ED" w:rsidRPr="007B08ED">
        <w:rPr>
          <w:sz w:val="24"/>
          <w:szCs w:val="24"/>
        </w:rPr>
        <w:t xml:space="preserve">The materials to be used in this study are enclosed with this letter and include: </w:t>
      </w:r>
    </w:p>
    <w:p w14:paraId="59A88064" w14:textId="77777777" w:rsidR="007B08ED" w:rsidRPr="007B08ED" w:rsidRDefault="007B08ED" w:rsidP="007B08ED">
      <w:pPr>
        <w:shd w:val="clear" w:color="auto" w:fill="FFFFFF"/>
        <w:ind w:firstLine="360"/>
        <w:contextualSpacing/>
        <w:rPr>
          <w:rFonts w:cs="Arial"/>
          <w:color w:val="000000"/>
          <w:sz w:val="24"/>
          <w:szCs w:val="24"/>
        </w:rPr>
      </w:pPr>
      <w:r w:rsidRPr="007B08ED">
        <w:rPr>
          <w:rFonts w:cs="Arial"/>
          <w:color w:val="000000"/>
          <w:sz w:val="24"/>
          <w:szCs w:val="24"/>
        </w:rPr>
        <w:t>Enclosure 1 – Cognitive Interview Protocol</w:t>
      </w:r>
    </w:p>
    <w:p w14:paraId="305270C5" w14:textId="77777777" w:rsidR="007B08ED" w:rsidRPr="007B08ED" w:rsidRDefault="007B08ED" w:rsidP="007B08ED">
      <w:pPr>
        <w:shd w:val="clear" w:color="auto" w:fill="FFFFFF"/>
        <w:ind w:left="360"/>
        <w:contextualSpacing/>
        <w:rPr>
          <w:rFonts w:cs="Arial"/>
          <w:color w:val="000000"/>
          <w:sz w:val="24"/>
          <w:szCs w:val="24"/>
        </w:rPr>
      </w:pPr>
      <w:r w:rsidRPr="007B08ED">
        <w:rPr>
          <w:rFonts w:cs="Arial"/>
          <w:color w:val="000000"/>
          <w:sz w:val="24"/>
          <w:szCs w:val="24"/>
        </w:rPr>
        <w:t xml:space="preserve">Enclosure 2 – </w:t>
      </w:r>
      <w:r w:rsidR="00AB092E">
        <w:rPr>
          <w:rFonts w:cs="Arial"/>
          <w:color w:val="000000"/>
          <w:sz w:val="24"/>
          <w:szCs w:val="24"/>
        </w:rPr>
        <w:t>eResponse online instrument screenshots</w:t>
      </w:r>
    </w:p>
    <w:p w14:paraId="65BCF361" w14:textId="77777777" w:rsidR="007B08ED" w:rsidRDefault="00592E15" w:rsidP="007B08ED">
      <w:pPr>
        <w:shd w:val="clear" w:color="auto" w:fill="FFFFFF"/>
        <w:ind w:left="360"/>
        <w:contextualSpacing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Enclosure</w:t>
      </w:r>
      <w:r w:rsidR="00AB092E">
        <w:rPr>
          <w:rFonts w:cs="Arial"/>
          <w:color w:val="000000"/>
          <w:sz w:val="24"/>
          <w:szCs w:val="24"/>
        </w:rPr>
        <w:t xml:space="preserve"> 3</w:t>
      </w:r>
      <w:r w:rsidR="007B08ED" w:rsidRPr="007B08ED">
        <w:rPr>
          <w:rFonts w:cs="Arial"/>
          <w:color w:val="000000"/>
          <w:sz w:val="24"/>
          <w:szCs w:val="24"/>
        </w:rPr>
        <w:t xml:space="preserve"> – </w:t>
      </w:r>
      <w:r w:rsidR="00AB092E">
        <w:rPr>
          <w:rFonts w:cs="Arial"/>
          <w:color w:val="000000"/>
          <w:sz w:val="24"/>
          <w:szCs w:val="24"/>
        </w:rPr>
        <w:t xml:space="preserve">eResponse </w:t>
      </w:r>
      <w:r w:rsidR="007209B5">
        <w:rPr>
          <w:rFonts w:cs="Arial"/>
          <w:color w:val="000000"/>
          <w:sz w:val="24"/>
          <w:szCs w:val="24"/>
        </w:rPr>
        <w:t xml:space="preserve">spreadsheet </w:t>
      </w:r>
      <w:r w:rsidR="00AB092E">
        <w:rPr>
          <w:rFonts w:cs="Arial"/>
          <w:color w:val="000000"/>
          <w:sz w:val="24"/>
          <w:szCs w:val="24"/>
        </w:rPr>
        <w:t>reporting template</w:t>
      </w:r>
    </w:p>
    <w:p w14:paraId="1CD1CAD3" w14:textId="6B9E05D9" w:rsidR="00F164B7" w:rsidRPr="007B08ED" w:rsidRDefault="00F164B7" w:rsidP="007B08ED">
      <w:pPr>
        <w:shd w:val="clear" w:color="auto" w:fill="FFFFFF"/>
        <w:ind w:left="360"/>
        <w:contextualSpacing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Enclosure 4 – 2018 Census Test </w:t>
      </w:r>
      <w:r w:rsidR="00923058">
        <w:rPr>
          <w:rFonts w:cs="Arial"/>
          <w:color w:val="000000"/>
          <w:sz w:val="24"/>
          <w:szCs w:val="24"/>
        </w:rPr>
        <w:t xml:space="preserve">GQE </w:t>
      </w:r>
      <w:r>
        <w:rPr>
          <w:rFonts w:cs="Arial"/>
          <w:color w:val="000000"/>
          <w:sz w:val="24"/>
          <w:szCs w:val="24"/>
        </w:rPr>
        <w:t>invitation</w:t>
      </w:r>
    </w:p>
    <w:p w14:paraId="54D6357C" w14:textId="4DF93B8B" w:rsidR="00A543C3" w:rsidRDefault="00A543C3" w:rsidP="00B25B64">
      <w:pPr>
        <w:shd w:val="clear" w:color="auto" w:fill="FFFFFF"/>
        <w:ind w:left="360"/>
        <w:contextualSpacing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Enclosure 5 – </w:t>
      </w:r>
      <w:r w:rsidRPr="00A543C3">
        <w:rPr>
          <w:rFonts w:cs="Arial"/>
          <w:color w:val="000000"/>
          <w:sz w:val="24"/>
          <w:szCs w:val="24"/>
        </w:rPr>
        <w:t>eResponse User Guide</w:t>
      </w:r>
    </w:p>
    <w:p w14:paraId="375EBA6C" w14:textId="007251FC" w:rsidR="004101A3" w:rsidRPr="00B25B64" w:rsidRDefault="00A543C3" w:rsidP="00B25B64">
      <w:pPr>
        <w:shd w:val="clear" w:color="auto" w:fill="FFFFFF"/>
        <w:ind w:left="3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Enclosure 6</w:t>
      </w:r>
      <w:r w:rsidR="007B08ED" w:rsidRPr="007B08ED">
        <w:rPr>
          <w:rFonts w:cs="Arial"/>
          <w:color w:val="000000"/>
          <w:sz w:val="24"/>
          <w:szCs w:val="24"/>
        </w:rPr>
        <w:t xml:space="preserve"> – Consent Form</w:t>
      </w:r>
    </w:p>
    <w:p w14:paraId="48229CCC" w14:textId="7178425A" w:rsidR="004101A3" w:rsidRDefault="004101A3" w:rsidP="004101A3">
      <w:pPr>
        <w:rPr>
          <w:b/>
          <w:sz w:val="24"/>
          <w:szCs w:val="24"/>
        </w:rPr>
      </w:pPr>
      <w:r w:rsidRPr="007B08ED">
        <w:rPr>
          <w:b/>
          <w:color w:val="000000"/>
          <w:sz w:val="24"/>
          <w:szCs w:val="24"/>
        </w:rPr>
        <w:t>Length of interview</w:t>
      </w:r>
      <w:r w:rsidRPr="007B08ED">
        <w:rPr>
          <w:color w:val="000000"/>
          <w:sz w:val="24"/>
          <w:szCs w:val="24"/>
        </w:rPr>
        <w:t>:</w:t>
      </w:r>
      <w:r w:rsidR="00B25B64">
        <w:rPr>
          <w:color w:val="000000"/>
          <w:sz w:val="24"/>
          <w:szCs w:val="24"/>
        </w:rPr>
        <w:t xml:space="preserve"> We expect the interviews to last </w:t>
      </w:r>
      <w:r w:rsidR="00A543C3">
        <w:rPr>
          <w:color w:val="000000"/>
          <w:sz w:val="24"/>
          <w:szCs w:val="24"/>
        </w:rPr>
        <w:t>up to</w:t>
      </w:r>
      <w:r w:rsidR="00C53140">
        <w:rPr>
          <w:color w:val="000000"/>
          <w:sz w:val="24"/>
          <w:szCs w:val="24"/>
        </w:rPr>
        <w:t xml:space="preserve"> </w:t>
      </w:r>
      <w:r w:rsidR="00A543C3">
        <w:rPr>
          <w:color w:val="000000"/>
          <w:sz w:val="24"/>
          <w:szCs w:val="24"/>
        </w:rPr>
        <w:t>two</w:t>
      </w:r>
      <w:r w:rsidR="00C53140">
        <w:rPr>
          <w:color w:val="000000"/>
          <w:sz w:val="24"/>
          <w:szCs w:val="24"/>
        </w:rPr>
        <w:t xml:space="preserve"> hour</w:t>
      </w:r>
      <w:r w:rsidR="00A543C3">
        <w:rPr>
          <w:color w:val="000000"/>
          <w:sz w:val="24"/>
          <w:szCs w:val="24"/>
        </w:rPr>
        <w:t>s</w:t>
      </w:r>
      <w:r w:rsidR="00C53140">
        <w:rPr>
          <w:color w:val="000000"/>
          <w:sz w:val="24"/>
          <w:szCs w:val="24"/>
        </w:rPr>
        <w:t>, and w</w:t>
      </w:r>
      <w:r w:rsidR="00C10CE2">
        <w:rPr>
          <w:sz w:val="24"/>
          <w:szCs w:val="24"/>
        </w:rPr>
        <w:t>e expect to interview two respondents from each GQ on average.</w:t>
      </w:r>
      <w:r w:rsidR="00C53140">
        <w:rPr>
          <w:sz w:val="24"/>
          <w:szCs w:val="24"/>
        </w:rPr>
        <w:t xml:space="preserve"> We expect to contact </w:t>
      </w:r>
      <w:r w:rsidR="00170972">
        <w:rPr>
          <w:sz w:val="24"/>
          <w:szCs w:val="24"/>
        </w:rPr>
        <w:t xml:space="preserve">staff persons at up to 40 </w:t>
      </w:r>
      <w:r w:rsidR="00E978D1">
        <w:rPr>
          <w:sz w:val="24"/>
          <w:szCs w:val="24"/>
        </w:rPr>
        <w:t>GQs</w:t>
      </w:r>
      <w:r w:rsidR="00170972">
        <w:rPr>
          <w:sz w:val="24"/>
          <w:szCs w:val="24"/>
        </w:rPr>
        <w:t xml:space="preserve"> in order to find 20 who are willing to participate in the interviews</w:t>
      </w:r>
      <w:r w:rsidR="009C160D">
        <w:rPr>
          <w:sz w:val="24"/>
          <w:szCs w:val="24"/>
        </w:rPr>
        <w:t xml:space="preserve">, and we expect to spend up to 5 minutes </w:t>
      </w:r>
      <w:r w:rsidR="00592E15">
        <w:rPr>
          <w:sz w:val="24"/>
          <w:szCs w:val="24"/>
        </w:rPr>
        <w:t>on</w:t>
      </w:r>
      <w:r w:rsidR="009C160D">
        <w:rPr>
          <w:sz w:val="24"/>
          <w:szCs w:val="24"/>
        </w:rPr>
        <w:t xml:space="preserve"> each recruiting call</w:t>
      </w:r>
      <w:r w:rsidR="00170972">
        <w:rPr>
          <w:sz w:val="24"/>
          <w:szCs w:val="24"/>
        </w:rPr>
        <w:t>.</w:t>
      </w:r>
      <w:r w:rsidR="009C160D">
        <w:rPr>
          <w:sz w:val="24"/>
          <w:szCs w:val="24"/>
        </w:rPr>
        <w:t xml:space="preserve"> </w:t>
      </w:r>
      <w:r w:rsidR="009C160D" w:rsidRPr="009C160D">
        <w:rPr>
          <w:b/>
          <w:sz w:val="24"/>
          <w:szCs w:val="24"/>
        </w:rPr>
        <w:t>The total esti</w:t>
      </w:r>
      <w:r w:rsidR="00A543C3">
        <w:rPr>
          <w:b/>
          <w:sz w:val="24"/>
          <w:szCs w:val="24"/>
        </w:rPr>
        <w:t>mated burden for this study is 8</w:t>
      </w:r>
      <w:r w:rsidR="00393321">
        <w:rPr>
          <w:b/>
          <w:sz w:val="24"/>
          <w:szCs w:val="24"/>
        </w:rPr>
        <w:t>3.3</w:t>
      </w:r>
      <w:r w:rsidR="009C160D" w:rsidRPr="009C160D">
        <w:rPr>
          <w:b/>
          <w:sz w:val="24"/>
          <w:szCs w:val="24"/>
        </w:rPr>
        <w:t xml:space="preserve"> hours.</w:t>
      </w:r>
    </w:p>
    <w:p w14:paraId="1D66880F" w14:textId="017E590E" w:rsidR="00923058" w:rsidRDefault="00923058" w:rsidP="004101A3">
      <w:pPr>
        <w:rPr>
          <w:b/>
          <w:sz w:val="24"/>
          <w:szCs w:val="24"/>
        </w:rPr>
      </w:pPr>
    </w:p>
    <w:p w14:paraId="672B2B00" w14:textId="7E1D92B0" w:rsidR="00923058" w:rsidRDefault="00923058" w:rsidP="004101A3">
      <w:pPr>
        <w:rPr>
          <w:b/>
          <w:sz w:val="24"/>
          <w:szCs w:val="24"/>
        </w:rPr>
      </w:pPr>
    </w:p>
    <w:p w14:paraId="4F9160A0" w14:textId="1734A92D" w:rsidR="00923058" w:rsidRDefault="00923058" w:rsidP="004101A3">
      <w:pPr>
        <w:rPr>
          <w:b/>
          <w:sz w:val="24"/>
          <w:szCs w:val="24"/>
        </w:rPr>
      </w:pPr>
    </w:p>
    <w:p w14:paraId="5A4AEF06" w14:textId="07C0A48E" w:rsidR="00923058" w:rsidRDefault="00923058" w:rsidP="004101A3">
      <w:pPr>
        <w:rPr>
          <w:b/>
          <w:sz w:val="24"/>
          <w:szCs w:val="24"/>
        </w:rPr>
      </w:pPr>
    </w:p>
    <w:p w14:paraId="04759A3B" w14:textId="77777777" w:rsidR="00923058" w:rsidRPr="007B08ED" w:rsidRDefault="00923058" w:rsidP="004101A3">
      <w:pPr>
        <w:rPr>
          <w:color w:val="000000"/>
          <w:sz w:val="24"/>
          <w:szCs w:val="24"/>
        </w:rPr>
      </w:pPr>
    </w:p>
    <w:tbl>
      <w:tblPr>
        <w:tblW w:w="71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1530"/>
        <w:gridCol w:w="1440"/>
        <w:gridCol w:w="1350"/>
      </w:tblGrid>
      <w:tr w:rsidR="004101A3" w:rsidRPr="007B08ED" w14:paraId="4A645C50" w14:textId="77777777" w:rsidTr="005642D3">
        <w:trPr>
          <w:jc w:val="center"/>
        </w:trPr>
        <w:tc>
          <w:tcPr>
            <w:tcW w:w="27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E61699" w14:textId="77777777" w:rsidR="004101A3" w:rsidRPr="007B08ED" w:rsidRDefault="004101A3" w:rsidP="005642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B08ED">
              <w:rPr>
                <w:b/>
                <w:bCs/>
                <w:color w:val="000000"/>
                <w:sz w:val="24"/>
                <w:szCs w:val="24"/>
              </w:rPr>
              <w:t>Research Activity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FDD946" w14:textId="77777777" w:rsidR="004101A3" w:rsidRPr="007B08ED" w:rsidRDefault="005642D3" w:rsidP="005642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Number</w:t>
            </w:r>
            <w:r w:rsidR="004101A3" w:rsidRPr="007B08ED">
              <w:rPr>
                <w:b/>
                <w:bCs/>
                <w:color w:val="000000"/>
                <w:sz w:val="24"/>
                <w:szCs w:val="24"/>
              </w:rPr>
              <w:t xml:space="preserve"> of Respondents</w:t>
            </w:r>
          </w:p>
        </w:tc>
        <w:tc>
          <w:tcPr>
            <w:tcW w:w="14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854FA2" w14:textId="77777777" w:rsidR="004101A3" w:rsidRPr="007B08ED" w:rsidRDefault="004101A3" w:rsidP="005642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B08ED">
              <w:rPr>
                <w:b/>
                <w:bCs/>
                <w:color w:val="000000"/>
                <w:sz w:val="24"/>
                <w:szCs w:val="24"/>
              </w:rPr>
              <w:t>Participation Time</w:t>
            </w:r>
          </w:p>
        </w:tc>
        <w:tc>
          <w:tcPr>
            <w:tcW w:w="13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4CE7C6" w14:textId="77777777" w:rsidR="004101A3" w:rsidRPr="007B08ED" w:rsidRDefault="004101A3" w:rsidP="005642D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7B08ED">
              <w:rPr>
                <w:b/>
                <w:bCs/>
                <w:color w:val="000000"/>
                <w:sz w:val="24"/>
                <w:szCs w:val="24"/>
              </w:rPr>
              <w:t>Burden</w:t>
            </w:r>
            <w:r w:rsidR="005642D3">
              <w:rPr>
                <w:b/>
                <w:bCs/>
                <w:color w:val="000000"/>
                <w:sz w:val="24"/>
                <w:szCs w:val="24"/>
              </w:rPr>
              <w:t xml:space="preserve"> Hours</w:t>
            </w:r>
          </w:p>
        </w:tc>
      </w:tr>
      <w:tr w:rsidR="004101A3" w:rsidRPr="007B08ED" w14:paraId="7501AE12" w14:textId="77777777" w:rsidTr="005642D3">
        <w:trPr>
          <w:trHeight w:val="402"/>
          <w:jc w:val="center"/>
        </w:trPr>
        <w:tc>
          <w:tcPr>
            <w:tcW w:w="27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64A8C" w14:textId="77777777" w:rsidR="004101A3" w:rsidRPr="007B08ED" w:rsidRDefault="004101A3" w:rsidP="00E567E1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7B08ED">
              <w:rPr>
                <w:color w:val="000000"/>
                <w:sz w:val="24"/>
                <w:szCs w:val="24"/>
              </w:rPr>
              <w:t>  Screening</w:t>
            </w: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D69C66" w14:textId="77777777" w:rsidR="004101A3" w:rsidRPr="007B08ED" w:rsidRDefault="00170972" w:rsidP="00E567E1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  <w:r w:rsidR="00D23103">
              <w:rPr>
                <w:color w:val="000000"/>
                <w:sz w:val="24"/>
                <w:szCs w:val="24"/>
              </w:rPr>
              <w:t xml:space="preserve"> GQs</w:t>
            </w:r>
          </w:p>
        </w:tc>
        <w:tc>
          <w:tcPr>
            <w:tcW w:w="144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3AD017" w14:textId="77777777" w:rsidR="004101A3" w:rsidRPr="007B08ED" w:rsidRDefault="00C53140" w:rsidP="00E567E1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 w:rsidR="004101A3" w:rsidRPr="007B08ED">
              <w:rPr>
                <w:color w:val="000000"/>
                <w:sz w:val="24"/>
                <w:szCs w:val="24"/>
              </w:rPr>
              <w:t>minutes</w:t>
            </w:r>
          </w:p>
        </w:tc>
        <w:tc>
          <w:tcPr>
            <w:tcW w:w="13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4DF6CC" w14:textId="77777777" w:rsidR="004101A3" w:rsidRPr="007B08ED" w:rsidRDefault="009C160D" w:rsidP="00E567E1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3.3 </w:t>
            </w:r>
            <w:r w:rsidR="004101A3" w:rsidRPr="007B08ED">
              <w:rPr>
                <w:color w:val="000000"/>
                <w:sz w:val="24"/>
                <w:szCs w:val="24"/>
              </w:rPr>
              <w:t>hours</w:t>
            </w:r>
          </w:p>
        </w:tc>
      </w:tr>
      <w:tr w:rsidR="004101A3" w:rsidRPr="007B08ED" w14:paraId="487BC62E" w14:textId="77777777" w:rsidTr="005642D3">
        <w:trPr>
          <w:jc w:val="center"/>
        </w:trPr>
        <w:tc>
          <w:tcPr>
            <w:tcW w:w="2790" w:type="dxa"/>
            <w:tcBorders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7FF10F" w14:textId="77777777" w:rsidR="004101A3" w:rsidRPr="007B08ED" w:rsidRDefault="004101A3" w:rsidP="00B25B64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7B08ED">
              <w:rPr>
                <w:color w:val="000000"/>
                <w:sz w:val="24"/>
                <w:szCs w:val="24"/>
              </w:rPr>
              <w:t xml:space="preserve">  </w:t>
            </w:r>
            <w:r w:rsidR="00B25B64">
              <w:rPr>
                <w:color w:val="000000"/>
                <w:sz w:val="24"/>
                <w:szCs w:val="24"/>
              </w:rPr>
              <w:t>Debriefing</w:t>
            </w:r>
            <w:r w:rsidRPr="007B08ED">
              <w:rPr>
                <w:color w:val="000000"/>
                <w:sz w:val="24"/>
                <w:szCs w:val="24"/>
              </w:rPr>
              <w:t xml:space="preserve"> Interviews </w:t>
            </w:r>
          </w:p>
        </w:tc>
        <w:tc>
          <w:tcPr>
            <w:tcW w:w="1530" w:type="dxa"/>
            <w:tcBorders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FA47E" w14:textId="77777777" w:rsidR="004101A3" w:rsidRPr="007B08ED" w:rsidRDefault="00170972" w:rsidP="00E567E1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  <w:r w:rsidR="00D23103">
              <w:rPr>
                <w:color w:val="000000"/>
                <w:sz w:val="24"/>
                <w:szCs w:val="24"/>
              </w:rPr>
              <w:t xml:space="preserve"> individuals (at 20 GQs)</w:t>
            </w:r>
          </w:p>
        </w:tc>
        <w:tc>
          <w:tcPr>
            <w:tcW w:w="1440" w:type="dxa"/>
            <w:tcBorders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639A9" w14:textId="4DD585F1" w:rsidR="004101A3" w:rsidRPr="007B08ED" w:rsidRDefault="00A543C3" w:rsidP="00E567E1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  <w:r w:rsidR="004101A3" w:rsidRPr="007B08ED">
              <w:rPr>
                <w:color w:val="000000"/>
                <w:sz w:val="24"/>
                <w:szCs w:val="24"/>
              </w:rPr>
              <w:t xml:space="preserve"> minutes</w:t>
            </w:r>
          </w:p>
        </w:tc>
        <w:tc>
          <w:tcPr>
            <w:tcW w:w="1350" w:type="dxa"/>
            <w:tcBorders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BED19A" w14:textId="0714528E" w:rsidR="004101A3" w:rsidRPr="007B08ED" w:rsidRDefault="00A543C3" w:rsidP="00E567E1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  <w:r w:rsidR="009C160D">
              <w:rPr>
                <w:color w:val="000000"/>
                <w:sz w:val="24"/>
                <w:szCs w:val="24"/>
              </w:rPr>
              <w:t xml:space="preserve"> </w:t>
            </w:r>
            <w:r w:rsidR="004101A3" w:rsidRPr="007B08ED">
              <w:rPr>
                <w:color w:val="000000"/>
                <w:sz w:val="24"/>
                <w:szCs w:val="24"/>
              </w:rPr>
              <w:t>hours</w:t>
            </w:r>
          </w:p>
        </w:tc>
      </w:tr>
      <w:tr w:rsidR="004101A3" w:rsidRPr="007B08ED" w14:paraId="64753DD0" w14:textId="77777777" w:rsidTr="005642D3">
        <w:trPr>
          <w:jc w:val="center"/>
        </w:trPr>
        <w:tc>
          <w:tcPr>
            <w:tcW w:w="2790" w:type="dxa"/>
            <w:tcBorders>
              <w:top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6EA641" w14:textId="77777777" w:rsidR="004101A3" w:rsidRPr="007B08ED" w:rsidRDefault="004101A3" w:rsidP="00E567E1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B08ED"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30" w:type="dxa"/>
            <w:tcBorders>
              <w:top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ECF9C2" w14:textId="77777777" w:rsidR="004101A3" w:rsidRPr="007B08ED" w:rsidRDefault="004101A3" w:rsidP="00E567E1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3661C4" w14:textId="77777777" w:rsidR="004101A3" w:rsidRPr="007B08ED" w:rsidRDefault="004101A3" w:rsidP="00E567E1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517153" w14:textId="1232979E" w:rsidR="004101A3" w:rsidRPr="005642D3" w:rsidRDefault="0004341B" w:rsidP="00E567E1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  <w:r w:rsidR="009C160D" w:rsidRPr="005642D3">
              <w:rPr>
                <w:b/>
                <w:color w:val="000000"/>
                <w:sz w:val="24"/>
                <w:szCs w:val="24"/>
              </w:rPr>
              <w:t xml:space="preserve">3.3 </w:t>
            </w:r>
            <w:r w:rsidR="004101A3" w:rsidRPr="005642D3">
              <w:rPr>
                <w:b/>
                <w:color w:val="000000"/>
                <w:sz w:val="24"/>
                <w:szCs w:val="24"/>
              </w:rPr>
              <w:t>hours</w:t>
            </w:r>
          </w:p>
        </w:tc>
      </w:tr>
    </w:tbl>
    <w:p w14:paraId="00D14B67" w14:textId="77777777" w:rsidR="004101A3" w:rsidRPr="007B08ED" w:rsidRDefault="004101A3" w:rsidP="004101A3">
      <w:pPr>
        <w:rPr>
          <w:sz w:val="24"/>
          <w:szCs w:val="24"/>
        </w:rPr>
      </w:pPr>
    </w:p>
    <w:p w14:paraId="7846650A" w14:textId="77777777" w:rsidR="004101A3" w:rsidRPr="007B08ED" w:rsidRDefault="004101A3" w:rsidP="004101A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7B08ED">
        <w:rPr>
          <w:color w:val="000000"/>
          <w:sz w:val="24"/>
          <w:szCs w:val="24"/>
        </w:rPr>
        <w:t>The contact person for questions regarding data collection and statistical aspects of the design of this research is listed below:</w:t>
      </w:r>
    </w:p>
    <w:p w14:paraId="3F9F1A6F" w14:textId="77777777" w:rsidR="004101A3" w:rsidRPr="007B08ED" w:rsidRDefault="004101A3" w:rsidP="004101A3">
      <w:pPr>
        <w:ind w:left="720"/>
        <w:contextualSpacing/>
        <w:rPr>
          <w:sz w:val="24"/>
          <w:szCs w:val="24"/>
        </w:rPr>
      </w:pPr>
      <w:r w:rsidRPr="007B08ED">
        <w:rPr>
          <w:sz w:val="24"/>
          <w:szCs w:val="24"/>
        </w:rPr>
        <w:t>Dave Tuttle</w:t>
      </w:r>
    </w:p>
    <w:p w14:paraId="55C5E59F" w14:textId="77777777" w:rsidR="004101A3" w:rsidRPr="007B08ED" w:rsidRDefault="004101A3" w:rsidP="004101A3">
      <w:pPr>
        <w:ind w:left="720"/>
        <w:contextualSpacing/>
        <w:rPr>
          <w:color w:val="000000"/>
          <w:sz w:val="24"/>
          <w:szCs w:val="24"/>
        </w:rPr>
      </w:pPr>
      <w:r w:rsidRPr="007B08ED">
        <w:rPr>
          <w:color w:val="000000"/>
          <w:sz w:val="24"/>
          <w:szCs w:val="24"/>
        </w:rPr>
        <w:t xml:space="preserve">Center for Survey Measurement </w:t>
      </w:r>
      <w:r w:rsidRPr="007B08ED">
        <w:rPr>
          <w:color w:val="000000"/>
          <w:sz w:val="24"/>
          <w:szCs w:val="24"/>
        </w:rPr>
        <w:br/>
        <w:t xml:space="preserve">U.S. Census Bureau </w:t>
      </w:r>
      <w:r w:rsidRPr="007B08ED">
        <w:rPr>
          <w:color w:val="000000"/>
          <w:sz w:val="24"/>
          <w:szCs w:val="24"/>
        </w:rPr>
        <w:br/>
        <w:t>Washington, D.C. 20233</w:t>
      </w:r>
    </w:p>
    <w:p w14:paraId="2406E1AD" w14:textId="6485EC29" w:rsidR="004101A3" w:rsidRPr="007B08ED" w:rsidRDefault="00393321" w:rsidP="004101A3">
      <w:pPr>
        <w:ind w:left="72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(301) </w:t>
      </w:r>
      <w:r w:rsidR="004101A3" w:rsidRPr="007B08ED">
        <w:rPr>
          <w:color w:val="000000"/>
          <w:sz w:val="24"/>
          <w:szCs w:val="24"/>
        </w:rPr>
        <w:t>763-7809</w:t>
      </w:r>
    </w:p>
    <w:p w14:paraId="370C6651" w14:textId="77777777" w:rsidR="004101A3" w:rsidRPr="007B08ED" w:rsidRDefault="004101A3" w:rsidP="004101A3">
      <w:pPr>
        <w:ind w:left="720"/>
        <w:rPr>
          <w:sz w:val="24"/>
          <w:szCs w:val="24"/>
        </w:rPr>
      </w:pPr>
      <w:r w:rsidRPr="007B08ED">
        <w:rPr>
          <w:color w:val="000000"/>
          <w:sz w:val="24"/>
          <w:szCs w:val="24"/>
        </w:rPr>
        <w:t>alfred.d.tuttle@census.gov</w:t>
      </w:r>
      <w:r w:rsidRPr="007B08ED">
        <w:rPr>
          <w:color w:val="000000"/>
          <w:sz w:val="24"/>
          <w:szCs w:val="24"/>
        </w:rPr>
        <w:br/>
      </w:r>
    </w:p>
    <w:sectPr w:rsidR="004101A3" w:rsidRPr="007B0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F57"/>
    <w:multiLevelType w:val="hybridMultilevel"/>
    <w:tmpl w:val="4E544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E62D9"/>
    <w:multiLevelType w:val="hybridMultilevel"/>
    <w:tmpl w:val="F3280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A0485"/>
    <w:multiLevelType w:val="hybridMultilevel"/>
    <w:tmpl w:val="D8E6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3F"/>
    <w:rsid w:val="0004341B"/>
    <w:rsid w:val="00070F0E"/>
    <w:rsid w:val="000A4CDF"/>
    <w:rsid w:val="000B06C4"/>
    <w:rsid w:val="00102CF1"/>
    <w:rsid w:val="001055B5"/>
    <w:rsid w:val="001502FE"/>
    <w:rsid w:val="00152CEE"/>
    <w:rsid w:val="00163AE9"/>
    <w:rsid w:val="00170972"/>
    <w:rsid w:val="001711D7"/>
    <w:rsid w:val="001941B1"/>
    <w:rsid w:val="001B53B5"/>
    <w:rsid w:val="001B7A2D"/>
    <w:rsid w:val="001C1AAF"/>
    <w:rsid w:val="00273686"/>
    <w:rsid w:val="00320F67"/>
    <w:rsid w:val="00321F97"/>
    <w:rsid w:val="0035437D"/>
    <w:rsid w:val="00393321"/>
    <w:rsid w:val="00404534"/>
    <w:rsid w:val="004101A3"/>
    <w:rsid w:val="0048205D"/>
    <w:rsid w:val="004B1B3A"/>
    <w:rsid w:val="004D7C01"/>
    <w:rsid w:val="00505749"/>
    <w:rsid w:val="005170A0"/>
    <w:rsid w:val="00536BA0"/>
    <w:rsid w:val="00546D56"/>
    <w:rsid w:val="005623DD"/>
    <w:rsid w:val="005642D3"/>
    <w:rsid w:val="00592E15"/>
    <w:rsid w:val="00651825"/>
    <w:rsid w:val="00683B2A"/>
    <w:rsid w:val="00686686"/>
    <w:rsid w:val="00690D3E"/>
    <w:rsid w:val="006C773B"/>
    <w:rsid w:val="00710A27"/>
    <w:rsid w:val="007209B5"/>
    <w:rsid w:val="007300F9"/>
    <w:rsid w:val="00763C13"/>
    <w:rsid w:val="00790935"/>
    <w:rsid w:val="007A247B"/>
    <w:rsid w:val="007A4A74"/>
    <w:rsid w:val="007B08ED"/>
    <w:rsid w:val="00827A06"/>
    <w:rsid w:val="008C73B8"/>
    <w:rsid w:val="008F173D"/>
    <w:rsid w:val="009127D0"/>
    <w:rsid w:val="009201C8"/>
    <w:rsid w:val="00923058"/>
    <w:rsid w:val="00981588"/>
    <w:rsid w:val="009C160D"/>
    <w:rsid w:val="00A543C3"/>
    <w:rsid w:val="00A62E21"/>
    <w:rsid w:val="00AB092E"/>
    <w:rsid w:val="00AE057C"/>
    <w:rsid w:val="00AE1A88"/>
    <w:rsid w:val="00B25B64"/>
    <w:rsid w:val="00B36B26"/>
    <w:rsid w:val="00BF2986"/>
    <w:rsid w:val="00BF62C7"/>
    <w:rsid w:val="00C0595F"/>
    <w:rsid w:val="00C10CE2"/>
    <w:rsid w:val="00C53140"/>
    <w:rsid w:val="00C61F5C"/>
    <w:rsid w:val="00CB4A2A"/>
    <w:rsid w:val="00CE0966"/>
    <w:rsid w:val="00D11990"/>
    <w:rsid w:val="00D23103"/>
    <w:rsid w:val="00D81F95"/>
    <w:rsid w:val="00DA5909"/>
    <w:rsid w:val="00DF4A46"/>
    <w:rsid w:val="00E30848"/>
    <w:rsid w:val="00E50B7B"/>
    <w:rsid w:val="00E567E1"/>
    <w:rsid w:val="00E759D1"/>
    <w:rsid w:val="00E94FAD"/>
    <w:rsid w:val="00E978D1"/>
    <w:rsid w:val="00EA28A8"/>
    <w:rsid w:val="00F164B7"/>
    <w:rsid w:val="00F2323F"/>
    <w:rsid w:val="00F7270A"/>
    <w:rsid w:val="00F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9A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6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6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B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B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B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B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6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6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B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B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B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D Tuttle (CENSUS/CSM FED)</dc:creator>
  <cp:keywords/>
  <dc:description/>
  <cp:lastModifiedBy>SYSTEM</cp:lastModifiedBy>
  <cp:revision>2</cp:revision>
  <dcterms:created xsi:type="dcterms:W3CDTF">2018-06-01T12:29:00Z</dcterms:created>
  <dcterms:modified xsi:type="dcterms:W3CDTF">2018-06-01T12:29:00Z</dcterms:modified>
</cp:coreProperties>
</file>