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BF21E" w14:textId="3EC92494" w:rsidR="005D7F27" w:rsidRPr="009F34D7" w:rsidRDefault="00313792" w:rsidP="00BD1E5B">
      <w:pPr>
        <w:pStyle w:val="CM1"/>
        <w:rPr>
          <w:rFonts w:ascii="Times New Roman" w:hAnsi="Times New Roman"/>
          <w:b/>
          <w:bCs/>
        </w:rPr>
      </w:pPr>
      <w:r>
        <w:rPr>
          <w:rFonts w:ascii="Times New Roman" w:hAnsi="Times New Roman"/>
          <w:b/>
          <w:bCs/>
        </w:rPr>
        <w:t>Direct Ac</w:t>
      </w:r>
      <w:bookmarkStart w:id="0" w:name="_GoBack"/>
      <w:bookmarkEnd w:id="0"/>
      <w:r>
        <w:rPr>
          <w:rFonts w:ascii="Times New Roman" w:hAnsi="Times New Roman"/>
          <w:b/>
          <w:bCs/>
        </w:rPr>
        <w:t xml:space="preserve">cess to Numbers Order,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F14CA6" w:rsidRPr="009F34D7">
        <w:rPr>
          <w:rFonts w:ascii="Times New Roman" w:hAnsi="Times New Roman"/>
          <w:b/>
          <w:bCs/>
        </w:rPr>
        <w:t>3060</w:t>
      </w:r>
      <w:r w:rsidR="009D4C36" w:rsidRPr="009F34D7">
        <w:rPr>
          <w:rFonts w:ascii="Times New Roman" w:hAnsi="Times New Roman"/>
          <w:b/>
          <w:bCs/>
        </w:rPr>
        <w:t>-</w:t>
      </w:r>
      <w:r w:rsidR="00040F9A">
        <w:rPr>
          <w:rFonts w:ascii="Times New Roman" w:hAnsi="Times New Roman"/>
          <w:b/>
          <w:bCs/>
        </w:rPr>
        <w:t>1214</w:t>
      </w:r>
    </w:p>
    <w:p w14:paraId="44441AE0" w14:textId="0AA5B11E" w:rsidR="009D4C36" w:rsidRPr="00040F9A" w:rsidRDefault="00313792" w:rsidP="00BD1E5B">
      <w:pPr>
        <w:pStyle w:val="CM1"/>
        <w:rPr>
          <w:rFonts w:ascii="Times New Roman" w:hAnsi="Times New Roman"/>
          <w:bCs/>
          <w:sz w:val="22"/>
          <w:szCs w:val="22"/>
        </w:rPr>
      </w:pPr>
      <w:r w:rsidRPr="00BD1E5B">
        <w:rPr>
          <w:rFonts w:ascii="Times New Roman" w:hAnsi="Times New Roman"/>
          <w:b/>
          <w:bCs/>
        </w:rPr>
        <w:t>FCC 15-70, Conditions</w:t>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BD1E5B">
        <w:rPr>
          <w:rFonts w:ascii="Times New Roman" w:hAnsi="Times New Roman"/>
          <w:bCs/>
        </w:rPr>
        <w:t xml:space="preserve">  </w:t>
      </w:r>
      <w:r w:rsidR="00836503">
        <w:rPr>
          <w:rFonts w:ascii="Times New Roman" w:hAnsi="Times New Roman"/>
          <w:bCs/>
        </w:rPr>
        <w:tab/>
        <w:t xml:space="preserve">  </w:t>
      </w:r>
      <w:r w:rsidRPr="00BD1E5B">
        <w:rPr>
          <w:rFonts w:ascii="Times New Roman" w:hAnsi="Times New Roman"/>
          <w:b/>
          <w:bCs/>
        </w:rPr>
        <w:t xml:space="preserve">March </w:t>
      </w:r>
      <w:r w:rsidR="00040F9A" w:rsidRPr="00BD1E5B">
        <w:rPr>
          <w:rFonts w:ascii="Times New Roman" w:hAnsi="Times New Roman"/>
          <w:b/>
          <w:bCs/>
        </w:rPr>
        <w:t>2016</w:t>
      </w:r>
    </w:p>
    <w:p w14:paraId="458D2558" w14:textId="77777777" w:rsidR="00313792" w:rsidRDefault="00313792" w:rsidP="001E1B53">
      <w:pPr>
        <w:pStyle w:val="CM1"/>
        <w:spacing w:after="266"/>
        <w:jc w:val="center"/>
        <w:rPr>
          <w:rFonts w:ascii="Times New Roman" w:hAnsi="Times New Roman"/>
          <w:bCs/>
        </w:rPr>
      </w:pPr>
    </w:p>
    <w:p w14:paraId="02D6856D" w14:textId="6A990975" w:rsidR="001E1B53" w:rsidRPr="00313792" w:rsidRDefault="00040F9A" w:rsidP="001E1B53">
      <w:pPr>
        <w:pStyle w:val="CM1"/>
        <w:spacing w:after="266"/>
        <w:jc w:val="center"/>
        <w:rPr>
          <w:rFonts w:ascii="Times New Roman" w:hAnsi="Times New Roman"/>
          <w:b/>
          <w:bCs/>
          <w:u w:val="single"/>
        </w:rPr>
      </w:pPr>
      <w:r w:rsidRPr="00BD1E5B">
        <w:rPr>
          <w:rFonts w:ascii="Times New Roman" w:hAnsi="Times New Roman"/>
          <w:b/>
          <w:bCs/>
        </w:rPr>
        <w:t>SUPPORTING STATEMENT</w:t>
      </w:r>
      <w:r w:rsidR="001E1B53" w:rsidRPr="00313792">
        <w:rPr>
          <w:rFonts w:ascii="Times New Roman" w:hAnsi="Times New Roman"/>
          <w:b/>
          <w:bCs/>
          <w:u w:val="single"/>
        </w:rPr>
        <w:t xml:space="preserve"> </w:t>
      </w:r>
    </w:p>
    <w:p w14:paraId="7AC945B1" w14:textId="77777777" w:rsidR="001E1B53" w:rsidRPr="00E859A7" w:rsidRDefault="001E1B53" w:rsidP="001E1B53">
      <w:pPr>
        <w:pStyle w:val="CM2"/>
        <w:spacing w:before="211" w:after="173"/>
        <w:rPr>
          <w:rFonts w:ascii="Times New Roman" w:hAnsi="Times New Roman"/>
          <w:b/>
          <w:sz w:val="22"/>
          <w:szCs w:val="22"/>
          <w:u w:val="single"/>
        </w:rPr>
      </w:pPr>
      <w:r w:rsidRPr="009F34D7">
        <w:rPr>
          <w:rFonts w:ascii="Times New Roman" w:hAnsi="Times New Roman"/>
          <w:b/>
          <w:bCs/>
          <w:u w:val="single"/>
        </w:rPr>
        <w:t>A. Justification:</w:t>
      </w:r>
    </w:p>
    <w:p w14:paraId="16837FC2" w14:textId="77777777" w:rsidR="003F1A30" w:rsidRPr="009F34D7" w:rsidRDefault="001E1B53" w:rsidP="00040F9A">
      <w:pPr>
        <w:pStyle w:val="CM2"/>
        <w:spacing w:line="240" w:lineRule="auto"/>
        <w:rPr>
          <w:rFonts w:ascii="Times New Roman" w:hAnsi="Times New Roman"/>
        </w:rPr>
      </w:pPr>
      <w:r w:rsidRPr="009F34D7">
        <w:rPr>
          <w:rFonts w:ascii="Times New Roman" w:hAnsi="Times New Roman"/>
          <w:b/>
        </w:rPr>
        <w:t xml:space="preserve">1. </w:t>
      </w:r>
      <w:r w:rsidR="000416A1">
        <w:rPr>
          <w:rFonts w:ascii="Times New Roman" w:hAnsi="Times New Roman"/>
          <w:b/>
        </w:rPr>
        <w:tab/>
      </w:r>
      <w:r w:rsidR="00936AB0" w:rsidRPr="009F34D7">
        <w:rPr>
          <w:rFonts w:ascii="Times New Roman" w:hAnsi="Times New Roman"/>
        </w:rPr>
        <w:t xml:space="preserve">This information collection is necessary to </w:t>
      </w:r>
      <w:r w:rsidR="00EC319C" w:rsidRPr="009F34D7">
        <w:rPr>
          <w:rFonts w:ascii="Times New Roman" w:hAnsi="Times New Roman"/>
        </w:rPr>
        <w:t>institute</w:t>
      </w:r>
      <w:r w:rsidR="003F1A30" w:rsidRPr="009F34D7">
        <w:rPr>
          <w:rFonts w:ascii="Times New Roman" w:hAnsi="Times New Roman"/>
        </w:rPr>
        <w:t xml:space="preserve"> a process by which interconnected VoIP providers may obtain authorization from the Federal Communications Commission (FCC) to demonstrate that they have the authority to provide voice services within specific areas so that these providers may</w:t>
      </w:r>
      <w:r w:rsidR="00EC319C" w:rsidRPr="009F34D7">
        <w:rPr>
          <w:rFonts w:ascii="Times New Roman" w:hAnsi="Times New Roman"/>
        </w:rPr>
        <w:t xml:space="preserve"> in turn</w:t>
      </w:r>
      <w:r w:rsidR="003F1A30" w:rsidRPr="009F34D7">
        <w:rPr>
          <w:rFonts w:ascii="Times New Roman" w:hAnsi="Times New Roman"/>
        </w:rPr>
        <w:t xml:space="preserve"> obtain numbers directly from the North American Numbering Plan Administrator </w:t>
      </w:r>
      <w:r w:rsidR="003113EA" w:rsidRPr="009F34D7">
        <w:rPr>
          <w:rFonts w:ascii="Times New Roman" w:hAnsi="Times New Roman"/>
        </w:rPr>
        <w:t xml:space="preserve">(NANPA) </w:t>
      </w:r>
      <w:r w:rsidR="003F1A30" w:rsidRPr="009F34D7">
        <w:rPr>
          <w:rFonts w:ascii="Times New Roman" w:hAnsi="Times New Roman"/>
        </w:rPr>
        <w:t>and the Pooling Administrator (</w:t>
      </w:r>
      <w:r w:rsidR="00EC319C" w:rsidRPr="009F34D7">
        <w:rPr>
          <w:rFonts w:ascii="Times New Roman" w:hAnsi="Times New Roman"/>
        </w:rPr>
        <w:t xml:space="preserve">collectively, </w:t>
      </w:r>
      <w:r w:rsidR="003F1A30" w:rsidRPr="009F34D7">
        <w:rPr>
          <w:rFonts w:ascii="Times New Roman" w:hAnsi="Times New Roman"/>
        </w:rPr>
        <w:t>the Numbering Administrators).</w:t>
      </w:r>
    </w:p>
    <w:p w14:paraId="44BF2597" w14:textId="77777777" w:rsidR="00040F9A" w:rsidRDefault="00040F9A" w:rsidP="00040F9A">
      <w:pPr>
        <w:pStyle w:val="ParaNum"/>
        <w:widowControl/>
        <w:numPr>
          <w:ilvl w:val="0"/>
          <w:numId w:val="0"/>
        </w:numPr>
        <w:spacing w:after="0"/>
        <w:ind w:firstLine="720"/>
        <w:rPr>
          <w:sz w:val="24"/>
          <w:szCs w:val="24"/>
        </w:rPr>
      </w:pPr>
    </w:p>
    <w:p w14:paraId="640A45BF" w14:textId="08DEEACE" w:rsidR="000C0601" w:rsidRDefault="004018D2" w:rsidP="0010413B">
      <w:pPr>
        <w:pStyle w:val="ParaNum"/>
        <w:widowControl/>
        <w:numPr>
          <w:ilvl w:val="0"/>
          <w:numId w:val="0"/>
        </w:numPr>
        <w:spacing w:after="0"/>
        <w:rPr>
          <w:sz w:val="24"/>
          <w:szCs w:val="24"/>
          <w:lang w:val="en-US"/>
        </w:rPr>
      </w:pPr>
      <w:r w:rsidRPr="009F34D7">
        <w:rPr>
          <w:sz w:val="24"/>
          <w:szCs w:val="24"/>
        </w:rPr>
        <w:t xml:space="preserve">On </w:t>
      </w:r>
      <w:r w:rsidR="00007CFA" w:rsidRPr="009F34D7">
        <w:rPr>
          <w:sz w:val="24"/>
          <w:szCs w:val="24"/>
          <w:lang w:val="en-US"/>
        </w:rPr>
        <w:t>June 18</w:t>
      </w:r>
      <w:r w:rsidR="003F1A30" w:rsidRPr="009F34D7">
        <w:rPr>
          <w:sz w:val="24"/>
          <w:szCs w:val="24"/>
        </w:rPr>
        <w:t>, 201</w:t>
      </w:r>
      <w:r w:rsidR="003F1A30" w:rsidRPr="009F34D7">
        <w:rPr>
          <w:sz w:val="24"/>
          <w:szCs w:val="24"/>
          <w:lang w:val="en-US"/>
        </w:rPr>
        <w:t>5</w:t>
      </w:r>
      <w:r w:rsidRPr="009F34D7">
        <w:rPr>
          <w:sz w:val="24"/>
          <w:szCs w:val="24"/>
        </w:rPr>
        <w:t xml:space="preserve">, the </w:t>
      </w:r>
      <w:r w:rsidR="00AB4E8B" w:rsidRPr="009F34D7">
        <w:rPr>
          <w:sz w:val="24"/>
          <w:szCs w:val="24"/>
        </w:rPr>
        <w:t>FCC</w:t>
      </w:r>
      <w:r w:rsidR="0003799A" w:rsidRPr="009F34D7">
        <w:rPr>
          <w:sz w:val="24"/>
          <w:szCs w:val="24"/>
        </w:rPr>
        <w:t xml:space="preserve"> </w:t>
      </w:r>
      <w:r w:rsidR="00EC7B9F" w:rsidRPr="009F34D7">
        <w:rPr>
          <w:sz w:val="24"/>
          <w:szCs w:val="24"/>
          <w:lang w:val="en-US"/>
        </w:rPr>
        <w:t>adopted</w:t>
      </w:r>
      <w:r w:rsidR="00EC7B9F" w:rsidRPr="009F34D7">
        <w:rPr>
          <w:sz w:val="24"/>
          <w:szCs w:val="24"/>
        </w:rPr>
        <w:t xml:space="preserve"> </w:t>
      </w:r>
      <w:r w:rsidR="0003799A" w:rsidRPr="009F34D7">
        <w:rPr>
          <w:sz w:val="24"/>
          <w:szCs w:val="24"/>
        </w:rPr>
        <w:t>a</w:t>
      </w:r>
      <w:r w:rsidR="0003799A" w:rsidRPr="009F34D7">
        <w:rPr>
          <w:sz w:val="24"/>
          <w:szCs w:val="24"/>
          <w:lang w:val="en-US"/>
        </w:rPr>
        <w:t xml:space="preserve"> </w:t>
      </w:r>
      <w:r w:rsidR="00312217" w:rsidRPr="009F34D7">
        <w:rPr>
          <w:sz w:val="24"/>
          <w:szCs w:val="24"/>
          <w:lang w:val="en-US"/>
        </w:rPr>
        <w:t>R</w:t>
      </w:r>
      <w:r w:rsidR="0003799A" w:rsidRPr="009F34D7">
        <w:rPr>
          <w:sz w:val="24"/>
          <w:szCs w:val="24"/>
          <w:lang w:val="en-US"/>
        </w:rPr>
        <w:t>eport and</w:t>
      </w:r>
      <w:r w:rsidR="00247721" w:rsidRPr="009F34D7">
        <w:rPr>
          <w:sz w:val="24"/>
          <w:szCs w:val="24"/>
        </w:rPr>
        <w:t xml:space="preserve"> </w:t>
      </w:r>
      <w:r w:rsidR="00312217" w:rsidRPr="009F34D7">
        <w:rPr>
          <w:sz w:val="24"/>
          <w:szCs w:val="24"/>
        </w:rPr>
        <w:t>O</w:t>
      </w:r>
      <w:r w:rsidR="00247721" w:rsidRPr="009F34D7">
        <w:rPr>
          <w:sz w:val="24"/>
          <w:szCs w:val="24"/>
        </w:rPr>
        <w:t xml:space="preserve">rder </w:t>
      </w:r>
      <w:r w:rsidR="003F1A30" w:rsidRPr="009F34D7">
        <w:rPr>
          <w:sz w:val="24"/>
          <w:szCs w:val="24"/>
          <w:lang w:val="en-US"/>
        </w:rPr>
        <w:t>establishing the Numbering Authorization Application process.</w:t>
      </w:r>
      <w:r w:rsidR="000C0601">
        <w:rPr>
          <w:sz w:val="24"/>
          <w:szCs w:val="24"/>
          <w:lang w:val="en-US"/>
        </w:rPr>
        <w:t xml:space="preserve"> (FCC 15-70, rel. Jun. 22, 2015)</w:t>
      </w:r>
      <w:r w:rsidR="000C0601">
        <w:rPr>
          <w:rStyle w:val="FootnoteReference"/>
          <w:sz w:val="24"/>
          <w:szCs w:val="24"/>
          <w:lang w:val="en-US"/>
        </w:rPr>
        <w:t>.</w:t>
      </w:r>
      <w:r w:rsidR="003F1A30" w:rsidRPr="009F34D7">
        <w:rPr>
          <w:sz w:val="24"/>
          <w:szCs w:val="24"/>
          <w:lang w:val="en-US"/>
        </w:rPr>
        <w:t xml:space="preserve">  </w:t>
      </w:r>
      <w:r w:rsidR="0003799A" w:rsidRPr="009F34D7">
        <w:rPr>
          <w:sz w:val="24"/>
          <w:szCs w:val="24"/>
          <w:lang w:val="en-US"/>
        </w:rPr>
        <w:t xml:space="preserve">The Numbering Authorization </w:t>
      </w:r>
      <w:r w:rsidR="00C402D6" w:rsidRPr="009F34D7">
        <w:rPr>
          <w:sz w:val="24"/>
          <w:szCs w:val="24"/>
          <w:lang w:val="en-US"/>
        </w:rPr>
        <w:t>A</w:t>
      </w:r>
      <w:r w:rsidR="0003799A" w:rsidRPr="009F34D7">
        <w:rPr>
          <w:sz w:val="24"/>
          <w:szCs w:val="24"/>
          <w:lang w:val="en-US"/>
        </w:rPr>
        <w:t xml:space="preserve">pplication process allows applicants to apply for a blanket authorization from the FCC that, once granted, will allow them to demonstrate that they have the authority to provide service in specific areas, thus </w:t>
      </w:r>
      <w:r w:rsidR="00AF6DB2" w:rsidRPr="009F34D7">
        <w:rPr>
          <w:sz w:val="24"/>
          <w:szCs w:val="24"/>
          <w:lang w:val="en-US"/>
        </w:rPr>
        <w:t>enabling them to request numbers directly from the Numbering Administrators.</w:t>
      </w:r>
      <w:r w:rsidR="000C0601">
        <w:rPr>
          <w:sz w:val="24"/>
          <w:szCs w:val="24"/>
          <w:lang w:val="en-US"/>
        </w:rPr>
        <w:t xml:space="preserve">  </w:t>
      </w:r>
      <w:r w:rsidR="0096006A" w:rsidRPr="009F34D7">
        <w:rPr>
          <w:sz w:val="24"/>
          <w:szCs w:val="24"/>
          <w:lang w:val="en-US"/>
        </w:rPr>
        <w:t>As part of the Commission authorization process, applicants must</w:t>
      </w:r>
      <w:r w:rsidR="0010413B">
        <w:rPr>
          <w:sz w:val="24"/>
          <w:szCs w:val="24"/>
          <w:lang w:val="en-US"/>
        </w:rPr>
        <w:t xml:space="preserve"> provide</w:t>
      </w:r>
      <w:r w:rsidR="000C0601">
        <w:rPr>
          <w:sz w:val="24"/>
          <w:szCs w:val="24"/>
          <w:lang w:val="en-US"/>
        </w:rPr>
        <w:t>, among other things</w:t>
      </w:r>
      <w:r w:rsidR="0010413B">
        <w:rPr>
          <w:sz w:val="24"/>
          <w:szCs w:val="24"/>
          <w:lang w:val="en-US"/>
        </w:rPr>
        <w:t>, the following</w:t>
      </w:r>
      <w:r w:rsidR="0096006A" w:rsidRPr="009F34D7">
        <w:rPr>
          <w:sz w:val="24"/>
          <w:szCs w:val="24"/>
          <w:lang w:val="en-US"/>
        </w:rPr>
        <w:t xml:space="preserve">: </w:t>
      </w:r>
      <w:r w:rsidR="00EC319C" w:rsidRPr="009F34D7">
        <w:rPr>
          <w:sz w:val="24"/>
          <w:szCs w:val="24"/>
          <w:lang w:val="en-US"/>
        </w:rPr>
        <w:t xml:space="preserve"> </w:t>
      </w:r>
    </w:p>
    <w:p w14:paraId="6F09EE09" w14:textId="77777777" w:rsidR="0010413B" w:rsidRPr="009F34D7" w:rsidRDefault="0010413B" w:rsidP="0010413B">
      <w:pPr>
        <w:pStyle w:val="ParaNum"/>
        <w:widowControl/>
        <w:numPr>
          <w:ilvl w:val="0"/>
          <w:numId w:val="0"/>
        </w:numPr>
        <w:spacing w:after="0"/>
        <w:rPr>
          <w:sz w:val="24"/>
          <w:szCs w:val="24"/>
          <w:lang w:val="en-US"/>
        </w:rPr>
      </w:pPr>
    </w:p>
    <w:p w14:paraId="36B99D79" w14:textId="04D091D3" w:rsidR="0010413B" w:rsidRDefault="0010413B" w:rsidP="00EE7086">
      <w:pPr>
        <w:numPr>
          <w:ilvl w:val="0"/>
          <w:numId w:val="5"/>
        </w:numPr>
        <w:contextualSpacing/>
        <w:rPr>
          <w:rFonts w:cs="Times New Roman"/>
          <w:szCs w:val="24"/>
        </w:rPr>
      </w:pPr>
      <w:r w:rsidRPr="0010413B">
        <w:rPr>
          <w:rFonts w:cs="Times New Roman"/>
          <w:szCs w:val="24"/>
        </w:rPr>
        <w:t xml:space="preserve">Compliance with Number Administration Rules and Guidelines:  Provision of the information required by these rules and guidelines will help alleviate concerns about telephone number exhaust and ensure competitive neutrality among providers of voice services.  </w:t>
      </w:r>
    </w:p>
    <w:p w14:paraId="5076FCF4" w14:textId="77777777" w:rsidR="0010413B" w:rsidRPr="0010413B" w:rsidRDefault="0010413B" w:rsidP="0010413B">
      <w:pPr>
        <w:ind w:left="1440"/>
        <w:contextualSpacing/>
        <w:rPr>
          <w:rFonts w:cs="Times New Roman"/>
          <w:szCs w:val="24"/>
        </w:rPr>
      </w:pPr>
    </w:p>
    <w:p w14:paraId="09DAEF5F" w14:textId="77777777" w:rsidR="0010413B" w:rsidRPr="009F34D7" w:rsidRDefault="0010413B" w:rsidP="0010413B">
      <w:pPr>
        <w:numPr>
          <w:ilvl w:val="0"/>
          <w:numId w:val="5"/>
        </w:numPr>
        <w:contextualSpacing/>
        <w:rPr>
          <w:rFonts w:cs="Times New Roman"/>
          <w:szCs w:val="24"/>
        </w:rPr>
      </w:pPr>
      <w:r w:rsidRPr="009F34D7">
        <w:rPr>
          <w:rFonts w:cs="Times New Roman"/>
          <w:szCs w:val="24"/>
        </w:rPr>
        <w:t xml:space="preserve">30-Day Notice Requirement:  Requiring interconnected VoIP providers to file requests for numbers with the relevant state commission(s) at least 30 days prior to requesting numbers from the Numbering Administrators will allow the states to monitor number usage and raise any concerns about the request with the provider, the Commission, and the Numbering Administrators.  This notice period will also allow the states to determine whether the request is problematic for any reason, such as a provider’s failure to submit timely NRUF reports or meet the utilization threshold necessary to obtain additional numbers.  This information collection and notice period will also allow state commissions to advise interconnected VoIP providers as to which rate centers have excess blocks of numbers available.  </w:t>
      </w:r>
    </w:p>
    <w:p w14:paraId="2F1DBCC5" w14:textId="77777777" w:rsidR="0010413B" w:rsidRPr="009F34D7" w:rsidRDefault="0010413B" w:rsidP="0010413B">
      <w:pPr>
        <w:pStyle w:val="MediumGrid1-Accent21"/>
        <w:ind w:left="1440"/>
        <w:rPr>
          <w:sz w:val="24"/>
        </w:rPr>
      </w:pPr>
    </w:p>
    <w:p w14:paraId="22DFA051" w14:textId="77777777" w:rsidR="0010413B" w:rsidRPr="009F34D7" w:rsidRDefault="0010413B" w:rsidP="0010413B">
      <w:pPr>
        <w:pStyle w:val="MediumGrid1-Accent21"/>
        <w:numPr>
          <w:ilvl w:val="0"/>
          <w:numId w:val="5"/>
        </w:numPr>
        <w:rPr>
          <w:sz w:val="24"/>
        </w:rPr>
      </w:pPr>
      <w:r w:rsidRPr="009F34D7">
        <w:rPr>
          <w:sz w:val="24"/>
        </w:rPr>
        <w:t xml:space="preserve">Contact Information:  This information will allow state commissions to effectively monitor local numbering issues, which will, in turn, help the FCC in its overall efforts to conserve numbers.  The provision of this contact information will also allow state commissions to effectively and most readily address matters relating to regulatory compliance, provision of 911 service, and law enforcement.  </w:t>
      </w:r>
    </w:p>
    <w:p w14:paraId="78161997" w14:textId="77777777" w:rsidR="0010413B" w:rsidRPr="009F34D7" w:rsidRDefault="0010413B" w:rsidP="0010413B">
      <w:pPr>
        <w:pStyle w:val="MediumGrid1-Accent21"/>
        <w:rPr>
          <w:sz w:val="24"/>
        </w:rPr>
      </w:pPr>
    </w:p>
    <w:p w14:paraId="02E0B1B7" w14:textId="77777777" w:rsidR="0010413B" w:rsidRPr="009F34D7" w:rsidRDefault="0010413B" w:rsidP="0010413B">
      <w:pPr>
        <w:pStyle w:val="MediumGrid1-Accent21"/>
        <w:numPr>
          <w:ilvl w:val="0"/>
          <w:numId w:val="5"/>
        </w:numPr>
        <w:tabs>
          <w:tab w:val="num" w:pos="1440"/>
        </w:tabs>
        <w:rPr>
          <w:sz w:val="24"/>
        </w:rPr>
      </w:pPr>
      <w:r w:rsidRPr="009F34D7">
        <w:rPr>
          <w:sz w:val="24"/>
        </w:rPr>
        <w:t xml:space="preserve">“Facilities Readiness” Requirement:  This information will allow the FCC to accurately determine whether specific interconnected VoIP providers are capable of providing service within sixty days of the numbering resources activation date.  This in turn will help the FCC verify that providers are able to deploy and properly use numbers prior to obtaining them.  </w:t>
      </w:r>
    </w:p>
    <w:p w14:paraId="010E76B3" w14:textId="77777777" w:rsidR="0010413B" w:rsidRPr="009F34D7" w:rsidRDefault="0010413B" w:rsidP="0010413B">
      <w:pPr>
        <w:pStyle w:val="MediumGrid1-Accent21"/>
        <w:ind w:left="0"/>
        <w:rPr>
          <w:sz w:val="24"/>
        </w:rPr>
      </w:pPr>
    </w:p>
    <w:p w14:paraId="22EC73DE" w14:textId="77777777" w:rsidR="0010413B" w:rsidRPr="009F34D7" w:rsidRDefault="0010413B" w:rsidP="0010413B">
      <w:pPr>
        <w:pStyle w:val="MediumGrid1-Accent21"/>
        <w:numPr>
          <w:ilvl w:val="0"/>
          <w:numId w:val="5"/>
        </w:numPr>
        <w:tabs>
          <w:tab w:val="num" w:pos="1440"/>
        </w:tabs>
        <w:rPr>
          <w:sz w:val="24"/>
        </w:rPr>
      </w:pPr>
      <w:r w:rsidRPr="009F34D7">
        <w:rPr>
          <w:sz w:val="24"/>
        </w:rPr>
        <w:t xml:space="preserve">Certification of Capacity to Provide Service:  This information will allow the FCC to determine whether the applicant has the requisite technical, managerial, and financial capacity to provide service.  It will also allow the FCC to determine whether the Chief Operating Officer and Chief Technology Officer of an interconnected VoIP provider, or the equivalent, is being or has been investigated by the Commission or any law enforcement or regulatory agency for failure to comply with any law, rule, or order. </w:t>
      </w:r>
    </w:p>
    <w:p w14:paraId="6425D705" w14:textId="77777777" w:rsidR="0010413B" w:rsidRPr="00C256AC" w:rsidRDefault="0010413B" w:rsidP="0010413B">
      <w:pPr>
        <w:pStyle w:val="ListParagraph"/>
        <w:rPr>
          <w:rFonts w:cs="Times New Roman"/>
          <w:szCs w:val="24"/>
        </w:rPr>
      </w:pPr>
    </w:p>
    <w:p w14:paraId="1AB6BD89" w14:textId="77777777" w:rsidR="0010413B" w:rsidRPr="009F34D7" w:rsidRDefault="0010413B" w:rsidP="0010413B">
      <w:pPr>
        <w:pStyle w:val="MediumGrid1-Accent21"/>
        <w:numPr>
          <w:ilvl w:val="0"/>
          <w:numId w:val="5"/>
        </w:numPr>
        <w:tabs>
          <w:tab w:val="num" w:pos="1440"/>
        </w:tabs>
        <w:rPr>
          <w:sz w:val="24"/>
        </w:rPr>
      </w:pPr>
      <w:r w:rsidRPr="009F34D7">
        <w:rPr>
          <w:sz w:val="24"/>
        </w:rPr>
        <w:t>Certification of Contribution Obligations:  This information will allow the FCC to determine whether applicants are in compliance with their USF, TRS, and LNP contribution obligations, as well as their duties to pay regulatory fees and 911 obligations.  This will, in turn, help to ensure that these programs are adequately funded.</w:t>
      </w:r>
    </w:p>
    <w:p w14:paraId="6F920357" w14:textId="77777777" w:rsidR="0010413B" w:rsidRPr="00C256AC" w:rsidRDefault="0010413B" w:rsidP="0010413B">
      <w:pPr>
        <w:pStyle w:val="ListParagraph"/>
        <w:rPr>
          <w:rFonts w:cs="Times New Roman"/>
          <w:szCs w:val="24"/>
        </w:rPr>
      </w:pPr>
    </w:p>
    <w:p w14:paraId="4F9700E3" w14:textId="77777777" w:rsidR="0010413B" w:rsidRDefault="0010413B" w:rsidP="0010413B">
      <w:pPr>
        <w:pStyle w:val="MediumGrid1-Accent21"/>
        <w:numPr>
          <w:ilvl w:val="0"/>
          <w:numId w:val="5"/>
        </w:numPr>
        <w:tabs>
          <w:tab w:val="num" w:pos="1440"/>
        </w:tabs>
        <w:rPr>
          <w:sz w:val="24"/>
        </w:rPr>
      </w:pPr>
      <w:r w:rsidRPr="009F34D7">
        <w:rPr>
          <w:sz w:val="24"/>
        </w:rPr>
        <w:t>OCN Requirement:  Requiring interconnected VoIP providers to use their own unique OCNs when obtaining numbers directly from the Numbering Administrators will improve utilization data used to predict number exhaust and will enable states to more easily identify the service providers involved when porting issues arise.</w:t>
      </w:r>
    </w:p>
    <w:p w14:paraId="7922AEA3" w14:textId="77777777" w:rsidR="000C0601" w:rsidRPr="009F34D7" w:rsidRDefault="000C0601" w:rsidP="00040F9A">
      <w:pPr>
        <w:pStyle w:val="ParaNum"/>
        <w:widowControl/>
        <w:numPr>
          <w:ilvl w:val="0"/>
          <w:numId w:val="0"/>
        </w:numPr>
        <w:spacing w:after="0"/>
        <w:ind w:firstLine="720"/>
        <w:rPr>
          <w:sz w:val="24"/>
          <w:szCs w:val="24"/>
          <w:lang w:val="en-US"/>
        </w:rPr>
      </w:pPr>
    </w:p>
    <w:p w14:paraId="7E213223" w14:textId="4F409CF0" w:rsidR="001D10F3" w:rsidRPr="00290A55" w:rsidRDefault="001D10F3" w:rsidP="00040F9A">
      <w:pPr>
        <w:tabs>
          <w:tab w:val="left" w:pos="-720"/>
        </w:tabs>
        <w:suppressAutoHyphens/>
        <w:ind w:right="240"/>
        <w:rPr>
          <w:rFonts w:cs="Times New Roman"/>
          <w:spacing w:val="-3"/>
          <w:szCs w:val="24"/>
        </w:rPr>
      </w:pPr>
      <w:r w:rsidRPr="00290A55">
        <w:rPr>
          <w:rFonts w:cs="Times New Roman"/>
          <w:spacing w:val="-3"/>
          <w:szCs w:val="24"/>
        </w:rPr>
        <w:t>This information collection does not affect individuals or households; thus, there are no impacts under the Privacy Act.</w:t>
      </w:r>
    </w:p>
    <w:p w14:paraId="5A8D58CE" w14:textId="77777777" w:rsidR="001D10F3" w:rsidRPr="009F34D7" w:rsidRDefault="001D10F3" w:rsidP="00040F9A">
      <w:pPr>
        <w:pStyle w:val="ParaNum"/>
        <w:widowControl/>
        <w:numPr>
          <w:ilvl w:val="0"/>
          <w:numId w:val="0"/>
        </w:numPr>
        <w:spacing w:after="0"/>
        <w:rPr>
          <w:sz w:val="24"/>
          <w:szCs w:val="24"/>
          <w:lang w:val="en-US"/>
        </w:rPr>
      </w:pPr>
    </w:p>
    <w:p w14:paraId="7B94CCD8" w14:textId="77777777" w:rsidR="00F34B27" w:rsidRDefault="00F34B27" w:rsidP="005B755E">
      <w:pPr>
        <w:pStyle w:val="ParaNum"/>
        <w:widowControl/>
        <w:numPr>
          <w:ilvl w:val="0"/>
          <w:numId w:val="0"/>
        </w:numPr>
        <w:spacing w:after="0"/>
        <w:rPr>
          <w:sz w:val="24"/>
          <w:szCs w:val="24"/>
        </w:rPr>
      </w:pPr>
      <w:r w:rsidRPr="009F34D7">
        <w:rPr>
          <w:sz w:val="24"/>
          <w:szCs w:val="24"/>
        </w:rPr>
        <w:t>The Commission’s statutory authority for th</w:t>
      </w:r>
      <w:r w:rsidR="00C256AC">
        <w:rPr>
          <w:sz w:val="24"/>
          <w:szCs w:val="24"/>
          <w:lang w:val="en-US"/>
        </w:rPr>
        <w:t xml:space="preserve">is information </w:t>
      </w:r>
      <w:r w:rsidRPr="009F34D7">
        <w:rPr>
          <w:sz w:val="24"/>
          <w:szCs w:val="24"/>
        </w:rPr>
        <w:t xml:space="preserve">collection </w:t>
      </w:r>
      <w:r w:rsidR="00C256AC">
        <w:rPr>
          <w:sz w:val="24"/>
          <w:szCs w:val="24"/>
          <w:lang w:val="en-US"/>
        </w:rPr>
        <w:t xml:space="preserve">is contained in </w:t>
      </w:r>
      <w:r w:rsidR="00285DBB" w:rsidRPr="009F34D7">
        <w:rPr>
          <w:sz w:val="24"/>
          <w:szCs w:val="24"/>
          <w:lang w:val="en-US"/>
        </w:rPr>
        <w:t>se</w:t>
      </w:r>
      <w:r w:rsidR="007E1DD3" w:rsidRPr="009F34D7">
        <w:rPr>
          <w:sz w:val="24"/>
          <w:szCs w:val="24"/>
        </w:rPr>
        <w:t>ct</w:t>
      </w:r>
      <w:r w:rsidR="00D96411">
        <w:rPr>
          <w:sz w:val="24"/>
          <w:szCs w:val="24"/>
          <w:lang w:val="en-US"/>
        </w:rPr>
        <w:t>ion</w:t>
      </w:r>
      <w:r w:rsidR="007E1DD3" w:rsidRPr="009F34D7">
        <w:rPr>
          <w:sz w:val="24"/>
          <w:szCs w:val="24"/>
        </w:rPr>
        <w:t xml:space="preserve"> 251(e)(1) </w:t>
      </w:r>
      <w:r w:rsidRPr="009F34D7">
        <w:rPr>
          <w:sz w:val="24"/>
          <w:szCs w:val="24"/>
        </w:rPr>
        <w:t xml:space="preserve">of the </w:t>
      </w:r>
      <w:r w:rsidR="0096006A" w:rsidRPr="009F34D7">
        <w:rPr>
          <w:sz w:val="24"/>
          <w:szCs w:val="24"/>
          <w:lang w:val="en-US"/>
        </w:rPr>
        <w:t>Telecommunications Act of 1996 (1996 Act)</w:t>
      </w:r>
      <w:r w:rsidR="0081493C" w:rsidRPr="009F34D7">
        <w:rPr>
          <w:sz w:val="24"/>
          <w:szCs w:val="24"/>
        </w:rPr>
        <w:t>.</w:t>
      </w:r>
    </w:p>
    <w:p w14:paraId="77BAAF0A" w14:textId="77777777" w:rsidR="005B755E" w:rsidRPr="009F34D7" w:rsidRDefault="005B755E" w:rsidP="00040F9A">
      <w:pPr>
        <w:ind w:firstLine="720"/>
        <w:rPr>
          <w:rFonts w:cs="Times New Roman"/>
          <w:szCs w:val="24"/>
        </w:rPr>
      </w:pPr>
    </w:p>
    <w:p w14:paraId="7CCE62F5" w14:textId="77777777" w:rsidR="008327F4" w:rsidRDefault="001E1B53" w:rsidP="00040F9A">
      <w:pPr>
        <w:pStyle w:val="CM2"/>
        <w:spacing w:line="240" w:lineRule="auto"/>
        <w:rPr>
          <w:rFonts w:ascii="Times New Roman" w:hAnsi="Times New Roman"/>
        </w:rPr>
      </w:pPr>
      <w:r w:rsidRPr="009F34D7">
        <w:rPr>
          <w:rFonts w:ascii="Times New Roman" w:hAnsi="Times New Roman"/>
          <w:b/>
        </w:rPr>
        <w:t xml:space="preserve">2. </w:t>
      </w:r>
      <w:r w:rsidR="000416A1">
        <w:rPr>
          <w:rFonts w:ascii="Times New Roman" w:hAnsi="Times New Roman"/>
          <w:b/>
        </w:rPr>
        <w:tab/>
      </w:r>
      <w:r w:rsidR="00801053" w:rsidRPr="009F34D7">
        <w:rPr>
          <w:rFonts w:ascii="Times New Roman" w:hAnsi="Times New Roman"/>
        </w:rPr>
        <w:t>The information collected as part of the Numbering Authorization Application will be used by the staff of the Wireline Competition Bureau (Bureau)</w:t>
      </w:r>
      <w:r w:rsidR="00FA6105" w:rsidRPr="009F34D7">
        <w:rPr>
          <w:rFonts w:ascii="Times New Roman" w:hAnsi="Times New Roman"/>
        </w:rPr>
        <w:t xml:space="preserve"> of the FCC</w:t>
      </w:r>
      <w:r w:rsidR="00801053" w:rsidRPr="009F34D7">
        <w:rPr>
          <w:rFonts w:ascii="Times New Roman" w:hAnsi="Times New Roman"/>
        </w:rPr>
        <w:t xml:space="preserve"> to verify that </w:t>
      </w:r>
      <w:r w:rsidR="00D20C28" w:rsidRPr="009F34D7">
        <w:rPr>
          <w:rFonts w:ascii="Times New Roman" w:hAnsi="Times New Roman"/>
        </w:rPr>
        <w:t xml:space="preserve">these applications conform </w:t>
      </w:r>
      <w:r w:rsidR="005250D2" w:rsidRPr="009F34D7">
        <w:rPr>
          <w:rFonts w:ascii="Times New Roman" w:hAnsi="Times New Roman"/>
        </w:rPr>
        <w:t>to</w:t>
      </w:r>
      <w:r w:rsidR="00D20C28" w:rsidRPr="009F34D7">
        <w:rPr>
          <w:rFonts w:ascii="Times New Roman" w:hAnsi="Times New Roman"/>
        </w:rPr>
        <w:t xml:space="preserve"> procedural rules</w:t>
      </w:r>
      <w:r w:rsidR="00801053" w:rsidRPr="009F34D7">
        <w:rPr>
          <w:rFonts w:ascii="Times New Roman" w:hAnsi="Times New Roman"/>
        </w:rPr>
        <w:t xml:space="preserve">.  Thus, this information will help the FCC protect against number exhaust while also promoting competitive neutrality among traditional telecommunications carriers and interconnected VoIP providers by allowing both entities to obtain numbers directly from the Numbering Administrators. </w:t>
      </w:r>
      <w:r w:rsidR="00D20C28" w:rsidRPr="009F34D7">
        <w:rPr>
          <w:rFonts w:ascii="Times New Roman" w:hAnsi="Times New Roman"/>
        </w:rPr>
        <w:t xml:space="preserve"> Bureau staff will also review the information collected as part of the Numbering Authorization Applications to ensure the fitness of the applicants and their principals to administer numbers, ensure that telephone numbers are not stranded, and maintain efficient utilization of numbering resources.</w:t>
      </w:r>
    </w:p>
    <w:p w14:paraId="7CD188B6" w14:textId="77777777" w:rsidR="005B755E" w:rsidRPr="005B755E" w:rsidRDefault="005B755E" w:rsidP="005B755E">
      <w:pPr>
        <w:pStyle w:val="Default"/>
      </w:pPr>
    </w:p>
    <w:p w14:paraId="4292A5E4" w14:textId="77777777" w:rsidR="000C0601" w:rsidRPr="009F34D7" w:rsidRDefault="000C0601" w:rsidP="000C0601">
      <w:pPr>
        <w:pStyle w:val="MediumGrid1-Accent21"/>
        <w:ind w:left="0"/>
        <w:rPr>
          <w:sz w:val="24"/>
        </w:rPr>
      </w:pPr>
    </w:p>
    <w:p w14:paraId="3C8F89B5" w14:textId="77777777" w:rsidR="003015C9" w:rsidRDefault="001E1B53" w:rsidP="00040F9A">
      <w:pPr>
        <w:pStyle w:val="CM2"/>
        <w:spacing w:line="240" w:lineRule="auto"/>
        <w:rPr>
          <w:rFonts w:ascii="Times New Roman" w:hAnsi="Times New Roman"/>
        </w:rPr>
      </w:pPr>
      <w:r w:rsidRPr="009F34D7">
        <w:rPr>
          <w:rFonts w:ascii="Times New Roman" w:hAnsi="Times New Roman"/>
          <w:b/>
        </w:rPr>
        <w:t xml:space="preserve">3. </w:t>
      </w:r>
      <w:r w:rsidR="000416A1">
        <w:rPr>
          <w:rFonts w:ascii="Times New Roman" w:hAnsi="Times New Roman"/>
          <w:b/>
        </w:rPr>
        <w:tab/>
      </w:r>
      <w:r w:rsidR="00F7698C" w:rsidRPr="009F34D7">
        <w:rPr>
          <w:rFonts w:ascii="Times New Roman" w:hAnsi="Times New Roman"/>
        </w:rPr>
        <w:t xml:space="preserve">The </w:t>
      </w:r>
      <w:r w:rsidR="00315DDD" w:rsidRPr="009F34D7">
        <w:rPr>
          <w:rFonts w:ascii="Times New Roman" w:hAnsi="Times New Roman"/>
        </w:rPr>
        <w:t>Commission</w:t>
      </w:r>
      <w:r w:rsidR="00B34FFB" w:rsidRPr="009F34D7">
        <w:rPr>
          <w:rFonts w:ascii="Times New Roman" w:hAnsi="Times New Roman"/>
        </w:rPr>
        <w:t xml:space="preserve"> </w:t>
      </w:r>
      <w:r w:rsidR="00F7698C" w:rsidRPr="009F34D7">
        <w:rPr>
          <w:rFonts w:ascii="Times New Roman" w:hAnsi="Times New Roman"/>
        </w:rPr>
        <w:t>permits carriers to file information electronically</w:t>
      </w:r>
      <w:r w:rsidR="00D56262" w:rsidRPr="009F34D7">
        <w:rPr>
          <w:rFonts w:ascii="Times New Roman" w:hAnsi="Times New Roman"/>
        </w:rPr>
        <w:t>.</w:t>
      </w:r>
      <w:r w:rsidR="004D3558" w:rsidRPr="009F34D7">
        <w:rPr>
          <w:rFonts w:ascii="Times New Roman" w:hAnsi="Times New Roman"/>
        </w:rPr>
        <w:t xml:space="preserve">  In order to f</w:t>
      </w:r>
      <w:r w:rsidR="00FA6105" w:rsidRPr="009F34D7">
        <w:rPr>
          <w:rFonts w:ascii="Times New Roman" w:hAnsi="Times New Roman"/>
        </w:rPr>
        <w:t>acilitate electronic filing of</w:t>
      </w:r>
      <w:r w:rsidR="004D3558" w:rsidRPr="009F34D7">
        <w:rPr>
          <w:rFonts w:ascii="Times New Roman" w:hAnsi="Times New Roman"/>
        </w:rPr>
        <w:t xml:space="preserve"> Numbering Authorization Application</w:t>
      </w:r>
      <w:r w:rsidR="00FA6105" w:rsidRPr="009F34D7">
        <w:rPr>
          <w:rFonts w:ascii="Times New Roman" w:hAnsi="Times New Roman"/>
        </w:rPr>
        <w:t>s</w:t>
      </w:r>
      <w:r w:rsidR="004D3558" w:rsidRPr="009F34D7">
        <w:rPr>
          <w:rFonts w:ascii="Times New Roman" w:hAnsi="Times New Roman"/>
        </w:rPr>
        <w:t>, the agency has established within the FCC’s Electronic C</w:t>
      </w:r>
      <w:r w:rsidR="00FD1D93" w:rsidRPr="009F34D7">
        <w:rPr>
          <w:rFonts w:ascii="Times New Roman" w:hAnsi="Times New Roman"/>
        </w:rPr>
        <w:t>omment Filing System (ECFS) a “S</w:t>
      </w:r>
      <w:r w:rsidR="004D3558" w:rsidRPr="009F34D7">
        <w:rPr>
          <w:rFonts w:ascii="Times New Roman" w:hAnsi="Times New Roman"/>
        </w:rPr>
        <w:t xml:space="preserve">ubmit a Non-Docketed Filing” module that facilitates filing of such applications into a single docket where all such applications must be filed. </w:t>
      </w:r>
      <w:r w:rsidR="00B14917" w:rsidRPr="009F34D7">
        <w:rPr>
          <w:rFonts w:ascii="Times New Roman" w:hAnsi="Times New Roman"/>
        </w:rPr>
        <w:t xml:space="preserve"> </w:t>
      </w:r>
      <w:r w:rsidR="00DB2990" w:rsidRPr="009F34D7">
        <w:rPr>
          <w:rFonts w:ascii="Times New Roman" w:hAnsi="Times New Roman"/>
        </w:rPr>
        <w:t xml:space="preserve">All subsequent filings by applicants and interested parties </w:t>
      </w:r>
      <w:r w:rsidR="00B14917" w:rsidRPr="009F34D7">
        <w:rPr>
          <w:rFonts w:ascii="Times New Roman" w:hAnsi="Times New Roman"/>
        </w:rPr>
        <w:t xml:space="preserve">related to an application </w:t>
      </w:r>
      <w:r w:rsidR="00DB2990" w:rsidRPr="009F34D7">
        <w:rPr>
          <w:rFonts w:ascii="Times New Roman" w:hAnsi="Times New Roman"/>
        </w:rPr>
        <w:t>must be submitted via ECFS to the appropriate docket.</w:t>
      </w:r>
      <w:r w:rsidR="00D56262" w:rsidRPr="009F34D7">
        <w:rPr>
          <w:rFonts w:ascii="Times New Roman" w:hAnsi="Times New Roman"/>
        </w:rPr>
        <w:t xml:space="preserve"> </w:t>
      </w:r>
    </w:p>
    <w:p w14:paraId="18858148" w14:textId="77777777" w:rsidR="000C0601" w:rsidRPr="000C0601" w:rsidRDefault="000C0601" w:rsidP="000C0601">
      <w:pPr>
        <w:pStyle w:val="Default"/>
      </w:pPr>
    </w:p>
    <w:p w14:paraId="22516C15" w14:textId="54BD5B61" w:rsidR="00AD4B35" w:rsidRDefault="001E1B53" w:rsidP="00040F9A">
      <w:pPr>
        <w:pStyle w:val="CM2"/>
        <w:spacing w:line="240" w:lineRule="auto"/>
        <w:rPr>
          <w:rFonts w:ascii="Times New Roman" w:hAnsi="Times New Roman"/>
        </w:rPr>
      </w:pPr>
      <w:r w:rsidRPr="009F34D7">
        <w:rPr>
          <w:rFonts w:ascii="Times New Roman" w:hAnsi="Times New Roman"/>
          <w:b/>
        </w:rPr>
        <w:t xml:space="preserve">4. </w:t>
      </w:r>
      <w:r w:rsidR="000416A1">
        <w:rPr>
          <w:rFonts w:ascii="Times New Roman" w:hAnsi="Times New Roman"/>
          <w:b/>
        </w:rPr>
        <w:tab/>
      </w:r>
      <w:r w:rsidR="002E5BA1" w:rsidRPr="009F34D7">
        <w:rPr>
          <w:rFonts w:ascii="Times New Roman" w:hAnsi="Times New Roman"/>
        </w:rPr>
        <w:t>For the most part, t</w:t>
      </w:r>
      <w:r w:rsidR="00D56262" w:rsidRPr="009F34D7">
        <w:rPr>
          <w:rFonts w:ascii="Times New Roman" w:hAnsi="Times New Roman"/>
        </w:rPr>
        <w:t xml:space="preserve">he information </w:t>
      </w:r>
      <w:r w:rsidR="001F7C38" w:rsidRPr="009F34D7">
        <w:rPr>
          <w:rFonts w:ascii="Times New Roman" w:hAnsi="Times New Roman"/>
        </w:rPr>
        <w:t>does</w:t>
      </w:r>
      <w:r w:rsidR="00D56262" w:rsidRPr="009F34D7">
        <w:rPr>
          <w:rFonts w:ascii="Times New Roman" w:hAnsi="Times New Roman"/>
        </w:rPr>
        <w:t xml:space="preserve"> not duplicate </w:t>
      </w:r>
      <w:r w:rsidR="000C122E" w:rsidRPr="009F34D7">
        <w:rPr>
          <w:rFonts w:ascii="Times New Roman" w:hAnsi="Times New Roman"/>
        </w:rPr>
        <w:t xml:space="preserve">any </w:t>
      </w:r>
      <w:r w:rsidR="00D56262" w:rsidRPr="009F34D7">
        <w:rPr>
          <w:rFonts w:ascii="Times New Roman" w:hAnsi="Times New Roman"/>
        </w:rPr>
        <w:t>c</w:t>
      </w:r>
      <w:r w:rsidR="000C122E" w:rsidRPr="009F34D7">
        <w:rPr>
          <w:rFonts w:ascii="Times New Roman" w:hAnsi="Times New Roman"/>
        </w:rPr>
        <w:t xml:space="preserve">urrent information collections.  While some </w:t>
      </w:r>
      <w:r w:rsidR="002E5BA1" w:rsidRPr="009F34D7">
        <w:rPr>
          <w:rFonts w:ascii="Times New Roman" w:hAnsi="Times New Roman"/>
        </w:rPr>
        <w:t>of the contact information requested as part of this collection may be duplicated in</w:t>
      </w:r>
      <w:r w:rsidR="000C122E" w:rsidRPr="009F34D7">
        <w:rPr>
          <w:rFonts w:ascii="Times New Roman" w:hAnsi="Times New Roman"/>
        </w:rPr>
        <w:t xml:space="preserve"> FCC Form 499-A or 477 (which </w:t>
      </w:r>
      <w:r w:rsidR="002E5BA1" w:rsidRPr="009F34D7">
        <w:rPr>
          <w:rFonts w:ascii="Times New Roman" w:hAnsi="Times New Roman"/>
        </w:rPr>
        <w:t>some</w:t>
      </w:r>
      <w:r w:rsidR="000C122E" w:rsidRPr="009F34D7">
        <w:rPr>
          <w:rFonts w:ascii="Times New Roman" w:hAnsi="Times New Roman"/>
        </w:rPr>
        <w:t xml:space="preserve"> interconnected VoIP providers already file)</w:t>
      </w:r>
      <w:r w:rsidR="002E5BA1" w:rsidRPr="009F34D7">
        <w:rPr>
          <w:rFonts w:ascii="Times New Roman" w:hAnsi="Times New Roman"/>
        </w:rPr>
        <w:t>, these forms are inadequate</w:t>
      </w:r>
      <w:r w:rsidR="000C122E" w:rsidRPr="009F34D7">
        <w:rPr>
          <w:rFonts w:ascii="Times New Roman" w:hAnsi="Times New Roman"/>
        </w:rPr>
        <w:t xml:space="preserve"> to demonstrate authorization to obtain numbers</w:t>
      </w:r>
      <w:r w:rsidR="002E5BA1" w:rsidRPr="009F34D7">
        <w:rPr>
          <w:rFonts w:ascii="Times New Roman" w:hAnsi="Times New Roman"/>
        </w:rPr>
        <w:t>, in large part because they d</w:t>
      </w:r>
      <w:r w:rsidR="000C122E" w:rsidRPr="009F34D7">
        <w:rPr>
          <w:rFonts w:ascii="Times New Roman" w:hAnsi="Times New Roman"/>
        </w:rPr>
        <w:t>o not demonstrate compl</w:t>
      </w:r>
      <w:r w:rsidR="00CE2D2F" w:rsidRPr="009F34D7">
        <w:rPr>
          <w:rFonts w:ascii="Times New Roman" w:hAnsi="Times New Roman"/>
        </w:rPr>
        <w:t>iance</w:t>
      </w:r>
      <w:r w:rsidR="000C122E" w:rsidRPr="009F34D7">
        <w:rPr>
          <w:rFonts w:ascii="Times New Roman" w:hAnsi="Times New Roman"/>
        </w:rPr>
        <w:t xml:space="preserve"> with the Commission’s rules and specific numbering requirements.  Nor do they reflect that an applicant has the appropriate technical, managerial, and financial capacity to provide service.  Further, from a purely practical perspective, a new interconnected VoIP provider seeking direct access to numbers may not have a Form 477 on file at the time that it seeks to obtain numbers.</w:t>
      </w:r>
      <w:r w:rsidR="00FA6105" w:rsidRPr="009F34D7">
        <w:rPr>
          <w:rFonts w:ascii="Times New Roman" w:hAnsi="Times New Roman"/>
        </w:rPr>
        <w:t xml:space="preserve">  Moreover, since these forms are filed only with the Commission, the contact information contained within them is not currently available to the states, which </w:t>
      </w:r>
    </w:p>
    <w:p w14:paraId="28AC395F" w14:textId="77777777" w:rsidR="0033214A" w:rsidRDefault="00FA6105" w:rsidP="00040F9A">
      <w:pPr>
        <w:pStyle w:val="CM2"/>
        <w:spacing w:line="240" w:lineRule="auto"/>
        <w:rPr>
          <w:rFonts w:ascii="Times New Roman" w:hAnsi="Times New Roman"/>
        </w:rPr>
      </w:pPr>
      <w:r w:rsidRPr="009F34D7">
        <w:rPr>
          <w:rFonts w:ascii="Times New Roman" w:hAnsi="Times New Roman"/>
        </w:rPr>
        <w:t>will require such information in order to properly monitor local telecommunications markets.</w:t>
      </w:r>
      <w:r w:rsidR="000C122E" w:rsidRPr="009F34D7">
        <w:rPr>
          <w:rFonts w:ascii="Times New Roman" w:hAnsi="Times New Roman"/>
        </w:rPr>
        <w:t xml:space="preserve">  Thus, these forms are </w:t>
      </w:r>
      <w:r w:rsidR="002E5BA1" w:rsidRPr="009F34D7">
        <w:rPr>
          <w:rFonts w:ascii="Times New Roman" w:hAnsi="Times New Roman"/>
        </w:rPr>
        <w:t>insufficient</w:t>
      </w:r>
      <w:r w:rsidR="000C122E" w:rsidRPr="009F34D7">
        <w:rPr>
          <w:rFonts w:ascii="Times New Roman" w:hAnsi="Times New Roman"/>
        </w:rPr>
        <w:t xml:space="preserve"> to demonstrate authorization </w:t>
      </w:r>
      <w:r w:rsidRPr="009F34D7">
        <w:rPr>
          <w:rFonts w:ascii="Times New Roman" w:hAnsi="Times New Roman"/>
        </w:rPr>
        <w:t xml:space="preserve">on the part of providers </w:t>
      </w:r>
      <w:r w:rsidR="000C122E" w:rsidRPr="009F34D7">
        <w:rPr>
          <w:rFonts w:ascii="Times New Roman" w:hAnsi="Times New Roman"/>
        </w:rPr>
        <w:t>to provide service and obtain numbers directly</w:t>
      </w:r>
      <w:r w:rsidRPr="009F34D7">
        <w:rPr>
          <w:rFonts w:ascii="Times New Roman" w:hAnsi="Times New Roman"/>
        </w:rPr>
        <w:t xml:space="preserve"> from the Numbering Administrators</w:t>
      </w:r>
      <w:r w:rsidR="000C122E" w:rsidRPr="009F34D7">
        <w:rPr>
          <w:rFonts w:ascii="Times New Roman" w:hAnsi="Times New Roman"/>
        </w:rPr>
        <w:t>.</w:t>
      </w:r>
    </w:p>
    <w:p w14:paraId="7F67893A" w14:textId="77777777" w:rsidR="000C0601" w:rsidRPr="000C0601" w:rsidRDefault="000C0601" w:rsidP="000C0601">
      <w:pPr>
        <w:pStyle w:val="Default"/>
      </w:pPr>
    </w:p>
    <w:p w14:paraId="2BB078CD" w14:textId="77777777" w:rsidR="001027BD" w:rsidRDefault="001E1B53" w:rsidP="00040F9A">
      <w:pPr>
        <w:pStyle w:val="ParaNum"/>
        <w:numPr>
          <w:ilvl w:val="0"/>
          <w:numId w:val="0"/>
        </w:numPr>
        <w:spacing w:after="0"/>
        <w:rPr>
          <w:sz w:val="24"/>
          <w:szCs w:val="24"/>
        </w:rPr>
      </w:pPr>
      <w:r w:rsidRPr="009F34D7">
        <w:rPr>
          <w:b/>
          <w:sz w:val="24"/>
          <w:szCs w:val="24"/>
        </w:rPr>
        <w:t xml:space="preserve">5. </w:t>
      </w:r>
      <w:r w:rsidR="0033214A" w:rsidRPr="009F34D7">
        <w:rPr>
          <w:b/>
          <w:sz w:val="24"/>
          <w:szCs w:val="24"/>
        </w:rPr>
        <w:t xml:space="preserve"> </w:t>
      </w:r>
      <w:r w:rsidR="000416A1">
        <w:rPr>
          <w:b/>
          <w:sz w:val="24"/>
          <w:szCs w:val="24"/>
        </w:rPr>
        <w:tab/>
      </w:r>
      <w:r w:rsidR="00E34125" w:rsidRPr="009F34D7">
        <w:rPr>
          <w:sz w:val="24"/>
          <w:szCs w:val="24"/>
          <w:lang w:val="en-US"/>
        </w:rPr>
        <w:t xml:space="preserve">The </w:t>
      </w:r>
      <w:r w:rsidR="00315DDD" w:rsidRPr="009F34D7">
        <w:rPr>
          <w:sz w:val="24"/>
          <w:szCs w:val="24"/>
          <w:lang w:val="en-US"/>
        </w:rPr>
        <w:t xml:space="preserve">Commission is </w:t>
      </w:r>
      <w:r w:rsidR="00C916FF" w:rsidRPr="009F34D7">
        <w:rPr>
          <w:sz w:val="24"/>
          <w:szCs w:val="24"/>
          <w:lang w:val="en-US"/>
        </w:rPr>
        <w:t>t</w:t>
      </w:r>
      <w:r w:rsidR="00315DDD" w:rsidRPr="009F34D7">
        <w:rPr>
          <w:sz w:val="24"/>
          <w:szCs w:val="24"/>
          <w:lang w:val="en-US"/>
        </w:rPr>
        <w:t xml:space="preserve">aking </w:t>
      </w:r>
      <w:r w:rsidR="00E34125" w:rsidRPr="009F34D7">
        <w:rPr>
          <w:sz w:val="24"/>
          <w:szCs w:val="24"/>
          <w:lang w:val="en-US"/>
        </w:rPr>
        <w:t xml:space="preserve">several steps to minimize the impact of the information collection on small businesses and other small entities.  </w:t>
      </w:r>
      <w:r w:rsidR="00E34125" w:rsidRPr="009F34D7">
        <w:rPr>
          <w:sz w:val="24"/>
          <w:szCs w:val="24"/>
        </w:rPr>
        <w:t xml:space="preserve">First, the Report and Order only requires those interconnected VoIP providers seeking direct access to numbers to comply with the applicable </w:t>
      </w:r>
      <w:r w:rsidR="00E34125" w:rsidRPr="009F34D7">
        <w:rPr>
          <w:sz w:val="24"/>
          <w:szCs w:val="24"/>
          <w:lang w:val="en-US"/>
        </w:rPr>
        <w:t>FCC</w:t>
      </w:r>
      <w:r w:rsidR="00E34125" w:rsidRPr="009F34D7">
        <w:rPr>
          <w:sz w:val="24"/>
          <w:szCs w:val="24"/>
        </w:rPr>
        <w:t xml:space="preserve"> rules</w:t>
      </w:r>
      <w:r w:rsidR="00E34125" w:rsidRPr="009F34D7">
        <w:rPr>
          <w:sz w:val="24"/>
          <w:szCs w:val="24"/>
          <w:lang w:val="en-US"/>
        </w:rPr>
        <w:t>, rather than all interconnected VoIP providers</w:t>
      </w:r>
      <w:r w:rsidR="00E34125" w:rsidRPr="009F34D7">
        <w:rPr>
          <w:sz w:val="24"/>
          <w:szCs w:val="24"/>
        </w:rPr>
        <w:t xml:space="preserve">.  </w:t>
      </w:r>
      <w:r w:rsidR="00E34125" w:rsidRPr="009F34D7">
        <w:rPr>
          <w:sz w:val="24"/>
          <w:szCs w:val="24"/>
          <w:lang w:val="en-US"/>
        </w:rPr>
        <w:t xml:space="preserve">And </w:t>
      </w:r>
      <w:r w:rsidR="00051EF1" w:rsidRPr="009F34D7">
        <w:rPr>
          <w:sz w:val="24"/>
          <w:szCs w:val="24"/>
          <w:lang w:val="en-US"/>
        </w:rPr>
        <w:t>although</w:t>
      </w:r>
      <w:r w:rsidR="00E34125" w:rsidRPr="009F34D7">
        <w:rPr>
          <w:sz w:val="24"/>
          <w:szCs w:val="24"/>
        </w:rPr>
        <w:t xml:space="preserve"> </w:t>
      </w:r>
      <w:r w:rsidR="00E34125" w:rsidRPr="009F34D7">
        <w:rPr>
          <w:sz w:val="24"/>
          <w:szCs w:val="24"/>
          <w:lang w:val="en-US"/>
        </w:rPr>
        <w:t>VoIP numbering authorization applicants are required</w:t>
      </w:r>
      <w:r w:rsidR="00E34125" w:rsidRPr="009F34D7">
        <w:rPr>
          <w:sz w:val="24"/>
          <w:szCs w:val="24"/>
        </w:rPr>
        <w:t xml:space="preserve"> to submit specific documentation as a condition of obtaining </w:t>
      </w:r>
      <w:r w:rsidR="00E34125" w:rsidRPr="009F34D7">
        <w:rPr>
          <w:sz w:val="24"/>
          <w:szCs w:val="24"/>
          <w:lang w:val="en-US"/>
        </w:rPr>
        <w:t>FCC</w:t>
      </w:r>
      <w:r w:rsidR="00E34125" w:rsidRPr="009F34D7">
        <w:rPr>
          <w:sz w:val="24"/>
          <w:szCs w:val="24"/>
        </w:rPr>
        <w:t xml:space="preserve"> authorization, the </w:t>
      </w:r>
      <w:r w:rsidR="00E34125" w:rsidRPr="009F34D7">
        <w:rPr>
          <w:sz w:val="24"/>
          <w:szCs w:val="24"/>
          <w:lang w:val="en-US"/>
        </w:rPr>
        <w:t>agency</w:t>
      </w:r>
      <w:r w:rsidR="00E34125" w:rsidRPr="009F34D7">
        <w:rPr>
          <w:sz w:val="24"/>
          <w:szCs w:val="24"/>
        </w:rPr>
        <w:t xml:space="preserve"> has attempted to minimize this burden by streamlining the application process as much as possible.  </w:t>
      </w:r>
      <w:r w:rsidR="00E34125" w:rsidRPr="009F34D7">
        <w:rPr>
          <w:sz w:val="24"/>
          <w:szCs w:val="24"/>
          <w:lang w:val="en-US"/>
        </w:rPr>
        <w:t>In order</w:t>
      </w:r>
      <w:r w:rsidR="00E34125" w:rsidRPr="009F34D7">
        <w:rPr>
          <w:sz w:val="24"/>
          <w:szCs w:val="24"/>
        </w:rPr>
        <w:t xml:space="preserve"> to ease the administrative burden on small entities of producing and submitting authorization application</w:t>
      </w:r>
      <w:r w:rsidR="005121CF" w:rsidRPr="009F34D7">
        <w:rPr>
          <w:sz w:val="24"/>
          <w:szCs w:val="24"/>
          <w:lang w:val="en-US"/>
        </w:rPr>
        <w:t>s</w:t>
      </w:r>
      <w:r w:rsidR="00E34125" w:rsidRPr="009F34D7">
        <w:rPr>
          <w:sz w:val="24"/>
          <w:szCs w:val="24"/>
        </w:rPr>
        <w:t>, the Commission has establish</w:t>
      </w:r>
      <w:r w:rsidR="00E34125" w:rsidRPr="009F34D7">
        <w:rPr>
          <w:sz w:val="24"/>
          <w:szCs w:val="24"/>
          <w:lang w:val="en-US"/>
        </w:rPr>
        <w:t>ed</w:t>
      </w:r>
      <w:r w:rsidR="00E34125" w:rsidRPr="009F34D7">
        <w:rPr>
          <w:sz w:val="24"/>
          <w:szCs w:val="24"/>
        </w:rPr>
        <w:t xml:space="preserve"> a module that facilitates filing of applications </w:t>
      </w:r>
      <w:r w:rsidR="005B7FB9" w:rsidRPr="009F34D7">
        <w:rPr>
          <w:sz w:val="24"/>
          <w:szCs w:val="24"/>
        </w:rPr>
        <w:t>electronically</w:t>
      </w:r>
      <w:r w:rsidR="00CE2D2F" w:rsidRPr="009F34D7">
        <w:rPr>
          <w:sz w:val="24"/>
          <w:szCs w:val="24"/>
          <w:lang w:val="en-US"/>
        </w:rPr>
        <w:t xml:space="preserve"> </w:t>
      </w:r>
      <w:r w:rsidR="00CE2D2F" w:rsidRPr="009F34D7">
        <w:rPr>
          <w:sz w:val="24"/>
          <w:szCs w:val="24"/>
        </w:rPr>
        <w:t>within its own Electronic Comment Filing System</w:t>
      </w:r>
      <w:r w:rsidR="00285DBB" w:rsidRPr="009F34D7">
        <w:rPr>
          <w:sz w:val="24"/>
          <w:szCs w:val="24"/>
          <w:lang w:val="en-US"/>
        </w:rPr>
        <w:t xml:space="preserve"> (ECFS)</w:t>
      </w:r>
      <w:r w:rsidR="00E34125" w:rsidRPr="009F34D7">
        <w:rPr>
          <w:sz w:val="24"/>
          <w:szCs w:val="24"/>
        </w:rPr>
        <w:t>.</w:t>
      </w:r>
      <w:r w:rsidR="001F7C38" w:rsidRPr="009F34D7">
        <w:rPr>
          <w:sz w:val="24"/>
          <w:szCs w:val="24"/>
        </w:rPr>
        <w:t xml:space="preserve"> </w:t>
      </w:r>
    </w:p>
    <w:p w14:paraId="7221BFE2" w14:textId="2C1729CA" w:rsidR="00D56262" w:rsidRPr="009F34D7" w:rsidRDefault="001F7C38" w:rsidP="00040F9A">
      <w:pPr>
        <w:pStyle w:val="ParaNum"/>
        <w:numPr>
          <w:ilvl w:val="0"/>
          <w:numId w:val="0"/>
        </w:numPr>
        <w:spacing w:after="0"/>
        <w:rPr>
          <w:sz w:val="24"/>
          <w:szCs w:val="24"/>
          <w:lang w:val="en-US"/>
        </w:rPr>
      </w:pPr>
      <w:r w:rsidRPr="009F34D7">
        <w:rPr>
          <w:sz w:val="24"/>
          <w:szCs w:val="24"/>
        </w:rPr>
        <w:t xml:space="preserve"> </w:t>
      </w:r>
    </w:p>
    <w:p w14:paraId="13CB4128" w14:textId="77777777" w:rsidR="00E34125" w:rsidRDefault="001E1B53" w:rsidP="00040F9A">
      <w:pPr>
        <w:pStyle w:val="CM2"/>
        <w:spacing w:line="240" w:lineRule="auto"/>
        <w:rPr>
          <w:rFonts w:ascii="Times New Roman" w:hAnsi="Times New Roman"/>
        </w:rPr>
      </w:pPr>
      <w:r w:rsidRPr="009F34D7">
        <w:rPr>
          <w:rFonts w:ascii="Times New Roman" w:hAnsi="Times New Roman"/>
          <w:b/>
        </w:rPr>
        <w:t xml:space="preserve">6. </w:t>
      </w:r>
      <w:r w:rsidR="000416A1">
        <w:rPr>
          <w:rFonts w:ascii="Times New Roman" w:hAnsi="Times New Roman"/>
          <w:b/>
        </w:rPr>
        <w:tab/>
      </w:r>
      <w:r w:rsidR="00E34125" w:rsidRPr="009F34D7">
        <w:rPr>
          <w:rFonts w:ascii="Times New Roman" w:hAnsi="Times New Roman"/>
        </w:rPr>
        <w:t xml:space="preserve">Without this information the </w:t>
      </w:r>
      <w:r w:rsidR="00051EF1" w:rsidRPr="009F34D7">
        <w:rPr>
          <w:rFonts w:ascii="Times New Roman" w:hAnsi="Times New Roman"/>
        </w:rPr>
        <w:t>FCC would not be able to verify that specific interconnected VoIP providers are able to deploy and properly utilize numbering resources, or that they have the appropriate technical, managerial, and financial capacity to provide voice service</w:t>
      </w:r>
      <w:r w:rsidR="005121CF" w:rsidRPr="009F34D7">
        <w:rPr>
          <w:rFonts w:ascii="Times New Roman" w:hAnsi="Times New Roman"/>
        </w:rPr>
        <w:t>s</w:t>
      </w:r>
      <w:r w:rsidR="00051EF1" w:rsidRPr="009F34D7">
        <w:rPr>
          <w:rFonts w:ascii="Times New Roman" w:hAnsi="Times New Roman"/>
        </w:rPr>
        <w:t xml:space="preserve">.  As a result, the FCC would not be able to grant these providers authorization to request telephone numbers directly from the Numbering Administrators.  Interconnected VoIP providers would thus be obligated to </w:t>
      </w:r>
      <w:r w:rsidR="005121CF" w:rsidRPr="009F34D7">
        <w:rPr>
          <w:rFonts w:ascii="Times New Roman" w:hAnsi="Times New Roman"/>
        </w:rPr>
        <w:t>continue to partner with</w:t>
      </w:r>
      <w:r w:rsidR="00051EF1" w:rsidRPr="009F34D7">
        <w:rPr>
          <w:rFonts w:ascii="Times New Roman" w:hAnsi="Times New Roman"/>
        </w:rPr>
        <w:t xml:space="preserve"> telecommunications carrier</w:t>
      </w:r>
      <w:r w:rsidR="005121CF" w:rsidRPr="009F34D7">
        <w:rPr>
          <w:rFonts w:ascii="Times New Roman" w:hAnsi="Times New Roman"/>
        </w:rPr>
        <w:t>s</w:t>
      </w:r>
      <w:r w:rsidR="00051EF1" w:rsidRPr="009F34D7">
        <w:rPr>
          <w:rFonts w:ascii="Times New Roman" w:hAnsi="Times New Roman"/>
        </w:rPr>
        <w:t xml:space="preserve"> when seeking numbers, a process which would necessitate unnecessary inefficiencies and associated expenses.  It would also </w:t>
      </w:r>
      <w:r w:rsidR="000B519A" w:rsidRPr="009F34D7">
        <w:rPr>
          <w:rFonts w:ascii="Times New Roman" w:hAnsi="Times New Roman"/>
        </w:rPr>
        <w:t xml:space="preserve">establish </w:t>
      </w:r>
      <w:r w:rsidR="00051EF1" w:rsidRPr="009F34D7">
        <w:rPr>
          <w:rFonts w:ascii="Times New Roman" w:hAnsi="Times New Roman"/>
        </w:rPr>
        <w:t xml:space="preserve">an unequal playing field as between traditional telecommunications carriers and interconnected VoIP </w:t>
      </w:r>
      <w:r w:rsidR="00051EF1" w:rsidRPr="009F34D7">
        <w:rPr>
          <w:rFonts w:ascii="Times New Roman" w:hAnsi="Times New Roman"/>
        </w:rPr>
        <w:lastRenderedPageBreak/>
        <w:t>providers in the competitive market for voice services</w:t>
      </w:r>
      <w:r w:rsidR="005121CF" w:rsidRPr="009F34D7">
        <w:rPr>
          <w:rFonts w:ascii="Times New Roman" w:hAnsi="Times New Roman"/>
        </w:rPr>
        <w:t>,</w:t>
      </w:r>
      <w:r w:rsidR="00051EF1" w:rsidRPr="009F34D7">
        <w:rPr>
          <w:rFonts w:ascii="Times New Roman" w:hAnsi="Times New Roman"/>
        </w:rPr>
        <w:t xml:space="preserve"> since only the former would be able to obtain numbers directly from</w:t>
      </w:r>
      <w:r w:rsidR="00404793" w:rsidRPr="009F34D7">
        <w:rPr>
          <w:rFonts w:ascii="Times New Roman" w:hAnsi="Times New Roman"/>
        </w:rPr>
        <w:t xml:space="preserve"> the Numbering Administrators.</w:t>
      </w:r>
    </w:p>
    <w:p w14:paraId="420872FA" w14:textId="77777777" w:rsidR="000C0601" w:rsidRPr="000C0601" w:rsidRDefault="000C0601" w:rsidP="000C0601">
      <w:pPr>
        <w:pStyle w:val="Default"/>
      </w:pPr>
    </w:p>
    <w:p w14:paraId="778F5F57" w14:textId="77777777" w:rsidR="000237F8" w:rsidRDefault="001E1B53" w:rsidP="00040F9A">
      <w:pPr>
        <w:pStyle w:val="CM2"/>
        <w:spacing w:line="240" w:lineRule="auto"/>
        <w:rPr>
          <w:rFonts w:ascii="Times New Roman" w:hAnsi="Times New Roman"/>
        </w:rPr>
      </w:pPr>
      <w:r w:rsidRPr="009F34D7">
        <w:rPr>
          <w:rFonts w:ascii="Times New Roman" w:hAnsi="Times New Roman"/>
          <w:b/>
        </w:rPr>
        <w:t xml:space="preserve">7. </w:t>
      </w:r>
      <w:r w:rsidR="000416A1">
        <w:rPr>
          <w:rFonts w:ascii="Times New Roman" w:hAnsi="Times New Roman"/>
          <w:b/>
        </w:rPr>
        <w:tab/>
      </w:r>
      <w:r w:rsidR="001D10F3" w:rsidRPr="009F34D7">
        <w:rPr>
          <w:rFonts w:ascii="Times New Roman" w:hAnsi="Times New Roman"/>
        </w:rPr>
        <w:t>There are n</w:t>
      </w:r>
      <w:r w:rsidR="000237F8" w:rsidRPr="009F34D7">
        <w:rPr>
          <w:rFonts w:ascii="Times New Roman" w:hAnsi="Times New Roman"/>
        </w:rPr>
        <w:t xml:space="preserve">o </w:t>
      </w:r>
      <w:r w:rsidR="0033214A" w:rsidRPr="009F34D7">
        <w:rPr>
          <w:rFonts w:ascii="Times New Roman" w:hAnsi="Times New Roman"/>
        </w:rPr>
        <w:t xml:space="preserve">special circumstances </w:t>
      </w:r>
      <w:r w:rsidR="001D10F3" w:rsidRPr="009F34D7">
        <w:rPr>
          <w:rFonts w:ascii="Times New Roman" w:hAnsi="Times New Roman"/>
        </w:rPr>
        <w:t xml:space="preserve">associated with this </w:t>
      </w:r>
      <w:r w:rsidR="0033214A" w:rsidRPr="009F34D7">
        <w:rPr>
          <w:rFonts w:ascii="Times New Roman" w:hAnsi="Times New Roman"/>
        </w:rPr>
        <w:t>inf</w:t>
      </w:r>
      <w:r w:rsidR="001D10F3" w:rsidRPr="009F34D7">
        <w:rPr>
          <w:rFonts w:ascii="Times New Roman" w:hAnsi="Times New Roman"/>
        </w:rPr>
        <w:t>ormation collection.</w:t>
      </w:r>
    </w:p>
    <w:p w14:paraId="592FB2DE" w14:textId="77777777" w:rsidR="000C0601" w:rsidRPr="000C0601" w:rsidRDefault="000C0601" w:rsidP="000C0601">
      <w:pPr>
        <w:pStyle w:val="Default"/>
      </w:pPr>
    </w:p>
    <w:p w14:paraId="52497534" w14:textId="1BCEF4E7" w:rsidR="00410EB8" w:rsidRDefault="001E1B53" w:rsidP="00040F9A">
      <w:pPr>
        <w:pStyle w:val="CM2"/>
        <w:spacing w:line="240" w:lineRule="auto"/>
        <w:rPr>
          <w:rFonts w:ascii="Times New Roman" w:hAnsi="Times New Roman"/>
        </w:rPr>
      </w:pPr>
      <w:r w:rsidRPr="009F34D7">
        <w:rPr>
          <w:rFonts w:ascii="Times New Roman" w:hAnsi="Times New Roman"/>
          <w:b/>
        </w:rPr>
        <w:t xml:space="preserve">8. </w:t>
      </w:r>
      <w:r w:rsidR="00AD7E3C" w:rsidRPr="009F34D7">
        <w:rPr>
          <w:rFonts w:ascii="Times New Roman" w:hAnsi="Times New Roman"/>
          <w:b/>
        </w:rPr>
        <w:t xml:space="preserve"> </w:t>
      </w:r>
      <w:r w:rsidR="000416A1">
        <w:rPr>
          <w:rFonts w:ascii="Times New Roman" w:hAnsi="Times New Roman"/>
          <w:b/>
        </w:rPr>
        <w:tab/>
      </w:r>
      <w:r w:rsidR="00123D52" w:rsidRPr="009F34D7">
        <w:rPr>
          <w:rFonts w:ascii="Times New Roman" w:hAnsi="Times New Roman"/>
        </w:rPr>
        <w:t>Pursuant to 5 C</w:t>
      </w:r>
      <w:r w:rsidR="00774CBF" w:rsidRPr="009F34D7">
        <w:rPr>
          <w:rFonts w:ascii="Times New Roman" w:hAnsi="Times New Roman"/>
        </w:rPr>
        <w:t>.</w:t>
      </w:r>
      <w:r w:rsidR="00123D52" w:rsidRPr="009F34D7">
        <w:rPr>
          <w:rFonts w:ascii="Times New Roman" w:hAnsi="Times New Roman"/>
        </w:rPr>
        <w:t>F</w:t>
      </w:r>
      <w:r w:rsidR="00774CBF" w:rsidRPr="009F34D7">
        <w:rPr>
          <w:rFonts w:ascii="Times New Roman" w:hAnsi="Times New Roman"/>
        </w:rPr>
        <w:t>.</w:t>
      </w:r>
      <w:r w:rsidR="00123D52" w:rsidRPr="009F34D7">
        <w:rPr>
          <w:rFonts w:ascii="Times New Roman" w:hAnsi="Times New Roman"/>
        </w:rPr>
        <w:t>R</w:t>
      </w:r>
      <w:r w:rsidR="00774CBF" w:rsidRPr="009F34D7">
        <w:rPr>
          <w:rFonts w:ascii="Times New Roman" w:hAnsi="Times New Roman"/>
        </w:rPr>
        <w:t>.</w:t>
      </w:r>
      <w:r w:rsidR="00123D52" w:rsidRPr="009F34D7">
        <w:rPr>
          <w:rFonts w:ascii="Times New Roman" w:hAnsi="Times New Roman"/>
        </w:rPr>
        <w:t xml:space="preserve"> Section 1320.8(d), </w:t>
      </w:r>
      <w:r w:rsidR="0082119E" w:rsidRPr="009F34D7">
        <w:rPr>
          <w:rFonts w:ascii="Times New Roman" w:hAnsi="Times New Roman"/>
        </w:rPr>
        <w:t xml:space="preserve">a 60 day notice was </w:t>
      </w:r>
      <w:r w:rsidR="00123D52" w:rsidRPr="009F34D7">
        <w:rPr>
          <w:rFonts w:ascii="Times New Roman" w:hAnsi="Times New Roman"/>
        </w:rPr>
        <w:t xml:space="preserve">published in the Federal Register on </w:t>
      </w:r>
      <w:r w:rsidR="00313792">
        <w:rPr>
          <w:rFonts w:ascii="Times New Roman" w:hAnsi="Times New Roman"/>
        </w:rPr>
        <w:t xml:space="preserve">March </w:t>
      </w:r>
      <w:r w:rsidR="00836503">
        <w:rPr>
          <w:rFonts w:ascii="Times New Roman" w:hAnsi="Times New Roman"/>
        </w:rPr>
        <w:t>30</w:t>
      </w:r>
      <w:r w:rsidR="001027BD">
        <w:rPr>
          <w:rFonts w:ascii="Times New Roman" w:hAnsi="Times New Roman"/>
        </w:rPr>
        <w:t xml:space="preserve">, 2016, </w:t>
      </w:r>
      <w:r w:rsidR="00836503">
        <w:rPr>
          <w:rFonts w:ascii="Times New Roman" w:hAnsi="Times New Roman"/>
        </w:rPr>
        <w:t>81</w:t>
      </w:r>
      <w:r w:rsidR="001027BD">
        <w:rPr>
          <w:rFonts w:ascii="Times New Roman" w:hAnsi="Times New Roman"/>
        </w:rPr>
        <w:t xml:space="preserve"> FR </w:t>
      </w:r>
      <w:r w:rsidR="00836503">
        <w:rPr>
          <w:rFonts w:ascii="Times New Roman" w:hAnsi="Times New Roman"/>
        </w:rPr>
        <w:t>17709</w:t>
      </w:r>
      <w:r w:rsidR="001027BD">
        <w:rPr>
          <w:rFonts w:ascii="Times New Roman" w:hAnsi="Times New Roman"/>
        </w:rPr>
        <w:t xml:space="preserve"> </w:t>
      </w:r>
      <w:r w:rsidR="005D6285" w:rsidRPr="009F34D7">
        <w:rPr>
          <w:rFonts w:ascii="Times New Roman" w:hAnsi="Times New Roman"/>
        </w:rPr>
        <w:t>seeking comments from the public</w:t>
      </w:r>
      <w:r w:rsidR="00123D52" w:rsidRPr="009F34D7">
        <w:rPr>
          <w:rFonts w:ascii="Times New Roman" w:hAnsi="Times New Roman"/>
        </w:rPr>
        <w:t xml:space="preserve">. </w:t>
      </w:r>
      <w:r w:rsidR="00313792">
        <w:rPr>
          <w:rFonts w:ascii="Times New Roman" w:hAnsi="Times New Roman"/>
        </w:rPr>
        <w:t>No comments were received from the public.</w:t>
      </w:r>
      <w:r w:rsidR="00123D52" w:rsidRPr="009F34D7">
        <w:rPr>
          <w:rFonts w:ascii="Times New Roman" w:hAnsi="Times New Roman"/>
        </w:rPr>
        <w:t xml:space="preserve"> </w:t>
      </w:r>
      <w:r w:rsidR="00694621" w:rsidRPr="009F34D7">
        <w:rPr>
          <w:rFonts w:ascii="Times New Roman" w:hAnsi="Times New Roman"/>
        </w:rPr>
        <w:t xml:space="preserve">  </w:t>
      </w:r>
    </w:p>
    <w:p w14:paraId="15EDC485" w14:textId="77777777" w:rsidR="000C0601" w:rsidRPr="000C0601" w:rsidRDefault="000C0601" w:rsidP="000C0601">
      <w:pPr>
        <w:pStyle w:val="Default"/>
      </w:pPr>
    </w:p>
    <w:p w14:paraId="67223B9B" w14:textId="77777777" w:rsidR="00A46A07" w:rsidRDefault="001E1B53" w:rsidP="00040F9A">
      <w:pPr>
        <w:pStyle w:val="CM2"/>
        <w:spacing w:line="240" w:lineRule="auto"/>
        <w:rPr>
          <w:rFonts w:ascii="Times New Roman" w:hAnsi="Times New Roman"/>
        </w:rPr>
      </w:pPr>
      <w:r w:rsidRPr="009F34D7">
        <w:rPr>
          <w:rFonts w:ascii="Times New Roman" w:hAnsi="Times New Roman"/>
          <w:b/>
        </w:rPr>
        <w:t xml:space="preserve">9. </w:t>
      </w:r>
      <w:r w:rsidR="000416A1">
        <w:rPr>
          <w:rFonts w:ascii="Times New Roman" w:hAnsi="Times New Roman"/>
          <w:b/>
        </w:rPr>
        <w:tab/>
      </w:r>
      <w:r w:rsidR="00A46A07" w:rsidRPr="009F34D7">
        <w:rPr>
          <w:rFonts w:ascii="Times New Roman" w:hAnsi="Times New Roman"/>
        </w:rPr>
        <w:t xml:space="preserve">The </w:t>
      </w:r>
      <w:r w:rsidR="00D842EA" w:rsidRPr="009F34D7">
        <w:rPr>
          <w:rFonts w:ascii="Times New Roman" w:hAnsi="Times New Roman"/>
        </w:rPr>
        <w:t>Commission</w:t>
      </w:r>
      <w:r w:rsidR="00A46A07" w:rsidRPr="009F34D7">
        <w:rPr>
          <w:rFonts w:ascii="Times New Roman" w:hAnsi="Times New Roman"/>
        </w:rPr>
        <w:t xml:space="preserve"> does not anticipate providing any payments or gifts to respondents.</w:t>
      </w:r>
    </w:p>
    <w:p w14:paraId="5D98DBEF" w14:textId="77777777" w:rsidR="000C0601" w:rsidRPr="000C0601" w:rsidRDefault="000C0601" w:rsidP="000C0601">
      <w:pPr>
        <w:pStyle w:val="Default"/>
      </w:pPr>
    </w:p>
    <w:p w14:paraId="2755A2D8" w14:textId="77777777" w:rsidR="00AD7E3C" w:rsidRDefault="001E1B53" w:rsidP="00040F9A">
      <w:pPr>
        <w:pStyle w:val="CM2"/>
        <w:spacing w:line="240" w:lineRule="auto"/>
        <w:rPr>
          <w:rFonts w:ascii="Times New Roman" w:hAnsi="Times New Roman"/>
        </w:rPr>
      </w:pPr>
      <w:r w:rsidRPr="009F34D7">
        <w:rPr>
          <w:rFonts w:ascii="Times New Roman" w:hAnsi="Times New Roman"/>
          <w:b/>
        </w:rPr>
        <w:t xml:space="preserve">10. </w:t>
      </w:r>
      <w:r w:rsidR="000416A1">
        <w:rPr>
          <w:rFonts w:ascii="Times New Roman" w:hAnsi="Times New Roman"/>
          <w:b/>
        </w:rPr>
        <w:tab/>
      </w:r>
      <w:r w:rsidR="00A46A07" w:rsidRPr="009F34D7">
        <w:rPr>
          <w:rFonts w:ascii="Times New Roman" w:hAnsi="Times New Roman"/>
        </w:rPr>
        <w:t xml:space="preserve">If respondents submit information which respondents believe is confidential, respondents may request confidential treatment of such information pursuant to section 0.459 of the </w:t>
      </w:r>
      <w:r w:rsidR="00B569C2" w:rsidRPr="009F34D7">
        <w:rPr>
          <w:rFonts w:ascii="Times New Roman" w:hAnsi="Times New Roman"/>
        </w:rPr>
        <w:t>FCC’s</w:t>
      </w:r>
      <w:r w:rsidR="00A46A07" w:rsidRPr="009F34D7">
        <w:rPr>
          <w:rFonts w:ascii="Times New Roman" w:hAnsi="Times New Roman"/>
        </w:rPr>
        <w:t xml:space="preserve"> rules, 47 C.F.R. § 0.459. </w:t>
      </w:r>
    </w:p>
    <w:p w14:paraId="4C3A53D0" w14:textId="77777777" w:rsidR="000C0601" w:rsidRPr="000C0601" w:rsidRDefault="000C0601" w:rsidP="000C0601">
      <w:pPr>
        <w:pStyle w:val="Default"/>
      </w:pPr>
    </w:p>
    <w:p w14:paraId="1B5503C6" w14:textId="77777777" w:rsidR="00A46A07" w:rsidRDefault="001E1B53" w:rsidP="00040F9A">
      <w:pPr>
        <w:pStyle w:val="CM2"/>
        <w:spacing w:line="240" w:lineRule="auto"/>
        <w:rPr>
          <w:rFonts w:ascii="Times New Roman" w:hAnsi="Times New Roman"/>
        </w:rPr>
      </w:pPr>
      <w:r w:rsidRPr="009F34D7">
        <w:rPr>
          <w:rFonts w:ascii="Times New Roman" w:hAnsi="Times New Roman"/>
          <w:b/>
        </w:rPr>
        <w:t xml:space="preserve">11. </w:t>
      </w:r>
      <w:r w:rsidR="000416A1">
        <w:rPr>
          <w:rFonts w:ascii="Times New Roman" w:hAnsi="Times New Roman"/>
          <w:b/>
        </w:rPr>
        <w:tab/>
      </w:r>
      <w:r w:rsidR="00B569C2" w:rsidRPr="009F34D7">
        <w:rPr>
          <w:rFonts w:ascii="Times New Roman" w:hAnsi="Times New Roman"/>
        </w:rPr>
        <w:t>This</w:t>
      </w:r>
      <w:r w:rsidR="00A46A07" w:rsidRPr="009F34D7">
        <w:rPr>
          <w:rFonts w:ascii="Times New Roman" w:hAnsi="Times New Roman"/>
        </w:rPr>
        <w:t xml:space="preserve"> information collection does not address an</w:t>
      </w:r>
      <w:r w:rsidR="00D842EA" w:rsidRPr="009F34D7">
        <w:rPr>
          <w:rFonts w:ascii="Times New Roman" w:hAnsi="Times New Roman"/>
        </w:rPr>
        <w:t xml:space="preserve">y </w:t>
      </w:r>
      <w:r w:rsidR="005D6285" w:rsidRPr="009F34D7">
        <w:rPr>
          <w:rFonts w:ascii="Times New Roman" w:hAnsi="Times New Roman"/>
        </w:rPr>
        <w:t xml:space="preserve">private </w:t>
      </w:r>
      <w:r w:rsidR="00D842EA" w:rsidRPr="009F34D7">
        <w:rPr>
          <w:rFonts w:ascii="Times New Roman" w:hAnsi="Times New Roman"/>
        </w:rPr>
        <w:t>matters of a sensitive nature.</w:t>
      </w:r>
      <w:r w:rsidR="00A46A07" w:rsidRPr="009F34D7">
        <w:rPr>
          <w:rFonts w:ascii="Times New Roman" w:hAnsi="Times New Roman"/>
        </w:rPr>
        <w:t xml:space="preserve"> </w:t>
      </w:r>
    </w:p>
    <w:p w14:paraId="74AE334B" w14:textId="77777777" w:rsidR="000C0601" w:rsidRPr="000C0601" w:rsidRDefault="000C0601" w:rsidP="000C0601">
      <w:pPr>
        <w:pStyle w:val="Default"/>
      </w:pPr>
    </w:p>
    <w:p w14:paraId="277E8B76" w14:textId="77777777" w:rsidR="00AC4F7E" w:rsidRPr="009F34D7" w:rsidRDefault="001E1B53" w:rsidP="00040F9A">
      <w:pPr>
        <w:pStyle w:val="CM2"/>
        <w:spacing w:line="240" w:lineRule="auto"/>
        <w:rPr>
          <w:rFonts w:ascii="Times New Roman" w:hAnsi="Times New Roman"/>
        </w:rPr>
      </w:pPr>
      <w:r w:rsidRPr="009F34D7">
        <w:rPr>
          <w:rFonts w:ascii="Times New Roman" w:hAnsi="Times New Roman"/>
          <w:b/>
        </w:rPr>
        <w:t xml:space="preserve">12. </w:t>
      </w:r>
      <w:r w:rsidR="000416A1">
        <w:rPr>
          <w:rFonts w:ascii="Times New Roman" w:hAnsi="Times New Roman"/>
          <w:b/>
        </w:rPr>
        <w:tab/>
      </w:r>
      <w:r w:rsidR="00AC4F7E" w:rsidRPr="009F34D7">
        <w:rPr>
          <w:rFonts w:ascii="Times New Roman" w:hAnsi="Times New Roman"/>
        </w:rPr>
        <w:t xml:space="preserve">Described below are the estimated burden hours associated with each collection of information. </w:t>
      </w:r>
    </w:p>
    <w:p w14:paraId="3CB9011D" w14:textId="77777777" w:rsidR="00D85078" w:rsidRDefault="00EC319C" w:rsidP="00040F9A">
      <w:pPr>
        <w:numPr>
          <w:ilvl w:val="0"/>
          <w:numId w:val="6"/>
        </w:numPr>
        <w:contextualSpacing/>
        <w:rPr>
          <w:rFonts w:cs="Times New Roman"/>
          <w:szCs w:val="24"/>
        </w:rPr>
      </w:pPr>
      <w:r w:rsidRPr="009F34D7">
        <w:rPr>
          <w:rFonts w:cs="Times New Roman"/>
          <w:szCs w:val="24"/>
        </w:rPr>
        <w:t xml:space="preserve">Numbering Authorization Application:  The potential number of respondents to this information collection is unclear, since the application is strictly voluntary and it is unknown at this time how many interconnected VoIP providers may wish to apply.  </w:t>
      </w:r>
    </w:p>
    <w:p w14:paraId="206C87CF" w14:textId="77777777" w:rsidR="00B6270C" w:rsidRDefault="00B6270C" w:rsidP="00040F9A">
      <w:pPr>
        <w:ind w:left="1440"/>
        <w:contextualSpacing/>
        <w:rPr>
          <w:rFonts w:cs="Times New Roman"/>
          <w:szCs w:val="24"/>
        </w:rPr>
      </w:pPr>
    </w:p>
    <w:p w14:paraId="7EA2D49B" w14:textId="77777777" w:rsidR="00D85078" w:rsidRDefault="00D85078" w:rsidP="00040F9A">
      <w:pPr>
        <w:numPr>
          <w:ilvl w:val="0"/>
          <w:numId w:val="9"/>
        </w:numPr>
        <w:contextualSpacing/>
        <w:rPr>
          <w:rFonts w:cs="Times New Roman"/>
          <w:szCs w:val="24"/>
        </w:rPr>
      </w:pPr>
      <w:r>
        <w:rPr>
          <w:rFonts w:cs="Times New Roman"/>
          <w:szCs w:val="24"/>
        </w:rPr>
        <w:t xml:space="preserve">The Commission </w:t>
      </w:r>
      <w:r w:rsidR="009C328C" w:rsidRPr="009F34D7">
        <w:rPr>
          <w:rFonts w:cs="Times New Roman"/>
          <w:szCs w:val="24"/>
        </w:rPr>
        <w:t>estimate</w:t>
      </w:r>
      <w:r>
        <w:rPr>
          <w:rFonts w:cs="Times New Roman"/>
          <w:szCs w:val="24"/>
        </w:rPr>
        <w:t>s</w:t>
      </w:r>
      <w:r w:rsidR="009C328C" w:rsidRPr="009F34D7">
        <w:rPr>
          <w:rFonts w:cs="Times New Roman"/>
          <w:szCs w:val="24"/>
        </w:rPr>
        <w:t xml:space="preserve"> that anywhere from five to twenty entities may choose to submit a Numbering Authorization Application, giving us an average of 13 entities (5 + 20 = 25, 25/2 = 12.5, which we round up to 13).  </w:t>
      </w:r>
    </w:p>
    <w:p w14:paraId="47C3384B" w14:textId="77777777" w:rsidR="000C5BDE" w:rsidRDefault="000C5BDE" w:rsidP="00040F9A">
      <w:pPr>
        <w:ind w:left="1440"/>
        <w:contextualSpacing/>
        <w:rPr>
          <w:rFonts w:cs="Times New Roman"/>
          <w:szCs w:val="24"/>
        </w:rPr>
      </w:pPr>
    </w:p>
    <w:p w14:paraId="275363FF" w14:textId="3C2DE6AF" w:rsidR="00D85078" w:rsidRDefault="005F43EB" w:rsidP="00040F9A">
      <w:pPr>
        <w:numPr>
          <w:ilvl w:val="0"/>
          <w:numId w:val="9"/>
        </w:numPr>
        <w:contextualSpacing/>
        <w:rPr>
          <w:rFonts w:cs="Times New Roman"/>
          <w:szCs w:val="24"/>
        </w:rPr>
      </w:pPr>
      <w:r w:rsidRPr="009F34D7">
        <w:rPr>
          <w:rFonts w:cs="Times New Roman"/>
          <w:szCs w:val="24"/>
        </w:rPr>
        <w:t xml:space="preserve">To meet the conditions required </w:t>
      </w:r>
      <w:r w:rsidR="009C328C" w:rsidRPr="009F34D7">
        <w:rPr>
          <w:rFonts w:cs="Times New Roman"/>
          <w:szCs w:val="24"/>
        </w:rPr>
        <w:t>by the application</w:t>
      </w:r>
      <w:r w:rsidRPr="009F34D7">
        <w:rPr>
          <w:rFonts w:cs="Times New Roman"/>
          <w:szCs w:val="24"/>
        </w:rPr>
        <w:t xml:space="preserve">, we </w:t>
      </w:r>
      <w:r w:rsidR="00517ACA" w:rsidRPr="009F34D7">
        <w:rPr>
          <w:rFonts w:cs="Times New Roman"/>
          <w:szCs w:val="24"/>
        </w:rPr>
        <w:t>estimate that several professional</w:t>
      </w:r>
      <w:r w:rsidR="00903868" w:rsidRPr="009F34D7">
        <w:rPr>
          <w:rFonts w:cs="Times New Roman"/>
          <w:szCs w:val="24"/>
        </w:rPr>
        <w:t>s</w:t>
      </w:r>
      <w:r w:rsidR="00517ACA" w:rsidRPr="009F34D7">
        <w:rPr>
          <w:rFonts w:cs="Times New Roman"/>
          <w:szCs w:val="24"/>
        </w:rPr>
        <w:t xml:space="preserve"> at the </w:t>
      </w:r>
      <w:r w:rsidR="009C328C" w:rsidRPr="009F34D7">
        <w:rPr>
          <w:rFonts w:cs="Times New Roman"/>
          <w:szCs w:val="24"/>
        </w:rPr>
        <w:t>provider’s</w:t>
      </w:r>
      <w:r w:rsidR="00517ACA" w:rsidRPr="009F34D7">
        <w:rPr>
          <w:rFonts w:cs="Times New Roman"/>
          <w:szCs w:val="24"/>
        </w:rPr>
        <w:t xml:space="preserve"> company, including accountants, information technology specialists, attorneys, and a compliance officer, will participate in the product</w:t>
      </w:r>
      <w:r w:rsidR="009C328C" w:rsidRPr="009F34D7">
        <w:rPr>
          <w:rFonts w:cs="Times New Roman"/>
          <w:szCs w:val="24"/>
        </w:rPr>
        <w:t>ion</w:t>
      </w:r>
      <w:r w:rsidR="00517ACA" w:rsidRPr="009F34D7">
        <w:rPr>
          <w:rFonts w:cs="Times New Roman"/>
          <w:szCs w:val="24"/>
        </w:rPr>
        <w:t xml:space="preserve"> and/or review of the </w:t>
      </w:r>
      <w:r w:rsidR="009C328C" w:rsidRPr="009F34D7">
        <w:rPr>
          <w:rFonts w:cs="Times New Roman"/>
          <w:szCs w:val="24"/>
        </w:rPr>
        <w:t>application</w:t>
      </w:r>
      <w:r w:rsidR="00517ACA" w:rsidRPr="009F34D7">
        <w:rPr>
          <w:rFonts w:cs="Times New Roman"/>
          <w:szCs w:val="24"/>
        </w:rPr>
        <w:t xml:space="preserve">.  </w:t>
      </w:r>
      <w:r w:rsidR="008F5329" w:rsidRPr="009F34D7">
        <w:rPr>
          <w:rFonts w:cs="Times New Roman"/>
          <w:szCs w:val="24"/>
        </w:rPr>
        <w:t xml:space="preserve">We </w:t>
      </w:r>
      <w:r w:rsidR="00B6270C">
        <w:rPr>
          <w:rFonts w:cs="Times New Roman"/>
          <w:szCs w:val="24"/>
        </w:rPr>
        <w:t xml:space="preserve">also </w:t>
      </w:r>
      <w:r w:rsidR="008F5329" w:rsidRPr="009F34D7">
        <w:rPr>
          <w:rFonts w:cs="Times New Roman"/>
          <w:szCs w:val="24"/>
        </w:rPr>
        <w:t xml:space="preserve">estimate a weighted average for the compensation of these professionals will be at a level comparable </w:t>
      </w:r>
      <w:r w:rsidR="00D85078">
        <w:rPr>
          <w:rFonts w:cs="Times New Roman"/>
          <w:szCs w:val="24"/>
        </w:rPr>
        <w:t xml:space="preserve">in pay </w:t>
      </w:r>
      <w:r w:rsidR="008F5329" w:rsidRPr="009F34D7">
        <w:rPr>
          <w:rFonts w:cs="Times New Roman"/>
          <w:szCs w:val="24"/>
        </w:rPr>
        <w:t>to a</w:t>
      </w:r>
      <w:r w:rsidR="00B34FFB" w:rsidRPr="009F34D7">
        <w:rPr>
          <w:rFonts w:cs="Times New Roman"/>
          <w:szCs w:val="24"/>
        </w:rPr>
        <w:t xml:space="preserve"> </w:t>
      </w:r>
      <w:r w:rsidR="00517ACA" w:rsidRPr="009F34D7">
        <w:rPr>
          <w:rFonts w:cs="Times New Roman"/>
          <w:szCs w:val="24"/>
        </w:rPr>
        <w:t>GS 1</w:t>
      </w:r>
      <w:r w:rsidR="00593DE1" w:rsidRPr="009F34D7">
        <w:rPr>
          <w:rFonts w:cs="Times New Roman"/>
          <w:szCs w:val="24"/>
        </w:rPr>
        <w:t>4</w:t>
      </w:r>
      <w:r w:rsidR="00805923">
        <w:rPr>
          <w:rFonts w:cs="Times New Roman"/>
          <w:szCs w:val="24"/>
        </w:rPr>
        <w:t xml:space="preserve"> step 5 ($59.13</w:t>
      </w:r>
      <w:r w:rsidR="00517ACA" w:rsidRPr="009F34D7">
        <w:rPr>
          <w:rFonts w:cs="Times New Roman"/>
          <w:szCs w:val="24"/>
        </w:rPr>
        <w:t>/hour)</w:t>
      </w:r>
      <w:r w:rsidR="00805923">
        <w:rPr>
          <w:rFonts w:cs="Times New Roman"/>
          <w:szCs w:val="24"/>
        </w:rPr>
        <w:t xml:space="preserve"> using the 2016</w:t>
      </w:r>
      <w:r w:rsidR="00D85078">
        <w:rPr>
          <w:rFonts w:cs="Times New Roman"/>
          <w:szCs w:val="24"/>
        </w:rPr>
        <w:t xml:space="preserve"> General Schedule Pay Table with locality payment for the </w:t>
      </w:r>
      <w:r w:rsidR="006401A6">
        <w:rPr>
          <w:rFonts w:cs="Times New Roman"/>
          <w:szCs w:val="24"/>
        </w:rPr>
        <w:t xml:space="preserve">Washington, D.C., Maryland, </w:t>
      </w:r>
      <w:r w:rsidR="00D85078">
        <w:rPr>
          <w:rFonts w:cs="Times New Roman"/>
          <w:szCs w:val="24"/>
        </w:rPr>
        <w:t xml:space="preserve">Virginia, </w:t>
      </w:r>
      <w:r w:rsidR="007E73D2">
        <w:rPr>
          <w:rFonts w:cs="Times New Roman"/>
          <w:szCs w:val="24"/>
        </w:rPr>
        <w:t>W</w:t>
      </w:r>
      <w:r w:rsidR="00D85078">
        <w:rPr>
          <w:rFonts w:cs="Times New Roman"/>
          <w:szCs w:val="24"/>
        </w:rPr>
        <w:t>est Virginia</w:t>
      </w:r>
      <w:r w:rsidR="007E73D2">
        <w:rPr>
          <w:rFonts w:cs="Times New Roman"/>
          <w:szCs w:val="24"/>
        </w:rPr>
        <w:t xml:space="preserve"> and </w:t>
      </w:r>
      <w:r w:rsidR="00D96411">
        <w:rPr>
          <w:rFonts w:cs="Times New Roman"/>
          <w:szCs w:val="24"/>
        </w:rPr>
        <w:t>Pennsylvania</w:t>
      </w:r>
      <w:r w:rsidR="00517ACA" w:rsidRPr="009F34D7">
        <w:rPr>
          <w:rFonts w:cs="Times New Roman"/>
          <w:szCs w:val="24"/>
        </w:rPr>
        <w:t xml:space="preserve">.  </w:t>
      </w:r>
    </w:p>
    <w:p w14:paraId="453003CE" w14:textId="77777777" w:rsidR="00B6270C" w:rsidRDefault="00B6270C" w:rsidP="00040F9A">
      <w:pPr>
        <w:ind w:left="1440"/>
        <w:contextualSpacing/>
        <w:rPr>
          <w:rFonts w:cs="Times New Roman"/>
          <w:szCs w:val="24"/>
        </w:rPr>
      </w:pPr>
    </w:p>
    <w:p w14:paraId="5E0ECB54" w14:textId="729051F9" w:rsidR="00C05EC9" w:rsidRPr="009F34D7" w:rsidRDefault="00B6270C" w:rsidP="00040F9A">
      <w:pPr>
        <w:numPr>
          <w:ilvl w:val="0"/>
          <w:numId w:val="9"/>
        </w:numPr>
        <w:contextualSpacing/>
        <w:rPr>
          <w:rFonts w:cs="Times New Roman"/>
          <w:szCs w:val="24"/>
        </w:rPr>
      </w:pPr>
      <w:r>
        <w:rPr>
          <w:rFonts w:cs="Times New Roman"/>
          <w:szCs w:val="24"/>
        </w:rPr>
        <w:t xml:space="preserve">The Commission </w:t>
      </w:r>
      <w:r w:rsidR="00517ACA" w:rsidRPr="009F34D7">
        <w:rPr>
          <w:rFonts w:cs="Times New Roman"/>
          <w:szCs w:val="24"/>
        </w:rPr>
        <w:t>estimate</w:t>
      </w:r>
      <w:r>
        <w:rPr>
          <w:rFonts w:cs="Times New Roman"/>
          <w:szCs w:val="24"/>
        </w:rPr>
        <w:t>s</w:t>
      </w:r>
      <w:r w:rsidR="00517ACA" w:rsidRPr="009F34D7">
        <w:rPr>
          <w:rFonts w:cs="Times New Roman"/>
          <w:szCs w:val="24"/>
        </w:rPr>
        <w:t xml:space="preserve"> that it will take </w:t>
      </w:r>
      <w:r w:rsidR="009C328C" w:rsidRPr="009F34D7">
        <w:rPr>
          <w:rFonts w:cs="Times New Roman"/>
          <w:szCs w:val="24"/>
        </w:rPr>
        <w:t>20</w:t>
      </w:r>
      <w:r w:rsidR="00517ACA" w:rsidRPr="009F34D7">
        <w:rPr>
          <w:rFonts w:cs="Times New Roman"/>
          <w:szCs w:val="24"/>
        </w:rPr>
        <w:t xml:space="preserve"> hours to produce the filing per respondent.  The burden pe</w:t>
      </w:r>
      <w:r w:rsidR="009C328C" w:rsidRPr="009F34D7">
        <w:rPr>
          <w:rFonts w:cs="Times New Roman"/>
          <w:szCs w:val="24"/>
        </w:rPr>
        <w:t>r respondent is approximatel</w:t>
      </w:r>
      <w:r w:rsidR="00805923">
        <w:rPr>
          <w:rFonts w:cs="Times New Roman"/>
          <w:szCs w:val="24"/>
        </w:rPr>
        <w:t>y $1,182.60 ($59.13</w:t>
      </w:r>
      <w:r w:rsidR="009C328C" w:rsidRPr="009F34D7">
        <w:rPr>
          <w:rFonts w:cs="Times New Roman"/>
          <w:szCs w:val="24"/>
        </w:rPr>
        <w:t xml:space="preserve"> x 20</w:t>
      </w:r>
      <w:r w:rsidR="00517ACA" w:rsidRPr="009F34D7">
        <w:rPr>
          <w:rFonts w:cs="Times New Roman"/>
          <w:szCs w:val="24"/>
        </w:rPr>
        <w:t xml:space="preserve"> hours = $</w:t>
      </w:r>
      <w:r w:rsidR="00805923">
        <w:rPr>
          <w:rFonts w:cs="Times New Roman"/>
          <w:szCs w:val="24"/>
        </w:rPr>
        <w:t>1,182.60</w:t>
      </w:r>
      <w:r w:rsidR="00AA3031" w:rsidRPr="009F34D7">
        <w:rPr>
          <w:rFonts w:cs="Times New Roman"/>
          <w:szCs w:val="24"/>
        </w:rPr>
        <w:t>)</w:t>
      </w:r>
      <w:r w:rsidR="00517ACA" w:rsidRPr="009F34D7">
        <w:rPr>
          <w:rFonts w:cs="Times New Roman"/>
          <w:szCs w:val="24"/>
        </w:rPr>
        <w:t>.  The total industry dollar cost is $</w:t>
      </w:r>
      <w:r w:rsidR="00E27EA4" w:rsidRPr="009F34D7">
        <w:rPr>
          <w:rFonts w:cs="Times New Roman"/>
          <w:szCs w:val="24"/>
        </w:rPr>
        <w:t>15</w:t>
      </w:r>
      <w:r w:rsidR="008A4BFA">
        <w:rPr>
          <w:rFonts w:cs="Times New Roman"/>
          <w:szCs w:val="24"/>
        </w:rPr>
        <w:t>,</w:t>
      </w:r>
      <w:r w:rsidR="004F6F00">
        <w:rPr>
          <w:rFonts w:cs="Times New Roman"/>
          <w:szCs w:val="24"/>
        </w:rPr>
        <w:t>373.80</w:t>
      </w:r>
      <w:r w:rsidR="00517ACA" w:rsidRPr="009F34D7">
        <w:rPr>
          <w:rFonts w:cs="Times New Roman"/>
          <w:szCs w:val="24"/>
        </w:rPr>
        <w:t xml:space="preserve"> (</w:t>
      </w:r>
      <w:r w:rsidR="00805923">
        <w:rPr>
          <w:rFonts w:cs="Times New Roman"/>
          <w:szCs w:val="24"/>
        </w:rPr>
        <w:t>13 x $1,182.60</w:t>
      </w:r>
      <w:r w:rsidR="00517ACA" w:rsidRPr="009F34D7">
        <w:rPr>
          <w:rFonts w:cs="Times New Roman"/>
          <w:szCs w:val="24"/>
        </w:rPr>
        <w:t xml:space="preserve"> = $</w:t>
      </w:r>
      <w:r w:rsidR="00805923">
        <w:rPr>
          <w:rFonts w:cs="Times New Roman"/>
          <w:szCs w:val="24"/>
        </w:rPr>
        <w:t>15,373.80</w:t>
      </w:r>
      <w:r w:rsidR="00517ACA" w:rsidRPr="009F34D7">
        <w:rPr>
          <w:rFonts w:cs="Times New Roman"/>
          <w:szCs w:val="24"/>
        </w:rPr>
        <w:t xml:space="preserve">).  The total industry </w:t>
      </w:r>
      <w:r w:rsidR="00517ACA" w:rsidRPr="009F34D7">
        <w:rPr>
          <w:rFonts w:cs="Times New Roman"/>
          <w:szCs w:val="24"/>
        </w:rPr>
        <w:lastRenderedPageBreak/>
        <w:t xml:space="preserve">burden hours is </w:t>
      </w:r>
      <w:r w:rsidR="002E2F30" w:rsidRPr="009F34D7">
        <w:rPr>
          <w:rFonts w:cs="Times New Roman"/>
          <w:szCs w:val="24"/>
        </w:rPr>
        <w:t>260</w:t>
      </w:r>
      <w:r w:rsidR="00517ACA" w:rsidRPr="009F34D7">
        <w:rPr>
          <w:rFonts w:cs="Times New Roman"/>
          <w:szCs w:val="24"/>
        </w:rPr>
        <w:t xml:space="preserve"> (</w:t>
      </w:r>
      <w:r w:rsidR="002E2F30" w:rsidRPr="009F34D7">
        <w:rPr>
          <w:rFonts w:cs="Times New Roman"/>
          <w:szCs w:val="24"/>
        </w:rPr>
        <w:t>13 x 20</w:t>
      </w:r>
      <w:r w:rsidR="00517ACA" w:rsidRPr="009F34D7">
        <w:rPr>
          <w:rFonts w:cs="Times New Roman"/>
          <w:szCs w:val="24"/>
        </w:rPr>
        <w:t xml:space="preserve"> = </w:t>
      </w:r>
      <w:r w:rsidR="00D466FF" w:rsidRPr="009F34D7">
        <w:rPr>
          <w:rFonts w:cs="Times New Roman"/>
          <w:szCs w:val="24"/>
        </w:rPr>
        <w:t>2</w:t>
      </w:r>
      <w:r w:rsidR="002E2F30" w:rsidRPr="009F34D7">
        <w:rPr>
          <w:rFonts w:cs="Times New Roman"/>
          <w:szCs w:val="24"/>
        </w:rPr>
        <w:t>60).  We note that this application need only be filed once, and will thus not be a recurring industry cost.</w:t>
      </w:r>
    </w:p>
    <w:p w14:paraId="789B3904" w14:textId="77777777" w:rsidR="00C05EC9" w:rsidRPr="009F34D7" w:rsidRDefault="00C05EC9" w:rsidP="00040F9A">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390"/>
        <w:gridCol w:w="1093"/>
        <w:gridCol w:w="1154"/>
        <w:gridCol w:w="1458"/>
        <w:gridCol w:w="1296"/>
      </w:tblGrid>
      <w:tr w:rsidR="00C05EC9" w:rsidRPr="009F34D7" w14:paraId="04B8421A" w14:textId="77777777" w:rsidTr="004638D2">
        <w:tc>
          <w:tcPr>
            <w:tcW w:w="1579" w:type="dxa"/>
            <w:shd w:val="clear" w:color="auto" w:fill="auto"/>
          </w:tcPr>
          <w:p w14:paraId="75E7570B" w14:textId="77777777" w:rsidR="00C05EC9" w:rsidRPr="009F34D7" w:rsidRDefault="002E2F30" w:rsidP="00040F9A">
            <w:pPr>
              <w:rPr>
                <w:rFonts w:cs="Times New Roman"/>
                <w:szCs w:val="24"/>
              </w:rPr>
            </w:pPr>
            <w:r w:rsidRPr="009F34D7">
              <w:rPr>
                <w:rFonts w:cs="Times New Roman"/>
                <w:szCs w:val="24"/>
              </w:rPr>
              <w:t xml:space="preserve">Expected </w:t>
            </w:r>
            <w:r w:rsidR="00C05EC9" w:rsidRPr="009F34D7">
              <w:rPr>
                <w:rFonts w:cs="Times New Roman"/>
                <w:szCs w:val="24"/>
              </w:rPr>
              <w:t xml:space="preserve">Respondents </w:t>
            </w:r>
          </w:p>
        </w:tc>
        <w:tc>
          <w:tcPr>
            <w:tcW w:w="1422" w:type="dxa"/>
            <w:shd w:val="clear" w:color="auto" w:fill="auto"/>
          </w:tcPr>
          <w:p w14:paraId="4703464B" w14:textId="77777777" w:rsidR="00C05EC9" w:rsidRPr="009F34D7" w:rsidRDefault="00E21F7B" w:rsidP="00040F9A">
            <w:pPr>
              <w:rPr>
                <w:rFonts w:cs="Times New Roman"/>
                <w:szCs w:val="24"/>
              </w:rPr>
            </w:pPr>
            <w:r w:rsidRPr="009F34D7">
              <w:rPr>
                <w:rFonts w:cs="Times New Roman"/>
                <w:szCs w:val="24"/>
              </w:rPr>
              <w:t>Hours Per R</w:t>
            </w:r>
            <w:r w:rsidR="00C05EC9" w:rsidRPr="009F34D7">
              <w:rPr>
                <w:rFonts w:cs="Times New Roman"/>
                <w:szCs w:val="24"/>
              </w:rPr>
              <w:t>espondent</w:t>
            </w:r>
          </w:p>
        </w:tc>
        <w:tc>
          <w:tcPr>
            <w:tcW w:w="1153" w:type="dxa"/>
            <w:shd w:val="clear" w:color="auto" w:fill="auto"/>
          </w:tcPr>
          <w:p w14:paraId="63AC8A7A" w14:textId="77777777" w:rsidR="00C05EC9" w:rsidRPr="009F34D7" w:rsidRDefault="00E21F7B" w:rsidP="00040F9A">
            <w:pPr>
              <w:rPr>
                <w:rFonts w:cs="Times New Roman"/>
                <w:szCs w:val="24"/>
              </w:rPr>
            </w:pPr>
            <w:r w:rsidRPr="009F34D7">
              <w:rPr>
                <w:rFonts w:cs="Times New Roman"/>
                <w:szCs w:val="24"/>
              </w:rPr>
              <w:t>Hours to I</w:t>
            </w:r>
            <w:r w:rsidR="00C05EC9" w:rsidRPr="009F34D7">
              <w:rPr>
                <w:rFonts w:cs="Times New Roman"/>
                <w:szCs w:val="24"/>
              </w:rPr>
              <w:t>ndustry</w:t>
            </w:r>
          </w:p>
        </w:tc>
        <w:tc>
          <w:tcPr>
            <w:tcW w:w="1357" w:type="dxa"/>
            <w:shd w:val="clear" w:color="auto" w:fill="auto"/>
          </w:tcPr>
          <w:p w14:paraId="6D49655A" w14:textId="77777777" w:rsidR="00C05EC9" w:rsidRPr="009F34D7" w:rsidRDefault="00E21F7B" w:rsidP="00040F9A">
            <w:pPr>
              <w:rPr>
                <w:rFonts w:cs="Times New Roman"/>
                <w:szCs w:val="24"/>
              </w:rPr>
            </w:pPr>
            <w:r w:rsidRPr="009F34D7">
              <w:rPr>
                <w:rFonts w:cs="Times New Roman"/>
                <w:szCs w:val="24"/>
              </w:rPr>
              <w:t>Hourly S</w:t>
            </w:r>
            <w:r w:rsidR="00C05EC9" w:rsidRPr="009F34D7">
              <w:rPr>
                <w:rFonts w:cs="Times New Roman"/>
                <w:szCs w:val="24"/>
              </w:rPr>
              <w:t>alary</w:t>
            </w:r>
          </w:p>
        </w:tc>
        <w:tc>
          <w:tcPr>
            <w:tcW w:w="1542" w:type="dxa"/>
            <w:shd w:val="clear" w:color="auto" w:fill="auto"/>
          </w:tcPr>
          <w:p w14:paraId="33C21147" w14:textId="77777777" w:rsidR="00C05EC9" w:rsidRPr="009F34D7" w:rsidRDefault="00E21F7B" w:rsidP="00040F9A">
            <w:pPr>
              <w:rPr>
                <w:rFonts w:cs="Times New Roman"/>
                <w:szCs w:val="24"/>
              </w:rPr>
            </w:pPr>
            <w:r w:rsidRPr="009F34D7">
              <w:rPr>
                <w:rFonts w:cs="Times New Roman"/>
                <w:szCs w:val="24"/>
              </w:rPr>
              <w:t>$ Cost Per R</w:t>
            </w:r>
            <w:r w:rsidR="00C05EC9" w:rsidRPr="009F34D7">
              <w:rPr>
                <w:rFonts w:cs="Times New Roman"/>
                <w:szCs w:val="24"/>
              </w:rPr>
              <w:t>espondent</w:t>
            </w:r>
          </w:p>
        </w:tc>
        <w:tc>
          <w:tcPr>
            <w:tcW w:w="1083" w:type="dxa"/>
            <w:shd w:val="clear" w:color="auto" w:fill="auto"/>
          </w:tcPr>
          <w:p w14:paraId="371D93B4" w14:textId="77777777" w:rsidR="00C05EC9" w:rsidRPr="009F34D7" w:rsidRDefault="00E21F7B" w:rsidP="00040F9A">
            <w:pPr>
              <w:rPr>
                <w:rFonts w:cs="Times New Roman"/>
                <w:szCs w:val="24"/>
              </w:rPr>
            </w:pPr>
            <w:r w:rsidRPr="009F34D7">
              <w:rPr>
                <w:rFonts w:cs="Times New Roman"/>
                <w:szCs w:val="24"/>
              </w:rPr>
              <w:t>$ Cost to I</w:t>
            </w:r>
            <w:r w:rsidR="00C05EC9" w:rsidRPr="009F34D7">
              <w:rPr>
                <w:rFonts w:cs="Times New Roman"/>
                <w:szCs w:val="24"/>
              </w:rPr>
              <w:t xml:space="preserve">ndustry </w:t>
            </w:r>
          </w:p>
        </w:tc>
      </w:tr>
      <w:tr w:rsidR="00C05EC9" w:rsidRPr="009F34D7" w14:paraId="70F3162B" w14:textId="77777777" w:rsidTr="004638D2">
        <w:tc>
          <w:tcPr>
            <w:tcW w:w="1579" w:type="dxa"/>
            <w:shd w:val="clear" w:color="auto" w:fill="auto"/>
          </w:tcPr>
          <w:p w14:paraId="2BCC8D87" w14:textId="77777777" w:rsidR="00C05EC9" w:rsidRPr="009F34D7" w:rsidRDefault="002E2F30" w:rsidP="00040F9A">
            <w:pPr>
              <w:rPr>
                <w:rFonts w:cs="Times New Roman"/>
                <w:szCs w:val="24"/>
              </w:rPr>
            </w:pPr>
            <w:r w:rsidRPr="009F34D7">
              <w:rPr>
                <w:rFonts w:cs="Times New Roman"/>
                <w:szCs w:val="24"/>
              </w:rPr>
              <w:t>13</w:t>
            </w:r>
          </w:p>
        </w:tc>
        <w:tc>
          <w:tcPr>
            <w:tcW w:w="1422" w:type="dxa"/>
            <w:shd w:val="clear" w:color="auto" w:fill="auto"/>
          </w:tcPr>
          <w:p w14:paraId="615E42B7" w14:textId="77777777" w:rsidR="00C05EC9" w:rsidRPr="009F34D7" w:rsidRDefault="002E2F30" w:rsidP="00040F9A">
            <w:pPr>
              <w:rPr>
                <w:rFonts w:cs="Times New Roman"/>
                <w:szCs w:val="24"/>
              </w:rPr>
            </w:pPr>
            <w:r w:rsidRPr="009F34D7">
              <w:rPr>
                <w:rFonts w:cs="Times New Roman"/>
                <w:szCs w:val="24"/>
              </w:rPr>
              <w:t>20</w:t>
            </w:r>
          </w:p>
        </w:tc>
        <w:tc>
          <w:tcPr>
            <w:tcW w:w="1153" w:type="dxa"/>
            <w:shd w:val="clear" w:color="auto" w:fill="auto"/>
          </w:tcPr>
          <w:p w14:paraId="78325C0A" w14:textId="77777777" w:rsidR="00C05EC9" w:rsidRPr="009F34D7" w:rsidRDefault="002E2F30" w:rsidP="00040F9A">
            <w:pPr>
              <w:rPr>
                <w:rFonts w:cs="Times New Roman"/>
                <w:szCs w:val="24"/>
              </w:rPr>
            </w:pPr>
            <w:r w:rsidRPr="009F34D7">
              <w:rPr>
                <w:rFonts w:cs="Times New Roman"/>
                <w:szCs w:val="24"/>
              </w:rPr>
              <w:t>260</w:t>
            </w:r>
          </w:p>
        </w:tc>
        <w:tc>
          <w:tcPr>
            <w:tcW w:w="1357" w:type="dxa"/>
            <w:shd w:val="clear" w:color="auto" w:fill="auto"/>
          </w:tcPr>
          <w:p w14:paraId="3F01EB9C" w14:textId="60389F16" w:rsidR="00C05EC9" w:rsidRPr="009F34D7" w:rsidRDefault="007C0269" w:rsidP="00040F9A">
            <w:pPr>
              <w:rPr>
                <w:rFonts w:cs="Times New Roman"/>
                <w:szCs w:val="24"/>
              </w:rPr>
            </w:pPr>
            <w:r w:rsidRPr="009F34D7">
              <w:rPr>
                <w:rFonts w:cs="Times New Roman"/>
                <w:szCs w:val="24"/>
              </w:rPr>
              <w:t>$5</w:t>
            </w:r>
            <w:r w:rsidR="00805923">
              <w:rPr>
                <w:rFonts w:cs="Times New Roman"/>
                <w:szCs w:val="24"/>
              </w:rPr>
              <w:t>9.13</w:t>
            </w:r>
          </w:p>
        </w:tc>
        <w:tc>
          <w:tcPr>
            <w:tcW w:w="1542" w:type="dxa"/>
            <w:shd w:val="clear" w:color="auto" w:fill="auto"/>
          </w:tcPr>
          <w:p w14:paraId="47B8A2CD" w14:textId="49AF28E3" w:rsidR="00C05EC9" w:rsidRPr="009F34D7" w:rsidRDefault="00805923" w:rsidP="00040F9A">
            <w:pPr>
              <w:rPr>
                <w:rFonts w:cs="Times New Roman"/>
                <w:szCs w:val="24"/>
              </w:rPr>
            </w:pPr>
            <w:r>
              <w:rPr>
                <w:rFonts w:cs="Times New Roman"/>
                <w:szCs w:val="24"/>
              </w:rPr>
              <w:t>$1,182.60</w:t>
            </w:r>
          </w:p>
        </w:tc>
        <w:tc>
          <w:tcPr>
            <w:tcW w:w="1083" w:type="dxa"/>
            <w:shd w:val="clear" w:color="auto" w:fill="auto"/>
          </w:tcPr>
          <w:p w14:paraId="114A783A" w14:textId="6B2802DB" w:rsidR="00C05EC9" w:rsidRPr="009F34D7" w:rsidRDefault="007C0269" w:rsidP="00040F9A">
            <w:pPr>
              <w:rPr>
                <w:rFonts w:cs="Times New Roman"/>
                <w:szCs w:val="24"/>
              </w:rPr>
            </w:pPr>
            <w:r w:rsidRPr="009F34D7">
              <w:rPr>
                <w:rFonts w:cs="Times New Roman"/>
                <w:szCs w:val="24"/>
              </w:rPr>
              <w:t>$</w:t>
            </w:r>
            <w:r w:rsidR="00805923">
              <w:rPr>
                <w:rFonts w:cs="Times New Roman"/>
                <w:szCs w:val="24"/>
              </w:rPr>
              <w:t>15,373.80</w:t>
            </w:r>
          </w:p>
        </w:tc>
      </w:tr>
    </w:tbl>
    <w:p w14:paraId="59F2B131" w14:textId="77777777" w:rsidR="000C0601" w:rsidRPr="009F34D7" w:rsidRDefault="000C0601" w:rsidP="00040F9A">
      <w:pPr>
        <w:pStyle w:val="MediumGrid1-Accent21"/>
        <w:ind w:left="1440"/>
        <w:rPr>
          <w:sz w:val="24"/>
        </w:rPr>
      </w:pPr>
    </w:p>
    <w:p w14:paraId="66F76E8C" w14:textId="77777777" w:rsidR="00585FE8" w:rsidRDefault="00E21F7B" w:rsidP="00040F9A">
      <w:pPr>
        <w:pStyle w:val="MediumGrid1-Accent21"/>
        <w:numPr>
          <w:ilvl w:val="0"/>
          <w:numId w:val="6"/>
        </w:numPr>
        <w:rPr>
          <w:sz w:val="24"/>
        </w:rPr>
      </w:pPr>
      <w:r w:rsidRPr="009F34D7">
        <w:rPr>
          <w:sz w:val="24"/>
        </w:rPr>
        <w:t>30-Day</w:t>
      </w:r>
      <w:r w:rsidR="0098035B" w:rsidRPr="009F34D7">
        <w:rPr>
          <w:sz w:val="24"/>
        </w:rPr>
        <w:t xml:space="preserve"> Notice </w:t>
      </w:r>
      <w:r w:rsidRPr="009F34D7">
        <w:rPr>
          <w:sz w:val="24"/>
        </w:rPr>
        <w:t>Requirement</w:t>
      </w:r>
      <w:r w:rsidR="00B077BF" w:rsidRPr="009F34D7">
        <w:rPr>
          <w:sz w:val="24"/>
        </w:rPr>
        <w:t xml:space="preserve">:  </w:t>
      </w:r>
      <w:r w:rsidR="0098035B" w:rsidRPr="009F34D7">
        <w:rPr>
          <w:sz w:val="24"/>
        </w:rPr>
        <w:t>We estimate th</w:t>
      </w:r>
      <w:r w:rsidR="00AD4B35">
        <w:rPr>
          <w:sz w:val="24"/>
        </w:rPr>
        <w:t>at approximately</w:t>
      </w:r>
      <w:r w:rsidR="0098035B" w:rsidRPr="009F34D7">
        <w:rPr>
          <w:sz w:val="24"/>
        </w:rPr>
        <w:t xml:space="preserve"> 13 interconnected VoIP providers may choose to apply for FCC authorization</w:t>
      </w:r>
      <w:r w:rsidR="00C40175" w:rsidRPr="009F34D7">
        <w:rPr>
          <w:sz w:val="24"/>
        </w:rPr>
        <w:t>.</w:t>
      </w:r>
      <w:r w:rsidR="0098035B" w:rsidRPr="009F34D7">
        <w:rPr>
          <w:sz w:val="24"/>
        </w:rPr>
        <w:t xml:space="preserve">  Should their applications be approved, they will be required to file requests for numbers with the relevant state commission(s) at least 30 days prior to requesting numbers from the Numbering Administrators.</w:t>
      </w:r>
      <w:r w:rsidRPr="009F34D7">
        <w:rPr>
          <w:sz w:val="24"/>
        </w:rPr>
        <w:t>  To meet this condition</w:t>
      </w:r>
      <w:r w:rsidR="0098035B" w:rsidRPr="009F34D7">
        <w:rPr>
          <w:sz w:val="24"/>
        </w:rPr>
        <w:t>,</w:t>
      </w:r>
      <w:r w:rsidR="00C40175" w:rsidRPr="009F34D7">
        <w:rPr>
          <w:sz w:val="24"/>
        </w:rPr>
        <w:t xml:space="preserve"> several professionals at the carrier’s company</w:t>
      </w:r>
      <w:r w:rsidR="0098035B" w:rsidRPr="009F34D7">
        <w:rPr>
          <w:sz w:val="24"/>
        </w:rPr>
        <w:t>,</w:t>
      </w:r>
      <w:r w:rsidR="00F416CA" w:rsidRPr="009F34D7">
        <w:rPr>
          <w:sz w:val="24"/>
        </w:rPr>
        <w:t xml:space="preserve"> including attorneys, information technology specialists, and </w:t>
      </w:r>
      <w:r w:rsidR="000148F5" w:rsidRPr="009F34D7">
        <w:rPr>
          <w:sz w:val="24"/>
        </w:rPr>
        <w:t xml:space="preserve">a </w:t>
      </w:r>
      <w:r w:rsidR="00F416CA" w:rsidRPr="009F34D7">
        <w:rPr>
          <w:sz w:val="24"/>
        </w:rPr>
        <w:t xml:space="preserve">compliance </w:t>
      </w:r>
      <w:r w:rsidR="00593DE1" w:rsidRPr="009F34D7">
        <w:rPr>
          <w:sz w:val="24"/>
        </w:rPr>
        <w:t>officer</w:t>
      </w:r>
      <w:r w:rsidR="0098035B" w:rsidRPr="009F34D7">
        <w:rPr>
          <w:sz w:val="24"/>
        </w:rPr>
        <w:t>,</w:t>
      </w:r>
      <w:r w:rsidR="00593DE1" w:rsidRPr="009F34D7">
        <w:rPr>
          <w:sz w:val="24"/>
        </w:rPr>
        <w:t xml:space="preserve"> </w:t>
      </w:r>
      <w:r w:rsidR="0098035B" w:rsidRPr="009F34D7">
        <w:rPr>
          <w:sz w:val="24"/>
        </w:rPr>
        <w:t>may</w:t>
      </w:r>
      <w:r w:rsidR="00C40175" w:rsidRPr="009F34D7">
        <w:rPr>
          <w:sz w:val="24"/>
        </w:rPr>
        <w:t xml:space="preserve"> participate in the production and/or review of the filing.  </w:t>
      </w:r>
    </w:p>
    <w:p w14:paraId="3D58E66C" w14:textId="77777777" w:rsidR="00585FE8" w:rsidRDefault="00585FE8" w:rsidP="00040F9A">
      <w:pPr>
        <w:pStyle w:val="MediumGrid1-Accent21"/>
        <w:ind w:left="1440"/>
        <w:rPr>
          <w:sz w:val="24"/>
        </w:rPr>
      </w:pPr>
    </w:p>
    <w:p w14:paraId="168C96DA" w14:textId="6A764666" w:rsidR="007E73D2" w:rsidRDefault="006401A6" w:rsidP="00040F9A">
      <w:pPr>
        <w:pStyle w:val="MediumGrid1-Accent21"/>
        <w:numPr>
          <w:ilvl w:val="1"/>
          <w:numId w:val="6"/>
        </w:numPr>
        <w:rPr>
          <w:sz w:val="24"/>
        </w:rPr>
      </w:pPr>
      <w:r>
        <w:rPr>
          <w:sz w:val="24"/>
        </w:rPr>
        <w:t xml:space="preserve">The Commission </w:t>
      </w:r>
      <w:r w:rsidR="00F416CA" w:rsidRPr="009F34D7">
        <w:rPr>
          <w:sz w:val="24"/>
        </w:rPr>
        <w:t>estimate</w:t>
      </w:r>
      <w:r>
        <w:rPr>
          <w:sz w:val="24"/>
        </w:rPr>
        <w:t>s</w:t>
      </w:r>
      <w:r w:rsidR="00F416CA" w:rsidRPr="009F34D7">
        <w:rPr>
          <w:sz w:val="24"/>
        </w:rPr>
        <w:t xml:space="preserve"> a weighted average for the compensation of these professionals will be at a le</w:t>
      </w:r>
      <w:r w:rsidR="00E27EA4" w:rsidRPr="009F34D7">
        <w:rPr>
          <w:sz w:val="24"/>
        </w:rPr>
        <w:t xml:space="preserve">vel comparable </w:t>
      </w:r>
      <w:r w:rsidR="007E73D2">
        <w:rPr>
          <w:sz w:val="24"/>
        </w:rPr>
        <w:t xml:space="preserve">in pay </w:t>
      </w:r>
      <w:r w:rsidR="00805923">
        <w:rPr>
          <w:sz w:val="24"/>
        </w:rPr>
        <w:t>to a GS 14 step 5 ($59.13</w:t>
      </w:r>
      <w:r w:rsidR="00F416CA" w:rsidRPr="009F34D7">
        <w:rPr>
          <w:sz w:val="24"/>
        </w:rPr>
        <w:t>/hour)</w:t>
      </w:r>
      <w:r w:rsidR="007E73D2">
        <w:rPr>
          <w:sz w:val="24"/>
        </w:rPr>
        <w:t xml:space="preserve"> using the 201</w:t>
      </w:r>
      <w:r w:rsidR="009B2540">
        <w:rPr>
          <w:sz w:val="24"/>
        </w:rPr>
        <w:t>6</w:t>
      </w:r>
      <w:r w:rsidR="007E73D2">
        <w:rPr>
          <w:sz w:val="24"/>
        </w:rPr>
        <w:t xml:space="preserve"> General Schedule Pay Table with locality payment for the Washington, D.C., Maryland, Virginia, West Virginia and Pennsylvania</w:t>
      </w:r>
      <w:r w:rsidR="00F416CA" w:rsidRPr="009F34D7">
        <w:rPr>
          <w:sz w:val="24"/>
        </w:rPr>
        <w:t>.</w:t>
      </w:r>
    </w:p>
    <w:p w14:paraId="2A83E5F7" w14:textId="77777777" w:rsidR="00585FE8" w:rsidRDefault="00F416CA" w:rsidP="00040F9A">
      <w:pPr>
        <w:pStyle w:val="MediumGrid1-Accent21"/>
        <w:ind w:left="2160"/>
        <w:rPr>
          <w:sz w:val="24"/>
        </w:rPr>
      </w:pPr>
      <w:r w:rsidRPr="009F34D7">
        <w:rPr>
          <w:sz w:val="24"/>
        </w:rPr>
        <w:t xml:space="preserve">  </w:t>
      </w:r>
    </w:p>
    <w:p w14:paraId="2119F41F" w14:textId="70B6C5F4" w:rsidR="00585FE8" w:rsidRDefault="0098035B" w:rsidP="00040F9A">
      <w:pPr>
        <w:pStyle w:val="MediumGrid1-Accent21"/>
        <w:numPr>
          <w:ilvl w:val="1"/>
          <w:numId w:val="6"/>
        </w:numPr>
        <w:rPr>
          <w:sz w:val="24"/>
        </w:rPr>
      </w:pPr>
      <w:r w:rsidRPr="009F34D7">
        <w:rPr>
          <w:sz w:val="24"/>
        </w:rPr>
        <w:t xml:space="preserve">We </w:t>
      </w:r>
      <w:r w:rsidR="006401A6">
        <w:rPr>
          <w:sz w:val="24"/>
        </w:rPr>
        <w:t xml:space="preserve">also </w:t>
      </w:r>
      <w:r w:rsidRPr="009F34D7">
        <w:rPr>
          <w:sz w:val="24"/>
        </w:rPr>
        <w:t>estimate it will take no more than 10</w:t>
      </w:r>
      <w:r w:rsidR="002C1E87" w:rsidRPr="009F34D7">
        <w:rPr>
          <w:sz w:val="24"/>
        </w:rPr>
        <w:t xml:space="preserve"> hours </w:t>
      </w:r>
      <w:r w:rsidRPr="009F34D7">
        <w:rPr>
          <w:sz w:val="24"/>
        </w:rPr>
        <w:t xml:space="preserve">annually </w:t>
      </w:r>
      <w:r w:rsidR="002C1E87" w:rsidRPr="009F34D7">
        <w:rPr>
          <w:sz w:val="24"/>
        </w:rPr>
        <w:t>to produce the filing per respondent</w:t>
      </w:r>
      <w:r w:rsidRPr="009F34D7">
        <w:rPr>
          <w:sz w:val="24"/>
        </w:rPr>
        <w:t>.  Since the numbering requests sent to the state commissions will largely contain the same information as whatever numbering request the respondent intends to transmit to the Numbering Administrators, they will not require many hours to prepare independent of the requests intended for the Administrators</w:t>
      </w:r>
      <w:r w:rsidR="002C1E87" w:rsidRPr="009F34D7">
        <w:rPr>
          <w:sz w:val="24"/>
        </w:rPr>
        <w:t>.  The burden pe</w:t>
      </w:r>
      <w:r w:rsidRPr="009F34D7">
        <w:rPr>
          <w:sz w:val="24"/>
        </w:rPr>
        <w:t xml:space="preserve">r </w:t>
      </w:r>
      <w:r w:rsidR="00E27EA4" w:rsidRPr="009F34D7">
        <w:rPr>
          <w:sz w:val="24"/>
        </w:rPr>
        <w:t>responde</w:t>
      </w:r>
      <w:r w:rsidR="00805923">
        <w:rPr>
          <w:sz w:val="24"/>
        </w:rPr>
        <w:t>nt is approximately $591.30 ($59.13 x 10 hours = $591.30</w:t>
      </w:r>
      <w:r w:rsidR="002C1E87" w:rsidRPr="009F34D7">
        <w:rPr>
          <w:sz w:val="24"/>
        </w:rPr>
        <w:t xml:space="preserve">). </w:t>
      </w:r>
    </w:p>
    <w:p w14:paraId="7BB7165C" w14:textId="77777777" w:rsidR="00585FE8" w:rsidRDefault="002C1E87" w:rsidP="00040F9A">
      <w:pPr>
        <w:pStyle w:val="MediumGrid1-Accent21"/>
        <w:ind w:left="2160"/>
        <w:rPr>
          <w:sz w:val="24"/>
        </w:rPr>
      </w:pPr>
      <w:r w:rsidRPr="009F34D7">
        <w:rPr>
          <w:sz w:val="24"/>
        </w:rPr>
        <w:t xml:space="preserve"> </w:t>
      </w:r>
    </w:p>
    <w:p w14:paraId="39E1C41A" w14:textId="18B3D82F" w:rsidR="001E0387" w:rsidRPr="009F34D7" w:rsidRDefault="006401A6" w:rsidP="00040F9A">
      <w:pPr>
        <w:pStyle w:val="MediumGrid1-Accent21"/>
        <w:numPr>
          <w:ilvl w:val="1"/>
          <w:numId w:val="6"/>
        </w:numPr>
        <w:rPr>
          <w:sz w:val="24"/>
        </w:rPr>
      </w:pPr>
      <w:r>
        <w:rPr>
          <w:sz w:val="24"/>
        </w:rPr>
        <w:t xml:space="preserve">The total </w:t>
      </w:r>
      <w:r w:rsidR="0098035B" w:rsidRPr="009F34D7">
        <w:rPr>
          <w:sz w:val="24"/>
        </w:rPr>
        <w:t>industry d</w:t>
      </w:r>
      <w:r w:rsidR="00805923">
        <w:rPr>
          <w:sz w:val="24"/>
        </w:rPr>
        <w:t>ollar cost is $7,686.90 (13 x $591.30</w:t>
      </w:r>
      <w:r w:rsidR="00E27EA4" w:rsidRPr="009F34D7">
        <w:rPr>
          <w:sz w:val="24"/>
        </w:rPr>
        <w:t xml:space="preserve"> = $7,</w:t>
      </w:r>
      <w:r w:rsidR="004F6F00">
        <w:rPr>
          <w:sz w:val="24"/>
        </w:rPr>
        <w:t>686.90</w:t>
      </w:r>
      <w:r w:rsidR="002C1E87" w:rsidRPr="009F34D7">
        <w:rPr>
          <w:sz w:val="24"/>
        </w:rPr>
        <w:t>).  The to</w:t>
      </w:r>
      <w:r w:rsidR="0098035B" w:rsidRPr="009F34D7">
        <w:rPr>
          <w:sz w:val="24"/>
        </w:rPr>
        <w:t xml:space="preserve">tal industry burden hours </w:t>
      </w:r>
      <w:r w:rsidR="005B7FB9" w:rsidRPr="009F34D7">
        <w:rPr>
          <w:sz w:val="24"/>
        </w:rPr>
        <w:t xml:space="preserve">are </w:t>
      </w:r>
      <w:r w:rsidR="0098035B" w:rsidRPr="009F34D7">
        <w:rPr>
          <w:sz w:val="24"/>
        </w:rPr>
        <w:t>130 (13 x 10 = 130</w:t>
      </w:r>
      <w:r w:rsidR="002C1E87" w:rsidRPr="009F34D7">
        <w:rPr>
          <w:sz w:val="24"/>
        </w:rPr>
        <w:t>).</w:t>
      </w:r>
    </w:p>
    <w:p w14:paraId="252CFCE1" w14:textId="77777777" w:rsidR="001830CD" w:rsidRPr="009F34D7" w:rsidRDefault="001830CD" w:rsidP="00040F9A">
      <w:pPr>
        <w:pStyle w:val="MediumGrid1-Accent21"/>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399"/>
        <w:gridCol w:w="1109"/>
        <w:gridCol w:w="1210"/>
        <w:gridCol w:w="1481"/>
        <w:gridCol w:w="1176"/>
      </w:tblGrid>
      <w:tr w:rsidR="00E21F7B" w:rsidRPr="009F34D7" w14:paraId="230A1F8E" w14:textId="77777777" w:rsidTr="001D73B6">
        <w:tc>
          <w:tcPr>
            <w:tcW w:w="1579" w:type="dxa"/>
            <w:shd w:val="clear" w:color="auto" w:fill="auto"/>
          </w:tcPr>
          <w:p w14:paraId="49EDF8A3" w14:textId="77777777" w:rsidR="00E21F7B" w:rsidRPr="009F34D7" w:rsidRDefault="00E21F7B" w:rsidP="00040F9A">
            <w:pPr>
              <w:rPr>
                <w:rFonts w:cs="Times New Roman"/>
                <w:szCs w:val="24"/>
              </w:rPr>
            </w:pPr>
            <w:r w:rsidRPr="009F34D7">
              <w:rPr>
                <w:rFonts w:cs="Times New Roman"/>
                <w:szCs w:val="24"/>
              </w:rPr>
              <w:t xml:space="preserve">Expected Respondents </w:t>
            </w:r>
          </w:p>
        </w:tc>
        <w:tc>
          <w:tcPr>
            <w:tcW w:w="1422" w:type="dxa"/>
            <w:shd w:val="clear" w:color="auto" w:fill="auto"/>
          </w:tcPr>
          <w:p w14:paraId="49686832" w14:textId="77777777" w:rsidR="00E21F7B" w:rsidRPr="009F34D7" w:rsidRDefault="00E21F7B" w:rsidP="00040F9A">
            <w:pPr>
              <w:rPr>
                <w:rFonts w:cs="Times New Roman"/>
                <w:szCs w:val="24"/>
              </w:rPr>
            </w:pPr>
            <w:r w:rsidRPr="009F34D7">
              <w:rPr>
                <w:rFonts w:cs="Times New Roman"/>
                <w:szCs w:val="24"/>
              </w:rPr>
              <w:t>Hours Per Respondent</w:t>
            </w:r>
          </w:p>
        </w:tc>
        <w:tc>
          <w:tcPr>
            <w:tcW w:w="1153" w:type="dxa"/>
            <w:shd w:val="clear" w:color="auto" w:fill="auto"/>
          </w:tcPr>
          <w:p w14:paraId="45721DFB" w14:textId="77777777" w:rsidR="00E21F7B" w:rsidRPr="009F34D7" w:rsidRDefault="00E21F7B" w:rsidP="00040F9A">
            <w:pPr>
              <w:rPr>
                <w:rFonts w:cs="Times New Roman"/>
                <w:szCs w:val="24"/>
              </w:rPr>
            </w:pPr>
            <w:r w:rsidRPr="009F34D7">
              <w:rPr>
                <w:rFonts w:cs="Times New Roman"/>
                <w:szCs w:val="24"/>
              </w:rPr>
              <w:t>Hours to Industry</w:t>
            </w:r>
          </w:p>
        </w:tc>
        <w:tc>
          <w:tcPr>
            <w:tcW w:w="1357" w:type="dxa"/>
            <w:shd w:val="clear" w:color="auto" w:fill="auto"/>
          </w:tcPr>
          <w:p w14:paraId="45F4FB87" w14:textId="77777777" w:rsidR="00E21F7B" w:rsidRPr="009F34D7" w:rsidRDefault="00E21F7B" w:rsidP="00040F9A">
            <w:pPr>
              <w:rPr>
                <w:rFonts w:cs="Times New Roman"/>
                <w:szCs w:val="24"/>
              </w:rPr>
            </w:pPr>
            <w:r w:rsidRPr="009F34D7">
              <w:rPr>
                <w:rFonts w:cs="Times New Roman"/>
                <w:szCs w:val="24"/>
              </w:rPr>
              <w:t>Hourly Salary</w:t>
            </w:r>
          </w:p>
        </w:tc>
        <w:tc>
          <w:tcPr>
            <w:tcW w:w="1542" w:type="dxa"/>
            <w:shd w:val="clear" w:color="auto" w:fill="auto"/>
          </w:tcPr>
          <w:p w14:paraId="62623F9C" w14:textId="77777777" w:rsidR="00E21F7B" w:rsidRPr="009F34D7" w:rsidRDefault="00E21F7B" w:rsidP="00040F9A">
            <w:pPr>
              <w:rPr>
                <w:rFonts w:cs="Times New Roman"/>
                <w:szCs w:val="24"/>
              </w:rPr>
            </w:pPr>
            <w:r w:rsidRPr="009F34D7">
              <w:rPr>
                <w:rFonts w:cs="Times New Roman"/>
                <w:szCs w:val="24"/>
              </w:rPr>
              <w:t>$ Cost Per Respondent</w:t>
            </w:r>
          </w:p>
        </w:tc>
        <w:tc>
          <w:tcPr>
            <w:tcW w:w="1083" w:type="dxa"/>
            <w:shd w:val="clear" w:color="auto" w:fill="auto"/>
          </w:tcPr>
          <w:p w14:paraId="6E2F2E24" w14:textId="77777777" w:rsidR="00E21F7B" w:rsidRPr="009F34D7" w:rsidRDefault="00E21F7B" w:rsidP="00040F9A">
            <w:pPr>
              <w:rPr>
                <w:rFonts w:cs="Times New Roman"/>
                <w:szCs w:val="24"/>
              </w:rPr>
            </w:pPr>
            <w:r w:rsidRPr="009F34D7">
              <w:rPr>
                <w:rFonts w:cs="Times New Roman"/>
                <w:szCs w:val="24"/>
              </w:rPr>
              <w:t xml:space="preserve">$ Cost to Industry </w:t>
            </w:r>
          </w:p>
        </w:tc>
      </w:tr>
      <w:tr w:rsidR="001830CD" w:rsidRPr="009F34D7" w14:paraId="3E1F9B3A" w14:textId="77777777" w:rsidTr="00EF6637">
        <w:trPr>
          <w:trHeight w:val="278"/>
        </w:trPr>
        <w:tc>
          <w:tcPr>
            <w:tcW w:w="1579" w:type="dxa"/>
            <w:shd w:val="clear" w:color="auto" w:fill="auto"/>
          </w:tcPr>
          <w:p w14:paraId="56694375" w14:textId="77777777" w:rsidR="001830CD" w:rsidRPr="009F34D7" w:rsidRDefault="0098035B" w:rsidP="00040F9A">
            <w:pPr>
              <w:pStyle w:val="MediumGrid1-Accent21"/>
              <w:ind w:left="0"/>
              <w:rPr>
                <w:sz w:val="24"/>
              </w:rPr>
            </w:pPr>
            <w:r w:rsidRPr="009F34D7">
              <w:rPr>
                <w:sz w:val="24"/>
              </w:rPr>
              <w:t>13</w:t>
            </w:r>
          </w:p>
        </w:tc>
        <w:tc>
          <w:tcPr>
            <w:tcW w:w="1422" w:type="dxa"/>
            <w:shd w:val="clear" w:color="auto" w:fill="auto"/>
          </w:tcPr>
          <w:p w14:paraId="1F4DB42D" w14:textId="77777777" w:rsidR="001830CD" w:rsidRPr="009F34D7" w:rsidRDefault="0098035B" w:rsidP="00040F9A">
            <w:pPr>
              <w:pStyle w:val="MediumGrid1-Accent21"/>
              <w:ind w:left="0"/>
              <w:rPr>
                <w:sz w:val="24"/>
              </w:rPr>
            </w:pPr>
            <w:r w:rsidRPr="009F34D7">
              <w:rPr>
                <w:sz w:val="24"/>
              </w:rPr>
              <w:t>10</w:t>
            </w:r>
          </w:p>
        </w:tc>
        <w:tc>
          <w:tcPr>
            <w:tcW w:w="1153" w:type="dxa"/>
            <w:shd w:val="clear" w:color="auto" w:fill="auto"/>
          </w:tcPr>
          <w:p w14:paraId="0305DF91" w14:textId="77777777" w:rsidR="001830CD" w:rsidRPr="009F34D7" w:rsidRDefault="0098035B" w:rsidP="00040F9A">
            <w:pPr>
              <w:pStyle w:val="MediumGrid1-Accent21"/>
              <w:ind w:left="0"/>
              <w:rPr>
                <w:sz w:val="24"/>
              </w:rPr>
            </w:pPr>
            <w:r w:rsidRPr="009F34D7">
              <w:rPr>
                <w:sz w:val="24"/>
              </w:rPr>
              <w:t>130</w:t>
            </w:r>
          </w:p>
        </w:tc>
        <w:tc>
          <w:tcPr>
            <w:tcW w:w="1357" w:type="dxa"/>
            <w:shd w:val="clear" w:color="auto" w:fill="auto"/>
          </w:tcPr>
          <w:p w14:paraId="135E8084" w14:textId="2D096DB8" w:rsidR="001830CD" w:rsidRPr="009F34D7" w:rsidRDefault="00C40175" w:rsidP="00040F9A">
            <w:pPr>
              <w:pStyle w:val="MediumGrid1-Accent21"/>
              <w:ind w:left="0"/>
              <w:rPr>
                <w:sz w:val="24"/>
              </w:rPr>
            </w:pPr>
            <w:r w:rsidRPr="009F34D7">
              <w:rPr>
                <w:sz w:val="24"/>
              </w:rPr>
              <w:t>$</w:t>
            </w:r>
            <w:r w:rsidR="003F0340" w:rsidRPr="009F34D7">
              <w:rPr>
                <w:sz w:val="24"/>
              </w:rPr>
              <w:t>5</w:t>
            </w:r>
            <w:r w:rsidR="00805923">
              <w:rPr>
                <w:sz w:val="24"/>
              </w:rPr>
              <w:t>9.13</w:t>
            </w:r>
          </w:p>
        </w:tc>
        <w:tc>
          <w:tcPr>
            <w:tcW w:w="1542" w:type="dxa"/>
            <w:shd w:val="clear" w:color="auto" w:fill="auto"/>
          </w:tcPr>
          <w:p w14:paraId="2B74FC55" w14:textId="2FC10A1D" w:rsidR="001830CD" w:rsidRPr="009F34D7" w:rsidRDefault="00C40175" w:rsidP="00040F9A">
            <w:pPr>
              <w:pStyle w:val="MediumGrid1-Accent21"/>
              <w:ind w:left="0"/>
              <w:rPr>
                <w:sz w:val="24"/>
              </w:rPr>
            </w:pPr>
            <w:r w:rsidRPr="009F34D7">
              <w:rPr>
                <w:sz w:val="24"/>
              </w:rPr>
              <w:t>$</w:t>
            </w:r>
            <w:r w:rsidR="00805923">
              <w:rPr>
                <w:sz w:val="24"/>
              </w:rPr>
              <w:t>591.30</w:t>
            </w:r>
          </w:p>
        </w:tc>
        <w:tc>
          <w:tcPr>
            <w:tcW w:w="1083" w:type="dxa"/>
            <w:shd w:val="clear" w:color="auto" w:fill="auto"/>
          </w:tcPr>
          <w:p w14:paraId="42011216" w14:textId="07F1C26B" w:rsidR="001830CD" w:rsidRPr="009F34D7" w:rsidRDefault="00C40175" w:rsidP="00040F9A">
            <w:pPr>
              <w:pStyle w:val="MediumGrid1-Accent21"/>
              <w:ind w:left="0"/>
              <w:rPr>
                <w:sz w:val="24"/>
              </w:rPr>
            </w:pPr>
            <w:r w:rsidRPr="009F34D7">
              <w:rPr>
                <w:sz w:val="24"/>
              </w:rPr>
              <w:t>$</w:t>
            </w:r>
            <w:r w:rsidR="00805923">
              <w:rPr>
                <w:sz w:val="24"/>
              </w:rPr>
              <w:t>7,686.90</w:t>
            </w:r>
          </w:p>
        </w:tc>
      </w:tr>
    </w:tbl>
    <w:p w14:paraId="5D92D39D" w14:textId="77777777" w:rsidR="00F7698C" w:rsidRPr="009F34D7" w:rsidRDefault="00F7698C" w:rsidP="00040F9A">
      <w:pPr>
        <w:pStyle w:val="MediumGrid1-Accent21"/>
        <w:ind w:left="0"/>
        <w:rPr>
          <w:sz w:val="24"/>
        </w:rPr>
      </w:pPr>
    </w:p>
    <w:p w14:paraId="64CD1C2E" w14:textId="77777777" w:rsidR="00585FE8" w:rsidRDefault="005B7FB9" w:rsidP="00040F9A">
      <w:pPr>
        <w:pStyle w:val="MediumGrid1-Accent21"/>
        <w:numPr>
          <w:ilvl w:val="0"/>
          <w:numId w:val="6"/>
        </w:numPr>
        <w:tabs>
          <w:tab w:val="left" w:pos="1440"/>
        </w:tabs>
        <w:rPr>
          <w:sz w:val="24"/>
        </w:rPr>
      </w:pPr>
      <w:r w:rsidRPr="009F34D7">
        <w:rPr>
          <w:sz w:val="24"/>
        </w:rPr>
        <w:t xml:space="preserve">Contact Information to States:  We estimate that roughly 13 interconnected VoIP providers may choose to apply for FCC authorization.  Should their applications be approved, they will be required to file accurate regulatory and numbering contact information </w:t>
      </w:r>
      <w:r w:rsidR="008F21EC" w:rsidRPr="009F34D7">
        <w:rPr>
          <w:sz w:val="24"/>
        </w:rPr>
        <w:t>with</w:t>
      </w:r>
      <w:r w:rsidRPr="009F34D7">
        <w:rPr>
          <w:sz w:val="24"/>
        </w:rPr>
        <w:t xml:space="preserve"> the state commission when they request numbers in that state, and to update this information whenever it becomes outdated.  To meet this condition, </w:t>
      </w:r>
      <w:r w:rsidRPr="009F34D7">
        <w:rPr>
          <w:sz w:val="24"/>
        </w:rPr>
        <w:lastRenderedPageBreak/>
        <w:t xml:space="preserve">several professionals at the carrier’s company, including attorneys and a compliance officer, may participate in the production and/or review of the filing.  </w:t>
      </w:r>
    </w:p>
    <w:p w14:paraId="2BBEEB00" w14:textId="77777777" w:rsidR="000C5BDE" w:rsidRDefault="000C5BDE" w:rsidP="00040F9A">
      <w:pPr>
        <w:pStyle w:val="MediumGrid1-Accent21"/>
        <w:tabs>
          <w:tab w:val="left" w:pos="1440"/>
        </w:tabs>
        <w:ind w:left="2160"/>
        <w:rPr>
          <w:sz w:val="24"/>
        </w:rPr>
      </w:pPr>
    </w:p>
    <w:p w14:paraId="564A341E" w14:textId="76291041" w:rsidR="002A21BB" w:rsidRDefault="00AE7D00" w:rsidP="00040F9A">
      <w:pPr>
        <w:pStyle w:val="MediumGrid1-Accent21"/>
        <w:numPr>
          <w:ilvl w:val="1"/>
          <w:numId w:val="6"/>
        </w:numPr>
        <w:tabs>
          <w:tab w:val="left" w:pos="1440"/>
        </w:tabs>
        <w:rPr>
          <w:sz w:val="24"/>
        </w:rPr>
      </w:pPr>
      <w:r>
        <w:rPr>
          <w:sz w:val="24"/>
        </w:rPr>
        <w:t xml:space="preserve">The Commission </w:t>
      </w:r>
      <w:r w:rsidR="005B7FB9" w:rsidRPr="009F34D7">
        <w:rPr>
          <w:sz w:val="24"/>
        </w:rPr>
        <w:t>estimate</w:t>
      </w:r>
      <w:r>
        <w:rPr>
          <w:sz w:val="24"/>
        </w:rPr>
        <w:t>s</w:t>
      </w:r>
      <w:r w:rsidR="005B7FB9" w:rsidRPr="009F34D7">
        <w:rPr>
          <w:sz w:val="24"/>
        </w:rPr>
        <w:t xml:space="preserve"> a weighted average for the compensation of these professionals will be at a le</w:t>
      </w:r>
      <w:r w:rsidR="00E27EA4" w:rsidRPr="009F34D7">
        <w:rPr>
          <w:sz w:val="24"/>
        </w:rPr>
        <w:t xml:space="preserve">vel comparable </w:t>
      </w:r>
      <w:r w:rsidR="002257BE">
        <w:rPr>
          <w:sz w:val="24"/>
        </w:rPr>
        <w:t xml:space="preserve">in pay </w:t>
      </w:r>
      <w:r w:rsidR="009E4464">
        <w:rPr>
          <w:sz w:val="24"/>
        </w:rPr>
        <w:t>to a GS 14 step 5 ($59.13</w:t>
      </w:r>
      <w:r w:rsidR="005B7FB9" w:rsidRPr="009F34D7">
        <w:rPr>
          <w:sz w:val="24"/>
        </w:rPr>
        <w:t>/hour)</w:t>
      </w:r>
      <w:r w:rsidR="002257BE">
        <w:rPr>
          <w:sz w:val="24"/>
        </w:rPr>
        <w:t xml:space="preserve"> using the</w:t>
      </w:r>
      <w:r w:rsidR="009E4464">
        <w:rPr>
          <w:sz w:val="24"/>
        </w:rPr>
        <w:t xml:space="preserve"> 2016</w:t>
      </w:r>
      <w:r>
        <w:rPr>
          <w:sz w:val="24"/>
        </w:rPr>
        <w:t xml:space="preserve"> General Schedule Pay Table with locality payment for the Washington, D.C., Maryland, Virginia, West Virginia and </w:t>
      </w:r>
      <w:r w:rsidR="00D96411">
        <w:rPr>
          <w:sz w:val="24"/>
        </w:rPr>
        <w:t>Pennsylvania</w:t>
      </w:r>
      <w:r w:rsidR="005B7FB9" w:rsidRPr="009F34D7">
        <w:rPr>
          <w:sz w:val="24"/>
        </w:rPr>
        <w:t xml:space="preserve">.  </w:t>
      </w:r>
    </w:p>
    <w:p w14:paraId="77BE49EC" w14:textId="77777777" w:rsidR="002A21BB" w:rsidRDefault="002A21BB" w:rsidP="00040F9A">
      <w:pPr>
        <w:pStyle w:val="MediumGrid1-Accent21"/>
        <w:tabs>
          <w:tab w:val="left" w:pos="1440"/>
        </w:tabs>
        <w:ind w:left="2160"/>
        <w:rPr>
          <w:sz w:val="24"/>
        </w:rPr>
      </w:pPr>
    </w:p>
    <w:p w14:paraId="5BA91AD7" w14:textId="77777777" w:rsidR="00324979" w:rsidRDefault="00324979" w:rsidP="00040F9A">
      <w:pPr>
        <w:pStyle w:val="MediumGrid1-Accent21"/>
        <w:tabs>
          <w:tab w:val="left" w:pos="1440"/>
        </w:tabs>
        <w:ind w:left="2160"/>
        <w:rPr>
          <w:sz w:val="24"/>
        </w:rPr>
      </w:pPr>
    </w:p>
    <w:p w14:paraId="5A26D992" w14:textId="6C513F82" w:rsidR="002A21BB" w:rsidRDefault="005B7FB9" w:rsidP="00040F9A">
      <w:pPr>
        <w:pStyle w:val="MediumGrid1-Accent21"/>
        <w:numPr>
          <w:ilvl w:val="1"/>
          <w:numId w:val="6"/>
        </w:numPr>
        <w:tabs>
          <w:tab w:val="left" w:pos="1440"/>
        </w:tabs>
        <w:rPr>
          <w:sz w:val="24"/>
        </w:rPr>
      </w:pPr>
      <w:r w:rsidRPr="009F34D7">
        <w:rPr>
          <w:sz w:val="24"/>
        </w:rPr>
        <w:t>We estimate it will take no more than 10 hours annually to produce the filing per respondent.  Since only contact information is required to be submitted as a part of this requirement, the</w:t>
      </w:r>
      <w:r w:rsidR="008F21EC" w:rsidRPr="009F34D7">
        <w:rPr>
          <w:sz w:val="24"/>
        </w:rPr>
        <w:t>se</w:t>
      </w:r>
      <w:r w:rsidRPr="009F34D7">
        <w:rPr>
          <w:sz w:val="24"/>
        </w:rPr>
        <w:t xml:space="preserve"> filings will not </w:t>
      </w:r>
      <w:r w:rsidR="008F21EC" w:rsidRPr="009F34D7">
        <w:rPr>
          <w:sz w:val="24"/>
        </w:rPr>
        <w:t>require</w:t>
      </w:r>
      <w:r w:rsidRPr="009F34D7">
        <w:rPr>
          <w:sz w:val="24"/>
        </w:rPr>
        <w:t xml:space="preserve"> many hours to prepare.  The burden per </w:t>
      </w:r>
      <w:r w:rsidR="00E27EA4" w:rsidRPr="009F34D7">
        <w:rPr>
          <w:sz w:val="24"/>
        </w:rPr>
        <w:t>responde</w:t>
      </w:r>
      <w:r w:rsidR="009E4464">
        <w:rPr>
          <w:sz w:val="24"/>
        </w:rPr>
        <w:t>nt is approximately $591.30 ($59.13 x 10 hours = $591.30</w:t>
      </w:r>
      <w:r w:rsidRPr="009F34D7">
        <w:rPr>
          <w:sz w:val="24"/>
        </w:rPr>
        <w:t xml:space="preserve">).  </w:t>
      </w:r>
    </w:p>
    <w:p w14:paraId="1F75932D" w14:textId="77777777" w:rsidR="002A21BB" w:rsidRDefault="002A21BB" w:rsidP="00040F9A">
      <w:pPr>
        <w:pStyle w:val="MediumGrid1-Accent21"/>
        <w:tabs>
          <w:tab w:val="left" w:pos="1440"/>
        </w:tabs>
        <w:ind w:left="0"/>
        <w:rPr>
          <w:sz w:val="24"/>
        </w:rPr>
      </w:pPr>
    </w:p>
    <w:p w14:paraId="7C9BF6B7" w14:textId="68A22FB8" w:rsidR="005B7FB9" w:rsidRPr="009F34D7" w:rsidRDefault="005B7FB9" w:rsidP="00040F9A">
      <w:pPr>
        <w:pStyle w:val="MediumGrid1-Accent21"/>
        <w:numPr>
          <w:ilvl w:val="1"/>
          <w:numId w:val="6"/>
        </w:numPr>
        <w:tabs>
          <w:tab w:val="left" w:pos="1440"/>
        </w:tabs>
        <w:rPr>
          <w:sz w:val="24"/>
        </w:rPr>
      </w:pPr>
      <w:r w:rsidRPr="009F34D7">
        <w:rPr>
          <w:sz w:val="24"/>
        </w:rPr>
        <w:t>The total industry d</w:t>
      </w:r>
      <w:r w:rsidR="009E4464">
        <w:rPr>
          <w:sz w:val="24"/>
        </w:rPr>
        <w:t>ollar cost is $7,686.90</w:t>
      </w:r>
      <w:r w:rsidR="007F17B8" w:rsidRPr="009F34D7">
        <w:rPr>
          <w:sz w:val="24"/>
        </w:rPr>
        <w:t xml:space="preserve"> (13 x $</w:t>
      </w:r>
      <w:r w:rsidR="009E4464">
        <w:rPr>
          <w:sz w:val="24"/>
        </w:rPr>
        <w:t>591.30 = $7,686.90</w:t>
      </w:r>
      <w:r w:rsidRPr="009F34D7">
        <w:rPr>
          <w:sz w:val="24"/>
        </w:rPr>
        <w:t>).  The total industry burden hours are 130 (13 x 10 = 130).</w:t>
      </w:r>
    </w:p>
    <w:p w14:paraId="0654D4BA" w14:textId="77777777" w:rsidR="005B7FB9" w:rsidRPr="009F34D7" w:rsidRDefault="005B7FB9" w:rsidP="00040F9A">
      <w:pPr>
        <w:pStyle w:val="MediumGrid1-Accent21"/>
        <w:tabs>
          <w:tab w:val="left" w:pos="1440"/>
        </w:tabs>
        <w:ind w:left="1440"/>
        <w:rPr>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399"/>
        <w:gridCol w:w="1109"/>
        <w:gridCol w:w="1210"/>
        <w:gridCol w:w="1481"/>
        <w:gridCol w:w="1176"/>
      </w:tblGrid>
      <w:tr w:rsidR="005B7FB9" w:rsidRPr="009F34D7" w14:paraId="2D3CF27C" w14:textId="77777777" w:rsidTr="005B7FB9">
        <w:tc>
          <w:tcPr>
            <w:tcW w:w="1579" w:type="dxa"/>
            <w:shd w:val="clear" w:color="auto" w:fill="auto"/>
          </w:tcPr>
          <w:p w14:paraId="7F719BFD" w14:textId="77777777" w:rsidR="005B7FB9" w:rsidRPr="009F34D7" w:rsidRDefault="005B7FB9" w:rsidP="00040F9A">
            <w:pPr>
              <w:rPr>
                <w:rFonts w:cs="Times New Roman"/>
                <w:szCs w:val="24"/>
              </w:rPr>
            </w:pPr>
            <w:r w:rsidRPr="009F34D7">
              <w:rPr>
                <w:rFonts w:cs="Times New Roman"/>
                <w:szCs w:val="24"/>
              </w:rPr>
              <w:t xml:space="preserve">Expected Respondents </w:t>
            </w:r>
          </w:p>
        </w:tc>
        <w:tc>
          <w:tcPr>
            <w:tcW w:w="1422" w:type="dxa"/>
            <w:shd w:val="clear" w:color="auto" w:fill="auto"/>
          </w:tcPr>
          <w:p w14:paraId="447A307F" w14:textId="77777777" w:rsidR="005B7FB9" w:rsidRPr="009F34D7" w:rsidRDefault="005B7FB9" w:rsidP="00040F9A">
            <w:pPr>
              <w:rPr>
                <w:rFonts w:cs="Times New Roman"/>
                <w:szCs w:val="24"/>
              </w:rPr>
            </w:pPr>
            <w:r w:rsidRPr="009F34D7">
              <w:rPr>
                <w:rFonts w:cs="Times New Roman"/>
                <w:szCs w:val="24"/>
              </w:rPr>
              <w:t>Hours Per Respondent</w:t>
            </w:r>
          </w:p>
        </w:tc>
        <w:tc>
          <w:tcPr>
            <w:tcW w:w="1153" w:type="dxa"/>
            <w:shd w:val="clear" w:color="auto" w:fill="auto"/>
          </w:tcPr>
          <w:p w14:paraId="1EA34E15" w14:textId="77777777" w:rsidR="005B7FB9" w:rsidRPr="009F34D7" w:rsidRDefault="005B7FB9" w:rsidP="00040F9A">
            <w:pPr>
              <w:rPr>
                <w:rFonts w:cs="Times New Roman"/>
                <w:szCs w:val="24"/>
              </w:rPr>
            </w:pPr>
            <w:r w:rsidRPr="009F34D7">
              <w:rPr>
                <w:rFonts w:cs="Times New Roman"/>
                <w:szCs w:val="24"/>
              </w:rPr>
              <w:t>Hours to Industry</w:t>
            </w:r>
          </w:p>
        </w:tc>
        <w:tc>
          <w:tcPr>
            <w:tcW w:w="1357" w:type="dxa"/>
            <w:shd w:val="clear" w:color="auto" w:fill="auto"/>
          </w:tcPr>
          <w:p w14:paraId="79F73C37" w14:textId="77777777" w:rsidR="005B7FB9" w:rsidRPr="009F34D7" w:rsidRDefault="005B7FB9" w:rsidP="00040F9A">
            <w:pPr>
              <w:rPr>
                <w:rFonts w:cs="Times New Roman"/>
                <w:szCs w:val="24"/>
              </w:rPr>
            </w:pPr>
            <w:r w:rsidRPr="009F34D7">
              <w:rPr>
                <w:rFonts w:cs="Times New Roman"/>
                <w:szCs w:val="24"/>
              </w:rPr>
              <w:t>Hourly Salary</w:t>
            </w:r>
          </w:p>
        </w:tc>
        <w:tc>
          <w:tcPr>
            <w:tcW w:w="1542" w:type="dxa"/>
            <w:shd w:val="clear" w:color="auto" w:fill="auto"/>
          </w:tcPr>
          <w:p w14:paraId="1CCDF9DA" w14:textId="77777777" w:rsidR="005B7FB9" w:rsidRPr="009F34D7" w:rsidRDefault="005B7FB9" w:rsidP="00040F9A">
            <w:pPr>
              <w:rPr>
                <w:rFonts w:cs="Times New Roman"/>
                <w:szCs w:val="24"/>
              </w:rPr>
            </w:pPr>
            <w:r w:rsidRPr="009F34D7">
              <w:rPr>
                <w:rFonts w:cs="Times New Roman"/>
                <w:szCs w:val="24"/>
              </w:rPr>
              <w:t>$ Cost Per Respondent</w:t>
            </w:r>
          </w:p>
        </w:tc>
        <w:tc>
          <w:tcPr>
            <w:tcW w:w="1083" w:type="dxa"/>
            <w:shd w:val="clear" w:color="auto" w:fill="auto"/>
          </w:tcPr>
          <w:p w14:paraId="24F6DB04" w14:textId="77777777" w:rsidR="005B7FB9" w:rsidRPr="009F34D7" w:rsidRDefault="005B7FB9" w:rsidP="00040F9A">
            <w:pPr>
              <w:rPr>
                <w:rFonts w:cs="Times New Roman"/>
                <w:szCs w:val="24"/>
              </w:rPr>
            </w:pPr>
            <w:r w:rsidRPr="009F34D7">
              <w:rPr>
                <w:rFonts w:cs="Times New Roman"/>
                <w:szCs w:val="24"/>
              </w:rPr>
              <w:t xml:space="preserve">$ Cost to Industry </w:t>
            </w:r>
          </w:p>
        </w:tc>
      </w:tr>
      <w:tr w:rsidR="005B7FB9" w:rsidRPr="009F34D7" w14:paraId="2E3AFBEF" w14:textId="77777777" w:rsidTr="005B7FB9">
        <w:trPr>
          <w:trHeight w:val="278"/>
        </w:trPr>
        <w:tc>
          <w:tcPr>
            <w:tcW w:w="1579" w:type="dxa"/>
            <w:shd w:val="clear" w:color="auto" w:fill="auto"/>
          </w:tcPr>
          <w:p w14:paraId="162F4435" w14:textId="77777777" w:rsidR="005B7FB9" w:rsidRPr="009F34D7" w:rsidRDefault="005B7FB9" w:rsidP="00040F9A">
            <w:pPr>
              <w:pStyle w:val="MediumGrid1-Accent21"/>
              <w:ind w:left="0"/>
              <w:rPr>
                <w:sz w:val="24"/>
              </w:rPr>
            </w:pPr>
            <w:r w:rsidRPr="009F34D7">
              <w:rPr>
                <w:sz w:val="24"/>
              </w:rPr>
              <w:t>13</w:t>
            </w:r>
          </w:p>
        </w:tc>
        <w:tc>
          <w:tcPr>
            <w:tcW w:w="1422" w:type="dxa"/>
            <w:shd w:val="clear" w:color="auto" w:fill="auto"/>
          </w:tcPr>
          <w:p w14:paraId="2E5871D5" w14:textId="77777777" w:rsidR="005B7FB9" w:rsidRPr="009F34D7" w:rsidRDefault="005B7FB9" w:rsidP="00040F9A">
            <w:pPr>
              <w:pStyle w:val="MediumGrid1-Accent21"/>
              <w:ind w:left="0"/>
              <w:rPr>
                <w:sz w:val="24"/>
              </w:rPr>
            </w:pPr>
            <w:r w:rsidRPr="009F34D7">
              <w:rPr>
                <w:sz w:val="24"/>
              </w:rPr>
              <w:t>10</w:t>
            </w:r>
          </w:p>
        </w:tc>
        <w:tc>
          <w:tcPr>
            <w:tcW w:w="1153" w:type="dxa"/>
            <w:shd w:val="clear" w:color="auto" w:fill="auto"/>
          </w:tcPr>
          <w:p w14:paraId="1213C449" w14:textId="77777777" w:rsidR="005B7FB9" w:rsidRPr="009F34D7" w:rsidRDefault="005B7FB9" w:rsidP="00040F9A">
            <w:pPr>
              <w:pStyle w:val="MediumGrid1-Accent21"/>
              <w:ind w:left="0"/>
              <w:rPr>
                <w:sz w:val="24"/>
              </w:rPr>
            </w:pPr>
            <w:r w:rsidRPr="009F34D7">
              <w:rPr>
                <w:sz w:val="24"/>
              </w:rPr>
              <w:t>130</w:t>
            </w:r>
          </w:p>
        </w:tc>
        <w:tc>
          <w:tcPr>
            <w:tcW w:w="1357" w:type="dxa"/>
            <w:shd w:val="clear" w:color="auto" w:fill="auto"/>
          </w:tcPr>
          <w:p w14:paraId="1B5DD813" w14:textId="72E0BF09" w:rsidR="005B7FB9" w:rsidRPr="009F34D7" w:rsidRDefault="009E4464" w:rsidP="00040F9A">
            <w:pPr>
              <w:pStyle w:val="MediumGrid1-Accent21"/>
              <w:ind w:left="0"/>
              <w:rPr>
                <w:sz w:val="24"/>
              </w:rPr>
            </w:pPr>
            <w:r>
              <w:rPr>
                <w:sz w:val="24"/>
              </w:rPr>
              <w:t>$59.13</w:t>
            </w:r>
          </w:p>
        </w:tc>
        <w:tc>
          <w:tcPr>
            <w:tcW w:w="1542" w:type="dxa"/>
            <w:shd w:val="clear" w:color="auto" w:fill="auto"/>
          </w:tcPr>
          <w:p w14:paraId="7A37032D" w14:textId="504A6B56" w:rsidR="005B7FB9" w:rsidRPr="009F34D7" w:rsidRDefault="005B7FB9" w:rsidP="00040F9A">
            <w:pPr>
              <w:pStyle w:val="MediumGrid1-Accent21"/>
              <w:ind w:left="0"/>
              <w:rPr>
                <w:sz w:val="24"/>
              </w:rPr>
            </w:pPr>
            <w:r w:rsidRPr="009F34D7">
              <w:rPr>
                <w:sz w:val="24"/>
              </w:rPr>
              <w:t>$</w:t>
            </w:r>
            <w:r w:rsidR="009E4464">
              <w:rPr>
                <w:sz w:val="24"/>
              </w:rPr>
              <w:t>591.30</w:t>
            </w:r>
          </w:p>
        </w:tc>
        <w:tc>
          <w:tcPr>
            <w:tcW w:w="1083" w:type="dxa"/>
            <w:shd w:val="clear" w:color="auto" w:fill="auto"/>
          </w:tcPr>
          <w:p w14:paraId="2B81D0FB" w14:textId="7D72B64B" w:rsidR="005B7FB9" w:rsidRPr="009F34D7" w:rsidRDefault="005B7FB9" w:rsidP="00040F9A">
            <w:pPr>
              <w:pStyle w:val="MediumGrid1-Accent21"/>
              <w:ind w:left="0"/>
              <w:rPr>
                <w:sz w:val="24"/>
              </w:rPr>
            </w:pPr>
            <w:r w:rsidRPr="009F34D7">
              <w:rPr>
                <w:sz w:val="24"/>
              </w:rPr>
              <w:t>$</w:t>
            </w:r>
            <w:r w:rsidR="009E4464">
              <w:rPr>
                <w:sz w:val="24"/>
              </w:rPr>
              <w:t>7,686.90</w:t>
            </w:r>
          </w:p>
        </w:tc>
      </w:tr>
    </w:tbl>
    <w:p w14:paraId="27DFD5FE" w14:textId="77777777" w:rsidR="00586A69" w:rsidRPr="009F34D7" w:rsidRDefault="00586A69" w:rsidP="00040F9A">
      <w:pPr>
        <w:pStyle w:val="MediumGrid1-Accent21"/>
        <w:tabs>
          <w:tab w:val="left" w:pos="1440"/>
        </w:tabs>
        <w:ind w:left="0"/>
        <w:rPr>
          <w:sz w:val="24"/>
        </w:rPr>
      </w:pPr>
    </w:p>
    <w:p w14:paraId="512146C4" w14:textId="77777777" w:rsidR="00F7698C" w:rsidRPr="009D7A4C" w:rsidRDefault="009F34D7" w:rsidP="00040F9A">
      <w:pPr>
        <w:pStyle w:val="MediumGrid1-Accent21"/>
        <w:ind w:left="0"/>
        <w:rPr>
          <w:b/>
          <w:sz w:val="24"/>
        </w:rPr>
      </w:pPr>
      <w:r w:rsidRPr="009D7A4C">
        <w:rPr>
          <w:b/>
          <w:sz w:val="24"/>
        </w:rPr>
        <w:t>Grand Total of Information Collection Requirements</w:t>
      </w:r>
      <w:r w:rsidR="009D7A4C">
        <w:rPr>
          <w:b/>
          <w:sz w:val="24"/>
        </w:rPr>
        <w:t xml:space="preserve"> contained in this collection</w:t>
      </w:r>
      <w:r w:rsidR="00F7698C" w:rsidRPr="009D7A4C">
        <w:rPr>
          <w:b/>
          <w:sz w:val="24"/>
        </w:rPr>
        <w:t>:</w:t>
      </w:r>
    </w:p>
    <w:p w14:paraId="04A4B0B6" w14:textId="77777777" w:rsidR="00F7698C" w:rsidRPr="009F34D7" w:rsidRDefault="00F7698C" w:rsidP="00040F9A">
      <w:pPr>
        <w:pStyle w:val="MediumGrid1-Accent21"/>
        <w:ind w:left="0"/>
        <w:rPr>
          <w:sz w:val="24"/>
        </w:rPr>
      </w:pPr>
    </w:p>
    <w:p w14:paraId="3D1BF1FC" w14:textId="77777777" w:rsidR="00F7698C" w:rsidRPr="009F34D7" w:rsidRDefault="00F7698C" w:rsidP="00040F9A">
      <w:pPr>
        <w:pStyle w:val="MediumGrid1-Accent21"/>
        <w:ind w:left="0"/>
        <w:rPr>
          <w:sz w:val="24"/>
        </w:rPr>
      </w:pPr>
    </w:p>
    <w:tbl>
      <w:tblPr>
        <w:tblW w:w="8100" w:type="dxa"/>
        <w:tblInd w:w="738" w:type="dxa"/>
        <w:tblCellMar>
          <w:left w:w="0" w:type="dxa"/>
          <w:right w:w="0" w:type="dxa"/>
        </w:tblCellMar>
        <w:tblLook w:val="04A0" w:firstRow="1" w:lastRow="0" w:firstColumn="1" w:lastColumn="0" w:noHBand="0" w:noVBand="1"/>
      </w:tblPr>
      <w:tblGrid>
        <w:gridCol w:w="1550"/>
        <w:gridCol w:w="1472"/>
        <w:gridCol w:w="1350"/>
        <w:gridCol w:w="1082"/>
        <w:gridCol w:w="1350"/>
        <w:gridCol w:w="1296"/>
      </w:tblGrid>
      <w:tr w:rsidR="00207A7E" w:rsidRPr="009F34D7" w14:paraId="253EF3B9" w14:textId="77777777" w:rsidTr="001027BD">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F2F67" w14:textId="77777777" w:rsidR="00207A7E" w:rsidRDefault="003E1D1C" w:rsidP="00040F9A">
            <w:pPr>
              <w:rPr>
                <w:rFonts w:eastAsia="Calibri" w:cs="Times New Roman"/>
                <w:szCs w:val="24"/>
              </w:rPr>
            </w:pPr>
            <w:r>
              <w:rPr>
                <w:rFonts w:eastAsia="Calibri" w:cs="Times New Roman"/>
                <w:szCs w:val="24"/>
              </w:rPr>
              <w:t xml:space="preserve">Information </w:t>
            </w:r>
          </w:p>
          <w:p w14:paraId="6B6A80F8" w14:textId="77777777" w:rsidR="003E1D1C" w:rsidRDefault="003E1D1C" w:rsidP="00040F9A">
            <w:pPr>
              <w:rPr>
                <w:rFonts w:eastAsia="Calibri" w:cs="Times New Roman"/>
                <w:szCs w:val="24"/>
              </w:rPr>
            </w:pPr>
            <w:r>
              <w:rPr>
                <w:rFonts w:eastAsia="Calibri" w:cs="Times New Roman"/>
                <w:szCs w:val="24"/>
              </w:rPr>
              <w:t xml:space="preserve">Collection </w:t>
            </w:r>
          </w:p>
          <w:p w14:paraId="6FE2A25A" w14:textId="77777777" w:rsidR="003E1D1C" w:rsidRPr="009F34D7" w:rsidRDefault="003E1D1C" w:rsidP="00040F9A">
            <w:pPr>
              <w:rPr>
                <w:rFonts w:eastAsia="Calibri" w:cs="Times New Roman"/>
                <w:szCs w:val="24"/>
              </w:rPr>
            </w:pPr>
            <w:r>
              <w:rPr>
                <w:rFonts w:eastAsia="Calibri" w:cs="Times New Roman"/>
                <w:szCs w:val="24"/>
              </w:rPr>
              <w:t>Requirements</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B4510" w14:textId="77777777" w:rsidR="00207A7E" w:rsidRPr="009F34D7" w:rsidRDefault="0002407E" w:rsidP="00040F9A">
            <w:pPr>
              <w:rPr>
                <w:rFonts w:eastAsia="Calibri" w:cs="Times New Roman"/>
                <w:szCs w:val="24"/>
              </w:rPr>
            </w:pPr>
            <w:r w:rsidRPr="009F34D7">
              <w:rPr>
                <w:rFonts w:cs="Times New Roman"/>
                <w:szCs w:val="24"/>
              </w:rPr>
              <w:t>Respondents</w:t>
            </w:r>
            <w:r w:rsidR="00207A7E" w:rsidRPr="009F34D7">
              <w:rPr>
                <w:rFonts w:cs="Times New Roman"/>
                <w:szCs w:val="24"/>
              </w:rPr>
              <w:t xml:space="preserve"> </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56614" w14:textId="77777777" w:rsidR="00207A7E" w:rsidRPr="009F34D7" w:rsidRDefault="00E21F7B" w:rsidP="00040F9A">
            <w:pPr>
              <w:rPr>
                <w:rFonts w:eastAsia="Calibri" w:cs="Times New Roman"/>
                <w:szCs w:val="24"/>
              </w:rPr>
            </w:pPr>
            <w:r w:rsidRPr="009F34D7">
              <w:rPr>
                <w:rFonts w:cs="Times New Roman"/>
                <w:szCs w:val="24"/>
              </w:rPr>
              <w:t>Hours Per R</w:t>
            </w:r>
            <w:r w:rsidR="00207A7E" w:rsidRPr="009F34D7">
              <w:rPr>
                <w:rFonts w:cs="Times New Roman"/>
                <w:szCs w:val="24"/>
              </w:rPr>
              <w:t>espondent</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A035B" w14:textId="77777777" w:rsidR="00207A7E" w:rsidRPr="009F34D7" w:rsidRDefault="00E21F7B" w:rsidP="00040F9A">
            <w:pPr>
              <w:rPr>
                <w:rFonts w:eastAsia="Calibri" w:cs="Times New Roman"/>
                <w:szCs w:val="24"/>
              </w:rPr>
            </w:pPr>
            <w:r w:rsidRPr="009F34D7">
              <w:rPr>
                <w:rFonts w:cs="Times New Roman"/>
                <w:szCs w:val="24"/>
              </w:rPr>
              <w:t>Hours to I</w:t>
            </w:r>
            <w:r w:rsidR="00207A7E" w:rsidRPr="009F34D7">
              <w:rPr>
                <w:rFonts w:cs="Times New Roman"/>
                <w:szCs w:val="24"/>
              </w:rPr>
              <w:t>ndustry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F77B9" w14:textId="77777777" w:rsidR="00207A7E" w:rsidRPr="009F34D7" w:rsidRDefault="00E21F7B" w:rsidP="00040F9A">
            <w:pPr>
              <w:rPr>
                <w:rFonts w:eastAsia="Calibri" w:cs="Times New Roman"/>
                <w:szCs w:val="24"/>
              </w:rPr>
            </w:pPr>
            <w:r w:rsidRPr="009F34D7">
              <w:rPr>
                <w:rFonts w:cs="Times New Roman"/>
                <w:szCs w:val="24"/>
              </w:rPr>
              <w:t>$ Cost Per R</w:t>
            </w:r>
            <w:r w:rsidR="00207A7E" w:rsidRPr="009F34D7">
              <w:rPr>
                <w:rFonts w:cs="Times New Roman"/>
                <w:szCs w:val="24"/>
              </w:rPr>
              <w:t>espondent</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0E0DB" w14:textId="77777777" w:rsidR="00207A7E" w:rsidRPr="009F34D7" w:rsidRDefault="00E21F7B" w:rsidP="00040F9A">
            <w:pPr>
              <w:rPr>
                <w:rFonts w:eastAsia="Calibri" w:cs="Times New Roman"/>
                <w:szCs w:val="24"/>
              </w:rPr>
            </w:pPr>
            <w:r w:rsidRPr="009F34D7">
              <w:rPr>
                <w:rFonts w:cs="Times New Roman"/>
                <w:szCs w:val="24"/>
              </w:rPr>
              <w:t>$ Cost to I</w:t>
            </w:r>
            <w:r w:rsidR="00207A7E" w:rsidRPr="009F34D7">
              <w:rPr>
                <w:rFonts w:cs="Times New Roman"/>
                <w:szCs w:val="24"/>
              </w:rPr>
              <w:t xml:space="preserve">ndustry </w:t>
            </w:r>
          </w:p>
        </w:tc>
      </w:tr>
      <w:tr w:rsidR="00207A7E" w:rsidRPr="009F34D7" w14:paraId="027C1972"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8C298" w14:textId="77578D7F" w:rsidR="00207A7E" w:rsidRPr="009F34D7" w:rsidRDefault="006605CF" w:rsidP="00040F9A">
            <w:pPr>
              <w:rPr>
                <w:rFonts w:eastAsia="Calibri" w:cs="Times New Roman"/>
                <w:szCs w:val="24"/>
              </w:rPr>
            </w:pPr>
            <w:r>
              <w:rPr>
                <w:rFonts w:cs="Times New Roman"/>
                <w:szCs w:val="24"/>
              </w:rPr>
              <w:t xml:space="preserve">a. </w:t>
            </w:r>
            <w:r w:rsidR="0098035B" w:rsidRPr="009F34D7">
              <w:rPr>
                <w:rFonts w:cs="Times New Roman"/>
                <w:szCs w:val="24"/>
              </w:rPr>
              <w:t>Numbering Authorization Application</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7FEE2F82" w14:textId="77777777" w:rsidR="00207A7E" w:rsidRPr="009F34D7" w:rsidRDefault="0098035B"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FA19CD0" w14:textId="77777777" w:rsidR="00207A7E" w:rsidRPr="009F34D7" w:rsidRDefault="0098035B" w:rsidP="00040F9A">
            <w:pPr>
              <w:rPr>
                <w:rFonts w:eastAsia="Calibri" w:cs="Times New Roman"/>
                <w:szCs w:val="24"/>
              </w:rPr>
            </w:pPr>
            <w:r w:rsidRPr="009F34D7">
              <w:rPr>
                <w:rFonts w:eastAsia="Calibri" w:cs="Times New Roman"/>
                <w:szCs w:val="24"/>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2609CAE1" w14:textId="77777777" w:rsidR="00207A7E" w:rsidRPr="009F34D7" w:rsidRDefault="0098035B" w:rsidP="00040F9A">
            <w:pPr>
              <w:rPr>
                <w:rFonts w:eastAsia="Calibri" w:cs="Times New Roman"/>
                <w:szCs w:val="24"/>
              </w:rPr>
            </w:pPr>
            <w:r w:rsidRPr="009F34D7">
              <w:rPr>
                <w:rFonts w:eastAsia="Calibri" w:cs="Times New Roman"/>
                <w:szCs w:val="24"/>
              </w:rPr>
              <w:t>260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0B8E231" w14:textId="30EC519A" w:rsidR="00207A7E" w:rsidRPr="009F34D7" w:rsidRDefault="00207A7E" w:rsidP="00040F9A">
            <w:pPr>
              <w:rPr>
                <w:rFonts w:eastAsia="Calibri" w:cs="Times New Roman"/>
                <w:szCs w:val="24"/>
              </w:rPr>
            </w:pPr>
            <w:r w:rsidRPr="009F34D7">
              <w:rPr>
                <w:rFonts w:eastAsia="Calibri" w:cs="Times New Roman"/>
                <w:szCs w:val="24"/>
              </w:rPr>
              <w:t>$</w:t>
            </w:r>
            <w:r w:rsidR="00D75975">
              <w:rPr>
                <w:rFonts w:eastAsia="Calibri" w:cs="Times New Roman"/>
                <w:szCs w:val="24"/>
              </w:rPr>
              <w:t>1,182.60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2FCA6471" w14:textId="7A0081D8" w:rsidR="00207A7E" w:rsidRPr="009F34D7" w:rsidRDefault="00207A7E" w:rsidP="00040F9A">
            <w:pPr>
              <w:rPr>
                <w:rFonts w:eastAsia="Calibri" w:cs="Times New Roman"/>
                <w:szCs w:val="24"/>
              </w:rPr>
            </w:pPr>
            <w:r w:rsidRPr="009F34D7">
              <w:rPr>
                <w:rFonts w:eastAsia="Calibri" w:cs="Times New Roman"/>
                <w:szCs w:val="24"/>
              </w:rPr>
              <w:t>$</w:t>
            </w:r>
            <w:r w:rsidR="00D75975">
              <w:rPr>
                <w:rFonts w:eastAsia="Calibri" w:cs="Times New Roman"/>
                <w:szCs w:val="24"/>
              </w:rPr>
              <w:t>15,373.80</w:t>
            </w:r>
          </w:p>
        </w:tc>
      </w:tr>
      <w:tr w:rsidR="00207A7E" w:rsidRPr="009F34D7" w14:paraId="58C1F641"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E4164" w14:textId="5501868A" w:rsidR="00207A7E" w:rsidRPr="009F34D7" w:rsidRDefault="000C0601" w:rsidP="00040F9A">
            <w:pPr>
              <w:rPr>
                <w:rFonts w:eastAsia="Calibri" w:cs="Times New Roman"/>
                <w:szCs w:val="24"/>
              </w:rPr>
            </w:pPr>
            <w:r>
              <w:rPr>
                <w:rFonts w:cs="Times New Roman"/>
                <w:szCs w:val="24"/>
              </w:rPr>
              <w:t>b</w:t>
            </w:r>
            <w:r w:rsidR="003E1D1C">
              <w:rPr>
                <w:rFonts w:cs="Times New Roman"/>
                <w:szCs w:val="24"/>
              </w:rPr>
              <w:t xml:space="preserve">. </w:t>
            </w:r>
            <w:r w:rsidR="00E21F7B" w:rsidRPr="009F34D7">
              <w:rPr>
                <w:rFonts w:cs="Times New Roman"/>
                <w:szCs w:val="24"/>
              </w:rPr>
              <w:t>30-Day</w:t>
            </w:r>
            <w:r w:rsidR="0098035B" w:rsidRPr="009F34D7">
              <w:rPr>
                <w:rFonts w:cs="Times New Roman"/>
                <w:szCs w:val="24"/>
              </w:rPr>
              <w:t xml:space="preserve"> Notice </w:t>
            </w:r>
            <w:r w:rsidR="00E21F7B" w:rsidRPr="009F34D7">
              <w:rPr>
                <w:rFonts w:cs="Times New Roman"/>
                <w:szCs w:val="24"/>
              </w:rPr>
              <w:t>Requirement</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6B0F818D" w14:textId="77777777" w:rsidR="00207A7E" w:rsidRPr="009F34D7" w:rsidRDefault="0098035B"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CE9F176" w14:textId="77777777" w:rsidR="00207A7E" w:rsidRPr="009F34D7" w:rsidRDefault="0098035B" w:rsidP="00040F9A">
            <w:pPr>
              <w:rPr>
                <w:rFonts w:eastAsia="Calibri" w:cs="Times New Roman"/>
                <w:szCs w:val="24"/>
              </w:rPr>
            </w:pPr>
            <w:r w:rsidRPr="009F34D7">
              <w:rPr>
                <w:rFonts w:eastAsia="Calibri" w:cs="Times New Roman"/>
                <w:szCs w:val="24"/>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45E123CB" w14:textId="77777777" w:rsidR="00207A7E" w:rsidRPr="009F34D7" w:rsidRDefault="0098035B" w:rsidP="00040F9A">
            <w:pPr>
              <w:rPr>
                <w:rFonts w:eastAsia="Calibri" w:cs="Times New Roman"/>
                <w:szCs w:val="24"/>
              </w:rPr>
            </w:pPr>
            <w:r w:rsidRPr="009F34D7">
              <w:rPr>
                <w:rFonts w:cs="Times New Roman"/>
                <w:szCs w:val="24"/>
              </w:rPr>
              <w:t>130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6926FA1C" w14:textId="26986E63" w:rsidR="00207A7E" w:rsidRPr="009F34D7" w:rsidRDefault="0098035B" w:rsidP="00040F9A">
            <w:pPr>
              <w:rPr>
                <w:rFonts w:eastAsia="Calibri" w:cs="Times New Roman"/>
                <w:szCs w:val="24"/>
              </w:rPr>
            </w:pPr>
            <w:r w:rsidRPr="009F34D7">
              <w:rPr>
                <w:rFonts w:cs="Times New Roman"/>
                <w:szCs w:val="24"/>
              </w:rPr>
              <w:t>$5</w:t>
            </w:r>
            <w:r w:rsidR="00D75975">
              <w:rPr>
                <w:rFonts w:cs="Times New Roman"/>
                <w:szCs w:val="24"/>
              </w:rPr>
              <w:t>91.30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1755FC6F" w14:textId="4F51856F" w:rsidR="00207A7E" w:rsidRPr="009F34D7" w:rsidRDefault="00D75975" w:rsidP="00040F9A">
            <w:pPr>
              <w:rPr>
                <w:rFonts w:eastAsia="Calibri" w:cs="Times New Roman"/>
                <w:szCs w:val="24"/>
              </w:rPr>
            </w:pPr>
            <w:r>
              <w:rPr>
                <w:rFonts w:cs="Times New Roman"/>
                <w:szCs w:val="24"/>
              </w:rPr>
              <w:t>$7,686.90</w:t>
            </w:r>
          </w:p>
        </w:tc>
      </w:tr>
      <w:tr w:rsidR="008F21EC" w:rsidRPr="009F34D7" w14:paraId="3DBD753C" w14:textId="77777777" w:rsidTr="001027BD">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103D7" w14:textId="4A508EB2" w:rsidR="008F21EC" w:rsidRPr="009F34D7" w:rsidRDefault="000C0601" w:rsidP="00040F9A">
            <w:pPr>
              <w:rPr>
                <w:rFonts w:cs="Times New Roman"/>
                <w:szCs w:val="24"/>
              </w:rPr>
            </w:pPr>
            <w:r>
              <w:rPr>
                <w:rFonts w:cs="Times New Roman"/>
                <w:szCs w:val="24"/>
              </w:rPr>
              <w:t>c</w:t>
            </w:r>
            <w:r w:rsidR="003E1D1C">
              <w:rPr>
                <w:rFonts w:cs="Times New Roman"/>
                <w:szCs w:val="24"/>
              </w:rPr>
              <w:t xml:space="preserve">. </w:t>
            </w:r>
            <w:r w:rsidR="008F21EC" w:rsidRPr="009F34D7">
              <w:rPr>
                <w:rFonts w:cs="Times New Roman"/>
                <w:szCs w:val="24"/>
              </w:rPr>
              <w:t>Contact Information to States</w:t>
            </w:r>
          </w:p>
        </w:tc>
        <w:tc>
          <w:tcPr>
            <w:tcW w:w="1513" w:type="dxa"/>
            <w:tcBorders>
              <w:top w:val="nil"/>
              <w:left w:val="nil"/>
              <w:bottom w:val="single" w:sz="8" w:space="0" w:color="auto"/>
              <w:right w:val="single" w:sz="8" w:space="0" w:color="auto"/>
            </w:tcBorders>
            <w:tcMar>
              <w:top w:w="0" w:type="dxa"/>
              <w:left w:w="108" w:type="dxa"/>
              <w:bottom w:w="0" w:type="dxa"/>
              <w:right w:w="108" w:type="dxa"/>
            </w:tcMar>
          </w:tcPr>
          <w:p w14:paraId="3BCD1BFC" w14:textId="77777777" w:rsidR="008F21EC" w:rsidRPr="009F34D7" w:rsidRDefault="008F21EC" w:rsidP="00040F9A">
            <w:pPr>
              <w:rPr>
                <w:rFonts w:eastAsia="Calibri" w:cs="Times New Roman"/>
                <w:szCs w:val="24"/>
              </w:rPr>
            </w:pPr>
            <w:r w:rsidRPr="009F34D7">
              <w:rPr>
                <w:rFonts w:eastAsia="Calibri" w:cs="Times New Roman"/>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6B753F6" w14:textId="77777777" w:rsidR="008F21EC" w:rsidRPr="009F34D7" w:rsidRDefault="008F21EC" w:rsidP="00040F9A">
            <w:pPr>
              <w:rPr>
                <w:rFonts w:eastAsia="Calibri" w:cs="Times New Roman"/>
                <w:szCs w:val="24"/>
              </w:rPr>
            </w:pPr>
            <w:r w:rsidRPr="009F34D7">
              <w:rPr>
                <w:rFonts w:eastAsia="Calibri" w:cs="Times New Roman"/>
                <w:szCs w:val="24"/>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021CCDCD" w14:textId="77777777" w:rsidR="008F21EC" w:rsidRPr="009F34D7" w:rsidRDefault="008F21EC" w:rsidP="00040F9A">
            <w:pPr>
              <w:rPr>
                <w:rFonts w:cs="Times New Roman"/>
                <w:szCs w:val="24"/>
              </w:rPr>
            </w:pPr>
            <w:r w:rsidRPr="009F34D7">
              <w:rPr>
                <w:rFonts w:cs="Times New Roman"/>
                <w:szCs w:val="24"/>
              </w:rPr>
              <w:t>130</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60FE540" w14:textId="1DB00B3B" w:rsidR="008F21EC" w:rsidRPr="009F34D7" w:rsidRDefault="00D75975" w:rsidP="00040F9A">
            <w:pPr>
              <w:rPr>
                <w:rFonts w:cs="Times New Roman"/>
                <w:szCs w:val="24"/>
              </w:rPr>
            </w:pPr>
            <w:r>
              <w:rPr>
                <w:rFonts w:cs="Times New Roman"/>
                <w:szCs w:val="24"/>
              </w:rPr>
              <w:t>$591.30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ADA8F6F" w14:textId="248FBCA8" w:rsidR="008F21EC" w:rsidRPr="009F34D7" w:rsidRDefault="00D75975" w:rsidP="00040F9A">
            <w:pPr>
              <w:rPr>
                <w:rFonts w:cs="Times New Roman"/>
                <w:szCs w:val="24"/>
              </w:rPr>
            </w:pPr>
            <w:r>
              <w:rPr>
                <w:rFonts w:cs="Times New Roman"/>
                <w:szCs w:val="24"/>
              </w:rPr>
              <w:t>$7,686.90</w:t>
            </w:r>
          </w:p>
        </w:tc>
      </w:tr>
      <w:tr w:rsidR="00207A7E" w:rsidRPr="009F34D7" w14:paraId="6EBDF89F" w14:textId="77777777" w:rsidTr="00783513">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74575" w14:textId="77777777" w:rsidR="00207A7E" w:rsidRPr="009F34D7" w:rsidRDefault="00207A7E" w:rsidP="00040F9A">
            <w:pPr>
              <w:rPr>
                <w:rFonts w:eastAsia="Calibri" w:cs="Times New Roman"/>
                <w:szCs w:val="24"/>
              </w:rPr>
            </w:pPr>
            <w:r w:rsidRPr="009F34D7">
              <w:rPr>
                <w:rFonts w:cs="Times New Roman"/>
                <w:szCs w:val="24"/>
              </w:rPr>
              <w:t>Totals (</w:t>
            </w:r>
            <w:r w:rsidRPr="009F34D7">
              <w:rPr>
                <w:rFonts w:cs="Times New Roman"/>
                <w:i/>
                <w:iCs/>
                <w:szCs w:val="24"/>
              </w:rPr>
              <w:t>in bold</w:t>
            </w:r>
            <w:r w:rsidRPr="009F34D7">
              <w:rPr>
                <w:rFonts w:cs="Times New Roman"/>
                <w:szCs w:val="24"/>
              </w:rPr>
              <w:t>)</w:t>
            </w:r>
          </w:p>
        </w:tc>
        <w:tc>
          <w:tcPr>
            <w:tcW w:w="1513" w:type="dxa"/>
            <w:tcBorders>
              <w:top w:val="nil"/>
              <w:left w:val="nil"/>
              <w:bottom w:val="single" w:sz="8" w:space="0" w:color="auto"/>
              <w:right w:val="single" w:sz="8" w:space="0" w:color="auto"/>
            </w:tcBorders>
            <w:tcMar>
              <w:top w:w="0" w:type="dxa"/>
              <w:left w:w="108" w:type="dxa"/>
              <w:bottom w:w="0" w:type="dxa"/>
              <w:right w:w="108" w:type="dxa"/>
            </w:tcMar>
            <w:hideMark/>
          </w:tcPr>
          <w:p w14:paraId="514057FE" w14:textId="77777777" w:rsidR="00207A7E" w:rsidRPr="009F34D7" w:rsidRDefault="0098035B" w:rsidP="00040F9A">
            <w:pPr>
              <w:rPr>
                <w:rFonts w:cs="Times New Roman"/>
                <w:b/>
                <w:szCs w:val="24"/>
              </w:rPr>
            </w:pPr>
            <w:r w:rsidRPr="009F34D7">
              <w:rPr>
                <w:rFonts w:cs="Times New Roman"/>
                <w:b/>
                <w:szCs w:val="24"/>
              </w:rPr>
              <w:t>13</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C7C97D9" w14:textId="6F959826" w:rsidR="00207A7E" w:rsidRPr="009F34D7" w:rsidRDefault="001027BD" w:rsidP="00040F9A">
            <w:pPr>
              <w:rPr>
                <w:rFonts w:eastAsia="Calibri" w:cs="Times New Roman"/>
                <w:b/>
                <w:szCs w:val="24"/>
              </w:rPr>
            </w:pPr>
            <w:r>
              <w:rPr>
                <w:rFonts w:eastAsia="Calibri" w:cs="Times New Roman"/>
                <w:b/>
                <w:szCs w:val="24"/>
              </w:rPr>
              <w:t>4</w:t>
            </w:r>
            <w:r w:rsidR="008F21EC" w:rsidRPr="009F34D7">
              <w:rPr>
                <w:rFonts w:eastAsia="Calibri" w:cs="Times New Roman"/>
                <w:b/>
                <w:szCs w:val="24"/>
              </w:rPr>
              <w:t>0</w:t>
            </w:r>
          </w:p>
        </w:tc>
        <w:tc>
          <w:tcPr>
            <w:tcW w:w="1176" w:type="dxa"/>
            <w:tcBorders>
              <w:top w:val="nil"/>
              <w:left w:val="nil"/>
              <w:bottom w:val="single" w:sz="8" w:space="0" w:color="auto"/>
              <w:right w:val="single" w:sz="8" w:space="0" w:color="auto"/>
            </w:tcBorders>
            <w:tcMar>
              <w:top w:w="0" w:type="dxa"/>
              <w:left w:w="108" w:type="dxa"/>
              <w:bottom w:w="0" w:type="dxa"/>
              <w:right w:w="108" w:type="dxa"/>
            </w:tcMar>
          </w:tcPr>
          <w:p w14:paraId="42DA1AE0" w14:textId="6182BDCC" w:rsidR="00207A7E" w:rsidRPr="009F34D7" w:rsidRDefault="001027BD" w:rsidP="00040F9A">
            <w:pPr>
              <w:rPr>
                <w:rFonts w:eastAsia="Calibri" w:cs="Times New Roman"/>
                <w:b/>
                <w:szCs w:val="24"/>
              </w:rPr>
            </w:pPr>
            <w:r>
              <w:rPr>
                <w:rFonts w:eastAsia="Calibri" w:cs="Times New Roman"/>
                <w:b/>
                <w:szCs w:val="24"/>
              </w:rPr>
              <w:t>52</w:t>
            </w:r>
            <w:r w:rsidR="0002407E" w:rsidRPr="009F34D7">
              <w:rPr>
                <w:rFonts w:eastAsia="Calibri" w:cs="Times New Roman"/>
                <w:b/>
                <w:szCs w:val="24"/>
              </w:rPr>
              <w:t>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45E24F" w14:textId="15A83A0D" w:rsidR="00207A7E" w:rsidRPr="00D75975" w:rsidRDefault="00207A7E" w:rsidP="001027BD">
            <w:pPr>
              <w:rPr>
                <w:rFonts w:eastAsia="Calibri" w:cs="Times New Roman"/>
                <w:b/>
                <w:szCs w:val="24"/>
                <w:highlight w:val="yellow"/>
              </w:rPr>
            </w:pPr>
            <w:r w:rsidRPr="00783513">
              <w:rPr>
                <w:rFonts w:eastAsia="Calibri" w:cs="Times New Roman"/>
                <w:b/>
                <w:szCs w:val="24"/>
              </w:rPr>
              <w:t>$</w:t>
            </w:r>
            <w:r w:rsidR="00D75975" w:rsidRPr="00783513">
              <w:rPr>
                <w:rFonts w:eastAsia="Calibri" w:cs="Times New Roman"/>
                <w:b/>
                <w:szCs w:val="24"/>
              </w:rPr>
              <w:t>2,365.20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14:paraId="4807CFDC" w14:textId="03B5EC6B" w:rsidR="00207A7E" w:rsidRPr="00D75975" w:rsidRDefault="00207A7E" w:rsidP="001027BD">
            <w:pPr>
              <w:rPr>
                <w:rFonts w:eastAsia="Calibri" w:cs="Times New Roman"/>
                <w:b/>
                <w:szCs w:val="24"/>
                <w:highlight w:val="yellow"/>
              </w:rPr>
            </w:pPr>
            <w:r w:rsidRPr="00783513">
              <w:rPr>
                <w:rFonts w:eastAsia="Calibri" w:cs="Times New Roman"/>
                <w:b/>
                <w:szCs w:val="24"/>
              </w:rPr>
              <w:t>$</w:t>
            </w:r>
            <w:r w:rsidR="00D75975" w:rsidRPr="00783513">
              <w:rPr>
                <w:rFonts w:eastAsia="Calibri" w:cs="Times New Roman"/>
                <w:b/>
                <w:szCs w:val="24"/>
              </w:rPr>
              <w:t>30,747.60</w:t>
            </w:r>
          </w:p>
        </w:tc>
      </w:tr>
    </w:tbl>
    <w:p w14:paraId="08F7D377" w14:textId="77777777" w:rsidR="00AC76E0" w:rsidRPr="009F34D7" w:rsidRDefault="00AC76E0" w:rsidP="00040F9A">
      <w:pPr>
        <w:pStyle w:val="CM2"/>
        <w:spacing w:line="240" w:lineRule="auto"/>
        <w:rPr>
          <w:rFonts w:ascii="Times New Roman" w:hAnsi="Times New Roman"/>
          <w:b/>
        </w:rPr>
      </w:pPr>
    </w:p>
    <w:p w14:paraId="26783EB2" w14:textId="77777777" w:rsidR="00AC76E0" w:rsidRPr="00C256AC" w:rsidRDefault="001E1B53" w:rsidP="00040F9A">
      <w:pPr>
        <w:rPr>
          <w:rFonts w:cs="Times New Roman"/>
          <w:szCs w:val="24"/>
        </w:rPr>
      </w:pPr>
      <w:r w:rsidRPr="009F34D7">
        <w:rPr>
          <w:rFonts w:cs="Times New Roman"/>
          <w:b/>
          <w:szCs w:val="24"/>
        </w:rPr>
        <w:t xml:space="preserve">13. </w:t>
      </w:r>
      <w:r w:rsidR="00315DDD" w:rsidRPr="009F34D7">
        <w:rPr>
          <w:rFonts w:cs="Times New Roman"/>
          <w:b/>
          <w:szCs w:val="24"/>
        </w:rPr>
        <w:t xml:space="preserve"> </w:t>
      </w:r>
      <w:r w:rsidR="000416A1">
        <w:rPr>
          <w:rFonts w:cs="Times New Roman"/>
          <w:b/>
          <w:szCs w:val="24"/>
        </w:rPr>
        <w:tab/>
      </w:r>
      <w:r w:rsidR="00AC76E0" w:rsidRPr="00C256AC">
        <w:rPr>
          <w:rFonts w:cs="Times New Roman"/>
          <w:szCs w:val="24"/>
        </w:rPr>
        <w:t>There are no outside costs to the respondent:</w:t>
      </w:r>
    </w:p>
    <w:p w14:paraId="6E09EA8F" w14:textId="77777777" w:rsidR="00AC76E0" w:rsidRPr="00290A55" w:rsidRDefault="00AC76E0" w:rsidP="00040F9A">
      <w:pPr>
        <w:rPr>
          <w:rFonts w:cs="Times New Roman"/>
          <w:szCs w:val="24"/>
        </w:rPr>
      </w:pPr>
    </w:p>
    <w:p w14:paraId="0D785D20" w14:textId="77777777" w:rsidR="00AC76E0" w:rsidRPr="00290A55" w:rsidRDefault="00AC76E0" w:rsidP="00040F9A">
      <w:pPr>
        <w:ind w:firstLine="720"/>
        <w:rPr>
          <w:rFonts w:cs="Times New Roman"/>
          <w:szCs w:val="24"/>
        </w:rPr>
      </w:pPr>
      <w:r w:rsidRPr="00290A55">
        <w:rPr>
          <w:rFonts w:cs="Times New Roman"/>
          <w:szCs w:val="24"/>
        </w:rPr>
        <w:t>a.  There are no capital or start-up costs.</w:t>
      </w:r>
    </w:p>
    <w:p w14:paraId="5D993AC3" w14:textId="3F95A602" w:rsidR="00AC76E0" w:rsidRPr="00290A55" w:rsidRDefault="006605CF" w:rsidP="00040F9A">
      <w:pPr>
        <w:ind w:firstLine="720"/>
        <w:rPr>
          <w:rFonts w:cs="Times New Roman"/>
          <w:szCs w:val="24"/>
        </w:rPr>
      </w:pPr>
      <w:r>
        <w:rPr>
          <w:rFonts w:cs="Times New Roman"/>
          <w:szCs w:val="24"/>
        </w:rPr>
        <w:lastRenderedPageBreak/>
        <w:t xml:space="preserve">b. </w:t>
      </w:r>
      <w:r w:rsidR="00AC76E0" w:rsidRPr="00290A55">
        <w:rPr>
          <w:rFonts w:cs="Times New Roman"/>
          <w:szCs w:val="24"/>
        </w:rPr>
        <w:t xml:space="preserve">There are no operational or maintenance costs. </w:t>
      </w:r>
    </w:p>
    <w:p w14:paraId="5A703623" w14:textId="77777777" w:rsidR="001E0387" w:rsidRDefault="001E0387" w:rsidP="00040F9A">
      <w:pPr>
        <w:contextualSpacing/>
        <w:rPr>
          <w:rFonts w:cs="Times New Roman"/>
          <w:b/>
          <w:szCs w:val="24"/>
        </w:rPr>
      </w:pPr>
    </w:p>
    <w:p w14:paraId="7A2D7CCB" w14:textId="77777777" w:rsidR="00C340CB" w:rsidRPr="009F34D7" w:rsidRDefault="00C340CB" w:rsidP="00040F9A">
      <w:pPr>
        <w:contextualSpacing/>
        <w:rPr>
          <w:rFonts w:cs="Times New Roman"/>
          <w:b/>
          <w:szCs w:val="24"/>
        </w:rPr>
      </w:pPr>
    </w:p>
    <w:p w14:paraId="1DD9BAC1" w14:textId="1719FDA1" w:rsidR="002244E5" w:rsidRPr="009F34D7" w:rsidRDefault="001E1B53" w:rsidP="00040F9A">
      <w:pPr>
        <w:contextualSpacing/>
        <w:rPr>
          <w:rFonts w:cs="Times New Roman"/>
          <w:szCs w:val="24"/>
        </w:rPr>
      </w:pPr>
      <w:r w:rsidRPr="009F34D7">
        <w:rPr>
          <w:rFonts w:cs="Times New Roman"/>
          <w:b/>
          <w:szCs w:val="24"/>
        </w:rPr>
        <w:t xml:space="preserve">14. </w:t>
      </w:r>
      <w:r w:rsidR="000416A1">
        <w:rPr>
          <w:rFonts w:cs="Times New Roman"/>
          <w:b/>
          <w:szCs w:val="24"/>
        </w:rPr>
        <w:tab/>
      </w:r>
      <w:r w:rsidR="002244E5" w:rsidRPr="00C256AC">
        <w:rPr>
          <w:rFonts w:cs="Times New Roman"/>
          <w:szCs w:val="24"/>
        </w:rPr>
        <w:t>W</w:t>
      </w:r>
      <w:r w:rsidR="002244E5" w:rsidRPr="009F34D7">
        <w:rPr>
          <w:rFonts w:cs="Times New Roman"/>
          <w:szCs w:val="24"/>
        </w:rPr>
        <w:t xml:space="preserve">e estimate that roughly 13 interconnected VoIP providers may choose to apply for FCC authorization.  </w:t>
      </w:r>
      <w:r w:rsidR="00DE7E22" w:rsidRPr="009F34D7">
        <w:rPr>
          <w:rFonts w:cs="Times New Roman"/>
          <w:szCs w:val="24"/>
        </w:rPr>
        <w:t xml:space="preserve">We further </w:t>
      </w:r>
      <w:r w:rsidR="002244E5" w:rsidRPr="009F34D7">
        <w:rPr>
          <w:rFonts w:cs="Times New Roman"/>
          <w:szCs w:val="24"/>
        </w:rPr>
        <w:t xml:space="preserve">estimate that </w:t>
      </w:r>
      <w:r w:rsidR="00DE7E22" w:rsidRPr="009F34D7">
        <w:rPr>
          <w:rFonts w:cs="Times New Roman"/>
          <w:szCs w:val="24"/>
        </w:rPr>
        <w:t>two attorneys will be needed to review the applications</w:t>
      </w:r>
      <w:r w:rsidR="002244E5" w:rsidRPr="009F34D7">
        <w:rPr>
          <w:rFonts w:cs="Times New Roman"/>
          <w:szCs w:val="24"/>
        </w:rPr>
        <w:t xml:space="preserve">.  We </w:t>
      </w:r>
      <w:r w:rsidR="00586A69">
        <w:rPr>
          <w:rFonts w:cs="Times New Roman"/>
          <w:szCs w:val="24"/>
        </w:rPr>
        <w:t xml:space="preserve">also </w:t>
      </w:r>
      <w:r w:rsidR="002244E5" w:rsidRPr="009F34D7">
        <w:rPr>
          <w:rFonts w:cs="Times New Roman"/>
          <w:szCs w:val="24"/>
        </w:rPr>
        <w:t xml:space="preserve">estimate a weighted average for the compensation of these professionals will be at a level </w:t>
      </w:r>
      <w:r w:rsidR="00DE7E22" w:rsidRPr="009F34D7">
        <w:rPr>
          <w:rFonts w:cs="Times New Roman"/>
          <w:szCs w:val="24"/>
        </w:rPr>
        <w:t>of</w:t>
      </w:r>
      <w:r w:rsidR="002244E5" w:rsidRPr="009F34D7">
        <w:rPr>
          <w:rFonts w:cs="Times New Roman"/>
          <w:szCs w:val="24"/>
        </w:rPr>
        <w:t xml:space="preserve"> a GS 14 step </w:t>
      </w:r>
      <w:r w:rsidR="00D75975">
        <w:rPr>
          <w:rFonts w:cs="Times New Roman"/>
          <w:szCs w:val="24"/>
        </w:rPr>
        <w:t>5 ($59.13</w:t>
      </w:r>
      <w:r w:rsidR="002244E5" w:rsidRPr="009F34D7">
        <w:rPr>
          <w:rFonts w:cs="Times New Roman"/>
          <w:szCs w:val="24"/>
        </w:rPr>
        <w:t xml:space="preserve">/hour).  We estimate that it will take </w:t>
      </w:r>
      <w:r w:rsidR="00D96411">
        <w:rPr>
          <w:rFonts w:cs="Times New Roman"/>
          <w:szCs w:val="24"/>
        </w:rPr>
        <w:t xml:space="preserve">5 hours for each attorney or </w:t>
      </w:r>
      <w:r w:rsidR="00DE7E22" w:rsidRPr="009F34D7">
        <w:rPr>
          <w:rFonts w:cs="Times New Roman"/>
          <w:szCs w:val="24"/>
        </w:rPr>
        <w:t>10</w:t>
      </w:r>
      <w:r w:rsidR="002244E5" w:rsidRPr="009F34D7">
        <w:rPr>
          <w:rFonts w:cs="Times New Roman"/>
          <w:szCs w:val="24"/>
        </w:rPr>
        <w:t xml:space="preserve"> hours to </w:t>
      </w:r>
      <w:r w:rsidR="00DE7E22" w:rsidRPr="009F34D7">
        <w:rPr>
          <w:rFonts w:cs="Times New Roman"/>
          <w:szCs w:val="24"/>
        </w:rPr>
        <w:t>review each application</w:t>
      </w:r>
      <w:r w:rsidR="002244E5" w:rsidRPr="009F34D7">
        <w:rPr>
          <w:rFonts w:cs="Times New Roman"/>
          <w:szCs w:val="24"/>
        </w:rPr>
        <w:t xml:space="preserve">.  </w:t>
      </w:r>
      <w:r w:rsidR="002244E5" w:rsidRPr="00AD4B35">
        <w:rPr>
          <w:rFonts w:cs="Times New Roman"/>
          <w:szCs w:val="24"/>
        </w:rPr>
        <w:t xml:space="preserve">The burden per </w:t>
      </w:r>
      <w:r w:rsidR="00DE7E22" w:rsidRPr="00AD4B35">
        <w:rPr>
          <w:rFonts w:cs="Times New Roman"/>
          <w:szCs w:val="24"/>
        </w:rPr>
        <w:t>application</w:t>
      </w:r>
      <w:r w:rsidR="002244E5" w:rsidRPr="00AD4B35">
        <w:rPr>
          <w:rFonts w:cs="Times New Roman"/>
          <w:szCs w:val="24"/>
        </w:rPr>
        <w:t xml:space="preserve"> is </w:t>
      </w:r>
      <w:r w:rsidR="00DE7E22" w:rsidRPr="00AD4B35">
        <w:rPr>
          <w:rFonts w:cs="Times New Roman"/>
          <w:szCs w:val="24"/>
        </w:rPr>
        <w:t xml:space="preserve">thus </w:t>
      </w:r>
      <w:r w:rsidR="002244E5" w:rsidRPr="00AD4B35">
        <w:rPr>
          <w:rFonts w:cs="Times New Roman"/>
          <w:szCs w:val="24"/>
        </w:rPr>
        <w:t>approximately $</w:t>
      </w:r>
      <w:r w:rsidR="00DE7E22" w:rsidRPr="00AD4B35">
        <w:rPr>
          <w:rFonts w:cs="Times New Roman"/>
          <w:szCs w:val="24"/>
        </w:rPr>
        <w:t>5</w:t>
      </w:r>
      <w:r w:rsidR="00D75975">
        <w:rPr>
          <w:rFonts w:cs="Times New Roman"/>
          <w:szCs w:val="24"/>
        </w:rPr>
        <w:t>91.30 ($59.13</w:t>
      </w:r>
      <w:r w:rsidR="002244E5" w:rsidRPr="00AD4B35">
        <w:rPr>
          <w:rFonts w:cs="Times New Roman"/>
          <w:szCs w:val="24"/>
        </w:rPr>
        <w:t xml:space="preserve"> x </w:t>
      </w:r>
      <w:r w:rsidR="00D96411" w:rsidRPr="00AD4B35">
        <w:rPr>
          <w:rFonts w:cs="Times New Roman"/>
          <w:szCs w:val="24"/>
        </w:rPr>
        <w:t>2 attorneys x 5</w:t>
      </w:r>
      <w:r w:rsidR="002244E5" w:rsidRPr="00AD4B35">
        <w:rPr>
          <w:rFonts w:cs="Times New Roman"/>
          <w:szCs w:val="24"/>
        </w:rPr>
        <w:t xml:space="preserve"> hours = $</w:t>
      </w:r>
      <w:r w:rsidR="00DE7E22" w:rsidRPr="00AD4B35">
        <w:rPr>
          <w:rFonts w:cs="Times New Roman"/>
          <w:szCs w:val="24"/>
        </w:rPr>
        <w:t>5</w:t>
      </w:r>
      <w:r w:rsidR="00D75975">
        <w:rPr>
          <w:rFonts w:cs="Times New Roman"/>
          <w:szCs w:val="24"/>
        </w:rPr>
        <w:t>91.30</w:t>
      </w:r>
      <w:r w:rsidR="002244E5" w:rsidRPr="00AD4B35">
        <w:rPr>
          <w:rFonts w:cs="Times New Roman"/>
          <w:szCs w:val="24"/>
        </w:rPr>
        <w:t>).  The total dollar cost is $</w:t>
      </w:r>
      <w:r w:rsidR="0038615F" w:rsidRPr="00AD4B35">
        <w:rPr>
          <w:rFonts w:cs="Times New Roman"/>
          <w:szCs w:val="24"/>
        </w:rPr>
        <w:t>7,</w:t>
      </w:r>
      <w:r w:rsidR="00D75975">
        <w:rPr>
          <w:rFonts w:cs="Times New Roman"/>
          <w:szCs w:val="24"/>
        </w:rPr>
        <w:t>686.90</w:t>
      </w:r>
      <w:r w:rsidR="002244E5" w:rsidRPr="00AD4B35">
        <w:rPr>
          <w:rFonts w:cs="Times New Roman"/>
          <w:szCs w:val="24"/>
        </w:rPr>
        <w:t xml:space="preserve"> (13 x $</w:t>
      </w:r>
      <w:r w:rsidR="00D75975">
        <w:rPr>
          <w:rFonts w:cs="Times New Roman"/>
          <w:szCs w:val="24"/>
        </w:rPr>
        <w:t>591.30</w:t>
      </w:r>
      <w:r w:rsidR="002244E5" w:rsidRPr="00AD4B35">
        <w:rPr>
          <w:rFonts w:cs="Times New Roman"/>
          <w:szCs w:val="24"/>
        </w:rPr>
        <w:t xml:space="preserve"> = $</w:t>
      </w:r>
      <w:r w:rsidR="00DB3B77" w:rsidRPr="00AD4B35">
        <w:rPr>
          <w:rFonts w:cs="Times New Roman"/>
          <w:szCs w:val="24"/>
        </w:rPr>
        <w:t>7</w:t>
      </w:r>
      <w:r w:rsidR="002244E5" w:rsidRPr="00AD4B35">
        <w:rPr>
          <w:rFonts w:cs="Times New Roman"/>
          <w:szCs w:val="24"/>
        </w:rPr>
        <w:t>,</w:t>
      </w:r>
      <w:r w:rsidR="00D75975">
        <w:rPr>
          <w:rFonts w:cs="Times New Roman"/>
          <w:szCs w:val="24"/>
        </w:rPr>
        <w:t>686.90</w:t>
      </w:r>
      <w:r w:rsidR="002244E5" w:rsidRPr="00AD4B35">
        <w:rPr>
          <w:rFonts w:cs="Times New Roman"/>
          <w:szCs w:val="24"/>
        </w:rPr>
        <w:t xml:space="preserve">).  The total burden hours is </w:t>
      </w:r>
      <w:r w:rsidR="00DE7E22" w:rsidRPr="00AD4B35">
        <w:rPr>
          <w:rFonts w:cs="Times New Roman"/>
          <w:szCs w:val="24"/>
        </w:rPr>
        <w:t>13</w:t>
      </w:r>
      <w:r w:rsidR="002244E5" w:rsidRPr="00AD4B35">
        <w:rPr>
          <w:rFonts w:cs="Times New Roman"/>
          <w:szCs w:val="24"/>
        </w:rPr>
        <w:t xml:space="preserve">0 (13 x </w:t>
      </w:r>
      <w:r w:rsidR="00D96411" w:rsidRPr="00AD4B35">
        <w:rPr>
          <w:rFonts w:cs="Times New Roman"/>
          <w:szCs w:val="24"/>
        </w:rPr>
        <w:t>2 x 5</w:t>
      </w:r>
      <w:r w:rsidR="002244E5" w:rsidRPr="00AD4B35">
        <w:rPr>
          <w:rFonts w:cs="Times New Roman"/>
          <w:szCs w:val="24"/>
        </w:rPr>
        <w:t xml:space="preserve"> = </w:t>
      </w:r>
      <w:r w:rsidR="00DE7E22" w:rsidRPr="00AD4B35">
        <w:rPr>
          <w:rFonts w:cs="Times New Roman"/>
          <w:szCs w:val="24"/>
        </w:rPr>
        <w:t>130</w:t>
      </w:r>
      <w:r w:rsidR="002244E5" w:rsidRPr="00AD4B35">
        <w:rPr>
          <w:rFonts w:cs="Times New Roman"/>
          <w:szCs w:val="24"/>
        </w:rPr>
        <w:t xml:space="preserve">).  We note that this application need only be filed once, and will thus not be a recurring </w:t>
      </w:r>
      <w:r w:rsidR="00DE7E22" w:rsidRPr="00AD4B35">
        <w:rPr>
          <w:rFonts w:cs="Times New Roman"/>
          <w:szCs w:val="24"/>
        </w:rPr>
        <w:t>government</w:t>
      </w:r>
      <w:r w:rsidR="002244E5" w:rsidRPr="00AD4B35">
        <w:rPr>
          <w:rFonts w:cs="Times New Roman"/>
          <w:szCs w:val="24"/>
        </w:rPr>
        <w:t xml:space="preserve"> cost.</w:t>
      </w:r>
    </w:p>
    <w:p w14:paraId="44DE3004" w14:textId="77777777" w:rsidR="002244E5" w:rsidRPr="009F34D7" w:rsidRDefault="002244E5" w:rsidP="00040F9A">
      <w:pPr>
        <w:ind w:left="1440"/>
        <w:rPr>
          <w:rFonts w:cs="Times New Roman"/>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389"/>
        <w:gridCol w:w="991"/>
        <w:gridCol w:w="1144"/>
        <w:gridCol w:w="1453"/>
        <w:gridCol w:w="1416"/>
      </w:tblGrid>
      <w:tr w:rsidR="00DE7E22" w:rsidRPr="009F34D7" w14:paraId="403B7C30" w14:textId="77777777" w:rsidTr="002F71C5">
        <w:tc>
          <w:tcPr>
            <w:tcW w:w="1579" w:type="dxa"/>
            <w:shd w:val="clear" w:color="auto" w:fill="auto"/>
          </w:tcPr>
          <w:p w14:paraId="1AE4E23F" w14:textId="77777777" w:rsidR="002244E5" w:rsidRPr="009F34D7" w:rsidRDefault="002244E5" w:rsidP="00040F9A">
            <w:pPr>
              <w:rPr>
                <w:rFonts w:cs="Times New Roman"/>
                <w:szCs w:val="24"/>
              </w:rPr>
            </w:pPr>
            <w:r w:rsidRPr="009F34D7">
              <w:rPr>
                <w:rFonts w:cs="Times New Roman"/>
                <w:szCs w:val="24"/>
              </w:rPr>
              <w:t xml:space="preserve">Expected Respondents </w:t>
            </w:r>
          </w:p>
        </w:tc>
        <w:tc>
          <w:tcPr>
            <w:tcW w:w="1422" w:type="dxa"/>
            <w:shd w:val="clear" w:color="auto" w:fill="auto"/>
          </w:tcPr>
          <w:p w14:paraId="59C847BA" w14:textId="77777777" w:rsidR="002244E5" w:rsidRPr="009F34D7" w:rsidRDefault="002244E5" w:rsidP="00040F9A">
            <w:pPr>
              <w:rPr>
                <w:rFonts w:cs="Times New Roman"/>
                <w:szCs w:val="24"/>
              </w:rPr>
            </w:pPr>
            <w:r w:rsidRPr="009F34D7">
              <w:rPr>
                <w:rFonts w:cs="Times New Roman"/>
                <w:szCs w:val="24"/>
              </w:rPr>
              <w:t xml:space="preserve">Hours </w:t>
            </w:r>
            <w:r w:rsidR="00DE7E22" w:rsidRPr="009F34D7">
              <w:rPr>
                <w:rFonts w:cs="Times New Roman"/>
                <w:szCs w:val="24"/>
              </w:rPr>
              <w:t>P</w:t>
            </w:r>
            <w:r w:rsidRPr="009F34D7">
              <w:rPr>
                <w:rFonts w:cs="Times New Roman"/>
                <w:szCs w:val="24"/>
              </w:rPr>
              <w:t xml:space="preserve">er </w:t>
            </w:r>
            <w:r w:rsidR="00DE7E22" w:rsidRPr="009F34D7">
              <w:rPr>
                <w:rFonts w:cs="Times New Roman"/>
                <w:szCs w:val="24"/>
              </w:rPr>
              <w:t>Application</w:t>
            </w:r>
          </w:p>
        </w:tc>
        <w:tc>
          <w:tcPr>
            <w:tcW w:w="1153" w:type="dxa"/>
            <w:shd w:val="clear" w:color="auto" w:fill="auto"/>
          </w:tcPr>
          <w:p w14:paraId="7374974A" w14:textId="77777777" w:rsidR="002244E5" w:rsidRPr="009F34D7" w:rsidRDefault="00DE7E22" w:rsidP="00040F9A">
            <w:pPr>
              <w:rPr>
                <w:rFonts w:cs="Times New Roman"/>
                <w:szCs w:val="24"/>
              </w:rPr>
            </w:pPr>
            <w:r w:rsidRPr="009F34D7">
              <w:rPr>
                <w:rFonts w:cs="Times New Roman"/>
                <w:szCs w:val="24"/>
              </w:rPr>
              <w:t>Total Hours</w:t>
            </w:r>
          </w:p>
        </w:tc>
        <w:tc>
          <w:tcPr>
            <w:tcW w:w="1357" w:type="dxa"/>
            <w:shd w:val="clear" w:color="auto" w:fill="auto"/>
          </w:tcPr>
          <w:p w14:paraId="5ADCE13A" w14:textId="77777777" w:rsidR="002244E5" w:rsidRPr="009F34D7" w:rsidRDefault="00DE7E22" w:rsidP="00040F9A">
            <w:pPr>
              <w:rPr>
                <w:rFonts w:cs="Times New Roman"/>
                <w:szCs w:val="24"/>
              </w:rPr>
            </w:pPr>
            <w:r w:rsidRPr="009F34D7">
              <w:rPr>
                <w:rFonts w:cs="Times New Roman"/>
                <w:szCs w:val="24"/>
              </w:rPr>
              <w:t>Hourly S</w:t>
            </w:r>
            <w:r w:rsidR="002244E5" w:rsidRPr="009F34D7">
              <w:rPr>
                <w:rFonts w:cs="Times New Roman"/>
                <w:szCs w:val="24"/>
              </w:rPr>
              <w:t>alary</w:t>
            </w:r>
          </w:p>
        </w:tc>
        <w:tc>
          <w:tcPr>
            <w:tcW w:w="1542" w:type="dxa"/>
            <w:shd w:val="clear" w:color="auto" w:fill="auto"/>
          </w:tcPr>
          <w:p w14:paraId="66B944E9" w14:textId="77777777" w:rsidR="002244E5" w:rsidRPr="009F34D7" w:rsidRDefault="00DE7E22" w:rsidP="00040F9A">
            <w:pPr>
              <w:rPr>
                <w:rFonts w:cs="Times New Roman"/>
                <w:szCs w:val="24"/>
              </w:rPr>
            </w:pPr>
            <w:r w:rsidRPr="009F34D7">
              <w:rPr>
                <w:rFonts w:cs="Times New Roman"/>
                <w:szCs w:val="24"/>
              </w:rPr>
              <w:t>$ Cost Per Application</w:t>
            </w:r>
          </w:p>
        </w:tc>
        <w:tc>
          <w:tcPr>
            <w:tcW w:w="1083" w:type="dxa"/>
            <w:shd w:val="clear" w:color="auto" w:fill="auto"/>
          </w:tcPr>
          <w:p w14:paraId="6C958C7D" w14:textId="77777777" w:rsidR="002244E5" w:rsidRPr="009F34D7" w:rsidRDefault="00DE7E22" w:rsidP="00040F9A">
            <w:pPr>
              <w:rPr>
                <w:rFonts w:cs="Times New Roman"/>
                <w:szCs w:val="24"/>
              </w:rPr>
            </w:pPr>
            <w:r w:rsidRPr="009F34D7">
              <w:rPr>
                <w:rFonts w:cs="Times New Roman"/>
                <w:szCs w:val="24"/>
              </w:rPr>
              <w:t>Total $ C</w:t>
            </w:r>
            <w:r w:rsidR="002244E5" w:rsidRPr="009F34D7">
              <w:rPr>
                <w:rFonts w:cs="Times New Roman"/>
                <w:szCs w:val="24"/>
              </w:rPr>
              <w:t xml:space="preserve">ost to </w:t>
            </w:r>
            <w:r w:rsidRPr="009F34D7">
              <w:rPr>
                <w:rFonts w:cs="Times New Roman"/>
                <w:szCs w:val="24"/>
              </w:rPr>
              <w:t>Government</w:t>
            </w:r>
            <w:r w:rsidR="002244E5" w:rsidRPr="009F34D7">
              <w:rPr>
                <w:rFonts w:cs="Times New Roman"/>
                <w:szCs w:val="24"/>
              </w:rPr>
              <w:t xml:space="preserve"> </w:t>
            </w:r>
          </w:p>
        </w:tc>
      </w:tr>
      <w:tr w:rsidR="00DE7E22" w:rsidRPr="009F34D7" w14:paraId="20C89696" w14:textId="77777777" w:rsidTr="002F71C5">
        <w:tc>
          <w:tcPr>
            <w:tcW w:w="1579" w:type="dxa"/>
            <w:shd w:val="clear" w:color="auto" w:fill="auto"/>
          </w:tcPr>
          <w:p w14:paraId="4518231D" w14:textId="77777777" w:rsidR="002244E5" w:rsidRPr="009F34D7" w:rsidRDefault="002244E5" w:rsidP="00040F9A">
            <w:pPr>
              <w:rPr>
                <w:rFonts w:cs="Times New Roman"/>
                <w:szCs w:val="24"/>
              </w:rPr>
            </w:pPr>
            <w:r w:rsidRPr="009F34D7">
              <w:rPr>
                <w:rFonts w:cs="Times New Roman"/>
                <w:szCs w:val="24"/>
              </w:rPr>
              <w:t>13</w:t>
            </w:r>
          </w:p>
        </w:tc>
        <w:tc>
          <w:tcPr>
            <w:tcW w:w="1422" w:type="dxa"/>
            <w:shd w:val="clear" w:color="auto" w:fill="auto"/>
          </w:tcPr>
          <w:p w14:paraId="4A07FC08" w14:textId="77777777" w:rsidR="002244E5" w:rsidRPr="009F34D7" w:rsidRDefault="00DE7E22" w:rsidP="00040F9A">
            <w:pPr>
              <w:rPr>
                <w:rFonts w:cs="Times New Roman"/>
                <w:szCs w:val="24"/>
              </w:rPr>
            </w:pPr>
            <w:r w:rsidRPr="009F34D7">
              <w:rPr>
                <w:rFonts w:cs="Times New Roman"/>
                <w:szCs w:val="24"/>
              </w:rPr>
              <w:t>1</w:t>
            </w:r>
            <w:r w:rsidR="002244E5" w:rsidRPr="009F34D7">
              <w:rPr>
                <w:rFonts w:cs="Times New Roman"/>
                <w:szCs w:val="24"/>
              </w:rPr>
              <w:t>0</w:t>
            </w:r>
            <w:r w:rsidR="00D96411">
              <w:rPr>
                <w:rFonts w:cs="Times New Roman"/>
                <w:szCs w:val="24"/>
              </w:rPr>
              <w:t xml:space="preserve"> </w:t>
            </w:r>
          </w:p>
        </w:tc>
        <w:tc>
          <w:tcPr>
            <w:tcW w:w="1153" w:type="dxa"/>
            <w:shd w:val="clear" w:color="auto" w:fill="auto"/>
          </w:tcPr>
          <w:p w14:paraId="2F5C9959" w14:textId="77777777" w:rsidR="002244E5" w:rsidRPr="009F34D7" w:rsidRDefault="00DE7E22" w:rsidP="00040F9A">
            <w:pPr>
              <w:rPr>
                <w:rFonts w:cs="Times New Roman"/>
                <w:szCs w:val="24"/>
              </w:rPr>
            </w:pPr>
            <w:r w:rsidRPr="009F34D7">
              <w:rPr>
                <w:rFonts w:cs="Times New Roman"/>
                <w:szCs w:val="24"/>
              </w:rPr>
              <w:t>13</w:t>
            </w:r>
            <w:r w:rsidR="002244E5" w:rsidRPr="009F34D7">
              <w:rPr>
                <w:rFonts w:cs="Times New Roman"/>
                <w:szCs w:val="24"/>
              </w:rPr>
              <w:t>0</w:t>
            </w:r>
          </w:p>
        </w:tc>
        <w:tc>
          <w:tcPr>
            <w:tcW w:w="1357" w:type="dxa"/>
            <w:shd w:val="clear" w:color="auto" w:fill="auto"/>
          </w:tcPr>
          <w:p w14:paraId="0E73A807" w14:textId="7F21E665" w:rsidR="002244E5" w:rsidRPr="009F34D7" w:rsidRDefault="00D75975" w:rsidP="00040F9A">
            <w:pPr>
              <w:rPr>
                <w:rFonts w:cs="Times New Roman"/>
                <w:szCs w:val="24"/>
              </w:rPr>
            </w:pPr>
            <w:r>
              <w:rPr>
                <w:rFonts w:cs="Times New Roman"/>
                <w:szCs w:val="24"/>
              </w:rPr>
              <w:t>$59.13</w:t>
            </w:r>
          </w:p>
        </w:tc>
        <w:tc>
          <w:tcPr>
            <w:tcW w:w="1542" w:type="dxa"/>
            <w:shd w:val="clear" w:color="auto" w:fill="auto"/>
          </w:tcPr>
          <w:p w14:paraId="0601CCF8" w14:textId="3F13C4F9" w:rsidR="002244E5" w:rsidRPr="009F34D7" w:rsidRDefault="002244E5" w:rsidP="00040F9A">
            <w:pPr>
              <w:rPr>
                <w:rFonts w:cs="Times New Roman"/>
                <w:szCs w:val="24"/>
              </w:rPr>
            </w:pPr>
            <w:r w:rsidRPr="009F34D7">
              <w:rPr>
                <w:rFonts w:cs="Times New Roman"/>
                <w:szCs w:val="24"/>
              </w:rPr>
              <w:t>$</w:t>
            </w:r>
            <w:r w:rsidR="00090BCD">
              <w:rPr>
                <w:rFonts w:cs="Times New Roman"/>
                <w:szCs w:val="24"/>
              </w:rPr>
              <w:t>591.30</w:t>
            </w:r>
          </w:p>
        </w:tc>
        <w:tc>
          <w:tcPr>
            <w:tcW w:w="1083" w:type="dxa"/>
            <w:shd w:val="clear" w:color="auto" w:fill="auto"/>
          </w:tcPr>
          <w:p w14:paraId="0E20F0F5" w14:textId="789CB033" w:rsidR="002244E5" w:rsidRPr="009F34D7" w:rsidRDefault="002244E5" w:rsidP="00040F9A">
            <w:pPr>
              <w:rPr>
                <w:rFonts w:cs="Times New Roman"/>
                <w:szCs w:val="24"/>
              </w:rPr>
            </w:pPr>
            <w:r w:rsidRPr="009F34D7">
              <w:rPr>
                <w:rFonts w:cs="Times New Roman"/>
                <w:szCs w:val="24"/>
              </w:rPr>
              <w:t>$</w:t>
            </w:r>
            <w:r w:rsidR="00090BCD">
              <w:rPr>
                <w:rFonts w:cs="Times New Roman"/>
                <w:szCs w:val="24"/>
              </w:rPr>
              <w:t>7,686.90</w:t>
            </w:r>
          </w:p>
        </w:tc>
      </w:tr>
    </w:tbl>
    <w:p w14:paraId="4A45B914" w14:textId="77777777" w:rsidR="001E0387" w:rsidRPr="009F34D7" w:rsidRDefault="001E0387" w:rsidP="00040F9A">
      <w:pPr>
        <w:pStyle w:val="Default"/>
        <w:rPr>
          <w:rFonts w:ascii="Times New Roman" w:hAnsi="Times New Roman" w:cs="Times New Roman"/>
          <w:szCs w:val="24"/>
        </w:rPr>
      </w:pPr>
    </w:p>
    <w:p w14:paraId="25531E5A" w14:textId="49FB685A" w:rsidR="00836503" w:rsidRDefault="001E1B53" w:rsidP="00836503">
      <w:pPr>
        <w:pStyle w:val="CM21"/>
        <w:spacing w:line="240" w:lineRule="auto"/>
        <w:ind w:right="173"/>
        <w:rPr>
          <w:rFonts w:ascii="Times New Roman" w:hAnsi="Times New Roman"/>
        </w:rPr>
      </w:pPr>
      <w:r w:rsidRPr="009F34D7">
        <w:rPr>
          <w:rFonts w:ascii="Times New Roman" w:hAnsi="Times New Roman"/>
          <w:b/>
        </w:rPr>
        <w:t>15</w:t>
      </w:r>
      <w:r w:rsidRPr="009F34D7">
        <w:rPr>
          <w:rFonts w:ascii="Times New Roman" w:hAnsi="Times New Roman"/>
        </w:rPr>
        <w:t xml:space="preserve">. </w:t>
      </w:r>
      <w:r w:rsidR="000416A1">
        <w:rPr>
          <w:rFonts w:ascii="Times New Roman" w:hAnsi="Times New Roman"/>
        </w:rPr>
        <w:tab/>
      </w:r>
      <w:r w:rsidR="008A776D">
        <w:rPr>
          <w:rFonts w:ascii="Times New Roman" w:hAnsi="Times New Roman"/>
        </w:rPr>
        <w:t xml:space="preserve">The Commission is reporting a program change/decrease </w:t>
      </w:r>
      <w:r w:rsidR="00836503">
        <w:rPr>
          <w:rFonts w:ascii="Times New Roman" w:hAnsi="Times New Roman"/>
        </w:rPr>
        <w:t xml:space="preserve">in </w:t>
      </w:r>
      <w:r w:rsidR="00941E12">
        <w:rPr>
          <w:rFonts w:ascii="Times New Roman" w:hAnsi="Times New Roman"/>
        </w:rPr>
        <w:t>the total annual burden hours by -</w:t>
      </w:r>
      <w:r w:rsidR="00836503">
        <w:rPr>
          <w:rFonts w:ascii="Times New Roman" w:hAnsi="Times New Roman"/>
        </w:rPr>
        <w:t xml:space="preserve">1,040 which is due to </w:t>
      </w:r>
      <w:r w:rsidR="00836503" w:rsidRPr="00BD1E5B">
        <w:rPr>
          <w:rFonts w:ascii="Times New Roman" w:hAnsi="Times New Roman"/>
        </w:rPr>
        <w:t xml:space="preserve">eliminating the Numbering Resource Utilization/Forecast (NRUF) requirement from this information collection.  The NRUF requirement will be added to </w:t>
      </w:r>
      <w:r w:rsidR="00BD1E5B" w:rsidRPr="00BD1E5B">
        <w:rPr>
          <w:rFonts w:ascii="Times New Roman" w:hAnsi="Times New Roman"/>
        </w:rPr>
        <w:t xml:space="preserve">OMB Control No. </w:t>
      </w:r>
      <w:r w:rsidR="00836503" w:rsidRPr="00BD1E5B">
        <w:rPr>
          <w:rFonts w:ascii="Times New Roman" w:hAnsi="Times New Roman"/>
        </w:rPr>
        <w:t>3060-0895</w:t>
      </w:r>
      <w:r w:rsidR="00BD1E5B" w:rsidRPr="00BD1E5B">
        <w:rPr>
          <w:rFonts w:ascii="Times New Roman" w:hAnsi="Times New Roman"/>
        </w:rPr>
        <w:t>, Numbering Resource Optimization, CC Docket No 99-200</w:t>
      </w:r>
      <w:r w:rsidR="00836503" w:rsidRPr="00BD1E5B">
        <w:rPr>
          <w:rFonts w:ascii="Times New Roman" w:hAnsi="Times New Roman"/>
        </w:rPr>
        <w:t>.</w:t>
      </w:r>
      <w:r w:rsidR="00836503" w:rsidRPr="00836503">
        <w:rPr>
          <w:rFonts w:ascii="Times New Roman" w:hAnsi="Times New Roman"/>
        </w:rPr>
        <w:t xml:space="preserve"> </w:t>
      </w:r>
      <w:r w:rsidR="00836503">
        <w:rPr>
          <w:rFonts w:ascii="Times New Roman" w:hAnsi="Times New Roman"/>
        </w:rPr>
        <w:t xml:space="preserve">There are no changes to the total number of respondents or total annual responses with this submission.  </w:t>
      </w:r>
    </w:p>
    <w:p w14:paraId="5B0B4C4C" w14:textId="574FD59D" w:rsidR="00751426" w:rsidRDefault="00751426" w:rsidP="00040F9A">
      <w:pPr>
        <w:pStyle w:val="CM21"/>
        <w:spacing w:line="240" w:lineRule="auto"/>
        <w:ind w:right="173"/>
        <w:rPr>
          <w:rFonts w:ascii="Times New Roman" w:hAnsi="Times New Roman"/>
        </w:rPr>
      </w:pPr>
    </w:p>
    <w:p w14:paraId="6FDA2422" w14:textId="5B7AD82C" w:rsidR="001E1B53" w:rsidRDefault="00751426" w:rsidP="00040F9A">
      <w:pPr>
        <w:pStyle w:val="CM21"/>
        <w:spacing w:line="240" w:lineRule="auto"/>
        <w:ind w:right="173"/>
        <w:rPr>
          <w:rFonts w:ascii="Times New Roman" w:hAnsi="Times New Roman"/>
        </w:rPr>
      </w:pPr>
      <w:r>
        <w:rPr>
          <w:rFonts w:ascii="Times New Roman" w:hAnsi="Times New Roman"/>
        </w:rPr>
        <w:t xml:space="preserve">There are no adjustments. </w:t>
      </w:r>
      <w:r w:rsidR="001027BD">
        <w:rPr>
          <w:rFonts w:ascii="Times New Roman" w:hAnsi="Times New Roman"/>
        </w:rPr>
        <w:t xml:space="preserve"> </w:t>
      </w:r>
    </w:p>
    <w:p w14:paraId="0F7F1D1B" w14:textId="77777777" w:rsidR="000C0601" w:rsidRPr="000C0601" w:rsidRDefault="000C0601" w:rsidP="000C0601">
      <w:pPr>
        <w:pStyle w:val="Default"/>
      </w:pPr>
    </w:p>
    <w:p w14:paraId="1EA90D76" w14:textId="77777777" w:rsidR="007E460E" w:rsidRDefault="001E1B53" w:rsidP="00040F9A">
      <w:pPr>
        <w:pStyle w:val="CM21"/>
        <w:spacing w:line="240" w:lineRule="auto"/>
        <w:ind w:right="178"/>
        <w:rPr>
          <w:rFonts w:ascii="Times New Roman" w:hAnsi="Times New Roman"/>
        </w:rPr>
      </w:pPr>
      <w:r w:rsidRPr="009F34D7">
        <w:rPr>
          <w:rFonts w:ascii="Times New Roman" w:hAnsi="Times New Roman"/>
          <w:b/>
        </w:rPr>
        <w:t>16.</w:t>
      </w:r>
      <w:r w:rsidR="000416A1">
        <w:rPr>
          <w:rFonts w:ascii="Times New Roman" w:hAnsi="Times New Roman"/>
          <w:b/>
        </w:rPr>
        <w:tab/>
      </w:r>
      <w:r w:rsidR="00573615" w:rsidRPr="009F34D7">
        <w:rPr>
          <w:rFonts w:ascii="Times New Roman" w:hAnsi="Times New Roman"/>
          <w:b/>
        </w:rPr>
        <w:t xml:space="preserve"> </w:t>
      </w:r>
      <w:r w:rsidR="00573615" w:rsidRPr="009F34D7">
        <w:rPr>
          <w:rFonts w:ascii="Times New Roman" w:hAnsi="Times New Roman"/>
        </w:rPr>
        <w:t>The Commission is not planning on publishing the results</w:t>
      </w:r>
      <w:r w:rsidR="00C96B61" w:rsidRPr="009F34D7">
        <w:rPr>
          <w:rFonts w:ascii="Times New Roman" w:hAnsi="Times New Roman"/>
        </w:rPr>
        <w:t xml:space="preserve"> of this information collection</w:t>
      </w:r>
      <w:r w:rsidR="00573615" w:rsidRPr="009F34D7">
        <w:rPr>
          <w:rFonts w:ascii="Times New Roman" w:hAnsi="Times New Roman"/>
        </w:rPr>
        <w:t>.  Information filed by the respondents will be publicly available.</w:t>
      </w:r>
    </w:p>
    <w:p w14:paraId="1A8C5181" w14:textId="77777777" w:rsidR="000C0601" w:rsidRPr="000C0601" w:rsidRDefault="000C0601" w:rsidP="000C0601">
      <w:pPr>
        <w:pStyle w:val="Default"/>
      </w:pPr>
    </w:p>
    <w:p w14:paraId="56762AED" w14:textId="77777777" w:rsidR="001E1B53" w:rsidRDefault="001E1B53" w:rsidP="00040F9A">
      <w:pPr>
        <w:pStyle w:val="CM21"/>
        <w:spacing w:line="240" w:lineRule="auto"/>
        <w:ind w:right="178"/>
        <w:rPr>
          <w:rFonts w:ascii="Times New Roman" w:hAnsi="Times New Roman"/>
        </w:rPr>
      </w:pPr>
      <w:r w:rsidRPr="009F34D7">
        <w:rPr>
          <w:rFonts w:ascii="Times New Roman" w:hAnsi="Times New Roman"/>
          <w:b/>
        </w:rPr>
        <w:t>17</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 xml:space="preserve">The </w:t>
      </w:r>
      <w:r w:rsidR="000A74D9" w:rsidRPr="009F34D7">
        <w:rPr>
          <w:rFonts w:ascii="Times New Roman" w:hAnsi="Times New Roman"/>
        </w:rPr>
        <w:t>Commission</w:t>
      </w:r>
      <w:r w:rsidR="00573615" w:rsidRPr="009F34D7">
        <w:rPr>
          <w:rFonts w:ascii="Times New Roman" w:hAnsi="Times New Roman"/>
        </w:rPr>
        <w:t xml:space="preserve"> is not seeking approval to not display </w:t>
      </w:r>
      <w:r w:rsidR="00C96B61" w:rsidRPr="009F34D7">
        <w:rPr>
          <w:rFonts w:ascii="Times New Roman" w:hAnsi="Times New Roman"/>
        </w:rPr>
        <w:t>the expiration date for</w:t>
      </w:r>
      <w:r w:rsidR="00573615" w:rsidRPr="009F34D7">
        <w:rPr>
          <w:rFonts w:ascii="Times New Roman" w:hAnsi="Times New Roman"/>
        </w:rPr>
        <w:t xml:space="preserve"> OMB </w:t>
      </w:r>
      <w:r w:rsidR="00C96B61" w:rsidRPr="009F34D7">
        <w:rPr>
          <w:rFonts w:ascii="Times New Roman" w:hAnsi="Times New Roman"/>
        </w:rPr>
        <w:t>approval of this information collection</w:t>
      </w:r>
      <w:r w:rsidR="00573615" w:rsidRPr="009F34D7">
        <w:rPr>
          <w:rFonts w:ascii="Times New Roman" w:hAnsi="Times New Roman"/>
        </w:rPr>
        <w:t>.</w:t>
      </w:r>
    </w:p>
    <w:p w14:paraId="141F7A4A" w14:textId="77777777" w:rsidR="000C0601" w:rsidRPr="000C0601" w:rsidRDefault="000C0601" w:rsidP="000C0601">
      <w:pPr>
        <w:pStyle w:val="Default"/>
      </w:pPr>
    </w:p>
    <w:p w14:paraId="0E59B5BF" w14:textId="77777777" w:rsidR="00573615" w:rsidRDefault="001E1B53" w:rsidP="00040F9A">
      <w:pPr>
        <w:pStyle w:val="CM21"/>
        <w:spacing w:line="240" w:lineRule="auto"/>
        <w:ind w:right="178"/>
        <w:rPr>
          <w:rFonts w:ascii="Times New Roman" w:hAnsi="Times New Roman"/>
        </w:rPr>
      </w:pPr>
      <w:r w:rsidRPr="009F34D7">
        <w:rPr>
          <w:rFonts w:ascii="Times New Roman" w:hAnsi="Times New Roman"/>
          <w:b/>
        </w:rPr>
        <w:t>18</w:t>
      </w:r>
      <w:r w:rsidRPr="009F34D7">
        <w:rPr>
          <w:rFonts w:ascii="Times New Roman" w:hAnsi="Times New Roman"/>
        </w:rPr>
        <w:t xml:space="preserve">. </w:t>
      </w:r>
      <w:r w:rsidR="000416A1">
        <w:rPr>
          <w:rFonts w:ascii="Times New Roman" w:hAnsi="Times New Roman"/>
        </w:rPr>
        <w:tab/>
      </w:r>
      <w:r w:rsidR="00573615" w:rsidRPr="009F34D7">
        <w:rPr>
          <w:rFonts w:ascii="Times New Roman" w:hAnsi="Times New Roman"/>
        </w:rPr>
        <w:t>There are no exceptions to the Certification Statement.</w:t>
      </w:r>
    </w:p>
    <w:p w14:paraId="16A313BF" w14:textId="77777777" w:rsidR="000C0601" w:rsidRPr="000C0601" w:rsidRDefault="000C0601" w:rsidP="000C0601">
      <w:pPr>
        <w:pStyle w:val="Default"/>
      </w:pPr>
    </w:p>
    <w:p w14:paraId="229E063A" w14:textId="77777777" w:rsidR="006D1BA2" w:rsidRDefault="006D1BA2" w:rsidP="00040F9A">
      <w:pPr>
        <w:pStyle w:val="Default"/>
        <w:rPr>
          <w:rFonts w:ascii="Times New Roman" w:hAnsi="Times New Roman" w:cs="Times New Roman"/>
          <w:b/>
          <w:szCs w:val="24"/>
          <w:u w:val="single"/>
        </w:rPr>
      </w:pPr>
      <w:r w:rsidRPr="009F34D7">
        <w:rPr>
          <w:rFonts w:ascii="Times New Roman" w:hAnsi="Times New Roman" w:cs="Times New Roman"/>
          <w:b/>
          <w:szCs w:val="24"/>
          <w:u w:val="single"/>
        </w:rPr>
        <w:t>B. Collections of Information Employing Statistical Methods:</w:t>
      </w:r>
    </w:p>
    <w:p w14:paraId="28C7A9B6" w14:textId="77777777" w:rsidR="000A112A" w:rsidRPr="009F34D7" w:rsidRDefault="000A112A" w:rsidP="00040F9A">
      <w:pPr>
        <w:pStyle w:val="Default"/>
        <w:rPr>
          <w:rFonts w:ascii="Times New Roman" w:hAnsi="Times New Roman" w:cs="Times New Roman"/>
          <w:b/>
          <w:szCs w:val="24"/>
          <w:u w:val="single"/>
        </w:rPr>
      </w:pPr>
    </w:p>
    <w:p w14:paraId="2361AE7F" w14:textId="77777777" w:rsidR="006D1BA2" w:rsidRPr="009F34D7" w:rsidRDefault="006D1BA2" w:rsidP="00040F9A">
      <w:pPr>
        <w:pStyle w:val="Default"/>
        <w:ind w:firstLine="720"/>
        <w:rPr>
          <w:rFonts w:ascii="Times New Roman" w:hAnsi="Times New Roman" w:cs="Times New Roman"/>
          <w:szCs w:val="24"/>
        </w:rPr>
      </w:pPr>
      <w:r w:rsidRPr="009F34D7">
        <w:rPr>
          <w:rFonts w:ascii="Times New Roman" w:hAnsi="Times New Roman" w:cs="Times New Roman"/>
          <w:szCs w:val="24"/>
        </w:rPr>
        <w:t>The Commission does not</w:t>
      </w:r>
      <w:r w:rsidR="00AA5C29" w:rsidRPr="009F34D7">
        <w:rPr>
          <w:rFonts w:ascii="Times New Roman" w:hAnsi="Times New Roman" w:cs="Times New Roman"/>
          <w:szCs w:val="24"/>
        </w:rPr>
        <w:t xml:space="preserve"> anticipate that the collection</w:t>
      </w:r>
      <w:r w:rsidRPr="009F34D7">
        <w:rPr>
          <w:rFonts w:ascii="Times New Roman" w:hAnsi="Times New Roman" w:cs="Times New Roman"/>
          <w:szCs w:val="24"/>
        </w:rPr>
        <w:t xml:space="preserve"> of information will employ statistical methods.</w:t>
      </w:r>
    </w:p>
    <w:sectPr w:rsidR="006D1BA2" w:rsidRPr="009F34D7" w:rsidSect="001E1B53">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77811" w14:textId="77777777" w:rsidR="00F56DD6" w:rsidRDefault="00F56DD6" w:rsidP="00D12872">
      <w:r>
        <w:separator/>
      </w:r>
    </w:p>
  </w:endnote>
  <w:endnote w:type="continuationSeparator" w:id="0">
    <w:p w14:paraId="533B18D0" w14:textId="77777777" w:rsidR="00F56DD6" w:rsidRDefault="00F56DD6" w:rsidP="00D1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562E7" w14:textId="77777777" w:rsidR="005B7FB9" w:rsidRDefault="005B7FB9">
    <w:pPr>
      <w:pStyle w:val="Footer"/>
      <w:jc w:val="center"/>
    </w:pPr>
    <w:r>
      <w:fldChar w:fldCharType="begin"/>
    </w:r>
    <w:r>
      <w:instrText xml:space="preserve"> PAGE   \* MERGEFORMAT </w:instrText>
    </w:r>
    <w:r>
      <w:fldChar w:fldCharType="separate"/>
    </w:r>
    <w:r w:rsidR="006605CF">
      <w:rPr>
        <w:noProof/>
      </w:rPr>
      <w:t>1</w:t>
    </w:r>
    <w:r>
      <w:rPr>
        <w:noProof/>
      </w:rPr>
      <w:fldChar w:fldCharType="end"/>
    </w:r>
  </w:p>
  <w:p w14:paraId="2C102C95" w14:textId="77777777" w:rsidR="005B7FB9" w:rsidRDefault="005B7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93A5" w14:textId="77777777" w:rsidR="00F56DD6" w:rsidRDefault="00F56DD6" w:rsidP="00D12872">
      <w:r>
        <w:separator/>
      </w:r>
    </w:p>
  </w:footnote>
  <w:footnote w:type="continuationSeparator" w:id="0">
    <w:p w14:paraId="3B1EDF94" w14:textId="77777777" w:rsidR="00F56DD6" w:rsidRDefault="00F56DD6" w:rsidP="00D12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F542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F7E00"/>
    <w:multiLevelType w:val="hybridMultilevel"/>
    <w:tmpl w:val="867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B2AAF"/>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A23ECB"/>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425DAB"/>
    <w:multiLevelType w:val="hybridMultilevel"/>
    <w:tmpl w:val="4AD8C6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4A08AF"/>
    <w:multiLevelType w:val="hybridMultilevel"/>
    <w:tmpl w:val="85D4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A16CC"/>
    <w:multiLevelType w:val="hybridMultilevel"/>
    <w:tmpl w:val="99ACF9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15:restartNumberingAfterBreak="0">
    <w:nsid w:val="627A20B4"/>
    <w:multiLevelType w:val="hybridMultilevel"/>
    <w:tmpl w:val="6BFAEAC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990BB4"/>
    <w:multiLevelType w:val="hybridMultilevel"/>
    <w:tmpl w:val="DF9CF0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B65264"/>
    <w:multiLevelType w:val="multilevel"/>
    <w:tmpl w:val="84286B5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
  </w:num>
  <w:num w:numId="3">
    <w:abstractNumId w:val="0"/>
  </w:num>
  <w:num w:numId="4">
    <w:abstractNumId w:val="3"/>
  </w:num>
  <w:num w:numId="5">
    <w:abstractNumId w:val="2"/>
  </w:num>
  <w:num w:numId="6">
    <w:abstractNumId w:val="8"/>
  </w:num>
  <w:num w:numId="7">
    <w:abstractNumId w:val="7"/>
  </w:num>
  <w:num w:numId="8">
    <w:abstractNumId w:val="9"/>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53"/>
    <w:rsid w:val="00007CFA"/>
    <w:rsid w:val="000101C4"/>
    <w:rsid w:val="00014485"/>
    <w:rsid w:val="000148F5"/>
    <w:rsid w:val="00015025"/>
    <w:rsid w:val="000162C5"/>
    <w:rsid w:val="00022103"/>
    <w:rsid w:val="000237F8"/>
    <w:rsid w:val="0002407E"/>
    <w:rsid w:val="00024516"/>
    <w:rsid w:val="00025B00"/>
    <w:rsid w:val="00025BC6"/>
    <w:rsid w:val="00032250"/>
    <w:rsid w:val="00036557"/>
    <w:rsid w:val="0003799A"/>
    <w:rsid w:val="00040F9A"/>
    <w:rsid w:val="000416A1"/>
    <w:rsid w:val="00051EF1"/>
    <w:rsid w:val="0006282A"/>
    <w:rsid w:val="00074DC1"/>
    <w:rsid w:val="0007787A"/>
    <w:rsid w:val="00083C73"/>
    <w:rsid w:val="00084A27"/>
    <w:rsid w:val="00090BCD"/>
    <w:rsid w:val="000949D2"/>
    <w:rsid w:val="00094AF2"/>
    <w:rsid w:val="000A112A"/>
    <w:rsid w:val="000A2034"/>
    <w:rsid w:val="000A21BF"/>
    <w:rsid w:val="000A2267"/>
    <w:rsid w:val="000A33A6"/>
    <w:rsid w:val="000A74D9"/>
    <w:rsid w:val="000B07CA"/>
    <w:rsid w:val="000B519A"/>
    <w:rsid w:val="000B6690"/>
    <w:rsid w:val="000C05EA"/>
    <w:rsid w:val="000C0601"/>
    <w:rsid w:val="000C122E"/>
    <w:rsid w:val="000C5BDE"/>
    <w:rsid w:val="000D50F7"/>
    <w:rsid w:val="000D5A2D"/>
    <w:rsid w:val="000D7AE2"/>
    <w:rsid w:val="000E0D96"/>
    <w:rsid w:val="000E5148"/>
    <w:rsid w:val="000E53CF"/>
    <w:rsid w:val="000F50AB"/>
    <w:rsid w:val="001027BD"/>
    <w:rsid w:val="001040AC"/>
    <w:rsid w:val="0010413B"/>
    <w:rsid w:val="00123D52"/>
    <w:rsid w:val="001830CD"/>
    <w:rsid w:val="00186149"/>
    <w:rsid w:val="001A78A1"/>
    <w:rsid w:val="001C35E1"/>
    <w:rsid w:val="001C586E"/>
    <w:rsid w:val="001C66B7"/>
    <w:rsid w:val="001D10F3"/>
    <w:rsid w:val="001D3D47"/>
    <w:rsid w:val="001D4694"/>
    <w:rsid w:val="001D73B6"/>
    <w:rsid w:val="001E0387"/>
    <w:rsid w:val="001E1B53"/>
    <w:rsid w:val="001E4B9B"/>
    <w:rsid w:val="001E7F7C"/>
    <w:rsid w:val="001F7C38"/>
    <w:rsid w:val="0020443A"/>
    <w:rsid w:val="002044AF"/>
    <w:rsid w:val="00207A7E"/>
    <w:rsid w:val="00207F59"/>
    <w:rsid w:val="00210C6A"/>
    <w:rsid w:val="0021414F"/>
    <w:rsid w:val="00214514"/>
    <w:rsid w:val="002244E5"/>
    <w:rsid w:val="002257BE"/>
    <w:rsid w:val="00236049"/>
    <w:rsid w:val="002363CF"/>
    <w:rsid w:val="00247721"/>
    <w:rsid w:val="00260F4C"/>
    <w:rsid w:val="00285AA4"/>
    <w:rsid w:val="00285DBB"/>
    <w:rsid w:val="00286ACB"/>
    <w:rsid w:val="00290A55"/>
    <w:rsid w:val="0029334B"/>
    <w:rsid w:val="002A21BB"/>
    <w:rsid w:val="002B15F0"/>
    <w:rsid w:val="002C1E87"/>
    <w:rsid w:val="002D4189"/>
    <w:rsid w:val="002E1B10"/>
    <w:rsid w:val="002E2F30"/>
    <w:rsid w:val="002E5BA1"/>
    <w:rsid w:val="002E6593"/>
    <w:rsid w:val="002F71C5"/>
    <w:rsid w:val="003015C9"/>
    <w:rsid w:val="00304D0E"/>
    <w:rsid w:val="00306FA2"/>
    <w:rsid w:val="00310784"/>
    <w:rsid w:val="00311335"/>
    <w:rsid w:val="003113EA"/>
    <w:rsid w:val="00312217"/>
    <w:rsid w:val="00313792"/>
    <w:rsid w:val="00315DDD"/>
    <w:rsid w:val="00317B28"/>
    <w:rsid w:val="00324979"/>
    <w:rsid w:val="00330310"/>
    <w:rsid w:val="0033214A"/>
    <w:rsid w:val="00335E13"/>
    <w:rsid w:val="00347948"/>
    <w:rsid w:val="0036530B"/>
    <w:rsid w:val="00366C87"/>
    <w:rsid w:val="00373F8F"/>
    <w:rsid w:val="00377CBE"/>
    <w:rsid w:val="003811CE"/>
    <w:rsid w:val="0038615F"/>
    <w:rsid w:val="003C6554"/>
    <w:rsid w:val="003E1D1C"/>
    <w:rsid w:val="003E725C"/>
    <w:rsid w:val="003F0340"/>
    <w:rsid w:val="003F19E7"/>
    <w:rsid w:val="003F1A30"/>
    <w:rsid w:val="003F6822"/>
    <w:rsid w:val="003F7D47"/>
    <w:rsid w:val="004018D2"/>
    <w:rsid w:val="00404793"/>
    <w:rsid w:val="00404F39"/>
    <w:rsid w:val="00410EB8"/>
    <w:rsid w:val="004403C6"/>
    <w:rsid w:val="004463C8"/>
    <w:rsid w:val="0044740E"/>
    <w:rsid w:val="004601F6"/>
    <w:rsid w:val="004625C0"/>
    <w:rsid w:val="004638D2"/>
    <w:rsid w:val="00464754"/>
    <w:rsid w:val="00476CA6"/>
    <w:rsid w:val="004825E9"/>
    <w:rsid w:val="0049287A"/>
    <w:rsid w:val="00493C2D"/>
    <w:rsid w:val="004A0FD5"/>
    <w:rsid w:val="004A3884"/>
    <w:rsid w:val="004A5CFC"/>
    <w:rsid w:val="004B31B1"/>
    <w:rsid w:val="004B3A9C"/>
    <w:rsid w:val="004B7A36"/>
    <w:rsid w:val="004C5062"/>
    <w:rsid w:val="004D2FD1"/>
    <w:rsid w:val="004D34DC"/>
    <w:rsid w:val="004D3558"/>
    <w:rsid w:val="004D4F0C"/>
    <w:rsid w:val="004E4B48"/>
    <w:rsid w:val="004E6FA6"/>
    <w:rsid w:val="004F6F00"/>
    <w:rsid w:val="00500707"/>
    <w:rsid w:val="005009C8"/>
    <w:rsid w:val="00502560"/>
    <w:rsid w:val="005100D6"/>
    <w:rsid w:val="005108CB"/>
    <w:rsid w:val="005121CF"/>
    <w:rsid w:val="00517ACA"/>
    <w:rsid w:val="00521614"/>
    <w:rsid w:val="0052362A"/>
    <w:rsid w:val="00524A6D"/>
    <w:rsid w:val="005250D2"/>
    <w:rsid w:val="00550743"/>
    <w:rsid w:val="00566097"/>
    <w:rsid w:val="00573615"/>
    <w:rsid w:val="00581E92"/>
    <w:rsid w:val="00583A01"/>
    <w:rsid w:val="00585FE8"/>
    <w:rsid w:val="00586690"/>
    <w:rsid w:val="00586A69"/>
    <w:rsid w:val="00593DE1"/>
    <w:rsid w:val="00596FC0"/>
    <w:rsid w:val="005A15D5"/>
    <w:rsid w:val="005A2FAD"/>
    <w:rsid w:val="005A4E54"/>
    <w:rsid w:val="005A540A"/>
    <w:rsid w:val="005A6F90"/>
    <w:rsid w:val="005B02B4"/>
    <w:rsid w:val="005B2F2A"/>
    <w:rsid w:val="005B5BB9"/>
    <w:rsid w:val="005B755E"/>
    <w:rsid w:val="005B7FB9"/>
    <w:rsid w:val="005D6285"/>
    <w:rsid w:val="005D7F27"/>
    <w:rsid w:val="005F01E0"/>
    <w:rsid w:val="005F0E3B"/>
    <w:rsid w:val="005F4204"/>
    <w:rsid w:val="005F43EB"/>
    <w:rsid w:val="005F7117"/>
    <w:rsid w:val="00606295"/>
    <w:rsid w:val="00606405"/>
    <w:rsid w:val="006128EB"/>
    <w:rsid w:val="00620F9C"/>
    <w:rsid w:val="0062308A"/>
    <w:rsid w:val="00623872"/>
    <w:rsid w:val="00625351"/>
    <w:rsid w:val="00630CC5"/>
    <w:rsid w:val="006333AB"/>
    <w:rsid w:val="006401A6"/>
    <w:rsid w:val="00640BC6"/>
    <w:rsid w:val="0065157B"/>
    <w:rsid w:val="006605CF"/>
    <w:rsid w:val="006606DB"/>
    <w:rsid w:val="00665D3F"/>
    <w:rsid w:val="00671CD4"/>
    <w:rsid w:val="0068181A"/>
    <w:rsid w:val="006840A8"/>
    <w:rsid w:val="00686BDC"/>
    <w:rsid w:val="0069139B"/>
    <w:rsid w:val="00694621"/>
    <w:rsid w:val="00696A01"/>
    <w:rsid w:val="006B4AC9"/>
    <w:rsid w:val="006C4A94"/>
    <w:rsid w:val="006D1BA2"/>
    <w:rsid w:val="006F7B20"/>
    <w:rsid w:val="00706330"/>
    <w:rsid w:val="007309F5"/>
    <w:rsid w:val="00743B4E"/>
    <w:rsid w:val="00751426"/>
    <w:rsid w:val="00757C12"/>
    <w:rsid w:val="0077292F"/>
    <w:rsid w:val="00774CBF"/>
    <w:rsid w:val="00783513"/>
    <w:rsid w:val="007963DE"/>
    <w:rsid w:val="00797474"/>
    <w:rsid w:val="007A5D26"/>
    <w:rsid w:val="007B5DB1"/>
    <w:rsid w:val="007C0269"/>
    <w:rsid w:val="007C0638"/>
    <w:rsid w:val="007C107E"/>
    <w:rsid w:val="007C6C8C"/>
    <w:rsid w:val="007D562C"/>
    <w:rsid w:val="007D5DB4"/>
    <w:rsid w:val="007E1DD3"/>
    <w:rsid w:val="007E460E"/>
    <w:rsid w:val="007E73D2"/>
    <w:rsid w:val="007F17B8"/>
    <w:rsid w:val="00801053"/>
    <w:rsid w:val="00804029"/>
    <w:rsid w:val="00805923"/>
    <w:rsid w:val="0081493C"/>
    <w:rsid w:val="00817F82"/>
    <w:rsid w:val="0082119E"/>
    <w:rsid w:val="00821D43"/>
    <w:rsid w:val="008232C1"/>
    <w:rsid w:val="00824148"/>
    <w:rsid w:val="008327F4"/>
    <w:rsid w:val="0083368E"/>
    <w:rsid w:val="00836503"/>
    <w:rsid w:val="00845237"/>
    <w:rsid w:val="008476FB"/>
    <w:rsid w:val="0085530F"/>
    <w:rsid w:val="00856B6A"/>
    <w:rsid w:val="0085775C"/>
    <w:rsid w:val="00865E02"/>
    <w:rsid w:val="0087767B"/>
    <w:rsid w:val="00881E00"/>
    <w:rsid w:val="008A2B79"/>
    <w:rsid w:val="008A4BFA"/>
    <w:rsid w:val="008A776D"/>
    <w:rsid w:val="008E41A8"/>
    <w:rsid w:val="008F14DF"/>
    <w:rsid w:val="008F21EC"/>
    <w:rsid w:val="008F5329"/>
    <w:rsid w:val="0090254A"/>
    <w:rsid w:val="00903868"/>
    <w:rsid w:val="0092143D"/>
    <w:rsid w:val="00923676"/>
    <w:rsid w:val="00927965"/>
    <w:rsid w:val="00936AB0"/>
    <w:rsid w:val="00941E12"/>
    <w:rsid w:val="0094208B"/>
    <w:rsid w:val="00942A00"/>
    <w:rsid w:val="00945259"/>
    <w:rsid w:val="009452DE"/>
    <w:rsid w:val="0096006A"/>
    <w:rsid w:val="00972F1F"/>
    <w:rsid w:val="0098035B"/>
    <w:rsid w:val="0098591E"/>
    <w:rsid w:val="00997919"/>
    <w:rsid w:val="009A036C"/>
    <w:rsid w:val="009A1911"/>
    <w:rsid w:val="009A2703"/>
    <w:rsid w:val="009B2540"/>
    <w:rsid w:val="009B4794"/>
    <w:rsid w:val="009C328C"/>
    <w:rsid w:val="009D1482"/>
    <w:rsid w:val="009D4C36"/>
    <w:rsid w:val="009D6400"/>
    <w:rsid w:val="009D7A4C"/>
    <w:rsid w:val="009E4464"/>
    <w:rsid w:val="009F0EBC"/>
    <w:rsid w:val="009F2E03"/>
    <w:rsid w:val="009F34D7"/>
    <w:rsid w:val="009F62A8"/>
    <w:rsid w:val="00A002E7"/>
    <w:rsid w:val="00A00C29"/>
    <w:rsid w:val="00A01C1D"/>
    <w:rsid w:val="00A021CA"/>
    <w:rsid w:val="00A03A79"/>
    <w:rsid w:val="00A06D26"/>
    <w:rsid w:val="00A1504F"/>
    <w:rsid w:val="00A46A07"/>
    <w:rsid w:val="00A52E52"/>
    <w:rsid w:val="00A53C46"/>
    <w:rsid w:val="00A556BE"/>
    <w:rsid w:val="00A617C0"/>
    <w:rsid w:val="00A61BDC"/>
    <w:rsid w:val="00A64641"/>
    <w:rsid w:val="00A730FE"/>
    <w:rsid w:val="00A77FE0"/>
    <w:rsid w:val="00A94091"/>
    <w:rsid w:val="00A974C6"/>
    <w:rsid w:val="00AA3031"/>
    <w:rsid w:val="00AA5BCD"/>
    <w:rsid w:val="00AA5C29"/>
    <w:rsid w:val="00AB2645"/>
    <w:rsid w:val="00AB4C8E"/>
    <w:rsid w:val="00AB4E8B"/>
    <w:rsid w:val="00AC098D"/>
    <w:rsid w:val="00AC4F7E"/>
    <w:rsid w:val="00AC6C3A"/>
    <w:rsid w:val="00AC76E0"/>
    <w:rsid w:val="00AD4B35"/>
    <w:rsid w:val="00AD7E3C"/>
    <w:rsid w:val="00AE235A"/>
    <w:rsid w:val="00AE3303"/>
    <w:rsid w:val="00AE7D00"/>
    <w:rsid w:val="00AF326C"/>
    <w:rsid w:val="00AF5344"/>
    <w:rsid w:val="00AF6DB2"/>
    <w:rsid w:val="00B02498"/>
    <w:rsid w:val="00B037E1"/>
    <w:rsid w:val="00B077BF"/>
    <w:rsid w:val="00B14917"/>
    <w:rsid w:val="00B25E12"/>
    <w:rsid w:val="00B34FFB"/>
    <w:rsid w:val="00B3720C"/>
    <w:rsid w:val="00B458D2"/>
    <w:rsid w:val="00B5615D"/>
    <w:rsid w:val="00B569C2"/>
    <w:rsid w:val="00B61D3A"/>
    <w:rsid w:val="00B6270C"/>
    <w:rsid w:val="00B62CC2"/>
    <w:rsid w:val="00B6749E"/>
    <w:rsid w:val="00B93DA8"/>
    <w:rsid w:val="00BA1D87"/>
    <w:rsid w:val="00BB0A76"/>
    <w:rsid w:val="00BB31EE"/>
    <w:rsid w:val="00BB3D68"/>
    <w:rsid w:val="00BB642E"/>
    <w:rsid w:val="00BC3E7F"/>
    <w:rsid w:val="00BC70C6"/>
    <w:rsid w:val="00BD1E5B"/>
    <w:rsid w:val="00BD3BC0"/>
    <w:rsid w:val="00BD3C6B"/>
    <w:rsid w:val="00BE4205"/>
    <w:rsid w:val="00BE6B74"/>
    <w:rsid w:val="00C02FCE"/>
    <w:rsid w:val="00C05473"/>
    <w:rsid w:val="00C05EC9"/>
    <w:rsid w:val="00C14FF1"/>
    <w:rsid w:val="00C256AC"/>
    <w:rsid w:val="00C306F7"/>
    <w:rsid w:val="00C340CB"/>
    <w:rsid w:val="00C3657D"/>
    <w:rsid w:val="00C40175"/>
    <w:rsid w:val="00C402D6"/>
    <w:rsid w:val="00C40DFB"/>
    <w:rsid w:val="00C5338E"/>
    <w:rsid w:val="00C53C4D"/>
    <w:rsid w:val="00C5428F"/>
    <w:rsid w:val="00C55B20"/>
    <w:rsid w:val="00C56A54"/>
    <w:rsid w:val="00C61E9C"/>
    <w:rsid w:val="00C66E94"/>
    <w:rsid w:val="00C674FD"/>
    <w:rsid w:val="00C711A0"/>
    <w:rsid w:val="00C74F33"/>
    <w:rsid w:val="00C77197"/>
    <w:rsid w:val="00C877F2"/>
    <w:rsid w:val="00C90BE1"/>
    <w:rsid w:val="00C916FF"/>
    <w:rsid w:val="00C95F4F"/>
    <w:rsid w:val="00C967E0"/>
    <w:rsid w:val="00C96B61"/>
    <w:rsid w:val="00CA4018"/>
    <w:rsid w:val="00CA7A0F"/>
    <w:rsid w:val="00CB451D"/>
    <w:rsid w:val="00CC4AE2"/>
    <w:rsid w:val="00CD7078"/>
    <w:rsid w:val="00CE2D2F"/>
    <w:rsid w:val="00CE7B91"/>
    <w:rsid w:val="00CF1363"/>
    <w:rsid w:val="00CF2E54"/>
    <w:rsid w:val="00D05883"/>
    <w:rsid w:val="00D075B2"/>
    <w:rsid w:val="00D11E15"/>
    <w:rsid w:val="00D12872"/>
    <w:rsid w:val="00D13224"/>
    <w:rsid w:val="00D15666"/>
    <w:rsid w:val="00D20708"/>
    <w:rsid w:val="00D20C28"/>
    <w:rsid w:val="00D25D02"/>
    <w:rsid w:val="00D357F2"/>
    <w:rsid w:val="00D4265F"/>
    <w:rsid w:val="00D466FF"/>
    <w:rsid w:val="00D4774C"/>
    <w:rsid w:val="00D53F86"/>
    <w:rsid w:val="00D56262"/>
    <w:rsid w:val="00D62FB8"/>
    <w:rsid w:val="00D75975"/>
    <w:rsid w:val="00D819CE"/>
    <w:rsid w:val="00D842EA"/>
    <w:rsid w:val="00D85078"/>
    <w:rsid w:val="00D96411"/>
    <w:rsid w:val="00DA43E7"/>
    <w:rsid w:val="00DA53E6"/>
    <w:rsid w:val="00DB0234"/>
    <w:rsid w:val="00DB2990"/>
    <w:rsid w:val="00DB3349"/>
    <w:rsid w:val="00DB3B77"/>
    <w:rsid w:val="00DB64A4"/>
    <w:rsid w:val="00DC7D5E"/>
    <w:rsid w:val="00DE1E6E"/>
    <w:rsid w:val="00DE66E5"/>
    <w:rsid w:val="00DE7E22"/>
    <w:rsid w:val="00DF6FCC"/>
    <w:rsid w:val="00E07341"/>
    <w:rsid w:val="00E21E1C"/>
    <w:rsid w:val="00E21F7B"/>
    <w:rsid w:val="00E255E9"/>
    <w:rsid w:val="00E27EA4"/>
    <w:rsid w:val="00E34125"/>
    <w:rsid w:val="00E35C14"/>
    <w:rsid w:val="00E36501"/>
    <w:rsid w:val="00E46474"/>
    <w:rsid w:val="00E46DBF"/>
    <w:rsid w:val="00E66E05"/>
    <w:rsid w:val="00E74E1D"/>
    <w:rsid w:val="00E859A7"/>
    <w:rsid w:val="00E85ABB"/>
    <w:rsid w:val="00E915A7"/>
    <w:rsid w:val="00E97493"/>
    <w:rsid w:val="00E97B74"/>
    <w:rsid w:val="00EC304D"/>
    <w:rsid w:val="00EC319C"/>
    <w:rsid w:val="00EC3572"/>
    <w:rsid w:val="00EC38CC"/>
    <w:rsid w:val="00EC7B9F"/>
    <w:rsid w:val="00ED04E7"/>
    <w:rsid w:val="00ED65EA"/>
    <w:rsid w:val="00EE4692"/>
    <w:rsid w:val="00EE79C9"/>
    <w:rsid w:val="00EF6637"/>
    <w:rsid w:val="00EF71F0"/>
    <w:rsid w:val="00F04541"/>
    <w:rsid w:val="00F07FB5"/>
    <w:rsid w:val="00F14CA6"/>
    <w:rsid w:val="00F16114"/>
    <w:rsid w:val="00F17545"/>
    <w:rsid w:val="00F2518A"/>
    <w:rsid w:val="00F34B27"/>
    <w:rsid w:val="00F35C2A"/>
    <w:rsid w:val="00F416CA"/>
    <w:rsid w:val="00F42EA8"/>
    <w:rsid w:val="00F56000"/>
    <w:rsid w:val="00F56DD6"/>
    <w:rsid w:val="00F60CFE"/>
    <w:rsid w:val="00F66729"/>
    <w:rsid w:val="00F7698C"/>
    <w:rsid w:val="00F84F08"/>
    <w:rsid w:val="00F85156"/>
    <w:rsid w:val="00FA6105"/>
    <w:rsid w:val="00FA7C3C"/>
    <w:rsid w:val="00FB0382"/>
    <w:rsid w:val="00FB4947"/>
    <w:rsid w:val="00FB4B77"/>
    <w:rsid w:val="00FB555C"/>
    <w:rsid w:val="00FB7404"/>
    <w:rsid w:val="00FD1D93"/>
    <w:rsid w:val="00FE112A"/>
    <w:rsid w:val="00FE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4F821"/>
  <w15:chartTrackingRefBased/>
  <w15:docId w15:val="{08506569-21B8-4A02-A16E-FFA816FB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rialNarrow,Bold"/>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B53"/>
    <w:pPr>
      <w:autoSpaceDE w:val="0"/>
      <w:autoSpaceDN w:val="0"/>
      <w:adjustRightInd w:val="0"/>
    </w:pPr>
    <w:rPr>
      <w:rFonts w:ascii="ArialNarrow,Bold" w:hAnsi="ArialNarrow,Bold"/>
      <w:sz w:val="24"/>
    </w:rPr>
  </w:style>
  <w:style w:type="paragraph" w:customStyle="1" w:styleId="CM1">
    <w:name w:val="CM1"/>
    <w:basedOn w:val="Default"/>
    <w:next w:val="Default"/>
    <w:rsid w:val="001E1B53"/>
    <w:rPr>
      <w:rFonts w:cs="Times New Roman"/>
      <w:szCs w:val="24"/>
    </w:rPr>
  </w:style>
  <w:style w:type="paragraph" w:customStyle="1" w:styleId="CM2">
    <w:name w:val="CM2"/>
    <w:basedOn w:val="Default"/>
    <w:next w:val="Default"/>
    <w:rsid w:val="001E1B53"/>
    <w:pPr>
      <w:spacing w:line="211" w:lineRule="auto"/>
    </w:pPr>
    <w:rPr>
      <w:rFonts w:cs="Times New Roman"/>
      <w:szCs w:val="24"/>
    </w:rPr>
  </w:style>
  <w:style w:type="paragraph" w:customStyle="1" w:styleId="CM8">
    <w:name w:val="CM8"/>
    <w:basedOn w:val="Default"/>
    <w:next w:val="Default"/>
    <w:rsid w:val="001E1B53"/>
    <w:pPr>
      <w:spacing w:line="211" w:lineRule="auto"/>
    </w:pPr>
    <w:rPr>
      <w:rFonts w:cs="Times New Roman"/>
      <w:szCs w:val="24"/>
    </w:rPr>
  </w:style>
  <w:style w:type="paragraph" w:customStyle="1" w:styleId="CM9">
    <w:name w:val="CM9"/>
    <w:basedOn w:val="Default"/>
    <w:next w:val="Default"/>
    <w:rsid w:val="001E1B53"/>
    <w:pPr>
      <w:spacing w:line="211" w:lineRule="auto"/>
    </w:pPr>
    <w:rPr>
      <w:rFonts w:cs="Times New Roman"/>
      <w:szCs w:val="24"/>
    </w:rPr>
  </w:style>
  <w:style w:type="paragraph" w:customStyle="1" w:styleId="CM5">
    <w:name w:val="CM5"/>
    <w:basedOn w:val="Default"/>
    <w:next w:val="Default"/>
    <w:rsid w:val="001E1B53"/>
    <w:pPr>
      <w:spacing w:line="216" w:lineRule="auto"/>
    </w:pPr>
    <w:rPr>
      <w:rFonts w:cs="Times New Roman"/>
      <w:szCs w:val="24"/>
    </w:rPr>
  </w:style>
  <w:style w:type="paragraph" w:customStyle="1" w:styleId="CM12">
    <w:name w:val="CM12"/>
    <w:basedOn w:val="Default"/>
    <w:next w:val="Default"/>
    <w:rsid w:val="001E1B53"/>
    <w:pPr>
      <w:spacing w:line="211" w:lineRule="auto"/>
    </w:pPr>
    <w:rPr>
      <w:rFonts w:cs="Times New Roman"/>
      <w:szCs w:val="24"/>
    </w:rPr>
  </w:style>
  <w:style w:type="paragraph" w:customStyle="1" w:styleId="CM13">
    <w:name w:val="CM13"/>
    <w:basedOn w:val="Default"/>
    <w:next w:val="Default"/>
    <w:rsid w:val="001E1B53"/>
    <w:pPr>
      <w:spacing w:line="211" w:lineRule="auto"/>
    </w:pPr>
    <w:rPr>
      <w:rFonts w:cs="Times New Roman"/>
      <w:szCs w:val="24"/>
    </w:rPr>
  </w:style>
  <w:style w:type="paragraph" w:customStyle="1" w:styleId="CM14">
    <w:name w:val="CM14"/>
    <w:basedOn w:val="Default"/>
    <w:next w:val="Default"/>
    <w:rsid w:val="001E1B53"/>
    <w:pPr>
      <w:spacing w:line="260" w:lineRule="auto"/>
    </w:pPr>
    <w:rPr>
      <w:rFonts w:cs="Times New Roman"/>
      <w:szCs w:val="24"/>
    </w:rPr>
  </w:style>
  <w:style w:type="paragraph" w:customStyle="1" w:styleId="CM15">
    <w:name w:val="CM15"/>
    <w:basedOn w:val="Default"/>
    <w:next w:val="Default"/>
    <w:rsid w:val="001E1B53"/>
    <w:pPr>
      <w:spacing w:line="260" w:lineRule="auto"/>
    </w:pPr>
    <w:rPr>
      <w:rFonts w:cs="Times New Roman"/>
      <w:szCs w:val="24"/>
    </w:rPr>
  </w:style>
  <w:style w:type="paragraph" w:customStyle="1" w:styleId="CM16">
    <w:name w:val="CM16"/>
    <w:basedOn w:val="Default"/>
    <w:next w:val="Default"/>
    <w:rsid w:val="001E1B53"/>
    <w:pPr>
      <w:spacing w:line="260" w:lineRule="auto"/>
    </w:pPr>
    <w:rPr>
      <w:rFonts w:cs="Times New Roman"/>
      <w:szCs w:val="24"/>
    </w:rPr>
  </w:style>
  <w:style w:type="paragraph" w:customStyle="1" w:styleId="CM17">
    <w:name w:val="CM17"/>
    <w:basedOn w:val="Default"/>
    <w:next w:val="Default"/>
    <w:rsid w:val="001E1B53"/>
    <w:pPr>
      <w:spacing w:line="260" w:lineRule="auto"/>
    </w:pPr>
    <w:rPr>
      <w:rFonts w:cs="Times New Roman"/>
      <w:szCs w:val="24"/>
    </w:rPr>
  </w:style>
  <w:style w:type="paragraph" w:customStyle="1" w:styleId="CM18">
    <w:name w:val="CM18"/>
    <w:basedOn w:val="Default"/>
    <w:next w:val="Default"/>
    <w:rsid w:val="001E1B53"/>
    <w:pPr>
      <w:spacing w:line="260" w:lineRule="auto"/>
    </w:pPr>
    <w:rPr>
      <w:rFonts w:cs="Times New Roman"/>
      <w:szCs w:val="24"/>
    </w:rPr>
  </w:style>
  <w:style w:type="paragraph" w:customStyle="1" w:styleId="CM21">
    <w:name w:val="CM21"/>
    <w:basedOn w:val="Default"/>
    <w:next w:val="Default"/>
    <w:rsid w:val="001E1B53"/>
    <w:pPr>
      <w:spacing w:line="211" w:lineRule="auto"/>
    </w:pPr>
    <w:rPr>
      <w:rFonts w:cs="Times New Roman"/>
      <w:szCs w:val="24"/>
    </w:rPr>
  </w:style>
  <w:style w:type="paragraph" w:styleId="BalloonText">
    <w:name w:val="Balloon Text"/>
    <w:basedOn w:val="Normal"/>
    <w:link w:val="BalloonTextChar"/>
    <w:rsid w:val="00F34B27"/>
    <w:rPr>
      <w:rFonts w:ascii="Tahoma" w:hAnsi="Tahoma" w:cs="Times New Roman"/>
      <w:sz w:val="16"/>
      <w:szCs w:val="16"/>
      <w:lang w:val="x-none" w:eastAsia="x-none"/>
    </w:rPr>
  </w:style>
  <w:style w:type="character" w:customStyle="1" w:styleId="BalloonTextChar">
    <w:name w:val="Balloon Text Char"/>
    <w:link w:val="BalloonText"/>
    <w:rsid w:val="00F34B27"/>
    <w:rPr>
      <w:rFonts w:ascii="Tahoma" w:hAnsi="Tahoma" w:cs="Tahoma"/>
      <w:sz w:val="16"/>
      <w:szCs w:val="16"/>
    </w:rPr>
  </w:style>
  <w:style w:type="paragraph" w:customStyle="1" w:styleId="MediumGrid1-Accent21">
    <w:name w:val="Medium Grid 1 - Accent 21"/>
    <w:basedOn w:val="Normal"/>
    <w:uiPriority w:val="34"/>
    <w:qFormat/>
    <w:rsid w:val="00F34B27"/>
    <w:pPr>
      <w:ind w:left="720"/>
      <w:contextualSpacing/>
    </w:pPr>
    <w:rPr>
      <w:rFonts w:cs="Times New Roman"/>
      <w:sz w:val="22"/>
      <w:szCs w:val="24"/>
    </w:rPr>
  </w:style>
  <w:style w:type="paragraph" w:customStyle="1" w:styleId="ParaNum">
    <w:name w:val="ParaNum"/>
    <w:basedOn w:val="Normal"/>
    <w:link w:val="ParaNumChar"/>
    <w:rsid w:val="00D12872"/>
    <w:pPr>
      <w:widowControl w:val="0"/>
      <w:numPr>
        <w:numId w:val="7"/>
      </w:numPr>
      <w:tabs>
        <w:tab w:val="clear" w:pos="1080"/>
        <w:tab w:val="num" w:pos="1440"/>
      </w:tabs>
      <w:spacing w:after="120"/>
    </w:pPr>
    <w:rPr>
      <w:rFonts w:cs="Times New Roman"/>
      <w:snapToGrid w:val="0"/>
      <w:kern w:val="28"/>
      <w:sz w:val="22"/>
      <w:lang w:val="x-none" w:eastAsia="x-none"/>
    </w:rPr>
  </w:style>
  <w:style w:type="paragraph" w:styleId="FootnoteText">
    <w:name w:val="footnote text"/>
    <w:aliases w:val="Footnote Text Char1,Footnote Text Char Char,Footnote Text Char2 Char Char,Footnote Text Char3 Char1 Char Char,Footnote Text Char2 Char1 Char1 Char Char,Footnote Text Char3 Char1 Char Char Char Char,Footnote Text Char2,fn,f,fn Char2 Char"/>
    <w:link w:val="FootnoteTextChar"/>
    <w:uiPriority w:val="99"/>
    <w:rsid w:val="00D12872"/>
    <w:pPr>
      <w:spacing w:after="120"/>
    </w:pPr>
    <w:rPr>
      <w:rFonts w:cs="Times New Roman"/>
    </w:rPr>
  </w:style>
  <w:style w:type="character" w:customStyle="1" w:styleId="FootnoteTextChar">
    <w:name w:val="Footnote Text Char"/>
    <w:aliases w:val="Footnote Text Char1 Char,Footnote Text Char Char Char,Footnote Text Char2 Char Char Char,Footnote Text Char3 Char1 Char Char Char,Footnote Text Char2 Char1 Char1 Char Char Char,Footnote Text Char3 Char1 Char Char Char Char Char,f Char"/>
    <w:link w:val="FootnoteText"/>
    <w:uiPriority w:val="99"/>
    <w:rsid w:val="00D12872"/>
    <w:rPr>
      <w:rFonts w:cs="Times New Roman"/>
      <w:lang w:val="en-US" w:eastAsia="en-US" w:bidi="ar-SA"/>
    </w:rPr>
  </w:style>
  <w:style w:type="character" w:styleId="FootnoteReference">
    <w:name w:val="footnote reference"/>
    <w:aliases w:val="Appel note de bas de p,Style 12,(NECG) Footnote Reference,Style 124,o,fr,Style 3,Style 13,FR,Style 17,Style 6,Footnote Reference/,Style 7,Style 4,Style 34,Style 9,Footnote Reference1"/>
    <w:rsid w:val="00D12872"/>
    <w:rPr>
      <w:rFonts w:ascii="Times New Roman" w:hAnsi="Times New Roman"/>
      <w:dstrike w:val="0"/>
      <w:color w:val="auto"/>
      <w:sz w:val="22"/>
      <w:vertAlign w:val="superscript"/>
    </w:rPr>
  </w:style>
  <w:style w:type="character" w:customStyle="1" w:styleId="ParaNumChar">
    <w:name w:val="ParaNum Char"/>
    <w:link w:val="ParaNum"/>
    <w:rsid w:val="00D12872"/>
    <w:rPr>
      <w:rFonts w:cs="Times New Roman"/>
      <w:snapToGrid w:val="0"/>
      <w:kern w:val="28"/>
      <w:sz w:val="22"/>
    </w:rPr>
  </w:style>
  <w:style w:type="paragraph" w:styleId="TOC7">
    <w:name w:val="toc 7"/>
    <w:basedOn w:val="Normal"/>
    <w:next w:val="Normal"/>
    <w:autoRedefine/>
    <w:rsid w:val="00AE235A"/>
    <w:pPr>
      <w:widowControl w:val="0"/>
      <w:tabs>
        <w:tab w:val="left" w:pos="2520"/>
        <w:tab w:val="right" w:leader="dot" w:pos="9360"/>
      </w:tabs>
      <w:suppressAutoHyphens/>
      <w:ind w:left="2520" w:hanging="360"/>
    </w:pPr>
    <w:rPr>
      <w:rFonts w:cs="Times New Roman"/>
      <w:noProof/>
      <w:snapToGrid w:val="0"/>
      <w:kern w:val="28"/>
      <w:sz w:val="22"/>
    </w:rPr>
  </w:style>
  <w:style w:type="table" w:styleId="TableGrid">
    <w:name w:val="Table Grid"/>
    <w:basedOn w:val="TableNormal"/>
    <w:rsid w:val="0020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2362A"/>
    <w:rPr>
      <w:sz w:val="16"/>
      <w:szCs w:val="16"/>
    </w:rPr>
  </w:style>
  <w:style w:type="paragraph" w:styleId="CommentText">
    <w:name w:val="annotation text"/>
    <w:basedOn w:val="Normal"/>
    <w:link w:val="CommentTextChar"/>
    <w:rsid w:val="0052362A"/>
    <w:rPr>
      <w:sz w:val="20"/>
    </w:rPr>
  </w:style>
  <w:style w:type="character" w:customStyle="1" w:styleId="CommentTextChar">
    <w:name w:val="Comment Text Char"/>
    <w:basedOn w:val="DefaultParagraphFont"/>
    <w:link w:val="CommentText"/>
    <w:rsid w:val="0052362A"/>
  </w:style>
  <w:style w:type="paragraph" w:styleId="CommentSubject">
    <w:name w:val="annotation subject"/>
    <w:basedOn w:val="CommentText"/>
    <w:next w:val="CommentText"/>
    <w:link w:val="CommentSubjectChar"/>
    <w:rsid w:val="0052362A"/>
    <w:rPr>
      <w:b/>
      <w:bCs/>
    </w:rPr>
  </w:style>
  <w:style w:type="character" w:customStyle="1" w:styleId="CommentSubjectChar">
    <w:name w:val="Comment Subject Char"/>
    <w:link w:val="CommentSubject"/>
    <w:rsid w:val="0052362A"/>
    <w:rPr>
      <w:b/>
      <w:bCs/>
    </w:rPr>
  </w:style>
  <w:style w:type="paragraph" w:styleId="Header">
    <w:name w:val="header"/>
    <w:basedOn w:val="Normal"/>
    <w:link w:val="HeaderChar"/>
    <w:rsid w:val="004B31B1"/>
    <w:pPr>
      <w:tabs>
        <w:tab w:val="center" w:pos="4680"/>
        <w:tab w:val="right" w:pos="9360"/>
      </w:tabs>
    </w:pPr>
  </w:style>
  <w:style w:type="character" w:customStyle="1" w:styleId="HeaderChar">
    <w:name w:val="Header Char"/>
    <w:link w:val="Header"/>
    <w:rsid w:val="004B31B1"/>
    <w:rPr>
      <w:sz w:val="24"/>
    </w:rPr>
  </w:style>
  <w:style w:type="paragraph" w:styleId="Footer">
    <w:name w:val="footer"/>
    <w:basedOn w:val="Normal"/>
    <w:link w:val="FooterChar"/>
    <w:uiPriority w:val="99"/>
    <w:rsid w:val="004B31B1"/>
    <w:pPr>
      <w:tabs>
        <w:tab w:val="center" w:pos="4680"/>
        <w:tab w:val="right" w:pos="9360"/>
      </w:tabs>
    </w:pPr>
  </w:style>
  <w:style w:type="character" w:customStyle="1" w:styleId="FooterChar">
    <w:name w:val="Footer Char"/>
    <w:link w:val="Footer"/>
    <w:uiPriority w:val="99"/>
    <w:rsid w:val="004B31B1"/>
    <w:rPr>
      <w:sz w:val="24"/>
    </w:rPr>
  </w:style>
  <w:style w:type="character" w:customStyle="1" w:styleId="apple-converted-space">
    <w:name w:val="apple-converted-space"/>
    <w:rsid w:val="007D5DB4"/>
  </w:style>
  <w:style w:type="paragraph" w:customStyle="1" w:styleId="ColorfulList-Accent11">
    <w:name w:val="Colorful List - Accent 11"/>
    <w:basedOn w:val="Normal"/>
    <w:uiPriority w:val="34"/>
    <w:qFormat/>
    <w:rsid w:val="004D3558"/>
    <w:pPr>
      <w:ind w:left="720"/>
    </w:pPr>
  </w:style>
  <w:style w:type="paragraph" w:styleId="ListParagraph">
    <w:name w:val="List Paragraph"/>
    <w:basedOn w:val="Normal"/>
    <w:uiPriority w:val="34"/>
    <w:qFormat/>
    <w:rsid w:val="004A0FD5"/>
    <w:pPr>
      <w:ind w:left="720"/>
    </w:pPr>
  </w:style>
  <w:style w:type="paragraph" w:styleId="Revision">
    <w:name w:val="Revision"/>
    <w:hidden/>
    <w:uiPriority w:val="99"/>
    <w:semiHidden/>
    <w:rsid w:val="00BD1E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9467">
      <w:bodyDiv w:val="1"/>
      <w:marLeft w:val="0"/>
      <w:marRight w:val="0"/>
      <w:marTop w:val="0"/>
      <w:marBottom w:val="0"/>
      <w:divBdr>
        <w:top w:val="none" w:sz="0" w:space="0" w:color="auto"/>
        <w:left w:val="none" w:sz="0" w:space="0" w:color="auto"/>
        <w:bottom w:val="none" w:sz="0" w:space="0" w:color="auto"/>
        <w:right w:val="none" w:sz="0" w:space="0" w:color="auto"/>
      </w:divBdr>
    </w:div>
    <w:div w:id="9319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F4BD-3744-49AA-AB7B-D7177221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Instructions For Completing OMB Form 83-I</vt:lpstr>
    </vt:vector>
  </TitlesOfParts>
  <Company>Federal Communications Commission</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OMB Form 83-I</dc:title>
  <dc:subject/>
  <dc:creator>judy boley</dc:creator>
  <cp:keywords/>
  <cp:lastModifiedBy>Nicole Ongele</cp:lastModifiedBy>
  <cp:revision>3</cp:revision>
  <cp:lastPrinted>2016-02-10T04:23:00Z</cp:lastPrinted>
  <dcterms:created xsi:type="dcterms:W3CDTF">2016-06-08T19:57:00Z</dcterms:created>
  <dcterms:modified xsi:type="dcterms:W3CDTF">2016-06-08T20:08:00Z</dcterms:modified>
</cp:coreProperties>
</file>