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B5C4" w14:textId="77777777" w:rsidR="005D4000" w:rsidRDefault="005D4000" w:rsidP="00993E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B17CC41" w14:textId="77777777" w:rsidR="005D4000" w:rsidRDefault="005D4000" w:rsidP="005D4000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2B95F70C" w14:textId="77777777" w:rsidR="005D4000" w:rsidRDefault="005D4000" w:rsidP="005D4000">
      <w:pPr>
        <w:jc w:val="center"/>
        <w:rPr>
          <w:rFonts w:asciiTheme="majorBidi" w:hAnsiTheme="majorBidi" w:cstheme="majorBidi"/>
          <w:sz w:val="44"/>
          <w:szCs w:val="44"/>
        </w:rPr>
      </w:pPr>
      <w:bookmarkStart w:id="0" w:name="_GoBack"/>
      <w:bookmarkEnd w:id="0"/>
      <w:r w:rsidRPr="00997DEB">
        <w:rPr>
          <w:rFonts w:asciiTheme="majorBidi" w:hAnsiTheme="majorBidi" w:cstheme="majorBidi"/>
          <w:sz w:val="44"/>
          <w:szCs w:val="44"/>
        </w:rPr>
        <w:t xml:space="preserve">Appendix </w:t>
      </w:r>
      <w:r>
        <w:rPr>
          <w:rFonts w:asciiTheme="majorBidi" w:hAnsiTheme="majorBidi" w:cstheme="majorBidi"/>
          <w:sz w:val="44"/>
          <w:szCs w:val="44"/>
        </w:rPr>
        <w:t>G</w:t>
      </w:r>
      <w:r w:rsidRPr="00997DEB">
        <w:rPr>
          <w:rFonts w:asciiTheme="majorBidi" w:hAnsiTheme="majorBidi" w:cstheme="majorBidi"/>
          <w:sz w:val="44"/>
          <w:szCs w:val="44"/>
        </w:rPr>
        <w:t xml:space="preserve">: </w:t>
      </w:r>
    </w:p>
    <w:p w14:paraId="33334ED8" w14:textId="77777777" w:rsidR="005D4000" w:rsidRDefault="005D4000" w:rsidP="005D4000">
      <w:pPr>
        <w:jc w:val="center"/>
        <w:rPr>
          <w:rFonts w:asciiTheme="majorBidi" w:eastAsia="MS Mincho" w:hAnsiTheme="majorBidi" w:cstheme="majorBidi"/>
          <w:sz w:val="44"/>
          <w:szCs w:val="44"/>
        </w:rPr>
      </w:pPr>
      <w:r w:rsidRPr="00997DEB">
        <w:rPr>
          <w:rFonts w:asciiTheme="majorBidi" w:eastAsia="MS Mincho" w:hAnsiTheme="majorBidi" w:cstheme="majorBidi"/>
          <w:sz w:val="44"/>
          <w:szCs w:val="44"/>
        </w:rPr>
        <w:t xml:space="preserve">Burden and Cost for </w:t>
      </w:r>
      <w:r w:rsidRPr="003629F9">
        <w:rPr>
          <w:rFonts w:asciiTheme="majorBidi" w:eastAsia="MS Mincho" w:hAnsiTheme="majorBidi" w:cstheme="majorBidi"/>
          <w:sz w:val="44"/>
          <w:szCs w:val="44"/>
        </w:rPr>
        <w:t xml:space="preserve">Geologic Sequestration </w:t>
      </w:r>
      <w:r>
        <w:rPr>
          <w:rFonts w:asciiTheme="majorBidi" w:eastAsia="MS Mincho" w:hAnsiTheme="majorBidi" w:cstheme="majorBidi"/>
          <w:sz w:val="44"/>
          <w:szCs w:val="44"/>
        </w:rPr>
        <w:t>o</w:t>
      </w:r>
      <w:r w:rsidRPr="003629F9">
        <w:rPr>
          <w:rFonts w:asciiTheme="majorBidi" w:eastAsia="MS Mincho" w:hAnsiTheme="majorBidi" w:cstheme="majorBidi"/>
          <w:sz w:val="44"/>
          <w:szCs w:val="44"/>
        </w:rPr>
        <w:t>f Carbon Dioxide</w:t>
      </w:r>
    </w:p>
    <w:p w14:paraId="526472E2" w14:textId="77777777" w:rsidR="005D4000" w:rsidRDefault="005D4000" w:rsidP="005D4000">
      <w:pPr>
        <w:jc w:val="center"/>
      </w:pPr>
      <w:r w:rsidRPr="00997DEB">
        <w:rPr>
          <w:rFonts w:asciiTheme="majorBidi" w:eastAsia="MS Mincho" w:hAnsiTheme="majorBidi" w:cstheme="majorBidi"/>
          <w:sz w:val="44"/>
          <w:szCs w:val="44"/>
        </w:rPr>
        <w:t xml:space="preserve">(Subpart </w:t>
      </w:r>
      <w:r>
        <w:rPr>
          <w:rFonts w:asciiTheme="majorBidi" w:eastAsia="MS Mincho" w:hAnsiTheme="majorBidi" w:cstheme="majorBidi"/>
          <w:sz w:val="44"/>
          <w:szCs w:val="44"/>
        </w:rPr>
        <w:t>RR</w:t>
      </w:r>
      <w:r w:rsidRPr="00997DEB">
        <w:rPr>
          <w:rFonts w:asciiTheme="majorBidi" w:eastAsia="MS Mincho" w:hAnsiTheme="majorBidi" w:cstheme="majorBidi"/>
          <w:sz w:val="44"/>
          <w:szCs w:val="44"/>
        </w:rPr>
        <w:t>)</w:t>
      </w:r>
    </w:p>
    <w:p w14:paraId="13F602BA" w14:textId="77777777" w:rsidR="00350D4E" w:rsidRDefault="00350D4E" w:rsidP="00993E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3ABD7326" w14:textId="707357A3" w:rsidR="002F1563" w:rsidRDefault="002F1563" w:rsidP="00993E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F1563">
        <w:rPr>
          <w:rFonts w:ascii="Arial" w:hAnsi="Arial" w:cs="Arial"/>
          <w:b/>
          <w:sz w:val="32"/>
          <w:szCs w:val="32"/>
        </w:rPr>
        <w:lastRenderedPageBreak/>
        <w:t xml:space="preserve">Burden and Cost Estimate for Geologic </w:t>
      </w:r>
      <w:r w:rsidR="004B34E9">
        <w:rPr>
          <w:rFonts w:ascii="Arial" w:hAnsi="Arial" w:cs="Arial"/>
          <w:b/>
          <w:sz w:val="32"/>
          <w:szCs w:val="32"/>
        </w:rPr>
        <w:t>Sequestration</w:t>
      </w:r>
      <w:r w:rsidRPr="002F1563">
        <w:rPr>
          <w:rFonts w:ascii="Arial" w:hAnsi="Arial" w:cs="Arial"/>
          <w:b/>
          <w:sz w:val="32"/>
          <w:szCs w:val="32"/>
        </w:rPr>
        <w:t xml:space="preserve"> of Carbon Dioxide</w:t>
      </w:r>
      <w:r w:rsidR="007539FC">
        <w:rPr>
          <w:rFonts w:ascii="Arial" w:hAnsi="Arial" w:cs="Arial"/>
          <w:b/>
          <w:sz w:val="32"/>
          <w:szCs w:val="32"/>
        </w:rPr>
        <w:t xml:space="preserve"> </w:t>
      </w:r>
      <w:r w:rsidRPr="002F1563">
        <w:rPr>
          <w:rFonts w:ascii="Arial" w:hAnsi="Arial" w:cs="Arial"/>
          <w:b/>
          <w:sz w:val="32"/>
          <w:szCs w:val="32"/>
        </w:rPr>
        <w:t>(Subpart RR)</w:t>
      </w:r>
    </w:p>
    <w:p w14:paraId="10F75C76" w14:textId="77777777" w:rsidR="002F1563" w:rsidRDefault="002F1563" w:rsidP="002F1563">
      <w:pPr>
        <w:spacing w:after="0"/>
        <w:rPr>
          <w:rFonts w:ascii="Arial" w:hAnsi="Arial" w:cs="Arial"/>
          <w:b/>
          <w:sz w:val="24"/>
          <w:szCs w:val="24"/>
        </w:rPr>
      </w:pPr>
    </w:p>
    <w:p w14:paraId="7CA2E4AB" w14:textId="3D62C797" w:rsidR="00B864B1" w:rsidRPr="00540A09" w:rsidRDefault="00B864B1" w:rsidP="00A677C7">
      <w:pPr>
        <w:spacing w:after="120" w:line="276" w:lineRule="auto"/>
        <w:rPr>
          <w:rFonts w:ascii="Arial" w:hAnsi="Arial" w:cs="Arial"/>
        </w:rPr>
      </w:pPr>
      <w:r w:rsidRPr="00540A09">
        <w:rPr>
          <w:rFonts w:ascii="Arial" w:hAnsi="Arial" w:cs="Arial"/>
        </w:rPr>
        <w:t>The o</w:t>
      </w:r>
      <w:r w:rsidR="002F1563" w:rsidRPr="00540A09">
        <w:rPr>
          <w:rFonts w:ascii="Arial" w:hAnsi="Arial" w:cs="Arial"/>
        </w:rPr>
        <w:t>bjective</w:t>
      </w:r>
      <w:r w:rsidRPr="00540A09">
        <w:rPr>
          <w:rFonts w:ascii="Arial" w:hAnsi="Arial" w:cs="Arial"/>
        </w:rPr>
        <w:t xml:space="preserve"> of this </w:t>
      </w:r>
      <w:r w:rsidR="00FA239D">
        <w:rPr>
          <w:rFonts w:ascii="Arial" w:hAnsi="Arial" w:cs="Arial"/>
        </w:rPr>
        <w:t>appendix</w:t>
      </w:r>
      <w:r w:rsidRPr="00540A09">
        <w:rPr>
          <w:rFonts w:ascii="Arial" w:hAnsi="Arial" w:cs="Arial"/>
        </w:rPr>
        <w:t xml:space="preserve"> is to summarize estimated </w:t>
      </w:r>
      <w:r w:rsidR="0002437C" w:rsidRPr="00540A09">
        <w:rPr>
          <w:rFonts w:ascii="Arial" w:hAnsi="Arial" w:cs="Arial"/>
        </w:rPr>
        <w:t>burden and cost estimates for s</w:t>
      </w:r>
      <w:r w:rsidRPr="00540A09">
        <w:rPr>
          <w:rFonts w:ascii="Arial" w:hAnsi="Arial" w:cs="Arial"/>
        </w:rPr>
        <w:t xml:space="preserve">ubpart RR of the Greenhouse Gas Reporting Program (GHGRP). More detail on the methodology, assumptions, and estimated </w:t>
      </w:r>
      <w:r w:rsidRPr="00A7420B">
        <w:rPr>
          <w:rFonts w:ascii="Arial" w:hAnsi="Arial" w:cs="Arial"/>
        </w:rPr>
        <w:t xml:space="preserve">costs, including costs for potential alternative cost scenarios, are </w:t>
      </w:r>
      <w:r w:rsidR="00FA239D" w:rsidRPr="00A7420B">
        <w:rPr>
          <w:rFonts w:ascii="Arial" w:hAnsi="Arial" w:cs="Arial"/>
        </w:rPr>
        <w:t xml:space="preserve">presented in </w:t>
      </w:r>
      <w:r w:rsidR="00CD7978">
        <w:rPr>
          <w:rFonts w:ascii="Arial" w:hAnsi="Arial" w:cs="Arial"/>
        </w:rPr>
        <w:t>the docket</w:t>
      </w:r>
      <w:r w:rsidR="00A7420B" w:rsidRPr="00A7420B">
        <w:rPr>
          <w:rFonts w:ascii="Arial" w:hAnsi="Arial" w:cs="Arial"/>
        </w:rPr>
        <w:t>.</w:t>
      </w:r>
      <w:r w:rsidR="00A7420B" w:rsidRPr="00A7420B">
        <w:rPr>
          <w:rStyle w:val="FootnoteReference"/>
          <w:rFonts w:ascii="Arial" w:hAnsi="Arial" w:cs="Arial"/>
        </w:rPr>
        <w:footnoteReference w:id="1"/>
      </w:r>
    </w:p>
    <w:p w14:paraId="102B711B" w14:textId="7621C3BB" w:rsidR="0002437C" w:rsidRPr="00540A09" w:rsidRDefault="00B864B1" w:rsidP="00A677C7">
      <w:pPr>
        <w:spacing w:after="120" w:line="276" w:lineRule="auto"/>
        <w:rPr>
          <w:rFonts w:ascii="Arial" w:hAnsi="Arial" w:cs="Arial"/>
        </w:rPr>
      </w:pPr>
      <w:r w:rsidRPr="00540A09">
        <w:rPr>
          <w:rFonts w:ascii="Arial" w:hAnsi="Arial" w:cs="Arial"/>
        </w:rPr>
        <w:t xml:space="preserve">Subpart RR </w:t>
      </w:r>
      <w:r w:rsidR="00220326">
        <w:rPr>
          <w:rFonts w:ascii="Arial" w:hAnsi="Arial" w:cs="Arial"/>
        </w:rPr>
        <w:t xml:space="preserve">monitoring and </w:t>
      </w:r>
      <w:r w:rsidR="00FA239D">
        <w:rPr>
          <w:rFonts w:ascii="Arial" w:hAnsi="Arial" w:cs="Arial"/>
        </w:rPr>
        <w:t xml:space="preserve">reporting </w:t>
      </w:r>
      <w:r w:rsidRPr="00540A09">
        <w:rPr>
          <w:rFonts w:ascii="Arial" w:hAnsi="Arial" w:cs="Arial"/>
        </w:rPr>
        <w:t>costs are estimated here based on two types of potenti</w:t>
      </w:r>
      <w:r w:rsidR="0002437C" w:rsidRPr="00540A09">
        <w:rPr>
          <w:rFonts w:ascii="Arial" w:hAnsi="Arial" w:cs="Arial"/>
        </w:rPr>
        <w:t xml:space="preserve">ally reporting </w:t>
      </w:r>
      <w:r w:rsidR="00FA239D">
        <w:rPr>
          <w:rFonts w:ascii="Arial" w:hAnsi="Arial" w:cs="Arial"/>
        </w:rPr>
        <w:t>facilities</w:t>
      </w:r>
      <w:r w:rsidR="0002437C" w:rsidRPr="00540A09">
        <w:rPr>
          <w:rFonts w:ascii="Arial" w:hAnsi="Arial" w:cs="Arial"/>
        </w:rPr>
        <w:t>:</w:t>
      </w:r>
      <w:r w:rsidR="002F1563" w:rsidRPr="00540A09">
        <w:rPr>
          <w:rFonts w:ascii="Arial" w:hAnsi="Arial" w:cs="Arial"/>
        </w:rPr>
        <w:t xml:space="preserve"> </w:t>
      </w:r>
    </w:p>
    <w:p w14:paraId="6D9ECB62" w14:textId="6E1DB878" w:rsidR="0002437C" w:rsidRPr="00540A09" w:rsidRDefault="001A0EAF" w:rsidP="00A677C7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Projects permitted </w:t>
      </w:r>
      <w:r w:rsidR="00FA239D">
        <w:rPr>
          <w:rFonts w:ascii="Arial" w:hAnsi="Arial" w:cs="Arial"/>
        </w:rPr>
        <w:t xml:space="preserve">under </w:t>
      </w:r>
      <w:r>
        <w:rPr>
          <w:rFonts w:ascii="Arial" w:hAnsi="Arial" w:cs="Arial"/>
        </w:rPr>
        <w:t>Class II of</w:t>
      </w:r>
      <w:r w:rsidR="0002437C" w:rsidRPr="00540A09">
        <w:rPr>
          <w:rFonts w:ascii="Arial" w:hAnsi="Arial" w:cs="Arial"/>
        </w:rPr>
        <w:t xml:space="preserve"> EPA’s Underground Injection Control (UIC) program</w:t>
      </w:r>
      <w:r w:rsidR="00170A22">
        <w:rPr>
          <w:rFonts w:ascii="Arial" w:hAnsi="Arial" w:cs="Arial"/>
        </w:rPr>
        <w:t xml:space="preserve"> (</w:t>
      </w:r>
      <w:r w:rsidR="00220326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c</w:t>
      </w:r>
      <w:r w:rsidRPr="00540A09">
        <w:rPr>
          <w:rFonts w:ascii="Arial" w:hAnsi="Arial" w:cs="Arial"/>
        </w:rPr>
        <w:t>arbon dioxide enhanced oil recovery (</w:t>
      </w:r>
      <w:r>
        <w:rPr>
          <w:rFonts w:ascii="Arial" w:hAnsi="Arial" w:cs="Arial"/>
        </w:rPr>
        <w:t>“</w:t>
      </w:r>
      <w:r w:rsidRPr="00540A09">
        <w:rPr>
          <w:rFonts w:ascii="Arial" w:hAnsi="Arial" w:cs="Arial"/>
        </w:rPr>
        <w:t>CO</w:t>
      </w:r>
      <w:r w:rsidRPr="00540A09">
        <w:rPr>
          <w:rFonts w:ascii="Arial" w:hAnsi="Arial" w:cs="Arial"/>
          <w:vertAlign w:val="subscript"/>
        </w:rPr>
        <w:t>2</w:t>
      </w:r>
      <w:r w:rsidRPr="00540A09">
        <w:rPr>
          <w:rFonts w:ascii="Arial" w:hAnsi="Arial" w:cs="Arial"/>
        </w:rPr>
        <w:t>-EOR</w:t>
      </w:r>
      <w:r>
        <w:rPr>
          <w:rFonts w:ascii="Arial" w:hAnsi="Arial" w:cs="Arial"/>
        </w:rPr>
        <w:t>”</w:t>
      </w:r>
      <w:r w:rsidRPr="00540A09">
        <w:rPr>
          <w:rFonts w:ascii="Arial" w:hAnsi="Arial" w:cs="Arial"/>
        </w:rPr>
        <w:t>)</w:t>
      </w:r>
      <w:r w:rsidR="00220326">
        <w:rPr>
          <w:rFonts w:ascii="Arial" w:hAnsi="Arial" w:cs="Arial"/>
        </w:rPr>
        <w:t xml:space="preserve"> wells</w:t>
      </w:r>
      <w:r w:rsidR="00170A22">
        <w:rPr>
          <w:rFonts w:ascii="Arial" w:hAnsi="Arial" w:cs="Arial"/>
        </w:rPr>
        <w:t>)</w:t>
      </w:r>
      <w:r w:rsidR="0002437C" w:rsidRPr="00540A09">
        <w:rPr>
          <w:rFonts w:ascii="Arial" w:hAnsi="Arial" w:cs="Arial"/>
        </w:rPr>
        <w:t>.</w:t>
      </w:r>
    </w:p>
    <w:p w14:paraId="7FED5FBD" w14:textId="1095C22C" w:rsidR="0002437C" w:rsidRPr="00540A09" w:rsidRDefault="001A0EAF" w:rsidP="00A677C7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2437C" w:rsidRPr="00540A09">
        <w:rPr>
          <w:rFonts w:ascii="Arial" w:hAnsi="Arial" w:cs="Arial"/>
        </w:rPr>
        <w:t>rojects permitted under Class VI of EPA’s UIC</w:t>
      </w:r>
      <w:r w:rsidR="00170A22">
        <w:rPr>
          <w:rFonts w:ascii="Arial" w:hAnsi="Arial" w:cs="Arial"/>
        </w:rPr>
        <w:t xml:space="preserve"> Program</w:t>
      </w:r>
      <w:r w:rsidR="00304204">
        <w:rPr>
          <w:rFonts w:ascii="Arial" w:hAnsi="Arial" w:cs="Arial"/>
        </w:rPr>
        <w:t xml:space="preserve"> (assumed to be injecting into deep saline formations for purposes of the analysis)</w:t>
      </w:r>
      <w:r w:rsidR="00170A22">
        <w:rPr>
          <w:rFonts w:ascii="Arial" w:hAnsi="Arial" w:cs="Arial"/>
        </w:rPr>
        <w:t>.</w:t>
      </w:r>
    </w:p>
    <w:p w14:paraId="4EF7AA09" w14:textId="2489EEE3" w:rsidR="00170A22" w:rsidRDefault="0002437C" w:rsidP="00993E99">
      <w:pPr>
        <w:spacing w:after="120" w:line="276" w:lineRule="auto"/>
        <w:rPr>
          <w:rFonts w:cs="Arial"/>
        </w:rPr>
      </w:pPr>
      <w:r w:rsidRPr="00540A09">
        <w:rPr>
          <w:rFonts w:ascii="Arial" w:hAnsi="Arial" w:cs="Arial"/>
        </w:rPr>
        <w:t xml:space="preserve">The </w:t>
      </w:r>
      <w:r w:rsidR="009E2EF9">
        <w:rPr>
          <w:rFonts w:ascii="Arial" w:hAnsi="Arial" w:cs="Arial"/>
        </w:rPr>
        <w:t xml:space="preserve">geologic and project characteristics of the </w:t>
      </w:r>
      <w:r w:rsidRPr="00540A09">
        <w:rPr>
          <w:rFonts w:ascii="Arial" w:hAnsi="Arial" w:cs="Arial"/>
        </w:rPr>
        <w:t>“representative” facility</w:t>
      </w:r>
      <w:r w:rsidR="009E2EF9">
        <w:rPr>
          <w:rFonts w:ascii="Arial" w:hAnsi="Arial" w:cs="Arial"/>
        </w:rPr>
        <w:t xml:space="preserve"> for both the </w:t>
      </w:r>
      <w:r w:rsidR="00FA239D" w:rsidRPr="00540A09">
        <w:rPr>
          <w:rFonts w:ascii="Arial" w:hAnsi="Arial" w:cs="Arial"/>
        </w:rPr>
        <w:t>CO</w:t>
      </w:r>
      <w:r w:rsidR="00FA239D" w:rsidRPr="00540A09">
        <w:rPr>
          <w:rFonts w:ascii="Arial" w:hAnsi="Arial" w:cs="Arial"/>
          <w:vertAlign w:val="subscript"/>
        </w:rPr>
        <w:t>2</w:t>
      </w:r>
      <w:r w:rsidR="00FA239D" w:rsidRPr="00540A09">
        <w:rPr>
          <w:rFonts w:ascii="Arial" w:hAnsi="Arial" w:cs="Arial"/>
        </w:rPr>
        <w:t xml:space="preserve">-EOR </w:t>
      </w:r>
      <w:r w:rsidR="009E2EF9">
        <w:rPr>
          <w:rFonts w:ascii="Arial" w:hAnsi="Arial" w:cs="Arial"/>
        </w:rPr>
        <w:t xml:space="preserve">case and the deep saline aquifer case are </w:t>
      </w:r>
      <w:r w:rsidRPr="00540A09">
        <w:rPr>
          <w:rFonts w:ascii="Arial" w:hAnsi="Arial" w:cs="Arial"/>
        </w:rPr>
        <w:t xml:space="preserve">based on a typical </w:t>
      </w:r>
      <w:r w:rsidR="006C2B0F" w:rsidRPr="00540A09">
        <w:rPr>
          <w:rFonts w:ascii="Arial" w:hAnsi="Arial" w:cs="Arial"/>
        </w:rPr>
        <w:t>CO</w:t>
      </w:r>
      <w:r w:rsidR="006C2B0F" w:rsidRPr="00540A09">
        <w:rPr>
          <w:rFonts w:ascii="Arial" w:hAnsi="Arial" w:cs="Arial"/>
          <w:vertAlign w:val="subscript"/>
        </w:rPr>
        <w:t>2</w:t>
      </w:r>
      <w:r w:rsidR="006C2B0F" w:rsidRPr="00540A09">
        <w:rPr>
          <w:rFonts w:ascii="Arial" w:hAnsi="Arial" w:cs="Arial"/>
        </w:rPr>
        <w:t xml:space="preserve">-EOR </w:t>
      </w:r>
      <w:r w:rsidRPr="00540A09">
        <w:rPr>
          <w:rFonts w:ascii="Arial" w:hAnsi="Arial" w:cs="Arial"/>
        </w:rPr>
        <w:t xml:space="preserve">project in the Permian Basin of West Texas, where the majority of ongoing </w:t>
      </w:r>
      <w:r w:rsidR="006C2B0F" w:rsidRPr="00540A09">
        <w:rPr>
          <w:rFonts w:ascii="Arial" w:hAnsi="Arial" w:cs="Arial"/>
        </w:rPr>
        <w:t>CO</w:t>
      </w:r>
      <w:r w:rsidR="006C2B0F" w:rsidRPr="00540A09">
        <w:rPr>
          <w:rFonts w:ascii="Arial" w:hAnsi="Arial" w:cs="Arial"/>
          <w:vertAlign w:val="subscript"/>
        </w:rPr>
        <w:t>2</w:t>
      </w:r>
      <w:r w:rsidR="006C2B0F" w:rsidRPr="00540A09">
        <w:rPr>
          <w:rFonts w:ascii="Arial" w:hAnsi="Arial" w:cs="Arial"/>
        </w:rPr>
        <w:t xml:space="preserve">-EOR </w:t>
      </w:r>
      <w:r w:rsidRPr="00540A09">
        <w:rPr>
          <w:rFonts w:ascii="Arial" w:hAnsi="Arial" w:cs="Arial"/>
        </w:rPr>
        <w:t xml:space="preserve">operations in the U.S. exist.  This “representative” facility is comparable to that used in previous EPA </w:t>
      </w:r>
      <w:r w:rsidR="00C11523">
        <w:rPr>
          <w:rFonts w:ascii="Arial" w:hAnsi="Arial" w:cs="Arial"/>
        </w:rPr>
        <w:t>subpart RR analyses</w:t>
      </w:r>
      <w:r w:rsidR="00993E99">
        <w:rPr>
          <w:rFonts w:ascii="Arial" w:hAnsi="Arial" w:cs="Arial"/>
        </w:rPr>
        <w:t>.</w:t>
      </w:r>
    </w:p>
    <w:p w14:paraId="75C70800" w14:textId="5A38DD77" w:rsidR="00704ECA" w:rsidRPr="00540A09" w:rsidRDefault="00704ECA" w:rsidP="00A677C7">
      <w:pPr>
        <w:pStyle w:val="ARIPara1"/>
        <w:spacing w:before="0" w:after="120"/>
        <w:rPr>
          <w:rFonts w:cs="Arial"/>
          <w:sz w:val="22"/>
          <w:szCs w:val="22"/>
        </w:rPr>
      </w:pPr>
      <w:r w:rsidRPr="004B753D">
        <w:rPr>
          <w:rFonts w:cs="Arial"/>
          <w:sz w:val="22"/>
          <w:szCs w:val="22"/>
        </w:rPr>
        <w:t xml:space="preserve">Table </w:t>
      </w:r>
      <w:r w:rsidR="00993E99">
        <w:rPr>
          <w:rFonts w:cs="Arial"/>
          <w:sz w:val="22"/>
          <w:szCs w:val="22"/>
        </w:rPr>
        <w:t>1</w:t>
      </w:r>
      <w:r w:rsidR="00A677C7" w:rsidRPr="004B753D">
        <w:rPr>
          <w:rFonts w:cs="Arial"/>
          <w:sz w:val="22"/>
          <w:szCs w:val="22"/>
        </w:rPr>
        <w:t xml:space="preserve"> summarizes</w:t>
      </w:r>
      <w:r w:rsidRPr="004B753D">
        <w:rPr>
          <w:rFonts w:cs="Arial"/>
          <w:sz w:val="22"/>
          <w:szCs w:val="22"/>
        </w:rPr>
        <w:t xml:space="preserve"> the </w:t>
      </w:r>
      <w:r w:rsidR="00FA239D" w:rsidRPr="004B753D">
        <w:rPr>
          <w:rFonts w:cs="Arial"/>
          <w:sz w:val="22"/>
          <w:szCs w:val="22"/>
        </w:rPr>
        <w:t xml:space="preserve">subpart RR </w:t>
      </w:r>
      <w:r w:rsidRPr="004B753D">
        <w:rPr>
          <w:rFonts w:cs="Arial"/>
          <w:sz w:val="22"/>
          <w:szCs w:val="22"/>
        </w:rPr>
        <w:t>unit burden and cost estimates for CO</w:t>
      </w:r>
      <w:r w:rsidRPr="004B753D">
        <w:rPr>
          <w:rFonts w:cs="Arial"/>
          <w:sz w:val="22"/>
          <w:szCs w:val="22"/>
          <w:vertAlign w:val="subscript"/>
        </w:rPr>
        <w:t>2</w:t>
      </w:r>
      <w:r w:rsidR="00A677C7" w:rsidRPr="004B753D">
        <w:rPr>
          <w:rFonts w:cs="Arial"/>
          <w:sz w:val="22"/>
          <w:szCs w:val="22"/>
        </w:rPr>
        <w:t>-EOR p</w:t>
      </w:r>
      <w:r w:rsidRPr="004B753D">
        <w:rPr>
          <w:rFonts w:cs="Arial"/>
          <w:sz w:val="22"/>
          <w:szCs w:val="22"/>
        </w:rPr>
        <w:t>rojects</w:t>
      </w:r>
      <w:r w:rsidR="00A677C7" w:rsidRPr="004B753D">
        <w:rPr>
          <w:rFonts w:cs="Arial"/>
          <w:sz w:val="22"/>
          <w:szCs w:val="22"/>
        </w:rPr>
        <w:t>. Similarly, T</w:t>
      </w:r>
      <w:r w:rsidRPr="004B753D">
        <w:rPr>
          <w:rFonts w:cs="Arial"/>
          <w:sz w:val="22"/>
          <w:szCs w:val="22"/>
        </w:rPr>
        <w:t xml:space="preserve">able </w:t>
      </w:r>
      <w:r w:rsidR="00993E99">
        <w:rPr>
          <w:rFonts w:cs="Arial"/>
          <w:sz w:val="22"/>
          <w:szCs w:val="22"/>
        </w:rPr>
        <w:t>2</w:t>
      </w:r>
      <w:r w:rsidR="00A677C7" w:rsidRPr="004B753D">
        <w:rPr>
          <w:rFonts w:cs="Arial"/>
          <w:sz w:val="22"/>
          <w:szCs w:val="22"/>
        </w:rPr>
        <w:t xml:space="preserve"> summarizes</w:t>
      </w:r>
      <w:r w:rsidR="00A677C7" w:rsidRPr="00540A09">
        <w:rPr>
          <w:rFonts w:cs="Arial"/>
          <w:sz w:val="22"/>
          <w:szCs w:val="22"/>
        </w:rPr>
        <w:t xml:space="preserve"> the</w:t>
      </w:r>
      <w:r w:rsidR="0099325D">
        <w:rPr>
          <w:rFonts w:cs="Arial"/>
          <w:sz w:val="22"/>
          <w:szCs w:val="22"/>
        </w:rPr>
        <w:t xml:space="preserve"> subpart RR</w:t>
      </w:r>
      <w:r w:rsidR="00A677C7" w:rsidRPr="00540A09">
        <w:rPr>
          <w:rFonts w:cs="Arial"/>
          <w:sz w:val="22"/>
          <w:szCs w:val="22"/>
        </w:rPr>
        <w:t xml:space="preserve"> unit burden and cost estimates for </w:t>
      </w:r>
      <w:r w:rsidR="0023628A">
        <w:rPr>
          <w:rFonts w:cs="Arial"/>
          <w:sz w:val="22"/>
          <w:szCs w:val="22"/>
        </w:rPr>
        <w:t>deep saline formation</w:t>
      </w:r>
      <w:r w:rsidR="00A677C7" w:rsidRPr="00540A09">
        <w:rPr>
          <w:rFonts w:cs="Arial"/>
          <w:sz w:val="22"/>
          <w:szCs w:val="22"/>
        </w:rPr>
        <w:t xml:space="preserve"> p</w:t>
      </w:r>
      <w:r w:rsidRPr="00540A09">
        <w:rPr>
          <w:rFonts w:cs="Arial"/>
          <w:sz w:val="22"/>
          <w:szCs w:val="22"/>
        </w:rPr>
        <w:t>rojects</w:t>
      </w:r>
      <w:r w:rsidR="00A677C7" w:rsidRPr="00540A09">
        <w:rPr>
          <w:rFonts w:cs="Arial"/>
          <w:sz w:val="22"/>
          <w:szCs w:val="22"/>
        </w:rPr>
        <w:t>.</w:t>
      </w:r>
    </w:p>
    <w:p w14:paraId="6237A50D" w14:textId="4A5EA8A7" w:rsidR="00993E99" w:rsidRPr="004B753D" w:rsidRDefault="00993E99" w:rsidP="00993E9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4B753D">
        <w:rPr>
          <w:rFonts w:ascii="Arial" w:hAnsi="Arial" w:cs="Arial"/>
        </w:rPr>
        <w:t xml:space="preserve">or purposes of this </w:t>
      </w:r>
      <w:r w:rsidR="00CD7978">
        <w:rPr>
          <w:rFonts w:ascii="Arial" w:hAnsi="Arial" w:cs="Arial"/>
        </w:rPr>
        <w:t>analysis</w:t>
      </w:r>
      <w:r w:rsidRPr="004B753D">
        <w:rPr>
          <w:rFonts w:ascii="Arial" w:hAnsi="Arial" w:cs="Arial"/>
        </w:rPr>
        <w:t xml:space="preserve">, it was assumed that one </w:t>
      </w:r>
      <w:r w:rsidR="00873A51">
        <w:rPr>
          <w:rFonts w:ascii="Arial" w:hAnsi="Arial" w:cs="Arial"/>
        </w:rPr>
        <w:t>deep saline formation</w:t>
      </w:r>
      <w:r w:rsidRPr="004B753D">
        <w:rPr>
          <w:rFonts w:ascii="Arial" w:hAnsi="Arial" w:cs="Arial"/>
        </w:rPr>
        <w:t xml:space="preserve"> project would report under subpart RR.  It was also assumed that</w:t>
      </w:r>
      <w:r w:rsidR="000623B8">
        <w:rPr>
          <w:rFonts w:ascii="Arial" w:hAnsi="Arial" w:cs="Arial"/>
        </w:rPr>
        <w:t xml:space="preserve"> </w:t>
      </w:r>
      <w:r w:rsidR="00A77E4A">
        <w:rPr>
          <w:rFonts w:ascii="Arial" w:hAnsi="Arial" w:cs="Arial"/>
        </w:rPr>
        <w:t xml:space="preserve">6 </w:t>
      </w:r>
      <w:r w:rsidR="00A77E4A" w:rsidRPr="00A77E4A">
        <w:rPr>
          <w:rFonts w:ascii="Arial" w:hAnsi="Arial" w:cs="Arial"/>
        </w:rPr>
        <w:t>CO</w:t>
      </w:r>
      <w:r w:rsidR="00A77E4A" w:rsidRPr="00A77E4A">
        <w:rPr>
          <w:rFonts w:ascii="Arial" w:hAnsi="Arial" w:cs="Arial"/>
          <w:vertAlign w:val="subscript"/>
        </w:rPr>
        <w:t>2</w:t>
      </w:r>
      <w:r w:rsidR="00A77E4A">
        <w:rPr>
          <w:rFonts w:ascii="Arial" w:hAnsi="Arial" w:cs="Arial"/>
        </w:rPr>
        <w:t>-EOR projects would report under subpart RR</w:t>
      </w:r>
      <w:r w:rsidRPr="004B753D">
        <w:rPr>
          <w:rFonts w:ascii="Arial" w:hAnsi="Arial" w:cs="Arial"/>
        </w:rPr>
        <w:t xml:space="preserve">, with </w:t>
      </w:r>
      <w:r w:rsidR="00B40938">
        <w:rPr>
          <w:rFonts w:ascii="Arial" w:hAnsi="Arial" w:cs="Arial"/>
        </w:rPr>
        <w:t>2</w:t>
      </w:r>
      <w:r w:rsidRPr="004B753D">
        <w:rPr>
          <w:rFonts w:ascii="Arial" w:hAnsi="Arial" w:cs="Arial"/>
        </w:rPr>
        <w:t xml:space="preserve"> in year 1, </w:t>
      </w:r>
      <w:r w:rsidR="00B40938">
        <w:rPr>
          <w:rFonts w:ascii="Arial" w:hAnsi="Arial" w:cs="Arial"/>
        </w:rPr>
        <w:t>4</w:t>
      </w:r>
      <w:r w:rsidRPr="004B753D">
        <w:rPr>
          <w:rFonts w:ascii="Arial" w:hAnsi="Arial" w:cs="Arial"/>
        </w:rPr>
        <w:t xml:space="preserve"> in year 2, and </w:t>
      </w:r>
      <w:r w:rsidR="00B40938">
        <w:rPr>
          <w:rFonts w:ascii="Arial" w:hAnsi="Arial" w:cs="Arial"/>
        </w:rPr>
        <w:t>6</w:t>
      </w:r>
      <w:r w:rsidRPr="004B753D">
        <w:rPr>
          <w:rFonts w:ascii="Arial" w:hAnsi="Arial" w:cs="Arial"/>
        </w:rPr>
        <w:t xml:space="preserve"> in year 3. </w:t>
      </w:r>
    </w:p>
    <w:p w14:paraId="6F299089" w14:textId="38F9C362" w:rsidR="00993E99" w:rsidRDefault="00FA239D" w:rsidP="00993E99">
      <w:pPr>
        <w:pStyle w:val="ARIPara1"/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Based on these </w:t>
      </w:r>
      <w:r w:rsidR="00993E99">
        <w:rPr>
          <w:rFonts w:cs="Arial"/>
          <w:sz w:val="22"/>
          <w:szCs w:val="22"/>
        </w:rPr>
        <w:t>estima</w:t>
      </w:r>
      <w:r>
        <w:rPr>
          <w:rFonts w:cs="Arial"/>
          <w:sz w:val="22"/>
          <w:szCs w:val="22"/>
        </w:rPr>
        <w:t>ted numbers</w:t>
      </w:r>
      <w:r w:rsidR="00993E99">
        <w:rPr>
          <w:rFonts w:cs="Arial"/>
          <w:sz w:val="22"/>
          <w:szCs w:val="22"/>
        </w:rPr>
        <w:t xml:space="preserve"> of impacted facilities, estimates for the total b</w:t>
      </w:r>
      <w:r w:rsidR="00993E99" w:rsidRPr="004B753D">
        <w:rPr>
          <w:rFonts w:cs="Arial"/>
          <w:sz w:val="22"/>
          <w:szCs w:val="22"/>
        </w:rPr>
        <w:t xml:space="preserve">urden and </w:t>
      </w:r>
      <w:r w:rsidR="00993E99">
        <w:rPr>
          <w:rFonts w:cs="Arial"/>
          <w:sz w:val="22"/>
          <w:szCs w:val="22"/>
        </w:rPr>
        <w:t>costs for s</w:t>
      </w:r>
      <w:r w:rsidR="00993E99" w:rsidRPr="004B753D">
        <w:rPr>
          <w:rFonts w:cs="Arial"/>
          <w:sz w:val="22"/>
          <w:szCs w:val="22"/>
        </w:rPr>
        <w:t xml:space="preserve">ubpart RR </w:t>
      </w:r>
      <w:r w:rsidR="00993E99">
        <w:rPr>
          <w:rFonts w:cs="Arial"/>
          <w:sz w:val="22"/>
          <w:szCs w:val="22"/>
        </w:rPr>
        <w:t xml:space="preserve">are presented in Table 3. </w:t>
      </w:r>
    </w:p>
    <w:p w14:paraId="289ABC40" w14:textId="239DAFE1" w:rsidR="00993E99" w:rsidRDefault="00993E99" w:rsidP="00993E99">
      <w:pPr>
        <w:pStyle w:val="ARIPara1"/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summary, the major changes in the burden and cost estimates relative to previous estimates </w:t>
      </w:r>
      <w:r w:rsidR="00CD7978">
        <w:rPr>
          <w:rFonts w:cs="Arial"/>
          <w:sz w:val="22"/>
          <w:szCs w:val="22"/>
        </w:rPr>
        <w:t xml:space="preserve">(i.e., </w:t>
      </w:r>
      <w:r w:rsidR="00CD7978" w:rsidRPr="00CD7978">
        <w:rPr>
          <w:rFonts w:cs="Arial"/>
          <w:sz w:val="22"/>
          <w:szCs w:val="22"/>
        </w:rPr>
        <w:t>EPA ICR No. 2300.10</w:t>
      </w:r>
      <w:r w:rsidR="00CD7978">
        <w:rPr>
          <w:rFonts w:cs="Arial"/>
          <w:sz w:val="22"/>
          <w:szCs w:val="22"/>
        </w:rPr>
        <w:t xml:space="preserve">) </w:t>
      </w:r>
      <w:r>
        <w:rPr>
          <w:rFonts w:cs="Arial"/>
          <w:sz w:val="22"/>
          <w:szCs w:val="22"/>
        </w:rPr>
        <w:t>are as follows:</w:t>
      </w:r>
    </w:p>
    <w:p w14:paraId="5334AD0E" w14:textId="52E620D7" w:rsidR="00993E99" w:rsidRDefault="00CE6487" w:rsidP="00993E99">
      <w:pPr>
        <w:pStyle w:val="ARIPara1"/>
        <w:numPr>
          <w:ilvl w:val="0"/>
          <w:numId w:val="2"/>
        </w:numPr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number of </w:t>
      </w:r>
      <w:r w:rsidR="00993E99">
        <w:rPr>
          <w:rFonts w:cs="Arial"/>
          <w:sz w:val="22"/>
          <w:szCs w:val="22"/>
        </w:rPr>
        <w:t xml:space="preserve">projects assumed to </w:t>
      </w:r>
      <w:r w:rsidR="0099325D">
        <w:rPr>
          <w:rFonts w:cs="Arial"/>
          <w:sz w:val="22"/>
          <w:szCs w:val="22"/>
        </w:rPr>
        <w:t>hold</w:t>
      </w:r>
      <w:r w:rsidR="00834A4B">
        <w:rPr>
          <w:rFonts w:cs="Arial"/>
          <w:sz w:val="22"/>
          <w:szCs w:val="22"/>
        </w:rPr>
        <w:t xml:space="preserve"> </w:t>
      </w:r>
      <w:r w:rsidR="00993E99">
        <w:rPr>
          <w:rFonts w:cs="Arial"/>
          <w:sz w:val="22"/>
          <w:szCs w:val="22"/>
        </w:rPr>
        <w:t xml:space="preserve">Class VI well permits, and </w:t>
      </w:r>
      <w:r w:rsidR="00C81275">
        <w:rPr>
          <w:rFonts w:cs="Arial"/>
          <w:sz w:val="22"/>
          <w:szCs w:val="22"/>
        </w:rPr>
        <w:t xml:space="preserve">therefore </w:t>
      </w:r>
      <w:r w:rsidR="00993E99">
        <w:rPr>
          <w:rFonts w:cs="Arial"/>
          <w:sz w:val="22"/>
          <w:szCs w:val="22"/>
        </w:rPr>
        <w:t>which were also assumed to report under subpart RR</w:t>
      </w:r>
      <w:r>
        <w:rPr>
          <w:rFonts w:cs="Arial"/>
          <w:sz w:val="22"/>
          <w:szCs w:val="22"/>
        </w:rPr>
        <w:t>, was updated</w:t>
      </w:r>
      <w:r w:rsidR="00993E99">
        <w:rPr>
          <w:rFonts w:cs="Arial"/>
          <w:sz w:val="22"/>
          <w:szCs w:val="22"/>
        </w:rPr>
        <w:t>.</w:t>
      </w:r>
    </w:p>
    <w:p w14:paraId="26DFC8B4" w14:textId="69E7F663" w:rsidR="00CE6487" w:rsidRDefault="00993E99" w:rsidP="00993E99">
      <w:pPr>
        <w:pStyle w:val="ARIPara1"/>
        <w:numPr>
          <w:ilvl w:val="0"/>
          <w:numId w:val="2"/>
        </w:numPr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Costs were updated to account for more recent experience associated with </w:t>
      </w:r>
      <w:r w:rsidRPr="00540A09">
        <w:rPr>
          <w:rFonts w:cs="Arial"/>
          <w:sz w:val="22"/>
          <w:szCs w:val="22"/>
        </w:rPr>
        <w:t>CO</w:t>
      </w:r>
      <w:r w:rsidRPr="00540A09">
        <w:rPr>
          <w:rFonts w:cs="Arial"/>
          <w:sz w:val="22"/>
          <w:szCs w:val="22"/>
          <w:vertAlign w:val="subscript"/>
        </w:rPr>
        <w:t>2</w:t>
      </w:r>
      <w:r w:rsidRPr="00540A0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storage projects sponsored by the U.S. Department of Energy.</w:t>
      </w:r>
    </w:p>
    <w:p w14:paraId="72237A54" w14:textId="28E5BDCF" w:rsidR="00993E99" w:rsidRDefault="00993E99" w:rsidP="00993E99">
      <w:pPr>
        <w:pStyle w:val="ARIPara1"/>
        <w:numPr>
          <w:ilvl w:val="0"/>
          <w:numId w:val="2"/>
        </w:numPr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Additional </w:t>
      </w:r>
      <w:r w:rsidRPr="00540A09">
        <w:rPr>
          <w:rFonts w:cs="Arial"/>
          <w:sz w:val="22"/>
          <w:szCs w:val="22"/>
        </w:rPr>
        <w:t>CO</w:t>
      </w:r>
      <w:r w:rsidRPr="00540A09">
        <w:rPr>
          <w:rFonts w:cs="Arial"/>
          <w:sz w:val="22"/>
          <w:szCs w:val="22"/>
          <w:vertAlign w:val="subscript"/>
        </w:rPr>
        <w:t>2</w:t>
      </w:r>
      <w:r>
        <w:rPr>
          <w:rFonts w:cs="Arial"/>
          <w:sz w:val="22"/>
          <w:szCs w:val="22"/>
        </w:rPr>
        <w:t>-EOR projects are assumed to</w:t>
      </w:r>
      <w:r w:rsidR="00957318">
        <w:rPr>
          <w:rFonts w:cs="Arial"/>
          <w:sz w:val="22"/>
          <w:szCs w:val="22"/>
        </w:rPr>
        <w:t xml:space="preserve"> report under subpart RR.</w:t>
      </w:r>
    </w:p>
    <w:p w14:paraId="38B9565D" w14:textId="77777777" w:rsidR="00993E99" w:rsidRDefault="00993E99">
      <w:pPr>
        <w:rPr>
          <w:rFonts w:ascii="Arial" w:eastAsia="ヒラギノ角ゴ Pro W3" w:hAnsi="Arial" w:cs="Arial"/>
          <w:b/>
          <w:color w:val="000000"/>
          <w:sz w:val="24"/>
          <w:szCs w:val="24"/>
        </w:rPr>
      </w:pPr>
      <w:r>
        <w:rPr>
          <w:rFonts w:cs="Arial"/>
          <w:b/>
        </w:rPr>
        <w:br w:type="page"/>
      </w:r>
    </w:p>
    <w:p w14:paraId="54ACE9EA" w14:textId="7B25220E" w:rsidR="00D67D7E" w:rsidRDefault="00730242" w:rsidP="00730242">
      <w:pPr>
        <w:pStyle w:val="ARIPara1"/>
        <w:spacing w:before="0" w:after="0" w:line="240" w:lineRule="auto"/>
        <w:jc w:val="center"/>
        <w:rPr>
          <w:rFonts w:cs="Arial"/>
          <w:b/>
        </w:rPr>
      </w:pPr>
      <w:r w:rsidRPr="00540A09">
        <w:rPr>
          <w:rFonts w:cs="Arial"/>
          <w:b/>
        </w:rPr>
        <w:lastRenderedPageBreak/>
        <w:t xml:space="preserve">Table </w:t>
      </w:r>
      <w:r w:rsidR="00993E99">
        <w:rPr>
          <w:rFonts w:cs="Arial"/>
          <w:b/>
        </w:rPr>
        <w:t>1.</w:t>
      </w:r>
      <w:r w:rsidRPr="00540A09">
        <w:rPr>
          <w:rFonts w:cs="Arial"/>
          <w:b/>
        </w:rPr>
        <w:t xml:space="preserve"> Unit Burden and Cost Estimates for CO</w:t>
      </w:r>
      <w:r w:rsidRPr="00540A09">
        <w:rPr>
          <w:rFonts w:cs="Arial"/>
          <w:b/>
          <w:vertAlign w:val="subscript"/>
        </w:rPr>
        <w:t>2</w:t>
      </w:r>
      <w:r w:rsidRPr="00540A09">
        <w:rPr>
          <w:rFonts w:cs="Arial"/>
          <w:b/>
        </w:rPr>
        <w:t>-EOR Projects</w:t>
      </w:r>
    </w:p>
    <w:p w14:paraId="09E5A26E" w14:textId="2A5FBDF5" w:rsidR="003A7900" w:rsidRPr="00540A09" w:rsidRDefault="00CA1C18" w:rsidP="00730242">
      <w:pPr>
        <w:pStyle w:val="ARIPara1"/>
        <w:spacing w:before="0" w:after="0" w:line="240" w:lineRule="auto"/>
        <w:jc w:val="center"/>
        <w:rPr>
          <w:rFonts w:cs="Arial"/>
          <w:b/>
        </w:rPr>
      </w:pPr>
      <w:r w:rsidRPr="00CA1C18">
        <w:rPr>
          <w:noProof/>
        </w:rPr>
        <w:drawing>
          <wp:inline distT="0" distB="0" distL="0" distR="0" wp14:anchorId="39BD5B66" wp14:editId="35164E54">
            <wp:extent cx="5312664" cy="81564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664" cy="815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70B60" w14:textId="5DD9C275" w:rsidR="00D67D7E" w:rsidRDefault="00696809" w:rsidP="00C33C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</w:rPr>
        <w:br w:type="page"/>
      </w:r>
      <w:r w:rsidR="00D67D7E" w:rsidRPr="00C33C36">
        <w:rPr>
          <w:rFonts w:ascii="Arial" w:hAnsi="Arial" w:cs="Arial"/>
          <w:b/>
          <w:sz w:val="24"/>
          <w:szCs w:val="24"/>
        </w:rPr>
        <w:lastRenderedPageBreak/>
        <w:t xml:space="preserve">Table </w:t>
      </w:r>
      <w:r w:rsidR="00993E99" w:rsidRPr="00C33C36">
        <w:rPr>
          <w:rFonts w:ascii="Arial" w:hAnsi="Arial" w:cs="Arial"/>
          <w:b/>
          <w:sz w:val="24"/>
          <w:szCs w:val="24"/>
        </w:rPr>
        <w:t>2.</w:t>
      </w:r>
      <w:r w:rsidR="00D67D7E" w:rsidRPr="00C33C36">
        <w:rPr>
          <w:rFonts w:ascii="Arial" w:hAnsi="Arial" w:cs="Arial"/>
          <w:b/>
          <w:sz w:val="24"/>
          <w:szCs w:val="24"/>
        </w:rPr>
        <w:t xml:space="preserve"> Unit Burden and Cost Estimates for </w:t>
      </w:r>
      <w:r w:rsidR="0004348F" w:rsidRPr="00C33C36">
        <w:rPr>
          <w:rFonts w:ascii="Arial" w:hAnsi="Arial" w:cs="Arial"/>
          <w:b/>
          <w:sz w:val="24"/>
          <w:szCs w:val="24"/>
        </w:rPr>
        <w:t>Deep Saline Formation</w:t>
      </w:r>
      <w:r w:rsidR="00D67D7E" w:rsidRPr="00C33C36">
        <w:rPr>
          <w:rFonts w:ascii="Arial" w:hAnsi="Arial" w:cs="Arial"/>
          <w:b/>
          <w:sz w:val="24"/>
          <w:szCs w:val="24"/>
        </w:rPr>
        <w:t xml:space="preserve"> Projects</w:t>
      </w:r>
    </w:p>
    <w:p w14:paraId="4A808946" w14:textId="54D947B2" w:rsidR="00C33C36" w:rsidRPr="00C33C36" w:rsidRDefault="00CA1C18" w:rsidP="00C33C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1C18">
        <w:rPr>
          <w:noProof/>
        </w:rPr>
        <w:drawing>
          <wp:inline distT="0" distB="0" distL="0" distR="0" wp14:anchorId="61802CD4" wp14:editId="28CF3DE6">
            <wp:extent cx="5074920" cy="805586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805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C81C" w14:textId="0AAB3993" w:rsidR="004B753D" w:rsidRDefault="004B753D" w:rsidP="004B75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ヒラギノ角ゴ Pro W3" w:hAnsi="Arial" w:cs="Arial"/>
          <w:b/>
          <w:color w:val="000000"/>
          <w:sz w:val="24"/>
          <w:szCs w:val="24"/>
        </w:rPr>
        <w:br w:type="page"/>
      </w:r>
      <w:r w:rsidRPr="004B753D">
        <w:rPr>
          <w:rFonts w:ascii="Arial" w:hAnsi="Arial" w:cs="Arial"/>
          <w:b/>
          <w:sz w:val="24"/>
          <w:szCs w:val="24"/>
        </w:rPr>
        <w:lastRenderedPageBreak/>
        <w:t xml:space="preserve">Table </w:t>
      </w:r>
      <w:r w:rsidR="00993E99">
        <w:rPr>
          <w:rFonts w:ascii="Arial" w:hAnsi="Arial" w:cs="Arial"/>
          <w:b/>
          <w:sz w:val="24"/>
          <w:szCs w:val="24"/>
        </w:rPr>
        <w:t>3</w:t>
      </w:r>
      <w:r w:rsidRPr="004B753D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Total</w:t>
      </w:r>
      <w:r w:rsidRPr="004B753D">
        <w:rPr>
          <w:rFonts w:ascii="Arial" w:hAnsi="Arial" w:cs="Arial"/>
          <w:b/>
          <w:sz w:val="24"/>
          <w:szCs w:val="24"/>
        </w:rPr>
        <w:t xml:space="preserve"> Burden and Cost Estimates for </w:t>
      </w:r>
      <w:r>
        <w:rPr>
          <w:rFonts w:ascii="Arial" w:hAnsi="Arial" w:cs="Arial"/>
          <w:b/>
          <w:sz w:val="24"/>
          <w:szCs w:val="24"/>
        </w:rPr>
        <w:t>Subpart RR</w:t>
      </w:r>
    </w:p>
    <w:p w14:paraId="31128EC6" w14:textId="28B12DA2" w:rsidR="004B753D" w:rsidRPr="004B753D" w:rsidRDefault="00CA1C18" w:rsidP="004B753D">
      <w:pPr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CA1C18">
        <w:rPr>
          <w:noProof/>
        </w:rPr>
        <w:drawing>
          <wp:inline distT="0" distB="0" distL="0" distR="0" wp14:anchorId="0920F6B6" wp14:editId="5D49F468">
            <wp:extent cx="6858000" cy="50546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53D" w:rsidRPr="004B753D" w:rsidSect="005364D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07EF8" w14:textId="77777777" w:rsidR="00BA2DAF" w:rsidRDefault="00BA2DAF" w:rsidP="002F1563">
      <w:pPr>
        <w:spacing w:after="0" w:line="240" w:lineRule="auto"/>
      </w:pPr>
      <w:r>
        <w:separator/>
      </w:r>
    </w:p>
  </w:endnote>
  <w:endnote w:type="continuationSeparator" w:id="0">
    <w:p w14:paraId="2C73F94A" w14:textId="77777777" w:rsidR="00BA2DAF" w:rsidRDefault="00BA2DAF" w:rsidP="002F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016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94BE1" w14:textId="015E386C" w:rsidR="00993E99" w:rsidRDefault="00993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0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EB3B07C" w14:textId="77777777" w:rsidR="00993E99" w:rsidRDefault="00993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E5E85" w14:textId="77777777" w:rsidR="00BA2DAF" w:rsidRDefault="00BA2DAF" w:rsidP="002F1563">
      <w:pPr>
        <w:spacing w:after="0" w:line="240" w:lineRule="auto"/>
      </w:pPr>
      <w:r>
        <w:separator/>
      </w:r>
    </w:p>
  </w:footnote>
  <w:footnote w:type="continuationSeparator" w:id="0">
    <w:p w14:paraId="2F368687" w14:textId="77777777" w:rsidR="00BA2DAF" w:rsidRDefault="00BA2DAF" w:rsidP="002F1563">
      <w:pPr>
        <w:spacing w:after="0" w:line="240" w:lineRule="auto"/>
      </w:pPr>
      <w:r>
        <w:continuationSeparator/>
      </w:r>
    </w:p>
  </w:footnote>
  <w:footnote w:id="1">
    <w:p w14:paraId="1FB9D362" w14:textId="4D7A238E" w:rsidR="00A7420B" w:rsidRDefault="00A7420B" w:rsidP="002952AB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A7420B">
        <w:rPr>
          <w:i/>
        </w:rPr>
        <w:t xml:space="preserve">Analysis of the Costs Associated with Subpart RR (Geologic Sequestration of Carbon Dioxide) Reporting under the EPA Greenhouse Gas Reporting </w:t>
      </w:r>
      <w:r w:rsidRPr="00CE6487">
        <w:rPr>
          <w:i/>
        </w:rPr>
        <w:t>Prog</w:t>
      </w:r>
      <w:r w:rsidRPr="002952AB">
        <w:rPr>
          <w:i/>
        </w:rPr>
        <w:t>ram</w:t>
      </w:r>
      <w:r>
        <w:t xml:space="preserve">, </w:t>
      </w:r>
      <w:r w:rsidR="00CE6487">
        <w:t>p</w:t>
      </w:r>
      <w:r>
        <w:t xml:space="preserve">aper prepared by Advanced Resources International, Inc., </w:t>
      </w:r>
      <w:r w:rsidR="00834A4B">
        <w:t xml:space="preserve">April </w:t>
      </w:r>
      <w:r w:rsidR="00CD7978">
        <w:t>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F36"/>
    <w:multiLevelType w:val="hybridMultilevel"/>
    <w:tmpl w:val="FF92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018C"/>
    <w:multiLevelType w:val="hybridMultilevel"/>
    <w:tmpl w:val="EDB84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C3935"/>
    <w:multiLevelType w:val="hybridMultilevel"/>
    <w:tmpl w:val="CB923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63"/>
    <w:rsid w:val="0002437C"/>
    <w:rsid w:val="0004348F"/>
    <w:rsid w:val="000521C1"/>
    <w:rsid w:val="000623B8"/>
    <w:rsid w:val="000B1985"/>
    <w:rsid w:val="000B240E"/>
    <w:rsid w:val="000C15B2"/>
    <w:rsid w:val="00170A22"/>
    <w:rsid w:val="001A0EAF"/>
    <w:rsid w:val="001B6520"/>
    <w:rsid w:val="001D420F"/>
    <w:rsid w:val="001F56CB"/>
    <w:rsid w:val="00220326"/>
    <w:rsid w:val="00232CDF"/>
    <w:rsid w:val="0023628A"/>
    <w:rsid w:val="00270FDF"/>
    <w:rsid w:val="00275426"/>
    <w:rsid w:val="0028525C"/>
    <w:rsid w:val="002952AB"/>
    <w:rsid w:val="002F1563"/>
    <w:rsid w:val="00304204"/>
    <w:rsid w:val="00350D4E"/>
    <w:rsid w:val="00392429"/>
    <w:rsid w:val="003A7900"/>
    <w:rsid w:val="003C5DB8"/>
    <w:rsid w:val="004475ED"/>
    <w:rsid w:val="00453F93"/>
    <w:rsid w:val="004871A7"/>
    <w:rsid w:val="004B34E9"/>
    <w:rsid w:val="004B753D"/>
    <w:rsid w:val="004F40AF"/>
    <w:rsid w:val="005107C0"/>
    <w:rsid w:val="00515D1F"/>
    <w:rsid w:val="0053193B"/>
    <w:rsid w:val="005364DB"/>
    <w:rsid w:val="00540A09"/>
    <w:rsid w:val="00545A61"/>
    <w:rsid w:val="0058755A"/>
    <w:rsid w:val="005B31EA"/>
    <w:rsid w:val="005C124A"/>
    <w:rsid w:val="005D4000"/>
    <w:rsid w:val="006608A3"/>
    <w:rsid w:val="00675E03"/>
    <w:rsid w:val="00696809"/>
    <w:rsid w:val="006A5AE9"/>
    <w:rsid w:val="006C2B0F"/>
    <w:rsid w:val="006F1B32"/>
    <w:rsid w:val="00700181"/>
    <w:rsid w:val="00704ECA"/>
    <w:rsid w:val="0071495B"/>
    <w:rsid w:val="00730242"/>
    <w:rsid w:val="007539FC"/>
    <w:rsid w:val="007A4BE9"/>
    <w:rsid w:val="00834A4B"/>
    <w:rsid w:val="00836E17"/>
    <w:rsid w:val="00850E21"/>
    <w:rsid w:val="00873A51"/>
    <w:rsid w:val="008B230E"/>
    <w:rsid w:val="008D738E"/>
    <w:rsid w:val="00906048"/>
    <w:rsid w:val="009242BD"/>
    <w:rsid w:val="00957318"/>
    <w:rsid w:val="009805BF"/>
    <w:rsid w:val="0099325D"/>
    <w:rsid w:val="00993E99"/>
    <w:rsid w:val="009D3774"/>
    <w:rsid w:val="009E2EF9"/>
    <w:rsid w:val="00A677C7"/>
    <w:rsid w:val="00A74049"/>
    <w:rsid w:val="00A7420B"/>
    <w:rsid w:val="00A77E4A"/>
    <w:rsid w:val="00A83556"/>
    <w:rsid w:val="00AA4F76"/>
    <w:rsid w:val="00B40938"/>
    <w:rsid w:val="00B74F3E"/>
    <w:rsid w:val="00B864B1"/>
    <w:rsid w:val="00B911FC"/>
    <w:rsid w:val="00BA2DAF"/>
    <w:rsid w:val="00BC5AE9"/>
    <w:rsid w:val="00BF0AFE"/>
    <w:rsid w:val="00C11523"/>
    <w:rsid w:val="00C11E21"/>
    <w:rsid w:val="00C33C36"/>
    <w:rsid w:val="00C40DF9"/>
    <w:rsid w:val="00C81275"/>
    <w:rsid w:val="00C9069A"/>
    <w:rsid w:val="00CA1C18"/>
    <w:rsid w:val="00CB2476"/>
    <w:rsid w:val="00CD4C3E"/>
    <w:rsid w:val="00CD7978"/>
    <w:rsid w:val="00CE6487"/>
    <w:rsid w:val="00CF27BC"/>
    <w:rsid w:val="00D27367"/>
    <w:rsid w:val="00D37D75"/>
    <w:rsid w:val="00D67D7E"/>
    <w:rsid w:val="00D809A0"/>
    <w:rsid w:val="00E54538"/>
    <w:rsid w:val="00F2660C"/>
    <w:rsid w:val="00F7696D"/>
    <w:rsid w:val="00FA0802"/>
    <w:rsid w:val="00FA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C026"/>
  <w15:chartTrackingRefBased/>
  <w15:docId w15:val="{C619E932-E718-4070-9BC2-6C218E4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563"/>
  </w:style>
  <w:style w:type="paragraph" w:styleId="Footer">
    <w:name w:val="footer"/>
    <w:basedOn w:val="Normal"/>
    <w:link w:val="FooterChar"/>
    <w:uiPriority w:val="99"/>
    <w:unhideWhenUsed/>
    <w:rsid w:val="002F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563"/>
  </w:style>
  <w:style w:type="paragraph" w:styleId="NormalWeb">
    <w:name w:val="Normal (Web)"/>
    <w:basedOn w:val="Normal"/>
    <w:uiPriority w:val="99"/>
    <w:semiHidden/>
    <w:unhideWhenUsed/>
    <w:rsid w:val="002F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37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911FC"/>
    <w:pPr>
      <w:spacing w:after="0" w:line="240" w:lineRule="auto"/>
      <w:outlineLvl w:val="0"/>
    </w:pPr>
    <w:rPr>
      <w:rFonts w:ascii="Arial" w:eastAsia="ヒラギノ角ゴ Pro W3" w:hAnsi="Arial" w:cs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1FC"/>
    <w:rPr>
      <w:rFonts w:ascii="Arial" w:eastAsia="ヒラギノ角ゴ Pro W3" w:hAnsi="Arial" w:cs="Arial"/>
      <w:bCs/>
      <w:sz w:val="20"/>
      <w:szCs w:val="20"/>
    </w:rPr>
  </w:style>
  <w:style w:type="character" w:styleId="FootnoteReference">
    <w:name w:val="footnote reference"/>
    <w:rsid w:val="00B911FC"/>
    <w:rPr>
      <w:vertAlign w:val="superscript"/>
    </w:rPr>
  </w:style>
  <w:style w:type="character" w:styleId="Hyperlink">
    <w:name w:val="Hyperlink"/>
    <w:uiPriority w:val="99"/>
    <w:rsid w:val="00B911FC"/>
    <w:rPr>
      <w:color w:val="0563C1"/>
      <w:u w:val="single"/>
    </w:rPr>
  </w:style>
  <w:style w:type="paragraph" w:customStyle="1" w:styleId="ARIPara1">
    <w:name w:val="ARI Para 1"/>
    <w:basedOn w:val="Normal"/>
    <w:qFormat/>
    <w:rsid w:val="00B911FC"/>
    <w:pPr>
      <w:spacing w:before="240" w:after="240" w:line="276" w:lineRule="auto"/>
    </w:pPr>
    <w:rPr>
      <w:rFonts w:ascii="Arial" w:eastAsia="ヒラギノ角ゴ Pro W3" w:hAnsi="Arial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AE13-5EBA-4365-A750-0B482023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Godec</dc:creator>
  <cp:keywords/>
  <dc:description/>
  <cp:lastModifiedBy>Melissa Icenhour</cp:lastModifiedBy>
  <cp:revision>3</cp:revision>
  <cp:lastPrinted>2016-04-12T13:55:00Z</cp:lastPrinted>
  <dcterms:created xsi:type="dcterms:W3CDTF">2016-04-13T19:54:00Z</dcterms:created>
  <dcterms:modified xsi:type="dcterms:W3CDTF">2016-04-13T19:55:00Z</dcterms:modified>
</cp:coreProperties>
</file>