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D4" w:rsidRDefault="00CA4DD4" w:rsidP="00CA4DD4">
      <w:pPr>
        <w:autoSpaceDE w:val="0"/>
        <w:autoSpaceDN w:val="0"/>
        <w:adjustRightInd w:val="0"/>
        <w:ind w:firstLine="720"/>
        <w:rPr>
          <w:color w:val="0F0F0F"/>
        </w:rPr>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Default="00CA4DD4" w:rsidP="00CA4DD4">
      <w:pPr>
        <w:autoSpaceDE w:val="0"/>
        <w:autoSpaceDN w:val="0"/>
        <w:adjustRightInd w:val="0"/>
        <w:ind w:firstLine="720"/>
      </w:pPr>
    </w:p>
    <w:p w:rsidR="00CA4DD4" w:rsidRPr="0003088B" w:rsidRDefault="00CA4DD4" w:rsidP="005A2DBD">
      <w:pPr>
        <w:autoSpaceDE w:val="0"/>
        <w:autoSpaceDN w:val="0"/>
        <w:adjustRightInd w:val="0"/>
        <w:jc w:val="center"/>
        <w:rPr>
          <w:rFonts w:asciiTheme="majorBidi" w:hAnsiTheme="majorBidi" w:cstheme="majorBidi"/>
          <w:b/>
          <w:bCs/>
          <w:sz w:val="42"/>
          <w:szCs w:val="42"/>
        </w:rPr>
      </w:pPr>
      <w:r w:rsidRPr="0003088B">
        <w:rPr>
          <w:rFonts w:asciiTheme="majorBidi" w:hAnsiTheme="majorBidi" w:cstheme="majorBidi"/>
          <w:b/>
          <w:bCs/>
          <w:sz w:val="42"/>
          <w:szCs w:val="42"/>
        </w:rPr>
        <w:t>Appendix</w:t>
      </w:r>
      <w:r>
        <w:rPr>
          <w:rFonts w:asciiTheme="majorBidi" w:hAnsiTheme="majorBidi" w:cstheme="majorBidi"/>
          <w:b/>
          <w:bCs/>
          <w:sz w:val="42"/>
          <w:szCs w:val="42"/>
        </w:rPr>
        <w:t xml:space="preserve"> </w:t>
      </w:r>
      <w:r w:rsidR="005A2DBD">
        <w:rPr>
          <w:rFonts w:asciiTheme="majorBidi" w:hAnsiTheme="majorBidi" w:cstheme="majorBidi"/>
          <w:b/>
          <w:bCs/>
          <w:sz w:val="42"/>
          <w:szCs w:val="42"/>
        </w:rPr>
        <w:t>D</w:t>
      </w:r>
      <w:r w:rsidRPr="0003088B">
        <w:rPr>
          <w:rFonts w:asciiTheme="majorBidi" w:hAnsiTheme="majorBidi" w:cstheme="majorBidi"/>
          <w:b/>
          <w:bCs/>
          <w:sz w:val="42"/>
          <w:szCs w:val="42"/>
        </w:rPr>
        <w:t>:</w:t>
      </w:r>
    </w:p>
    <w:p w:rsidR="001811F2" w:rsidRDefault="00CA4DD4" w:rsidP="00CA4DD4">
      <w:pPr>
        <w:autoSpaceDE w:val="0"/>
        <w:autoSpaceDN w:val="0"/>
        <w:adjustRightInd w:val="0"/>
        <w:ind w:firstLine="720"/>
        <w:jc w:val="center"/>
        <w:rPr>
          <w:rFonts w:asciiTheme="majorBidi" w:hAnsiTheme="majorBidi" w:cstheme="majorBidi"/>
          <w:b/>
          <w:bCs/>
          <w:sz w:val="42"/>
          <w:szCs w:val="42"/>
        </w:rPr>
        <w:sectPr w:rsidR="001811F2" w:rsidSect="001811F2">
          <w:pgSz w:w="12240" w:h="15840"/>
          <w:pgMar w:top="1440" w:right="1440" w:bottom="1440" w:left="1440" w:header="720" w:footer="720" w:gutter="0"/>
          <w:cols w:space="720"/>
          <w:docGrid w:linePitch="360"/>
        </w:sectPr>
      </w:pPr>
      <w:r w:rsidRPr="0003088B">
        <w:rPr>
          <w:rFonts w:asciiTheme="majorBidi" w:hAnsiTheme="majorBidi" w:cstheme="majorBidi"/>
          <w:b/>
          <w:bCs/>
          <w:sz w:val="42"/>
          <w:szCs w:val="42"/>
        </w:rPr>
        <w:t>Summary</w:t>
      </w:r>
      <w:r>
        <w:rPr>
          <w:rFonts w:asciiTheme="majorBidi" w:hAnsiTheme="majorBidi" w:cstheme="majorBidi"/>
          <w:b/>
          <w:bCs/>
          <w:sz w:val="42"/>
          <w:szCs w:val="42"/>
        </w:rPr>
        <w:t xml:space="preserve"> </w:t>
      </w:r>
      <w:r w:rsidRPr="0003088B">
        <w:rPr>
          <w:rFonts w:asciiTheme="majorBidi" w:hAnsiTheme="majorBidi" w:cstheme="majorBidi"/>
          <w:b/>
          <w:bCs/>
          <w:sz w:val="42"/>
          <w:szCs w:val="42"/>
        </w:rPr>
        <w:t>of</w:t>
      </w:r>
      <w:r>
        <w:rPr>
          <w:rFonts w:asciiTheme="majorBidi" w:hAnsiTheme="majorBidi" w:cstheme="majorBidi"/>
          <w:b/>
          <w:bCs/>
          <w:sz w:val="42"/>
          <w:szCs w:val="42"/>
        </w:rPr>
        <w:t xml:space="preserve"> </w:t>
      </w:r>
      <w:r w:rsidRPr="0003088B">
        <w:rPr>
          <w:rFonts w:asciiTheme="majorBidi" w:hAnsiTheme="majorBidi" w:cstheme="majorBidi"/>
          <w:b/>
          <w:bCs/>
          <w:sz w:val="42"/>
          <w:szCs w:val="42"/>
        </w:rPr>
        <w:t>Labor</w:t>
      </w:r>
      <w:r>
        <w:rPr>
          <w:rFonts w:asciiTheme="majorBidi" w:hAnsiTheme="majorBidi" w:cstheme="majorBidi"/>
          <w:b/>
          <w:bCs/>
          <w:sz w:val="42"/>
          <w:szCs w:val="42"/>
        </w:rPr>
        <w:t xml:space="preserve"> </w:t>
      </w:r>
      <w:r w:rsidRPr="0003088B">
        <w:rPr>
          <w:rFonts w:asciiTheme="majorBidi" w:hAnsiTheme="majorBidi" w:cstheme="majorBidi"/>
          <w:b/>
          <w:bCs/>
          <w:sz w:val="42"/>
          <w:szCs w:val="42"/>
        </w:rPr>
        <w:t>Rate</w:t>
      </w:r>
      <w:r>
        <w:rPr>
          <w:rFonts w:asciiTheme="majorBidi" w:hAnsiTheme="majorBidi" w:cstheme="majorBidi"/>
          <w:b/>
          <w:bCs/>
          <w:sz w:val="42"/>
          <w:szCs w:val="42"/>
        </w:rPr>
        <w:t xml:space="preserve"> </w:t>
      </w:r>
      <w:r w:rsidRPr="0003088B">
        <w:rPr>
          <w:rFonts w:asciiTheme="majorBidi" w:hAnsiTheme="majorBidi" w:cstheme="majorBidi"/>
          <w:b/>
          <w:bCs/>
          <w:sz w:val="42"/>
          <w:szCs w:val="42"/>
        </w:rPr>
        <w:t>Derivation</w:t>
      </w:r>
    </w:p>
    <w:tbl>
      <w:tblPr>
        <w:tblW w:w="11790" w:type="dxa"/>
        <w:tblInd w:w="-10" w:type="dxa"/>
        <w:tblLook w:val="04A0" w:firstRow="1" w:lastRow="0" w:firstColumn="1" w:lastColumn="0" w:noHBand="0" w:noVBand="1"/>
      </w:tblPr>
      <w:tblGrid>
        <w:gridCol w:w="10"/>
        <w:gridCol w:w="980"/>
        <w:gridCol w:w="1530"/>
        <w:gridCol w:w="3420"/>
        <w:gridCol w:w="1170"/>
        <w:gridCol w:w="1350"/>
        <w:gridCol w:w="1350"/>
        <w:gridCol w:w="1880"/>
        <w:gridCol w:w="100"/>
      </w:tblGrid>
      <w:tr w:rsidR="0053376A" w:rsidRPr="00E251F3" w:rsidTr="001811F2">
        <w:trPr>
          <w:gridBefore w:val="1"/>
          <w:gridAfter w:val="1"/>
          <w:wBefore w:w="10" w:type="dxa"/>
          <w:wAfter w:w="100" w:type="dxa"/>
          <w:trHeight w:val="250"/>
        </w:trPr>
        <w:tc>
          <w:tcPr>
            <w:tcW w:w="980" w:type="dxa"/>
            <w:vMerge w:val="restart"/>
            <w:tcBorders>
              <w:top w:val="single" w:sz="8" w:space="0" w:color="auto"/>
              <w:left w:val="single" w:sz="8" w:space="0" w:color="auto"/>
              <w:bottom w:val="single" w:sz="4" w:space="0" w:color="000000"/>
              <w:right w:val="single" w:sz="4" w:space="0" w:color="auto"/>
            </w:tcBorders>
            <w:shd w:val="clear" w:color="000000" w:fill="CCFFFF"/>
            <w:vAlign w:val="center"/>
            <w:hideMark/>
          </w:tcPr>
          <w:p w:rsidR="0053376A" w:rsidRPr="00E251F3" w:rsidRDefault="00CA4DD4" w:rsidP="00E251F3">
            <w:pPr>
              <w:jc w:val="center"/>
              <w:rPr>
                <w:rFonts w:asciiTheme="majorBidi" w:hAnsiTheme="majorBidi" w:cstheme="majorBidi"/>
                <w:b/>
                <w:bCs/>
                <w:sz w:val="18"/>
                <w:szCs w:val="18"/>
              </w:rPr>
            </w:pPr>
            <w:r>
              <w:rPr>
                <w:rFonts w:asciiTheme="majorBidi" w:hAnsiTheme="majorBidi" w:cstheme="majorBidi"/>
                <w:b/>
                <w:bCs/>
                <w:sz w:val="42"/>
                <w:szCs w:val="42"/>
              </w:rPr>
              <w:lastRenderedPageBreak/>
              <w:br w:type="page"/>
            </w:r>
            <w:r w:rsidR="0053376A" w:rsidRPr="00E251F3">
              <w:rPr>
                <w:rFonts w:asciiTheme="majorBidi" w:hAnsiTheme="majorBidi" w:cstheme="majorBidi"/>
                <w:b/>
                <w:bCs/>
                <w:sz w:val="18"/>
                <w:szCs w:val="18"/>
              </w:rPr>
              <w:t>Subpart (1)</w:t>
            </w:r>
          </w:p>
        </w:tc>
        <w:tc>
          <w:tcPr>
            <w:tcW w:w="1530" w:type="dxa"/>
            <w:vMerge w:val="restart"/>
            <w:tcBorders>
              <w:top w:val="single" w:sz="8" w:space="0" w:color="auto"/>
              <w:left w:val="single" w:sz="4" w:space="0" w:color="auto"/>
              <w:bottom w:val="single" w:sz="4" w:space="0" w:color="000000"/>
              <w:right w:val="single" w:sz="8" w:space="0" w:color="auto"/>
            </w:tcBorders>
            <w:shd w:val="clear" w:color="000000" w:fill="CCFFFF"/>
            <w:vAlign w:val="center"/>
            <w:hideMark/>
          </w:tcPr>
          <w:p w:rsidR="0053376A" w:rsidRPr="00E251F3" w:rsidRDefault="0053376A" w:rsidP="00E251F3">
            <w:pPr>
              <w:jc w:val="center"/>
              <w:rPr>
                <w:rFonts w:asciiTheme="majorBidi" w:hAnsiTheme="majorBidi" w:cstheme="majorBidi"/>
                <w:b/>
                <w:bCs/>
                <w:sz w:val="18"/>
                <w:szCs w:val="18"/>
              </w:rPr>
            </w:pPr>
            <w:r w:rsidRPr="00E251F3">
              <w:rPr>
                <w:rFonts w:asciiTheme="majorBidi" w:hAnsiTheme="majorBidi" w:cstheme="majorBidi"/>
                <w:b/>
                <w:bCs/>
                <w:sz w:val="18"/>
                <w:szCs w:val="18"/>
              </w:rPr>
              <w:t>ICR Labor Category</w:t>
            </w:r>
          </w:p>
        </w:tc>
        <w:tc>
          <w:tcPr>
            <w:tcW w:w="9170" w:type="dxa"/>
            <w:gridSpan w:val="5"/>
            <w:tcBorders>
              <w:top w:val="single" w:sz="8" w:space="0" w:color="auto"/>
              <w:left w:val="nil"/>
              <w:bottom w:val="single" w:sz="4" w:space="0" w:color="auto"/>
              <w:right w:val="single" w:sz="8" w:space="0" w:color="000000"/>
            </w:tcBorders>
            <w:shd w:val="clear" w:color="000000" w:fill="CCFFFF"/>
            <w:hideMark/>
          </w:tcPr>
          <w:p w:rsidR="0053376A" w:rsidRPr="00E251F3" w:rsidRDefault="0053376A" w:rsidP="00E251F3">
            <w:pPr>
              <w:jc w:val="center"/>
              <w:rPr>
                <w:rFonts w:asciiTheme="majorBidi" w:hAnsiTheme="majorBidi" w:cstheme="majorBidi"/>
                <w:b/>
                <w:bCs/>
                <w:sz w:val="18"/>
                <w:szCs w:val="18"/>
              </w:rPr>
            </w:pPr>
            <w:r w:rsidRPr="00E251F3">
              <w:rPr>
                <w:rFonts w:asciiTheme="majorBidi" w:hAnsiTheme="majorBidi" w:cstheme="majorBidi"/>
                <w:b/>
                <w:bCs/>
                <w:sz w:val="18"/>
                <w:szCs w:val="18"/>
              </w:rPr>
              <w:t>Labor Rates for the 2015 Renewal ICR (Proposal)</w:t>
            </w:r>
          </w:p>
        </w:tc>
      </w:tr>
      <w:tr w:rsidR="0053376A" w:rsidRPr="00E251F3" w:rsidTr="001811F2">
        <w:trPr>
          <w:gridBefore w:val="1"/>
          <w:gridAfter w:val="1"/>
          <w:wBefore w:w="10" w:type="dxa"/>
          <w:wAfter w:w="100" w:type="dxa"/>
          <w:trHeight w:val="610"/>
        </w:trPr>
        <w:tc>
          <w:tcPr>
            <w:tcW w:w="980" w:type="dxa"/>
            <w:vMerge/>
            <w:tcBorders>
              <w:top w:val="single" w:sz="8" w:space="0" w:color="auto"/>
              <w:left w:val="single" w:sz="8" w:space="0" w:color="auto"/>
              <w:bottom w:val="single" w:sz="4" w:space="0" w:color="000000"/>
              <w:right w:val="single" w:sz="4" w:space="0" w:color="auto"/>
            </w:tcBorders>
            <w:vAlign w:val="center"/>
            <w:hideMark/>
          </w:tcPr>
          <w:p w:rsidR="00E251F3" w:rsidRPr="00E251F3" w:rsidRDefault="00E251F3" w:rsidP="00E251F3">
            <w:pPr>
              <w:rPr>
                <w:rFonts w:asciiTheme="majorBidi" w:hAnsiTheme="majorBidi" w:cstheme="majorBidi"/>
                <w:b/>
                <w:bCs/>
                <w:sz w:val="18"/>
                <w:szCs w:val="18"/>
              </w:rPr>
            </w:pPr>
          </w:p>
        </w:tc>
        <w:tc>
          <w:tcPr>
            <w:tcW w:w="1530" w:type="dxa"/>
            <w:vMerge/>
            <w:tcBorders>
              <w:top w:val="single" w:sz="8" w:space="0" w:color="auto"/>
              <w:left w:val="single" w:sz="4" w:space="0" w:color="auto"/>
              <w:bottom w:val="single" w:sz="4" w:space="0" w:color="000000"/>
              <w:right w:val="single" w:sz="8" w:space="0" w:color="auto"/>
            </w:tcBorders>
            <w:vAlign w:val="center"/>
            <w:hideMark/>
          </w:tcPr>
          <w:p w:rsidR="00E251F3" w:rsidRPr="00E251F3" w:rsidRDefault="00E251F3" w:rsidP="00E251F3">
            <w:pPr>
              <w:rPr>
                <w:rFonts w:asciiTheme="majorBidi" w:hAnsiTheme="majorBidi" w:cstheme="majorBidi"/>
                <w:b/>
                <w:bCs/>
                <w:sz w:val="18"/>
                <w:szCs w:val="18"/>
              </w:rPr>
            </w:pPr>
          </w:p>
        </w:tc>
        <w:tc>
          <w:tcPr>
            <w:tcW w:w="3420" w:type="dxa"/>
            <w:tcBorders>
              <w:top w:val="nil"/>
              <w:left w:val="nil"/>
              <w:bottom w:val="single" w:sz="4" w:space="0" w:color="auto"/>
              <w:right w:val="single" w:sz="4" w:space="0" w:color="auto"/>
            </w:tcBorders>
            <w:shd w:val="clear" w:color="000000" w:fill="CCFFFF"/>
            <w:hideMark/>
          </w:tcPr>
          <w:p w:rsidR="00E251F3" w:rsidRPr="00E251F3" w:rsidRDefault="00E251F3" w:rsidP="00E251F3">
            <w:pPr>
              <w:jc w:val="center"/>
              <w:rPr>
                <w:rFonts w:asciiTheme="majorBidi" w:hAnsiTheme="majorBidi" w:cstheme="majorBidi"/>
                <w:b/>
                <w:bCs/>
                <w:sz w:val="18"/>
                <w:szCs w:val="18"/>
              </w:rPr>
            </w:pPr>
            <w:r w:rsidRPr="00E251F3">
              <w:rPr>
                <w:rFonts w:asciiTheme="majorBidi" w:hAnsiTheme="majorBidi" w:cstheme="majorBidi"/>
                <w:b/>
                <w:bCs/>
                <w:sz w:val="18"/>
                <w:szCs w:val="18"/>
              </w:rPr>
              <w:t>BLS Citation</w:t>
            </w:r>
          </w:p>
        </w:tc>
        <w:tc>
          <w:tcPr>
            <w:tcW w:w="1170" w:type="dxa"/>
            <w:tcBorders>
              <w:top w:val="single" w:sz="4" w:space="0" w:color="auto"/>
              <w:left w:val="single" w:sz="4" w:space="0" w:color="auto"/>
              <w:bottom w:val="single" w:sz="4" w:space="0" w:color="auto"/>
              <w:right w:val="single" w:sz="4" w:space="0" w:color="auto"/>
            </w:tcBorders>
            <w:shd w:val="clear" w:color="000000" w:fill="CCFFFF"/>
            <w:hideMark/>
          </w:tcPr>
          <w:p w:rsidR="00E251F3" w:rsidRPr="00E251F3" w:rsidRDefault="00E251F3" w:rsidP="00682F2C">
            <w:pPr>
              <w:jc w:val="center"/>
              <w:rPr>
                <w:rFonts w:asciiTheme="majorBidi" w:hAnsiTheme="majorBidi" w:cstheme="majorBidi"/>
                <w:b/>
                <w:bCs/>
                <w:sz w:val="18"/>
                <w:szCs w:val="18"/>
              </w:rPr>
            </w:pPr>
            <w:r w:rsidRPr="00E251F3">
              <w:rPr>
                <w:rFonts w:asciiTheme="majorBidi" w:hAnsiTheme="majorBidi" w:cstheme="majorBidi"/>
                <w:b/>
                <w:bCs/>
                <w:sz w:val="18"/>
                <w:szCs w:val="18"/>
              </w:rPr>
              <w:t>Benefits Loading Factor (</w:t>
            </w:r>
            <w:r w:rsidR="00682F2C" w:rsidRPr="00682F2C">
              <w:rPr>
                <w:rFonts w:asciiTheme="majorBidi" w:hAnsiTheme="majorBidi" w:cstheme="majorBidi"/>
                <w:b/>
                <w:bCs/>
                <w:sz w:val="18"/>
                <w:szCs w:val="18"/>
              </w:rPr>
              <w:t>4</w:t>
            </w:r>
            <w:r w:rsidRPr="00E251F3">
              <w:rPr>
                <w:rFonts w:asciiTheme="majorBidi" w:hAnsiTheme="majorBidi" w:cstheme="majorBidi"/>
                <w:b/>
                <w:bCs/>
                <w:sz w:val="18"/>
                <w:szCs w:val="18"/>
              </w:rPr>
              <w:t>)</w:t>
            </w:r>
          </w:p>
        </w:tc>
        <w:tc>
          <w:tcPr>
            <w:tcW w:w="1350" w:type="dxa"/>
            <w:tcBorders>
              <w:top w:val="single" w:sz="4" w:space="0" w:color="auto"/>
              <w:left w:val="nil"/>
              <w:bottom w:val="single" w:sz="4" w:space="0" w:color="auto"/>
              <w:right w:val="single" w:sz="4" w:space="0" w:color="auto"/>
            </w:tcBorders>
            <w:shd w:val="clear" w:color="000000" w:fill="CCFFFF"/>
            <w:hideMark/>
          </w:tcPr>
          <w:p w:rsidR="00E251F3" w:rsidRPr="00E251F3" w:rsidRDefault="00E251F3" w:rsidP="00682F2C">
            <w:pPr>
              <w:jc w:val="center"/>
              <w:rPr>
                <w:rFonts w:asciiTheme="majorBidi" w:hAnsiTheme="majorBidi" w:cstheme="majorBidi"/>
                <w:b/>
                <w:bCs/>
                <w:sz w:val="18"/>
                <w:szCs w:val="18"/>
              </w:rPr>
            </w:pPr>
            <w:r w:rsidRPr="00E251F3">
              <w:rPr>
                <w:rFonts w:asciiTheme="majorBidi" w:hAnsiTheme="majorBidi" w:cstheme="majorBidi"/>
                <w:b/>
                <w:bCs/>
                <w:sz w:val="18"/>
                <w:szCs w:val="18"/>
              </w:rPr>
              <w:t>Overhead Loading Factor (</w:t>
            </w:r>
            <w:r w:rsidR="00682F2C" w:rsidRPr="00682F2C">
              <w:rPr>
                <w:rFonts w:asciiTheme="majorBidi" w:hAnsiTheme="majorBidi" w:cstheme="majorBidi"/>
                <w:b/>
                <w:bCs/>
                <w:sz w:val="18"/>
                <w:szCs w:val="18"/>
              </w:rPr>
              <w:t>5</w:t>
            </w:r>
            <w:r w:rsidRPr="00E251F3">
              <w:rPr>
                <w:rFonts w:asciiTheme="majorBidi" w:hAnsiTheme="majorBidi" w:cstheme="majorBidi"/>
                <w:b/>
                <w:bCs/>
                <w:sz w:val="18"/>
                <w:szCs w:val="18"/>
              </w:rPr>
              <w:t>)</w:t>
            </w:r>
          </w:p>
        </w:tc>
        <w:tc>
          <w:tcPr>
            <w:tcW w:w="1350" w:type="dxa"/>
            <w:tcBorders>
              <w:top w:val="nil"/>
              <w:left w:val="nil"/>
              <w:bottom w:val="single" w:sz="4" w:space="0" w:color="auto"/>
              <w:right w:val="single" w:sz="4" w:space="0" w:color="auto"/>
            </w:tcBorders>
            <w:shd w:val="clear" w:color="000000" w:fill="CCFFFF"/>
            <w:hideMark/>
          </w:tcPr>
          <w:p w:rsidR="00E251F3" w:rsidRPr="00E251F3" w:rsidRDefault="00E251F3" w:rsidP="0053376A">
            <w:pPr>
              <w:jc w:val="center"/>
              <w:rPr>
                <w:rFonts w:asciiTheme="majorBidi" w:hAnsiTheme="majorBidi" w:cstheme="majorBidi"/>
                <w:b/>
                <w:bCs/>
                <w:sz w:val="18"/>
                <w:szCs w:val="18"/>
              </w:rPr>
            </w:pPr>
            <w:r w:rsidRPr="00E251F3">
              <w:rPr>
                <w:rFonts w:asciiTheme="majorBidi" w:hAnsiTheme="majorBidi" w:cstheme="majorBidi"/>
                <w:b/>
                <w:bCs/>
                <w:sz w:val="18"/>
                <w:szCs w:val="18"/>
              </w:rPr>
              <w:t>Wages &amp; Salaries (2014$ Q2)</w:t>
            </w:r>
          </w:p>
        </w:tc>
        <w:tc>
          <w:tcPr>
            <w:tcW w:w="1880" w:type="dxa"/>
            <w:tcBorders>
              <w:top w:val="single" w:sz="4" w:space="0" w:color="auto"/>
              <w:left w:val="single" w:sz="4" w:space="0" w:color="auto"/>
              <w:bottom w:val="single" w:sz="4" w:space="0" w:color="auto"/>
              <w:right w:val="single" w:sz="8" w:space="0" w:color="auto"/>
            </w:tcBorders>
            <w:shd w:val="clear" w:color="000000" w:fill="CCFFFF"/>
            <w:hideMark/>
          </w:tcPr>
          <w:p w:rsidR="00E251F3" w:rsidRPr="00E251F3" w:rsidRDefault="00E251F3" w:rsidP="0053376A">
            <w:pPr>
              <w:jc w:val="center"/>
              <w:rPr>
                <w:rFonts w:asciiTheme="majorBidi" w:hAnsiTheme="majorBidi" w:cstheme="majorBidi"/>
                <w:b/>
                <w:bCs/>
                <w:sz w:val="18"/>
                <w:szCs w:val="18"/>
              </w:rPr>
            </w:pPr>
            <w:r w:rsidRPr="00E251F3">
              <w:rPr>
                <w:rFonts w:asciiTheme="majorBidi" w:hAnsiTheme="majorBidi" w:cstheme="majorBidi"/>
                <w:b/>
                <w:bCs/>
                <w:sz w:val="18"/>
                <w:szCs w:val="18"/>
              </w:rPr>
              <w:t>Loaded Hourly Rates for Renewal ICR (2014$ Q2) (</w:t>
            </w:r>
            <w:r w:rsidR="0053376A">
              <w:rPr>
                <w:rFonts w:asciiTheme="majorBidi" w:hAnsiTheme="majorBidi" w:cstheme="majorBidi"/>
                <w:b/>
                <w:bCs/>
                <w:sz w:val="18"/>
                <w:szCs w:val="18"/>
              </w:rPr>
              <w:t>6</w:t>
            </w:r>
            <w:r w:rsidRPr="00E251F3">
              <w:rPr>
                <w:rFonts w:asciiTheme="majorBidi" w:hAnsiTheme="majorBidi" w:cstheme="majorBidi"/>
                <w:b/>
                <w:bCs/>
                <w:sz w:val="18"/>
                <w:szCs w:val="18"/>
              </w:rPr>
              <w:t>)</w:t>
            </w:r>
          </w:p>
        </w:tc>
      </w:tr>
      <w:tr w:rsidR="0053376A" w:rsidRPr="00E251F3" w:rsidTr="001811F2">
        <w:trPr>
          <w:gridBefore w:val="1"/>
          <w:gridAfter w:val="1"/>
          <w:wBefore w:w="10" w:type="dxa"/>
          <w:wAfter w:w="100" w:type="dxa"/>
          <w:trHeight w:val="422"/>
        </w:trPr>
        <w:tc>
          <w:tcPr>
            <w:tcW w:w="980" w:type="dxa"/>
            <w:vMerge w:val="restart"/>
            <w:tcBorders>
              <w:top w:val="nil"/>
              <w:left w:val="single" w:sz="8" w:space="0" w:color="auto"/>
              <w:bottom w:val="single" w:sz="4" w:space="0" w:color="000000"/>
              <w:right w:val="single" w:sz="4" w:space="0" w:color="auto"/>
            </w:tcBorders>
            <w:shd w:val="clear" w:color="000000" w:fill="CCFFFF"/>
            <w:vAlign w:val="center"/>
            <w:hideMark/>
          </w:tcPr>
          <w:p w:rsidR="00E251F3" w:rsidRPr="00E251F3" w:rsidRDefault="00682F2C" w:rsidP="00682F2C">
            <w:pPr>
              <w:jc w:val="center"/>
              <w:rPr>
                <w:rFonts w:asciiTheme="majorBidi" w:hAnsiTheme="majorBidi" w:cstheme="majorBidi"/>
                <w:b/>
                <w:bCs/>
                <w:sz w:val="18"/>
                <w:szCs w:val="18"/>
              </w:rPr>
            </w:pPr>
            <w:r w:rsidRPr="00682F2C">
              <w:rPr>
                <w:rFonts w:asciiTheme="majorBidi" w:hAnsiTheme="majorBidi" w:cstheme="majorBidi"/>
                <w:b/>
                <w:bCs/>
                <w:sz w:val="18"/>
                <w:szCs w:val="18"/>
              </w:rPr>
              <w:t>All (2)</w:t>
            </w:r>
          </w:p>
        </w:tc>
        <w:tc>
          <w:tcPr>
            <w:tcW w:w="1530" w:type="dxa"/>
            <w:tcBorders>
              <w:top w:val="single" w:sz="4" w:space="0" w:color="auto"/>
              <w:left w:val="single" w:sz="4" w:space="0" w:color="auto"/>
              <w:bottom w:val="single" w:sz="4" w:space="0" w:color="auto"/>
              <w:right w:val="single" w:sz="8" w:space="0" w:color="auto"/>
            </w:tcBorders>
            <w:shd w:val="clear" w:color="000000" w:fill="CCFFFF"/>
            <w:hideMark/>
          </w:tcPr>
          <w:p w:rsidR="00E251F3" w:rsidRPr="00E251F3" w:rsidRDefault="00E251F3" w:rsidP="00E251F3">
            <w:pPr>
              <w:rPr>
                <w:rFonts w:asciiTheme="majorBidi" w:hAnsiTheme="majorBidi" w:cstheme="majorBidi"/>
                <w:b/>
                <w:bCs/>
                <w:sz w:val="18"/>
                <w:szCs w:val="18"/>
              </w:rPr>
            </w:pPr>
            <w:r w:rsidRPr="00E251F3">
              <w:rPr>
                <w:rFonts w:asciiTheme="majorBidi" w:hAnsiTheme="majorBidi" w:cstheme="majorBidi"/>
                <w:b/>
                <w:bCs/>
                <w:sz w:val="18"/>
                <w:szCs w:val="18"/>
              </w:rPr>
              <w:t xml:space="preserve"> Technical </w:t>
            </w:r>
          </w:p>
        </w:tc>
        <w:tc>
          <w:tcPr>
            <w:tcW w:w="3420" w:type="dxa"/>
            <w:tcBorders>
              <w:top w:val="nil"/>
              <w:left w:val="single" w:sz="8" w:space="0" w:color="auto"/>
              <w:bottom w:val="single" w:sz="4" w:space="0" w:color="auto"/>
              <w:right w:val="single" w:sz="4" w:space="0" w:color="auto"/>
            </w:tcBorders>
            <w:shd w:val="clear" w:color="auto" w:fill="auto"/>
            <w:hideMark/>
          </w:tcPr>
          <w:p w:rsidR="00E251F3" w:rsidRPr="00E251F3" w:rsidRDefault="00E251F3" w:rsidP="00E251F3">
            <w:pPr>
              <w:rPr>
                <w:rFonts w:asciiTheme="majorBidi" w:hAnsiTheme="majorBidi" w:cstheme="majorBidi"/>
                <w:color w:val="000000"/>
                <w:sz w:val="18"/>
                <w:szCs w:val="18"/>
              </w:rPr>
            </w:pPr>
            <w:r w:rsidRPr="00E251F3">
              <w:rPr>
                <w:rFonts w:asciiTheme="majorBidi" w:hAnsiTheme="majorBidi" w:cstheme="majorBidi"/>
                <w:color w:val="000000"/>
                <w:sz w:val="18"/>
                <w:szCs w:val="18"/>
              </w:rPr>
              <w:t>SOC  17-2112 (Industrial Engineer), top-level</w:t>
            </w:r>
          </w:p>
        </w:tc>
        <w:tc>
          <w:tcPr>
            <w:tcW w:w="1170" w:type="dxa"/>
            <w:tcBorders>
              <w:top w:val="nil"/>
              <w:left w:val="nil"/>
              <w:bottom w:val="single" w:sz="4" w:space="0" w:color="auto"/>
              <w:right w:val="single" w:sz="4" w:space="0" w:color="auto"/>
            </w:tcBorders>
            <w:shd w:val="clear" w:color="auto" w:fill="auto"/>
            <w:noWrap/>
            <w:hideMark/>
          </w:tcPr>
          <w:p w:rsidR="00E251F3" w:rsidRPr="00E251F3" w:rsidRDefault="00776AC3" w:rsidP="00E251F3">
            <w:pPr>
              <w:jc w:val="right"/>
              <w:rPr>
                <w:rFonts w:asciiTheme="majorBidi" w:hAnsiTheme="majorBidi" w:cstheme="majorBidi"/>
                <w:color w:val="000000"/>
                <w:sz w:val="18"/>
                <w:szCs w:val="18"/>
              </w:rPr>
            </w:pPr>
            <w:r>
              <w:rPr>
                <w:rFonts w:asciiTheme="majorBidi" w:hAnsiTheme="majorBidi" w:cstheme="majorBidi"/>
                <w:color w:val="000000"/>
                <w:sz w:val="18"/>
                <w:szCs w:val="18"/>
              </w:rPr>
              <w:t>0.4489</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0.17</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$40.92</w:t>
            </w:r>
          </w:p>
        </w:tc>
        <w:tc>
          <w:tcPr>
            <w:tcW w:w="1880" w:type="dxa"/>
            <w:tcBorders>
              <w:top w:val="nil"/>
              <w:left w:val="single" w:sz="4" w:space="0" w:color="auto"/>
              <w:bottom w:val="single" w:sz="4" w:space="0" w:color="auto"/>
              <w:right w:val="single" w:sz="8" w:space="0" w:color="auto"/>
            </w:tcBorders>
            <w:shd w:val="clear" w:color="auto" w:fill="auto"/>
            <w:noWrap/>
            <w:hideMark/>
          </w:tcPr>
          <w:p w:rsidR="00E251F3" w:rsidRPr="00E251F3" w:rsidRDefault="00E251F3" w:rsidP="00776AC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$6</w:t>
            </w:r>
            <w:r w:rsidR="00776AC3">
              <w:rPr>
                <w:rFonts w:asciiTheme="majorBidi" w:hAnsiTheme="majorBidi" w:cstheme="majorBidi"/>
                <w:color w:val="000000"/>
                <w:sz w:val="18"/>
                <w:szCs w:val="18"/>
              </w:rPr>
              <w:t>6.25</w:t>
            </w:r>
          </w:p>
        </w:tc>
      </w:tr>
      <w:tr w:rsidR="0053376A" w:rsidRPr="00E251F3" w:rsidTr="001811F2">
        <w:trPr>
          <w:gridBefore w:val="1"/>
          <w:gridAfter w:val="1"/>
          <w:wBefore w:w="10" w:type="dxa"/>
          <w:wAfter w:w="100" w:type="dxa"/>
          <w:trHeight w:val="449"/>
        </w:trPr>
        <w:tc>
          <w:tcPr>
            <w:tcW w:w="980" w:type="dxa"/>
            <w:vMerge/>
            <w:tcBorders>
              <w:top w:val="nil"/>
              <w:left w:val="single" w:sz="8" w:space="0" w:color="auto"/>
              <w:bottom w:val="single" w:sz="4" w:space="0" w:color="000000"/>
              <w:right w:val="single" w:sz="4" w:space="0" w:color="auto"/>
            </w:tcBorders>
            <w:vAlign w:val="center"/>
            <w:hideMark/>
          </w:tcPr>
          <w:p w:rsidR="00E251F3" w:rsidRPr="00E251F3" w:rsidRDefault="00E251F3" w:rsidP="00E251F3">
            <w:pPr>
              <w:rPr>
                <w:rFonts w:asciiTheme="majorBidi" w:hAnsiTheme="majorBidi" w:cstheme="majorBidi"/>
                <w:b/>
                <w:bCs/>
                <w:sz w:val="18"/>
                <w:szCs w:val="18"/>
              </w:rPr>
            </w:pPr>
          </w:p>
        </w:tc>
        <w:tc>
          <w:tcPr>
            <w:tcW w:w="1530" w:type="dxa"/>
            <w:tcBorders>
              <w:top w:val="nil"/>
              <w:left w:val="single" w:sz="4" w:space="0" w:color="auto"/>
              <w:bottom w:val="single" w:sz="4" w:space="0" w:color="auto"/>
              <w:right w:val="single" w:sz="8" w:space="0" w:color="auto"/>
            </w:tcBorders>
            <w:shd w:val="clear" w:color="000000" w:fill="CCFFFF"/>
            <w:hideMark/>
          </w:tcPr>
          <w:p w:rsidR="00E251F3" w:rsidRPr="00E251F3" w:rsidRDefault="00E251F3" w:rsidP="00E251F3">
            <w:pPr>
              <w:rPr>
                <w:rFonts w:asciiTheme="majorBidi" w:hAnsiTheme="majorBidi" w:cstheme="majorBidi"/>
                <w:b/>
                <w:bCs/>
                <w:sz w:val="18"/>
                <w:szCs w:val="18"/>
              </w:rPr>
            </w:pPr>
            <w:r w:rsidRPr="00E251F3">
              <w:rPr>
                <w:rFonts w:asciiTheme="majorBidi" w:hAnsiTheme="majorBidi" w:cstheme="majorBidi"/>
                <w:b/>
                <w:bCs/>
                <w:sz w:val="18"/>
                <w:szCs w:val="18"/>
              </w:rPr>
              <w:t xml:space="preserve"> Managerial</w:t>
            </w:r>
          </w:p>
        </w:tc>
        <w:tc>
          <w:tcPr>
            <w:tcW w:w="3420" w:type="dxa"/>
            <w:tcBorders>
              <w:top w:val="nil"/>
              <w:left w:val="single" w:sz="8" w:space="0" w:color="auto"/>
              <w:bottom w:val="single" w:sz="4" w:space="0" w:color="auto"/>
              <w:right w:val="single" w:sz="4" w:space="0" w:color="auto"/>
            </w:tcBorders>
            <w:shd w:val="clear" w:color="auto" w:fill="auto"/>
            <w:hideMark/>
          </w:tcPr>
          <w:p w:rsidR="00E251F3" w:rsidRPr="00E251F3" w:rsidRDefault="00E251F3" w:rsidP="00E251F3">
            <w:pPr>
              <w:rPr>
                <w:rFonts w:asciiTheme="majorBidi" w:hAnsiTheme="majorBidi" w:cstheme="majorBidi"/>
                <w:color w:val="000000"/>
                <w:sz w:val="18"/>
                <w:szCs w:val="18"/>
              </w:rPr>
            </w:pPr>
            <w:r w:rsidRPr="00E251F3">
              <w:rPr>
                <w:rFonts w:asciiTheme="majorBidi" w:hAnsiTheme="majorBidi" w:cstheme="majorBidi"/>
                <w:color w:val="000000"/>
                <w:sz w:val="18"/>
                <w:szCs w:val="18"/>
              </w:rPr>
              <w:t>SOC 11-3051 (Industrial Production Manager), top-level</w:t>
            </w:r>
          </w:p>
        </w:tc>
        <w:tc>
          <w:tcPr>
            <w:tcW w:w="1170" w:type="dxa"/>
            <w:tcBorders>
              <w:top w:val="nil"/>
              <w:left w:val="nil"/>
              <w:bottom w:val="single" w:sz="4" w:space="0" w:color="auto"/>
              <w:right w:val="single" w:sz="4" w:space="0" w:color="auto"/>
            </w:tcBorders>
            <w:shd w:val="clear" w:color="auto" w:fill="auto"/>
            <w:noWrap/>
            <w:hideMark/>
          </w:tcPr>
          <w:p w:rsidR="00E251F3" w:rsidRPr="00E251F3" w:rsidRDefault="00776AC3" w:rsidP="00E251F3">
            <w:pPr>
              <w:jc w:val="right"/>
              <w:rPr>
                <w:rFonts w:asciiTheme="majorBidi" w:hAnsiTheme="majorBidi" w:cstheme="majorBidi"/>
                <w:color w:val="000000"/>
                <w:sz w:val="18"/>
                <w:szCs w:val="18"/>
              </w:rPr>
            </w:pPr>
            <w:r>
              <w:rPr>
                <w:rFonts w:asciiTheme="majorBidi" w:hAnsiTheme="majorBidi" w:cstheme="majorBidi"/>
                <w:color w:val="000000"/>
                <w:sz w:val="18"/>
                <w:szCs w:val="18"/>
              </w:rPr>
              <w:t>0.4539</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0.17</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$48.87</w:t>
            </w:r>
          </w:p>
        </w:tc>
        <w:tc>
          <w:tcPr>
            <w:tcW w:w="1880" w:type="dxa"/>
            <w:tcBorders>
              <w:top w:val="nil"/>
              <w:left w:val="single" w:sz="4" w:space="0" w:color="auto"/>
              <w:bottom w:val="single" w:sz="4" w:space="0" w:color="auto"/>
              <w:right w:val="single" w:sz="8" w:space="0" w:color="auto"/>
            </w:tcBorders>
            <w:shd w:val="clear" w:color="auto" w:fill="auto"/>
            <w:noWrap/>
            <w:hideMark/>
          </w:tcPr>
          <w:p w:rsidR="00E251F3" w:rsidRPr="00E251F3" w:rsidRDefault="00E251F3" w:rsidP="00776AC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w:t>
            </w:r>
            <w:r w:rsidR="00776AC3">
              <w:rPr>
                <w:rFonts w:asciiTheme="majorBidi" w:hAnsiTheme="majorBidi" w:cstheme="majorBidi"/>
                <w:color w:val="000000"/>
                <w:sz w:val="18"/>
                <w:szCs w:val="18"/>
              </w:rPr>
              <w:t>79.36</w:t>
            </w:r>
          </w:p>
        </w:tc>
      </w:tr>
      <w:tr w:rsidR="0053376A" w:rsidRPr="00E251F3" w:rsidTr="001811F2">
        <w:trPr>
          <w:gridBefore w:val="1"/>
          <w:gridAfter w:val="1"/>
          <w:wBefore w:w="10" w:type="dxa"/>
          <w:wAfter w:w="100" w:type="dxa"/>
          <w:trHeight w:val="330"/>
        </w:trPr>
        <w:tc>
          <w:tcPr>
            <w:tcW w:w="980" w:type="dxa"/>
            <w:vMerge/>
            <w:tcBorders>
              <w:top w:val="nil"/>
              <w:left w:val="single" w:sz="8" w:space="0" w:color="auto"/>
              <w:bottom w:val="single" w:sz="4" w:space="0" w:color="000000"/>
              <w:right w:val="single" w:sz="4" w:space="0" w:color="auto"/>
            </w:tcBorders>
            <w:vAlign w:val="center"/>
            <w:hideMark/>
          </w:tcPr>
          <w:p w:rsidR="00E251F3" w:rsidRPr="00E251F3" w:rsidRDefault="00E251F3" w:rsidP="00E251F3">
            <w:pPr>
              <w:rPr>
                <w:rFonts w:asciiTheme="majorBidi" w:hAnsiTheme="majorBidi" w:cstheme="majorBidi"/>
                <w:b/>
                <w:bCs/>
                <w:sz w:val="18"/>
                <w:szCs w:val="18"/>
              </w:rPr>
            </w:pPr>
          </w:p>
        </w:tc>
        <w:tc>
          <w:tcPr>
            <w:tcW w:w="1530" w:type="dxa"/>
            <w:tcBorders>
              <w:top w:val="nil"/>
              <w:left w:val="single" w:sz="4" w:space="0" w:color="auto"/>
              <w:bottom w:val="single" w:sz="4" w:space="0" w:color="auto"/>
              <w:right w:val="single" w:sz="8" w:space="0" w:color="auto"/>
            </w:tcBorders>
            <w:shd w:val="clear" w:color="000000" w:fill="CCFFFF"/>
            <w:hideMark/>
          </w:tcPr>
          <w:p w:rsidR="00E251F3" w:rsidRPr="00E251F3" w:rsidRDefault="00E251F3" w:rsidP="00E251F3">
            <w:pPr>
              <w:rPr>
                <w:rFonts w:asciiTheme="majorBidi" w:hAnsiTheme="majorBidi" w:cstheme="majorBidi"/>
                <w:b/>
                <w:bCs/>
                <w:sz w:val="18"/>
                <w:szCs w:val="18"/>
              </w:rPr>
            </w:pPr>
            <w:r w:rsidRPr="00E251F3">
              <w:rPr>
                <w:rFonts w:asciiTheme="majorBidi" w:hAnsiTheme="majorBidi" w:cstheme="majorBidi"/>
                <w:b/>
                <w:bCs/>
                <w:sz w:val="18"/>
                <w:szCs w:val="18"/>
              </w:rPr>
              <w:t xml:space="preserve"> Clerical </w:t>
            </w:r>
            <w:r w:rsidR="00682F2C" w:rsidRPr="00682F2C">
              <w:rPr>
                <w:rFonts w:asciiTheme="majorBidi" w:hAnsiTheme="majorBidi" w:cstheme="majorBidi"/>
                <w:b/>
                <w:bCs/>
                <w:sz w:val="18"/>
                <w:szCs w:val="18"/>
              </w:rPr>
              <w:t xml:space="preserve"> (3)</w:t>
            </w:r>
          </w:p>
        </w:tc>
        <w:tc>
          <w:tcPr>
            <w:tcW w:w="3420" w:type="dxa"/>
            <w:tcBorders>
              <w:top w:val="nil"/>
              <w:left w:val="single" w:sz="8" w:space="0" w:color="auto"/>
              <w:bottom w:val="single" w:sz="4" w:space="0" w:color="auto"/>
              <w:right w:val="single" w:sz="4" w:space="0" w:color="auto"/>
            </w:tcBorders>
            <w:shd w:val="clear" w:color="auto" w:fill="auto"/>
            <w:vAlign w:val="center"/>
            <w:hideMark/>
          </w:tcPr>
          <w:p w:rsidR="00E251F3" w:rsidRPr="00E251F3" w:rsidRDefault="00E251F3" w:rsidP="00E251F3">
            <w:pPr>
              <w:jc w:val="center"/>
              <w:rPr>
                <w:rFonts w:asciiTheme="majorBidi" w:hAnsiTheme="majorBidi" w:cstheme="majorBidi"/>
                <w:color w:val="000000"/>
                <w:sz w:val="18"/>
                <w:szCs w:val="18"/>
              </w:rPr>
            </w:pPr>
            <w:r w:rsidRPr="00E251F3">
              <w:rPr>
                <w:rFonts w:asciiTheme="majorBidi" w:hAnsiTheme="majorBidi" w:cstheme="majorBidi"/>
                <w:color w:val="000000"/>
                <w:sz w:val="18"/>
                <w:szCs w:val="18"/>
              </w:rPr>
              <w:t>N/A</w:t>
            </w:r>
          </w:p>
        </w:tc>
        <w:tc>
          <w:tcPr>
            <w:tcW w:w="1170" w:type="dxa"/>
            <w:tcBorders>
              <w:top w:val="nil"/>
              <w:left w:val="nil"/>
              <w:bottom w:val="single" w:sz="4" w:space="0" w:color="auto"/>
              <w:right w:val="single" w:sz="4" w:space="0" w:color="auto"/>
            </w:tcBorders>
            <w:shd w:val="clear" w:color="auto" w:fill="auto"/>
            <w:noWrap/>
            <w:hideMark/>
          </w:tcPr>
          <w:p w:rsidR="00E251F3" w:rsidRPr="00E251F3" w:rsidRDefault="00776AC3" w:rsidP="00E251F3">
            <w:pPr>
              <w:jc w:val="right"/>
              <w:rPr>
                <w:rFonts w:asciiTheme="majorBidi" w:hAnsiTheme="majorBidi" w:cstheme="majorBidi"/>
                <w:color w:val="000000"/>
                <w:sz w:val="18"/>
                <w:szCs w:val="18"/>
              </w:rPr>
            </w:pPr>
            <w:r>
              <w:rPr>
                <w:rFonts w:asciiTheme="majorBidi" w:hAnsiTheme="majorBidi" w:cstheme="majorBidi"/>
                <w:color w:val="000000"/>
                <w:sz w:val="18"/>
                <w:szCs w:val="18"/>
              </w:rPr>
              <w:t>0.4829</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0.17</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$17.23</w:t>
            </w:r>
          </w:p>
        </w:tc>
        <w:tc>
          <w:tcPr>
            <w:tcW w:w="1880" w:type="dxa"/>
            <w:tcBorders>
              <w:top w:val="nil"/>
              <w:left w:val="single" w:sz="4" w:space="0" w:color="auto"/>
              <w:bottom w:val="single" w:sz="4" w:space="0" w:color="auto"/>
              <w:right w:val="single" w:sz="8" w:space="0" w:color="auto"/>
            </w:tcBorders>
            <w:shd w:val="clear" w:color="auto" w:fill="auto"/>
            <w:noWrap/>
            <w:hideMark/>
          </w:tcPr>
          <w:p w:rsidR="00E251F3" w:rsidRPr="00E251F3" w:rsidRDefault="00E251F3" w:rsidP="00776AC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$2</w:t>
            </w:r>
            <w:r w:rsidR="00776AC3">
              <w:rPr>
                <w:rFonts w:asciiTheme="majorBidi" w:hAnsiTheme="majorBidi" w:cstheme="majorBidi"/>
                <w:color w:val="000000"/>
                <w:sz w:val="18"/>
                <w:szCs w:val="18"/>
              </w:rPr>
              <w:t>8.48</w:t>
            </w:r>
          </w:p>
        </w:tc>
      </w:tr>
      <w:tr w:rsidR="0053376A" w:rsidRPr="00E251F3" w:rsidTr="001811F2">
        <w:trPr>
          <w:gridBefore w:val="1"/>
          <w:gridAfter w:val="1"/>
          <w:wBefore w:w="10" w:type="dxa"/>
          <w:wAfter w:w="100" w:type="dxa"/>
          <w:trHeight w:val="458"/>
        </w:trPr>
        <w:tc>
          <w:tcPr>
            <w:tcW w:w="980" w:type="dxa"/>
            <w:vMerge/>
            <w:tcBorders>
              <w:top w:val="nil"/>
              <w:left w:val="single" w:sz="8" w:space="0" w:color="auto"/>
              <w:bottom w:val="single" w:sz="4" w:space="0" w:color="000000"/>
              <w:right w:val="single" w:sz="4" w:space="0" w:color="auto"/>
            </w:tcBorders>
            <w:vAlign w:val="center"/>
            <w:hideMark/>
          </w:tcPr>
          <w:p w:rsidR="00E251F3" w:rsidRPr="00E251F3" w:rsidRDefault="00E251F3" w:rsidP="00E251F3">
            <w:pPr>
              <w:rPr>
                <w:rFonts w:asciiTheme="majorBidi" w:hAnsiTheme="majorBidi" w:cstheme="majorBidi"/>
                <w:b/>
                <w:bCs/>
                <w:sz w:val="18"/>
                <w:szCs w:val="18"/>
              </w:rPr>
            </w:pPr>
          </w:p>
        </w:tc>
        <w:tc>
          <w:tcPr>
            <w:tcW w:w="1530" w:type="dxa"/>
            <w:tcBorders>
              <w:top w:val="nil"/>
              <w:left w:val="single" w:sz="4" w:space="0" w:color="auto"/>
              <w:bottom w:val="single" w:sz="4" w:space="0" w:color="auto"/>
              <w:right w:val="single" w:sz="8" w:space="0" w:color="auto"/>
            </w:tcBorders>
            <w:shd w:val="clear" w:color="000000" w:fill="CCFFFF"/>
            <w:hideMark/>
          </w:tcPr>
          <w:p w:rsidR="00E251F3" w:rsidRPr="00E251F3" w:rsidRDefault="00E251F3" w:rsidP="00E251F3">
            <w:pPr>
              <w:rPr>
                <w:rFonts w:asciiTheme="majorBidi" w:hAnsiTheme="majorBidi" w:cstheme="majorBidi"/>
                <w:b/>
                <w:bCs/>
                <w:sz w:val="18"/>
                <w:szCs w:val="18"/>
              </w:rPr>
            </w:pPr>
            <w:r w:rsidRPr="00E251F3">
              <w:rPr>
                <w:rFonts w:asciiTheme="majorBidi" w:hAnsiTheme="majorBidi" w:cstheme="majorBidi"/>
                <w:b/>
                <w:bCs/>
                <w:sz w:val="18"/>
                <w:szCs w:val="18"/>
              </w:rPr>
              <w:t xml:space="preserve"> Legal </w:t>
            </w:r>
          </w:p>
        </w:tc>
        <w:tc>
          <w:tcPr>
            <w:tcW w:w="3420" w:type="dxa"/>
            <w:tcBorders>
              <w:top w:val="nil"/>
              <w:left w:val="single" w:sz="8" w:space="0" w:color="auto"/>
              <w:bottom w:val="single" w:sz="4" w:space="0" w:color="auto"/>
              <w:right w:val="single" w:sz="4" w:space="0" w:color="auto"/>
            </w:tcBorders>
            <w:shd w:val="clear" w:color="auto" w:fill="auto"/>
            <w:hideMark/>
          </w:tcPr>
          <w:p w:rsidR="00E251F3" w:rsidRPr="00E251F3" w:rsidRDefault="00E251F3" w:rsidP="00E251F3">
            <w:pPr>
              <w:rPr>
                <w:rFonts w:asciiTheme="majorBidi" w:hAnsiTheme="majorBidi" w:cstheme="majorBidi"/>
                <w:color w:val="000000"/>
                <w:sz w:val="18"/>
                <w:szCs w:val="18"/>
              </w:rPr>
            </w:pPr>
            <w:r w:rsidRPr="00E251F3">
              <w:rPr>
                <w:rFonts w:asciiTheme="majorBidi" w:hAnsiTheme="majorBidi" w:cstheme="majorBidi"/>
                <w:color w:val="000000"/>
                <w:sz w:val="18"/>
                <w:szCs w:val="18"/>
              </w:rPr>
              <w:t>NAICS 541100 (Legal Services); SOC 23-1011  (Lawyer)</w:t>
            </w:r>
          </w:p>
        </w:tc>
        <w:tc>
          <w:tcPr>
            <w:tcW w:w="1170" w:type="dxa"/>
            <w:tcBorders>
              <w:top w:val="nil"/>
              <w:left w:val="nil"/>
              <w:bottom w:val="single" w:sz="4" w:space="0" w:color="auto"/>
              <w:right w:val="single" w:sz="4" w:space="0" w:color="auto"/>
            </w:tcBorders>
            <w:shd w:val="clear" w:color="auto" w:fill="auto"/>
            <w:noWrap/>
            <w:hideMark/>
          </w:tcPr>
          <w:p w:rsidR="00E251F3" w:rsidRPr="00E251F3" w:rsidRDefault="00776AC3" w:rsidP="00E251F3">
            <w:pPr>
              <w:jc w:val="right"/>
              <w:rPr>
                <w:rFonts w:asciiTheme="majorBidi" w:hAnsiTheme="majorBidi" w:cstheme="majorBidi"/>
                <w:color w:val="000000"/>
                <w:sz w:val="18"/>
                <w:szCs w:val="18"/>
              </w:rPr>
            </w:pPr>
            <w:r>
              <w:rPr>
                <w:rFonts w:asciiTheme="majorBidi" w:hAnsiTheme="majorBidi" w:cstheme="majorBidi"/>
                <w:color w:val="000000"/>
                <w:sz w:val="18"/>
                <w:szCs w:val="18"/>
              </w:rPr>
              <w:t>0.4539</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0.17</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$66.88</w:t>
            </w:r>
          </w:p>
        </w:tc>
        <w:tc>
          <w:tcPr>
            <w:tcW w:w="1880" w:type="dxa"/>
            <w:tcBorders>
              <w:top w:val="nil"/>
              <w:left w:val="single" w:sz="4" w:space="0" w:color="auto"/>
              <w:bottom w:val="single" w:sz="4" w:space="0" w:color="auto"/>
              <w:right w:val="single" w:sz="8" w:space="0" w:color="auto"/>
            </w:tcBorders>
            <w:shd w:val="clear" w:color="auto" w:fill="auto"/>
            <w:noWrap/>
            <w:hideMark/>
          </w:tcPr>
          <w:p w:rsidR="00E251F3" w:rsidRPr="00E251F3" w:rsidRDefault="00E251F3" w:rsidP="00776AC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$1</w:t>
            </w:r>
            <w:r w:rsidR="00776AC3">
              <w:rPr>
                <w:rFonts w:asciiTheme="majorBidi" w:hAnsiTheme="majorBidi" w:cstheme="majorBidi"/>
                <w:color w:val="000000"/>
                <w:sz w:val="18"/>
                <w:szCs w:val="18"/>
              </w:rPr>
              <w:t>08.61</w:t>
            </w:r>
          </w:p>
        </w:tc>
      </w:tr>
      <w:tr w:rsidR="0053376A" w:rsidRPr="00E251F3" w:rsidTr="001811F2">
        <w:trPr>
          <w:gridBefore w:val="1"/>
          <w:gridAfter w:val="1"/>
          <w:wBefore w:w="10" w:type="dxa"/>
          <w:wAfter w:w="100" w:type="dxa"/>
          <w:trHeight w:val="530"/>
        </w:trPr>
        <w:tc>
          <w:tcPr>
            <w:tcW w:w="980" w:type="dxa"/>
            <w:vMerge w:val="restart"/>
            <w:tcBorders>
              <w:top w:val="nil"/>
              <w:left w:val="single" w:sz="8" w:space="0" w:color="auto"/>
              <w:bottom w:val="nil"/>
              <w:right w:val="single" w:sz="4" w:space="0" w:color="auto"/>
            </w:tcBorders>
            <w:shd w:val="clear" w:color="000000" w:fill="CCFFFF"/>
            <w:vAlign w:val="center"/>
            <w:hideMark/>
          </w:tcPr>
          <w:p w:rsidR="00E251F3" w:rsidRPr="00E251F3" w:rsidRDefault="00E251F3" w:rsidP="0053376A">
            <w:pPr>
              <w:jc w:val="center"/>
              <w:rPr>
                <w:rFonts w:asciiTheme="majorBidi" w:hAnsiTheme="majorBidi" w:cstheme="majorBidi"/>
                <w:b/>
                <w:bCs/>
                <w:sz w:val="18"/>
                <w:szCs w:val="18"/>
              </w:rPr>
            </w:pPr>
            <w:r w:rsidRPr="00E251F3">
              <w:rPr>
                <w:rFonts w:asciiTheme="majorBidi" w:hAnsiTheme="majorBidi" w:cstheme="majorBidi"/>
                <w:b/>
                <w:bCs/>
                <w:sz w:val="18"/>
                <w:szCs w:val="18"/>
              </w:rPr>
              <w:t>W</w:t>
            </w:r>
          </w:p>
        </w:tc>
        <w:tc>
          <w:tcPr>
            <w:tcW w:w="1530" w:type="dxa"/>
            <w:tcBorders>
              <w:top w:val="nil"/>
              <w:left w:val="single" w:sz="4" w:space="0" w:color="auto"/>
              <w:bottom w:val="single" w:sz="4" w:space="0" w:color="auto"/>
              <w:right w:val="single" w:sz="8" w:space="0" w:color="auto"/>
            </w:tcBorders>
            <w:shd w:val="clear" w:color="000000" w:fill="CCFFFF"/>
            <w:hideMark/>
          </w:tcPr>
          <w:p w:rsidR="00E251F3" w:rsidRPr="00E251F3" w:rsidRDefault="00E251F3" w:rsidP="00E251F3">
            <w:pPr>
              <w:rPr>
                <w:rFonts w:asciiTheme="majorBidi" w:hAnsiTheme="majorBidi" w:cstheme="majorBidi"/>
                <w:b/>
                <w:bCs/>
                <w:sz w:val="18"/>
                <w:szCs w:val="18"/>
              </w:rPr>
            </w:pPr>
            <w:r w:rsidRPr="00E251F3">
              <w:rPr>
                <w:rFonts w:asciiTheme="majorBidi" w:hAnsiTheme="majorBidi" w:cstheme="majorBidi"/>
                <w:b/>
                <w:bCs/>
                <w:sz w:val="18"/>
                <w:szCs w:val="18"/>
              </w:rPr>
              <w:t>Middle Manager</w:t>
            </w:r>
          </w:p>
        </w:tc>
        <w:tc>
          <w:tcPr>
            <w:tcW w:w="3420" w:type="dxa"/>
            <w:tcBorders>
              <w:top w:val="nil"/>
              <w:left w:val="single" w:sz="8" w:space="0" w:color="auto"/>
              <w:bottom w:val="single" w:sz="4" w:space="0" w:color="auto"/>
              <w:right w:val="single" w:sz="4" w:space="0" w:color="auto"/>
            </w:tcBorders>
            <w:shd w:val="clear" w:color="auto" w:fill="auto"/>
            <w:hideMark/>
          </w:tcPr>
          <w:p w:rsidR="00682F2C" w:rsidRPr="00E251F3" w:rsidRDefault="00E251F3" w:rsidP="00682F2C">
            <w:pPr>
              <w:rPr>
                <w:rFonts w:asciiTheme="majorBidi" w:hAnsiTheme="majorBidi" w:cstheme="majorBidi"/>
                <w:color w:val="000000"/>
                <w:sz w:val="18"/>
                <w:szCs w:val="18"/>
              </w:rPr>
            </w:pPr>
            <w:r w:rsidRPr="00E251F3">
              <w:rPr>
                <w:rFonts w:asciiTheme="majorBidi" w:hAnsiTheme="majorBidi" w:cstheme="majorBidi"/>
                <w:color w:val="000000"/>
                <w:sz w:val="18"/>
                <w:szCs w:val="18"/>
              </w:rPr>
              <w:t xml:space="preserve">NAICS 211 (Oil and Gas Extraction); SOC </w:t>
            </w:r>
            <w:r w:rsidR="00682F2C" w:rsidRPr="00682F2C">
              <w:rPr>
                <w:rFonts w:asciiTheme="majorBidi" w:hAnsiTheme="majorBidi" w:cstheme="majorBidi"/>
                <w:color w:val="000000"/>
                <w:sz w:val="18"/>
                <w:szCs w:val="18"/>
              </w:rPr>
              <w:t>11-3051 (Industrial Production Managers)</w:t>
            </w:r>
          </w:p>
        </w:tc>
        <w:tc>
          <w:tcPr>
            <w:tcW w:w="1170" w:type="dxa"/>
            <w:tcBorders>
              <w:top w:val="nil"/>
              <w:left w:val="nil"/>
              <w:bottom w:val="single" w:sz="4" w:space="0" w:color="auto"/>
              <w:right w:val="single" w:sz="4" w:space="0" w:color="auto"/>
            </w:tcBorders>
            <w:shd w:val="clear" w:color="auto" w:fill="auto"/>
            <w:noWrap/>
            <w:hideMark/>
          </w:tcPr>
          <w:p w:rsidR="00E251F3" w:rsidRPr="00E251F3" w:rsidRDefault="00776AC3" w:rsidP="00E251F3">
            <w:pPr>
              <w:jc w:val="right"/>
              <w:rPr>
                <w:rFonts w:asciiTheme="majorBidi" w:hAnsiTheme="majorBidi" w:cstheme="majorBidi"/>
                <w:color w:val="000000"/>
                <w:sz w:val="18"/>
                <w:szCs w:val="18"/>
              </w:rPr>
            </w:pPr>
            <w:r>
              <w:rPr>
                <w:rFonts w:asciiTheme="majorBidi" w:hAnsiTheme="majorBidi" w:cstheme="majorBidi"/>
                <w:color w:val="000000"/>
                <w:sz w:val="18"/>
                <w:szCs w:val="18"/>
              </w:rPr>
              <w:t>0.4539</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0.17</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sz w:val="18"/>
                <w:szCs w:val="18"/>
              </w:rPr>
            </w:pPr>
            <w:r w:rsidRPr="00E251F3">
              <w:rPr>
                <w:rFonts w:asciiTheme="majorBidi" w:hAnsiTheme="majorBidi" w:cstheme="majorBidi"/>
                <w:sz w:val="18"/>
                <w:szCs w:val="18"/>
              </w:rPr>
              <w:t>$73.19</w:t>
            </w:r>
          </w:p>
        </w:tc>
        <w:tc>
          <w:tcPr>
            <w:tcW w:w="1880" w:type="dxa"/>
            <w:tcBorders>
              <w:top w:val="nil"/>
              <w:left w:val="single" w:sz="4" w:space="0" w:color="auto"/>
              <w:bottom w:val="single" w:sz="4" w:space="0" w:color="auto"/>
              <w:right w:val="single" w:sz="8" w:space="0" w:color="auto"/>
            </w:tcBorders>
            <w:shd w:val="clear" w:color="auto" w:fill="auto"/>
            <w:noWrap/>
            <w:hideMark/>
          </w:tcPr>
          <w:p w:rsidR="00E251F3" w:rsidRPr="00E251F3" w:rsidRDefault="00E251F3" w:rsidP="00776AC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$1</w:t>
            </w:r>
            <w:r w:rsidR="00776AC3">
              <w:rPr>
                <w:rFonts w:asciiTheme="majorBidi" w:hAnsiTheme="majorBidi" w:cstheme="majorBidi"/>
                <w:color w:val="000000"/>
                <w:sz w:val="18"/>
                <w:szCs w:val="18"/>
              </w:rPr>
              <w:t>18.86</w:t>
            </w:r>
          </w:p>
        </w:tc>
      </w:tr>
      <w:tr w:rsidR="0053376A" w:rsidRPr="00E251F3" w:rsidTr="001811F2">
        <w:trPr>
          <w:gridBefore w:val="1"/>
          <w:gridAfter w:val="1"/>
          <w:wBefore w:w="10" w:type="dxa"/>
          <w:wAfter w:w="100" w:type="dxa"/>
          <w:trHeight w:val="512"/>
        </w:trPr>
        <w:tc>
          <w:tcPr>
            <w:tcW w:w="980" w:type="dxa"/>
            <w:vMerge/>
            <w:tcBorders>
              <w:top w:val="nil"/>
              <w:left w:val="single" w:sz="8" w:space="0" w:color="auto"/>
              <w:bottom w:val="nil"/>
              <w:right w:val="single" w:sz="4" w:space="0" w:color="auto"/>
            </w:tcBorders>
            <w:vAlign w:val="center"/>
            <w:hideMark/>
          </w:tcPr>
          <w:p w:rsidR="00E251F3" w:rsidRPr="00E251F3" w:rsidRDefault="00E251F3" w:rsidP="00E251F3">
            <w:pPr>
              <w:rPr>
                <w:rFonts w:asciiTheme="majorBidi" w:hAnsiTheme="majorBidi" w:cstheme="majorBidi"/>
                <w:b/>
                <w:bCs/>
                <w:sz w:val="18"/>
                <w:szCs w:val="18"/>
              </w:rPr>
            </w:pPr>
          </w:p>
        </w:tc>
        <w:tc>
          <w:tcPr>
            <w:tcW w:w="1530" w:type="dxa"/>
            <w:tcBorders>
              <w:top w:val="nil"/>
              <w:left w:val="single" w:sz="4" w:space="0" w:color="auto"/>
              <w:bottom w:val="single" w:sz="4" w:space="0" w:color="auto"/>
              <w:right w:val="single" w:sz="8" w:space="0" w:color="auto"/>
            </w:tcBorders>
            <w:shd w:val="clear" w:color="000000" w:fill="CCFFFF"/>
            <w:hideMark/>
          </w:tcPr>
          <w:p w:rsidR="00E251F3" w:rsidRPr="00E251F3" w:rsidRDefault="00E251F3" w:rsidP="00E251F3">
            <w:pPr>
              <w:rPr>
                <w:rFonts w:asciiTheme="majorBidi" w:hAnsiTheme="majorBidi" w:cstheme="majorBidi"/>
                <w:b/>
                <w:bCs/>
                <w:sz w:val="18"/>
                <w:szCs w:val="18"/>
              </w:rPr>
            </w:pPr>
            <w:r w:rsidRPr="00E251F3">
              <w:rPr>
                <w:rFonts w:asciiTheme="majorBidi" w:hAnsiTheme="majorBidi" w:cstheme="majorBidi"/>
                <w:b/>
                <w:bCs/>
                <w:sz w:val="18"/>
                <w:szCs w:val="18"/>
              </w:rPr>
              <w:t>Senior Manager</w:t>
            </w:r>
          </w:p>
        </w:tc>
        <w:tc>
          <w:tcPr>
            <w:tcW w:w="3420" w:type="dxa"/>
            <w:tcBorders>
              <w:top w:val="nil"/>
              <w:left w:val="single" w:sz="8" w:space="0" w:color="auto"/>
              <w:bottom w:val="single" w:sz="4" w:space="0" w:color="auto"/>
              <w:right w:val="single" w:sz="4" w:space="0" w:color="auto"/>
            </w:tcBorders>
            <w:shd w:val="clear" w:color="auto" w:fill="auto"/>
            <w:hideMark/>
          </w:tcPr>
          <w:p w:rsidR="00E251F3" w:rsidRPr="00E251F3" w:rsidRDefault="00E251F3" w:rsidP="00E251F3">
            <w:pPr>
              <w:rPr>
                <w:rFonts w:asciiTheme="majorBidi" w:hAnsiTheme="majorBidi" w:cstheme="majorBidi"/>
                <w:color w:val="000000"/>
                <w:sz w:val="18"/>
                <w:szCs w:val="18"/>
              </w:rPr>
            </w:pPr>
            <w:r w:rsidRPr="00E251F3">
              <w:rPr>
                <w:rFonts w:asciiTheme="majorBidi" w:hAnsiTheme="majorBidi" w:cstheme="majorBidi"/>
                <w:color w:val="000000"/>
                <w:sz w:val="18"/>
                <w:szCs w:val="18"/>
              </w:rPr>
              <w:t xml:space="preserve">NAICS 211 (Oil and Gas Extraction); SOC 11-1021 (Gen &amp; Op </w:t>
            </w:r>
            <w:proofErr w:type="spellStart"/>
            <w:r w:rsidRPr="00E251F3">
              <w:rPr>
                <w:rFonts w:asciiTheme="majorBidi" w:hAnsiTheme="majorBidi" w:cstheme="majorBidi"/>
                <w:color w:val="000000"/>
                <w:sz w:val="18"/>
                <w:szCs w:val="18"/>
              </w:rPr>
              <w:t>Mngr</w:t>
            </w:r>
            <w:proofErr w:type="spellEnd"/>
            <w:r w:rsidRPr="00E251F3">
              <w:rPr>
                <w:rFonts w:asciiTheme="majorBidi" w:hAnsiTheme="majorBidi" w:cstheme="majorBidi"/>
                <w:color w:val="000000"/>
                <w:sz w:val="18"/>
                <w:szCs w:val="18"/>
              </w:rPr>
              <w:t>)</w:t>
            </w:r>
          </w:p>
        </w:tc>
        <w:tc>
          <w:tcPr>
            <w:tcW w:w="1170" w:type="dxa"/>
            <w:tcBorders>
              <w:top w:val="nil"/>
              <w:left w:val="nil"/>
              <w:bottom w:val="single" w:sz="4" w:space="0" w:color="auto"/>
              <w:right w:val="single" w:sz="4" w:space="0" w:color="auto"/>
            </w:tcBorders>
            <w:shd w:val="clear" w:color="auto" w:fill="auto"/>
            <w:noWrap/>
            <w:hideMark/>
          </w:tcPr>
          <w:p w:rsidR="00E251F3" w:rsidRPr="00E251F3" w:rsidRDefault="00776AC3" w:rsidP="00E251F3">
            <w:pPr>
              <w:jc w:val="right"/>
              <w:rPr>
                <w:rFonts w:asciiTheme="majorBidi" w:hAnsiTheme="majorBidi" w:cstheme="majorBidi"/>
                <w:color w:val="000000"/>
                <w:sz w:val="18"/>
                <w:szCs w:val="18"/>
              </w:rPr>
            </w:pPr>
            <w:r>
              <w:rPr>
                <w:rFonts w:asciiTheme="majorBidi" w:hAnsiTheme="majorBidi" w:cstheme="majorBidi"/>
                <w:color w:val="000000"/>
                <w:sz w:val="18"/>
                <w:szCs w:val="18"/>
              </w:rPr>
              <w:t>0.4829</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0.17</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sz w:val="18"/>
                <w:szCs w:val="18"/>
              </w:rPr>
            </w:pPr>
            <w:r w:rsidRPr="00E251F3">
              <w:rPr>
                <w:rFonts w:asciiTheme="majorBidi" w:hAnsiTheme="majorBidi" w:cstheme="majorBidi"/>
                <w:sz w:val="18"/>
                <w:szCs w:val="18"/>
              </w:rPr>
              <w:t>$78.55</w:t>
            </w:r>
          </w:p>
        </w:tc>
        <w:tc>
          <w:tcPr>
            <w:tcW w:w="1880" w:type="dxa"/>
            <w:tcBorders>
              <w:top w:val="nil"/>
              <w:left w:val="single" w:sz="4" w:space="0" w:color="auto"/>
              <w:bottom w:val="single" w:sz="4" w:space="0" w:color="auto"/>
              <w:right w:val="single" w:sz="8" w:space="0" w:color="auto"/>
            </w:tcBorders>
            <w:shd w:val="clear" w:color="auto" w:fill="auto"/>
            <w:noWrap/>
            <w:hideMark/>
          </w:tcPr>
          <w:p w:rsidR="00E251F3" w:rsidRPr="00E251F3" w:rsidRDefault="00E251F3" w:rsidP="00776AC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$1</w:t>
            </w:r>
            <w:r w:rsidR="00776AC3">
              <w:rPr>
                <w:rFonts w:asciiTheme="majorBidi" w:hAnsiTheme="majorBidi" w:cstheme="majorBidi"/>
                <w:color w:val="000000"/>
                <w:sz w:val="18"/>
                <w:szCs w:val="18"/>
              </w:rPr>
              <w:t>29.83</w:t>
            </w:r>
          </w:p>
        </w:tc>
      </w:tr>
      <w:tr w:rsidR="0053376A" w:rsidRPr="00E251F3" w:rsidTr="001811F2">
        <w:trPr>
          <w:gridBefore w:val="1"/>
          <w:gridAfter w:val="1"/>
          <w:wBefore w:w="10" w:type="dxa"/>
          <w:wAfter w:w="100" w:type="dxa"/>
          <w:trHeight w:val="440"/>
        </w:trPr>
        <w:tc>
          <w:tcPr>
            <w:tcW w:w="980" w:type="dxa"/>
            <w:vMerge/>
            <w:tcBorders>
              <w:top w:val="nil"/>
              <w:left w:val="single" w:sz="8" w:space="0" w:color="auto"/>
              <w:bottom w:val="nil"/>
              <w:right w:val="single" w:sz="4" w:space="0" w:color="auto"/>
            </w:tcBorders>
            <w:vAlign w:val="center"/>
            <w:hideMark/>
          </w:tcPr>
          <w:p w:rsidR="00E251F3" w:rsidRPr="00E251F3" w:rsidRDefault="00E251F3" w:rsidP="00E251F3">
            <w:pPr>
              <w:rPr>
                <w:rFonts w:asciiTheme="majorBidi" w:hAnsiTheme="majorBidi" w:cstheme="majorBidi"/>
                <w:b/>
                <w:bCs/>
                <w:sz w:val="18"/>
                <w:szCs w:val="18"/>
              </w:rPr>
            </w:pPr>
          </w:p>
        </w:tc>
        <w:tc>
          <w:tcPr>
            <w:tcW w:w="1530" w:type="dxa"/>
            <w:tcBorders>
              <w:top w:val="single" w:sz="4" w:space="0" w:color="auto"/>
              <w:left w:val="nil"/>
              <w:bottom w:val="nil"/>
              <w:right w:val="single" w:sz="8" w:space="0" w:color="auto"/>
            </w:tcBorders>
            <w:shd w:val="clear" w:color="000000" w:fill="CCFFFF"/>
            <w:hideMark/>
          </w:tcPr>
          <w:p w:rsidR="00E251F3" w:rsidRPr="00E251F3" w:rsidRDefault="00E251F3" w:rsidP="00E251F3">
            <w:pPr>
              <w:rPr>
                <w:rFonts w:asciiTheme="majorBidi" w:hAnsiTheme="majorBidi" w:cstheme="majorBidi"/>
                <w:b/>
                <w:bCs/>
                <w:sz w:val="18"/>
                <w:szCs w:val="18"/>
              </w:rPr>
            </w:pPr>
            <w:r w:rsidRPr="00E251F3">
              <w:rPr>
                <w:rFonts w:asciiTheme="majorBidi" w:hAnsiTheme="majorBidi" w:cstheme="majorBidi"/>
                <w:b/>
                <w:bCs/>
                <w:sz w:val="18"/>
                <w:szCs w:val="18"/>
              </w:rPr>
              <w:t>Engineers</w:t>
            </w:r>
          </w:p>
        </w:tc>
        <w:tc>
          <w:tcPr>
            <w:tcW w:w="3420" w:type="dxa"/>
            <w:tcBorders>
              <w:top w:val="nil"/>
              <w:left w:val="nil"/>
              <w:bottom w:val="single" w:sz="4" w:space="0" w:color="auto"/>
              <w:right w:val="single" w:sz="4" w:space="0" w:color="auto"/>
            </w:tcBorders>
            <w:shd w:val="clear" w:color="auto" w:fill="auto"/>
            <w:hideMark/>
          </w:tcPr>
          <w:p w:rsidR="00E251F3" w:rsidRPr="00E251F3" w:rsidRDefault="00E251F3" w:rsidP="00E251F3">
            <w:pPr>
              <w:rPr>
                <w:rFonts w:asciiTheme="majorBidi" w:hAnsiTheme="majorBidi" w:cstheme="majorBidi"/>
                <w:color w:val="000000"/>
                <w:sz w:val="18"/>
                <w:szCs w:val="18"/>
              </w:rPr>
            </w:pPr>
            <w:r w:rsidRPr="00E251F3">
              <w:rPr>
                <w:rFonts w:asciiTheme="majorBidi" w:hAnsiTheme="majorBidi" w:cstheme="majorBidi"/>
                <w:color w:val="000000"/>
                <w:sz w:val="18"/>
                <w:szCs w:val="18"/>
              </w:rPr>
              <w:t>NAICS 211 (Oil and Gas Extraction); SOC 17-2112 (Ind. Engineers)</w:t>
            </w:r>
          </w:p>
        </w:tc>
        <w:tc>
          <w:tcPr>
            <w:tcW w:w="1170" w:type="dxa"/>
            <w:tcBorders>
              <w:top w:val="nil"/>
              <w:left w:val="nil"/>
              <w:bottom w:val="single" w:sz="4" w:space="0" w:color="auto"/>
              <w:right w:val="single" w:sz="4" w:space="0" w:color="auto"/>
            </w:tcBorders>
            <w:shd w:val="clear" w:color="auto" w:fill="auto"/>
            <w:noWrap/>
            <w:hideMark/>
          </w:tcPr>
          <w:p w:rsidR="00E251F3" w:rsidRPr="00E251F3" w:rsidRDefault="00776AC3" w:rsidP="00E251F3">
            <w:pPr>
              <w:jc w:val="right"/>
              <w:rPr>
                <w:rFonts w:asciiTheme="majorBidi" w:hAnsiTheme="majorBidi" w:cstheme="majorBidi"/>
                <w:color w:val="000000"/>
                <w:sz w:val="18"/>
                <w:szCs w:val="18"/>
              </w:rPr>
            </w:pPr>
            <w:r>
              <w:rPr>
                <w:rFonts w:asciiTheme="majorBidi" w:hAnsiTheme="majorBidi" w:cstheme="majorBidi"/>
                <w:color w:val="000000"/>
                <w:sz w:val="18"/>
                <w:szCs w:val="18"/>
              </w:rPr>
              <w:t>0.4489</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0.17</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sz w:val="18"/>
                <w:szCs w:val="18"/>
              </w:rPr>
            </w:pPr>
            <w:r w:rsidRPr="00E251F3">
              <w:rPr>
                <w:rFonts w:asciiTheme="majorBidi" w:hAnsiTheme="majorBidi" w:cstheme="majorBidi"/>
                <w:sz w:val="18"/>
                <w:szCs w:val="18"/>
              </w:rPr>
              <w:t>$61.26</w:t>
            </w:r>
          </w:p>
        </w:tc>
        <w:tc>
          <w:tcPr>
            <w:tcW w:w="1880" w:type="dxa"/>
            <w:tcBorders>
              <w:top w:val="nil"/>
              <w:left w:val="single" w:sz="4" w:space="0" w:color="auto"/>
              <w:bottom w:val="single" w:sz="4" w:space="0" w:color="auto"/>
              <w:right w:val="single" w:sz="8" w:space="0" w:color="auto"/>
            </w:tcBorders>
            <w:shd w:val="clear" w:color="auto" w:fill="auto"/>
            <w:noWrap/>
            <w:hideMark/>
          </w:tcPr>
          <w:p w:rsidR="00E251F3" w:rsidRPr="00E251F3" w:rsidRDefault="00E251F3" w:rsidP="00776AC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$9</w:t>
            </w:r>
            <w:r w:rsidR="00776AC3">
              <w:rPr>
                <w:rFonts w:asciiTheme="majorBidi" w:hAnsiTheme="majorBidi" w:cstheme="majorBidi"/>
                <w:color w:val="000000"/>
                <w:sz w:val="18"/>
                <w:szCs w:val="18"/>
              </w:rPr>
              <w:t>9.18</w:t>
            </w:r>
          </w:p>
        </w:tc>
      </w:tr>
      <w:tr w:rsidR="0053376A" w:rsidRPr="00E251F3" w:rsidTr="001811F2">
        <w:trPr>
          <w:gridBefore w:val="1"/>
          <w:gridAfter w:val="1"/>
          <w:wBefore w:w="10" w:type="dxa"/>
          <w:wAfter w:w="100" w:type="dxa"/>
          <w:trHeight w:val="629"/>
        </w:trPr>
        <w:tc>
          <w:tcPr>
            <w:tcW w:w="980" w:type="dxa"/>
            <w:vMerge/>
            <w:tcBorders>
              <w:top w:val="nil"/>
              <w:left w:val="single" w:sz="8" w:space="0" w:color="auto"/>
              <w:bottom w:val="nil"/>
              <w:right w:val="single" w:sz="4" w:space="0" w:color="auto"/>
            </w:tcBorders>
            <w:vAlign w:val="center"/>
            <w:hideMark/>
          </w:tcPr>
          <w:p w:rsidR="00E251F3" w:rsidRPr="00E251F3" w:rsidRDefault="00E251F3" w:rsidP="00E251F3">
            <w:pPr>
              <w:rPr>
                <w:rFonts w:asciiTheme="majorBidi" w:hAnsiTheme="majorBidi" w:cstheme="majorBidi"/>
                <w:b/>
                <w:bCs/>
                <w:sz w:val="18"/>
                <w:szCs w:val="18"/>
              </w:rPr>
            </w:pPr>
          </w:p>
        </w:tc>
        <w:tc>
          <w:tcPr>
            <w:tcW w:w="1530" w:type="dxa"/>
            <w:tcBorders>
              <w:top w:val="single" w:sz="4" w:space="0" w:color="auto"/>
              <w:left w:val="nil"/>
              <w:bottom w:val="nil"/>
              <w:right w:val="single" w:sz="8" w:space="0" w:color="auto"/>
            </w:tcBorders>
            <w:shd w:val="clear" w:color="000000" w:fill="CCFFFF"/>
            <w:hideMark/>
          </w:tcPr>
          <w:p w:rsidR="00E251F3" w:rsidRPr="00E251F3" w:rsidRDefault="00E251F3" w:rsidP="00E251F3">
            <w:pPr>
              <w:rPr>
                <w:rFonts w:asciiTheme="majorBidi" w:hAnsiTheme="majorBidi" w:cstheme="majorBidi"/>
                <w:b/>
                <w:bCs/>
                <w:sz w:val="18"/>
                <w:szCs w:val="18"/>
              </w:rPr>
            </w:pPr>
            <w:r w:rsidRPr="00E251F3">
              <w:rPr>
                <w:rFonts w:asciiTheme="majorBidi" w:hAnsiTheme="majorBidi" w:cstheme="majorBidi"/>
                <w:b/>
                <w:bCs/>
                <w:sz w:val="18"/>
                <w:szCs w:val="18"/>
              </w:rPr>
              <w:t>Technicians</w:t>
            </w:r>
          </w:p>
        </w:tc>
        <w:tc>
          <w:tcPr>
            <w:tcW w:w="3420" w:type="dxa"/>
            <w:tcBorders>
              <w:top w:val="nil"/>
              <w:left w:val="nil"/>
              <w:bottom w:val="single" w:sz="4" w:space="0" w:color="auto"/>
              <w:right w:val="single" w:sz="4" w:space="0" w:color="auto"/>
            </w:tcBorders>
            <w:shd w:val="clear" w:color="auto" w:fill="auto"/>
            <w:hideMark/>
          </w:tcPr>
          <w:p w:rsidR="00E251F3" w:rsidRPr="00E251F3" w:rsidRDefault="00E251F3" w:rsidP="00E251F3">
            <w:pPr>
              <w:rPr>
                <w:rFonts w:asciiTheme="majorBidi" w:hAnsiTheme="majorBidi" w:cstheme="majorBidi"/>
                <w:color w:val="000000"/>
                <w:sz w:val="18"/>
                <w:szCs w:val="18"/>
              </w:rPr>
            </w:pPr>
            <w:r w:rsidRPr="00E251F3">
              <w:rPr>
                <w:rFonts w:asciiTheme="majorBidi" w:hAnsiTheme="majorBidi" w:cstheme="majorBidi"/>
                <w:color w:val="000000"/>
                <w:sz w:val="18"/>
                <w:szCs w:val="18"/>
              </w:rPr>
              <w:t>NAICS 211 (Oil and Gas Extraction); SOC 17-3024 (Electro-Mechanical Technicians)</w:t>
            </w:r>
          </w:p>
        </w:tc>
        <w:tc>
          <w:tcPr>
            <w:tcW w:w="1170" w:type="dxa"/>
            <w:tcBorders>
              <w:top w:val="nil"/>
              <w:left w:val="nil"/>
              <w:bottom w:val="single" w:sz="4" w:space="0" w:color="auto"/>
              <w:right w:val="single" w:sz="4" w:space="0" w:color="auto"/>
            </w:tcBorders>
            <w:shd w:val="clear" w:color="auto" w:fill="auto"/>
            <w:noWrap/>
            <w:hideMark/>
          </w:tcPr>
          <w:p w:rsidR="00E251F3" w:rsidRPr="00E251F3" w:rsidRDefault="00776AC3" w:rsidP="00E251F3">
            <w:pPr>
              <w:jc w:val="right"/>
              <w:rPr>
                <w:rFonts w:asciiTheme="majorBidi" w:hAnsiTheme="majorBidi" w:cstheme="majorBidi"/>
                <w:color w:val="000000"/>
                <w:sz w:val="18"/>
                <w:szCs w:val="18"/>
              </w:rPr>
            </w:pPr>
            <w:r>
              <w:rPr>
                <w:rFonts w:asciiTheme="majorBidi" w:hAnsiTheme="majorBidi" w:cstheme="majorBidi"/>
                <w:color w:val="000000"/>
                <w:sz w:val="18"/>
                <w:szCs w:val="18"/>
              </w:rPr>
              <w:t>0.4489</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0.17</w:t>
            </w:r>
          </w:p>
        </w:tc>
        <w:tc>
          <w:tcPr>
            <w:tcW w:w="1350" w:type="dxa"/>
            <w:tcBorders>
              <w:top w:val="nil"/>
              <w:left w:val="nil"/>
              <w:bottom w:val="single" w:sz="4"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sz w:val="18"/>
                <w:szCs w:val="18"/>
              </w:rPr>
            </w:pPr>
            <w:r w:rsidRPr="00E251F3">
              <w:rPr>
                <w:rFonts w:asciiTheme="majorBidi" w:hAnsiTheme="majorBidi" w:cstheme="majorBidi"/>
                <w:sz w:val="18"/>
                <w:szCs w:val="18"/>
              </w:rPr>
              <w:t>$32.64</w:t>
            </w:r>
          </w:p>
        </w:tc>
        <w:tc>
          <w:tcPr>
            <w:tcW w:w="1880" w:type="dxa"/>
            <w:tcBorders>
              <w:top w:val="nil"/>
              <w:left w:val="single" w:sz="4" w:space="0" w:color="auto"/>
              <w:bottom w:val="single" w:sz="4" w:space="0" w:color="auto"/>
              <w:right w:val="single" w:sz="8" w:space="0" w:color="auto"/>
            </w:tcBorders>
            <w:shd w:val="clear" w:color="auto" w:fill="auto"/>
            <w:noWrap/>
            <w:hideMark/>
          </w:tcPr>
          <w:p w:rsidR="00E251F3" w:rsidRPr="00E251F3" w:rsidRDefault="00E251F3" w:rsidP="00776AC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$5</w:t>
            </w:r>
            <w:r w:rsidR="00776AC3">
              <w:rPr>
                <w:rFonts w:asciiTheme="majorBidi" w:hAnsiTheme="majorBidi" w:cstheme="majorBidi"/>
                <w:color w:val="000000"/>
                <w:sz w:val="18"/>
                <w:szCs w:val="18"/>
              </w:rPr>
              <w:t>2.84</w:t>
            </w:r>
          </w:p>
        </w:tc>
      </w:tr>
      <w:tr w:rsidR="0053376A" w:rsidRPr="00E251F3" w:rsidTr="001811F2">
        <w:trPr>
          <w:gridBefore w:val="1"/>
          <w:gridAfter w:val="1"/>
          <w:wBefore w:w="10" w:type="dxa"/>
          <w:wAfter w:w="100" w:type="dxa"/>
          <w:trHeight w:val="359"/>
        </w:trPr>
        <w:tc>
          <w:tcPr>
            <w:tcW w:w="980" w:type="dxa"/>
            <w:tcBorders>
              <w:top w:val="single" w:sz="4" w:space="0" w:color="auto"/>
              <w:left w:val="single" w:sz="8" w:space="0" w:color="auto"/>
              <w:bottom w:val="single" w:sz="8" w:space="0" w:color="auto"/>
              <w:right w:val="single" w:sz="4" w:space="0" w:color="auto"/>
            </w:tcBorders>
            <w:shd w:val="clear" w:color="000000" w:fill="CCFFFF"/>
            <w:hideMark/>
          </w:tcPr>
          <w:p w:rsidR="00E251F3" w:rsidRPr="00E251F3" w:rsidRDefault="00E251F3" w:rsidP="00E251F3">
            <w:pPr>
              <w:jc w:val="center"/>
              <w:rPr>
                <w:rFonts w:asciiTheme="majorBidi" w:hAnsiTheme="majorBidi" w:cstheme="majorBidi"/>
                <w:b/>
                <w:bCs/>
                <w:sz w:val="18"/>
                <w:szCs w:val="18"/>
              </w:rPr>
            </w:pPr>
            <w:r w:rsidRPr="00E251F3">
              <w:rPr>
                <w:rFonts w:asciiTheme="majorBidi" w:hAnsiTheme="majorBidi" w:cstheme="majorBidi"/>
                <w:b/>
                <w:bCs/>
                <w:sz w:val="18"/>
                <w:szCs w:val="18"/>
              </w:rPr>
              <w:t>RR / UU</w:t>
            </w:r>
          </w:p>
        </w:tc>
        <w:tc>
          <w:tcPr>
            <w:tcW w:w="1530" w:type="dxa"/>
            <w:tcBorders>
              <w:top w:val="single" w:sz="4" w:space="0" w:color="auto"/>
              <w:left w:val="nil"/>
              <w:bottom w:val="single" w:sz="8" w:space="0" w:color="auto"/>
              <w:right w:val="single" w:sz="8" w:space="0" w:color="auto"/>
            </w:tcBorders>
            <w:shd w:val="clear" w:color="000000" w:fill="CCFFFF"/>
            <w:hideMark/>
          </w:tcPr>
          <w:p w:rsidR="00E251F3" w:rsidRPr="00E251F3" w:rsidRDefault="00682F2C" w:rsidP="00E251F3">
            <w:pPr>
              <w:rPr>
                <w:rFonts w:asciiTheme="majorBidi" w:hAnsiTheme="majorBidi" w:cstheme="majorBidi"/>
                <w:b/>
                <w:bCs/>
                <w:sz w:val="18"/>
                <w:szCs w:val="18"/>
              </w:rPr>
            </w:pPr>
            <w:r w:rsidRPr="00682F2C">
              <w:rPr>
                <w:rFonts w:asciiTheme="majorBidi" w:hAnsiTheme="majorBidi" w:cstheme="majorBidi"/>
                <w:b/>
                <w:bCs/>
                <w:sz w:val="18"/>
                <w:szCs w:val="18"/>
              </w:rPr>
              <w:t>Geoscientists (7</w:t>
            </w:r>
            <w:r w:rsidR="00E251F3" w:rsidRPr="00E251F3">
              <w:rPr>
                <w:rFonts w:asciiTheme="majorBidi" w:hAnsiTheme="majorBidi" w:cstheme="majorBidi"/>
                <w:b/>
                <w:bCs/>
                <w:sz w:val="18"/>
                <w:szCs w:val="18"/>
              </w:rPr>
              <w:t>)</w:t>
            </w:r>
          </w:p>
        </w:tc>
        <w:tc>
          <w:tcPr>
            <w:tcW w:w="3420" w:type="dxa"/>
            <w:tcBorders>
              <w:top w:val="nil"/>
              <w:left w:val="single" w:sz="8" w:space="0" w:color="auto"/>
              <w:bottom w:val="single" w:sz="8" w:space="0" w:color="auto"/>
              <w:right w:val="single" w:sz="4" w:space="0" w:color="auto"/>
            </w:tcBorders>
            <w:shd w:val="clear" w:color="auto" w:fill="auto"/>
            <w:vAlign w:val="center"/>
            <w:hideMark/>
          </w:tcPr>
          <w:p w:rsidR="00E251F3" w:rsidRPr="00E251F3" w:rsidRDefault="00E251F3" w:rsidP="00E251F3">
            <w:pPr>
              <w:jc w:val="center"/>
              <w:rPr>
                <w:rFonts w:asciiTheme="majorBidi" w:hAnsiTheme="majorBidi" w:cstheme="majorBidi"/>
                <w:color w:val="000000"/>
                <w:sz w:val="18"/>
                <w:szCs w:val="18"/>
              </w:rPr>
            </w:pPr>
            <w:r w:rsidRPr="00E251F3">
              <w:rPr>
                <w:rFonts w:asciiTheme="majorBidi" w:hAnsiTheme="majorBidi" w:cstheme="majorBidi"/>
                <w:color w:val="000000"/>
                <w:sz w:val="18"/>
                <w:szCs w:val="18"/>
              </w:rPr>
              <w:t>N/A</w:t>
            </w:r>
          </w:p>
        </w:tc>
        <w:tc>
          <w:tcPr>
            <w:tcW w:w="1170" w:type="dxa"/>
            <w:tcBorders>
              <w:top w:val="single" w:sz="4" w:space="0" w:color="auto"/>
              <w:left w:val="nil"/>
              <w:bottom w:val="single" w:sz="8" w:space="0" w:color="auto"/>
              <w:right w:val="single" w:sz="4" w:space="0" w:color="auto"/>
            </w:tcBorders>
            <w:shd w:val="clear" w:color="auto" w:fill="auto"/>
            <w:noWrap/>
            <w:hideMark/>
          </w:tcPr>
          <w:p w:rsidR="00E251F3" w:rsidRPr="00E251F3" w:rsidRDefault="00E251F3" w:rsidP="00E251F3">
            <w:pPr>
              <w:jc w:val="center"/>
              <w:rPr>
                <w:rFonts w:asciiTheme="majorBidi" w:hAnsiTheme="majorBidi" w:cstheme="majorBidi"/>
                <w:color w:val="000000"/>
                <w:sz w:val="18"/>
                <w:szCs w:val="18"/>
              </w:rPr>
            </w:pPr>
            <w:r w:rsidRPr="00E251F3">
              <w:rPr>
                <w:rFonts w:asciiTheme="majorBidi" w:hAnsiTheme="majorBidi" w:cstheme="majorBidi"/>
                <w:color w:val="000000"/>
                <w:sz w:val="18"/>
                <w:szCs w:val="18"/>
              </w:rPr>
              <w:t>NA</w:t>
            </w:r>
          </w:p>
        </w:tc>
        <w:tc>
          <w:tcPr>
            <w:tcW w:w="1350" w:type="dxa"/>
            <w:tcBorders>
              <w:top w:val="single" w:sz="4" w:space="0" w:color="auto"/>
              <w:left w:val="nil"/>
              <w:bottom w:val="single" w:sz="8" w:space="0" w:color="auto"/>
              <w:right w:val="single" w:sz="4" w:space="0" w:color="auto"/>
            </w:tcBorders>
            <w:shd w:val="clear" w:color="auto" w:fill="auto"/>
            <w:noWrap/>
            <w:hideMark/>
          </w:tcPr>
          <w:p w:rsidR="00E251F3" w:rsidRPr="00E251F3" w:rsidRDefault="00E251F3" w:rsidP="00E251F3">
            <w:pPr>
              <w:jc w:val="center"/>
              <w:rPr>
                <w:rFonts w:asciiTheme="majorBidi" w:hAnsiTheme="majorBidi" w:cstheme="majorBidi"/>
                <w:color w:val="000000"/>
                <w:sz w:val="18"/>
                <w:szCs w:val="18"/>
              </w:rPr>
            </w:pPr>
            <w:r w:rsidRPr="00E251F3">
              <w:rPr>
                <w:rFonts w:asciiTheme="majorBidi" w:hAnsiTheme="majorBidi" w:cstheme="majorBidi"/>
                <w:color w:val="000000"/>
                <w:sz w:val="18"/>
                <w:szCs w:val="18"/>
              </w:rPr>
              <w:t>NA</w:t>
            </w:r>
          </w:p>
        </w:tc>
        <w:tc>
          <w:tcPr>
            <w:tcW w:w="1350" w:type="dxa"/>
            <w:tcBorders>
              <w:top w:val="single" w:sz="4" w:space="0" w:color="auto"/>
              <w:left w:val="nil"/>
              <w:bottom w:val="single" w:sz="8" w:space="0" w:color="auto"/>
              <w:right w:val="single" w:sz="4" w:space="0" w:color="auto"/>
            </w:tcBorders>
            <w:shd w:val="clear" w:color="auto" w:fill="auto"/>
            <w:noWrap/>
            <w:hideMark/>
          </w:tcPr>
          <w:p w:rsidR="00E251F3" w:rsidRPr="00E251F3" w:rsidRDefault="00E251F3" w:rsidP="00E251F3">
            <w:pPr>
              <w:jc w:val="right"/>
              <w:rPr>
                <w:rFonts w:asciiTheme="majorBidi" w:hAnsiTheme="majorBidi" w:cstheme="majorBidi"/>
                <w:sz w:val="18"/>
                <w:szCs w:val="18"/>
              </w:rPr>
            </w:pPr>
            <w:r w:rsidRPr="00E251F3">
              <w:rPr>
                <w:rFonts w:asciiTheme="majorBidi" w:hAnsiTheme="majorBidi" w:cstheme="majorBidi"/>
                <w:sz w:val="18"/>
                <w:szCs w:val="18"/>
              </w:rPr>
              <w:t>$86.15</w:t>
            </w:r>
          </w:p>
        </w:tc>
        <w:tc>
          <w:tcPr>
            <w:tcW w:w="1880" w:type="dxa"/>
            <w:tcBorders>
              <w:top w:val="nil"/>
              <w:left w:val="nil"/>
              <w:bottom w:val="single" w:sz="4" w:space="0" w:color="auto"/>
              <w:right w:val="single" w:sz="8" w:space="0" w:color="auto"/>
            </w:tcBorders>
            <w:shd w:val="clear" w:color="auto" w:fill="auto"/>
            <w:noWrap/>
            <w:hideMark/>
          </w:tcPr>
          <w:p w:rsidR="00E251F3" w:rsidRPr="00E251F3" w:rsidRDefault="00E251F3" w:rsidP="00E251F3">
            <w:pPr>
              <w:jc w:val="right"/>
              <w:rPr>
                <w:rFonts w:asciiTheme="majorBidi" w:hAnsiTheme="majorBidi" w:cstheme="majorBidi"/>
                <w:color w:val="000000"/>
                <w:sz w:val="18"/>
                <w:szCs w:val="18"/>
              </w:rPr>
            </w:pPr>
            <w:r w:rsidRPr="00E251F3">
              <w:rPr>
                <w:rFonts w:asciiTheme="majorBidi" w:hAnsiTheme="majorBidi" w:cstheme="majorBidi"/>
                <w:color w:val="000000"/>
                <w:sz w:val="18"/>
                <w:szCs w:val="18"/>
              </w:rPr>
              <w:t>$137.84</w:t>
            </w:r>
          </w:p>
        </w:tc>
      </w:tr>
      <w:tr w:rsidR="00E251F3" w:rsidRPr="00E251F3" w:rsidTr="001811F2">
        <w:trPr>
          <w:trHeight w:val="276"/>
        </w:trPr>
        <w:tc>
          <w:tcPr>
            <w:tcW w:w="11790" w:type="dxa"/>
            <w:gridSpan w:val="9"/>
            <w:tcBorders>
              <w:top w:val="nil"/>
              <w:left w:val="nil"/>
              <w:bottom w:val="nil"/>
              <w:right w:val="nil"/>
            </w:tcBorders>
            <w:shd w:val="clear" w:color="auto" w:fill="auto"/>
            <w:hideMark/>
          </w:tcPr>
          <w:p w:rsidR="00E251F3" w:rsidRPr="00E251F3" w:rsidRDefault="00E251F3" w:rsidP="00E251F3">
            <w:pPr>
              <w:rPr>
                <w:rFonts w:asciiTheme="majorBidi" w:hAnsiTheme="majorBidi" w:cstheme="majorBidi"/>
                <w:color w:val="000000"/>
                <w:sz w:val="18"/>
                <w:szCs w:val="18"/>
              </w:rPr>
            </w:pPr>
            <w:r w:rsidRPr="00E251F3">
              <w:rPr>
                <w:rFonts w:asciiTheme="majorBidi" w:hAnsiTheme="majorBidi" w:cstheme="majorBidi"/>
                <w:color w:val="000000"/>
                <w:sz w:val="18"/>
                <w:szCs w:val="18"/>
              </w:rPr>
              <w:t xml:space="preserve">(1) Technical, Manager, Clerical, and Legal are used for all subparts. In addition to these rates, specialized rates are used for subparts W, RR, and UU.  </w:t>
            </w:r>
          </w:p>
        </w:tc>
      </w:tr>
      <w:tr w:rsidR="00E251F3" w:rsidRPr="00E251F3" w:rsidTr="001811F2">
        <w:trPr>
          <w:trHeight w:val="525"/>
        </w:trPr>
        <w:tc>
          <w:tcPr>
            <w:tcW w:w="11790" w:type="dxa"/>
            <w:gridSpan w:val="9"/>
            <w:tcBorders>
              <w:top w:val="nil"/>
              <w:left w:val="nil"/>
              <w:bottom w:val="nil"/>
              <w:right w:val="nil"/>
            </w:tcBorders>
            <w:shd w:val="clear" w:color="auto" w:fill="auto"/>
            <w:hideMark/>
          </w:tcPr>
          <w:p w:rsidR="00E251F3" w:rsidRPr="00E251F3" w:rsidRDefault="00E251F3" w:rsidP="00682F2C">
            <w:pPr>
              <w:rPr>
                <w:rFonts w:asciiTheme="majorBidi" w:hAnsiTheme="majorBidi" w:cstheme="majorBidi"/>
                <w:color w:val="000000"/>
                <w:sz w:val="18"/>
                <w:szCs w:val="18"/>
              </w:rPr>
            </w:pPr>
            <w:r w:rsidRPr="00E251F3">
              <w:rPr>
                <w:rFonts w:asciiTheme="majorBidi" w:hAnsiTheme="majorBidi" w:cstheme="majorBidi"/>
                <w:color w:val="000000"/>
                <w:sz w:val="18"/>
                <w:szCs w:val="18"/>
              </w:rPr>
              <w:t>(</w:t>
            </w:r>
            <w:r w:rsidR="00682F2C">
              <w:rPr>
                <w:rFonts w:asciiTheme="majorBidi" w:hAnsiTheme="majorBidi" w:cstheme="majorBidi"/>
                <w:color w:val="000000"/>
                <w:sz w:val="18"/>
                <w:szCs w:val="18"/>
              </w:rPr>
              <w:t>2</w:t>
            </w:r>
            <w:r w:rsidRPr="00E251F3">
              <w:rPr>
                <w:rFonts w:asciiTheme="majorBidi" w:hAnsiTheme="majorBidi" w:cstheme="majorBidi"/>
                <w:color w:val="000000"/>
                <w:sz w:val="18"/>
                <w:szCs w:val="18"/>
              </w:rPr>
              <w:t xml:space="preserve">) The base hourly wages &amp; salaries (not including benefits &amp; overhead) for all categories except clerical and geoscientist are from </w:t>
            </w:r>
            <w:r w:rsidR="00682F2C">
              <w:rPr>
                <w:rFonts w:asciiTheme="majorBidi" w:hAnsiTheme="majorBidi" w:cstheme="majorBidi"/>
                <w:color w:val="000000"/>
                <w:sz w:val="18"/>
                <w:szCs w:val="18"/>
              </w:rPr>
              <w:t>Bureau of Labor and Statistics (</w:t>
            </w:r>
            <w:r w:rsidRPr="00E251F3">
              <w:rPr>
                <w:rFonts w:asciiTheme="majorBidi" w:hAnsiTheme="majorBidi" w:cstheme="majorBidi"/>
                <w:color w:val="000000"/>
                <w:sz w:val="18"/>
                <w:szCs w:val="18"/>
              </w:rPr>
              <w:t>BLS</w:t>
            </w:r>
            <w:r w:rsidR="00682F2C">
              <w:rPr>
                <w:rFonts w:asciiTheme="majorBidi" w:hAnsiTheme="majorBidi" w:cstheme="majorBidi"/>
                <w:color w:val="000000"/>
                <w:sz w:val="18"/>
                <w:szCs w:val="18"/>
              </w:rPr>
              <w:t>)</w:t>
            </w:r>
            <w:r w:rsidRPr="00E251F3">
              <w:rPr>
                <w:rFonts w:asciiTheme="majorBidi" w:hAnsiTheme="majorBidi" w:cstheme="majorBidi"/>
                <w:color w:val="000000"/>
                <w:sz w:val="18"/>
                <w:szCs w:val="18"/>
              </w:rPr>
              <w:t xml:space="preserve"> May 20</w:t>
            </w:r>
            <w:r>
              <w:rPr>
                <w:rFonts w:asciiTheme="majorBidi" w:hAnsiTheme="majorBidi" w:cstheme="majorBidi"/>
                <w:color w:val="000000"/>
                <w:sz w:val="18"/>
                <w:szCs w:val="18"/>
              </w:rPr>
              <w:t>14</w:t>
            </w:r>
            <w:r w:rsidRPr="00E251F3">
              <w:rPr>
                <w:rFonts w:asciiTheme="majorBidi" w:hAnsiTheme="majorBidi" w:cstheme="majorBidi"/>
                <w:color w:val="000000"/>
                <w:sz w:val="18"/>
                <w:szCs w:val="18"/>
              </w:rPr>
              <w:t xml:space="preserve"> National Industry-Specific Occupational Employment and Wage Estimates (http://www.bls.gov/oes/current/oessrci.htm). </w:t>
            </w:r>
          </w:p>
        </w:tc>
      </w:tr>
      <w:tr w:rsidR="00E251F3" w:rsidRPr="00E251F3" w:rsidTr="001811F2">
        <w:trPr>
          <w:trHeight w:val="525"/>
        </w:trPr>
        <w:tc>
          <w:tcPr>
            <w:tcW w:w="11790" w:type="dxa"/>
            <w:gridSpan w:val="9"/>
            <w:tcBorders>
              <w:top w:val="nil"/>
              <w:left w:val="nil"/>
              <w:bottom w:val="nil"/>
              <w:right w:val="nil"/>
            </w:tcBorders>
            <w:shd w:val="clear" w:color="auto" w:fill="auto"/>
            <w:hideMark/>
          </w:tcPr>
          <w:p w:rsidR="00E251F3" w:rsidRPr="00E251F3" w:rsidRDefault="00E251F3" w:rsidP="00682F2C">
            <w:pPr>
              <w:rPr>
                <w:rFonts w:asciiTheme="majorBidi" w:hAnsiTheme="majorBidi" w:cstheme="majorBidi"/>
                <w:color w:val="000000"/>
                <w:sz w:val="18"/>
                <w:szCs w:val="18"/>
              </w:rPr>
            </w:pPr>
            <w:r w:rsidRPr="00E251F3">
              <w:rPr>
                <w:rFonts w:asciiTheme="majorBidi" w:hAnsiTheme="majorBidi" w:cstheme="majorBidi"/>
                <w:color w:val="000000"/>
                <w:sz w:val="18"/>
                <w:szCs w:val="18"/>
              </w:rPr>
              <w:t>(</w:t>
            </w:r>
            <w:r w:rsidR="00682F2C">
              <w:rPr>
                <w:rFonts w:asciiTheme="majorBidi" w:hAnsiTheme="majorBidi" w:cstheme="majorBidi"/>
                <w:color w:val="000000"/>
                <w:sz w:val="18"/>
                <w:szCs w:val="18"/>
              </w:rPr>
              <w:t>3</w:t>
            </w:r>
            <w:r w:rsidRPr="00E251F3">
              <w:rPr>
                <w:rFonts w:asciiTheme="majorBidi" w:hAnsiTheme="majorBidi" w:cstheme="majorBidi"/>
                <w:color w:val="000000"/>
                <w:sz w:val="18"/>
                <w:szCs w:val="18"/>
              </w:rPr>
              <w:t>) The base hourly wages &amp; salaries (not including benefits &amp; overhead) for clerical is from BLS's Employer Costs for Employee Compensation (ECEC) (</w:t>
            </w:r>
            <w:r w:rsidR="00682F2C" w:rsidRPr="00682F2C">
              <w:rPr>
                <w:rFonts w:asciiTheme="majorBidi" w:hAnsiTheme="majorBidi" w:cstheme="majorBidi"/>
                <w:color w:val="000000"/>
                <w:sz w:val="18"/>
                <w:szCs w:val="18"/>
              </w:rPr>
              <w:t>http://www.bls.gov/news.release/ecec.t09.htm</w:t>
            </w:r>
            <w:r w:rsidRPr="00E251F3">
              <w:rPr>
                <w:rFonts w:asciiTheme="majorBidi" w:hAnsiTheme="majorBidi" w:cstheme="majorBidi"/>
                <w:color w:val="000000"/>
                <w:sz w:val="18"/>
                <w:szCs w:val="18"/>
              </w:rPr>
              <w:t xml:space="preserve">) for </w:t>
            </w:r>
            <w:r w:rsidR="00682F2C">
              <w:rPr>
                <w:rFonts w:asciiTheme="majorBidi" w:hAnsiTheme="majorBidi" w:cstheme="majorBidi"/>
                <w:color w:val="000000"/>
                <w:sz w:val="18"/>
                <w:szCs w:val="18"/>
              </w:rPr>
              <w:t>May 2014</w:t>
            </w:r>
            <w:r w:rsidRPr="00E251F3">
              <w:rPr>
                <w:rFonts w:asciiTheme="majorBidi" w:hAnsiTheme="majorBidi" w:cstheme="majorBidi"/>
                <w:color w:val="000000"/>
                <w:sz w:val="18"/>
                <w:szCs w:val="18"/>
              </w:rPr>
              <w:t xml:space="preserve"> </w:t>
            </w:r>
            <w:r w:rsidR="00682F2C">
              <w:rPr>
                <w:rFonts w:asciiTheme="majorBidi" w:hAnsiTheme="majorBidi" w:cstheme="majorBidi"/>
                <w:color w:val="000000"/>
                <w:sz w:val="18"/>
                <w:szCs w:val="18"/>
              </w:rPr>
              <w:t>(</w:t>
            </w:r>
            <w:r w:rsidRPr="00E251F3">
              <w:rPr>
                <w:rFonts w:asciiTheme="majorBidi" w:hAnsiTheme="majorBidi" w:cstheme="majorBidi"/>
                <w:color w:val="000000"/>
                <w:sz w:val="18"/>
                <w:szCs w:val="18"/>
              </w:rPr>
              <w:t>All workers, goods-producing industries,” “Sales and office”).</w:t>
            </w:r>
          </w:p>
        </w:tc>
      </w:tr>
      <w:tr w:rsidR="00E251F3" w:rsidRPr="00E251F3" w:rsidTr="00DF1FB9">
        <w:trPr>
          <w:trHeight w:val="720"/>
        </w:trPr>
        <w:tc>
          <w:tcPr>
            <w:tcW w:w="11790" w:type="dxa"/>
            <w:gridSpan w:val="9"/>
            <w:tcBorders>
              <w:top w:val="nil"/>
              <w:left w:val="nil"/>
              <w:bottom w:val="nil"/>
              <w:right w:val="nil"/>
            </w:tcBorders>
            <w:shd w:val="clear" w:color="auto" w:fill="auto"/>
            <w:hideMark/>
          </w:tcPr>
          <w:p w:rsidR="00E251F3" w:rsidRPr="00E251F3" w:rsidRDefault="00E251F3" w:rsidP="00776AC3">
            <w:pPr>
              <w:rPr>
                <w:rFonts w:asciiTheme="majorBidi" w:hAnsiTheme="majorBidi" w:cstheme="majorBidi"/>
                <w:color w:val="000000"/>
                <w:sz w:val="18"/>
                <w:szCs w:val="18"/>
              </w:rPr>
            </w:pPr>
            <w:r w:rsidRPr="00E251F3">
              <w:rPr>
                <w:rFonts w:asciiTheme="majorBidi" w:hAnsiTheme="majorBidi" w:cstheme="majorBidi"/>
                <w:color w:val="000000"/>
                <w:sz w:val="18"/>
                <w:szCs w:val="18"/>
              </w:rPr>
              <w:t>(</w:t>
            </w:r>
            <w:r w:rsidR="00682F2C">
              <w:rPr>
                <w:rFonts w:asciiTheme="majorBidi" w:hAnsiTheme="majorBidi" w:cstheme="majorBidi"/>
                <w:color w:val="000000"/>
                <w:sz w:val="18"/>
                <w:szCs w:val="18"/>
              </w:rPr>
              <w:t>4</w:t>
            </w:r>
            <w:r w:rsidRPr="00E251F3">
              <w:rPr>
                <w:rFonts w:asciiTheme="majorBidi" w:hAnsiTheme="majorBidi" w:cstheme="majorBidi"/>
                <w:color w:val="000000"/>
                <w:sz w:val="18"/>
                <w:szCs w:val="18"/>
              </w:rPr>
              <w:t xml:space="preserve">) From BLS's ECEC (http://www.bls.gov/ect/home.htm) for June of </w:t>
            </w:r>
            <w:r w:rsidR="00776AC3">
              <w:rPr>
                <w:rFonts w:asciiTheme="majorBidi" w:hAnsiTheme="majorBidi" w:cstheme="majorBidi"/>
                <w:color w:val="000000"/>
                <w:sz w:val="18"/>
                <w:szCs w:val="18"/>
              </w:rPr>
              <w:t>2014, Table 2, using the ratio of wages and benefits to calculate the loading factor</w:t>
            </w:r>
            <w:r w:rsidRPr="00E251F3">
              <w:rPr>
                <w:rFonts w:asciiTheme="majorBidi" w:hAnsiTheme="majorBidi" w:cstheme="majorBidi"/>
                <w:color w:val="000000"/>
                <w:sz w:val="18"/>
                <w:szCs w:val="18"/>
              </w:rPr>
              <w:t>.</w:t>
            </w:r>
            <w:r w:rsidR="00776AC3">
              <w:rPr>
                <w:rFonts w:asciiTheme="majorBidi" w:hAnsiTheme="majorBidi" w:cstheme="majorBidi"/>
                <w:color w:val="000000"/>
                <w:sz w:val="18"/>
                <w:szCs w:val="18"/>
              </w:rPr>
              <w:t xml:space="preserve"> For Technical, Engineers, and Technicians, used “Professional and related.” For Managerial, Middle Manager, and Senior Manager, used “Management, business, and financial.” For Clerical, used “Office and administrative support.”</w:t>
            </w:r>
          </w:p>
        </w:tc>
      </w:tr>
      <w:tr w:rsidR="00E251F3" w:rsidRPr="00E251F3" w:rsidTr="001811F2">
        <w:trPr>
          <w:trHeight w:val="540"/>
        </w:trPr>
        <w:tc>
          <w:tcPr>
            <w:tcW w:w="11790" w:type="dxa"/>
            <w:gridSpan w:val="9"/>
            <w:tcBorders>
              <w:top w:val="nil"/>
              <w:left w:val="nil"/>
              <w:bottom w:val="nil"/>
              <w:right w:val="nil"/>
            </w:tcBorders>
            <w:shd w:val="clear" w:color="auto" w:fill="auto"/>
            <w:hideMark/>
          </w:tcPr>
          <w:p w:rsidR="00E251F3" w:rsidRPr="00E251F3" w:rsidRDefault="00E251F3" w:rsidP="00682F2C">
            <w:pPr>
              <w:rPr>
                <w:rFonts w:asciiTheme="majorBidi" w:hAnsiTheme="majorBidi" w:cstheme="majorBidi"/>
                <w:color w:val="000000"/>
                <w:sz w:val="18"/>
                <w:szCs w:val="18"/>
              </w:rPr>
            </w:pPr>
            <w:r w:rsidRPr="00E251F3">
              <w:rPr>
                <w:rFonts w:asciiTheme="majorBidi" w:hAnsiTheme="majorBidi" w:cstheme="majorBidi"/>
                <w:color w:val="000000"/>
                <w:sz w:val="18"/>
                <w:szCs w:val="18"/>
              </w:rPr>
              <w:t>(</w:t>
            </w:r>
            <w:r w:rsidR="00682F2C">
              <w:rPr>
                <w:rFonts w:asciiTheme="majorBidi" w:hAnsiTheme="majorBidi" w:cstheme="majorBidi"/>
                <w:color w:val="000000"/>
                <w:sz w:val="18"/>
                <w:szCs w:val="18"/>
              </w:rPr>
              <w:t>5</w:t>
            </w:r>
            <w:r w:rsidRPr="00E251F3">
              <w:rPr>
                <w:rFonts w:asciiTheme="majorBidi" w:hAnsiTheme="majorBidi" w:cstheme="majorBidi"/>
                <w:color w:val="000000"/>
                <w:sz w:val="18"/>
                <w:szCs w:val="18"/>
              </w:rPr>
              <w:t xml:space="preserve">) The overhead loading factor is from Rice, Cody 2002. "Wage Rates for Economic Analyses of the Toxics Release Inventory Program,” Analytical Support Branch, Environmental Analysis Division, Office of Environmental Information, U.S. EPA, June 10, 2002.  </w:t>
            </w:r>
          </w:p>
        </w:tc>
      </w:tr>
      <w:tr w:rsidR="00E251F3" w:rsidRPr="00E251F3" w:rsidTr="001811F2">
        <w:trPr>
          <w:trHeight w:val="342"/>
        </w:trPr>
        <w:tc>
          <w:tcPr>
            <w:tcW w:w="11790" w:type="dxa"/>
            <w:gridSpan w:val="9"/>
            <w:tcBorders>
              <w:top w:val="nil"/>
              <w:left w:val="nil"/>
              <w:bottom w:val="nil"/>
              <w:right w:val="nil"/>
            </w:tcBorders>
            <w:shd w:val="clear" w:color="auto" w:fill="auto"/>
            <w:hideMark/>
          </w:tcPr>
          <w:p w:rsidR="00E251F3" w:rsidRPr="00E251F3" w:rsidRDefault="00E251F3" w:rsidP="00682F2C">
            <w:pPr>
              <w:rPr>
                <w:rFonts w:asciiTheme="majorBidi" w:hAnsiTheme="majorBidi" w:cstheme="majorBidi"/>
                <w:color w:val="000000"/>
                <w:sz w:val="18"/>
                <w:szCs w:val="18"/>
              </w:rPr>
            </w:pPr>
            <w:r w:rsidRPr="00E251F3">
              <w:rPr>
                <w:rFonts w:asciiTheme="majorBidi" w:hAnsiTheme="majorBidi" w:cstheme="majorBidi"/>
                <w:color w:val="000000"/>
                <w:sz w:val="18"/>
                <w:szCs w:val="18"/>
              </w:rPr>
              <w:t>(</w:t>
            </w:r>
            <w:r w:rsidR="00682F2C">
              <w:rPr>
                <w:rFonts w:asciiTheme="majorBidi" w:hAnsiTheme="majorBidi" w:cstheme="majorBidi"/>
                <w:color w:val="000000"/>
                <w:sz w:val="18"/>
                <w:szCs w:val="18"/>
              </w:rPr>
              <w:t>6</w:t>
            </w:r>
            <w:r w:rsidRPr="00E251F3">
              <w:rPr>
                <w:rFonts w:asciiTheme="majorBidi" w:hAnsiTheme="majorBidi" w:cstheme="majorBidi"/>
                <w:color w:val="000000"/>
                <w:sz w:val="18"/>
                <w:szCs w:val="18"/>
              </w:rPr>
              <w:t>) The loaded hourly rate = Wages &amp; Salaries + (Wages &amp; Salaries * Benefits Loading Factor) + (Wages &amp; Salaries * Overhead Loading Factor)</w:t>
            </w:r>
          </w:p>
        </w:tc>
      </w:tr>
      <w:tr w:rsidR="00E251F3" w:rsidRPr="00E251F3" w:rsidTr="00DF1FB9">
        <w:trPr>
          <w:trHeight w:val="657"/>
        </w:trPr>
        <w:tc>
          <w:tcPr>
            <w:tcW w:w="11790" w:type="dxa"/>
            <w:gridSpan w:val="9"/>
            <w:tcBorders>
              <w:top w:val="nil"/>
              <w:left w:val="nil"/>
              <w:bottom w:val="nil"/>
              <w:right w:val="nil"/>
            </w:tcBorders>
            <w:shd w:val="clear" w:color="auto" w:fill="auto"/>
            <w:hideMark/>
          </w:tcPr>
          <w:p w:rsidR="00E251F3" w:rsidRPr="00E251F3" w:rsidRDefault="00E251F3" w:rsidP="00613039">
            <w:pPr>
              <w:rPr>
                <w:rFonts w:asciiTheme="majorBidi" w:hAnsiTheme="majorBidi" w:cstheme="majorBidi"/>
                <w:color w:val="000000"/>
                <w:sz w:val="18"/>
                <w:szCs w:val="18"/>
              </w:rPr>
            </w:pPr>
            <w:r w:rsidRPr="00E251F3">
              <w:rPr>
                <w:rFonts w:asciiTheme="majorBidi" w:hAnsiTheme="majorBidi" w:cstheme="majorBidi"/>
                <w:color w:val="000000"/>
                <w:sz w:val="18"/>
                <w:szCs w:val="18"/>
              </w:rPr>
              <w:t>(</w:t>
            </w:r>
            <w:r w:rsidR="00682F2C">
              <w:rPr>
                <w:rFonts w:asciiTheme="majorBidi" w:hAnsiTheme="majorBidi" w:cstheme="majorBidi"/>
                <w:color w:val="000000"/>
                <w:sz w:val="18"/>
                <w:szCs w:val="18"/>
              </w:rPr>
              <w:t>7</w:t>
            </w:r>
            <w:r w:rsidRPr="00E251F3">
              <w:rPr>
                <w:rFonts w:asciiTheme="majorBidi" w:hAnsiTheme="majorBidi" w:cstheme="majorBidi"/>
                <w:color w:val="000000"/>
                <w:sz w:val="18"/>
                <w:szCs w:val="18"/>
              </w:rPr>
              <w:t xml:space="preserve">) The geoscientist rate </w:t>
            </w:r>
            <w:r>
              <w:rPr>
                <w:rFonts w:asciiTheme="majorBidi" w:hAnsiTheme="majorBidi" w:cstheme="majorBidi"/>
                <w:color w:val="000000"/>
                <w:sz w:val="18"/>
                <w:szCs w:val="18"/>
              </w:rPr>
              <w:t>is</w:t>
            </w:r>
            <w:r w:rsidRPr="00E251F3">
              <w:rPr>
                <w:rFonts w:asciiTheme="majorBidi" w:hAnsiTheme="majorBidi" w:cstheme="majorBidi"/>
                <w:color w:val="000000"/>
                <w:sz w:val="18"/>
                <w:szCs w:val="18"/>
              </w:rPr>
              <w:t xml:space="preserve"> from the American Association of Petroleum Geologists’ (AAPG’s) </w:t>
            </w:r>
            <w:r>
              <w:rPr>
                <w:rFonts w:asciiTheme="majorBidi" w:hAnsiTheme="majorBidi" w:cstheme="majorBidi"/>
                <w:color w:val="000000"/>
                <w:sz w:val="18"/>
                <w:szCs w:val="18"/>
              </w:rPr>
              <w:t>2013</w:t>
            </w:r>
            <w:r w:rsidRPr="00E251F3">
              <w:rPr>
                <w:rFonts w:asciiTheme="majorBidi" w:hAnsiTheme="majorBidi" w:cstheme="majorBidi"/>
                <w:color w:val="000000"/>
                <w:sz w:val="18"/>
                <w:szCs w:val="18"/>
              </w:rPr>
              <w:t xml:space="preserve"> annual salary survey. Assuming 15-19 years of experience, the hourly rate is $</w:t>
            </w:r>
            <w:r>
              <w:rPr>
                <w:rFonts w:asciiTheme="majorBidi" w:hAnsiTheme="majorBidi" w:cstheme="majorBidi"/>
                <w:color w:val="000000"/>
                <w:sz w:val="18"/>
                <w:szCs w:val="18"/>
              </w:rPr>
              <w:t>86.15</w:t>
            </w:r>
            <w:r w:rsidRPr="00E251F3">
              <w:rPr>
                <w:rFonts w:asciiTheme="majorBidi" w:hAnsiTheme="majorBidi" w:cstheme="majorBidi"/>
                <w:color w:val="000000"/>
                <w:sz w:val="18"/>
                <w:szCs w:val="18"/>
              </w:rPr>
              <w:t xml:space="preserve"> (based on an annual salary of $1</w:t>
            </w:r>
            <w:r>
              <w:rPr>
                <w:rFonts w:asciiTheme="majorBidi" w:hAnsiTheme="majorBidi" w:cstheme="majorBidi"/>
                <w:color w:val="000000"/>
                <w:sz w:val="18"/>
                <w:szCs w:val="18"/>
              </w:rPr>
              <w:t>79,2</w:t>
            </w:r>
            <w:r w:rsidRPr="00E251F3">
              <w:rPr>
                <w:rFonts w:asciiTheme="majorBidi" w:hAnsiTheme="majorBidi" w:cstheme="majorBidi"/>
                <w:color w:val="000000"/>
                <w:sz w:val="18"/>
                <w:szCs w:val="18"/>
              </w:rPr>
              <w:t xml:space="preserve">00).  See </w:t>
            </w:r>
            <w:r w:rsidR="00682F2C" w:rsidRPr="00E251F3">
              <w:rPr>
                <w:rFonts w:asciiTheme="majorBidi" w:hAnsiTheme="majorBidi" w:cstheme="majorBidi"/>
                <w:color w:val="000000"/>
                <w:sz w:val="18"/>
                <w:szCs w:val="18"/>
              </w:rPr>
              <w:t>http://www.aapg.org/publications/news/explorer/details/articleid/8464/salaries-rise-and-experience-really-pays</w:t>
            </w:r>
            <w:r w:rsidRPr="00E251F3">
              <w:rPr>
                <w:rFonts w:asciiTheme="majorBidi" w:hAnsiTheme="majorBidi" w:cstheme="majorBidi"/>
                <w:color w:val="000000"/>
                <w:sz w:val="18"/>
                <w:szCs w:val="18"/>
              </w:rPr>
              <w:t xml:space="preserve">. A loading factor of 1.6 was applied, as suggested </w:t>
            </w:r>
            <w:bookmarkStart w:id="0" w:name="_GoBack"/>
            <w:bookmarkEnd w:id="0"/>
            <w:r w:rsidRPr="00E251F3">
              <w:rPr>
                <w:rFonts w:asciiTheme="majorBidi" w:hAnsiTheme="majorBidi" w:cstheme="majorBidi"/>
                <w:color w:val="000000"/>
                <w:sz w:val="18"/>
                <w:szCs w:val="18"/>
              </w:rPr>
              <w:t>by EPA’s 200</w:t>
            </w:r>
            <w:r w:rsidR="00613039">
              <w:rPr>
                <w:rFonts w:asciiTheme="majorBidi" w:hAnsiTheme="majorBidi" w:cstheme="majorBidi"/>
                <w:color w:val="000000"/>
                <w:sz w:val="18"/>
                <w:szCs w:val="18"/>
              </w:rPr>
              <w:t>9</w:t>
            </w:r>
            <w:r w:rsidRPr="00E251F3">
              <w:rPr>
                <w:rFonts w:asciiTheme="majorBidi" w:hAnsiTheme="majorBidi" w:cstheme="majorBidi"/>
                <w:color w:val="000000"/>
                <w:sz w:val="18"/>
                <w:szCs w:val="18"/>
              </w:rPr>
              <w:t xml:space="preserve"> ICR Handbook, to account for overhead and benefits.</w:t>
            </w:r>
          </w:p>
        </w:tc>
      </w:tr>
    </w:tbl>
    <w:p w:rsidR="00E251F3" w:rsidRPr="00E251F3" w:rsidRDefault="00E251F3" w:rsidP="001811F2">
      <w:pPr>
        <w:rPr>
          <w:rFonts w:asciiTheme="majorBidi" w:hAnsiTheme="majorBidi" w:cstheme="majorBidi"/>
          <w:sz w:val="22"/>
          <w:szCs w:val="22"/>
        </w:rPr>
      </w:pPr>
    </w:p>
    <w:sectPr w:rsidR="00E251F3" w:rsidRPr="00E251F3" w:rsidSect="001811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D4"/>
    <w:rsid w:val="001811F2"/>
    <w:rsid w:val="0053376A"/>
    <w:rsid w:val="005A2DBD"/>
    <w:rsid w:val="00613039"/>
    <w:rsid w:val="00682F2C"/>
    <w:rsid w:val="006C565C"/>
    <w:rsid w:val="00776AC3"/>
    <w:rsid w:val="00A64C2C"/>
    <w:rsid w:val="00AC07A6"/>
    <w:rsid w:val="00CA4DD4"/>
    <w:rsid w:val="00DC5AEF"/>
    <w:rsid w:val="00DF1FB9"/>
    <w:rsid w:val="00E25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38CDF-5A09-4914-A569-2997E23D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F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53643">
      <w:bodyDiv w:val="1"/>
      <w:marLeft w:val="0"/>
      <w:marRight w:val="0"/>
      <w:marTop w:val="0"/>
      <w:marBottom w:val="0"/>
      <w:divBdr>
        <w:top w:val="none" w:sz="0" w:space="0" w:color="auto"/>
        <w:left w:val="none" w:sz="0" w:space="0" w:color="auto"/>
        <w:bottom w:val="none" w:sz="0" w:space="0" w:color="auto"/>
        <w:right w:val="none" w:sz="0" w:space="0" w:color="auto"/>
      </w:divBdr>
    </w:div>
    <w:div w:id="507720627">
      <w:bodyDiv w:val="1"/>
      <w:marLeft w:val="0"/>
      <w:marRight w:val="0"/>
      <w:marTop w:val="0"/>
      <w:marBottom w:val="0"/>
      <w:divBdr>
        <w:top w:val="none" w:sz="0" w:space="0" w:color="auto"/>
        <w:left w:val="none" w:sz="0" w:space="0" w:color="auto"/>
        <w:bottom w:val="none" w:sz="0" w:space="0" w:color="auto"/>
        <w:right w:val="none" w:sz="0" w:space="0" w:color="auto"/>
      </w:divBdr>
    </w:div>
    <w:div w:id="19938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Icenhour, Melissa K.</dc:creator>
  <cp:keywords/>
  <dc:description/>
  <cp:lastModifiedBy>Icenhour, Melissa K.</cp:lastModifiedBy>
  <cp:revision>6</cp:revision>
  <dcterms:created xsi:type="dcterms:W3CDTF">2015-05-18T17:33:00Z</dcterms:created>
  <dcterms:modified xsi:type="dcterms:W3CDTF">2015-05-19T22:37:00Z</dcterms:modified>
</cp:coreProperties>
</file>