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E6A6B" w14:textId="77777777" w:rsidR="00386054" w:rsidRPr="00B578F4" w:rsidRDefault="00386054" w:rsidP="00B578F4">
      <w:pPr>
        <w:pStyle w:val="Title"/>
      </w:pPr>
      <w:r w:rsidRPr="00B578F4">
        <w:t>SUPPORTING STATEMENT</w:t>
      </w:r>
    </w:p>
    <w:p w14:paraId="00C542B2" w14:textId="77777777" w:rsidR="00BA13A2" w:rsidRPr="00B578F4" w:rsidRDefault="00386054" w:rsidP="00B578F4">
      <w:pPr>
        <w:pStyle w:val="Title"/>
      </w:pPr>
      <w:r w:rsidRPr="00B578F4">
        <w:t>FOR PAPERWORK REDUCTION ACT SUBMISSION</w:t>
      </w:r>
    </w:p>
    <w:p w14:paraId="2A9C6681" w14:textId="69263DCA" w:rsidR="00251381" w:rsidRPr="00640F37" w:rsidRDefault="00016E14">
      <w:pPr>
        <w:jc w:val="center"/>
        <w:rPr>
          <w:rFonts w:ascii="Courier" w:hAnsi="Courier"/>
        </w:rPr>
      </w:pPr>
      <w:r w:rsidRPr="00640F37">
        <w:rPr>
          <w:rFonts w:ascii="Courier" w:hAnsi="Courier"/>
        </w:rPr>
        <w:t xml:space="preserve">OMB Number: </w:t>
      </w:r>
      <w:r w:rsidR="005269B6">
        <w:rPr>
          <w:rFonts w:ascii="Courier" w:hAnsi="Courier"/>
        </w:rPr>
        <w:t xml:space="preserve">1855-NEW </w:t>
      </w:r>
    </w:p>
    <w:p w14:paraId="6F3C0BDE" w14:textId="77777777" w:rsidR="00386054" w:rsidRPr="00640F37" w:rsidRDefault="00016E14" w:rsidP="00C9556E">
      <w:pPr>
        <w:pStyle w:val="Heading1"/>
        <w:rPr>
          <w:rFonts w:cs="Times New Roman"/>
          <w:szCs w:val="28"/>
        </w:rPr>
      </w:pPr>
      <w:r w:rsidRPr="00640F37">
        <w:rPr>
          <w:rFonts w:cs="Times New Roman"/>
          <w:szCs w:val="28"/>
        </w:rPr>
        <w:t xml:space="preserve">A. Justification </w:t>
      </w:r>
    </w:p>
    <w:p w14:paraId="6DA04040" w14:textId="77777777" w:rsidR="00B578F4" w:rsidRPr="00661B76" w:rsidRDefault="00386054" w:rsidP="00B578F4">
      <w:pPr>
        <w:pStyle w:val="ListParagraph"/>
        <w:numPr>
          <w:ilvl w:val="0"/>
          <w:numId w:val="20"/>
        </w:numPr>
      </w:pPr>
      <w:r w:rsidRPr="00661B76">
        <w:t xml:space="preserve">Explain the circumstances that make the collection of information necessary.  Identify any legal or administrative requirements that necessitate the collection.  Attach a </w:t>
      </w:r>
      <w:r w:rsidR="003C7F70" w:rsidRPr="00661B76">
        <w:t xml:space="preserve">hard </w:t>
      </w:r>
      <w:r w:rsidRPr="00661B76">
        <w:t>copy of the appropriate section of each statute and regulation mandating or authorizing the collection of information</w:t>
      </w:r>
      <w:r w:rsidR="003C7F70" w:rsidRPr="00661B76">
        <w:t>,</w:t>
      </w:r>
      <w:r w:rsidR="00050CBE" w:rsidRPr="00661B76">
        <w:t xml:space="preserve"> or </w:t>
      </w:r>
      <w:r w:rsidR="003C7F70" w:rsidRPr="00661B76">
        <w:rPr>
          <w:b/>
        </w:rPr>
        <w:t xml:space="preserve">you may </w:t>
      </w:r>
      <w:r w:rsidR="00050CBE" w:rsidRPr="00661B76">
        <w:rPr>
          <w:b/>
        </w:rPr>
        <w:t xml:space="preserve">provide a valid </w:t>
      </w:r>
      <w:r w:rsidR="003C7F70" w:rsidRPr="00661B76">
        <w:rPr>
          <w:b/>
        </w:rPr>
        <w:t>URL</w:t>
      </w:r>
      <w:r w:rsidR="00050CBE" w:rsidRPr="00661B76">
        <w:rPr>
          <w:b/>
        </w:rPr>
        <w:t xml:space="preserve"> link</w:t>
      </w:r>
      <w:r w:rsidR="00050CBE" w:rsidRPr="00661B76">
        <w:t xml:space="preserve"> or paste the applicable section</w:t>
      </w:r>
      <w:r w:rsidRPr="00661B76">
        <w:t xml:space="preserve">. </w:t>
      </w:r>
      <w:r w:rsidR="00BA13A2" w:rsidRPr="00661B76">
        <w:t xml:space="preserve">Please limit pasted text to no longer than 3 pages. </w:t>
      </w:r>
      <w:r w:rsidRPr="00661B76">
        <w:t>Specify the review type of the collection (new, revision, extension, reinstatement with change, reinstatement without change)</w:t>
      </w:r>
      <w:r w:rsidR="00050CBE" w:rsidRPr="00661B76">
        <w:t>. If revised, briefly specify the changes.  If a rulemaking is involved, make note of the sections or changed sections, if applicable.</w:t>
      </w:r>
    </w:p>
    <w:p w14:paraId="460D8DD7" w14:textId="77777777" w:rsidR="00033B58" w:rsidRDefault="00033B58" w:rsidP="00B6671A">
      <w:pPr>
        <w:ind w:left="360"/>
      </w:pPr>
      <w:r w:rsidRPr="00033B58">
        <w:t xml:space="preserve">The Government Performance and Results Act (GPRA) require all federally funded agencies to develop and implement an accountability system based on performance measurement. This regulation applies to grantees receiving funds from the Dept. of ED’s Office of Innovation and Improvement Arts in Education - Model Development and Dissemination (AEMDD), Professional Development for Arts Educators (PDAE), and Arts in Education National Program (AENP) programs. Each grantee is required to report on performance and progress towards GPRA measures as a condition of the grant. Data for GPRA performance measures are collected through the Annual Performance Report (APR) completed by grantees. The APR also collects budget information and data on project-specific performance measures. </w:t>
      </w:r>
    </w:p>
    <w:p w14:paraId="5FC00BD2" w14:textId="11073D3C" w:rsidR="00033B58" w:rsidRPr="005269B6" w:rsidRDefault="00033B58" w:rsidP="00B6671A">
      <w:pPr>
        <w:ind w:left="360"/>
      </w:pPr>
      <w:r w:rsidRPr="00033B58">
        <w:t>The forms being submitted for OMB review are APR templates that expand on the ED 524-B form to gather additional data on performance from Arts in Education grantees in a streamlined manner. Performance data are used to help make decisions about continued funding for grantees and to show overall program progress by aggregating GPRA data across grantees. GPRA data may be also be used by Congress to determine future program funding.</w:t>
      </w:r>
    </w:p>
    <w:p w14:paraId="6F36CA3B" w14:textId="77777777" w:rsidR="00B6671A" w:rsidRPr="00B6671A" w:rsidRDefault="00B6671A" w:rsidP="00B6671A">
      <w:pPr>
        <w:ind w:left="360"/>
        <w:rPr>
          <w:highlight w:val="yellow"/>
        </w:rPr>
      </w:pPr>
      <w:r w:rsidRPr="00B6671A">
        <w:rPr>
          <w:i/>
        </w:rPr>
        <w:t xml:space="preserve"> </w:t>
      </w:r>
    </w:p>
    <w:p w14:paraId="23F91EE3" w14:textId="1A736C26"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r w:rsidR="006C5423">
        <w:t>ca</w:t>
      </w:r>
    </w:p>
    <w:p w14:paraId="331C3A62" w14:textId="43CAB33D" w:rsidR="006F5FFF" w:rsidRPr="005269B6" w:rsidRDefault="006F5FFF" w:rsidP="00216200">
      <w:pPr>
        <w:ind w:left="360"/>
      </w:pPr>
      <w:r w:rsidRPr="005269B6">
        <w:t xml:space="preserve">The information collected through the APR templates </w:t>
      </w:r>
      <w:r w:rsidR="005269B6" w:rsidRPr="005269B6">
        <w:t>includes</w:t>
      </w:r>
      <w:r w:rsidRPr="005269B6">
        <w:t xml:space="preserve"> GPRA performance measure data, budget information, and data on project-specific performance measures. Performance data are used by the Department of Education to help make decisions about continued funding for grantees and to show overall program process by aggregating GPRA data across grantees. GPRA data may also be used by Congress to determine future program funding. </w:t>
      </w:r>
    </w:p>
    <w:p w14:paraId="524B0C57" w14:textId="77777777" w:rsidR="005269B6" w:rsidRDefault="005269B6" w:rsidP="005269B6">
      <w:pPr>
        <w:pStyle w:val="ListParagraph"/>
      </w:pPr>
    </w:p>
    <w:p w14:paraId="2722C235" w14:textId="77777777" w:rsidR="00B83FB3" w:rsidRDefault="00386054" w:rsidP="00B578F4">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of information technology, e.g. permitting electronic submission of responses, and the </w:t>
      </w:r>
      <w:r w:rsidRPr="00431228">
        <w:lastRenderedPageBreak/>
        <w:t>basis for the decision of adopting this means of collection.  Also describe any consideration given to using technology to reduce burden.</w:t>
      </w:r>
    </w:p>
    <w:p w14:paraId="4A549709" w14:textId="77777777" w:rsidR="00F012D5" w:rsidRDefault="00F012D5" w:rsidP="00F012D5">
      <w:pPr>
        <w:pStyle w:val="ListParagraph"/>
        <w:rPr>
          <w:i/>
        </w:rPr>
      </w:pPr>
    </w:p>
    <w:p w14:paraId="276145EA" w14:textId="2828D5DC" w:rsidR="00F012D5" w:rsidRPr="005269B6" w:rsidRDefault="00F012D5" w:rsidP="00CF151F">
      <w:pPr>
        <w:ind w:left="360"/>
      </w:pPr>
      <w:r w:rsidRPr="005269B6">
        <w:t>The APR templates were developed as fillable form Word documents. The forms include fillable tables and open-ended questions</w:t>
      </w:r>
      <w:r w:rsidR="009A56D8" w:rsidRPr="005269B6">
        <w:t xml:space="preserve"> to allow grantees to submit data as required by the Department of Education in an efficient and organized manner. APR templates are provided to grantees as electronic documents, and completed versions are submitted back to the Department of Education electronically. </w:t>
      </w:r>
      <w:r w:rsidR="003101D6" w:rsidRPr="005269B6">
        <w:t xml:space="preserve">This method of submission allows grantee-reported data to be immediately available to the Department of Education for tracking and reporting purposes. </w:t>
      </w:r>
    </w:p>
    <w:p w14:paraId="41A132E9" w14:textId="77777777" w:rsidR="005269B6" w:rsidRDefault="005269B6" w:rsidP="005269B6">
      <w:pPr>
        <w:pStyle w:val="ListParagraph"/>
      </w:pPr>
    </w:p>
    <w:p w14:paraId="7B8139A0" w14:textId="77777777"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14:paraId="55D3762D" w14:textId="475036D4" w:rsidR="003101D6" w:rsidRPr="005269B6" w:rsidRDefault="003101D6" w:rsidP="00216200">
      <w:r w:rsidRPr="005269B6">
        <w:t xml:space="preserve">These APR templates are specifically tailored for reporting requirements of Arts in Education grantees. </w:t>
      </w:r>
      <w:r w:rsidR="00186557" w:rsidRPr="005269B6">
        <w:t xml:space="preserve">Specifically, it requires participants to report on the quality of their partnerships, resources, evaluation, and sustainability and dissemination efforts. It also clarifies how to report data needed for calculating GPRA. The Arts </w:t>
      </w:r>
      <w:r w:rsidR="005E3F8D" w:rsidRPr="005269B6">
        <w:t>in</w:t>
      </w:r>
      <w:r w:rsidR="00186557" w:rsidRPr="005269B6">
        <w:t xml:space="preserve"> Education office has attempted to encourage grantees to submit this information throu</w:t>
      </w:r>
      <w:r w:rsidR="005E3F8D" w:rsidRPr="005269B6">
        <w:t>gh the standard ED524B template; however</w:t>
      </w:r>
      <w:r w:rsidR="00186557" w:rsidRPr="005269B6">
        <w:t xml:space="preserve"> grantees are not reporting data in a way this useful for making continuing funding decisions, program decisions, or technical assistance decisions. </w:t>
      </w:r>
      <w:r w:rsidR="00216200" w:rsidRPr="005269B6">
        <w:t xml:space="preserve">Since the APR templates are expanded versions of the ED 524B form, grantees are asked to complete these APR forms instead of the ED 524B to avoid duplication. </w:t>
      </w:r>
      <w:r w:rsidR="00FE5DC3" w:rsidRPr="005269B6">
        <w:t xml:space="preserve">The APR templates are more appropriate for this group of responders as the information collection is more closely targeted to program requirements than the ED 524B form. </w:t>
      </w:r>
    </w:p>
    <w:p w14:paraId="602AF440" w14:textId="77777777" w:rsidR="005269B6" w:rsidRDefault="005269B6" w:rsidP="005269B6">
      <w:pPr>
        <w:pStyle w:val="ListParagraph"/>
      </w:pPr>
    </w:p>
    <w:p w14:paraId="278CAF2E" w14:textId="77777777"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A3823E4" w14:textId="08B03EB8" w:rsidR="00897723" w:rsidRPr="005269B6" w:rsidRDefault="00FE5DC3" w:rsidP="00897723">
      <w:r w:rsidRPr="005269B6">
        <w:t>Several of the grantees responding fit the definition of small entities (i.e., small not-for-profit organizations or small government jurisdictions)</w:t>
      </w:r>
      <w:r w:rsidR="00897723">
        <w:t xml:space="preserve">; </w:t>
      </w:r>
      <w:r w:rsidR="00897723">
        <w:t xml:space="preserve">AEMDD State, Local and Tribal respondents ED estimates four small entity respondents and the Private Sector for-profits and non-profit as ten small entity respondents. </w:t>
      </w:r>
    </w:p>
    <w:p w14:paraId="16FF521A" w14:textId="6C62C37A" w:rsidR="00FE5DC3" w:rsidRPr="005269B6" w:rsidRDefault="00FE5DC3" w:rsidP="00FE5DC3">
      <w:bookmarkStart w:id="0" w:name="_GoBack"/>
      <w:bookmarkEnd w:id="0"/>
      <w:r w:rsidRPr="005269B6">
        <w:t xml:space="preserve"> Any grantee that is in need of support while completing the APR forms is encouraged to contact their ED program officer. When appropriate, the program officer may pass the grantee’s request for support on to the technical assistance team, which is standing by to support grantees with this information collection. All grantees have been reminded of these resources prior to and during the APR completion period. </w:t>
      </w:r>
    </w:p>
    <w:p w14:paraId="6AE932C2" w14:textId="77777777" w:rsidR="005269B6" w:rsidRDefault="005269B6" w:rsidP="005269B6">
      <w:pPr>
        <w:pStyle w:val="ListParagraph"/>
      </w:pPr>
    </w:p>
    <w:p w14:paraId="5B293B85" w14:textId="77777777" w:rsidR="00B83FB3" w:rsidRDefault="00386054" w:rsidP="00B578F4">
      <w:pPr>
        <w:pStyle w:val="ListParagraph"/>
        <w:numPr>
          <w:ilvl w:val="0"/>
          <w:numId w:val="20"/>
        </w:numPr>
      </w:pPr>
      <w:r w:rsidRPr="00431228">
        <w:lastRenderedPageBreak/>
        <w:t>Describe the consequences to Federal program or policy activities if the collection is not conducted or is conducted less frequently, as well as any technical or legal obstacles to reducing burden.</w:t>
      </w:r>
    </w:p>
    <w:p w14:paraId="6B2B437D" w14:textId="77D45D4A" w:rsidR="00294698" w:rsidRPr="005269B6" w:rsidRDefault="00294698" w:rsidP="00294698">
      <w:r w:rsidRPr="005269B6">
        <w:t xml:space="preserve">The collection must be conducted, as the information being collected is a requirement for the grant program. Without this information from grantees, the Department of Education would be unable to report on overall program progress through GPRA and budget data. </w:t>
      </w:r>
    </w:p>
    <w:p w14:paraId="0F4D31D1" w14:textId="77777777" w:rsidR="005269B6" w:rsidRDefault="005269B6" w:rsidP="005269B6">
      <w:pPr>
        <w:pStyle w:val="ListParagraph"/>
      </w:pPr>
    </w:p>
    <w:p w14:paraId="57DD45EA" w14:textId="77777777"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14:paraId="5ED011B9" w14:textId="77777777" w:rsidR="00386054" w:rsidRPr="00431228" w:rsidRDefault="00386054" w:rsidP="00B83FB3">
      <w:pPr>
        <w:pStyle w:val="ListParagraph"/>
        <w:numPr>
          <w:ilvl w:val="0"/>
          <w:numId w:val="21"/>
        </w:numPr>
      </w:pPr>
      <w:r w:rsidRPr="00431228">
        <w:t>requiring respondents to report information to the agency more often than quarterly;</w:t>
      </w:r>
    </w:p>
    <w:p w14:paraId="6F44DFBD" w14:textId="77777777"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14:paraId="40484754" w14:textId="77777777" w:rsidR="00386054" w:rsidRPr="00EF7FF5" w:rsidRDefault="00386054" w:rsidP="00B83FB3">
      <w:pPr>
        <w:pStyle w:val="ListParagraph"/>
        <w:numPr>
          <w:ilvl w:val="0"/>
          <w:numId w:val="21"/>
        </w:numPr>
      </w:pPr>
      <w:r w:rsidRPr="00EF7FF5">
        <w:t>requiring respondents to submit more than an original and two copies of any document;</w:t>
      </w:r>
    </w:p>
    <w:p w14:paraId="2FE52A1F" w14:textId="77777777"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14:paraId="058DC17B" w14:textId="77777777"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14:paraId="2A443379" w14:textId="77777777"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14:paraId="15776DBE" w14:textId="77777777"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1B9E220" w14:textId="77777777"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14:paraId="502BDD14" w14:textId="63507ED7" w:rsidR="00E108FF" w:rsidRPr="005269B6" w:rsidRDefault="00E108FF" w:rsidP="00E108FF">
      <w:pPr>
        <w:ind w:left="720"/>
      </w:pPr>
      <w:r w:rsidRPr="005269B6">
        <w:t xml:space="preserve">Not Applicable. None of these special circumstances apply to this information collection. </w:t>
      </w:r>
    </w:p>
    <w:p w14:paraId="221EE7D5" w14:textId="77777777" w:rsidR="005269B6" w:rsidRDefault="005269B6" w:rsidP="005269B6">
      <w:pPr>
        <w:pStyle w:val="ListParagraph"/>
      </w:pPr>
    </w:p>
    <w:p w14:paraId="73249FC4" w14:textId="4388980D" w:rsidR="00386054" w:rsidRPr="00640F37" w:rsidRDefault="001743A5" w:rsidP="00E108FF">
      <w:pPr>
        <w:pStyle w:val="ListParagraph"/>
        <w:numPr>
          <w:ilvl w:val="0"/>
          <w:numId w:val="20"/>
        </w:numPr>
      </w:pPr>
      <w:r w:rsidRPr="00640F37">
        <w:t xml:space="preserve">As </w:t>
      </w:r>
      <w:r w:rsidR="00386054" w:rsidRPr="00640F37">
        <w:t xml:space="preserve">applicable, </w:t>
      </w:r>
      <w:r w:rsidRPr="00640F37">
        <w:t xml:space="preserve">state that the Department has published the 60 and 30 Federal Register notices as </w:t>
      </w:r>
      <w:r w:rsidR="00386054" w:rsidRPr="00640F37">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F12209B" w14:textId="77777777" w:rsidR="00386054" w:rsidRPr="00640F37" w:rsidRDefault="00386054" w:rsidP="00B578F4">
      <w:pPr>
        <w:pStyle w:val="ListParagraph"/>
        <w:rPr>
          <w:rStyle w:val="a"/>
        </w:rPr>
      </w:pPr>
      <w:r w:rsidRPr="00640F37">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579C4A1" w14:textId="77777777" w:rsidR="00386054" w:rsidRDefault="00386054" w:rsidP="00B578F4">
      <w:pPr>
        <w:pStyle w:val="ListParagraph"/>
        <w:rPr>
          <w:rStyle w:val="a"/>
        </w:rPr>
      </w:pPr>
      <w:r w:rsidRPr="00640F37">
        <w:rPr>
          <w:rStyle w:val="a"/>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EF8160" w14:textId="12CA2DB7" w:rsidR="00DB58AA" w:rsidRDefault="00DB58AA" w:rsidP="00DB58AA">
      <w:pPr>
        <w:ind w:left="360"/>
        <w:rPr>
          <w:rStyle w:val="a"/>
        </w:rPr>
      </w:pPr>
      <w:r>
        <w:rPr>
          <w:rStyle w:val="a"/>
        </w:rPr>
        <w:t xml:space="preserve">A 60-and 30-day Federal Register Notice was published and no public comments were received during the 60-day comment period. </w:t>
      </w:r>
    </w:p>
    <w:p w14:paraId="499C7891" w14:textId="77777777" w:rsidR="00DB58AA" w:rsidRDefault="00DB58AA" w:rsidP="00DB58AA">
      <w:pPr>
        <w:pStyle w:val="ListParagraph"/>
        <w:rPr>
          <w:rStyle w:val="a"/>
        </w:rPr>
      </w:pPr>
    </w:p>
    <w:p w14:paraId="3B794B07" w14:textId="77777777"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14:paraId="1FCE5B5C" w14:textId="3C783D7F" w:rsidR="00147CC1" w:rsidRPr="00DB58AA" w:rsidRDefault="00E108FF" w:rsidP="00147CC1">
      <w:pPr>
        <w:pStyle w:val="ListParagraph"/>
      </w:pPr>
      <w:r w:rsidRPr="00DB58AA">
        <w:rPr>
          <w:rStyle w:val="a"/>
        </w:rPr>
        <w:t xml:space="preserve">Not </w:t>
      </w:r>
      <w:r w:rsidR="00147CC1" w:rsidRPr="00DB58AA">
        <w:rPr>
          <w:rStyle w:val="a"/>
        </w:rPr>
        <w:t>A</w:t>
      </w:r>
      <w:r w:rsidRPr="00DB58AA">
        <w:rPr>
          <w:rStyle w:val="a"/>
        </w:rPr>
        <w:t>pplicable</w:t>
      </w:r>
      <w:r w:rsidR="00147CC1" w:rsidRPr="00DB58AA">
        <w:rPr>
          <w:rStyle w:val="a"/>
        </w:rPr>
        <w:t xml:space="preserve">: </w:t>
      </w:r>
      <w:r w:rsidR="00DB58AA">
        <w:rPr>
          <w:rStyle w:val="a"/>
        </w:rPr>
        <w:t>There are n</w:t>
      </w:r>
      <w:r w:rsidR="00147CC1" w:rsidRPr="00DB58AA">
        <w:rPr>
          <w:rStyle w:val="a"/>
        </w:rPr>
        <w:t xml:space="preserve">o payments or gifts are being provided to respondents. </w:t>
      </w:r>
    </w:p>
    <w:p w14:paraId="37400CA8" w14:textId="77777777"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14:paraId="1AAF999E" w14:textId="003E4B63" w:rsidR="00147CC1" w:rsidRPr="00DB58AA" w:rsidRDefault="00147CC1" w:rsidP="00DB58AA">
      <w:pPr>
        <w:ind w:left="360"/>
      </w:pPr>
      <w:r w:rsidRPr="00DB58AA">
        <w:t>The</w:t>
      </w:r>
      <w:r w:rsidR="00DB58AA">
        <w:t xml:space="preserve">re are no assurances of </w:t>
      </w:r>
      <w:r w:rsidRPr="00DB58AA">
        <w:t xml:space="preserve">confidentiality </w:t>
      </w:r>
      <w:r w:rsidR="00DB58AA">
        <w:t xml:space="preserve">with </w:t>
      </w:r>
      <w:proofErr w:type="gramStart"/>
      <w:r w:rsidR="00DB58AA">
        <w:t>no</w:t>
      </w:r>
      <w:proofErr w:type="gramEnd"/>
      <w:r w:rsidRPr="00DB58AA">
        <w:t xml:space="preserve"> Personally Identifiable Information </w:t>
      </w:r>
      <w:r w:rsidR="00DB58AA">
        <w:t>being collected</w:t>
      </w:r>
      <w:r w:rsidRPr="00DB58AA">
        <w:t xml:space="preserve">. </w:t>
      </w:r>
    </w:p>
    <w:p w14:paraId="30AC362F" w14:textId="77777777" w:rsidR="00DB58AA" w:rsidRPr="00DB58AA" w:rsidRDefault="00DB58AA" w:rsidP="00DB58AA">
      <w:pPr>
        <w:ind w:left="360"/>
        <w:rPr>
          <w:i/>
        </w:rPr>
      </w:pPr>
    </w:p>
    <w:p w14:paraId="4CD2202B" w14:textId="17F75887" w:rsidR="00147CC1" w:rsidRPr="00147CC1" w:rsidRDefault="00386054" w:rsidP="00147CC1">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2213EA" w14:textId="333E15A1" w:rsidR="00147CC1" w:rsidRPr="00DB58AA" w:rsidRDefault="00DB58AA" w:rsidP="00DB58AA">
      <w:pPr>
        <w:ind w:left="360"/>
      </w:pPr>
      <w:r w:rsidRPr="00DB58AA">
        <w:t xml:space="preserve">There are no </w:t>
      </w:r>
      <w:r w:rsidR="00147CC1" w:rsidRPr="00DB58AA">
        <w:t xml:space="preserve">sensitive questions are being asked. </w:t>
      </w:r>
    </w:p>
    <w:p w14:paraId="6FD09568" w14:textId="77777777" w:rsidR="00DB58AA" w:rsidRDefault="00DB58AA" w:rsidP="00DB58AA">
      <w:pPr>
        <w:pStyle w:val="ListParagraph"/>
        <w:rPr>
          <w:rStyle w:val="a"/>
        </w:rPr>
      </w:pPr>
    </w:p>
    <w:p w14:paraId="3A24C0E7" w14:textId="77777777" w:rsidR="00386054" w:rsidRPr="00661B76" w:rsidRDefault="00386054" w:rsidP="00B578F4">
      <w:pPr>
        <w:pStyle w:val="ListParagraph"/>
        <w:numPr>
          <w:ilvl w:val="0"/>
          <w:numId w:val="20"/>
        </w:numPr>
        <w:rPr>
          <w:rStyle w:val="a"/>
        </w:rPr>
      </w:pPr>
      <w:r w:rsidRPr="00661B76">
        <w:rPr>
          <w:rStyle w:val="a"/>
        </w:rPr>
        <w:t>Provide estimates of the hour burden of the collection of information.  The statement should:</w:t>
      </w:r>
    </w:p>
    <w:p w14:paraId="2F09239A" w14:textId="0BC451C2" w:rsidR="00386054" w:rsidRDefault="00386054" w:rsidP="00B83FB3">
      <w:pPr>
        <w:pStyle w:val="ListParagraph"/>
        <w:numPr>
          <w:ilvl w:val="0"/>
          <w:numId w:val="22"/>
        </w:numPr>
        <w:rPr>
          <w:rStyle w:val="a"/>
        </w:rPr>
      </w:pPr>
      <w:r w:rsidRPr="00661B76">
        <w:rPr>
          <w:rStyle w:val="a"/>
        </w:rPr>
        <w:lastRenderedPageBreak/>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661B76">
        <w:rPr>
          <w:rStyle w:val="a"/>
        </w:rPr>
        <w:t>Question</w:t>
      </w:r>
      <w:r w:rsidRPr="00661B76">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w:t>
      </w:r>
      <w:r w:rsidR="00AA3B09">
        <w:rPr>
          <w:rStyle w:val="a"/>
        </w:rPr>
        <w:t xml:space="preserve"> the reasons for the variance. </w:t>
      </w:r>
      <w:r w:rsidRPr="00661B76">
        <w:rPr>
          <w:rStyle w:val="a"/>
        </w:rPr>
        <w:t>Generally, estimates should not include burden hours for customary and usual business practices.</w:t>
      </w:r>
    </w:p>
    <w:p w14:paraId="61C2A4D3" w14:textId="77777777" w:rsidR="00AA3B09" w:rsidRPr="00AA3B09" w:rsidRDefault="00AA3B09" w:rsidP="00AA3B09">
      <w:pPr>
        <w:pStyle w:val="ListParagraph"/>
        <w:numPr>
          <w:ilvl w:val="0"/>
          <w:numId w:val="22"/>
        </w:numPr>
        <w:rPr>
          <w:rStyle w:val="a"/>
        </w:rPr>
      </w:pPr>
      <w:r w:rsidRPr="00AA3B09">
        <w:rPr>
          <w:rStyle w:val="a"/>
        </w:rPr>
        <w:t>If this request for approval covers more than one form, provide separate hour burden estimates for each form.  (The table should at minimum include Respondent types, Number of Respondents and Responses, Hours/Response, and Total Hours)</w:t>
      </w:r>
    </w:p>
    <w:p w14:paraId="1C64CABE" w14:textId="38579306" w:rsidR="00AA3B09" w:rsidRPr="00661B76" w:rsidRDefault="00AA3B09" w:rsidP="00AA3B09">
      <w:pPr>
        <w:pStyle w:val="ListParagraph"/>
        <w:numPr>
          <w:ilvl w:val="0"/>
          <w:numId w:val="22"/>
        </w:numPr>
        <w:rPr>
          <w:rStyle w:val="a"/>
        </w:rPr>
      </w:pPr>
      <w:r w:rsidRPr="00AA3B09">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6A4232CA" w14:textId="1E240BA0" w:rsidR="00AA3B09" w:rsidRPr="00DB58AA" w:rsidRDefault="000633B3" w:rsidP="00DB58AA">
      <w:pPr>
        <w:rPr>
          <w:rStyle w:val="a"/>
        </w:rPr>
      </w:pPr>
      <w:r w:rsidRPr="00DB58AA">
        <w:rPr>
          <w:rStyle w:val="a"/>
        </w:rPr>
        <w:t>This information collection will apply to two types of r</w:t>
      </w:r>
      <w:r w:rsidR="006970A0" w:rsidRPr="00DB58AA">
        <w:rPr>
          <w:rStyle w:val="a"/>
        </w:rPr>
        <w:t>espondents: private sector (for-profit and</w:t>
      </w:r>
      <w:r w:rsidRPr="00DB58AA">
        <w:rPr>
          <w:rStyle w:val="a"/>
        </w:rPr>
        <w:t xml:space="preserve"> not-for-profit institutions) and state or local governments </w:t>
      </w:r>
      <w:r w:rsidR="006970A0" w:rsidRPr="00DB58AA">
        <w:rPr>
          <w:rStyle w:val="a"/>
        </w:rPr>
        <w:t xml:space="preserve">(e.g., city boards of education, independent </w:t>
      </w:r>
      <w:r w:rsidRPr="00DB58AA">
        <w:rPr>
          <w:rStyle w:val="a"/>
        </w:rPr>
        <w:t>school districts)</w:t>
      </w:r>
      <w:r w:rsidR="00742F13" w:rsidRPr="00DB58AA">
        <w:rPr>
          <w:rStyle w:val="a"/>
        </w:rPr>
        <w:t xml:space="preserve"> across three grant programs</w:t>
      </w:r>
      <w:r w:rsidRPr="00DB58AA">
        <w:rPr>
          <w:rStyle w:val="a"/>
        </w:rPr>
        <w:t xml:space="preserve">. </w:t>
      </w:r>
      <w:r w:rsidR="00742F13" w:rsidRPr="00DB58AA">
        <w:rPr>
          <w:rStyle w:val="a"/>
        </w:rPr>
        <w:t>Overall</w:t>
      </w:r>
      <w:r w:rsidRPr="00DB58AA">
        <w:rPr>
          <w:rStyle w:val="a"/>
        </w:rPr>
        <w:t xml:space="preserve">, there are </w:t>
      </w:r>
      <w:r w:rsidR="006970A0" w:rsidRPr="00DB58AA">
        <w:rPr>
          <w:rStyle w:val="a"/>
        </w:rPr>
        <w:t>1</w:t>
      </w:r>
      <w:r w:rsidR="0096720A" w:rsidRPr="00DB58AA">
        <w:rPr>
          <w:rStyle w:val="a"/>
        </w:rPr>
        <w:t>2</w:t>
      </w:r>
      <w:r w:rsidRPr="00DB58AA">
        <w:rPr>
          <w:rStyle w:val="a"/>
        </w:rPr>
        <w:t xml:space="preserve"> private sector respondents, and </w:t>
      </w:r>
      <w:r w:rsidR="0096720A" w:rsidRPr="00DB58AA">
        <w:rPr>
          <w:rStyle w:val="a"/>
        </w:rPr>
        <w:t>37</w:t>
      </w:r>
      <w:r w:rsidRPr="00DB58AA">
        <w:rPr>
          <w:rStyle w:val="a"/>
        </w:rPr>
        <w:t xml:space="preserve"> state or local government respondents. </w:t>
      </w:r>
      <w:r w:rsidR="00742F13" w:rsidRPr="00DB58AA">
        <w:rPr>
          <w:rStyle w:val="a"/>
        </w:rPr>
        <w:t xml:space="preserve">See the table below for the breakdown of respondents by grant program type. </w:t>
      </w:r>
      <w:r w:rsidRPr="00DB58AA">
        <w:rPr>
          <w:rStyle w:val="a"/>
        </w:rPr>
        <w:t>Each entity will submit a response to the information collection twice per year, with an estimated burden of 40 hours per each response.</w:t>
      </w:r>
      <w:r w:rsidR="00C200EB" w:rsidRPr="00DB58AA">
        <w:rPr>
          <w:rStyle w:val="a"/>
        </w:rPr>
        <w:t xml:space="preserve"> Thus, each respondent will have 80 hours annual burden. This estimate was calculated by considering the burden hours</w:t>
      </w:r>
      <w:r w:rsidR="00DB58AA">
        <w:rPr>
          <w:rStyle w:val="a"/>
        </w:rPr>
        <w:t xml:space="preserve"> estimated for the ED 524B form. </w:t>
      </w:r>
      <w:r w:rsidR="00C200EB" w:rsidRPr="00DB58AA">
        <w:rPr>
          <w:rStyle w:val="a"/>
        </w:rPr>
        <w:t xml:space="preserve">The ED 524B form was estimated to require approximately 22 hours per respondent. </w:t>
      </w:r>
      <w:r w:rsidR="00DB58AA">
        <w:rPr>
          <w:rStyle w:val="a"/>
        </w:rPr>
        <w:t>This ICR collects</w:t>
      </w:r>
      <w:r w:rsidR="00C200EB" w:rsidRPr="00DB58AA">
        <w:rPr>
          <w:rStyle w:val="a"/>
        </w:rPr>
        <w:t xml:space="preserve"> additional information beyond that which is required by the ED 524B, specifically for Arts in Education grantees. </w:t>
      </w:r>
      <w:r w:rsidR="00F81667" w:rsidRPr="00DB58AA">
        <w:rPr>
          <w:rStyle w:val="a"/>
        </w:rPr>
        <w:t>The estimate of 40 hours per grantee response was reached after consultation with a few grantees from previous cohorts. This burden is expected to consist of recordkeeping practices and reporting activities, in order to provide the information requested in the APR template. Given the total number of grantee responses (</w:t>
      </w:r>
      <w:r w:rsidR="008547B0" w:rsidRPr="00DB58AA">
        <w:rPr>
          <w:rStyle w:val="a"/>
        </w:rPr>
        <w:t>49</w:t>
      </w:r>
      <w:r w:rsidR="00F81667" w:rsidRPr="00DB58AA">
        <w:rPr>
          <w:rStyle w:val="a"/>
        </w:rPr>
        <w:t xml:space="preserve">), burden time per response (40 hours), and number of responses per year (2 per grantee), the total estimated annual burden is </w:t>
      </w:r>
      <w:r w:rsidR="008547B0" w:rsidRPr="00DB58AA">
        <w:rPr>
          <w:rStyle w:val="a"/>
        </w:rPr>
        <w:t>3,920 hours</w:t>
      </w:r>
      <w:r w:rsidR="00F81667" w:rsidRPr="00DB58AA">
        <w:rPr>
          <w:rStyle w:val="a"/>
        </w:rPr>
        <w:t>.</w:t>
      </w:r>
    </w:p>
    <w:p w14:paraId="4E8793D2" w14:textId="08A36088" w:rsidR="00BA5A3C" w:rsidRPr="00DB58AA" w:rsidRDefault="00BA5A3C" w:rsidP="00DB58AA">
      <w:pPr>
        <w:rPr>
          <w:rStyle w:val="a"/>
        </w:rPr>
      </w:pPr>
      <w:r w:rsidRPr="00DB58AA">
        <w:rPr>
          <w:rStyle w:val="a"/>
        </w:rPr>
        <w:t xml:space="preserve">This request for approval covers three separate APR template forms, one for each grant program: AEMDD, PDAE, and AENP. Some components of the three forms are identical, and other sections are different. Specifically, each grant program has different GPRA requirements, thus the GPRA reporting sections on the three forms are not the same. However, the burden hours are expected to be the same regardless of which form the respondent is completing. </w:t>
      </w:r>
    </w:p>
    <w:tbl>
      <w:tblPr>
        <w:tblStyle w:val="TableGrid"/>
        <w:tblW w:w="9468" w:type="dxa"/>
        <w:tblInd w:w="720" w:type="dxa"/>
        <w:tblLook w:val="04A0" w:firstRow="1" w:lastRow="0" w:firstColumn="1" w:lastColumn="0" w:noHBand="0" w:noVBand="1"/>
      </w:tblPr>
      <w:tblGrid>
        <w:gridCol w:w="1548"/>
        <w:gridCol w:w="2430"/>
        <w:gridCol w:w="2700"/>
        <w:gridCol w:w="1890"/>
        <w:gridCol w:w="900"/>
      </w:tblGrid>
      <w:tr w:rsidR="007C0E8F" w:rsidRPr="00F81667" w14:paraId="6DDA32A5" w14:textId="77777777" w:rsidTr="007C0E8F">
        <w:tc>
          <w:tcPr>
            <w:tcW w:w="1548" w:type="dxa"/>
          </w:tcPr>
          <w:p w14:paraId="4A617764" w14:textId="39762105" w:rsidR="007C0E8F" w:rsidRPr="00BA5A3C" w:rsidRDefault="007C0E8F" w:rsidP="007C0E8F">
            <w:pPr>
              <w:rPr>
                <w:rStyle w:val="a"/>
                <w:b/>
              </w:rPr>
            </w:pPr>
            <w:r>
              <w:rPr>
                <w:rStyle w:val="a"/>
                <w:b/>
              </w:rPr>
              <w:t>Type of Form</w:t>
            </w:r>
          </w:p>
        </w:tc>
        <w:tc>
          <w:tcPr>
            <w:tcW w:w="2430" w:type="dxa"/>
          </w:tcPr>
          <w:p w14:paraId="423EBDC6" w14:textId="103B34B3" w:rsidR="007C0E8F" w:rsidRPr="00BA5A3C" w:rsidRDefault="007C0E8F" w:rsidP="007C0E8F">
            <w:pPr>
              <w:rPr>
                <w:rStyle w:val="a"/>
                <w:b/>
              </w:rPr>
            </w:pPr>
            <w:r w:rsidRPr="00BA5A3C">
              <w:rPr>
                <w:rStyle w:val="a"/>
                <w:b/>
              </w:rPr>
              <w:t>Respondent types</w:t>
            </w:r>
            <w:r>
              <w:rPr>
                <w:rStyle w:val="a"/>
                <w:b/>
              </w:rPr>
              <w:t>/Affected Public</w:t>
            </w:r>
          </w:p>
        </w:tc>
        <w:tc>
          <w:tcPr>
            <w:tcW w:w="2700" w:type="dxa"/>
          </w:tcPr>
          <w:p w14:paraId="7C0330A3" w14:textId="77777777" w:rsidR="007C0E8F" w:rsidRPr="00BA5A3C" w:rsidRDefault="007C0E8F" w:rsidP="007C0E8F">
            <w:pPr>
              <w:rPr>
                <w:rStyle w:val="a"/>
                <w:b/>
              </w:rPr>
            </w:pPr>
            <w:r w:rsidRPr="00BA5A3C">
              <w:rPr>
                <w:rStyle w:val="a"/>
                <w:b/>
              </w:rPr>
              <w:t>Number of respondents and responses</w:t>
            </w:r>
          </w:p>
        </w:tc>
        <w:tc>
          <w:tcPr>
            <w:tcW w:w="1890" w:type="dxa"/>
          </w:tcPr>
          <w:p w14:paraId="216DEA02" w14:textId="77777777" w:rsidR="007C0E8F" w:rsidRPr="00BA5A3C" w:rsidRDefault="007C0E8F" w:rsidP="007C0E8F">
            <w:pPr>
              <w:rPr>
                <w:rStyle w:val="a"/>
                <w:b/>
              </w:rPr>
            </w:pPr>
            <w:r w:rsidRPr="00BA5A3C">
              <w:rPr>
                <w:rStyle w:val="a"/>
                <w:b/>
              </w:rPr>
              <w:t>Hours/Response</w:t>
            </w:r>
          </w:p>
        </w:tc>
        <w:tc>
          <w:tcPr>
            <w:tcW w:w="900" w:type="dxa"/>
          </w:tcPr>
          <w:p w14:paraId="10B70DE5" w14:textId="77777777" w:rsidR="007C0E8F" w:rsidRPr="00BA5A3C" w:rsidRDefault="007C0E8F" w:rsidP="007C0E8F">
            <w:pPr>
              <w:rPr>
                <w:rStyle w:val="a"/>
                <w:b/>
              </w:rPr>
            </w:pPr>
            <w:r w:rsidRPr="00BA5A3C">
              <w:rPr>
                <w:rStyle w:val="a"/>
                <w:b/>
              </w:rPr>
              <w:t>Total hours</w:t>
            </w:r>
          </w:p>
        </w:tc>
      </w:tr>
      <w:tr w:rsidR="007C0E8F" w:rsidRPr="00F81667" w14:paraId="43AF0F97" w14:textId="77777777" w:rsidTr="007C0E8F">
        <w:tc>
          <w:tcPr>
            <w:tcW w:w="1548" w:type="dxa"/>
          </w:tcPr>
          <w:p w14:paraId="3A808E5B" w14:textId="03DD8B45" w:rsidR="007C0E8F" w:rsidRPr="00F81667" w:rsidRDefault="007C0E8F" w:rsidP="007C0E8F">
            <w:pPr>
              <w:rPr>
                <w:rStyle w:val="a"/>
              </w:rPr>
            </w:pPr>
            <w:r>
              <w:rPr>
                <w:rStyle w:val="a"/>
              </w:rPr>
              <w:t xml:space="preserve">AEMDD </w:t>
            </w:r>
            <w:r>
              <w:rPr>
                <w:rStyle w:val="a"/>
              </w:rPr>
              <w:lastRenderedPageBreak/>
              <w:t>APR form</w:t>
            </w:r>
          </w:p>
        </w:tc>
        <w:tc>
          <w:tcPr>
            <w:tcW w:w="2430" w:type="dxa"/>
          </w:tcPr>
          <w:p w14:paraId="66D5C63F" w14:textId="182E124B" w:rsidR="007C0E8F" w:rsidRPr="00F81667" w:rsidRDefault="007C0E8F" w:rsidP="007C0E8F">
            <w:pPr>
              <w:rPr>
                <w:rStyle w:val="a"/>
              </w:rPr>
            </w:pPr>
            <w:r w:rsidRPr="00F81667">
              <w:rPr>
                <w:rStyle w:val="a"/>
              </w:rPr>
              <w:lastRenderedPageBreak/>
              <w:t xml:space="preserve">AEMDD grantees: </w:t>
            </w:r>
            <w:r w:rsidRPr="00F81667">
              <w:rPr>
                <w:rStyle w:val="a"/>
              </w:rPr>
              <w:lastRenderedPageBreak/>
              <w:t>Private sector</w:t>
            </w:r>
          </w:p>
        </w:tc>
        <w:tc>
          <w:tcPr>
            <w:tcW w:w="2700" w:type="dxa"/>
          </w:tcPr>
          <w:p w14:paraId="322344B7" w14:textId="77777777" w:rsidR="007C0E8F" w:rsidRPr="00F81667" w:rsidRDefault="007C0E8F" w:rsidP="007C0E8F">
            <w:pPr>
              <w:rPr>
                <w:rStyle w:val="a"/>
              </w:rPr>
            </w:pPr>
            <w:r>
              <w:rPr>
                <w:rStyle w:val="a"/>
              </w:rPr>
              <w:lastRenderedPageBreak/>
              <w:t xml:space="preserve">11 grantees, 2 times per </w:t>
            </w:r>
            <w:r>
              <w:rPr>
                <w:rStyle w:val="a"/>
              </w:rPr>
              <w:lastRenderedPageBreak/>
              <w:t>year each</w:t>
            </w:r>
          </w:p>
        </w:tc>
        <w:tc>
          <w:tcPr>
            <w:tcW w:w="1890" w:type="dxa"/>
          </w:tcPr>
          <w:p w14:paraId="0E0FF48E" w14:textId="77777777" w:rsidR="007C0E8F" w:rsidRPr="00F81667" w:rsidRDefault="007C0E8F" w:rsidP="007C0E8F">
            <w:pPr>
              <w:rPr>
                <w:rStyle w:val="a"/>
              </w:rPr>
            </w:pPr>
            <w:r>
              <w:rPr>
                <w:rStyle w:val="a"/>
              </w:rPr>
              <w:lastRenderedPageBreak/>
              <w:t>40</w:t>
            </w:r>
          </w:p>
        </w:tc>
        <w:tc>
          <w:tcPr>
            <w:tcW w:w="900" w:type="dxa"/>
          </w:tcPr>
          <w:p w14:paraId="1525976C" w14:textId="77777777" w:rsidR="007C0E8F" w:rsidRPr="00F81667" w:rsidRDefault="007C0E8F" w:rsidP="007C0E8F">
            <w:pPr>
              <w:rPr>
                <w:rStyle w:val="a"/>
              </w:rPr>
            </w:pPr>
            <w:r>
              <w:rPr>
                <w:rStyle w:val="a"/>
              </w:rPr>
              <w:t>880</w:t>
            </w:r>
          </w:p>
        </w:tc>
      </w:tr>
      <w:tr w:rsidR="007C0E8F" w:rsidRPr="00F81667" w14:paraId="0075BE1D" w14:textId="77777777" w:rsidTr="007C0E8F">
        <w:tc>
          <w:tcPr>
            <w:tcW w:w="1548" w:type="dxa"/>
          </w:tcPr>
          <w:p w14:paraId="2866DC7C" w14:textId="6534905C" w:rsidR="007C0E8F" w:rsidRPr="00F81667" w:rsidRDefault="007C0E8F" w:rsidP="007C0E8F">
            <w:pPr>
              <w:rPr>
                <w:rStyle w:val="a"/>
              </w:rPr>
            </w:pPr>
            <w:r>
              <w:rPr>
                <w:rStyle w:val="a"/>
              </w:rPr>
              <w:lastRenderedPageBreak/>
              <w:t>AEMDD APR form</w:t>
            </w:r>
          </w:p>
        </w:tc>
        <w:tc>
          <w:tcPr>
            <w:tcW w:w="2430" w:type="dxa"/>
          </w:tcPr>
          <w:p w14:paraId="2DF5E23B" w14:textId="70E1FAFE" w:rsidR="007C0E8F" w:rsidRPr="00F81667" w:rsidRDefault="007C0E8F" w:rsidP="007C0E8F">
            <w:pPr>
              <w:rPr>
                <w:rStyle w:val="a"/>
              </w:rPr>
            </w:pPr>
            <w:r w:rsidRPr="00F81667">
              <w:rPr>
                <w:rStyle w:val="a"/>
              </w:rPr>
              <w:t>AEMDD grantees: Local government</w:t>
            </w:r>
          </w:p>
        </w:tc>
        <w:tc>
          <w:tcPr>
            <w:tcW w:w="2700" w:type="dxa"/>
          </w:tcPr>
          <w:p w14:paraId="4CF4CB1F" w14:textId="77777777" w:rsidR="007C0E8F" w:rsidRDefault="007C0E8F" w:rsidP="007C0E8F">
            <w:r>
              <w:rPr>
                <w:rStyle w:val="a"/>
              </w:rPr>
              <w:t>15</w:t>
            </w:r>
            <w:r w:rsidRPr="00937495">
              <w:rPr>
                <w:rStyle w:val="a"/>
              </w:rPr>
              <w:t xml:space="preserve"> grantees, 2 times per year each</w:t>
            </w:r>
          </w:p>
        </w:tc>
        <w:tc>
          <w:tcPr>
            <w:tcW w:w="1890" w:type="dxa"/>
          </w:tcPr>
          <w:p w14:paraId="66214E5C" w14:textId="77777777" w:rsidR="007C0E8F" w:rsidRPr="00F81667" w:rsidRDefault="007C0E8F" w:rsidP="007C0E8F">
            <w:pPr>
              <w:rPr>
                <w:rStyle w:val="a"/>
              </w:rPr>
            </w:pPr>
            <w:r>
              <w:rPr>
                <w:rStyle w:val="a"/>
              </w:rPr>
              <w:t>40</w:t>
            </w:r>
          </w:p>
        </w:tc>
        <w:tc>
          <w:tcPr>
            <w:tcW w:w="900" w:type="dxa"/>
          </w:tcPr>
          <w:p w14:paraId="26C8010E" w14:textId="77777777" w:rsidR="007C0E8F" w:rsidRPr="00F81667" w:rsidRDefault="007C0E8F" w:rsidP="007C0E8F">
            <w:pPr>
              <w:rPr>
                <w:rStyle w:val="a"/>
              </w:rPr>
            </w:pPr>
            <w:r>
              <w:rPr>
                <w:rStyle w:val="a"/>
              </w:rPr>
              <w:t>1,200</w:t>
            </w:r>
          </w:p>
        </w:tc>
      </w:tr>
      <w:tr w:rsidR="007C0E8F" w14:paraId="3338B1BA" w14:textId="77777777" w:rsidTr="007C0E8F">
        <w:tc>
          <w:tcPr>
            <w:tcW w:w="1548" w:type="dxa"/>
          </w:tcPr>
          <w:p w14:paraId="68D83947" w14:textId="2C92FF67" w:rsidR="007C0E8F" w:rsidRDefault="007C0E8F" w:rsidP="007C0E8F">
            <w:pPr>
              <w:rPr>
                <w:rStyle w:val="a"/>
              </w:rPr>
            </w:pPr>
            <w:r>
              <w:rPr>
                <w:rStyle w:val="a"/>
              </w:rPr>
              <w:t>PDAE APR form</w:t>
            </w:r>
          </w:p>
        </w:tc>
        <w:tc>
          <w:tcPr>
            <w:tcW w:w="2430" w:type="dxa"/>
          </w:tcPr>
          <w:p w14:paraId="400B06FF" w14:textId="0D253E6B" w:rsidR="007C0E8F" w:rsidRPr="00F81667" w:rsidRDefault="007C0E8F" w:rsidP="007C0E8F">
            <w:pPr>
              <w:rPr>
                <w:rStyle w:val="a"/>
              </w:rPr>
            </w:pPr>
            <w:r>
              <w:rPr>
                <w:rStyle w:val="a"/>
              </w:rPr>
              <w:t>PDAE grantees: Local government</w:t>
            </w:r>
          </w:p>
        </w:tc>
        <w:tc>
          <w:tcPr>
            <w:tcW w:w="2700" w:type="dxa"/>
          </w:tcPr>
          <w:p w14:paraId="021841C7" w14:textId="77777777" w:rsidR="007C0E8F" w:rsidRDefault="007C0E8F" w:rsidP="007C0E8F">
            <w:r>
              <w:rPr>
                <w:rStyle w:val="a"/>
              </w:rPr>
              <w:t>22</w:t>
            </w:r>
            <w:r w:rsidRPr="00937495">
              <w:rPr>
                <w:rStyle w:val="a"/>
              </w:rPr>
              <w:t xml:space="preserve"> grantees, 2 times per year each</w:t>
            </w:r>
          </w:p>
        </w:tc>
        <w:tc>
          <w:tcPr>
            <w:tcW w:w="1890" w:type="dxa"/>
          </w:tcPr>
          <w:p w14:paraId="77A025C3" w14:textId="77777777" w:rsidR="007C0E8F" w:rsidRPr="00F81667" w:rsidRDefault="007C0E8F" w:rsidP="007C0E8F">
            <w:pPr>
              <w:rPr>
                <w:rStyle w:val="a"/>
              </w:rPr>
            </w:pPr>
            <w:r>
              <w:rPr>
                <w:rStyle w:val="a"/>
              </w:rPr>
              <w:t>40</w:t>
            </w:r>
          </w:p>
        </w:tc>
        <w:tc>
          <w:tcPr>
            <w:tcW w:w="900" w:type="dxa"/>
          </w:tcPr>
          <w:p w14:paraId="55D5AC11" w14:textId="77777777" w:rsidR="007C0E8F" w:rsidRPr="00F81667" w:rsidRDefault="007C0E8F" w:rsidP="007C0E8F">
            <w:pPr>
              <w:rPr>
                <w:rStyle w:val="a"/>
              </w:rPr>
            </w:pPr>
            <w:r>
              <w:rPr>
                <w:rStyle w:val="a"/>
              </w:rPr>
              <w:t>1,760</w:t>
            </w:r>
          </w:p>
        </w:tc>
      </w:tr>
      <w:tr w:rsidR="007C0E8F" w14:paraId="7DCEF98D" w14:textId="77777777" w:rsidTr="007C0E8F">
        <w:tc>
          <w:tcPr>
            <w:tcW w:w="1548" w:type="dxa"/>
          </w:tcPr>
          <w:p w14:paraId="6EBB4CFB" w14:textId="695A05C4" w:rsidR="007C0E8F" w:rsidRDefault="007C0E8F" w:rsidP="007C0E8F">
            <w:pPr>
              <w:rPr>
                <w:rStyle w:val="a"/>
              </w:rPr>
            </w:pPr>
            <w:r>
              <w:rPr>
                <w:rStyle w:val="a"/>
              </w:rPr>
              <w:t>AENP APR form</w:t>
            </w:r>
          </w:p>
        </w:tc>
        <w:tc>
          <w:tcPr>
            <w:tcW w:w="2430" w:type="dxa"/>
          </w:tcPr>
          <w:p w14:paraId="2107019E" w14:textId="4A1A51A7" w:rsidR="007C0E8F" w:rsidRDefault="007C0E8F" w:rsidP="007C0E8F">
            <w:pPr>
              <w:rPr>
                <w:rStyle w:val="a"/>
              </w:rPr>
            </w:pPr>
            <w:r>
              <w:rPr>
                <w:rStyle w:val="a"/>
              </w:rPr>
              <w:t>AENP: Private sector</w:t>
            </w:r>
          </w:p>
        </w:tc>
        <w:tc>
          <w:tcPr>
            <w:tcW w:w="2700" w:type="dxa"/>
          </w:tcPr>
          <w:p w14:paraId="24D5CF99" w14:textId="77777777" w:rsidR="007C0E8F" w:rsidRPr="00F81667" w:rsidRDefault="007C0E8F" w:rsidP="007C0E8F">
            <w:pPr>
              <w:rPr>
                <w:rStyle w:val="a"/>
              </w:rPr>
            </w:pPr>
            <w:r>
              <w:rPr>
                <w:rStyle w:val="a"/>
              </w:rPr>
              <w:t>1 grantee, 2 times per year</w:t>
            </w:r>
          </w:p>
        </w:tc>
        <w:tc>
          <w:tcPr>
            <w:tcW w:w="1890" w:type="dxa"/>
          </w:tcPr>
          <w:p w14:paraId="3989DD76" w14:textId="77777777" w:rsidR="007C0E8F" w:rsidRPr="00F81667" w:rsidRDefault="007C0E8F" w:rsidP="007C0E8F">
            <w:pPr>
              <w:rPr>
                <w:rStyle w:val="a"/>
              </w:rPr>
            </w:pPr>
            <w:r>
              <w:rPr>
                <w:rStyle w:val="a"/>
              </w:rPr>
              <w:t>40</w:t>
            </w:r>
          </w:p>
        </w:tc>
        <w:tc>
          <w:tcPr>
            <w:tcW w:w="900" w:type="dxa"/>
          </w:tcPr>
          <w:p w14:paraId="7901D4E3" w14:textId="77777777" w:rsidR="007C0E8F" w:rsidRPr="00F81667" w:rsidRDefault="007C0E8F" w:rsidP="007C0E8F">
            <w:pPr>
              <w:rPr>
                <w:rStyle w:val="a"/>
              </w:rPr>
            </w:pPr>
            <w:r>
              <w:rPr>
                <w:rStyle w:val="a"/>
              </w:rPr>
              <w:t>80</w:t>
            </w:r>
          </w:p>
        </w:tc>
      </w:tr>
      <w:tr w:rsidR="007C0E8F" w14:paraId="5AF9DA8D" w14:textId="77777777" w:rsidTr="007C0E8F">
        <w:tc>
          <w:tcPr>
            <w:tcW w:w="1548" w:type="dxa"/>
          </w:tcPr>
          <w:p w14:paraId="692E7CC8" w14:textId="77777777" w:rsidR="007C0E8F" w:rsidRPr="0096720A" w:rsidRDefault="007C0E8F" w:rsidP="00F81667">
            <w:pPr>
              <w:rPr>
                <w:rStyle w:val="a"/>
                <w:b/>
              </w:rPr>
            </w:pPr>
          </w:p>
        </w:tc>
        <w:tc>
          <w:tcPr>
            <w:tcW w:w="7020" w:type="dxa"/>
            <w:gridSpan w:val="3"/>
          </w:tcPr>
          <w:p w14:paraId="0848978D" w14:textId="228526CE" w:rsidR="007C0E8F" w:rsidRDefault="007C0E8F" w:rsidP="00F81667">
            <w:pPr>
              <w:rPr>
                <w:rStyle w:val="a"/>
              </w:rPr>
            </w:pPr>
            <w:r w:rsidRPr="0096720A">
              <w:rPr>
                <w:rStyle w:val="a"/>
                <w:b/>
              </w:rPr>
              <w:t>TOTAL HOURS</w:t>
            </w:r>
          </w:p>
        </w:tc>
        <w:tc>
          <w:tcPr>
            <w:tcW w:w="900" w:type="dxa"/>
          </w:tcPr>
          <w:p w14:paraId="63EAC37A" w14:textId="77777777" w:rsidR="007C0E8F" w:rsidRPr="0096720A" w:rsidRDefault="007C0E8F" w:rsidP="00F81667">
            <w:pPr>
              <w:rPr>
                <w:rStyle w:val="a"/>
                <w:b/>
              </w:rPr>
            </w:pPr>
            <w:r w:rsidRPr="0096720A">
              <w:rPr>
                <w:rStyle w:val="a"/>
                <w:b/>
              </w:rPr>
              <w:t>3,920</w:t>
            </w:r>
          </w:p>
        </w:tc>
      </w:tr>
    </w:tbl>
    <w:p w14:paraId="3E4237A1" w14:textId="77777777" w:rsidR="00F81667" w:rsidRPr="00F81667" w:rsidRDefault="00F81667" w:rsidP="00F81667">
      <w:pPr>
        <w:ind w:left="720"/>
        <w:rPr>
          <w:rStyle w:val="a"/>
          <w:highlight w:val="yellow"/>
        </w:rPr>
      </w:pPr>
    </w:p>
    <w:p w14:paraId="32E8C27A" w14:textId="77777777" w:rsidR="00AA3B09" w:rsidRDefault="00AA3B09" w:rsidP="00AA3B09">
      <w:pPr>
        <w:rPr>
          <w:rStyle w:val="a"/>
          <w:i/>
        </w:rPr>
      </w:pPr>
    </w:p>
    <w:p w14:paraId="267993C5" w14:textId="77777777" w:rsidR="00AA3B09" w:rsidRDefault="00AA3B09" w:rsidP="00AA3B09">
      <w:pPr>
        <w:rPr>
          <w:rStyle w:val="a"/>
          <w:i/>
        </w:rPr>
      </w:pPr>
    </w:p>
    <w:p w14:paraId="6D283CB3" w14:textId="67C6CB53" w:rsidR="00E108FF" w:rsidRPr="00396631" w:rsidRDefault="00E108FF" w:rsidP="00396631">
      <w:pPr>
        <w:rPr>
          <w:rStyle w:val="a"/>
        </w:rPr>
      </w:pPr>
      <w:r w:rsidRPr="00396631">
        <w:rPr>
          <w:rStyle w:val="a"/>
        </w:rPr>
        <w:t xml:space="preserve">As described in the table above, the total estimated annual burden is 3,920 hours. The APR template will be completed in part by grantee business office staff, and </w:t>
      </w:r>
      <w:r w:rsidR="0048727B" w:rsidRPr="00396631">
        <w:rPr>
          <w:rStyle w:val="a"/>
        </w:rPr>
        <w:t>the remain</w:t>
      </w:r>
      <w:r w:rsidR="00F01755" w:rsidRPr="00396631">
        <w:rPr>
          <w:rStyle w:val="a"/>
        </w:rPr>
        <w:t xml:space="preserve">der of the form will be completed by a Project Coordinator/Manager and/or the Project Director, depending on assigned grantee key personnel. </w:t>
      </w:r>
      <w:r w:rsidR="0032771F" w:rsidRPr="00396631">
        <w:rPr>
          <w:rStyle w:val="a"/>
        </w:rPr>
        <w:t xml:space="preserve">Salary rates for these individuals vary across grantees, as some grantees are affiliated with local government, whereas others are within the private sector, all located throughout the US. </w:t>
      </w:r>
      <w:r w:rsidR="00F01755" w:rsidRPr="00396631">
        <w:rPr>
          <w:rStyle w:val="a"/>
        </w:rPr>
        <w:t xml:space="preserve">Thus, </w:t>
      </w:r>
      <w:r w:rsidR="0032771F" w:rsidRPr="00396631">
        <w:rPr>
          <w:rStyle w:val="a"/>
        </w:rPr>
        <w:t>a</w:t>
      </w:r>
      <w:r w:rsidR="00561318" w:rsidRPr="00396631">
        <w:rPr>
          <w:rStyle w:val="a"/>
        </w:rPr>
        <w:t>n estimate of the hourly rate of key personnel responding to the information collection request is $</w:t>
      </w:r>
      <w:r w:rsidR="00585B4F" w:rsidRPr="00396631">
        <w:rPr>
          <w:rStyle w:val="a"/>
        </w:rPr>
        <w:t>30</w:t>
      </w:r>
      <w:r w:rsidR="00561318" w:rsidRPr="00396631">
        <w:rPr>
          <w:rStyle w:val="a"/>
        </w:rPr>
        <w:t xml:space="preserve"> - $</w:t>
      </w:r>
      <w:r w:rsidR="00585B4F" w:rsidRPr="00396631">
        <w:rPr>
          <w:rStyle w:val="a"/>
        </w:rPr>
        <w:t>4</w:t>
      </w:r>
      <w:r w:rsidR="00561318" w:rsidRPr="00396631">
        <w:rPr>
          <w:rStyle w:val="a"/>
        </w:rPr>
        <w:t>0.</w:t>
      </w:r>
      <w:r w:rsidR="0032771F" w:rsidRPr="00396631">
        <w:rPr>
          <w:rStyle w:val="a"/>
        </w:rPr>
        <w:t xml:space="preserve">  </w:t>
      </w:r>
      <w:r w:rsidR="00561318" w:rsidRPr="00396631">
        <w:rPr>
          <w:rStyle w:val="a"/>
        </w:rPr>
        <w:t>T</w:t>
      </w:r>
      <w:r w:rsidR="00F01755" w:rsidRPr="00396631">
        <w:rPr>
          <w:rStyle w:val="a"/>
        </w:rPr>
        <w:t>he estimate of annualized cost is 3,920* (</w:t>
      </w:r>
      <w:r w:rsidR="00585B4F" w:rsidRPr="00396631">
        <w:rPr>
          <w:rStyle w:val="a"/>
        </w:rPr>
        <w:t>3</w:t>
      </w:r>
      <w:r w:rsidR="00561318" w:rsidRPr="00396631">
        <w:rPr>
          <w:rStyle w:val="a"/>
        </w:rPr>
        <w:t>0</w:t>
      </w:r>
      <w:r w:rsidR="00F01755" w:rsidRPr="00396631">
        <w:rPr>
          <w:rStyle w:val="a"/>
        </w:rPr>
        <w:t xml:space="preserve">) = </w:t>
      </w:r>
      <w:r w:rsidR="00C80F63" w:rsidRPr="00396631">
        <w:rPr>
          <w:rStyle w:val="a"/>
        </w:rPr>
        <w:t>$</w:t>
      </w:r>
      <w:r w:rsidR="00561318" w:rsidRPr="00396631">
        <w:rPr>
          <w:rStyle w:val="a"/>
        </w:rPr>
        <w:t>1</w:t>
      </w:r>
      <w:r w:rsidR="00585B4F" w:rsidRPr="00396631">
        <w:rPr>
          <w:rStyle w:val="a"/>
        </w:rPr>
        <w:t>17</w:t>
      </w:r>
      <w:r w:rsidR="00561318" w:rsidRPr="00396631">
        <w:rPr>
          <w:rStyle w:val="a"/>
        </w:rPr>
        <w:t>,</w:t>
      </w:r>
      <w:r w:rsidR="00585B4F" w:rsidRPr="00396631">
        <w:rPr>
          <w:rStyle w:val="a"/>
        </w:rPr>
        <w:t>6</w:t>
      </w:r>
      <w:r w:rsidR="00561318" w:rsidRPr="00396631">
        <w:rPr>
          <w:rStyle w:val="a"/>
        </w:rPr>
        <w:t>00; 3,920*(</w:t>
      </w:r>
      <w:r w:rsidR="00585B4F" w:rsidRPr="00396631">
        <w:rPr>
          <w:rStyle w:val="a"/>
        </w:rPr>
        <w:t>4</w:t>
      </w:r>
      <w:r w:rsidR="00561318" w:rsidRPr="00396631">
        <w:rPr>
          <w:rStyle w:val="a"/>
        </w:rPr>
        <w:t xml:space="preserve">0) = </w:t>
      </w:r>
      <w:r w:rsidR="00C80F63" w:rsidRPr="00396631">
        <w:rPr>
          <w:rStyle w:val="a"/>
        </w:rPr>
        <w:t>$</w:t>
      </w:r>
      <w:r w:rsidR="00561318" w:rsidRPr="00396631">
        <w:rPr>
          <w:rStyle w:val="a"/>
        </w:rPr>
        <w:t>1</w:t>
      </w:r>
      <w:r w:rsidR="00585B4F" w:rsidRPr="00396631">
        <w:rPr>
          <w:rStyle w:val="a"/>
        </w:rPr>
        <w:t>5</w:t>
      </w:r>
      <w:r w:rsidR="00561318" w:rsidRPr="00396631">
        <w:rPr>
          <w:rStyle w:val="a"/>
        </w:rPr>
        <w:t xml:space="preserve">6,000 (a range of </w:t>
      </w:r>
      <w:r w:rsidR="00C80F63" w:rsidRPr="00396631">
        <w:rPr>
          <w:rStyle w:val="a"/>
        </w:rPr>
        <w:t>$</w:t>
      </w:r>
      <w:r w:rsidR="00561318" w:rsidRPr="00396631">
        <w:rPr>
          <w:rStyle w:val="a"/>
        </w:rPr>
        <w:t>1</w:t>
      </w:r>
      <w:r w:rsidR="00585B4F" w:rsidRPr="00396631">
        <w:rPr>
          <w:rStyle w:val="a"/>
        </w:rPr>
        <w:t>17</w:t>
      </w:r>
      <w:r w:rsidR="00561318" w:rsidRPr="00396631">
        <w:rPr>
          <w:rStyle w:val="a"/>
        </w:rPr>
        <w:t>,</w:t>
      </w:r>
      <w:r w:rsidR="00585B4F" w:rsidRPr="00396631">
        <w:rPr>
          <w:rStyle w:val="a"/>
        </w:rPr>
        <w:t>6</w:t>
      </w:r>
      <w:r w:rsidR="00561318" w:rsidRPr="00396631">
        <w:rPr>
          <w:rStyle w:val="a"/>
        </w:rPr>
        <w:t xml:space="preserve">00 – </w:t>
      </w:r>
      <w:r w:rsidR="00C80F63" w:rsidRPr="00396631">
        <w:rPr>
          <w:rStyle w:val="a"/>
        </w:rPr>
        <w:t>$</w:t>
      </w:r>
      <w:r w:rsidR="00561318" w:rsidRPr="00396631">
        <w:rPr>
          <w:rStyle w:val="a"/>
        </w:rPr>
        <w:t>1</w:t>
      </w:r>
      <w:r w:rsidR="00585B4F" w:rsidRPr="00396631">
        <w:rPr>
          <w:rStyle w:val="a"/>
        </w:rPr>
        <w:t>5</w:t>
      </w:r>
      <w:r w:rsidR="00561318" w:rsidRPr="00396631">
        <w:rPr>
          <w:rStyle w:val="a"/>
        </w:rPr>
        <w:t>6,000).</w:t>
      </w:r>
      <w:r w:rsidR="004E1F84" w:rsidRPr="00396631">
        <w:rPr>
          <w:rStyle w:val="FootnoteReference"/>
        </w:rPr>
        <w:footnoteReference w:id="1"/>
      </w:r>
    </w:p>
    <w:p w14:paraId="75E4C980" w14:textId="77777777" w:rsidR="00EA61FE" w:rsidRPr="00EA61FE" w:rsidRDefault="00EA61FE" w:rsidP="00742F13">
      <w:pPr>
        <w:rPr>
          <w:highlight w:val="yellow"/>
        </w:rPr>
      </w:pPr>
    </w:p>
    <w:p w14:paraId="651327C9" w14:textId="77777777" w:rsidR="00386054" w:rsidRPr="00561318" w:rsidRDefault="00386054" w:rsidP="00B578F4">
      <w:pPr>
        <w:pStyle w:val="ListParagraph"/>
        <w:numPr>
          <w:ilvl w:val="0"/>
          <w:numId w:val="20"/>
        </w:numPr>
      </w:pPr>
      <w:r w:rsidRPr="00561318">
        <w:rPr>
          <w:rStyle w:val="a"/>
        </w:rPr>
        <w:t xml:space="preserve">Provide an estimate of the total annual cost burden to respondents or record keepers resulting from the collection of information.  (Do not include the cost of any hour burden shown in </w:t>
      </w:r>
      <w:r w:rsidR="00103C7E" w:rsidRPr="00561318">
        <w:rPr>
          <w:rStyle w:val="a"/>
        </w:rPr>
        <w:t>Question</w:t>
      </w:r>
      <w:r w:rsidRPr="00561318">
        <w:rPr>
          <w:rStyle w:val="a"/>
        </w:rPr>
        <w:t>s 12 and 14.)</w:t>
      </w:r>
    </w:p>
    <w:p w14:paraId="50E80DE0" w14:textId="3EE5F591" w:rsidR="00742F13" w:rsidRPr="00561318" w:rsidRDefault="00386054" w:rsidP="00561318">
      <w:pPr>
        <w:pStyle w:val="ListParagraph"/>
        <w:numPr>
          <w:ilvl w:val="0"/>
          <w:numId w:val="23"/>
        </w:numPr>
        <w:ind w:left="1080"/>
      </w:pPr>
      <w:r w:rsidRPr="00561318">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D9C6627" w14:textId="33C114FD" w:rsidR="00742F13" w:rsidRPr="00164F38" w:rsidRDefault="00386054" w:rsidP="00164F38">
      <w:pPr>
        <w:pStyle w:val="ListParagraph"/>
        <w:numPr>
          <w:ilvl w:val="0"/>
          <w:numId w:val="23"/>
        </w:numPr>
        <w:ind w:left="1080"/>
      </w:pPr>
      <w:r w:rsidRPr="00561318">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561318">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07E0AE" w14:textId="77777777" w:rsidR="00386054" w:rsidRPr="00561318" w:rsidRDefault="00386054" w:rsidP="00B83FB3">
      <w:pPr>
        <w:pStyle w:val="ListParagraph"/>
        <w:numPr>
          <w:ilvl w:val="0"/>
          <w:numId w:val="23"/>
        </w:numPr>
        <w:ind w:left="1080"/>
      </w:pPr>
      <w:r w:rsidRPr="00561318">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61318">
        <w:t>government</w:t>
      </w:r>
      <w:r w:rsidRPr="00561318">
        <w:t xml:space="preserve"> or (4) as part of customary and usual business or private practices.</w:t>
      </w:r>
      <w:r w:rsidR="001743A5" w:rsidRPr="00561318">
        <w:t xml:space="preserve"> Also, these estimates should not include the hourly costs (i.e., the monetization of the hours) captured above in </w:t>
      </w:r>
      <w:r w:rsidR="00103C7E" w:rsidRPr="00561318">
        <w:t xml:space="preserve">Question </w:t>
      </w:r>
      <w:r w:rsidR="001743A5" w:rsidRPr="00561318">
        <w:t>12</w:t>
      </w:r>
      <w:r w:rsidR="00103C7E" w:rsidRPr="00561318">
        <w:t>.</w:t>
      </w:r>
    </w:p>
    <w:p w14:paraId="741900A4" w14:textId="1599D2D6" w:rsidR="00742F13" w:rsidRPr="00396631" w:rsidRDefault="00164F38" w:rsidP="00CF151F">
      <w:pPr>
        <w:ind w:firstLine="360"/>
      </w:pPr>
      <w:r w:rsidRPr="00396631">
        <w:t>There are no costs other than those included in #12 above.</w:t>
      </w:r>
    </w:p>
    <w:p w14:paraId="2BA73874" w14:textId="77777777" w:rsidR="00B83FB3" w:rsidRPr="00164F38" w:rsidRDefault="00386054" w:rsidP="00B578F4">
      <w:pPr>
        <w:pStyle w:val="ListParagraph"/>
        <w:numPr>
          <w:ilvl w:val="0"/>
          <w:numId w:val="20"/>
        </w:numPr>
        <w:rPr>
          <w:rStyle w:val="a"/>
        </w:rPr>
      </w:pPr>
      <w:r w:rsidRPr="00164F38">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164F38">
        <w:rPr>
          <w:rStyle w:val="a"/>
        </w:rPr>
        <w:t>Questions</w:t>
      </w:r>
      <w:r w:rsidRPr="00164F38">
        <w:rPr>
          <w:rStyle w:val="a"/>
        </w:rPr>
        <w:t xml:space="preserve"> 12, 13, and 14 in a single table.</w:t>
      </w:r>
    </w:p>
    <w:p w14:paraId="492D884A" w14:textId="277D40D3" w:rsidR="00742F13" w:rsidRPr="00396631" w:rsidRDefault="00742F13" w:rsidP="00396631">
      <w:pPr>
        <w:ind w:left="360"/>
        <w:rPr>
          <w:rStyle w:val="a"/>
        </w:rPr>
      </w:pPr>
      <w:r w:rsidRPr="00396631">
        <w:rPr>
          <w:rStyle w:val="a"/>
        </w:rPr>
        <w:t>The estimate of annual costs to the federal government includes quantification of staff hours needed to receive and review data submitted through the information collection.</w:t>
      </w:r>
      <w:r w:rsidR="00F51611" w:rsidRPr="00396631">
        <w:rPr>
          <w:rStyle w:val="a"/>
        </w:rPr>
        <w:t xml:space="preserve"> </w:t>
      </w:r>
      <w:r w:rsidR="00C80F63" w:rsidRPr="00396631">
        <w:rPr>
          <w:color w:val="000000"/>
          <w:shd w:val="clear" w:color="auto" w:fill="FFFFFF"/>
        </w:rPr>
        <w:t>The cost to the Federal Government is the Department of Education Program Officer’s role, with a wage rate of $</w:t>
      </w:r>
      <w:r w:rsidR="00A80B95" w:rsidRPr="00396631">
        <w:rPr>
          <w:color w:val="000000"/>
          <w:shd w:val="clear" w:color="auto" w:fill="FFFFFF"/>
        </w:rPr>
        <w:t>35</w:t>
      </w:r>
      <w:r w:rsidR="00C80F63" w:rsidRPr="00396631">
        <w:rPr>
          <w:color w:val="000000"/>
          <w:shd w:val="clear" w:color="auto" w:fill="FFFFFF"/>
        </w:rPr>
        <w:t xml:space="preserve"> per hour, multiplied by the time it takes to review a completed grantee template (</w:t>
      </w:r>
      <w:r w:rsidR="004E1F84" w:rsidRPr="00396631">
        <w:rPr>
          <w:color w:val="000000"/>
          <w:shd w:val="clear" w:color="auto" w:fill="FFFFFF"/>
        </w:rPr>
        <w:t>2</w:t>
      </w:r>
      <w:r w:rsidR="00C80F63" w:rsidRPr="00396631">
        <w:rPr>
          <w:color w:val="000000"/>
          <w:shd w:val="clear" w:color="auto" w:fill="FFFFFF"/>
        </w:rPr>
        <w:t xml:space="preserve"> hours) or $</w:t>
      </w:r>
      <w:r w:rsidR="00A80B95" w:rsidRPr="00396631">
        <w:rPr>
          <w:color w:val="000000"/>
          <w:shd w:val="clear" w:color="auto" w:fill="FFFFFF"/>
        </w:rPr>
        <w:t>70</w:t>
      </w:r>
      <w:r w:rsidR="00C80F63" w:rsidRPr="00396631">
        <w:rPr>
          <w:color w:val="000000"/>
          <w:shd w:val="clear" w:color="auto" w:fill="FFFFFF"/>
        </w:rPr>
        <w:t>, per grantee. Total cost to government is 49 grantees x $</w:t>
      </w:r>
      <w:r w:rsidR="00A80B95" w:rsidRPr="00396631">
        <w:rPr>
          <w:color w:val="000000"/>
          <w:shd w:val="clear" w:color="auto" w:fill="FFFFFF"/>
        </w:rPr>
        <w:t>70</w:t>
      </w:r>
      <w:r w:rsidR="00C80F63" w:rsidRPr="00396631">
        <w:rPr>
          <w:color w:val="000000"/>
          <w:shd w:val="clear" w:color="auto" w:fill="FFFFFF"/>
        </w:rPr>
        <w:t xml:space="preserve"> = $</w:t>
      </w:r>
      <w:r w:rsidR="00A80B95" w:rsidRPr="00396631">
        <w:rPr>
          <w:color w:val="000000"/>
          <w:shd w:val="clear" w:color="auto" w:fill="FFFFFF"/>
        </w:rPr>
        <w:t>3,430</w:t>
      </w:r>
      <w:r w:rsidR="00C80F63" w:rsidRPr="00396631">
        <w:rPr>
          <w:color w:val="000000"/>
          <w:shd w:val="clear" w:color="auto" w:fill="FFFFFF"/>
        </w:rPr>
        <w:t xml:space="preserve">. Other operational expenses, such as equipment, overhead, and support staff expenses, would have occurred without this collection of information requirements and are considered normal operating expenses. </w:t>
      </w:r>
    </w:p>
    <w:p w14:paraId="72D26A07" w14:textId="77777777" w:rsidR="00742F13" w:rsidRPr="0044390E" w:rsidRDefault="00742F13" w:rsidP="00742F13">
      <w:pPr>
        <w:pStyle w:val="ListParagraph"/>
        <w:rPr>
          <w:rStyle w:val="a"/>
          <w:highlight w:val="yellow"/>
        </w:rPr>
      </w:pPr>
    </w:p>
    <w:p w14:paraId="0D3A8502" w14:textId="77777777" w:rsidR="00B83FB3" w:rsidRPr="00000A3A" w:rsidRDefault="00386054" w:rsidP="00B578F4">
      <w:pPr>
        <w:pStyle w:val="ListParagraph"/>
        <w:numPr>
          <w:ilvl w:val="0"/>
          <w:numId w:val="20"/>
        </w:numPr>
      </w:pPr>
      <w:r w:rsidRPr="00000A3A">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00A3A">
        <w:t xml:space="preserve">totals for </w:t>
      </w:r>
      <w:r w:rsidRPr="00000A3A">
        <w:t>changes in burden hours</w:t>
      </w:r>
      <w:r w:rsidR="002473CE" w:rsidRPr="00000A3A">
        <w:t>, responses</w:t>
      </w:r>
      <w:r w:rsidRPr="00000A3A">
        <w:t xml:space="preserve"> and cost</w:t>
      </w:r>
      <w:r w:rsidR="002473CE" w:rsidRPr="00000A3A">
        <w:t>s</w:t>
      </w:r>
      <w:r w:rsidRPr="00000A3A">
        <w:t xml:space="preserve"> </w:t>
      </w:r>
      <w:r w:rsidR="002473CE" w:rsidRPr="00000A3A">
        <w:t>(if applicable)</w:t>
      </w:r>
      <w:r w:rsidRPr="00000A3A">
        <w:t>.</w:t>
      </w:r>
    </w:p>
    <w:p w14:paraId="2FF3BDED" w14:textId="04C12DB7" w:rsidR="00742F13" w:rsidRPr="00396631" w:rsidRDefault="00742F13" w:rsidP="00396631">
      <w:pPr>
        <w:ind w:left="360"/>
      </w:pPr>
      <w:r w:rsidRPr="00396631">
        <w:t xml:space="preserve">This is a </w:t>
      </w:r>
      <w:r w:rsidR="00396631">
        <w:t xml:space="preserve">new data collection and there is a program change increase of 3920 annual burden hours. </w:t>
      </w:r>
      <w:r w:rsidRPr="00396631">
        <w:t xml:space="preserve"> </w:t>
      </w:r>
    </w:p>
    <w:p w14:paraId="6C9CD245" w14:textId="77777777" w:rsidR="00396631" w:rsidRDefault="00396631" w:rsidP="00396631">
      <w:pPr>
        <w:pStyle w:val="ListParagraph"/>
        <w:rPr>
          <w:rStyle w:val="a"/>
        </w:rPr>
      </w:pPr>
    </w:p>
    <w:p w14:paraId="34C9ECDD" w14:textId="77777777" w:rsidR="00103C7E" w:rsidRDefault="00386054" w:rsidP="00B578F4">
      <w:pPr>
        <w:pStyle w:val="ListParagraph"/>
        <w:numPr>
          <w:ilvl w:val="0"/>
          <w:numId w:val="20"/>
        </w:numPr>
        <w:rPr>
          <w:rStyle w:val="a"/>
        </w:rPr>
      </w:pPr>
      <w:r w:rsidRPr="00322E02">
        <w:rPr>
          <w:rStyle w:val="a"/>
        </w:rPr>
        <w:lastRenderedPageBreak/>
        <w:t xml:space="preserve">For collections of information whose results will be published, outline plans for tabulation and publication.  Address any complex analytical techniques that will be used.  </w:t>
      </w:r>
    </w:p>
    <w:p w14:paraId="3AB00BD6" w14:textId="77777777" w:rsidR="00396631" w:rsidRDefault="00396631" w:rsidP="00396631">
      <w:pPr>
        <w:ind w:left="360"/>
        <w:rPr>
          <w:rStyle w:val="a"/>
        </w:rPr>
      </w:pPr>
    </w:p>
    <w:p w14:paraId="57A0B1E2" w14:textId="39E2186E" w:rsidR="00F51611" w:rsidRPr="00396631" w:rsidRDefault="00F51611" w:rsidP="00396631">
      <w:pPr>
        <w:ind w:left="360"/>
        <w:rPr>
          <w:rStyle w:val="a"/>
        </w:rPr>
      </w:pPr>
      <w:r w:rsidRPr="00396631">
        <w:rPr>
          <w:rStyle w:val="a"/>
        </w:rPr>
        <w:t xml:space="preserve">The GPRA data obtained as part of this information collection will ultimately be aggregated and published to illustrate overall grant program progress. </w:t>
      </w:r>
    </w:p>
    <w:p w14:paraId="573BA0AB" w14:textId="77777777" w:rsidR="00396631" w:rsidRDefault="00396631" w:rsidP="00396631">
      <w:pPr>
        <w:pStyle w:val="ListParagraph"/>
        <w:rPr>
          <w:rStyle w:val="a"/>
        </w:rPr>
      </w:pPr>
    </w:p>
    <w:p w14:paraId="4190A3DD" w14:textId="77777777"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14:paraId="04214F8B" w14:textId="4A62A170" w:rsidR="00025586" w:rsidRPr="00396631" w:rsidRDefault="00025586" w:rsidP="00396631">
      <w:pPr>
        <w:ind w:left="360"/>
        <w:rPr>
          <w:rStyle w:val="a"/>
        </w:rPr>
      </w:pPr>
      <w:r w:rsidRPr="00396631">
        <w:rPr>
          <w:rStyle w:val="a"/>
        </w:rPr>
        <w:t xml:space="preserve">Grantees are required to submit their completed APR templates in response to the information collection request a minimum of 30 days after the template is due. APR templates are due twice per year, in May/June when the grantee reports on budget and performance data from the beginning of that fiscal year, and again in November of the same calendar year to report on the entire previous fiscal year. This cycle is repeated during each year of grant funding. </w:t>
      </w:r>
    </w:p>
    <w:p w14:paraId="769203E8" w14:textId="77777777" w:rsidR="00396631" w:rsidRDefault="00396631" w:rsidP="00396631">
      <w:pPr>
        <w:pStyle w:val="ListParagraph"/>
        <w:rPr>
          <w:rStyle w:val="a"/>
        </w:rPr>
      </w:pPr>
    </w:p>
    <w:p w14:paraId="75BC11BF" w14:textId="77777777" w:rsidR="00396631" w:rsidRPr="00322E02" w:rsidRDefault="00386054" w:rsidP="00396631">
      <w:pPr>
        <w:pStyle w:val="ListParagraph"/>
        <w:numPr>
          <w:ilvl w:val="0"/>
          <w:numId w:val="20"/>
        </w:numPr>
      </w:pPr>
      <w:r w:rsidRPr="00322E02">
        <w:rPr>
          <w:rStyle w:val="a"/>
        </w:rPr>
        <w:t>If seeking approval to not display the expiration date for OMB approval of the information collection, explain the reasons that display would be inappropriate.</w:t>
      </w:r>
      <w:r w:rsidR="00396631">
        <w:rPr>
          <w:rStyle w:val="a"/>
        </w:rPr>
        <w:t xml:space="preserve"> </w:t>
      </w:r>
      <w:r w:rsidR="00396631" w:rsidRPr="00322E02">
        <w:rPr>
          <w:rStyle w:val="a"/>
        </w:rPr>
        <w:t>Explain each exception to the certification statement identified in the Certification of Paperwork Reduction Act.</w:t>
      </w:r>
    </w:p>
    <w:p w14:paraId="64EB3D5C" w14:textId="033DD25E" w:rsidR="00B83FB3" w:rsidRDefault="00B83FB3" w:rsidP="00396631">
      <w:pPr>
        <w:pStyle w:val="ListParagraph"/>
        <w:rPr>
          <w:rStyle w:val="a"/>
        </w:rPr>
      </w:pPr>
    </w:p>
    <w:p w14:paraId="11808A73" w14:textId="0B4C2B2F" w:rsidR="00025586" w:rsidRPr="00396631" w:rsidRDefault="00025586" w:rsidP="00396631">
      <w:pPr>
        <w:ind w:left="360"/>
        <w:rPr>
          <w:rStyle w:val="a"/>
        </w:rPr>
      </w:pPr>
      <w:r w:rsidRPr="00396631">
        <w:rPr>
          <w:rStyle w:val="a"/>
        </w:rPr>
        <w:t>This approval is not being sought.</w:t>
      </w:r>
    </w:p>
    <w:sectPr w:rsidR="00025586" w:rsidRPr="00396631"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0BFA8" w14:textId="77777777" w:rsidR="00784A84" w:rsidRDefault="00784A84">
      <w:pPr>
        <w:spacing w:line="20" w:lineRule="exact"/>
      </w:pPr>
    </w:p>
  </w:endnote>
  <w:endnote w:type="continuationSeparator" w:id="0">
    <w:p w14:paraId="5FCFF2C1" w14:textId="77777777" w:rsidR="00784A84" w:rsidRDefault="00784A84">
      <w:r>
        <w:t xml:space="preserve"> </w:t>
      </w:r>
    </w:p>
  </w:endnote>
  <w:endnote w:type="continuationNotice" w:id="1">
    <w:p w14:paraId="7B822A30" w14:textId="77777777" w:rsidR="00784A84" w:rsidRDefault="00784A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8E09" w14:textId="77777777" w:rsidR="00EA61FE" w:rsidRDefault="00EA61FE">
    <w:pPr>
      <w:tabs>
        <w:tab w:val="left" w:pos="0"/>
      </w:tabs>
      <w:suppressAutoHyphens/>
    </w:pPr>
    <w:r>
      <w:rPr>
        <w:noProof/>
      </w:rPr>
      <mc:AlternateContent>
        <mc:Choice Requires="wps">
          <w:drawing>
            <wp:anchor distT="0" distB="0" distL="114300" distR="114300" simplePos="0" relativeHeight="251657728" behindDoc="1" locked="0" layoutInCell="0" allowOverlap="1" wp14:anchorId="3DAB4F65" wp14:editId="7011A2A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F995C52" w14:textId="77777777" w:rsidR="00EA61FE" w:rsidRDefault="00EA61FE" w:rsidP="00431228">
                          <w:pPr>
                            <w:tabs>
                              <w:tab w:val="center" w:pos="4650"/>
                            </w:tabs>
                            <w:suppressAutoHyphens/>
                            <w:jc w:val="center"/>
                          </w:pPr>
                          <w:r>
                            <w:fldChar w:fldCharType="begin"/>
                          </w:r>
                          <w:r>
                            <w:instrText>page \* arabic</w:instrText>
                          </w:r>
                          <w:r>
                            <w:fldChar w:fldCharType="separate"/>
                          </w:r>
                          <w:r w:rsidR="00897723">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F995C52" w14:textId="77777777" w:rsidR="00EA61FE" w:rsidRDefault="00EA61FE" w:rsidP="00431228">
                    <w:pPr>
                      <w:tabs>
                        <w:tab w:val="center" w:pos="4650"/>
                      </w:tabs>
                      <w:suppressAutoHyphens/>
                      <w:jc w:val="center"/>
                    </w:pPr>
                    <w:r>
                      <w:fldChar w:fldCharType="begin"/>
                    </w:r>
                    <w:r>
                      <w:instrText>page \* arabic</w:instrText>
                    </w:r>
                    <w:r>
                      <w:fldChar w:fldCharType="separate"/>
                    </w:r>
                    <w:r w:rsidR="00897723">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E8934" w14:textId="77777777" w:rsidR="00784A84" w:rsidRDefault="00784A84">
      <w:r>
        <w:separator/>
      </w:r>
    </w:p>
  </w:footnote>
  <w:footnote w:type="continuationSeparator" w:id="0">
    <w:p w14:paraId="036288B2" w14:textId="77777777" w:rsidR="00784A84" w:rsidRDefault="00784A84">
      <w:r>
        <w:continuationSeparator/>
      </w:r>
    </w:p>
  </w:footnote>
  <w:footnote w:id="1">
    <w:p w14:paraId="50733067" w14:textId="73F83DFD" w:rsidR="004E1F84" w:rsidRDefault="004E1F84">
      <w:pPr>
        <w:pStyle w:val="FootnoteText"/>
      </w:pPr>
      <w:r>
        <w:rPr>
          <w:rStyle w:val="FootnoteReference"/>
        </w:rPr>
        <w:footnoteRef/>
      </w:r>
      <w:r>
        <w:t xml:space="preserve"> </w:t>
      </w:r>
      <w:r w:rsidRPr="004E1F84">
        <w:rPr>
          <w:sz w:val="20"/>
        </w:rPr>
        <w:t>Note that a range cannot be provided in the Data Part I and Part II forms. The midpoint of this range was included ($136,800 in Part I and $35 as the hourly rate multiplier in the cost burden table in Part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A3A"/>
    <w:rsid w:val="00016E14"/>
    <w:rsid w:val="00025586"/>
    <w:rsid w:val="000325F9"/>
    <w:rsid w:val="00033B58"/>
    <w:rsid w:val="00050CBE"/>
    <w:rsid w:val="000633B3"/>
    <w:rsid w:val="000909E0"/>
    <w:rsid w:val="000A2965"/>
    <w:rsid w:val="000B14D8"/>
    <w:rsid w:val="000B263F"/>
    <w:rsid w:val="000E592D"/>
    <w:rsid w:val="000F175B"/>
    <w:rsid w:val="00103C7E"/>
    <w:rsid w:val="00130F85"/>
    <w:rsid w:val="0014500F"/>
    <w:rsid w:val="00147CC1"/>
    <w:rsid w:val="00153F20"/>
    <w:rsid w:val="00164F38"/>
    <w:rsid w:val="001743A5"/>
    <w:rsid w:val="0018279C"/>
    <w:rsid w:val="00186557"/>
    <w:rsid w:val="001D185B"/>
    <w:rsid w:val="002020E4"/>
    <w:rsid w:val="00205269"/>
    <w:rsid w:val="00216200"/>
    <w:rsid w:val="002473CE"/>
    <w:rsid w:val="00251381"/>
    <w:rsid w:val="00252B57"/>
    <w:rsid w:val="00294698"/>
    <w:rsid w:val="002950DB"/>
    <w:rsid w:val="002A1B21"/>
    <w:rsid w:val="002A4473"/>
    <w:rsid w:val="002B0412"/>
    <w:rsid w:val="002B0A95"/>
    <w:rsid w:val="003101D6"/>
    <w:rsid w:val="00322E02"/>
    <w:rsid w:val="00325D22"/>
    <w:rsid w:val="0032771F"/>
    <w:rsid w:val="003754AD"/>
    <w:rsid w:val="00386054"/>
    <w:rsid w:val="00396631"/>
    <w:rsid w:val="003C1868"/>
    <w:rsid w:val="003C29C2"/>
    <w:rsid w:val="003C7F70"/>
    <w:rsid w:val="003E285A"/>
    <w:rsid w:val="003E539A"/>
    <w:rsid w:val="00431228"/>
    <w:rsid w:val="0044390E"/>
    <w:rsid w:val="00447F26"/>
    <w:rsid w:val="00454C49"/>
    <w:rsid w:val="0048727B"/>
    <w:rsid w:val="004A2DBB"/>
    <w:rsid w:val="004D6005"/>
    <w:rsid w:val="004D762F"/>
    <w:rsid w:val="004E1F84"/>
    <w:rsid w:val="004E23D9"/>
    <w:rsid w:val="004F692A"/>
    <w:rsid w:val="00512598"/>
    <w:rsid w:val="005269B6"/>
    <w:rsid w:val="0053551D"/>
    <w:rsid w:val="00561318"/>
    <w:rsid w:val="00563CCF"/>
    <w:rsid w:val="00574020"/>
    <w:rsid w:val="00583C0E"/>
    <w:rsid w:val="00585B4F"/>
    <w:rsid w:val="005A1566"/>
    <w:rsid w:val="005A1DFC"/>
    <w:rsid w:val="005A4185"/>
    <w:rsid w:val="005D2E7B"/>
    <w:rsid w:val="005E3F8D"/>
    <w:rsid w:val="00617A98"/>
    <w:rsid w:val="0063484C"/>
    <w:rsid w:val="00640F37"/>
    <w:rsid w:val="00654305"/>
    <w:rsid w:val="00661B76"/>
    <w:rsid w:val="006737C0"/>
    <w:rsid w:val="00677BC2"/>
    <w:rsid w:val="006970A0"/>
    <w:rsid w:val="006A3B5C"/>
    <w:rsid w:val="006A5E6D"/>
    <w:rsid w:val="006C01D0"/>
    <w:rsid w:val="006C5423"/>
    <w:rsid w:val="006F5FFF"/>
    <w:rsid w:val="00706C41"/>
    <w:rsid w:val="00742F13"/>
    <w:rsid w:val="00750301"/>
    <w:rsid w:val="007661D9"/>
    <w:rsid w:val="00784A84"/>
    <w:rsid w:val="00787B58"/>
    <w:rsid w:val="007B14E8"/>
    <w:rsid w:val="007C0E8F"/>
    <w:rsid w:val="007C12B5"/>
    <w:rsid w:val="007E77FA"/>
    <w:rsid w:val="008011B6"/>
    <w:rsid w:val="008547B0"/>
    <w:rsid w:val="00872295"/>
    <w:rsid w:val="00897723"/>
    <w:rsid w:val="008A6CB8"/>
    <w:rsid w:val="008E074C"/>
    <w:rsid w:val="008F3062"/>
    <w:rsid w:val="00921CB1"/>
    <w:rsid w:val="0094177F"/>
    <w:rsid w:val="009544A3"/>
    <w:rsid w:val="0096720A"/>
    <w:rsid w:val="009949A8"/>
    <w:rsid w:val="009A2520"/>
    <w:rsid w:val="009A56D8"/>
    <w:rsid w:val="00A01331"/>
    <w:rsid w:val="00A21038"/>
    <w:rsid w:val="00A41F2C"/>
    <w:rsid w:val="00A80B95"/>
    <w:rsid w:val="00A87940"/>
    <w:rsid w:val="00A94CCB"/>
    <w:rsid w:val="00AA3B09"/>
    <w:rsid w:val="00AB0D7D"/>
    <w:rsid w:val="00AC1605"/>
    <w:rsid w:val="00B23EC0"/>
    <w:rsid w:val="00B578F4"/>
    <w:rsid w:val="00B6671A"/>
    <w:rsid w:val="00B668B5"/>
    <w:rsid w:val="00B83FB3"/>
    <w:rsid w:val="00BA13A2"/>
    <w:rsid w:val="00BA5A3C"/>
    <w:rsid w:val="00BC244F"/>
    <w:rsid w:val="00BD1325"/>
    <w:rsid w:val="00BF2B99"/>
    <w:rsid w:val="00C200EB"/>
    <w:rsid w:val="00C27B97"/>
    <w:rsid w:val="00C641E9"/>
    <w:rsid w:val="00C71525"/>
    <w:rsid w:val="00C723C2"/>
    <w:rsid w:val="00C80F63"/>
    <w:rsid w:val="00C9556E"/>
    <w:rsid w:val="00CE61A7"/>
    <w:rsid w:val="00CE72AF"/>
    <w:rsid w:val="00CF151F"/>
    <w:rsid w:val="00CF7053"/>
    <w:rsid w:val="00D004BE"/>
    <w:rsid w:val="00D115BF"/>
    <w:rsid w:val="00D269C3"/>
    <w:rsid w:val="00D52146"/>
    <w:rsid w:val="00DB58AA"/>
    <w:rsid w:val="00E023B7"/>
    <w:rsid w:val="00E07290"/>
    <w:rsid w:val="00E108FF"/>
    <w:rsid w:val="00E52F91"/>
    <w:rsid w:val="00E75939"/>
    <w:rsid w:val="00EA3C1F"/>
    <w:rsid w:val="00EA61FE"/>
    <w:rsid w:val="00EC2CC4"/>
    <w:rsid w:val="00EF7FF5"/>
    <w:rsid w:val="00F012D5"/>
    <w:rsid w:val="00F01755"/>
    <w:rsid w:val="00F313DF"/>
    <w:rsid w:val="00F51611"/>
    <w:rsid w:val="00F651D1"/>
    <w:rsid w:val="00F743B4"/>
    <w:rsid w:val="00F81667"/>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D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4177F"/>
    <w:rPr>
      <w:color w:val="0000FF" w:themeColor="hyperlink"/>
      <w:u w:val="single"/>
    </w:rPr>
  </w:style>
  <w:style w:type="character" w:styleId="FollowedHyperlink">
    <w:name w:val="FollowedHyperlink"/>
    <w:basedOn w:val="DefaultParagraphFont"/>
    <w:uiPriority w:val="99"/>
    <w:semiHidden/>
    <w:unhideWhenUsed/>
    <w:rsid w:val="00000A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4177F"/>
    <w:rPr>
      <w:color w:val="0000FF" w:themeColor="hyperlink"/>
      <w:u w:val="single"/>
    </w:rPr>
  </w:style>
  <w:style w:type="character" w:styleId="FollowedHyperlink">
    <w:name w:val="FollowedHyperlink"/>
    <w:basedOn w:val="DefaultParagraphFont"/>
    <w:uiPriority w:val="99"/>
    <w:semiHidden/>
    <w:unhideWhenUsed/>
    <w:rsid w:val="00000A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D8C8-76C4-4C6B-B9A4-4B973E49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8</cp:revision>
  <cp:lastPrinted>2014-09-11T17:04:00Z</cp:lastPrinted>
  <dcterms:created xsi:type="dcterms:W3CDTF">2016-05-25T19:19:00Z</dcterms:created>
  <dcterms:modified xsi:type="dcterms:W3CDTF">2016-05-26T21:02:00Z</dcterms:modified>
</cp:coreProperties>
</file>