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640F37" w:rsidRDefault="00016E14">
      <w:pPr>
        <w:jc w:val="center"/>
        <w:rPr>
          <w:rFonts w:ascii="Courier" w:hAnsi="Courier"/>
        </w:rPr>
      </w:pPr>
      <w:r w:rsidRPr="00640F37">
        <w:rPr>
          <w:rFonts w:ascii="Courier" w:hAnsi="Courier"/>
        </w:rPr>
        <w:t>OMB Number</w:t>
      </w:r>
      <w:r w:rsidR="00FE1526">
        <w:rPr>
          <w:rFonts w:ascii="Courier" w:hAnsi="Courier"/>
        </w:rPr>
        <w:t>s</w:t>
      </w:r>
      <w:r w:rsidRPr="00640F37">
        <w:rPr>
          <w:rFonts w:ascii="Courier" w:hAnsi="Courier"/>
        </w:rPr>
        <w:t xml:space="preserve">: </w:t>
      </w:r>
      <w:r w:rsidR="007E56E4">
        <w:rPr>
          <w:rFonts w:ascii="Courier" w:hAnsi="Courier"/>
        </w:rPr>
        <w:t>1810-0581</w:t>
      </w:r>
    </w:p>
    <w:p w:rsidR="00251381" w:rsidRPr="00640F37" w:rsidRDefault="00016E14">
      <w:pPr>
        <w:jc w:val="center"/>
        <w:rPr>
          <w:rFonts w:ascii="Courier" w:hAnsi="Courier"/>
        </w:rPr>
      </w:pPr>
      <w:r w:rsidRPr="00640F37">
        <w:rPr>
          <w:rFonts w:ascii="Courier" w:hAnsi="Courier"/>
        </w:rPr>
        <w:t xml:space="preserve">Revised </w:t>
      </w:r>
      <w:r w:rsidR="00FE1526">
        <w:rPr>
          <w:rFonts w:ascii="Courier" w:hAnsi="Courier"/>
        </w:rPr>
        <w:t>03</w:t>
      </w:r>
      <w:r w:rsidRPr="00640F37">
        <w:rPr>
          <w:rFonts w:ascii="Courier" w:hAnsi="Courier"/>
        </w:rPr>
        <w:t>/</w:t>
      </w:r>
      <w:r w:rsidR="007E4407">
        <w:rPr>
          <w:rFonts w:ascii="Courier" w:hAnsi="Courier"/>
        </w:rPr>
        <w:t>31</w:t>
      </w:r>
      <w:r w:rsidRPr="00640F37">
        <w:rPr>
          <w:rFonts w:ascii="Courier" w:hAnsi="Courier"/>
        </w:rPr>
        <w:t>/</w:t>
      </w:r>
      <w:r w:rsidR="00FE1526">
        <w:rPr>
          <w:rFonts w:ascii="Courier" w:hAnsi="Courier"/>
        </w:rPr>
        <w:t>2016</w:t>
      </w:r>
    </w:p>
    <w:p w:rsidR="00251381" w:rsidRPr="00640F37" w:rsidRDefault="00016E14">
      <w:pPr>
        <w:jc w:val="center"/>
        <w:rPr>
          <w:rFonts w:ascii="Courier" w:hAnsi="Courier"/>
          <w:szCs w:val="20"/>
        </w:rPr>
      </w:pPr>
      <w:r w:rsidRPr="00640F37">
        <w:rPr>
          <w:rFonts w:ascii="Courier" w:hAnsi="Courier"/>
        </w:rPr>
        <w:t xml:space="preserve">RIN Number: </w:t>
      </w:r>
      <w:r w:rsidR="00FE1526">
        <w:rPr>
          <w:rFonts w:ascii="Courier" w:hAnsi="Courier"/>
        </w:rPr>
        <w:t>1810</w:t>
      </w:r>
      <w:r w:rsidRPr="00640F37">
        <w:rPr>
          <w:rFonts w:ascii="Courier" w:hAnsi="Courier"/>
        </w:rPr>
        <w:t>-</w:t>
      </w:r>
      <w:r w:rsidR="00FE1526">
        <w:rPr>
          <w:rFonts w:ascii="Courier" w:hAnsi="Courier"/>
        </w:rPr>
        <w:t>AB27</w:t>
      </w:r>
      <w:r w:rsidRPr="00640F37">
        <w:rPr>
          <w:rFonts w:ascii="Courier" w:hAnsi="Courier"/>
        </w:rPr>
        <w:t xml:space="preserve"> </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rsidR="008F32A2" w:rsidRDefault="008814FE" w:rsidP="00B00AEF">
      <w:pPr>
        <w:pStyle w:val="ListParagraph"/>
      </w:pPr>
      <w:r w:rsidRPr="005F149E">
        <w:t xml:space="preserve">A1. Title I, Part A (Title I) of the Elementary and Secondary Education Act of 1965 (ESEA), as amended by the </w:t>
      </w:r>
      <w:r>
        <w:t>Every Student Succeeds Act of 2015 (ESSA)</w:t>
      </w:r>
      <w:r w:rsidRPr="005F149E">
        <w:t>, and its regulations contain several provisions that require State educational agencies (SEAs), local educational agencies (LEAs), and schools to collect and disseminate information.  The Paperwork Reduction Ac</w:t>
      </w:r>
      <w:r w:rsidR="0011490F">
        <w:t>t (PRA) covers these activities. The previous authorization of the ESEA contained information collection requirements</w:t>
      </w:r>
      <w:r w:rsidRPr="005F149E">
        <w:t xml:space="preserve"> which are currently approved by OMB under control number 1810-0581.  </w:t>
      </w:r>
      <w:r w:rsidRPr="00ED43C2">
        <w:t xml:space="preserve">     </w:t>
      </w:r>
    </w:p>
    <w:p w:rsidR="00A258D6" w:rsidRPr="00B00AEF" w:rsidRDefault="00A258D6" w:rsidP="00B00AEF">
      <w:pPr>
        <w:pStyle w:val="ListParagraph"/>
      </w:pPr>
      <w:r>
        <w:t>The Department of Education proposes to amend the regulations implementing Title I of the ESEA, as amended by the ESSA. The Notice of Proposed Rulemaking includes changes to 34 CFR sections 200.30 through 200.3</w:t>
      </w:r>
      <w:r w:rsidR="006419D8">
        <w:t>7</w:t>
      </w:r>
      <w:r w:rsidR="00901BF1">
        <w:t>, which affect the burden estimates in this information collection</w:t>
      </w:r>
      <w:r>
        <w:t>.</w:t>
      </w:r>
    </w:p>
    <w:p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rsidR="007836C1" w:rsidRDefault="007836C1" w:rsidP="007836C1">
      <w:pPr>
        <w:pStyle w:val="ListParagraph"/>
        <w:rPr>
          <w:snapToGrid w:val="0"/>
        </w:rPr>
      </w:pPr>
      <w:r>
        <w:rPr>
          <w:snapToGrid w:val="0"/>
        </w:rPr>
        <w:t xml:space="preserve">A2. </w:t>
      </w:r>
      <w:r w:rsidRPr="005F149E">
        <w:rPr>
          <w:snapToGrid w:val="0"/>
        </w:rPr>
        <w:t>SEAs, LEAs, and schools collect and disseminate the information to carry out the above-referenced reporting requirements of Title I of the ESEA.  The information is used to facilitate compliance with statutory and regulatory requirements and to provide information to school communities (including parents), LEAs, SEAs and ED regarding activities required under Title I of the ESEA.</w:t>
      </w:r>
    </w:p>
    <w:p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7836C1" w:rsidRDefault="007836C1" w:rsidP="007836C1">
      <w:pPr>
        <w:pStyle w:val="ListParagraph"/>
        <w:rPr>
          <w:snapToGrid w:val="0"/>
        </w:rPr>
      </w:pPr>
      <w:r>
        <w:rPr>
          <w:snapToGrid w:val="0"/>
        </w:rPr>
        <w:lastRenderedPageBreak/>
        <w:t xml:space="preserve">A3. </w:t>
      </w:r>
      <w:r w:rsidRPr="005F149E">
        <w:rPr>
          <w:snapToGrid w:val="0"/>
        </w:rPr>
        <w:t>The regulations do not require or preclude LEAs and SEAs from using information technology to reduce burden.</w:t>
      </w:r>
    </w:p>
    <w:p w:rsidR="00B83FB3" w:rsidRPr="007836C1" w:rsidRDefault="00386054" w:rsidP="00B578F4">
      <w:pPr>
        <w:pStyle w:val="ListParagraph"/>
        <w:numPr>
          <w:ilvl w:val="0"/>
          <w:numId w:val="20"/>
        </w:numPr>
        <w:rPr>
          <w:i/>
        </w:rPr>
      </w:pPr>
      <w:r w:rsidRPr="007836C1">
        <w:rPr>
          <w:i/>
        </w:rPr>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rsidR="007836C1" w:rsidRPr="002F7B45" w:rsidRDefault="00291D39" w:rsidP="007836C1">
      <w:pPr>
        <w:pStyle w:val="ListParagraph"/>
      </w:pPr>
      <w:r>
        <w:t xml:space="preserve">A4. </w:t>
      </w:r>
      <w:r w:rsidR="00A47830">
        <w:t>There is no duplication in the regulations.</w:t>
      </w:r>
    </w:p>
    <w:p w:rsidR="00B83FB3" w:rsidRPr="00195296" w:rsidRDefault="00386054" w:rsidP="00B578F4">
      <w:pPr>
        <w:pStyle w:val="ListParagraph"/>
        <w:numPr>
          <w:ilvl w:val="0"/>
          <w:numId w:val="20"/>
        </w:numPr>
        <w:rPr>
          <w:i/>
        </w:rPr>
      </w:pPr>
      <w:r w:rsidRPr="00195296">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95296" w:rsidRDefault="00195296" w:rsidP="00195296">
      <w:pPr>
        <w:pStyle w:val="ListParagraph"/>
      </w:pPr>
      <w:r w:rsidRPr="005F149E">
        <w:t>A5.  Small businesses have not been impacted by this data collection nor will the changes impact them.  The only small entities affected by the regulations are small LEAs.  Moreover, because SEAs are responsible for ensuring that the LEAs follow the statute and regulations, small LEAs will receive instructions and guidance from their SEA on exactly how to implement the requirements.  This important SEA responsibility helps to minimize the burden on small LEAs.  In sum, there is minimal burden on individual LEAs.</w:t>
      </w:r>
    </w:p>
    <w:p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rsidR="00195296" w:rsidRDefault="00195296" w:rsidP="00195296">
      <w:pPr>
        <w:pStyle w:val="ListParagraph"/>
      </w:pPr>
      <w:r w:rsidRPr="005F149E">
        <w:rPr>
          <w:snapToGrid w:val="0"/>
        </w:rPr>
        <w:t xml:space="preserve">A6.  </w:t>
      </w:r>
      <w:r w:rsidRPr="005F149E">
        <w:t xml:space="preserve">If the information collection is not continued, SEAs, LEAs, and schools will not have information necessary to carry out the applicable requirements of Title I of the ESEA.  </w:t>
      </w:r>
    </w:p>
    <w:p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rsidR="00386054" w:rsidRPr="002E5F60" w:rsidRDefault="00386054" w:rsidP="00B83FB3">
      <w:pPr>
        <w:pStyle w:val="ListParagraph"/>
        <w:numPr>
          <w:ilvl w:val="0"/>
          <w:numId w:val="21"/>
        </w:numPr>
        <w:rPr>
          <w:i/>
        </w:rPr>
      </w:pPr>
      <w:r w:rsidRPr="002E5F60">
        <w:rPr>
          <w:i/>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E5F60" w:rsidRDefault="00386054" w:rsidP="00B83FB3">
      <w:pPr>
        <w:pStyle w:val="ListParagraph"/>
        <w:numPr>
          <w:ilvl w:val="0"/>
          <w:numId w:val="21"/>
        </w:numPr>
        <w:rPr>
          <w:i/>
        </w:rPr>
      </w:pPr>
      <w:proofErr w:type="gramStart"/>
      <w:r w:rsidRPr="002E5F60">
        <w:rPr>
          <w:i/>
        </w:rPr>
        <w:t>requiring</w:t>
      </w:r>
      <w:proofErr w:type="gramEnd"/>
      <w:r w:rsidRPr="002E5F60">
        <w:rPr>
          <w:i/>
        </w:rPr>
        <w:t xml:space="preserve"> respondents to submit proprietary trade secrets, or other confidential information unless the agency can demonstrate that it has instituted procedures to protect the information’s confidentiality to the extent permitted by law.</w:t>
      </w:r>
    </w:p>
    <w:p w:rsidR="00437DAF" w:rsidRPr="00EF7FF5" w:rsidRDefault="002E5F60" w:rsidP="00437DAF">
      <w:pPr>
        <w:ind w:left="720"/>
      </w:pPr>
      <w:r>
        <w:t>There are no special circumstances that apply to this collection.</w:t>
      </w:r>
    </w:p>
    <w:p w:rsidR="00386054" w:rsidRPr="00F23DEF" w:rsidRDefault="001743A5" w:rsidP="00B83FB3">
      <w:pPr>
        <w:pStyle w:val="ListParagraph"/>
        <w:numPr>
          <w:ilvl w:val="0"/>
          <w:numId w:val="20"/>
        </w:numPr>
        <w:rPr>
          <w:i/>
        </w:rPr>
      </w:pPr>
      <w:r w:rsidRPr="00F23DEF">
        <w:rPr>
          <w:i/>
        </w:rPr>
        <w:t xml:space="preserve">As </w:t>
      </w:r>
      <w:r w:rsidR="00386054" w:rsidRPr="00F23DEF">
        <w:rPr>
          <w:i/>
        </w:rPr>
        <w:t xml:space="preserve">applicable, </w:t>
      </w:r>
      <w:r w:rsidRPr="00F23DEF">
        <w:rPr>
          <w:i/>
        </w:rPr>
        <w:t xml:space="preserve">state that the Department has published the 60 and 30 Federal Register notices as </w:t>
      </w:r>
      <w:r w:rsidR="00386054" w:rsidRPr="00F23DEF">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23DEF" w:rsidRDefault="00386054" w:rsidP="00B578F4">
      <w:pPr>
        <w:pStyle w:val="ListParagraph"/>
        <w:rPr>
          <w:rStyle w:val="a"/>
          <w:i/>
        </w:rPr>
      </w:pPr>
      <w:r w:rsidRPr="00F23DEF">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23DEF" w:rsidRDefault="00386054" w:rsidP="00B578F4">
      <w:pPr>
        <w:pStyle w:val="ListParagraph"/>
        <w:rPr>
          <w:rStyle w:val="a"/>
          <w:i/>
        </w:rPr>
      </w:pPr>
      <w:r w:rsidRPr="00F23DEF">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3341D" w:rsidRPr="00EF7FF5" w:rsidRDefault="0033341D" w:rsidP="00B578F4">
      <w:pPr>
        <w:pStyle w:val="ListParagraph"/>
      </w:pPr>
      <w:r>
        <w:rPr>
          <w:rStyle w:val="a"/>
        </w:rPr>
        <w:t>The Department will publish an invitation to comment in the Notice of Proposed Rulemaking that corresponds to this information collection. The public will be given the opportunity to comment on the consolidated State plan and its requirements.</w:t>
      </w:r>
    </w:p>
    <w:p w:rsidR="00386054" w:rsidRPr="003D39D8" w:rsidRDefault="00386054" w:rsidP="00B83FB3">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rsidR="003D39D8" w:rsidRPr="00322E02" w:rsidRDefault="003D39D8" w:rsidP="003D39D8">
      <w:pPr>
        <w:pStyle w:val="ListParagraph"/>
      </w:pPr>
      <w:r w:rsidRPr="009C056E">
        <w:rPr>
          <w:sz w:val="22"/>
          <w:szCs w:val="22"/>
        </w:rPr>
        <w:t>No payment or gifts will be provided to respondents.</w:t>
      </w:r>
    </w:p>
    <w:p w:rsidR="00B83FB3" w:rsidRPr="00D81F99" w:rsidRDefault="00386054" w:rsidP="00B578F4">
      <w:pPr>
        <w:pStyle w:val="ListParagraph"/>
        <w:numPr>
          <w:ilvl w:val="0"/>
          <w:numId w:val="20"/>
        </w:numPr>
        <w:rPr>
          <w:i/>
        </w:rPr>
      </w:pPr>
      <w:r w:rsidRPr="00D81F99">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D81F99">
        <w:rPr>
          <w:i/>
        </w:rPr>
        <w:t xml:space="preserve"> as indicated on the ICRAS’ Part 2 IC form</w:t>
      </w:r>
      <w:r w:rsidRPr="00D81F99">
        <w:rPr>
          <w:i/>
        </w:rPr>
        <w:t xml:space="preserve">. A confidentiality statement with a legal citation that authorizes the </w:t>
      </w:r>
      <w:r w:rsidR="001743A5" w:rsidRPr="00D81F99">
        <w:rPr>
          <w:i/>
        </w:rPr>
        <w:t xml:space="preserve">pledge </w:t>
      </w:r>
      <w:r w:rsidRPr="00D81F99">
        <w:rPr>
          <w:i/>
        </w:rPr>
        <w:t xml:space="preserve">of </w:t>
      </w:r>
      <w:r w:rsidR="001743A5" w:rsidRPr="00D81F99">
        <w:rPr>
          <w:i/>
        </w:rPr>
        <w:t xml:space="preserve">confidentiality </w:t>
      </w:r>
      <w:r w:rsidRPr="00D81F99">
        <w:rPr>
          <w:i/>
        </w:rPr>
        <w:t>should be provided.</w:t>
      </w:r>
      <w:r w:rsidR="00CF7053" w:rsidRPr="00D81F99">
        <w:rPr>
          <w:i/>
        </w:rPr>
        <w:t xml:space="preserve"> </w:t>
      </w:r>
      <w:r w:rsidR="00016E14" w:rsidRPr="00D81F99">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D81F99">
        <w:rPr>
          <w:i/>
        </w:rPr>
        <w:t xml:space="preserve">. </w:t>
      </w:r>
      <w:r w:rsidR="001743A5" w:rsidRPr="00D81F99">
        <w:rPr>
          <w:i/>
        </w:rPr>
        <w:t xml:space="preserve">If the collection is subject to the Privacy Act, the Privacy Act statement is deemed sufficient </w:t>
      </w:r>
      <w:r w:rsidR="001743A5" w:rsidRPr="00D81F99">
        <w:rPr>
          <w:i/>
        </w:rPr>
        <w:lastRenderedPageBreak/>
        <w:t>with respect to confidentiality. If there is no expectation of confidentiality, simply state that the Department make</w:t>
      </w:r>
      <w:r w:rsidR="006A3B5C" w:rsidRPr="00D81F99">
        <w:rPr>
          <w:i/>
        </w:rPr>
        <w:t>s</w:t>
      </w:r>
      <w:r w:rsidR="001743A5" w:rsidRPr="00D81F99">
        <w:rPr>
          <w:i/>
        </w:rPr>
        <w:t xml:space="preserve"> no pledge about the confidentially of the data.</w:t>
      </w:r>
    </w:p>
    <w:p w:rsidR="00D81F99" w:rsidRDefault="00D81F99" w:rsidP="00D81F99">
      <w:pPr>
        <w:pStyle w:val="ListParagraph"/>
      </w:pPr>
      <w:r>
        <w:t>The regulations do not require an assurance of confidentiality.</w:t>
      </w:r>
    </w:p>
    <w:p w:rsidR="00B83FB3" w:rsidRPr="00C234CB" w:rsidRDefault="00386054" w:rsidP="00B578F4">
      <w:pPr>
        <w:pStyle w:val="ListParagraph"/>
        <w:numPr>
          <w:ilvl w:val="0"/>
          <w:numId w:val="20"/>
        </w:numPr>
        <w:rPr>
          <w:i/>
        </w:rPr>
      </w:pPr>
      <w:r w:rsidRPr="00C234CB">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34CB" w:rsidRDefault="00C234CB" w:rsidP="00C234CB">
      <w:pPr>
        <w:pStyle w:val="ListParagraph"/>
      </w:pPr>
      <w:r>
        <w:t>This collection does not require questions of a sensitive nature.</w:t>
      </w:r>
    </w:p>
    <w:p w:rsidR="00386054" w:rsidRPr="00BF3C77" w:rsidRDefault="00386054" w:rsidP="00B578F4">
      <w:pPr>
        <w:pStyle w:val="ListParagraph"/>
        <w:numPr>
          <w:ilvl w:val="0"/>
          <w:numId w:val="20"/>
        </w:numPr>
        <w:rPr>
          <w:rStyle w:val="a"/>
          <w:i/>
        </w:rPr>
      </w:pPr>
      <w:r w:rsidRPr="00BF3C77">
        <w:rPr>
          <w:rStyle w:val="a"/>
          <w:i/>
        </w:rPr>
        <w:t>Provide estimates of the hour burden of the collection of information.  The statement should:</w:t>
      </w:r>
    </w:p>
    <w:p w:rsidR="00386054" w:rsidRPr="00BF3C77" w:rsidRDefault="00386054" w:rsidP="00B83FB3">
      <w:pPr>
        <w:pStyle w:val="ListParagraph"/>
        <w:numPr>
          <w:ilvl w:val="0"/>
          <w:numId w:val="22"/>
        </w:numPr>
        <w:rPr>
          <w:rStyle w:val="a"/>
          <w:i/>
        </w:rPr>
      </w:pPr>
      <w:r w:rsidRPr="00BF3C77">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BF3C77">
        <w:rPr>
          <w:rStyle w:val="a"/>
          <w:i/>
        </w:rPr>
        <w:t>Question</w:t>
      </w:r>
      <w:r w:rsidRPr="00BF3C77">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F3C77" w:rsidRDefault="00386054" w:rsidP="00B83FB3">
      <w:pPr>
        <w:pStyle w:val="ListParagraph"/>
        <w:numPr>
          <w:ilvl w:val="0"/>
          <w:numId w:val="22"/>
        </w:numPr>
        <w:rPr>
          <w:rStyle w:val="a"/>
          <w:i/>
        </w:rPr>
      </w:pPr>
      <w:r w:rsidRPr="00BF3C77">
        <w:rPr>
          <w:rStyle w:val="a"/>
          <w:i/>
        </w:rPr>
        <w:t>If this request for approval covers more than one form, provide separate hour</w:t>
      </w:r>
      <w:r w:rsidR="00103C7E" w:rsidRPr="00BF3C77">
        <w:rPr>
          <w:rStyle w:val="a"/>
          <w:i/>
        </w:rPr>
        <w:t xml:space="preserve"> burden estimates for each form</w:t>
      </w:r>
      <w:r w:rsidRPr="00BF3C77">
        <w:rPr>
          <w:rStyle w:val="a"/>
          <w:i/>
        </w:rPr>
        <w:t>.</w:t>
      </w:r>
      <w:r w:rsidR="00CE72AF" w:rsidRPr="00BF3C77">
        <w:rPr>
          <w:rStyle w:val="a"/>
          <w:i/>
        </w:rPr>
        <w:t xml:space="preserve">  (The table should at </w:t>
      </w:r>
      <w:r w:rsidR="003C7F70" w:rsidRPr="00BF3C77">
        <w:rPr>
          <w:rStyle w:val="a"/>
          <w:i/>
        </w:rPr>
        <w:t>minimum</w:t>
      </w:r>
      <w:r w:rsidR="00CE72AF" w:rsidRPr="00BF3C77">
        <w:rPr>
          <w:rStyle w:val="a"/>
          <w:i/>
        </w:rPr>
        <w:t xml:space="preserve"> include Respondent types, </w:t>
      </w:r>
      <w:r w:rsidR="00103C7E" w:rsidRPr="00BF3C77">
        <w:rPr>
          <w:rStyle w:val="a"/>
          <w:i/>
        </w:rPr>
        <w:t>Number of</w:t>
      </w:r>
      <w:r w:rsidR="00CE72AF" w:rsidRPr="00BF3C77">
        <w:rPr>
          <w:rStyle w:val="a"/>
          <w:i/>
        </w:rPr>
        <w:t xml:space="preserve"> Respondent</w:t>
      </w:r>
      <w:r w:rsidR="00103C7E" w:rsidRPr="00BF3C77">
        <w:rPr>
          <w:rStyle w:val="a"/>
          <w:i/>
        </w:rPr>
        <w:t>s</w:t>
      </w:r>
      <w:r w:rsidR="00CE72AF" w:rsidRPr="00BF3C77">
        <w:rPr>
          <w:rStyle w:val="a"/>
          <w:i/>
        </w:rPr>
        <w:t xml:space="preserve"> and Responses, Hours/Response, and Total Hours)</w:t>
      </w:r>
    </w:p>
    <w:p w:rsidR="00386054" w:rsidRPr="00BF3C77" w:rsidRDefault="00386054" w:rsidP="00B83FB3">
      <w:pPr>
        <w:pStyle w:val="ListParagraph"/>
        <w:numPr>
          <w:ilvl w:val="0"/>
          <w:numId w:val="22"/>
        </w:numPr>
        <w:rPr>
          <w:rStyle w:val="a"/>
          <w:i/>
        </w:rPr>
      </w:pPr>
      <w:r w:rsidRPr="00BF3C77">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BF3C77">
        <w:rPr>
          <w:rStyle w:val="a"/>
          <w:i/>
        </w:rPr>
        <w:t xml:space="preserve">Question </w:t>
      </w:r>
      <w:r w:rsidRPr="00BF3C77">
        <w:rPr>
          <w:rStyle w:val="a"/>
          <w:i/>
        </w:rPr>
        <w:t>14.</w:t>
      </w:r>
    </w:p>
    <w:p w:rsidR="00DC1F46" w:rsidRDefault="00DC1F46" w:rsidP="00EC30C4">
      <w:pPr>
        <w:rPr>
          <w:rStyle w:val="a"/>
        </w:rPr>
      </w:pPr>
      <w:r>
        <w:rPr>
          <w:rStyle w:val="a"/>
        </w:rPr>
        <w:t xml:space="preserve">The respondents to this collection are SEAs and LEAs.  State respondents will have burden under this collection for the following activities: preparing and disseminating an accessible State report card; creating and publishing a State report card overview; requesting an extension and submitting a plan if the State is unable to update the report card in the established time frame; describing the State’s accountability system in the report card, including the </w:t>
      </w:r>
      <w:r w:rsidR="00362583">
        <w:rPr>
          <w:rStyle w:val="a"/>
        </w:rPr>
        <w:t>methodology for identifying schools for comprehensive support and improvement or t</w:t>
      </w:r>
      <w:r w:rsidR="00B51FBC">
        <w:rPr>
          <w:rStyle w:val="a"/>
        </w:rPr>
        <w:t xml:space="preserve">argeted support and improvement; adjusting the data system to report on all of the elements required under the regulations.  We estimate that each </w:t>
      </w:r>
      <w:r w:rsidR="004504C7">
        <w:rPr>
          <w:rStyle w:val="a"/>
        </w:rPr>
        <w:t xml:space="preserve">of the 52 </w:t>
      </w:r>
      <w:r w:rsidR="00B51FBC">
        <w:rPr>
          <w:rStyle w:val="a"/>
        </w:rPr>
        <w:t>State</w:t>
      </w:r>
      <w:r w:rsidR="004504C7">
        <w:rPr>
          <w:rStyle w:val="a"/>
        </w:rPr>
        <w:t>s</w:t>
      </w:r>
      <w:r w:rsidR="00B51FBC">
        <w:rPr>
          <w:rStyle w:val="a"/>
        </w:rPr>
        <w:t xml:space="preserve"> will prepare the report card once each year</w:t>
      </w:r>
      <w:r w:rsidR="00C27ECF">
        <w:rPr>
          <w:rStyle w:val="a"/>
        </w:rPr>
        <w:t>, with 370 hours of burden each time</w:t>
      </w:r>
      <w:r w:rsidR="00B51FBC">
        <w:rPr>
          <w:rStyle w:val="a"/>
        </w:rPr>
        <w:t>.</w:t>
      </w:r>
      <w:r w:rsidR="00C27ECF">
        <w:rPr>
          <w:rStyle w:val="a"/>
        </w:rPr>
        <w:t xml:space="preserve">  We estimate that each State will spend 80 hours creating </w:t>
      </w:r>
      <w:r w:rsidR="00C27ECF">
        <w:rPr>
          <w:rStyle w:val="a"/>
        </w:rPr>
        <w:lastRenderedPageBreak/>
        <w:t xml:space="preserve">the overview one time, and use it each year, for an annual burden of 26.66 hours.  We estimate that about 15 out of the 52 States will require an extension for updating its report card, and would only require that extension once.  States that require an extension will spend an estimated 50 hours on the one-time extension plan, for an annual burden of 16.66 hours.  We estimate that each State will spend have to spend 30 hours creating a description of its accountability system, which can be used each year, for an annual burden of 10 hours per State.  We estimate that each State will only have to update its data system once to accommodate new requirements, and each State will spend 120 hours doing that, for an annual burden of 40 hours per State.  The total burden hour estimate for SEAs is 23,476.66, which comes to a </w:t>
      </w:r>
      <w:r w:rsidR="00265D6E">
        <w:rPr>
          <w:rStyle w:val="a"/>
        </w:rPr>
        <w:t xml:space="preserve">total </w:t>
      </w:r>
      <w:r w:rsidR="00C27ECF">
        <w:rPr>
          <w:rStyle w:val="a"/>
        </w:rPr>
        <w:t>cost of $</w:t>
      </w:r>
      <w:r w:rsidR="00265D6E">
        <w:rPr>
          <w:rStyle w:val="a"/>
        </w:rPr>
        <w:t>939,066.40 assuming a per hour cost of $40 for SEA staff time</w:t>
      </w:r>
      <w:r w:rsidR="00C27ECF">
        <w:rPr>
          <w:rStyle w:val="a"/>
        </w:rPr>
        <w:t>.</w:t>
      </w:r>
    </w:p>
    <w:p w:rsidR="00572559" w:rsidRDefault="00572559" w:rsidP="00EC30C4">
      <w:pPr>
        <w:rPr>
          <w:rStyle w:val="a"/>
        </w:rPr>
      </w:pPr>
      <w:r>
        <w:rPr>
          <w:rStyle w:val="a"/>
        </w:rPr>
        <w:t>LEA respondents will have burden under this collection for the following activities:</w:t>
      </w:r>
      <w:r w:rsidR="007A45EE">
        <w:rPr>
          <w:rFonts w:ascii="Courier New" w:hAnsi="Courier New" w:cs="Courier New"/>
        </w:rPr>
        <w:t xml:space="preserve"> </w:t>
      </w:r>
      <w:r w:rsidR="007A45EE" w:rsidRPr="00444F7E">
        <w:t>making publicly available any plans for comprehensive or targeted support and improvement and any amendments to these plans, including notifying parents of the identification</w:t>
      </w:r>
      <w:r>
        <w:rPr>
          <w:rStyle w:val="a"/>
        </w:rPr>
        <w:t>; preparing and disseminating an accessible LEA report card; creating and publishing an LEA report card overview.</w:t>
      </w:r>
      <w:r w:rsidR="004504C7">
        <w:rPr>
          <w:rStyle w:val="a"/>
        </w:rPr>
        <w:t xml:space="preserve">  We estimate that not all of the 16,970 LEAs will have schools identified for comprehensive support and improvement or targeted support and improvement, but that the number of hours spent on these plans and parental notification will average out to 30 hours per LEA over the three years, or 10 hours per LEA annually.  We estimate that every LEA will spend 16 hours each year creating the LEA report card.  We estimate that each LEA will create an overview once which can be re-used each year.  The estimated burden for creating the LEA report card overview is 50 hours, which comes to 26.66 hours per year.</w:t>
      </w:r>
      <w:r w:rsidR="003E6B7E">
        <w:rPr>
          <w:rStyle w:val="a"/>
        </w:rPr>
        <w:t xml:space="preserve">  The total burden hour estimate for LEAs </w:t>
      </w:r>
      <w:r w:rsidR="003E6B7E" w:rsidRPr="003E6B7E">
        <w:rPr>
          <w:rStyle w:val="a"/>
        </w:rPr>
        <w:t xml:space="preserve">is </w:t>
      </w:r>
      <w:r w:rsidR="003E6B7E" w:rsidRPr="007C7085">
        <w:rPr>
          <w:color w:val="000000"/>
        </w:rPr>
        <w:t>893,753.33</w:t>
      </w:r>
      <w:r w:rsidR="003E6B7E">
        <w:rPr>
          <w:rStyle w:val="a"/>
        </w:rPr>
        <w:t xml:space="preserve">, which comes to a total cost of </w:t>
      </w:r>
      <w:r w:rsidR="003E6B7E" w:rsidRPr="003E6B7E">
        <w:rPr>
          <w:rStyle w:val="a"/>
        </w:rPr>
        <w:t>$</w:t>
      </w:r>
      <w:r w:rsidR="00BF33D7">
        <w:rPr>
          <w:color w:val="000000"/>
        </w:rPr>
        <w:t>31</w:t>
      </w:r>
      <w:r w:rsidR="003E6B7E" w:rsidRPr="007C7085">
        <w:rPr>
          <w:color w:val="000000"/>
        </w:rPr>
        <w:t>,</w:t>
      </w:r>
      <w:r w:rsidR="00BF33D7">
        <w:rPr>
          <w:color w:val="000000"/>
        </w:rPr>
        <w:t>281</w:t>
      </w:r>
      <w:r w:rsidR="003E6B7E" w:rsidRPr="007C7085">
        <w:rPr>
          <w:color w:val="000000"/>
        </w:rPr>
        <w:t>,</w:t>
      </w:r>
      <w:r w:rsidR="00BF33D7">
        <w:rPr>
          <w:color w:val="000000"/>
        </w:rPr>
        <w:t>366</w:t>
      </w:r>
      <w:r w:rsidR="003E6B7E" w:rsidRPr="007C7085">
        <w:rPr>
          <w:color w:val="000000"/>
        </w:rPr>
        <w:t>.</w:t>
      </w:r>
      <w:r w:rsidR="00BF33D7">
        <w:rPr>
          <w:color w:val="000000"/>
        </w:rPr>
        <w:t>55</w:t>
      </w:r>
      <w:r w:rsidR="003E6B7E">
        <w:rPr>
          <w:rStyle w:val="a"/>
        </w:rPr>
        <w:t xml:space="preserve"> assuming a per hour cost of $3</w:t>
      </w:r>
      <w:r w:rsidR="00BF33D7">
        <w:rPr>
          <w:rStyle w:val="a"/>
        </w:rPr>
        <w:t>5</w:t>
      </w:r>
      <w:r w:rsidR="003E6B7E">
        <w:rPr>
          <w:rStyle w:val="a"/>
        </w:rPr>
        <w:t xml:space="preserve"> for LEA staff time.</w:t>
      </w:r>
    </w:p>
    <w:p w:rsidR="00DC1F46" w:rsidRDefault="00DC1F46" w:rsidP="00EC30C4">
      <w:pPr>
        <w:rPr>
          <w:rStyle w:val="a"/>
        </w:rPr>
      </w:pPr>
    </w:p>
    <w:p w:rsidR="00EC30C4" w:rsidRPr="00EC30C4" w:rsidRDefault="00EC30C4" w:rsidP="00EC30C4">
      <w:pPr>
        <w:rPr>
          <w:rStyle w:val="a"/>
        </w:rPr>
      </w:pPr>
      <w:r w:rsidRPr="00EC30C4">
        <w:rPr>
          <w:rStyle w:val="a"/>
        </w:rPr>
        <w:t>Burden in Hours and Dollars</w:t>
      </w:r>
      <w:r w:rsidR="0011490F">
        <w:rPr>
          <w:rStyle w:val="a"/>
        </w:rPr>
        <w:t xml:space="preserve"> (</w:t>
      </w:r>
      <w:r w:rsidR="008F1D1E">
        <w:rPr>
          <w:rStyle w:val="a"/>
        </w:rPr>
        <w:t xml:space="preserve">hourly rate is </w:t>
      </w:r>
      <w:r w:rsidR="00950A75">
        <w:rPr>
          <w:rStyle w:val="a"/>
        </w:rPr>
        <w:t>$40 for SEA staff and $3</w:t>
      </w:r>
      <w:r w:rsidR="00CB536C">
        <w:rPr>
          <w:rStyle w:val="a"/>
        </w:rPr>
        <w:t>5</w:t>
      </w:r>
      <w:r w:rsidR="00950A75">
        <w:rPr>
          <w:rStyle w:val="a"/>
        </w:rPr>
        <w:t xml:space="preserve"> for LEA staff</w:t>
      </w:r>
      <w:r w:rsidR="005058D6">
        <w:rPr>
          <w:rStyle w:val="a"/>
        </w:rPr>
        <w:t>)</w:t>
      </w:r>
    </w:p>
    <w:tbl>
      <w:tblPr>
        <w:tblW w:w="9440" w:type="dxa"/>
        <w:tblInd w:w="91" w:type="dxa"/>
        <w:tblLayout w:type="fixed"/>
        <w:tblLook w:val="04A0" w:firstRow="1" w:lastRow="0" w:firstColumn="1" w:lastColumn="0" w:noHBand="0" w:noVBand="1"/>
      </w:tblPr>
      <w:tblGrid>
        <w:gridCol w:w="1823"/>
        <w:gridCol w:w="2064"/>
        <w:gridCol w:w="1440"/>
        <w:gridCol w:w="1530"/>
        <w:gridCol w:w="1080"/>
        <w:gridCol w:w="1503"/>
      </w:tblGrid>
      <w:tr w:rsidR="00EC30C4" w:rsidRPr="00D537FE" w:rsidTr="00EC30C4">
        <w:trPr>
          <w:trHeight w:val="558"/>
        </w:trPr>
        <w:tc>
          <w:tcPr>
            <w:tcW w:w="9440" w:type="dxa"/>
            <w:gridSpan w:val="6"/>
            <w:tcBorders>
              <w:top w:val="nil"/>
              <w:left w:val="single" w:sz="4" w:space="0" w:color="auto"/>
              <w:bottom w:val="single" w:sz="4" w:space="0" w:color="auto"/>
              <w:right w:val="single" w:sz="4" w:space="0" w:color="auto"/>
            </w:tcBorders>
            <w:shd w:val="clear" w:color="auto" w:fill="auto"/>
          </w:tcPr>
          <w:p w:rsidR="00EC30C4" w:rsidRDefault="00EC30C4" w:rsidP="00EC30C4">
            <w:pPr>
              <w:jc w:val="center"/>
              <w:rPr>
                <w:color w:val="000000"/>
              </w:rPr>
            </w:pPr>
            <w:r w:rsidRPr="00EC30C4">
              <w:rPr>
                <w:color w:val="000000"/>
              </w:rPr>
              <w:t xml:space="preserve">Title I Regulations </w:t>
            </w:r>
            <w:r w:rsidR="007D47DF">
              <w:rPr>
                <w:color w:val="000000"/>
              </w:rPr>
              <w:t xml:space="preserve">Annual </w:t>
            </w:r>
            <w:r w:rsidRPr="00EC30C4">
              <w:rPr>
                <w:color w:val="000000"/>
              </w:rPr>
              <w:t>Burden Hours/Cost</w:t>
            </w:r>
          </w:p>
          <w:p w:rsidR="000F2F45" w:rsidRPr="00EC30C4" w:rsidRDefault="000F2F45" w:rsidP="00EC30C4">
            <w:pPr>
              <w:jc w:val="center"/>
              <w:rPr>
                <w:color w:val="000000"/>
              </w:rPr>
            </w:pPr>
            <w:r>
              <w:rPr>
                <w:color w:val="000000"/>
              </w:rPr>
              <w:t>SEAs</w:t>
            </w:r>
          </w:p>
        </w:tc>
      </w:tr>
      <w:tr w:rsidR="00EC30C4"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Citation</w:t>
            </w:r>
          </w:p>
        </w:tc>
        <w:tc>
          <w:tcPr>
            <w:tcW w:w="2064"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Description</w:t>
            </w:r>
          </w:p>
        </w:tc>
        <w:tc>
          <w:tcPr>
            <w:tcW w:w="1440" w:type="dxa"/>
            <w:tcBorders>
              <w:top w:val="nil"/>
              <w:left w:val="nil"/>
              <w:bottom w:val="single" w:sz="4" w:space="0" w:color="auto"/>
              <w:right w:val="single" w:sz="4" w:space="0" w:color="auto"/>
            </w:tcBorders>
            <w:shd w:val="clear" w:color="auto" w:fill="auto"/>
          </w:tcPr>
          <w:p w:rsidR="00EC30C4" w:rsidRPr="00D537FE" w:rsidRDefault="00EC30C4" w:rsidP="009F717F">
            <w:pPr>
              <w:jc w:val="center"/>
              <w:rPr>
                <w:color w:val="000000"/>
                <w:sz w:val="20"/>
              </w:rPr>
            </w:pPr>
            <w:r>
              <w:rPr>
                <w:color w:val="000000"/>
                <w:sz w:val="20"/>
              </w:rPr>
              <w:t xml:space="preserve"># of </w:t>
            </w:r>
            <w:r w:rsidR="009F717F">
              <w:rPr>
                <w:color w:val="000000"/>
                <w:sz w:val="20"/>
              </w:rPr>
              <w:t>respondents</w:t>
            </w:r>
          </w:p>
        </w:tc>
        <w:tc>
          <w:tcPr>
            <w:tcW w:w="1530"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Average # of hours per respondent</w:t>
            </w:r>
          </w:p>
        </w:tc>
        <w:tc>
          <w:tcPr>
            <w:tcW w:w="1080" w:type="dxa"/>
            <w:tcBorders>
              <w:top w:val="nil"/>
              <w:left w:val="nil"/>
              <w:bottom w:val="single" w:sz="4" w:space="0" w:color="auto"/>
              <w:right w:val="single" w:sz="4" w:space="0" w:color="auto"/>
            </w:tcBorders>
            <w:shd w:val="clear" w:color="auto" w:fill="auto"/>
          </w:tcPr>
          <w:p w:rsidR="00EC30C4" w:rsidRPr="00D537FE" w:rsidRDefault="00EC30C4" w:rsidP="00EC30C4">
            <w:pPr>
              <w:jc w:val="center"/>
              <w:rPr>
                <w:color w:val="000000"/>
                <w:sz w:val="20"/>
              </w:rPr>
            </w:pPr>
            <w:r>
              <w:rPr>
                <w:color w:val="000000"/>
                <w:sz w:val="20"/>
              </w:rPr>
              <w:t>Total Hours</w:t>
            </w:r>
          </w:p>
        </w:tc>
        <w:tc>
          <w:tcPr>
            <w:tcW w:w="1503" w:type="dxa"/>
            <w:tcBorders>
              <w:top w:val="nil"/>
              <w:left w:val="nil"/>
              <w:bottom w:val="single" w:sz="4" w:space="0" w:color="auto"/>
              <w:right w:val="single" w:sz="4" w:space="0" w:color="auto"/>
            </w:tcBorders>
            <w:shd w:val="clear" w:color="auto" w:fill="auto"/>
          </w:tcPr>
          <w:p w:rsidR="00EC30C4" w:rsidRPr="00D537FE" w:rsidRDefault="00EC30C4" w:rsidP="00950A75">
            <w:pPr>
              <w:jc w:val="center"/>
              <w:rPr>
                <w:color w:val="000000"/>
                <w:sz w:val="20"/>
              </w:rPr>
            </w:pPr>
            <w:r>
              <w:rPr>
                <w:color w:val="000000"/>
                <w:sz w:val="20"/>
              </w:rPr>
              <w:t>Total Cost (Total Hours x $</w:t>
            </w:r>
            <w:r w:rsidR="00950A75">
              <w:rPr>
                <w:color w:val="000000"/>
                <w:sz w:val="20"/>
              </w:rPr>
              <w:t>40</w:t>
            </w:r>
            <w:r>
              <w:rPr>
                <w:color w:val="000000"/>
                <w:sz w:val="20"/>
              </w:rPr>
              <w:t>)</w:t>
            </w:r>
          </w:p>
        </w:tc>
      </w:tr>
      <w:tr w:rsidR="00273C03" w:rsidRPr="00D537FE" w:rsidTr="00DD2263">
        <w:trPr>
          <w:trHeight w:val="440"/>
        </w:trPr>
        <w:tc>
          <w:tcPr>
            <w:tcW w:w="1823" w:type="dxa"/>
            <w:tcBorders>
              <w:top w:val="nil"/>
              <w:left w:val="single" w:sz="4" w:space="0" w:color="auto"/>
              <w:bottom w:val="single" w:sz="4" w:space="0" w:color="auto"/>
              <w:right w:val="single" w:sz="4" w:space="0" w:color="auto"/>
            </w:tcBorders>
            <w:shd w:val="clear" w:color="auto" w:fill="auto"/>
          </w:tcPr>
          <w:p w:rsidR="00273C03" w:rsidRDefault="00273C03" w:rsidP="000B05AC">
            <w:pPr>
              <w:rPr>
                <w:color w:val="000000"/>
                <w:sz w:val="20"/>
              </w:rPr>
            </w:pPr>
            <w:r w:rsidRPr="00D537FE">
              <w:rPr>
                <w:color w:val="000000"/>
                <w:sz w:val="20"/>
              </w:rPr>
              <w:t>Section 1111(h)(1)</w:t>
            </w:r>
          </w:p>
          <w:p w:rsidR="00273C03" w:rsidRDefault="00273C03" w:rsidP="000B05AC">
            <w:pPr>
              <w:rPr>
                <w:color w:val="000000"/>
                <w:sz w:val="20"/>
              </w:rPr>
            </w:pPr>
            <w:r>
              <w:rPr>
                <w:color w:val="000000"/>
                <w:sz w:val="20"/>
              </w:rPr>
              <w:t>200.30(a)</w:t>
            </w:r>
          </w:p>
          <w:p w:rsidR="007B265D" w:rsidRPr="00D537FE" w:rsidRDefault="007B265D" w:rsidP="000B05AC">
            <w:pPr>
              <w:rPr>
                <w:color w:val="000000"/>
                <w:sz w:val="20"/>
              </w:rPr>
            </w:pPr>
            <w:r>
              <w:rPr>
                <w:color w:val="000000"/>
                <w:sz w:val="20"/>
              </w:rPr>
              <w:t>200.30(d)</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 xml:space="preserve">Prepare and disseminate the State report card, and make it accessible. </w:t>
            </w:r>
            <w:r w:rsidR="007B265D">
              <w:rPr>
                <w:color w:val="000000"/>
                <w:sz w:val="20"/>
              </w:rPr>
              <w:t>This includes posting the report card on the website alongside the annual report to the Secretary required in 200.30(d</w:t>
            </w:r>
            <w:proofErr w:type="gramStart"/>
            <w:r w:rsidR="007B265D">
              <w:rPr>
                <w:color w:val="000000"/>
                <w:sz w:val="20"/>
              </w:rPr>
              <w:t>)(</w:t>
            </w:r>
            <w:proofErr w:type="gramEnd"/>
            <w:r w:rsidR="007B265D">
              <w:rPr>
                <w:color w:val="000000"/>
                <w:sz w:val="20"/>
              </w:rPr>
              <w:t xml:space="preserve">ii)(B). </w:t>
            </w:r>
            <w:r>
              <w:rPr>
                <w:color w:val="000000"/>
                <w:sz w:val="20"/>
              </w:rPr>
              <w:t xml:space="preserve">Except as described below, this includes all requirements under </w:t>
            </w:r>
            <w:r w:rsidR="005B42EC">
              <w:rPr>
                <w:color w:val="000000"/>
                <w:sz w:val="20"/>
              </w:rPr>
              <w:t>1</w:t>
            </w:r>
            <w:r>
              <w:rPr>
                <w:color w:val="000000"/>
                <w:sz w:val="20"/>
              </w:rPr>
              <w:t xml:space="preserve">111(h) of the ESSA and all pre-existing </w:t>
            </w:r>
            <w:r>
              <w:rPr>
                <w:color w:val="000000"/>
                <w:sz w:val="20"/>
              </w:rPr>
              <w:lastRenderedPageBreak/>
              <w:t>requirements.</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sidRPr="00D537FE">
              <w:rPr>
                <w:color w:val="000000"/>
                <w:sz w:val="20"/>
              </w:rPr>
              <w:lastRenderedPageBreak/>
              <w:t>52</w:t>
            </w:r>
          </w:p>
        </w:tc>
        <w:tc>
          <w:tcPr>
            <w:tcW w:w="153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370</w:t>
            </w:r>
          </w:p>
        </w:tc>
        <w:tc>
          <w:tcPr>
            <w:tcW w:w="108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19,240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C27ECF">
            <w:pPr>
              <w:jc w:val="right"/>
              <w:rPr>
                <w:color w:val="000000"/>
                <w:sz w:val="20"/>
                <w:szCs w:val="20"/>
              </w:rPr>
            </w:pPr>
            <w:r>
              <w:rPr>
                <w:color w:val="000000"/>
                <w:sz w:val="20"/>
                <w:szCs w:val="20"/>
              </w:rPr>
              <w:t>$</w:t>
            </w:r>
            <w:r w:rsidR="00C27ECF">
              <w:rPr>
                <w:color w:val="000000"/>
                <w:sz w:val="20"/>
                <w:szCs w:val="20"/>
              </w:rPr>
              <w:t>769,600</w:t>
            </w:r>
            <w:r w:rsidR="00273C03" w:rsidRPr="00E10C93">
              <w:rPr>
                <w:color w:val="000000"/>
                <w:sz w:val="20"/>
                <w:szCs w:val="20"/>
              </w:rPr>
              <w:t>.</w:t>
            </w:r>
            <w:r w:rsidR="00CB67E6">
              <w:rPr>
                <w:color w:val="000000"/>
                <w:sz w:val="20"/>
                <w:szCs w:val="20"/>
              </w:rPr>
              <w:t>0</w:t>
            </w:r>
            <w:r w:rsidR="00273C03">
              <w:rPr>
                <w:color w:val="000000"/>
                <w:sz w:val="20"/>
                <w:szCs w:val="20"/>
              </w:rPr>
              <w:t>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lastRenderedPageBreak/>
              <w:t>200.30(b)(2)</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Create and publish a State report card overview.</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D537FE" w:rsidRDefault="00BD0F2D" w:rsidP="000B05AC">
            <w:pPr>
              <w:jc w:val="right"/>
              <w:rPr>
                <w:color w:val="000000"/>
                <w:sz w:val="20"/>
              </w:rPr>
            </w:pPr>
            <w:r>
              <w:rPr>
                <w:color w:val="000000"/>
                <w:sz w:val="20"/>
              </w:rPr>
              <w:t>26.66</w:t>
            </w:r>
          </w:p>
        </w:tc>
        <w:tc>
          <w:tcPr>
            <w:tcW w:w="1080" w:type="dxa"/>
            <w:tcBorders>
              <w:top w:val="nil"/>
              <w:left w:val="nil"/>
              <w:bottom w:val="single" w:sz="4" w:space="0" w:color="auto"/>
              <w:right w:val="single" w:sz="4" w:space="0" w:color="auto"/>
            </w:tcBorders>
            <w:shd w:val="clear" w:color="auto" w:fill="auto"/>
          </w:tcPr>
          <w:p w:rsidR="00273C03" w:rsidRPr="00D537FE" w:rsidRDefault="00BD0F2D" w:rsidP="00E10C93">
            <w:pPr>
              <w:jc w:val="right"/>
              <w:rPr>
                <w:color w:val="000000"/>
                <w:sz w:val="20"/>
              </w:rPr>
            </w:pPr>
            <w:r>
              <w:rPr>
                <w:color w:val="000000"/>
                <w:sz w:val="20"/>
              </w:rPr>
              <w:t>1</w:t>
            </w:r>
            <w:r w:rsidR="00273C03">
              <w:rPr>
                <w:color w:val="000000"/>
                <w:sz w:val="20"/>
              </w:rPr>
              <w:t>,</w:t>
            </w:r>
            <w:r>
              <w:rPr>
                <w:color w:val="000000"/>
                <w:sz w:val="20"/>
              </w:rPr>
              <w:t>386.66</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55</w:t>
            </w:r>
            <w:r w:rsidR="00273C03">
              <w:rPr>
                <w:color w:val="000000"/>
                <w:sz w:val="20"/>
                <w:szCs w:val="20"/>
              </w:rPr>
              <w:t>,</w:t>
            </w:r>
            <w:r w:rsidR="00265D6E">
              <w:rPr>
                <w:color w:val="000000"/>
                <w:sz w:val="20"/>
                <w:szCs w:val="20"/>
              </w:rPr>
              <w:t>466</w:t>
            </w:r>
            <w:r w:rsidR="00273C03" w:rsidRPr="00E10C93">
              <w:rPr>
                <w:color w:val="000000"/>
                <w:sz w:val="20"/>
                <w:szCs w:val="20"/>
              </w:rPr>
              <w:t>.</w:t>
            </w:r>
            <w:r w:rsidR="00265D6E">
              <w:rPr>
                <w:color w:val="000000"/>
                <w:sz w:val="20"/>
                <w:szCs w:val="20"/>
              </w:rPr>
              <w:t>4</w:t>
            </w:r>
            <w:r w:rsidR="00273C03">
              <w:rPr>
                <w:color w:val="000000"/>
                <w:sz w:val="20"/>
                <w:szCs w:val="20"/>
              </w:rPr>
              <w:t>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200.30(e)</w:t>
            </w:r>
          </w:p>
        </w:tc>
        <w:tc>
          <w:tcPr>
            <w:tcW w:w="2064" w:type="dxa"/>
            <w:tcBorders>
              <w:top w:val="nil"/>
              <w:left w:val="nil"/>
              <w:bottom w:val="single" w:sz="4" w:space="0" w:color="auto"/>
              <w:right w:val="single" w:sz="4" w:space="0" w:color="auto"/>
            </w:tcBorders>
            <w:shd w:val="clear" w:color="auto" w:fill="auto"/>
          </w:tcPr>
          <w:p w:rsidR="00273C03" w:rsidRPr="00D537FE" w:rsidRDefault="00273C03" w:rsidP="000B05AC">
            <w:pPr>
              <w:rPr>
                <w:color w:val="000000"/>
                <w:sz w:val="20"/>
              </w:rPr>
            </w:pPr>
            <w:r>
              <w:rPr>
                <w:color w:val="000000"/>
                <w:sz w:val="20"/>
              </w:rPr>
              <w:t>Request an extension.</w:t>
            </w:r>
          </w:p>
        </w:tc>
        <w:tc>
          <w:tcPr>
            <w:tcW w:w="144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15</w:t>
            </w:r>
          </w:p>
        </w:tc>
        <w:tc>
          <w:tcPr>
            <w:tcW w:w="153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16.66</w:t>
            </w:r>
          </w:p>
        </w:tc>
        <w:tc>
          <w:tcPr>
            <w:tcW w:w="1080" w:type="dxa"/>
            <w:tcBorders>
              <w:top w:val="nil"/>
              <w:left w:val="nil"/>
              <w:bottom w:val="single" w:sz="4" w:space="0" w:color="auto"/>
              <w:right w:val="single" w:sz="4" w:space="0" w:color="auto"/>
            </w:tcBorders>
            <w:shd w:val="clear" w:color="auto" w:fill="auto"/>
          </w:tcPr>
          <w:p w:rsidR="00273C03" w:rsidRPr="00D537FE" w:rsidRDefault="00273C03" w:rsidP="000B05AC">
            <w:pPr>
              <w:jc w:val="right"/>
              <w:rPr>
                <w:color w:val="000000"/>
                <w:sz w:val="20"/>
              </w:rPr>
            </w:pPr>
            <w:r>
              <w:rPr>
                <w:color w:val="000000"/>
                <w:sz w:val="20"/>
              </w:rPr>
              <w:t>250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1,000</w:t>
            </w:r>
            <w:r w:rsidR="00273C03">
              <w:rPr>
                <w:color w:val="000000"/>
                <w:sz w:val="20"/>
                <w:szCs w:val="20"/>
              </w:rPr>
              <w:t>.00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Pr="001316C0" w:rsidRDefault="00273C03" w:rsidP="000B05AC">
            <w:pPr>
              <w:rPr>
                <w:color w:val="000000"/>
                <w:sz w:val="20"/>
              </w:rPr>
            </w:pPr>
            <w:r>
              <w:rPr>
                <w:color w:val="000000"/>
                <w:sz w:val="20"/>
              </w:rPr>
              <w:t>200.32(a)</w:t>
            </w:r>
          </w:p>
        </w:tc>
        <w:tc>
          <w:tcPr>
            <w:tcW w:w="2064" w:type="dxa"/>
            <w:tcBorders>
              <w:top w:val="nil"/>
              <w:left w:val="nil"/>
              <w:bottom w:val="single" w:sz="4" w:space="0" w:color="auto"/>
              <w:right w:val="single" w:sz="4" w:space="0" w:color="auto"/>
            </w:tcBorders>
            <w:shd w:val="clear" w:color="auto" w:fill="auto"/>
          </w:tcPr>
          <w:p w:rsidR="00273C03" w:rsidRPr="001316C0" w:rsidRDefault="00273C03" w:rsidP="000B05AC">
            <w:pPr>
              <w:rPr>
                <w:color w:val="000000"/>
                <w:sz w:val="20"/>
              </w:rPr>
            </w:pPr>
            <w:r>
              <w:rPr>
                <w:color w:val="000000"/>
                <w:sz w:val="20"/>
              </w:rPr>
              <w:t>Describe the accountability system in the report card.</w:t>
            </w:r>
          </w:p>
        </w:tc>
        <w:tc>
          <w:tcPr>
            <w:tcW w:w="144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1</w:t>
            </w:r>
            <w:r>
              <w:rPr>
                <w:color w:val="000000"/>
                <w:sz w:val="20"/>
              </w:rPr>
              <w:t>0</w:t>
            </w:r>
          </w:p>
        </w:tc>
        <w:tc>
          <w:tcPr>
            <w:tcW w:w="108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r>
              <w:rPr>
                <w:color w:val="000000"/>
                <w:sz w:val="20"/>
              </w:rPr>
              <w:t>0</w:t>
            </w:r>
          </w:p>
        </w:tc>
        <w:tc>
          <w:tcPr>
            <w:tcW w:w="1503" w:type="dxa"/>
            <w:tcBorders>
              <w:top w:val="nil"/>
              <w:left w:val="nil"/>
              <w:bottom w:val="single" w:sz="4" w:space="0" w:color="auto"/>
              <w:right w:val="single" w:sz="4" w:space="0" w:color="auto"/>
            </w:tcBorders>
            <w:shd w:val="clear" w:color="auto" w:fill="auto"/>
          </w:tcPr>
          <w:p w:rsidR="00273C03" w:rsidRPr="00273C03" w:rsidRDefault="00BD0F2D" w:rsidP="00265D6E">
            <w:pPr>
              <w:jc w:val="right"/>
              <w:rPr>
                <w:color w:val="000000"/>
                <w:sz w:val="20"/>
                <w:szCs w:val="20"/>
              </w:rPr>
            </w:pPr>
            <w:r>
              <w:rPr>
                <w:color w:val="000000"/>
                <w:sz w:val="20"/>
                <w:szCs w:val="20"/>
              </w:rPr>
              <w:t>$</w:t>
            </w:r>
            <w:r w:rsidR="00265D6E">
              <w:rPr>
                <w:color w:val="000000"/>
                <w:sz w:val="20"/>
                <w:szCs w:val="20"/>
              </w:rPr>
              <w:t>20</w:t>
            </w:r>
            <w:r w:rsidR="00273C03">
              <w:rPr>
                <w:color w:val="000000"/>
                <w:sz w:val="20"/>
                <w:szCs w:val="20"/>
              </w:rPr>
              <w:t>,</w:t>
            </w:r>
            <w:r w:rsidR="00265D6E">
              <w:rPr>
                <w:color w:val="000000"/>
                <w:sz w:val="20"/>
                <w:szCs w:val="20"/>
              </w:rPr>
              <w:t>800</w:t>
            </w:r>
            <w:r w:rsidR="00273C03" w:rsidRPr="00E10C93">
              <w:rPr>
                <w:color w:val="000000"/>
                <w:sz w:val="20"/>
                <w:szCs w:val="20"/>
              </w:rPr>
              <w:t>.</w:t>
            </w:r>
            <w:r w:rsidR="00265D6E">
              <w:rPr>
                <w:color w:val="000000"/>
                <w:sz w:val="20"/>
                <w:szCs w:val="20"/>
              </w:rPr>
              <w:t>0</w:t>
            </w:r>
            <w:r w:rsidR="00273C03">
              <w:rPr>
                <w:color w:val="000000"/>
                <w:sz w:val="20"/>
                <w:szCs w:val="20"/>
              </w:rPr>
              <w:t>0</w:t>
            </w:r>
          </w:p>
        </w:tc>
      </w:tr>
      <w:tr w:rsidR="00273C03" w:rsidRPr="00D537FE" w:rsidTr="002E3F7E">
        <w:trPr>
          <w:trHeight w:val="1020"/>
        </w:trPr>
        <w:tc>
          <w:tcPr>
            <w:tcW w:w="1823" w:type="dxa"/>
            <w:tcBorders>
              <w:top w:val="nil"/>
              <w:left w:val="single" w:sz="4" w:space="0" w:color="auto"/>
              <w:bottom w:val="single" w:sz="4" w:space="0" w:color="auto"/>
              <w:right w:val="single" w:sz="4" w:space="0" w:color="auto"/>
            </w:tcBorders>
            <w:shd w:val="clear" w:color="auto" w:fill="auto"/>
          </w:tcPr>
          <w:p w:rsidR="00273C03" w:rsidRDefault="00273C03" w:rsidP="000B05AC">
            <w:pPr>
              <w:rPr>
                <w:color w:val="000000"/>
                <w:sz w:val="20"/>
              </w:rPr>
            </w:pPr>
            <w:r>
              <w:rPr>
                <w:color w:val="000000"/>
                <w:sz w:val="20"/>
              </w:rPr>
              <w:t>200.32(c)</w:t>
            </w:r>
          </w:p>
          <w:p w:rsidR="00273C03" w:rsidRDefault="00273C03" w:rsidP="000B05AC">
            <w:pPr>
              <w:rPr>
                <w:color w:val="000000"/>
                <w:sz w:val="20"/>
              </w:rPr>
            </w:pPr>
            <w:r>
              <w:rPr>
                <w:color w:val="000000"/>
                <w:sz w:val="20"/>
              </w:rPr>
              <w:t>200.33</w:t>
            </w:r>
          </w:p>
          <w:p w:rsidR="00273C03" w:rsidRDefault="00273C03" w:rsidP="000B05AC">
            <w:pPr>
              <w:rPr>
                <w:color w:val="000000"/>
                <w:sz w:val="20"/>
              </w:rPr>
            </w:pPr>
            <w:r>
              <w:rPr>
                <w:color w:val="000000"/>
                <w:sz w:val="20"/>
              </w:rPr>
              <w:t>200.34</w:t>
            </w:r>
          </w:p>
          <w:p w:rsidR="00273C03" w:rsidRDefault="00273C03" w:rsidP="000B05AC">
            <w:pPr>
              <w:rPr>
                <w:color w:val="000000"/>
                <w:sz w:val="20"/>
              </w:rPr>
            </w:pPr>
            <w:r>
              <w:rPr>
                <w:color w:val="000000"/>
                <w:sz w:val="20"/>
              </w:rPr>
              <w:t>200.35</w:t>
            </w:r>
          </w:p>
          <w:p w:rsidR="00273C03" w:rsidRDefault="00273C03" w:rsidP="000B05AC">
            <w:pPr>
              <w:rPr>
                <w:color w:val="000000"/>
                <w:sz w:val="20"/>
              </w:rPr>
            </w:pPr>
            <w:r>
              <w:rPr>
                <w:color w:val="000000"/>
                <w:sz w:val="20"/>
              </w:rPr>
              <w:t>200.36</w:t>
            </w:r>
          </w:p>
          <w:p w:rsidR="00273C03" w:rsidRPr="001316C0" w:rsidRDefault="00273C03" w:rsidP="000B05AC">
            <w:pPr>
              <w:rPr>
                <w:color w:val="000000"/>
                <w:sz w:val="20"/>
              </w:rPr>
            </w:pPr>
            <w:r>
              <w:rPr>
                <w:color w:val="000000"/>
                <w:sz w:val="20"/>
              </w:rPr>
              <w:t>200.37</w:t>
            </w:r>
          </w:p>
        </w:tc>
        <w:tc>
          <w:tcPr>
            <w:tcW w:w="2064" w:type="dxa"/>
            <w:tcBorders>
              <w:top w:val="nil"/>
              <w:left w:val="nil"/>
              <w:bottom w:val="single" w:sz="4" w:space="0" w:color="auto"/>
              <w:right w:val="single" w:sz="4" w:space="0" w:color="auto"/>
            </w:tcBorders>
            <w:shd w:val="clear" w:color="auto" w:fill="auto"/>
          </w:tcPr>
          <w:p w:rsidR="00273C03" w:rsidRPr="001316C0" w:rsidRDefault="00273C03" w:rsidP="003E3D8A">
            <w:pPr>
              <w:rPr>
                <w:color w:val="000000"/>
                <w:sz w:val="20"/>
              </w:rPr>
            </w:pPr>
            <w:r>
              <w:rPr>
                <w:color w:val="000000"/>
                <w:sz w:val="20"/>
              </w:rPr>
              <w:t>Adjust the data system to report on all of the elements required under these sections of the regulations.</w:t>
            </w:r>
          </w:p>
        </w:tc>
        <w:tc>
          <w:tcPr>
            <w:tcW w:w="1440" w:type="dxa"/>
            <w:tcBorders>
              <w:top w:val="nil"/>
              <w:left w:val="nil"/>
              <w:bottom w:val="single" w:sz="4" w:space="0" w:color="auto"/>
              <w:right w:val="single" w:sz="4" w:space="0" w:color="auto"/>
            </w:tcBorders>
            <w:shd w:val="clear" w:color="auto" w:fill="auto"/>
          </w:tcPr>
          <w:p w:rsidR="00273C03" w:rsidRPr="001316C0" w:rsidRDefault="00273C03" w:rsidP="000B05AC">
            <w:pPr>
              <w:jc w:val="right"/>
              <w:rPr>
                <w:color w:val="000000"/>
                <w:sz w:val="20"/>
              </w:rPr>
            </w:pPr>
            <w:r w:rsidRPr="001316C0">
              <w:rPr>
                <w:color w:val="000000"/>
                <w:sz w:val="20"/>
              </w:rPr>
              <w:t>52</w:t>
            </w:r>
          </w:p>
        </w:tc>
        <w:tc>
          <w:tcPr>
            <w:tcW w:w="1530" w:type="dxa"/>
            <w:tcBorders>
              <w:top w:val="nil"/>
              <w:left w:val="nil"/>
              <w:bottom w:val="single" w:sz="4" w:space="0" w:color="auto"/>
              <w:right w:val="single" w:sz="4" w:space="0" w:color="auto"/>
            </w:tcBorders>
            <w:shd w:val="clear" w:color="auto" w:fill="auto"/>
          </w:tcPr>
          <w:p w:rsidR="00273C03" w:rsidRPr="001316C0" w:rsidRDefault="00BD0F2D" w:rsidP="000B05AC">
            <w:pPr>
              <w:jc w:val="right"/>
              <w:rPr>
                <w:color w:val="000000"/>
                <w:sz w:val="20"/>
              </w:rPr>
            </w:pPr>
            <w:r>
              <w:rPr>
                <w:color w:val="000000"/>
                <w:sz w:val="20"/>
              </w:rPr>
              <w:t>40</w:t>
            </w:r>
          </w:p>
        </w:tc>
        <w:tc>
          <w:tcPr>
            <w:tcW w:w="1080" w:type="dxa"/>
            <w:tcBorders>
              <w:top w:val="nil"/>
              <w:left w:val="nil"/>
              <w:bottom w:val="single" w:sz="4" w:space="0" w:color="auto"/>
              <w:right w:val="single" w:sz="4" w:space="0" w:color="auto"/>
            </w:tcBorders>
            <w:shd w:val="clear" w:color="auto" w:fill="auto"/>
          </w:tcPr>
          <w:p w:rsidR="00273C03" w:rsidRPr="001316C0" w:rsidRDefault="00BD0F2D" w:rsidP="00BD0F2D">
            <w:pPr>
              <w:jc w:val="right"/>
              <w:rPr>
                <w:color w:val="000000"/>
                <w:sz w:val="20"/>
              </w:rPr>
            </w:pPr>
            <w:r>
              <w:rPr>
                <w:color w:val="000000"/>
                <w:sz w:val="20"/>
              </w:rPr>
              <w:t>2</w:t>
            </w:r>
            <w:r w:rsidR="00273C03">
              <w:rPr>
                <w:color w:val="000000"/>
                <w:sz w:val="20"/>
              </w:rPr>
              <w:t>,</w:t>
            </w:r>
            <w:r>
              <w:rPr>
                <w:color w:val="000000"/>
                <w:sz w:val="20"/>
              </w:rPr>
              <w:t>08</w:t>
            </w:r>
            <w:r w:rsidR="00273C03">
              <w:rPr>
                <w:color w:val="000000"/>
                <w:sz w:val="20"/>
              </w:rPr>
              <w:t>0</w:t>
            </w:r>
          </w:p>
        </w:tc>
        <w:tc>
          <w:tcPr>
            <w:tcW w:w="1503" w:type="dxa"/>
            <w:tcBorders>
              <w:top w:val="nil"/>
              <w:left w:val="nil"/>
              <w:bottom w:val="single" w:sz="4" w:space="0" w:color="auto"/>
              <w:right w:val="single" w:sz="4" w:space="0" w:color="auto"/>
            </w:tcBorders>
            <w:shd w:val="clear" w:color="auto" w:fill="auto"/>
          </w:tcPr>
          <w:p w:rsidR="00273C03" w:rsidRPr="00273C03" w:rsidRDefault="00265D6E" w:rsidP="00273C03">
            <w:pPr>
              <w:jc w:val="right"/>
              <w:rPr>
                <w:color w:val="000000"/>
                <w:sz w:val="20"/>
                <w:szCs w:val="20"/>
              </w:rPr>
            </w:pPr>
            <w:r>
              <w:rPr>
                <w:color w:val="000000"/>
                <w:sz w:val="20"/>
                <w:szCs w:val="20"/>
              </w:rPr>
              <w:t>$83</w:t>
            </w:r>
            <w:r w:rsidR="00273C03">
              <w:rPr>
                <w:color w:val="000000"/>
                <w:sz w:val="20"/>
                <w:szCs w:val="20"/>
              </w:rPr>
              <w:t>,</w:t>
            </w:r>
            <w:r>
              <w:rPr>
                <w:color w:val="000000"/>
                <w:sz w:val="20"/>
                <w:szCs w:val="20"/>
              </w:rPr>
              <w:t>2</w:t>
            </w:r>
            <w:r w:rsidR="00273C03" w:rsidRPr="00E10C93">
              <w:rPr>
                <w:color w:val="000000"/>
                <w:sz w:val="20"/>
                <w:szCs w:val="20"/>
              </w:rPr>
              <w:t>0</w:t>
            </w:r>
            <w:r w:rsidR="00BD0F2D">
              <w:rPr>
                <w:color w:val="000000"/>
                <w:sz w:val="20"/>
                <w:szCs w:val="20"/>
              </w:rPr>
              <w:t>0</w:t>
            </w:r>
            <w:r w:rsidR="00273C03" w:rsidRPr="00E10C93">
              <w:rPr>
                <w:color w:val="000000"/>
                <w:sz w:val="20"/>
                <w:szCs w:val="20"/>
              </w:rPr>
              <w:t>.</w:t>
            </w:r>
            <w:r>
              <w:rPr>
                <w:color w:val="000000"/>
                <w:sz w:val="20"/>
                <w:szCs w:val="20"/>
              </w:rPr>
              <w:t>0</w:t>
            </w:r>
            <w:r w:rsidR="00273C03">
              <w:rPr>
                <w:color w:val="000000"/>
                <w:sz w:val="20"/>
                <w:szCs w:val="20"/>
              </w:rPr>
              <w:t>0</w:t>
            </w:r>
          </w:p>
        </w:tc>
      </w:tr>
      <w:tr w:rsidR="00EC30C4" w:rsidRPr="001316C0" w:rsidTr="002E3F7E">
        <w:trPr>
          <w:trHeight w:val="1020"/>
        </w:trPr>
        <w:tc>
          <w:tcPr>
            <w:tcW w:w="1823" w:type="dxa"/>
            <w:tcBorders>
              <w:top w:val="nil"/>
              <w:left w:val="single" w:sz="4" w:space="0" w:color="auto"/>
              <w:bottom w:val="single" w:sz="4" w:space="0" w:color="auto"/>
              <w:right w:val="single" w:sz="4" w:space="0" w:color="auto"/>
            </w:tcBorders>
            <w:shd w:val="clear" w:color="auto" w:fill="auto"/>
            <w:vAlign w:val="center"/>
          </w:tcPr>
          <w:p w:rsidR="00EC30C4" w:rsidRPr="001316C0" w:rsidRDefault="008F1D1E" w:rsidP="00E10C93">
            <w:pPr>
              <w:jc w:val="center"/>
              <w:rPr>
                <w:color w:val="000000"/>
                <w:sz w:val="20"/>
              </w:rPr>
            </w:pPr>
            <w:r>
              <w:rPr>
                <w:color w:val="000000"/>
                <w:sz w:val="20"/>
              </w:rPr>
              <w:t>Total:</w:t>
            </w:r>
          </w:p>
        </w:tc>
        <w:tc>
          <w:tcPr>
            <w:tcW w:w="2064" w:type="dxa"/>
            <w:tcBorders>
              <w:top w:val="nil"/>
              <w:left w:val="nil"/>
              <w:bottom w:val="single" w:sz="4" w:space="0" w:color="auto"/>
              <w:right w:val="single" w:sz="4" w:space="0" w:color="auto"/>
            </w:tcBorders>
            <w:shd w:val="clear" w:color="auto" w:fill="auto"/>
          </w:tcPr>
          <w:p w:rsidR="00EC30C4" w:rsidRPr="001316C0" w:rsidRDefault="00EC30C4" w:rsidP="000B05AC">
            <w:pPr>
              <w:rPr>
                <w:color w:val="000000"/>
                <w:sz w:val="20"/>
              </w:rPr>
            </w:pPr>
          </w:p>
        </w:tc>
        <w:tc>
          <w:tcPr>
            <w:tcW w:w="1440" w:type="dxa"/>
            <w:tcBorders>
              <w:top w:val="nil"/>
              <w:left w:val="nil"/>
              <w:bottom w:val="single" w:sz="4" w:space="0" w:color="auto"/>
              <w:right w:val="single" w:sz="4" w:space="0" w:color="auto"/>
            </w:tcBorders>
            <w:shd w:val="clear" w:color="auto" w:fill="auto"/>
          </w:tcPr>
          <w:p w:rsidR="00EC30C4" w:rsidRPr="001316C0" w:rsidRDefault="00EC30C4" w:rsidP="000B05AC">
            <w:pPr>
              <w:jc w:val="right"/>
              <w:rPr>
                <w:color w:val="000000"/>
                <w:sz w:val="20"/>
              </w:rPr>
            </w:pPr>
          </w:p>
        </w:tc>
        <w:tc>
          <w:tcPr>
            <w:tcW w:w="1530" w:type="dxa"/>
            <w:tcBorders>
              <w:top w:val="nil"/>
              <w:left w:val="nil"/>
              <w:bottom w:val="single" w:sz="4" w:space="0" w:color="auto"/>
              <w:right w:val="single" w:sz="4" w:space="0" w:color="auto"/>
            </w:tcBorders>
            <w:shd w:val="clear" w:color="auto" w:fill="auto"/>
          </w:tcPr>
          <w:p w:rsidR="00EC30C4" w:rsidRPr="001316C0" w:rsidRDefault="00EC30C4" w:rsidP="000B05AC">
            <w:pPr>
              <w:jc w:val="right"/>
              <w:rPr>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EC30C4" w:rsidRPr="001316C0" w:rsidRDefault="008B1B1A" w:rsidP="008B1B1A">
            <w:pPr>
              <w:jc w:val="center"/>
              <w:rPr>
                <w:color w:val="000000"/>
                <w:sz w:val="20"/>
              </w:rPr>
            </w:pPr>
            <w:r>
              <w:rPr>
                <w:color w:val="000000"/>
                <w:sz w:val="20"/>
              </w:rPr>
              <w:t>23</w:t>
            </w:r>
            <w:r w:rsidR="008F1D1E">
              <w:rPr>
                <w:color w:val="000000"/>
                <w:sz w:val="20"/>
              </w:rPr>
              <w:t>,</w:t>
            </w:r>
            <w:r>
              <w:rPr>
                <w:color w:val="000000"/>
                <w:sz w:val="20"/>
              </w:rPr>
              <w:t>47</w:t>
            </w:r>
            <w:r w:rsidR="00C27ECF">
              <w:rPr>
                <w:color w:val="000000"/>
                <w:sz w:val="20"/>
              </w:rPr>
              <w:t>6</w:t>
            </w:r>
            <w:r w:rsidR="00D94023">
              <w:rPr>
                <w:color w:val="000000"/>
                <w:sz w:val="20"/>
              </w:rPr>
              <w:t>.66</w:t>
            </w:r>
          </w:p>
        </w:tc>
        <w:tc>
          <w:tcPr>
            <w:tcW w:w="1503" w:type="dxa"/>
            <w:tcBorders>
              <w:top w:val="nil"/>
              <w:left w:val="nil"/>
              <w:bottom w:val="single" w:sz="4" w:space="0" w:color="auto"/>
              <w:right w:val="single" w:sz="4" w:space="0" w:color="auto"/>
            </w:tcBorders>
            <w:shd w:val="clear" w:color="auto" w:fill="auto"/>
            <w:vAlign w:val="center"/>
          </w:tcPr>
          <w:p w:rsidR="00EC30C4" w:rsidRPr="001316C0" w:rsidRDefault="008F1D1E" w:rsidP="00265D6E">
            <w:pPr>
              <w:jc w:val="center"/>
              <w:rPr>
                <w:color w:val="000000"/>
                <w:sz w:val="20"/>
              </w:rPr>
            </w:pPr>
            <w:r>
              <w:rPr>
                <w:color w:val="000000"/>
                <w:sz w:val="20"/>
              </w:rPr>
              <w:t>$</w:t>
            </w:r>
            <w:r w:rsidR="00265D6E">
              <w:rPr>
                <w:color w:val="000000"/>
                <w:sz w:val="20"/>
              </w:rPr>
              <w:t>939</w:t>
            </w:r>
            <w:r>
              <w:rPr>
                <w:color w:val="000000"/>
                <w:sz w:val="20"/>
              </w:rPr>
              <w:t>,</w:t>
            </w:r>
            <w:r w:rsidR="00265D6E">
              <w:rPr>
                <w:color w:val="000000"/>
                <w:sz w:val="20"/>
              </w:rPr>
              <w:t>066</w:t>
            </w:r>
            <w:r>
              <w:rPr>
                <w:color w:val="000000"/>
                <w:sz w:val="20"/>
              </w:rPr>
              <w:t>.</w:t>
            </w:r>
            <w:r w:rsidR="008B1B1A">
              <w:rPr>
                <w:color w:val="000000"/>
                <w:sz w:val="20"/>
              </w:rPr>
              <w:t>4</w:t>
            </w:r>
            <w:r>
              <w:rPr>
                <w:color w:val="000000"/>
                <w:sz w:val="20"/>
              </w:rPr>
              <w:t>0</w:t>
            </w:r>
          </w:p>
        </w:tc>
      </w:tr>
    </w:tbl>
    <w:p w:rsidR="00EC30C4" w:rsidRDefault="00EC30C4" w:rsidP="00EC30C4">
      <w:pPr>
        <w:ind w:left="720"/>
        <w:rPr>
          <w:highlight w:val="yellow"/>
        </w:rPr>
      </w:pPr>
    </w:p>
    <w:tbl>
      <w:tblPr>
        <w:tblStyle w:val="TableGrid"/>
        <w:tblW w:w="9648" w:type="dxa"/>
        <w:tblLayout w:type="fixed"/>
        <w:tblLook w:val="04A0" w:firstRow="1" w:lastRow="0" w:firstColumn="1" w:lastColumn="0" w:noHBand="0" w:noVBand="1"/>
      </w:tblPr>
      <w:tblGrid>
        <w:gridCol w:w="1823"/>
        <w:gridCol w:w="2064"/>
        <w:gridCol w:w="1440"/>
        <w:gridCol w:w="1530"/>
        <w:gridCol w:w="1170"/>
        <w:gridCol w:w="1621"/>
      </w:tblGrid>
      <w:tr w:rsidR="000F2F45" w:rsidRPr="00EC30C4" w:rsidTr="007C7085">
        <w:trPr>
          <w:trHeight w:val="558"/>
        </w:trPr>
        <w:tc>
          <w:tcPr>
            <w:tcW w:w="9648" w:type="dxa"/>
            <w:gridSpan w:val="6"/>
          </w:tcPr>
          <w:p w:rsidR="000F2F45" w:rsidRDefault="000F2F45" w:rsidP="00255652">
            <w:pPr>
              <w:jc w:val="center"/>
              <w:rPr>
                <w:color w:val="000000"/>
              </w:rPr>
            </w:pPr>
            <w:r w:rsidRPr="00EC30C4">
              <w:rPr>
                <w:color w:val="000000"/>
              </w:rPr>
              <w:t xml:space="preserve">Title I Regulations </w:t>
            </w:r>
            <w:r w:rsidR="007D47DF">
              <w:rPr>
                <w:color w:val="000000"/>
              </w:rPr>
              <w:t xml:space="preserve">Annual </w:t>
            </w:r>
            <w:r w:rsidRPr="00EC30C4">
              <w:rPr>
                <w:color w:val="000000"/>
              </w:rPr>
              <w:t>Burden Hours/Cost</w:t>
            </w:r>
          </w:p>
          <w:p w:rsidR="000F2F45" w:rsidRPr="00EC30C4" w:rsidRDefault="000F2F45" w:rsidP="00255652">
            <w:pPr>
              <w:jc w:val="center"/>
              <w:rPr>
                <w:color w:val="000000"/>
              </w:rPr>
            </w:pPr>
            <w:r>
              <w:rPr>
                <w:color w:val="000000"/>
              </w:rPr>
              <w:t>LEAs</w:t>
            </w:r>
          </w:p>
        </w:tc>
      </w:tr>
      <w:tr w:rsidR="000F2F45" w:rsidRPr="00D537FE" w:rsidTr="007C7085">
        <w:trPr>
          <w:trHeight w:val="1020"/>
        </w:trPr>
        <w:tc>
          <w:tcPr>
            <w:tcW w:w="1823" w:type="dxa"/>
            <w:tcBorders>
              <w:bottom w:val="single" w:sz="4" w:space="0" w:color="auto"/>
            </w:tcBorders>
          </w:tcPr>
          <w:p w:rsidR="000F2F45" w:rsidRPr="00D537FE" w:rsidRDefault="000F2F45" w:rsidP="00255652">
            <w:pPr>
              <w:jc w:val="center"/>
              <w:rPr>
                <w:color w:val="000000"/>
                <w:sz w:val="20"/>
              </w:rPr>
            </w:pPr>
            <w:r>
              <w:rPr>
                <w:color w:val="000000"/>
                <w:sz w:val="20"/>
              </w:rPr>
              <w:t>Citation</w:t>
            </w:r>
          </w:p>
        </w:tc>
        <w:tc>
          <w:tcPr>
            <w:tcW w:w="2064" w:type="dxa"/>
            <w:tcBorders>
              <w:bottom w:val="single" w:sz="4" w:space="0" w:color="auto"/>
            </w:tcBorders>
          </w:tcPr>
          <w:p w:rsidR="000F2F45" w:rsidRPr="00D537FE" w:rsidRDefault="000F2F45" w:rsidP="00255652">
            <w:pPr>
              <w:jc w:val="center"/>
              <w:rPr>
                <w:color w:val="000000"/>
                <w:sz w:val="20"/>
              </w:rPr>
            </w:pPr>
            <w:r>
              <w:rPr>
                <w:color w:val="000000"/>
                <w:sz w:val="20"/>
              </w:rPr>
              <w:t>Description</w:t>
            </w:r>
          </w:p>
        </w:tc>
        <w:tc>
          <w:tcPr>
            <w:tcW w:w="1440" w:type="dxa"/>
            <w:tcBorders>
              <w:bottom w:val="single" w:sz="4" w:space="0" w:color="auto"/>
            </w:tcBorders>
          </w:tcPr>
          <w:p w:rsidR="000F2F45" w:rsidRPr="00D537FE" w:rsidRDefault="000F2F45" w:rsidP="009F717F">
            <w:pPr>
              <w:jc w:val="center"/>
              <w:rPr>
                <w:color w:val="000000"/>
                <w:sz w:val="20"/>
              </w:rPr>
            </w:pPr>
            <w:r>
              <w:rPr>
                <w:color w:val="000000"/>
                <w:sz w:val="20"/>
              </w:rPr>
              <w:t xml:space="preserve"># of </w:t>
            </w:r>
            <w:r w:rsidR="009F717F">
              <w:rPr>
                <w:color w:val="000000"/>
                <w:sz w:val="20"/>
              </w:rPr>
              <w:t>respondents</w:t>
            </w:r>
          </w:p>
        </w:tc>
        <w:tc>
          <w:tcPr>
            <w:tcW w:w="1530" w:type="dxa"/>
            <w:tcBorders>
              <w:bottom w:val="single" w:sz="4" w:space="0" w:color="auto"/>
            </w:tcBorders>
          </w:tcPr>
          <w:p w:rsidR="000F2F45" w:rsidRPr="00D537FE" w:rsidRDefault="000F2F45" w:rsidP="00255652">
            <w:pPr>
              <w:jc w:val="center"/>
              <w:rPr>
                <w:color w:val="000000"/>
                <w:sz w:val="20"/>
              </w:rPr>
            </w:pPr>
            <w:r>
              <w:rPr>
                <w:color w:val="000000"/>
                <w:sz w:val="20"/>
              </w:rPr>
              <w:t>Average # of hours per respondent</w:t>
            </w:r>
          </w:p>
        </w:tc>
        <w:tc>
          <w:tcPr>
            <w:tcW w:w="1170" w:type="dxa"/>
            <w:tcBorders>
              <w:bottom w:val="single" w:sz="4" w:space="0" w:color="auto"/>
            </w:tcBorders>
          </w:tcPr>
          <w:p w:rsidR="000F2F45" w:rsidRPr="00D537FE" w:rsidRDefault="000F2F45" w:rsidP="00255652">
            <w:pPr>
              <w:jc w:val="center"/>
              <w:rPr>
                <w:color w:val="000000"/>
                <w:sz w:val="20"/>
              </w:rPr>
            </w:pPr>
            <w:r>
              <w:rPr>
                <w:color w:val="000000"/>
                <w:sz w:val="20"/>
              </w:rPr>
              <w:t>Total Hours</w:t>
            </w:r>
          </w:p>
        </w:tc>
        <w:tc>
          <w:tcPr>
            <w:tcW w:w="1621" w:type="dxa"/>
            <w:tcBorders>
              <w:bottom w:val="single" w:sz="4" w:space="0" w:color="auto"/>
            </w:tcBorders>
          </w:tcPr>
          <w:p w:rsidR="000F2F45" w:rsidRPr="00D537FE" w:rsidRDefault="000F2F45" w:rsidP="00950A75">
            <w:pPr>
              <w:jc w:val="center"/>
              <w:rPr>
                <w:color w:val="000000"/>
                <w:sz w:val="20"/>
              </w:rPr>
            </w:pPr>
            <w:r>
              <w:rPr>
                <w:color w:val="000000"/>
                <w:sz w:val="20"/>
              </w:rPr>
              <w:t>Total Cost (Total Hours x $30)</w:t>
            </w:r>
          </w:p>
        </w:tc>
      </w:tr>
      <w:tr w:rsidR="00F233BC" w:rsidRPr="00D537FE" w:rsidTr="00F233BC">
        <w:trPr>
          <w:trHeight w:val="800"/>
        </w:trPr>
        <w:tc>
          <w:tcPr>
            <w:tcW w:w="1823" w:type="dxa"/>
            <w:shd w:val="clear" w:color="auto" w:fill="FFFFFF" w:themeFill="background1"/>
          </w:tcPr>
          <w:p w:rsidR="009F717F" w:rsidRPr="00F233BC" w:rsidRDefault="009F717F" w:rsidP="007C7085">
            <w:pPr>
              <w:rPr>
                <w:color w:val="000000"/>
                <w:sz w:val="20"/>
              </w:rPr>
            </w:pPr>
            <w:r w:rsidRPr="007C7085">
              <w:rPr>
                <w:color w:val="000000"/>
                <w:sz w:val="20"/>
              </w:rPr>
              <w:t>§200.21(b) §200.21(d)(6) §200.22(b) §200.22(d)(2)</w:t>
            </w:r>
          </w:p>
        </w:tc>
        <w:tc>
          <w:tcPr>
            <w:tcW w:w="2064" w:type="dxa"/>
            <w:shd w:val="clear" w:color="auto" w:fill="FFFFFF" w:themeFill="background1"/>
          </w:tcPr>
          <w:p w:rsidR="009F717F" w:rsidRPr="007A45EE" w:rsidRDefault="007A45EE" w:rsidP="007C7085">
            <w:pPr>
              <w:rPr>
                <w:color w:val="000000"/>
                <w:sz w:val="20"/>
                <w:szCs w:val="20"/>
              </w:rPr>
            </w:pPr>
            <w:r w:rsidRPr="00444F7E">
              <w:rPr>
                <w:sz w:val="20"/>
                <w:szCs w:val="20"/>
              </w:rPr>
              <w:t>The proposed regulatory provisions would require LEAs with schools identified for comprehensive or targeted support and improvement to make publicly available the resulting plans and any amendments to these plans, including notifying parents of the identification</w:t>
            </w:r>
          </w:p>
        </w:tc>
        <w:tc>
          <w:tcPr>
            <w:tcW w:w="1440" w:type="dxa"/>
            <w:shd w:val="clear" w:color="auto" w:fill="FFFFFF" w:themeFill="background1"/>
          </w:tcPr>
          <w:p w:rsidR="009F717F" w:rsidRDefault="009F717F" w:rsidP="007C7085">
            <w:pPr>
              <w:jc w:val="right"/>
              <w:rPr>
                <w:color w:val="000000"/>
                <w:sz w:val="20"/>
              </w:rPr>
            </w:pPr>
            <w:r>
              <w:rPr>
                <w:color w:val="000000"/>
                <w:sz w:val="20"/>
              </w:rPr>
              <w:t>16,970</w:t>
            </w:r>
          </w:p>
        </w:tc>
        <w:tc>
          <w:tcPr>
            <w:tcW w:w="1530" w:type="dxa"/>
            <w:shd w:val="clear" w:color="auto" w:fill="FFFFFF" w:themeFill="background1"/>
          </w:tcPr>
          <w:p w:rsidR="009F717F" w:rsidRDefault="009F717F" w:rsidP="007C7085">
            <w:pPr>
              <w:jc w:val="right"/>
              <w:rPr>
                <w:color w:val="000000"/>
                <w:sz w:val="20"/>
              </w:rPr>
            </w:pPr>
            <w:r>
              <w:rPr>
                <w:color w:val="000000"/>
                <w:sz w:val="20"/>
              </w:rPr>
              <w:t>10</w:t>
            </w:r>
          </w:p>
        </w:tc>
        <w:tc>
          <w:tcPr>
            <w:tcW w:w="1170" w:type="dxa"/>
            <w:shd w:val="clear" w:color="auto" w:fill="FFFFFF" w:themeFill="background1"/>
          </w:tcPr>
          <w:p w:rsidR="009F717F" w:rsidRDefault="009F717F" w:rsidP="007C7085">
            <w:pPr>
              <w:jc w:val="right"/>
              <w:rPr>
                <w:color w:val="000000"/>
                <w:sz w:val="20"/>
              </w:rPr>
            </w:pPr>
            <w:r>
              <w:rPr>
                <w:color w:val="000000"/>
                <w:sz w:val="20"/>
              </w:rPr>
              <w:t>169,700</w:t>
            </w:r>
          </w:p>
        </w:tc>
        <w:tc>
          <w:tcPr>
            <w:tcW w:w="1621" w:type="dxa"/>
            <w:shd w:val="clear" w:color="auto" w:fill="FFFFFF" w:themeFill="background1"/>
          </w:tcPr>
          <w:p w:rsidR="009F717F" w:rsidRDefault="007D47DF" w:rsidP="007C7085">
            <w:pPr>
              <w:jc w:val="right"/>
              <w:rPr>
                <w:color w:val="000000"/>
                <w:sz w:val="20"/>
              </w:rPr>
            </w:pPr>
            <w:r>
              <w:rPr>
                <w:color w:val="000000"/>
                <w:sz w:val="20"/>
              </w:rPr>
              <w:t>$5,</w:t>
            </w:r>
            <w:r w:rsidR="00CB536C">
              <w:rPr>
                <w:color w:val="000000"/>
                <w:sz w:val="20"/>
              </w:rPr>
              <w:t>939</w:t>
            </w:r>
            <w:r>
              <w:rPr>
                <w:color w:val="000000"/>
                <w:sz w:val="20"/>
              </w:rPr>
              <w:t>,</w:t>
            </w:r>
            <w:r w:rsidR="00CB536C">
              <w:rPr>
                <w:color w:val="000000"/>
                <w:sz w:val="20"/>
              </w:rPr>
              <w:t>5</w:t>
            </w:r>
            <w:r>
              <w:rPr>
                <w:color w:val="000000"/>
                <w:sz w:val="20"/>
              </w:rPr>
              <w:t>00</w:t>
            </w:r>
          </w:p>
        </w:tc>
      </w:tr>
      <w:tr w:rsidR="000F2F45" w:rsidRPr="00D537FE" w:rsidTr="007C7085">
        <w:trPr>
          <w:trHeight w:val="1020"/>
        </w:trPr>
        <w:tc>
          <w:tcPr>
            <w:tcW w:w="1823" w:type="dxa"/>
          </w:tcPr>
          <w:p w:rsidR="000F2F45" w:rsidRDefault="000F2F45" w:rsidP="00255652">
            <w:pPr>
              <w:rPr>
                <w:color w:val="000000"/>
                <w:sz w:val="20"/>
              </w:rPr>
            </w:pPr>
            <w:r>
              <w:rPr>
                <w:color w:val="000000"/>
                <w:sz w:val="20"/>
              </w:rPr>
              <w:lastRenderedPageBreak/>
              <w:t>Section 1111(h)(2</w:t>
            </w:r>
            <w:r w:rsidRPr="00D537FE">
              <w:rPr>
                <w:color w:val="000000"/>
                <w:sz w:val="20"/>
              </w:rPr>
              <w:t>)</w:t>
            </w:r>
          </w:p>
          <w:p w:rsidR="000F2F45" w:rsidRDefault="000F2F45" w:rsidP="00255652">
            <w:pPr>
              <w:rPr>
                <w:color w:val="000000"/>
                <w:sz w:val="20"/>
              </w:rPr>
            </w:pPr>
            <w:r>
              <w:rPr>
                <w:color w:val="000000"/>
                <w:sz w:val="20"/>
              </w:rPr>
              <w:t>200.31(a)</w:t>
            </w:r>
          </w:p>
          <w:p w:rsidR="000F2F45" w:rsidRPr="00D537FE" w:rsidRDefault="000F2F45" w:rsidP="00255652">
            <w:pPr>
              <w:rPr>
                <w:color w:val="000000"/>
                <w:sz w:val="20"/>
              </w:rPr>
            </w:pPr>
            <w:r>
              <w:rPr>
                <w:color w:val="000000"/>
                <w:sz w:val="20"/>
              </w:rPr>
              <w:t>200.31(c)</w:t>
            </w:r>
          </w:p>
        </w:tc>
        <w:tc>
          <w:tcPr>
            <w:tcW w:w="2064" w:type="dxa"/>
          </w:tcPr>
          <w:p w:rsidR="000F2F45" w:rsidRPr="00D537FE" w:rsidRDefault="000F2F45" w:rsidP="000F2F45">
            <w:pPr>
              <w:rPr>
                <w:color w:val="000000"/>
                <w:sz w:val="20"/>
              </w:rPr>
            </w:pPr>
            <w:r>
              <w:rPr>
                <w:color w:val="000000"/>
                <w:sz w:val="20"/>
              </w:rPr>
              <w:t xml:space="preserve">Prepare and disseminate the LEA report card, and make it accessible. </w:t>
            </w:r>
          </w:p>
        </w:tc>
        <w:tc>
          <w:tcPr>
            <w:tcW w:w="1440" w:type="dxa"/>
          </w:tcPr>
          <w:p w:rsidR="000F2F45" w:rsidRPr="00D537FE" w:rsidRDefault="000F2F45" w:rsidP="00255652">
            <w:pPr>
              <w:jc w:val="right"/>
              <w:rPr>
                <w:color w:val="000000"/>
                <w:sz w:val="20"/>
              </w:rPr>
            </w:pPr>
            <w:r>
              <w:rPr>
                <w:color w:val="000000"/>
                <w:sz w:val="20"/>
              </w:rPr>
              <w:t>16</w:t>
            </w:r>
            <w:r w:rsidR="009F717F">
              <w:rPr>
                <w:color w:val="000000"/>
                <w:sz w:val="20"/>
              </w:rPr>
              <w:t>,</w:t>
            </w:r>
            <w:r>
              <w:rPr>
                <w:color w:val="000000"/>
                <w:sz w:val="20"/>
              </w:rPr>
              <w:t>970</w:t>
            </w:r>
          </w:p>
        </w:tc>
        <w:tc>
          <w:tcPr>
            <w:tcW w:w="1530" w:type="dxa"/>
          </w:tcPr>
          <w:p w:rsidR="000F2F45" w:rsidRPr="00D537FE" w:rsidRDefault="000F2F45" w:rsidP="00255652">
            <w:pPr>
              <w:jc w:val="right"/>
              <w:rPr>
                <w:color w:val="000000"/>
                <w:sz w:val="20"/>
              </w:rPr>
            </w:pPr>
            <w:r>
              <w:rPr>
                <w:color w:val="000000"/>
                <w:sz w:val="20"/>
              </w:rPr>
              <w:t>16</w:t>
            </w:r>
          </w:p>
        </w:tc>
        <w:tc>
          <w:tcPr>
            <w:tcW w:w="1170" w:type="dxa"/>
          </w:tcPr>
          <w:p w:rsidR="000F2F45" w:rsidRPr="00D537FE" w:rsidRDefault="009F68F0" w:rsidP="009F717F">
            <w:pPr>
              <w:jc w:val="right"/>
              <w:rPr>
                <w:color w:val="000000"/>
                <w:sz w:val="20"/>
              </w:rPr>
            </w:pPr>
            <w:r>
              <w:rPr>
                <w:color w:val="000000"/>
                <w:sz w:val="20"/>
              </w:rPr>
              <w:t>271</w:t>
            </w:r>
            <w:r w:rsidR="008F1D1E">
              <w:rPr>
                <w:color w:val="000000"/>
                <w:sz w:val="20"/>
              </w:rPr>
              <w:t>,</w:t>
            </w:r>
            <w:r>
              <w:rPr>
                <w:color w:val="000000"/>
                <w:sz w:val="20"/>
              </w:rPr>
              <w:t>520</w:t>
            </w:r>
          </w:p>
        </w:tc>
        <w:tc>
          <w:tcPr>
            <w:tcW w:w="1621" w:type="dxa"/>
          </w:tcPr>
          <w:p w:rsidR="000F2F45" w:rsidRPr="00D537FE" w:rsidRDefault="007D47DF" w:rsidP="00255652">
            <w:pPr>
              <w:jc w:val="right"/>
              <w:rPr>
                <w:color w:val="000000"/>
                <w:sz w:val="20"/>
              </w:rPr>
            </w:pPr>
            <w:r>
              <w:rPr>
                <w:color w:val="000000"/>
                <w:sz w:val="20"/>
              </w:rPr>
              <w:t>$</w:t>
            </w:r>
            <w:r w:rsidR="00CB536C">
              <w:rPr>
                <w:color w:val="000000"/>
                <w:sz w:val="20"/>
              </w:rPr>
              <w:t>9</w:t>
            </w:r>
            <w:r>
              <w:rPr>
                <w:color w:val="000000"/>
                <w:sz w:val="20"/>
              </w:rPr>
              <w:t>,</w:t>
            </w:r>
            <w:r w:rsidR="00CB536C">
              <w:rPr>
                <w:color w:val="000000"/>
                <w:sz w:val="20"/>
              </w:rPr>
              <w:t>503</w:t>
            </w:r>
            <w:r>
              <w:rPr>
                <w:color w:val="000000"/>
                <w:sz w:val="20"/>
              </w:rPr>
              <w:t>,</w:t>
            </w:r>
            <w:r w:rsidR="00CB536C">
              <w:rPr>
                <w:color w:val="000000"/>
                <w:sz w:val="20"/>
              </w:rPr>
              <w:t>2</w:t>
            </w:r>
            <w:r>
              <w:rPr>
                <w:color w:val="000000"/>
                <w:sz w:val="20"/>
              </w:rPr>
              <w:t>00</w:t>
            </w:r>
          </w:p>
        </w:tc>
      </w:tr>
      <w:tr w:rsidR="000F2F45" w:rsidRPr="00D537FE" w:rsidTr="007C7085">
        <w:trPr>
          <w:trHeight w:val="1020"/>
        </w:trPr>
        <w:tc>
          <w:tcPr>
            <w:tcW w:w="1823" w:type="dxa"/>
          </w:tcPr>
          <w:p w:rsidR="000F2F45" w:rsidRPr="00D537FE" w:rsidRDefault="000F2F45" w:rsidP="00255652">
            <w:pPr>
              <w:rPr>
                <w:color w:val="000000"/>
                <w:sz w:val="20"/>
              </w:rPr>
            </w:pPr>
            <w:r>
              <w:rPr>
                <w:color w:val="000000"/>
                <w:sz w:val="20"/>
              </w:rPr>
              <w:t>200.31(b)(2)</w:t>
            </w:r>
          </w:p>
        </w:tc>
        <w:tc>
          <w:tcPr>
            <w:tcW w:w="2064" w:type="dxa"/>
          </w:tcPr>
          <w:p w:rsidR="000F2F45" w:rsidRPr="00D537FE" w:rsidRDefault="000F2F45" w:rsidP="000F2F45">
            <w:pPr>
              <w:rPr>
                <w:color w:val="000000"/>
                <w:sz w:val="20"/>
              </w:rPr>
            </w:pPr>
            <w:r>
              <w:rPr>
                <w:color w:val="000000"/>
                <w:sz w:val="20"/>
              </w:rPr>
              <w:t>Create and publish the LEA report card overview.</w:t>
            </w:r>
          </w:p>
        </w:tc>
        <w:tc>
          <w:tcPr>
            <w:tcW w:w="1440" w:type="dxa"/>
          </w:tcPr>
          <w:p w:rsidR="000F2F45" w:rsidRPr="00D537FE" w:rsidRDefault="000F2F45" w:rsidP="00255652">
            <w:pPr>
              <w:jc w:val="right"/>
              <w:rPr>
                <w:color w:val="000000"/>
                <w:sz w:val="20"/>
              </w:rPr>
            </w:pPr>
            <w:r>
              <w:rPr>
                <w:color w:val="000000"/>
                <w:sz w:val="20"/>
              </w:rPr>
              <w:t>16</w:t>
            </w:r>
            <w:r w:rsidR="009F717F">
              <w:rPr>
                <w:color w:val="000000"/>
                <w:sz w:val="20"/>
              </w:rPr>
              <w:t>,</w:t>
            </w:r>
            <w:r>
              <w:rPr>
                <w:color w:val="000000"/>
                <w:sz w:val="20"/>
              </w:rPr>
              <w:t>970</w:t>
            </w:r>
          </w:p>
        </w:tc>
        <w:tc>
          <w:tcPr>
            <w:tcW w:w="1530" w:type="dxa"/>
          </w:tcPr>
          <w:p w:rsidR="000F2F45" w:rsidRPr="00D537FE" w:rsidRDefault="00D94023" w:rsidP="00255652">
            <w:pPr>
              <w:jc w:val="right"/>
              <w:rPr>
                <w:color w:val="000000"/>
                <w:sz w:val="20"/>
              </w:rPr>
            </w:pPr>
            <w:r>
              <w:rPr>
                <w:color w:val="000000"/>
                <w:sz w:val="20"/>
              </w:rPr>
              <w:t>26.66</w:t>
            </w:r>
          </w:p>
        </w:tc>
        <w:tc>
          <w:tcPr>
            <w:tcW w:w="1170" w:type="dxa"/>
          </w:tcPr>
          <w:p w:rsidR="000F2F45" w:rsidRPr="00D537FE" w:rsidRDefault="00D94023" w:rsidP="007C7085">
            <w:pPr>
              <w:jc w:val="right"/>
              <w:rPr>
                <w:color w:val="000000"/>
                <w:sz w:val="20"/>
              </w:rPr>
            </w:pPr>
            <w:r>
              <w:rPr>
                <w:color w:val="000000"/>
                <w:sz w:val="20"/>
              </w:rPr>
              <w:t>452</w:t>
            </w:r>
            <w:r w:rsidR="008F1D1E">
              <w:rPr>
                <w:color w:val="000000"/>
                <w:sz w:val="20"/>
              </w:rPr>
              <w:t>,</w:t>
            </w:r>
            <w:r>
              <w:rPr>
                <w:color w:val="000000"/>
                <w:sz w:val="20"/>
              </w:rPr>
              <w:t>533.33</w:t>
            </w:r>
          </w:p>
        </w:tc>
        <w:tc>
          <w:tcPr>
            <w:tcW w:w="1621" w:type="dxa"/>
          </w:tcPr>
          <w:p w:rsidR="000F2F45" w:rsidRPr="00D537FE" w:rsidRDefault="007D47DF" w:rsidP="00255652">
            <w:pPr>
              <w:jc w:val="right"/>
              <w:rPr>
                <w:color w:val="000000"/>
                <w:sz w:val="20"/>
              </w:rPr>
            </w:pPr>
            <w:r>
              <w:rPr>
                <w:color w:val="000000"/>
                <w:sz w:val="20"/>
              </w:rPr>
              <w:t>$1</w:t>
            </w:r>
            <w:r w:rsidR="00CB536C">
              <w:rPr>
                <w:color w:val="000000"/>
                <w:sz w:val="20"/>
              </w:rPr>
              <w:t>5</w:t>
            </w:r>
            <w:r>
              <w:rPr>
                <w:color w:val="000000"/>
                <w:sz w:val="20"/>
              </w:rPr>
              <w:t>,</w:t>
            </w:r>
            <w:r w:rsidR="00CB536C">
              <w:rPr>
                <w:color w:val="000000"/>
                <w:sz w:val="20"/>
              </w:rPr>
              <w:t>838</w:t>
            </w:r>
            <w:r>
              <w:rPr>
                <w:color w:val="000000"/>
                <w:sz w:val="20"/>
              </w:rPr>
              <w:t>,</w:t>
            </w:r>
            <w:r w:rsidR="00CB536C">
              <w:rPr>
                <w:color w:val="000000"/>
                <w:sz w:val="20"/>
              </w:rPr>
              <w:t>666</w:t>
            </w:r>
            <w:r>
              <w:rPr>
                <w:color w:val="000000"/>
                <w:sz w:val="20"/>
              </w:rPr>
              <w:t>.</w:t>
            </w:r>
            <w:r w:rsidR="00CB536C">
              <w:rPr>
                <w:color w:val="000000"/>
                <w:sz w:val="20"/>
              </w:rPr>
              <w:t>55</w:t>
            </w:r>
          </w:p>
        </w:tc>
      </w:tr>
      <w:tr w:rsidR="006419D8" w:rsidRPr="00D537FE" w:rsidTr="007C7085">
        <w:trPr>
          <w:trHeight w:val="1020"/>
        </w:trPr>
        <w:tc>
          <w:tcPr>
            <w:tcW w:w="1823" w:type="dxa"/>
          </w:tcPr>
          <w:p w:rsidR="006419D8" w:rsidRPr="00D537FE" w:rsidRDefault="006419D8" w:rsidP="00255652">
            <w:pPr>
              <w:rPr>
                <w:color w:val="000000"/>
                <w:sz w:val="20"/>
              </w:rPr>
            </w:pPr>
          </w:p>
        </w:tc>
        <w:tc>
          <w:tcPr>
            <w:tcW w:w="2064" w:type="dxa"/>
          </w:tcPr>
          <w:p w:rsidR="006419D8" w:rsidRPr="00D537FE" w:rsidRDefault="006419D8" w:rsidP="00255652">
            <w:pPr>
              <w:rPr>
                <w:color w:val="000000"/>
                <w:sz w:val="20"/>
              </w:rPr>
            </w:pPr>
          </w:p>
        </w:tc>
        <w:tc>
          <w:tcPr>
            <w:tcW w:w="1440" w:type="dxa"/>
          </w:tcPr>
          <w:p w:rsidR="006419D8" w:rsidRPr="00D537FE" w:rsidRDefault="006419D8" w:rsidP="000F2F45">
            <w:pPr>
              <w:jc w:val="right"/>
              <w:rPr>
                <w:color w:val="000000"/>
                <w:sz w:val="20"/>
              </w:rPr>
            </w:pPr>
          </w:p>
        </w:tc>
        <w:tc>
          <w:tcPr>
            <w:tcW w:w="1530" w:type="dxa"/>
          </w:tcPr>
          <w:p w:rsidR="006419D8" w:rsidRPr="00D537FE" w:rsidRDefault="006419D8" w:rsidP="00255652">
            <w:pPr>
              <w:jc w:val="right"/>
              <w:rPr>
                <w:color w:val="000000"/>
                <w:sz w:val="20"/>
              </w:rPr>
            </w:pPr>
          </w:p>
        </w:tc>
        <w:tc>
          <w:tcPr>
            <w:tcW w:w="1170" w:type="dxa"/>
          </w:tcPr>
          <w:p w:rsidR="006419D8" w:rsidRPr="006419D8" w:rsidRDefault="007D47DF" w:rsidP="007C7085">
            <w:pPr>
              <w:jc w:val="right"/>
              <w:rPr>
                <w:color w:val="000000"/>
                <w:sz w:val="20"/>
                <w:szCs w:val="20"/>
              </w:rPr>
            </w:pPr>
            <w:r>
              <w:rPr>
                <w:color w:val="000000"/>
                <w:sz w:val="20"/>
                <w:szCs w:val="20"/>
              </w:rPr>
              <w:t>893,753.33</w:t>
            </w:r>
          </w:p>
        </w:tc>
        <w:tc>
          <w:tcPr>
            <w:tcW w:w="1621" w:type="dxa"/>
          </w:tcPr>
          <w:p w:rsidR="006419D8" w:rsidRPr="006419D8" w:rsidRDefault="007D47DF" w:rsidP="00D94023">
            <w:pPr>
              <w:jc w:val="center"/>
              <w:rPr>
                <w:color w:val="000000"/>
                <w:sz w:val="20"/>
                <w:szCs w:val="20"/>
              </w:rPr>
            </w:pPr>
            <w:r>
              <w:rPr>
                <w:color w:val="000000"/>
                <w:sz w:val="20"/>
                <w:szCs w:val="20"/>
              </w:rPr>
              <w:t>$</w:t>
            </w:r>
            <w:r w:rsidR="00CB536C">
              <w:rPr>
                <w:color w:val="000000"/>
                <w:sz w:val="20"/>
                <w:szCs w:val="20"/>
              </w:rPr>
              <w:t>31</w:t>
            </w:r>
            <w:r>
              <w:rPr>
                <w:color w:val="000000"/>
                <w:sz w:val="20"/>
                <w:szCs w:val="20"/>
              </w:rPr>
              <w:t>,</w:t>
            </w:r>
            <w:r w:rsidR="00CB536C">
              <w:rPr>
                <w:color w:val="000000"/>
                <w:sz w:val="20"/>
                <w:szCs w:val="20"/>
              </w:rPr>
              <w:t>281</w:t>
            </w:r>
            <w:r>
              <w:rPr>
                <w:color w:val="000000"/>
                <w:sz w:val="20"/>
                <w:szCs w:val="20"/>
              </w:rPr>
              <w:t>,</w:t>
            </w:r>
            <w:r w:rsidR="00CB536C">
              <w:rPr>
                <w:color w:val="000000"/>
                <w:sz w:val="20"/>
                <w:szCs w:val="20"/>
              </w:rPr>
              <w:t>366</w:t>
            </w:r>
            <w:r>
              <w:rPr>
                <w:color w:val="000000"/>
                <w:sz w:val="20"/>
                <w:szCs w:val="20"/>
              </w:rPr>
              <w:t>.</w:t>
            </w:r>
            <w:r w:rsidR="00CB536C">
              <w:rPr>
                <w:color w:val="000000"/>
                <w:sz w:val="20"/>
                <w:szCs w:val="20"/>
              </w:rPr>
              <w:t>55</w:t>
            </w:r>
          </w:p>
        </w:tc>
      </w:tr>
    </w:tbl>
    <w:p w:rsidR="000F2F45" w:rsidRDefault="000F2F45" w:rsidP="000F2F45">
      <w:pPr>
        <w:rPr>
          <w:highlight w:val="yellow"/>
        </w:rPr>
      </w:pPr>
      <w:r>
        <w:rPr>
          <w:highlight w:val="yellow"/>
        </w:rPr>
        <w:t>*Note: the burden for the LEA report card requirements is accounted for in changes to the SEA system for those same requirements.</w:t>
      </w:r>
    </w:p>
    <w:p w:rsidR="003158FE" w:rsidRDefault="003158FE" w:rsidP="000F2F45">
      <w:pPr>
        <w:rPr>
          <w:highlight w:val="yellow"/>
        </w:rPr>
      </w:pPr>
    </w:p>
    <w:p w:rsidR="003158FE" w:rsidRPr="002E3F7E" w:rsidRDefault="003158FE" w:rsidP="000F2F45">
      <w:pPr>
        <w:rPr>
          <w:rFonts w:ascii="Calibri" w:hAnsi="Calibri"/>
          <w:color w:val="000000"/>
          <w:sz w:val="22"/>
          <w:szCs w:val="22"/>
        </w:rPr>
      </w:pPr>
      <w:r w:rsidRPr="00E10C93">
        <w:t>Total burden hours:</w:t>
      </w:r>
      <w:r w:rsidRPr="003158FE">
        <w:t xml:space="preserve"> </w:t>
      </w:r>
      <w:r w:rsidR="00386E3B">
        <w:t>917,230</w:t>
      </w:r>
    </w:p>
    <w:p w:rsidR="003158FE" w:rsidRPr="00E51019" w:rsidRDefault="003158FE" w:rsidP="000F2F45">
      <w:pPr>
        <w:rPr>
          <w:color w:val="000000"/>
        </w:rPr>
      </w:pPr>
      <w:r w:rsidRPr="00E10C93">
        <w:t xml:space="preserve"> Total cost: </w:t>
      </w:r>
      <w:r w:rsidR="00386E3B">
        <w:t>$</w:t>
      </w:r>
      <w:r w:rsidR="008F30F7">
        <w:t>32</w:t>
      </w:r>
      <w:r w:rsidR="00386E3B">
        <w:t>,</w:t>
      </w:r>
      <w:r w:rsidR="008F30F7">
        <w:t>220</w:t>
      </w:r>
      <w:r w:rsidR="00386E3B">
        <w:t>,</w:t>
      </w:r>
      <w:r w:rsidR="008F30F7">
        <w:t>432</w:t>
      </w:r>
      <w:r w:rsidR="00386E3B">
        <w:t>.</w:t>
      </w:r>
      <w:r w:rsidR="008F30F7">
        <w:t>95</w:t>
      </w:r>
    </w:p>
    <w:p w:rsidR="000F2F45" w:rsidRPr="00EC30C4" w:rsidRDefault="000F2F45" w:rsidP="00EC30C4">
      <w:pPr>
        <w:ind w:left="720"/>
        <w:rPr>
          <w:highlight w:val="yellow"/>
        </w:rPr>
      </w:pPr>
    </w:p>
    <w:p w:rsidR="00386054" w:rsidRPr="00D171D5" w:rsidRDefault="00386054" w:rsidP="00B578F4">
      <w:pPr>
        <w:pStyle w:val="ListParagraph"/>
        <w:numPr>
          <w:ilvl w:val="0"/>
          <w:numId w:val="20"/>
        </w:numPr>
        <w:rPr>
          <w:i/>
        </w:rPr>
      </w:pPr>
      <w:r w:rsidRPr="00D171D5">
        <w:rPr>
          <w:rStyle w:val="a"/>
          <w:i/>
        </w:rPr>
        <w:t xml:space="preserve">Provide an estimate of the total annual cost burden to respondents or record keepers resulting from the collection of information.  (Do not include the cost of any hour burden shown in </w:t>
      </w:r>
      <w:r w:rsidR="00103C7E" w:rsidRPr="00D171D5">
        <w:rPr>
          <w:rStyle w:val="a"/>
          <w:i/>
        </w:rPr>
        <w:t>Question</w:t>
      </w:r>
      <w:r w:rsidRPr="00D171D5">
        <w:rPr>
          <w:rStyle w:val="a"/>
          <w:i/>
        </w:rPr>
        <w:t>s 12 and 14.)</w:t>
      </w:r>
    </w:p>
    <w:p w:rsidR="00386054" w:rsidRPr="00D171D5" w:rsidRDefault="00386054" w:rsidP="00B83FB3">
      <w:pPr>
        <w:pStyle w:val="ListParagraph"/>
        <w:numPr>
          <w:ilvl w:val="0"/>
          <w:numId w:val="23"/>
        </w:numPr>
        <w:ind w:left="1080"/>
        <w:rPr>
          <w:i/>
        </w:rPr>
      </w:pPr>
      <w:r w:rsidRPr="00D171D5">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171D5" w:rsidRDefault="00386054" w:rsidP="00B83FB3">
      <w:pPr>
        <w:pStyle w:val="ListParagraph"/>
        <w:numPr>
          <w:ilvl w:val="0"/>
          <w:numId w:val="23"/>
        </w:numPr>
        <w:ind w:left="1080"/>
        <w:rPr>
          <w:i/>
        </w:rPr>
      </w:pPr>
      <w:r w:rsidRPr="00D171D5">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171D5" w:rsidRDefault="00386054" w:rsidP="00B83FB3">
      <w:pPr>
        <w:pStyle w:val="ListParagraph"/>
        <w:numPr>
          <w:ilvl w:val="0"/>
          <w:numId w:val="23"/>
        </w:numPr>
        <w:ind w:left="1080"/>
        <w:rPr>
          <w:i/>
        </w:rPr>
      </w:pPr>
      <w:r w:rsidRPr="00D171D5">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171D5">
        <w:rPr>
          <w:i/>
        </w:rPr>
        <w:t>government</w:t>
      </w:r>
      <w:r w:rsidRPr="00D171D5">
        <w:rPr>
          <w:i/>
        </w:rPr>
        <w:t xml:space="preserve"> or (4) </w:t>
      </w:r>
      <w:r w:rsidRPr="00D171D5">
        <w:rPr>
          <w:i/>
        </w:rPr>
        <w:lastRenderedPageBreak/>
        <w:t>as part of customary and usual business or private practices.</w:t>
      </w:r>
      <w:r w:rsidR="001743A5" w:rsidRPr="00D171D5">
        <w:rPr>
          <w:i/>
        </w:rPr>
        <w:t xml:space="preserve"> Also, these estimates should not include the hourly costs (i.e., the monetization of the hours) captured above in </w:t>
      </w:r>
      <w:r w:rsidR="00103C7E" w:rsidRPr="00D171D5">
        <w:rPr>
          <w:i/>
        </w:rPr>
        <w:t xml:space="preserve">Question </w:t>
      </w:r>
      <w:r w:rsidR="001743A5" w:rsidRPr="00D171D5">
        <w:rPr>
          <w:i/>
        </w:rPr>
        <w:t>12</w:t>
      </w:r>
      <w:r w:rsidR="00103C7E" w:rsidRPr="00D171D5">
        <w:rPr>
          <w:i/>
        </w:rPr>
        <w:t>.</w:t>
      </w:r>
    </w:p>
    <w:p w:rsidR="00386054" w:rsidRPr="00D171D5" w:rsidRDefault="00386054" w:rsidP="00B83FB3">
      <w:pPr>
        <w:pStyle w:val="ListParagraph"/>
        <w:ind w:left="1080"/>
        <w:rPr>
          <w:i/>
        </w:rPr>
      </w:pPr>
      <w:r w:rsidRPr="00D171D5">
        <w:rPr>
          <w:i/>
        </w:rPr>
        <w:t>Total Annualized Capital/Startup Cost:</w:t>
      </w:r>
    </w:p>
    <w:p w:rsidR="00386054" w:rsidRPr="00D171D5" w:rsidRDefault="00386054" w:rsidP="00B83FB3">
      <w:pPr>
        <w:tabs>
          <w:tab w:val="left" w:pos="-720"/>
        </w:tabs>
        <w:suppressAutoHyphens/>
        <w:ind w:left="1080"/>
        <w:rPr>
          <w:i/>
        </w:rPr>
      </w:pPr>
      <w:r w:rsidRPr="00D171D5">
        <w:rPr>
          <w:i/>
        </w:rPr>
        <w:t xml:space="preserve">Total Annual Costs (O&amp;M): </w:t>
      </w:r>
    </w:p>
    <w:p w:rsidR="00386054" w:rsidRPr="00D171D5" w:rsidRDefault="00386054" w:rsidP="00B83FB3">
      <w:pPr>
        <w:tabs>
          <w:tab w:val="left" w:pos="-720"/>
        </w:tabs>
        <w:suppressAutoHyphens/>
        <w:ind w:left="1080"/>
        <w:rPr>
          <w:i/>
        </w:rPr>
      </w:pPr>
      <w:r w:rsidRPr="00D171D5">
        <w:rPr>
          <w:i/>
        </w:rPr>
        <w:t>Total Annualized Costs Requested:</w:t>
      </w:r>
    </w:p>
    <w:p w:rsidR="00D171D5" w:rsidRPr="00D171D5" w:rsidRDefault="00D171D5" w:rsidP="00D171D5">
      <w:pPr>
        <w:tabs>
          <w:tab w:val="left" w:pos="-720"/>
        </w:tabs>
        <w:suppressAutoHyphens/>
      </w:pPr>
      <w:r w:rsidRPr="00D171D5">
        <w:tab/>
        <w:t>This question is not applicable to this collection.</w:t>
      </w:r>
    </w:p>
    <w:p w:rsidR="00B83FB3" w:rsidRPr="00437DAF"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in a single table.</w:t>
      </w:r>
    </w:p>
    <w:p w:rsidR="00437DAF" w:rsidRPr="005F149E" w:rsidRDefault="00437DAF" w:rsidP="00A93F95">
      <w:pPr>
        <w:pStyle w:val="BodyTextIndent2"/>
        <w:tabs>
          <w:tab w:val="left" w:pos="1260"/>
        </w:tabs>
        <w:spacing w:after="0" w:line="240" w:lineRule="auto"/>
        <w:ind w:left="720"/>
      </w:pPr>
      <w:r w:rsidRPr="005F149E">
        <w:t>A14.  Estimated annualized Federal cost:  The cost to the Federal government</w:t>
      </w:r>
      <w:r>
        <w:t xml:space="preserve"> </w:t>
      </w:r>
      <w:r w:rsidRPr="005F149E">
        <w:t xml:space="preserve">would be to review selected data related to Title I that each State submits to </w:t>
      </w:r>
      <w:proofErr w:type="spellStart"/>
      <w:r w:rsidRPr="005F149E">
        <w:t>ED</w:t>
      </w:r>
      <w:r w:rsidRPr="005F149E">
        <w:rPr>
          <w:i/>
        </w:rPr>
        <w:t>Facts</w:t>
      </w:r>
      <w:proofErr w:type="spellEnd"/>
      <w:r w:rsidRPr="005F149E">
        <w:t>.</w:t>
      </w:r>
    </w:p>
    <w:p w:rsidR="00437DAF" w:rsidRPr="00437DAF" w:rsidRDefault="00437DAF" w:rsidP="00A93F95">
      <w:pPr>
        <w:pStyle w:val="BodyTextIndent2"/>
        <w:tabs>
          <w:tab w:val="left" w:pos="1260"/>
        </w:tabs>
        <w:spacing w:after="0" w:line="240" w:lineRule="auto"/>
        <w:ind w:left="720"/>
        <w:rPr>
          <w:rStyle w:val="a"/>
        </w:rPr>
      </w:pPr>
      <w:r w:rsidRPr="005F149E">
        <w:tab/>
        <w:t>Two people, GS-13, four h</w:t>
      </w:r>
      <w:r w:rsidR="003B6C2A">
        <w:t>ours, X 52 SEAs = 416 hours X 35.38</w:t>
      </w:r>
      <w:r w:rsidRPr="005F149E">
        <w:t xml:space="preserve"> per hour=$14,</w:t>
      </w:r>
      <w:r w:rsidR="00DA3716">
        <w:t>718</w:t>
      </w:r>
      <w:r w:rsidRPr="005F149E">
        <w:t>.</w:t>
      </w:r>
    </w:p>
    <w:p w:rsidR="00B83FB3" w:rsidRPr="0069779C" w:rsidRDefault="00386054" w:rsidP="00B578F4">
      <w:pPr>
        <w:pStyle w:val="ListParagraph"/>
        <w:numPr>
          <w:ilvl w:val="0"/>
          <w:numId w:val="20"/>
        </w:numPr>
        <w:rPr>
          <w:i/>
        </w:rPr>
      </w:pPr>
      <w:r w:rsidRPr="0069779C">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9779C">
        <w:rPr>
          <w:i/>
        </w:rPr>
        <w:t xml:space="preserve">totals for </w:t>
      </w:r>
      <w:r w:rsidRPr="0069779C">
        <w:rPr>
          <w:i/>
        </w:rPr>
        <w:t>changes in burden hours</w:t>
      </w:r>
      <w:r w:rsidR="002473CE" w:rsidRPr="0069779C">
        <w:rPr>
          <w:i/>
        </w:rPr>
        <w:t>, responses</w:t>
      </w:r>
      <w:r w:rsidRPr="0069779C">
        <w:rPr>
          <w:i/>
        </w:rPr>
        <w:t xml:space="preserve"> and cost</w:t>
      </w:r>
      <w:r w:rsidR="002473CE" w:rsidRPr="0069779C">
        <w:rPr>
          <w:i/>
        </w:rPr>
        <w:t>s</w:t>
      </w:r>
      <w:r w:rsidRPr="0069779C">
        <w:rPr>
          <w:i/>
        </w:rPr>
        <w:t xml:space="preserve"> </w:t>
      </w:r>
      <w:r w:rsidR="002473CE" w:rsidRPr="0069779C">
        <w:rPr>
          <w:i/>
        </w:rPr>
        <w:t>(if applicable)</w:t>
      </w:r>
      <w:r w:rsidRPr="0069779C">
        <w:rPr>
          <w:i/>
        </w:rPr>
        <w:t>.</w:t>
      </w:r>
    </w:p>
    <w:p w:rsidR="0069779C" w:rsidRPr="0069779C" w:rsidRDefault="0069779C" w:rsidP="0069779C">
      <w:pPr>
        <w:pStyle w:val="ListParagraph"/>
      </w:pPr>
      <w:r>
        <w:t>The burden changes reflected in this statement are a result of revised regulations based on changes in statute following the passage of the Every Student Succeeds Act (ESSA) on December 10, 2015, which amended the ESEA.</w:t>
      </w:r>
    </w:p>
    <w:p w:rsidR="00103C7E" w:rsidRPr="00747204" w:rsidRDefault="00386054" w:rsidP="00B578F4">
      <w:pPr>
        <w:pStyle w:val="ListParagraph"/>
        <w:numPr>
          <w:ilvl w:val="0"/>
          <w:numId w:val="20"/>
        </w:numPr>
        <w:rPr>
          <w:rStyle w:val="a"/>
          <w:i/>
        </w:rPr>
      </w:pPr>
      <w:r w:rsidRPr="00747204">
        <w:rPr>
          <w:rStyle w:val="a"/>
          <w:i/>
        </w:rPr>
        <w:t xml:space="preserve">For collections of information whose results will be published, outline plans for tabulation and publication.  Address any complex analytical techniques that will be used.  </w:t>
      </w:r>
    </w:p>
    <w:p w:rsidR="00747204" w:rsidRDefault="00747204" w:rsidP="00747204">
      <w:pPr>
        <w:pStyle w:val="BodyTextIndent2"/>
        <w:tabs>
          <w:tab w:val="left" w:pos="1350"/>
        </w:tabs>
        <w:spacing w:line="240" w:lineRule="auto"/>
        <w:ind w:left="720"/>
        <w:rPr>
          <w:rStyle w:val="a"/>
        </w:rPr>
      </w:pPr>
      <w:r>
        <w:t xml:space="preserve">A16.  The collection of information does not require publication of the information or use of complex analytical techniques.  The needs assessment and service delivery plan need to be implemented at least once during the current period of authorization for ESEA.  The program evaluation needs to be implemented biennially during the current period of authorization for ESEA.   </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rsidR="00044999" w:rsidRDefault="00044999" w:rsidP="00044999">
      <w:pPr>
        <w:pStyle w:val="ListParagraph"/>
        <w:rPr>
          <w:rStyle w:val="a"/>
        </w:rPr>
      </w:pPr>
      <w:r>
        <w:rPr>
          <w:snapToGrid w:val="0"/>
        </w:rPr>
        <w:lastRenderedPageBreak/>
        <w:t xml:space="preserve">A18. </w:t>
      </w:r>
      <w:r>
        <w:t>The expiration date for OMB approval of the information collection will be displayed</w:t>
      </w:r>
      <w:r>
        <w:rPr>
          <w:snapToGrid w:val="0"/>
        </w:rPr>
        <w:t>.</w:t>
      </w:r>
    </w:p>
    <w:p w:rsidR="00386054" w:rsidRPr="00D74CCE" w:rsidRDefault="00386054" w:rsidP="00B578F4">
      <w:pPr>
        <w:pStyle w:val="ListParagraph"/>
        <w:numPr>
          <w:ilvl w:val="0"/>
          <w:numId w:val="20"/>
        </w:numPr>
        <w:rPr>
          <w:rStyle w:val="a"/>
          <w:i/>
        </w:rPr>
      </w:pPr>
      <w:r w:rsidRPr="00D74CCE">
        <w:rPr>
          <w:rStyle w:val="a"/>
          <w:i/>
        </w:rPr>
        <w:t>Explain each exception to the certification statement identified in the Certification of Paperwork Reduction Act.</w:t>
      </w:r>
    </w:p>
    <w:p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4D" w:rsidRDefault="00BE564D">
      <w:pPr>
        <w:spacing w:line="20" w:lineRule="exact"/>
      </w:pPr>
    </w:p>
  </w:endnote>
  <w:endnote w:type="continuationSeparator" w:id="0">
    <w:p w:rsidR="00BE564D" w:rsidRDefault="00BE564D">
      <w:r>
        <w:t xml:space="preserve"> </w:t>
      </w:r>
    </w:p>
  </w:endnote>
  <w:endnote w:type="continuationNotice" w:id="1">
    <w:p w:rsidR="00BE564D" w:rsidRDefault="00BE56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4D742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4D742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4D" w:rsidRDefault="00BE564D">
      <w:r>
        <w:separator/>
      </w:r>
    </w:p>
  </w:footnote>
  <w:footnote w:type="continuationSeparator" w:id="0">
    <w:p w:rsidR="00BE564D" w:rsidRDefault="00BE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640F37">
      <w:t>OMB Number</w:t>
    </w:r>
    <w:r w:rsidR="007E56E4">
      <w:t>s: 1810-0581</w:t>
    </w:r>
  </w:p>
  <w:p w:rsidR="00103C7E" w:rsidRDefault="00103C7E" w:rsidP="003E539A">
    <w:pPr>
      <w:spacing w:after="0"/>
      <w:jc w:val="right"/>
    </w:pPr>
    <w:r w:rsidRPr="00016E14">
      <w:t xml:space="preserve">Revised: </w:t>
    </w:r>
    <w:r w:rsidR="00FE1526">
      <w:t>3</w:t>
    </w:r>
    <w:r w:rsidRPr="00016E14">
      <w:t>/</w:t>
    </w:r>
    <w:r w:rsidR="007E4407">
      <w:t>31</w:t>
    </w:r>
    <w:r w:rsidRPr="00016E14">
      <w:t>/</w:t>
    </w:r>
    <w:r w:rsidR="00FE1526">
      <w:t>2016</w:t>
    </w:r>
  </w:p>
  <w:p w:rsidR="00103C7E" w:rsidRDefault="00103C7E" w:rsidP="003E539A">
    <w:pPr>
      <w:spacing w:after="0"/>
    </w:pPr>
    <w:r w:rsidRPr="00016E14">
      <w:t>RIN N</w:t>
    </w:r>
    <w:r w:rsidR="00FE1526">
      <w:t>umber: 1810-AB27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44999"/>
    <w:rsid w:val="00050CBE"/>
    <w:rsid w:val="000909E0"/>
    <w:rsid w:val="000A107C"/>
    <w:rsid w:val="000A2965"/>
    <w:rsid w:val="000B14D8"/>
    <w:rsid w:val="000E592D"/>
    <w:rsid w:val="000F175B"/>
    <w:rsid w:val="000F2F45"/>
    <w:rsid w:val="00103C7E"/>
    <w:rsid w:val="0011490F"/>
    <w:rsid w:val="0014500F"/>
    <w:rsid w:val="00153F20"/>
    <w:rsid w:val="001743A5"/>
    <w:rsid w:val="0018279C"/>
    <w:rsid w:val="00195296"/>
    <w:rsid w:val="002225CB"/>
    <w:rsid w:val="002473CE"/>
    <w:rsid w:val="00251381"/>
    <w:rsid w:val="00265D6E"/>
    <w:rsid w:val="00273C03"/>
    <w:rsid w:val="00291879"/>
    <w:rsid w:val="00291D39"/>
    <w:rsid w:val="002B0412"/>
    <w:rsid w:val="002B0A95"/>
    <w:rsid w:val="002D7C4D"/>
    <w:rsid w:val="002E3F7E"/>
    <w:rsid w:val="002E5F60"/>
    <w:rsid w:val="002E64DF"/>
    <w:rsid w:val="002F7B45"/>
    <w:rsid w:val="003158FE"/>
    <w:rsid w:val="00322E02"/>
    <w:rsid w:val="0033341D"/>
    <w:rsid w:val="00362583"/>
    <w:rsid w:val="00386054"/>
    <w:rsid w:val="00386E3B"/>
    <w:rsid w:val="003A7436"/>
    <w:rsid w:val="003B6C2A"/>
    <w:rsid w:val="003C2587"/>
    <w:rsid w:val="003C29C2"/>
    <w:rsid w:val="003C7853"/>
    <w:rsid w:val="003C7F70"/>
    <w:rsid w:val="003D39D8"/>
    <w:rsid w:val="003E285A"/>
    <w:rsid w:val="003E3D8A"/>
    <w:rsid w:val="003E539A"/>
    <w:rsid w:val="003E6B7E"/>
    <w:rsid w:val="00431228"/>
    <w:rsid w:val="00437DAF"/>
    <w:rsid w:val="0044390E"/>
    <w:rsid w:val="00444F7E"/>
    <w:rsid w:val="004504C7"/>
    <w:rsid w:val="004972B9"/>
    <w:rsid w:val="004A2DBB"/>
    <w:rsid w:val="004D6005"/>
    <w:rsid w:val="004D7428"/>
    <w:rsid w:val="004E23D9"/>
    <w:rsid w:val="004F692A"/>
    <w:rsid w:val="005058D6"/>
    <w:rsid w:val="00510B85"/>
    <w:rsid w:val="00512598"/>
    <w:rsid w:val="00531443"/>
    <w:rsid w:val="0053551D"/>
    <w:rsid w:val="00546D68"/>
    <w:rsid w:val="005549BF"/>
    <w:rsid w:val="00563CCF"/>
    <w:rsid w:val="00572559"/>
    <w:rsid w:val="0058382E"/>
    <w:rsid w:val="005A1566"/>
    <w:rsid w:val="005A1DFC"/>
    <w:rsid w:val="005A4185"/>
    <w:rsid w:val="005B42EC"/>
    <w:rsid w:val="005D2E7B"/>
    <w:rsid w:val="00617A98"/>
    <w:rsid w:val="0063484C"/>
    <w:rsid w:val="00640F37"/>
    <w:rsid w:val="006419D8"/>
    <w:rsid w:val="00654305"/>
    <w:rsid w:val="006737C0"/>
    <w:rsid w:val="00677BC2"/>
    <w:rsid w:val="0069779C"/>
    <w:rsid w:val="006A3B5C"/>
    <w:rsid w:val="006C01D0"/>
    <w:rsid w:val="00747204"/>
    <w:rsid w:val="00750301"/>
    <w:rsid w:val="007661D9"/>
    <w:rsid w:val="007836C1"/>
    <w:rsid w:val="00787B58"/>
    <w:rsid w:val="007A0E45"/>
    <w:rsid w:val="007A45EE"/>
    <w:rsid w:val="007B14E8"/>
    <w:rsid w:val="007B265D"/>
    <w:rsid w:val="007C12B5"/>
    <w:rsid w:val="007C7085"/>
    <w:rsid w:val="007D47DF"/>
    <w:rsid w:val="007E4407"/>
    <w:rsid w:val="007E56E4"/>
    <w:rsid w:val="007E77FA"/>
    <w:rsid w:val="008011B6"/>
    <w:rsid w:val="008770CF"/>
    <w:rsid w:val="008814FE"/>
    <w:rsid w:val="008B1B1A"/>
    <w:rsid w:val="008B76A1"/>
    <w:rsid w:val="008F1D1E"/>
    <w:rsid w:val="008F3062"/>
    <w:rsid w:val="008F30F7"/>
    <w:rsid w:val="008F32A2"/>
    <w:rsid w:val="008F5D29"/>
    <w:rsid w:val="00901BF1"/>
    <w:rsid w:val="00921CB1"/>
    <w:rsid w:val="00935E4E"/>
    <w:rsid w:val="00950A75"/>
    <w:rsid w:val="009544A3"/>
    <w:rsid w:val="009949A8"/>
    <w:rsid w:val="009A3612"/>
    <w:rsid w:val="009F68F0"/>
    <w:rsid w:val="009F717F"/>
    <w:rsid w:val="00A01331"/>
    <w:rsid w:val="00A258D6"/>
    <w:rsid w:val="00A34FAF"/>
    <w:rsid w:val="00A41F2C"/>
    <w:rsid w:val="00A47830"/>
    <w:rsid w:val="00A66623"/>
    <w:rsid w:val="00A87940"/>
    <w:rsid w:val="00A93F95"/>
    <w:rsid w:val="00A94CCB"/>
    <w:rsid w:val="00AB0D7D"/>
    <w:rsid w:val="00AB30C8"/>
    <w:rsid w:val="00B00AEF"/>
    <w:rsid w:val="00B23EC0"/>
    <w:rsid w:val="00B51FBC"/>
    <w:rsid w:val="00B578F4"/>
    <w:rsid w:val="00B83FB3"/>
    <w:rsid w:val="00BA13A2"/>
    <w:rsid w:val="00BC244F"/>
    <w:rsid w:val="00BD0F2D"/>
    <w:rsid w:val="00BD1325"/>
    <w:rsid w:val="00BD4965"/>
    <w:rsid w:val="00BE564D"/>
    <w:rsid w:val="00BF2B99"/>
    <w:rsid w:val="00BF33D7"/>
    <w:rsid w:val="00BF3C77"/>
    <w:rsid w:val="00C234CB"/>
    <w:rsid w:val="00C27ECF"/>
    <w:rsid w:val="00C641E9"/>
    <w:rsid w:val="00C71525"/>
    <w:rsid w:val="00C723C2"/>
    <w:rsid w:val="00C848D0"/>
    <w:rsid w:val="00C9556E"/>
    <w:rsid w:val="00CB2BDC"/>
    <w:rsid w:val="00CB536C"/>
    <w:rsid w:val="00CB67E6"/>
    <w:rsid w:val="00CE72AF"/>
    <w:rsid w:val="00CF7053"/>
    <w:rsid w:val="00D004BE"/>
    <w:rsid w:val="00D115BF"/>
    <w:rsid w:val="00D171D5"/>
    <w:rsid w:val="00D269C3"/>
    <w:rsid w:val="00D74CCE"/>
    <w:rsid w:val="00D81F99"/>
    <w:rsid w:val="00D94023"/>
    <w:rsid w:val="00D94772"/>
    <w:rsid w:val="00DA18B3"/>
    <w:rsid w:val="00DA3716"/>
    <w:rsid w:val="00DA3D4B"/>
    <w:rsid w:val="00DC1F46"/>
    <w:rsid w:val="00DD2263"/>
    <w:rsid w:val="00E023B7"/>
    <w:rsid w:val="00E07290"/>
    <w:rsid w:val="00E10C93"/>
    <w:rsid w:val="00E11BEB"/>
    <w:rsid w:val="00E51019"/>
    <w:rsid w:val="00E52F91"/>
    <w:rsid w:val="00EA3C1F"/>
    <w:rsid w:val="00EC2CC4"/>
    <w:rsid w:val="00EC30C4"/>
    <w:rsid w:val="00EF6998"/>
    <w:rsid w:val="00EF7FF5"/>
    <w:rsid w:val="00F233BC"/>
    <w:rsid w:val="00F23DEF"/>
    <w:rsid w:val="00F313DF"/>
    <w:rsid w:val="00F5071C"/>
    <w:rsid w:val="00F651D1"/>
    <w:rsid w:val="00FC2D29"/>
    <w:rsid w:val="00FE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66">
      <w:bodyDiv w:val="1"/>
      <w:marLeft w:val="0"/>
      <w:marRight w:val="0"/>
      <w:marTop w:val="0"/>
      <w:marBottom w:val="0"/>
      <w:divBdr>
        <w:top w:val="none" w:sz="0" w:space="0" w:color="auto"/>
        <w:left w:val="none" w:sz="0" w:space="0" w:color="auto"/>
        <w:bottom w:val="none" w:sz="0" w:space="0" w:color="auto"/>
        <w:right w:val="none" w:sz="0" w:space="0" w:color="auto"/>
      </w:divBdr>
    </w:div>
    <w:div w:id="552353339">
      <w:bodyDiv w:val="1"/>
      <w:marLeft w:val="0"/>
      <w:marRight w:val="0"/>
      <w:marTop w:val="0"/>
      <w:marBottom w:val="0"/>
      <w:divBdr>
        <w:top w:val="none" w:sz="0" w:space="0" w:color="auto"/>
        <w:left w:val="none" w:sz="0" w:space="0" w:color="auto"/>
        <w:bottom w:val="none" w:sz="0" w:space="0" w:color="auto"/>
        <w:right w:val="none" w:sz="0" w:space="0" w:color="auto"/>
      </w:divBdr>
    </w:div>
    <w:div w:id="1034189207">
      <w:bodyDiv w:val="1"/>
      <w:marLeft w:val="0"/>
      <w:marRight w:val="0"/>
      <w:marTop w:val="0"/>
      <w:marBottom w:val="0"/>
      <w:divBdr>
        <w:top w:val="none" w:sz="0" w:space="0" w:color="auto"/>
        <w:left w:val="none" w:sz="0" w:space="0" w:color="auto"/>
        <w:bottom w:val="none" w:sz="0" w:space="0" w:color="auto"/>
        <w:right w:val="none" w:sz="0" w:space="0" w:color="auto"/>
      </w:divBdr>
    </w:div>
    <w:div w:id="13426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850C-882D-46E9-8784-F2C421CC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cp:lastPrinted>2014-09-11T17:04:00Z</cp:lastPrinted>
  <dcterms:created xsi:type="dcterms:W3CDTF">2016-05-31T16:54:00Z</dcterms:created>
  <dcterms:modified xsi:type="dcterms:W3CDTF">2016-05-31T16:54:00Z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1483140614</vt:i4>
  </property>
</Properties>
</file>