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DC" w:rsidRDefault="00F016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for</w:t>
      </w:r>
    </w:p>
    <w:p w:rsidR="008258E9" w:rsidRDefault="003400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Guidance</w:t>
      </w:r>
      <w:r w:rsidR="002745DC" w:rsidRPr="00EA7FA4">
        <w:rPr>
          <w:b/>
          <w:sz w:val="24"/>
          <w:szCs w:val="24"/>
        </w:rPr>
        <w:t xml:space="preserve"> Regarding Unauthorized Access</w:t>
      </w:r>
    </w:p>
    <w:p w:rsidR="002745DC" w:rsidRPr="00F3626E" w:rsidRDefault="002745DC" w:rsidP="00F3626E">
      <w:pPr>
        <w:jc w:val="center"/>
        <w:rPr>
          <w:b/>
          <w:sz w:val="24"/>
          <w:szCs w:val="24"/>
        </w:rPr>
      </w:pPr>
      <w:r w:rsidRPr="00EA7FA4">
        <w:rPr>
          <w:b/>
          <w:sz w:val="24"/>
          <w:szCs w:val="24"/>
        </w:rPr>
        <w:t xml:space="preserve"> </w:t>
      </w:r>
      <w:proofErr w:type="gramStart"/>
      <w:r w:rsidRPr="00EA7FA4">
        <w:rPr>
          <w:b/>
          <w:sz w:val="24"/>
          <w:szCs w:val="24"/>
        </w:rPr>
        <w:t>to</w:t>
      </w:r>
      <w:proofErr w:type="gramEnd"/>
      <w:r w:rsidRPr="00EA7FA4">
        <w:rPr>
          <w:b/>
          <w:sz w:val="24"/>
          <w:szCs w:val="24"/>
        </w:rPr>
        <w:t xml:space="preserve"> Customer Information</w:t>
      </w:r>
    </w:p>
    <w:p w:rsidR="00F3626E" w:rsidRPr="00EA7FA4" w:rsidRDefault="00F3626E" w:rsidP="00F3626E">
      <w:pPr>
        <w:jc w:val="center"/>
        <w:rPr>
          <w:b/>
          <w:sz w:val="24"/>
          <w:szCs w:val="24"/>
        </w:rPr>
      </w:pPr>
      <w:r w:rsidRPr="00EA7FA4">
        <w:rPr>
          <w:b/>
          <w:sz w:val="24"/>
          <w:szCs w:val="24"/>
        </w:rPr>
        <w:t>OMB Control No. 1557-0227</w:t>
      </w:r>
    </w:p>
    <w:p w:rsidR="002745DC" w:rsidRDefault="002745DC">
      <w:pPr>
        <w:rPr>
          <w:b/>
          <w:sz w:val="24"/>
          <w:szCs w:val="24"/>
          <w:u w:val="single"/>
        </w:rPr>
      </w:pPr>
    </w:p>
    <w:p w:rsidR="002745DC" w:rsidRPr="006559BE" w:rsidRDefault="002745DC">
      <w:pPr>
        <w:rPr>
          <w:sz w:val="24"/>
          <w:szCs w:val="24"/>
        </w:rPr>
      </w:pPr>
    </w:p>
    <w:p w:rsidR="002745DC" w:rsidRPr="006559BE" w:rsidRDefault="002745DC">
      <w:pPr>
        <w:rPr>
          <w:sz w:val="24"/>
          <w:szCs w:val="24"/>
        </w:rPr>
      </w:pPr>
    </w:p>
    <w:p w:rsidR="002745DC" w:rsidRPr="005143BE" w:rsidRDefault="006559BE" w:rsidP="003D1841">
      <w:pPr>
        <w:rPr>
          <w:b/>
          <w:sz w:val="24"/>
          <w:szCs w:val="24"/>
        </w:rPr>
      </w:pPr>
      <w:r w:rsidRPr="005143BE">
        <w:rPr>
          <w:b/>
          <w:sz w:val="24"/>
          <w:szCs w:val="24"/>
        </w:rPr>
        <w:t xml:space="preserve">A. </w:t>
      </w:r>
      <w:r w:rsidRPr="005143BE">
        <w:rPr>
          <w:b/>
          <w:sz w:val="24"/>
          <w:szCs w:val="24"/>
        </w:rPr>
        <w:tab/>
      </w:r>
      <w:r w:rsidR="002745DC" w:rsidRPr="005143BE">
        <w:rPr>
          <w:b/>
          <w:sz w:val="24"/>
          <w:szCs w:val="24"/>
          <w:u w:val="single"/>
        </w:rPr>
        <w:t>J</w:t>
      </w:r>
      <w:r w:rsidRPr="005143BE">
        <w:rPr>
          <w:b/>
          <w:sz w:val="24"/>
          <w:szCs w:val="24"/>
          <w:u w:val="single"/>
        </w:rPr>
        <w:t>ustification</w:t>
      </w:r>
    </w:p>
    <w:p w:rsidR="002745DC" w:rsidRPr="005143BE" w:rsidRDefault="002745DC" w:rsidP="003D1841">
      <w:pPr>
        <w:rPr>
          <w:b/>
          <w:sz w:val="24"/>
          <w:szCs w:val="24"/>
        </w:rPr>
      </w:pPr>
    </w:p>
    <w:p w:rsidR="002745DC" w:rsidRPr="005143BE" w:rsidRDefault="00FC0C9E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Circumstances that Make the c</w:t>
      </w:r>
      <w:r w:rsidR="00111140" w:rsidRPr="005143BE">
        <w:rPr>
          <w:b/>
          <w:i/>
          <w:sz w:val="24"/>
          <w:szCs w:val="24"/>
        </w:rPr>
        <w:t xml:space="preserve">ollection </w:t>
      </w:r>
      <w:r>
        <w:rPr>
          <w:b/>
          <w:i/>
          <w:sz w:val="24"/>
          <w:szCs w:val="24"/>
        </w:rPr>
        <w:t>n</w:t>
      </w:r>
      <w:r w:rsidR="00111140" w:rsidRPr="005143BE">
        <w:rPr>
          <w:b/>
          <w:i/>
          <w:sz w:val="24"/>
          <w:szCs w:val="24"/>
        </w:rPr>
        <w:t>ecessary:</w:t>
      </w:r>
    </w:p>
    <w:p w:rsidR="00DE39FA" w:rsidRDefault="00DE39FA" w:rsidP="00936F38">
      <w:pPr>
        <w:pStyle w:val="ListParagraph"/>
        <w:ind w:left="0" w:firstLine="144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Section 501(b) of the Gramm-Leach-Bliley Act (15 U.S.C. 6801) requires the OCC to establish appropriate standards for national banks relating to administrative, technical, and physical safeguards: 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>(1)</w:t>
      </w:r>
      <w:r w:rsidR="007154EA">
        <w:rPr>
          <w:sz w:val="24"/>
          <w:szCs w:val="24"/>
        </w:rPr>
        <w:t xml:space="preserve"> T</w:t>
      </w:r>
      <w:r w:rsidRPr="003D1841">
        <w:rPr>
          <w:sz w:val="24"/>
          <w:szCs w:val="24"/>
        </w:rPr>
        <w:t xml:space="preserve">o insure the security and confidentiality of customer records and information;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495E0F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(2) </w:t>
      </w:r>
      <w:r w:rsidR="007154EA">
        <w:rPr>
          <w:sz w:val="24"/>
          <w:szCs w:val="24"/>
        </w:rPr>
        <w:t>T</w:t>
      </w:r>
      <w:r w:rsidRPr="003D1841">
        <w:rPr>
          <w:sz w:val="24"/>
          <w:szCs w:val="24"/>
        </w:rPr>
        <w:t xml:space="preserve">o protect against any anticipated threats or hazards to the security or integrity of such records; and </w:t>
      </w:r>
    </w:p>
    <w:p w:rsidR="00495E0F" w:rsidRDefault="00495E0F" w:rsidP="00DE39FA">
      <w:pPr>
        <w:pStyle w:val="ListParagraph"/>
        <w:ind w:left="0" w:firstLine="720"/>
        <w:rPr>
          <w:sz w:val="24"/>
          <w:szCs w:val="24"/>
        </w:rPr>
      </w:pPr>
    </w:p>
    <w:p w:rsidR="00C34D69" w:rsidRDefault="00C34D69" w:rsidP="00DE39FA">
      <w:pPr>
        <w:pStyle w:val="ListParagraph"/>
        <w:ind w:left="0"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(3) </w:t>
      </w:r>
      <w:r w:rsidR="007154EA">
        <w:rPr>
          <w:sz w:val="24"/>
          <w:szCs w:val="24"/>
        </w:rPr>
        <w:t>T</w:t>
      </w:r>
      <w:r w:rsidRPr="003D1841">
        <w:rPr>
          <w:sz w:val="24"/>
          <w:szCs w:val="24"/>
        </w:rPr>
        <w:t xml:space="preserve">o protect against unauthorized access to, or use of, such records or information that could result in substantial harm or inconvenience to any customer.  </w:t>
      </w:r>
    </w:p>
    <w:p w:rsidR="00936F38" w:rsidRPr="003D1841" w:rsidRDefault="00936F38" w:rsidP="00936F38">
      <w:pPr>
        <w:pStyle w:val="ListParagraph"/>
        <w:ind w:left="0" w:firstLine="1440"/>
        <w:rPr>
          <w:color w:val="000000"/>
          <w:sz w:val="24"/>
          <w:szCs w:val="24"/>
        </w:rPr>
      </w:pPr>
    </w:p>
    <w:p w:rsidR="00C34D69" w:rsidRDefault="00C34D69" w:rsidP="00DE39FA">
      <w:pPr>
        <w:pStyle w:val="ListParagraph"/>
        <w:ind w:left="0" w:firstLine="720"/>
        <w:rPr>
          <w:sz w:val="24"/>
          <w:szCs w:val="24"/>
        </w:rPr>
      </w:pPr>
      <w:proofErr w:type="gramStart"/>
      <w:r w:rsidRPr="003D1841">
        <w:rPr>
          <w:sz w:val="24"/>
          <w:szCs w:val="24"/>
        </w:rPr>
        <w:t xml:space="preserve">The Interagency Guidelines Establishing Information Security Standards, 12 CFR Part 30, Appendix B and Part 170, Appendix B (collectively, Security Guidelines), </w:t>
      </w:r>
      <w:r w:rsidR="002C23FC">
        <w:rPr>
          <w:sz w:val="24"/>
          <w:szCs w:val="24"/>
        </w:rPr>
        <w:t xml:space="preserve">which </w:t>
      </w:r>
      <w:r w:rsidRPr="003D1841">
        <w:rPr>
          <w:sz w:val="24"/>
          <w:szCs w:val="24"/>
        </w:rPr>
        <w:t>implement section 501(b), require each entity supervised by the OCC (supervised institution)  to consider and adopt a response program, if appropriate, that specifies actions to be taken when the supervised institution suspects or detects that unauthorized individuals have gained access to customer information.</w:t>
      </w:r>
      <w:proofErr w:type="gramEnd"/>
    </w:p>
    <w:p w:rsidR="00936F38" w:rsidRPr="003D1841" w:rsidRDefault="00936F38" w:rsidP="00936F38">
      <w:pPr>
        <w:pStyle w:val="ListParagraph"/>
        <w:ind w:left="0" w:firstLine="1440"/>
        <w:rPr>
          <w:sz w:val="24"/>
          <w:szCs w:val="24"/>
        </w:rPr>
      </w:pPr>
    </w:p>
    <w:p w:rsidR="002745DC" w:rsidRPr="005143BE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 xml:space="preserve">Use of the </w:t>
      </w:r>
      <w:r w:rsidR="00FC0C9E">
        <w:rPr>
          <w:b/>
          <w:i/>
          <w:sz w:val="24"/>
          <w:szCs w:val="24"/>
        </w:rPr>
        <w:t>i</w:t>
      </w:r>
      <w:r w:rsidRPr="005143BE">
        <w:rPr>
          <w:b/>
          <w:i/>
          <w:sz w:val="24"/>
          <w:szCs w:val="24"/>
        </w:rPr>
        <w:t>nformation</w:t>
      </w:r>
      <w:r w:rsidR="00951BAC" w:rsidRPr="005143BE">
        <w:rPr>
          <w:b/>
          <w:i/>
          <w:sz w:val="24"/>
          <w:szCs w:val="24"/>
        </w:rPr>
        <w:t>:</w:t>
      </w:r>
    </w:p>
    <w:p w:rsidR="00936F38" w:rsidRPr="003D1841" w:rsidRDefault="00936F38" w:rsidP="00936F38">
      <w:pPr>
        <w:pStyle w:val="Footer"/>
        <w:tabs>
          <w:tab w:val="clear" w:pos="4320"/>
          <w:tab w:val="clear" w:pos="8640"/>
        </w:tabs>
        <w:ind w:left="1440"/>
        <w:rPr>
          <w:sz w:val="24"/>
          <w:szCs w:val="24"/>
        </w:rPr>
      </w:pPr>
    </w:p>
    <w:p w:rsidR="008145CF" w:rsidRDefault="00936F38" w:rsidP="00DE39F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8145CF" w:rsidRPr="003D1841">
        <w:rPr>
          <w:sz w:val="24"/>
          <w:szCs w:val="24"/>
        </w:rPr>
        <w:t>The Interagency Guidance on Response Programs for Unauthorized Customer Information and Customer Notice (Breach Notice Guidance</w:t>
      </w:r>
      <w:r w:rsidR="008145CF" w:rsidRPr="003D1841">
        <w:rPr>
          <w:rStyle w:val="FootnoteReference"/>
          <w:sz w:val="24"/>
          <w:szCs w:val="24"/>
        </w:rPr>
        <w:footnoteReference w:id="1"/>
      </w:r>
      <w:r w:rsidR="008145CF" w:rsidRPr="003D1841">
        <w:rPr>
          <w:sz w:val="24"/>
          <w:szCs w:val="24"/>
        </w:rPr>
        <w:t>), which</w:t>
      </w:r>
      <w:r w:rsidR="00345002">
        <w:rPr>
          <w:sz w:val="24"/>
          <w:szCs w:val="24"/>
        </w:rPr>
        <w:t xml:space="preserve"> provides</w:t>
      </w:r>
      <w:r w:rsidR="008145CF" w:rsidRPr="003D1841">
        <w:rPr>
          <w:sz w:val="24"/>
          <w:szCs w:val="24"/>
        </w:rPr>
        <w:t xml:space="preserve"> interpret</w:t>
      </w:r>
      <w:r w:rsidR="00345002">
        <w:rPr>
          <w:sz w:val="24"/>
          <w:szCs w:val="24"/>
        </w:rPr>
        <w:t>ation of</w:t>
      </w:r>
      <w:r w:rsidR="008145CF" w:rsidRPr="003D1841">
        <w:rPr>
          <w:sz w:val="24"/>
          <w:szCs w:val="24"/>
        </w:rPr>
        <w:t xml:space="preserve"> the Security Guidelines, states that, at a minimum, a supervised institution’s response program should contain procedures for the following: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 (1) Assessing the nature and scope of an incident, and identifying what customer information systems and types of customer information have been accessed or misused</w:t>
      </w:r>
      <w:proofErr w:type="gramStart"/>
      <w:r w:rsidRPr="003D1841">
        <w:rPr>
          <w:sz w:val="24"/>
          <w:szCs w:val="24"/>
        </w:rPr>
        <w:t>;</w:t>
      </w:r>
      <w:proofErr w:type="gramEnd"/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</w:t>
      </w:r>
      <w:r w:rsidR="00936F38">
        <w:rPr>
          <w:sz w:val="24"/>
          <w:szCs w:val="24"/>
        </w:rPr>
        <w:t xml:space="preserve"> </w:t>
      </w:r>
      <w:r w:rsidRPr="003D1841">
        <w:rPr>
          <w:sz w:val="24"/>
          <w:szCs w:val="24"/>
        </w:rPr>
        <w:t>(2) Notifying its primary Federal regulator as soon as possible when the supervised institution becomes aware of an incident involving unauthorized access to, or use of, sensitive customer information;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  <w:r w:rsidRPr="003D1841">
        <w:rPr>
          <w:sz w:val="24"/>
          <w:szCs w:val="24"/>
        </w:rPr>
        <w:lastRenderedPageBreak/>
        <w:t xml:space="preserve">         </w:t>
      </w:r>
      <w:r w:rsidR="00936F38">
        <w:rPr>
          <w:sz w:val="24"/>
          <w:szCs w:val="24"/>
        </w:rPr>
        <w:t xml:space="preserve">   </w:t>
      </w:r>
      <w:r w:rsidRPr="003D1841">
        <w:rPr>
          <w:sz w:val="24"/>
          <w:szCs w:val="24"/>
        </w:rPr>
        <w:t>(3) Consistent with the OCC’s Suspicious Activity Report regulations, notifying appropriate law enforcement authorities, as well as filing a timely SAR in situations in</w:t>
      </w:r>
      <w:r w:rsidR="0095078C">
        <w:rPr>
          <w:sz w:val="24"/>
          <w:szCs w:val="24"/>
        </w:rPr>
        <w:t xml:space="preserve"> </w:t>
      </w:r>
      <w:r w:rsidRPr="003D1841">
        <w:rPr>
          <w:sz w:val="24"/>
          <w:szCs w:val="24"/>
        </w:rPr>
        <w:t xml:space="preserve">which </w:t>
      </w:r>
      <w:r w:rsidR="002C23FC">
        <w:rPr>
          <w:sz w:val="24"/>
          <w:szCs w:val="24"/>
        </w:rPr>
        <w:t xml:space="preserve">a </w:t>
      </w:r>
      <w:r w:rsidRPr="003D1841">
        <w:rPr>
          <w:sz w:val="24"/>
          <w:szCs w:val="24"/>
        </w:rPr>
        <w:t>Federal criminal violation require</w:t>
      </w:r>
      <w:r w:rsidR="002C23FC">
        <w:rPr>
          <w:sz w:val="24"/>
          <w:szCs w:val="24"/>
        </w:rPr>
        <w:t>s</w:t>
      </w:r>
      <w:r w:rsidRPr="003D1841">
        <w:rPr>
          <w:sz w:val="24"/>
          <w:szCs w:val="24"/>
        </w:rPr>
        <w:t xml:space="preserve"> immediate attention, such as when a reportable violation is ongoing;</w:t>
      </w:r>
    </w:p>
    <w:p w:rsidR="007154EA" w:rsidRPr="003D1841" w:rsidRDefault="007154EA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   (4) Taking appropriate steps to contain and control the incident in an effort to prevent further unauthorized access to, or use of, customer information</w:t>
      </w:r>
      <w:r w:rsidR="00345002">
        <w:rPr>
          <w:sz w:val="24"/>
          <w:szCs w:val="24"/>
        </w:rPr>
        <w:t xml:space="preserve"> (</w:t>
      </w:r>
      <w:r w:rsidRPr="003D1841">
        <w:rPr>
          <w:sz w:val="24"/>
          <w:szCs w:val="24"/>
        </w:rPr>
        <w:t>for example, by monitoring, freezing, or closing affected accounts</w:t>
      </w:r>
      <w:r w:rsidR="00345002">
        <w:rPr>
          <w:sz w:val="24"/>
          <w:szCs w:val="24"/>
        </w:rPr>
        <w:t>)</w:t>
      </w:r>
      <w:r w:rsidRPr="003D1841">
        <w:rPr>
          <w:sz w:val="24"/>
          <w:szCs w:val="24"/>
        </w:rPr>
        <w:t>, while preserving records and other evidence; and</w:t>
      </w:r>
    </w:p>
    <w:p w:rsidR="00936F38" w:rsidRPr="003D1841" w:rsidRDefault="00936F38" w:rsidP="00936F38">
      <w:pPr>
        <w:pStyle w:val="ListParagraph"/>
        <w:ind w:left="0"/>
        <w:rPr>
          <w:sz w:val="24"/>
          <w:szCs w:val="24"/>
        </w:rPr>
      </w:pPr>
    </w:p>
    <w:p w:rsidR="008145CF" w:rsidRDefault="008145CF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  <w:r w:rsidRPr="003D1841">
        <w:rPr>
          <w:sz w:val="24"/>
          <w:szCs w:val="24"/>
        </w:rPr>
        <w:t xml:space="preserve">         </w:t>
      </w:r>
      <w:r w:rsidR="00936F38">
        <w:rPr>
          <w:sz w:val="24"/>
          <w:szCs w:val="24"/>
        </w:rPr>
        <w:t xml:space="preserve">  </w:t>
      </w:r>
      <w:r w:rsidRPr="003D1841">
        <w:rPr>
          <w:sz w:val="24"/>
          <w:szCs w:val="24"/>
        </w:rPr>
        <w:t xml:space="preserve"> </w:t>
      </w:r>
      <w:proofErr w:type="gramStart"/>
      <w:r w:rsidRPr="003D1841">
        <w:rPr>
          <w:sz w:val="24"/>
          <w:szCs w:val="24"/>
        </w:rPr>
        <w:t>(5) Notifying customers when warranted.</w:t>
      </w:r>
      <w:proofErr w:type="gramEnd"/>
    </w:p>
    <w:p w:rsidR="00936F38" w:rsidRPr="003D1841" w:rsidRDefault="00936F38" w:rsidP="00936F38">
      <w:pPr>
        <w:pStyle w:val="ListParagraph"/>
        <w:tabs>
          <w:tab w:val="left" w:pos="720"/>
        </w:tabs>
        <w:ind w:left="0"/>
        <w:rPr>
          <w:sz w:val="24"/>
          <w:szCs w:val="24"/>
        </w:rPr>
      </w:pPr>
    </w:p>
    <w:p w:rsidR="008145CF" w:rsidRPr="003D1841" w:rsidRDefault="00936F38" w:rsidP="00936F38">
      <w:pPr>
        <w:pStyle w:val="ListParagraph"/>
        <w:ind w:left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8145CF" w:rsidRPr="003D1841">
        <w:rPr>
          <w:sz w:val="24"/>
          <w:szCs w:val="24"/>
        </w:rPr>
        <w:t>This collection of information covers the notice provisions in the Breach Notice Guidance.</w:t>
      </w:r>
    </w:p>
    <w:p w:rsidR="00111140" w:rsidRPr="003D1841" w:rsidRDefault="00111140" w:rsidP="003D184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745DC" w:rsidRPr="005143BE" w:rsidRDefault="00D15F54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 xml:space="preserve"> Consideration of the use of </w:t>
      </w:r>
      <w:r w:rsidR="002745DC" w:rsidRPr="005143BE">
        <w:rPr>
          <w:b/>
          <w:i/>
          <w:sz w:val="24"/>
          <w:szCs w:val="24"/>
        </w:rPr>
        <w:t>improved information technology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>Respondents may use any technology they wish to reduce the burden associated with this collection.</w:t>
      </w:r>
    </w:p>
    <w:p w:rsidR="002745DC" w:rsidRPr="005143BE" w:rsidRDefault="002745DC" w:rsidP="003D1841">
      <w:pPr>
        <w:pStyle w:val="Footer"/>
        <w:tabs>
          <w:tab w:val="clear" w:pos="4320"/>
          <w:tab w:val="clear" w:pos="8640"/>
        </w:tabs>
        <w:rPr>
          <w:b/>
          <w:i/>
          <w:sz w:val="24"/>
          <w:szCs w:val="24"/>
        </w:rPr>
      </w:pPr>
    </w:p>
    <w:p w:rsidR="002745DC" w:rsidRPr="003D1841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4"/>
          <w:szCs w:val="24"/>
        </w:rPr>
      </w:pPr>
      <w:r w:rsidRPr="005143BE">
        <w:rPr>
          <w:b/>
          <w:i/>
          <w:sz w:val="24"/>
          <w:szCs w:val="24"/>
        </w:rPr>
        <w:t>Efforts to identify duplication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>There is no duplication.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5143BE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>Methods used to minimize burden if the collection has a significant impact on a substantial number of small entities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5143BE" w:rsidRDefault="002745DC" w:rsidP="003D1841">
      <w:pPr>
        <w:pStyle w:val="Footer"/>
        <w:tabs>
          <w:tab w:val="clear" w:pos="4320"/>
          <w:tab w:val="clear" w:pos="8640"/>
        </w:tabs>
        <w:rPr>
          <w:b/>
          <w:i/>
          <w:sz w:val="24"/>
          <w:szCs w:val="24"/>
        </w:rPr>
      </w:pPr>
    </w:p>
    <w:p w:rsidR="002745DC" w:rsidRPr="003D1841" w:rsidRDefault="002C052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Not applicable.</w:t>
      </w:r>
      <w:proofErr w:type="gramEnd"/>
    </w:p>
    <w:p w:rsidR="00E06ADA" w:rsidRPr="003D1841" w:rsidRDefault="00E06ADA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5143BE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>Consequences to the Federal program if the collection were conducted less frequently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The OCC believes that less frequent collection (a less stringent disclosure standard) would result in unacceptable harm to customers.  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5143BE" w:rsidRDefault="002745DC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>Special circumstances necessitating collection inconsistent with 5 CFR part 1320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No special circumstances exist. </w:t>
      </w:r>
    </w:p>
    <w:p w:rsidR="002745DC" w:rsidRPr="003D1841" w:rsidRDefault="002745DC" w:rsidP="003D1841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2745DC" w:rsidRPr="005143BE" w:rsidRDefault="00FC0C9E" w:rsidP="003D184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Efforts to consult with</w:t>
      </w:r>
      <w:r w:rsidR="002745DC" w:rsidRPr="005143BE">
        <w:rPr>
          <w:b/>
          <w:i/>
          <w:sz w:val="24"/>
          <w:szCs w:val="24"/>
        </w:rPr>
        <w:t xml:space="preserve"> persons outside the agency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Heading1"/>
        <w:rPr>
          <w:rFonts w:ascii="Times New Roman" w:hAnsi="Times New Roman"/>
          <w:sz w:val="24"/>
          <w:szCs w:val="24"/>
        </w:rPr>
      </w:pPr>
    </w:p>
    <w:p w:rsidR="002745DC" w:rsidRPr="003D1841" w:rsidRDefault="00766E71" w:rsidP="003D1841">
      <w:pPr>
        <w:pStyle w:val="Heading1"/>
        <w:ind w:firstLine="720"/>
        <w:rPr>
          <w:rFonts w:ascii="Times New Roman" w:hAnsi="Times New Roman"/>
          <w:b w:val="0"/>
          <w:sz w:val="24"/>
          <w:szCs w:val="24"/>
        </w:rPr>
      </w:pPr>
      <w:r w:rsidRPr="003D1841">
        <w:rPr>
          <w:rFonts w:ascii="Times New Roman" w:hAnsi="Times New Roman"/>
          <w:b w:val="0"/>
          <w:sz w:val="24"/>
          <w:szCs w:val="24"/>
        </w:rPr>
        <w:t xml:space="preserve">The collection </w:t>
      </w:r>
      <w:proofErr w:type="gramStart"/>
      <w:r w:rsidRPr="003D1841">
        <w:rPr>
          <w:rFonts w:ascii="Times New Roman" w:hAnsi="Times New Roman"/>
          <w:b w:val="0"/>
          <w:sz w:val="24"/>
          <w:szCs w:val="24"/>
        </w:rPr>
        <w:t>wa</w:t>
      </w:r>
      <w:r w:rsidR="002745DC" w:rsidRPr="003D1841">
        <w:rPr>
          <w:rFonts w:ascii="Times New Roman" w:hAnsi="Times New Roman"/>
          <w:b w:val="0"/>
          <w:sz w:val="24"/>
          <w:szCs w:val="24"/>
        </w:rPr>
        <w:t>s published</w:t>
      </w:r>
      <w:proofErr w:type="gramEnd"/>
      <w:r w:rsidR="002745DC" w:rsidRPr="003D1841">
        <w:rPr>
          <w:rFonts w:ascii="Times New Roman" w:hAnsi="Times New Roman"/>
          <w:b w:val="0"/>
          <w:sz w:val="24"/>
          <w:szCs w:val="24"/>
        </w:rPr>
        <w:t xml:space="preserve"> for public comment at </w:t>
      </w:r>
      <w:r w:rsidR="00B346CA">
        <w:rPr>
          <w:rFonts w:ascii="Times New Roman" w:hAnsi="Times New Roman"/>
          <w:b w:val="0"/>
          <w:sz w:val="24"/>
          <w:szCs w:val="24"/>
        </w:rPr>
        <w:t xml:space="preserve">81 FR </w:t>
      </w:r>
      <w:r w:rsidR="00DB23FE">
        <w:rPr>
          <w:rFonts w:ascii="Times New Roman" w:hAnsi="Times New Roman"/>
          <w:b w:val="0"/>
          <w:sz w:val="24"/>
          <w:szCs w:val="24"/>
        </w:rPr>
        <w:t>21666</w:t>
      </w:r>
      <w:r w:rsidR="00747A29" w:rsidRPr="003D1841">
        <w:rPr>
          <w:rFonts w:ascii="Times New Roman" w:hAnsi="Times New Roman"/>
          <w:b w:val="0"/>
          <w:sz w:val="24"/>
          <w:szCs w:val="24"/>
        </w:rPr>
        <w:t xml:space="preserve"> </w:t>
      </w:r>
      <w:r w:rsidR="00B233FA" w:rsidRPr="003D1841">
        <w:rPr>
          <w:rFonts w:ascii="Times New Roman" w:hAnsi="Times New Roman"/>
          <w:b w:val="0"/>
          <w:sz w:val="24"/>
          <w:szCs w:val="24"/>
        </w:rPr>
        <w:t>(</w:t>
      </w:r>
      <w:r w:rsidR="00DB23FE">
        <w:rPr>
          <w:rFonts w:ascii="Times New Roman" w:hAnsi="Times New Roman"/>
          <w:b w:val="0"/>
          <w:sz w:val="24"/>
          <w:szCs w:val="24"/>
        </w:rPr>
        <w:t>April 12</w:t>
      </w:r>
      <w:r w:rsidR="00B346CA">
        <w:rPr>
          <w:rFonts w:ascii="Times New Roman" w:hAnsi="Times New Roman"/>
          <w:b w:val="0"/>
          <w:sz w:val="24"/>
          <w:szCs w:val="24"/>
        </w:rPr>
        <w:t>, 2016)</w:t>
      </w:r>
      <w:r w:rsidR="00B233FA" w:rsidRPr="003D1841">
        <w:rPr>
          <w:rFonts w:ascii="Times New Roman" w:hAnsi="Times New Roman"/>
          <w:b w:val="0"/>
          <w:sz w:val="24"/>
          <w:szCs w:val="24"/>
        </w:rPr>
        <w:t>.</w:t>
      </w:r>
      <w:r w:rsidR="007113D6" w:rsidRPr="003D1841">
        <w:rPr>
          <w:rFonts w:ascii="Times New Roman" w:hAnsi="Times New Roman"/>
          <w:b w:val="0"/>
          <w:sz w:val="24"/>
          <w:szCs w:val="24"/>
        </w:rPr>
        <w:t xml:space="preserve">  </w:t>
      </w:r>
      <w:r w:rsidR="007449E9" w:rsidRPr="003D1841">
        <w:rPr>
          <w:rFonts w:ascii="Times New Roman" w:hAnsi="Times New Roman"/>
          <w:b w:val="0"/>
          <w:sz w:val="24"/>
          <w:szCs w:val="24"/>
        </w:rPr>
        <w:t>No</w:t>
      </w:r>
      <w:r w:rsidR="00747A29" w:rsidRPr="003D1841">
        <w:rPr>
          <w:rFonts w:ascii="Times New Roman" w:hAnsi="Times New Roman"/>
          <w:b w:val="0"/>
          <w:sz w:val="24"/>
          <w:szCs w:val="24"/>
        </w:rPr>
        <w:t xml:space="preserve"> </w:t>
      </w:r>
      <w:r w:rsidR="007113D6" w:rsidRPr="003D1841">
        <w:rPr>
          <w:rFonts w:ascii="Times New Roman" w:hAnsi="Times New Roman"/>
          <w:b w:val="0"/>
          <w:sz w:val="24"/>
          <w:szCs w:val="24"/>
        </w:rPr>
        <w:t xml:space="preserve">comments </w:t>
      </w:r>
      <w:proofErr w:type="gramStart"/>
      <w:r w:rsidR="007113D6" w:rsidRPr="003D1841">
        <w:rPr>
          <w:rFonts w:ascii="Times New Roman" w:hAnsi="Times New Roman"/>
          <w:b w:val="0"/>
          <w:sz w:val="24"/>
          <w:szCs w:val="24"/>
        </w:rPr>
        <w:t>were received</w:t>
      </w:r>
      <w:proofErr w:type="gramEnd"/>
      <w:r w:rsidR="007113D6" w:rsidRPr="003D1841">
        <w:rPr>
          <w:rFonts w:ascii="Times New Roman" w:hAnsi="Times New Roman"/>
          <w:b w:val="0"/>
          <w:sz w:val="24"/>
          <w:szCs w:val="24"/>
        </w:rPr>
        <w:t>.</w:t>
      </w:r>
      <w:r w:rsidR="002745DC" w:rsidRPr="003D184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745DC" w:rsidRDefault="002745DC" w:rsidP="003D1841">
      <w:pPr>
        <w:rPr>
          <w:sz w:val="24"/>
          <w:szCs w:val="24"/>
        </w:rPr>
      </w:pPr>
    </w:p>
    <w:p w:rsidR="00B346CA" w:rsidRDefault="00B346CA" w:rsidP="003D1841">
      <w:pPr>
        <w:rPr>
          <w:sz w:val="24"/>
          <w:szCs w:val="24"/>
        </w:rPr>
      </w:pPr>
    </w:p>
    <w:p w:rsidR="00B346CA" w:rsidRPr="003D1841" w:rsidRDefault="00B346CA" w:rsidP="003D1841">
      <w:pPr>
        <w:rPr>
          <w:sz w:val="24"/>
          <w:szCs w:val="24"/>
        </w:rPr>
      </w:pPr>
    </w:p>
    <w:p w:rsidR="002745DC" w:rsidRPr="005143BE" w:rsidRDefault="002745DC" w:rsidP="003D1841">
      <w:pPr>
        <w:numPr>
          <w:ilvl w:val="0"/>
          <w:numId w:val="4"/>
        </w:numPr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lastRenderedPageBreak/>
        <w:t xml:space="preserve">Payment </w:t>
      </w:r>
      <w:r w:rsidR="00FC0C9E">
        <w:rPr>
          <w:b/>
          <w:i/>
          <w:sz w:val="24"/>
          <w:szCs w:val="24"/>
        </w:rPr>
        <w:t xml:space="preserve">or gift </w:t>
      </w:r>
      <w:r w:rsidRPr="005143BE">
        <w:rPr>
          <w:b/>
          <w:i/>
          <w:sz w:val="24"/>
          <w:szCs w:val="24"/>
        </w:rPr>
        <w:t>to respondents</w:t>
      </w:r>
      <w:r w:rsidR="00951BAC" w:rsidRPr="005143BE">
        <w:rPr>
          <w:b/>
          <w:i/>
          <w:sz w:val="24"/>
          <w:szCs w:val="24"/>
        </w:rPr>
        <w:t>:</w:t>
      </w:r>
    </w:p>
    <w:p w:rsidR="0095078C" w:rsidRDefault="0095078C" w:rsidP="003D1841">
      <w:pPr>
        <w:ind w:left="720" w:firstLine="720"/>
        <w:rPr>
          <w:sz w:val="24"/>
          <w:szCs w:val="24"/>
        </w:rPr>
      </w:pPr>
    </w:p>
    <w:p w:rsidR="002745DC" w:rsidRPr="003D1841" w:rsidRDefault="002745DC" w:rsidP="0095078C">
      <w:pPr>
        <w:ind w:left="720"/>
        <w:rPr>
          <w:sz w:val="24"/>
          <w:szCs w:val="24"/>
        </w:rPr>
      </w:pPr>
      <w:proofErr w:type="gramStart"/>
      <w:r w:rsidRPr="003D1841">
        <w:rPr>
          <w:sz w:val="24"/>
          <w:szCs w:val="24"/>
        </w:rPr>
        <w:t>Not applicable.</w:t>
      </w:r>
      <w:proofErr w:type="gramEnd"/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5143BE" w:rsidRDefault="00FC0C9E" w:rsidP="003D1841">
      <w:pPr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Any assurance of c</w:t>
      </w:r>
      <w:r w:rsidR="002745DC" w:rsidRPr="005143BE">
        <w:rPr>
          <w:b/>
          <w:i/>
          <w:sz w:val="24"/>
          <w:szCs w:val="24"/>
        </w:rPr>
        <w:t>onfidentiality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601033" w:rsidP="003D184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information collected </w:t>
      </w:r>
      <w:proofErr w:type="gramStart"/>
      <w:r>
        <w:rPr>
          <w:sz w:val="24"/>
          <w:szCs w:val="24"/>
        </w:rPr>
        <w:t>is kept</w:t>
      </w:r>
      <w:proofErr w:type="gramEnd"/>
      <w:r>
        <w:rPr>
          <w:sz w:val="24"/>
          <w:szCs w:val="24"/>
        </w:rPr>
        <w:t xml:space="preserve"> confidential</w:t>
      </w:r>
      <w:r w:rsidR="0095078C">
        <w:rPr>
          <w:sz w:val="24"/>
          <w:szCs w:val="24"/>
        </w:rPr>
        <w:t xml:space="preserve"> to the extent permissible by law.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5143BE" w:rsidRDefault="00FC0C9E" w:rsidP="003D1841">
      <w:pPr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Justification for questions of a sensitive nature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3D1841" w:rsidRDefault="002745DC" w:rsidP="003D1841">
      <w:pPr>
        <w:ind w:firstLine="720"/>
        <w:rPr>
          <w:sz w:val="24"/>
          <w:szCs w:val="24"/>
        </w:rPr>
      </w:pPr>
      <w:r w:rsidRPr="003D1841">
        <w:rPr>
          <w:sz w:val="24"/>
          <w:szCs w:val="24"/>
        </w:rPr>
        <w:t xml:space="preserve">The disclosure of this information would be limited to </w:t>
      </w:r>
      <w:r w:rsidR="00B5768D" w:rsidRPr="003D1841">
        <w:rPr>
          <w:sz w:val="24"/>
          <w:szCs w:val="24"/>
        </w:rPr>
        <w:t>customers</w:t>
      </w:r>
      <w:r w:rsidRPr="003D1841">
        <w:rPr>
          <w:sz w:val="24"/>
          <w:szCs w:val="24"/>
        </w:rPr>
        <w:t>.</w:t>
      </w:r>
    </w:p>
    <w:p w:rsidR="002745DC" w:rsidRPr="003D1841" w:rsidRDefault="002745DC" w:rsidP="003D1841">
      <w:pPr>
        <w:rPr>
          <w:sz w:val="24"/>
          <w:szCs w:val="24"/>
        </w:rPr>
      </w:pPr>
    </w:p>
    <w:p w:rsidR="002745DC" w:rsidRPr="005143BE" w:rsidRDefault="002745DC" w:rsidP="003D1841">
      <w:pPr>
        <w:numPr>
          <w:ilvl w:val="0"/>
          <w:numId w:val="4"/>
        </w:numPr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>Burden estimate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pStyle w:val="BodyText"/>
        <w:ind w:firstLine="720"/>
        <w:rPr>
          <w:rFonts w:ascii="Times New Roman" w:hAnsi="Times New Roman"/>
          <w:szCs w:val="24"/>
        </w:rPr>
      </w:pPr>
      <w:r w:rsidRPr="003D1841">
        <w:rPr>
          <w:rFonts w:ascii="Times New Roman" w:hAnsi="Times New Roman"/>
          <w:szCs w:val="24"/>
        </w:rPr>
        <w:tab/>
      </w:r>
    </w:p>
    <w:p w:rsidR="002745DC" w:rsidRPr="003D1841" w:rsidRDefault="00EA11D2" w:rsidP="003D1841">
      <w:pPr>
        <w:pStyle w:val="BodyText"/>
        <w:ind w:firstLine="720"/>
        <w:jc w:val="left"/>
        <w:rPr>
          <w:rFonts w:ascii="Times New Roman" w:hAnsi="Times New Roman"/>
          <w:b w:val="0"/>
          <w:szCs w:val="24"/>
        </w:rPr>
      </w:pPr>
      <w:r w:rsidRPr="003D1841">
        <w:rPr>
          <w:rFonts w:ascii="Times New Roman" w:hAnsi="Times New Roman"/>
          <w:b w:val="0"/>
          <w:szCs w:val="24"/>
        </w:rPr>
        <w:t>The</w:t>
      </w:r>
      <w:r w:rsidR="004F07CB" w:rsidRPr="003D1841">
        <w:rPr>
          <w:rFonts w:ascii="Times New Roman" w:hAnsi="Times New Roman"/>
          <w:b w:val="0"/>
          <w:szCs w:val="24"/>
        </w:rPr>
        <w:t xml:space="preserve"> burden associated with</w:t>
      </w:r>
      <w:r w:rsidR="002745DC" w:rsidRPr="003D1841">
        <w:rPr>
          <w:rFonts w:ascii="Times New Roman" w:hAnsi="Times New Roman"/>
          <w:b w:val="0"/>
          <w:szCs w:val="24"/>
        </w:rPr>
        <w:t xml:space="preserve"> this collection of information </w:t>
      </w:r>
      <w:proofErr w:type="gramStart"/>
      <w:r w:rsidR="002745DC" w:rsidRPr="003D1841">
        <w:rPr>
          <w:rFonts w:ascii="Times New Roman" w:hAnsi="Times New Roman"/>
          <w:b w:val="0"/>
          <w:szCs w:val="24"/>
        </w:rPr>
        <w:t>is summarized</w:t>
      </w:r>
      <w:proofErr w:type="gramEnd"/>
      <w:r w:rsidR="002745DC" w:rsidRPr="003D1841">
        <w:rPr>
          <w:rFonts w:ascii="Times New Roman" w:hAnsi="Times New Roman"/>
          <w:b w:val="0"/>
          <w:szCs w:val="24"/>
        </w:rPr>
        <w:t xml:space="preserve"> as follows:</w:t>
      </w:r>
    </w:p>
    <w:p w:rsidR="003A052F" w:rsidRPr="003A052F" w:rsidRDefault="003A052F" w:rsidP="003D1841">
      <w:pPr>
        <w:spacing w:before="100" w:beforeAutospacing="1"/>
        <w:ind w:left="720"/>
        <w:rPr>
          <w:color w:val="000000"/>
          <w:sz w:val="24"/>
          <w:szCs w:val="24"/>
        </w:rPr>
      </w:pPr>
      <w:proofErr w:type="gramStart"/>
      <w:r w:rsidRPr="003D1841">
        <w:rPr>
          <w:color w:val="000000"/>
          <w:sz w:val="24"/>
          <w:szCs w:val="24"/>
          <w:u w:val="single"/>
        </w:rPr>
        <w:t>Estimated Number of Respondents</w:t>
      </w:r>
      <w:r w:rsidRPr="003D1841">
        <w:rPr>
          <w:color w:val="000000"/>
          <w:sz w:val="24"/>
          <w:szCs w:val="24"/>
        </w:rPr>
        <w:t xml:space="preserve">:  </w:t>
      </w:r>
      <w:r w:rsidR="00581BA1">
        <w:rPr>
          <w:color w:val="000000"/>
          <w:sz w:val="24"/>
          <w:szCs w:val="24"/>
        </w:rPr>
        <w:t>20.</w:t>
      </w:r>
      <w:proofErr w:type="gramEnd"/>
      <w:r w:rsidRPr="003A052F">
        <w:rPr>
          <w:color w:val="000000"/>
          <w:sz w:val="24"/>
          <w:szCs w:val="24"/>
        </w:rPr>
        <w:br/>
      </w:r>
      <w:r w:rsidRPr="003A052F">
        <w:rPr>
          <w:sz w:val="24"/>
          <w:szCs w:val="24"/>
        </w:rPr>
        <w:br/>
      </w:r>
      <w:proofErr w:type="gramStart"/>
      <w:r w:rsidRPr="003A052F">
        <w:rPr>
          <w:sz w:val="24"/>
          <w:szCs w:val="24"/>
        </w:rPr>
        <w:t>Developing notices: 16 hrs.</w:t>
      </w:r>
      <w:proofErr w:type="gramEnd"/>
      <w:r w:rsidRPr="003A052F">
        <w:rPr>
          <w:sz w:val="24"/>
          <w:szCs w:val="24"/>
        </w:rPr>
        <w:t xml:space="preserve"> </w:t>
      </w:r>
      <w:proofErr w:type="gramStart"/>
      <w:r w:rsidRPr="003A052F">
        <w:rPr>
          <w:sz w:val="24"/>
          <w:szCs w:val="24"/>
        </w:rPr>
        <w:t>x</w:t>
      </w:r>
      <w:proofErr w:type="gramEnd"/>
      <w:r w:rsidRPr="003A052F">
        <w:rPr>
          <w:sz w:val="24"/>
          <w:szCs w:val="24"/>
        </w:rPr>
        <w:t xml:space="preserve"> </w:t>
      </w:r>
      <w:r w:rsidR="00581BA1">
        <w:rPr>
          <w:sz w:val="24"/>
          <w:szCs w:val="24"/>
        </w:rPr>
        <w:t>20</w:t>
      </w:r>
      <w:r w:rsidRPr="003A052F">
        <w:rPr>
          <w:sz w:val="24"/>
          <w:szCs w:val="24"/>
        </w:rPr>
        <w:t xml:space="preserve"> respondents = </w:t>
      </w:r>
      <w:r w:rsidR="00581BA1">
        <w:rPr>
          <w:sz w:val="24"/>
          <w:szCs w:val="24"/>
        </w:rPr>
        <w:t>320</w:t>
      </w:r>
      <w:r w:rsidRPr="003A052F">
        <w:rPr>
          <w:sz w:val="24"/>
          <w:szCs w:val="24"/>
        </w:rPr>
        <w:t xml:space="preserve"> hours</w:t>
      </w:r>
      <w:r w:rsidRPr="003A052F">
        <w:rPr>
          <w:color w:val="000000"/>
          <w:sz w:val="24"/>
          <w:szCs w:val="24"/>
        </w:rPr>
        <w:br/>
      </w:r>
      <w:r w:rsidRPr="003A052F">
        <w:rPr>
          <w:sz w:val="24"/>
          <w:szCs w:val="24"/>
        </w:rPr>
        <w:t xml:space="preserve">Notifying customers: 20 hrs. </w:t>
      </w:r>
      <w:proofErr w:type="gramStart"/>
      <w:r w:rsidRPr="003A052F">
        <w:rPr>
          <w:sz w:val="24"/>
          <w:szCs w:val="24"/>
        </w:rPr>
        <w:t>x</w:t>
      </w:r>
      <w:proofErr w:type="gramEnd"/>
      <w:r w:rsidRPr="003A052F">
        <w:rPr>
          <w:sz w:val="24"/>
          <w:szCs w:val="24"/>
        </w:rPr>
        <w:t xml:space="preserve"> </w:t>
      </w:r>
      <w:r w:rsidR="00581BA1">
        <w:rPr>
          <w:sz w:val="24"/>
          <w:szCs w:val="24"/>
        </w:rPr>
        <w:t>20</w:t>
      </w:r>
      <w:r w:rsidRPr="003A052F">
        <w:rPr>
          <w:sz w:val="24"/>
          <w:szCs w:val="24"/>
        </w:rPr>
        <w:t xml:space="preserve"> respondents = </w:t>
      </w:r>
      <w:r w:rsidR="00581BA1">
        <w:rPr>
          <w:sz w:val="24"/>
          <w:szCs w:val="24"/>
        </w:rPr>
        <w:t>400</w:t>
      </w:r>
      <w:r w:rsidRPr="003A052F">
        <w:rPr>
          <w:sz w:val="24"/>
          <w:szCs w:val="24"/>
        </w:rPr>
        <w:t xml:space="preserve"> hours</w:t>
      </w:r>
    </w:p>
    <w:p w:rsidR="003A052F" w:rsidRPr="003A052F" w:rsidRDefault="003A052F" w:rsidP="003D1841">
      <w:pPr>
        <w:spacing w:before="100" w:beforeAutospacing="1"/>
        <w:rPr>
          <w:sz w:val="24"/>
          <w:szCs w:val="24"/>
        </w:rPr>
      </w:pPr>
      <w:r w:rsidRPr="003A052F">
        <w:rPr>
          <w:sz w:val="24"/>
          <w:szCs w:val="24"/>
        </w:rPr>
        <w:t xml:space="preserve">             </w:t>
      </w:r>
      <w:proofErr w:type="gramStart"/>
      <w:r w:rsidRPr="003A052F">
        <w:rPr>
          <w:sz w:val="24"/>
          <w:szCs w:val="24"/>
        </w:rPr>
        <w:t>Estimated average burden per respondent:  36 hours.</w:t>
      </w:r>
      <w:proofErr w:type="gramEnd"/>
    </w:p>
    <w:p w:rsidR="007F0059" w:rsidRDefault="003A052F" w:rsidP="00B10417">
      <w:pPr>
        <w:spacing w:before="100" w:beforeAutospacing="1"/>
        <w:rPr>
          <w:sz w:val="24"/>
          <w:szCs w:val="24"/>
        </w:rPr>
      </w:pPr>
      <w:r w:rsidRPr="003A052F">
        <w:rPr>
          <w:sz w:val="24"/>
          <w:szCs w:val="24"/>
        </w:rPr>
        <w:t xml:space="preserve">             Total Estimated Annual Burden: </w:t>
      </w:r>
      <w:r w:rsidR="00581BA1">
        <w:rPr>
          <w:sz w:val="24"/>
          <w:szCs w:val="24"/>
        </w:rPr>
        <w:t>720</w:t>
      </w:r>
      <w:r w:rsidRPr="003A052F">
        <w:rPr>
          <w:sz w:val="24"/>
          <w:szCs w:val="24"/>
        </w:rPr>
        <w:t xml:space="preserve"> hours</w:t>
      </w:r>
    </w:p>
    <w:p w:rsidR="009123AE" w:rsidRPr="009123AE" w:rsidRDefault="009123AE" w:rsidP="00B10417">
      <w:pPr>
        <w:spacing w:before="100" w:beforeAutospacing="1"/>
        <w:rPr>
          <w:b/>
          <w:sz w:val="24"/>
          <w:szCs w:val="24"/>
        </w:rPr>
      </w:pPr>
      <w:r w:rsidRPr="009123AE">
        <w:rPr>
          <w:b/>
          <w:sz w:val="24"/>
          <w:szCs w:val="24"/>
        </w:rPr>
        <w:t>Cost of Hour Burden</w:t>
      </w:r>
    </w:p>
    <w:p w:rsidR="00B10417" w:rsidRDefault="00581BA1" w:rsidP="00B10417">
      <w:pPr>
        <w:spacing w:before="100" w:beforeAutospacing="1"/>
        <w:rPr>
          <w:b/>
          <w:sz w:val="24"/>
          <w:szCs w:val="24"/>
        </w:rPr>
      </w:pPr>
      <w:r>
        <w:rPr>
          <w:b/>
          <w:sz w:val="24"/>
          <w:szCs w:val="24"/>
        </w:rPr>
        <w:t>720</w:t>
      </w:r>
      <w:r w:rsidR="009123AE" w:rsidRPr="009123AE">
        <w:rPr>
          <w:b/>
          <w:sz w:val="24"/>
          <w:szCs w:val="24"/>
        </w:rPr>
        <w:t xml:space="preserve"> x $101 = $</w:t>
      </w:r>
      <w:r>
        <w:rPr>
          <w:b/>
          <w:sz w:val="24"/>
          <w:szCs w:val="24"/>
        </w:rPr>
        <w:t>72,720</w:t>
      </w:r>
    </w:p>
    <w:p w:rsidR="009123AE" w:rsidRDefault="009123AE" w:rsidP="00B10417">
      <w:pPr>
        <w:rPr>
          <w:sz w:val="24"/>
          <w:szCs w:val="24"/>
        </w:rPr>
      </w:pPr>
      <w:r w:rsidRPr="00596CA3">
        <w:rPr>
          <w:sz w:val="24"/>
          <w:szCs w:val="24"/>
        </w:rPr>
        <w:t>To estimate average hourly wages we reviewed data from May 201</w:t>
      </w:r>
      <w:r w:rsidR="00DB23FE">
        <w:rPr>
          <w:sz w:val="24"/>
          <w:szCs w:val="24"/>
        </w:rPr>
        <w:t>5</w:t>
      </w:r>
      <w:r w:rsidRPr="00596CA3">
        <w:rPr>
          <w:sz w:val="24"/>
          <w:szCs w:val="24"/>
        </w:rPr>
        <w:t xml:space="preserve"> for wages (by industry and occupation) from the U.S. Bureau of Labor Statistics (BLS) for depository credit intermediation (NAICS 522100).  To estimate compensation costs associated with the rule, we use $101 per hour, which is based on the average of the 90th percentile for seven occupations adjusted for inflation (</w:t>
      </w:r>
      <w:r w:rsidR="002C23FC">
        <w:rPr>
          <w:sz w:val="24"/>
          <w:szCs w:val="24"/>
        </w:rPr>
        <w:t>two</w:t>
      </w:r>
      <w:r w:rsidRPr="00596CA3">
        <w:rPr>
          <w:sz w:val="24"/>
          <w:szCs w:val="24"/>
        </w:rPr>
        <w:t xml:space="preserve"> percent), plus an additional 30 percent to cover private sector benefits.  Thirty percent represents the average private sector costs of employee benefits.  </w:t>
      </w:r>
    </w:p>
    <w:p w:rsidR="00B10417" w:rsidRPr="00B10417" w:rsidRDefault="00B10417" w:rsidP="00B10417">
      <w:pPr>
        <w:rPr>
          <w:sz w:val="24"/>
          <w:szCs w:val="24"/>
        </w:rPr>
      </w:pPr>
    </w:p>
    <w:p w:rsidR="002745DC" w:rsidRDefault="002745DC" w:rsidP="00B10417">
      <w:pPr>
        <w:numPr>
          <w:ilvl w:val="0"/>
          <w:numId w:val="4"/>
        </w:numPr>
        <w:tabs>
          <w:tab w:val="clear" w:pos="1440"/>
          <w:tab w:val="num" w:pos="720"/>
        </w:tabs>
        <w:ind w:left="0" w:firstLine="720"/>
        <w:contextualSpacing/>
        <w:jc w:val="both"/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 xml:space="preserve">Estimate of </w:t>
      </w:r>
      <w:r w:rsidR="009123AE">
        <w:rPr>
          <w:b/>
          <w:i/>
          <w:sz w:val="24"/>
          <w:szCs w:val="24"/>
        </w:rPr>
        <w:t>total annual</w:t>
      </w:r>
      <w:r w:rsidRPr="005143BE">
        <w:rPr>
          <w:b/>
          <w:i/>
          <w:sz w:val="24"/>
          <w:szCs w:val="24"/>
        </w:rPr>
        <w:t xml:space="preserve"> costs to respondents</w:t>
      </w:r>
      <w:r w:rsidR="009123AE">
        <w:rPr>
          <w:b/>
          <w:i/>
          <w:sz w:val="24"/>
          <w:szCs w:val="24"/>
        </w:rPr>
        <w:t xml:space="preserve"> (excluding cost of hour burden in Item #12</w:t>
      </w:r>
      <w:r w:rsidR="00951BAC" w:rsidRPr="005143BE">
        <w:rPr>
          <w:b/>
          <w:i/>
          <w:sz w:val="24"/>
          <w:szCs w:val="24"/>
        </w:rPr>
        <w:t>:</w:t>
      </w:r>
    </w:p>
    <w:p w:rsidR="009123AE" w:rsidRPr="005143BE" w:rsidRDefault="009123AE" w:rsidP="009123AE">
      <w:pPr>
        <w:ind w:left="1440"/>
        <w:contextualSpacing/>
        <w:jc w:val="both"/>
        <w:rPr>
          <w:b/>
          <w:i/>
          <w:sz w:val="24"/>
          <w:szCs w:val="24"/>
        </w:rPr>
      </w:pPr>
    </w:p>
    <w:p w:rsidR="002745DC" w:rsidRPr="003D1841" w:rsidRDefault="002745DC" w:rsidP="00B10417">
      <w:pPr>
        <w:ind w:left="810"/>
        <w:jc w:val="both"/>
        <w:rPr>
          <w:sz w:val="24"/>
          <w:szCs w:val="24"/>
        </w:rPr>
      </w:pPr>
      <w:proofErr w:type="gramStart"/>
      <w:r w:rsidRPr="003D1841">
        <w:rPr>
          <w:sz w:val="24"/>
          <w:szCs w:val="24"/>
        </w:rPr>
        <w:t>Not applicable.</w:t>
      </w:r>
      <w:proofErr w:type="gramEnd"/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5143BE" w:rsidRDefault="002745DC" w:rsidP="003D1841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 xml:space="preserve">Estimate of annualized costs to the </w:t>
      </w:r>
      <w:r w:rsidR="009123AE">
        <w:rPr>
          <w:b/>
          <w:i/>
          <w:sz w:val="24"/>
          <w:szCs w:val="24"/>
        </w:rPr>
        <w:t xml:space="preserve">Federal </w:t>
      </w:r>
      <w:r w:rsidRPr="005143BE">
        <w:rPr>
          <w:b/>
          <w:i/>
          <w:sz w:val="24"/>
          <w:szCs w:val="24"/>
        </w:rPr>
        <w:t>government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3D1841" w:rsidRDefault="002745DC" w:rsidP="00B10417">
      <w:pPr>
        <w:ind w:left="810"/>
        <w:jc w:val="both"/>
        <w:rPr>
          <w:sz w:val="24"/>
          <w:szCs w:val="24"/>
        </w:rPr>
      </w:pPr>
      <w:proofErr w:type="gramStart"/>
      <w:r w:rsidRPr="003D1841">
        <w:rPr>
          <w:sz w:val="24"/>
          <w:szCs w:val="24"/>
        </w:rPr>
        <w:t>Not applicable.</w:t>
      </w:r>
      <w:proofErr w:type="gramEnd"/>
    </w:p>
    <w:p w:rsidR="002745DC" w:rsidRPr="003D1841" w:rsidRDefault="002745DC" w:rsidP="003D1841">
      <w:pPr>
        <w:ind w:left="720"/>
        <w:jc w:val="both"/>
        <w:rPr>
          <w:sz w:val="24"/>
          <w:szCs w:val="24"/>
        </w:rPr>
      </w:pPr>
    </w:p>
    <w:p w:rsidR="002745DC" w:rsidRPr="005143BE" w:rsidRDefault="009123AE" w:rsidP="003D1841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Change in</w:t>
      </w:r>
      <w:r w:rsidR="002745DC" w:rsidRPr="005143BE">
        <w:rPr>
          <w:b/>
          <w:i/>
          <w:sz w:val="24"/>
          <w:szCs w:val="24"/>
        </w:rPr>
        <w:t xml:space="preserve"> burden</w:t>
      </w:r>
      <w:r w:rsidR="00951BAC" w:rsidRPr="005143BE">
        <w:rPr>
          <w:b/>
          <w:i/>
          <w:sz w:val="24"/>
          <w:szCs w:val="24"/>
        </w:rPr>
        <w:t>:</w:t>
      </w:r>
    </w:p>
    <w:p w:rsidR="003E1792" w:rsidRPr="006559BE" w:rsidRDefault="003E1792" w:rsidP="003E1792">
      <w:pPr>
        <w:ind w:left="720"/>
        <w:jc w:val="both"/>
        <w:rPr>
          <w:sz w:val="24"/>
          <w:szCs w:val="24"/>
        </w:rPr>
      </w:pPr>
    </w:p>
    <w:p w:rsidR="003E1792" w:rsidRDefault="006F07C4" w:rsidP="003E1792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Current</w:t>
      </w:r>
      <w:r w:rsidR="003E1792" w:rsidRPr="006559BE">
        <w:rPr>
          <w:sz w:val="24"/>
          <w:szCs w:val="24"/>
        </w:rPr>
        <w:t xml:space="preserve"> burden:</w:t>
      </w:r>
      <w:r w:rsidR="00292804">
        <w:rPr>
          <w:sz w:val="24"/>
          <w:szCs w:val="24"/>
        </w:rPr>
        <w:t xml:space="preserve">  12,384 hours.</w:t>
      </w:r>
      <w:proofErr w:type="gramEnd"/>
    </w:p>
    <w:p w:rsidR="00292804" w:rsidRDefault="006F07C4" w:rsidP="003E179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Revised</w:t>
      </w:r>
      <w:bookmarkStart w:id="0" w:name="_GoBack"/>
      <w:bookmarkEnd w:id="0"/>
      <w:r w:rsidR="00292804">
        <w:rPr>
          <w:sz w:val="24"/>
          <w:szCs w:val="24"/>
        </w:rPr>
        <w:t xml:space="preserve"> burden:</w:t>
      </w:r>
      <w:r w:rsidR="005913A2">
        <w:rPr>
          <w:sz w:val="24"/>
          <w:szCs w:val="24"/>
        </w:rPr>
        <w:t xml:space="preserve">  720 hours.</w:t>
      </w:r>
    </w:p>
    <w:p w:rsidR="00292804" w:rsidRDefault="00292804" w:rsidP="003E179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Difference:</w:t>
      </w:r>
      <w:r w:rsidR="005913A2">
        <w:rPr>
          <w:sz w:val="24"/>
          <w:szCs w:val="24"/>
        </w:rPr>
        <w:t xml:space="preserve"> - 11,664 hours.</w:t>
      </w:r>
    </w:p>
    <w:p w:rsidR="005913A2" w:rsidRDefault="005913A2" w:rsidP="003E1792">
      <w:pPr>
        <w:ind w:left="720"/>
        <w:jc w:val="both"/>
        <w:rPr>
          <w:sz w:val="24"/>
          <w:szCs w:val="24"/>
        </w:rPr>
      </w:pPr>
    </w:p>
    <w:p w:rsidR="005913A2" w:rsidRPr="006559BE" w:rsidRDefault="005913A2" w:rsidP="003E179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decrease in burden is due to the availability of more accurate burden estimates.</w:t>
      </w:r>
    </w:p>
    <w:p w:rsidR="00DD4F32" w:rsidRPr="006559BE" w:rsidRDefault="00DD4F32" w:rsidP="00E54738">
      <w:pPr>
        <w:jc w:val="both"/>
        <w:rPr>
          <w:sz w:val="24"/>
          <w:szCs w:val="24"/>
          <w:u w:val="single"/>
        </w:rPr>
      </w:pPr>
    </w:p>
    <w:p w:rsidR="002745DC" w:rsidRPr="005143BE" w:rsidRDefault="002745DC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>Information regarding collections whose results are planned to be</w:t>
      </w:r>
    </w:p>
    <w:p w:rsidR="002745DC" w:rsidRPr="005143BE" w:rsidRDefault="002745DC" w:rsidP="00B10417">
      <w:pPr>
        <w:jc w:val="both"/>
        <w:rPr>
          <w:b/>
          <w:i/>
          <w:sz w:val="24"/>
          <w:szCs w:val="24"/>
        </w:rPr>
      </w:pPr>
      <w:proofErr w:type="gramStart"/>
      <w:r w:rsidRPr="005143BE">
        <w:rPr>
          <w:b/>
          <w:i/>
          <w:sz w:val="24"/>
          <w:szCs w:val="24"/>
        </w:rPr>
        <w:t>published</w:t>
      </w:r>
      <w:proofErr w:type="gramEnd"/>
      <w:r w:rsidRPr="005143BE">
        <w:rPr>
          <w:b/>
          <w:i/>
          <w:sz w:val="24"/>
          <w:szCs w:val="24"/>
        </w:rPr>
        <w:t xml:space="preserve"> for statistical use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</w:p>
    <w:p w:rsidR="002745DC" w:rsidRPr="006559BE" w:rsidRDefault="002745DC" w:rsidP="00B10417">
      <w:pPr>
        <w:ind w:left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The results of these collections </w:t>
      </w:r>
      <w:proofErr w:type="gramStart"/>
      <w:r w:rsidRPr="006559BE">
        <w:rPr>
          <w:sz w:val="24"/>
          <w:szCs w:val="24"/>
        </w:rPr>
        <w:t>will not be published</w:t>
      </w:r>
      <w:proofErr w:type="gramEnd"/>
      <w:r w:rsidRPr="006559BE">
        <w:rPr>
          <w:sz w:val="24"/>
          <w:szCs w:val="24"/>
        </w:rPr>
        <w:t xml:space="preserve"> for statistical use.</w:t>
      </w:r>
    </w:p>
    <w:p w:rsidR="002745DC" w:rsidRPr="006559BE" w:rsidRDefault="002745DC">
      <w:pPr>
        <w:ind w:left="720" w:firstLine="720"/>
        <w:jc w:val="both"/>
        <w:rPr>
          <w:sz w:val="24"/>
          <w:szCs w:val="24"/>
        </w:rPr>
      </w:pPr>
      <w:r w:rsidRPr="006559BE">
        <w:rPr>
          <w:sz w:val="24"/>
          <w:szCs w:val="24"/>
        </w:rPr>
        <w:t xml:space="preserve"> </w:t>
      </w:r>
      <w:r w:rsidRPr="006559BE">
        <w:rPr>
          <w:sz w:val="24"/>
          <w:szCs w:val="24"/>
        </w:rPr>
        <w:tab/>
      </w:r>
    </w:p>
    <w:p w:rsidR="002745DC" w:rsidRPr="005143BE" w:rsidRDefault="002745DC">
      <w:pPr>
        <w:jc w:val="both"/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ab/>
        <w:t>17.</w:t>
      </w:r>
      <w:r w:rsidRPr="005143BE">
        <w:rPr>
          <w:b/>
          <w:i/>
          <w:sz w:val="24"/>
          <w:szCs w:val="24"/>
        </w:rPr>
        <w:tab/>
      </w:r>
      <w:r w:rsidR="00320090">
        <w:rPr>
          <w:b/>
          <w:i/>
          <w:sz w:val="24"/>
          <w:szCs w:val="24"/>
        </w:rPr>
        <w:t>Reasons for not displaying OMB approval</w:t>
      </w:r>
      <w:r w:rsidR="002C052C">
        <w:rPr>
          <w:b/>
          <w:i/>
          <w:sz w:val="24"/>
          <w:szCs w:val="24"/>
        </w:rPr>
        <w:t xml:space="preserve"> </w:t>
      </w:r>
      <w:r w:rsidRPr="005143BE">
        <w:rPr>
          <w:b/>
          <w:i/>
          <w:sz w:val="24"/>
          <w:szCs w:val="24"/>
        </w:rPr>
        <w:t>expiration date</w:t>
      </w:r>
      <w:r w:rsidR="00951BAC" w:rsidRPr="005143BE">
        <w:rPr>
          <w:b/>
          <w:i/>
          <w:sz w:val="24"/>
          <w:szCs w:val="24"/>
        </w:rPr>
        <w:t>: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 w:rsidP="00B10417">
      <w:pPr>
        <w:ind w:left="720"/>
        <w:jc w:val="both"/>
        <w:rPr>
          <w:sz w:val="24"/>
          <w:szCs w:val="24"/>
        </w:rPr>
      </w:pPr>
      <w:proofErr w:type="gramStart"/>
      <w:r w:rsidRPr="006559BE">
        <w:rPr>
          <w:sz w:val="24"/>
          <w:szCs w:val="24"/>
        </w:rPr>
        <w:t>Not applicable.</w:t>
      </w:r>
      <w:proofErr w:type="gramEnd"/>
    </w:p>
    <w:p w:rsidR="00430ADE" w:rsidRPr="006559BE" w:rsidRDefault="00430ADE">
      <w:pPr>
        <w:jc w:val="both"/>
        <w:rPr>
          <w:sz w:val="24"/>
          <w:szCs w:val="24"/>
        </w:rPr>
      </w:pPr>
    </w:p>
    <w:p w:rsidR="002745DC" w:rsidRPr="005143BE" w:rsidRDefault="002745DC">
      <w:pPr>
        <w:jc w:val="both"/>
        <w:rPr>
          <w:b/>
          <w:i/>
          <w:sz w:val="24"/>
          <w:szCs w:val="24"/>
        </w:rPr>
      </w:pPr>
      <w:r w:rsidRPr="005143BE">
        <w:rPr>
          <w:b/>
          <w:i/>
          <w:sz w:val="24"/>
          <w:szCs w:val="24"/>
        </w:rPr>
        <w:tab/>
        <w:t>18.</w:t>
      </w:r>
      <w:r w:rsidRPr="005143BE">
        <w:rPr>
          <w:b/>
          <w:i/>
          <w:sz w:val="24"/>
          <w:szCs w:val="24"/>
        </w:rPr>
        <w:tab/>
        <w:t>Exceptions to certification statement</w:t>
      </w:r>
      <w:r w:rsidR="00951BAC" w:rsidRPr="005143BE">
        <w:rPr>
          <w:b/>
          <w:i/>
          <w:sz w:val="24"/>
          <w:szCs w:val="24"/>
        </w:rPr>
        <w:t>:</w:t>
      </w:r>
      <w:r w:rsidRPr="005143BE">
        <w:rPr>
          <w:b/>
          <w:i/>
          <w:sz w:val="24"/>
          <w:szCs w:val="24"/>
        </w:rPr>
        <w:t xml:space="preserve"> </w:t>
      </w:r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 w:rsidP="00B10417">
      <w:pPr>
        <w:ind w:left="720"/>
        <w:jc w:val="both"/>
        <w:rPr>
          <w:sz w:val="24"/>
          <w:szCs w:val="24"/>
        </w:rPr>
      </w:pPr>
      <w:proofErr w:type="gramStart"/>
      <w:r w:rsidRPr="006559BE">
        <w:rPr>
          <w:sz w:val="24"/>
          <w:szCs w:val="24"/>
        </w:rPr>
        <w:t>None.</w:t>
      </w:r>
      <w:proofErr w:type="gramEnd"/>
    </w:p>
    <w:p w:rsidR="002745DC" w:rsidRPr="005143BE" w:rsidRDefault="002745DC">
      <w:pPr>
        <w:jc w:val="both"/>
        <w:rPr>
          <w:b/>
          <w:sz w:val="24"/>
          <w:szCs w:val="24"/>
        </w:rPr>
      </w:pPr>
    </w:p>
    <w:p w:rsidR="002745DC" w:rsidRPr="005143BE" w:rsidRDefault="005143BE" w:rsidP="00B10417">
      <w:pPr>
        <w:ind w:left="720" w:hanging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B.  </w:t>
      </w:r>
      <w:r w:rsidRPr="005143BE">
        <w:rPr>
          <w:b/>
          <w:sz w:val="24"/>
          <w:szCs w:val="24"/>
        </w:rPr>
        <w:t>Collections of Information Employing Statistical Methods.</w:t>
      </w:r>
      <w:proofErr w:type="gramEnd"/>
    </w:p>
    <w:p w:rsidR="002745DC" w:rsidRPr="006559BE" w:rsidRDefault="002745DC">
      <w:pPr>
        <w:jc w:val="both"/>
        <w:rPr>
          <w:sz w:val="24"/>
          <w:szCs w:val="24"/>
        </w:rPr>
      </w:pPr>
    </w:p>
    <w:p w:rsidR="002745DC" w:rsidRPr="006559BE" w:rsidRDefault="002745DC" w:rsidP="00B10417">
      <w:pPr>
        <w:ind w:left="1440" w:hanging="720"/>
        <w:jc w:val="both"/>
        <w:rPr>
          <w:sz w:val="24"/>
          <w:szCs w:val="24"/>
        </w:rPr>
      </w:pPr>
      <w:proofErr w:type="gramStart"/>
      <w:r w:rsidRPr="006559BE">
        <w:rPr>
          <w:sz w:val="24"/>
          <w:szCs w:val="24"/>
        </w:rPr>
        <w:t>Not applicable.</w:t>
      </w:r>
      <w:proofErr w:type="gramEnd"/>
    </w:p>
    <w:p w:rsidR="002745DC" w:rsidRPr="006559BE" w:rsidRDefault="002745DC">
      <w:pPr>
        <w:ind w:left="720"/>
        <w:jc w:val="both"/>
        <w:rPr>
          <w:sz w:val="24"/>
          <w:szCs w:val="24"/>
        </w:rPr>
      </w:pPr>
    </w:p>
    <w:sectPr w:rsidR="002745DC" w:rsidRPr="006559BE" w:rsidSect="007B09F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E7" w:rsidRDefault="00875EE7">
      <w:r>
        <w:separator/>
      </w:r>
    </w:p>
  </w:endnote>
  <w:endnote w:type="continuationSeparator" w:id="0">
    <w:p w:rsidR="00875EE7" w:rsidRDefault="0087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FE" w:rsidRDefault="0018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4C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CFE">
      <w:rPr>
        <w:rStyle w:val="PageNumber"/>
        <w:noProof/>
      </w:rPr>
      <w:t>1</w:t>
    </w:r>
    <w:r>
      <w:rPr>
        <w:rStyle w:val="PageNumber"/>
      </w:rPr>
      <w:fldChar w:fldCharType="end"/>
    </w:r>
  </w:p>
  <w:p w:rsidR="00E84CFE" w:rsidRDefault="00E84C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FE" w:rsidRDefault="0018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4C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7C4">
      <w:rPr>
        <w:rStyle w:val="PageNumber"/>
        <w:noProof/>
      </w:rPr>
      <w:t>4</w:t>
    </w:r>
    <w:r>
      <w:rPr>
        <w:rStyle w:val="PageNumber"/>
      </w:rPr>
      <w:fldChar w:fldCharType="end"/>
    </w:r>
  </w:p>
  <w:p w:rsidR="00E84CFE" w:rsidRDefault="00E84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E7" w:rsidRDefault="00875EE7">
      <w:r>
        <w:separator/>
      </w:r>
    </w:p>
  </w:footnote>
  <w:footnote w:type="continuationSeparator" w:id="0">
    <w:p w:rsidR="00875EE7" w:rsidRDefault="00875EE7">
      <w:r>
        <w:continuationSeparator/>
      </w:r>
    </w:p>
  </w:footnote>
  <w:footnote w:id="1">
    <w:p w:rsidR="008145CF" w:rsidRDefault="008145CF" w:rsidP="008145CF">
      <w:pPr>
        <w:pStyle w:val="FootnoteText"/>
      </w:pPr>
      <w:r>
        <w:rPr>
          <w:rStyle w:val="FootnoteReference"/>
        </w:rPr>
        <w:footnoteRef/>
      </w:r>
      <w:r>
        <w:t xml:space="preserve"> 12 CFR </w:t>
      </w:r>
      <w:proofErr w:type="gramStart"/>
      <w:r>
        <w:t>Part</w:t>
      </w:r>
      <w:proofErr w:type="gramEnd"/>
      <w:r>
        <w:t xml:space="preserve"> 30, Appendix B, Supplement 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0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F75289"/>
    <w:multiLevelType w:val="singleLevel"/>
    <w:tmpl w:val="18A4C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630E7A"/>
    <w:multiLevelType w:val="hybridMultilevel"/>
    <w:tmpl w:val="D798A2F4"/>
    <w:lvl w:ilvl="0" w:tplc="BCC2E1B0">
      <w:start w:val="2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85A43"/>
    <w:multiLevelType w:val="singleLevel"/>
    <w:tmpl w:val="AD447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7613B8"/>
    <w:multiLevelType w:val="singleLevel"/>
    <w:tmpl w:val="AD447CD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C3A154D"/>
    <w:multiLevelType w:val="singleLevel"/>
    <w:tmpl w:val="787460D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453D94"/>
    <w:multiLevelType w:val="singleLevel"/>
    <w:tmpl w:val="507E6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59236E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51747F"/>
    <w:multiLevelType w:val="singleLevel"/>
    <w:tmpl w:val="18A4C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D4E155F"/>
    <w:multiLevelType w:val="hybridMultilevel"/>
    <w:tmpl w:val="D584A884"/>
    <w:lvl w:ilvl="0" w:tplc="D04814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33D45D2"/>
    <w:multiLevelType w:val="singleLevel"/>
    <w:tmpl w:val="AEEE7CA2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A4"/>
    <w:rsid w:val="00040138"/>
    <w:rsid w:val="000A6E00"/>
    <w:rsid w:val="000B449D"/>
    <w:rsid w:val="000F5645"/>
    <w:rsid w:val="000F5F1A"/>
    <w:rsid w:val="00111140"/>
    <w:rsid w:val="00135677"/>
    <w:rsid w:val="0018560B"/>
    <w:rsid w:val="001D2637"/>
    <w:rsid w:val="00213DAF"/>
    <w:rsid w:val="00260D3C"/>
    <w:rsid w:val="00265BD8"/>
    <w:rsid w:val="002745DC"/>
    <w:rsid w:val="00281146"/>
    <w:rsid w:val="00292804"/>
    <w:rsid w:val="002C052C"/>
    <w:rsid w:val="002C23FC"/>
    <w:rsid w:val="002E0346"/>
    <w:rsid w:val="002E2700"/>
    <w:rsid w:val="002E7B26"/>
    <w:rsid w:val="003013FE"/>
    <w:rsid w:val="003109BA"/>
    <w:rsid w:val="00320090"/>
    <w:rsid w:val="00330FD1"/>
    <w:rsid w:val="00331BF7"/>
    <w:rsid w:val="003400B0"/>
    <w:rsid w:val="00345002"/>
    <w:rsid w:val="00357629"/>
    <w:rsid w:val="003A052F"/>
    <w:rsid w:val="003D1841"/>
    <w:rsid w:val="003E0A4E"/>
    <w:rsid w:val="003E1792"/>
    <w:rsid w:val="003F2E68"/>
    <w:rsid w:val="0041188B"/>
    <w:rsid w:val="004248AF"/>
    <w:rsid w:val="00430ADE"/>
    <w:rsid w:val="00474CE5"/>
    <w:rsid w:val="00495E0F"/>
    <w:rsid w:val="00497725"/>
    <w:rsid w:val="004A0F2F"/>
    <w:rsid w:val="004E1B9E"/>
    <w:rsid w:val="004F07CB"/>
    <w:rsid w:val="004F3BD4"/>
    <w:rsid w:val="005143BE"/>
    <w:rsid w:val="00530D0D"/>
    <w:rsid w:val="00534938"/>
    <w:rsid w:val="00536472"/>
    <w:rsid w:val="005664DF"/>
    <w:rsid w:val="00581BA1"/>
    <w:rsid w:val="005913A2"/>
    <w:rsid w:val="005A5ED2"/>
    <w:rsid w:val="005E21AB"/>
    <w:rsid w:val="005E723E"/>
    <w:rsid w:val="00601033"/>
    <w:rsid w:val="00614A16"/>
    <w:rsid w:val="00650199"/>
    <w:rsid w:val="006559BE"/>
    <w:rsid w:val="006740A1"/>
    <w:rsid w:val="00677C8C"/>
    <w:rsid w:val="006A4A4C"/>
    <w:rsid w:val="006F07C4"/>
    <w:rsid w:val="007113D6"/>
    <w:rsid w:val="007154EA"/>
    <w:rsid w:val="007449E9"/>
    <w:rsid w:val="00747A29"/>
    <w:rsid w:val="00756A0D"/>
    <w:rsid w:val="00766E71"/>
    <w:rsid w:val="007A3AC2"/>
    <w:rsid w:val="007B09F0"/>
    <w:rsid w:val="007D4F51"/>
    <w:rsid w:val="007F0059"/>
    <w:rsid w:val="008145CF"/>
    <w:rsid w:val="008258E9"/>
    <w:rsid w:val="00875EE7"/>
    <w:rsid w:val="008E4D8D"/>
    <w:rsid w:val="008F032C"/>
    <w:rsid w:val="008F4197"/>
    <w:rsid w:val="009101DC"/>
    <w:rsid w:val="009123AE"/>
    <w:rsid w:val="00936F38"/>
    <w:rsid w:val="00937519"/>
    <w:rsid w:val="0095078C"/>
    <w:rsid w:val="00951BAC"/>
    <w:rsid w:val="00955E29"/>
    <w:rsid w:val="009A5C54"/>
    <w:rsid w:val="00A54387"/>
    <w:rsid w:val="00A6361F"/>
    <w:rsid w:val="00B01C55"/>
    <w:rsid w:val="00B10417"/>
    <w:rsid w:val="00B233FA"/>
    <w:rsid w:val="00B346CA"/>
    <w:rsid w:val="00B5768D"/>
    <w:rsid w:val="00B6150C"/>
    <w:rsid w:val="00BA2206"/>
    <w:rsid w:val="00BA3C96"/>
    <w:rsid w:val="00BC2E65"/>
    <w:rsid w:val="00BE514C"/>
    <w:rsid w:val="00BF53C6"/>
    <w:rsid w:val="00C15BAC"/>
    <w:rsid w:val="00C209FC"/>
    <w:rsid w:val="00C34D69"/>
    <w:rsid w:val="00C65DFB"/>
    <w:rsid w:val="00C72CF8"/>
    <w:rsid w:val="00D15F54"/>
    <w:rsid w:val="00D56406"/>
    <w:rsid w:val="00D72ADA"/>
    <w:rsid w:val="00D74124"/>
    <w:rsid w:val="00D74324"/>
    <w:rsid w:val="00DB23FE"/>
    <w:rsid w:val="00DD4F32"/>
    <w:rsid w:val="00DE39FA"/>
    <w:rsid w:val="00E06ADA"/>
    <w:rsid w:val="00E52D62"/>
    <w:rsid w:val="00E54738"/>
    <w:rsid w:val="00E764D6"/>
    <w:rsid w:val="00E84CFE"/>
    <w:rsid w:val="00EA11D2"/>
    <w:rsid w:val="00EA42BD"/>
    <w:rsid w:val="00EA7FA4"/>
    <w:rsid w:val="00EC188C"/>
    <w:rsid w:val="00F01674"/>
    <w:rsid w:val="00F3626E"/>
    <w:rsid w:val="00FC0C9E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1A"/>
  </w:style>
  <w:style w:type="paragraph" w:styleId="Heading1">
    <w:name w:val="heading 1"/>
    <w:basedOn w:val="Normal"/>
    <w:next w:val="Normal"/>
    <w:qFormat/>
    <w:rsid w:val="000F5F1A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0F5F1A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0F5F1A"/>
    <w:pPr>
      <w:keepNext/>
      <w:jc w:val="both"/>
      <w:outlineLvl w:val="2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F1A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0F5F1A"/>
    <w:pPr>
      <w:jc w:val="center"/>
    </w:pPr>
    <w:rPr>
      <w:rFonts w:ascii="Arial" w:hAnsi="Arial"/>
      <w:b/>
      <w:sz w:val="24"/>
    </w:rPr>
  </w:style>
  <w:style w:type="paragraph" w:styleId="Footer">
    <w:name w:val="footer"/>
    <w:basedOn w:val="Normal"/>
    <w:rsid w:val="000F5F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5F1A"/>
  </w:style>
  <w:style w:type="paragraph" w:styleId="BodyTextIndent2">
    <w:name w:val="Body Text Indent 2"/>
    <w:basedOn w:val="Normal"/>
    <w:rsid w:val="000F5F1A"/>
    <w:pPr>
      <w:spacing w:line="480" w:lineRule="auto"/>
      <w:ind w:firstLine="720"/>
    </w:pPr>
    <w:rPr>
      <w:sz w:val="24"/>
    </w:rPr>
  </w:style>
  <w:style w:type="paragraph" w:styleId="BodyTextIndent">
    <w:name w:val="Body Text Indent"/>
    <w:basedOn w:val="Normal"/>
    <w:rsid w:val="000F5F1A"/>
    <w:pPr>
      <w:ind w:left="720" w:hanging="720"/>
      <w:jc w:val="both"/>
    </w:pPr>
    <w:rPr>
      <w:rFonts w:ascii="Arial" w:hAnsi="Arial"/>
    </w:rPr>
  </w:style>
  <w:style w:type="paragraph" w:styleId="NormalWeb">
    <w:name w:val="Normal (Web)"/>
    <w:basedOn w:val="Normal"/>
    <w:rsid w:val="000F5F1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66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7A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29"/>
  </w:style>
  <w:style w:type="character" w:customStyle="1" w:styleId="CommentTextChar">
    <w:name w:val="Comment Text Char"/>
    <w:basedOn w:val="DefaultParagraphFont"/>
    <w:link w:val="CommentText"/>
    <w:rsid w:val="00747A29"/>
  </w:style>
  <w:style w:type="paragraph" w:styleId="CommentSubject">
    <w:name w:val="annotation subject"/>
    <w:basedOn w:val="CommentText"/>
    <w:next w:val="CommentText"/>
    <w:link w:val="CommentSubjectChar"/>
    <w:rsid w:val="00747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A29"/>
    <w:rPr>
      <w:b/>
      <w:bCs/>
    </w:rPr>
  </w:style>
  <w:style w:type="paragraph" w:styleId="HTMLPreformatted">
    <w:name w:val="HTML Preformatted"/>
    <w:basedOn w:val="Normal"/>
    <w:link w:val="HTMLPreformattedChar"/>
    <w:rsid w:val="00BA3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A3C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6559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55E29"/>
  </w:style>
  <w:style w:type="character" w:customStyle="1" w:styleId="FootnoteTextChar">
    <w:name w:val="Footnote Text Char"/>
    <w:basedOn w:val="DefaultParagraphFont"/>
    <w:link w:val="FootnoteText"/>
    <w:rsid w:val="00955E29"/>
  </w:style>
  <w:style w:type="character" w:styleId="FootnoteReference">
    <w:name w:val="footnote reference"/>
    <w:basedOn w:val="DefaultParagraphFont"/>
    <w:rsid w:val="00955E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1A"/>
  </w:style>
  <w:style w:type="paragraph" w:styleId="Heading1">
    <w:name w:val="heading 1"/>
    <w:basedOn w:val="Normal"/>
    <w:next w:val="Normal"/>
    <w:qFormat/>
    <w:rsid w:val="000F5F1A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0F5F1A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0F5F1A"/>
    <w:pPr>
      <w:keepNext/>
      <w:jc w:val="both"/>
      <w:outlineLvl w:val="2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5F1A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0F5F1A"/>
    <w:pPr>
      <w:jc w:val="center"/>
    </w:pPr>
    <w:rPr>
      <w:rFonts w:ascii="Arial" w:hAnsi="Arial"/>
      <w:b/>
      <w:sz w:val="24"/>
    </w:rPr>
  </w:style>
  <w:style w:type="paragraph" w:styleId="Footer">
    <w:name w:val="footer"/>
    <w:basedOn w:val="Normal"/>
    <w:rsid w:val="000F5F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5F1A"/>
  </w:style>
  <w:style w:type="paragraph" w:styleId="BodyTextIndent2">
    <w:name w:val="Body Text Indent 2"/>
    <w:basedOn w:val="Normal"/>
    <w:rsid w:val="000F5F1A"/>
    <w:pPr>
      <w:spacing w:line="480" w:lineRule="auto"/>
      <w:ind w:firstLine="720"/>
    </w:pPr>
    <w:rPr>
      <w:sz w:val="24"/>
    </w:rPr>
  </w:style>
  <w:style w:type="paragraph" w:styleId="BodyTextIndent">
    <w:name w:val="Body Text Indent"/>
    <w:basedOn w:val="Normal"/>
    <w:rsid w:val="000F5F1A"/>
    <w:pPr>
      <w:ind w:left="720" w:hanging="720"/>
      <w:jc w:val="both"/>
    </w:pPr>
    <w:rPr>
      <w:rFonts w:ascii="Arial" w:hAnsi="Arial"/>
    </w:rPr>
  </w:style>
  <w:style w:type="paragraph" w:styleId="NormalWeb">
    <w:name w:val="Normal (Web)"/>
    <w:basedOn w:val="Normal"/>
    <w:rsid w:val="000F5F1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66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7A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29"/>
  </w:style>
  <w:style w:type="character" w:customStyle="1" w:styleId="CommentTextChar">
    <w:name w:val="Comment Text Char"/>
    <w:basedOn w:val="DefaultParagraphFont"/>
    <w:link w:val="CommentText"/>
    <w:rsid w:val="00747A29"/>
  </w:style>
  <w:style w:type="paragraph" w:styleId="CommentSubject">
    <w:name w:val="annotation subject"/>
    <w:basedOn w:val="CommentText"/>
    <w:next w:val="CommentText"/>
    <w:link w:val="CommentSubjectChar"/>
    <w:rsid w:val="00747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A29"/>
    <w:rPr>
      <w:b/>
      <w:bCs/>
    </w:rPr>
  </w:style>
  <w:style w:type="paragraph" w:styleId="HTMLPreformatted">
    <w:name w:val="HTML Preformatted"/>
    <w:basedOn w:val="Normal"/>
    <w:link w:val="HTMLPreformattedChar"/>
    <w:rsid w:val="00BA3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A3C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6559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55E29"/>
  </w:style>
  <w:style w:type="character" w:customStyle="1" w:styleId="FootnoteTextChar">
    <w:name w:val="Footnote Text Char"/>
    <w:basedOn w:val="DefaultParagraphFont"/>
    <w:link w:val="FootnoteText"/>
    <w:rsid w:val="00955E29"/>
  </w:style>
  <w:style w:type="character" w:styleId="FootnoteReference">
    <w:name w:val="footnote reference"/>
    <w:basedOn w:val="DefaultParagraphFont"/>
    <w:rsid w:val="00955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5C6F-4140-45D6-971C-BCAFB2C5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Federal Deposit Insurance Cor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creator>FDIC</dc:creator>
  <cp:lastModifiedBy>mary.gottlieb</cp:lastModifiedBy>
  <cp:revision>5</cp:revision>
  <cp:lastPrinted>2010-04-05T21:15:00Z</cp:lastPrinted>
  <dcterms:created xsi:type="dcterms:W3CDTF">2016-05-17T17:24:00Z</dcterms:created>
  <dcterms:modified xsi:type="dcterms:W3CDTF">2016-06-20T20:08:00Z</dcterms:modified>
</cp:coreProperties>
</file>