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5360C4" w:rsidP="005360C4">
      <w:pPr>
        <w:ind w:left="2880"/>
        <w:rPr>
          <w:b/>
        </w:rPr>
      </w:pPr>
      <w:r>
        <w:rPr>
          <w:b/>
        </w:rPr>
        <w:t xml:space="preserve">    </w:t>
      </w:r>
      <w:bookmarkStart w:id="0" w:name="_GoBack"/>
      <w:bookmarkEnd w:id="0"/>
      <w:r w:rsidR="0029478C" w:rsidRPr="00041787">
        <w:rPr>
          <w:b/>
        </w:rPr>
        <w:t>SUPPORTING STATEMENT</w:t>
      </w:r>
    </w:p>
    <w:p w:rsidR="0029478C" w:rsidRPr="00BA6848" w:rsidRDefault="00DA7A5A" w:rsidP="005360C4">
      <w:pPr>
        <w:autoSpaceDE w:val="0"/>
        <w:autoSpaceDN w:val="0"/>
        <w:adjustRightInd w:val="0"/>
        <w:jc w:val="center"/>
        <w:rPr>
          <w:b/>
        </w:rPr>
      </w:pPr>
      <w:r w:rsidRPr="00DA7A5A">
        <w:rPr>
          <w:b/>
        </w:rPr>
        <w:t>Trade Activity Participant Report (TAPR)</w:t>
      </w:r>
    </w:p>
    <w:p w:rsidR="00BA6848" w:rsidRPr="00DA7A5A" w:rsidRDefault="00DA7A5A" w:rsidP="005360C4">
      <w:pPr>
        <w:autoSpaceDE w:val="0"/>
        <w:autoSpaceDN w:val="0"/>
        <w:adjustRightInd w:val="0"/>
        <w:jc w:val="center"/>
        <w:rPr>
          <w:b/>
        </w:rPr>
      </w:pPr>
      <w:r w:rsidRPr="00DA7A5A">
        <w:rPr>
          <w:b/>
        </w:rPr>
        <w:t>OMB Control No. 1205-0392</w:t>
      </w:r>
    </w:p>
    <w:p w:rsidR="0029478C" w:rsidRDefault="0029478C" w:rsidP="00EA78D2">
      <w:pPr>
        <w:autoSpaceDE w:val="0"/>
        <w:autoSpaceDN w:val="0"/>
        <w:adjustRightInd w:val="0"/>
        <w:rPr>
          <w:b/>
        </w:rPr>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00EA78D2" w:rsidRPr="00CE3C52" w:rsidRDefault="00EA78D2" w:rsidP="00EA78D2">
      <w:pPr>
        <w:autoSpaceDE w:val="0"/>
        <w:autoSpaceDN w:val="0"/>
        <w:adjustRightInd w:val="0"/>
      </w:pPr>
    </w:p>
    <w:p w:rsidR="00EA78D2"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DF044F" w:rsidRDefault="00DF044F" w:rsidP="00DF044F">
      <w:pPr>
        <w:tabs>
          <w:tab w:val="right" w:pos="360"/>
        </w:tabs>
        <w:autoSpaceDE w:val="0"/>
        <w:autoSpaceDN w:val="0"/>
        <w:adjustRightInd w:val="0"/>
        <w:ind w:left="1080" w:hanging="540"/>
      </w:pPr>
    </w:p>
    <w:p w:rsidR="00DF044F" w:rsidRPr="00687BB0" w:rsidRDefault="00DF044F" w:rsidP="00DF044F">
      <w:pPr>
        <w:ind w:left="540"/>
      </w:pPr>
      <w:bookmarkStart w:id="1" w:name="_Toc94322826"/>
      <w:r w:rsidRPr="00687BB0">
        <w:t xml:space="preserve">This is a justification for the Department of Labor, Employment and Training Administration’s (ETA’s) request for approval to </w:t>
      </w:r>
      <w:r>
        <w:t>extend</w:t>
      </w:r>
      <w:r w:rsidRPr="00687BB0">
        <w:t xml:space="preserve"> the existing reporting and recordkeeping requirements for the Trade Adjustment Assistance (TAA) program</w:t>
      </w:r>
      <w:r>
        <w:t>, a si</w:t>
      </w:r>
      <w:r w:rsidRPr="00687BB0">
        <w:t>ngle integrated collection format that meet</w:t>
      </w:r>
      <w:r>
        <w:t>s</w:t>
      </w:r>
      <w:r w:rsidRPr="00687BB0">
        <w:t xml:space="preserve"> all reporting requirements listed in amendments to the Trade Act of 1974 (19 USC 2311) through the </w:t>
      </w:r>
      <w:r>
        <w:t>Trade Adjustment Reauthorization Act</w:t>
      </w:r>
      <w:r w:rsidR="00C678AF">
        <w:t xml:space="preserve"> of 2015</w:t>
      </w:r>
      <w:r>
        <w:t xml:space="preserve"> (TAARA</w:t>
      </w:r>
      <w:r w:rsidR="00C678AF">
        <w:t xml:space="preserve"> 2015</w:t>
      </w:r>
      <w:r>
        <w:t xml:space="preserve">). Broad authority to collect data from states regarding activity for TAA is also found in </w:t>
      </w:r>
      <w:r w:rsidRPr="001850C7">
        <w:rPr>
          <w:rFonts w:ascii="Book Antiqua" w:hAnsi="Book Antiqua"/>
        </w:rPr>
        <w:t>20 CFR 617.57 and 617.6</w:t>
      </w:r>
      <w:r>
        <w:rPr>
          <w:rFonts w:ascii="Book Antiqua" w:hAnsi="Book Antiqua"/>
        </w:rPr>
        <w:t>1</w:t>
      </w:r>
      <w:r w:rsidRPr="001850C7">
        <w:rPr>
          <w:rFonts w:ascii="Book Antiqua" w:hAnsi="Book Antiqua"/>
        </w:rPr>
        <w:t>.</w:t>
      </w:r>
      <w:r>
        <w:rPr>
          <w:rFonts w:ascii="Arial" w:hAnsi="Arial" w:cs="Arial"/>
          <w:color w:val="0000FF"/>
        </w:rPr>
        <w:t xml:space="preserve"> </w:t>
      </w:r>
    </w:p>
    <w:bookmarkEnd w:id="1"/>
    <w:p w:rsidR="00EA78D2" w:rsidRPr="00CE3C52" w:rsidRDefault="00EA78D2" w:rsidP="00EA78D2">
      <w:pPr>
        <w:autoSpaceDE w:val="0"/>
        <w:autoSpaceDN w:val="0"/>
        <w:adjustRightInd w:val="0"/>
      </w:pPr>
    </w:p>
    <w:p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rsidR="00EA78D2" w:rsidRDefault="00EA78D2" w:rsidP="00EA78D2">
      <w:pPr>
        <w:autoSpaceDE w:val="0"/>
        <w:autoSpaceDN w:val="0"/>
        <w:adjustRightInd w:val="0"/>
      </w:pPr>
    </w:p>
    <w:p w:rsidR="00DF044F" w:rsidRPr="00687BB0" w:rsidRDefault="00DF044F" w:rsidP="00FA6002">
      <w:pPr>
        <w:tabs>
          <w:tab w:val="left" w:pos="720"/>
          <w:tab w:val="left" w:pos="9360"/>
          <w:tab w:val="left" w:pos="9900"/>
        </w:tabs>
        <w:ind w:left="540"/>
      </w:pPr>
      <w:r>
        <w:t>States and grantees carry out the</w:t>
      </w:r>
      <w:r w:rsidRPr="00687BB0">
        <w:t xml:space="preserve"> TAPR reporting requirements</w:t>
      </w:r>
      <w:r>
        <w:t>.</w:t>
      </w:r>
      <w:r w:rsidRPr="00687BB0">
        <w:t xml:space="preserve"> </w:t>
      </w:r>
      <w:r>
        <w:t xml:space="preserve"> The</w:t>
      </w:r>
      <w:r w:rsidRPr="00687BB0">
        <w:t xml:space="preserve"> TAPR Data Preparation and Reporting Handbook that includes</w:t>
      </w:r>
      <w:r>
        <w:t xml:space="preserve"> an appendix that contains</w:t>
      </w:r>
      <w:r w:rsidRPr="00687BB0">
        <w:t xml:space="preserve"> the quarterly reporting formats and instructions as well as a full listing of the individual data elements to be collected in the Trade Act Participant Report (TAPR).  At a minimum, information collected and reported through the quarterly reports and records </w:t>
      </w:r>
      <w:r>
        <w:t xml:space="preserve">is </w:t>
      </w:r>
      <w:r w:rsidRPr="00687BB0">
        <w:t>used by state and local workforce investment areas and Federal agencies for the following purposes:</w:t>
      </w:r>
    </w:p>
    <w:p w:rsidR="00DF044F" w:rsidRPr="00687BB0" w:rsidRDefault="00DF044F" w:rsidP="00DF044F">
      <w:pPr>
        <w:pStyle w:val="BodyTextIndent3"/>
        <w:numPr>
          <w:ilvl w:val="0"/>
          <w:numId w:val="2"/>
        </w:numPr>
        <w:tabs>
          <w:tab w:val="clear" w:pos="720"/>
          <w:tab w:val="num" w:pos="1260"/>
          <w:tab w:val="left" w:pos="9360"/>
          <w:tab w:val="left" w:pos="9900"/>
        </w:tabs>
        <w:ind w:left="1260"/>
        <w:jc w:val="left"/>
        <w:rPr>
          <w:szCs w:val="24"/>
        </w:rPr>
      </w:pPr>
      <w:r w:rsidRPr="00687BB0">
        <w:rPr>
          <w:szCs w:val="24"/>
        </w:rPr>
        <w:t>To provide annualized TAA program and performance information to the Committee on Finance of the Senate and the Committee on Ways and Means of the House of Representatives;</w:t>
      </w:r>
    </w:p>
    <w:p w:rsidR="00DF044F" w:rsidRPr="00687BB0" w:rsidRDefault="00DF044F" w:rsidP="00DF044F">
      <w:pPr>
        <w:pStyle w:val="BodyTextIndent3"/>
        <w:numPr>
          <w:ilvl w:val="0"/>
          <w:numId w:val="2"/>
        </w:numPr>
        <w:tabs>
          <w:tab w:val="left" w:pos="9360"/>
          <w:tab w:val="left" w:pos="9900"/>
        </w:tabs>
        <w:ind w:left="1260"/>
        <w:jc w:val="left"/>
        <w:rPr>
          <w:szCs w:val="24"/>
        </w:rPr>
      </w:pPr>
      <w:r w:rsidRPr="00687BB0">
        <w:rPr>
          <w:szCs w:val="24"/>
        </w:rPr>
        <w:t>To make TAA benefit, services and performance information available to the public through a searchable format available through the TAA website administered by USDOL.</w:t>
      </w:r>
    </w:p>
    <w:p w:rsidR="00DF044F" w:rsidRPr="00687BB0" w:rsidRDefault="00DF044F" w:rsidP="00DF044F">
      <w:pPr>
        <w:pStyle w:val="BodyTextIndent3"/>
        <w:numPr>
          <w:ilvl w:val="0"/>
          <w:numId w:val="2"/>
        </w:numPr>
        <w:tabs>
          <w:tab w:val="left" w:pos="9360"/>
          <w:tab w:val="left" w:pos="9900"/>
        </w:tabs>
        <w:ind w:left="1260"/>
        <w:jc w:val="left"/>
        <w:rPr>
          <w:szCs w:val="24"/>
        </w:rPr>
      </w:pPr>
      <w:r w:rsidRPr="00687BB0">
        <w:rPr>
          <w:szCs w:val="24"/>
        </w:rPr>
        <w:t xml:space="preserve">To continuously improve the quality, effectiveness, and efficiency of job training and employment-based programs to job seeker and employer customers; </w:t>
      </w:r>
    </w:p>
    <w:p w:rsidR="00DF044F" w:rsidRPr="00687BB0" w:rsidRDefault="00DF044F" w:rsidP="00DF044F">
      <w:pPr>
        <w:pStyle w:val="BodyTextIndent3"/>
        <w:numPr>
          <w:ilvl w:val="0"/>
          <w:numId w:val="2"/>
        </w:numPr>
        <w:tabs>
          <w:tab w:val="left" w:pos="9360"/>
          <w:tab w:val="left" w:pos="9900"/>
        </w:tabs>
        <w:ind w:left="1260"/>
        <w:jc w:val="left"/>
        <w:rPr>
          <w:szCs w:val="24"/>
        </w:rPr>
      </w:pPr>
      <w:r w:rsidRPr="00687BB0">
        <w:rPr>
          <w:szCs w:val="24"/>
        </w:rPr>
        <w:t xml:space="preserve">To provide management information for use in Federal program administration and oversight, including grant-specific participation, service, and outcome summaries.  Selected demographic information </w:t>
      </w:r>
      <w:r>
        <w:rPr>
          <w:szCs w:val="24"/>
        </w:rPr>
        <w:t xml:space="preserve">is </w:t>
      </w:r>
      <w:r w:rsidRPr="00687BB0">
        <w:rPr>
          <w:szCs w:val="24"/>
        </w:rPr>
        <w:t>used by grantees to demonstrate compliance with equal opportunity provisions in the law, and to prepare and maintain state management reports;</w:t>
      </w:r>
    </w:p>
    <w:p w:rsidR="00DF044F" w:rsidRDefault="00DF044F" w:rsidP="00FA6002">
      <w:pPr>
        <w:pStyle w:val="BodyTextIndent3"/>
        <w:numPr>
          <w:ilvl w:val="0"/>
          <w:numId w:val="2"/>
        </w:numPr>
        <w:tabs>
          <w:tab w:val="left" w:pos="9360"/>
          <w:tab w:val="left" w:pos="9900"/>
        </w:tabs>
        <w:ind w:left="1260"/>
        <w:jc w:val="left"/>
        <w:rPr>
          <w:szCs w:val="24"/>
        </w:rPr>
      </w:pPr>
      <w:r w:rsidRPr="00687BB0">
        <w:rPr>
          <w:szCs w:val="24"/>
        </w:rPr>
        <w:t>To measure compliance with the Government Performance and Results Act</w:t>
      </w:r>
      <w:r w:rsidR="00FA6002">
        <w:rPr>
          <w:szCs w:val="24"/>
        </w:rPr>
        <w:t xml:space="preserve"> (GPRA).</w:t>
      </w:r>
    </w:p>
    <w:p w:rsidR="00A9739C" w:rsidRPr="00FA6002" w:rsidRDefault="00A9739C" w:rsidP="00A9739C">
      <w:pPr>
        <w:pStyle w:val="BodyTextIndent3"/>
        <w:tabs>
          <w:tab w:val="left" w:pos="9360"/>
          <w:tab w:val="left" w:pos="9900"/>
        </w:tabs>
        <w:ind w:left="1260"/>
        <w:jc w:val="left"/>
        <w:rPr>
          <w:szCs w:val="24"/>
        </w:rPr>
      </w:pPr>
    </w:p>
    <w:p w:rsidR="00DF044F" w:rsidRDefault="00F44D0F" w:rsidP="00A81263">
      <w:pPr>
        <w:tabs>
          <w:tab w:val="right" w:pos="360"/>
        </w:tabs>
        <w:autoSpaceDE w:val="0"/>
        <w:autoSpaceDN w:val="0"/>
        <w:adjustRightInd w:val="0"/>
        <w:ind w:left="540" w:hanging="540"/>
        <w:rPr>
          <w:i/>
        </w:rPr>
      </w:pPr>
      <w:r w:rsidRPr="002221A7">
        <w:rPr>
          <w:i/>
        </w:rPr>
        <w:lastRenderedPageBreak/>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rsidR="00A81263" w:rsidRPr="00A81263" w:rsidRDefault="00A81263" w:rsidP="00A81263">
      <w:pPr>
        <w:tabs>
          <w:tab w:val="right" w:pos="360"/>
        </w:tabs>
        <w:autoSpaceDE w:val="0"/>
        <w:autoSpaceDN w:val="0"/>
        <w:adjustRightInd w:val="0"/>
        <w:ind w:left="540" w:hanging="540"/>
        <w:rPr>
          <w:i/>
        </w:rPr>
      </w:pPr>
    </w:p>
    <w:p w:rsidR="00DF044F" w:rsidRPr="00687BB0" w:rsidRDefault="00DF044F" w:rsidP="00DF044F">
      <w:pPr>
        <w:tabs>
          <w:tab w:val="left" w:pos="720"/>
          <w:tab w:val="left" w:pos="9360"/>
          <w:tab w:val="left" w:pos="9900"/>
        </w:tabs>
        <w:ind w:left="540"/>
      </w:pPr>
      <w:r w:rsidRPr="00687BB0">
        <w:t>In order to comply with the Government</w:t>
      </w:r>
      <w:r>
        <w:t xml:space="preserve"> Paperwork Elimination Act, </w:t>
      </w:r>
      <w:r w:rsidRPr="00687BB0">
        <w:t xml:space="preserve">the collection of program participant data and performance reports </w:t>
      </w:r>
      <w:r>
        <w:t>is based on</w:t>
      </w:r>
      <w:r w:rsidRPr="00687BB0">
        <w:t xml:space="preserve"> uniform data elements and data definitions </w:t>
      </w:r>
      <w:r>
        <w:t xml:space="preserve">provided </w:t>
      </w:r>
      <w:r w:rsidRPr="00687BB0">
        <w:t>to states</w:t>
      </w:r>
      <w:r>
        <w:t xml:space="preserve"> electronically.</w:t>
      </w:r>
      <w:r w:rsidRPr="00687BB0">
        <w:t xml:space="preserve">  All TAPR reports </w:t>
      </w:r>
      <w:r>
        <w:t xml:space="preserve">are </w:t>
      </w:r>
      <w:r w:rsidRPr="00687BB0">
        <w:t xml:space="preserve">submitted to ETA via the Internet.  </w:t>
      </w:r>
      <w:r>
        <w:t xml:space="preserve">Although </w:t>
      </w:r>
      <w:r w:rsidRPr="00687BB0">
        <w:t xml:space="preserve">states and local areas decide </w:t>
      </w:r>
      <w:r>
        <w:t xml:space="preserve">on </w:t>
      </w:r>
      <w:r w:rsidRPr="00687BB0">
        <w:t>the best technology for collecting individual case management data</w:t>
      </w:r>
      <w:r>
        <w:t>,</w:t>
      </w:r>
      <w:r w:rsidRPr="00687BB0">
        <w:t xml:space="preserve"> given their unique circumstances a</w:t>
      </w:r>
      <w:r>
        <w:t>nd resource availability, s</w:t>
      </w:r>
      <w:r w:rsidRPr="00687BB0">
        <w:t xml:space="preserve">tates collect, retain, and report all information electronically.  </w:t>
      </w:r>
    </w:p>
    <w:p w:rsidR="00DF044F" w:rsidRPr="00687BB0" w:rsidRDefault="00DF044F" w:rsidP="00DF044F">
      <w:pPr>
        <w:tabs>
          <w:tab w:val="left" w:pos="720"/>
          <w:tab w:val="left" w:pos="9360"/>
          <w:tab w:val="left" w:pos="9900"/>
        </w:tabs>
        <w:ind w:left="540"/>
      </w:pPr>
    </w:p>
    <w:p w:rsidR="00DF044F" w:rsidRPr="00687BB0" w:rsidRDefault="00DF044F" w:rsidP="00DF044F">
      <w:pPr>
        <w:tabs>
          <w:tab w:val="left" w:pos="720"/>
          <w:tab w:val="left" w:pos="9360"/>
          <w:tab w:val="left" w:pos="9900"/>
        </w:tabs>
        <w:ind w:left="540"/>
      </w:pPr>
      <w:r w:rsidRPr="00687BB0">
        <w:t>The use of U</w:t>
      </w:r>
      <w:r w:rsidR="000625D4">
        <w:t xml:space="preserve">nemployment </w:t>
      </w:r>
      <w:r w:rsidRPr="00687BB0">
        <w:t>I</w:t>
      </w:r>
      <w:r w:rsidR="000625D4">
        <w:t>nsurance (UI)</w:t>
      </w:r>
      <w:r w:rsidRPr="00687BB0">
        <w:t xml:space="preserve"> wage records as the primary source of data on wages and employment-related outcomes will result in decreased burden hours for many states who administer TAA programs.  ETA will continue to work with the states to access and exchange UI wage records among the states.  ETA is also planning to upgrade existing reporting software for states that will import participant data, check for data errors and out of parameter records, and produce the TAPR in both printable and electronic data transfer formats.  </w:t>
      </w:r>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rsidR="00EA78D2" w:rsidRDefault="00EA78D2" w:rsidP="00994022">
      <w:pPr>
        <w:autoSpaceDE w:val="0"/>
        <w:autoSpaceDN w:val="0"/>
        <w:adjustRightInd w:val="0"/>
        <w:ind w:left="540"/>
      </w:pPr>
    </w:p>
    <w:p w:rsidR="00994022" w:rsidRDefault="00994022" w:rsidP="00994022">
      <w:pPr>
        <w:pStyle w:val="Level1"/>
        <w:numPr>
          <w:ilvl w:val="0"/>
          <w:numId w:val="0"/>
        </w:numPr>
        <w:ind w:left="540"/>
        <w:outlineLvl w:val="9"/>
      </w:pPr>
      <w:bookmarkStart w:id="2" w:name="_Toc94322833"/>
      <w:r>
        <w:t>Currently, the</w:t>
      </w:r>
      <w:r w:rsidRPr="00687BB0">
        <w:t xml:space="preserve"> TAPR is the only report on TAA participants that requires data on individual participants.  Except where individuals are registered in other programs and outcomes are reported for them under those programs, there is no duplication of data.  Where participants are reported on under other programs, for example the Workforce Investment Act (WIA) dislocated worker program, standardized data elements such as demographic information, services, and common outcome measures may be easily copied and transferred for use in the TAPR.</w:t>
      </w:r>
      <w:bookmarkEnd w:id="2"/>
    </w:p>
    <w:p w:rsidR="00EA78D2" w:rsidRPr="00CE3C52" w:rsidRDefault="00EA78D2" w:rsidP="00EA78D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rsidR="00EA78D2" w:rsidRDefault="00EA78D2" w:rsidP="00994022">
      <w:pPr>
        <w:autoSpaceDE w:val="0"/>
        <w:autoSpaceDN w:val="0"/>
        <w:adjustRightInd w:val="0"/>
        <w:ind w:left="540"/>
      </w:pPr>
    </w:p>
    <w:p w:rsidR="00994022" w:rsidRDefault="00994022" w:rsidP="00FA6002">
      <w:pPr>
        <w:pStyle w:val="BodyText"/>
        <w:spacing w:after="0"/>
        <w:ind w:left="540"/>
      </w:pPr>
      <w:r w:rsidRPr="00BF76BD">
        <w:t xml:space="preserve">No small businesses or entities are impacted.  </w:t>
      </w:r>
    </w:p>
    <w:p w:rsidR="00EA78D2" w:rsidRDefault="00EA78D2" w:rsidP="00FA6002">
      <w:pPr>
        <w:autoSpaceDE w:val="0"/>
        <w:autoSpaceDN w:val="0"/>
        <w:adjustRightInd w:val="0"/>
      </w:pPr>
    </w:p>
    <w:p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994022">
      <w:pPr>
        <w:autoSpaceDE w:val="0"/>
        <w:autoSpaceDN w:val="0"/>
        <w:adjustRightInd w:val="0"/>
        <w:ind w:left="540"/>
      </w:pPr>
    </w:p>
    <w:p w:rsidR="00994022" w:rsidRDefault="00994022" w:rsidP="00994022">
      <w:pPr>
        <w:pStyle w:val="Level1"/>
        <w:numPr>
          <w:ilvl w:val="0"/>
          <w:numId w:val="0"/>
        </w:numPr>
        <w:ind w:left="540"/>
        <w:outlineLvl w:val="9"/>
      </w:pPr>
      <w:bookmarkStart w:id="3" w:name="_Toc94322836"/>
      <w:r w:rsidRPr="00687BB0">
        <w:t xml:space="preserve">States and grantees are required to submit TAPR records to ETA electronically, and to upload aggregate performance outcome information into ETA’s Enterprise Business Support System (EBSS) </w:t>
      </w:r>
      <w:r>
        <w:t>on a quarterly basis as required by statute</w:t>
      </w:r>
      <w:r w:rsidRPr="00687BB0">
        <w:t xml:space="preserve">.  If states do not comply </w:t>
      </w:r>
      <w:r w:rsidRPr="00687BB0">
        <w:lastRenderedPageBreak/>
        <w:t>with these requirements, the funding for these programs would be compromised to the detriment of the individuals that benefit from services provided through these programs.  ETA’s responsibility for reporting, oversight, and monitoring will be severely hampered because there is no other vehicle for judging program performance and participant outcomes for TAA</w:t>
      </w:r>
      <w:r>
        <w:t>.</w:t>
      </w:r>
      <w:r w:rsidRPr="00687BB0">
        <w:t xml:space="preserve">  The agency will also be unable to fulfill its reporting responsibilities mandated by T</w:t>
      </w:r>
      <w:r w:rsidR="000625D4">
        <w:t xml:space="preserve">rade and </w:t>
      </w:r>
      <w:r w:rsidRPr="00687BB0">
        <w:t>G</w:t>
      </w:r>
      <w:r w:rsidR="000625D4">
        <w:t xml:space="preserve">lobalization </w:t>
      </w:r>
      <w:r w:rsidRPr="00687BB0">
        <w:t>A</w:t>
      </w:r>
      <w:r w:rsidR="000625D4">
        <w:t xml:space="preserve">djustment </w:t>
      </w:r>
      <w:r w:rsidRPr="00687BB0">
        <w:t>A</w:t>
      </w:r>
      <w:r w:rsidR="000625D4">
        <w:t xml:space="preserve">ssistance </w:t>
      </w:r>
      <w:r w:rsidRPr="00687BB0">
        <w:t>A</w:t>
      </w:r>
      <w:r w:rsidR="000625D4">
        <w:t>ct (TGAAA)</w:t>
      </w:r>
      <w:r w:rsidRPr="00687BB0">
        <w:t xml:space="preserve"> and under </w:t>
      </w:r>
      <w:r w:rsidR="000625D4">
        <w:t xml:space="preserve">the </w:t>
      </w:r>
      <w:r w:rsidRPr="00687BB0">
        <w:t>G</w:t>
      </w:r>
      <w:r w:rsidR="000625D4">
        <w:t xml:space="preserve">overnment </w:t>
      </w:r>
      <w:r w:rsidRPr="00687BB0">
        <w:t>P</w:t>
      </w:r>
      <w:r w:rsidR="000625D4">
        <w:t xml:space="preserve">erformance and </w:t>
      </w:r>
      <w:r w:rsidRPr="00687BB0">
        <w:t>R</w:t>
      </w:r>
      <w:r w:rsidR="000625D4">
        <w:t xml:space="preserve">esults </w:t>
      </w:r>
      <w:r w:rsidRPr="00687BB0">
        <w:t>A</w:t>
      </w:r>
      <w:r w:rsidR="000625D4">
        <w:t>ct (GPRA)</w:t>
      </w:r>
      <w:r>
        <w:t>.</w:t>
      </w:r>
      <w:bookmarkEnd w:id="3"/>
    </w:p>
    <w:p w:rsidR="00EA78D2" w:rsidRPr="00CE3C52" w:rsidRDefault="00EA78D2" w:rsidP="00EA78D2">
      <w:pPr>
        <w:autoSpaceDE w:val="0"/>
        <w:autoSpaceDN w:val="0"/>
        <w:adjustRightInd w:val="0"/>
      </w:pPr>
    </w:p>
    <w:p w:rsidR="00EA78D2" w:rsidRPr="002221A7"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 xml:space="preserve">Explain any special circumstances that would cause an information collection to be conducted in a manner: </w:t>
      </w:r>
    </w:p>
    <w:p w:rsidR="00994022" w:rsidRDefault="00994022" w:rsidP="00904938">
      <w:pPr>
        <w:autoSpaceDE w:val="0"/>
        <w:autoSpaceDN w:val="0"/>
        <w:adjustRightInd w:val="0"/>
        <w:ind w:left="720" w:hanging="180"/>
        <w:rPr>
          <w:i/>
        </w:rPr>
      </w:pPr>
    </w:p>
    <w:p w:rsidR="00994022" w:rsidRPr="00994022" w:rsidRDefault="00994022" w:rsidP="00FA6002">
      <w:pPr>
        <w:pStyle w:val="BodyText"/>
        <w:ind w:left="540"/>
      </w:pPr>
      <w:r w:rsidRPr="00687BB0">
        <w:t>These data collection efforts do not involve any special circumstances.  The proposed reporting system is consistent with the guidelines in 5 CFR 1320.5.</w:t>
      </w:r>
    </w:p>
    <w:p w:rsidR="00EA78D2" w:rsidRDefault="00EA78D2" w:rsidP="00EA78D2">
      <w:pPr>
        <w:autoSpaceDE w:val="0"/>
        <w:autoSpaceDN w:val="0"/>
        <w:adjustRightInd w:val="0"/>
      </w:pPr>
    </w:p>
    <w:p w:rsidR="00EA78D2"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rsidR="00FA6002" w:rsidRPr="002221A7" w:rsidRDefault="00FA6002" w:rsidP="00973CD5">
      <w:pPr>
        <w:tabs>
          <w:tab w:val="right" w:pos="360"/>
          <w:tab w:val="left" w:pos="540"/>
        </w:tabs>
        <w:autoSpaceDE w:val="0"/>
        <w:autoSpaceDN w:val="0"/>
        <w:adjustRightInd w:val="0"/>
        <w:ind w:left="540" w:hanging="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994022" w:rsidRDefault="00994022" w:rsidP="00973CD5">
      <w:pPr>
        <w:autoSpaceDE w:val="0"/>
        <w:autoSpaceDN w:val="0"/>
        <w:adjustRightInd w:val="0"/>
        <w:ind w:left="540"/>
        <w:rPr>
          <w:i/>
        </w:rPr>
      </w:pPr>
    </w:p>
    <w:p w:rsidR="00994022" w:rsidRDefault="00CB4B68" w:rsidP="009940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sidRPr="00CB4B68">
        <w:t>A 60-day Notice was published in the Federal Register on February 2, 2016 (81 FR 5486).  No public comments were received.</w:t>
      </w:r>
      <w:r>
        <w:t xml:space="preserve">  </w:t>
      </w:r>
      <w:r w:rsidR="00994022">
        <w:t xml:space="preserve">Telephone conferences and live presentations with </w:t>
      </w:r>
      <w:r w:rsidR="00D6689E">
        <w:t xml:space="preserve">states were conducted from January through March </w:t>
      </w:r>
      <w:r w:rsidR="00A81263">
        <w:t xml:space="preserve">of 2012 </w:t>
      </w:r>
      <w:r w:rsidR="00994022">
        <w:t>to ensure smooth submissio</w:t>
      </w:r>
      <w:r w:rsidR="00FA6002">
        <w:t xml:space="preserve">n of TAPR data. </w:t>
      </w:r>
      <w:r w:rsidR="000625D4">
        <w:t>(Prior to the last update to the current record layout.)</w:t>
      </w:r>
      <w:r w:rsidR="00D6689E">
        <w:t xml:space="preserve"> </w:t>
      </w:r>
      <w:r w:rsidR="00FA6002">
        <w:t xml:space="preserve"> </w:t>
      </w:r>
    </w:p>
    <w:p w:rsidR="00EA78D2" w:rsidRPr="00CE3C52" w:rsidRDefault="00EA78D2" w:rsidP="00EA78D2">
      <w:pPr>
        <w:autoSpaceDE w:val="0"/>
        <w:autoSpaceDN w:val="0"/>
        <w:adjustRightInd w:val="0"/>
      </w:pPr>
    </w:p>
    <w:p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rsidR="00994022" w:rsidRDefault="00994022" w:rsidP="00973CD5">
      <w:pPr>
        <w:tabs>
          <w:tab w:val="right" w:pos="360"/>
          <w:tab w:val="left" w:pos="540"/>
        </w:tabs>
        <w:autoSpaceDE w:val="0"/>
        <w:autoSpaceDN w:val="0"/>
        <w:adjustRightInd w:val="0"/>
        <w:ind w:left="540" w:hanging="540"/>
        <w:rPr>
          <w:i/>
        </w:rPr>
      </w:pPr>
    </w:p>
    <w:p w:rsidR="00994022" w:rsidRPr="00687BB0" w:rsidRDefault="00994022" w:rsidP="00994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pPr>
      <w:r w:rsidRPr="00687BB0">
        <w:t>There are no payments to respondents other than the formula funds and incentive funds provided for in the authorizing statutes.</w:t>
      </w:r>
    </w:p>
    <w:p w:rsidR="00EA78D2" w:rsidRDefault="00EA78D2" w:rsidP="00EA78D2">
      <w:pPr>
        <w:autoSpaceDE w:val="0"/>
        <w:autoSpaceDN w:val="0"/>
        <w:adjustRightInd w:val="0"/>
      </w:pPr>
    </w:p>
    <w:p w:rsidR="00EA78D2"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rsidR="00994022" w:rsidRDefault="00994022" w:rsidP="00973CD5">
      <w:pPr>
        <w:tabs>
          <w:tab w:val="right" w:pos="360"/>
          <w:tab w:val="left" w:pos="540"/>
        </w:tabs>
        <w:autoSpaceDE w:val="0"/>
        <w:autoSpaceDN w:val="0"/>
        <w:adjustRightInd w:val="0"/>
        <w:ind w:left="540" w:hanging="540"/>
        <w:rPr>
          <w:i/>
        </w:rPr>
      </w:pPr>
    </w:p>
    <w:p w:rsidR="00994022" w:rsidRPr="00687BB0" w:rsidRDefault="00994022" w:rsidP="00994022">
      <w:pPr>
        <w:pStyle w:val="Level1"/>
        <w:numPr>
          <w:ilvl w:val="0"/>
          <w:numId w:val="0"/>
        </w:numPr>
        <w:ind w:left="540"/>
        <w:outlineLvl w:val="9"/>
      </w:pPr>
      <w:bookmarkStart w:id="4" w:name="_Toc94322841"/>
      <w:r w:rsidRPr="00687BB0">
        <w:lastRenderedPageBreak/>
        <w:t xml:space="preserve">ETA is responsible for protecting the confidentiality of the TAPR data and will maintain the data in accordance with all applicable Federal laws, with particular emphasis upon compliance with the provisions of the Privacy and Freedom of Information Acts.  </w:t>
      </w:r>
      <w:r w:rsidR="00CB4B68">
        <w:t xml:space="preserve">The Privacy Act does not apply because </w:t>
      </w:r>
      <w:r w:rsidRPr="00687BB0">
        <w:t>TAPR data will not contain any individually identifying information.  States will submit records on individuals, but they will submit them under an individual identifier, which must not include the individual’s social security number.</w:t>
      </w:r>
      <w:bookmarkEnd w:id="4"/>
    </w:p>
    <w:p w:rsidR="00EA78D2" w:rsidRPr="00CE3C52" w:rsidRDefault="00EA78D2" w:rsidP="00EA78D2">
      <w:pPr>
        <w:autoSpaceDE w:val="0"/>
        <w:autoSpaceDN w:val="0"/>
        <w:adjustRightInd w:val="0"/>
      </w:pPr>
    </w:p>
    <w:p w:rsidR="00EA78D2"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23A0" w:rsidRDefault="002023A0" w:rsidP="00973CD5">
      <w:pPr>
        <w:tabs>
          <w:tab w:val="right" w:pos="360"/>
          <w:tab w:val="left" w:pos="540"/>
        </w:tabs>
        <w:autoSpaceDE w:val="0"/>
        <w:autoSpaceDN w:val="0"/>
        <w:adjustRightInd w:val="0"/>
        <w:ind w:left="540" w:hanging="540"/>
        <w:rPr>
          <w:i/>
        </w:rPr>
      </w:pPr>
    </w:p>
    <w:p w:rsidR="002023A0" w:rsidRPr="002023A0" w:rsidRDefault="002023A0" w:rsidP="00202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pPr>
      <w:r w:rsidRPr="00687BB0">
        <w:t xml:space="preserve">There are no sensitive questions included in the proposed data collection.  Individual records, which contain wage record information, may be submitted using a unique personal identifier or pseudo-social security number.  </w:t>
      </w:r>
    </w:p>
    <w:p w:rsidR="00EA78D2" w:rsidRPr="00CE3C52" w:rsidRDefault="00EA78D2" w:rsidP="00EA78D2">
      <w:pPr>
        <w:autoSpaceDE w:val="0"/>
        <w:autoSpaceDN w:val="0"/>
        <w:adjustRightInd w:val="0"/>
      </w:pPr>
    </w:p>
    <w:p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r w:rsidR="00216406">
        <w:rPr>
          <w:i/>
        </w:rPr>
        <w:t xml:space="preserve"> </w:t>
      </w:r>
    </w:p>
    <w:p w:rsidR="00EA78D2" w:rsidRDefault="00EA78D2" w:rsidP="00EA78D2">
      <w:pPr>
        <w:autoSpaceDE w:val="0"/>
        <w:autoSpaceDN w:val="0"/>
        <w:adjustRightInd w:val="0"/>
      </w:pPr>
    </w:p>
    <w:p w:rsidR="002023A0" w:rsidRDefault="002023A0" w:rsidP="00595CFA">
      <w:pPr>
        <w:ind w:left="540"/>
      </w:pPr>
      <w:r w:rsidRPr="00C279B1">
        <w:t xml:space="preserve">The burden for preparing the TAPR submission </w:t>
      </w:r>
      <w:r>
        <w:t xml:space="preserve">assumes </w:t>
      </w:r>
      <w:r w:rsidRPr="00C279B1">
        <w:t xml:space="preserve">that each of the 50 states will prepare a quarterly TAPR submission, for a total of 200 reports per year.  (It is possible that one or more state agencies will have no terminees during a quarter and therefore will not be required to submit a report.)  </w:t>
      </w:r>
    </w:p>
    <w:p w:rsidR="002023A0" w:rsidRDefault="002023A0" w:rsidP="00595CFA">
      <w:pPr>
        <w:ind w:left="540"/>
      </w:pPr>
    </w:p>
    <w:p w:rsidR="008A4185" w:rsidRDefault="002023A0" w:rsidP="008A4185">
      <w:pPr>
        <w:ind w:left="540"/>
      </w:pPr>
      <w:r w:rsidRPr="00C279B1">
        <w:t xml:space="preserve">The annual national burden for states for TAA reporting is comprised of </w:t>
      </w:r>
      <w:r w:rsidR="008A4185">
        <w:t>three</w:t>
      </w:r>
      <w:r w:rsidRPr="00C279B1">
        <w:t xml:space="preserve"> parts:  </w:t>
      </w:r>
      <w:r w:rsidR="00453ED5">
        <w:t>A</w:t>
      </w:r>
      <w:r w:rsidRPr="00C279B1">
        <w:t>) the burden of collecting participant data</w:t>
      </w:r>
      <w:r w:rsidR="008A4185">
        <w:t xml:space="preserve"> </w:t>
      </w:r>
      <w:r w:rsidR="00286F77">
        <w:t xml:space="preserve">by </w:t>
      </w:r>
      <w:r w:rsidR="008A4185">
        <w:t xml:space="preserve">state staff, </w:t>
      </w:r>
      <w:r w:rsidR="00453ED5">
        <w:t>B</w:t>
      </w:r>
      <w:r w:rsidR="008A4185">
        <w:t xml:space="preserve">) the burden </w:t>
      </w:r>
      <w:r w:rsidR="00286F77">
        <w:t>on program</w:t>
      </w:r>
      <w:r w:rsidR="008A4185">
        <w:t xml:space="preserve"> participant</w:t>
      </w:r>
      <w:r w:rsidR="00286F77">
        <w:t>s</w:t>
      </w:r>
      <w:r w:rsidR="00F22B1B">
        <w:t xml:space="preserve"> (third party disclosure)</w:t>
      </w:r>
      <w:r w:rsidR="00286F77">
        <w:t xml:space="preserve"> who must provide information that is used in the participant records</w:t>
      </w:r>
      <w:r w:rsidRPr="00C279B1">
        <w:t xml:space="preserve">, and </w:t>
      </w:r>
      <w:r w:rsidR="00453ED5">
        <w:t>C</w:t>
      </w:r>
      <w:r w:rsidRPr="00C279B1">
        <w:t>) the burden of preparing the TAPR submission</w:t>
      </w:r>
      <w:r w:rsidR="00F22B1B">
        <w:t xml:space="preserve"> for reporting</w:t>
      </w:r>
      <w:r w:rsidRPr="00C279B1">
        <w:t>.</w:t>
      </w:r>
      <w:r w:rsidR="008A4185">
        <w:t xml:space="preserve"> </w:t>
      </w:r>
    </w:p>
    <w:p w:rsidR="008A4185" w:rsidRDefault="008A4185" w:rsidP="008A4185">
      <w:pPr>
        <w:pStyle w:val="Level1"/>
        <w:numPr>
          <w:ilvl w:val="0"/>
          <w:numId w:val="0"/>
        </w:numPr>
        <w:outlineLvl w:val="9"/>
      </w:pPr>
    </w:p>
    <w:p w:rsidR="008A4185" w:rsidRDefault="00AE0D62" w:rsidP="008A4185">
      <w:pPr>
        <w:pStyle w:val="Level1"/>
        <w:numPr>
          <w:ilvl w:val="0"/>
          <w:numId w:val="0"/>
        </w:numPr>
        <w:ind w:left="540"/>
        <w:outlineLvl w:val="9"/>
      </w:pPr>
      <w:r>
        <w:t xml:space="preserve">TABLE 12A: </w:t>
      </w:r>
      <w:r w:rsidR="008A4185">
        <w:t>DATA COLLECTION BURDEN</w:t>
      </w:r>
      <w:r>
        <w:t>- STATE</w:t>
      </w:r>
      <w:r w:rsidR="00417A87">
        <w:t xml:space="preserve"> STAFF</w:t>
      </w:r>
    </w:p>
    <w:p w:rsidR="004A5EF9" w:rsidRDefault="004A5EF9" w:rsidP="008A4185">
      <w:pPr>
        <w:pStyle w:val="Level1"/>
        <w:numPr>
          <w:ilvl w:val="0"/>
          <w:numId w:val="0"/>
        </w:numPr>
        <w:ind w:left="540"/>
        <w:outlineLvl w:val="9"/>
      </w:pPr>
    </w:p>
    <w:p w:rsidR="004A5EF9" w:rsidRDefault="004A5EF9" w:rsidP="008A4185">
      <w:pPr>
        <w:pStyle w:val="Level1"/>
        <w:numPr>
          <w:ilvl w:val="0"/>
          <w:numId w:val="0"/>
        </w:numPr>
        <w:ind w:left="540"/>
        <w:outlineLvl w:val="9"/>
      </w:pPr>
      <w:r>
        <w:t xml:space="preserve">Each quarter, </w:t>
      </w:r>
      <w:r w:rsidR="0018532C">
        <w:t xml:space="preserve">the </w:t>
      </w:r>
      <w:r>
        <w:t>states submit a file that contains information on current participants</w:t>
      </w:r>
      <w:r w:rsidR="00263C19">
        <w:t xml:space="preserve">, as well as </w:t>
      </w:r>
      <w:proofErr w:type="spellStart"/>
      <w:r w:rsidR="00263C19">
        <w:t>terminees</w:t>
      </w:r>
      <w:proofErr w:type="spellEnd"/>
      <w:r w:rsidR="00B93731">
        <w:t xml:space="preserve">. </w:t>
      </w:r>
      <w:r w:rsidR="005360C4">
        <w:t xml:space="preserve"> </w:t>
      </w:r>
      <w:r w:rsidR="00B93731">
        <w:t xml:space="preserve">The Department currently receives approximately 100,000 records </w:t>
      </w:r>
      <w:r w:rsidR="00CD27B4">
        <w:t>(</w:t>
      </w:r>
      <w:r w:rsidR="005E5333">
        <w:t xml:space="preserve">composed </w:t>
      </w:r>
      <w:r w:rsidR="00A95759">
        <w:t xml:space="preserve">of </w:t>
      </w:r>
      <w:r w:rsidR="00CD27B4">
        <w:t xml:space="preserve">nine quarters worth of data) </w:t>
      </w:r>
      <w:r w:rsidR="00B93731">
        <w:t>each quarter.</w:t>
      </w:r>
      <w:r w:rsidR="00263C19">
        <w:t xml:space="preserve"> </w:t>
      </w:r>
      <w:r w:rsidR="005360C4">
        <w:t xml:space="preserve"> </w:t>
      </w:r>
      <w:r w:rsidR="00327492">
        <w:t xml:space="preserve">This results in an average of 2,000 records per respondent (state). </w:t>
      </w:r>
      <w:r w:rsidR="005360C4">
        <w:t xml:space="preserve"> </w:t>
      </w:r>
      <w:r w:rsidR="0018532C">
        <w:t>The annual total is approximately</w:t>
      </w:r>
      <w:r>
        <w:t xml:space="preserve"> </w:t>
      </w:r>
      <w:r w:rsidR="002B1346">
        <w:t>40</w:t>
      </w:r>
      <w:r>
        <w:t>0,000 records</w:t>
      </w:r>
      <w:r w:rsidR="00327492">
        <w:t xml:space="preserve"> (50 states</w:t>
      </w:r>
      <w:r w:rsidR="005E5333">
        <w:t xml:space="preserve"> reports </w:t>
      </w:r>
      <w:r w:rsidR="00327492">
        <w:t>2,000 records per quarter</w:t>
      </w:r>
      <w:r w:rsidR="005E5333">
        <w:t xml:space="preserve">) </w:t>
      </w:r>
      <w:r>
        <w:t xml:space="preserve"> Much of the data collection done by the states is automated, thus the 0.</w:t>
      </w:r>
      <w:r w:rsidR="00515726">
        <w:t>0</w:t>
      </w:r>
      <w:r>
        <w:t xml:space="preserve">2 hour </w:t>
      </w:r>
      <w:r w:rsidR="004F7CF5">
        <w:t>(1</w:t>
      </w:r>
      <w:r w:rsidR="00515726">
        <w:t>.</w:t>
      </w:r>
      <w:r w:rsidR="004F7CF5">
        <w:t xml:space="preserve">2 minutes) </w:t>
      </w:r>
      <w:r>
        <w:t xml:space="preserve">estimate </w:t>
      </w:r>
      <w:r w:rsidR="005E5333">
        <w:t xml:space="preserve">per record </w:t>
      </w:r>
      <w:r>
        <w:t>provided in the table below.</w:t>
      </w:r>
      <w:r w:rsidR="008D698B">
        <w:t xml:space="preserve"> </w:t>
      </w:r>
      <w:r w:rsidR="00743340">
        <w:t xml:space="preserve"> Each state’s burden for reporting to DOL is 40 hours (</w:t>
      </w:r>
      <w:r w:rsidR="00515726">
        <w:t>0.</w:t>
      </w:r>
      <w:r w:rsidR="00475AE4">
        <w:t>0</w:t>
      </w:r>
      <w:r w:rsidR="00743340">
        <w:t xml:space="preserve">2 </w:t>
      </w:r>
      <w:r w:rsidR="00515726">
        <w:t>hours</w:t>
      </w:r>
      <w:r w:rsidR="00743340">
        <w:t xml:space="preserve"> x 2,000) each quarter.  </w:t>
      </w:r>
      <w:r w:rsidR="005E5333">
        <w:t>Again, t</w:t>
      </w:r>
      <w:r w:rsidR="00743340">
        <w:t>he table below describes the burden for each record.</w:t>
      </w:r>
      <w:r w:rsidR="005360C4">
        <w:t xml:space="preserve">  </w:t>
      </w:r>
      <w:r w:rsidR="008D698B">
        <w:t>Some of the information in the participant record is updated each quarter – again, largely from automated data linkages.</w:t>
      </w:r>
    </w:p>
    <w:p w:rsidR="004A5EF9" w:rsidRDefault="004A5EF9" w:rsidP="008A4185">
      <w:pPr>
        <w:pStyle w:val="Level1"/>
        <w:numPr>
          <w:ilvl w:val="0"/>
          <w:numId w:val="0"/>
        </w:numPr>
        <w:ind w:left="540"/>
        <w:outlineLvl w:val="9"/>
      </w:pPr>
    </w:p>
    <w:p w:rsidR="00E869C9" w:rsidRDefault="00E869C9" w:rsidP="00B93731">
      <w:pPr>
        <w:pStyle w:val="Level1"/>
        <w:numPr>
          <w:ilvl w:val="0"/>
          <w:numId w:val="0"/>
        </w:numPr>
        <w:ind w:left="540"/>
        <w:outlineLvl w:val="9"/>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161"/>
        <w:gridCol w:w="1061"/>
        <w:gridCol w:w="1061"/>
        <w:gridCol w:w="983"/>
        <w:gridCol w:w="805"/>
        <w:gridCol w:w="783"/>
        <w:gridCol w:w="1200"/>
      </w:tblGrid>
      <w:tr w:rsidR="00D6258F" w:rsidTr="00D6258F">
        <w:tc>
          <w:tcPr>
            <w:tcW w:w="1239" w:type="dxa"/>
            <w:tcBorders>
              <w:top w:val="single" w:sz="4" w:space="0" w:color="auto"/>
              <w:left w:val="single" w:sz="4" w:space="0" w:color="auto"/>
              <w:bottom w:val="single" w:sz="4" w:space="0" w:color="auto"/>
              <w:right w:val="single" w:sz="4" w:space="0" w:color="auto"/>
            </w:tcBorders>
            <w:vAlign w:val="bottom"/>
          </w:tcPr>
          <w:p w:rsidR="00D6258F" w:rsidRPr="00D6258F" w:rsidRDefault="00D6258F" w:rsidP="009F0DFF">
            <w:pPr>
              <w:widowControl w:val="0"/>
              <w:autoSpaceDE w:val="0"/>
              <w:autoSpaceDN w:val="0"/>
              <w:adjustRightInd w:val="0"/>
              <w:rPr>
                <w:sz w:val="20"/>
                <w:szCs w:val="20"/>
              </w:rPr>
            </w:pPr>
            <w:r w:rsidRPr="00D6258F">
              <w:rPr>
                <w:sz w:val="20"/>
                <w:szCs w:val="20"/>
              </w:rPr>
              <w:lastRenderedPageBreak/>
              <w:t>Number of Respondents</w:t>
            </w:r>
          </w:p>
          <w:p w:rsidR="00D6258F" w:rsidRPr="00D6258F" w:rsidRDefault="00D6258F" w:rsidP="009F0DFF">
            <w:pPr>
              <w:widowControl w:val="0"/>
              <w:autoSpaceDE w:val="0"/>
              <w:autoSpaceDN w:val="0"/>
              <w:adjustRightInd w:val="0"/>
              <w:rPr>
                <w:sz w:val="20"/>
                <w:szCs w:val="20"/>
              </w:rPr>
            </w:pPr>
            <w:r w:rsidRPr="00D6258F">
              <w:rPr>
                <w:sz w:val="20"/>
                <w:szCs w:val="20"/>
              </w:rPr>
              <w:t>(States)</w:t>
            </w:r>
          </w:p>
        </w:tc>
        <w:tc>
          <w:tcPr>
            <w:tcW w:w="1161" w:type="dxa"/>
            <w:tcBorders>
              <w:top w:val="single" w:sz="4" w:space="0" w:color="auto"/>
              <w:left w:val="single" w:sz="4" w:space="0" w:color="auto"/>
              <w:bottom w:val="single" w:sz="4" w:space="0" w:color="auto"/>
              <w:right w:val="single" w:sz="4" w:space="0" w:color="auto"/>
            </w:tcBorders>
            <w:vAlign w:val="bottom"/>
          </w:tcPr>
          <w:p w:rsidR="00D6258F" w:rsidRPr="00D6258F" w:rsidRDefault="00D6258F" w:rsidP="004F7CF5">
            <w:pPr>
              <w:widowControl w:val="0"/>
              <w:autoSpaceDE w:val="0"/>
              <w:autoSpaceDN w:val="0"/>
              <w:adjustRightInd w:val="0"/>
              <w:rPr>
                <w:sz w:val="20"/>
                <w:szCs w:val="20"/>
              </w:rPr>
            </w:pPr>
            <w:r w:rsidRPr="00D6258F">
              <w:rPr>
                <w:sz w:val="20"/>
                <w:szCs w:val="20"/>
              </w:rPr>
              <w:t xml:space="preserve">Number of  Responses Per Respondent </w:t>
            </w:r>
          </w:p>
        </w:tc>
        <w:tc>
          <w:tcPr>
            <w:tcW w:w="1061" w:type="dxa"/>
            <w:tcBorders>
              <w:top w:val="single" w:sz="4" w:space="0" w:color="auto"/>
              <w:left w:val="single" w:sz="4" w:space="0" w:color="auto"/>
              <w:bottom w:val="single" w:sz="4" w:space="0" w:color="auto"/>
              <w:right w:val="single" w:sz="4" w:space="0" w:color="auto"/>
            </w:tcBorders>
          </w:tcPr>
          <w:p w:rsidR="00D6258F" w:rsidRDefault="00D6258F" w:rsidP="009F0DFF">
            <w:pPr>
              <w:widowControl w:val="0"/>
              <w:autoSpaceDE w:val="0"/>
              <w:autoSpaceDN w:val="0"/>
              <w:adjustRightInd w:val="0"/>
              <w:rPr>
                <w:sz w:val="20"/>
                <w:szCs w:val="20"/>
              </w:rPr>
            </w:pPr>
          </w:p>
          <w:p w:rsidR="00D6258F" w:rsidRDefault="00D6258F" w:rsidP="009F0DFF">
            <w:pPr>
              <w:widowControl w:val="0"/>
              <w:autoSpaceDE w:val="0"/>
              <w:autoSpaceDN w:val="0"/>
              <w:adjustRightInd w:val="0"/>
              <w:rPr>
                <w:sz w:val="20"/>
                <w:szCs w:val="20"/>
              </w:rPr>
            </w:pPr>
          </w:p>
          <w:p w:rsidR="00D6258F" w:rsidRDefault="00D6258F" w:rsidP="009F0DFF">
            <w:pPr>
              <w:widowControl w:val="0"/>
              <w:autoSpaceDE w:val="0"/>
              <w:autoSpaceDN w:val="0"/>
              <w:adjustRightInd w:val="0"/>
              <w:rPr>
                <w:sz w:val="20"/>
                <w:szCs w:val="20"/>
              </w:rPr>
            </w:pPr>
          </w:p>
          <w:p w:rsidR="00D6258F" w:rsidRPr="00D6258F" w:rsidRDefault="00D6258F" w:rsidP="009F0DFF">
            <w:pPr>
              <w:widowControl w:val="0"/>
              <w:autoSpaceDE w:val="0"/>
              <w:autoSpaceDN w:val="0"/>
              <w:adjustRightInd w:val="0"/>
              <w:rPr>
                <w:sz w:val="20"/>
                <w:szCs w:val="20"/>
              </w:rPr>
            </w:pPr>
            <w:r w:rsidRPr="00D6258F">
              <w:rPr>
                <w:sz w:val="20"/>
                <w:szCs w:val="20"/>
              </w:rPr>
              <w:t>Frequency of Response</w:t>
            </w:r>
          </w:p>
        </w:tc>
        <w:tc>
          <w:tcPr>
            <w:tcW w:w="1061" w:type="dxa"/>
            <w:tcBorders>
              <w:top w:val="single" w:sz="4" w:space="0" w:color="auto"/>
              <w:left w:val="single" w:sz="4" w:space="0" w:color="auto"/>
              <w:bottom w:val="single" w:sz="4" w:space="0" w:color="auto"/>
              <w:right w:val="single" w:sz="4" w:space="0" w:color="auto"/>
            </w:tcBorders>
            <w:vAlign w:val="bottom"/>
            <w:hideMark/>
          </w:tcPr>
          <w:p w:rsidR="00D6258F" w:rsidRPr="00D6258F" w:rsidRDefault="00D6258F" w:rsidP="009F0DFF">
            <w:pPr>
              <w:widowControl w:val="0"/>
              <w:autoSpaceDE w:val="0"/>
              <w:autoSpaceDN w:val="0"/>
              <w:adjustRightInd w:val="0"/>
              <w:rPr>
                <w:sz w:val="20"/>
                <w:szCs w:val="20"/>
              </w:rPr>
            </w:pPr>
            <w:r w:rsidRPr="00D6258F">
              <w:rPr>
                <w:sz w:val="20"/>
                <w:szCs w:val="20"/>
              </w:rPr>
              <w:t>Total Number of Responses</w:t>
            </w:r>
          </w:p>
          <w:p w:rsidR="00D6258F" w:rsidRPr="00D6258F" w:rsidRDefault="00D6258F" w:rsidP="009F0DFF">
            <w:pPr>
              <w:widowControl w:val="0"/>
              <w:autoSpaceDE w:val="0"/>
              <w:autoSpaceDN w:val="0"/>
              <w:adjustRightInd w:val="0"/>
              <w:rPr>
                <w:sz w:val="20"/>
                <w:szCs w:val="20"/>
              </w:rPr>
            </w:pPr>
          </w:p>
        </w:tc>
        <w:tc>
          <w:tcPr>
            <w:tcW w:w="983" w:type="dxa"/>
            <w:tcBorders>
              <w:top w:val="single" w:sz="4" w:space="0" w:color="auto"/>
              <w:left w:val="single" w:sz="4" w:space="0" w:color="auto"/>
              <w:bottom w:val="single" w:sz="4" w:space="0" w:color="auto"/>
              <w:right w:val="single" w:sz="4" w:space="0" w:color="auto"/>
            </w:tcBorders>
          </w:tcPr>
          <w:p w:rsidR="00D6258F" w:rsidRPr="00D6258F" w:rsidRDefault="00D6258F" w:rsidP="007028D4">
            <w:pPr>
              <w:rPr>
                <w:sz w:val="20"/>
                <w:szCs w:val="20"/>
              </w:rPr>
            </w:pPr>
            <w:r w:rsidRPr="00D6258F">
              <w:rPr>
                <w:sz w:val="20"/>
                <w:szCs w:val="20"/>
              </w:rPr>
              <w:t>Average Burden per Response</w:t>
            </w:r>
          </w:p>
          <w:p w:rsidR="00D6258F" w:rsidRPr="00D6258F" w:rsidRDefault="00D6258F" w:rsidP="007028D4">
            <w:pPr>
              <w:rPr>
                <w:sz w:val="20"/>
                <w:szCs w:val="20"/>
              </w:rPr>
            </w:pPr>
            <w:r w:rsidRPr="00D6258F">
              <w:rPr>
                <w:sz w:val="20"/>
                <w:szCs w:val="20"/>
              </w:rPr>
              <w:t>(In Hours)</w:t>
            </w:r>
          </w:p>
        </w:tc>
        <w:tc>
          <w:tcPr>
            <w:tcW w:w="805" w:type="dxa"/>
            <w:tcBorders>
              <w:top w:val="single" w:sz="4" w:space="0" w:color="auto"/>
              <w:left w:val="single" w:sz="4" w:space="0" w:color="auto"/>
              <w:bottom w:val="single" w:sz="4" w:space="0" w:color="auto"/>
              <w:right w:val="single" w:sz="4" w:space="0" w:color="auto"/>
            </w:tcBorders>
            <w:vAlign w:val="bottom"/>
            <w:hideMark/>
          </w:tcPr>
          <w:p w:rsidR="00D6258F" w:rsidRPr="00D6258F" w:rsidRDefault="00D6258F" w:rsidP="00EC26CE">
            <w:pPr>
              <w:rPr>
                <w:sz w:val="20"/>
                <w:szCs w:val="20"/>
              </w:rPr>
            </w:pPr>
            <w:r w:rsidRPr="00D6258F">
              <w:rPr>
                <w:sz w:val="20"/>
                <w:szCs w:val="20"/>
              </w:rPr>
              <w:t xml:space="preserve">Total Annual Burden Hours </w:t>
            </w:r>
          </w:p>
          <w:p w:rsidR="00D6258F" w:rsidRPr="00D6258F" w:rsidRDefault="00D6258F" w:rsidP="009F0DFF">
            <w:pPr>
              <w:widowControl w:val="0"/>
              <w:autoSpaceDE w:val="0"/>
              <w:autoSpaceDN w:val="0"/>
              <w:adjustRightInd w:val="0"/>
              <w:rPr>
                <w:sz w:val="20"/>
                <w:szCs w:val="20"/>
              </w:rPr>
            </w:pPr>
          </w:p>
        </w:tc>
        <w:tc>
          <w:tcPr>
            <w:tcW w:w="783" w:type="dxa"/>
            <w:tcBorders>
              <w:top w:val="single" w:sz="4" w:space="0" w:color="auto"/>
              <w:left w:val="single" w:sz="4" w:space="0" w:color="auto"/>
              <w:bottom w:val="single" w:sz="4" w:space="0" w:color="auto"/>
              <w:right w:val="single" w:sz="4" w:space="0" w:color="auto"/>
            </w:tcBorders>
            <w:vAlign w:val="bottom"/>
            <w:hideMark/>
          </w:tcPr>
          <w:p w:rsidR="00D6258F" w:rsidRPr="00D6258F" w:rsidRDefault="00D6258F" w:rsidP="009F0DFF">
            <w:pPr>
              <w:widowControl w:val="0"/>
              <w:autoSpaceDE w:val="0"/>
              <w:autoSpaceDN w:val="0"/>
              <w:adjustRightInd w:val="0"/>
              <w:rPr>
                <w:sz w:val="20"/>
                <w:szCs w:val="20"/>
              </w:rPr>
            </w:pPr>
            <w:r w:rsidRPr="00D6258F">
              <w:rPr>
                <w:sz w:val="20"/>
                <w:szCs w:val="20"/>
              </w:rPr>
              <w:t>State Hourly Wage</w:t>
            </w:r>
          </w:p>
          <w:p w:rsidR="00D6258F" w:rsidRPr="00D6258F" w:rsidRDefault="00D6258F" w:rsidP="009F0DFF">
            <w:pPr>
              <w:widowControl w:val="0"/>
              <w:autoSpaceDE w:val="0"/>
              <w:autoSpaceDN w:val="0"/>
              <w:adjustRightInd w:val="0"/>
              <w:rPr>
                <w:sz w:val="20"/>
                <w:szCs w:val="20"/>
              </w:rPr>
            </w:pPr>
            <w:r w:rsidRPr="00D6258F">
              <w:rPr>
                <w:sz w:val="20"/>
                <w:szCs w:val="20"/>
              </w:rPr>
              <w:t>Rate*</w:t>
            </w:r>
          </w:p>
        </w:tc>
        <w:tc>
          <w:tcPr>
            <w:tcW w:w="1200" w:type="dxa"/>
            <w:tcBorders>
              <w:top w:val="single" w:sz="4" w:space="0" w:color="auto"/>
              <w:left w:val="single" w:sz="4" w:space="0" w:color="auto"/>
              <w:bottom w:val="single" w:sz="4" w:space="0" w:color="auto"/>
              <w:right w:val="single" w:sz="4" w:space="0" w:color="auto"/>
            </w:tcBorders>
            <w:vAlign w:val="bottom"/>
            <w:hideMark/>
          </w:tcPr>
          <w:p w:rsidR="00D6258F" w:rsidRPr="00D6258F" w:rsidRDefault="00D6258F" w:rsidP="009F0DFF">
            <w:pPr>
              <w:rPr>
                <w:sz w:val="20"/>
                <w:szCs w:val="20"/>
              </w:rPr>
            </w:pPr>
            <w:r w:rsidRPr="00D6258F">
              <w:rPr>
                <w:sz w:val="20"/>
                <w:szCs w:val="20"/>
              </w:rPr>
              <w:t>Total Cost Burden</w:t>
            </w:r>
          </w:p>
          <w:p w:rsidR="00D6258F" w:rsidRPr="00D6258F" w:rsidRDefault="00D6258F" w:rsidP="009F0DFF">
            <w:pPr>
              <w:widowControl w:val="0"/>
              <w:autoSpaceDE w:val="0"/>
              <w:autoSpaceDN w:val="0"/>
              <w:adjustRightInd w:val="0"/>
              <w:rPr>
                <w:sz w:val="20"/>
                <w:szCs w:val="20"/>
              </w:rPr>
            </w:pPr>
          </w:p>
        </w:tc>
      </w:tr>
      <w:tr w:rsidR="00D6258F" w:rsidTr="00D6258F">
        <w:trPr>
          <w:trHeight w:val="530"/>
        </w:trPr>
        <w:tc>
          <w:tcPr>
            <w:tcW w:w="1239" w:type="dxa"/>
            <w:tcBorders>
              <w:top w:val="single" w:sz="4" w:space="0" w:color="auto"/>
              <w:left w:val="single" w:sz="4" w:space="0" w:color="auto"/>
              <w:bottom w:val="single" w:sz="4" w:space="0" w:color="auto"/>
              <w:right w:val="single" w:sz="4" w:space="0" w:color="auto"/>
            </w:tcBorders>
          </w:tcPr>
          <w:p w:rsidR="00D6258F" w:rsidRPr="00D6258F" w:rsidRDefault="00D6258F">
            <w:pPr>
              <w:widowControl w:val="0"/>
              <w:autoSpaceDE w:val="0"/>
              <w:autoSpaceDN w:val="0"/>
              <w:adjustRightInd w:val="0"/>
              <w:rPr>
                <w:sz w:val="20"/>
                <w:szCs w:val="20"/>
              </w:rPr>
            </w:pPr>
            <w:r w:rsidRPr="00D6258F">
              <w:rPr>
                <w:sz w:val="20"/>
                <w:szCs w:val="20"/>
              </w:rPr>
              <w:t>50</w:t>
            </w:r>
          </w:p>
        </w:tc>
        <w:tc>
          <w:tcPr>
            <w:tcW w:w="1161" w:type="dxa"/>
            <w:tcBorders>
              <w:top w:val="single" w:sz="4" w:space="0" w:color="auto"/>
              <w:left w:val="single" w:sz="4" w:space="0" w:color="auto"/>
              <w:bottom w:val="single" w:sz="4" w:space="0" w:color="auto"/>
              <w:right w:val="single" w:sz="4" w:space="0" w:color="auto"/>
            </w:tcBorders>
          </w:tcPr>
          <w:p w:rsidR="00D6258F" w:rsidRPr="00D6258F" w:rsidRDefault="00D6258F">
            <w:pPr>
              <w:widowControl w:val="0"/>
              <w:autoSpaceDE w:val="0"/>
              <w:autoSpaceDN w:val="0"/>
              <w:adjustRightInd w:val="0"/>
              <w:rPr>
                <w:sz w:val="20"/>
                <w:szCs w:val="20"/>
              </w:rPr>
            </w:pPr>
            <w:r w:rsidRPr="00D6258F">
              <w:rPr>
                <w:sz w:val="20"/>
                <w:szCs w:val="20"/>
              </w:rPr>
              <w:t>2,000</w:t>
            </w:r>
          </w:p>
        </w:tc>
        <w:tc>
          <w:tcPr>
            <w:tcW w:w="1061" w:type="dxa"/>
            <w:tcBorders>
              <w:top w:val="single" w:sz="4" w:space="0" w:color="auto"/>
              <w:left w:val="single" w:sz="4" w:space="0" w:color="auto"/>
              <w:bottom w:val="single" w:sz="4" w:space="0" w:color="auto"/>
              <w:right w:val="single" w:sz="4" w:space="0" w:color="auto"/>
            </w:tcBorders>
          </w:tcPr>
          <w:p w:rsidR="00D6258F" w:rsidRPr="00D6258F" w:rsidRDefault="00D6258F">
            <w:pPr>
              <w:widowControl w:val="0"/>
              <w:autoSpaceDE w:val="0"/>
              <w:autoSpaceDN w:val="0"/>
              <w:adjustRightInd w:val="0"/>
              <w:rPr>
                <w:sz w:val="20"/>
                <w:szCs w:val="20"/>
              </w:rPr>
            </w:pPr>
            <w:r w:rsidRPr="00D6258F">
              <w:rPr>
                <w:sz w:val="20"/>
                <w:szCs w:val="20"/>
              </w:rPr>
              <w:t>4</w:t>
            </w:r>
          </w:p>
        </w:tc>
        <w:tc>
          <w:tcPr>
            <w:tcW w:w="1061" w:type="dxa"/>
            <w:tcBorders>
              <w:top w:val="single" w:sz="4" w:space="0" w:color="auto"/>
              <w:left w:val="single" w:sz="4" w:space="0" w:color="auto"/>
              <w:bottom w:val="single" w:sz="4" w:space="0" w:color="auto"/>
              <w:right w:val="single" w:sz="4" w:space="0" w:color="auto"/>
            </w:tcBorders>
            <w:hideMark/>
          </w:tcPr>
          <w:p w:rsidR="00D6258F" w:rsidRPr="00D6258F" w:rsidRDefault="00D6258F">
            <w:pPr>
              <w:widowControl w:val="0"/>
              <w:autoSpaceDE w:val="0"/>
              <w:autoSpaceDN w:val="0"/>
              <w:adjustRightInd w:val="0"/>
              <w:rPr>
                <w:sz w:val="20"/>
                <w:szCs w:val="20"/>
              </w:rPr>
            </w:pPr>
            <w:r w:rsidRPr="00D6258F">
              <w:rPr>
                <w:sz w:val="20"/>
                <w:szCs w:val="20"/>
              </w:rPr>
              <w:t>400,000</w:t>
            </w:r>
          </w:p>
        </w:tc>
        <w:tc>
          <w:tcPr>
            <w:tcW w:w="983" w:type="dxa"/>
            <w:tcBorders>
              <w:top w:val="single" w:sz="4" w:space="0" w:color="auto"/>
              <w:left w:val="single" w:sz="4" w:space="0" w:color="auto"/>
              <w:bottom w:val="single" w:sz="4" w:space="0" w:color="auto"/>
              <w:right w:val="single" w:sz="4" w:space="0" w:color="auto"/>
            </w:tcBorders>
          </w:tcPr>
          <w:p w:rsidR="00D6258F" w:rsidRPr="00D6258F" w:rsidRDefault="00D6258F">
            <w:pPr>
              <w:widowControl w:val="0"/>
              <w:autoSpaceDE w:val="0"/>
              <w:autoSpaceDN w:val="0"/>
              <w:adjustRightInd w:val="0"/>
              <w:rPr>
                <w:sz w:val="20"/>
                <w:szCs w:val="20"/>
              </w:rPr>
            </w:pPr>
            <w:r w:rsidRPr="00D6258F">
              <w:rPr>
                <w:sz w:val="20"/>
                <w:szCs w:val="20"/>
              </w:rPr>
              <w:t>0.02</w:t>
            </w:r>
          </w:p>
        </w:tc>
        <w:tc>
          <w:tcPr>
            <w:tcW w:w="805" w:type="dxa"/>
            <w:tcBorders>
              <w:top w:val="single" w:sz="4" w:space="0" w:color="auto"/>
              <w:left w:val="single" w:sz="4" w:space="0" w:color="auto"/>
              <w:bottom w:val="single" w:sz="4" w:space="0" w:color="auto"/>
              <w:right w:val="single" w:sz="4" w:space="0" w:color="auto"/>
            </w:tcBorders>
            <w:hideMark/>
          </w:tcPr>
          <w:p w:rsidR="00D6258F" w:rsidRPr="00D6258F" w:rsidRDefault="00D6258F" w:rsidP="00515726">
            <w:pPr>
              <w:widowControl w:val="0"/>
              <w:autoSpaceDE w:val="0"/>
              <w:autoSpaceDN w:val="0"/>
              <w:adjustRightInd w:val="0"/>
              <w:rPr>
                <w:sz w:val="20"/>
                <w:szCs w:val="20"/>
              </w:rPr>
            </w:pPr>
            <w:r w:rsidRPr="00D6258F">
              <w:rPr>
                <w:sz w:val="20"/>
                <w:szCs w:val="20"/>
              </w:rPr>
              <w:t>8,000</w:t>
            </w:r>
          </w:p>
        </w:tc>
        <w:tc>
          <w:tcPr>
            <w:tcW w:w="783" w:type="dxa"/>
            <w:tcBorders>
              <w:top w:val="single" w:sz="4" w:space="0" w:color="auto"/>
              <w:left w:val="single" w:sz="4" w:space="0" w:color="auto"/>
              <w:bottom w:val="single" w:sz="4" w:space="0" w:color="auto"/>
              <w:right w:val="single" w:sz="4" w:space="0" w:color="auto"/>
            </w:tcBorders>
            <w:hideMark/>
          </w:tcPr>
          <w:p w:rsidR="00D6258F" w:rsidRPr="00D6258F" w:rsidRDefault="00D6258F" w:rsidP="00A73C31">
            <w:pPr>
              <w:widowControl w:val="0"/>
              <w:autoSpaceDE w:val="0"/>
              <w:autoSpaceDN w:val="0"/>
              <w:adjustRightInd w:val="0"/>
              <w:rPr>
                <w:sz w:val="20"/>
                <w:szCs w:val="20"/>
              </w:rPr>
            </w:pPr>
            <w:r w:rsidRPr="00D6258F">
              <w:rPr>
                <w:sz w:val="20"/>
                <w:szCs w:val="20"/>
              </w:rPr>
              <w:t>$25.50</w:t>
            </w:r>
          </w:p>
        </w:tc>
        <w:tc>
          <w:tcPr>
            <w:tcW w:w="1200" w:type="dxa"/>
            <w:tcBorders>
              <w:top w:val="single" w:sz="4" w:space="0" w:color="auto"/>
              <w:left w:val="single" w:sz="4" w:space="0" w:color="auto"/>
              <w:bottom w:val="single" w:sz="4" w:space="0" w:color="auto"/>
              <w:right w:val="single" w:sz="4" w:space="0" w:color="auto"/>
            </w:tcBorders>
          </w:tcPr>
          <w:p w:rsidR="00D6258F" w:rsidRPr="00D6258F" w:rsidRDefault="00D6258F" w:rsidP="0018532C">
            <w:pPr>
              <w:widowControl w:val="0"/>
              <w:autoSpaceDE w:val="0"/>
              <w:autoSpaceDN w:val="0"/>
              <w:adjustRightInd w:val="0"/>
              <w:rPr>
                <w:sz w:val="20"/>
                <w:szCs w:val="20"/>
              </w:rPr>
            </w:pPr>
            <w:r w:rsidRPr="00D6258F">
              <w:rPr>
                <w:sz w:val="20"/>
                <w:szCs w:val="20"/>
              </w:rPr>
              <w:t>$204,000</w:t>
            </w:r>
          </w:p>
        </w:tc>
      </w:tr>
    </w:tbl>
    <w:p w:rsidR="00AE0D62" w:rsidRDefault="008A4185" w:rsidP="00AE0D62">
      <w:pPr>
        <w:pStyle w:val="Level1"/>
        <w:numPr>
          <w:ilvl w:val="0"/>
          <w:numId w:val="0"/>
        </w:numPr>
        <w:ind w:left="540"/>
        <w:outlineLvl w:val="9"/>
      </w:pPr>
      <w:r>
        <w:t xml:space="preserve"> </w:t>
      </w:r>
    </w:p>
    <w:p w:rsidR="00E869C9" w:rsidRDefault="00E869C9" w:rsidP="005360C4">
      <w:pPr>
        <w:pStyle w:val="Level1"/>
        <w:numPr>
          <w:ilvl w:val="0"/>
          <w:numId w:val="0"/>
        </w:numPr>
        <w:outlineLvl w:val="9"/>
      </w:pPr>
    </w:p>
    <w:p w:rsidR="00FA6002" w:rsidRDefault="00EA491A" w:rsidP="00FA6002">
      <w:pPr>
        <w:pStyle w:val="Level1"/>
        <w:numPr>
          <w:ilvl w:val="0"/>
          <w:numId w:val="0"/>
        </w:numPr>
        <w:ind w:left="540"/>
        <w:outlineLvl w:val="9"/>
      </w:pPr>
      <w:r>
        <w:t>T</w:t>
      </w:r>
      <w:r w:rsidR="00AE0D62">
        <w:t xml:space="preserve">ABLE 12B: DATA COLLECTION BURDEN- </w:t>
      </w:r>
      <w:r w:rsidR="00417A87">
        <w:t xml:space="preserve">PROGRAM </w:t>
      </w:r>
      <w:r w:rsidR="00AE0D62">
        <w:t>PARTICIPANT</w:t>
      </w:r>
      <w:r>
        <w:t>/THIRD PARTY DISCLOSURE</w:t>
      </w:r>
    </w:p>
    <w:p w:rsidR="00E869C9" w:rsidRDefault="00E869C9" w:rsidP="00FA6002">
      <w:pPr>
        <w:pStyle w:val="Level1"/>
        <w:numPr>
          <w:ilvl w:val="0"/>
          <w:numId w:val="0"/>
        </w:numPr>
        <w:ind w:left="540"/>
        <w:outlineLvl w:val="9"/>
      </w:pPr>
    </w:p>
    <w:p w:rsidR="00D6258F" w:rsidRDefault="00D6258F" w:rsidP="00FA6002">
      <w:pPr>
        <w:pStyle w:val="Level1"/>
        <w:numPr>
          <w:ilvl w:val="0"/>
          <w:numId w:val="0"/>
        </w:numPr>
        <w:ind w:left="540"/>
        <w:outlineLvl w:val="9"/>
      </w:pPr>
    </w:p>
    <w:p w:rsidR="008D698B" w:rsidRDefault="008D698B" w:rsidP="008D698B">
      <w:pPr>
        <w:ind w:left="540"/>
      </w:pPr>
      <w:r>
        <w:t xml:space="preserve">When they apply for the program, participants provide demographic and other initial information to the states. This information is provided once for each participant. The table below describes the time and cost estimate of that action. </w:t>
      </w:r>
    </w:p>
    <w:p w:rsidR="008D698B" w:rsidRDefault="008D698B" w:rsidP="00FA6002">
      <w:pPr>
        <w:pStyle w:val="Level1"/>
        <w:numPr>
          <w:ilvl w:val="0"/>
          <w:numId w:val="0"/>
        </w:numPr>
        <w:ind w:left="540"/>
        <w:outlineLvl w:val="9"/>
      </w:pPr>
    </w:p>
    <w:p w:rsidR="00327492" w:rsidRDefault="00327492" w:rsidP="00FA6002">
      <w:pPr>
        <w:pStyle w:val="Level1"/>
        <w:numPr>
          <w:ilvl w:val="0"/>
          <w:numId w:val="0"/>
        </w:numPr>
        <w:ind w:left="540"/>
        <w:outlineLvl w:val="9"/>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080"/>
        <w:gridCol w:w="1260"/>
        <w:gridCol w:w="1170"/>
        <w:gridCol w:w="1170"/>
        <w:gridCol w:w="1350"/>
      </w:tblGrid>
      <w:tr w:rsidR="00D6258F" w:rsidTr="00D6258F">
        <w:tc>
          <w:tcPr>
            <w:tcW w:w="1350" w:type="dxa"/>
            <w:tcBorders>
              <w:top w:val="single" w:sz="4" w:space="0" w:color="auto"/>
              <w:left w:val="single" w:sz="4" w:space="0" w:color="auto"/>
              <w:bottom w:val="single" w:sz="4" w:space="0" w:color="auto"/>
              <w:right w:val="single" w:sz="4" w:space="0" w:color="auto"/>
            </w:tcBorders>
            <w:vAlign w:val="bottom"/>
            <w:hideMark/>
          </w:tcPr>
          <w:p w:rsidR="00D6258F" w:rsidRDefault="00D6258F" w:rsidP="00EC26CE">
            <w:pPr>
              <w:widowControl w:val="0"/>
              <w:autoSpaceDE w:val="0"/>
              <w:autoSpaceDN w:val="0"/>
              <w:adjustRightInd w:val="0"/>
              <w:rPr>
                <w:sz w:val="20"/>
              </w:rPr>
            </w:pPr>
            <w:r w:rsidRPr="00EC26CE">
              <w:rPr>
                <w:sz w:val="20"/>
              </w:rPr>
              <w:t>Number of Respondents</w:t>
            </w:r>
          </w:p>
          <w:p w:rsidR="00D6258F" w:rsidRPr="00EC26CE" w:rsidRDefault="00D6258F" w:rsidP="00EC26CE">
            <w:pPr>
              <w:widowControl w:val="0"/>
              <w:autoSpaceDE w:val="0"/>
              <w:autoSpaceDN w:val="0"/>
              <w:adjustRightInd w:val="0"/>
              <w:rPr>
                <w:sz w:val="20"/>
                <w:szCs w:val="20"/>
              </w:rPr>
            </w:pPr>
            <w:r w:rsidRPr="00EC26CE">
              <w:rPr>
                <w:sz w:val="20"/>
                <w:szCs w:val="20"/>
              </w:rPr>
              <w:t>(Participants)</w:t>
            </w:r>
          </w:p>
        </w:tc>
        <w:tc>
          <w:tcPr>
            <w:tcW w:w="1170" w:type="dxa"/>
            <w:tcBorders>
              <w:top w:val="single" w:sz="4" w:space="0" w:color="auto"/>
              <w:left w:val="single" w:sz="4" w:space="0" w:color="auto"/>
              <w:bottom w:val="single" w:sz="4" w:space="0" w:color="auto"/>
              <w:right w:val="single" w:sz="4" w:space="0" w:color="auto"/>
            </w:tcBorders>
          </w:tcPr>
          <w:p w:rsidR="00D6258F" w:rsidRPr="00EC26CE" w:rsidRDefault="00D6258F">
            <w:pPr>
              <w:rPr>
                <w:sz w:val="20"/>
                <w:szCs w:val="20"/>
              </w:rPr>
            </w:pPr>
            <w:r>
              <w:rPr>
                <w:sz w:val="20"/>
                <w:szCs w:val="20"/>
              </w:rPr>
              <w:t>No. Of Responses per Respondent</w:t>
            </w:r>
          </w:p>
        </w:tc>
        <w:tc>
          <w:tcPr>
            <w:tcW w:w="1080" w:type="dxa"/>
            <w:tcBorders>
              <w:top w:val="single" w:sz="4" w:space="0" w:color="auto"/>
              <w:left w:val="single" w:sz="4" w:space="0" w:color="auto"/>
              <w:bottom w:val="single" w:sz="4" w:space="0" w:color="auto"/>
              <w:right w:val="single" w:sz="4" w:space="0" w:color="auto"/>
            </w:tcBorders>
          </w:tcPr>
          <w:p w:rsidR="00D6258F" w:rsidRPr="00EC26CE" w:rsidRDefault="00D6258F">
            <w:pPr>
              <w:rPr>
                <w:sz w:val="20"/>
                <w:szCs w:val="20"/>
              </w:rPr>
            </w:pPr>
            <w:r>
              <w:rPr>
                <w:sz w:val="20"/>
                <w:szCs w:val="20"/>
              </w:rPr>
              <w:t xml:space="preserve">Total Number of  Responses </w:t>
            </w:r>
          </w:p>
        </w:tc>
        <w:tc>
          <w:tcPr>
            <w:tcW w:w="1260" w:type="dxa"/>
            <w:tcBorders>
              <w:top w:val="single" w:sz="4" w:space="0" w:color="auto"/>
              <w:left w:val="single" w:sz="4" w:space="0" w:color="auto"/>
              <w:bottom w:val="single" w:sz="4" w:space="0" w:color="auto"/>
              <w:right w:val="single" w:sz="4" w:space="0" w:color="auto"/>
            </w:tcBorders>
          </w:tcPr>
          <w:p w:rsidR="00D6258F" w:rsidRDefault="00D6258F">
            <w:pPr>
              <w:rPr>
                <w:sz w:val="20"/>
                <w:szCs w:val="20"/>
              </w:rPr>
            </w:pPr>
            <w:r>
              <w:rPr>
                <w:sz w:val="20"/>
                <w:szCs w:val="20"/>
              </w:rPr>
              <w:t xml:space="preserve">Average Burden per Response </w:t>
            </w:r>
          </w:p>
          <w:p w:rsidR="00D6258F" w:rsidRPr="00EC26CE" w:rsidRDefault="00D6258F">
            <w:pPr>
              <w:rPr>
                <w:sz w:val="20"/>
                <w:szCs w:val="20"/>
              </w:rPr>
            </w:pPr>
            <w:r>
              <w:rPr>
                <w:sz w:val="20"/>
                <w:szCs w:val="20"/>
              </w:rPr>
              <w:t xml:space="preserve">(in Hours) </w:t>
            </w:r>
          </w:p>
        </w:tc>
        <w:tc>
          <w:tcPr>
            <w:tcW w:w="1170" w:type="dxa"/>
            <w:tcBorders>
              <w:top w:val="single" w:sz="4" w:space="0" w:color="auto"/>
              <w:left w:val="single" w:sz="4" w:space="0" w:color="auto"/>
              <w:bottom w:val="single" w:sz="4" w:space="0" w:color="auto"/>
              <w:right w:val="single" w:sz="4" w:space="0" w:color="auto"/>
            </w:tcBorders>
            <w:vAlign w:val="bottom"/>
            <w:hideMark/>
          </w:tcPr>
          <w:p w:rsidR="00D6258F" w:rsidRPr="00EC26CE" w:rsidRDefault="00D6258F">
            <w:pPr>
              <w:rPr>
                <w:sz w:val="20"/>
                <w:szCs w:val="20"/>
              </w:rPr>
            </w:pPr>
            <w:r w:rsidRPr="00EC26CE">
              <w:rPr>
                <w:sz w:val="20"/>
                <w:szCs w:val="20"/>
              </w:rPr>
              <w:t xml:space="preserve">Total Burden Hours </w:t>
            </w:r>
          </w:p>
          <w:p w:rsidR="00D6258F" w:rsidRPr="00EC26CE" w:rsidRDefault="00D6258F" w:rsidP="009505D4">
            <w:pPr>
              <w:widowControl w:val="0"/>
              <w:autoSpaceDE w:val="0"/>
              <w:autoSpaceDN w:val="0"/>
              <w:adjustRightInd w:val="0"/>
              <w:rPr>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D6258F" w:rsidRDefault="00D6258F">
            <w:pPr>
              <w:widowControl w:val="0"/>
              <w:autoSpaceDE w:val="0"/>
              <w:autoSpaceDN w:val="0"/>
              <w:adjustRightInd w:val="0"/>
              <w:rPr>
                <w:sz w:val="20"/>
                <w:szCs w:val="20"/>
              </w:rPr>
            </w:pPr>
            <w:r>
              <w:rPr>
                <w:sz w:val="20"/>
                <w:szCs w:val="20"/>
              </w:rPr>
              <w:t xml:space="preserve">Hourly </w:t>
            </w:r>
            <w:r w:rsidRPr="00EC26CE">
              <w:rPr>
                <w:sz w:val="20"/>
                <w:szCs w:val="20"/>
              </w:rPr>
              <w:t>Wage</w:t>
            </w:r>
          </w:p>
          <w:p w:rsidR="00D6258F" w:rsidRPr="00EC26CE" w:rsidRDefault="00D6258F">
            <w:pPr>
              <w:widowControl w:val="0"/>
              <w:autoSpaceDE w:val="0"/>
              <w:autoSpaceDN w:val="0"/>
              <w:adjustRightInd w:val="0"/>
              <w:rPr>
                <w:sz w:val="20"/>
                <w:szCs w:val="20"/>
              </w:rPr>
            </w:pPr>
            <w:r>
              <w:rPr>
                <w:sz w:val="20"/>
                <w:szCs w:val="20"/>
              </w:rPr>
              <w:t>Rate *</w:t>
            </w:r>
          </w:p>
        </w:tc>
        <w:tc>
          <w:tcPr>
            <w:tcW w:w="1350" w:type="dxa"/>
            <w:tcBorders>
              <w:top w:val="single" w:sz="4" w:space="0" w:color="auto"/>
              <w:left w:val="single" w:sz="4" w:space="0" w:color="auto"/>
              <w:bottom w:val="single" w:sz="4" w:space="0" w:color="auto"/>
              <w:right w:val="single" w:sz="4" w:space="0" w:color="auto"/>
            </w:tcBorders>
            <w:vAlign w:val="bottom"/>
            <w:hideMark/>
          </w:tcPr>
          <w:p w:rsidR="00D6258F" w:rsidRPr="00EC26CE" w:rsidRDefault="00D6258F">
            <w:pPr>
              <w:rPr>
                <w:sz w:val="20"/>
                <w:szCs w:val="20"/>
              </w:rPr>
            </w:pPr>
            <w:r>
              <w:rPr>
                <w:sz w:val="20"/>
                <w:szCs w:val="20"/>
              </w:rPr>
              <w:t xml:space="preserve">Total Cost Burden </w:t>
            </w:r>
          </w:p>
          <w:p w:rsidR="00D6258F" w:rsidRPr="00EC26CE" w:rsidRDefault="00D6258F">
            <w:pPr>
              <w:widowControl w:val="0"/>
              <w:autoSpaceDE w:val="0"/>
              <w:autoSpaceDN w:val="0"/>
              <w:adjustRightInd w:val="0"/>
              <w:rPr>
                <w:sz w:val="20"/>
                <w:szCs w:val="20"/>
              </w:rPr>
            </w:pPr>
          </w:p>
        </w:tc>
      </w:tr>
      <w:tr w:rsidR="00D6258F" w:rsidTr="00D6258F">
        <w:tc>
          <w:tcPr>
            <w:tcW w:w="1350" w:type="dxa"/>
            <w:tcBorders>
              <w:top w:val="single" w:sz="4" w:space="0" w:color="auto"/>
              <w:left w:val="single" w:sz="4" w:space="0" w:color="auto"/>
              <w:bottom w:val="single" w:sz="4" w:space="0" w:color="auto"/>
              <w:right w:val="single" w:sz="4" w:space="0" w:color="auto"/>
            </w:tcBorders>
            <w:hideMark/>
          </w:tcPr>
          <w:p w:rsidR="00D6258F" w:rsidRPr="00EC26CE" w:rsidRDefault="00D6258F">
            <w:pPr>
              <w:widowControl w:val="0"/>
              <w:autoSpaceDE w:val="0"/>
              <w:autoSpaceDN w:val="0"/>
              <w:adjustRightInd w:val="0"/>
              <w:rPr>
                <w:sz w:val="20"/>
                <w:szCs w:val="20"/>
              </w:rPr>
            </w:pPr>
            <w:r>
              <w:rPr>
                <w:sz w:val="20"/>
                <w:szCs w:val="20"/>
              </w:rPr>
              <w:t>12,500</w:t>
            </w:r>
          </w:p>
        </w:tc>
        <w:tc>
          <w:tcPr>
            <w:tcW w:w="1170" w:type="dxa"/>
            <w:tcBorders>
              <w:top w:val="single" w:sz="4" w:space="0" w:color="auto"/>
              <w:left w:val="single" w:sz="4" w:space="0" w:color="auto"/>
              <w:bottom w:val="single" w:sz="4" w:space="0" w:color="auto"/>
              <w:right w:val="single" w:sz="4" w:space="0" w:color="auto"/>
            </w:tcBorders>
          </w:tcPr>
          <w:p w:rsidR="00D6258F" w:rsidRPr="00EC26CE" w:rsidRDefault="00D6258F">
            <w:pPr>
              <w:widowControl w:val="0"/>
              <w:autoSpaceDE w:val="0"/>
              <w:autoSpaceDN w:val="0"/>
              <w:adjustRightInd w:val="0"/>
              <w:rPr>
                <w:sz w:val="20"/>
                <w:szCs w:val="20"/>
              </w:rPr>
            </w:pPr>
            <w:r>
              <w:rPr>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D6258F" w:rsidRPr="00EC26CE" w:rsidRDefault="00D6258F">
            <w:pPr>
              <w:widowControl w:val="0"/>
              <w:autoSpaceDE w:val="0"/>
              <w:autoSpaceDN w:val="0"/>
              <w:adjustRightInd w:val="0"/>
              <w:rPr>
                <w:sz w:val="20"/>
                <w:szCs w:val="20"/>
              </w:rPr>
            </w:pPr>
            <w:r>
              <w:rPr>
                <w:sz w:val="20"/>
                <w:szCs w:val="20"/>
              </w:rPr>
              <w:t>50,000</w:t>
            </w:r>
          </w:p>
        </w:tc>
        <w:tc>
          <w:tcPr>
            <w:tcW w:w="1260" w:type="dxa"/>
            <w:tcBorders>
              <w:top w:val="single" w:sz="4" w:space="0" w:color="auto"/>
              <w:left w:val="single" w:sz="4" w:space="0" w:color="auto"/>
              <w:bottom w:val="single" w:sz="4" w:space="0" w:color="auto"/>
              <w:right w:val="single" w:sz="4" w:space="0" w:color="auto"/>
            </w:tcBorders>
          </w:tcPr>
          <w:p w:rsidR="00D6258F" w:rsidRPr="00EC26CE" w:rsidRDefault="00D6258F">
            <w:pPr>
              <w:widowControl w:val="0"/>
              <w:autoSpaceDE w:val="0"/>
              <w:autoSpaceDN w:val="0"/>
              <w:adjustRightInd w:val="0"/>
              <w:rPr>
                <w:sz w:val="20"/>
                <w:szCs w:val="20"/>
              </w:rPr>
            </w:pPr>
            <w:r>
              <w:rPr>
                <w:sz w:val="20"/>
                <w:szCs w:val="20"/>
              </w:rPr>
              <w:t>0.2</w:t>
            </w:r>
          </w:p>
        </w:tc>
        <w:tc>
          <w:tcPr>
            <w:tcW w:w="1170" w:type="dxa"/>
            <w:tcBorders>
              <w:top w:val="single" w:sz="4" w:space="0" w:color="auto"/>
              <w:left w:val="single" w:sz="4" w:space="0" w:color="auto"/>
              <w:bottom w:val="single" w:sz="4" w:space="0" w:color="auto"/>
              <w:right w:val="single" w:sz="4" w:space="0" w:color="auto"/>
            </w:tcBorders>
            <w:hideMark/>
          </w:tcPr>
          <w:p w:rsidR="00D6258F" w:rsidRPr="00EC26CE" w:rsidRDefault="00D6258F">
            <w:pPr>
              <w:widowControl w:val="0"/>
              <w:autoSpaceDE w:val="0"/>
              <w:autoSpaceDN w:val="0"/>
              <w:adjustRightInd w:val="0"/>
              <w:rPr>
                <w:sz w:val="20"/>
                <w:szCs w:val="20"/>
              </w:rPr>
            </w:pPr>
            <w:r w:rsidRPr="00EC26CE">
              <w:rPr>
                <w:sz w:val="20"/>
                <w:szCs w:val="20"/>
              </w:rPr>
              <w:t>10,000</w:t>
            </w:r>
          </w:p>
        </w:tc>
        <w:tc>
          <w:tcPr>
            <w:tcW w:w="1170" w:type="dxa"/>
            <w:tcBorders>
              <w:top w:val="single" w:sz="4" w:space="0" w:color="auto"/>
              <w:left w:val="single" w:sz="4" w:space="0" w:color="auto"/>
              <w:bottom w:val="single" w:sz="4" w:space="0" w:color="auto"/>
              <w:right w:val="single" w:sz="4" w:space="0" w:color="auto"/>
            </w:tcBorders>
            <w:hideMark/>
          </w:tcPr>
          <w:p w:rsidR="00D6258F" w:rsidRPr="00EC26CE" w:rsidRDefault="00D6258F">
            <w:pPr>
              <w:widowControl w:val="0"/>
              <w:autoSpaceDE w:val="0"/>
              <w:autoSpaceDN w:val="0"/>
              <w:adjustRightInd w:val="0"/>
              <w:rPr>
                <w:sz w:val="20"/>
                <w:szCs w:val="20"/>
              </w:rPr>
            </w:pPr>
            <w:r w:rsidRPr="00EC26CE">
              <w:rPr>
                <w:sz w:val="20"/>
                <w:szCs w:val="20"/>
              </w:rPr>
              <w:t>$7.25</w:t>
            </w:r>
          </w:p>
        </w:tc>
        <w:tc>
          <w:tcPr>
            <w:tcW w:w="1350" w:type="dxa"/>
            <w:tcBorders>
              <w:top w:val="single" w:sz="4" w:space="0" w:color="auto"/>
              <w:left w:val="single" w:sz="4" w:space="0" w:color="auto"/>
              <w:bottom w:val="single" w:sz="4" w:space="0" w:color="auto"/>
              <w:right w:val="single" w:sz="4" w:space="0" w:color="auto"/>
            </w:tcBorders>
          </w:tcPr>
          <w:p w:rsidR="00D6258F" w:rsidRPr="00EC26CE" w:rsidRDefault="00D6258F">
            <w:pPr>
              <w:rPr>
                <w:sz w:val="20"/>
                <w:szCs w:val="20"/>
              </w:rPr>
            </w:pPr>
            <w:r w:rsidRPr="00EC26CE">
              <w:rPr>
                <w:sz w:val="20"/>
                <w:szCs w:val="20"/>
              </w:rPr>
              <w:t>$72,500</w:t>
            </w:r>
          </w:p>
          <w:p w:rsidR="00D6258F" w:rsidRPr="00EC26CE" w:rsidRDefault="00D6258F">
            <w:pPr>
              <w:widowControl w:val="0"/>
              <w:autoSpaceDE w:val="0"/>
              <w:autoSpaceDN w:val="0"/>
              <w:adjustRightInd w:val="0"/>
              <w:rPr>
                <w:sz w:val="20"/>
                <w:szCs w:val="20"/>
              </w:rPr>
            </w:pPr>
          </w:p>
        </w:tc>
      </w:tr>
    </w:tbl>
    <w:p w:rsidR="008A4185" w:rsidRDefault="008A4185" w:rsidP="005360C4"/>
    <w:p w:rsidR="00FA6002" w:rsidRDefault="00FA6002" w:rsidP="008A4185">
      <w:pPr>
        <w:ind w:left="540"/>
      </w:pPr>
    </w:p>
    <w:p w:rsidR="008A4185" w:rsidRDefault="00AE0D62" w:rsidP="008A4185">
      <w:pPr>
        <w:ind w:left="540"/>
      </w:pPr>
      <w:r>
        <w:t xml:space="preserve">TABLE 12C: </w:t>
      </w:r>
      <w:r w:rsidR="008A4185">
        <w:t>DATA REPORTING BURDEN</w:t>
      </w:r>
      <w:r>
        <w:t>-STATE</w:t>
      </w:r>
      <w:r w:rsidR="00417A87">
        <w:t xml:space="preserve"> STAFF</w:t>
      </w:r>
    </w:p>
    <w:p w:rsidR="00E869C9" w:rsidRDefault="00E869C9" w:rsidP="008A4185">
      <w:pPr>
        <w:ind w:left="540"/>
      </w:pPr>
    </w:p>
    <w:p w:rsidR="008D698B" w:rsidRDefault="008D698B" w:rsidP="008A4185">
      <w:pPr>
        <w:ind w:left="540"/>
      </w:pPr>
      <w:r>
        <w:t xml:space="preserve">Some states have automated systems that prepare and submit the TAPR with the push of a single button. Others have more manual processes that require manipulation of spreadsheets and multiple database sources. The table below represents the time and cost estimates of the process to submit the report to the Department. </w:t>
      </w:r>
    </w:p>
    <w:p w:rsidR="008D698B" w:rsidRDefault="008D698B" w:rsidP="008A4185">
      <w:pPr>
        <w:ind w:left="540"/>
      </w:pPr>
    </w:p>
    <w:p w:rsidR="00D6258F" w:rsidRDefault="00D6258F" w:rsidP="008A4185">
      <w:pPr>
        <w:ind w:left="540"/>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1080"/>
        <w:gridCol w:w="1260"/>
        <w:gridCol w:w="1080"/>
        <w:gridCol w:w="1260"/>
        <w:gridCol w:w="990"/>
        <w:gridCol w:w="990"/>
      </w:tblGrid>
      <w:tr w:rsidR="003120D8" w:rsidTr="00A81263">
        <w:trPr>
          <w:trHeight w:val="1457"/>
        </w:trPr>
        <w:tc>
          <w:tcPr>
            <w:tcW w:w="1260" w:type="dxa"/>
            <w:tcBorders>
              <w:top w:val="single" w:sz="4" w:space="0" w:color="auto"/>
              <w:left w:val="single" w:sz="4" w:space="0" w:color="auto"/>
              <w:bottom w:val="single" w:sz="4" w:space="0" w:color="auto"/>
              <w:right w:val="single" w:sz="4" w:space="0" w:color="auto"/>
            </w:tcBorders>
            <w:vAlign w:val="bottom"/>
            <w:hideMark/>
          </w:tcPr>
          <w:p w:rsidR="003120D8" w:rsidRDefault="003120D8" w:rsidP="00EC26CE">
            <w:pPr>
              <w:widowControl w:val="0"/>
              <w:autoSpaceDE w:val="0"/>
              <w:autoSpaceDN w:val="0"/>
              <w:adjustRightInd w:val="0"/>
              <w:rPr>
                <w:sz w:val="20"/>
              </w:rPr>
            </w:pPr>
            <w:r w:rsidRPr="00EC26CE">
              <w:rPr>
                <w:sz w:val="20"/>
              </w:rPr>
              <w:t>Number of Respondents</w:t>
            </w:r>
          </w:p>
          <w:p w:rsidR="003120D8" w:rsidRPr="008D698B" w:rsidRDefault="003120D8">
            <w:pPr>
              <w:widowControl w:val="0"/>
              <w:autoSpaceDE w:val="0"/>
              <w:autoSpaceDN w:val="0"/>
              <w:adjustRightInd w:val="0"/>
              <w:rPr>
                <w:sz w:val="20"/>
                <w:szCs w:val="20"/>
              </w:rPr>
            </w:pPr>
            <w:r>
              <w:rPr>
                <w:sz w:val="20"/>
                <w:szCs w:val="20"/>
              </w:rPr>
              <w:t>(States)</w:t>
            </w:r>
          </w:p>
        </w:tc>
        <w:tc>
          <w:tcPr>
            <w:tcW w:w="1170" w:type="dxa"/>
            <w:tcBorders>
              <w:top w:val="single" w:sz="4" w:space="0" w:color="auto"/>
              <w:left w:val="single" w:sz="4" w:space="0" w:color="auto"/>
              <w:bottom w:val="single" w:sz="4" w:space="0" w:color="auto"/>
              <w:right w:val="single" w:sz="4" w:space="0" w:color="auto"/>
            </w:tcBorders>
          </w:tcPr>
          <w:p w:rsidR="00D6258F" w:rsidRDefault="00D6258F" w:rsidP="00EC26CE">
            <w:pPr>
              <w:widowControl w:val="0"/>
              <w:autoSpaceDE w:val="0"/>
              <w:autoSpaceDN w:val="0"/>
              <w:adjustRightInd w:val="0"/>
              <w:rPr>
                <w:sz w:val="20"/>
                <w:szCs w:val="20"/>
              </w:rPr>
            </w:pPr>
          </w:p>
          <w:p w:rsidR="00D6258F" w:rsidRDefault="00D6258F" w:rsidP="00EC26CE">
            <w:pPr>
              <w:widowControl w:val="0"/>
              <w:autoSpaceDE w:val="0"/>
              <w:autoSpaceDN w:val="0"/>
              <w:adjustRightInd w:val="0"/>
              <w:rPr>
                <w:sz w:val="20"/>
                <w:szCs w:val="20"/>
              </w:rPr>
            </w:pPr>
          </w:p>
          <w:p w:rsidR="003120D8" w:rsidRDefault="003120D8" w:rsidP="00EC26CE">
            <w:pPr>
              <w:widowControl w:val="0"/>
              <w:autoSpaceDE w:val="0"/>
              <w:autoSpaceDN w:val="0"/>
              <w:adjustRightInd w:val="0"/>
              <w:rPr>
                <w:sz w:val="20"/>
                <w:szCs w:val="20"/>
              </w:rPr>
            </w:pPr>
            <w:r>
              <w:rPr>
                <w:sz w:val="20"/>
                <w:szCs w:val="20"/>
              </w:rPr>
              <w:t xml:space="preserve">Number of Responses per Respondent </w:t>
            </w:r>
          </w:p>
        </w:tc>
        <w:tc>
          <w:tcPr>
            <w:tcW w:w="1080" w:type="dxa"/>
            <w:tcBorders>
              <w:top w:val="single" w:sz="4" w:space="0" w:color="auto"/>
              <w:left w:val="single" w:sz="4" w:space="0" w:color="auto"/>
              <w:bottom w:val="single" w:sz="4" w:space="0" w:color="auto"/>
              <w:right w:val="single" w:sz="4" w:space="0" w:color="auto"/>
            </w:tcBorders>
          </w:tcPr>
          <w:p w:rsidR="00D6258F" w:rsidRDefault="00D6258F" w:rsidP="00EC26CE">
            <w:pPr>
              <w:widowControl w:val="0"/>
              <w:autoSpaceDE w:val="0"/>
              <w:autoSpaceDN w:val="0"/>
              <w:adjustRightInd w:val="0"/>
              <w:rPr>
                <w:sz w:val="20"/>
                <w:szCs w:val="20"/>
              </w:rPr>
            </w:pPr>
          </w:p>
          <w:p w:rsidR="00D6258F" w:rsidRDefault="00D6258F" w:rsidP="00EC26CE">
            <w:pPr>
              <w:widowControl w:val="0"/>
              <w:autoSpaceDE w:val="0"/>
              <w:autoSpaceDN w:val="0"/>
              <w:adjustRightInd w:val="0"/>
              <w:rPr>
                <w:sz w:val="20"/>
                <w:szCs w:val="20"/>
              </w:rPr>
            </w:pPr>
          </w:p>
          <w:p w:rsidR="00D6258F" w:rsidRDefault="00D6258F" w:rsidP="00EC26CE">
            <w:pPr>
              <w:widowControl w:val="0"/>
              <w:autoSpaceDE w:val="0"/>
              <w:autoSpaceDN w:val="0"/>
              <w:adjustRightInd w:val="0"/>
              <w:rPr>
                <w:sz w:val="20"/>
                <w:szCs w:val="20"/>
              </w:rPr>
            </w:pPr>
          </w:p>
          <w:p w:rsidR="00D6258F" w:rsidRDefault="00D6258F" w:rsidP="00EC26CE">
            <w:pPr>
              <w:widowControl w:val="0"/>
              <w:autoSpaceDE w:val="0"/>
              <w:autoSpaceDN w:val="0"/>
              <w:adjustRightInd w:val="0"/>
              <w:rPr>
                <w:sz w:val="20"/>
                <w:szCs w:val="20"/>
              </w:rPr>
            </w:pPr>
          </w:p>
          <w:p w:rsidR="003120D8" w:rsidRDefault="003120D8" w:rsidP="00EC26CE">
            <w:pPr>
              <w:widowControl w:val="0"/>
              <w:autoSpaceDE w:val="0"/>
              <w:autoSpaceDN w:val="0"/>
              <w:adjustRightInd w:val="0"/>
              <w:rPr>
                <w:sz w:val="20"/>
                <w:szCs w:val="20"/>
              </w:rPr>
            </w:pPr>
            <w:r>
              <w:rPr>
                <w:sz w:val="20"/>
                <w:szCs w:val="20"/>
              </w:rPr>
              <w:t xml:space="preserve">Reporting Frequency </w:t>
            </w:r>
          </w:p>
        </w:tc>
        <w:tc>
          <w:tcPr>
            <w:tcW w:w="1260" w:type="dxa"/>
            <w:tcBorders>
              <w:top w:val="single" w:sz="4" w:space="0" w:color="auto"/>
              <w:left w:val="single" w:sz="4" w:space="0" w:color="auto"/>
              <w:bottom w:val="single" w:sz="4" w:space="0" w:color="auto"/>
              <w:right w:val="single" w:sz="4" w:space="0" w:color="auto"/>
            </w:tcBorders>
          </w:tcPr>
          <w:p w:rsidR="003120D8" w:rsidRDefault="003120D8" w:rsidP="00EC26CE">
            <w:pPr>
              <w:widowControl w:val="0"/>
              <w:autoSpaceDE w:val="0"/>
              <w:autoSpaceDN w:val="0"/>
              <w:adjustRightInd w:val="0"/>
              <w:rPr>
                <w:sz w:val="20"/>
                <w:szCs w:val="20"/>
              </w:rPr>
            </w:pPr>
          </w:p>
          <w:p w:rsidR="00D6258F" w:rsidRDefault="00D6258F" w:rsidP="00EC26CE">
            <w:pPr>
              <w:widowControl w:val="0"/>
              <w:autoSpaceDE w:val="0"/>
              <w:autoSpaceDN w:val="0"/>
              <w:adjustRightInd w:val="0"/>
              <w:rPr>
                <w:sz w:val="20"/>
                <w:szCs w:val="20"/>
              </w:rPr>
            </w:pPr>
          </w:p>
          <w:p w:rsidR="003120D8" w:rsidRDefault="003120D8" w:rsidP="00EC26CE">
            <w:pPr>
              <w:widowControl w:val="0"/>
              <w:autoSpaceDE w:val="0"/>
              <w:autoSpaceDN w:val="0"/>
              <w:adjustRightInd w:val="0"/>
              <w:rPr>
                <w:sz w:val="20"/>
                <w:szCs w:val="20"/>
              </w:rPr>
            </w:pPr>
            <w:r>
              <w:rPr>
                <w:sz w:val="20"/>
                <w:szCs w:val="20"/>
              </w:rPr>
              <w:t>Total Number of  Responses</w:t>
            </w:r>
          </w:p>
          <w:p w:rsidR="003120D8" w:rsidRPr="00EC26CE" w:rsidRDefault="003120D8" w:rsidP="00EC26CE">
            <w:pPr>
              <w:widowControl w:val="0"/>
              <w:autoSpaceDE w:val="0"/>
              <w:autoSpaceDN w:val="0"/>
              <w:adjustRightInd w:val="0"/>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D6258F" w:rsidRDefault="00D6258F" w:rsidP="003120D8">
            <w:pPr>
              <w:widowControl w:val="0"/>
              <w:autoSpaceDE w:val="0"/>
              <w:autoSpaceDN w:val="0"/>
              <w:adjustRightInd w:val="0"/>
              <w:rPr>
                <w:sz w:val="20"/>
                <w:szCs w:val="20"/>
              </w:rPr>
            </w:pPr>
          </w:p>
          <w:p w:rsidR="003120D8" w:rsidRPr="003120D8" w:rsidRDefault="003120D8" w:rsidP="003120D8">
            <w:pPr>
              <w:widowControl w:val="0"/>
              <w:autoSpaceDE w:val="0"/>
              <w:autoSpaceDN w:val="0"/>
              <w:adjustRightInd w:val="0"/>
              <w:rPr>
                <w:sz w:val="20"/>
                <w:szCs w:val="20"/>
              </w:rPr>
            </w:pPr>
            <w:r w:rsidRPr="003120D8">
              <w:rPr>
                <w:sz w:val="20"/>
                <w:szCs w:val="20"/>
              </w:rPr>
              <w:t>Avg. Burden per Response</w:t>
            </w:r>
          </w:p>
          <w:p w:rsidR="003120D8" w:rsidRPr="00EC26CE" w:rsidRDefault="003120D8" w:rsidP="003120D8">
            <w:pPr>
              <w:widowControl w:val="0"/>
              <w:autoSpaceDE w:val="0"/>
              <w:autoSpaceDN w:val="0"/>
              <w:adjustRightInd w:val="0"/>
              <w:rPr>
                <w:sz w:val="20"/>
                <w:szCs w:val="20"/>
              </w:rPr>
            </w:pPr>
            <w:r w:rsidRPr="003120D8">
              <w:rPr>
                <w:sz w:val="20"/>
                <w:szCs w:val="20"/>
              </w:rPr>
              <w:t>(In Hours)</w:t>
            </w:r>
          </w:p>
        </w:tc>
        <w:tc>
          <w:tcPr>
            <w:tcW w:w="1260" w:type="dxa"/>
            <w:tcBorders>
              <w:top w:val="single" w:sz="4" w:space="0" w:color="auto"/>
              <w:left w:val="single" w:sz="4" w:space="0" w:color="auto"/>
              <w:bottom w:val="single" w:sz="4" w:space="0" w:color="auto"/>
              <w:right w:val="single" w:sz="4" w:space="0" w:color="auto"/>
            </w:tcBorders>
            <w:vAlign w:val="bottom"/>
            <w:hideMark/>
          </w:tcPr>
          <w:p w:rsidR="003120D8" w:rsidRPr="008D698B" w:rsidRDefault="003120D8" w:rsidP="003120D8">
            <w:pPr>
              <w:widowControl w:val="0"/>
              <w:autoSpaceDE w:val="0"/>
              <w:autoSpaceDN w:val="0"/>
              <w:adjustRightInd w:val="0"/>
              <w:rPr>
                <w:sz w:val="20"/>
                <w:szCs w:val="20"/>
              </w:rPr>
            </w:pPr>
            <w:r w:rsidRPr="00EC26CE">
              <w:rPr>
                <w:sz w:val="20"/>
                <w:szCs w:val="20"/>
              </w:rPr>
              <w:t xml:space="preserve">Total  Burden </w:t>
            </w:r>
            <w:r>
              <w:rPr>
                <w:sz w:val="20"/>
                <w:szCs w:val="20"/>
              </w:rPr>
              <w:t xml:space="preserve">Hours </w:t>
            </w:r>
          </w:p>
        </w:tc>
        <w:tc>
          <w:tcPr>
            <w:tcW w:w="990" w:type="dxa"/>
            <w:tcBorders>
              <w:top w:val="single" w:sz="4" w:space="0" w:color="auto"/>
              <w:left w:val="single" w:sz="4" w:space="0" w:color="auto"/>
              <w:bottom w:val="single" w:sz="4" w:space="0" w:color="auto"/>
              <w:right w:val="single" w:sz="4" w:space="0" w:color="auto"/>
            </w:tcBorders>
            <w:vAlign w:val="bottom"/>
          </w:tcPr>
          <w:p w:rsidR="003120D8" w:rsidRDefault="003120D8">
            <w:pPr>
              <w:rPr>
                <w:sz w:val="20"/>
                <w:szCs w:val="20"/>
              </w:rPr>
            </w:pPr>
            <w:r w:rsidRPr="008D698B">
              <w:rPr>
                <w:sz w:val="20"/>
                <w:szCs w:val="20"/>
              </w:rPr>
              <w:t>State Hourly Wage</w:t>
            </w:r>
          </w:p>
          <w:p w:rsidR="003120D8" w:rsidRPr="008D698B" w:rsidRDefault="003120D8">
            <w:pPr>
              <w:rPr>
                <w:sz w:val="20"/>
                <w:szCs w:val="20"/>
              </w:rPr>
            </w:pPr>
            <w:r>
              <w:rPr>
                <w:sz w:val="20"/>
                <w:szCs w:val="20"/>
              </w:rPr>
              <w:t>Rate</w:t>
            </w:r>
            <w:r w:rsidRPr="008D698B">
              <w:rPr>
                <w:sz w:val="20"/>
                <w:szCs w:val="20"/>
              </w:rPr>
              <w:t>*</w:t>
            </w:r>
          </w:p>
        </w:tc>
        <w:tc>
          <w:tcPr>
            <w:tcW w:w="990" w:type="dxa"/>
            <w:tcBorders>
              <w:top w:val="single" w:sz="4" w:space="0" w:color="auto"/>
              <w:left w:val="single" w:sz="4" w:space="0" w:color="auto"/>
              <w:bottom w:val="single" w:sz="4" w:space="0" w:color="auto"/>
              <w:right w:val="single" w:sz="4" w:space="0" w:color="auto"/>
            </w:tcBorders>
            <w:vAlign w:val="bottom"/>
            <w:hideMark/>
          </w:tcPr>
          <w:p w:rsidR="003120D8" w:rsidRPr="008D698B" w:rsidRDefault="003120D8" w:rsidP="00A81263">
            <w:pPr>
              <w:rPr>
                <w:sz w:val="20"/>
                <w:szCs w:val="20"/>
              </w:rPr>
            </w:pPr>
            <w:r>
              <w:rPr>
                <w:sz w:val="20"/>
                <w:szCs w:val="20"/>
              </w:rPr>
              <w:t xml:space="preserve">Total Cost Burden </w:t>
            </w:r>
          </w:p>
        </w:tc>
      </w:tr>
      <w:tr w:rsidR="003120D8" w:rsidTr="00A81263">
        <w:tc>
          <w:tcPr>
            <w:tcW w:w="1260" w:type="dxa"/>
            <w:tcBorders>
              <w:top w:val="single" w:sz="4" w:space="0" w:color="auto"/>
              <w:left w:val="single" w:sz="4" w:space="0" w:color="auto"/>
              <w:bottom w:val="single" w:sz="4" w:space="0" w:color="auto"/>
              <w:right w:val="single" w:sz="4" w:space="0" w:color="auto"/>
            </w:tcBorders>
            <w:hideMark/>
          </w:tcPr>
          <w:p w:rsidR="003120D8" w:rsidRPr="008D698B" w:rsidRDefault="003120D8">
            <w:pPr>
              <w:widowControl w:val="0"/>
              <w:autoSpaceDE w:val="0"/>
              <w:autoSpaceDN w:val="0"/>
              <w:adjustRightInd w:val="0"/>
              <w:rPr>
                <w:sz w:val="20"/>
                <w:szCs w:val="20"/>
              </w:rPr>
            </w:pPr>
            <w:r w:rsidRPr="008D698B">
              <w:rPr>
                <w:sz w:val="20"/>
                <w:szCs w:val="20"/>
              </w:rPr>
              <w:t>50</w:t>
            </w:r>
          </w:p>
        </w:tc>
        <w:tc>
          <w:tcPr>
            <w:tcW w:w="1170" w:type="dxa"/>
            <w:tcBorders>
              <w:top w:val="single" w:sz="4" w:space="0" w:color="auto"/>
              <w:left w:val="single" w:sz="4" w:space="0" w:color="auto"/>
              <w:bottom w:val="single" w:sz="4" w:space="0" w:color="auto"/>
              <w:right w:val="single" w:sz="4" w:space="0" w:color="auto"/>
            </w:tcBorders>
          </w:tcPr>
          <w:p w:rsidR="003120D8" w:rsidRDefault="003120D8">
            <w:pPr>
              <w:widowControl w:val="0"/>
              <w:autoSpaceDE w:val="0"/>
              <w:autoSpaceDN w:val="0"/>
              <w:adjustRightInd w:val="0"/>
              <w:rPr>
                <w:sz w:val="20"/>
                <w:szCs w:val="20"/>
              </w:rPr>
            </w:pPr>
            <w:r>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3120D8" w:rsidRDefault="003120D8">
            <w:pPr>
              <w:widowControl w:val="0"/>
              <w:autoSpaceDE w:val="0"/>
              <w:autoSpaceDN w:val="0"/>
              <w:adjustRightInd w:val="0"/>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3120D8" w:rsidRPr="008D698B" w:rsidRDefault="003120D8">
            <w:pPr>
              <w:widowControl w:val="0"/>
              <w:autoSpaceDE w:val="0"/>
              <w:autoSpaceDN w:val="0"/>
              <w:adjustRightInd w:val="0"/>
              <w:rPr>
                <w:sz w:val="20"/>
                <w:szCs w:val="20"/>
              </w:rPr>
            </w:pPr>
            <w:r>
              <w:rPr>
                <w:sz w:val="20"/>
                <w:szCs w:val="20"/>
              </w:rPr>
              <w:t>200</w:t>
            </w:r>
          </w:p>
        </w:tc>
        <w:tc>
          <w:tcPr>
            <w:tcW w:w="1080" w:type="dxa"/>
            <w:tcBorders>
              <w:top w:val="single" w:sz="4" w:space="0" w:color="auto"/>
              <w:left w:val="single" w:sz="4" w:space="0" w:color="auto"/>
              <w:bottom w:val="single" w:sz="4" w:space="0" w:color="auto"/>
              <w:right w:val="single" w:sz="4" w:space="0" w:color="auto"/>
            </w:tcBorders>
          </w:tcPr>
          <w:p w:rsidR="003120D8" w:rsidRPr="008D698B" w:rsidRDefault="003120D8">
            <w:pPr>
              <w:widowControl w:val="0"/>
              <w:autoSpaceDE w:val="0"/>
              <w:autoSpaceDN w:val="0"/>
              <w:adjustRightInd w:val="0"/>
              <w:rPr>
                <w:sz w:val="20"/>
                <w:szCs w:val="20"/>
              </w:rPr>
            </w:pPr>
            <w:r>
              <w:rPr>
                <w:sz w:val="20"/>
                <w:szCs w:val="20"/>
              </w:rPr>
              <w:t>2.5</w:t>
            </w:r>
          </w:p>
        </w:tc>
        <w:tc>
          <w:tcPr>
            <w:tcW w:w="1260" w:type="dxa"/>
            <w:tcBorders>
              <w:top w:val="single" w:sz="4" w:space="0" w:color="auto"/>
              <w:left w:val="single" w:sz="4" w:space="0" w:color="auto"/>
              <w:bottom w:val="single" w:sz="4" w:space="0" w:color="auto"/>
              <w:right w:val="single" w:sz="4" w:space="0" w:color="auto"/>
            </w:tcBorders>
            <w:hideMark/>
          </w:tcPr>
          <w:p w:rsidR="003120D8" w:rsidRPr="008D698B" w:rsidRDefault="003120D8">
            <w:pPr>
              <w:widowControl w:val="0"/>
              <w:autoSpaceDE w:val="0"/>
              <w:autoSpaceDN w:val="0"/>
              <w:adjustRightInd w:val="0"/>
              <w:rPr>
                <w:sz w:val="20"/>
                <w:szCs w:val="20"/>
              </w:rPr>
            </w:pPr>
            <w:r w:rsidRPr="008D698B">
              <w:rPr>
                <w:sz w:val="20"/>
                <w:szCs w:val="20"/>
              </w:rPr>
              <w:t>500</w:t>
            </w:r>
          </w:p>
        </w:tc>
        <w:tc>
          <w:tcPr>
            <w:tcW w:w="990" w:type="dxa"/>
            <w:tcBorders>
              <w:top w:val="single" w:sz="4" w:space="0" w:color="auto"/>
              <w:left w:val="single" w:sz="4" w:space="0" w:color="auto"/>
              <w:bottom w:val="single" w:sz="4" w:space="0" w:color="auto"/>
              <w:right w:val="single" w:sz="4" w:space="0" w:color="auto"/>
            </w:tcBorders>
          </w:tcPr>
          <w:p w:rsidR="003120D8" w:rsidRPr="008D698B" w:rsidRDefault="003120D8" w:rsidP="00A73C31">
            <w:pPr>
              <w:widowControl w:val="0"/>
              <w:autoSpaceDE w:val="0"/>
              <w:autoSpaceDN w:val="0"/>
              <w:adjustRightInd w:val="0"/>
              <w:rPr>
                <w:sz w:val="20"/>
                <w:szCs w:val="20"/>
                <w:highlight w:val="yellow"/>
              </w:rPr>
            </w:pPr>
            <w:r w:rsidRPr="008D698B">
              <w:rPr>
                <w:sz w:val="20"/>
                <w:szCs w:val="20"/>
              </w:rPr>
              <w:t>$25.50</w:t>
            </w:r>
          </w:p>
        </w:tc>
        <w:tc>
          <w:tcPr>
            <w:tcW w:w="990" w:type="dxa"/>
            <w:tcBorders>
              <w:top w:val="single" w:sz="4" w:space="0" w:color="auto"/>
              <w:left w:val="single" w:sz="4" w:space="0" w:color="auto"/>
              <w:bottom w:val="single" w:sz="4" w:space="0" w:color="auto"/>
              <w:right w:val="single" w:sz="4" w:space="0" w:color="auto"/>
            </w:tcBorders>
            <w:hideMark/>
          </w:tcPr>
          <w:p w:rsidR="003120D8" w:rsidRPr="008D698B" w:rsidRDefault="003120D8" w:rsidP="00A73C31">
            <w:pPr>
              <w:widowControl w:val="0"/>
              <w:autoSpaceDE w:val="0"/>
              <w:autoSpaceDN w:val="0"/>
              <w:adjustRightInd w:val="0"/>
              <w:rPr>
                <w:sz w:val="20"/>
                <w:szCs w:val="20"/>
              </w:rPr>
            </w:pPr>
            <w:r w:rsidRPr="008D698B">
              <w:rPr>
                <w:sz w:val="20"/>
                <w:szCs w:val="20"/>
              </w:rPr>
              <w:t>$12,750</w:t>
            </w:r>
          </w:p>
        </w:tc>
      </w:tr>
    </w:tbl>
    <w:p w:rsidR="008A4185" w:rsidRDefault="008A4185" w:rsidP="00FA6002">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47"/>
      </w:pPr>
    </w:p>
    <w:p w:rsidR="00453ED5" w:rsidRDefault="00453ED5" w:rsidP="00A73C31">
      <w:pPr>
        <w:rPr>
          <w:rFonts w:eastAsia="Calibri"/>
          <w:color w:val="000000"/>
        </w:rPr>
      </w:pPr>
    </w:p>
    <w:p w:rsidR="007200E2" w:rsidRDefault="007200E2" w:rsidP="00A73C31">
      <w:pPr>
        <w:rPr>
          <w:rFonts w:eastAsia="Calibri"/>
          <w:color w:val="000000"/>
        </w:rPr>
      </w:pPr>
    </w:p>
    <w:p w:rsidR="00453ED5" w:rsidRDefault="007200E2" w:rsidP="007200E2">
      <w:pPr>
        <w:rPr>
          <w:rFonts w:eastAsia="Calibri"/>
          <w:color w:val="000000"/>
        </w:rPr>
      </w:pPr>
      <w:r>
        <w:rPr>
          <w:rFonts w:eastAsia="Calibri"/>
          <w:color w:val="000000"/>
        </w:rPr>
        <w:t xml:space="preserve">        </w:t>
      </w:r>
      <w:r w:rsidR="0081544C">
        <w:rPr>
          <w:rFonts w:eastAsia="Calibri"/>
          <w:color w:val="000000"/>
        </w:rPr>
        <w:t>SUMMARY TABLE (Tables 12A;</w:t>
      </w:r>
      <w:r w:rsidR="00FA6002">
        <w:rPr>
          <w:rFonts w:eastAsia="Calibri"/>
          <w:color w:val="000000"/>
        </w:rPr>
        <w:t xml:space="preserve"> </w:t>
      </w:r>
      <w:r w:rsidR="0081544C">
        <w:rPr>
          <w:rFonts w:eastAsia="Calibri"/>
          <w:color w:val="000000"/>
        </w:rPr>
        <w:t>12B; and 12C)</w:t>
      </w:r>
    </w:p>
    <w:p w:rsidR="005360C4" w:rsidRDefault="005360C4" w:rsidP="005360C4">
      <w:pPr>
        <w:rPr>
          <w:rFonts w:eastAsia="Calibri"/>
          <w:color w:val="000000"/>
        </w:rPr>
      </w:pPr>
    </w:p>
    <w:p w:rsidR="00D6258F" w:rsidRDefault="00D6258F" w:rsidP="005360C4">
      <w:pPr>
        <w:rPr>
          <w:rFonts w:eastAsia="Calibri"/>
          <w:color w:val="000000"/>
        </w:rPr>
      </w:pPr>
    </w:p>
    <w:p w:rsidR="0081544C" w:rsidRDefault="005E5333" w:rsidP="00D6258F">
      <w:pPr>
        <w:jc w:val="center"/>
        <w:rPr>
          <w:rFonts w:eastAsia="Calibri"/>
          <w:color w:val="000000"/>
        </w:rPr>
      </w:pPr>
      <w:r>
        <w:rPr>
          <w:rFonts w:eastAsia="Calibri"/>
          <w:color w:val="000000"/>
        </w:rPr>
        <w:lastRenderedPageBreak/>
        <w:t>Estimated Annualized Respondent Cost and Hour Burden</w:t>
      </w:r>
    </w:p>
    <w:tbl>
      <w:tblPr>
        <w:tblpPr w:leftFromText="180" w:rightFromText="180" w:vertAnchor="text" w:horzAnchor="margin" w:tblpY="28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1170"/>
        <w:gridCol w:w="1080"/>
        <w:gridCol w:w="1080"/>
        <w:gridCol w:w="1170"/>
        <w:gridCol w:w="900"/>
        <w:gridCol w:w="990"/>
        <w:gridCol w:w="1080"/>
      </w:tblGrid>
      <w:tr w:rsidR="00F910E9" w:rsidRPr="00453ED5" w:rsidTr="00D6258F">
        <w:tc>
          <w:tcPr>
            <w:tcW w:w="1458"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sidRPr="008D698B">
              <w:rPr>
                <w:sz w:val="20"/>
                <w:szCs w:val="22"/>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sidRPr="008D698B">
              <w:rPr>
                <w:sz w:val="20"/>
                <w:szCs w:val="22"/>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F910E9" w:rsidRDefault="005360C4" w:rsidP="00D6258F">
            <w:pPr>
              <w:rPr>
                <w:sz w:val="20"/>
                <w:szCs w:val="22"/>
              </w:rPr>
            </w:pPr>
            <w:r>
              <w:rPr>
                <w:sz w:val="20"/>
                <w:szCs w:val="22"/>
              </w:rPr>
              <w:t>Number o</w:t>
            </w:r>
            <w:r w:rsidR="00F910E9">
              <w:rPr>
                <w:sz w:val="20"/>
                <w:szCs w:val="22"/>
              </w:rPr>
              <w:t>f Responses 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Pr>
                <w:sz w:val="20"/>
                <w:szCs w:val="22"/>
              </w:rPr>
              <w:t xml:space="preserve">Response </w:t>
            </w:r>
            <w:r w:rsidRPr="008D698B">
              <w:rPr>
                <w:sz w:val="20"/>
                <w:szCs w:val="22"/>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sidRPr="008D698B">
              <w:rPr>
                <w:sz w:val="20"/>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F910E9" w:rsidRPr="005E5333" w:rsidRDefault="00F910E9" w:rsidP="00D6258F">
            <w:pPr>
              <w:rPr>
                <w:sz w:val="20"/>
                <w:szCs w:val="22"/>
              </w:rPr>
            </w:pPr>
            <w:r w:rsidRPr="005E5333">
              <w:rPr>
                <w:sz w:val="20"/>
                <w:szCs w:val="22"/>
              </w:rPr>
              <w:t>Per Submission</w:t>
            </w:r>
          </w:p>
          <w:p w:rsidR="00F910E9" w:rsidRPr="008D698B" w:rsidRDefault="00F910E9" w:rsidP="00D6258F">
            <w:pPr>
              <w:rPr>
                <w:sz w:val="20"/>
                <w:szCs w:val="22"/>
              </w:rPr>
            </w:pPr>
            <w:r w:rsidRPr="005E5333">
              <w:rPr>
                <w:sz w:val="20"/>
                <w:szCs w:val="22"/>
              </w:rPr>
              <w:t>(Hours)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sidRPr="008D698B">
              <w:rPr>
                <w:sz w:val="20"/>
                <w:szCs w:val="22"/>
              </w:rPr>
              <w:t>Total 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F910E9" w:rsidRDefault="00F910E9" w:rsidP="00D6258F">
            <w:pPr>
              <w:rPr>
                <w:sz w:val="20"/>
                <w:szCs w:val="22"/>
              </w:rPr>
            </w:pPr>
            <w:r w:rsidRPr="008D698B">
              <w:rPr>
                <w:sz w:val="20"/>
                <w:szCs w:val="22"/>
              </w:rPr>
              <w:t>Hourly Wage</w:t>
            </w:r>
          </w:p>
          <w:p w:rsidR="00F910E9" w:rsidRPr="008D698B" w:rsidRDefault="00F910E9" w:rsidP="00D6258F">
            <w:pPr>
              <w:rPr>
                <w:sz w:val="20"/>
                <w:szCs w:val="22"/>
              </w:rPr>
            </w:pPr>
            <w:r>
              <w:rPr>
                <w:sz w:val="20"/>
                <w:szCs w:val="22"/>
              </w:rPr>
              <w:t xml:space="preserve">Rate </w:t>
            </w:r>
          </w:p>
        </w:tc>
        <w:tc>
          <w:tcPr>
            <w:tcW w:w="1080" w:type="dxa"/>
            <w:tcBorders>
              <w:top w:val="single" w:sz="4" w:space="0" w:color="auto"/>
              <w:left w:val="single" w:sz="4" w:space="0" w:color="auto"/>
              <w:bottom w:val="single" w:sz="4" w:space="0" w:color="auto"/>
              <w:right w:val="single" w:sz="4" w:space="0" w:color="auto"/>
            </w:tcBorders>
            <w:shd w:val="clear" w:color="auto" w:fill="8DB3E2"/>
            <w:hideMark/>
          </w:tcPr>
          <w:p w:rsidR="00F910E9" w:rsidRPr="008D698B" w:rsidRDefault="00F910E9" w:rsidP="00D6258F">
            <w:pPr>
              <w:rPr>
                <w:sz w:val="20"/>
                <w:szCs w:val="22"/>
              </w:rPr>
            </w:pPr>
            <w:r>
              <w:rPr>
                <w:sz w:val="20"/>
                <w:szCs w:val="22"/>
              </w:rPr>
              <w:t>Total Cost  Burden</w:t>
            </w:r>
          </w:p>
        </w:tc>
      </w:tr>
      <w:tr w:rsidR="00F910E9" w:rsidTr="00D6258F">
        <w:trPr>
          <w:trHeight w:val="624"/>
        </w:trPr>
        <w:tc>
          <w:tcPr>
            <w:tcW w:w="1458" w:type="dxa"/>
            <w:tcBorders>
              <w:top w:val="single" w:sz="4" w:space="0" w:color="auto"/>
              <w:left w:val="single" w:sz="4" w:space="0" w:color="auto"/>
              <w:bottom w:val="single" w:sz="4" w:space="0" w:color="auto"/>
              <w:right w:val="single" w:sz="4" w:space="0" w:color="auto"/>
            </w:tcBorders>
          </w:tcPr>
          <w:p w:rsidR="00F910E9" w:rsidRDefault="00F910E9" w:rsidP="00D6258F">
            <w:pPr>
              <w:tabs>
                <w:tab w:val="left" w:pos="90"/>
              </w:tabs>
              <w:rPr>
                <w:sz w:val="20"/>
                <w:szCs w:val="22"/>
              </w:rPr>
            </w:pPr>
            <w:r w:rsidRPr="008D698B">
              <w:rPr>
                <w:sz w:val="20"/>
                <w:szCs w:val="22"/>
              </w:rPr>
              <w:t>TABLE 12A:</w:t>
            </w:r>
          </w:p>
          <w:p w:rsidR="00F910E9" w:rsidRPr="008D698B" w:rsidRDefault="00F910E9" w:rsidP="00D6258F">
            <w:pPr>
              <w:tabs>
                <w:tab w:val="left" w:pos="90"/>
              </w:tabs>
              <w:rPr>
                <w:sz w:val="20"/>
                <w:szCs w:val="22"/>
              </w:rPr>
            </w:pPr>
            <w:r>
              <w:rPr>
                <w:sz w:val="20"/>
                <w:szCs w:val="22"/>
              </w:rPr>
              <w:t>Reporting</w:t>
            </w:r>
          </w:p>
        </w:tc>
        <w:tc>
          <w:tcPr>
            <w:tcW w:w="126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50</w:t>
            </w:r>
          </w:p>
        </w:tc>
        <w:tc>
          <w:tcPr>
            <w:tcW w:w="1170" w:type="dxa"/>
            <w:tcBorders>
              <w:top w:val="single" w:sz="4" w:space="0" w:color="auto"/>
              <w:left w:val="single" w:sz="4" w:space="0" w:color="auto"/>
              <w:bottom w:val="single" w:sz="4" w:space="0" w:color="auto"/>
              <w:right w:val="single" w:sz="4" w:space="0" w:color="auto"/>
            </w:tcBorders>
          </w:tcPr>
          <w:p w:rsidR="00F910E9" w:rsidRPr="008D698B" w:rsidDel="005E5333" w:rsidRDefault="00F910E9" w:rsidP="00D6258F">
            <w:pPr>
              <w:rPr>
                <w:sz w:val="20"/>
                <w:szCs w:val="22"/>
              </w:rPr>
            </w:pPr>
            <w:r>
              <w:rPr>
                <w:sz w:val="20"/>
                <w:szCs w:val="22"/>
              </w:rPr>
              <w:t>2000</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4</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400,000</w:t>
            </w:r>
          </w:p>
        </w:tc>
        <w:tc>
          <w:tcPr>
            <w:tcW w:w="1170" w:type="dxa"/>
            <w:tcBorders>
              <w:top w:val="single" w:sz="4" w:space="0" w:color="auto"/>
              <w:left w:val="single" w:sz="4" w:space="0" w:color="auto"/>
              <w:bottom w:val="single" w:sz="4" w:space="0" w:color="auto"/>
              <w:right w:val="single" w:sz="4" w:space="0" w:color="auto"/>
            </w:tcBorders>
          </w:tcPr>
          <w:p w:rsidR="00F910E9" w:rsidRDefault="00F910E9" w:rsidP="00D6258F">
            <w:pPr>
              <w:rPr>
                <w:sz w:val="20"/>
                <w:szCs w:val="22"/>
              </w:rPr>
            </w:pPr>
            <w:r>
              <w:rPr>
                <w:sz w:val="20"/>
                <w:szCs w:val="22"/>
              </w:rPr>
              <w:t>.02</w:t>
            </w:r>
          </w:p>
        </w:tc>
        <w:tc>
          <w:tcPr>
            <w:tcW w:w="90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8</w:t>
            </w:r>
            <w:r w:rsidRPr="008D698B">
              <w:rPr>
                <w:sz w:val="20"/>
                <w:szCs w:val="22"/>
              </w:rPr>
              <w:t>,000</w:t>
            </w:r>
          </w:p>
        </w:tc>
        <w:tc>
          <w:tcPr>
            <w:tcW w:w="99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$25.50</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$2</w:t>
            </w:r>
            <w:r>
              <w:rPr>
                <w:sz w:val="20"/>
                <w:szCs w:val="22"/>
              </w:rPr>
              <w:t>04,000</w:t>
            </w:r>
          </w:p>
        </w:tc>
      </w:tr>
      <w:tr w:rsidR="00F910E9" w:rsidTr="00D6258F">
        <w:trPr>
          <w:trHeight w:val="516"/>
        </w:trPr>
        <w:tc>
          <w:tcPr>
            <w:tcW w:w="1458" w:type="dxa"/>
            <w:tcBorders>
              <w:top w:val="single" w:sz="4" w:space="0" w:color="auto"/>
              <w:left w:val="single" w:sz="4" w:space="0" w:color="auto"/>
              <w:bottom w:val="single" w:sz="4" w:space="0" w:color="auto"/>
              <w:right w:val="single" w:sz="4" w:space="0" w:color="auto"/>
            </w:tcBorders>
          </w:tcPr>
          <w:p w:rsidR="00F910E9" w:rsidRDefault="00F910E9" w:rsidP="00D6258F">
            <w:pPr>
              <w:tabs>
                <w:tab w:val="left" w:pos="90"/>
              </w:tabs>
              <w:rPr>
                <w:sz w:val="20"/>
                <w:szCs w:val="22"/>
              </w:rPr>
            </w:pPr>
            <w:r w:rsidRPr="008D698B">
              <w:rPr>
                <w:sz w:val="20"/>
                <w:szCs w:val="22"/>
              </w:rPr>
              <w:t>TABLE 12B:</w:t>
            </w:r>
          </w:p>
          <w:p w:rsidR="00F910E9" w:rsidRPr="008D698B" w:rsidRDefault="0050311E" w:rsidP="00D6258F">
            <w:pPr>
              <w:tabs>
                <w:tab w:val="left" w:pos="90"/>
              </w:tabs>
              <w:rPr>
                <w:sz w:val="20"/>
                <w:szCs w:val="22"/>
              </w:rPr>
            </w:pPr>
            <w:r>
              <w:rPr>
                <w:sz w:val="20"/>
                <w:szCs w:val="22"/>
              </w:rPr>
              <w:t>Third Party Disclosure</w:t>
            </w:r>
            <w:r w:rsidR="00F910E9">
              <w:rPr>
                <w:sz w:val="20"/>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12,500</w:t>
            </w:r>
          </w:p>
        </w:tc>
        <w:tc>
          <w:tcPr>
            <w:tcW w:w="1170" w:type="dxa"/>
            <w:tcBorders>
              <w:top w:val="single" w:sz="4" w:space="0" w:color="auto"/>
              <w:left w:val="single" w:sz="4" w:space="0" w:color="auto"/>
              <w:bottom w:val="single" w:sz="4" w:space="0" w:color="auto"/>
              <w:right w:val="single" w:sz="4" w:space="0" w:color="auto"/>
            </w:tcBorders>
          </w:tcPr>
          <w:p w:rsidR="00F910E9" w:rsidRPr="008D698B" w:rsidDel="005E5333" w:rsidRDefault="00F910E9" w:rsidP="00D6258F">
            <w:pPr>
              <w:rPr>
                <w:sz w:val="20"/>
                <w:szCs w:val="22"/>
              </w:rPr>
            </w:pPr>
            <w:r>
              <w:rPr>
                <w:sz w:val="20"/>
                <w:szCs w:val="22"/>
              </w:rPr>
              <w:t>1</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4</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50,000</w:t>
            </w:r>
          </w:p>
        </w:tc>
        <w:tc>
          <w:tcPr>
            <w:tcW w:w="117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0.2</w:t>
            </w:r>
          </w:p>
        </w:tc>
        <w:tc>
          <w:tcPr>
            <w:tcW w:w="90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10,000</w:t>
            </w:r>
          </w:p>
        </w:tc>
        <w:tc>
          <w:tcPr>
            <w:tcW w:w="99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$7.25</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$72,500</w:t>
            </w:r>
          </w:p>
        </w:tc>
      </w:tr>
      <w:tr w:rsidR="00F910E9" w:rsidRPr="009505D4" w:rsidTr="00D6258F">
        <w:tc>
          <w:tcPr>
            <w:tcW w:w="1458" w:type="dxa"/>
            <w:tcBorders>
              <w:top w:val="single" w:sz="4" w:space="0" w:color="auto"/>
              <w:left w:val="single" w:sz="4" w:space="0" w:color="auto"/>
              <w:bottom w:val="single" w:sz="4" w:space="0" w:color="auto"/>
              <w:right w:val="single" w:sz="4" w:space="0" w:color="auto"/>
            </w:tcBorders>
          </w:tcPr>
          <w:p w:rsidR="00F910E9" w:rsidRDefault="00F910E9" w:rsidP="00D6258F">
            <w:pPr>
              <w:tabs>
                <w:tab w:val="left" w:pos="90"/>
              </w:tabs>
              <w:rPr>
                <w:sz w:val="20"/>
                <w:szCs w:val="22"/>
              </w:rPr>
            </w:pPr>
            <w:r w:rsidRPr="008D698B">
              <w:rPr>
                <w:sz w:val="20"/>
                <w:szCs w:val="22"/>
              </w:rPr>
              <w:t xml:space="preserve">TABLE 12C: </w:t>
            </w:r>
          </w:p>
          <w:p w:rsidR="00F910E9" w:rsidRPr="008D698B" w:rsidRDefault="00F910E9" w:rsidP="00D6258F">
            <w:pPr>
              <w:tabs>
                <w:tab w:val="left" w:pos="90"/>
              </w:tabs>
              <w:rPr>
                <w:sz w:val="20"/>
                <w:szCs w:val="22"/>
              </w:rPr>
            </w:pPr>
            <w:r>
              <w:rPr>
                <w:sz w:val="20"/>
                <w:szCs w:val="22"/>
              </w:rPr>
              <w:t>Reporting</w:t>
            </w:r>
          </w:p>
        </w:tc>
        <w:tc>
          <w:tcPr>
            <w:tcW w:w="126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50</w:t>
            </w:r>
          </w:p>
        </w:tc>
        <w:tc>
          <w:tcPr>
            <w:tcW w:w="1170" w:type="dxa"/>
            <w:tcBorders>
              <w:top w:val="single" w:sz="4" w:space="0" w:color="auto"/>
              <w:left w:val="single" w:sz="4" w:space="0" w:color="auto"/>
              <w:bottom w:val="single" w:sz="4" w:space="0" w:color="auto"/>
              <w:right w:val="single" w:sz="4" w:space="0" w:color="auto"/>
            </w:tcBorders>
          </w:tcPr>
          <w:p w:rsidR="00F910E9" w:rsidRPr="008D698B" w:rsidDel="005E5333" w:rsidRDefault="00F910E9" w:rsidP="00D6258F">
            <w:pPr>
              <w:rPr>
                <w:sz w:val="20"/>
                <w:szCs w:val="22"/>
              </w:rPr>
            </w:pPr>
            <w:r>
              <w:rPr>
                <w:sz w:val="20"/>
                <w:szCs w:val="22"/>
              </w:rPr>
              <w:t>1</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4</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200</w:t>
            </w:r>
          </w:p>
        </w:tc>
        <w:tc>
          <w:tcPr>
            <w:tcW w:w="117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2.5</w:t>
            </w:r>
          </w:p>
        </w:tc>
        <w:tc>
          <w:tcPr>
            <w:tcW w:w="90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500</w:t>
            </w:r>
          </w:p>
        </w:tc>
        <w:tc>
          <w:tcPr>
            <w:tcW w:w="99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$25.50</w:t>
            </w: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sidRPr="008D698B">
              <w:rPr>
                <w:sz w:val="20"/>
                <w:szCs w:val="22"/>
              </w:rPr>
              <w:t xml:space="preserve">$12,750 </w:t>
            </w:r>
          </w:p>
        </w:tc>
      </w:tr>
      <w:tr w:rsidR="00F910E9" w:rsidRPr="009505D4" w:rsidTr="00D6258F">
        <w:tc>
          <w:tcPr>
            <w:tcW w:w="1458" w:type="dxa"/>
            <w:tcBorders>
              <w:top w:val="single" w:sz="4" w:space="0" w:color="auto"/>
              <w:left w:val="single" w:sz="4" w:space="0" w:color="auto"/>
              <w:bottom w:val="single" w:sz="4" w:space="0" w:color="auto"/>
              <w:right w:val="single" w:sz="4" w:space="0" w:color="auto"/>
            </w:tcBorders>
            <w:hideMark/>
          </w:tcPr>
          <w:p w:rsidR="005360C4" w:rsidRDefault="005360C4" w:rsidP="00D6258F">
            <w:pPr>
              <w:rPr>
                <w:b/>
                <w:i/>
                <w:sz w:val="20"/>
                <w:szCs w:val="22"/>
              </w:rPr>
            </w:pPr>
            <w:r>
              <w:rPr>
                <w:b/>
                <w:i/>
                <w:sz w:val="20"/>
                <w:szCs w:val="22"/>
              </w:rPr>
              <w:t>Unduplicated</w:t>
            </w:r>
          </w:p>
          <w:p w:rsidR="00F910E9" w:rsidRPr="008D698B" w:rsidRDefault="00F910E9" w:rsidP="00D6258F">
            <w:pPr>
              <w:rPr>
                <w:b/>
                <w:i/>
                <w:sz w:val="20"/>
                <w:szCs w:val="22"/>
              </w:rPr>
            </w:pPr>
            <w:r w:rsidRPr="008D698B">
              <w:rPr>
                <w:b/>
                <w:i/>
                <w:sz w:val="20"/>
                <w:szCs w:val="22"/>
              </w:rPr>
              <w:t>Totals</w:t>
            </w:r>
          </w:p>
        </w:tc>
        <w:tc>
          <w:tcPr>
            <w:tcW w:w="126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p>
        </w:tc>
        <w:tc>
          <w:tcPr>
            <w:tcW w:w="1170" w:type="dxa"/>
            <w:tcBorders>
              <w:top w:val="single" w:sz="4" w:space="0" w:color="auto"/>
              <w:left w:val="single" w:sz="4" w:space="0" w:color="auto"/>
              <w:bottom w:val="single" w:sz="4" w:space="0" w:color="auto"/>
              <w:right w:val="single" w:sz="4" w:space="0" w:color="auto"/>
            </w:tcBorders>
          </w:tcPr>
          <w:p w:rsidR="00F910E9" w:rsidRPr="008D698B" w:rsidDel="006971B4" w:rsidRDefault="00F910E9" w:rsidP="00D6258F">
            <w:pPr>
              <w:rPr>
                <w:sz w:val="20"/>
                <w:szCs w:val="22"/>
              </w:rPr>
            </w:pP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p>
        </w:tc>
        <w:tc>
          <w:tcPr>
            <w:tcW w:w="1080" w:type="dxa"/>
            <w:tcBorders>
              <w:top w:val="single" w:sz="4" w:space="0" w:color="auto"/>
              <w:left w:val="single" w:sz="4" w:space="0" w:color="auto"/>
              <w:bottom w:val="single" w:sz="4" w:space="0" w:color="auto"/>
              <w:right w:val="single" w:sz="4" w:space="0" w:color="auto"/>
            </w:tcBorders>
          </w:tcPr>
          <w:p w:rsidR="00F910E9" w:rsidRDefault="00F910E9" w:rsidP="00D6258F">
            <w:pPr>
              <w:rPr>
                <w:sz w:val="20"/>
                <w:szCs w:val="22"/>
              </w:rPr>
            </w:pPr>
            <w:r>
              <w:rPr>
                <w:sz w:val="20"/>
                <w:szCs w:val="22"/>
              </w:rPr>
              <w:t>450,200</w:t>
            </w:r>
          </w:p>
          <w:p w:rsidR="00F910E9" w:rsidRPr="008D698B" w:rsidRDefault="00F910E9" w:rsidP="00D6258F">
            <w:pPr>
              <w:rPr>
                <w:sz w:val="20"/>
                <w:szCs w:val="22"/>
              </w:rPr>
            </w:pPr>
          </w:p>
        </w:tc>
        <w:tc>
          <w:tcPr>
            <w:tcW w:w="1170" w:type="dxa"/>
            <w:tcBorders>
              <w:top w:val="single" w:sz="4" w:space="0" w:color="auto"/>
              <w:left w:val="single" w:sz="4" w:space="0" w:color="auto"/>
              <w:bottom w:val="single" w:sz="4" w:space="0" w:color="auto"/>
              <w:right w:val="single" w:sz="4" w:space="0" w:color="auto"/>
            </w:tcBorders>
          </w:tcPr>
          <w:p w:rsidR="00F910E9" w:rsidRDefault="00F910E9" w:rsidP="00D6258F">
            <w:pPr>
              <w:rPr>
                <w:sz w:val="20"/>
                <w:szCs w:val="22"/>
              </w:rPr>
            </w:pPr>
          </w:p>
        </w:tc>
        <w:tc>
          <w:tcPr>
            <w:tcW w:w="90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18</w:t>
            </w:r>
            <w:r w:rsidRPr="008D698B">
              <w:rPr>
                <w:sz w:val="20"/>
                <w:szCs w:val="22"/>
              </w:rPr>
              <w:t>,500</w:t>
            </w:r>
          </w:p>
        </w:tc>
        <w:tc>
          <w:tcPr>
            <w:tcW w:w="99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p>
        </w:tc>
        <w:tc>
          <w:tcPr>
            <w:tcW w:w="1080" w:type="dxa"/>
            <w:tcBorders>
              <w:top w:val="single" w:sz="4" w:space="0" w:color="auto"/>
              <w:left w:val="single" w:sz="4" w:space="0" w:color="auto"/>
              <w:bottom w:val="single" w:sz="4" w:space="0" w:color="auto"/>
              <w:right w:val="single" w:sz="4" w:space="0" w:color="auto"/>
            </w:tcBorders>
          </w:tcPr>
          <w:p w:rsidR="00F910E9" w:rsidRPr="008D698B" w:rsidRDefault="00F910E9" w:rsidP="00D6258F">
            <w:pPr>
              <w:rPr>
                <w:sz w:val="20"/>
                <w:szCs w:val="22"/>
              </w:rPr>
            </w:pPr>
            <w:r>
              <w:rPr>
                <w:sz w:val="20"/>
                <w:szCs w:val="22"/>
              </w:rPr>
              <w:t>$289</w:t>
            </w:r>
            <w:r w:rsidRPr="008D698B">
              <w:rPr>
                <w:sz w:val="20"/>
                <w:szCs w:val="22"/>
              </w:rPr>
              <w:t>,</w:t>
            </w:r>
            <w:r>
              <w:rPr>
                <w:sz w:val="20"/>
                <w:szCs w:val="22"/>
              </w:rPr>
              <w:t>250</w:t>
            </w:r>
          </w:p>
        </w:tc>
      </w:tr>
    </w:tbl>
    <w:p w:rsidR="00D6258F" w:rsidRDefault="00D6258F" w:rsidP="00D6258F">
      <w:pPr>
        <w:tabs>
          <w:tab w:val="right" w:pos="360"/>
        </w:tabs>
        <w:autoSpaceDE w:val="0"/>
        <w:autoSpaceDN w:val="0"/>
        <w:adjustRightInd w:val="0"/>
        <w:rPr>
          <w:rFonts w:eastAsia="Calibri"/>
          <w:color w:val="000000"/>
        </w:rPr>
      </w:pPr>
    </w:p>
    <w:p w:rsidR="00D6258F" w:rsidRDefault="00D6258F" w:rsidP="005360C4">
      <w:pPr>
        <w:tabs>
          <w:tab w:val="right" w:pos="360"/>
        </w:tabs>
        <w:autoSpaceDE w:val="0"/>
        <w:autoSpaceDN w:val="0"/>
        <w:adjustRightInd w:val="0"/>
        <w:ind w:left="540" w:hanging="540"/>
        <w:rPr>
          <w:i/>
        </w:rPr>
      </w:pPr>
      <w:r>
        <w:rPr>
          <w:rFonts w:eastAsia="Calibri"/>
          <w:color w:val="000000"/>
        </w:rPr>
        <w:tab/>
      </w:r>
      <w:r>
        <w:rPr>
          <w:rFonts w:eastAsia="Calibri"/>
          <w:color w:val="000000"/>
        </w:rPr>
        <w:tab/>
        <w:t>Note that the $25.50 Hourly Rate used to calculate state wage cost for the Trade Adjustment Assistance program are based on the estimated average hourly earnings for state-run programs according to the State Government, North American Industry Classification System (NAICS) code 926110 ‘Administration of general economic programs, All States and US’ 2013 Annual Averages, Quarterly Census of Employment and Wages - Bureau of Labor Statistics (</w:t>
      </w:r>
      <w:hyperlink r:id="rId9" w:anchor="type=0&amp;year=2013&amp;qtr=A&amp;own=2&amp;ind=926110&amp;supp=0" w:history="1">
        <w:r>
          <w:rPr>
            <w:rStyle w:val="Hyperlink"/>
            <w:rFonts w:eastAsia="Calibri"/>
          </w:rPr>
          <w:t>http://www.bls.gov/cew/apps/table_maker/v3/table_maker.htm#type=0&amp;year=2013&amp;qtr=A&amp;own=2&amp;ind=926110&amp;supp=0</w:t>
        </w:r>
      </w:hyperlink>
      <w:r>
        <w:rPr>
          <w:rFonts w:eastAsia="Calibri"/>
          <w:color w:val="000000"/>
        </w:rPr>
        <w:t>).</w:t>
      </w:r>
    </w:p>
    <w:p w:rsidR="00D6258F" w:rsidRDefault="00D6258F" w:rsidP="005360C4">
      <w:pPr>
        <w:tabs>
          <w:tab w:val="right" w:pos="360"/>
        </w:tabs>
        <w:autoSpaceDE w:val="0"/>
        <w:autoSpaceDN w:val="0"/>
        <w:adjustRightInd w:val="0"/>
        <w:ind w:left="540" w:hanging="540"/>
        <w:rPr>
          <w:i/>
        </w:rPr>
      </w:pPr>
    </w:p>
    <w:p w:rsidR="00EA78D2" w:rsidRPr="008F4D44" w:rsidRDefault="003A4E21" w:rsidP="005360C4">
      <w:pPr>
        <w:tabs>
          <w:tab w:val="right" w:pos="360"/>
        </w:tabs>
        <w:autoSpaceDE w:val="0"/>
        <w:autoSpaceDN w:val="0"/>
        <w:adjustRightInd w:val="0"/>
        <w:ind w:left="540" w:hanging="540"/>
        <w:rPr>
          <w:i/>
        </w:rPr>
      </w:pPr>
      <w:r>
        <w:rPr>
          <w:i/>
        </w:rPr>
        <w:t>13.</w:t>
      </w:r>
      <w:r>
        <w:rPr>
          <w:i/>
        </w:rPr>
        <w:tab/>
      </w:r>
      <w:r>
        <w:rPr>
          <w:i/>
        </w:rPr>
        <w:tab/>
      </w:r>
      <w:r w:rsidR="00EA78D2" w:rsidRPr="008F4D44">
        <w:rPr>
          <w:i/>
        </w:rPr>
        <w:t>Provide an estimate for the total annual cost burden to respondents or record keepers resulting from the collection of information.</w:t>
      </w:r>
      <w:r w:rsidR="00A705A4" w:rsidRPr="008F4D44">
        <w:rPr>
          <w:i/>
        </w:rPr>
        <w:t xml:space="preserve"> </w:t>
      </w:r>
      <w:r w:rsidR="00EA78D2"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EA78D2" w:rsidRDefault="009C557D" w:rsidP="003A4E21">
      <w:pPr>
        <w:autoSpaceDE w:val="0"/>
        <w:autoSpaceDN w:val="0"/>
        <w:adjustRightInd w:val="0"/>
        <w:ind w:left="540"/>
      </w:pPr>
      <w:r>
        <w:t xml:space="preserve">As the proposed collection does not diverge from what was approved previously, start-up costs do not apply. In terms of maintenance, </w:t>
      </w:r>
      <w:r w:rsidR="0001587C">
        <w:t xml:space="preserve">19 USC 2285 stipulates that a portion of administrative funds distributed to states should be used to address </w:t>
      </w:r>
      <w:r w:rsidR="005972D3">
        <w:t xml:space="preserve">system maintenance </w:t>
      </w:r>
      <w:r w:rsidR="00ED641D">
        <w:t>of data collection required under the</w:t>
      </w:r>
      <w:r w:rsidR="0001587C">
        <w:t xml:space="preserve"> Trade Act of 1974, as amended.  Therefore</w:t>
      </w:r>
      <w:r w:rsidR="00A06C96">
        <w:t>,</w:t>
      </w:r>
      <w:r w:rsidR="0001587C">
        <w:t xml:space="preserve"> there is no cost to respondents</w:t>
      </w:r>
      <w:r w:rsidR="00A06C96">
        <w:t>.</w:t>
      </w:r>
    </w:p>
    <w:p w:rsidR="00EA78D2" w:rsidRPr="00CE3C52" w:rsidRDefault="00EA78D2" w:rsidP="00EA78D2">
      <w:pPr>
        <w:autoSpaceDE w:val="0"/>
        <w:autoSpaceDN w:val="0"/>
        <w:adjustRightInd w:val="0"/>
      </w:pPr>
    </w:p>
    <w:p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rsidR="00EA78D2" w:rsidRDefault="00EA78D2" w:rsidP="005972D3">
      <w:pPr>
        <w:autoSpaceDE w:val="0"/>
        <w:autoSpaceDN w:val="0"/>
        <w:adjustRightInd w:val="0"/>
        <w:ind w:left="540"/>
      </w:pPr>
    </w:p>
    <w:p w:rsidR="005972D3" w:rsidRDefault="005972D3" w:rsidP="005972D3">
      <w:pPr>
        <w:pStyle w:val="NormalSS"/>
        <w:tabs>
          <w:tab w:val="clear" w:pos="432"/>
          <w:tab w:val="left" w:pos="720"/>
        </w:tabs>
        <w:ind w:left="540"/>
        <w:jc w:val="left"/>
        <w:rPr>
          <w:szCs w:val="24"/>
        </w:rPr>
      </w:pPr>
      <w:r>
        <w:rPr>
          <w:szCs w:val="24"/>
        </w:rPr>
        <w:t xml:space="preserve">ETA </w:t>
      </w:r>
      <w:r w:rsidR="00A06C96">
        <w:rPr>
          <w:szCs w:val="24"/>
        </w:rPr>
        <w:t>collects and stores the data in-</w:t>
      </w:r>
      <w:r>
        <w:rPr>
          <w:szCs w:val="24"/>
        </w:rPr>
        <w:t>house using automated systems that require no adjustments.   It is estimated that staff spend 100 hours per quarter</w:t>
      </w:r>
      <w:r w:rsidR="00415AC8">
        <w:rPr>
          <w:szCs w:val="24"/>
        </w:rPr>
        <w:t>, or 400 hours a year, in</w:t>
      </w:r>
      <w:r>
        <w:rPr>
          <w:szCs w:val="24"/>
        </w:rPr>
        <w:t xml:space="preserve"> monitoring the data using </w:t>
      </w:r>
      <w:r w:rsidR="00ED641D">
        <w:rPr>
          <w:szCs w:val="24"/>
        </w:rPr>
        <w:t>licensed software</w:t>
      </w:r>
      <w:r w:rsidR="00096FCB">
        <w:rPr>
          <w:szCs w:val="24"/>
        </w:rPr>
        <w:t xml:space="preserve">, </w:t>
      </w:r>
      <w:r>
        <w:rPr>
          <w:szCs w:val="24"/>
        </w:rPr>
        <w:t>and</w:t>
      </w:r>
      <w:r w:rsidR="00415AC8">
        <w:rPr>
          <w:szCs w:val="24"/>
        </w:rPr>
        <w:t xml:space="preserve"> providing technical assistance.</w:t>
      </w:r>
      <w:r w:rsidR="003A4E21">
        <w:rPr>
          <w:szCs w:val="24"/>
        </w:rPr>
        <w:t xml:space="preserve"> </w:t>
      </w:r>
      <w:r w:rsidR="00415AC8">
        <w:rPr>
          <w:szCs w:val="24"/>
        </w:rPr>
        <w:t xml:space="preserve"> </w:t>
      </w:r>
      <w:r w:rsidR="00ED641D">
        <w:rPr>
          <w:szCs w:val="24"/>
        </w:rPr>
        <w:t>Thus the total annual cost burden to the Federal Government is $</w:t>
      </w:r>
      <w:r w:rsidR="00D6689E">
        <w:rPr>
          <w:szCs w:val="24"/>
        </w:rPr>
        <w:t>17,044</w:t>
      </w:r>
      <w:r w:rsidR="00ED641D">
        <w:rPr>
          <w:szCs w:val="24"/>
        </w:rPr>
        <w:t xml:space="preserve">. </w:t>
      </w:r>
      <w:r>
        <w:rPr>
          <w:szCs w:val="24"/>
        </w:rPr>
        <w:t xml:space="preserve">  </w:t>
      </w:r>
    </w:p>
    <w:p w:rsidR="00ED641D" w:rsidRDefault="00ED641D" w:rsidP="005972D3">
      <w:pPr>
        <w:pStyle w:val="NormalSS"/>
        <w:tabs>
          <w:tab w:val="clear" w:pos="432"/>
          <w:tab w:val="left" w:pos="720"/>
        </w:tabs>
        <w:ind w:left="540"/>
        <w:jc w:val="left"/>
        <w:rPr>
          <w:szCs w:val="24"/>
        </w:rPr>
      </w:pPr>
    </w:p>
    <w:p w:rsidR="00D6258F" w:rsidRDefault="00D6258F" w:rsidP="005972D3">
      <w:pPr>
        <w:pStyle w:val="NormalSS"/>
        <w:tabs>
          <w:tab w:val="clear" w:pos="432"/>
          <w:tab w:val="left" w:pos="720"/>
        </w:tabs>
        <w:ind w:left="540"/>
        <w:jc w:val="left"/>
        <w:rPr>
          <w:szCs w:val="24"/>
        </w:rPr>
      </w:pPr>
    </w:p>
    <w:tbl>
      <w:tblPr>
        <w:tblStyle w:val="TableGrid"/>
        <w:tblW w:w="0" w:type="auto"/>
        <w:tblInd w:w="648" w:type="dxa"/>
        <w:tblLook w:val="04A0" w:firstRow="1" w:lastRow="0" w:firstColumn="1" w:lastColumn="0" w:noHBand="0" w:noVBand="1"/>
      </w:tblPr>
      <w:tblGrid>
        <w:gridCol w:w="1765"/>
        <w:gridCol w:w="1834"/>
        <w:gridCol w:w="1682"/>
        <w:gridCol w:w="1682"/>
        <w:gridCol w:w="1952"/>
      </w:tblGrid>
      <w:tr w:rsidR="00ED641D" w:rsidTr="0054679F">
        <w:tc>
          <w:tcPr>
            <w:tcW w:w="1765" w:type="dxa"/>
          </w:tcPr>
          <w:p w:rsidR="00ED641D" w:rsidRDefault="00ED641D" w:rsidP="005972D3">
            <w:pPr>
              <w:pStyle w:val="NormalSS"/>
              <w:tabs>
                <w:tab w:val="clear" w:pos="432"/>
                <w:tab w:val="left" w:pos="720"/>
              </w:tabs>
              <w:jc w:val="left"/>
              <w:rPr>
                <w:szCs w:val="24"/>
              </w:rPr>
            </w:pPr>
            <w:r>
              <w:rPr>
                <w:szCs w:val="24"/>
              </w:rPr>
              <w:t>Staff Hours</w:t>
            </w:r>
          </w:p>
        </w:tc>
        <w:tc>
          <w:tcPr>
            <w:tcW w:w="1834" w:type="dxa"/>
          </w:tcPr>
          <w:p w:rsidR="00ED641D" w:rsidRDefault="00ED641D" w:rsidP="00867AA4">
            <w:pPr>
              <w:pStyle w:val="NormalSS"/>
              <w:tabs>
                <w:tab w:val="clear" w:pos="432"/>
                <w:tab w:val="left" w:pos="720"/>
              </w:tabs>
              <w:jc w:val="left"/>
              <w:rPr>
                <w:szCs w:val="24"/>
              </w:rPr>
            </w:pPr>
            <w:r>
              <w:rPr>
                <w:szCs w:val="24"/>
              </w:rPr>
              <w:t>Hourly Wage</w:t>
            </w:r>
            <w:r w:rsidR="00BC4B5C">
              <w:rPr>
                <w:szCs w:val="24"/>
              </w:rPr>
              <w:t>*</w:t>
            </w:r>
          </w:p>
        </w:tc>
        <w:tc>
          <w:tcPr>
            <w:tcW w:w="1682" w:type="dxa"/>
          </w:tcPr>
          <w:p w:rsidR="00ED641D" w:rsidRDefault="00ED641D" w:rsidP="005972D3">
            <w:pPr>
              <w:pStyle w:val="NormalSS"/>
              <w:tabs>
                <w:tab w:val="clear" w:pos="432"/>
                <w:tab w:val="left" w:pos="720"/>
              </w:tabs>
              <w:jc w:val="left"/>
              <w:rPr>
                <w:szCs w:val="24"/>
              </w:rPr>
            </w:pPr>
            <w:r>
              <w:rPr>
                <w:szCs w:val="24"/>
              </w:rPr>
              <w:t>Total Labor Cost</w:t>
            </w:r>
          </w:p>
          <w:p w:rsidR="00ED641D" w:rsidRDefault="00ED641D" w:rsidP="00867AA4">
            <w:pPr>
              <w:pStyle w:val="NormalSS"/>
              <w:tabs>
                <w:tab w:val="clear" w:pos="432"/>
                <w:tab w:val="left" w:pos="720"/>
              </w:tabs>
              <w:jc w:val="left"/>
              <w:rPr>
                <w:szCs w:val="24"/>
              </w:rPr>
            </w:pPr>
          </w:p>
        </w:tc>
        <w:tc>
          <w:tcPr>
            <w:tcW w:w="1682" w:type="dxa"/>
          </w:tcPr>
          <w:p w:rsidR="00ED641D" w:rsidRDefault="00ED641D" w:rsidP="004B0815">
            <w:pPr>
              <w:pStyle w:val="NormalSS"/>
              <w:tabs>
                <w:tab w:val="clear" w:pos="432"/>
                <w:tab w:val="left" w:pos="720"/>
              </w:tabs>
              <w:jc w:val="left"/>
              <w:rPr>
                <w:szCs w:val="24"/>
              </w:rPr>
            </w:pPr>
            <w:r>
              <w:rPr>
                <w:szCs w:val="24"/>
              </w:rPr>
              <w:t>Annual Software License Fees</w:t>
            </w:r>
          </w:p>
        </w:tc>
        <w:tc>
          <w:tcPr>
            <w:tcW w:w="1952" w:type="dxa"/>
          </w:tcPr>
          <w:p w:rsidR="00ED641D" w:rsidRDefault="00ED641D" w:rsidP="004B0815">
            <w:pPr>
              <w:pStyle w:val="NormalSS"/>
              <w:tabs>
                <w:tab w:val="clear" w:pos="432"/>
                <w:tab w:val="left" w:pos="720"/>
              </w:tabs>
              <w:jc w:val="left"/>
              <w:rPr>
                <w:szCs w:val="24"/>
              </w:rPr>
            </w:pPr>
            <w:r>
              <w:rPr>
                <w:szCs w:val="24"/>
              </w:rPr>
              <w:t>Total Cost</w:t>
            </w:r>
          </w:p>
          <w:p w:rsidR="00ED641D" w:rsidRDefault="00ED641D" w:rsidP="004B0815">
            <w:pPr>
              <w:pStyle w:val="NormalSS"/>
              <w:tabs>
                <w:tab w:val="clear" w:pos="432"/>
                <w:tab w:val="left" w:pos="720"/>
              </w:tabs>
              <w:jc w:val="left"/>
              <w:rPr>
                <w:szCs w:val="24"/>
              </w:rPr>
            </w:pPr>
          </w:p>
        </w:tc>
      </w:tr>
      <w:tr w:rsidR="00ED641D" w:rsidTr="0054679F">
        <w:tc>
          <w:tcPr>
            <w:tcW w:w="1765" w:type="dxa"/>
          </w:tcPr>
          <w:p w:rsidR="00ED641D" w:rsidRDefault="00ED641D" w:rsidP="005972D3">
            <w:pPr>
              <w:pStyle w:val="NormalSS"/>
              <w:tabs>
                <w:tab w:val="clear" w:pos="432"/>
                <w:tab w:val="left" w:pos="720"/>
              </w:tabs>
              <w:jc w:val="left"/>
              <w:rPr>
                <w:szCs w:val="24"/>
              </w:rPr>
            </w:pPr>
            <w:r>
              <w:rPr>
                <w:szCs w:val="24"/>
              </w:rPr>
              <w:t>400</w:t>
            </w:r>
          </w:p>
        </w:tc>
        <w:tc>
          <w:tcPr>
            <w:tcW w:w="1834" w:type="dxa"/>
          </w:tcPr>
          <w:p w:rsidR="00ED641D" w:rsidRDefault="00ED641D" w:rsidP="00BC4B5C">
            <w:pPr>
              <w:pStyle w:val="NormalSS"/>
              <w:tabs>
                <w:tab w:val="clear" w:pos="432"/>
                <w:tab w:val="left" w:pos="720"/>
              </w:tabs>
              <w:jc w:val="left"/>
              <w:rPr>
                <w:szCs w:val="24"/>
              </w:rPr>
            </w:pPr>
            <w:r>
              <w:rPr>
                <w:szCs w:val="24"/>
              </w:rPr>
              <w:t>$</w:t>
            </w:r>
            <w:r w:rsidR="00BC4B5C">
              <w:rPr>
                <w:szCs w:val="24"/>
              </w:rPr>
              <w:t>39.61</w:t>
            </w:r>
          </w:p>
        </w:tc>
        <w:tc>
          <w:tcPr>
            <w:tcW w:w="1682" w:type="dxa"/>
          </w:tcPr>
          <w:p w:rsidR="00ED641D" w:rsidRDefault="00ED641D" w:rsidP="005972D3">
            <w:pPr>
              <w:pStyle w:val="NormalSS"/>
              <w:tabs>
                <w:tab w:val="clear" w:pos="432"/>
                <w:tab w:val="left" w:pos="720"/>
              </w:tabs>
              <w:jc w:val="left"/>
              <w:rPr>
                <w:szCs w:val="24"/>
              </w:rPr>
            </w:pPr>
            <w:r>
              <w:rPr>
                <w:szCs w:val="24"/>
              </w:rPr>
              <w:t>$</w:t>
            </w:r>
            <w:r w:rsidR="00BC4B5C">
              <w:rPr>
                <w:szCs w:val="24"/>
              </w:rPr>
              <w:t>15,844</w:t>
            </w:r>
          </w:p>
          <w:p w:rsidR="00ED641D" w:rsidRDefault="00ED641D" w:rsidP="00ED641D"/>
        </w:tc>
        <w:tc>
          <w:tcPr>
            <w:tcW w:w="1682" w:type="dxa"/>
          </w:tcPr>
          <w:p w:rsidR="00ED641D" w:rsidRDefault="00ED641D" w:rsidP="004B0815">
            <w:pPr>
              <w:pStyle w:val="NormalSS"/>
              <w:tabs>
                <w:tab w:val="clear" w:pos="432"/>
                <w:tab w:val="left" w:pos="720"/>
              </w:tabs>
              <w:jc w:val="left"/>
              <w:rPr>
                <w:szCs w:val="24"/>
              </w:rPr>
            </w:pPr>
            <w:r>
              <w:rPr>
                <w:szCs w:val="24"/>
              </w:rPr>
              <w:t>$1,200</w:t>
            </w:r>
          </w:p>
        </w:tc>
        <w:tc>
          <w:tcPr>
            <w:tcW w:w="1952" w:type="dxa"/>
          </w:tcPr>
          <w:p w:rsidR="00ED641D" w:rsidRDefault="00ED641D" w:rsidP="00BC4B5C">
            <w:pPr>
              <w:pStyle w:val="NormalSS"/>
              <w:tabs>
                <w:tab w:val="clear" w:pos="432"/>
                <w:tab w:val="left" w:pos="720"/>
              </w:tabs>
              <w:jc w:val="left"/>
              <w:rPr>
                <w:szCs w:val="24"/>
              </w:rPr>
            </w:pPr>
            <w:r>
              <w:rPr>
                <w:szCs w:val="24"/>
              </w:rPr>
              <w:t>$</w:t>
            </w:r>
            <w:r w:rsidR="00BC4B5C">
              <w:rPr>
                <w:szCs w:val="24"/>
              </w:rPr>
              <w:t>17,044</w:t>
            </w:r>
          </w:p>
        </w:tc>
      </w:tr>
    </w:tbl>
    <w:p w:rsidR="00BC4B5C" w:rsidRDefault="00BC4B5C" w:rsidP="005360C4">
      <w:pPr>
        <w:pStyle w:val="NormalSS"/>
        <w:tabs>
          <w:tab w:val="clear" w:pos="432"/>
          <w:tab w:val="left" w:pos="720"/>
        </w:tabs>
        <w:ind w:left="540"/>
        <w:jc w:val="left"/>
        <w:rPr>
          <w:szCs w:val="24"/>
        </w:rPr>
      </w:pPr>
      <w:r>
        <w:rPr>
          <w:szCs w:val="24"/>
        </w:rPr>
        <w:t xml:space="preserve">* This represents the hourly wage of an employee at the GS-12, Step 3 located in Washington, DC. </w:t>
      </w:r>
    </w:p>
    <w:p w:rsidR="00D6689E" w:rsidRDefault="00D6689E" w:rsidP="00BC4B5C">
      <w:pPr>
        <w:pStyle w:val="NormalSS"/>
        <w:tabs>
          <w:tab w:val="clear" w:pos="432"/>
          <w:tab w:val="left" w:pos="720"/>
        </w:tabs>
        <w:ind w:left="540"/>
        <w:jc w:val="left"/>
        <w:rPr>
          <w:szCs w:val="24"/>
        </w:rPr>
      </w:pPr>
      <w:r>
        <w:rPr>
          <w:szCs w:val="24"/>
        </w:rPr>
        <w:t xml:space="preserve">The source for this is available here: </w:t>
      </w:r>
      <w:r w:rsidRPr="00D6689E">
        <w:rPr>
          <w:szCs w:val="24"/>
        </w:rPr>
        <w:t>https://www.opm.gov/policy-data-oversight/pay-leave/salaries-wages/salary-tables/16Tables/html/DCB_h.aspx</w:t>
      </w:r>
    </w:p>
    <w:p w:rsidR="00BC4B5C" w:rsidRDefault="00BC4B5C" w:rsidP="005972D3">
      <w:pPr>
        <w:pStyle w:val="NormalSS"/>
        <w:tabs>
          <w:tab w:val="clear" w:pos="432"/>
          <w:tab w:val="left" w:pos="720"/>
        </w:tabs>
        <w:ind w:left="540"/>
        <w:jc w:val="left"/>
        <w:rPr>
          <w:szCs w:val="24"/>
        </w:rPr>
      </w:pPr>
    </w:p>
    <w:p w:rsidR="00EA78D2" w:rsidRPr="008F4D44" w:rsidRDefault="007F12A0" w:rsidP="007F12A0">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rsidR="00EA78D2" w:rsidRDefault="00EA78D2" w:rsidP="008A4185">
      <w:pPr>
        <w:autoSpaceDE w:val="0"/>
        <w:autoSpaceDN w:val="0"/>
        <w:adjustRightInd w:val="0"/>
        <w:ind w:left="540"/>
      </w:pPr>
    </w:p>
    <w:p w:rsidR="00A73C31" w:rsidRDefault="0044320C" w:rsidP="008A4185">
      <w:pPr>
        <w:autoSpaceDE w:val="0"/>
        <w:autoSpaceDN w:val="0"/>
        <w:adjustRightInd w:val="0"/>
        <w:ind w:left="540"/>
      </w:pPr>
      <w:r w:rsidRPr="0054679F">
        <w:rPr>
          <w:u w:val="single"/>
        </w:rPr>
        <w:t>Item 12</w:t>
      </w:r>
      <w:r>
        <w:t xml:space="preserve"> </w:t>
      </w:r>
    </w:p>
    <w:p w:rsidR="008A4185" w:rsidRDefault="009C557D" w:rsidP="00895A05">
      <w:pPr>
        <w:pStyle w:val="ListParagraph"/>
        <w:numPr>
          <w:ilvl w:val="0"/>
          <w:numId w:val="5"/>
        </w:numPr>
        <w:autoSpaceDE w:val="0"/>
        <w:autoSpaceDN w:val="0"/>
        <w:adjustRightInd w:val="0"/>
      </w:pPr>
      <w:r>
        <w:t>Time</w:t>
      </w:r>
      <w:r w:rsidR="00A73C31">
        <w:t xml:space="preserve"> burde</w:t>
      </w:r>
      <w:r w:rsidR="0044320C">
        <w:t>n</w:t>
      </w:r>
      <w:r w:rsidR="00B42BD5">
        <w:t xml:space="preserve"> </w:t>
      </w:r>
      <w:r w:rsidR="0044320C">
        <w:t>established in</w:t>
      </w:r>
      <w:r w:rsidR="00A73C31">
        <w:t xml:space="preserve"> Table 12B</w:t>
      </w:r>
      <w:r>
        <w:t xml:space="preserve"> of proposed ICR</w:t>
      </w:r>
      <w:r w:rsidR="00A73C31">
        <w:t xml:space="preserve"> </w:t>
      </w:r>
      <w:r w:rsidR="0044320C">
        <w:t>above differs from previous estimate</w:t>
      </w:r>
      <w:r w:rsidR="00116060">
        <w:t xml:space="preserve"> b</w:t>
      </w:r>
      <w:r w:rsidR="00E869C9">
        <w:t xml:space="preserve">ecause of changes to estimated </w:t>
      </w:r>
      <w:r w:rsidR="00116060">
        <w:t>number of responses</w:t>
      </w:r>
      <w:r w:rsidR="0044320C">
        <w:t>. The</w:t>
      </w:r>
      <w:r>
        <w:t xml:space="preserve"> previously approved collection provided</w:t>
      </w:r>
      <w:r w:rsidR="0044320C">
        <w:t xml:space="preserve"> an estimate of </w:t>
      </w:r>
      <w:r w:rsidR="00116060">
        <w:t>responses</w:t>
      </w:r>
      <w:r w:rsidR="0044320C">
        <w:t xml:space="preserve"> based on total number of </w:t>
      </w:r>
      <w:r w:rsidR="00116060" w:rsidRPr="00322DC7">
        <w:rPr>
          <w:i/>
        </w:rPr>
        <w:t>records</w:t>
      </w:r>
      <w:r w:rsidR="00116060">
        <w:t xml:space="preserve"> reported</w:t>
      </w:r>
      <w:r w:rsidR="00B42BD5">
        <w:t xml:space="preserve"> annually (450,000</w:t>
      </w:r>
      <w:r w:rsidR="00116060">
        <w:t xml:space="preserve">) rather than </w:t>
      </w:r>
      <w:r>
        <w:t xml:space="preserve">participants </w:t>
      </w:r>
      <w:r w:rsidR="00116060">
        <w:t>(who re</w:t>
      </w:r>
      <w:r w:rsidR="00E869C9">
        <w:t>present third party disclosure)</w:t>
      </w:r>
      <w:r w:rsidR="00116060">
        <w:t>. A</w:t>
      </w:r>
      <w:r>
        <w:t xml:space="preserve"> single participant will be represented</w:t>
      </w:r>
      <w:r w:rsidR="00116060">
        <w:t xml:space="preserve"> repeatedly</w:t>
      </w:r>
      <w:r>
        <w:t xml:space="preserve"> in </w:t>
      </w:r>
      <w:r w:rsidR="00E869C9">
        <w:t xml:space="preserve">successive </w:t>
      </w:r>
      <w:r>
        <w:t>quarterly records</w:t>
      </w:r>
      <w:r w:rsidR="00322DC7">
        <w:t>, but the input provided by the participant is generally “one time</w:t>
      </w:r>
      <w:r w:rsidR="00A06C96">
        <w:t>.</w:t>
      </w:r>
      <w:r w:rsidR="00322DC7">
        <w:t>”</w:t>
      </w:r>
      <w:r>
        <w:t xml:space="preserve">   </w:t>
      </w:r>
      <w:r w:rsidR="00B42BD5">
        <w:t xml:space="preserve">Based on current reporting volumes, the correct number of </w:t>
      </w:r>
      <w:r w:rsidR="00AE0D62">
        <w:t xml:space="preserve">unique </w:t>
      </w:r>
      <w:r w:rsidR="0044320C">
        <w:t xml:space="preserve">respondents </w:t>
      </w:r>
      <w:r w:rsidR="00B42BD5">
        <w:t>subject to data collection</w:t>
      </w:r>
      <w:r w:rsidR="0044320C">
        <w:t xml:space="preserve"> for </w:t>
      </w:r>
      <w:r w:rsidR="00116060">
        <w:t xml:space="preserve">third party disclosure </w:t>
      </w:r>
      <w:r w:rsidR="00B42BD5">
        <w:t>is 50,000</w:t>
      </w:r>
      <w:r w:rsidR="00A06C96">
        <w:t xml:space="preserve"> annually</w:t>
      </w:r>
      <w:r w:rsidR="00B42BD5">
        <w:t xml:space="preserve">. </w:t>
      </w:r>
      <w:r>
        <w:t>Correspondingly, the</w:t>
      </w:r>
      <w:r w:rsidR="00AE0D62">
        <w:t xml:space="preserve"> </w:t>
      </w:r>
      <w:r w:rsidR="0044320C">
        <w:t xml:space="preserve">time </w:t>
      </w:r>
      <w:r w:rsidR="00AE0D62">
        <w:t>burden for each</w:t>
      </w:r>
      <w:r w:rsidR="00FD4FA5">
        <w:t xml:space="preserve"> </w:t>
      </w:r>
      <w:r>
        <w:t>unique “participant” respondent</w:t>
      </w:r>
      <w:r w:rsidR="00AE0D62">
        <w:t xml:space="preserve"> </w:t>
      </w:r>
      <w:r w:rsidR="0044320C">
        <w:t>is estimated at</w:t>
      </w:r>
      <w:r w:rsidR="00AE0D62">
        <w:t xml:space="preserve"> 12 minutes, or </w:t>
      </w:r>
      <w:r w:rsidR="00D435F6">
        <w:t>0</w:t>
      </w:r>
      <w:r w:rsidR="00AE0D62">
        <w:t xml:space="preserve">.2 hours. This </w:t>
      </w:r>
      <w:r w:rsidR="00FD4FA5">
        <w:t>leads to a net increase for the “participant” level time burden of 1,000 hours</w:t>
      </w:r>
      <w:r w:rsidR="00116060">
        <w:t>.</w:t>
      </w:r>
    </w:p>
    <w:p w:rsidR="00867AA4" w:rsidRDefault="00867AA4" w:rsidP="008A4185">
      <w:pPr>
        <w:autoSpaceDE w:val="0"/>
        <w:autoSpaceDN w:val="0"/>
        <w:adjustRightInd w:val="0"/>
        <w:ind w:left="540"/>
      </w:pPr>
    </w:p>
    <w:p w:rsidR="006631D2" w:rsidRDefault="00393F0A" w:rsidP="0054679F">
      <w:pPr>
        <w:pStyle w:val="ListParagraph"/>
        <w:numPr>
          <w:ilvl w:val="0"/>
          <w:numId w:val="5"/>
        </w:numPr>
      </w:pPr>
      <w:r>
        <w:t>Salary</w:t>
      </w:r>
      <w:r w:rsidR="009C557D">
        <w:t xml:space="preserve"> for </w:t>
      </w:r>
      <w:r>
        <w:t xml:space="preserve">proposed </w:t>
      </w:r>
      <w:r w:rsidR="009C557D">
        <w:t>hour burden estimated in Table 12A</w:t>
      </w:r>
      <w:r>
        <w:t>: State Data Collection</w:t>
      </w:r>
      <w:r w:rsidR="009C557D">
        <w:t xml:space="preserve"> and 12C</w:t>
      </w:r>
      <w:r>
        <w:t>: State Reporting</w:t>
      </w:r>
      <w:r w:rsidR="00975070">
        <w:t xml:space="preserve"> </w:t>
      </w:r>
      <w:r w:rsidR="00116060">
        <w:t xml:space="preserve"> has been revised down from</w:t>
      </w:r>
      <w:r w:rsidR="009C557D">
        <w:t xml:space="preserve"> $39.17</w:t>
      </w:r>
      <w:r w:rsidR="00116060">
        <w:t xml:space="preserve"> to $25.50  to align with </w:t>
      </w:r>
      <w:r w:rsidR="006631D2">
        <w:t xml:space="preserve"> estimates for the </w:t>
      </w:r>
      <w:r w:rsidR="006631D2" w:rsidRPr="0054679F">
        <w:t>DOL-only Performance Accountability, Information, and Reporting System</w:t>
      </w:r>
      <w:r w:rsidR="00286F77">
        <w:t xml:space="preserve"> </w:t>
      </w:r>
      <w:r w:rsidR="00636299" w:rsidRPr="0054679F">
        <w:t>(OMB No. 1205-0521</w:t>
      </w:r>
      <w:r w:rsidR="00116060">
        <w:t>)</w:t>
      </w:r>
    </w:p>
    <w:p w:rsidR="00393F0A" w:rsidRDefault="00393F0A" w:rsidP="0054679F">
      <w:pPr>
        <w:ind w:left="540"/>
      </w:pPr>
    </w:p>
    <w:p w:rsidR="00393F0A" w:rsidRDefault="00393F0A" w:rsidP="0054679F">
      <w:pPr>
        <w:pStyle w:val="ListParagraph"/>
        <w:numPr>
          <w:ilvl w:val="0"/>
          <w:numId w:val="5"/>
        </w:numPr>
      </w:pPr>
      <w:r>
        <w:t>Salary for proposed hour burden estimated in Table 12B: Third Party Disclosure was revised down from $7.50 per hour to $7.25 to reflect the current Minimum Wage</w:t>
      </w:r>
      <w:r w:rsidR="00286F77">
        <w:t xml:space="preserve">, in a manner that mirrors </w:t>
      </w:r>
      <w:r w:rsidR="00286F77" w:rsidRPr="0008459D">
        <w:t>OMB No. 1205-0521</w:t>
      </w:r>
      <w:r w:rsidR="00C678AF">
        <w:t xml:space="preserve">, referenced above. </w:t>
      </w:r>
    </w:p>
    <w:p w:rsidR="00393F0A" w:rsidRDefault="00393F0A" w:rsidP="0054679F">
      <w:pPr>
        <w:pStyle w:val="ListParagraph"/>
      </w:pPr>
    </w:p>
    <w:p w:rsidR="00D435F6" w:rsidRDefault="00D435F6" w:rsidP="0054679F">
      <w:pPr>
        <w:pStyle w:val="ListParagraph"/>
      </w:pPr>
    </w:p>
    <w:tbl>
      <w:tblPr>
        <w:tblW w:w="7300" w:type="dxa"/>
        <w:tblInd w:w="1184" w:type="dxa"/>
        <w:tblCellMar>
          <w:left w:w="115" w:type="dxa"/>
          <w:right w:w="115" w:type="dxa"/>
        </w:tblCellMar>
        <w:tblLook w:val="04A0" w:firstRow="1" w:lastRow="0" w:firstColumn="1" w:lastColumn="0" w:noHBand="0" w:noVBand="1"/>
      </w:tblPr>
      <w:tblGrid>
        <w:gridCol w:w="1454"/>
        <w:gridCol w:w="1294"/>
        <w:gridCol w:w="1074"/>
        <w:gridCol w:w="889"/>
        <w:gridCol w:w="869"/>
        <w:gridCol w:w="1720"/>
      </w:tblGrid>
      <w:tr w:rsidR="00F22B1B" w:rsidRPr="00F22B1B" w:rsidTr="0054679F">
        <w:trPr>
          <w:trHeight w:val="315"/>
        </w:trPr>
        <w:tc>
          <w:tcPr>
            <w:tcW w:w="730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22B1B" w:rsidRDefault="00F22B1B" w:rsidP="0054679F">
            <w:pPr>
              <w:rPr>
                <w:color w:val="000000"/>
                <w:sz w:val="22"/>
                <w:szCs w:val="22"/>
              </w:rPr>
            </w:pPr>
            <w:r>
              <w:rPr>
                <w:color w:val="000000"/>
                <w:sz w:val="22"/>
                <w:szCs w:val="22"/>
              </w:rPr>
              <w:t>CHANGES TO BURDEN</w:t>
            </w:r>
          </w:p>
          <w:p w:rsidR="00F22B1B" w:rsidRDefault="00F22B1B" w:rsidP="0054679F">
            <w:pPr>
              <w:pStyle w:val="ListParagraph"/>
              <w:numPr>
                <w:ilvl w:val="0"/>
                <w:numId w:val="6"/>
              </w:numPr>
              <w:tabs>
                <w:tab w:val="left" w:pos="2686"/>
              </w:tabs>
              <w:ind w:left="256" w:hanging="256"/>
              <w:rPr>
                <w:color w:val="000000"/>
                <w:sz w:val="22"/>
                <w:szCs w:val="22"/>
              </w:rPr>
            </w:pPr>
            <w:r>
              <w:rPr>
                <w:color w:val="000000"/>
                <w:sz w:val="22"/>
                <w:szCs w:val="22"/>
              </w:rPr>
              <w:t>Proposed Burden unshaded</w:t>
            </w:r>
          </w:p>
          <w:p w:rsidR="00F22B1B" w:rsidRPr="00D435F6" w:rsidRDefault="00F22B1B" w:rsidP="0054679F">
            <w:pPr>
              <w:pStyle w:val="ListParagraph"/>
              <w:numPr>
                <w:ilvl w:val="0"/>
                <w:numId w:val="6"/>
              </w:numPr>
              <w:tabs>
                <w:tab w:val="left" w:pos="2686"/>
              </w:tabs>
              <w:ind w:left="256" w:hanging="256"/>
              <w:rPr>
                <w:color w:val="000000"/>
                <w:sz w:val="22"/>
                <w:szCs w:val="22"/>
              </w:rPr>
            </w:pPr>
            <w:r w:rsidRPr="00D435F6">
              <w:rPr>
                <w:color w:val="000000"/>
                <w:sz w:val="22"/>
                <w:szCs w:val="22"/>
              </w:rPr>
              <w:t>Current Burden shaded in grey</w:t>
            </w:r>
          </w:p>
          <w:p w:rsidR="00393F0A" w:rsidRPr="0054679F" w:rsidRDefault="00116060" w:rsidP="0054679F">
            <w:pPr>
              <w:pStyle w:val="ListParagraph"/>
              <w:numPr>
                <w:ilvl w:val="0"/>
                <w:numId w:val="6"/>
              </w:numPr>
              <w:tabs>
                <w:tab w:val="left" w:pos="256"/>
              </w:tabs>
              <w:ind w:left="2686" w:hanging="2686"/>
              <w:rPr>
                <w:color w:val="000000"/>
                <w:sz w:val="22"/>
                <w:szCs w:val="22"/>
              </w:rPr>
            </w:pPr>
            <w:r>
              <w:rPr>
                <w:color w:val="000000"/>
                <w:sz w:val="22"/>
                <w:szCs w:val="22"/>
              </w:rPr>
              <w:t>Current Burden numbers that differ from Proposed Burden are in italics</w:t>
            </w:r>
          </w:p>
        </w:tc>
      </w:tr>
      <w:tr w:rsidR="00F22B1B" w:rsidRPr="00F22B1B" w:rsidTr="0054679F">
        <w:trPr>
          <w:trHeight w:val="915"/>
        </w:trPr>
        <w:tc>
          <w:tcPr>
            <w:tcW w:w="1455" w:type="dxa"/>
            <w:tcBorders>
              <w:top w:val="nil"/>
              <w:left w:val="single" w:sz="8" w:space="0" w:color="auto"/>
              <w:bottom w:val="single" w:sz="8" w:space="0" w:color="auto"/>
              <w:right w:val="single" w:sz="8" w:space="0" w:color="auto"/>
            </w:tcBorders>
            <w:shd w:val="clear" w:color="auto" w:fill="auto"/>
            <w:vAlign w:val="center"/>
            <w:hideMark/>
          </w:tcPr>
          <w:p w:rsidR="00F22B1B" w:rsidRPr="00F22B1B" w:rsidRDefault="00F22B1B" w:rsidP="00F22B1B">
            <w:pPr>
              <w:rPr>
                <w:color w:val="000000"/>
                <w:sz w:val="22"/>
                <w:szCs w:val="22"/>
              </w:rPr>
            </w:pPr>
            <w:r w:rsidRPr="00F22B1B">
              <w:rPr>
                <w:color w:val="000000"/>
                <w:sz w:val="22"/>
                <w:szCs w:val="22"/>
              </w:rPr>
              <w:t> </w:t>
            </w:r>
          </w:p>
        </w:tc>
        <w:tc>
          <w:tcPr>
            <w:tcW w:w="1280" w:type="dxa"/>
            <w:tcBorders>
              <w:top w:val="nil"/>
              <w:left w:val="nil"/>
              <w:bottom w:val="single" w:sz="8" w:space="0" w:color="auto"/>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Annual Responses</w:t>
            </w:r>
          </w:p>
        </w:tc>
        <w:tc>
          <w:tcPr>
            <w:tcW w:w="1060" w:type="dxa"/>
            <w:tcBorders>
              <w:top w:val="nil"/>
              <w:left w:val="nil"/>
              <w:bottom w:val="single" w:sz="8" w:space="0" w:color="auto"/>
              <w:right w:val="single" w:sz="8" w:space="0" w:color="auto"/>
            </w:tcBorders>
            <w:shd w:val="clear" w:color="auto" w:fill="auto"/>
            <w:vAlign w:val="center"/>
            <w:hideMark/>
          </w:tcPr>
          <w:p w:rsidR="00F22B1B" w:rsidRDefault="00F22B1B" w:rsidP="00F22B1B">
            <w:pPr>
              <w:jc w:val="right"/>
              <w:rPr>
                <w:color w:val="000000"/>
                <w:sz w:val="22"/>
                <w:szCs w:val="22"/>
              </w:rPr>
            </w:pPr>
            <w:r w:rsidRPr="00F22B1B">
              <w:rPr>
                <w:color w:val="000000"/>
                <w:sz w:val="22"/>
                <w:szCs w:val="22"/>
              </w:rPr>
              <w:t>Time per Response</w:t>
            </w:r>
          </w:p>
          <w:p w:rsidR="00C678AF" w:rsidRPr="00F22B1B" w:rsidRDefault="00C678AF" w:rsidP="00F22B1B">
            <w:pPr>
              <w:jc w:val="right"/>
              <w:rPr>
                <w:color w:val="000000"/>
                <w:sz w:val="22"/>
                <w:szCs w:val="22"/>
              </w:rPr>
            </w:pPr>
            <w:r>
              <w:rPr>
                <w:color w:val="000000"/>
                <w:sz w:val="22"/>
                <w:szCs w:val="22"/>
              </w:rPr>
              <w:t>(Hours)</w:t>
            </w:r>
          </w:p>
        </w:tc>
        <w:tc>
          <w:tcPr>
            <w:tcW w:w="900" w:type="dxa"/>
            <w:tcBorders>
              <w:top w:val="nil"/>
              <w:left w:val="nil"/>
              <w:bottom w:val="single" w:sz="8" w:space="0" w:color="auto"/>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Annual Burden Hours</w:t>
            </w:r>
          </w:p>
        </w:tc>
        <w:tc>
          <w:tcPr>
            <w:tcW w:w="885" w:type="dxa"/>
            <w:tcBorders>
              <w:top w:val="nil"/>
              <w:left w:val="nil"/>
              <w:bottom w:val="single" w:sz="8" w:space="0" w:color="auto"/>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Hourly Rate</w:t>
            </w:r>
          </w:p>
        </w:tc>
        <w:tc>
          <w:tcPr>
            <w:tcW w:w="1720" w:type="dxa"/>
            <w:tcBorders>
              <w:top w:val="nil"/>
              <w:left w:val="nil"/>
              <w:bottom w:val="single" w:sz="8" w:space="0" w:color="auto"/>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Monetized Value of Hour Burden</w:t>
            </w:r>
          </w:p>
        </w:tc>
      </w:tr>
      <w:tr w:rsidR="00F22B1B" w:rsidRPr="00F22B1B" w:rsidTr="0054679F">
        <w:trPr>
          <w:trHeight w:val="412"/>
        </w:trPr>
        <w:tc>
          <w:tcPr>
            <w:tcW w:w="1455" w:type="dxa"/>
            <w:vMerge w:val="restart"/>
            <w:tcBorders>
              <w:top w:val="nil"/>
              <w:left w:val="single" w:sz="8" w:space="0" w:color="auto"/>
              <w:bottom w:val="single" w:sz="8" w:space="0" w:color="000000"/>
              <w:right w:val="single" w:sz="8" w:space="0" w:color="auto"/>
            </w:tcBorders>
            <w:shd w:val="clear" w:color="auto" w:fill="auto"/>
            <w:vAlign w:val="center"/>
            <w:hideMark/>
          </w:tcPr>
          <w:p w:rsidR="00F22B1B" w:rsidRPr="00F22B1B" w:rsidRDefault="00F22B1B" w:rsidP="00F22B1B">
            <w:pPr>
              <w:rPr>
                <w:color w:val="000000"/>
                <w:sz w:val="22"/>
                <w:szCs w:val="22"/>
              </w:rPr>
            </w:pPr>
            <w:r w:rsidRPr="00F22B1B">
              <w:rPr>
                <w:color w:val="000000"/>
                <w:sz w:val="22"/>
                <w:szCs w:val="22"/>
              </w:rPr>
              <w:lastRenderedPageBreak/>
              <w:t>State Data Record Collection</w:t>
            </w:r>
          </w:p>
        </w:tc>
        <w:tc>
          <w:tcPr>
            <w:tcW w:w="1280" w:type="dxa"/>
            <w:tcBorders>
              <w:top w:val="nil"/>
              <w:left w:val="nil"/>
              <w:bottom w:val="nil"/>
              <w:right w:val="single" w:sz="8" w:space="0" w:color="auto"/>
            </w:tcBorders>
            <w:shd w:val="clear" w:color="auto" w:fill="auto"/>
            <w:vAlign w:val="center"/>
            <w:hideMark/>
          </w:tcPr>
          <w:p w:rsidR="00F22B1B" w:rsidRPr="00F22B1B" w:rsidRDefault="00704D1A" w:rsidP="00F22B1B">
            <w:pPr>
              <w:jc w:val="right"/>
              <w:rPr>
                <w:color w:val="000000"/>
                <w:sz w:val="22"/>
                <w:szCs w:val="22"/>
              </w:rPr>
            </w:pPr>
            <w:r>
              <w:rPr>
                <w:color w:val="000000"/>
                <w:sz w:val="22"/>
                <w:szCs w:val="22"/>
              </w:rPr>
              <w:t>400</w:t>
            </w:r>
            <w:r w:rsidR="00F22B1B" w:rsidRPr="00F22B1B">
              <w:rPr>
                <w:color w:val="000000"/>
                <w:sz w:val="22"/>
                <w:szCs w:val="22"/>
              </w:rPr>
              <w:t>,000</w:t>
            </w:r>
          </w:p>
        </w:tc>
        <w:tc>
          <w:tcPr>
            <w:tcW w:w="106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0.02</w:t>
            </w:r>
          </w:p>
        </w:tc>
        <w:tc>
          <w:tcPr>
            <w:tcW w:w="900" w:type="dxa"/>
            <w:tcBorders>
              <w:top w:val="nil"/>
              <w:left w:val="nil"/>
              <w:bottom w:val="nil"/>
              <w:right w:val="single" w:sz="8" w:space="0" w:color="auto"/>
            </w:tcBorders>
            <w:shd w:val="clear" w:color="auto" w:fill="auto"/>
            <w:vAlign w:val="center"/>
            <w:hideMark/>
          </w:tcPr>
          <w:p w:rsidR="00F22B1B" w:rsidRPr="00F22B1B" w:rsidRDefault="00704D1A" w:rsidP="00F22B1B">
            <w:pPr>
              <w:jc w:val="right"/>
              <w:rPr>
                <w:color w:val="000000"/>
                <w:sz w:val="22"/>
                <w:szCs w:val="22"/>
              </w:rPr>
            </w:pPr>
            <w:r>
              <w:rPr>
                <w:color w:val="000000"/>
                <w:sz w:val="22"/>
                <w:szCs w:val="22"/>
              </w:rPr>
              <w:t>8</w:t>
            </w:r>
            <w:r w:rsidR="00791871">
              <w:rPr>
                <w:color w:val="000000"/>
                <w:sz w:val="22"/>
                <w:szCs w:val="22"/>
              </w:rPr>
              <w:t>,</w:t>
            </w:r>
            <w:r w:rsidR="00F22B1B" w:rsidRPr="00F22B1B">
              <w:rPr>
                <w:color w:val="000000"/>
                <w:sz w:val="22"/>
                <w:szCs w:val="22"/>
              </w:rPr>
              <w:t>000</w:t>
            </w:r>
          </w:p>
        </w:tc>
        <w:tc>
          <w:tcPr>
            <w:tcW w:w="885"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xml:space="preserve">$25.50 </w:t>
            </w:r>
          </w:p>
        </w:tc>
        <w:tc>
          <w:tcPr>
            <w:tcW w:w="1720" w:type="dxa"/>
            <w:tcBorders>
              <w:top w:val="nil"/>
              <w:left w:val="nil"/>
              <w:bottom w:val="nil"/>
              <w:right w:val="single" w:sz="8" w:space="0" w:color="auto"/>
            </w:tcBorders>
            <w:shd w:val="clear" w:color="auto" w:fill="auto"/>
            <w:vAlign w:val="center"/>
            <w:hideMark/>
          </w:tcPr>
          <w:p w:rsidR="00F22B1B" w:rsidRPr="00F22B1B" w:rsidRDefault="00F22B1B" w:rsidP="00704D1A">
            <w:pPr>
              <w:jc w:val="right"/>
              <w:rPr>
                <w:color w:val="000000"/>
                <w:sz w:val="22"/>
                <w:szCs w:val="22"/>
              </w:rPr>
            </w:pPr>
            <w:r w:rsidRPr="00F22B1B">
              <w:rPr>
                <w:color w:val="000000"/>
                <w:sz w:val="22"/>
                <w:szCs w:val="22"/>
              </w:rPr>
              <w:t>$2</w:t>
            </w:r>
            <w:r w:rsidR="00704D1A">
              <w:rPr>
                <w:color w:val="000000"/>
                <w:sz w:val="22"/>
                <w:szCs w:val="22"/>
              </w:rPr>
              <w:t>04</w:t>
            </w:r>
            <w:r w:rsidRPr="00F22B1B">
              <w:rPr>
                <w:color w:val="000000"/>
                <w:sz w:val="22"/>
                <w:szCs w:val="22"/>
              </w:rPr>
              <w:t>,</w:t>
            </w:r>
            <w:r w:rsidR="00704D1A">
              <w:rPr>
                <w:color w:val="000000"/>
                <w:sz w:val="22"/>
                <w:szCs w:val="22"/>
              </w:rPr>
              <w:t>0</w:t>
            </w:r>
            <w:r w:rsidRPr="00F22B1B">
              <w:rPr>
                <w:color w:val="000000"/>
                <w:sz w:val="22"/>
                <w:szCs w:val="22"/>
              </w:rPr>
              <w:t xml:space="preserve">00 </w:t>
            </w:r>
          </w:p>
        </w:tc>
      </w:tr>
      <w:tr w:rsidR="00F22B1B" w:rsidRPr="00F22B1B" w:rsidTr="0054679F">
        <w:trPr>
          <w:trHeight w:val="315"/>
        </w:trPr>
        <w:tc>
          <w:tcPr>
            <w:tcW w:w="1455" w:type="dxa"/>
            <w:vMerge/>
            <w:tcBorders>
              <w:top w:val="nil"/>
              <w:left w:val="single" w:sz="8" w:space="0" w:color="auto"/>
              <w:bottom w:val="single" w:sz="8" w:space="0" w:color="000000"/>
              <w:right w:val="single" w:sz="8" w:space="0" w:color="auto"/>
            </w:tcBorders>
            <w:vAlign w:val="center"/>
            <w:hideMark/>
          </w:tcPr>
          <w:p w:rsidR="00F22B1B" w:rsidRPr="00F22B1B" w:rsidRDefault="00F22B1B" w:rsidP="00F22B1B">
            <w:pPr>
              <w:rPr>
                <w:color w:val="000000"/>
                <w:sz w:val="22"/>
                <w:szCs w:val="22"/>
              </w:rPr>
            </w:pPr>
          </w:p>
        </w:tc>
        <w:tc>
          <w:tcPr>
            <w:tcW w:w="128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450,000</w:t>
            </w:r>
          </w:p>
        </w:tc>
        <w:tc>
          <w:tcPr>
            <w:tcW w:w="106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0.02</w:t>
            </w:r>
          </w:p>
        </w:tc>
        <w:tc>
          <w:tcPr>
            <w:tcW w:w="90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9</w:t>
            </w:r>
            <w:r w:rsidR="00791871">
              <w:rPr>
                <w:color w:val="404040"/>
                <w:sz w:val="22"/>
                <w:szCs w:val="22"/>
              </w:rPr>
              <w:t>,</w:t>
            </w:r>
            <w:r w:rsidRPr="00F22B1B">
              <w:rPr>
                <w:color w:val="404040"/>
                <w:sz w:val="22"/>
                <w:szCs w:val="22"/>
              </w:rPr>
              <w:t>000</w:t>
            </w:r>
          </w:p>
        </w:tc>
        <w:tc>
          <w:tcPr>
            <w:tcW w:w="885"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i/>
                <w:iCs/>
                <w:color w:val="404040"/>
                <w:sz w:val="22"/>
                <w:szCs w:val="22"/>
              </w:rPr>
            </w:pPr>
            <w:r w:rsidRPr="00F22B1B">
              <w:rPr>
                <w:i/>
                <w:iCs/>
                <w:color w:val="404040"/>
                <w:sz w:val="22"/>
                <w:szCs w:val="22"/>
              </w:rPr>
              <w:t xml:space="preserve">$39.17 </w:t>
            </w:r>
          </w:p>
        </w:tc>
        <w:tc>
          <w:tcPr>
            <w:tcW w:w="172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i/>
                <w:iCs/>
                <w:color w:val="404040"/>
                <w:sz w:val="22"/>
                <w:szCs w:val="22"/>
              </w:rPr>
            </w:pPr>
            <w:r w:rsidRPr="00F22B1B">
              <w:rPr>
                <w:i/>
                <w:iCs/>
                <w:color w:val="404040"/>
                <w:sz w:val="22"/>
                <w:szCs w:val="22"/>
              </w:rPr>
              <w:t xml:space="preserve">$352,530 </w:t>
            </w:r>
          </w:p>
        </w:tc>
      </w:tr>
      <w:tr w:rsidR="00F22B1B" w:rsidRPr="00F22B1B" w:rsidTr="0054679F">
        <w:trPr>
          <w:trHeight w:val="457"/>
        </w:trPr>
        <w:tc>
          <w:tcPr>
            <w:tcW w:w="1455" w:type="dxa"/>
            <w:vMerge w:val="restart"/>
            <w:tcBorders>
              <w:top w:val="nil"/>
              <w:left w:val="single" w:sz="8" w:space="0" w:color="auto"/>
              <w:bottom w:val="single" w:sz="8" w:space="0" w:color="000000"/>
              <w:right w:val="single" w:sz="8" w:space="0" w:color="auto"/>
            </w:tcBorders>
            <w:shd w:val="clear" w:color="auto" w:fill="auto"/>
            <w:vAlign w:val="center"/>
            <w:hideMark/>
          </w:tcPr>
          <w:p w:rsidR="00F22B1B" w:rsidRPr="00F22B1B" w:rsidRDefault="00F22B1B" w:rsidP="00F22B1B">
            <w:pPr>
              <w:rPr>
                <w:color w:val="000000"/>
                <w:sz w:val="22"/>
                <w:szCs w:val="22"/>
              </w:rPr>
            </w:pPr>
            <w:r w:rsidRPr="00F22B1B">
              <w:rPr>
                <w:color w:val="000000"/>
                <w:sz w:val="22"/>
                <w:szCs w:val="22"/>
              </w:rPr>
              <w:t>Third Party Disclosure</w:t>
            </w:r>
            <w:r w:rsidRPr="00F22B1B">
              <w:rPr>
                <w:color w:val="000000"/>
                <w:sz w:val="22"/>
                <w:szCs w:val="22"/>
              </w:rPr>
              <w:br/>
              <w:t>(participants)</w:t>
            </w:r>
          </w:p>
        </w:tc>
        <w:tc>
          <w:tcPr>
            <w:tcW w:w="128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50,000</w:t>
            </w:r>
          </w:p>
        </w:tc>
        <w:tc>
          <w:tcPr>
            <w:tcW w:w="106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0.2</w:t>
            </w:r>
          </w:p>
        </w:tc>
        <w:tc>
          <w:tcPr>
            <w:tcW w:w="90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10,000</w:t>
            </w:r>
          </w:p>
        </w:tc>
        <w:tc>
          <w:tcPr>
            <w:tcW w:w="885"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xml:space="preserve">$7.25 </w:t>
            </w:r>
          </w:p>
        </w:tc>
        <w:tc>
          <w:tcPr>
            <w:tcW w:w="172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xml:space="preserve">$72,500 </w:t>
            </w:r>
          </w:p>
        </w:tc>
      </w:tr>
      <w:tr w:rsidR="00F22B1B" w:rsidRPr="00F22B1B" w:rsidTr="0054679F">
        <w:trPr>
          <w:trHeight w:val="315"/>
        </w:trPr>
        <w:tc>
          <w:tcPr>
            <w:tcW w:w="1455" w:type="dxa"/>
            <w:vMerge/>
            <w:tcBorders>
              <w:top w:val="nil"/>
              <w:left w:val="single" w:sz="8" w:space="0" w:color="auto"/>
              <w:bottom w:val="single" w:sz="8" w:space="0" w:color="000000"/>
              <w:right w:val="single" w:sz="8" w:space="0" w:color="auto"/>
            </w:tcBorders>
            <w:vAlign w:val="center"/>
            <w:hideMark/>
          </w:tcPr>
          <w:p w:rsidR="00F22B1B" w:rsidRPr="00F22B1B" w:rsidRDefault="00F22B1B" w:rsidP="00F22B1B">
            <w:pPr>
              <w:rPr>
                <w:color w:val="000000"/>
                <w:sz w:val="22"/>
                <w:szCs w:val="22"/>
              </w:rPr>
            </w:pPr>
          </w:p>
        </w:tc>
        <w:tc>
          <w:tcPr>
            <w:tcW w:w="1280" w:type="dxa"/>
            <w:tcBorders>
              <w:top w:val="nil"/>
              <w:left w:val="nil"/>
              <w:bottom w:val="single" w:sz="8" w:space="0" w:color="auto"/>
              <w:right w:val="single" w:sz="8" w:space="0" w:color="auto"/>
            </w:tcBorders>
            <w:shd w:val="clear" w:color="000000" w:fill="D9D9D9"/>
            <w:vAlign w:val="center"/>
            <w:hideMark/>
          </w:tcPr>
          <w:p w:rsidR="00F22B1B" w:rsidRPr="0054679F" w:rsidRDefault="00F22B1B" w:rsidP="00F22B1B">
            <w:pPr>
              <w:jc w:val="right"/>
              <w:rPr>
                <w:i/>
                <w:color w:val="404040"/>
                <w:sz w:val="22"/>
                <w:szCs w:val="22"/>
              </w:rPr>
            </w:pPr>
            <w:r w:rsidRPr="0054679F">
              <w:rPr>
                <w:i/>
                <w:color w:val="404040"/>
                <w:sz w:val="22"/>
                <w:szCs w:val="22"/>
              </w:rPr>
              <w:t>450</w:t>
            </w:r>
            <w:r w:rsidR="00286F77" w:rsidRPr="0054679F">
              <w:rPr>
                <w:i/>
                <w:color w:val="404040"/>
                <w:sz w:val="22"/>
                <w:szCs w:val="22"/>
              </w:rPr>
              <w:t>,</w:t>
            </w:r>
            <w:r w:rsidRPr="0054679F">
              <w:rPr>
                <w:i/>
                <w:color w:val="404040"/>
                <w:sz w:val="22"/>
                <w:szCs w:val="22"/>
              </w:rPr>
              <w:t>000</w:t>
            </w:r>
          </w:p>
        </w:tc>
        <w:tc>
          <w:tcPr>
            <w:tcW w:w="106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0.02</w:t>
            </w:r>
          </w:p>
        </w:tc>
        <w:tc>
          <w:tcPr>
            <w:tcW w:w="900" w:type="dxa"/>
            <w:tcBorders>
              <w:top w:val="nil"/>
              <w:left w:val="nil"/>
              <w:bottom w:val="single" w:sz="8" w:space="0" w:color="auto"/>
              <w:right w:val="single" w:sz="8" w:space="0" w:color="auto"/>
            </w:tcBorders>
            <w:shd w:val="clear" w:color="000000" w:fill="D9D9D9"/>
            <w:vAlign w:val="center"/>
            <w:hideMark/>
          </w:tcPr>
          <w:p w:rsidR="00F22B1B" w:rsidRPr="0054679F" w:rsidRDefault="00F22B1B" w:rsidP="00F22B1B">
            <w:pPr>
              <w:jc w:val="right"/>
              <w:rPr>
                <w:i/>
                <w:color w:val="404040"/>
                <w:sz w:val="22"/>
                <w:szCs w:val="22"/>
              </w:rPr>
            </w:pPr>
            <w:r w:rsidRPr="0054679F">
              <w:rPr>
                <w:i/>
                <w:color w:val="404040"/>
                <w:sz w:val="22"/>
                <w:szCs w:val="22"/>
              </w:rPr>
              <w:t>9,000</w:t>
            </w:r>
          </w:p>
        </w:tc>
        <w:tc>
          <w:tcPr>
            <w:tcW w:w="885" w:type="dxa"/>
            <w:tcBorders>
              <w:top w:val="nil"/>
              <w:left w:val="nil"/>
              <w:bottom w:val="single" w:sz="8" w:space="0" w:color="auto"/>
              <w:right w:val="single" w:sz="8" w:space="0" w:color="auto"/>
            </w:tcBorders>
            <w:shd w:val="clear" w:color="000000" w:fill="D9D9D9"/>
            <w:vAlign w:val="center"/>
            <w:hideMark/>
          </w:tcPr>
          <w:p w:rsidR="00F22B1B" w:rsidRPr="0054679F" w:rsidRDefault="00F22B1B" w:rsidP="00F22B1B">
            <w:pPr>
              <w:jc w:val="right"/>
              <w:rPr>
                <w:i/>
                <w:color w:val="404040"/>
                <w:sz w:val="22"/>
                <w:szCs w:val="22"/>
              </w:rPr>
            </w:pPr>
            <w:r w:rsidRPr="0054679F">
              <w:rPr>
                <w:i/>
                <w:color w:val="404040"/>
                <w:sz w:val="22"/>
                <w:szCs w:val="22"/>
              </w:rPr>
              <w:t xml:space="preserve">$7.50 </w:t>
            </w:r>
          </w:p>
        </w:tc>
        <w:tc>
          <w:tcPr>
            <w:tcW w:w="172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i/>
                <w:iCs/>
                <w:color w:val="404040"/>
                <w:sz w:val="22"/>
                <w:szCs w:val="22"/>
              </w:rPr>
            </w:pPr>
            <w:r w:rsidRPr="00F22B1B">
              <w:rPr>
                <w:i/>
                <w:iCs/>
                <w:color w:val="404040"/>
                <w:sz w:val="22"/>
                <w:szCs w:val="22"/>
              </w:rPr>
              <w:t xml:space="preserve">$67,500 </w:t>
            </w:r>
          </w:p>
        </w:tc>
      </w:tr>
      <w:tr w:rsidR="00F22B1B" w:rsidRPr="00F22B1B" w:rsidTr="0054679F">
        <w:trPr>
          <w:trHeight w:val="300"/>
        </w:trPr>
        <w:tc>
          <w:tcPr>
            <w:tcW w:w="1455" w:type="dxa"/>
            <w:vMerge w:val="restart"/>
            <w:tcBorders>
              <w:top w:val="nil"/>
              <w:left w:val="single" w:sz="8" w:space="0" w:color="auto"/>
              <w:bottom w:val="single" w:sz="8" w:space="0" w:color="000000"/>
              <w:right w:val="single" w:sz="8" w:space="0" w:color="auto"/>
            </w:tcBorders>
            <w:shd w:val="clear" w:color="auto" w:fill="auto"/>
            <w:vAlign w:val="center"/>
            <w:hideMark/>
          </w:tcPr>
          <w:p w:rsidR="00F22B1B" w:rsidRPr="00F22B1B" w:rsidRDefault="00F22B1B" w:rsidP="00F22B1B">
            <w:pPr>
              <w:rPr>
                <w:color w:val="000000"/>
                <w:sz w:val="22"/>
                <w:szCs w:val="22"/>
              </w:rPr>
            </w:pPr>
            <w:r w:rsidRPr="00F22B1B">
              <w:rPr>
                <w:color w:val="000000"/>
                <w:sz w:val="22"/>
                <w:szCs w:val="22"/>
              </w:rPr>
              <w:t xml:space="preserve">State Reporting </w:t>
            </w:r>
          </w:p>
        </w:tc>
        <w:tc>
          <w:tcPr>
            <w:tcW w:w="128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200</w:t>
            </w:r>
          </w:p>
        </w:tc>
        <w:tc>
          <w:tcPr>
            <w:tcW w:w="1060" w:type="dxa"/>
            <w:tcBorders>
              <w:top w:val="nil"/>
              <w:left w:val="nil"/>
              <w:bottom w:val="nil"/>
              <w:right w:val="single" w:sz="8" w:space="0" w:color="auto"/>
            </w:tcBorders>
            <w:shd w:val="clear" w:color="auto" w:fill="auto"/>
            <w:vAlign w:val="center"/>
            <w:hideMark/>
          </w:tcPr>
          <w:p w:rsidR="00F22B1B" w:rsidRPr="00F22B1B" w:rsidRDefault="00F22B1B">
            <w:pPr>
              <w:jc w:val="right"/>
              <w:rPr>
                <w:color w:val="000000"/>
                <w:sz w:val="22"/>
                <w:szCs w:val="22"/>
              </w:rPr>
            </w:pPr>
            <w:r w:rsidRPr="00F22B1B">
              <w:rPr>
                <w:color w:val="000000"/>
                <w:sz w:val="22"/>
                <w:szCs w:val="22"/>
              </w:rPr>
              <w:t>2.5</w:t>
            </w:r>
          </w:p>
        </w:tc>
        <w:tc>
          <w:tcPr>
            <w:tcW w:w="90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500</w:t>
            </w:r>
          </w:p>
        </w:tc>
        <w:tc>
          <w:tcPr>
            <w:tcW w:w="885"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xml:space="preserve">$25.50 </w:t>
            </w:r>
          </w:p>
        </w:tc>
        <w:tc>
          <w:tcPr>
            <w:tcW w:w="172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xml:space="preserve">$12,750 </w:t>
            </w:r>
          </w:p>
        </w:tc>
      </w:tr>
      <w:tr w:rsidR="00F22B1B" w:rsidRPr="00F22B1B" w:rsidTr="0054679F">
        <w:trPr>
          <w:trHeight w:val="315"/>
        </w:trPr>
        <w:tc>
          <w:tcPr>
            <w:tcW w:w="1455" w:type="dxa"/>
            <w:vMerge/>
            <w:tcBorders>
              <w:top w:val="nil"/>
              <w:left w:val="single" w:sz="8" w:space="0" w:color="auto"/>
              <w:bottom w:val="single" w:sz="8" w:space="0" w:color="000000"/>
              <w:right w:val="single" w:sz="8" w:space="0" w:color="auto"/>
            </w:tcBorders>
            <w:vAlign w:val="center"/>
            <w:hideMark/>
          </w:tcPr>
          <w:p w:rsidR="00F22B1B" w:rsidRPr="00F22B1B" w:rsidRDefault="00F22B1B" w:rsidP="00F22B1B">
            <w:pPr>
              <w:rPr>
                <w:color w:val="000000"/>
                <w:sz w:val="22"/>
                <w:szCs w:val="22"/>
              </w:rPr>
            </w:pPr>
          </w:p>
        </w:tc>
        <w:tc>
          <w:tcPr>
            <w:tcW w:w="128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200</w:t>
            </w:r>
          </w:p>
        </w:tc>
        <w:tc>
          <w:tcPr>
            <w:tcW w:w="106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2.5</w:t>
            </w:r>
          </w:p>
        </w:tc>
        <w:tc>
          <w:tcPr>
            <w:tcW w:w="90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color w:val="404040"/>
                <w:sz w:val="22"/>
                <w:szCs w:val="22"/>
              </w:rPr>
            </w:pPr>
            <w:r w:rsidRPr="00F22B1B">
              <w:rPr>
                <w:color w:val="404040"/>
                <w:sz w:val="22"/>
                <w:szCs w:val="22"/>
              </w:rPr>
              <w:t>500</w:t>
            </w:r>
          </w:p>
        </w:tc>
        <w:tc>
          <w:tcPr>
            <w:tcW w:w="885"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i/>
                <w:iCs/>
                <w:color w:val="404040"/>
                <w:sz w:val="22"/>
                <w:szCs w:val="22"/>
              </w:rPr>
            </w:pPr>
            <w:r w:rsidRPr="00F22B1B">
              <w:rPr>
                <w:i/>
                <w:iCs/>
                <w:color w:val="404040"/>
                <w:sz w:val="22"/>
                <w:szCs w:val="22"/>
              </w:rPr>
              <w:t xml:space="preserve">$39.17 </w:t>
            </w:r>
          </w:p>
        </w:tc>
        <w:tc>
          <w:tcPr>
            <w:tcW w:w="1720" w:type="dxa"/>
            <w:tcBorders>
              <w:top w:val="nil"/>
              <w:left w:val="nil"/>
              <w:bottom w:val="single" w:sz="8" w:space="0" w:color="auto"/>
              <w:right w:val="single" w:sz="8" w:space="0" w:color="auto"/>
            </w:tcBorders>
            <w:shd w:val="clear" w:color="000000" w:fill="D9D9D9"/>
            <w:vAlign w:val="center"/>
            <w:hideMark/>
          </w:tcPr>
          <w:p w:rsidR="00F22B1B" w:rsidRPr="00F22B1B" w:rsidRDefault="00F22B1B" w:rsidP="00F22B1B">
            <w:pPr>
              <w:jc w:val="right"/>
              <w:rPr>
                <w:i/>
                <w:iCs/>
                <w:color w:val="404040"/>
                <w:sz w:val="22"/>
                <w:szCs w:val="22"/>
              </w:rPr>
            </w:pPr>
            <w:r w:rsidRPr="00F22B1B">
              <w:rPr>
                <w:i/>
                <w:iCs/>
                <w:color w:val="404040"/>
                <w:sz w:val="22"/>
                <w:szCs w:val="22"/>
              </w:rPr>
              <w:t xml:space="preserve">$19,585 </w:t>
            </w:r>
          </w:p>
        </w:tc>
      </w:tr>
      <w:tr w:rsidR="00F22B1B" w:rsidRPr="00F22B1B" w:rsidTr="0054679F">
        <w:trPr>
          <w:trHeight w:val="1321"/>
        </w:trPr>
        <w:tc>
          <w:tcPr>
            <w:tcW w:w="1455" w:type="dxa"/>
            <w:vMerge w:val="restart"/>
            <w:tcBorders>
              <w:top w:val="nil"/>
              <w:left w:val="single" w:sz="8" w:space="0" w:color="auto"/>
              <w:bottom w:val="single" w:sz="8" w:space="0" w:color="000000"/>
              <w:right w:val="single" w:sz="8" w:space="0" w:color="auto"/>
            </w:tcBorders>
            <w:shd w:val="clear" w:color="auto" w:fill="auto"/>
            <w:vAlign w:val="center"/>
            <w:hideMark/>
          </w:tcPr>
          <w:p w:rsidR="00F22B1B" w:rsidRPr="00F22B1B" w:rsidRDefault="00F22B1B" w:rsidP="00F22B1B">
            <w:pPr>
              <w:rPr>
                <w:b/>
                <w:bCs/>
                <w:i/>
                <w:iCs/>
                <w:color w:val="000000"/>
                <w:sz w:val="22"/>
                <w:szCs w:val="22"/>
              </w:rPr>
            </w:pPr>
            <w:r w:rsidRPr="00F22B1B">
              <w:rPr>
                <w:b/>
                <w:bCs/>
                <w:i/>
                <w:iCs/>
                <w:color w:val="000000"/>
                <w:sz w:val="22"/>
                <w:szCs w:val="22"/>
              </w:rPr>
              <w:t>Unduplicated Totals</w:t>
            </w:r>
          </w:p>
        </w:tc>
        <w:tc>
          <w:tcPr>
            <w:tcW w:w="1280" w:type="dxa"/>
            <w:tcBorders>
              <w:top w:val="nil"/>
              <w:left w:val="nil"/>
              <w:bottom w:val="nil"/>
              <w:right w:val="single" w:sz="8" w:space="0" w:color="auto"/>
            </w:tcBorders>
            <w:shd w:val="clear" w:color="auto" w:fill="auto"/>
            <w:vAlign w:val="center"/>
            <w:hideMark/>
          </w:tcPr>
          <w:p w:rsidR="00A06C96" w:rsidRDefault="00704D1A" w:rsidP="00F22B1B">
            <w:pPr>
              <w:jc w:val="right"/>
              <w:rPr>
                <w:color w:val="000000"/>
                <w:sz w:val="22"/>
                <w:szCs w:val="22"/>
              </w:rPr>
            </w:pPr>
            <w:r>
              <w:rPr>
                <w:color w:val="000000"/>
                <w:sz w:val="22"/>
                <w:szCs w:val="22"/>
              </w:rPr>
              <w:t>45</w:t>
            </w:r>
            <w:r w:rsidR="00A06C96">
              <w:rPr>
                <w:color w:val="000000"/>
                <w:sz w:val="22"/>
                <w:szCs w:val="22"/>
              </w:rPr>
              <w:t>0,200</w:t>
            </w:r>
          </w:p>
          <w:p w:rsidR="00286F77" w:rsidRDefault="00A06C96" w:rsidP="00F22B1B">
            <w:pPr>
              <w:jc w:val="right"/>
              <w:rPr>
                <w:color w:val="000000"/>
                <w:sz w:val="22"/>
                <w:szCs w:val="22"/>
              </w:rPr>
            </w:pPr>
            <w:r>
              <w:rPr>
                <w:color w:val="000000"/>
                <w:sz w:val="22"/>
                <w:szCs w:val="22"/>
              </w:rPr>
              <w:t>[</w:t>
            </w:r>
            <w:r w:rsidR="00704D1A">
              <w:rPr>
                <w:color w:val="000000"/>
                <w:sz w:val="22"/>
                <w:szCs w:val="22"/>
              </w:rPr>
              <w:t>40</w:t>
            </w:r>
            <w:r w:rsidR="00F22B1B" w:rsidRPr="00F22B1B">
              <w:rPr>
                <w:color w:val="000000"/>
                <w:sz w:val="22"/>
                <w:szCs w:val="22"/>
              </w:rPr>
              <w:t>0,000 records</w:t>
            </w:r>
          </w:p>
          <w:p w:rsidR="00F22B1B" w:rsidRPr="00F22B1B" w:rsidRDefault="00286F77" w:rsidP="00F22B1B">
            <w:pPr>
              <w:jc w:val="right"/>
              <w:rPr>
                <w:color w:val="000000"/>
                <w:sz w:val="22"/>
                <w:szCs w:val="22"/>
              </w:rPr>
            </w:pPr>
            <w:r w:rsidRPr="00F22B1B">
              <w:rPr>
                <w:color w:val="000000"/>
                <w:sz w:val="22"/>
                <w:szCs w:val="22"/>
              </w:rPr>
              <w:t>50,000 partic</w:t>
            </w:r>
            <w:r>
              <w:rPr>
                <w:color w:val="000000"/>
                <w:sz w:val="22"/>
                <w:szCs w:val="22"/>
              </w:rPr>
              <w:t>i</w:t>
            </w:r>
            <w:r w:rsidRPr="00F22B1B">
              <w:rPr>
                <w:color w:val="000000"/>
                <w:sz w:val="22"/>
                <w:szCs w:val="22"/>
              </w:rPr>
              <w:t>pants</w:t>
            </w:r>
            <w:r w:rsidR="00F22B1B" w:rsidRPr="00F22B1B">
              <w:rPr>
                <w:color w:val="000000"/>
                <w:sz w:val="22"/>
                <w:szCs w:val="22"/>
              </w:rPr>
              <w:br/>
              <w:t>200 reports</w:t>
            </w:r>
            <w:r w:rsidR="00A06C96">
              <w:rPr>
                <w:color w:val="000000"/>
                <w:sz w:val="22"/>
                <w:szCs w:val="22"/>
              </w:rPr>
              <w:t>]</w:t>
            </w:r>
          </w:p>
        </w:tc>
        <w:tc>
          <w:tcPr>
            <w:tcW w:w="1060"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N/A</w:t>
            </w:r>
          </w:p>
        </w:tc>
        <w:tc>
          <w:tcPr>
            <w:tcW w:w="900" w:type="dxa"/>
            <w:tcBorders>
              <w:top w:val="nil"/>
              <w:left w:val="nil"/>
              <w:bottom w:val="nil"/>
              <w:right w:val="single" w:sz="8" w:space="0" w:color="auto"/>
            </w:tcBorders>
            <w:shd w:val="clear" w:color="auto" w:fill="auto"/>
            <w:vAlign w:val="center"/>
            <w:hideMark/>
          </w:tcPr>
          <w:p w:rsidR="00F22B1B" w:rsidRPr="00F22B1B" w:rsidRDefault="00F22B1B" w:rsidP="007538AF">
            <w:pPr>
              <w:jc w:val="right"/>
              <w:rPr>
                <w:color w:val="000000"/>
                <w:sz w:val="22"/>
                <w:szCs w:val="22"/>
              </w:rPr>
            </w:pPr>
            <w:r w:rsidRPr="00F22B1B">
              <w:rPr>
                <w:color w:val="000000"/>
                <w:sz w:val="22"/>
                <w:szCs w:val="22"/>
              </w:rPr>
              <w:t>1</w:t>
            </w:r>
            <w:r w:rsidR="007538AF">
              <w:rPr>
                <w:color w:val="000000"/>
                <w:sz w:val="22"/>
                <w:szCs w:val="22"/>
              </w:rPr>
              <w:t>8</w:t>
            </w:r>
            <w:r w:rsidRPr="00F22B1B">
              <w:rPr>
                <w:color w:val="000000"/>
                <w:sz w:val="22"/>
                <w:szCs w:val="22"/>
              </w:rPr>
              <w:t>,500</w:t>
            </w:r>
          </w:p>
        </w:tc>
        <w:tc>
          <w:tcPr>
            <w:tcW w:w="885" w:type="dxa"/>
            <w:tcBorders>
              <w:top w:val="nil"/>
              <w:left w:val="nil"/>
              <w:bottom w:val="nil"/>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N/A</w:t>
            </w:r>
          </w:p>
        </w:tc>
        <w:tc>
          <w:tcPr>
            <w:tcW w:w="1720" w:type="dxa"/>
            <w:tcBorders>
              <w:top w:val="nil"/>
              <w:left w:val="nil"/>
              <w:bottom w:val="nil"/>
              <w:right w:val="single" w:sz="8" w:space="0" w:color="auto"/>
            </w:tcBorders>
            <w:shd w:val="clear" w:color="auto" w:fill="auto"/>
            <w:vAlign w:val="center"/>
            <w:hideMark/>
          </w:tcPr>
          <w:p w:rsidR="00F22B1B" w:rsidRPr="00F22B1B" w:rsidRDefault="00704D1A" w:rsidP="00704D1A">
            <w:pPr>
              <w:jc w:val="right"/>
              <w:rPr>
                <w:color w:val="000000"/>
                <w:sz w:val="22"/>
                <w:szCs w:val="22"/>
              </w:rPr>
            </w:pPr>
            <w:r>
              <w:rPr>
                <w:color w:val="000000"/>
                <w:sz w:val="22"/>
                <w:szCs w:val="22"/>
              </w:rPr>
              <w:t>$289</w:t>
            </w:r>
            <w:r w:rsidR="00F22B1B" w:rsidRPr="00F22B1B">
              <w:rPr>
                <w:color w:val="000000"/>
                <w:sz w:val="22"/>
                <w:szCs w:val="22"/>
              </w:rPr>
              <w:t>,</w:t>
            </w:r>
            <w:r>
              <w:rPr>
                <w:color w:val="000000"/>
                <w:sz w:val="22"/>
                <w:szCs w:val="22"/>
              </w:rPr>
              <w:t>250</w:t>
            </w:r>
            <w:r w:rsidR="00F22B1B" w:rsidRPr="00F22B1B">
              <w:rPr>
                <w:color w:val="000000"/>
                <w:sz w:val="22"/>
                <w:szCs w:val="22"/>
              </w:rPr>
              <w:t xml:space="preserve"> </w:t>
            </w:r>
          </w:p>
        </w:tc>
      </w:tr>
      <w:tr w:rsidR="00F22B1B" w:rsidRPr="00F22B1B" w:rsidTr="0054679F">
        <w:trPr>
          <w:trHeight w:val="1213"/>
        </w:trPr>
        <w:tc>
          <w:tcPr>
            <w:tcW w:w="1455" w:type="dxa"/>
            <w:vMerge/>
            <w:tcBorders>
              <w:top w:val="nil"/>
              <w:left w:val="single" w:sz="8" w:space="0" w:color="auto"/>
              <w:bottom w:val="single" w:sz="8" w:space="0" w:color="000000"/>
              <w:right w:val="single" w:sz="8" w:space="0" w:color="auto"/>
            </w:tcBorders>
            <w:vAlign w:val="center"/>
            <w:hideMark/>
          </w:tcPr>
          <w:p w:rsidR="00F22B1B" w:rsidRPr="00F22B1B" w:rsidRDefault="00F22B1B" w:rsidP="00F22B1B">
            <w:pPr>
              <w:rPr>
                <w:b/>
                <w:bCs/>
                <w:i/>
                <w:iCs/>
                <w:color w:val="000000"/>
                <w:sz w:val="22"/>
                <w:szCs w:val="22"/>
              </w:rPr>
            </w:pPr>
          </w:p>
        </w:tc>
        <w:tc>
          <w:tcPr>
            <w:tcW w:w="1280" w:type="dxa"/>
            <w:tcBorders>
              <w:top w:val="nil"/>
              <w:left w:val="nil"/>
              <w:bottom w:val="single" w:sz="8" w:space="0" w:color="auto"/>
              <w:right w:val="single" w:sz="8" w:space="0" w:color="auto"/>
            </w:tcBorders>
            <w:shd w:val="clear" w:color="000000" w:fill="D9D9D9"/>
            <w:hideMark/>
          </w:tcPr>
          <w:p w:rsidR="00F22B1B" w:rsidRDefault="00F22B1B" w:rsidP="0054679F">
            <w:pPr>
              <w:rPr>
                <w:color w:val="404040"/>
                <w:sz w:val="22"/>
                <w:szCs w:val="22"/>
              </w:rPr>
            </w:pPr>
            <w:r w:rsidRPr="0054679F">
              <w:rPr>
                <w:iCs/>
                <w:color w:val="404040"/>
                <w:sz w:val="22"/>
                <w:szCs w:val="22"/>
              </w:rPr>
              <w:t xml:space="preserve">450,000 </w:t>
            </w:r>
            <w:r w:rsidR="0034694C" w:rsidRPr="0054679F">
              <w:rPr>
                <w:iCs/>
                <w:color w:val="404040"/>
                <w:sz w:val="22"/>
                <w:szCs w:val="22"/>
              </w:rPr>
              <w:t>records</w:t>
            </w:r>
            <w:r w:rsidR="0034694C">
              <w:rPr>
                <w:color w:val="404040"/>
                <w:sz w:val="22"/>
                <w:szCs w:val="22"/>
              </w:rPr>
              <w:br/>
            </w:r>
            <w:r w:rsidR="0034694C" w:rsidRPr="0054679F">
              <w:rPr>
                <w:i/>
                <w:color w:val="404040"/>
                <w:sz w:val="22"/>
                <w:szCs w:val="22"/>
              </w:rPr>
              <w:t>450,000 participants</w:t>
            </w:r>
          </w:p>
          <w:p w:rsidR="0034694C" w:rsidRPr="00F22B1B" w:rsidRDefault="0034694C" w:rsidP="0054679F">
            <w:pPr>
              <w:rPr>
                <w:color w:val="404040"/>
                <w:sz w:val="22"/>
                <w:szCs w:val="22"/>
              </w:rPr>
            </w:pPr>
            <w:r>
              <w:rPr>
                <w:color w:val="404040"/>
                <w:sz w:val="22"/>
                <w:szCs w:val="22"/>
              </w:rPr>
              <w:t>200 reports</w:t>
            </w:r>
          </w:p>
        </w:tc>
        <w:tc>
          <w:tcPr>
            <w:tcW w:w="1060" w:type="dxa"/>
            <w:tcBorders>
              <w:top w:val="nil"/>
              <w:left w:val="nil"/>
              <w:bottom w:val="single" w:sz="8" w:space="0" w:color="auto"/>
              <w:right w:val="single" w:sz="8" w:space="0" w:color="auto"/>
            </w:tcBorders>
            <w:shd w:val="clear" w:color="000000" w:fill="D9D9D9"/>
            <w:hideMark/>
          </w:tcPr>
          <w:p w:rsidR="00F22B1B" w:rsidRPr="00F22B1B" w:rsidRDefault="00F22B1B" w:rsidP="0054679F">
            <w:pPr>
              <w:rPr>
                <w:color w:val="404040"/>
                <w:sz w:val="22"/>
                <w:szCs w:val="22"/>
              </w:rPr>
            </w:pPr>
            <w:r w:rsidRPr="00F22B1B">
              <w:rPr>
                <w:color w:val="404040"/>
                <w:sz w:val="22"/>
                <w:szCs w:val="22"/>
              </w:rPr>
              <w:t> </w:t>
            </w:r>
          </w:p>
        </w:tc>
        <w:tc>
          <w:tcPr>
            <w:tcW w:w="900" w:type="dxa"/>
            <w:tcBorders>
              <w:top w:val="nil"/>
              <w:left w:val="nil"/>
              <w:bottom w:val="single" w:sz="8" w:space="0" w:color="auto"/>
              <w:right w:val="single" w:sz="8" w:space="0" w:color="auto"/>
            </w:tcBorders>
            <w:shd w:val="clear" w:color="000000" w:fill="D9D9D9"/>
            <w:hideMark/>
          </w:tcPr>
          <w:p w:rsidR="00F22B1B" w:rsidRPr="0054679F" w:rsidRDefault="00F22B1B" w:rsidP="0054679F">
            <w:pPr>
              <w:rPr>
                <w:i/>
                <w:color w:val="404040"/>
                <w:sz w:val="22"/>
                <w:szCs w:val="22"/>
              </w:rPr>
            </w:pPr>
            <w:r w:rsidRPr="0054679F">
              <w:rPr>
                <w:i/>
                <w:color w:val="404040"/>
                <w:sz w:val="22"/>
                <w:szCs w:val="22"/>
              </w:rPr>
              <w:t>18,500</w:t>
            </w:r>
          </w:p>
        </w:tc>
        <w:tc>
          <w:tcPr>
            <w:tcW w:w="885" w:type="dxa"/>
            <w:tcBorders>
              <w:top w:val="nil"/>
              <w:left w:val="nil"/>
              <w:bottom w:val="single" w:sz="8" w:space="0" w:color="auto"/>
              <w:right w:val="single" w:sz="8" w:space="0" w:color="auto"/>
            </w:tcBorders>
            <w:shd w:val="clear" w:color="000000" w:fill="D9D9D9"/>
            <w:hideMark/>
          </w:tcPr>
          <w:p w:rsidR="00F22B1B" w:rsidRPr="00F22B1B" w:rsidRDefault="00F22B1B" w:rsidP="0054679F">
            <w:pPr>
              <w:rPr>
                <w:color w:val="404040"/>
                <w:sz w:val="22"/>
                <w:szCs w:val="22"/>
              </w:rPr>
            </w:pPr>
            <w:r w:rsidRPr="00F22B1B">
              <w:rPr>
                <w:color w:val="404040"/>
                <w:sz w:val="22"/>
                <w:szCs w:val="22"/>
              </w:rPr>
              <w:t>N/A</w:t>
            </w:r>
          </w:p>
        </w:tc>
        <w:tc>
          <w:tcPr>
            <w:tcW w:w="1720" w:type="dxa"/>
            <w:tcBorders>
              <w:top w:val="nil"/>
              <w:left w:val="nil"/>
              <w:bottom w:val="single" w:sz="8" w:space="0" w:color="auto"/>
              <w:right w:val="single" w:sz="8" w:space="0" w:color="auto"/>
            </w:tcBorders>
            <w:shd w:val="clear" w:color="000000" w:fill="D9D9D9"/>
            <w:noWrap/>
            <w:vAlign w:val="center"/>
            <w:hideMark/>
          </w:tcPr>
          <w:p w:rsidR="00F22B1B" w:rsidRPr="00F22B1B" w:rsidRDefault="00F22B1B">
            <w:pPr>
              <w:jc w:val="right"/>
              <w:rPr>
                <w:rFonts w:ascii="Calibri" w:hAnsi="Calibri"/>
                <w:i/>
                <w:iCs/>
                <w:color w:val="404040"/>
                <w:sz w:val="22"/>
                <w:szCs w:val="22"/>
              </w:rPr>
            </w:pPr>
            <w:r w:rsidRPr="00F22B1B">
              <w:rPr>
                <w:rFonts w:ascii="Calibri" w:hAnsi="Calibri"/>
                <w:i/>
                <w:iCs/>
                <w:color w:val="404040"/>
                <w:sz w:val="22"/>
                <w:szCs w:val="22"/>
              </w:rPr>
              <w:t xml:space="preserve">$439,615 </w:t>
            </w:r>
          </w:p>
        </w:tc>
      </w:tr>
      <w:tr w:rsidR="00F22B1B" w:rsidRPr="00F22B1B" w:rsidTr="007538AF">
        <w:trPr>
          <w:trHeight w:val="915"/>
        </w:trPr>
        <w:tc>
          <w:tcPr>
            <w:tcW w:w="1455" w:type="dxa"/>
            <w:tcBorders>
              <w:top w:val="nil"/>
              <w:left w:val="single" w:sz="8" w:space="0" w:color="auto"/>
              <w:bottom w:val="single" w:sz="8" w:space="0" w:color="auto"/>
              <w:right w:val="single" w:sz="8" w:space="0" w:color="auto"/>
            </w:tcBorders>
            <w:shd w:val="clear" w:color="auto" w:fill="auto"/>
            <w:vAlign w:val="center"/>
            <w:hideMark/>
          </w:tcPr>
          <w:p w:rsidR="00F22B1B" w:rsidRPr="00F22B1B" w:rsidRDefault="00F22B1B" w:rsidP="00F22B1B">
            <w:pPr>
              <w:rPr>
                <w:color w:val="000000"/>
                <w:sz w:val="22"/>
                <w:szCs w:val="22"/>
              </w:rPr>
            </w:pPr>
            <w:r w:rsidRPr="00F22B1B">
              <w:rPr>
                <w:color w:val="000000"/>
                <w:sz w:val="22"/>
                <w:szCs w:val="22"/>
              </w:rPr>
              <w:t>Difference in Unduplicated totals</w:t>
            </w:r>
          </w:p>
        </w:tc>
        <w:tc>
          <w:tcPr>
            <w:tcW w:w="1280" w:type="dxa"/>
            <w:tcBorders>
              <w:top w:val="single" w:sz="8" w:space="0" w:color="auto"/>
              <w:left w:val="nil"/>
              <w:bottom w:val="single" w:sz="8" w:space="0" w:color="auto"/>
              <w:right w:val="single" w:sz="8" w:space="0" w:color="auto"/>
            </w:tcBorders>
            <w:shd w:val="thinDiagStripe"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w:t>
            </w:r>
          </w:p>
        </w:tc>
        <w:tc>
          <w:tcPr>
            <w:tcW w:w="1060" w:type="dxa"/>
            <w:tcBorders>
              <w:top w:val="single" w:sz="8" w:space="0" w:color="auto"/>
              <w:left w:val="nil"/>
              <w:bottom w:val="single" w:sz="8" w:space="0" w:color="auto"/>
              <w:right w:val="single" w:sz="8" w:space="0" w:color="auto"/>
            </w:tcBorders>
            <w:shd w:val="thinDiagStripe" w:color="auto" w:fill="auto"/>
            <w:vAlign w:val="center"/>
            <w:hideMark/>
          </w:tcPr>
          <w:p w:rsidR="00F22B1B" w:rsidRPr="00F22B1B" w:rsidRDefault="00F22B1B" w:rsidP="00F22B1B">
            <w:pPr>
              <w:jc w:val="right"/>
              <w:rPr>
                <w:color w:val="000000"/>
                <w:sz w:val="22"/>
                <w:szCs w:val="22"/>
              </w:rPr>
            </w:pPr>
          </w:p>
        </w:tc>
        <w:tc>
          <w:tcPr>
            <w:tcW w:w="900" w:type="dxa"/>
            <w:tcBorders>
              <w:top w:val="nil"/>
              <w:left w:val="nil"/>
              <w:bottom w:val="single" w:sz="8" w:space="0" w:color="auto"/>
              <w:right w:val="single" w:sz="8" w:space="0" w:color="auto"/>
            </w:tcBorders>
            <w:shd w:val="thinDiagStripe" w:color="auto" w:fill="auto"/>
            <w:vAlign w:val="center"/>
            <w:hideMark/>
          </w:tcPr>
          <w:p w:rsidR="00F22B1B" w:rsidRPr="00F22B1B" w:rsidRDefault="00F22B1B" w:rsidP="00F22B1B">
            <w:pPr>
              <w:jc w:val="right"/>
              <w:rPr>
                <w:color w:val="000000"/>
                <w:sz w:val="22"/>
                <w:szCs w:val="22"/>
              </w:rPr>
            </w:pPr>
          </w:p>
        </w:tc>
        <w:tc>
          <w:tcPr>
            <w:tcW w:w="885" w:type="dxa"/>
            <w:tcBorders>
              <w:top w:val="nil"/>
              <w:left w:val="nil"/>
              <w:bottom w:val="single" w:sz="8" w:space="0" w:color="auto"/>
              <w:right w:val="single" w:sz="8" w:space="0" w:color="auto"/>
            </w:tcBorders>
            <w:shd w:val="clear" w:color="auto" w:fill="auto"/>
            <w:vAlign w:val="center"/>
            <w:hideMark/>
          </w:tcPr>
          <w:p w:rsidR="00F22B1B" w:rsidRPr="00F22B1B" w:rsidRDefault="00F22B1B" w:rsidP="00F22B1B">
            <w:pPr>
              <w:jc w:val="right"/>
              <w:rPr>
                <w:color w:val="000000"/>
                <w:sz w:val="22"/>
                <w:szCs w:val="22"/>
              </w:rPr>
            </w:pPr>
            <w:r w:rsidRPr="00F22B1B">
              <w:rPr>
                <w:color w:val="000000"/>
                <w:sz w:val="22"/>
                <w:szCs w:val="22"/>
              </w:rPr>
              <w:t> </w:t>
            </w:r>
          </w:p>
        </w:tc>
        <w:tc>
          <w:tcPr>
            <w:tcW w:w="1720" w:type="dxa"/>
            <w:tcBorders>
              <w:top w:val="nil"/>
              <w:left w:val="nil"/>
              <w:bottom w:val="single" w:sz="8" w:space="0" w:color="auto"/>
              <w:right w:val="single" w:sz="8" w:space="0" w:color="auto"/>
            </w:tcBorders>
            <w:shd w:val="clear" w:color="auto" w:fill="auto"/>
            <w:vAlign w:val="center"/>
            <w:hideMark/>
          </w:tcPr>
          <w:p w:rsidR="00F22B1B" w:rsidRPr="00F22B1B" w:rsidRDefault="007538AF" w:rsidP="007538AF">
            <w:pPr>
              <w:jc w:val="right"/>
              <w:rPr>
                <w:color w:val="000000"/>
                <w:sz w:val="22"/>
                <w:szCs w:val="22"/>
              </w:rPr>
            </w:pPr>
            <w:r>
              <w:rPr>
                <w:color w:val="000000"/>
                <w:sz w:val="22"/>
                <w:szCs w:val="22"/>
              </w:rPr>
              <w:t>-$150</w:t>
            </w:r>
            <w:r w:rsidR="00F22B1B" w:rsidRPr="00F22B1B">
              <w:rPr>
                <w:color w:val="000000"/>
                <w:sz w:val="22"/>
                <w:szCs w:val="22"/>
              </w:rPr>
              <w:t>,</w:t>
            </w:r>
            <w:r>
              <w:rPr>
                <w:color w:val="000000"/>
                <w:sz w:val="22"/>
                <w:szCs w:val="22"/>
              </w:rPr>
              <w:t>365</w:t>
            </w:r>
          </w:p>
        </w:tc>
      </w:tr>
    </w:tbl>
    <w:p w:rsidR="004A1161" w:rsidRPr="00CE3C52" w:rsidRDefault="004A1161" w:rsidP="00EA78D2">
      <w:pPr>
        <w:autoSpaceDE w:val="0"/>
        <w:autoSpaceDN w:val="0"/>
        <w:adjustRightInd w:val="0"/>
      </w:pPr>
    </w:p>
    <w:p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rsidR="004A1161" w:rsidRDefault="004A1161" w:rsidP="00415AC8">
      <w:pPr>
        <w:autoSpaceDE w:val="0"/>
        <w:autoSpaceDN w:val="0"/>
        <w:adjustRightInd w:val="0"/>
        <w:ind w:left="540"/>
      </w:pPr>
    </w:p>
    <w:p w:rsidR="00415AC8" w:rsidRDefault="00415AC8" w:rsidP="00415AC8">
      <w:pPr>
        <w:ind w:left="540"/>
      </w:pPr>
      <w:r>
        <w:t xml:space="preserve">States submit the TAPR reports on a quarterly basis to DOL within 45 days after the end of each program year quarter.  Reports are due on the following dates: </w:t>
      </w:r>
    </w:p>
    <w:p w:rsidR="00415AC8" w:rsidRDefault="00415AC8" w:rsidP="00415AC8">
      <w:pPr>
        <w:ind w:left="540"/>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2227"/>
      </w:tblGrid>
      <w:tr w:rsidR="00415AC8" w:rsidTr="00415AC8">
        <w:trPr>
          <w:jc w:val="center"/>
        </w:trPr>
        <w:tc>
          <w:tcPr>
            <w:tcW w:w="4838"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jc w:val="center"/>
              <w:rPr>
                <w:b/>
                <w:bCs/>
              </w:rPr>
            </w:pPr>
            <w:r>
              <w:rPr>
                <w:b/>
                <w:bCs/>
              </w:rPr>
              <w:t>Report Quarter</w:t>
            </w:r>
          </w:p>
        </w:tc>
        <w:tc>
          <w:tcPr>
            <w:tcW w:w="2227"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jc w:val="center"/>
              <w:rPr>
                <w:b/>
                <w:bCs/>
              </w:rPr>
            </w:pPr>
            <w:r>
              <w:rPr>
                <w:b/>
                <w:bCs/>
              </w:rPr>
              <w:t>Due Date</w:t>
            </w:r>
          </w:p>
        </w:tc>
      </w:tr>
      <w:tr w:rsidR="00415AC8" w:rsidTr="00415AC8">
        <w:trPr>
          <w:jc w:val="center"/>
        </w:trPr>
        <w:tc>
          <w:tcPr>
            <w:tcW w:w="4838"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1st Quarter FY     October to December</w:t>
            </w:r>
          </w:p>
        </w:tc>
        <w:tc>
          <w:tcPr>
            <w:tcW w:w="2227"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February 14</w:t>
            </w:r>
          </w:p>
        </w:tc>
      </w:tr>
      <w:tr w:rsidR="00415AC8" w:rsidTr="00415AC8">
        <w:trPr>
          <w:jc w:val="center"/>
        </w:trPr>
        <w:tc>
          <w:tcPr>
            <w:tcW w:w="4838"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2nd Quarter FY      January to March</w:t>
            </w:r>
          </w:p>
        </w:tc>
        <w:tc>
          <w:tcPr>
            <w:tcW w:w="2227"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May 15</w:t>
            </w:r>
          </w:p>
        </w:tc>
      </w:tr>
      <w:tr w:rsidR="00415AC8" w:rsidTr="00415AC8">
        <w:trPr>
          <w:jc w:val="center"/>
        </w:trPr>
        <w:tc>
          <w:tcPr>
            <w:tcW w:w="4838"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3rd Quarter FY      April to June</w:t>
            </w:r>
          </w:p>
        </w:tc>
        <w:tc>
          <w:tcPr>
            <w:tcW w:w="2227"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August 14</w:t>
            </w:r>
          </w:p>
        </w:tc>
      </w:tr>
      <w:tr w:rsidR="00415AC8" w:rsidTr="00415AC8">
        <w:trPr>
          <w:jc w:val="center"/>
        </w:trPr>
        <w:tc>
          <w:tcPr>
            <w:tcW w:w="4838" w:type="dxa"/>
            <w:tcBorders>
              <w:top w:val="single" w:sz="4" w:space="0" w:color="auto"/>
              <w:left w:val="single" w:sz="4" w:space="0" w:color="auto"/>
              <w:bottom w:val="single" w:sz="4" w:space="0" w:color="auto"/>
              <w:right w:val="single" w:sz="4" w:space="0" w:color="auto"/>
            </w:tcBorders>
            <w:hideMark/>
          </w:tcPr>
          <w:p w:rsidR="00415AC8" w:rsidRDefault="00415AC8">
            <w:pPr>
              <w:pStyle w:val="Level1"/>
              <w:numPr>
                <w:ilvl w:val="0"/>
                <w:numId w:val="0"/>
              </w:numPr>
              <w:outlineLvl w:val="9"/>
            </w:pPr>
            <w:r>
              <w:t>4th Quarter FY       July to September</w:t>
            </w:r>
          </w:p>
        </w:tc>
        <w:tc>
          <w:tcPr>
            <w:tcW w:w="2227" w:type="dxa"/>
            <w:tcBorders>
              <w:top w:val="single" w:sz="4" w:space="0" w:color="auto"/>
              <w:left w:val="single" w:sz="4" w:space="0" w:color="auto"/>
              <w:bottom w:val="single" w:sz="4" w:space="0" w:color="auto"/>
              <w:right w:val="single" w:sz="4" w:space="0" w:color="auto"/>
            </w:tcBorders>
            <w:hideMark/>
          </w:tcPr>
          <w:p w:rsidR="00415AC8" w:rsidRDefault="00415AC8">
            <w:pPr>
              <w:widowControl w:val="0"/>
              <w:autoSpaceDE w:val="0"/>
              <w:autoSpaceDN w:val="0"/>
              <w:adjustRightInd w:val="0"/>
            </w:pPr>
            <w:r>
              <w:t xml:space="preserve">November 14 </w:t>
            </w:r>
          </w:p>
        </w:tc>
      </w:tr>
    </w:tbl>
    <w:p w:rsidR="00415AC8" w:rsidRDefault="00415AC8" w:rsidP="00415AC8">
      <w:pPr>
        <w:ind w:left="540"/>
      </w:pPr>
    </w:p>
    <w:p w:rsidR="00415AC8" w:rsidRDefault="00415AC8" w:rsidP="00415AC8">
      <w:pPr>
        <w:ind w:left="540"/>
      </w:pPr>
      <w:r>
        <w:t xml:space="preserve">Quarterly report data are analyzed by ETA and VETS staff.  Data analysis is used to identify strategies for continuous improvement and areas where additional federal guidance is needed.  DOL uses these data to prepare GPRA reports, management and budget reports, and other ad hoc reports. </w:t>
      </w:r>
    </w:p>
    <w:p w:rsidR="00415AC8" w:rsidRDefault="00415AC8" w:rsidP="00415AC8">
      <w:pPr>
        <w:ind w:left="540"/>
      </w:pPr>
    </w:p>
    <w:p w:rsidR="00415AC8" w:rsidRDefault="00415AC8" w:rsidP="00415AC8">
      <w:pPr>
        <w:ind w:left="540"/>
      </w:pPr>
      <w:r>
        <w:t xml:space="preserve">Each year, the Department issues an annual report summarizing program performance against the Secretary’s goals.  Some of the data included in the Department’s annual report </w:t>
      </w:r>
      <w:r>
        <w:lastRenderedPageBreak/>
        <w:t>are generated from the TAPR reports.  Additionally, ETA prepares an annual report for TAA based on the data collected through the TAPR.  To satisfy its requirements under Title 38, the Veterans’ Employment and Training Service (VETS) publishes an annual report that focuses on services delivered by DVOP and LVER staff.    The Department’s annual report, ETA’s TAA annual report, and VETS annual report are submitted to Congress.  All reports are available on the Internet and accessible to the general public and interested stakeholders.</w:t>
      </w:r>
    </w:p>
    <w:p w:rsidR="004A1161" w:rsidRPr="00CE3C52" w:rsidRDefault="004A1161" w:rsidP="00415AC8">
      <w:pPr>
        <w:autoSpaceDE w:val="0"/>
        <w:autoSpaceDN w:val="0"/>
        <w:adjustRightInd w:val="0"/>
        <w:ind w:left="540"/>
      </w:pPr>
    </w:p>
    <w:p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415AC8" w:rsidRDefault="00415AC8" w:rsidP="00415AC8">
      <w:pPr>
        <w:spacing w:line="223" w:lineRule="auto"/>
        <w:ind w:left="540"/>
      </w:pPr>
      <w:r>
        <w:t xml:space="preserve">The expiration date for OMB approval is displayed.  </w:t>
      </w:r>
    </w:p>
    <w:p w:rsidR="004A1161" w:rsidRPr="00CE3C52" w:rsidRDefault="004A1161" w:rsidP="00EA78D2">
      <w:pPr>
        <w:autoSpaceDE w:val="0"/>
        <w:autoSpaceDN w:val="0"/>
        <w:adjustRightInd w:val="0"/>
      </w:pPr>
    </w:p>
    <w:p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Paperwork Reduction Act Submissions,”</w:t>
      </w:r>
    </w:p>
    <w:p w:rsidR="004204FF" w:rsidRDefault="004204FF" w:rsidP="003F4C38">
      <w:pPr>
        <w:tabs>
          <w:tab w:val="right" w:pos="360"/>
        </w:tabs>
        <w:ind w:left="540" w:hanging="540"/>
        <w:rPr>
          <w:i/>
        </w:rPr>
      </w:pPr>
    </w:p>
    <w:p w:rsidR="00415AC8" w:rsidRDefault="003A4E21" w:rsidP="00415AC8">
      <w:pPr>
        <w:ind w:left="540"/>
        <w:jc w:val="both"/>
      </w:pPr>
      <w:r w:rsidRPr="003A4E21">
        <w:rPr>
          <w:rFonts w:eastAsia="Calibri"/>
        </w:rPr>
        <w:t>There are no exceptions.</w:t>
      </w:r>
    </w:p>
    <w:p w:rsidR="003F4C38" w:rsidRDefault="003F4C38" w:rsidP="00415AC8">
      <w:pPr>
        <w:tabs>
          <w:tab w:val="right" w:pos="360"/>
        </w:tabs>
        <w:ind w:left="1080" w:hanging="540"/>
      </w:pPr>
    </w:p>
    <w:p w:rsidR="003A4E21" w:rsidRPr="00415AC8" w:rsidRDefault="003A4E21" w:rsidP="00415AC8">
      <w:pPr>
        <w:tabs>
          <w:tab w:val="right" w:pos="360"/>
        </w:tabs>
        <w:ind w:left="1080" w:hanging="540"/>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rsidSect="00A812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9B" w:rsidRDefault="005B2B9B" w:rsidP="00910252">
      <w:r>
        <w:separator/>
      </w:r>
    </w:p>
  </w:endnote>
  <w:endnote w:type="continuationSeparator" w:id="0">
    <w:p w:rsidR="005B2B9B" w:rsidRDefault="005B2B9B"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5E5333" w:rsidRDefault="005E5333">
        <w:pPr>
          <w:pStyle w:val="Footer"/>
          <w:jc w:val="center"/>
        </w:pPr>
        <w:r>
          <w:fldChar w:fldCharType="begin"/>
        </w:r>
        <w:r>
          <w:instrText xml:space="preserve"> PAGE   \* MERGEFORMAT </w:instrText>
        </w:r>
        <w:r>
          <w:fldChar w:fldCharType="separate"/>
        </w:r>
        <w:r w:rsidR="007200E2">
          <w:rPr>
            <w:noProof/>
          </w:rPr>
          <w:t>1</w:t>
        </w:r>
        <w:r>
          <w:rPr>
            <w:noProof/>
          </w:rPr>
          <w:fldChar w:fldCharType="end"/>
        </w:r>
      </w:p>
    </w:sdtContent>
  </w:sdt>
  <w:p w:rsidR="005E5333" w:rsidRDefault="005E5333" w:rsidP="0054679F">
    <w:pPr>
      <w:pStyle w:val="Footer"/>
      <w:tabs>
        <w:tab w:val="left" w:pos="63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9B" w:rsidRDefault="005B2B9B" w:rsidP="00910252">
      <w:r>
        <w:separator/>
      </w:r>
    </w:p>
  </w:footnote>
  <w:footnote w:type="continuationSeparator" w:id="0">
    <w:p w:rsidR="005B2B9B" w:rsidRDefault="005B2B9B"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33" w:rsidRPr="00DA7A5A" w:rsidRDefault="005E5333" w:rsidP="00D45FEA">
    <w:pPr>
      <w:pStyle w:val="Header"/>
      <w:tabs>
        <w:tab w:val="clear" w:pos="4680"/>
      </w:tabs>
      <w:jc w:val="both"/>
    </w:pPr>
    <w:r w:rsidRPr="00DA7A5A">
      <w:t>Trade Activity Participant Report (TAPR)</w:t>
    </w:r>
  </w:p>
  <w:p w:rsidR="005E5333" w:rsidRPr="00DA7A5A" w:rsidRDefault="005E5333" w:rsidP="00D45FEA">
    <w:pPr>
      <w:pStyle w:val="Header"/>
      <w:tabs>
        <w:tab w:val="clear" w:pos="4680"/>
      </w:tabs>
      <w:jc w:val="both"/>
    </w:pPr>
    <w:r w:rsidRPr="00DA7A5A">
      <w:t>OMB Control No. 1205-0392</w:t>
    </w:r>
  </w:p>
  <w:p w:rsidR="005E5333" w:rsidRDefault="005E5333" w:rsidP="00D45FEA">
    <w:pPr>
      <w:pStyle w:val="Header"/>
      <w:tabs>
        <w:tab w:val="clear" w:pos="4680"/>
      </w:tabs>
      <w:jc w:val="both"/>
      <w:rPr>
        <w:sz w:val="20"/>
        <w:szCs w:val="20"/>
      </w:rPr>
    </w:pPr>
    <w:r>
      <w:t>June</w:t>
    </w:r>
    <w:r w:rsidRPr="00DA7A5A">
      <w:t xml:space="preserve"> 2016</w:t>
    </w:r>
  </w:p>
  <w:p w:rsidR="005E5333" w:rsidRDefault="005E5333"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B733844"/>
    <w:multiLevelType w:val="hybridMultilevel"/>
    <w:tmpl w:val="19E0030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52E20196"/>
    <w:multiLevelType w:val="hybridMultilevel"/>
    <w:tmpl w:val="31F04232"/>
    <w:lvl w:ilvl="0" w:tplc="D32A6ABC">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5E313F34"/>
    <w:multiLevelType w:val="hybridMultilevel"/>
    <w:tmpl w:val="350443E8"/>
    <w:lvl w:ilvl="0" w:tplc="5134AF0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8E78E8"/>
    <w:multiLevelType w:val="hybridMultilevel"/>
    <w:tmpl w:val="489021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7C23165B"/>
    <w:multiLevelType w:val="hybridMultilevel"/>
    <w:tmpl w:val="BBA64D8E"/>
    <w:lvl w:ilvl="0" w:tplc="04090001">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7">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start w:val="1"/>
        <w:numFmt w:val="decimal"/>
        <w:pStyle w:val="Level1"/>
        <w:lvlText w:val="%1."/>
        <w:lvlJc w:val="left"/>
        <w:pPr>
          <w:ind w:left="0" w:firstLine="0"/>
        </w:pPr>
      </w:lvl>
    </w:lvlOverride>
    <w:lvlOverride w:ilvl="1">
      <w:lvl w:ilvl="1">
        <w:start w:val="1"/>
        <w:numFmt w:val="decimal"/>
        <w:pStyle w:val="Appendix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1"/>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587C"/>
    <w:rsid w:val="00030FA0"/>
    <w:rsid w:val="00047A93"/>
    <w:rsid w:val="000625D4"/>
    <w:rsid w:val="000947CD"/>
    <w:rsid w:val="00096FCB"/>
    <w:rsid w:val="000B3298"/>
    <w:rsid w:val="00116060"/>
    <w:rsid w:val="001537A3"/>
    <w:rsid w:val="00180B06"/>
    <w:rsid w:val="0018532C"/>
    <w:rsid w:val="001A7B43"/>
    <w:rsid w:val="001B5B96"/>
    <w:rsid w:val="001C050B"/>
    <w:rsid w:val="001C795C"/>
    <w:rsid w:val="001D674D"/>
    <w:rsid w:val="001E721D"/>
    <w:rsid w:val="002023A0"/>
    <w:rsid w:val="00216406"/>
    <w:rsid w:val="0021772B"/>
    <w:rsid w:val="002221A7"/>
    <w:rsid w:val="00263C19"/>
    <w:rsid w:val="00286F77"/>
    <w:rsid w:val="0029478C"/>
    <w:rsid w:val="002B1346"/>
    <w:rsid w:val="003120D8"/>
    <w:rsid w:val="00322DC7"/>
    <w:rsid w:val="00327492"/>
    <w:rsid w:val="003457BC"/>
    <w:rsid w:val="0034694C"/>
    <w:rsid w:val="003669DA"/>
    <w:rsid w:val="00393F0A"/>
    <w:rsid w:val="00395CF4"/>
    <w:rsid w:val="003A4E21"/>
    <w:rsid w:val="003B33C0"/>
    <w:rsid w:val="003E549F"/>
    <w:rsid w:val="003F4C38"/>
    <w:rsid w:val="004016A5"/>
    <w:rsid w:val="00415AC8"/>
    <w:rsid w:val="00417A87"/>
    <w:rsid w:val="004204FF"/>
    <w:rsid w:val="00431F73"/>
    <w:rsid w:val="0044320C"/>
    <w:rsid w:val="00453ED5"/>
    <w:rsid w:val="00475AE4"/>
    <w:rsid w:val="004A1161"/>
    <w:rsid w:val="004A22CC"/>
    <w:rsid w:val="004A5EF9"/>
    <w:rsid w:val="004B0815"/>
    <w:rsid w:val="004B774D"/>
    <w:rsid w:val="004E3C16"/>
    <w:rsid w:val="004F7CF5"/>
    <w:rsid w:val="0050311E"/>
    <w:rsid w:val="00515726"/>
    <w:rsid w:val="0052176B"/>
    <w:rsid w:val="005360C4"/>
    <w:rsid w:val="0054679F"/>
    <w:rsid w:val="00557019"/>
    <w:rsid w:val="005749F8"/>
    <w:rsid w:val="0058705E"/>
    <w:rsid w:val="00595CFA"/>
    <w:rsid w:val="005972D3"/>
    <w:rsid w:val="005B2B9B"/>
    <w:rsid w:val="005E5333"/>
    <w:rsid w:val="00636299"/>
    <w:rsid w:val="0066182C"/>
    <w:rsid w:val="006631D2"/>
    <w:rsid w:val="006655D0"/>
    <w:rsid w:val="00685F48"/>
    <w:rsid w:val="00690AE2"/>
    <w:rsid w:val="0069256F"/>
    <w:rsid w:val="006971B4"/>
    <w:rsid w:val="006B538B"/>
    <w:rsid w:val="006C133A"/>
    <w:rsid w:val="007028D4"/>
    <w:rsid w:val="00704D1A"/>
    <w:rsid w:val="007200E2"/>
    <w:rsid w:val="00743340"/>
    <w:rsid w:val="007538AF"/>
    <w:rsid w:val="00791871"/>
    <w:rsid w:val="007C3A4C"/>
    <w:rsid w:val="007D001C"/>
    <w:rsid w:val="007F12A0"/>
    <w:rsid w:val="0081544C"/>
    <w:rsid w:val="008426E3"/>
    <w:rsid w:val="00851187"/>
    <w:rsid w:val="00867AA4"/>
    <w:rsid w:val="0089556C"/>
    <w:rsid w:val="00895A05"/>
    <w:rsid w:val="008A07F2"/>
    <w:rsid w:val="008A4185"/>
    <w:rsid w:val="008A57F7"/>
    <w:rsid w:val="008C5654"/>
    <w:rsid w:val="008D698B"/>
    <w:rsid w:val="008E3C4C"/>
    <w:rsid w:val="008F4D44"/>
    <w:rsid w:val="00904938"/>
    <w:rsid w:val="00910252"/>
    <w:rsid w:val="009436DF"/>
    <w:rsid w:val="0094712C"/>
    <w:rsid w:val="009505D4"/>
    <w:rsid w:val="00953421"/>
    <w:rsid w:val="009539B2"/>
    <w:rsid w:val="00973CD5"/>
    <w:rsid w:val="00975070"/>
    <w:rsid w:val="00994022"/>
    <w:rsid w:val="00996590"/>
    <w:rsid w:val="009A356B"/>
    <w:rsid w:val="009C557D"/>
    <w:rsid w:val="009D2A30"/>
    <w:rsid w:val="009F0DFF"/>
    <w:rsid w:val="00A052B3"/>
    <w:rsid w:val="00A06C96"/>
    <w:rsid w:val="00A171C6"/>
    <w:rsid w:val="00A705A4"/>
    <w:rsid w:val="00A73C31"/>
    <w:rsid w:val="00A81263"/>
    <w:rsid w:val="00A95759"/>
    <w:rsid w:val="00A9739C"/>
    <w:rsid w:val="00AE0D62"/>
    <w:rsid w:val="00B10FD7"/>
    <w:rsid w:val="00B26224"/>
    <w:rsid w:val="00B3384F"/>
    <w:rsid w:val="00B42BD5"/>
    <w:rsid w:val="00B93731"/>
    <w:rsid w:val="00BA6848"/>
    <w:rsid w:val="00BC4B5C"/>
    <w:rsid w:val="00BE38F5"/>
    <w:rsid w:val="00C239F6"/>
    <w:rsid w:val="00C30A42"/>
    <w:rsid w:val="00C45047"/>
    <w:rsid w:val="00C52BA5"/>
    <w:rsid w:val="00C678AF"/>
    <w:rsid w:val="00CB4B68"/>
    <w:rsid w:val="00CC679C"/>
    <w:rsid w:val="00CD27B4"/>
    <w:rsid w:val="00CE6715"/>
    <w:rsid w:val="00D3545C"/>
    <w:rsid w:val="00D435F6"/>
    <w:rsid w:val="00D45FEA"/>
    <w:rsid w:val="00D57F0E"/>
    <w:rsid w:val="00D6258F"/>
    <w:rsid w:val="00D6689E"/>
    <w:rsid w:val="00DA7A5A"/>
    <w:rsid w:val="00DC5B18"/>
    <w:rsid w:val="00DF044F"/>
    <w:rsid w:val="00E40EA1"/>
    <w:rsid w:val="00E869C9"/>
    <w:rsid w:val="00EA491A"/>
    <w:rsid w:val="00EA63C0"/>
    <w:rsid w:val="00EA78D2"/>
    <w:rsid w:val="00EC26CE"/>
    <w:rsid w:val="00ED641D"/>
    <w:rsid w:val="00EE68A0"/>
    <w:rsid w:val="00F01FCB"/>
    <w:rsid w:val="00F22B1B"/>
    <w:rsid w:val="00F25EFF"/>
    <w:rsid w:val="00F42469"/>
    <w:rsid w:val="00F44D0F"/>
    <w:rsid w:val="00F52F68"/>
    <w:rsid w:val="00F64F06"/>
    <w:rsid w:val="00F67882"/>
    <w:rsid w:val="00F910E9"/>
    <w:rsid w:val="00FA6002"/>
    <w:rsid w:val="00FD144A"/>
    <w:rsid w:val="00FD4FA5"/>
    <w:rsid w:val="00FF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3">
    <w:name w:val="Body Text Indent 3"/>
    <w:basedOn w:val="Normal"/>
    <w:link w:val="BodyTextIndent3Char"/>
    <w:rsid w:val="00DF044F"/>
    <w:pPr>
      <w:widowControl w:val="0"/>
      <w:autoSpaceDE w:val="0"/>
      <w:autoSpaceDN w:val="0"/>
      <w:adjustRightInd w:val="0"/>
      <w:ind w:left="720"/>
      <w:jc w:val="both"/>
    </w:pPr>
    <w:rPr>
      <w:szCs w:val="20"/>
    </w:rPr>
  </w:style>
  <w:style w:type="character" w:customStyle="1" w:styleId="BodyTextIndent3Char">
    <w:name w:val="Body Text Indent 3 Char"/>
    <w:basedOn w:val="DefaultParagraphFont"/>
    <w:link w:val="BodyTextIndent3"/>
    <w:rsid w:val="00DF044F"/>
    <w:rPr>
      <w:rFonts w:ascii="Times New Roman" w:eastAsia="Times New Roman" w:hAnsi="Times New Roman" w:cs="Times New Roman"/>
      <w:sz w:val="24"/>
      <w:szCs w:val="20"/>
    </w:rPr>
  </w:style>
  <w:style w:type="paragraph" w:customStyle="1" w:styleId="Level1">
    <w:name w:val="Level 1"/>
    <w:basedOn w:val="Normal"/>
    <w:rsid w:val="00994022"/>
    <w:pPr>
      <w:widowControl w:val="0"/>
      <w:numPr>
        <w:numId w:val="3"/>
      </w:numPr>
      <w:autoSpaceDE w:val="0"/>
      <w:autoSpaceDN w:val="0"/>
      <w:adjustRightInd w:val="0"/>
      <w:outlineLvl w:val="0"/>
    </w:pPr>
  </w:style>
  <w:style w:type="paragraph" w:customStyle="1" w:styleId="AppendixLevel2">
    <w:name w:val="Appendix Level 2"/>
    <w:basedOn w:val="Normal"/>
    <w:next w:val="Normal"/>
    <w:rsid w:val="00994022"/>
    <w:pPr>
      <w:keepNext/>
      <w:numPr>
        <w:ilvl w:val="1"/>
        <w:numId w:val="3"/>
      </w:numPr>
      <w:tabs>
        <w:tab w:val="left" w:pos="576"/>
      </w:tabs>
      <w:spacing w:before="120" w:after="120" w:line="260" w:lineRule="atLeast"/>
    </w:pPr>
    <w:rPr>
      <w:b/>
      <w:caps/>
      <w:szCs w:val="20"/>
    </w:rPr>
  </w:style>
  <w:style w:type="paragraph" w:styleId="BodyText">
    <w:name w:val="Body Text"/>
    <w:basedOn w:val="Normal"/>
    <w:link w:val="BodyTextChar"/>
    <w:uiPriority w:val="99"/>
    <w:unhideWhenUsed/>
    <w:rsid w:val="00994022"/>
    <w:pPr>
      <w:spacing w:after="120"/>
    </w:pPr>
  </w:style>
  <w:style w:type="character" w:customStyle="1" w:styleId="BodyTextChar">
    <w:name w:val="Body Text Char"/>
    <w:basedOn w:val="DefaultParagraphFont"/>
    <w:link w:val="BodyText"/>
    <w:uiPriority w:val="99"/>
    <w:rsid w:val="0099402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023A0"/>
    <w:pPr>
      <w:spacing w:after="120"/>
      <w:ind w:left="360"/>
    </w:pPr>
  </w:style>
  <w:style w:type="character" w:customStyle="1" w:styleId="BodyTextIndentChar">
    <w:name w:val="Body Text Indent Char"/>
    <w:basedOn w:val="DefaultParagraphFont"/>
    <w:link w:val="BodyTextIndent"/>
    <w:uiPriority w:val="99"/>
    <w:semiHidden/>
    <w:rsid w:val="002023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384F"/>
    <w:rPr>
      <w:color w:val="0000FF" w:themeColor="hyperlink"/>
      <w:u w:val="single"/>
    </w:rPr>
  </w:style>
  <w:style w:type="character" w:styleId="CommentReference">
    <w:name w:val="annotation reference"/>
    <w:basedOn w:val="DefaultParagraphFont"/>
    <w:uiPriority w:val="99"/>
    <w:semiHidden/>
    <w:unhideWhenUsed/>
    <w:rsid w:val="00F01FCB"/>
    <w:rPr>
      <w:sz w:val="16"/>
      <w:szCs w:val="16"/>
    </w:rPr>
  </w:style>
  <w:style w:type="paragraph" w:styleId="CommentText">
    <w:name w:val="annotation text"/>
    <w:basedOn w:val="Normal"/>
    <w:link w:val="CommentTextChar"/>
    <w:uiPriority w:val="99"/>
    <w:semiHidden/>
    <w:unhideWhenUsed/>
    <w:rsid w:val="00F01FCB"/>
    <w:rPr>
      <w:sz w:val="20"/>
      <w:szCs w:val="20"/>
    </w:rPr>
  </w:style>
  <w:style w:type="character" w:customStyle="1" w:styleId="CommentTextChar">
    <w:name w:val="Comment Text Char"/>
    <w:basedOn w:val="DefaultParagraphFont"/>
    <w:link w:val="CommentText"/>
    <w:uiPriority w:val="99"/>
    <w:semiHidden/>
    <w:rsid w:val="00F0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1FCB"/>
    <w:rPr>
      <w:b/>
      <w:bCs/>
    </w:rPr>
  </w:style>
  <w:style w:type="character" w:customStyle="1" w:styleId="CommentSubjectChar">
    <w:name w:val="Comment Subject Char"/>
    <w:basedOn w:val="CommentTextChar"/>
    <w:link w:val="CommentSubject"/>
    <w:uiPriority w:val="99"/>
    <w:semiHidden/>
    <w:rsid w:val="00F01F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1FCB"/>
    <w:rPr>
      <w:rFonts w:ascii="Tahoma" w:hAnsi="Tahoma" w:cs="Tahoma"/>
      <w:sz w:val="16"/>
      <w:szCs w:val="16"/>
    </w:rPr>
  </w:style>
  <w:style w:type="character" w:customStyle="1" w:styleId="BalloonTextChar">
    <w:name w:val="Balloon Text Char"/>
    <w:basedOn w:val="DefaultParagraphFont"/>
    <w:link w:val="BalloonText"/>
    <w:uiPriority w:val="99"/>
    <w:semiHidden/>
    <w:rsid w:val="00F01FCB"/>
    <w:rPr>
      <w:rFonts w:ascii="Tahoma" w:eastAsia="Times New Roman" w:hAnsi="Tahoma" w:cs="Tahoma"/>
      <w:sz w:val="16"/>
      <w:szCs w:val="16"/>
    </w:rPr>
  </w:style>
  <w:style w:type="paragraph" w:customStyle="1" w:styleId="NormalSS">
    <w:name w:val="NormalSS"/>
    <w:basedOn w:val="Normal"/>
    <w:rsid w:val="005972D3"/>
    <w:pPr>
      <w:tabs>
        <w:tab w:val="left" w:pos="432"/>
      </w:tabs>
      <w:jc w:val="both"/>
    </w:pPr>
    <w:rPr>
      <w:szCs w:val="20"/>
    </w:rPr>
  </w:style>
  <w:style w:type="table" w:styleId="TableGrid">
    <w:name w:val="Table Grid"/>
    <w:basedOn w:val="TableNormal"/>
    <w:uiPriority w:val="59"/>
    <w:rsid w:val="00ED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031">
      <w:bodyDiv w:val="1"/>
      <w:marLeft w:val="0"/>
      <w:marRight w:val="0"/>
      <w:marTop w:val="0"/>
      <w:marBottom w:val="0"/>
      <w:divBdr>
        <w:top w:val="none" w:sz="0" w:space="0" w:color="auto"/>
        <w:left w:val="none" w:sz="0" w:space="0" w:color="auto"/>
        <w:bottom w:val="none" w:sz="0" w:space="0" w:color="auto"/>
        <w:right w:val="none" w:sz="0" w:space="0" w:color="auto"/>
      </w:divBdr>
    </w:div>
    <w:div w:id="627706344">
      <w:bodyDiv w:val="1"/>
      <w:marLeft w:val="0"/>
      <w:marRight w:val="0"/>
      <w:marTop w:val="0"/>
      <w:marBottom w:val="0"/>
      <w:divBdr>
        <w:top w:val="none" w:sz="0" w:space="0" w:color="auto"/>
        <w:left w:val="none" w:sz="0" w:space="0" w:color="auto"/>
        <w:bottom w:val="none" w:sz="0" w:space="0" w:color="auto"/>
        <w:right w:val="none" w:sz="0" w:space="0" w:color="auto"/>
      </w:divBdr>
    </w:div>
    <w:div w:id="660154978">
      <w:bodyDiv w:val="1"/>
      <w:marLeft w:val="0"/>
      <w:marRight w:val="0"/>
      <w:marTop w:val="0"/>
      <w:marBottom w:val="0"/>
      <w:divBdr>
        <w:top w:val="none" w:sz="0" w:space="0" w:color="auto"/>
        <w:left w:val="none" w:sz="0" w:space="0" w:color="auto"/>
        <w:bottom w:val="none" w:sz="0" w:space="0" w:color="auto"/>
        <w:right w:val="none" w:sz="0" w:space="0" w:color="auto"/>
      </w:divBdr>
    </w:div>
    <w:div w:id="781537958">
      <w:bodyDiv w:val="1"/>
      <w:marLeft w:val="0"/>
      <w:marRight w:val="0"/>
      <w:marTop w:val="0"/>
      <w:marBottom w:val="0"/>
      <w:divBdr>
        <w:top w:val="none" w:sz="0" w:space="0" w:color="auto"/>
        <w:left w:val="none" w:sz="0" w:space="0" w:color="auto"/>
        <w:bottom w:val="none" w:sz="0" w:space="0" w:color="auto"/>
        <w:right w:val="none" w:sz="0" w:space="0" w:color="auto"/>
      </w:divBdr>
    </w:div>
    <w:div w:id="1061907491">
      <w:bodyDiv w:val="1"/>
      <w:marLeft w:val="0"/>
      <w:marRight w:val="0"/>
      <w:marTop w:val="0"/>
      <w:marBottom w:val="0"/>
      <w:divBdr>
        <w:top w:val="none" w:sz="0" w:space="0" w:color="auto"/>
        <w:left w:val="none" w:sz="0" w:space="0" w:color="auto"/>
        <w:bottom w:val="none" w:sz="0" w:space="0" w:color="auto"/>
        <w:right w:val="none" w:sz="0" w:space="0" w:color="auto"/>
      </w:divBdr>
    </w:div>
    <w:div w:id="1088499731">
      <w:bodyDiv w:val="1"/>
      <w:marLeft w:val="0"/>
      <w:marRight w:val="0"/>
      <w:marTop w:val="0"/>
      <w:marBottom w:val="0"/>
      <w:divBdr>
        <w:top w:val="none" w:sz="0" w:space="0" w:color="auto"/>
        <w:left w:val="none" w:sz="0" w:space="0" w:color="auto"/>
        <w:bottom w:val="none" w:sz="0" w:space="0" w:color="auto"/>
        <w:right w:val="none" w:sz="0" w:space="0" w:color="auto"/>
      </w:divBdr>
    </w:div>
    <w:div w:id="1234244845">
      <w:bodyDiv w:val="1"/>
      <w:marLeft w:val="0"/>
      <w:marRight w:val="0"/>
      <w:marTop w:val="0"/>
      <w:marBottom w:val="0"/>
      <w:divBdr>
        <w:top w:val="none" w:sz="0" w:space="0" w:color="auto"/>
        <w:left w:val="none" w:sz="0" w:space="0" w:color="auto"/>
        <w:bottom w:val="none" w:sz="0" w:space="0" w:color="auto"/>
        <w:right w:val="none" w:sz="0" w:space="0" w:color="auto"/>
      </w:divBdr>
    </w:div>
    <w:div w:id="1292201709">
      <w:bodyDiv w:val="1"/>
      <w:marLeft w:val="0"/>
      <w:marRight w:val="0"/>
      <w:marTop w:val="0"/>
      <w:marBottom w:val="0"/>
      <w:divBdr>
        <w:top w:val="none" w:sz="0" w:space="0" w:color="auto"/>
        <w:left w:val="none" w:sz="0" w:space="0" w:color="auto"/>
        <w:bottom w:val="none" w:sz="0" w:space="0" w:color="auto"/>
        <w:right w:val="none" w:sz="0" w:space="0" w:color="auto"/>
      </w:divBdr>
    </w:div>
    <w:div w:id="1522667790">
      <w:bodyDiv w:val="1"/>
      <w:marLeft w:val="0"/>
      <w:marRight w:val="0"/>
      <w:marTop w:val="0"/>
      <w:marBottom w:val="0"/>
      <w:divBdr>
        <w:top w:val="none" w:sz="0" w:space="0" w:color="auto"/>
        <w:left w:val="none" w:sz="0" w:space="0" w:color="auto"/>
        <w:bottom w:val="none" w:sz="0" w:space="0" w:color="auto"/>
        <w:right w:val="none" w:sz="0" w:space="0" w:color="auto"/>
      </w:divBdr>
    </w:div>
    <w:div w:id="152640752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769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cew/apps/table_maker/v3/table_mak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B2A3-E039-4DC5-9447-FC6592C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dcterms:created xsi:type="dcterms:W3CDTF">2016-06-24T17:59:00Z</dcterms:created>
  <dcterms:modified xsi:type="dcterms:W3CDTF">2016-06-24T17:59:00Z</dcterms:modified>
</cp:coreProperties>
</file>