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77" w:rsidRPr="00E630EB" w:rsidRDefault="002F7C77" w:rsidP="00780663">
      <w:pPr>
        <w:jc w:val="center"/>
        <w:rPr>
          <w:b/>
        </w:rPr>
      </w:pPr>
      <w:r w:rsidRPr="00E630EB">
        <w:rPr>
          <w:b/>
        </w:rPr>
        <w:t>Supporting Statement for</w:t>
      </w:r>
      <w:r w:rsidR="005862A9">
        <w:rPr>
          <w:b/>
        </w:rPr>
        <w:t xml:space="preserve"> Form SSA-L106-F3 and SSA-L706</w:t>
      </w:r>
      <w:r w:rsidR="00DC4663">
        <w:rPr>
          <w:b/>
        </w:rPr>
        <w:t>-F3</w:t>
      </w:r>
    </w:p>
    <w:p w:rsidR="00A5385A" w:rsidRPr="00E630EB" w:rsidRDefault="00A5385A" w:rsidP="00780663">
      <w:pPr>
        <w:jc w:val="center"/>
        <w:rPr>
          <w:b/>
        </w:rPr>
      </w:pPr>
      <w:r w:rsidRPr="00E630EB">
        <w:rPr>
          <w:b/>
        </w:rPr>
        <w:t>Letter to Custodian of School Records</w:t>
      </w:r>
    </w:p>
    <w:p w:rsidR="002F7C77" w:rsidRPr="00E630EB" w:rsidRDefault="00780663" w:rsidP="00E630EB">
      <w:pPr>
        <w:jc w:val="center"/>
        <w:rPr>
          <w:b/>
        </w:rPr>
      </w:pPr>
      <w:r w:rsidRPr="00E630EB">
        <w:rPr>
          <w:b/>
        </w:rPr>
        <w:t>Letter to Custodian of Birth Records</w:t>
      </w:r>
    </w:p>
    <w:p w:rsidR="00C76B5E" w:rsidRPr="00E630EB" w:rsidRDefault="006F16D0" w:rsidP="00E630EB">
      <w:pPr>
        <w:jc w:val="center"/>
        <w:rPr>
          <w:b/>
          <w:bCs/>
        </w:rPr>
      </w:pPr>
      <w:proofErr w:type="gramStart"/>
      <w:r w:rsidRPr="00E630EB">
        <w:rPr>
          <w:b/>
          <w:bCs/>
        </w:rPr>
        <w:t>20</w:t>
      </w:r>
      <w:proofErr w:type="gramEnd"/>
      <w:r w:rsidRPr="00E630EB">
        <w:rPr>
          <w:b/>
          <w:bCs/>
        </w:rPr>
        <w:t xml:space="preserve"> CFR</w:t>
      </w:r>
      <w:r w:rsidR="00093DAF" w:rsidRPr="00E630EB">
        <w:rPr>
          <w:b/>
          <w:bCs/>
        </w:rPr>
        <w:t xml:space="preserve"> </w:t>
      </w:r>
      <w:r w:rsidRPr="00E630EB">
        <w:rPr>
          <w:b/>
          <w:bCs/>
        </w:rPr>
        <w:t>404.704, 404.716</w:t>
      </w:r>
      <w:r w:rsidR="00A52A34" w:rsidRPr="00E630EB">
        <w:rPr>
          <w:b/>
          <w:bCs/>
        </w:rPr>
        <w:t>,</w:t>
      </w:r>
      <w:r w:rsidRPr="00E630EB">
        <w:rPr>
          <w:b/>
          <w:bCs/>
        </w:rPr>
        <w:t xml:space="preserve"> 416.802</w:t>
      </w:r>
      <w:r w:rsidR="00A52A34" w:rsidRPr="00E630EB">
        <w:rPr>
          <w:b/>
          <w:bCs/>
        </w:rPr>
        <w:t xml:space="preserve"> and 422.107</w:t>
      </w:r>
    </w:p>
    <w:p w:rsidR="00A5385A" w:rsidRPr="00E630EB" w:rsidRDefault="00A54CD9" w:rsidP="009A4D99">
      <w:pPr>
        <w:jc w:val="center"/>
        <w:rPr>
          <w:b/>
        </w:rPr>
      </w:pPr>
      <w:r w:rsidRPr="00E630EB">
        <w:rPr>
          <w:b/>
          <w:bCs/>
        </w:rPr>
        <w:t>OMB No.</w:t>
      </w:r>
      <w:r w:rsidR="00A5385A" w:rsidRPr="00E630EB">
        <w:rPr>
          <w:b/>
          <w:bCs/>
        </w:rPr>
        <w:t xml:space="preserve"> 0960-</w:t>
      </w:r>
      <w:r w:rsidR="008607B2">
        <w:rPr>
          <w:b/>
          <w:bCs/>
        </w:rPr>
        <w:t>0693</w:t>
      </w:r>
    </w:p>
    <w:p w:rsidR="00A5385A" w:rsidRPr="00E630EB" w:rsidRDefault="00A5385A" w:rsidP="00A5385A">
      <w:pPr>
        <w:rPr>
          <w:b/>
          <w:sz w:val="28"/>
        </w:rPr>
      </w:pPr>
    </w:p>
    <w:p w:rsidR="00A5385A" w:rsidRPr="00E630EB" w:rsidRDefault="00A5385A" w:rsidP="00C13DD2">
      <w:pPr>
        <w:ind w:left="720" w:hanging="540"/>
        <w:rPr>
          <w:bCs/>
        </w:rPr>
      </w:pPr>
      <w:r w:rsidRPr="00E630EB">
        <w:rPr>
          <w:b/>
          <w:bCs/>
        </w:rPr>
        <w:t xml:space="preserve">A. </w:t>
      </w:r>
      <w:r w:rsidRPr="00E630EB">
        <w:rPr>
          <w:b/>
          <w:bCs/>
        </w:rPr>
        <w:tab/>
      </w:r>
      <w:r w:rsidRPr="00E630EB">
        <w:rPr>
          <w:b/>
          <w:bCs/>
          <w:u w:val="single"/>
        </w:rPr>
        <w:t>Justification</w:t>
      </w:r>
    </w:p>
    <w:p w:rsidR="00A5385A" w:rsidRDefault="00A5385A" w:rsidP="00C13DD2"/>
    <w:p w:rsidR="002A3313" w:rsidRDefault="002A3313" w:rsidP="00C13DD2">
      <w:pPr>
        <w:numPr>
          <w:ilvl w:val="0"/>
          <w:numId w:val="6"/>
        </w:numPr>
        <w:tabs>
          <w:tab w:val="num" w:pos="1440"/>
        </w:tabs>
        <w:ind w:left="1440"/>
        <w:rPr>
          <w:b/>
        </w:rPr>
      </w:pPr>
      <w:r w:rsidRPr="002A3313">
        <w:rPr>
          <w:b/>
        </w:rPr>
        <w:t>Introduction/Authorizing Laws and Regulations</w:t>
      </w:r>
    </w:p>
    <w:p w:rsidR="00A5385A" w:rsidRDefault="00D81E54" w:rsidP="00C13DD2">
      <w:pPr>
        <w:tabs>
          <w:tab w:val="left" w:pos="1260"/>
        </w:tabs>
        <w:ind w:left="1440"/>
      </w:pPr>
      <w:r>
        <w:rPr>
          <w:iCs/>
        </w:rPr>
        <w:t>The Social Security Administration</w:t>
      </w:r>
      <w:r w:rsidR="005C51EB">
        <w:rPr>
          <w:iCs/>
        </w:rPr>
        <w:t xml:space="preserve"> </w:t>
      </w:r>
      <w:r w:rsidR="00371EFC">
        <w:rPr>
          <w:iCs/>
        </w:rPr>
        <w:t>(SSA)</w:t>
      </w:r>
      <w:r>
        <w:rPr>
          <w:iCs/>
        </w:rPr>
        <w:t xml:space="preserve"> collects this information by authority </w:t>
      </w:r>
      <w:r w:rsidR="00153693">
        <w:rPr>
          <w:iCs/>
        </w:rPr>
        <w:t xml:space="preserve">of </w:t>
      </w:r>
      <w:r w:rsidR="00F941C5">
        <w:rPr>
          <w:iCs/>
        </w:rPr>
        <w:t>s</w:t>
      </w:r>
      <w:r w:rsidR="00153693">
        <w:rPr>
          <w:iCs/>
        </w:rPr>
        <w:t>ection</w:t>
      </w:r>
      <w:r w:rsidR="00095522">
        <w:rPr>
          <w:iCs/>
        </w:rPr>
        <w:t>s</w:t>
      </w:r>
      <w:r w:rsidR="00095522">
        <w:rPr>
          <w:i/>
          <w:iCs/>
        </w:rPr>
        <w:t xml:space="preserve"> 205</w:t>
      </w:r>
      <w:r w:rsidR="00A5385A" w:rsidRPr="002A3313">
        <w:rPr>
          <w:i/>
          <w:iCs/>
        </w:rPr>
        <w:t xml:space="preserve">(a) </w:t>
      </w:r>
      <w:r w:rsidR="00A51D1F">
        <w:rPr>
          <w:iCs/>
        </w:rPr>
        <w:t xml:space="preserve">and </w:t>
      </w:r>
      <w:r w:rsidR="00A51D1F">
        <w:rPr>
          <w:i/>
          <w:iCs/>
        </w:rPr>
        <w:t>1631</w:t>
      </w:r>
      <w:r w:rsidR="00A5385A" w:rsidRPr="00A54CD9">
        <w:t>of the</w:t>
      </w:r>
      <w:r w:rsidR="00A5385A" w:rsidRPr="002A3313">
        <w:rPr>
          <w:i/>
          <w:iCs/>
        </w:rPr>
        <w:t xml:space="preserve"> Social Security Act</w:t>
      </w:r>
      <w:r w:rsidR="00A51D1F">
        <w:rPr>
          <w:i/>
          <w:iCs/>
        </w:rPr>
        <w:t xml:space="preserve"> </w:t>
      </w:r>
      <w:r w:rsidR="00A51D1F">
        <w:rPr>
          <w:iCs/>
        </w:rPr>
        <w:t>(</w:t>
      </w:r>
      <w:r w:rsidR="00A51D1F">
        <w:rPr>
          <w:i/>
          <w:iCs/>
        </w:rPr>
        <w:t>Act</w:t>
      </w:r>
      <w:r w:rsidR="00A51D1F">
        <w:rPr>
          <w:iCs/>
        </w:rPr>
        <w:t>)</w:t>
      </w:r>
      <w:r w:rsidR="00BB6E20">
        <w:rPr>
          <w:i/>
          <w:iCs/>
        </w:rPr>
        <w:t>,</w:t>
      </w:r>
      <w:r w:rsidR="00A5385A">
        <w:t xml:space="preserve"> </w:t>
      </w:r>
      <w:r>
        <w:t xml:space="preserve">which </w:t>
      </w:r>
      <w:r w:rsidR="00A5385A">
        <w:t>giv</w:t>
      </w:r>
      <w:r>
        <w:t xml:space="preserve">es the Commissioner of SSA the authority to make rules, </w:t>
      </w:r>
      <w:r w:rsidR="00A5385A">
        <w:t>regulations</w:t>
      </w:r>
      <w:r>
        <w:t>, and</w:t>
      </w:r>
      <w:r w:rsidR="00A5385A">
        <w:t xml:space="preserve"> establish p</w:t>
      </w:r>
      <w:r w:rsidR="00626746">
        <w:t>rocedures providing</w:t>
      </w:r>
      <w:r w:rsidR="00E1422D">
        <w:t xml:space="preserve"> for the collection</w:t>
      </w:r>
      <w:r w:rsidR="00A5385A">
        <w:t xml:space="preserve"> and fur</w:t>
      </w:r>
      <w:r w:rsidR="006931FF">
        <w:t>nishing of necessary evidence.</w:t>
      </w:r>
      <w:r w:rsidR="00444D8E">
        <w:t xml:space="preserve">  </w:t>
      </w:r>
      <w:r w:rsidR="00371EFC">
        <w:rPr>
          <w:iCs/>
        </w:rPr>
        <w:t xml:space="preserve">Under </w:t>
      </w:r>
      <w:r w:rsidR="00A5385A" w:rsidRPr="002A3313">
        <w:rPr>
          <w:i/>
          <w:iCs/>
        </w:rPr>
        <w:t xml:space="preserve">20 CFR 404.716 </w:t>
      </w:r>
      <w:r w:rsidR="00A5385A" w:rsidRPr="00A54CD9">
        <w:t>and</w:t>
      </w:r>
      <w:r w:rsidR="00A5385A" w:rsidRPr="002A3313">
        <w:rPr>
          <w:i/>
          <w:iCs/>
        </w:rPr>
        <w:t xml:space="preserve"> 20 CFR 416.802</w:t>
      </w:r>
      <w:r w:rsidR="00A5385A">
        <w:t xml:space="preserve"> </w:t>
      </w:r>
      <w:r w:rsidR="00D713B6">
        <w:t xml:space="preserve">of the </w:t>
      </w:r>
      <w:r w:rsidR="00D713B6" w:rsidRPr="00D81E54">
        <w:rPr>
          <w:i/>
        </w:rPr>
        <w:t>C</w:t>
      </w:r>
      <w:r w:rsidR="0030589B" w:rsidRPr="00D81E54">
        <w:rPr>
          <w:i/>
        </w:rPr>
        <w:t>ode of Federal Regulations</w:t>
      </w:r>
      <w:r w:rsidR="00BB6E20">
        <w:rPr>
          <w:i/>
        </w:rPr>
        <w:t>,</w:t>
      </w:r>
      <w:r w:rsidR="0030589B">
        <w:t xml:space="preserve"> </w:t>
      </w:r>
      <w:r w:rsidR="00A5385A">
        <w:t>a claimant must submit a public or religious record of birth established before the age of five, if one</w:t>
      </w:r>
      <w:r w:rsidR="00FA7134">
        <w:t xml:space="preserve"> is available.  </w:t>
      </w:r>
      <w:r>
        <w:t>SSA may</w:t>
      </w:r>
      <w:r w:rsidR="00A5385A">
        <w:t xml:space="preserve"> ask for other evidence of age if the claima</w:t>
      </w:r>
      <w:r>
        <w:t xml:space="preserve">nt cannot obtain this evidence.  </w:t>
      </w:r>
      <w:r w:rsidR="00A5385A" w:rsidRPr="002A3313">
        <w:rPr>
          <w:i/>
          <w:iCs/>
        </w:rPr>
        <w:t>20 CFR 404.704</w:t>
      </w:r>
      <w:r w:rsidR="00A5385A">
        <w:t xml:space="preserve"> </w:t>
      </w:r>
      <w:r w:rsidR="00BA6801">
        <w:t xml:space="preserve">of the </w:t>
      </w:r>
      <w:r w:rsidR="00BA6801" w:rsidRPr="00D81E54">
        <w:rPr>
          <w:i/>
        </w:rPr>
        <w:t>Code of Federal Regulations</w:t>
      </w:r>
      <w:r w:rsidR="00BA6801">
        <w:t xml:space="preserve"> </w:t>
      </w:r>
      <w:r>
        <w:t>places the responsibility on the individual for obtaining and providing such evidence</w:t>
      </w:r>
      <w:r w:rsidR="00A5385A">
        <w:t xml:space="preserve"> to prove eligibility to receive, o</w:t>
      </w:r>
      <w:r>
        <w:t xml:space="preserve">r the right to continue receiving, </w:t>
      </w:r>
      <w:r w:rsidR="00371EFC">
        <w:t>Social Security benefits</w:t>
      </w:r>
      <w:r w:rsidR="00512F46">
        <w:t xml:space="preserve"> or Supplemental Security Income</w:t>
      </w:r>
      <w:r w:rsidR="006931FF">
        <w:t xml:space="preserve"> (SSI)</w:t>
      </w:r>
      <w:r w:rsidR="00512F46">
        <w:t xml:space="preserve"> payments</w:t>
      </w:r>
      <w:r w:rsidR="00371EFC">
        <w:t xml:space="preserve">.  Social Security number (SSN) applicants must submit convincing documentary evidence of age, identity, and citizenship to SSA </w:t>
      </w:r>
      <w:r w:rsidR="00512F46">
        <w:t xml:space="preserve">as stated </w:t>
      </w:r>
      <w:r w:rsidR="00371EFC">
        <w:t xml:space="preserve">at </w:t>
      </w:r>
      <w:r w:rsidR="00371EFC" w:rsidRPr="002A3313">
        <w:rPr>
          <w:i/>
          <w:iCs/>
        </w:rPr>
        <w:t>20 CFR 422.107</w:t>
      </w:r>
      <w:r w:rsidR="00371EFC">
        <w:t xml:space="preserve"> of the </w:t>
      </w:r>
      <w:r w:rsidR="00371EFC" w:rsidRPr="00D81E54">
        <w:rPr>
          <w:i/>
        </w:rPr>
        <w:t>Code of Federal Regulations</w:t>
      </w:r>
      <w:r w:rsidR="00C76B5E">
        <w:t xml:space="preserve">.  </w:t>
      </w:r>
      <w:r w:rsidR="00A5385A">
        <w:t xml:space="preserve">SSA recognizes that some individuals </w:t>
      </w:r>
      <w:r>
        <w:t xml:space="preserve">may </w:t>
      </w:r>
      <w:r w:rsidR="00A5385A">
        <w:t xml:space="preserve">need assistance in obtaining proof of their age.  </w:t>
      </w:r>
    </w:p>
    <w:p w:rsidR="00A5385A" w:rsidRDefault="00A5385A" w:rsidP="00C13DD2"/>
    <w:p w:rsidR="00303A3D" w:rsidRDefault="00303A3D" w:rsidP="00C13DD2">
      <w:pPr>
        <w:numPr>
          <w:ilvl w:val="0"/>
          <w:numId w:val="6"/>
        </w:numPr>
        <w:tabs>
          <w:tab w:val="num" w:pos="1440"/>
        </w:tabs>
        <w:ind w:left="1440"/>
        <w:rPr>
          <w:b/>
        </w:rPr>
      </w:pPr>
      <w:r w:rsidRPr="00303A3D">
        <w:rPr>
          <w:b/>
        </w:rPr>
        <w:t>Description of Collection</w:t>
      </w:r>
    </w:p>
    <w:p w:rsidR="005862A9" w:rsidRPr="00303A3D" w:rsidRDefault="005862A9" w:rsidP="00C13DD2">
      <w:pPr>
        <w:tabs>
          <w:tab w:val="left" w:pos="720"/>
        </w:tabs>
        <w:ind w:left="1440"/>
        <w:rPr>
          <w:b/>
        </w:rPr>
      </w:pPr>
      <w:r>
        <w:t>SSA prepares Form SSA-L106 and SSA-L706</w:t>
      </w:r>
      <w:r w:rsidR="00A50F7C">
        <w:t xml:space="preserve"> </w:t>
      </w:r>
      <w:r>
        <w:t>for individuals who need help in obtaining evidence of their age in connecti</w:t>
      </w:r>
      <w:r w:rsidR="00D81E54">
        <w:t>on with SSN</w:t>
      </w:r>
      <w:r>
        <w:t xml:space="preserve"> card applications and claims for benefits</w:t>
      </w:r>
      <w:r w:rsidR="006931FF">
        <w:t xml:space="preserve"> and SSI</w:t>
      </w:r>
      <w:r>
        <w:t>.  SSA uses the SSA-L106 to determine the existence of primary evidence of age for SSN applicants.  SSA also uses both letters to verify with the issuing entity, when necessary, the authenticity of the record submitted by the SSN applicant or claimant.  The</w:t>
      </w:r>
      <w:r w:rsidR="00D81E54">
        <w:t xml:space="preserve"> respondents are schools, S</w:t>
      </w:r>
      <w:r w:rsidR="00FA7134">
        <w:t>tates</w:t>
      </w:r>
      <w:r>
        <w:t xml:space="preserve"> and local bureaus of vital statistics</w:t>
      </w:r>
      <w:r w:rsidR="00F941C5">
        <w:t>;</w:t>
      </w:r>
      <w:r>
        <w:t xml:space="preserve"> and religious entities</w:t>
      </w:r>
      <w:proofErr w:type="gramStart"/>
      <w:r>
        <w:t>.</w:t>
      </w:r>
      <w:r w:rsidR="00A50F7C">
        <w:t xml:space="preserve"> </w:t>
      </w:r>
      <w:proofErr w:type="gramEnd"/>
      <w:r w:rsidR="00A50F7C">
        <w:t xml:space="preserve">The collection is voluntary, but the evidence is </w:t>
      </w:r>
      <w:r w:rsidR="00153693">
        <w:t xml:space="preserve">necessary to obtain an SSN, a </w:t>
      </w:r>
      <w:r w:rsidR="00A50F7C">
        <w:t>benefit</w:t>
      </w:r>
      <w:r w:rsidR="00153693">
        <w:t xml:space="preserve">, or SSI payment.  </w:t>
      </w:r>
      <w:r w:rsidR="00A50F7C">
        <w:t xml:space="preserve">We collect this information one time from </w:t>
      </w:r>
      <w:r w:rsidR="00626746">
        <w:t>the respondents</w:t>
      </w:r>
      <w:r w:rsidR="00DA7E17">
        <w:t xml:space="preserve"> who are custodians of school and birth records (e.g., State and local agencies and schools).</w:t>
      </w:r>
    </w:p>
    <w:p w:rsidR="00815634" w:rsidRDefault="00815634" w:rsidP="00C13DD2">
      <w:pPr>
        <w:ind w:left="1440"/>
      </w:pPr>
      <w:r>
        <w:t>Form SSA-L106 and SSA-L706 are availabl</w:t>
      </w:r>
      <w:r w:rsidR="00626746">
        <w:t xml:space="preserve">e in paper form only.  </w:t>
      </w:r>
      <w:r w:rsidR="000C5547">
        <w:t xml:space="preserve">An SSA employee completes the form on behalf of the claimant and sends the request for record information.  </w:t>
      </w:r>
      <w:r w:rsidR="009050D7">
        <w:t xml:space="preserve">Both the SSA-L106 and SSA-L706 </w:t>
      </w:r>
      <w:proofErr w:type="gramStart"/>
      <w:r w:rsidR="00D81E54">
        <w:t>are</w:t>
      </w:r>
      <w:proofErr w:type="gramEnd"/>
      <w:r w:rsidR="00D81E54">
        <w:t xml:space="preserve"> </w:t>
      </w:r>
      <w:r w:rsidR="004C06DB">
        <w:t>agency-initiated</w:t>
      </w:r>
      <w:r w:rsidR="009050D7">
        <w:t xml:space="preserve"> letters </w:t>
      </w:r>
      <w:r w:rsidR="00D81E54">
        <w:t>requiring</w:t>
      </w:r>
      <w:r w:rsidR="009050D7">
        <w:t xml:space="preserve"> the </w:t>
      </w:r>
      <w:r w:rsidR="004C06DB">
        <w:t>claimant’s</w:t>
      </w:r>
      <w:r w:rsidR="009050D7">
        <w:t xml:space="preserve"> signature and usually payment, often in the form of a check</w:t>
      </w:r>
      <w:r w:rsidR="00E6482A">
        <w:t>.</w:t>
      </w:r>
      <w:r w:rsidR="00F941C5">
        <w:t xml:space="preserve">  </w:t>
      </w:r>
      <w:r w:rsidR="00F941C5">
        <w:rPr>
          <w:rFonts w:cs="Arial"/>
          <w:noProof/>
          <w:szCs w:val="16"/>
        </w:rPr>
        <w:t>The respondents are schools, State and local bureaus of vital statistics, and religious entities.</w:t>
      </w:r>
    </w:p>
    <w:p w:rsidR="00A5385A" w:rsidRDefault="00A5385A" w:rsidP="00C13DD2">
      <w:pPr>
        <w:ind w:left="720" w:hanging="720"/>
      </w:pPr>
    </w:p>
    <w:p w:rsidR="007954F6" w:rsidRPr="007954F6" w:rsidRDefault="007954F6" w:rsidP="00C13DD2">
      <w:pPr>
        <w:numPr>
          <w:ilvl w:val="0"/>
          <w:numId w:val="6"/>
        </w:numPr>
        <w:tabs>
          <w:tab w:val="num" w:pos="1440"/>
        </w:tabs>
        <w:ind w:left="1440"/>
        <w:rPr>
          <w:b/>
        </w:rPr>
      </w:pPr>
      <w:r w:rsidRPr="007954F6">
        <w:rPr>
          <w:b/>
        </w:rPr>
        <w:t xml:space="preserve">Use of Information </w:t>
      </w:r>
      <w:r w:rsidR="00BA6801" w:rsidRPr="007954F6">
        <w:rPr>
          <w:b/>
        </w:rPr>
        <w:t>Technology</w:t>
      </w:r>
      <w:r w:rsidRPr="007954F6">
        <w:rPr>
          <w:b/>
        </w:rPr>
        <w:t xml:space="preserve"> to Collect the Information</w:t>
      </w:r>
    </w:p>
    <w:p w:rsidR="005C51EB" w:rsidRDefault="0062367B" w:rsidP="00C13DD2">
      <w:pPr>
        <w:ind w:left="1440"/>
      </w:pPr>
      <w:r>
        <w:t>Form</w:t>
      </w:r>
      <w:r w:rsidR="00907E89">
        <w:t>s</w:t>
      </w:r>
      <w:r>
        <w:t xml:space="preserve"> SSA-L106 and SSA-</w:t>
      </w:r>
      <w:r w:rsidR="00B55328">
        <w:t>L706 are</w:t>
      </w:r>
      <w:r w:rsidR="00907E89">
        <w:t xml:space="preserve"> not</w:t>
      </w:r>
      <w:r>
        <w:t xml:space="preserve"> available electronically due t</w:t>
      </w:r>
      <w:r w:rsidR="00371EFC">
        <w:t xml:space="preserve">o the low number of respondents.  </w:t>
      </w:r>
      <w:r w:rsidR="009050D7">
        <w:t>S</w:t>
      </w:r>
      <w:r w:rsidR="009050D7" w:rsidRPr="009050D7">
        <w:t>SA did not c</w:t>
      </w:r>
      <w:r w:rsidR="00371EFC">
        <w:t xml:space="preserve">reate an electronic version of the forms </w:t>
      </w:r>
      <w:r w:rsidR="00E1422D">
        <w:lastRenderedPageBreak/>
        <w:t xml:space="preserve">under the agency’s </w:t>
      </w:r>
      <w:r w:rsidR="009050D7" w:rsidRPr="009050D7">
        <w:t xml:space="preserve">Government </w:t>
      </w:r>
      <w:r w:rsidR="00FA7134">
        <w:t>Paperwork Elimination Act</w:t>
      </w:r>
      <w:r w:rsidR="009050D7" w:rsidRPr="009050D7">
        <w:t xml:space="preserve"> </w:t>
      </w:r>
      <w:r w:rsidR="00F941C5">
        <w:t xml:space="preserve">(GPEA) </w:t>
      </w:r>
      <w:r w:rsidR="009050D7" w:rsidRPr="009050D7">
        <w:t xml:space="preserve">plan because only </w:t>
      </w:r>
      <w:r w:rsidR="009050D7">
        <w:t>7,200</w:t>
      </w:r>
      <w:r w:rsidR="009050D7" w:rsidRPr="009050D7">
        <w:t xml:space="preserve"> respondents complete the form</w:t>
      </w:r>
      <w:r w:rsidR="00F941C5">
        <w:t>s, which is below the GPEA cutoff of 50,000.</w:t>
      </w:r>
    </w:p>
    <w:p w:rsidR="00FA7134" w:rsidRPr="009050D7" w:rsidRDefault="00FA7134" w:rsidP="00C13DD2">
      <w:pPr>
        <w:ind w:left="720"/>
      </w:pPr>
    </w:p>
    <w:p w:rsidR="007C7CCE" w:rsidRPr="007C7CCE" w:rsidRDefault="007C7CCE" w:rsidP="00C13DD2">
      <w:pPr>
        <w:numPr>
          <w:ilvl w:val="0"/>
          <w:numId w:val="6"/>
        </w:numPr>
        <w:tabs>
          <w:tab w:val="num" w:pos="1440"/>
        </w:tabs>
        <w:ind w:left="1440"/>
        <w:rPr>
          <w:b/>
        </w:rPr>
      </w:pPr>
      <w:r w:rsidRPr="007C7CCE">
        <w:rPr>
          <w:b/>
        </w:rPr>
        <w:t>Why We Cannot Use Duplicate Information</w:t>
      </w:r>
    </w:p>
    <w:p w:rsidR="00A5385A" w:rsidRDefault="00A5385A" w:rsidP="00C13DD2">
      <w:pPr>
        <w:tabs>
          <w:tab w:val="left" w:pos="810"/>
        </w:tabs>
        <w:ind w:left="1440"/>
      </w:pPr>
      <w:r>
        <w:t>The nature of the information</w:t>
      </w:r>
      <w:r w:rsidR="00305DEF">
        <w:t xml:space="preserve"> </w:t>
      </w:r>
      <w:r w:rsidR="00FA557D">
        <w:t xml:space="preserve">we </w:t>
      </w:r>
      <w:r w:rsidR="005C51EB">
        <w:t>c</w:t>
      </w:r>
      <w:r w:rsidR="00FA557D">
        <w:t>ollect</w:t>
      </w:r>
      <w:r w:rsidR="005C51EB">
        <w:t xml:space="preserve"> </w:t>
      </w:r>
      <w:r>
        <w:t xml:space="preserve">and the manner in which </w:t>
      </w:r>
      <w:r w:rsidR="00FA557D">
        <w:t>we collect</w:t>
      </w:r>
      <w:r w:rsidR="005C51EB">
        <w:t xml:space="preserve"> </w:t>
      </w:r>
      <w:r w:rsidR="00FA557D">
        <w:t>it</w:t>
      </w:r>
      <w:r>
        <w:t xml:space="preserve"> preclude duplication.  </w:t>
      </w:r>
      <w:r w:rsidR="00FA557D">
        <w:t>SSA does not use another collection instrument</w:t>
      </w:r>
      <w:r>
        <w:t xml:space="preserve"> </w:t>
      </w:r>
      <w:r w:rsidR="00FA557D">
        <w:t>to obtain similar data</w:t>
      </w:r>
      <w:r>
        <w:t>.</w:t>
      </w:r>
    </w:p>
    <w:p w:rsidR="00A5385A" w:rsidRDefault="00A5385A" w:rsidP="00C13DD2">
      <w:pPr>
        <w:ind w:left="720" w:hanging="720"/>
      </w:pPr>
    </w:p>
    <w:p w:rsidR="00BA6801" w:rsidRDefault="00BA6801" w:rsidP="00C13DD2">
      <w:pPr>
        <w:numPr>
          <w:ilvl w:val="0"/>
          <w:numId w:val="6"/>
        </w:numPr>
        <w:tabs>
          <w:tab w:val="num" w:pos="1440"/>
        </w:tabs>
        <w:ind w:left="1440"/>
        <w:rPr>
          <w:b/>
        </w:rPr>
      </w:pPr>
      <w:r w:rsidRPr="00BA6801">
        <w:rPr>
          <w:b/>
        </w:rPr>
        <w:t>Minimizing Burden on Small Respondents</w:t>
      </w:r>
    </w:p>
    <w:p w:rsidR="00A5385A" w:rsidRPr="00BA6801" w:rsidRDefault="001F5953" w:rsidP="00C13DD2">
      <w:pPr>
        <w:tabs>
          <w:tab w:val="left" w:pos="720"/>
          <w:tab w:val="left" w:pos="1350"/>
        </w:tabs>
        <w:ind w:left="1440"/>
        <w:rPr>
          <w:b/>
        </w:rPr>
      </w:pPr>
      <w:r>
        <w:t>This</w:t>
      </w:r>
      <w:r w:rsidR="00A5385A">
        <w:t xml:space="preserve"> collection</w:t>
      </w:r>
      <w:r w:rsidR="0008165F">
        <w:t xml:space="preserve"> do</w:t>
      </w:r>
      <w:r>
        <w:t>es</w:t>
      </w:r>
      <w:r w:rsidR="00A5385A">
        <w:t xml:space="preserve"> not </w:t>
      </w:r>
      <w:r w:rsidR="007C49E9">
        <w:t>affect small businesses or other small entities</w:t>
      </w:r>
      <w:r w:rsidR="00A5385A">
        <w:t>.</w:t>
      </w:r>
    </w:p>
    <w:p w:rsidR="00A5385A" w:rsidRDefault="00A5385A" w:rsidP="00C13DD2">
      <w:pPr>
        <w:ind w:left="720" w:hanging="720"/>
      </w:pPr>
    </w:p>
    <w:p w:rsidR="00BA6801" w:rsidRPr="00BA6801" w:rsidRDefault="00BA6801" w:rsidP="00C13DD2">
      <w:pPr>
        <w:numPr>
          <w:ilvl w:val="0"/>
          <w:numId w:val="6"/>
        </w:numPr>
        <w:tabs>
          <w:tab w:val="num" w:pos="1440"/>
        </w:tabs>
        <w:ind w:left="1440"/>
        <w:rPr>
          <w:b/>
        </w:rPr>
      </w:pPr>
      <w:r w:rsidRPr="00BA6801">
        <w:rPr>
          <w:b/>
        </w:rPr>
        <w:t>Consequence of Not Collecting Information or Collecting it Less Frequently</w:t>
      </w:r>
    </w:p>
    <w:p w:rsidR="00A5385A" w:rsidRDefault="00E11512" w:rsidP="00C13DD2">
      <w:pPr>
        <w:ind w:left="1440"/>
      </w:pPr>
      <w:r>
        <w:t xml:space="preserve">If </w:t>
      </w:r>
      <w:r w:rsidR="00907E89">
        <w:t>we did not use F</w:t>
      </w:r>
      <w:r w:rsidR="00122C83">
        <w:t>orms SSA-L106 and SSA-L706</w:t>
      </w:r>
      <w:r>
        <w:t>, SSA would not be able to verify the claimant’s age</w:t>
      </w:r>
      <w:r w:rsidR="00626746">
        <w:t xml:space="preserve"> or </w:t>
      </w:r>
      <w:r w:rsidR="00153693">
        <w:t>other claimant-submitted evidence,</w:t>
      </w:r>
      <w:r>
        <w:t xml:space="preserve"> and therefore wou</w:t>
      </w:r>
      <w:r w:rsidR="00153693">
        <w:t>ld</w:t>
      </w:r>
      <w:r w:rsidR="00626746">
        <w:t xml:space="preserve"> be</w:t>
      </w:r>
      <w:r w:rsidR="00153693">
        <w:t xml:space="preserve"> unable to provide requested services to the public</w:t>
      </w:r>
      <w:r>
        <w:t>.  Because</w:t>
      </w:r>
      <w:r w:rsidR="009050D7">
        <w:t xml:space="preserve"> we only collect the information </w:t>
      </w:r>
      <w:r w:rsidR="00122C83">
        <w:t>on an as-</w:t>
      </w:r>
      <w:r>
        <w:t xml:space="preserve">needed basis, </w:t>
      </w:r>
      <w:r w:rsidR="00122C83">
        <w:t>we cannot collect it less frequently</w:t>
      </w:r>
      <w:r w:rsidR="00794870">
        <w:t>.  T</w:t>
      </w:r>
      <w:r w:rsidR="00A5385A">
        <w:t xml:space="preserve">here are no technical or legal obstacles </w:t>
      </w:r>
      <w:r w:rsidR="00122C83">
        <w:t>to</w:t>
      </w:r>
      <w:r w:rsidR="00A5385A">
        <w:t xml:space="preserve"> burden reduction.</w:t>
      </w:r>
      <w:r w:rsidR="00F97BC1">
        <w:tab/>
      </w:r>
    </w:p>
    <w:p w:rsidR="00A5385A" w:rsidRDefault="00A5385A" w:rsidP="00C13DD2">
      <w:pPr>
        <w:ind w:left="720" w:hanging="720"/>
      </w:pPr>
    </w:p>
    <w:p w:rsidR="00BA6801" w:rsidRPr="00BA6801" w:rsidRDefault="00BA6801" w:rsidP="00C13DD2">
      <w:pPr>
        <w:numPr>
          <w:ilvl w:val="0"/>
          <w:numId w:val="6"/>
        </w:numPr>
        <w:tabs>
          <w:tab w:val="num" w:pos="1440"/>
        </w:tabs>
        <w:ind w:left="1440"/>
        <w:rPr>
          <w:b/>
        </w:rPr>
      </w:pPr>
      <w:r w:rsidRPr="00BA6801">
        <w:rPr>
          <w:b/>
        </w:rPr>
        <w:t>Special Circumstances</w:t>
      </w:r>
    </w:p>
    <w:p w:rsidR="00A5385A" w:rsidRDefault="00A5385A" w:rsidP="00C13DD2">
      <w:pPr>
        <w:ind w:left="1440"/>
      </w:pPr>
      <w:r>
        <w:t xml:space="preserve">There are no special circumstances that would cause </w:t>
      </w:r>
      <w:r w:rsidR="00194B46">
        <w:t>SSA to conduct this</w:t>
      </w:r>
      <w:r>
        <w:t xml:space="preserve"> information collection in a manner </w:t>
      </w:r>
      <w:r w:rsidR="00194B46">
        <w:t xml:space="preserve">inconsistent with </w:t>
      </w:r>
      <w:proofErr w:type="gramStart"/>
      <w:r w:rsidR="00194B46" w:rsidRPr="00371EFC">
        <w:rPr>
          <w:i/>
        </w:rPr>
        <w:t>5</w:t>
      </w:r>
      <w:proofErr w:type="gramEnd"/>
      <w:r w:rsidR="00194B46" w:rsidRPr="00371EFC">
        <w:rPr>
          <w:i/>
        </w:rPr>
        <w:t xml:space="preserve"> CFR 1320.5</w:t>
      </w:r>
      <w:r>
        <w:t>.</w:t>
      </w:r>
    </w:p>
    <w:p w:rsidR="00916156" w:rsidRDefault="00916156" w:rsidP="00C13DD2">
      <w:pPr>
        <w:ind w:left="720" w:hanging="720"/>
      </w:pPr>
    </w:p>
    <w:p w:rsidR="00BA6801" w:rsidRDefault="00BA6801" w:rsidP="00C13DD2">
      <w:pPr>
        <w:widowControl w:val="0"/>
        <w:numPr>
          <w:ilvl w:val="0"/>
          <w:numId w:val="6"/>
        </w:numPr>
        <w:tabs>
          <w:tab w:val="left" w:pos="-720"/>
          <w:tab w:val="left" w:pos="0"/>
          <w:tab w:val="num" w:pos="1440"/>
        </w:tabs>
        <w:suppressAutoHyphens/>
        <w:ind w:left="1440"/>
        <w:rPr>
          <w:b/>
        </w:rPr>
      </w:pPr>
      <w:r w:rsidRPr="00BC7F42">
        <w:rPr>
          <w:b/>
        </w:rPr>
        <w:t xml:space="preserve">Solicitation of Public Comment and Other Consultations with the Public </w:t>
      </w:r>
    </w:p>
    <w:p w:rsidR="00453045" w:rsidRDefault="00137E84" w:rsidP="00C13DD2">
      <w:pPr>
        <w:ind w:left="1440"/>
      </w:pPr>
      <w:r w:rsidRPr="00137E84">
        <w:t xml:space="preserve">SSA published the 60-day advance Federal Register Notice on </w:t>
      </w:r>
      <w:r>
        <w:t>June</w:t>
      </w:r>
      <w:r w:rsidRPr="00137E84">
        <w:t xml:space="preserve"> </w:t>
      </w:r>
      <w:r>
        <w:t>6</w:t>
      </w:r>
      <w:r w:rsidRPr="00137E84">
        <w:t xml:space="preserve">, 2016 at 81 FR </w:t>
      </w:r>
      <w:r>
        <w:t>36373</w:t>
      </w:r>
      <w:r w:rsidRPr="00137E84">
        <w:t xml:space="preserve">, and we did not receive any public comments in response to this notice.  We published the 30-day Federal Register Notice on </w:t>
      </w:r>
      <w:r w:rsidR="0024439E">
        <w:t xml:space="preserve">August 15, 2016 </w:t>
      </w:r>
      <w:r w:rsidRPr="00137E84">
        <w:t xml:space="preserve">at </w:t>
      </w:r>
      <w:r w:rsidR="0024439E">
        <w:t>81 FR 54175</w:t>
      </w:r>
      <w:r w:rsidRPr="00137E84">
        <w:t>.  If we receive any comments in response to the 30-day Notice, we will forward them to OMB.  We did not consult with the public in the maintenance of this form.</w:t>
      </w:r>
    </w:p>
    <w:p w:rsidR="00137E84" w:rsidRDefault="00137E84" w:rsidP="00C13DD2">
      <w:pPr>
        <w:ind w:left="1440"/>
      </w:pPr>
    </w:p>
    <w:p w:rsidR="00BA6801" w:rsidRDefault="00A5385A" w:rsidP="00C13DD2">
      <w:pPr>
        <w:widowControl w:val="0"/>
        <w:tabs>
          <w:tab w:val="num" w:pos="1440"/>
        </w:tabs>
        <w:ind w:left="1440" w:hanging="720"/>
        <w:rPr>
          <w:b/>
        </w:rPr>
      </w:pPr>
      <w:r w:rsidRPr="00512F46">
        <w:rPr>
          <w:b/>
        </w:rPr>
        <w:t>9</w:t>
      </w:r>
      <w:r>
        <w:t>.</w:t>
      </w:r>
      <w:r>
        <w:tab/>
      </w:r>
      <w:r w:rsidR="00BA6801" w:rsidRPr="00BC7F42">
        <w:rPr>
          <w:b/>
        </w:rPr>
        <w:t>Payment or Gifts to Respondents</w:t>
      </w:r>
    </w:p>
    <w:p w:rsidR="00B80385" w:rsidRDefault="00BA6801" w:rsidP="00C13DD2">
      <w:pPr>
        <w:ind w:left="1440" w:hanging="1440"/>
      </w:pPr>
      <w:r>
        <w:tab/>
      </w:r>
      <w:r w:rsidR="003B01A6">
        <w:t>When payment is required, t</w:t>
      </w:r>
      <w:r w:rsidR="00AA2D99">
        <w:t>he requester</w:t>
      </w:r>
      <w:r w:rsidR="00A5385A">
        <w:t xml:space="preserve"> pays</w:t>
      </w:r>
      <w:r w:rsidR="003B01A6">
        <w:t xml:space="preserve"> the</w:t>
      </w:r>
      <w:r w:rsidR="00626746">
        <w:t xml:space="preserve"> </w:t>
      </w:r>
      <w:r w:rsidR="00626746" w:rsidRPr="00626746">
        <w:t>custodians of school and birth records (e.g., State and local agencies and schools)</w:t>
      </w:r>
      <w:r w:rsidR="00A5385A">
        <w:t xml:space="preserve"> in acc</w:t>
      </w:r>
      <w:r w:rsidR="00371EFC">
        <w:t xml:space="preserve">ordance with their fee schedules.  </w:t>
      </w:r>
      <w:r w:rsidR="00A5385A">
        <w:t>SSA pays on behalf of a claimant in situations meeting the requirements</w:t>
      </w:r>
      <w:r w:rsidR="00626746">
        <w:t xml:space="preserve"> of our </w:t>
      </w:r>
      <w:r w:rsidR="00A5385A">
        <w:t>operating instructions</w:t>
      </w:r>
      <w:r w:rsidR="00153693">
        <w:t xml:space="preserve">.  </w:t>
      </w:r>
      <w:r w:rsidR="00B80385">
        <w:t xml:space="preserve">The circumstances under which SSA will pay on behalf of the </w:t>
      </w:r>
      <w:r w:rsidR="00626746">
        <w:t>claimant vary depending on the t</w:t>
      </w:r>
      <w:r w:rsidR="00B80385">
        <w:t>itle un</w:t>
      </w:r>
      <w:r w:rsidR="00153693">
        <w:t>der which we pay the claims</w:t>
      </w:r>
      <w:proofErr w:type="gramStart"/>
      <w:r w:rsidR="00294D0D">
        <w:t xml:space="preserve">. </w:t>
      </w:r>
      <w:proofErr w:type="gramEnd"/>
      <w:r w:rsidR="00B80385">
        <w:t>The circumstances are:</w:t>
      </w:r>
    </w:p>
    <w:p w:rsidR="00B80385" w:rsidRDefault="00B80385" w:rsidP="00C13DD2">
      <w:pPr>
        <w:ind w:left="1440" w:hanging="1440"/>
      </w:pPr>
    </w:p>
    <w:p w:rsidR="00B80385" w:rsidRPr="008038A7" w:rsidRDefault="00B80385" w:rsidP="00C13DD2">
      <w:pPr>
        <w:ind w:left="1440" w:hanging="1440"/>
      </w:pPr>
      <w:r w:rsidRPr="008038A7">
        <w:tab/>
      </w:r>
      <w:r>
        <w:rPr>
          <w:u w:val="single"/>
        </w:rPr>
        <w:t>S</w:t>
      </w:r>
      <w:r w:rsidRPr="008038A7">
        <w:rPr>
          <w:u w:val="single"/>
        </w:rPr>
        <w:t xml:space="preserve">SA Payment Criteria </w:t>
      </w:r>
      <w:r w:rsidR="006931FF" w:rsidRPr="008038A7">
        <w:rPr>
          <w:u w:val="single"/>
        </w:rPr>
        <w:t>for</w:t>
      </w:r>
      <w:r w:rsidRPr="008038A7">
        <w:rPr>
          <w:u w:val="single"/>
        </w:rPr>
        <w:t xml:space="preserve"> Title </w:t>
      </w:r>
      <w:r w:rsidR="00F941C5">
        <w:rPr>
          <w:u w:val="single"/>
        </w:rPr>
        <w:t>II</w:t>
      </w:r>
      <w:r w:rsidRPr="008038A7">
        <w:rPr>
          <w:u w:val="single"/>
        </w:rPr>
        <w:t xml:space="preserve"> or </w:t>
      </w:r>
      <w:r w:rsidR="00F941C5">
        <w:rPr>
          <w:u w:val="single"/>
        </w:rPr>
        <w:t>XVIII</w:t>
      </w:r>
      <w:r w:rsidRPr="008038A7">
        <w:rPr>
          <w:u w:val="single"/>
        </w:rPr>
        <w:t>:</w:t>
      </w:r>
    </w:p>
    <w:p w:rsidR="00B80385" w:rsidRPr="008038A7" w:rsidRDefault="00B80385" w:rsidP="00C13DD2">
      <w:pPr>
        <w:ind w:left="1440" w:hanging="1440"/>
      </w:pPr>
      <w:r w:rsidRPr="008038A7">
        <w:t> </w:t>
      </w:r>
      <w:r>
        <w:tab/>
      </w:r>
      <w:r w:rsidRPr="008038A7">
        <w:t xml:space="preserve">To enable SSA to pay for evidence, the </w:t>
      </w:r>
      <w:r>
        <w:t>cl</w:t>
      </w:r>
      <w:r w:rsidR="00794870">
        <w:t xml:space="preserve">aimant must meet the following </w:t>
      </w:r>
      <w:r>
        <w:t>conditions:</w:t>
      </w:r>
      <w:r w:rsidRPr="008038A7">
        <w:t xml:space="preserve"> </w:t>
      </w:r>
    </w:p>
    <w:p w:rsidR="00B80385" w:rsidRDefault="00B80385" w:rsidP="00C13DD2">
      <w:pPr>
        <w:pStyle w:val="NormalWeb"/>
        <w:numPr>
          <w:ilvl w:val="0"/>
          <w:numId w:val="13"/>
        </w:numPr>
        <w:tabs>
          <w:tab w:val="left" w:pos="1170"/>
          <w:tab w:val="left" w:pos="1440"/>
        </w:tabs>
      </w:pPr>
      <w:r>
        <w:t>The</w:t>
      </w:r>
      <w:r w:rsidRPr="008038A7">
        <w:t xml:space="preserve"> claimant must have submitted one or more pieces of affirmative ev</w:t>
      </w:r>
      <w:r w:rsidR="00512F46">
        <w:t xml:space="preserve">idence supporting eligibility.  </w:t>
      </w:r>
      <w:r w:rsidRPr="008038A7">
        <w:t xml:space="preserve">It is not necessary that the file be free </w:t>
      </w:r>
      <w:proofErr w:type="gramStart"/>
      <w:r w:rsidRPr="008038A7">
        <w:t xml:space="preserve">of </w:t>
      </w:r>
      <w:r w:rsidR="00794870">
        <w:t xml:space="preserve"> </w:t>
      </w:r>
      <w:r>
        <w:t>discrepancy</w:t>
      </w:r>
      <w:proofErr w:type="gramEnd"/>
      <w:r>
        <w:t xml:space="preserve">, </w:t>
      </w:r>
      <w:r w:rsidRPr="008038A7">
        <w:t xml:space="preserve">only that all of the available evidence establishes a reasonable likelihood of </w:t>
      </w:r>
      <w:r>
        <w:t>eligibility.</w:t>
      </w:r>
    </w:p>
    <w:p w:rsidR="00B80385" w:rsidRPr="008038A7" w:rsidRDefault="00B80385" w:rsidP="00C13DD2">
      <w:pPr>
        <w:pStyle w:val="NormalWeb"/>
        <w:tabs>
          <w:tab w:val="left" w:pos="1080"/>
          <w:tab w:val="left" w:pos="1170"/>
        </w:tabs>
        <w:ind w:left="1440" w:hanging="1440"/>
      </w:pPr>
    </w:p>
    <w:p w:rsidR="00B80385" w:rsidRDefault="00794870" w:rsidP="00C13DD2">
      <w:pPr>
        <w:pStyle w:val="NormalWeb"/>
        <w:tabs>
          <w:tab w:val="left" w:pos="1170"/>
          <w:tab w:val="left" w:pos="1260"/>
          <w:tab w:val="left" w:pos="1440"/>
        </w:tabs>
        <w:ind w:left="1440" w:hanging="1440"/>
        <w:jc w:val="both"/>
      </w:pPr>
      <w:r>
        <w:rPr>
          <w:bCs/>
        </w:rPr>
        <w:tab/>
        <w:t xml:space="preserve">    </w:t>
      </w:r>
      <w:r w:rsidR="00512F46" w:rsidRPr="00512F46">
        <w:rPr>
          <w:bCs/>
        </w:rPr>
        <w:t>Example</w:t>
      </w:r>
      <w:r w:rsidR="00512F46">
        <w:rPr>
          <w:b/>
          <w:bCs/>
        </w:rPr>
        <w:t xml:space="preserve">:  </w:t>
      </w:r>
      <w:r w:rsidR="00B80385" w:rsidRPr="008038A7">
        <w:t>A surviving divorced wife w</w:t>
      </w:r>
      <w:r w:rsidR="00C13DD2">
        <w:t>ho submits proof establishing a</w:t>
      </w:r>
      <w:r w:rsidR="00294D0D">
        <w:t>10-</w:t>
      </w:r>
      <w:r w:rsidR="00B80385">
        <w:t>year</w:t>
      </w:r>
      <w:r w:rsidR="00153693">
        <w:t xml:space="preserve"> </w:t>
      </w:r>
      <w:r w:rsidR="00512F46">
        <w:t>marriage to the number holder</w:t>
      </w:r>
      <w:r w:rsidR="00B80385" w:rsidRPr="008038A7">
        <w:t xml:space="preserve"> su</w:t>
      </w:r>
      <w:r w:rsidR="00B80385">
        <w:t>bmit</w:t>
      </w:r>
      <w:r w:rsidR="00512F46">
        <w:t xml:space="preserve">ted affirmative evidence of </w:t>
      </w:r>
      <w:r w:rsidR="006931FF">
        <w:t>eligibility even</w:t>
      </w:r>
      <w:r w:rsidR="0075277B">
        <w:t xml:space="preserve"> </w:t>
      </w:r>
      <w:r w:rsidR="006A397A">
        <w:t xml:space="preserve">though SSA must obtain a </w:t>
      </w:r>
      <w:r w:rsidR="00B80385" w:rsidRPr="008038A7">
        <w:t>div</w:t>
      </w:r>
      <w:r w:rsidR="006A397A">
        <w:t xml:space="preserve">orce record </w:t>
      </w:r>
      <w:r w:rsidR="00B80385" w:rsidRPr="008038A7">
        <w:t xml:space="preserve">as well. </w:t>
      </w:r>
    </w:p>
    <w:p w:rsidR="00B80385" w:rsidRPr="008038A7" w:rsidRDefault="00B80385" w:rsidP="00C13DD2">
      <w:pPr>
        <w:pStyle w:val="NormalWeb"/>
        <w:ind w:left="1440" w:hanging="1440"/>
      </w:pPr>
    </w:p>
    <w:p w:rsidR="00B80385" w:rsidRDefault="00B80385" w:rsidP="00C13DD2">
      <w:pPr>
        <w:pStyle w:val="NormalWeb"/>
        <w:numPr>
          <w:ilvl w:val="0"/>
          <w:numId w:val="13"/>
        </w:numPr>
        <w:tabs>
          <w:tab w:val="left" w:pos="1530"/>
        </w:tabs>
      </w:pPr>
      <w:r>
        <w:t>SSA needs additional</w:t>
      </w:r>
      <w:r w:rsidRPr="008038A7">
        <w:t xml:space="preserve"> evidence to assure a correct determination of eligib</w:t>
      </w:r>
      <w:r w:rsidR="006A397A">
        <w:t xml:space="preserve">ility; i.e., we must </w:t>
      </w:r>
      <w:r w:rsidRPr="008038A7">
        <w:t xml:space="preserve">verify or corroborate the evidence in file to satisfy SSA's evidentiary and adjudicative requirements; </w:t>
      </w:r>
    </w:p>
    <w:p w:rsidR="00294D0D" w:rsidRPr="008038A7" w:rsidRDefault="00294D0D" w:rsidP="00C13DD2">
      <w:pPr>
        <w:pStyle w:val="NormalWeb"/>
        <w:tabs>
          <w:tab w:val="left" w:pos="1530"/>
        </w:tabs>
        <w:ind w:left="1440" w:hanging="1440"/>
      </w:pPr>
    </w:p>
    <w:p w:rsidR="00B80385" w:rsidRDefault="00B80385" w:rsidP="00C13DD2">
      <w:pPr>
        <w:pStyle w:val="NormalWeb"/>
        <w:numPr>
          <w:ilvl w:val="0"/>
          <w:numId w:val="13"/>
        </w:numPr>
      </w:pPr>
      <w:r w:rsidRPr="008038A7">
        <w:t>The claimant is unable to submit additional verifying evidence; and</w:t>
      </w:r>
      <w:r w:rsidR="00512F46">
        <w:t>,</w:t>
      </w:r>
      <w:r w:rsidRPr="008038A7">
        <w:t xml:space="preserve"> </w:t>
      </w:r>
    </w:p>
    <w:p w:rsidR="00B80385" w:rsidRPr="008038A7" w:rsidRDefault="00B80385" w:rsidP="00C13DD2">
      <w:pPr>
        <w:pStyle w:val="NormalWeb"/>
        <w:ind w:left="1440" w:hanging="1440"/>
      </w:pPr>
    </w:p>
    <w:p w:rsidR="00B80385" w:rsidRDefault="00B80385" w:rsidP="00C13DD2">
      <w:pPr>
        <w:pStyle w:val="NormalWeb"/>
        <w:numPr>
          <w:ilvl w:val="0"/>
          <w:numId w:val="13"/>
        </w:numPr>
      </w:pPr>
      <w:r w:rsidRPr="008038A7">
        <w:t xml:space="preserve">The purchase of the evidence is a more economical and reasonable way to obtain it (e.g., </w:t>
      </w:r>
      <w:r w:rsidR="006A397A">
        <w:t xml:space="preserve">one may purchase the evidence by mail or obtain the evidence </w:t>
      </w:r>
      <w:proofErr w:type="gramStart"/>
      <w:r w:rsidR="006A397A">
        <w:t>for free</w:t>
      </w:r>
      <w:proofErr w:type="gramEnd"/>
      <w:r w:rsidR="006A397A">
        <w:t xml:space="preserve"> via a</w:t>
      </w:r>
      <w:r w:rsidR="00153693">
        <w:t xml:space="preserve"> visit</w:t>
      </w:r>
      <w:r>
        <w:t xml:space="preserve"> </w:t>
      </w:r>
      <w:r w:rsidRPr="008038A7">
        <w:t xml:space="preserve">to the </w:t>
      </w:r>
      <w:r w:rsidR="00153693">
        <w:t xml:space="preserve">record </w:t>
      </w:r>
      <w:r w:rsidR="006A397A">
        <w:t>source</w:t>
      </w:r>
      <w:r w:rsidRPr="008038A7">
        <w:t xml:space="preserve">). </w:t>
      </w:r>
    </w:p>
    <w:p w:rsidR="00B80385" w:rsidRPr="008038A7" w:rsidRDefault="00B80385" w:rsidP="00C13DD2">
      <w:pPr>
        <w:pStyle w:val="NormalWeb"/>
        <w:ind w:left="1440" w:hanging="1440"/>
      </w:pPr>
    </w:p>
    <w:p w:rsidR="00B80385" w:rsidRPr="008038A7" w:rsidRDefault="00794870" w:rsidP="00C13DD2">
      <w:pPr>
        <w:tabs>
          <w:tab w:val="left" w:pos="720"/>
        </w:tabs>
        <w:ind w:left="1440" w:hanging="1440"/>
      </w:pPr>
      <w:r w:rsidRPr="00794870">
        <w:tab/>
      </w:r>
      <w:r w:rsidRPr="00794870">
        <w:tab/>
      </w:r>
      <w:r w:rsidR="00B80385" w:rsidRPr="008038A7">
        <w:rPr>
          <w:u w:val="single"/>
        </w:rPr>
        <w:t xml:space="preserve">SSA Payment Criteria for Title </w:t>
      </w:r>
      <w:r w:rsidR="00F941C5">
        <w:rPr>
          <w:u w:val="single"/>
        </w:rPr>
        <w:t>XVI</w:t>
      </w:r>
    </w:p>
    <w:p w:rsidR="00B80385" w:rsidRDefault="00B80385" w:rsidP="00C13DD2">
      <w:pPr>
        <w:ind w:left="1440"/>
      </w:pPr>
      <w:r w:rsidRPr="008038A7">
        <w:t>SSA may purchase certified copies of documentary evidence for any</w:t>
      </w:r>
      <w:r w:rsidR="006A397A">
        <w:t xml:space="preserve"> eligibility requirement under</w:t>
      </w:r>
      <w:r w:rsidR="00CB6613">
        <w:t xml:space="preserve"> T</w:t>
      </w:r>
      <w:r w:rsidRPr="008038A7">
        <w:t xml:space="preserve">itle XVI if both of the following </w:t>
      </w:r>
      <w:r w:rsidR="006A397A">
        <w:t xml:space="preserve">conditions </w:t>
      </w:r>
      <w:r w:rsidR="000C5547">
        <w:t>exist</w:t>
      </w:r>
      <w:r w:rsidRPr="008038A7">
        <w:t>:</w:t>
      </w:r>
    </w:p>
    <w:p w:rsidR="00B80385" w:rsidRPr="008038A7" w:rsidRDefault="00B80385" w:rsidP="00C13DD2">
      <w:pPr>
        <w:pStyle w:val="NormalWeb"/>
        <w:ind w:left="1440"/>
      </w:pPr>
      <w:r w:rsidRPr="008038A7">
        <w:t xml:space="preserve"> </w:t>
      </w:r>
    </w:p>
    <w:p w:rsidR="0047646E" w:rsidRDefault="001E6113" w:rsidP="00C13DD2">
      <w:pPr>
        <w:pStyle w:val="NormalWeb"/>
        <w:numPr>
          <w:ilvl w:val="0"/>
          <w:numId w:val="12"/>
        </w:numPr>
        <w:tabs>
          <w:tab w:val="left" w:pos="1800"/>
        </w:tabs>
        <w:ind w:left="1440" w:firstLine="0"/>
      </w:pPr>
      <w:r>
        <w:t xml:space="preserve">We cannot expect </w:t>
      </w:r>
      <w:r w:rsidR="00B80385" w:rsidRPr="008038A7">
        <w:t>he applicant cannot to obtain the evidence; and</w:t>
      </w:r>
      <w:r w:rsidR="0047646E">
        <w:br/>
      </w:r>
    </w:p>
    <w:p w:rsidR="00B80385" w:rsidRDefault="001E6113" w:rsidP="00C13DD2">
      <w:pPr>
        <w:pStyle w:val="NormalWeb"/>
        <w:numPr>
          <w:ilvl w:val="0"/>
          <w:numId w:val="12"/>
        </w:numPr>
        <w:tabs>
          <w:tab w:val="left" w:pos="1440"/>
        </w:tabs>
        <w:ind w:left="1800"/>
      </w:pPr>
      <w:r>
        <w:t>The applicant cannot obtain the evidence without payment of a fee, or if the purchase of the evidence is the most economical method of obtaining it</w:t>
      </w:r>
      <w:r w:rsidR="00ED4EBE">
        <w:t>.</w:t>
      </w:r>
      <w:r w:rsidR="00B80385" w:rsidRPr="008038A7">
        <w:t xml:space="preserve"> </w:t>
      </w:r>
    </w:p>
    <w:p w:rsidR="00B80385" w:rsidRPr="008038A7" w:rsidRDefault="00B80385" w:rsidP="00C13DD2">
      <w:pPr>
        <w:pStyle w:val="NormalWeb"/>
        <w:ind w:left="1440" w:hanging="1440"/>
      </w:pPr>
    </w:p>
    <w:p w:rsidR="00C86A65" w:rsidRDefault="00B80385" w:rsidP="00C13DD2">
      <w:pPr>
        <w:pStyle w:val="NormalWeb"/>
        <w:ind w:left="1440"/>
      </w:pPr>
      <w:r w:rsidRPr="008038A7">
        <w:rPr>
          <w:u w:val="single"/>
        </w:rPr>
        <w:t xml:space="preserve">SSA Payment Criteria for Concurrent Title </w:t>
      </w:r>
      <w:r w:rsidR="00F941C5">
        <w:rPr>
          <w:u w:val="single"/>
        </w:rPr>
        <w:t>II</w:t>
      </w:r>
      <w:r w:rsidR="00CB6613">
        <w:rPr>
          <w:u w:val="single"/>
        </w:rPr>
        <w:t xml:space="preserve"> and </w:t>
      </w:r>
      <w:r w:rsidR="00F941C5">
        <w:rPr>
          <w:u w:val="single"/>
        </w:rPr>
        <w:t>XVI</w:t>
      </w:r>
      <w:r w:rsidRPr="008038A7">
        <w:t> </w:t>
      </w:r>
    </w:p>
    <w:p w:rsidR="00B80385" w:rsidRPr="008038A7" w:rsidRDefault="00B80385" w:rsidP="00C13DD2">
      <w:pPr>
        <w:pStyle w:val="NormalWeb"/>
        <w:ind w:left="1440"/>
      </w:pPr>
      <w:r w:rsidRPr="008038A7">
        <w:t>The rul</w:t>
      </w:r>
      <w:r w:rsidR="00FA7134">
        <w:t xml:space="preserve">es for purchasing evidence for </w:t>
      </w:r>
      <w:r w:rsidR="00CB6613">
        <w:t>T</w:t>
      </w:r>
      <w:r w:rsidRPr="008038A7">
        <w:t>itle XVI cases apply.</w:t>
      </w:r>
    </w:p>
    <w:p w:rsidR="00B80385" w:rsidRPr="008038A7" w:rsidRDefault="00B80385" w:rsidP="00C13DD2">
      <w:pPr>
        <w:pStyle w:val="NormalWeb"/>
        <w:ind w:left="1440" w:hanging="1440"/>
      </w:pPr>
      <w:r w:rsidRPr="008038A7">
        <w:t> </w:t>
      </w:r>
    </w:p>
    <w:p w:rsidR="00B80385" w:rsidRPr="008038A7" w:rsidRDefault="00B80385" w:rsidP="00C13DD2">
      <w:pPr>
        <w:pStyle w:val="NormalWeb"/>
        <w:ind w:left="1440"/>
      </w:pPr>
      <w:r w:rsidRPr="008038A7">
        <w:rPr>
          <w:u w:val="single"/>
        </w:rPr>
        <w:t>Lost Evidence</w:t>
      </w:r>
      <w:r w:rsidRPr="008038A7">
        <w:t> </w:t>
      </w:r>
    </w:p>
    <w:p w:rsidR="00B80385" w:rsidRPr="008038A7" w:rsidRDefault="00512F46" w:rsidP="00C13DD2">
      <w:pPr>
        <w:pStyle w:val="NormalWeb"/>
        <w:ind w:left="1440"/>
      </w:pPr>
      <w:r>
        <w:t>Sometimes a claimant or SSN</w:t>
      </w:r>
      <w:r w:rsidR="000C5547">
        <w:t xml:space="preserve"> applicant may allege</w:t>
      </w:r>
      <w:r w:rsidR="00B80385" w:rsidRPr="008038A7">
        <w:t xml:space="preserve"> that evidence provided to SSA was lost in the mail or </w:t>
      </w:r>
      <w:r>
        <w:t xml:space="preserve">lost in SSA's handling process.  </w:t>
      </w:r>
      <w:r w:rsidR="00B80385" w:rsidRPr="008038A7">
        <w:t xml:space="preserve">If there is an indication that SSA had the evidence, e.g., SSA took action based on </w:t>
      </w:r>
      <w:r w:rsidR="000C5547">
        <w:t xml:space="preserve">the </w:t>
      </w:r>
      <w:r w:rsidR="00B80385" w:rsidRPr="008038A7">
        <w:t>document</w:t>
      </w:r>
      <w:r w:rsidR="00DC78C3">
        <w:t xml:space="preserve"> </w:t>
      </w:r>
      <w:r w:rsidR="000C5547">
        <w:t>received</w:t>
      </w:r>
      <w:r w:rsidR="00B80385" w:rsidRPr="008038A7">
        <w:t xml:space="preserve">, </w:t>
      </w:r>
      <w:proofErr w:type="gramStart"/>
      <w:r w:rsidR="00B80385" w:rsidRPr="008038A7">
        <w:t>then</w:t>
      </w:r>
      <w:proofErr w:type="gramEnd"/>
      <w:r w:rsidR="00B80385" w:rsidRPr="008038A7">
        <w:t xml:space="preserve"> S</w:t>
      </w:r>
      <w:r>
        <w:t xml:space="preserve">SA would replace the document.  </w:t>
      </w:r>
      <w:r w:rsidR="00B80385" w:rsidRPr="008038A7">
        <w:t xml:space="preserve">In these instances, if </w:t>
      </w:r>
      <w:r w:rsidR="001E6113">
        <w:t xml:space="preserve">we can only obtain </w:t>
      </w:r>
      <w:r w:rsidR="00B80385" w:rsidRPr="008038A7">
        <w:t>duplicate evidence by paying a fee, SSA may pay for the evidence.</w:t>
      </w:r>
    </w:p>
    <w:p w:rsidR="00B80385" w:rsidRPr="008038A7" w:rsidRDefault="00B80385" w:rsidP="00C13DD2">
      <w:pPr>
        <w:pStyle w:val="NormalWeb"/>
        <w:ind w:left="1440" w:hanging="1440"/>
      </w:pPr>
      <w:r w:rsidRPr="008038A7">
        <w:t> </w:t>
      </w:r>
    </w:p>
    <w:p w:rsidR="00B80385" w:rsidRPr="008038A7" w:rsidRDefault="00B80385" w:rsidP="00C13DD2">
      <w:pPr>
        <w:pStyle w:val="NormalWeb"/>
        <w:tabs>
          <w:tab w:val="left" w:pos="720"/>
        </w:tabs>
        <w:ind w:left="1440"/>
      </w:pPr>
      <w:r w:rsidRPr="008038A7">
        <w:rPr>
          <w:u w:val="single"/>
        </w:rPr>
        <w:t>Enumeration</w:t>
      </w:r>
    </w:p>
    <w:p w:rsidR="00A5385A" w:rsidRDefault="00B80385" w:rsidP="00C13DD2">
      <w:pPr>
        <w:pStyle w:val="NormalWeb"/>
        <w:tabs>
          <w:tab w:val="left" w:pos="720"/>
          <w:tab w:val="left" w:pos="900"/>
        </w:tabs>
        <w:ind w:left="1440"/>
      </w:pPr>
      <w:r w:rsidRPr="008038A7">
        <w:t xml:space="preserve">It is </w:t>
      </w:r>
      <w:r w:rsidR="00884ADB">
        <w:t xml:space="preserve">generally </w:t>
      </w:r>
      <w:r w:rsidRPr="008038A7">
        <w:t xml:space="preserve">the responsibility of the </w:t>
      </w:r>
      <w:r w:rsidR="000C5547">
        <w:t>SSN card applicant</w:t>
      </w:r>
      <w:r w:rsidRPr="008038A7">
        <w:t xml:space="preserve"> to submit the evidence </w:t>
      </w:r>
      <w:proofErr w:type="gramStart"/>
      <w:r w:rsidRPr="008038A7">
        <w:t>required</w:t>
      </w:r>
      <w:proofErr w:type="gramEnd"/>
      <w:r w:rsidRPr="008038A7">
        <w:t xml:space="preserve"> to es</w:t>
      </w:r>
      <w:r w:rsidR="000C5547">
        <w:t>tablish eligibili</w:t>
      </w:r>
      <w:r w:rsidR="00FA7134">
        <w:t xml:space="preserve">ty for an SSN; </w:t>
      </w:r>
      <w:r w:rsidR="00884ADB">
        <w:t>however, SSA may purchase evidence for enumeration purposes in certain</w:t>
      </w:r>
      <w:r w:rsidR="00512F46">
        <w:t xml:space="preserve"> circumstances (e.g., SSA</w:t>
      </w:r>
      <w:r w:rsidR="00884ADB">
        <w:t xml:space="preserve"> lost the evidence or the applicant reports not receiving the returned document in the mail</w:t>
      </w:r>
      <w:r w:rsidR="000C5547">
        <w:t>)</w:t>
      </w:r>
      <w:r w:rsidR="00884ADB">
        <w:t xml:space="preserve">. </w:t>
      </w:r>
    </w:p>
    <w:p w:rsidR="00A5385A" w:rsidRDefault="00A5385A" w:rsidP="00C13DD2">
      <w:pPr>
        <w:ind w:left="720" w:hanging="720"/>
      </w:pPr>
    </w:p>
    <w:p w:rsidR="00BA6801" w:rsidRDefault="00A5385A" w:rsidP="00C13DD2">
      <w:pPr>
        <w:widowControl w:val="0"/>
        <w:tabs>
          <w:tab w:val="num" w:pos="1440"/>
        </w:tabs>
        <w:ind w:left="1440" w:hanging="720"/>
        <w:rPr>
          <w:b/>
        </w:rPr>
      </w:pPr>
      <w:r w:rsidRPr="00512F46">
        <w:rPr>
          <w:b/>
        </w:rPr>
        <w:t>10.</w:t>
      </w:r>
      <w:r>
        <w:tab/>
      </w:r>
      <w:r w:rsidR="00BA6801" w:rsidRPr="00BC7F42">
        <w:rPr>
          <w:b/>
        </w:rPr>
        <w:t>Assurances of Confidentiality</w:t>
      </w:r>
    </w:p>
    <w:p w:rsidR="00DC78C3" w:rsidRDefault="00BA6801" w:rsidP="00C13DD2">
      <w:pPr>
        <w:ind w:left="1440" w:hanging="1440"/>
      </w:pPr>
      <w:r>
        <w:tab/>
      </w:r>
      <w:r w:rsidR="00772349">
        <w:t xml:space="preserve">SSA protects and holds confidential the information it collects in accordance with </w:t>
      </w:r>
      <w:r w:rsidR="00A5385A" w:rsidRPr="0015206C">
        <w:rPr>
          <w:i/>
        </w:rPr>
        <w:t>42 U.S.C. 1306, 20 CFR 401</w:t>
      </w:r>
      <w:r w:rsidR="00A5385A">
        <w:t xml:space="preserve"> and </w:t>
      </w:r>
      <w:r w:rsidR="00A5385A" w:rsidRPr="0015206C">
        <w:rPr>
          <w:i/>
        </w:rPr>
        <w:t>402, 5 U.S.C. 552</w:t>
      </w:r>
      <w:r w:rsidR="00A5385A">
        <w:t xml:space="preserve"> (Freedom of Information Act), </w:t>
      </w:r>
      <w:r w:rsidR="00A5385A" w:rsidRPr="0015206C">
        <w:rPr>
          <w:i/>
        </w:rPr>
        <w:t>5 U.S.C. 552a</w:t>
      </w:r>
      <w:r w:rsidR="00A5385A">
        <w:t xml:space="preserve"> (Privacy Act of 1974) and OMB circular No</w:t>
      </w:r>
      <w:proofErr w:type="gramStart"/>
      <w:r w:rsidR="00A5385A">
        <w:t>. A-130.</w:t>
      </w:r>
      <w:proofErr w:type="gramEnd"/>
    </w:p>
    <w:p w:rsidR="00A5385A" w:rsidRDefault="00A5385A" w:rsidP="00C13DD2">
      <w:pPr>
        <w:ind w:left="720" w:hanging="720"/>
      </w:pPr>
    </w:p>
    <w:p w:rsidR="001E6113" w:rsidRDefault="001E6113" w:rsidP="00C13DD2">
      <w:pPr>
        <w:ind w:left="720" w:hanging="720"/>
      </w:pPr>
    </w:p>
    <w:p w:rsidR="00BA6801" w:rsidRDefault="00BA6801" w:rsidP="00C13DD2">
      <w:pPr>
        <w:widowControl w:val="0"/>
        <w:numPr>
          <w:ilvl w:val="0"/>
          <w:numId w:val="3"/>
        </w:numPr>
        <w:tabs>
          <w:tab w:val="clear" w:pos="720"/>
          <w:tab w:val="num" w:pos="1440"/>
        </w:tabs>
        <w:ind w:left="1440"/>
        <w:rPr>
          <w:b/>
        </w:rPr>
      </w:pPr>
      <w:r w:rsidRPr="00BC7F42">
        <w:rPr>
          <w:b/>
        </w:rPr>
        <w:lastRenderedPageBreak/>
        <w:t>Justification for Sensitive Questions</w:t>
      </w:r>
    </w:p>
    <w:p w:rsidR="00087E4B" w:rsidRDefault="00A5385A" w:rsidP="00C13DD2">
      <w:pPr>
        <w:ind w:left="1440"/>
      </w:pPr>
      <w:r>
        <w:t>The information collection do</w:t>
      </w:r>
      <w:r w:rsidR="001F5953">
        <w:t>es</w:t>
      </w:r>
      <w:r>
        <w:t xml:space="preserve"> not contain any </w:t>
      </w:r>
      <w:r w:rsidR="006931FF">
        <w:t>questions of a sensitive nature.</w:t>
      </w:r>
    </w:p>
    <w:p w:rsidR="00C13DD2" w:rsidRDefault="00C13DD2" w:rsidP="00C13DD2">
      <w:pPr>
        <w:ind w:left="1440"/>
      </w:pPr>
    </w:p>
    <w:p w:rsidR="00077AD9" w:rsidRPr="00077AD9" w:rsidRDefault="00BA6801" w:rsidP="00C13DD2">
      <w:pPr>
        <w:widowControl w:val="0"/>
        <w:numPr>
          <w:ilvl w:val="0"/>
          <w:numId w:val="3"/>
        </w:numPr>
        <w:tabs>
          <w:tab w:val="clear" w:pos="720"/>
          <w:tab w:val="num" w:pos="1440"/>
        </w:tabs>
        <w:ind w:left="1440"/>
        <w:rPr>
          <w:b/>
        </w:rPr>
      </w:pPr>
      <w:r w:rsidRPr="00077AD9">
        <w:rPr>
          <w:b/>
        </w:rPr>
        <w:t>Estimates of Public Reporting Burden</w:t>
      </w:r>
    </w:p>
    <w:tbl>
      <w:tblPr>
        <w:tblW w:w="79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530"/>
        <w:gridCol w:w="1440"/>
        <w:gridCol w:w="1260"/>
        <w:gridCol w:w="1530"/>
      </w:tblGrid>
      <w:tr w:rsidR="00077AD9" w:rsidRPr="00077AD9" w:rsidTr="00077AD9">
        <w:tc>
          <w:tcPr>
            <w:tcW w:w="2160" w:type="dxa"/>
            <w:shd w:val="clear" w:color="auto" w:fill="auto"/>
          </w:tcPr>
          <w:p w:rsidR="00077AD9" w:rsidRPr="00077AD9" w:rsidRDefault="00077AD9" w:rsidP="00C13DD2">
            <w:pPr>
              <w:widowControl w:val="0"/>
              <w:tabs>
                <w:tab w:val="left" w:pos="1440"/>
                <w:tab w:val="left" w:pos="7920"/>
              </w:tabs>
              <w:rPr>
                <w:b/>
                <w:lang w:eastAsia="ar-SA"/>
              </w:rPr>
            </w:pPr>
            <w:r w:rsidRPr="00077AD9">
              <w:rPr>
                <w:b/>
                <w:lang w:eastAsia="ar-SA"/>
              </w:rPr>
              <w:t>Modality of Completion</w:t>
            </w:r>
          </w:p>
        </w:tc>
        <w:tc>
          <w:tcPr>
            <w:tcW w:w="1530" w:type="dxa"/>
            <w:shd w:val="clear" w:color="auto" w:fill="auto"/>
          </w:tcPr>
          <w:p w:rsidR="00077AD9" w:rsidRPr="00077AD9" w:rsidRDefault="00077AD9" w:rsidP="00C13DD2">
            <w:pPr>
              <w:widowControl w:val="0"/>
              <w:tabs>
                <w:tab w:val="left" w:pos="1440"/>
                <w:tab w:val="left" w:pos="7920"/>
              </w:tabs>
              <w:rPr>
                <w:b/>
                <w:lang w:eastAsia="ar-SA"/>
              </w:rPr>
            </w:pPr>
            <w:r w:rsidRPr="00077AD9">
              <w:rPr>
                <w:b/>
                <w:lang w:eastAsia="ar-SA"/>
              </w:rPr>
              <w:t>Number of Respondents</w:t>
            </w:r>
          </w:p>
        </w:tc>
        <w:tc>
          <w:tcPr>
            <w:tcW w:w="1440" w:type="dxa"/>
            <w:shd w:val="clear" w:color="auto" w:fill="auto"/>
          </w:tcPr>
          <w:p w:rsidR="00077AD9" w:rsidRPr="00077AD9" w:rsidRDefault="00077AD9" w:rsidP="00C13DD2">
            <w:pPr>
              <w:widowControl w:val="0"/>
              <w:tabs>
                <w:tab w:val="left" w:pos="1440"/>
                <w:tab w:val="left" w:pos="7920"/>
              </w:tabs>
              <w:rPr>
                <w:b/>
                <w:lang w:eastAsia="ar-SA"/>
              </w:rPr>
            </w:pPr>
            <w:r w:rsidRPr="00077AD9">
              <w:rPr>
                <w:b/>
                <w:lang w:eastAsia="ar-SA"/>
              </w:rPr>
              <w:t>Frequency of Response</w:t>
            </w:r>
          </w:p>
        </w:tc>
        <w:tc>
          <w:tcPr>
            <w:tcW w:w="1260" w:type="dxa"/>
            <w:shd w:val="clear" w:color="auto" w:fill="auto"/>
          </w:tcPr>
          <w:p w:rsidR="00077AD9" w:rsidRPr="00077AD9" w:rsidRDefault="00077AD9" w:rsidP="00C13DD2">
            <w:pPr>
              <w:widowControl w:val="0"/>
              <w:tabs>
                <w:tab w:val="left" w:pos="1440"/>
                <w:tab w:val="left" w:pos="7920"/>
              </w:tabs>
              <w:rPr>
                <w:b/>
                <w:lang w:eastAsia="ar-SA"/>
              </w:rPr>
            </w:pPr>
            <w:r w:rsidRPr="00077AD9">
              <w:rPr>
                <w:b/>
                <w:lang w:eastAsia="ar-SA"/>
              </w:rPr>
              <w:t>Average Burden Per Response (minutes)</w:t>
            </w:r>
          </w:p>
        </w:tc>
        <w:tc>
          <w:tcPr>
            <w:tcW w:w="1530" w:type="dxa"/>
            <w:shd w:val="clear" w:color="auto" w:fill="auto"/>
          </w:tcPr>
          <w:p w:rsidR="00077AD9" w:rsidRPr="00077AD9" w:rsidRDefault="00077AD9" w:rsidP="00C13DD2">
            <w:pPr>
              <w:widowControl w:val="0"/>
              <w:tabs>
                <w:tab w:val="left" w:pos="1440"/>
                <w:tab w:val="left" w:pos="7920"/>
              </w:tabs>
              <w:rPr>
                <w:b/>
                <w:lang w:eastAsia="ar-SA"/>
              </w:rPr>
            </w:pPr>
            <w:r w:rsidRPr="00077AD9">
              <w:rPr>
                <w:b/>
                <w:lang w:eastAsia="ar-SA"/>
              </w:rPr>
              <w:t>Estimated Total Annual Burden (hours)</w:t>
            </w:r>
          </w:p>
        </w:tc>
      </w:tr>
      <w:tr w:rsidR="00077AD9" w:rsidRPr="00077AD9" w:rsidTr="00077AD9">
        <w:tc>
          <w:tcPr>
            <w:tcW w:w="2160" w:type="dxa"/>
            <w:shd w:val="clear" w:color="auto" w:fill="auto"/>
          </w:tcPr>
          <w:p w:rsidR="00077AD9" w:rsidRPr="00077AD9" w:rsidRDefault="00077AD9" w:rsidP="00C13DD2">
            <w:pPr>
              <w:widowControl w:val="0"/>
              <w:tabs>
                <w:tab w:val="left" w:pos="7920"/>
              </w:tabs>
              <w:suppressAutoHyphens/>
              <w:snapToGrid w:val="0"/>
              <w:rPr>
                <w:lang w:eastAsia="ar-SA"/>
              </w:rPr>
            </w:pPr>
            <w:r w:rsidRPr="003A3E6E">
              <w:t>SSA-L106</w:t>
            </w:r>
            <w:r>
              <w:br/>
              <w:t>(</w:t>
            </w:r>
            <w:r w:rsidRPr="003A3E6E">
              <w:t>Private Sector</w:t>
            </w:r>
            <w:r>
              <w:t>)</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1,800</w:t>
            </w:r>
          </w:p>
        </w:tc>
        <w:tc>
          <w:tcPr>
            <w:tcW w:w="144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sidRPr="00077AD9">
              <w:rPr>
                <w:lang w:eastAsia="ar-SA"/>
              </w:rPr>
              <w:t>1</w:t>
            </w:r>
          </w:p>
        </w:tc>
        <w:tc>
          <w:tcPr>
            <w:tcW w:w="126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10</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300</w:t>
            </w:r>
          </w:p>
        </w:tc>
      </w:tr>
      <w:tr w:rsidR="00077AD9" w:rsidRPr="00077AD9" w:rsidTr="00077AD9">
        <w:tc>
          <w:tcPr>
            <w:tcW w:w="2160" w:type="dxa"/>
            <w:shd w:val="clear" w:color="auto" w:fill="auto"/>
          </w:tcPr>
          <w:p w:rsidR="00077AD9" w:rsidRPr="00077AD9" w:rsidRDefault="00077AD9" w:rsidP="00C13DD2">
            <w:pPr>
              <w:rPr>
                <w:lang w:eastAsia="ar-SA"/>
              </w:rPr>
            </w:pPr>
            <w:r w:rsidRPr="003A3E6E">
              <w:t>SSA-L106</w:t>
            </w:r>
            <w:r>
              <w:br/>
              <w:t>(</w:t>
            </w:r>
            <w:r w:rsidRPr="003A3E6E">
              <w:t>State/Local/</w:t>
            </w:r>
            <w:r>
              <w:br/>
            </w:r>
            <w:r w:rsidRPr="003A3E6E">
              <w:t>Tribal Government</w:t>
            </w:r>
            <w:r>
              <w:t>)</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1,800</w:t>
            </w:r>
          </w:p>
        </w:tc>
        <w:tc>
          <w:tcPr>
            <w:tcW w:w="144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sidRPr="00077AD9">
              <w:rPr>
                <w:lang w:eastAsia="ar-SA"/>
              </w:rPr>
              <w:t>1</w:t>
            </w:r>
          </w:p>
        </w:tc>
        <w:tc>
          <w:tcPr>
            <w:tcW w:w="126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sidRPr="00077AD9">
              <w:rPr>
                <w:lang w:eastAsia="ar-SA"/>
              </w:rPr>
              <w:t>10</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sidRPr="00077AD9">
              <w:rPr>
                <w:lang w:eastAsia="ar-SA"/>
              </w:rPr>
              <w:t xml:space="preserve">  </w:t>
            </w:r>
            <w:r>
              <w:rPr>
                <w:lang w:eastAsia="ar-SA"/>
              </w:rPr>
              <w:t>300</w:t>
            </w:r>
          </w:p>
        </w:tc>
      </w:tr>
      <w:tr w:rsidR="00077AD9" w:rsidRPr="00077AD9" w:rsidTr="00077AD9">
        <w:tc>
          <w:tcPr>
            <w:tcW w:w="2160" w:type="dxa"/>
            <w:shd w:val="clear" w:color="auto" w:fill="auto"/>
          </w:tcPr>
          <w:p w:rsidR="00077AD9" w:rsidRPr="00077AD9" w:rsidRDefault="00077AD9" w:rsidP="00C13DD2">
            <w:pPr>
              <w:widowControl w:val="0"/>
              <w:tabs>
                <w:tab w:val="left" w:pos="7920"/>
              </w:tabs>
              <w:suppressAutoHyphens/>
              <w:snapToGrid w:val="0"/>
              <w:rPr>
                <w:lang w:eastAsia="ar-SA"/>
              </w:rPr>
            </w:pPr>
            <w:r w:rsidRPr="003A3E6E">
              <w:t>SSA-L706</w:t>
            </w:r>
            <w:r>
              <w:br/>
              <w:t>(</w:t>
            </w:r>
            <w:r w:rsidRPr="003A3E6E">
              <w:t>Private Sector</w:t>
            </w:r>
            <w:r>
              <w:t>)</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1,800</w:t>
            </w:r>
          </w:p>
        </w:tc>
        <w:tc>
          <w:tcPr>
            <w:tcW w:w="144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w:t>
            </w:r>
          </w:p>
        </w:tc>
        <w:tc>
          <w:tcPr>
            <w:tcW w:w="126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10</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300</w:t>
            </w:r>
          </w:p>
        </w:tc>
      </w:tr>
      <w:tr w:rsidR="00077AD9" w:rsidRPr="00077AD9" w:rsidTr="00077AD9">
        <w:tc>
          <w:tcPr>
            <w:tcW w:w="2160" w:type="dxa"/>
            <w:shd w:val="clear" w:color="auto" w:fill="auto"/>
          </w:tcPr>
          <w:p w:rsidR="00077AD9" w:rsidRPr="00077AD9" w:rsidRDefault="00077AD9" w:rsidP="00C13DD2">
            <w:pPr>
              <w:rPr>
                <w:lang w:eastAsia="ar-SA"/>
              </w:rPr>
            </w:pPr>
            <w:r w:rsidRPr="003A3E6E">
              <w:t>SSA-L706</w:t>
            </w:r>
            <w:r>
              <w:br/>
              <w:t>(</w:t>
            </w:r>
            <w:r w:rsidRPr="003A3E6E">
              <w:t>State/Local/</w:t>
            </w:r>
            <w:r>
              <w:br/>
            </w:r>
            <w:r w:rsidRPr="003A3E6E">
              <w:t>Tribal Government</w:t>
            </w:r>
            <w:r>
              <w:t>)</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1,800</w:t>
            </w:r>
          </w:p>
        </w:tc>
        <w:tc>
          <w:tcPr>
            <w:tcW w:w="144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w:t>
            </w:r>
          </w:p>
        </w:tc>
        <w:tc>
          <w:tcPr>
            <w:tcW w:w="126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10</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lang w:eastAsia="ar-SA"/>
              </w:rPr>
            </w:pPr>
            <w:r>
              <w:rPr>
                <w:lang w:eastAsia="ar-SA"/>
              </w:rPr>
              <w:t>300</w:t>
            </w:r>
          </w:p>
        </w:tc>
      </w:tr>
      <w:tr w:rsidR="00077AD9" w:rsidRPr="00077AD9" w:rsidTr="00077AD9">
        <w:trPr>
          <w:trHeight w:val="170"/>
        </w:trPr>
        <w:tc>
          <w:tcPr>
            <w:tcW w:w="2160" w:type="dxa"/>
            <w:shd w:val="clear" w:color="auto" w:fill="auto"/>
          </w:tcPr>
          <w:p w:rsidR="00077AD9" w:rsidRPr="00077AD9" w:rsidRDefault="00077AD9" w:rsidP="00C13DD2">
            <w:pPr>
              <w:widowControl w:val="0"/>
              <w:tabs>
                <w:tab w:val="left" w:pos="7920"/>
              </w:tabs>
              <w:suppressAutoHyphens/>
              <w:snapToGrid w:val="0"/>
              <w:rPr>
                <w:b/>
                <w:bCs/>
                <w:lang w:eastAsia="ar-SA"/>
              </w:rPr>
            </w:pPr>
            <w:r w:rsidRPr="00077AD9">
              <w:rPr>
                <w:b/>
                <w:bCs/>
                <w:lang w:eastAsia="ar-SA"/>
              </w:rPr>
              <w:t>Total</w:t>
            </w: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b/>
                <w:bCs/>
                <w:lang w:eastAsia="ar-SA"/>
              </w:rPr>
            </w:pPr>
            <w:r>
              <w:rPr>
                <w:b/>
                <w:bCs/>
                <w:lang w:eastAsia="ar-SA"/>
              </w:rPr>
              <w:t>7,200</w:t>
            </w:r>
          </w:p>
        </w:tc>
        <w:tc>
          <w:tcPr>
            <w:tcW w:w="1440" w:type="dxa"/>
            <w:shd w:val="clear" w:color="auto" w:fill="auto"/>
            <w:vAlign w:val="bottom"/>
          </w:tcPr>
          <w:p w:rsidR="00077AD9" w:rsidRPr="00077AD9" w:rsidRDefault="00077AD9" w:rsidP="00C13DD2">
            <w:pPr>
              <w:widowControl w:val="0"/>
              <w:tabs>
                <w:tab w:val="left" w:pos="7920"/>
              </w:tabs>
              <w:suppressAutoHyphens/>
              <w:snapToGrid w:val="0"/>
              <w:jc w:val="right"/>
              <w:rPr>
                <w:b/>
                <w:bCs/>
                <w:lang w:eastAsia="ar-SA"/>
              </w:rPr>
            </w:pPr>
          </w:p>
        </w:tc>
        <w:tc>
          <w:tcPr>
            <w:tcW w:w="1260" w:type="dxa"/>
            <w:shd w:val="clear" w:color="auto" w:fill="auto"/>
            <w:vAlign w:val="bottom"/>
          </w:tcPr>
          <w:p w:rsidR="00077AD9" w:rsidRPr="00077AD9" w:rsidRDefault="00077AD9" w:rsidP="00C13DD2">
            <w:pPr>
              <w:widowControl w:val="0"/>
              <w:tabs>
                <w:tab w:val="left" w:pos="7920"/>
              </w:tabs>
              <w:suppressAutoHyphens/>
              <w:snapToGrid w:val="0"/>
              <w:jc w:val="right"/>
              <w:rPr>
                <w:b/>
                <w:bCs/>
                <w:lang w:eastAsia="ar-SA"/>
              </w:rPr>
            </w:pPr>
          </w:p>
        </w:tc>
        <w:tc>
          <w:tcPr>
            <w:tcW w:w="1530" w:type="dxa"/>
            <w:shd w:val="clear" w:color="auto" w:fill="auto"/>
            <w:vAlign w:val="bottom"/>
          </w:tcPr>
          <w:p w:rsidR="00077AD9" w:rsidRPr="00077AD9" w:rsidRDefault="00077AD9" w:rsidP="00C13DD2">
            <w:pPr>
              <w:widowControl w:val="0"/>
              <w:tabs>
                <w:tab w:val="left" w:pos="7920"/>
              </w:tabs>
              <w:suppressAutoHyphens/>
              <w:snapToGrid w:val="0"/>
              <w:jc w:val="right"/>
              <w:rPr>
                <w:b/>
                <w:bCs/>
                <w:lang w:eastAsia="ar-SA"/>
              </w:rPr>
            </w:pPr>
            <w:r>
              <w:rPr>
                <w:b/>
                <w:bCs/>
                <w:lang w:eastAsia="ar-SA"/>
              </w:rPr>
              <w:t>1,200</w:t>
            </w:r>
          </w:p>
        </w:tc>
      </w:tr>
    </w:tbl>
    <w:p w:rsidR="00151D34" w:rsidRDefault="00DC78C3" w:rsidP="00C13DD2">
      <w:pPr>
        <w:widowControl w:val="0"/>
        <w:ind w:left="1440"/>
      </w:pPr>
      <w:r>
        <w:t>The total burden for this information collection request</w:t>
      </w:r>
      <w:r w:rsidR="00151D34">
        <w:t xml:space="preserve"> is 1,200 hours.  This figure represents burden hours, and we did not calculate a separate cost burden.</w:t>
      </w:r>
    </w:p>
    <w:p w:rsidR="00B84711" w:rsidRDefault="00B84711" w:rsidP="00C13DD2">
      <w:pPr>
        <w:ind w:left="1440"/>
      </w:pPr>
    </w:p>
    <w:p w:rsidR="00BA6801" w:rsidRPr="00BC7F42" w:rsidRDefault="00A5385A" w:rsidP="00C13DD2">
      <w:pPr>
        <w:tabs>
          <w:tab w:val="num" w:pos="1440"/>
        </w:tabs>
        <w:ind w:left="1440" w:hanging="720"/>
      </w:pPr>
      <w:r w:rsidRPr="00512F46">
        <w:rPr>
          <w:b/>
        </w:rPr>
        <w:t>13.</w:t>
      </w:r>
      <w:r>
        <w:tab/>
      </w:r>
      <w:r w:rsidR="00BA6801" w:rsidRPr="00BC7F42">
        <w:rPr>
          <w:b/>
        </w:rPr>
        <w:t>Annual</w:t>
      </w:r>
      <w:r w:rsidR="00BA6801" w:rsidRPr="00BC7F42">
        <w:t xml:space="preserve"> </w:t>
      </w:r>
      <w:r w:rsidR="00BA6801" w:rsidRPr="00BC7F42">
        <w:rPr>
          <w:b/>
        </w:rPr>
        <w:t>Cost to the Respondents (Other)</w:t>
      </w:r>
      <w:r w:rsidR="00BA6801" w:rsidRPr="00BC7F42">
        <w:t xml:space="preserve"> </w:t>
      </w:r>
    </w:p>
    <w:p w:rsidR="00A5385A" w:rsidRDefault="0015206C" w:rsidP="00C13DD2">
      <w:pPr>
        <w:ind w:left="1440"/>
      </w:pPr>
      <w:r>
        <w:t>Other than as outlined in #9 above, this</w:t>
      </w:r>
      <w:r w:rsidR="00651D1B">
        <w:t xml:space="preserve"> collection does not impose a known cost burden</w:t>
      </w:r>
      <w:r w:rsidR="00A5385A">
        <w:t xml:space="preserve"> </w:t>
      </w:r>
      <w:r w:rsidR="00B053FF">
        <w:t>on</w:t>
      </w:r>
      <w:r w:rsidR="00A5385A">
        <w:t xml:space="preserve"> </w:t>
      </w:r>
      <w:r w:rsidR="00840A28">
        <w:t xml:space="preserve">the </w:t>
      </w:r>
      <w:r w:rsidR="00A5385A">
        <w:t>respondents.</w:t>
      </w:r>
    </w:p>
    <w:p w:rsidR="00E142CB" w:rsidRDefault="00E142CB" w:rsidP="00C13DD2"/>
    <w:p w:rsidR="00BA6801" w:rsidRPr="00121032" w:rsidRDefault="00A5385A" w:rsidP="00C13DD2">
      <w:pPr>
        <w:widowControl w:val="0"/>
        <w:tabs>
          <w:tab w:val="num" w:pos="1440"/>
        </w:tabs>
        <w:ind w:left="1440" w:hanging="720"/>
      </w:pPr>
      <w:r w:rsidRPr="00512F46">
        <w:rPr>
          <w:b/>
        </w:rPr>
        <w:t>14.</w:t>
      </w:r>
      <w:r>
        <w:tab/>
      </w:r>
      <w:r w:rsidR="00512F46">
        <w:rPr>
          <w:b/>
        </w:rPr>
        <w:t>Annual Cost t</w:t>
      </w:r>
      <w:r w:rsidR="00BA6801" w:rsidRPr="00BC7F42">
        <w:rPr>
          <w:b/>
        </w:rPr>
        <w:t>o Federal Government</w:t>
      </w:r>
    </w:p>
    <w:p w:rsidR="00A5385A" w:rsidRDefault="00A5385A" w:rsidP="00C13DD2">
      <w:pPr>
        <w:ind w:left="1440"/>
      </w:pPr>
      <w:r>
        <w:t xml:space="preserve">The </w:t>
      </w:r>
      <w:r w:rsidR="00DC78C3">
        <w:t>annual cost to the Federal G</w:t>
      </w:r>
      <w:r>
        <w:t>overnment is approximately $</w:t>
      </w:r>
      <w:r w:rsidR="0089345A">
        <w:t>22</w:t>
      </w:r>
      <w:r w:rsidR="003B01A6">
        <w:t>,</w:t>
      </w:r>
      <w:r w:rsidR="0089345A">
        <w:t>176</w:t>
      </w:r>
      <w:r>
        <w:t xml:space="preserve">.  This estimate is a projection of </w:t>
      </w:r>
      <w:r w:rsidR="001F5953">
        <w:t xml:space="preserve">the </w:t>
      </w:r>
      <w:r>
        <w:t xml:space="preserve">costs for printing and distributing the </w:t>
      </w:r>
      <w:r w:rsidR="001F5953">
        <w:t>collection instrument</w:t>
      </w:r>
      <w:r>
        <w:t>.</w:t>
      </w:r>
    </w:p>
    <w:p w:rsidR="00A5385A" w:rsidRDefault="00A5385A" w:rsidP="00C13DD2">
      <w:pPr>
        <w:ind w:left="1440"/>
      </w:pPr>
    </w:p>
    <w:p w:rsidR="00BA6801" w:rsidRDefault="00BA6801" w:rsidP="00C13DD2">
      <w:pPr>
        <w:numPr>
          <w:ilvl w:val="0"/>
          <w:numId w:val="4"/>
        </w:numPr>
        <w:tabs>
          <w:tab w:val="clear" w:pos="720"/>
          <w:tab w:val="num" w:pos="1440"/>
        </w:tabs>
        <w:ind w:left="1440"/>
        <w:rPr>
          <w:b/>
        </w:rPr>
      </w:pPr>
      <w:r w:rsidRPr="00BC7F42">
        <w:rPr>
          <w:b/>
        </w:rPr>
        <w:t xml:space="preserve">Program Changes or Adjustments to the Information Collection </w:t>
      </w:r>
      <w:r>
        <w:rPr>
          <w:b/>
        </w:rPr>
        <w:t>Request</w:t>
      </w:r>
    </w:p>
    <w:p w:rsidR="00A5385A" w:rsidRDefault="00EA3356" w:rsidP="00C13DD2">
      <w:pPr>
        <w:ind w:left="1440"/>
      </w:pPr>
      <w:r>
        <w:t xml:space="preserve">There </w:t>
      </w:r>
      <w:r w:rsidR="0017329E">
        <w:t>are</w:t>
      </w:r>
      <w:r>
        <w:t xml:space="preserve"> no change</w:t>
      </w:r>
      <w:r w:rsidR="0017329E">
        <w:t>s</w:t>
      </w:r>
      <w:r>
        <w:t xml:space="preserve"> </w:t>
      </w:r>
      <w:r w:rsidR="0017329E">
        <w:t>to</w:t>
      </w:r>
      <w:r w:rsidR="00A5385A">
        <w:t xml:space="preserve"> the public reporting burden.</w:t>
      </w:r>
    </w:p>
    <w:p w:rsidR="00A5385A" w:rsidRDefault="00A5385A" w:rsidP="00C13DD2"/>
    <w:p w:rsidR="00BA6801" w:rsidRDefault="00BA6801" w:rsidP="00C13DD2">
      <w:pPr>
        <w:numPr>
          <w:ilvl w:val="0"/>
          <w:numId w:val="4"/>
        </w:numPr>
        <w:tabs>
          <w:tab w:val="clear" w:pos="720"/>
          <w:tab w:val="num" w:pos="1440"/>
        </w:tabs>
        <w:ind w:left="1440"/>
      </w:pPr>
      <w:r w:rsidRPr="00BC7F42">
        <w:rPr>
          <w:b/>
        </w:rPr>
        <w:t>Plans for Publication Information Collection</w:t>
      </w:r>
      <w:r>
        <w:rPr>
          <w:b/>
        </w:rPr>
        <w:t xml:space="preserve"> Results</w:t>
      </w:r>
    </w:p>
    <w:p w:rsidR="00A5385A" w:rsidRDefault="004B2058" w:rsidP="00C13DD2">
      <w:pPr>
        <w:ind w:left="1440"/>
      </w:pPr>
      <w:r>
        <w:t>SSA will not publish the result</w:t>
      </w:r>
      <w:r w:rsidR="00A5385A">
        <w:t>s of the information collection.</w:t>
      </w:r>
    </w:p>
    <w:p w:rsidR="00162150" w:rsidRDefault="00162150" w:rsidP="00C13DD2">
      <w:pPr>
        <w:pStyle w:val="ListParagraph"/>
      </w:pPr>
    </w:p>
    <w:p w:rsidR="00BA6801" w:rsidRDefault="00BA6801" w:rsidP="00C13DD2">
      <w:pPr>
        <w:numPr>
          <w:ilvl w:val="0"/>
          <w:numId w:val="4"/>
        </w:numPr>
        <w:tabs>
          <w:tab w:val="clear" w:pos="720"/>
          <w:tab w:val="num" w:pos="1440"/>
        </w:tabs>
        <w:ind w:left="1440"/>
      </w:pPr>
      <w:r>
        <w:rPr>
          <w:b/>
        </w:rPr>
        <w:t>Displaying the OMB Approval Expiration Date</w:t>
      </w:r>
      <w:r>
        <w:t xml:space="preserve"> </w:t>
      </w:r>
    </w:p>
    <w:p w:rsidR="00ED4EBE" w:rsidRDefault="00162150" w:rsidP="001E6113">
      <w:pPr>
        <w:ind w:left="1440"/>
      </w:pPr>
      <w: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w:t>
      </w:r>
      <w:r w:rsidR="001E6113">
        <w:t>tes, avoiding Government waste.</w:t>
      </w:r>
      <w:bookmarkStart w:id="0" w:name="_GoBack"/>
      <w:bookmarkEnd w:id="0"/>
    </w:p>
    <w:p w:rsidR="00BA6801" w:rsidRDefault="00BA6801" w:rsidP="00C13DD2">
      <w:pPr>
        <w:widowControl w:val="0"/>
        <w:numPr>
          <w:ilvl w:val="0"/>
          <w:numId w:val="4"/>
        </w:numPr>
        <w:tabs>
          <w:tab w:val="clear" w:pos="720"/>
          <w:tab w:val="num" w:pos="1440"/>
        </w:tabs>
        <w:ind w:left="1440"/>
        <w:rPr>
          <w:b/>
        </w:rPr>
      </w:pPr>
      <w:r w:rsidRPr="00BC7F42">
        <w:rPr>
          <w:b/>
        </w:rPr>
        <w:lastRenderedPageBreak/>
        <w:t>Exceptions to Certification Statement</w:t>
      </w:r>
    </w:p>
    <w:p w:rsidR="00162150" w:rsidRDefault="00162150" w:rsidP="00C13DD2">
      <w:pPr>
        <w:ind w:left="1440"/>
      </w:pPr>
      <w:r>
        <w:t xml:space="preserve">SSA is not requesting an exception to the certification requirements at </w:t>
      </w:r>
      <w:r w:rsidRPr="00FA7134">
        <w:rPr>
          <w:i/>
        </w:rPr>
        <w:t>5 CFR 1320.9</w:t>
      </w:r>
      <w:r>
        <w:t xml:space="preserve"> and related provisions at </w:t>
      </w:r>
      <w:r w:rsidRPr="00FA7134">
        <w:rPr>
          <w:i/>
        </w:rPr>
        <w:t>5 CFR 1320.8(b</w:t>
      </w:r>
      <w:proofErr w:type="gramStart"/>
      <w:r w:rsidRPr="00FA7134">
        <w:rPr>
          <w:i/>
        </w:rPr>
        <w:t>)(</w:t>
      </w:r>
      <w:proofErr w:type="gramEnd"/>
      <w:r w:rsidRPr="00FA7134">
        <w:rPr>
          <w:i/>
        </w:rPr>
        <w:t>3).</w:t>
      </w:r>
      <w:r>
        <w:t xml:space="preserve"> </w:t>
      </w:r>
    </w:p>
    <w:p w:rsidR="00A5385A" w:rsidRPr="00E630EB" w:rsidRDefault="00A5385A" w:rsidP="00C13DD2">
      <w:pPr>
        <w:ind w:left="720" w:hanging="720"/>
      </w:pPr>
      <w:r w:rsidRPr="00E630EB">
        <w:t xml:space="preserve"> </w:t>
      </w:r>
    </w:p>
    <w:p w:rsidR="00A5385A" w:rsidRPr="00E630EB" w:rsidRDefault="00A5385A" w:rsidP="00C13DD2">
      <w:pPr>
        <w:ind w:left="720" w:hanging="540"/>
        <w:rPr>
          <w:b/>
          <w:bCs/>
        </w:rPr>
      </w:pPr>
      <w:r w:rsidRPr="00E630EB">
        <w:rPr>
          <w:b/>
          <w:bCs/>
        </w:rPr>
        <w:t>B.</w:t>
      </w:r>
      <w:r w:rsidRPr="00E630EB">
        <w:rPr>
          <w:b/>
          <w:bCs/>
        </w:rPr>
        <w:tab/>
      </w:r>
      <w:r w:rsidRPr="00E630EB">
        <w:rPr>
          <w:b/>
          <w:bCs/>
          <w:u w:val="single"/>
        </w:rPr>
        <w:t>Collections of Information Employing Statistical Methods</w:t>
      </w:r>
    </w:p>
    <w:p w:rsidR="00A5385A" w:rsidRDefault="00A5385A" w:rsidP="00C13DD2">
      <w:pPr>
        <w:ind w:left="720" w:hanging="720"/>
      </w:pPr>
    </w:p>
    <w:p w:rsidR="00141D74" w:rsidRDefault="00A5385A" w:rsidP="00C13DD2">
      <w:pPr>
        <w:ind w:left="1440"/>
      </w:pPr>
      <w:r>
        <w:t>S</w:t>
      </w:r>
      <w:r w:rsidR="00162150">
        <w:t>SA does not use s</w:t>
      </w:r>
      <w:r>
        <w:t>tatistical methods for this information collection.</w:t>
      </w:r>
    </w:p>
    <w:sectPr w:rsidR="00141D74" w:rsidSect="00444D8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0F" w:rsidRDefault="003B040F">
      <w:r>
        <w:separator/>
      </w:r>
    </w:p>
  </w:endnote>
  <w:endnote w:type="continuationSeparator" w:id="0">
    <w:p w:rsidR="003B040F" w:rsidRDefault="003B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DB" w:rsidRDefault="004C06DB" w:rsidP="00D23A00">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0F" w:rsidRDefault="003B040F">
      <w:r>
        <w:separator/>
      </w:r>
    </w:p>
  </w:footnote>
  <w:footnote w:type="continuationSeparator" w:id="0">
    <w:p w:rsidR="003B040F" w:rsidRDefault="003B0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647638"/>
    <w:multiLevelType w:val="hybridMultilevel"/>
    <w:tmpl w:val="27E847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34E4C03"/>
    <w:multiLevelType w:val="hybridMultilevel"/>
    <w:tmpl w:val="F66E7A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06595F"/>
    <w:multiLevelType w:val="multilevel"/>
    <w:tmpl w:val="D6E470C0"/>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734303F"/>
    <w:multiLevelType w:val="hybridMultilevel"/>
    <w:tmpl w:val="F384D5A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8377A"/>
    <w:multiLevelType w:val="hybridMultilevel"/>
    <w:tmpl w:val="0AD27E96"/>
    <w:lvl w:ilvl="0" w:tplc="C1B27B8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A0985"/>
    <w:multiLevelType w:val="hybridMultilevel"/>
    <w:tmpl w:val="044C14D0"/>
    <w:lvl w:ilvl="0" w:tplc="E5B87F96">
      <w:start w:val="1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A5A3F56"/>
    <w:multiLevelType w:val="hybridMultilevel"/>
    <w:tmpl w:val="8198108C"/>
    <w:lvl w:ilvl="0" w:tplc="1E8665A8">
      <w:start w:val="15"/>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A38042D"/>
    <w:multiLevelType w:val="hybridMultilevel"/>
    <w:tmpl w:val="A4EEABA2"/>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0394854"/>
    <w:multiLevelType w:val="hybridMultilevel"/>
    <w:tmpl w:val="F75039CE"/>
    <w:lvl w:ilvl="0" w:tplc="81E0F8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E823478"/>
    <w:multiLevelType w:val="hybridMultilevel"/>
    <w:tmpl w:val="5CF6B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2">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
  </w:num>
  <w:num w:numId="2">
    <w:abstractNumId w:val="8"/>
  </w:num>
  <w:num w:numId="3">
    <w:abstractNumId w:val="6"/>
  </w:num>
  <w:num w:numId="4">
    <w:abstractNumId w:val="7"/>
  </w:num>
  <w:num w:numId="5">
    <w:abstractNumId w:val="4"/>
  </w:num>
  <w:num w:numId="6">
    <w:abstractNumId w:val="5"/>
  </w:num>
  <w:num w:numId="7">
    <w:abstractNumId w:val="12"/>
  </w:num>
  <w:num w:numId="8">
    <w:abstractNumId w:val="11"/>
  </w:num>
  <w:num w:numId="9">
    <w:abstractNumId w:val="0"/>
  </w:num>
  <w:num w:numId="10">
    <w:abstractNumId w:val="3"/>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65"/>
    <w:rsid w:val="0000079D"/>
    <w:rsid w:val="000120D9"/>
    <w:rsid w:val="00045CA5"/>
    <w:rsid w:val="000515A6"/>
    <w:rsid w:val="000618C0"/>
    <w:rsid w:val="0007302B"/>
    <w:rsid w:val="00077AD9"/>
    <w:rsid w:val="0008165F"/>
    <w:rsid w:val="00087E4B"/>
    <w:rsid w:val="00093DAF"/>
    <w:rsid w:val="00095522"/>
    <w:rsid w:val="000C0076"/>
    <w:rsid w:val="000C0679"/>
    <w:rsid w:val="000C5547"/>
    <w:rsid w:val="000F5BD0"/>
    <w:rsid w:val="000F6FD0"/>
    <w:rsid w:val="001023DF"/>
    <w:rsid w:val="00122C83"/>
    <w:rsid w:val="001260DA"/>
    <w:rsid w:val="0013458C"/>
    <w:rsid w:val="00137E84"/>
    <w:rsid w:val="00141D74"/>
    <w:rsid w:val="00147F6C"/>
    <w:rsid w:val="00151D34"/>
    <w:rsid w:val="0015206C"/>
    <w:rsid w:val="00153693"/>
    <w:rsid w:val="00153F5D"/>
    <w:rsid w:val="00162150"/>
    <w:rsid w:val="00163128"/>
    <w:rsid w:val="0017329E"/>
    <w:rsid w:val="00192D38"/>
    <w:rsid w:val="00194B46"/>
    <w:rsid w:val="00195161"/>
    <w:rsid w:val="001A4457"/>
    <w:rsid w:val="001A6DC4"/>
    <w:rsid w:val="001D3F42"/>
    <w:rsid w:val="001E6113"/>
    <w:rsid w:val="001F5953"/>
    <w:rsid w:val="00213675"/>
    <w:rsid w:val="002158D3"/>
    <w:rsid w:val="00226641"/>
    <w:rsid w:val="0024439E"/>
    <w:rsid w:val="00270536"/>
    <w:rsid w:val="00294D0D"/>
    <w:rsid w:val="00295915"/>
    <w:rsid w:val="002A1E99"/>
    <w:rsid w:val="002A3313"/>
    <w:rsid w:val="002C156C"/>
    <w:rsid w:val="002E30B5"/>
    <w:rsid w:val="002F06F2"/>
    <w:rsid w:val="002F7C77"/>
    <w:rsid w:val="003018B4"/>
    <w:rsid w:val="00303A3D"/>
    <w:rsid w:val="0030589B"/>
    <w:rsid w:val="00305DEF"/>
    <w:rsid w:val="00306DB4"/>
    <w:rsid w:val="003467F3"/>
    <w:rsid w:val="003574B2"/>
    <w:rsid w:val="00361F90"/>
    <w:rsid w:val="00371EFC"/>
    <w:rsid w:val="003912C1"/>
    <w:rsid w:val="003A3E6E"/>
    <w:rsid w:val="003B01A6"/>
    <w:rsid w:val="003B040F"/>
    <w:rsid w:val="003C4304"/>
    <w:rsid w:val="003D1153"/>
    <w:rsid w:val="00437C63"/>
    <w:rsid w:val="00444D8E"/>
    <w:rsid w:val="004462D8"/>
    <w:rsid w:val="00451013"/>
    <w:rsid w:val="00451C43"/>
    <w:rsid w:val="00453045"/>
    <w:rsid w:val="0047646E"/>
    <w:rsid w:val="00481A25"/>
    <w:rsid w:val="00486AF9"/>
    <w:rsid w:val="0049161E"/>
    <w:rsid w:val="004A4B78"/>
    <w:rsid w:val="004B0E34"/>
    <w:rsid w:val="004B2058"/>
    <w:rsid w:val="004C06DB"/>
    <w:rsid w:val="004C2AFE"/>
    <w:rsid w:val="00512F46"/>
    <w:rsid w:val="005249C6"/>
    <w:rsid w:val="00530837"/>
    <w:rsid w:val="00536BFC"/>
    <w:rsid w:val="005372C3"/>
    <w:rsid w:val="00555249"/>
    <w:rsid w:val="005862A9"/>
    <w:rsid w:val="00594185"/>
    <w:rsid w:val="00595569"/>
    <w:rsid w:val="005C51EB"/>
    <w:rsid w:val="005D5153"/>
    <w:rsid w:val="005D645F"/>
    <w:rsid w:val="005F0D32"/>
    <w:rsid w:val="005F2BDA"/>
    <w:rsid w:val="005F3480"/>
    <w:rsid w:val="00610AC5"/>
    <w:rsid w:val="0062367B"/>
    <w:rsid w:val="00624F80"/>
    <w:rsid w:val="00626746"/>
    <w:rsid w:val="006304D3"/>
    <w:rsid w:val="00633852"/>
    <w:rsid w:val="00640F80"/>
    <w:rsid w:val="00651D1B"/>
    <w:rsid w:val="00655F65"/>
    <w:rsid w:val="00656FE0"/>
    <w:rsid w:val="00657C14"/>
    <w:rsid w:val="00673DFE"/>
    <w:rsid w:val="006868CA"/>
    <w:rsid w:val="006931FF"/>
    <w:rsid w:val="006A397A"/>
    <w:rsid w:val="006A3C5A"/>
    <w:rsid w:val="006B1827"/>
    <w:rsid w:val="006B215E"/>
    <w:rsid w:val="006E6A3E"/>
    <w:rsid w:val="006F16D0"/>
    <w:rsid w:val="00703065"/>
    <w:rsid w:val="0071318A"/>
    <w:rsid w:val="00713A23"/>
    <w:rsid w:val="0075277B"/>
    <w:rsid w:val="0076451C"/>
    <w:rsid w:val="00772349"/>
    <w:rsid w:val="00780663"/>
    <w:rsid w:val="00783B5D"/>
    <w:rsid w:val="00794870"/>
    <w:rsid w:val="007954F6"/>
    <w:rsid w:val="007C49E9"/>
    <w:rsid w:val="007C5402"/>
    <w:rsid w:val="007C7CCE"/>
    <w:rsid w:val="007D47E0"/>
    <w:rsid w:val="007D4BD1"/>
    <w:rsid w:val="007E6BC1"/>
    <w:rsid w:val="007F2C62"/>
    <w:rsid w:val="00815634"/>
    <w:rsid w:val="008164DA"/>
    <w:rsid w:val="00830FEF"/>
    <w:rsid w:val="00840A28"/>
    <w:rsid w:val="008607B2"/>
    <w:rsid w:val="008847F7"/>
    <w:rsid w:val="00884ADB"/>
    <w:rsid w:val="00885EA6"/>
    <w:rsid w:val="0089345A"/>
    <w:rsid w:val="00896881"/>
    <w:rsid w:val="008D1EFF"/>
    <w:rsid w:val="009050D7"/>
    <w:rsid w:val="00907E89"/>
    <w:rsid w:val="0091330B"/>
    <w:rsid w:val="00916156"/>
    <w:rsid w:val="0091616A"/>
    <w:rsid w:val="009255AB"/>
    <w:rsid w:val="009757F7"/>
    <w:rsid w:val="009A4D99"/>
    <w:rsid w:val="009C19CF"/>
    <w:rsid w:val="00A50C7E"/>
    <w:rsid w:val="00A50F7C"/>
    <w:rsid w:val="00A51D1F"/>
    <w:rsid w:val="00A52A34"/>
    <w:rsid w:val="00A5385A"/>
    <w:rsid w:val="00A54CD9"/>
    <w:rsid w:val="00A74B75"/>
    <w:rsid w:val="00A833C3"/>
    <w:rsid w:val="00A853B0"/>
    <w:rsid w:val="00A9375B"/>
    <w:rsid w:val="00A96235"/>
    <w:rsid w:val="00A96A28"/>
    <w:rsid w:val="00AA2D99"/>
    <w:rsid w:val="00AB4B20"/>
    <w:rsid w:val="00AD40F0"/>
    <w:rsid w:val="00B053FF"/>
    <w:rsid w:val="00B11F56"/>
    <w:rsid w:val="00B21BC7"/>
    <w:rsid w:val="00B3737C"/>
    <w:rsid w:val="00B55328"/>
    <w:rsid w:val="00B574AE"/>
    <w:rsid w:val="00B6775C"/>
    <w:rsid w:val="00B80385"/>
    <w:rsid w:val="00B84711"/>
    <w:rsid w:val="00B92977"/>
    <w:rsid w:val="00BA136F"/>
    <w:rsid w:val="00BA6801"/>
    <w:rsid w:val="00BA77FE"/>
    <w:rsid w:val="00BB6E20"/>
    <w:rsid w:val="00BC0969"/>
    <w:rsid w:val="00BF21D4"/>
    <w:rsid w:val="00BF237A"/>
    <w:rsid w:val="00C13DD2"/>
    <w:rsid w:val="00C146B3"/>
    <w:rsid w:val="00C2203D"/>
    <w:rsid w:val="00C25E43"/>
    <w:rsid w:val="00C66E00"/>
    <w:rsid w:val="00C72C5D"/>
    <w:rsid w:val="00C76B5E"/>
    <w:rsid w:val="00C86A65"/>
    <w:rsid w:val="00CB6613"/>
    <w:rsid w:val="00CC4FAC"/>
    <w:rsid w:val="00D1152D"/>
    <w:rsid w:val="00D23A00"/>
    <w:rsid w:val="00D45E79"/>
    <w:rsid w:val="00D60826"/>
    <w:rsid w:val="00D713B6"/>
    <w:rsid w:val="00D81E54"/>
    <w:rsid w:val="00D8204A"/>
    <w:rsid w:val="00DA7E17"/>
    <w:rsid w:val="00DC4663"/>
    <w:rsid w:val="00DC6A8E"/>
    <w:rsid w:val="00DC78C3"/>
    <w:rsid w:val="00DE4801"/>
    <w:rsid w:val="00DF41DA"/>
    <w:rsid w:val="00E01024"/>
    <w:rsid w:val="00E11512"/>
    <w:rsid w:val="00E1422D"/>
    <w:rsid w:val="00E142CB"/>
    <w:rsid w:val="00E16801"/>
    <w:rsid w:val="00E2454A"/>
    <w:rsid w:val="00E3566F"/>
    <w:rsid w:val="00E429D9"/>
    <w:rsid w:val="00E4608F"/>
    <w:rsid w:val="00E56235"/>
    <w:rsid w:val="00E630EB"/>
    <w:rsid w:val="00E6482A"/>
    <w:rsid w:val="00E67B3E"/>
    <w:rsid w:val="00E770C8"/>
    <w:rsid w:val="00E96363"/>
    <w:rsid w:val="00EA1189"/>
    <w:rsid w:val="00EA3356"/>
    <w:rsid w:val="00ED4EBE"/>
    <w:rsid w:val="00EE09CA"/>
    <w:rsid w:val="00EE4E71"/>
    <w:rsid w:val="00EF0693"/>
    <w:rsid w:val="00F3401A"/>
    <w:rsid w:val="00F34CA8"/>
    <w:rsid w:val="00F67F65"/>
    <w:rsid w:val="00F84834"/>
    <w:rsid w:val="00F93004"/>
    <w:rsid w:val="00F941C5"/>
    <w:rsid w:val="00F97BC1"/>
    <w:rsid w:val="00FA299F"/>
    <w:rsid w:val="00FA557D"/>
    <w:rsid w:val="00FA7134"/>
    <w:rsid w:val="00FB418C"/>
    <w:rsid w:val="00FD2492"/>
    <w:rsid w:val="00FF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85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C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663"/>
    <w:rPr>
      <w:rFonts w:ascii="Tahoma" w:hAnsi="Tahoma" w:cs="Tahoma"/>
      <w:sz w:val="16"/>
      <w:szCs w:val="16"/>
    </w:rPr>
  </w:style>
  <w:style w:type="paragraph" w:styleId="Header">
    <w:name w:val="header"/>
    <w:basedOn w:val="Normal"/>
    <w:rsid w:val="00D23A00"/>
    <w:pPr>
      <w:tabs>
        <w:tab w:val="center" w:pos="4320"/>
        <w:tab w:val="right" w:pos="8640"/>
      </w:tabs>
    </w:pPr>
  </w:style>
  <w:style w:type="paragraph" w:styleId="Footer">
    <w:name w:val="footer"/>
    <w:basedOn w:val="Normal"/>
    <w:rsid w:val="00D23A00"/>
    <w:pPr>
      <w:tabs>
        <w:tab w:val="center" w:pos="4320"/>
        <w:tab w:val="right" w:pos="8640"/>
      </w:tabs>
    </w:pPr>
  </w:style>
  <w:style w:type="character" w:styleId="PageNumber">
    <w:name w:val="page number"/>
    <w:basedOn w:val="DefaultParagraphFont"/>
    <w:rsid w:val="00D23A00"/>
  </w:style>
  <w:style w:type="paragraph" w:styleId="ListParagraph">
    <w:name w:val="List Paragraph"/>
    <w:basedOn w:val="Normal"/>
    <w:uiPriority w:val="34"/>
    <w:qFormat/>
    <w:rsid w:val="00162150"/>
    <w:pPr>
      <w:ind w:left="720"/>
    </w:pPr>
  </w:style>
  <w:style w:type="paragraph" w:styleId="NormalWeb">
    <w:name w:val="Normal (Web)"/>
    <w:basedOn w:val="Normal"/>
    <w:uiPriority w:val="99"/>
    <w:unhideWhenUsed/>
    <w:rsid w:val="00B80385"/>
    <w:rPr>
      <w:rFonts w:eastAsia="Calibri"/>
    </w:rPr>
  </w:style>
  <w:style w:type="table" w:customStyle="1" w:styleId="TableSSADefault">
    <w:name w:val="Table SSA Default"/>
    <w:basedOn w:val="TableNormal"/>
    <w:uiPriority w:val="99"/>
    <w:rsid w:val="00151D34"/>
    <w:pPr>
      <w:jc w:val="center"/>
    </w:pPr>
    <w:rPr>
      <w:rFonts w:ascii="Calibri" w:hAnsi="Calibri"/>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85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C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0663"/>
    <w:rPr>
      <w:rFonts w:ascii="Tahoma" w:hAnsi="Tahoma" w:cs="Tahoma"/>
      <w:sz w:val="16"/>
      <w:szCs w:val="16"/>
    </w:rPr>
  </w:style>
  <w:style w:type="paragraph" w:styleId="Header">
    <w:name w:val="header"/>
    <w:basedOn w:val="Normal"/>
    <w:rsid w:val="00D23A00"/>
    <w:pPr>
      <w:tabs>
        <w:tab w:val="center" w:pos="4320"/>
        <w:tab w:val="right" w:pos="8640"/>
      </w:tabs>
    </w:pPr>
  </w:style>
  <w:style w:type="paragraph" w:styleId="Footer">
    <w:name w:val="footer"/>
    <w:basedOn w:val="Normal"/>
    <w:rsid w:val="00D23A00"/>
    <w:pPr>
      <w:tabs>
        <w:tab w:val="center" w:pos="4320"/>
        <w:tab w:val="right" w:pos="8640"/>
      </w:tabs>
    </w:pPr>
  </w:style>
  <w:style w:type="character" w:styleId="PageNumber">
    <w:name w:val="page number"/>
    <w:basedOn w:val="DefaultParagraphFont"/>
    <w:rsid w:val="00D23A00"/>
  </w:style>
  <w:style w:type="paragraph" w:styleId="ListParagraph">
    <w:name w:val="List Paragraph"/>
    <w:basedOn w:val="Normal"/>
    <w:uiPriority w:val="34"/>
    <w:qFormat/>
    <w:rsid w:val="00162150"/>
    <w:pPr>
      <w:ind w:left="720"/>
    </w:pPr>
  </w:style>
  <w:style w:type="paragraph" w:styleId="NormalWeb">
    <w:name w:val="Normal (Web)"/>
    <w:basedOn w:val="Normal"/>
    <w:uiPriority w:val="99"/>
    <w:unhideWhenUsed/>
    <w:rsid w:val="00B80385"/>
    <w:rPr>
      <w:rFonts w:eastAsia="Calibri"/>
    </w:rPr>
  </w:style>
  <w:style w:type="table" w:customStyle="1" w:styleId="TableSSADefault">
    <w:name w:val="Table SSA Default"/>
    <w:basedOn w:val="TableNormal"/>
    <w:uiPriority w:val="99"/>
    <w:rsid w:val="00151D34"/>
    <w:pPr>
      <w:jc w:val="center"/>
    </w:pPr>
    <w:rPr>
      <w:rFonts w:ascii="Calibri" w:hAnsi="Calibri"/>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50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F897-8BAE-48C9-AE99-CC0B0500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Letter to Custodian of School Records</vt:lpstr>
    </vt:vector>
  </TitlesOfParts>
  <Company>Home Office</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Custodian of School Records</dc:title>
  <dc:creator>Linda Mitchell</dc:creator>
  <cp:lastModifiedBy>889123</cp:lastModifiedBy>
  <cp:revision>2</cp:revision>
  <cp:lastPrinted>2010-09-07T17:13:00Z</cp:lastPrinted>
  <dcterms:created xsi:type="dcterms:W3CDTF">2016-08-23T19:26:00Z</dcterms:created>
  <dcterms:modified xsi:type="dcterms:W3CDTF">2016-08-23T19:26:00Z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