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F492A" w14:textId="77777777" w:rsidR="009375EA" w:rsidRDefault="000A4324">
      <w:bookmarkStart w:id="0" w:name="_GoBack"/>
      <w:bookmarkEnd w:id="0"/>
      <w:r>
        <w:t xml:space="preserve"> </w:t>
      </w:r>
    </w:p>
    <w:p w14:paraId="0406840A" w14:textId="77777777" w:rsidR="00DA0193" w:rsidRDefault="00DA0193"/>
    <w:p w14:paraId="09041475" w14:textId="77777777" w:rsidR="00394A3A" w:rsidRPr="004D383C" w:rsidRDefault="00394A3A" w:rsidP="00D92F18">
      <w:pPr>
        <w:pStyle w:val="Heading1"/>
        <w:spacing w:line="480" w:lineRule="auto"/>
        <w:jc w:val="center"/>
        <w:rPr>
          <w:b/>
        </w:rPr>
      </w:pPr>
      <w:r w:rsidRPr="004D383C">
        <w:rPr>
          <w:b/>
        </w:rPr>
        <w:t>Supporting Statement</w:t>
      </w:r>
      <w:r w:rsidR="00FC1144" w:rsidRPr="004D383C">
        <w:rPr>
          <w:b/>
        </w:rPr>
        <w:t xml:space="preserve"> A</w:t>
      </w:r>
    </w:p>
    <w:p w14:paraId="7C916F0B" w14:textId="77777777" w:rsidR="00460FB2" w:rsidRPr="004D383C" w:rsidRDefault="00460FB2" w:rsidP="00460FB2"/>
    <w:p w14:paraId="725DEF15" w14:textId="77777777" w:rsidR="00DA0193" w:rsidRPr="004D383C" w:rsidRDefault="00DA0193" w:rsidP="00460FB2"/>
    <w:p w14:paraId="18A9DCA9" w14:textId="0C1A7A33" w:rsidR="00BD65BF" w:rsidRPr="004D383C" w:rsidRDefault="009F6F30" w:rsidP="00D92F18">
      <w:pPr>
        <w:spacing w:line="480" w:lineRule="auto"/>
        <w:jc w:val="center"/>
        <w:rPr>
          <w:b/>
        </w:rPr>
      </w:pPr>
      <w:r w:rsidRPr="004D383C">
        <w:rPr>
          <w:b/>
        </w:rPr>
        <w:t xml:space="preserve">U.S. </w:t>
      </w:r>
      <w:r w:rsidR="00BD65BF" w:rsidRPr="004D383C">
        <w:rPr>
          <w:b/>
        </w:rPr>
        <w:t>NUCLEAR MEDICINE TECHNOLOGISTS</w:t>
      </w:r>
      <w:r w:rsidRPr="004D383C">
        <w:rPr>
          <w:b/>
        </w:rPr>
        <w:t xml:space="preserve"> STUDY</w:t>
      </w:r>
    </w:p>
    <w:p w14:paraId="45A51D69" w14:textId="128E1120" w:rsidR="009F6F30" w:rsidRPr="004D383C" w:rsidRDefault="00765758" w:rsidP="006131F4">
      <w:pPr>
        <w:spacing w:line="480" w:lineRule="auto"/>
        <w:jc w:val="center"/>
        <w:rPr>
          <w:b/>
        </w:rPr>
      </w:pPr>
      <w:r w:rsidRPr="004D383C">
        <w:rPr>
          <w:b/>
        </w:rPr>
        <w:t>May</w:t>
      </w:r>
      <w:r w:rsidR="00BD65BF" w:rsidRPr="004D383C">
        <w:rPr>
          <w:b/>
        </w:rPr>
        <w:t>, 2016</w:t>
      </w:r>
    </w:p>
    <w:p w14:paraId="6A66250D" w14:textId="77777777" w:rsidR="009F6F30" w:rsidRPr="004D383C" w:rsidRDefault="009F6F30" w:rsidP="006131F4">
      <w:pPr>
        <w:spacing w:line="480" w:lineRule="auto"/>
        <w:jc w:val="center"/>
        <w:rPr>
          <w:b/>
        </w:rPr>
      </w:pPr>
    </w:p>
    <w:p w14:paraId="332E6DE1" w14:textId="77777777" w:rsidR="00DD0DC5" w:rsidRPr="004D383C" w:rsidRDefault="002F10CE">
      <w:pPr>
        <w:jc w:val="center"/>
      </w:pPr>
      <w:r w:rsidRPr="004D383C">
        <w:t xml:space="preserve">This submission was formerly titled: </w:t>
      </w:r>
    </w:p>
    <w:p w14:paraId="173A1719" w14:textId="77777777" w:rsidR="00554D5E" w:rsidRPr="004D383C" w:rsidRDefault="002F10CE">
      <w:pPr>
        <w:jc w:val="center"/>
      </w:pPr>
      <w:r w:rsidRPr="004D383C">
        <w:t xml:space="preserve"> </w:t>
      </w:r>
    </w:p>
    <w:p w14:paraId="76EDB789" w14:textId="77777777" w:rsidR="00BD65BF" w:rsidRPr="004D383C" w:rsidRDefault="00BD65BF" w:rsidP="00BD65BF">
      <w:pPr>
        <w:jc w:val="center"/>
      </w:pPr>
      <w:r w:rsidRPr="004D383C">
        <w:t>Cancer Risk in U.S. Radiologic Technologists: Fourth Survey</w:t>
      </w:r>
    </w:p>
    <w:p w14:paraId="18A70812" w14:textId="77777777" w:rsidR="00BD65BF" w:rsidRPr="004D383C" w:rsidRDefault="00BD65BF" w:rsidP="00BD65BF">
      <w:pPr>
        <w:jc w:val="center"/>
      </w:pPr>
      <w:r w:rsidRPr="004D383C">
        <w:t>(2011 OMB submission)</w:t>
      </w:r>
    </w:p>
    <w:p w14:paraId="5AED5369" w14:textId="77777777" w:rsidR="00BD65BF" w:rsidRPr="004D383C" w:rsidRDefault="00BD65BF" w:rsidP="00BD65BF">
      <w:pPr>
        <w:jc w:val="center"/>
      </w:pPr>
      <w:r w:rsidRPr="004D383C">
        <w:t xml:space="preserve"> </w:t>
      </w:r>
    </w:p>
    <w:p w14:paraId="5DA5B7D0" w14:textId="42E98660" w:rsidR="00460FB2" w:rsidRPr="004D383C" w:rsidRDefault="00460FB2" w:rsidP="00DD0DC5">
      <w:pPr>
        <w:jc w:val="center"/>
      </w:pPr>
      <w:r w:rsidRPr="004D383C">
        <w:t>OMB No. 0925-</w:t>
      </w:r>
      <w:r w:rsidR="00DA0193" w:rsidRPr="004D383C">
        <w:t>0656</w:t>
      </w:r>
      <w:r w:rsidRPr="004D383C">
        <w:t xml:space="preserve">, Expiration Date </w:t>
      </w:r>
      <w:r w:rsidR="00BD65BF" w:rsidRPr="004D383C">
        <w:t>4/30/2015</w:t>
      </w:r>
    </w:p>
    <w:p w14:paraId="37D2F00C" w14:textId="77777777" w:rsidR="00394A3A" w:rsidRPr="004D383C" w:rsidRDefault="00394A3A" w:rsidP="00460FB2">
      <w:pPr>
        <w:numPr>
          <w:ilvl w:val="12"/>
          <w:numId w:val="0"/>
        </w:numPr>
        <w:jc w:val="center"/>
        <w:outlineLvl w:val="0"/>
        <w:rPr>
          <w:bCs/>
        </w:rPr>
      </w:pPr>
    </w:p>
    <w:p w14:paraId="324FD1A1" w14:textId="77777777" w:rsidR="00460FB2" w:rsidRPr="004D383C" w:rsidRDefault="00460FB2" w:rsidP="00460FB2">
      <w:pPr>
        <w:numPr>
          <w:ilvl w:val="12"/>
          <w:numId w:val="0"/>
        </w:numPr>
        <w:jc w:val="center"/>
        <w:outlineLvl w:val="0"/>
        <w:rPr>
          <w:bCs/>
        </w:rPr>
      </w:pPr>
    </w:p>
    <w:p w14:paraId="3B29DC17" w14:textId="77777777" w:rsidR="00DA0193" w:rsidRPr="004D383C" w:rsidRDefault="00DA0193" w:rsidP="00460FB2">
      <w:pPr>
        <w:numPr>
          <w:ilvl w:val="12"/>
          <w:numId w:val="0"/>
        </w:numPr>
        <w:jc w:val="center"/>
        <w:outlineLvl w:val="0"/>
        <w:rPr>
          <w:bCs/>
        </w:rPr>
      </w:pPr>
    </w:p>
    <w:p w14:paraId="4FED2696" w14:textId="77777777" w:rsidR="00460FB2" w:rsidRPr="004D383C" w:rsidRDefault="00460FB2" w:rsidP="00460FB2">
      <w:pPr>
        <w:numPr>
          <w:ilvl w:val="12"/>
          <w:numId w:val="0"/>
        </w:numPr>
        <w:jc w:val="center"/>
        <w:outlineLvl w:val="0"/>
        <w:rPr>
          <w:bCs/>
        </w:rPr>
      </w:pPr>
    </w:p>
    <w:p w14:paraId="57EE263A" w14:textId="77777777" w:rsidR="00394A3A" w:rsidRPr="004D383C" w:rsidRDefault="00394A3A" w:rsidP="00D25FDC">
      <w:pPr>
        <w:spacing w:line="480" w:lineRule="auto"/>
        <w:jc w:val="center"/>
      </w:pPr>
      <w:r w:rsidRPr="004D383C">
        <w:t>Submitted by</w:t>
      </w:r>
      <w:r w:rsidR="00DA0193" w:rsidRPr="004D383C">
        <w:t>:</w:t>
      </w:r>
    </w:p>
    <w:p w14:paraId="663D61D3" w14:textId="77777777" w:rsidR="00554D5E" w:rsidRPr="004D383C" w:rsidRDefault="009F6F30" w:rsidP="009F6F30">
      <w:pPr>
        <w:tabs>
          <w:tab w:val="left" w:pos="5400"/>
          <w:tab w:val="left" w:pos="5760"/>
          <w:tab w:val="left" w:pos="5940"/>
        </w:tabs>
        <w:ind w:firstLine="360"/>
        <w:rPr>
          <w:u w:val="single"/>
        </w:rPr>
      </w:pPr>
      <w:r w:rsidRPr="004D383C">
        <w:rPr>
          <w:u w:val="single"/>
        </w:rPr>
        <w:t>Principle Investigator</w:t>
      </w:r>
      <w:r w:rsidR="00F429F0" w:rsidRPr="004D383C">
        <w:tab/>
      </w:r>
      <w:r w:rsidR="00D747AC" w:rsidRPr="004D383C">
        <w:rPr>
          <w:u w:val="single"/>
        </w:rPr>
        <w:t>Contact Person</w:t>
      </w:r>
    </w:p>
    <w:p w14:paraId="5BDEC4ED" w14:textId="6F33A548" w:rsidR="00554D5E" w:rsidRPr="004D383C" w:rsidRDefault="00255E54" w:rsidP="009F6F30">
      <w:pPr>
        <w:tabs>
          <w:tab w:val="left" w:pos="5400"/>
          <w:tab w:val="left" w:pos="5760"/>
          <w:tab w:val="left" w:pos="5940"/>
        </w:tabs>
        <w:ind w:firstLine="360"/>
      </w:pPr>
      <w:r w:rsidRPr="004D383C">
        <w:t>Cari Kitahara, Ph.D</w:t>
      </w:r>
      <w:r w:rsidR="00765758" w:rsidRPr="004D383C">
        <w:t>.</w:t>
      </w:r>
      <w:r w:rsidR="00F429F0" w:rsidRPr="004D383C">
        <w:tab/>
        <w:t>Michele M. Doody, M.S.</w:t>
      </w:r>
    </w:p>
    <w:p w14:paraId="0C3599CF" w14:textId="5305F44F" w:rsidR="00554D5E" w:rsidRPr="004D383C" w:rsidRDefault="00394A3A" w:rsidP="009F6F30">
      <w:pPr>
        <w:tabs>
          <w:tab w:val="left" w:pos="5400"/>
          <w:tab w:val="left" w:pos="5760"/>
          <w:tab w:val="left" w:pos="5940"/>
        </w:tabs>
        <w:ind w:firstLine="360"/>
      </w:pPr>
      <w:r w:rsidRPr="004D383C">
        <w:t>Radiation Epidemiology Branch</w:t>
      </w:r>
      <w:r w:rsidR="00F429F0" w:rsidRPr="004D383C">
        <w:t xml:space="preserve"> </w:t>
      </w:r>
      <w:r w:rsidR="00F429F0" w:rsidRPr="004D383C">
        <w:tab/>
        <w:t xml:space="preserve">Contracting Officer </w:t>
      </w:r>
      <w:r w:rsidR="00460FB2" w:rsidRPr="004D383C">
        <w:t>R</w:t>
      </w:r>
      <w:r w:rsidR="00F429F0" w:rsidRPr="004D383C">
        <w:t>ep</w:t>
      </w:r>
      <w:r w:rsidR="0082208C" w:rsidRPr="004D383C">
        <w:t>resentative</w:t>
      </w:r>
    </w:p>
    <w:p w14:paraId="7F5A4847" w14:textId="77777777" w:rsidR="00554D5E" w:rsidRPr="004D383C" w:rsidRDefault="00394A3A" w:rsidP="009F6F30">
      <w:pPr>
        <w:tabs>
          <w:tab w:val="left" w:pos="5400"/>
          <w:tab w:val="left" w:pos="5760"/>
          <w:tab w:val="left" w:pos="5940"/>
        </w:tabs>
        <w:ind w:firstLine="360"/>
      </w:pPr>
      <w:r w:rsidRPr="004D383C">
        <w:t>Division of Cancer Epidemiology and Genetics</w:t>
      </w:r>
      <w:r w:rsidR="00F429F0" w:rsidRPr="004D383C">
        <w:tab/>
        <w:t>11300 Mountain View Road</w:t>
      </w:r>
    </w:p>
    <w:p w14:paraId="4593C0D5" w14:textId="77777777" w:rsidR="00554D5E" w:rsidRPr="004D383C" w:rsidRDefault="00394A3A" w:rsidP="009F6F30">
      <w:pPr>
        <w:tabs>
          <w:tab w:val="left" w:pos="5400"/>
          <w:tab w:val="left" w:pos="5760"/>
          <w:tab w:val="left" w:pos="5940"/>
        </w:tabs>
        <w:ind w:firstLine="360"/>
      </w:pPr>
      <w:r w:rsidRPr="004D383C">
        <w:t>National Cancer Institute</w:t>
      </w:r>
      <w:r w:rsidR="00F429F0" w:rsidRPr="004D383C">
        <w:t xml:space="preserve"> </w:t>
      </w:r>
      <w:r w:rsidR="00F429F0" w:rsidRPr="004D383C">
        <w:tab/>
        <w:t>Damascus, Maryland 20872</w:t>
      </w:r>
    </w:p>
    <w:p w14:paraId="50597ABA" w14:textId="77777777" w:rsidR="00554D5E" w:rsidRPr="004D383C" w:rsidRDefault="00394A3A" w:rsidP="009F6F30">
      <w:pPr>
        <w:tabs>
          <w:tab w:val="left" w:pos="5400"/>
          <w:tab w:val="left" w:pos="5760"/>
          <w:tab w:val="left" w:pos="5940"/>
          <w:tab w:val="left" w:pos="6480"/>
        </w:tabs>
        <w:ind w:firstLine="360"/>
      </w:pPr>
      <w:r w:rsidRPr="004D383C">
        <w:t>National Institutes of Health</w:t>
      </w:r>
      <w:r w:rsidR="00F429F0" w:rsidRPr="004D383C">
        <w:t xml:space="preserve">  </w:t>
      </w:r>
      <w:r w:rsidR="00F429F0" w:rsidRPr="004D383C">
        <w:tab/>
        <w:t>Phone:</w:t>
      </w:r>
      <w:r w:rsidR="009F6F30" w:rsidRPr="004D383C">
        <w:t xml:space="preserve">  </w:t>
      </w:r>
      <w:r w:rsidR="00F429F0" w:rsidRPr="004D383C">
        <w:t>301-414-0308</w:t>
      </w:r>
    </w:p>
    <w:p w14:paraId="13C61920" w14:textId="77777777" w:rsidR="00554D5E" w:rsidRPr="004D383C" w:rsidRDefault="005F38E3" w:rsidP="009F6F30">
      <w:pPr>
        <w:pStyle w:val="Heading3"/>
        <w:tabs>
          <w:tab w:val="left" w:pos="5400"/>
          <w:tab w:val="left" w:pos="5760"/>
          <w:tab w:val="left" w:pos="5940"/>
          <w:tab w:val="left" w:pos="6480"/>
        </w:tabs>
        <w:ind w:left="0" w:firstLine="360"/>
      </w:pPr>
      <w:r w:rsidRPr="004D383C">
        <w:t>Bethesda</w:t>
      </w:r>
      <w:r w:rsidR="00394A3A" w:rsidRPr="004D383C">
        <w:t>, Maryland</w:t>
      </w:r>
      <w:r w:rsidRPr="004D383C">
        <w:t xml:space="preserve"> 20892</w:t>
      </w:r>
      <w:r w:rsidR="00F429F0" w:rsidRPr="004D383C">
        <w:t xml:space="preserve"> </w:t>
      </w:r>
      <w:r w:rsidR="00F429F0" w:rsidRPr="004D383C">
        <w:tab/>
        <w:t>Fax:</w:t>
      </w:r>
      <w:r w:rsidR="009F6F30" w:rsidRPr="004D383C">
        <w:t xml:space="preserve">  </w:t>
      </w:r>
      <w:r w:rsidR="00F429F0" w:rsidRPr="004D383C">
        <w:t>301-414-0308</w:t>
      </w:r>
    </w:p>
    <w:p w14:paraId="31BE9527" w14:textId="77777777" w:rsidR="00554D5E" w:rsidRPr="004D383C" w:rsidRDefault="00B95D25" w:rsidP="009F6F30">
      <w:pPr>
        <w:tabs>
          <w:tab w:val="left" w:pos="5400"/>
          <w:tab w:val="left" w:pos="5760"/>
          <w:tab w:val="left" w:pos="5940"/>
          <w:tab w:val="left" w:pos="6480"/>
        </w:tabs>
        <w:ind w:left="4320"/>
        <w:rPr>
          <w:lang w:val="de-DE"/>
        </w:rPr>
      </w:pPr>
      <w:r w:rsidRPr="004D383C">
        <w:tab/>
      </w:r>
      <w:r w:rsidR="00394A3A" w:rsidRPr="004D383C">
        <w:rPr>
          <w:lang w:val="de-DE"/>
        </w:rPr>
        <w:t>E-mail:</w:t>
      </w:r>
      <w:r w:rsidR="009F6F30" w:rsidRPr="004D383C">
        <w:rPr>
          <w:lang w:val="de-DE"/>
        </w:rPr>
        <w:t xml:space="preserve">  </w:t>
      </w:r>
      <w:hyperlink r:id="rId9" w:history="1">
        <w:r w:rsidR="003D5EF5" w:rsidRPr="004D383C">
          <w:rPr>
            <w:rStyle w:val="Hyperlink"/>
            <w:lang w:val="de-DE"/>
          </w:rPr>
          <w:t>doodym@mail.nih.gov</w:t>
        </w:r>
      </w:hyperlink>
    </w:p>
    <w:p w14:paraId="776CB94E" w14:textId="77777777" w:rsidR="00D46777" w:rsidRPr="004D383C" w:rsidRDefault="00D46777" w:rsidP="00D22519">
      <w:pPr>
        <w:jc w:val="center"/>
        <w:rPr>
          <w:lang w:val="de-DE"/>
        </w:rPr>
      </w:pPr>
    </w:p>
    <w:p w14:paraId="210DD1C2" w14:textId="77777777" w:rsidR="00D46777" w:rsidRPr="004D383C" w:rsidRDefault="00D46777" w:rsidP="009F6F30">
      <w:pPr>
        <w:tabs>
          <w:tab w:val="left" w:pos="720"/>
          <w:tab w:val="right" w:leader="dot" w:pos="9504"/>
        </w:tabs>
      </w:pPr>
    </w:p>
    <w:p w14:paraId="2A34D306" w14:textId="77777777" w:rsidR="00DA0193" w:rsidRPr="004D383C" w:rsidRDefault="00DA0193" w:rsidP="009F6F30">
      <w:pPr>
        <w:tabs>
          <w:tab w:val="left" w:pos="720"/>
          <w:tab w:val="right" w:leader="dot" w:pos="9504"/>
        </w:tabs>
      </w:pPr>
    </w:p>
    <w:p w14:paraId="479054F6" w14:textId="77777777" w:rsidR="00DA0193" w:rsidRPr="004D383C" w:rsidRDefault="00DA0193" w:rsidP="009F6F30">
      <w:pPr>
        <w:tabs>
          <w:tab w:val="left" w:pos="720"/>
          <w:tab w:val="right" w:leader="dot" w:pos="9504"/>
        </w:tabs>
      </w:pPr>
    </w:p>
    <w:p w14:paraId="5EAF96A6" w14:textId="77777777" w:rsidR="006F2E60" w:rsidRPr="004D383C" w:rsidRDefault="00D46777" w:rsidP="009F6F30">
      <w:pPr>
        <w:numPr>
          <w:ilvl w:val="0"/>
          <w:numId w:val="23"/>
        </w:numPr>
        <w:rPr>
          <w:rFonts w:eastAsia="Calibri"/>
        </w:rPr>
      </w:pPr>
      <w:r w:rsidRPr="004D383C">
        <w:rPr>
          <w:rFonts w:eastAsia="Calibri"/>
        </w:rPr>
        <w:t xml:space="preserve">New </w:t>
      </w:r>
    </w:p>
    <w:p w14:paraId="07183BA9" w14:textId="204052A7" w:rsidR="00D46777" w:rsidRPr="004D383C" w:rsidRDefault="00D46777" w:rsidP="009F6F30">
      <w:pPr>
        <w:numPr>
          <w:ilvl w:val="0"/>
          <w:numId w:val="23"/>
        </w:numPr>
        <w:rPr>
          <w:rFonts w:eastAsia="Calibri"/>
        </w:rPr>
      </w:pPr>
      <w:r w:rsidRPr="004D383C">
        <w:rPr>
          <w:rFonts w:eastAsia="Calibri"/>
        </w:rPr>
        <w:t>Revision</w:t>
      </w:r>
      <w:r w:rsidRPr="004D383C">
        <w:rPr>
          <w:rFonts w:eastAsia="Calibri"/>
        </w:rPr>
        <w:tab/>
      </w:r>
      <w:r w:rsidRPr="004D383C">
        <w:rPr>
          <w:rFonts w:eastAsia="Calibri"/>
        </w:rPr>
        <w:tab/>
      </w:r>
      <w:r w:rsidRPr="004D383C">
        <w:rPr>
          <w:rFonts w:eastAsia="Calibri"/>
        </w:rPr>
        <w:tab/>
      </w:r>
    </w:p>
    <w:p w14:paraId="47B57126" w14:textId="77777777" w:rsidR="00D46777" w:rsidRPr="004D383C" w:rsidRDefault="0082208C" w:rsidP="0082208C">
      <w:pPr>
        <w:ind w:left="360"/>
        <w:rPr>
          <w:rFonts w:eastAsia="Calibri"/>
        </w:rPr>
      </w:pPr>
      <w:r w:rsidRPr="004D383C">
        <w:rPr>
          <w:rFonts w:eastAsia="Calibri"/>
        </w:rPr>
        <w:t>X</w:t>
      </w:r>
      <w:r w:rsidRPr="004D383C">
        <w:rPr>
          <w:rFonts w:eastAsia="Calibri"/>
        </w:rPr>
        <w:tab/>
      </w:r>
      <w:r w:rsidR="00D46777" w:rsidRPr="004D383C">
        <w:rPr>
          <w:rFonts w:eastAsia="Calibri"/>
        </w:rPr>
        <w:t>Reinstatement with Change</w:t>
      </w:r>
    </w:p>
    <w:p w14:paraId="16C2A5D5" w14:textId="77777777" w:rsidR="00D46777" w:rsidRPr="004D383C" w:rsidRDefault="00D46777" w:rsidP="009F6F30">
      <w:pPr>
        <w:numPr>
          <w:ilvl w:val="0"/>
          <w:numId w:val="23"/>
        </w:numPr>
        <w:rPr>
          <w:rFonts w:eastAsia="Calibri"/>
        </w:rPr>
      </w:pPr>
      <w:r w:rsidRPr="004D383C">
        <w:rPr>
          <w:rFonts w:eastAsia="Calibri"/>
        </w:rPr>
        <w:t>Reinstatement without Change</w:t>
      </w:r>
    </w:p>
    <w:p w14:paraId="4460ACDA" w14:textId="77777777" w:rsidR="00D46777" w:rsidRPr="004D383C" w:rsidRDefault="00D46777" w:rsidP="009F6F30">
      <w:pPr>
        <w:numPr>
          <w:ilvl w:val="0"/>
          <w:numId w:val="23"/>
        </w:numPr>
        <w:rPr>
          <w:rFonts w:eastAsia="Calibri"/>
        </w:rPr>
      </w:pPr>
      <w:r w:rsidRPr="004D383C">
        <w:rPr>
          <w:rFonts w:eastAsia="Calibri"/>
        </w:rPr>
        <w:t>Extension</w:t>
      </w:r>
    </w:p>
    <w:p w14:paraId="4BD4042E" w14:textId="77777777" w:rsidR="00D46777" w:rsidRPr="004D383C" w:rsidRDefault="00D46777" w:rsidP="009F6F30">
      <w:pPr>
        <w:numPr>
          <w:ilvl w:val="0"/>
          <w:numId w:val="23"/>
        </w:numPr>
        <w:rPr>
          <w:rFonts w:eastAsia="Calibri"/>
        </w:rPr>
      </w:pPr>
      <w:r w:rsidRPr="004D383C">
        <w:rPr>
          <w:rFonts w:eastAsia="Calibri"/>
        </w:rPr>
        <w:t>Emergency</w:t>
      </w:r>
    </w:p>
    <w:p w14:paraId="5FDB2945" w14:textId="77777777" w:rsidR="004D383C" w:rsidRDefault="004D383C" w:rsidP="00D22519">
      <w:pPr>
        <w:jc w:val="center"/>
        <w:rPr>
          <w:lang w:val="de-DE"/>
        </w:rPr>
      </w:pPr>
    </w:p>
    <w:p w14:paraId="75CB1B26" w14:textId="77777777" w:rsidR="004D383C" w:rsidRDefault="004D383C" w:rsidP="00D22519">
      <w:pPr>
        <w:jc w:val="center"/>
        <w:rPr>
          <w:lang w:val="de-DE"/>
        </w:rPr>
      </w:pPr>
    </w:p>
    <w:p w14:paraId="0BDD6DE7" w14:textId="77777777" w:rsidR="004D383C" w:rsidRDefault="004D383C" w:rsidP="00D22519">
      <w:pPr>
        <w:jc w:val="center"/>
        <w:rPr>
          <w:lang w:val="de-DE"/>
        </w:rPr>
      </w:pPr>
    </w:p>
    <w:p w14:paraId="1FB14283" w14:textId="4DCF20C2" w:rsidR="00394A3A" w:rsidRPr="004D383C" w:rsidRDefault="004D383C" w:rsidP="00C67EBA">
      <w:r w:rsidRPr="004D383C">
        <w:rPr>
          <w:sz w:val="20"/>
          <w:szCs w:val="20"/>
          <w:lang w:val="de-DE"/>
        </w:rPr>
        <w:t>(Revised November 10, 2016)</w:t>
      </w:r>
      <w:r w:rsidR="00D22519" w:rsidRPr="004D383C">
        <w:rPr>
          <w:lang w:val="de-DE"/>
        </w:rPr>
        <w:br w:type="page"/>
      </w:r>
      <w:r w:rsidR="00D22519" w:rsidRPr="004D383C">
        <w:lastRenderedPageBreak/>
        <w:t>TABLE OF CONTENTS</w:t>
      </w:r>
    </w:p>
    <w:p w14:paraId="6E516158" w14:textId="77777777" w:rsidR="00D22519" w:rsidRPr="004D383C" w:rsidRDefault="00D22519" w:rsidP="00D22519">
      <w:pPr>
        <w:jc w:val="center"/>
      </w:pPr>
    </w:p>
    <w:p w14:paraId="4310714B" w14:textId="5E18B361" w:rsidR="00D22519" w:rsidRPr="004D383C" w:rsidRDefault="00D22519" w:rsidP="00D22519">
      <w:pPr>
        <w:rPr>
          <w:lang w:val="de-DE"/>
        </w:rPr>
      </w:pPr>
      <w:r w:rsidRPr="004D383C">
        <w:rPr>
          <w:lang w:val="de-DE"/>
        </w:rPr>
        <w:t>A.</w:t>
      </w:r>
      <w:r w:rsidRPr="004D383C">
        <w:rPr>
          <w:lang w:val="de-DE"/>
        </w:rPr>
        <w:tab/>
        <w:t>JUSTIFICATION</w:t>
      </w:r>
    </w:p>
    <w:p w14:paraId="42CD6E99" w14:textId="77777777" w:rsidR="0038255C" w:rsidRPr="004D383C" w:rsidRDefault="0038255C" w:rsidP="00D22519">
      <w:pPr>
        <w:rPr>
          <w:lang w:val="de-DE"/>
        </w:rPr>
      </w:pPr>
    </w:p>
    <w:p w14:paraId="6C313B09" w14:textId="7F201CBF" w:rsidR="0038255C" w:rsidRPr="004D383C" w:rsidRDefault="0038255C" w:rsidP="0038255C">
      <w:pPr>
        <w:ind w:right="-180"/>
        <w:rPr>
          <w:lang w:val="de-DE"/>
        </w:rPr>
      </w:pPr>
      <w:r w:rsidRPr="004D383C">
        <w:rPr>
          <w:lang w:val="de-DE"/>
        </w:rPr>
        <w:tab/>
        <w:t>Abstract.................................................................................................................................. 1</w:t>
      </w:r>
    </w:p>
    <w:p w14:paraId="68D71BB1" w14:textId="77777777" w:rsidR="00D22519" w:rsidRPr="004D383C" w:rsidRDefault="00D22519" w:rsidP="00D22519">
      <w:pPr>
        <w:rPr>
          <w:lang w:val="de-DE"/>
        </w:rPr>
      </w:pPr>
    </w:p>
    <w:p w14:paraId="1F4E4027" w14:textId="267A6181" w:rsidR="003C1013" w:rsidRPr="004D383C" w:rsidRDefault="009F6F30" w:rsidP="003C1013">
      <w:pPr>
        <w:pStyle w:val="TOC1"/>
        <w:spacing w:before="0" w:after="0"/>
        <w:jc w:val="left"/>
        <w:rPr>
          <w:b w:val="0"/>
          <w:caps w:val="0"/>
        </w:rPr>
      </w:pPr>
      <w:r w:rsidRPr="004D383C">
        <w:rPr>
          <w:b w:val="0"/>
          <w:caps w:val="0"/>
        </w:rPr>
        <w:t>A.</w:t>
      </w:r>
      <w:r w:rsidR="003C1013" w:rsidRPr="004D383C">
        <w:rPr>
          <w:b w:val="0"/>
          <w:caps w:val="0"/>
        </w:rPr>
        <w:fldChar w:fldCharType="begin"/>
      </w:r>
      <w:r w:rsidR="003C1013" w:rsidRPr="004D383C">
        <w:rPr>
          <w:b w:val="0"/>
          <w:caps w:val="0"/>
        </w:rPr>
        <w:instrText xml:space="preserve"> TOC \o "1-2" \u </w:instrText>
      </w:r>
      <w:r w:rsidR="003C1013" w:rsidRPr="004D383C">
        <w:rPr>
          <w:b w:val="0"/>
          <w:caps w:val="0"/>
        </w:rPr>
        <w:fldChar w:fldCharType="separate"/>
      </w:r>
      <w:r w:rsidR="003C1013" w:rsidRPr="004D383C">
        <w:rPr>
          <w:b w:val="0"/>
          <w:caps w:val="0"/>
        </w:rPr>
        <w:t>1</w:t>
      </w:r>
      <w:r w:rsidR="003C1013" w:rsidRPr="004D383C">
        <w:rPr>
          <w:b w:val="0"/>
          <w:caps w:val="0"/>
        </w:rPr>
        <w:tab/>
        <w:t>Circumstances Making the Collection of Information Necessary</w:t>
      </w:r>
      <w:r w:rsidR="003C1013" w:rsidRPr="004D383C">
        <w:rPr>
          <w:b w:val="0"/>
          <w:caps w:val="0"/>
        </w:rPr>
        <w:tab/>
      </w:r>
      <w:r w:rsidR="0038255C" w:rsidRPr="004D383C">
        <w:rPr>
          <w:b w:val="0"/>
          <w:caps w:val="0"/>
        </w:rPr>
        <w:t>2</w:t>
      </w:r>
    </w:p>
    <w:p w14:paraId="17FFCC65" w14:textId="3FFB4D6E"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2</w:t>
      </w:r>
      <w:r w:rsidR="003C1013" w:rsidRPr="004D383C">
        <w:rPr>
          <w:smallCaps w:val="0"/>
          <w:noProof/>
        </w:rPr>
        <w:tab/>
        <w:t>Purpose and Use of the Information Collection</w:t>
      </w:r>
      <w:r w:rsidR="003C1013" w:rsidRPr="004D383C">
        <w:rPr>
          <w:smallCaps w:val="0"/>
          <w:noProof/>
        </w:rPr>
        <w:tab/>
      </w:r>
      <w:r w:rsidR="0038255C" w:rsidRPr="004D383C">
        <w:rPr>
          <w:smallCaps w:val="0"/>
          <w:noProof/>
        </w:rPr>
        <w:t>3</w:t>
      </w:r>
    </w:p>
    <w:p w14:paraId="4B510952" w14:textId="26D65E50" w:rsidR="003C1013" w:rsidRPr="004D383C" w:rsidRDefault="009F6F30" w:rsidP="003C1013">
      <w:pPr>
        <w:pStyle w:val="TOC2"/>
        <w:spacing w:before="0" w:after="0" w:line="480" w:lineRule="auto"/>
        <w:ind w:left="0" w:firstLine="0"/>
        <w:rPr>
          <w:smallCaps w:val="0"/>
          <w:noProof/>
        </w:rPr>
      </w:pPr>
      <w:r w:rsidRPr="004D383C">
        <w:rPr>
          <w:smallCaps w:val="0"/>
          <w:noProof/>
        </w:rPr>
        <w:t>A.</w:t>
      </w:r>
      <w:r w:rsidR="003C1013" w:rsidRPr="004D383C">
        <w:rPr>
          <w:smallCaps w:val="0"/>
          <w:noProof/>
        </w:rPr>
        <w:t>3</w:t>
      </w:r>
      <w:r w:rsidR="003C1013" w:rsidRPr="004D383C">
        <w:rPr>
          <w:smallCaps w:val="0"/>
          <w:noProof/>
        </w:rPr>
        <w:tab/>
        <w:t>Use of Information Technology and Burden Reduction</w:t>
      </w:r>
      <w:r w:rsidR="003C1013" w:rsidRPr="004D383C">
        <w:rPr>
          <w:smallCaps w:val="0"/>
          <w:noProof/>
        </w:rPr>
        <w:tab/>
      </w:r>
      <w:r w:rsidR="0038255C" w:rsidRPr="004D383C">
        <w:rPr>
          <w:smallCaps w:val="0"/>
          <w:noProof/>
        </w:rPr>
        <w:t>5</w:t>
      </w:r>
    </w:p>
    <w:p w14:paraId="7EDF6554" w14:textId="01E8DEF4"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4</w:t>
      </w:r>
      <w:r w:rsidR="003C1013" w:rsidRPr="004D383C">
        <w:rPr>
          <w:smallCaps w:val="0"/>
          <w:noProof/>
        </w:rPr>
        <w:tab/>
        <w:t>Efforts to Identify Duplication and Use of Similar Information</w:t>
      </w:r>
      <w:r w:rsidR="003C1013" w:rsidRPr="004D383C">
        <w:rPr>
          <w:smallCaps w:val="0"/>
          <w:noProof/>
        </w:rPr>
        <w:tab/>
      </w:r>
      <w:r w:rsidR="00B1541A">
        <w:rPr>
          <w:smallCaps w:val="0"/>
          <w:noProof/>
        </w:rPr>
        <w:t>6</w:t>
      </w:r>
    </w:p>
    <w:p w14:paraId="5B3F3FD9" w14:textId="598C156B"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5</w:t>
      </w:r>
      <w:r w:rsidR="003C1013" w:rsidRPr="004D383C">
        <w:rPr>
          <w:smallCaps w:val="0"/>
          <w:noProof/>
        </w:rPr>
        <w:tab/>
        <w:t>Impact on Small Businesses or Other Small Entities</w:t>
      </w:r>
      <w:r w:rsidR="003C1013" w:rsidRPr="004D383C">
        <w:rPr>
          <w:smallCaps w:val="0"/>
          <w:noProof/>
        </w:rPr>
        <w:tab/>
      </w:r>
      <w:r w:rsidR="00B1541A">
        <w:rPr>
          <w:smallCaps w:val="0"/>
          <w:noProof/>
        </w:rPr>
        <w:t>9</w:t>
      </w:r>
    </w:p>
    <w:p w14:paraId="24815D3F" w14:textId="3F98C794"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6</w:t>
      </w:r>
      <w:r w:rsidR="003C1013" w:rsidRPr="004D383C">
        <w:rPr>
          <w:smallCaps w:val="0"/>
          <w:noProof/>
        </w:rPr>
        <w:tab/>
        <w:t>Consequences of Collecting the Information Less Frequently</w:t>
      </w:r>
      <w:r w:rsidR="003C1013" w:rsidRPr="004D383C">
        <w:rPr>
          <w:smallCaps w:val="0"/>
          <w:noProof/>
        </w:rPr>
        <w:tab/>
      </w:r>
      <w:r w:rsidR="006263D2" w:rsidRPr="004D383C">
        <w:rPr>
          <w:smallCaps w:val="0"/>
          <w:noProof/>
        </w:rPr>
        <w:t>9</w:t>
      </w:r>
    </w:p>
    <w:p w14:paraId="11E30591" w14:textId="5AA7A56D"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7</w:t>
      </w:r>
      <w:r w:rsidR="003C1013" w:rsidRPr="004D383C">
        <w:rPr>
          <w:smallCaps w:val="0"/>
          <w:noProof/>
        </w:rPr>
        <w:tab/>
        <w:t>Special Circumstances Relating to the Guidelines of 5 CFR 1320.5</w:t>
      </w:r>
      <w:r w:rsidR="003C1013" w:rsidRPr="004D383C">
        <w:rPr>
          <w:smallCaps w:val="0"/>
          <w:noProof/>
        </w:rPr>
        <w:tab/>
      </w:r>
      <w:r w:rsidR="006263D2" w:rsidRPr="004D383C">
        <w:rPr>
          <w:smallCaps w:val="0"/>
          <w:noProof/>
        </w:rPr>
        <w:t>9</w:t>
      </w:r>
    </w:p>
    <w:p w14:paraId="4D5950AF" w14:textId="5773B6BD"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8</w:t>
      </w:r>
      <w:r w:rsidR="003C1013" w:rsidRPr="004D383C">
        <w:rPr>
          <w:smallCaps w:val="0"/>
          <w:noProof/>
        </w:rPr>
        <w:tab/>
        <w:t>Comments in Response to the Federal Register Notice and Efforts to Consult Outside Agency</w:t>
      </w:r>
      <w:r w:rsidR="003C1013" w:rsidRPr="004D383C">
        <w:rPr>
          <w:smallCaps w:val="0"/>
          <w:noProof/>
        </w:rPr>
        <w:tab/>
      </w:r>
      <w:r w:rsidR="0038255C" w:rsidRPr="004D383C">
        <w:rPr>
          <w:smallCaps w:val="0"/>
          <w:noProof/>
        </w:rPr>
        <w:t>9</w:t>
      </w:r>
    </w:p>
    <w:p w14:paraId="76792E93" w14:textId="2367D206"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9</w:t>
      </w:r>
      <w:r w:rsidR="003C1013" w:rsidRPr="004D383C">
        <w:rPr>
          <w:smallCaps w:val="0"/>
          <w:noProof/>
        </w:rPr>
        <w:tab/>
        <w:t>Explanation of Any Payment or Gift to Respondents</w:t>
      </w:r>
      <w:r w:rsidR="003C1013" w:rsidRPr="004D383C">
        <w:rPr>
          <w:smallCaps w:val="0"/>
          <w:noProof/>
        </w:rPr>
        <w:tab/>
      </w:r>
      <w:r w:rsidR="00B1541A">
        <w:rPr>
          <w:smallCaps w:val="0"/>
          <w:noProof/>
        </w:rPr>
        <w:t>10</w:t>
      </w:r>
    </w:p>
    <w:p w14:paraId="21FCB7EA" w14:textId="183D08F6"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10</w:t>
      </w:r>
      <w:r w:rsidR="003C1013" w:rsidRPr="004D383C">
        <w:rPr>
          <w:smallCaps w:val="0"/>
          <w:noProof/>
        </w:rPr>
        <w:tab/>
        <w:t>Assurance of Confidentiality Provided to Respondents</w:t>
      </w:r>
      <w:r w:rsidR="003C1013" w:rsidRPr="004D383C">
        <w:rPr>
          <w:smallCaps w:val="0"/>
          <w:noProof/>
        </w:rPr>
        <w:tab/>
      </w:r>
      <w:r w:rsidR="00B1541A">
        <w:rPr>
          <w:smallCaps w:val="0"/>
          <w:noProof/>
        </w:rPr>
        <w:t>10</w:t>
      </w:r>
    </w:p>
    <w:p w14:paraId="77283EE2" w14:textId="2EF9D887" w:rsidR="003C1013" w:rsidRPr="004D383C" w:rsidRDefault="009F6F30" w:rsidP="003C1013">
      <w:pPr>
        <w:pStyle w:val="TOC2"/>
        <w:spacing w:before="0" w:after="0" w:line="480" w:lineRule="auto"/>
        <w:rPr>
          <w:smallCaps w:val="0"/>
          <w:noProof/>
        </w:rPr>
      </w:pPr>
      <w:r w:rsidRPr="004D383C">
        <w:rPr>
          <w:smallCaps w:val="0"/>
          <w:noProof/>
        </w:rPr>
        <w:t>A.</w:t>
      </w:r>
      <w:r w:rsidR="003C1013" w:rsidRPr="004D383C">
        <w:rPr>
          <w:smallCaps w:val="0"/>
          <w:noProof/>
        </w:rPr>
        <w:t>11</w:t>
      </w:r>
      <w:r w:rsidR="003C1013" w:rsidRPr="004D383C">
        <w:rPr>
          <w:smallCaps w:val="0"/>
          <w:noProof/>
        </w:rPr>
        <w:tab/>
        <w:t>Justification for Sensitive Questions</w:t>
      </w:r>
      <w:r w:rsidR="003C1013" w:rsidRPr="004D383C">
        <w:rPr>
          <w:smallCaps w:val="0"/>
          <w:noProof/>
        </w:rPr>
        <w:tab/>
      </w:r>
      <w:r w:rsidR="00B1541A">
        <w:rPr>
          <w:smallCaps w:val="0"/>
          <w:noProof/>
        </w:rPr>
        <w:t>12</w:t>
      </w:r>
    </w:p>
    <w:p w14:paraId="5E014AC0" w14:textId="53236994"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12</w:t>
      </w:r>
      <w:r w:rsidR="003C1013" w:rsidRPr="004D383C">
        <w:rPr>
          <w:smallCaps w:val="0"/>
          <w:noProof/>
        </w:rPr>
        <w:tab/>
        <w:t xml:space="preserve">Estimates of </w:t>
      </w:r>
      <w:r w:rsidR="009F6F30" w:rsidRPr="004D383C">
        <w:rPr>
          <w:smallCaps w:val="0"/>
          <w:noProof/>
        </w:rPr>
        <w:t xml:space="preserve">Hour Burden Including </w:t>
      </w:r>
      <w:r w:rsidR="003C1013" w:rsidRPr="004D383C">
        <w:rPr>
          <w:smallCaps w:val="0"/>
          <w:noProof/>
        </w:rPr>
        <w:t xml:space="preserve">Annualized </w:t>
      </w:r>
      <w:r w:rsidRPr="004D383C">
        <w:rPr>
          <w:smallCaps w:val="0"/>
          <w:noProof/>
        </w:rPr>
        <w:t>Hourly</w:t>
      </w:r>
      <w:r w:rsidR="003C1013" w:rsidRPr="004D383C">
        <w:rPr>
          <w:smallCaps w:val="0"/>
          <w:noProof/>
        </w:rPr>
        <w:t xml:space="preserve"> Costs</w:t>
      </w:r>
      <w:r w:rsidR="003C1013" w:rsidRPr="004D383C">
        <w:rPr>
          <w:smallCaps w:val="0"/>
          <w:noProof/>
        </w:rPr>
        <w:tab/>
      </w:r>
      <w:r w:rsidR="00B1541A">
        <w:rPr>
          <w:smallCaps w:val="0"/>
          <w:noProof/>
        </w:rPr>
        <w:t>13</w:t>
      </w:r>
    </w:p>
    <w:p w14:paraId="729DA241" w14:textId="06AF6EDF"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13</w:t>
      </w:r>
      <w:r w:rsidR="003C1013" w:rsidRPr="004D383C">
        <w:rPr>
          <w:smallCaps w:val="0"/>
          <w:noProof/>
        </w:rPr>
        <w:tab/>
        <w:t>Estimate of Other Total Annual Cost Burden to Respondents</w:t>
      </w:r>
      <w:r w:rsidRPr="004D383C">
        <w:rPr>
          <w:smallCaps w:val="0"/>
          <w:noProof/>
        </w:rPr>
        <w:t xml:space="preserve"> or Record Keepers</w:t>
      </w:r>
      <w:r w:rsidR="003C1013" w:rsidRPr="004D383C">
        <w:rPr>
          <w:smallCaps w:val="0"/>
          <w:noProof/>
        </w:rPr>
        <w:tab/>
      </w:r>
      <w:r w:rsidR="00B1541A">
        <w:rPr>
          <w:smallCaps w:val="0"/>
          <w:noProof/>
        </w:rPr>
        <w:t>15</w:t>
      </w:r>
    </w:p>
    <w:p w14:paraId="24669725" w14:textId="2A2DC6BD"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14</w:t>
      </w:r>
      <w:r w:rsidR="003C1013" w:rsidRPr="004D383C">
        <w:rPr>
          <w:smallCaps w:val="0"/>
          <w:noProof/>
        </w:rPr>
        <w:tab/>
        <w:t>Annualized Cost to the Federal Government</w:t>
      </w:r>
      <w:r w:rsidR="003C1013" w:rsidRPr="004D383C">
        <w:rPr>
          <w:smallCaps w:val="0"/>
          <w:noProof/>
        </w:rPr>
        <w:tab/>
      </w:r>
      <w:r w:rsidR="00A03BE3" w:rsidRPr="004D383C">
        <w:rPr>
          <w:smallCaps w:val="0"/>
          <w:noProof/>
        </w:rPr>
        <w:t>1</w:t>
      </w:r>
      <w:r w:rsidR="00B1541A">
        <w:rPr>
          <w:smallCaps w:val="0"/>
          <w:noProof/>
        </w:rPr>
        <w:t>5</w:t>
      </w:r>
    </w:p>
    <w:p w14:paraId="0EC11FEA" w14:textId="00D3A146"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15</w:t>
      </w:r>
      <w:r w:rsidR="003C1013" w:rsidRPr="004D383C">
        <w:rPr>
          <w:smallCaps w:val="0"/>
          <w:noProof/>
        </w:rPr>
        <w:tab/>
        <w:t>Explanation for Program Changes or Adjustments</w:t>
      </w:r>
      <w:r w:rsidR="003C1013" w:rsidRPr="004D383C">
        <w:rPr>
          <w:smallCaps w:val="0"/>
          <w:noProof/>
        </w:rPr>
        <w:tab/>
      </w:r>
      <w:r w:rsidR="00B1541A">
        <w:rPr>
          <w:smallCaps w:val="0"/>
          <w:noProof/>
        </w:rPr>
        <w:t>17</w:t>
      </w:r>
    </w:p>
    <w:p w14:paraId="21F213B3" w14:textId="64DCA4CF"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16</w:t>
      </w:r>
      <w:r w:rsidR="003C1013" w:rsidRPr="004D383C">
        <w:rPr>
          <w:smallCaps w:val="0"/>
          <w:noProof/>
        </w:rPr>
        <w:tab/>
        <w:t>Plans for Tabulation and Publication and Project Time Schedule</w:t>
      </w:r>
      <w:r w:rsidR="003C1013" w:rsidRPr="004D383C">
        <w:rPr>
          <w:smallCaps w:val="0"/>
          <w:noProof/>
        </w:rPr>
        <w:tab/>
      </w:r>
      <w:r w:rsidR="00A03BE3" w:rsidRPr="004D383C">
        <w:rPr>
          <w:smallCaps w:val="0"/>
          <w:noProof/>
        </w:rPr>
        <w:t>1</w:t>
      </w:r>
      <w:r w:rsidR="00B1541A">
        <w:rPr>
          <w:smallCaps w:val="0"/>
          <w:noProof/>
        </w:rPr>
        <w:t>7</w:t>
      </w:r>
    </w:p>
    <w:p w14:paraId="5EEA7CA3" w14:textId="71F2BB13"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17</w:t>
      </w:r>
      <w:r w:rsidR="003C1013" w:rsidRPr="004D383C">
        <w:rPr>
          <w:smallCaps w:val="0"/>
          <w:noProof/>
        </w:rPr>
        <w:tab/>
        <w:t>Reason(s) Display of OMB Expiration Date is Inappropriate</w:t>
      </w:r>
      <w:r w:rsidR="003C1013" w:rsidRPr="004D383C">
        <w:rPr>
          <w:smallCaps w:val="0"/>
          <w:noProof/>
        </w:rPr>
        <w:tab/>
      </w:r>
      <w:r w:rsidR="00A03BE3" w:rsidRPr="004D383C">
        <w:rPr>
          <w:smallCaps w:val="0"/>
          <w:noProof/>
        </w:rPr>
        <w:t>1</w:t>
      </w:r>
      <w:r w:rsidR="00B1541A">
        <w:rPr>
          <w:smallCaps w:val="0"/>
          <w:noProof/>
        </w:rPr>
        <w:t>8</w:t>
      </w:r>
    </w:p>
    <w:p w14:paraId="64BC6569" w14:textId="790318B1" w:rsidR="003C1013" w:rsidRPr="004D383C" w:rsidRDefault="006D13C4" w:rsidP="003C1013">
      <w:pPr>
        <w:pStyle w:val="TOC2"/>
        <w:spacing w:before="0" w:after="0" w:line="480" w:lineRule="auto"/>
        <w:rPr>
          <w:smallCaps w:val="0"/>
          <w:noProof/>
        </w:rPr>
      </w:pPr>
      <w:r w:rsidRPr="004D383C">
        <w:rPr>
          <w:smallCaps w:val="0"/>
          <w:noProof/>
        </w:rPr>
        <w:t>A.</w:t>
      </w:r>
      <w:r w:rsidR="003C1013" w:rsidRPr="004D383C">
        <w:rPr>
          <w:smallCaps w:val="0"/>
          <w:noProof/>
        </w:rPr>
        <w:t>18</w:t>
      </w:r>
      <w:r w:rsidR="003C1013" w:rsidRPr="004D383C">
        <w:rPr>
          <w:smallCaps w:val="0"/>
          <w:noProof/>
        </w:rPr>
        <w:tab/>
        <w:t>Exceptions to Certification for Paperwork Reduction Act Submissions</w:t>
      </w:r>
      <w:r w:rsidR="003C1013" w:rsidRPr="004D383C">
        <w:rPr>
          <w:smallCaps w:val="0"/>
          <w:noProof/>
        </w:rPr>
        <w:tab/>
      </w:r>
      <w:r w:rsidR="00A03BE3" w:rsidRPr="004D383C">
        <w:rPr>
          <w:smallCaps w:val="0"/>
          <w:noProof/>
        </w:rPr>
        <w:t>1</w:t>
      </w:r>
      <w:r w:rsidR="00B1541A">
        <w:rPr>
          <w:smallCaps w:val="0"/>
          <w:noProof/>
        </w:rPr>
        <w:t>8</w:t>
      </w:r>
    </w:p>
    <w:p w14:paraId="2A8B5213" w14:textId="77777777" w:rsidR="00162740" w:rsidRPr="004D383C" w:rsidRDefault="003C1013" w:rsidP="006D13C4">
      <w:pPr>
        <w:tabs>
          <w:tab w:val="left" w:pos="720"/>
        </w:tabs>
        <w:spacing w:line="480" w:lineRule="auto"/>
      </w:pPr>
      <w:r w:rsidRPr="004D383C">
        <w:fldChar w:fldCharType="end"/>
      </w:r>
    </w:p>
    <w:p w14:paraId="7D59C186" w14:textId="77777777" w:rsidR="0061770D" w:rsidRPr="004D383C" w:rsidRDefault="0061770D">
      <w:pPr>
        <w:rPr>
          <w:b/>
        </w:rPr>
      </w:pPr>
      <w:r w:rsidRPr="004D383C">
        <w:rPr>
          <w:b/>
        </w:rPr>
        <w:br w:type="page"/>
      </w:r>
    </w:p>
    <w:p w14:paraId="342CDC88" w14:textId="539B069E" w:rsidR="00554D5E" w:rsidRPr="004D383C" w:rsidRDefault="00DB2F6D">
      <w:pPr>
        <w:jc w:val="center"/>
        <w:rPr>
          <w:b/>
        </w:rPr>
      </w:pPr>
      <w:r w:rsidRPr="004D383C">
        <w:rPr>
          <w:b/>
        </w:rPr>
        <w:lastRenderedPageBreak/>
        <w:t>ATTACHMENTS</w:t>
      </w:r>
    </w:p>
    <w:p w14:paraId="3815290B" w14:textId="77777777" w:rsidR="00DB2F6D" w:rsidRPr="004D383C" w:rsidRDefault="00DB2F6D" w:rsidP="00DB2F6D"/>
    <w:p w14:paraId="4DD52BEC" w14:textId="5CA36771" w:rsidR="0061770D" w:rsidRPr="004D383C" w:rsidRDefault="0061770D" w:rsidP="0061770D">
      <w:pPr>
        <w:tabs>
          <w:tab w:val="left" w:pos="450"/>
          <w:tab w:val="left" w:pos="1620"/>
          <w:tab w:val="left" w:pos="1710"/>
        </w:tabs>
        <w:ind w:left="360" w:hanging="360"/>
        <w:rPr>
          <w:lang w:val="fr-FR"/>
        </w:rPr>
      </w:pPr>
      <w:r w:rsidRPr="004D383C">
        <w:t>1.</w:t>
      </w:r>
      <w:r w:rsidRPr="004D383C">
        <w:tab/>
      </w:r>
      <w:r w:rsidRPr="004D383C">
        <w:rPr>
          <w:b/>
          <w:i/>
        </w:rPr>
        <w:t>U.S. Nuclear Medicine Technologists Study</w:t>
      </w:r>
      <w:r w:rsidRPr="004D383C">
        <w:rPr>
          <w:b/>
        </w:rPr>
        <w:t xml:space="preserve"> Nuclear Medicine Procedures Questionnaire</w:t>
      </w:r>
      <w:r w:rsidRPr="004D383C">
        <w:rPr>
          <w:b/>
          <w:lang w:val="fr-FR"/>
        </w:rPr>
        <w:t xml:space="preserve"> </w:t>
      </w:r>
      <w:r w:rsidRPr="004D383C">
        <w:rPr>
          <w:lang w:val="fr-FR"/>
        </w:rPr>
        <w:t xml:space="preserve"> </w:t>
      </w:r>
    </w:p>
    <w:p w14:paraId="0602D7DA" w14:textId="77777777" w:rsidR="0061770D" w:rsidRPr="004D383C" w:rsidRDefault="0061770D" w:rsidP="0061770D">
      <w:pPr>
        <w:tabs>
          <w:tab w:val="left" w:pos="450"/>
        </w:tabs>
        <w:ind w:left="360" w:hanging="360"/>
        <w:rPr>
          <w:lang w:val="fr-FR"/>
        </w:rPr>
      </w:pPr>
      <w:r w:rsidRPr="004D383C">
        <w:rPr>
          <w:lang w:val="fr-FR"/>
        </w:rPr>
        <w:tab/>
      </w:r>
    </w:p>
    <w:p w14:paraId="361F74E0" w14:textId="77777777" w:rsidR="0061770D" w:rsidRPr="004D383C" w:rsidRDefault="0061770D" w:rsidP="0061770D">
      <w:pPr>
        <w:tabs>
          <w:tab w:val="left" w:pos="450"/>
          <w:tab w:val="left" w:pos="1620"/>
          <w:tab w:val="left" w:pos="1710"/>
          <w:tab w:val="left" w:pos="2070"/>
          <w:tab w:val="left" w:pos="2160"/>
          <w:tab w:val="left" w:pos="2250"/>
        </w:tabs>
        <w:ind w:left="360" w:hanging="360"/>
        <w:rPr>
          <w:lang w:val="fr-FR"/>
        </w:rPr>
      </w:pPr>
      <w:r w:rsidRPr="004D383C">
        <w:rPr>
          <w:lang w:val="fr-FR"/>
        </w:rPr>
        <w:t>2.</w:t>
      </w:r>
      <w:r w:rsidRPr="004D383C">
        <w:rPr>
          <w:lang w:val="fr-FR"/>
        </w:rPr>
        <w:tab/>
      </w:r>
      <w:r w:rsidRPr="004D383C">
        <w:rPr>
          <w:b/>
          <w:lang w:val="fr-FR"/>
        </w:rPr>
        <w:t>Revisions and Additions to Previously-Approved Questions</w:t>
      </w:r>
    </w:p>
    <w:p w14:paraId="6FD3956E" w14:textId="77777777" w:rsidR="0061770D" w:rsidRPr="004D383C" w:rsidRDefault="0061770D" w:rsidP="0061770D">
      <w:pPr>
        <w:tabs>
          <w:tab w:val="left" w:pos="450"/>
          <w:tab w:val="left" w:pos="1620"/>
          <w:tab w:val="left" w:pos="1710"/>
          <w:tab w:val="left" w:pos="2070"/>
          <w:tab w:val="left" w:pos="2160"/>
          <w:tab w:val="left" w:pos="2250"/>
        </w:tabs>
        <w:ind w:left="360" w:hanging="360"/>
        <w:rPr>
          <w:lang w:val="fr-FR"/>
        </w:rPr>
      </w:pPr>
    </w:p>
    <w:p w14:paraId="231897EC" w14:textId="77777777" w:rsidR="0061770D" w:rsidRPr="004D383C" w:rsidRDefault="0061770D" w:rsidP="0061770D">
      <w:pPr>
        <w:tabs>
          <w:tab w:val="left" w:pos="450"/>
          <w:tab w:val="left" w:pos="1620"/>
          <w:tab w:val="left" w:pos="1710"/>
          <w:tab w:val="left" w:pos="2070"/>
          <w:tab w:val="left" w:pos="2160"/>
        </w:tabs>
        <w:ind w:left="360" w:hanging="360"/>
      </w:pPr>
      <w:r w:rsidRPr="004D383C">
        <w:t xml:space="preserve">3. </w:t>
      </w:r>
      <w:r w:rsidRPr="004D383C">
        <w:tab/>
      </w:r>
      <w:r w:rsidRPr="004D383C">
        <w:rPr>
          <w:b/>
        </w:rPr>
        <w:t>Contact Documents</w:t>
      </w:r>
    </w:p>
    <w:p w14:paraId="0188EF10" w14:textId="77777777" w:rsidR="0061770D" w:rsidRPr="004D383C" w:rsidRDefault="0061770D" w:rsidP="0061770D">
      <w:pPr>
        <w:tabs>
          <w:tab w:val="left" w:pos="450"/>
          <w:tab w:val="left" w:pos="720"/>
          <w:tab w:val="left" w:pos="1710"/>
          <w:tab w:val="left" w:pos="1980"/>
          <w:tab w:val="left" w:pos="2160"/>
        </w:tabs>
        <w:ind w:left="360" w:hanging="360"/>
      </w:pPr>
      <w:r w:rsidRPr="004D383C">
        <w:tab/>
        <w:t>A.</w:t>
      </w:r>
      <w:r w:rsidRPr="004D383C">
        <w:tab/>
      </w:r>
      <w:r w:rsidRPr="004D383C">
        <w:rPr>
          <w:b/>
        </w:rPr>
        <w:t>Recruitment Email</w:t>
      </w:r>
    </w:p>
    <w:p w14:paraId="7D47E05F" w14:textId="77777777" w:rsidR="0061770D" w:rsidRPr="004D383C" w:rsidRDefault="0061770D" w:rsidP="0061770D">
      <w:pPr>
        <w:tabs>
          <w:tab w:val="left" w:pos="450"/>
          <w:tab w:val="left" w:pos="720"/>
          <w:tab w:val="left" w:pos="1710"/>
          <w:tab w:val="left" w:pos="1980"/>
          <w:tab w:val="left" w:pos="2160"/>
        </w:tabs>
        <w:ind w:left="360" w:hanging="360"/>
      </w:pPr>
      <w:r w:rsidRPr="004D383C">
        <w:tab/>
        <w:t>B.</w:t>
      </w:r>
      <w:r w:rsidRPr="004D383C">
        <w:tab/>
      </w:r>
      <w:r w:rsidRPr="004D383C">
        <w:rPr>
          <w:b/>
        </w:rPr>
        <w:t>Follow-up Email</w:t>
      </w:r>
    </w:p>
    <w:p w14:paraId="4977991E" w14:textId="77777777" w:rsidR="0061770D" w:rsidRPr="004D383C" w:rsidRDefault="0061770D" w:rsidP="0061770D">
      <w:pPr>
        <w:tabs>
          <w:tab w:val="left" w:pos="450"/>
          <w:tab w:val="left" w:pos="720"/>
          <w:tab w:val="left" w:pos="1710"/>
          <w:tab w:val="left" w:pos="2070"/>
          <w:tab w:val="left" w:pos="2160"/>
        </w:tabs>
        <w:ind w:left="360" w:hanging="360"/>
        <w:rPr>
          <w:lang w:val="fr-FR"/>
        </w:rPr>
      </w:pPr>
      <w:r w:rsidRPr="004D383C">
        <w:tab/>
      </w:r>
    </w:p>
    <w:p w14:paraId="0C39FBD4" w14:textId="77777777" w:rsidR="0061770D" w:rsidRPr="004D383C" w:rsidRDefault="0061770D" w:rsidP="0061770D">
      <w:pPr>
        <w:tabs>
          <w:tab w:val="left" w:pos="450"/>
          <w:tab w:val="left" w:pos="720"/>
          <w:tab w:val="left" w:pos="1710"/>
          <w:tab w:val="left" w:pos="2070"/>
          <w:tab w:val="left" w:pos="2160"/>
          <w:tab w:val="left" w:pos="2250"/>
        </w:tabs>
        <w:ind w:left="360" w:hanging="360"/>
        <w:rPr>
          <w:b/>
        </w:rPr>
      </w:pPr>
      <w:r w:rsidRPr="004D383C">
        <w:t>4.</w:t>
      </w:r>
      <w:r w:rsidRPr="004D383C">
        <w:tab/>
      </w:r>
      <w:r w:rsidRPr="004D383C">
        <w:rPr>
          <w:b/>
        </w:rPr>
        <w:t xml:space="preserve">Consent Information Sheet </w:t>
      </w:r>
    </w:p>
    <w:p w14:paraId="277EA505" w14:textId="77777777" w:rsidR="0061770D" w:rsidRPr="004D383C" w:rsidRDefault="0061770D" w:rsidP="0061770D">
      <w:pPr>
        <w:tabs>
          <w:tab w:val="left" w:pos="450"/>
          <w:tab w:val="left" w:pos="720"/>
          <w:tab w:val="left" w:pos="1710"/>
          <w:tab w:val="left" w:pos="2070"/>
          <w:tab w:val="left" w:pos="2160"/>
          <w:tab w:val="left" w:pos="2250"/>
        </w:tabs>
        <w:ind w:left="360" w:hanging="360"/>
      </w:pPr>
      <w:r w:rsidRPr="004D383C">
        <w:tab/>
      </w:r>
    </w:p>
    <w:p w14:paraId="408D82B7" w14:textId="77777777" w:rsidR="0061770D" w:rsidRPr="004D383C" w:rsidRDefault="0061770D" w:rsidP="0061770D">
      <w:pPr>
        <w:tabs>
          <w:tab w:val="left" w:pos="450"/>
          <w:tab w:val="left" w:pos="720"/>
          <w:tab w:val="left" w:pos="1710"/>
          <w:tab w:val="left" w:pos="2070"/>
          <w:tab w:val="left" w:pos="2160"/>
          <w:tab w:val="left" w:pos="2610"/>
        </w:tabs>
        <w:ind w:left="360" w:hanging="360"/>
        <w:rPr>
          <w:b/>
        </w:rPr>
      </w:pPr>
      <w:r w:rsidRPr="004D383C">
        <w:t>5.</w:t>
      </w:r>
      <w:r w:rsidRPr="004D383C">
        <w:tab/>
      </w:r>
      <w:r w:rsidRPr="004D383C">
        <w:rPr>
          <w:b/>
        </w:rPr>
        <w:t xml:space="preserve">Institution Review Board Approvals </w:t>
      </w:r>
    </w:p>
    <w:p w14:paraId="0FDC6E6A" w14:textId="77777777" w:rsidR="0061770D" w:rsidRPr="004D383C" w:rsidRDefault="0061770D" w:rsidP="0061770D">
      <w:pPr>
        <w:tabs>
          <w:tab w:val="left" w:pos="450"/>
          <w:tab w:val="left" w:pos="720"/>
          <w:tab w:val="left" w:pos="1710"/>
          <w:tab w:val="left" w:pos="2070"/>
          <w:tab w:val="left" w:pos="2160"/>
          <w:tab w:val="left" w:pos="2610"/>
        </w:tabs>
        <w:ind w:left="360" w:hanging="360"/>
      </w:pPr>
      <w:r w:rsidRPr="004D383C">
        <w:tab/>
        <w:t>A.</w:t>
      </w:r>
      <w:r w:rsidRPr="004D383C">
        <w:tab/>
      </w:r>
      <w:r w:rsidRPr="004D383C">
        <w:rPr>
          <w:b/>
        </w:rPr>
        <w:t>National Cancer Institute</w:t>
      </w:r>
    </w:p>
    <w:p w14:paraId="16849A5F" w14:textId="77777777" w:rsidR="0061770D" w:rsidRPr="004D383C" w:rsidRDefault="0061770D" w:rsidP="0061770D">
      <w:pPr>
        <w:tabs>
          <w:tab w:val="left" w:pos="450"/>
          <w:tab w:val="left" w:pos="720"/>
          <w:tab w:val="left" w:pos="1710"/>
          <w:tab w:val="left" w:pos="2070"/>
          <w:tab w:val="left" w:pos="2160"/>
          <w:tab w:val="left" w:pos="2610"/>
        </w:tabs>
        <w:ind w:left="360" w:hanging="360"/>
        <w:rPr>
          <w:b/>
        </w:rPr>
      </w:pPr>
      <w:r w:rsidRPr="004D383C">
        <w:tab/>
        <w:t xml:space="preserve">B.  </w:t>
      </w:r>
      <w:r w:rsidRPr="004D383C">
        <w:rPr>
          <w:b/>
        </w:rPr>
        <w:t>University of Minnesota</w:t>
      </w:r>
    </w:p>
    <w:p w14:paraId="7822FB63" w14:textId="77777777" w:rsidR="0061770D" w:rsidRPr="004D383C" w:rsidRDefault="0061770D" w:rsidP="0061770D">
      <w:pPr>
        <w:tabs>
          <w:tab w:val="left" w:pos="450"/>
          <w:tab w:val="left" w:pos="1620"/>
          <w:tab w:val="left" w:pos="1710"/>
          <w:tab w:val="left" w:pos="2070"/>
          <w:tab w:val="left" w:pos="2160"/>
          <w:tab w:val="left" w:pos="2610"/>
        </w:tabs>
        <w:ind w:left="360" w:hanging="360"/>
      </w:pPr>
    </w:p>
    <w:p w14:paraId="7112ECBD" w14:textId="77777777" w:rsidR="0061770D" w:rsidRPr="004D383C" w:rsidRDefault="0061770D" w:rsidP="0061770D">
      <w:pPr>
        <w:tabs>
          <w:tab w:val="left" w:pos="450"/>
          <w:tab w:val="left" w:pos="1620"/>
          <w:tab w:val="left" w:pos="1710"/>
          <w:tab w:val="left" w:pos="2160"/>
          <w:tab w:val="left" w:pos="2250"/>
        </w:tabs>
        <w:ind w:left="360" w:hanging="360"/>
      </w:pPr>
      <w:r w:rsidRPr="004D383C">
        <w:t>6.</w:t>
      </w:r>
      <w:r w:rsidRPr="004D383C">
        <w:tab/>
      </w:r>
      <w:r w:rsidRPr="004D383C">
        <w:rPr>
          <w:b/>
        </w:rPr>
        <w:t>Privacy Act Memo</w:t>
      </w:r>
    </w:p>
    <w:p w14:paraId="7E10FE86" w14:textId="77777777" w:rsidR="0061770D" w:rsidRPr="004D383C" w:rsidRDefault="0061770D" w:rsidP="0061770D">
      <w:pPr>
        <w:tabs>
          <w:tab w:val="left" w:pos="450"/>
          <w:tab w:val="left" w:pos="1620"/>
          <w:tab w:val="left" w:pos="1710"/>
          <w:tab w:val="left" w:pos="2250"/>
        </w:tabs>
        <w:ind w:left="360" w:hanging="360"/>
      </w:pPr>
    </w:p>
    <w:p w14:paraId="6D016239" w14:textId="77777777" w:rsidR="0061770D" w:rsidRPr="004D383C" w:rsidRDefault="0061770D" w:rsidP="0061770D">
      <w:pPr>
        <w:tabs>
          <w:tab w:val="left" w:pos="450"/>
          <w:tab w:val="left" w:pos="1620"/>
          <w:tab w:val="left" w:pos="1710"/>
          <w:tab w:val="left" w:pos="2160"/>
          <w:tab w:val="left" w:pos="2250"/>
        </w:tabs>
        <w:ind w:left="360" w:hanging="360"/>
      </w:pPr>
      <w:r w:rsidRPr="004D383C">
        <w:t xml:space="preserve">7.  </w:t>
      </w:r>
      <w:r w:rsidRPr="004D383C">
        <w:tab/>
      </w:r>
      <w:r w:rsidRPr="004D383C">
        <w:rPr>
          <w:b/>
        </w:rPr>
        <w:t>Privacy Impact Assessment</w:t>
      </w:r>
    </w:p>
    <w:p w14:paraId="6922152C" w14:textId="77777777" w:rsidR="0061770D" w:rsidRPr="004D383C" w:rsidRDefault="0061770D" w:rsidP="0061770D">
      <w:pPr>
        <w:tabs>
          <w:tab w:val="left" w:pos="450"/>
          <w:tab w:val="left" w:pos="1620"/>
          <w:tab w:val="left" w:pos="1710"/>
          <w:tab w:val="left" w:pos="2160"/>
          <w:tab w:val="left" w:pos="2250"/>
        </w:tabs>
        <w:ind w:left="360" w:hanging="360"/>
        <w:rPr>
          <w:caps/>
        </w:rPr>
      </w:pPr>
    </w:p>
    <w:p w14:paraId="5B932B8C" w14:textId="77777777" w:rsidR="0061770D" w:rsidRPr="004D383C" w:rsidRDefault="0061770D" w:rsidP="0061770D">
      <w:pPr>
        <w:tabs>
          <w:tab w:val="left" w:pos="450"/>
          <w:tab w:val="left" w:pos="1620"/>
          <w:tab w:val="left" w:pos="1710"/>
          <w:tab w:val="left" w:pos="2160"/>
          <w:tab w:val="left" w:pos="2250"/>
        </w:tabs>
        <w:ind w:left="360" w:hanging="360"/>
        <w:rPr>
          <w:caps/>
        </w:rPr>
      </w:pPr>
    </w:p>
    <w:p w14:paraId="37FA8FA6" w14:textId="77777777" w:rsidR="0061770D" w:rsidRPr="004D383C" w:rsidRDefault="0061770D" w:rsidP="0061770D">
      <w:pPr>
        <w:tabs>
          <w:tab w:val="left" w:pos="0"/>
        </w:tabs>
        <w:spacing w:line="480" w:lineRule="auto"/>
        <w:ind w:left="450"/>
        <w:jc w:val="center"/>
        <w:rPr>
          <w:b/>
          <w:caps/>
        </w:rPr>
      </w:pPr>
      <w:r w:rsidRPr="004D383C">
        <w:rPr>
          <w:b/>
          <w:caps/>
        </w:rPr>
        <w:t>SupplementARY Documents</w:t>
      </w:r>
    </w:p>
    <w:p w14:paraId="22659B76" w14:textId="77777777" w:rsidR="0061770D" w:rsidRPr="004D383C" w:rsidRDefault="0061770D" w:rsidP="0061770D">
      <w:pPr>
        <w:tabs>
          <w:tab w:val="left" w:pos="540"/>
          <w:tab w:val="left" w:pos="720"/>
          <w:tab w:val="left" w:pos="1620"/>
          <w:tab w:val="left" w:pos="1710"/>
          <w:tab w:val="left" w:pos="2070"/>
          <w:tab w:val="left" w:pos="2160"/>
          <w:tab w:val="left" w:pos="2250"/>
        </w:tabs>
        <w:ind w:left="450" w:hanging="450"/>
        <w:rPr>
          <w:lang w:val="fr-FR"/>
        </w:rPr>
      </w:pPr>
      <w:r w:rsidRPr="004D383C">
        <w:rPr>
          <w:lang w:val="fr-FR"/>
        </w:rPr>
        <w:t>S1.</w:t>
      </w:r>
      <w:r w:rsidRPr="004D383C">
        <w:rPr>
          <w:lang w:val="fr-FR"/>
        </w:rPr>
        <w:tab/>
      </w:r>
      <w:r w:rsidRPr="004D383C">
        <w:rPr>
          <w:b/>
          <w:i/>
          <w:lang w:val="fr-FR"/>
        </w:rPr>
        <w:t>U.S. Radiologic Technologists Study</w:t>
      </w:r>
      <w:r w:rsidRPr="004D383C">
        <w:rPr>
          <w:lang w:val="fr-FR"/>
        </w:rPr>
        <w:t xml:space="preserve"> </w:t>
      </w:r>
      <w:r w:rsidRPr="004D383C">
        <w:rPr>
          <w:b/>
          <w:lang w:val="fr-FR"/>
        </w:rPr>
        <w:t>Radioisotope Procedures Questionnaire</w:t>
      </w:r>
      <w:r w:rsidRPr="004D383C">
        <w:rPr>
          <w:lang w:val="fr-FR"/>
        </w:rPr>
        <w:t xml:space="preserve"> (OMB No. 0925-0656)</w:t>
      </w:r>
    </w:p>
    <w:p w14:paraId="2F09D4A3" w14:textId="77777777" w:rsidR="0061770D" w:rsidRPr="004D383C" w:rsidRDefault="0061770D" w:rsidP="0061770D">
      <w:pPr>
        <w:tabs>
          <w:tab w:val="left" w:pos="540"/>
          <w:tab w:val="left" w:pos="720"/>
          <w:tab w:val="left" w:pos="1620"/>
          <w:tab w:val="left" w:pos="1710"/>
          <w:tab w:val="left" w:pos="2070"/>
          <w:tab w:val="left" w:pos="2160"/>
          <w:tab w:val="left" w:pos="2250"/>
        </w:tabs>
        <w:ind w:left="450" w:hanging="450"/>
        <w:rPr>
          <w:lang w:val="fr-FR"/>
        </w:rPr>
      </w:pPr>
    </w:p>
    <w:p w14:paraId="272F31BB" w14:textId="77777777" w:rsidR="0061770D" w:rsidRPr="004D383C" w:rsidRDefault="0061770D" w:rsidP="0061770D">
      <w:pPr>
        <w:tabs>
          <w:tab w:val="left" w:pos="540"/>
          <w:tab w:val="left" w:pos="720"/>
          <w:tab w:val="left" w:pos="1620"/>
          <w:tab w:val="left" w:pos="1710"/>
          <w:tab w:val="left" w:pos="2070"/>
          <w:tab w:val="left" w:pos="2160"/>
          <w:tab w:val="left" w:pos="2250"/>
        </w:tabs>
        <w:ind w:left="450" w:hanging="450"/>
        <w:rPr>
          <w:lang w:val="fr-FR"/>
        </w:rPr>
      </w:pPr>
      <w:r w:rsidRPr="004D383C">
        <w:rPr>
          <w:lang w:val="fr-FR"/>
        </w:rPr>
        <w:t>S2.</w:t>
      </w:r>
      <w:r w:rsidRPr="004D383C">
        <w:rPr>
          <w:lang w:val="fr-FR"/>
        </w:rPr>
        <w:tab/>
      </w:r>
      <w:r w:rsidRPr="004D383C">
        <w:rPr>
          <w:b/>
          <w:i/>
          <w:lang w:val="fr-FR"/>
        </w:rPr>
        <w:t>U.S. Radiologic Technologists Study</w:t>
      </w:r>
      <w:r w:rsidRPr="004D383C">
        <w:rPr>
          <w:lang w:val="fr-FR"/>
        </w:rPr>
        <w:t xml:space="preserve"> </w:t>
      </w:r>
      <w:r w:rsidRPr="004D383C">
        <w:rPr>
          <w:b/>
          <w:lang w:val="fr-FR"/>
        </w:rPr>
        <w:t>General Questionnaire, Work History Section</w:t>
      </w:r>
      <w:r w:rsidRPr="004D383C">
        <w:rPr>
          <w:lang w:val="fr-FR"/>
        </w:rPr>
        <w:t xml:space="preserve"> (OMB No. 0925-0656)</w:t>
      </w:r>
    </w:p>
    <w:p w14:paraId="58939578" w14:textId="77777777" w:rsidR="0061770D" w:rsidRPr="004D383C" w:rsidRDefault="0061770D" w:rsidP="0061770D">
      <w:pPr>
        <w:jc w:val="center"/>
      </w:pPr>
    </w:p>
    <w:p w14:paraId="30DA01D3" w14:textId="77777777" w:rsidR="0061770D" w:rsidRPr="004D383C" w:rsidRDefault="0061770D" w:rsidP="0061770D">
      <w:pPr>
        <w:pStyle w:val="Heading4"/>
        <w:numPr>
          <w:ilvl w:val="0"/>
          <w:numId w:val="0"/>
        </w:numPr>
        <w:sectPr w:rsidR="0061770D" w:rsidRPr="004D383C" w:rsidSect="00870D04">
          <w:headerReference w:type="default" r:id="rId10"/>
          <w:footerReference w:type="even" r:id="rId11"/>
          <w:footerReference w:type="default" r:id="rId12"/>
          <w:footerReference w:type="first" r:id="rId13"/>
          <w:pgSz w:w="12240" w:h="15840" w:code="1"/>
          <w:pgMar w:top="1296" w:right="1296" w:bottom="1296" w:left="1296" w:header="720" w:footer="720" w:gutter="0"/>
          <w:pgNumType w:fmt="lowerRoman" w:start="1"/>
          <w:cols w:space="720"/>
          <w:titlePg/>
        </w:sectPr>
      </w:pPr>
    </w:p>
    <w:p w14:paraId="12DCAD61" w14:textId="77777777" w:rsidR="003B3436" w:rsidRPr="004D383C" w:rsidRDefault="00394A3A" w:rsidP="00F20E2F">
      <w:pPr>
        <w:pStyle w:val="Heading4"/>
        <w:tabs>
          <w:tab w:val="left" w:pos="720"/>
        </w:tabs>
        <w:ind w:firstLine="0"/>
        <w:rPr>
          <w:b/>
        </w:rPr>
      </w:pPr>
      <w:r w:rsidRPr="004D383C">
        <w:rPr>
          <w:b/>
        </w:rPr>
        <w:lastRenderedPageBreak/>
        <w:t>JUSTIFICATION</w:t>
      </w:r>
    </w:p>
    <w:p w14:paraId="36F40D3F" w14:textId="77777777" w:rsidR="000B17ED" w:rsidRPr="004D383C" w:rsidRDefault="000B17ED" w:rsidP="000B17ED"/>
    <w:p w14:paraId="4BAD0DC4" w14:textId="77777777" w:rsidR="000B17ED" w:rsidRPr="004D383C" w:rsidRDefault="000B17ED" w:rsidP="000B17ED">
      <w:pPr>
        <w:tabs>
          <w:tab w:val="left" w:pos="720"/>
        </w:tabs>
        <w:spacing w:line="480" w:lineRule="auto"/>
        <w:rPr>
          <w:b/>
        </w:rPr>
      </w:pPr>
      <w:r w:rsidRPr="004D383C">
        <w:rPr>
          <w:b/>
        </w:rPr>
        <w:tab/>
        <w:t>Abstract</w:t>
      </w:r>
    </w:p>
    <w:p w14:paraId="40534880" w14:textId="40BCF7CF" w:rsidR="009D0790" w:rsidRPr="004D383C" w:rsidRDefault="00904F16" w:rsidP="000B17ED">
      <w:pPr>
        <w:pStyle w:val="NoSpacing"/>
        <w:spacing w:line="480" w:lineRule="auto"/>
        <w:ind w:firstLine="720"/>
        <w:contextualSpacing/>
        <w:rPr>
          <w:rFonts w:ascii="Times New Roman" w:hAnsi="Times New Roman"/>
          <w:sz w:val="24"/>
          <w:szCs w:val="24"/>
        </w:rPr>
      </w:pPr>
      <w:r w:rsidRPr="004D383C">
        <w:rPr>
          <w:rFonts w:ascii="Times New Roman" w:hAnsi="Times New Roman"/>
          <w:sz w:val="24"/>
          <w:szCs w:val="24"/>
        </w:rPr>
        <w:t>This is a request for a Reinstatement with Change for approval for 3 years.</w:t>
      </w:r>
      <w:r w:rsidR="009D0790" w:rsidRPr="004D383C">
        <w:rPr>
          <w:rFonts w:ascii="Times New Roman" w:hAnsi="Times New Roman"/>
          <w:sz w:val="24"/>
          <w:szCs w:val="24"/>
        </w:rPr>
        <w:t xml:space="preserve">  The reinstatement is requested to administer </w:t>
      </w:r>
      <w:r w:rsidR="005404F2" w:rsidRPr="004D383C">
        <w:rPr>
          <w:rFonts w:ascii="Times New Roman" w:hAnsi="Times New Roman"/>
          <w:sz w:val="24"/>
          <w:szCs w:val="24"/>
        </w:rPr>
        <w:t xml:space="preserve">a slightly revised version of a </w:t>
      </w:r>
      <w:r w:rsidR="009D0790" w:rsidRPr="004D383C">
        <w:rPr>
          <w:rFonts w:ascii="Times New Roman" w:hAnsi="Times New Roman"/>
          <w:sz w:val="24"/>
          <w:szCs w:val="24"/>
        </w:rPr>
        <w:t>previously</w:t>
      </w:r>
      <w:r w:rsidR="005404F2" w:rsidRPr="004D383C">
        <w:rPr>
          <w:rFonts w:ascii="Times New Roman" w:hAnsi="Times New Roman"/>
          <w:sz w:val="24"/>
          <w:szCs w:val="24"/>
        </w:rPr>
        <w:t>-</w:t>
      </w:r>
      <w:r w:rsidR="009D0790" w:rsidRPr="004D383C">
        <w:rPr>
          <w:rFonts w:ascii="Times New Roman" w:hAnsi="Times New Roman"/>
          <w:sz w:val="24"/>
          <w:szCs w:val="24"/>
        </w:rPr>
        <w:t>approved and administered</w:t>
      </w:r>
      <w:r w:rsidR="005404F2" w:rsidRPr="004D383C">
        <w:rPr>
          <w:rFonts w:ascii="Times New Roman" w:hAnsi="Times New Roman"/>
          <w:sz w:val="24"/>
          <w:szCs w:val="24"/>
        </w:rPr>
        <w:t xml:space="preserve"> questionnaire to a</w:t>
      </w:r>
      <w:r w:rsidR="005F457F" w:rsidRPr="004D383C">
        <w:rPr>
          <w:rFonts w:ascii="Times New Roman" w:hAnsi="Times New Roman"/>
          <w:sz w:val="24"/>
          <w:szCs w:val="24"/>
        </w:rPr>
        <w:t xml:space="preserve"> </w:t>
      </w:r>
      <w:r w:rsidR="005404F2" w:rsidRPr="004D383C">
        <w:rPr>
          <w:rFonts w:ascii="Times New Roman" w:hAnsi="Times New Roman"/>
          <w:sz w:val="24"/>
          <w:szCs w:val="24"/>
        </w:rPr>
        <w:t xml:space="preserve">sample of nuclear medicine technologists certified </w:t>
      </w:r>
      <w:r w:rsidR="005F457F" w:rsidRPr="004D383C">
        <w:rPr>
          <w:rFonts w:ascii="Times New Roman" w:hAnsi="Times New Roman"/>
          <w:sz w:val="24"/>
          <w:szCs w:val="24"/>
        </w:rPr>
        <w:t xml:space="preserve">after </w:t>
      </w:r>
      <w:r w:rsidR="005404F2" w:rsidRPr="004D383C">
        <w:rPr>
          <w:rFonts w:ascii="Times New Roman" w:hAnsi="Times New Roman"/>
          <w:sz w:val="24"/>
          <w:szCs w:val="24"/>
        </w:rPr>
        <w:t>1980.</w:t>
      </w:r>
      <w:r w:rsidR="005F457F" w:rsidRPr="004D383C">
        <w:rPr>
          <w:rFonts w:ascii="Times New Roman" w:hAnsi="Times New Roman"/>
          <w:sz w:val="24"/>
          <w:szCs w:val="24"/>
        </w:rPr>
        <w:t xml:space="preserve">  </w:t>
      </w:r>
      <w:r w:rsidR="00CF255C" w:rsidRPr="004D383C">
        <w:rPr>
          <w:rFonts w:ascii="Times New Roman" w:hAnsi="Times New Roman"/>
          <w:sz w:val="24"/>
          <w:szCs w:val="24"/>
        </w:rPr>
        <w:t xml:space="preserve">The </w:t>
      </w:r>
      <w:r w:rsidR="00E96A2D" w:rsidRPr="004D383C">
        <w:rPr>
          <w:rFonts w:ascii="Times New Roman" w:hAnsi="Times New Roman"/>
          <w:sz w:val="24"/>
          <w:szCs w:val="24"/>
        </w:rPr>
        <w:t xml:space="preserve">reason for </w:t>
      </w:r>
      <w:r w:rsidR="00CF255C" w:rsidRPr="004D383C">
        <w:rPr>
          <w:rFonts w:ascii="Times New Roman" w:hAnsi="Times New Roman"/>
          <w:sz w:val="24"/>
          <w:szCs w:val="24"/>
        </w:rPr>
        <w:t>the proposed collection is</w:t>
      </w:r>
      <w:r w:rsidR="00747F37" w:rsidRPr="004D383C">
        <w:rPr>
          <w:rFonts w:ascii="Times New Roman" w:hAnsi="Times New Roman"/>
          <w:sz w:val="24"/>
          <w:szCs w:val="24"/>
        </w:rPr>
        <w:t xml:space="preserve"> </w:t>
      </w:r>
      <w:r w:rsidR="009D0790" w:rsidRPr="004D383C">
        <w:rPr>
          <w:rFonts w:ascii="Times New Roman" w:hAnsi="Times New Roman"/>
          <w:sz w:val="24"/>
          <w:szCs w:val="24"/>
        </w:rPr>
        <w:t xml:space="preserve">to assess the feasibility of conducting a large-scale study of radiation-related cancers and other diseases in </w:t>
      </w:r>
      <w:r w:rsidR="005F457F" w:rsidRPr="004D383C">
        <w:rPr>
          <w:rFonts w:ascii="Times New Roman" w:hAnsi="Times New Roman"/>
          <w:sz w:val="24"/>
          <w:szCs w:val="24"/>
        </w:rPr>
        <w:t>nuclear medicine technologists</w:t>
      </w:r>
      <w:r w:rsidR="009D0790" w:rsidRPr="004D383C">
        <w:rPr>
          <w:rFonts w:ascii="Times New Roman" w:hAnsi="Times New Roman"/>
          <w:sz w:val="24"/>
          <w:szCs w:val="24"/>
        </w:rPr>
        <w:t xml:space="preserve">. </w:t>
      </w:r>
      <w:r w:rsidRPr="004D383C">
        <w:rPr>
          <w:rFonts w:ascii="Times New Roman" w:hAnsi="Times New Roman"/>
          <w:sz w:val="24"/>
          <w:szCs w:val="24"/>
        </w:rPr>
        <w:t xml:space="preserve"> </w:t>
      </w:r>
      <w:r w:rsidR="00AA5403" w:rsidRPr="004D383C">
        <w:rPr>
          <w:rFonts w:ascii="Times New Roman" w:hAnsi="Times New Roman"/>
          <w:sz w:val="24"/>
          <w:szCs w:val="24"/>
        </w:rPr>
        <w:t xml:space="preserve"> </w:t>
      </w:r>
    </w:p>
    <w:p w14:paraId="48F5F6EA" w14:textId="2FBF3E30" w:rsidR="000B17ED" w:rsidRPr="004D383C" w:rsidRDefault="0082208C" w:rsidP="000B17ED">
      <w:pPr>
        <w:pStyle w:val="NoSpacing"/>
        <w:spacing w:line="480" w:lineRule="auto"/>
        <w:ind w:firstLine="720"/>
        <w:contextualSpacing/>
        <w:rPr>
          <w:rFonts w:ascii="Times New Roman" w:hAnsi="Times New Roman"/>
          <w:sz w:val="24"/>
          <w:szCs w:val="24"/>
        </w:rPr>
      </w:pPr>
      <w:r w:rsidRPr="004D383C">
        <w:rPr>
          <w:rFonts w:ascii="Times New Roman" w:hAnsi="Times New Roman"/>
          <w:sz w:val="24"/>
          <w:szCs w:val="24"/>
        </w:rPr>
        <w:t>Since 1982, the National Cancer Institute</w:t>
      </w:r>
      <w:r w:rsidR="00CF255C" w:rsidRPr="004D383C">
        <w:rPr>
          <w:rFonts w:ascii="Times New Roman" w:hAnsi="Times New Roman"/>
          <w:sz w:val="24"/>
          <w:szCs w:val="24"/>
        </w:rPr>
        <w:t xml:space="preserve"> has followed a cohort of U.S. </w:t>
      </w:r>
      <w:r w:rsidR="0065060C" w:rsidRPr="004D383C">
        <w:rPr>
          <w:rFonts w:ascii="Times New Roman" w:hAnsi="Times New Roman"/>
          <w:sz w:val="24"/>
          <w:szCs w:val="24"/>
        </w:rPr>
        <w:t>R</w:t>
      </w:r>
      <w:r w:rsidR="00CF255C" w:rsidRPr="004D383C">
        <w:rPr>
          <w:rFonts w:ascii="Times New Roman" w:hAnsi="Times New Roman"/>
          <w:sz w:val="24"/>
          <w:szCs w:val="24"/>
        </w:rPr>
        <w:t xml:space="preserve">adiologic </w:t>
      </w:r>
      <w:r w:rsidR="0065060C" w:rsidRPr="004D383C">
        <w:rPr>
          <w:rFonts w:ascii="Times New Roman" w:hAnsi="Times New Roman"/>
          <w:sz w:val="24"/>
          <w:szCs w:val="24"/>
        </w:rPr>
        <w:t>T</w:t>
      </w:r>
      <w:r w:rsidRPr="004D383C">
        <w:rPr>
          <w:rFonts w:ascii="Times New Roman" w:hAnsi="Times New Roman"/>
          <w:sz w:val="24"/>
          <w:szCs w:val="24"/>
        </w:rPr>
        <w:t xml:space="preserve">echnologists (USRT) certified during 1926-1980 by the American Registry of Radiologic Technologists to assess radiation-related cancer and other disease risks.  </w:t>
      </w:r>
      <w:r w:rsidR="000B17ED" w:rsidRPr="004D383C">
        <w:rPr>
          <w:rFonts w:ascii="Times New Roman" w:hAnsi="Times New Roman"/>
          <w:sz w:val="24"/>
          <w:szCs w:val="24"/>
        </w:rPr>
        <w:t>The field of nuclear medicine has expanded rapidly since its inception in the mid-20</w:t>
      </w:r>
      <w:r w:rsidR="000B17ED" w:rsidRPr="004D383C">
        <w:rPr>
          <w:rFonts w:ascii="Times New Roman" w:hAnsi="Times New Roman"/>
          <w:sz w:val="24"/>
          <w:szCs w:val="24"/>
          <w:vertAlign w:val="superscript"/>
        </w:rPr>
        <w:t>th</w:t>
      </w:r>
      <w:r w:rsidR="000B17ED" w:rsidRPr="004D383C">
        <w:rPr>
          <w:rFonts w:ascii="Times New Roman" w:hAnsi="Times New Roman"/>
          <w:sz w:val="24"/>
          <w:szCs w:val="24"/>
        </w:rPr>
        <w:t xml:space="preserve"> century.  Many radiopharmaceuticals and procedures used in previous decades are now obsolete and are being replaced by new</w:t>
      </w:r>
      <w:r w:rsidR="00332952" w:rsidRPr="004D383C">
        <w:rPr>
          <w:rFonts w:ascii="Times New Roman" w:hAnsi="Times New Roman"/>
          <w:sz w:val="24"/>
          <w:szCs w:val="24"/>
        </w:rPr>
        <w:t xml:space="preserve"> </w:t>
      </w:r>
      <w:r w:rsidR="000B17ED" w:rsidRPr="004D383C">
        <w:rPr>
          <w:rFonts w:ascii="Times New Roman" w:hAnsi="Times New Roman"/>
          <w:sz w:val="24"/>
          <w:szCs w:val="24"/>
        </w:rPr>
        <w:t xml:space="preserve">radioisotopes and combined-modality and molecular imaging procedures.  </w:t>
      </w:r>
      <w:r w:rsidRPr="004D383C">
        <w:rPr>
          <w:rFonts w:ascii="Times New Roman" w:hAnsi="Times New Roman"/>
          <w:sz w:val="24"/>
          <w:szCs w:val="24"/>
        </w:rPr>
        <w:t>Since 1980, n</w:t>
      </w:r>
      <w:r w:rsidR="000B17ED" w:rsidRPr="004D383C">
        <w:rPr>
          <w:rFonts w:ascii="Times New Roman" w:hAnsi="Times New Roman"/>
          <w:sz w:val="24"/>
          <w:szCs w:val="24"/>
        </w:rPr>
        <w:t xml:space="preserve">uclear medicine technologists have become increasingly specialized and are performing </w:t>
      </w:r>
      <w:r w:rsidR="007D6889" w:rsidRPr="004D383C">
        <w:rPr>
          <w:rFonts w:ascii="Times New Roman" w:hAnsi="Times New Roman"/>
          <w:sz w:val="24"/>
          <w:szCs w:val="24"/>
        </w:rPr>
        <w:t>such procedures</w:t>
      </w:r>
      <w:r w:rsidR="000B17ED" w:rsidRPr="004D383C">
        <w:rPr>
          <w:rFonts w:ascii="Times New Roman" w:hAnsi="Times New Roman"/>
          <w:sz w:val="24"/>
          <w:szCs w:val="24"/>
        </w:rPr>
        <w:t xml:space="preserve"> with increasing frequency.  </w:t>
      </w:r>
      <w:r w:rsidR="007D6889" w:rsidRPr="004D383C">
        <w:rPr>
          <w:rFonts w:ascii="Times New Roman" w:hAnsi="Times New Roman"/>
          <w:sz w:val="24"/>
          <w:szCs w:val="24"/>
        </w:rPr>
        <w:t>L</w:t>
      </w:r>
      <w:r w:rsidR="000B17ED" w:rsidRPr="004D383C">
        <w:rPr>
          <w:rFonts w:ascii="Times New Roman" w:hAnsi="Times New Roman"/>
          <w:sz w:val="24"/>
          <w:szCs w:val="24"/>
        </w:rPr>
        <w:t xml:space="preserve">ead aprons are less effective in protecting workers </w:t>
      </w:r>
      <w:r w:rsidR="00CE595D" w:rsidRPr="004D383C">
        <w:rPr>
          <w:rFonts w:ascii="Times New Roman" w:hAnsi="Times New Roman"/>
          <w:sz w:val="24"/>
          <w:szCs w:val="24"/>
        </w:rPr>
        <w:t>from</w:t>
      </w:r>
      <w:r w:rsidR="00117E7C" w:rsidRPr="004D383C">
        <w:rPr>
          <w:rFonts w:ascii="Times New Roman" w:hAnsi="Times New Roman"/>
          <w:sz w:val="24"/>
          <w:szCs w:val="24"/>
        </w:rPr>
        <w:t xml:space="preserve"> </w:t>
      </w:r>
      <w:r w:rsidRPr="004D383C">
        <w:rPr>
          <w:rFonts w:ascii="Times New Roman" w:hAnsi="Times New Roman"/>
          <w:sz w:val="24"/>
          <w:szCs w:val="24"/>
        </w:rPr>
        <w:t xml:space="preserve">the </w:t>
      </w:r>
      <w:r w:rsidR="000B17ED" w:rsidRPr="004D383C">
        <w:rPr>
          <w:rFonts w:ascii="Times New Roman" w:hAnsi="Times New Roman"/>
          <w:sz w:val="24"/>
          <w:szCs w:val="24"/>
        </w:rPr>
        <w:t xml:space="preserve">higher-energy </w:t>
      </w:r>
      <w:r w:rsidR="00CE595D" w:rsidRPr="004D383C">
        <w:rPr>
          <w:rFonts w:ascii="Times New Roman" w:hAnsi="Times New Roman"/>
          <w:sz w:val="24"/>
          <w:szCs w:val="24"/>
        </w:rPr>
        <w:t>radioisotope</w:t>
      </w:r>
      <w:r w:rsidR="00CB708B" w:rsidRPr="004D383C">
        <w:rPr>
          <w:rFonts w:ascii="Times New Roman" w:hAnsi="Times New Roman"/>
          <w:sz w:val="24"/>
          <w:szCs w:val="24"/>
        </w:rPr>
        <w:t>s</w:t>
      </w:r>
      <w:r w:rsidR="00CE595D" w:rsidRPr="004D383C">
        <w:rPr>
          <w:rFonts w:ascii="Times New Roman" w:hAnsi="Times New Roman"/>
          <w:sz w:val="24"/>
          <w:szCs w:val="24"/>
        </w:rPr>
        <w:t xml:space="preserve"> compar</w:t>
      </w:r>
      <w:r w:rsidR="000B17ED" w:rsidRPr="004D383C">
        <w:rPr>
          <w:rFonts w:ascii="Times New Roman" w:hAnsi="Times New Roman"/>
          <w:sz w:val="24"/>
          <w:szCs w:val="24"/>
        </w:rPr>
        <w:t xml:space="preserve">ed to </w:t>
      </w:r>
      <w:r w:rsidR="00CE595D" w:rsidRPr="004D383C">
        <w:rPr>
          <w:rFonts w:ascii="Times New Roman" w:hAnsi="Times New Roman"/>
          <w:sz w:val="24"/>
          <w:szCs w:val="24"/>
        </w:rPr>
        <w:t>lower</w:t>
      </w:r>
      <w:r w:rsidRPr="004D383C">
        <w:rPr>
          <w:rFonts w:ascii="Times New Roman" w:hAnsi="Times New Roman"/>
          <w:sz w:val="24"/>
          <w:szCs w:val="24"/>
        </w:rPr>
        <w:t>-</w:t>
      </w:r>
      <w:r w:rsidR="00CE595D" w:rsidRPr="004D383C">
        <w:rPr>
          <w:rFonts w:ascii="Times New Roman" w:hAnsi="Times New Roman"/>
          <w:sz w:val="24"/>
          <w:szCs w:val="24"/>
        </w:rPr>
        <w:t>energy X-ray</w:t>
      </w:r>
      <w:r w:rsidRPr="004D383C">
        <w:rPr>
          <w:rFonts w:ascii="Times New Roman" w:hAnsi="Times New Roman"/>
          <w:sz w:val="24"/>
          <w:szCs w:val="24"/>
        </w:rPr>
        <w:t>s used in general radiologic procedure</w:t>
      </w:r>
      <w:r w:rsidR="00CE595D" w:rsidRPr="004D383C">
        <w:rPr>
          <w:rFonts w:ascii="Times New Roman" w:hAnsi="Times New Roman"/>
          <w:sz w:val="24"/>
          <w:szCs w:val="24"/>
        </w:rPr>
        <w:t>s</w:t>
      </w:r>
      <w:r w:rsidR="000B17ED" w:rsidRPr="004D383C">
        <w:rPr>
          <w:rFonts w:ascii="Times New Roman" w:hAnsi="Times New Roman"/>
          <w:sz w:val="24"/>
          <w:szCs w:val="24"/>
        </w:rPr>
        <w:t xml:space="preserve">, and are seldom </w:t>
      </w:r>
      <w:r w:rsidR="00332952" w:rsidRPr="004D383C">
        <w:rPr>
          <w:rFonts w:ascii="Times New Roman" w:hAnsi="Times New Roman"/>
          <w:sz w:val="24"/>
          <w:szCs w:val="24"/>
        </w:rPr>
        <w:t xml:space="preserve">worn </w:t>
      </w:r>
      <w:r w:rsidR="000B17ED" w:rsidRPr="004D383C">
        <w:rPr>
          <w:rFonts w:ascii="Times New Roman" w:hAnsi="Times New Roman"/>
          <w:sz w:val="24"/>
          <w:szCs w:val="24"/>
        </w:rPr>
        <w:t xml:space="preserve">by technologists </w:t>
      </w:r>
      <w:r w:rsidR="00CE595D" w:rsidRPr="004D383C">
        <w:rPr>
          <w:rFonts w:ascii="Times New Roman" w:hAnsi="Times New Roman"/>
          <w:sz w:val="24"/>
          <w:szCs w:val="24"/>
        </w:rPr>
        <w:t xml:space="preserve">when </w:t>
      </w:r>
      <w:r w:rsidR="000B17ED" w:rsidRPr="004D383C">
        <w:rPr>
          <w:rFonts w:ascii="Times New Roman" w:hAnsi="Times New Roman"/>
          <w:sz w:val="24"/>
          <w:szCs w:val="24"/>
        </w:rPr>
        <w:t>performing nuclear medicine</w:t>
      </w:r>
      <w:r w:rsidR="00CE595D" w:rsidRPr="004D383C">
        <w:rPr>
          <w:rFonts w:ascii="Times New Roman" w:hAnsi="Times New Roman"/>
          <w:sz w:val="24"/>
          <w:szCs w:val="24"/>
        </w:rPr>
        <w:t xml:space="preserve"> procedures</w:t>
      </w:r>
      <w:r w:rsidR="000B17ED" w:rsidRPr="004D383C">
        <w:rPr>
          <w:rFonts w:ascii="Times New Roman" w:hAnsi="Times New Roman"/>
          <w:sz w:val="24"/>
          <w:szCs w:val="24"/>
        </w:rPr>
        <w:t>.</w:t>
      </w:r>
      <w:r w:rsidR="0099761B" w:rsidRPr="004D383C">
        <w:rPr>
          <w:rFonts w:ascii="Times New Roman" w:hAnsi="Times New Roman"/>
          <w:sz w:val="24"/>
          <w:szCs w:val="24"/>
        </w:rPr>
        <w:t xml:space="preserve">  </w:t>
      </w:r>
      <w:r w:rsidR="00CB708B" w:rsidRPr="004D383C">
        <w:rPr>
          <w:rFonts w:ascii="Times New Roman" w:hAnsi="Times New Roman"/>
          <w:sz w:val="24"/>
          <w:szCs w:val="24"/>
        </w:rPr>
        <w:t>For these reasons, c</w:t>
      </w:r>
      <w:r w:rsidR="000B17ED" w:rsidRPr="004D383C">
        <w:rPr>
          <w:rFonts w:ascii="Times New Roman" w:hAnsi="Times New Roman"/>
          <w:sz w:val="24"/>
          <w:szCs w:val="24"/>
        </w:rPr>
        <w:t>umulative doses to nuclear medicine technologists are expected to have increased</w:t>
      </w:r>
      <w:r w:rsidR="00CE595D" w:rsidRPr="004D383C">
        <w:rPr>
          <w:rFonts w:ascii="Times New Roman" w:hAnsi="Times New Roman"/>
          <w:sz w:val="24"/>
          <w:szCs w:val="24"/>
        </w:rPr>
        <w:t xml:space="preserve"> substantially over time</w:t>
      </w:r>
      <w:r w:rsidR="00CB708B" w:rsidRPr="004D383C">
        <w:rPr>
          <w:rFonts w:ascii="Times New Roman" w:hAnsi="Times New Roman"/>
          <w:sz w:val="24"/>
          <w:szCs w:val="24"/>
        </w:rPr>
        <w:t xml:space="preserve"> and to be higher than those in general radiologic technologists</w:t>
      </w:r>
      <w:r w:rsidR="000B17ED" w:rsidRPr="004D383C">
        <w:rPr>
          <w:rFonts w:ascii="Times New Roman" w:hAnsi="Times New Roman"/>
          <w:sz w:val="24"/>
          <w:szCs w:val="24"/>
        </w:rPr>
        <w:t>.  We hypothesize that</w:t>
      </w:r>
      <w:r w:rsidR="00117E7C" w:rsidRPr="004D383C">
        <w:rPr>
          <w:rFonts w:ascii="Times New Roman" w:hAnsi="Times New Roman"/>
          <w:sz w:val="24"/>
          <w:szCs w:val="24"/>
        </w:rPr>
        <w:t xml:space="preserve"> the subgroup of radiologic technologists </w:t>
      </w:r>
      <w:r w:rsidR="000B17ED" w:rsidRPr="004D383C">
        <w:rPr>
          <w:rFonts w:ascii="Times New Roman" w:hAnsi="Times New Roman"/>
          <w:sz w:val="24"/>
          <w:szCs w:val="24"/>
        </w:rPr>
        <w:t>certified</w:t>
      </w:r>
      <w:r w:rsidR="00CE595D" w:rsidRPr="004D383C">
        <w:rPr>
          <w:rFonts w:ascii="Times New Roman" w:hAnsi="Times New Roman"/>
          <w:sz w:val="24"/>
          <w:szCs w:val="24"/>
        </w:rPr>
        <w:t xml:space="preserve"> in</w:t>
      </w:r>
      <w:r w:rsidR="000B17ED" w:rsidRPr="004D383C">
        <w:rPr>
          <w:rFonts w:ascii="Times New Roman" w:hAnsi="Times New Roman"/>
          <w:sz w:val="24"/>
          <w:szCs w:val="24"/>
        </w:rPr>
        <w:t xml:space="preserve"> nuclear medicine technolog</w:t>
      </w:r>
      <w:r w:rsidR="00117E7C" w:rsidRPr="004D383C">
        <w:rPr>
          <w:rFonts w:ascii="Times New Roman" w:hAnsi="Times New Roman"/>
          <w:sz w:val="24"/>
          <w:szCs w:val="24"/>
        </w:rPr>
        <w:t>y</w:t>
      </w:r>
      <w:r w:rsidR="00CB708B" w:rsidRPr="004D383C">
        <w:rPr>
          <w:rFonts w:ascii="Times New Roman" w:hAnsi="Times New Roman"/>
          <w:sz w:val="24"/>
          <w:szCs w:val="24"/>
        </w:rPr>
        <w:t>, especially those certified</w:t>
      </w:r>
      <w:r w:rsidR="00F61EBB" w:rsidRPr="004D383C">
        <w:rPr>
          <w:rFonts w:ascii="Times New Roman" w:hAnsi="Times New Roman"/>
          <w:sz w:val="24"/>
          <w:szCs w:val="24"/>
        </w:rPr>
        <w:t xml:space="preserve"> more recently</w:t>
      </w:r>
      <w:r w:rsidR="00CB708B" w:rsidRPr="004D383C">
        <w:rPr>
          <w:rFonts w:ascii="Times New Roman" w:hAnsi="Times New Roman"/>
          <w:sz w:val="24"/>
          <w:szCs w:val="24"/>
        </w:rPr>
        <w:t>,</w:t>
      </w:r>
      <w:r w:rsidR="000B17ED" w:rsidRPr="004D383C">
        <w:rPr>
          <w:rFonts w:ascii="Times New Roman" w:hAnsi="Times New Roman"/>
          <w:sz w:val="24"/>
          <w:szCs w:val="24"/>
        </w:rPr>
        <w:t xml:space="preserve"> </w:t>
      </w:r>
      <w:r w:rsidR="00B90458" w:rsidRPr="004D383C">
        <w:rPr>
          <w:rFonts w:ascii="Times New Roman" w:hAnsi="Times New Roman"/>
          <w:sz w:val="24"/>
          <w:szCs w:val="24"/>
        </w:rPr>
        <w:t xml:space="preserve">are </w:t>
      </w:r>
      <w:r w:rsidR="00332952" w:rsidRPr="004D383C">
        <w:rPr>
          <w:rFonts w:ascii="Times New Roman" w:hAnsi="Times New Roman"/>
          <w:sz w:val="24"/>
          <w:szCs w:val="24"/>
        </w:rPr>
        <w:t xml:space="preserve">at </w:t>
      </w:r>
      <w:r w:rsidR="007D6889" w:rsidRPr="004D383C">
        <w:rPr>
          <w:rFonts w:ascii="Times New Roman" w:hAnsi="Times New Roman"/>
          <w:sz w:val="24"/>
          <w:szCs w:val="24"/>
        </w:rPr>
        <w:t>higher</w:t>
      </w:r>
      <w:r w:rsidR="00332952" w:rsidRPr="004D383C">
        <w:rPr>
          <w:rFonts w:ascii="Times New Roman" w:hAnsi="Times New Roman"/>
          <w:sz w:val="24"/>
          <w:szCs w:val="24"/>
        </w:rPr>
        <w:t xml:space="preserve"> </w:t>
      </w:r>
      <w:r w:rsidR="000B17ED" w:rsidRPr="004D383C">
        <w:rPr>
          <w:rFonts w:ascii="Times New Roman" w:hAnsi="Times New Roman"/>
          <w:sz w:val="24"/>
          <w:szCs w:val="24"/>
        </w:rPr>
        <w:t>risk</w:t>
      </w:r>
      <w:r w:rsidR="00332952" w:rsidRPr="004D383C">
        <w:rPr>
          <w:rFonts w:ascii="Times New Roman" w:hAnsi="Times New Roman"/>
          <w:sz w:val="24"/>
          <w:szCs w:val="24"/>
        </w:rPr>
        <w:t xml:space="preserve"> for </w:t>
      </w:r>
      <w:r w:rsidR="00B90458" w:rsidRPr="004D383C">
        <w:rPr>
          <w:rFonts w:ascii="Times New Roman" w:hAnsi="Times New Roman"/>
          <w:sz w:val="24"/>
          <w:szCs w:val="24"/>
        </w:rPr>
        <w:t xml:space="preserve">certain radiation-related health outcomes than other </w:t>
      </w:r>
      <w:r w:rsidR="00723C7B" w:rsidRPr="004D383C">
        <w:rPr>
          <w:rFonts w:ascii="Times New Roman" w:hAnsi="Times New Roman"/>
          <w:sz w:val="24"/>
          <w:szCs w:val="24"/>
        </w:rPr>
        <w:t>radiologic technologists</w:t>
      </w:r>
      <w:r w:rsidR="000B17ED" w:rsidRPr="004D383C">
        <w:rPr>
          <w:rFonts w:ascii="Times New Roman" w:hAnsi="Times New Roman"/>
          <w:sz w:val="24"/>
          <w:szCs w:val="24"/>
        </w:rPr>
        <w:t xml:space="preserve">.  </w:t>
      </w:r>
      <w:r w:rsidR="003813E0" w:rsidRPr="004D383C">
        <w:rPr>
          <w:rFonts w:ascii="Times New Roman" w:hAnsi="Times New Roman"/>
          <w:sz w:val="24"/>
          <w:szCs w:val="24"/>
        </w:rPr>
        <w:t xml:space="preserve">The number of technologists in the USRT cohort </w:t>
      </w:r>
      <w:r w:rsidR="0096527C" w:rsidRPr="004D383C">
        <w:rPr>
          <w:rFonts w:ascii="Times New Roman" w:hAnsi="Times New Roman"/>
          <w:sz w:val="24"/>
          <w:szCs w:val="24"/>
        </w:rPr>
        <w:t xml:space="preserve">who reported working with nuclear medicine procedures is </w:t>
      </w:r>
      <w:r w:rsidRPr="004D383C">
        <w:rPr>
          <w:rFonts w:ascii="Times New Roman" w:hAnsi="Times New Roman"/>
          <w:sz w:val="24"/>
          <w:szCs w:val="24"/>
        </w:rPr>
        <w:t xml:space="preserve">relatively </w:t>
      </w:r>
      <w:r w:rsidR="0096527C" w:rsidRPr="004D383C">
        <w:rPr>
          <w:rFonts w:ascii="Times New Roman" w:hAnsi="Times New Roman"/>
          <w:sz w:val="24"/>
          <w:szCs w:val="24"/>
        </w:rPr>
        <w:t>small</w:t>
      </w:r>
      <w:r w:rsidR="003813E0" w:rsidRPr="004D383C">
        <w:rPr>
          <w:rFonts w:ascii="Times New Roman" w:hAnsi="Times New Roman"/>
          <w:sz w:val="24"/>
          <w:szCs w:val="24"/>
        </w:rPr>
        <w:t>, and their exposures occurred as long as 70 years ago</w:t>
      </w:r>
      <w:r w:rsidR="0096527C" w:rsidRPr="004D383C">
        <w:rPr>
          <w:rFonts w:ascii="Times New Roman" w:hAnsi="Times New Roman"/>
          <w:sz w:val="24"/>
          <w:szCs w:val="24"/>
        </w:rPr>
        <w:t xml:space="preserve">.  </w:t>
      </w:r>
      <w:r w:rsidR="00042312" w:rsidRPr="004D383C">
        <w:rPr>
          <w:rFonts w:ascii="Times New Roman" w:hAnsi="Times New Roman"/>
          <w:sz w:val="24"/>
          <w:szCs w:val="24"/>
        </w:rPr>
        <w:t xml:space="preserve">The objectives of the </w:t>
      </w:r>
      <w:r w:rsidR="00042312" w:rsidRPr="004D383C">
        <w:rPr>
          <w:rFonts w:ascii="Times New Roman" w:hAnsi="Times New Roman"/>
          <w:sz w:val="24"/>
          <w:szCs w:val="24"/>
        </w:rPr>
        <w:lastRenderedPageBreak/>
        <w:t xml:space="preserve">current </w:t>
      </w:r>
      <w:r w:rsidR="00117E7C" w:rsidRPr="004D383C">
        <w:rPr>
          <w:rFonts w:ascii="Times New Roman" w:hAnsi="Times New Roman"/>
          <w:sz w:val="24"/>
          <w:szCs w:val="24"/>
        </w:rPr>
        <w:t>effort</w:t>
      </w:r>
      <w:r w:rsidR="00042312" w:rsidRPr="004D383C">
        <w:rPr>
          <w:rFonts w:ascii="Times New Roman" w:hAnsi="Times New Roman"/>
          <w:sz w:val="24"/>
          <w:szCs w:val="24"/>
        </w:rPr>
        <w:t xml:space="preserve"> are to identify</w:t>
      </w:r>
      <w:r w:rsidR="00B90458" w:rsidRPr="004D383C">
        <w:rPr>
          <w:rFonts w:ascii="Times New Roman" w:hAnsi="Times New Roman"/>
          <w:sz w:val="24"/>
          <w:szCs w:val="24"/>
        </w:rPr>
        <w:t xml:space="preserve"> </w:t>
      </w:r>
      <w:r w:rsidRPr="004D383C">
        <w:rPr>
          <w:rFonts w:ascii="Times New Roman" w:hAnsi="Times New Roman"/>
          <w:sz w:val="24"/>
          <w:szCs w:val="24"/>
        </w:rPr>
        <w:t xml:space="preserve">a large group of </w:t>
      </w:r>
      <w:r w:rsidR="00696D6F" w:rsidRPr="004D383C">
        <w:rPr>
          <w:rFonts w:ascii="Times New Roman" w:hAnsi="Times New Roman"/>
          <w:sz w:val="24"/>
          <w:szCs w:val="24"/>
        </w:rPr>
        <w:t xml:space="preserve">U.S. nuclear medicine </w:t>
      </w:r>
      <w:r w:rsidR="00042312" w:rsidRPr="004D383C">
        <w:rPr>
          <w:rFonts w:ascii="Times New Roman" w:hAnsi="Times New Roman"/>
          <w:sz w:val="24"/>
          <w:szCs w:val="24"/>
        </w:rPr>
        <w:t>technologists</w:t>
      </w:r>
      <w:r w:rsidR="00696D6F" w:rsidRPr="004D383C">
        <w:rPr>
          <w:rFonts w:ascii="Times New Roman" w:hAnsi="Times New Roman"/>
          <w:sz w:val="24"/>
          <w:szCs w:val="24"/>
        </w:rPr>
        <w:t xml:space="preserve"> </w:t>
      </w:r>
      <w:r w:rsidR="0065060C" w:rsidRPr="004D383C">
        <w:rPr>
          <w:rFonts w:ascii="Times New Roman" w:hAnsi="Times New Roman"/>
          <w:sz w:val="24"/>
          <w:szCs w:val="24"/>
        </w:rPr>
        <w:t xml:space="preserve">(USNMT) </w:t>
      </w:r>
      <w:r w:rsidR="00042312" w:rsidRPr="004D383C">
        <w:rPr>
          <w:rFonts w:ascii="Times New Roman" w:hAnsi="Times New Roman"/>
          <w:sz w:val="24"/>
          <w:szCs w:val="24"/>
        </w:rPr>
        <w:t xml:space="preserve">certified </w:t>
      </w:r>
      <w:r w:rsidR="0074619D">
        <w:rPr>
          <w:rFonts w:ascii="Times New Roman" w:hAnsi="Times New Roman"/>
          <w:sz w:val="24"/>
          <w:szCs w:val="24"/>
        </w:rPr>
        <w:t>in</w:t>
      </w:r>
      <w:r w:rsidR="00042312" w:rsidRPr="004D383C">
        <w:rPr>
          <w:rFonts w:ascii="Times New Roman" w:hAnsi="Times New Roman"/>
          <w:sz w:val="24"/>
          <w:szCs w:val="24"/>
        </w:rPr>
        <w:t xml:space="preserve"> 1980</w:t>
      </w:r>
      <w:r w:rsidR="0074619D">
        <w:rPr>
          <w:rFonts w:ascii="Times New Roman" w:hAnsi="Times New Roman"/>
          <w:sz w:val="24"/>
          <w:szCs w:val="24"/>
        </w:rPr>
        <w:t xml:space="preserve"> or later</w:t>
      </w:r>
      <w:r w:rsidR="00E26A83" w:rsidRPr="004D383C">
        <w:rPr>
          <w:rFonts w:ascii="Times New Roman" w:hAnsi="Times New Roman"/>
          <w:sz w:val="24"/>
          <w:szCs w:val="24"/>
        </w:rPr>
        <w:t>, to collect detailed work history information,</w:t>
      </w:r>
      <w:r w:rsidR="007D6889" w:rsidRPr="004D383C">
        <w:rPr>
          <w:rFonts w:ascii="Times New Roman" w:hAnsi="Times New Roman"/>
          <w:sz w:val="24"/>
          <w:szCs w:val="24"/>
        </w:rPr>
        <w:t xml:space="preserve"> </w:t>
      </w:r>
      <w:r w:rsidR="00042312" w:rsidRPr="004D383C">
        <w:rPr>
          <w:rFonts w:ascii="Times New Roman" w:hAnsi="Times New Roman"/>
          <w:sz w:val="24"/>
          <w:szCs w:val="24"/>
        </w:rPr>
        <w:t xml:space="preserve">and to </w:t>
      </w:r>
      <w:r w:rsidR="000B17ED" w:rsidRPr="004D383C">
        <w:rPr>
          <w:rFonts w:ascii="Times New Roman" w:hAnsi="Times New Roman"/>
          <w:sz w:val="24"/>
          <w:szCs w:val="24"/>
        </w:rPr>
        <w:t>characterize organ-specific</w:t>
      </w:r>
      <w:r w:rsidR="00F61EBB" w:rsidRPr="004D383C">
        <w:rPr>
          <w:rFonts w:ascii="Times New Roman" w:hAnsi="Times New Roman"/>
          <w:sz w:val="24"/>
          <w:szCs w:val="24"/>
        </w:rPr>
        <w:t xml:space="preserve"> radiation</w:t>
      </w:r>
      <w:r w:rsidR="000B17ED" w:rsidRPr="004D383C">
        <w:rPr>
          <w:rFonts w:ascii="Times New Roman" w:hAnsi="Times New Roman"/>
          <w:sz w:val="24"/>
          <w:szCs w:val="24"/>
        </w:rPr>
        <w:t xml:space="preserve"> doses</w:t>
      </w:r>
      <w:r w:rsidR="00E26A83" w:rsidRPr="004D383C">
        <w:rPr>
          <w:rFonts w:ascii="Times New Roman" w:hAnsi="Times New Roman"/>
          <w:sz w:val="24"/>
          <w:szCs w:val="24"/>
        </w:rPr>
        <w:t xml:space="preserve"> in a representative sample to assess the feasibility of conducting a study to </w:t>
      </w:r>
      <w:r w:rsidR="000B17ED" w:rsidRPr="004D383C">
        <w:rPr>
          <w:rFonts w:ascii="Times New Roman" w:hAnsi="Times New Roman"/>
          <w:sz w:val="24"/>
          <w:szCs w:val="24"/>
        </w:rPr>
        <w:t xml:space="preserve">quantify </w:t>
      </w:r>
      <w:r w:rsidR="00CB708B" w:rsidRPr="004D383C">
        <w:rPr>
          <w:rFonts w:ascii="Times New Roman" w:hAnsi="Times New Roman"/>
          <w:sz w:val="24"/>
          <w:szCs w:val="24"/>
        </w:rPr>
        <w:t>radiation</w:t>
      </w:r>
      <w:r w:rsidR="00E7278F" w:rsidRPr="004D383C">
        <w:rPr>
          <w:rFonts w:ascii="Times New Roman" w:hAnsi="Times New Roman"/>
          <w:sz w:val="24"/>
          <w:szCs w:val="24"/>
        </w:rPr>
        <w:t>-related disease</w:t>
      </w:r>
      <w:r w:rsidR="00CB708B" w:rsidRPr="004D383C">
        <w:rPr>
          <w:rFonts w:ascii="Times New Roman" w:hAnsi="Times New Roman"/>
          <w:sz w:val="24"/>
          <w:szCs w:val="24"/>
        </w:rPr>
        <w:t xml:space="preserve"> risks</w:t>
      </w:r>
      <w:r w:rsidR="00E26A83" w:rsidRPr="004D383C">
        <w:rPr>
          <w:rFonts w:ascii="Times New Roman" w:hAnsi="Times New Roman"/>
          <w:sz w:val="24"/>
          <w:szCs w:val="24"/>
        </w:rPr>
        <w:t xml:space="preserve"> in </w:t>
      </w:r>
      <w:r w:rsidR="002244F9" w:rsidRPr="004D383C">
        <w:rPr>
          <w:rFonts w:ascii="Times New Roman" w:hAnsi="Times New Roman"/>
          <w:sz w:val="24"/>
          <w:szCs w:val="24"/>
        </w:rPr>
        <w:t>nuclear medicine technologists</w:t>
      </w:r>
      <w:r w:rsidR="0096527C" w:rsidRPr="004D383C">
        <w:rPr>
          <w:rFonts w:ascii="Times New Roman" w:hAnsi="Times New Roman"/>
          <w:sz w:val="24"/>
          <w:szCs w:val="24"/>
        </w:rPr>
        <w:t xml:space="preserve"> who worked with newer technologies in more recent years</w:t>
      </w:r>
      <w:r w:rsidR="00042312" w:rsidRPr="004D383C">
        <w:rPr>
          <w:rFonts w:ascii="Times New Roman" w:hAnsi="Times New Roman"/>
          <w:sz w:val="24"/>
          <w:szCs w:val="24"/>
        </w:rPr>
        <w:t xml:space="preserve">.  </w:t>
      </w:r>
    </w:p>
    <w:p w14:paraId="7FB79966" w14:textId="77777777" w:rsidR="00394A3A" w:rsidRPr="004D383C" w:rsidRDefault="006D13C4" w:rsidP="00F20E2F">
      <w:pPr>
        <w:tabs>
          <w:tab w:val="left" w:pos="720"/>
        </w:tabs>
        <w:spacing w:line="480" w:lineRule="auto"/>
      </w:pPr>
      <w:r w:rsidRPr="004D383C">
        <w:rPr>
          <w:b/>
          <w:bCs/>
        </w:rPr>
        <w:t>A</w:t>
      </w:r>
      <w:r w:rsidR="00F20E2F" w:rsidRPr="004D383C">
        <w:rPr>
          <w:b/>
          <w:bCs/>
        </w:rPr>
        <w:t>.1</w:t>
      </w:r>
      <w:r w:rsidRPr="004D383C">
        <w:rPr>
          <w:b/>
          <w:bCs/>
        </w:rPr>
        <w:tab/>
      </w:r>
      <w:r w:rsidR="00394A3A" w:rsidRPr="004D383C">
        <w:rPr>
          <w:b/>
          <w:bCs/>
        </w:rPr>
        <w:t>Circumstances Making the Collection of Information Necessary</w:t>
      </w:r>
    </w:p>
    <w:p w14:paraId="233805BD" w14:textId="581750D0" w:rsidR="00890A77" w:rsidRPr="00C67EBA" w:rsidRDefault="00A10744" w:rsidP="00890A77">
      <w:pPr>
        <w:tabs>
          <w:tab w:val="left" w:pos="720"/>
        </w:tabs>
        <w:spacing w:line="480" w:lineRule="auto"/>
      </w:pPr>
      <w:r w:rsidRPr="004D383C">
        <w:tab/>
      </w:r>
      <w:r w:rsidR="00394A3A" w:rsidRPr="004D383C">
        <w:t>The Radiation Epidemiology Branch (REB), Division of Cancer Epidemi</w:t>
      </w:r>
      <w:r w:rsidR="007024DC" w:rsidRPr="004D383C">
        <w:t>o</w:t>
      </w:r>
      <w:r w:rsidR="00394A3A" w:rsidRPr="004D383C">
        <w:t xml:space="preserve">logy and Genetics, of the National Cancer Institute (NCI) is authorized under the Public Health Service </w:t>
      </w:r>
      <w:r w:rsidR="00394A3A" w:rsidRPr="00C67EBA">
        <w:t xml:space="preserve">Act, Section 411, [42 USC 285a] to collect information to generate hypotheses concerning environmental and host determinants of cancer.  It is the mandate of REB to conduct a broad-based research program to identify, understand, and quantify the risk of cancer in populations exposed to medical, occupational, or environmental radiation. </w:t>
      </w:r>
      <w:r w:rsidR="00D747AC" w:rsidRPr="00C67EBA">
        <w:t xml:space="preserve">Overall, the REB mission is: to characterize and quantify the carcinogenic risks of radiation; to address radiation issues of public health and clinical concern; to enhance understanding of radiogenic and other carcinogenic mechanisms; and to improve dosimetric and statistical methods for risk assessment.  </w:t>
      </w:r>
    </w:p>
    <w:p w14:paraId="3740F9FA" w14:textId="246292B6" w:rsidR="00E7278F" w:rsidRPr="004D383C" w:rsidRDefault="00A10744" w:rsidP="00F20E2F">
      <w:pPr>
        <w:pStyle w:val="BodyText"/>
        <w:tabs>
          <w:tab w:val="left" w:pos="720"/>
        </w:tabs>
        <w:spacing w:line="480" w:lineRule="auto"/>
        <w:ind w:firstLine="720"/>
      </w:pPr>
      <w:r w:rsidRPr="004D383C">
        <w:t xml:space="preserve">With this submission, the NCI seeks to obtain OMB approval to </w:t>
      </w:r>
      <w:r w:rsidR="00CE045E" w:rsidRPr="004D383C">
        <w:t xml:space="preserve">collect historical information from </w:t>
      </w:r>
      <w:r w:rsidRPr="004D383C">
        <w:rPr>
          <w:rFonts w:eastAsia="Calibri"/>
        </w:rPr>
        <w:t xml:space="preserve">U.S. nuclear medicine technologists </w:t>
      </w:r>
      <w:r w:rsidR="00E7278F" w:rsidRPr="004D383C">
        <w:rPr>
          <w:rFonts w:eastAsia="Calibri"/>
        </w:rPr>
        <w:t xml:space="preserve">(USNMT) </w:t>
      </w:r>
      <w:r w:rsidRPr="004D383C">
        <w:rPr>
          <w:rFonts w:eastAsia="Calibri"/>
        </w:rPr>
        <w:t xml:space="preserve">certified </w:t>
      </w:r>
      <w:r w:rsidR="0074619D">
        <w:rPr>
          <w:rFonts w:eastAsia="Calibri"/>
        </w:rPr>
        <w:t>in</w:t>
      </w:r>
      <w:r w:rsidRPr="004D383C">
        <w:rPr>
          <w:rFonts w:eastAsia="Calibri"/>
        </w:rPr>
        <w:t xml:space="preserve"> 1980 </w:t>
      </w:r>
      <w:r w:rsidR="0074619D">
        <w:rPr>
          <w:rFonts w:eastAsia="Calibri"/>
        </w:rPr>
        <w:t xml:space="preserve">or later </w:t>
      </w:r>
      <w:r w:rsidRPr="004D383C">
        <w:rPr>
          <w:rFonts w:eastAsia="Calibri"/>
        </w:rPr>
        <w:t xml:space="preserve">on nuclear medicine procedures performed, </w:t>
      </w:r>
      <w:r w:rsidR="00E7278F" w:rsidRPr="004D383C">
        <w:rPr>
          <w:rFonts w:eastAsia="Calibri"/>
        </w:rPr>
        <w:t xml:space="preserve">radioisotopes used, </w:t>
      </w:r>
      <w:r w:rsidR="00CE045E" w:rsidRPr="004D383C">
        <w:rPr>
          <w:rFonts w:eastAsia="Calibri"/>
        </w:rPr>
        <w:t>related</w:t>
      </w:r>
      <w:r w:rsidR="00E7278F" w:rsidRPr="004D383C">
        <w:rPr>
          <w:rFonts w:eastAsia="Calibri"/>
        </w:rPr>
        <w:t xml:space="preserve"> </w:t>
      </w:r>
      <w:r w:rsidR="00A444D0" w:rsidRPr="004D383C">
        <w:t xml:space="preserve">work </w:t>
      </w:r>
      <w:r w:rsidR="00CE045E" w:rsidRPr="004D383C">
        <w:t xml:space="preserve">and safety </w:t>
      </w:r>
      <w:r w:rsidRPr="004D383C">
        <w:t>practices</w:t>
      </w:r>
      <w:r w:rsidRPr="004D383C">
        <w:rPr>
          <w:rFonts w:eastAsia="Calibri"/>
        </w:rPr>
        <w:t xml:space="preserve">, </w:t>
      </w:r>
      <w:r w:rsidR="00E7278F" w:rsidRPr="004D383C">
        <w:rPr>
          <w:rFonts w:eastAsia="Calibri"/>
        </w:rPr>
        <w:t xml:space="preserve">and </w:t>
      </w:r>
      <w:r w:rsidRPr="004D383C">
        <w:rPr>
          <w:rFonts w:eastAsia="Calibri"/>
        </w:rPr>
        <w:t>employ</w:t>
      </w:r>
      <w:r w:rsidR="00E8597F" w:rsidRPr="004D383C">
        <w:rPr>
          <w:rFonts w:eastAsia="Calibri"/>
        </w:rPr>
        <w:t>ers</w:t>
      </w:r>
      <w:r w:rsidRPr="004D383C">
        <w:rPr>
          <w:rFonts w:eastAsia="Calibri"/>
        </w:rPr>
        <w:t>.</w:t>
      </w:r>
      <w:r w:rsidRPr="004D383C">
        <w:t xml:space="preserve">  </w:t>
      </w:r>
      <w:r w:rsidR="00E7278F" w:rsidRPr="004D383C">
        <w:t>The proposed</w:t>
      </w:r>
      <w:r w:rsidR="003D13E0" w:rsidRPr="004D383C">
        <w:t xml:space="preserve"> USNMT S</w:t>
      </w:r>
      <w:r w:rsidR="00CE045E" w:rsidRPr="004D383C">
        <w:t xml:space="preserve">tudy </w:t>
      </w:r>
      <w:r w:rsidR="00E7278F" w:rsidRPr="004D383C">
        <w:t>is a</w:t>
      </w:r>
      <w:r w:rsidR="00DD5335" w:rsidRPr="004D383C">
        <w:t>n expansion of</w:t>
      </w:r>
      <w:r w:rsidR="003D13E0" w:rsidRPr="004D383C">
        <w:t xml:space="preserve"> the USRT S</w:t>
      </w:r>
      <w:r w:rsidR="00E7278F" w:rsidRPr="004D383C">
        <w:t xml:space="preserve">tudy.  More recently certified nuclear medicine technologists are expected to have greater exposures to radioisotopes than the USRT members who worked with nuclear medicine procedures much earlier in time, and to be at higher risk for radiation-related medical outcomes because they likely performed nuclear medicine procedures with greater frequency and at younger ages when sensitivity to the carcinogenic action of radiation is elevated.  </w:t>
      </w:r>
    </w:p>
    <w:p w14:paraId="52C2CF40" w14:textId="02C084A3" w:rsidR="00A444D0" w:rsidRPr="004D383C" w:rsidRDefault="00A10744" w:rsidP="00F20E2F">
      <w:pPr>
        <w:pStyle w:val="BodyText"/>
        <w:tabs>
          <w:tab w:val="left" w:pos="720"/>
        </w:tabs>
        <w:spacing w:line="480" w:lineRule="auto"/>
        <w:ind w:firstLine="720"/>
      </w:pPr>
      <w:r w:rsidRPr="004D383C">
        <w:lastRenderedPageBreak/>
        <w:t xml:space="preserve">The </w:t>
      </w:r>
      <w:r w:rsidR="00FD54F3" w:rsidRPr="004D383C">
        <w:t xml:space="preserve">primary </w:t>
      </w:r>
      <w:r w:rsidRPr="004D383C">
        <w:t xml:space="preserve">objectives of the </w:t>
      </w:r>
      <w:r w:rsidR="00FD54F3" w:rsidRPr="004D383C">
        <w:t>current feasibility effort</w:t>
      </w:r>
      <w:r w:rsidRPr="004D383C">
        <w:t xml:space="preserve"> are: (a) to identify a cohort of nuclear medicine technologists certified </w:t>
      </w:r>
      <w:r w:rsidR="0074619D">
        <w:t>in</w:t>
      </w:r>
      <w:r w:rsidRPr="004D383C">
        <w:t xml:space="preserve"> 1980</w:t>
      </w:r>
      <w:r w:rsidR="0074619D">
        <w:t xml:space="preserve"> or later</w:t>
      </w:r>
      <w:r w:rsidRPr="004D383C">
        <w:t xml:space="preserve"> by the American Registry of Radiologic Technologists (ARRT) and/or the Nuclear Medicine Technologist Certification Board (NMTCB); and (b) to characterize individual organ-specific occupational radiation doses from radioisotope procedures.  Pending determination that both the eligible study population of nuclear medicine technologists certified </w:t>
      </w:r>
      <w:r w:rsidR="0074619D">
        <w:t>in</w:t>
      </w:r>
      <w:r w:rsidRPr="004D383C">
        <w:t xml:space="preserve"> 1980 </w:t>
      </w:r>
      <w:r w:rsidR="0074619D">
        <w:t xml:space="preserve">or later </w:t>
      </w:r>
      <w:r w:rsidRPr="004D383C">
        <w:t xml:space="preserve">and the estimated occupational radiation doses are large enough to assess radiation-related cancer and other disease risks with adequate statistical power, we propose to conduct a new </w:t>
      </w:r>
      <w:r w:rsidR="00FD54F3" w:rsidRPr="004D383C">
        <w:t xml:space="preserve">USNMT </w:t>
      </w:r>
      <w:r w:rsidRPr="004D383C">
        <w:t xml:space="preserve">cohort study.  Findings from this study will address an important gap in the scientific understanding of health risks associated with occupational exposure to high-energy radioisotopes.  The public health implications are consequential because the increasing use of high dose nuclear medicine procedures in the diagnosis and treatment of medical conditions is associated with increased radiation exposure to both patients and medical workers.  </w:t>
      </w:r>
    </w:p>
    <w:p w14:paraId="40EA5BE7" w14:textId="5E5DE15F" w:rsidR="00394A3A" w:rsidRPr="004D383C" w:rsidRDefault="00B17418" w:rsidP="00A444D0">
      <w:pPr>
        <w:pStyle w:val="BodyText"/>
        <w:tabs>
          <w:tab w:val="left" w:pos="720"/>
        </w:tabs>
        <w:spacing w:line="480" w:lineRule="auto"/>
        <w:rPr>
          <w:b/>
          <w:bCs/>
        </w:rPr>
      </w:pPr>
      <w:r w:rsidRPr="004D383C">
        <w:rPr>
          <w:b/>
          <w:bCs/>
        </w:rPr>
        <w:t>A.2</w:t>
      </w:r>
      <w:r w:rsidRPr="004D383C">
        <w:rPr>
          <w:b/>
          <w:bCs/>
        </w:rPr>
        <w:tab/>
      </w:r>
      <w:r w:rsidR="00394A3A" w:rsidRPr="004D383C">
        <w:rPr>
          <w:b/>
          <w:bCs/>
        </w:rPr>
        <w:t>Purpose and Use of the Information</w:t>
      </w:r>
      <w:r w:rsidR="009375EA" w:rsidRPr="004D383C">
        <w:rPr>
          <w:b/>
          <w:bCs/>
        </w:rPr>
        <w:t xml:space="preserve"> Collection</w:t>
      </w:r>
    </w:p>
    <w:p w14:paraId="689EB985" w14:textId="73E12358" w:rsidR="0024341E" w:rsidRPr="004D383C" w:rsidRDefault="007C5808" w:rsidP="00B74EA6">
      <w:pPr>
        <w:tabs>
          <w:tab w:val="left" w:pos="720"/>
        </w:tabs>
        <w:spacing w:line="480" w:lineRule="auto"/>
        <w:ind w:firstLine="720"/>
      </w:pPr>
      <w:r w:rsidRPr="004D383C">
        <w:t xml:space="preserve">This is an epidemiological research study.  </w:t>
      </w:r>
      <w:r w:rsidR="00D747AC" w:rsidRPr="004D383C">
        <w:t xml:space="preserve">The results will be used to </w:t>
      </w:r>
      <w:r w:rsidR="00A444D0" w:rsidRPr="004D383C">
        <w:t xml:space="preserve">determine if a cohort study of nuclear medicine technologists is feasible to </w:t>
      </w:r>
      <w:r w:rsidR="004D7915" w:rsidRPr="004D383C">
        <w:t>address outstanding scientific questions about</w:t>
      </w:r>
      <w:r w:rsidR="00D747AC" w:rsidRPr="004D383C">
        <w:t xml:space="preserve"> the relationship between</w:t>
      </w:r>
      <w:r w:rsidR="005F42E2" w:rsidRPr="004D383C">
        <w:t xml:space="preserve"> </w:t>
      </w:r>
      <w:r w:rsidR="00A444D0" w:rsidRPr="004D383C">
        <w:t xml:space="preserve">occupational </w:t>
      </w:r>
      <w:r w:rsidR="00D747AC" w:rsidRPr="004D383C">
        <w:t xml:space="preserve">exposure </w:t>
      </w:r>
      <w:r w:rsidR="00E7278F" w:rsidRPr="004D383C">
        <w:t>to r</w:t>
      </w:r>
      <w:r w:rsidR="00B74EA6" w:rsidRPr="004D383C">
        <w:t>adioisotope</w:t>
      </w:r>
      <w:r w:rsidR="00E7278F" w:rsidRPr="004D383C">
        <w:t>s</w:t>
      </w:r>
      <w:r w:rsidR="00D747AC" w:rsidRPr="004D383C">
        <w:t xml:space="preserve"> and the risks of cancer and other medical conditions.  We are not aware of any other study population </w:t>
      </w:r>
      <w:r w:rsidR="00B74EA6" w:rsidRPr="004D383C">
        <w:t>that can address this question.</w:t>
      </w:r>
      <w:r w:rsidR="00586B73" w:rsidRPr="004D383C">
        <w:t xml:space="preserve">                                                         </w:t>
      </w:r>
    </w:p>
    <w:p w14:paraId="2C400181" w14:textId="03946E29" w:rsidR="00A444D0" w:rsidRPr="004D383C" w:rsidRDefault="000A4324" w:rsidP="00A444D0">
      <w:pPr>
        <w:pStyle w:val="BodyText"/>
        <w:tabs>
          <w:tab w:val="left" w:pos="720"/>
        </w:tabs>
        <w:spacing w:line="480" w:lineRule="auto"/>
        <w:ind w:firstLine="720"/>
      </w:pPr>
      <w:r w:rsidRPr="004D383C">
        <w:t>Since 1982, r</w:t>
      </w:r>
      <w:r w:rsidR="00A444D0" w:rsidRPr="004D383C">
        <w:t>esearchers at the National Cancer Institute and the University of Minnesota have followed 146,000 radiologic technologists certified</w:t>
      </w:r>
      <w:r w:rsidR="005B37FB" w:rsidRPr="004D383C">
        <w:t xml:space="preserve"> by the ARRT </w:t>
      </w:r>
      <w:r w:rsidR="00A444D0" w:rsidRPr="004D383C">
        <w:t>during 1926-1980 (</w:t>
      </w:r>
      <w:r w:rsidR="00B20274" w:rsidRPr="004D383C">
        <w:t>1-5</w:t>
      </w:r>
      <w:r w:rsidR="00A444D0" w:rsidRPr="004D383C">
        <w:t>).  The U.S. Radiologic Technologists (USRT) cohort is one of the largest populations of medical radiation workers studied to date (</w:t>
      </w:r>
      <w:r w:rsidR="00B20274" w:rsidRPr="004D383C">
        <w:t>6</w:t>
      </w:r>
      <w:r w:rsidR="00E34C55" w:rsidRPr="004D383C">
        <w:t>,</w:t>
      </w:r>
      <w:r w:rsidR="00B20274" w:rsidRPr="004D383C">
        <w:t>7</w:t>
      </w:r>
      <w:r w:rsidR="00A444D0" w:rsidRPr="004D383C">
        <w:t xml:space="preserve">), and the only one with a nationwide distribution, large number of women, extensive covariate data, both incident and death outcomes, and estimated </w:t>
      </w:r>
      <w:r w:rsidR="00A444D0" w:rsidRPr="004D383C">
        <w:lastRenderedPageBreak/>
        <w:t>occupational, personal medical, and ultraviolet radiation doses.  More than 110,000 technologists completed at least one of four comprehensive questionnaire surveys administered during 1983-2013 under OMB No. 0925-0164 (first survey, expiration 7/31/1989)</w:t>
      </w:r>
      <w:r w:rsidR="002B571B" w:rsidRPr="004D383C">
        <w:t xml:space="preserve">, </w:t>
      </w:r>
      <w:r w:rsidR="00B74EA6" w:rsidRPr="004D383C">
        <w:t>OMB No.</w:t>
      </w:r>
      <w:r w:rsidR="00A444D0" w:rsidRPr="004D383C">
        <w:t xml:space="preserve"> 0925-0405 (second</w:t>
      </w:r>
      <w:r w:rsidR="002B571B" w:rsidRPr="004D383C">
        <w:t xml:space="preserve"> and third</w:t>
      </w:r>
      <w:r w:rsidR="00A444D0" w:rsidRPr="004D383C">
        <w:t xml:space="preserve"> surveys, expiration </w:t>
      </w:r>
      <w:r w:rsidR="00572D9A" w:rsidRPr="004D383C">
        <w:t>2/26/2007</w:t>
      </w:r>
      <w:r w:rsidR="00A444D0" w:rsidRPr="004D383C">
        <w:t>)</w:t>
      </w:r>
      <w:r w:rsidR="002B571B" w:rsidRPr="004D383C">
        <w:t>, and OMB No. 0925-0656 (fourth survey, expiration 4/30/2015)</w:t>
      </w:r>
      <w:r w:rsidR="00A444D0" w:rsidRPr="004D383C">
        <w:t xml:space="preserve">.  The fourth survey was mailed to </w:t>
      </w:r>
      <w:r w:rsidR="000458C3" w:rsidRPr="004D383C">
        <w:t xml:space="preserve">approximately </w:t>
      </w:r>
      <w:r w:rsidR="00A444D0" w:rsidRPr="004D383C">
        <w:t>9</w:t>
      </w:r>
      <w:r w:rsidR="00B74EA6" w:rsidRPr="004D383C">
        <w:t>4</w:t>
      </w:r>
      <w:r w:rsidR="00A444D0" w:rsidRPr="004D383C">
        <w:t xml:space="preserve">,000 living USRT members during 2012-2013 and collected information on medical outcomes, personal medical radiation procedures, and selected risk factors from the full group, plus detailed work histories from subgroups of technologists who worked with </w:t>
      </w:r>
      <w:r w:rsidR="001F0A9C" w:rsidRPr="004D383C">
        <w:t xml:space="preserve">nuclear medicine and/or </w:t>
      </w:r>
      <w:r w:rsidR="00A444D0" w:rsidRPr="004D383C">
        <w:t xml:space="preserve">fluoroscopically-guided procedures.  </w:t>
      </w:r>
    </w:p>
    <w:p w14:paraId="556CE93F" w14:textId="056B687A" w:rsidR="00AF3D43" w:rsidRPr="004D383C" w:rsidRDefault="00A444D0" w:rsidP="00747F37">
      <w:pPr>
        <w:tabs>
          <w:tab w:val="left" w:pos="720"/>
        </w:tabs>
        <w:spacing w:line="480" w:lineRule="auto"/>
        <w:ind w:firstLine="720"/>
      </w:pPr>
      <w:r w:rsidRPr="004D383C">
        <w:t xml:space="preserve"> </w:t>
      </w:r>
      <w:r w:rsidR="00E631C3" w:rsidRPr="004D383C">
        <w:t xml:space="preserve">The </w:t>
      </w:r>
      <w:r w:rsidR="003F1491" w:rsidRPr="004D383C">
        <w:t xml:space="preserve">NCI currently seeks OMB-approval </w:t>
      </w:r>
      <w:r w:rsidR="00B143A4" w:rsidRPr="004D383C">
        <w:t xml:space="preserve">for </w:t>
      </w:r>
      <w:r w:rsidR="0065060C" w:rsidRPr="004D383C">
        <w:t>the</w:t>
      </w:r>
      <w:r w:rsidR="000458C3" w:rsidRPr="004D383C">
        <w:t xml:space="preserve"> </w:t>
      </w:r>
      <w:r w:rsidR="0065060C" w:rsidRPr="004D383C">
        <w:rPr>
          <w:i/>
        </w:rPr>
        <w:t>U.S. Nuclear Medicine Technologists Feasibility Study</w:t>
      </w:r>
      <w:r w:rsidR="0065060C" w:rsidRPr="004D383C">
        <w:t xml:space="preserve"> </w:t>
      </w:r>
      <w:r w:rsidR="00B143A4" w:rsidRPr="004D383C">
        <w:t>Nuclear Medicine Procedures Questionnaire (</w:t>
      </w:r>
      <w:r w:rsidR="00B143A4" w:rsidRPr="004D383C">
        <w:rPr>
          <w:b/>
        </w:rPr>
        <w:t>Attachment 1</w:t>
      </w:r>
      <w:r w:rsidR="00B143A4" w:rsidRPr="004D383C">
        <w:t xml:space="preserve">) to be administered to a sample of </w:t>
      </w:r>
      <w:r w:rsidR="000458C3" w:rsidRPr="004D383C">
        <w:t>n</w:t>
      </w:r>
      <w:r w:rsidR="00B143A4" w:rsidRPr="004D383C">
        <w:t xml:space="preserve">uclear </w:t>
      </w:r>
      <w:r w:rsidR="000458C3" w:rsidRPr="004D383C">
        <w:t>m</w:t>
      </w:r>
      <w:r w:rsidR="00B143A4" w:rsidRPr="004D383C">
        <w:t xml:space="preserve">edicine technologists certified after 1980.  This request is for </w:t>
      </w:r>
      <w:r w:rsidR="003F1491" w:rsidRPr="004D383C">
        <w:t>reinstate</w:t>
      </w:r>
      <w:r w:rsidR="00B143A4" w:rsidRPr="004D383C">
        <w:t>ment</w:t>
      </w:r>
      <w:r w:rsidR="00C40FDD" w:rsidRPr="004D383C">
        <w:t xml:space="preserve"> with change</w:t>
      </w:r>
      <w:r w:rsidR="003F1491" w:rsidRPr="004D383C">
        <w:t>,</w:t>
      </w:r>
      <w:r w:rsidR="00B143A4" w:rsidRPr="004D383C">
        <w:t xml:space="preserve"> of</w:t>
      </w:r>
      <w:r w:rsidR="00E631C3" w:rsidRPr="004D383C">
        <w:t xml:space="preserve"> </w:t>
      </w:r>
      <w:r w:rsidR="001643B3" w:rsidRPr="004D383C">
        <w:t xml:space="preserve">the </w:t>
      </w:r>
      <w:r w:rsidR="00774948" w:rsidRPr="004D383C">
        <w:t>p</w:t>
      </w:r>
      <w:r w:rsidRPr="004D383C">
        <w:t>reviously-approved</w:t>
      </w:r>
      <w:r w:rsidR="00774948" w:rsidRPr="004D383C">
        <w:t xml:space="preserve"> (OMB No. 0925-</w:t>
      </w:r>
      <w:r w:rsidR="001643B3" w:rsidRPr="004D383C">
        <w:t>0656</w:t>
      </w:r>
      <w:r w:rsidR="00774948" w:rsidRPr="004D383C">
        <w:t>)</w:t>
      </w:r>
      <w:r w:rsidR="0065060C" w:rsidRPr="004D383C">
        <w:t xml:space="preserve"> </w:t>
      </w:r>
      <w:r w:rsidR="0065060C" w:rsidRPr="004D383C">
        <w:rPr>
          <w:i/>
        </w:rPr>
        <w:t>U.S. Radiologic Technologists</w:t>
      </w:r>
      <w:r w:rsidR="00D1704E" w:rsidRPr="004D383C">
        <w:rPr>
          <w:i/>
        </w:rPr>
        <w:t xml:space="preserve"> </w:t>
      </w:r>
      <w:r w:rsidR="00747F37" w:rsidRPr="004D383C">
        <w:rPr>
          <w:i/>
        </w:rPr>
        <w:t>Study</w:t>
      </w:r>
      <w:r w:rsidR="00747F37" w:rsidRPr="004D383C">
        <w:t xml:space="preserve"> </w:t>
      </w:r>
      <w:r w:rsidR="00540488" w:rsidRPr="004D383C">
        <w:t>F</w:t>
      </w:r>
      <w:r w:rsidR="003F1491" w:rsidRPr="004D383C">
        <w:t xml:space="preserve">ourth </w:t>
      </w:r>
      <w:r w:rsidR="00540488" w:rsidRPr="004D383C">
        <w:t>S</w:t>
      </w:r>
      <w:r w:rsidR="003F1491" w:rsidRPr="004D383C">
        <w:t xml:space="preserve">urvey </w:t>
      </w:r>
      <w:r w:rsidR="00B143A4" w:rsidRPr="004D383C">
        <w:t>Radioisotope Procedures</w:t>
      </w:r>
      <w:r w:rsidR="001643B3" w:rsidRPr="004D383C">
        <w:t xml:space="preserve"> </w:t>
      </w:r>
      <w:r w:rsidR="00B143A4" w:rsidRPr="004D383C">
        <w:t>Q</w:t>
      </w:r>
      <w:r w:rsidR="003F1491" w:rsidRPr="004D383C">
        <w:t>uestionnaire</w:t>
      </w:r>
      <w:r w:rsidR="001643B3" w:rsidRPr="004D383C">
        <w:t xml:space="preserve"> (</w:t>
      </w:r>
      <w:r w:rsidR="00F9104D" w:rsidRPr="004D383C">
        <w:rPr>
          <w:b/>
        </w:rPr>
        <w:t>Supplementary Document S1</w:t>
      </w:r>
      <w:r w:rsidR="001643B3" w:rsidRPr="004D383C">
        <w:t>)</w:t>
      </w:r>
      <w:r w:rsidR="000458C3" w:rsidRPr="004D383C">
        <w:t xml:space="preserve"> that was</w:t>
      </w:r>
      <w:r w:rsidR="008C02D9" w:rsidRPr="004D383C">
        <w:t xml:space="preserve"> </w:t>
      </w:r>
      <w:r w:rsidR="001643B3" w:rsidRPr="004D383C">
        <w:t xml:space="preserve">completed by 6,300 of 9,400 (67%) </w:t>
      </w:r>
      <w:r w:rsidR="008C02D9" w:rsidRPr="004D383C">
        <w:t>general radiologic technologist</w:t>
      </w:r>
      <w:r w:rsidR="001643B3" w:rsidRPr="004D383C">
        <w:t>s</w:t>
      </w:r>
      <w:r w:rsidR="008C02D9" w:rsidRPr="004D383C">
        <w:t xml:space="preserve"> certified </w:t>
      </w:r>
      <w:r w:rsidR="00B143A4" w:rsidRPr="004D383C">
        <w:t>through</w:t>
      </w:r>
      <w:r w:rsidR="008C02D9" w:rsidRPr="004D383C">
        <w:t xml:space="preserve"> 1980</w:t>
      </w:r>
      <w:r w:rsidR="000458C3" w:rsidRPr="004D383C">
        <w:t xml:space="preserve"> who </w:t>
      </w:r>
      <w:r w:rsidR="00D860B3" w:rsidRPr="004D383C">
        <w:t xml:space="preserve">reported </w:t>
      </w:r>
      <w:r w:rsidR="00B143A4" w:rsidRPr="004D383C">
        <w:t xml:space="preserve">working with nuclear medicine procedures at least once a month for a year or more </w:t>
      </w:r>
      <w:r w:rsidR="00D860B3" w:rsidRPr="004D383C">
        <w:t xml:space="preserve">in the Work History Section of </w:t>
      </w:r>
      <w:r w:rsidR="00B143A4" w:rsidRPr="004D383C">
        <w:t xml:space="preserve">the </w:t>
      </w:r>
      <w:r w:rsidR="0065060C" w:rsidRPr="004D383C">
        <w:rPr>
          <w:i/>
        </w:rPr>
        <w:t>U.S. Radiologic Technologists Study</w:t>
      </w:r>
      <w:r w:rsidR="00747F37" w:rsidRPr="004D383C">
        <w:t xml:space="preserve"> </w:t>
      </w:r>
      <w:r w:rsidR="00540488" w:rsidRPr="004D383C">
        <w:t>F</w:t>
      </w:r>
      <w:r w:rsidR="00774948" w:rsidRPr="004D383C">
        <w:t xml:space="preserve">ourth </w:t>
      </w:r>
      <w:r w:rsidR="00540488" w:rsidRPr="004D383C">
        <w:t>S</w:t>
      </w:r>
      <w:r w:rsidR="00774948" w:rsidRPr="004D383C">
        <w:t xml:space="preserve">urvey </w:t>
      </w:r>
      <w:r w:rsidR="00B143A4" w:rsidRPr="004D383C">
        <w:t>G</w:t>
      </w:r>
      <w:r w:rsidR="00E83E53" w:rsidRPr="004D383C">
        <w:t>eneral</w:t>
      </w:r>
      <w:r w:rsidR="00B143A4" w:rsidRPr="004D383C">
        <w:t xml:space="preserve"> Q</w:t>
      </w:r>
      <w:r w:rsidR="00774948" w:rsidRPr="004D383C">
        <w:t>uestionnaire (</w:t>
      </w:r>
      <w:r w:rsidR="00F9104D" w:rsidRPr="004D383C">
        <w:rPr>
          <w:b/>
        </w:rPr>
        <w:t>Supplementary Document S2</w:t>
      </w:r>
      <w:r w:rsidR="00D860B3" w:rsidRPr="004D383C">
        <w:t>)</w:t>
      </w:r>
      <w:r w:rsidR="000458C3" w:rsidRPr="004D383C">
        <w:t xml:space="preserve">.  </w:t>
      </w:r>
      <w:r w:rsidR="00C40FDD" w:rsidRPr="004D383C">
        <w:t>This change caused additional question development and thus the need for additional time pass the expiration date</w:t>
      </w:r>
      <w:r w:rsidR="00C722CE">
        <w:t>; t</w:t>
      </w:r>
      <w:r w:rsidR="00C40FDD" w:rsidRPr="004D383C">
        <w:t xml:space="preserve">hus causing the submission of a reinstatement with change. </w:t>
      </w:r>
      <w:r w:rsidR="000458C3" w:rsidRPr="004D383C">
        <w:t>The General Questionnaire</w:t>
      </w:r>
      <w:r w:rsidR="00D860B3" w:rsidRPr="004D383C">
        <w:t xml:space="preserve"> was completed by 58,677 of 93,787 (63%</w:t>
      </w:r>
      <w:r w:rsidR="000458C3" w:rsidRPr="004D383C">
        <w:t xml:space="preserve">) </w:t>
      </w:r>
      <w:r w:rsidR="00D860B3" w:rsidRPr="004D383C">
        <w:t xml:space="preserve">known living study participants.  </w:t>
      </w:r>
      <w:r w:rsidR="000458C3" w:rsidRPr="004D383C">
        <w:t xml:space="preserve"> The </w:t>
      </w:r>
      <w:r w:rsidR="00743BC0" w:rsidRPr="004D383C">
        <w:rPr>
          <w:i/>
        </w:rPr>
        <w:t>U.S. Nuclear Medicine Technologists Feasibility Study</w:t>
      </w:r>
      <w:r w:rsidR="00743BC0" w:rsidRPr="004D383C">
        <w:t xml:space="preserve"> Nuclear Medicine Procedures Questionnaire (Attachment 1), for which OMB approval is requested, is a minor revision (see </w:t>
      </w:r>
      <w:r w:rsidR="00743BC0" w:rsidRPr="004D383C">
        <w:rPr>
          <w:b/>
        </w:rPr>
        <w:t>Attachment 2</w:t>
      </w:r>
      <w:r w:rsidR="00743BC0" w:rsidRPr="004D383C">
        <w:t xml:space="preserve">) of the </w:t>
      </w:r>
      <w:r w:rsidR="000458C3" w:rsidRPr="004D383C">
        <w:t xml:space="preserve">previously-approved </w:t>
      </w:r>
      <w:r w:rsidR="00743BC0" w:rsidRPr="004D383C">
        <w:rPr>
          <w:i/>
        </w:rPr>
        <w:t>U.S. Radiologic Technologists Study</w:t>
      </w:r>
      <w:r w:rsidR="00743BC0" w:rsidRPr="004D383C">
        <w:t xml:space="preserve"> </w:t>
      </w:r>
      <w:r w:rsidR="000458C3" w:rsidRPr="004D383C">
        <w:t xml:space="preserve">Radioisotope </w:t>
      </w:r>
      <w:r w:rsidR="000458C3" w:rsidRPr="004D383C">
        <w:lastRenderedPageBreak/>
        <w:t>Procedures Questionnaire (</w:t>
      </w:r>
      <w:r w:rsidR="003D13E0" w:rsidRPr="004D383C">
        <w:rPr>
          <w:b/>
        </w:rPr>
        <w:t>Supplementary Document</w:t>
      </w:r>
      <w:r w:rsidR="003D13E0" w:rsidRPr="004D383C">
        <w:t xml:space="preserve"> </w:t>
      </w:r>
      <w:r w:rsidR="00D028C6" w:rsidRPr="004D383C">
        <w:rPr>
          <w:b/>
        </w:rPr>
        <w:t>S</w:t>
      </w:r>
      <w:r w:rsidR="000458C3" w:rsidRPr="004D383C">
        <w:rPr>
          <w:b/>
        </w:rPr>
        <w:t>1</w:t>
      </w:r>
      <w:r w:rsidR="000458C3" w:rsidRPr="004D383C">
        <w:t>)</w:t>
      </w:r>
      <w:r w:rsidR="00865B25" w:rsidRPr="004D383C">
        <w:t xml:space="preserve">. </w:t>
      </w:r>
      <w:r w:rsidR="000458C3" w:rsidRPr="004D383C">
        <w:t xml:space="preserve"> </w:t>
      </w:r>
      <w:r w:rsidR="00B14CC5" w:rsidRPr="004D383C">
        <w:t xml:space="preserve">The </w:t>
      </w:r>
      <w:r w:rsidR="003D13E0" w:rsidRPr="004D383C">
        <w:rPr>
          <w:i/>
        </w:rPr>
        <w:t>U.S. Radiologic Technologists Study</w:t>
      </w:r>
      <w:r w:rsidR="003D13E0" w:rsidRPr="004D383C">
        <w:t>,</w:t>
      </w:r>
      <w:r w:rsidR="00C40FDD" w:rsidRPr="004D383C">
        <w:t xml:space="preserve"> </w:t>
      </w:r>
      <w:r w:rsidR="00B14CC5" w:rsidRPr="004D383C">
        <w:t>Fourth Survey General Questionnaire (</w:t>
      </w:r>
      <w:r w:rsidR="00D028C6" w:rsidRPr="004D383C">
        <w:rPr>
          <w:b/>
        </w:rPr>
        <w:t xml:space="preserve">Supplementary Document </w:t>
      </w:r>
      <w:r w:rsidR="00B14CC5" w:rsidRPr="004D383C">
        <w:rPr>
          <w:b/>
        </w:rPr>
        <w:t>S2</w:t>
      </w:r>
      <w:r w:rsidR="00B14CC5" w:rsidRPr="004D383C">
        <w:t>) will not be used; however, modified versions of questions 2 and 23 will be added to the Nuclear Medicine Procedures questionnaire</w:t>
      </w:r>
      <w:r w:rsidR="00774948" w:rsidRPr="004D383C">
        <w:t xml:space="preserve"> </w:t>
      </w:r>
      <w:r w:rsidR="00AF3D43" w:rsidRPr="004D383C">
        <w:t xml:space="preserve">(see </w:t>
      </w:r>
      <w:r w:rsidR="00747F37" w:rsidRPr="004D383C">
        <w:rPr>
          <w:b/>
        </w:rPr>
        <w:t>Attachment 2</w:t>
      </w:r>
      <w:r w:rsidR="00AF3D43" w:rsidRPr="004D383C">
        <w:t>)</w:t>
      </w:r>
      <w:r w:rsidR="0061770D" w:rsidRPr="004D383C">
        <w:t>.</w:t>
      </w:r>
      <w:r w:rsidR="00AF3D43" w:rsidRPr="004D383C">
        <w:t xml:space="preserve"> </w:t>
      </w:r>
    </w:p>
    <w:p w14:paraId="2E8671B4" w14:textId="4E3CE6BC" w:rsidR="006D3F92" w:rsidRPr="004D383C" w:rsidRDefault="00865B25" w:rsidP="00747F37">
      <w:pPr>
        <w:tabs>
          <w:tab w:val="left" w:pos="720"/>
        </w:tabs>
        <w:spacing w:line="480" w:lineRule="auto"/>
        <w:ind w:firstLine="720"/>
      </w:pPr>
      <w:r w:rsidRPr="004D383C">
        <w:t xml:space="preserve">The </w:t>
      </w:r>
      <w:r w:rsidR="00747F37" w:rsidRPr="004D383C">
        <w:t xml:space="preserve">proposed </w:t>
      </w:r>
      <w:r w:rsidRPr="004D383C">
        <w:t>Nuclear Medicine Procedures questionnaire will collect</w:t>
      </w:r>
      <w:r w:rsidR="001643B3" w:rsidRPr="004D383C">
        <w:t xml:space="preserve"> h</w:t>
      </w:r>
      <w:r w:rsidR="00774948" w:rsidRPr="004D383C">
        <w:t>istorical information on years worked with nuclear medicine, specific procedures</w:t>
      </w:r>
      <w:r w:rsidR="001012CF" w:rsidRPr="004D383C">
        <w:t xml:space="preserve"> performed,</w:t>
      </w:r>
      <w:r w:rsidR="00E52025" w:rsidRPr="004D383C">
        <w:t xml:space="preserve"> radioisotopes used</w:t>
      </w:r>
      <w:r w:rsidR="00774948" w:rsidRPr="004D383C">
        <w:t>,</w:t>
      </w:r>
      <w:r w:rsidR="008C02D9" w:rsidRPr="004D383C">
        <w:t xml:space="preserve"> and related</w:t>
      </w:r>
      <w:r w:rsidR="00E52025" w:rsidRPr="004D383C">
        <w:t xml:space="preserve"> work </w:t>
      </w:r>
      <w:r w:rsidR="008C02D9" w:rsidRPr="004D383C">
        <w:t xml:space="preserve">and radiation protection </w:t>
      </w:r>
      <w:r w:rsidR="00E52025" w:rsidRPr="004D383C">
        <w:t>practices</w:t>
      </w:r>
      <w:r w:rsidR="00774948" w:rsidRPr="004D383C">
        <w:t>.</w:t>
      </w:r>
      <w:r w:rsidR="003F1491" w:rsidRPr="004D383C">
        <w:t xml:space="preserve">  </w:t>
      </w:r>
      <w:r w:rsidRPr="004D383C">
        <w:t xml:space="preserve"> </w:t>
      </w:r>
      <w:r w:rsidR="007A4DE2" w:rsidRPr="004D383C">
        <w:t>P</w:t>
      </w:r>
      <w:r w:rsidR="008C02D9" w:rsidRPr="004D383C">
        <w:t xml:space="preserve">laces of employment will be asked to assist in obtaining historical badge dose readings </w:t>
      </w:r>
      <w:r w:rsidR="00CE2A53" w:rsidRPr="004D383C">
        <w:t xml:space="preserve">from </w:t>
      </w:r>
      <w:r w:rsidR="00E631C3" w:rsidRPr="004D383C">
        <w:t xml:space="preserve">a </w:t>
      </w:r>
      <w:r w:rsidR="00CE2A53" w:rsidRPr="004D383C">
        <w:t xml:space="preserve">commercial dosimetry provider.  </w:t>
      </w:r>
      <w:r w:rsidR="008C02D9" w:rsidRPr="004D383C">
        <w:t>The b</w:t>
      </w:r>
      <w:r w:rsidR="00E631C3" w:rsidRPr="004D383C">
        <w:t>adge dose</w:t>
      </w:r>
      <w:r w:rsidR="007A4DE2" w:rsidRPr="004D383C">
        <w:t xml:space="preserve"> readings</w:t>
      </w:r>
      <w:r w:rsidR="00CE2A53" w:rsidRPr="004D383C">
        <w:t xml:space="preserve"> will be used in conjunction with the work history information to estimate annual and cumulative organ-specific radiation doses for individual nuclear medicine technologists.   </w:t>
      </w:r>
    </w:p>
    <w:p w14:paraId="3EB07716" w14:textId="09087212" w:rsidR="00661D2F" w:rsidRPr="004D383C" w:rsidRDefault="00661D2F" w:rsidP="00661D2F">
      <w:pPr>
        <w:pStyle w:val="CommentText"/>
        <w:tabs>
          <w:tab w:val="left" w:pos="720"/>
        </w:tabs>
        <w:spacing w:line="480" w:lineRule="auto"/>
      </w:pPr>
      <w:r w:rsidRPr="004D383C">
        <w:rPr>
          <w:sz w:val="24"/>
          <w:szCs w:val="24"/>
        </w:rPr>
        <w:tab/>
      </w:r>
      <w:r w:rsidR="00884BC9" w:rsidRPr="004D383C">
        <w:rPr>
          <w:sz w:val="24"/>
          <w:szCs w:val="24"/>
        </w:rPr>
        <w:t>In this information collection we will be</w:t>
      </w:r>
      <w:r w:rsidR="00485489" w:rsidRPr="004D383C">
        <w:rPr>
          <w:sz w:val="24"/>
          <w:szCs w:val="24"/>
        </w:rPr>
        <w:t xml:space="preserve"> </w:t>
      </w:r>
      <w:r w:rsidR="00884BC9" w:rsidRPr="004D383C">
        <w:rPr>
          <w:sz w:val="24"/>
          <w:szCs w:val="24"/>
        </w:rPr>
        <w:t>sending</w:t>
      </w:r>
      <w:r w:rsidR="00485489" w:rsidRPr="004D383C">
        <w:rPr>
          <w:sz w:val="24"/>
          <w:szCs w:val="24"/>
        </w:rPr>
        <w:t xml:space="preserve"> a</w:t>
      </w:r>
      <w:r w:rsidR="00E37BF1" w:rsidRPr="004D383C">
        <w:rPr>
          <w:sz w:val="24"/>
          <w:szCs w:val="24"/>
        </w:rPr>
        <w:t xml:space="preserve"> recruitment</w:t>
      </w:r>
      <w:r w:rsidR="00485489" w:rsidRPr="004D383C">
        <w:rPr>
          <w:sz w:val="24"/>
          <w:szCs w:val="24"/>
        </w:rPr>
        <w:t xml:space="preserve"> email</w:t>
      </w:r>
      <w:r w:rsidR="00E37BF1" w:rsidRPr="004D383C">
        <w:rPr>
          <w:sz w:val="24"/>
          <w:szCs w:val="24"/>
        </w:rPr>
        <w:t xml:space="preserve"> </w:t>
      </w:r>
      <w:r w:rsidR="00884BC9" w:rsidRPr="004D383C">
        <w:rPr>
          <w:sz w:val="24"/>
          <w:szCs w:val="24"/>
        </w:rPr>
        <w:t>(</w:t>
      </w:r>
      <w:r w:rsidR="00884BC9" w:rsidRPr="004D383C">
        <w:rPr>
          <w:b/>
          <w:sz w:val="24"/>
          <w:szCs w:val="24"/>
        </w:rPr>
        <w:t xml:space="preserve">Attachment </w:t>
      </w:r>
      <w:r w:rsidRPr="004D383C">
        <w:rPr>
          <w:b/>
          <w:sz w:val="24"/>
          <w:szCs w:val="24"/>
        </w:rPr>
        <w:t>3</w:t>
      </w:r>
      <w:r w:rsidR="009A0E95" w:rsidRPr="004D383C">
        <w:rPr>
          <w:b/>
          <w:sz w:val="24"/>
          <w:szCs w:val="24"/>
        </w:rPr>
        <w:t>A</w:t>
      </w:r>
      <w:r w:rsidR="00884BC9" w:rsidRPr="004D383C">
        <w:rPr>
          <w:sz w:val="24"/>
          <w:szCs w:val="24"/>
        </w:rPr>
        <w:t>)</w:t>
      </w:r>
      <w:r w:rsidR="00853485" w:rsidRPr="004D383C">
        <w:rPr>
          <w:sz w:val="24"/>
          <w:szCs w:val="24"/>
        </w:rPr>
        <w:t xml:space="preserve"> and follow-up emails</w:t>
      </w:r>
      <w:r w:rsidRPr="004D383C">
        <w:rPr>
          <w:sz w:val="24"/>
          <w:szCs w:val="24"/>
        </w:rPr>
        <w:t xml:space="preserve"> (</w:t>
      </w:r>
      <w:r w:rsidRPr="004D383C">
        <w:rPr>
          <w:b/>
          <w:sz w:val="24"/>
          <w:szCs w:val="24"/>
        </w:rPr>
        <w:t>Attachment 3B</w:t>
      </w:r>
      <w:r w:rsidRPr="004D383C">
        <w:rPr>
          <w:sz w:val="24"/>
          <w:szCs w:val="24"/>
        </w:rPr>
        <w:t>),</w:t>
      </w:r>
      <w:r w:rsidR="00884BC9" w:rsidRPr="004D383C">
        <w:rPr>
          <w:sz w:val="24"/>
          <w:szCs w:val="24"/>
        </w:rPr>
        <w:t xml:space="preserve"> </w:t>
      </w:r>
      <w:r w:rsidR="00D3514D" w:rsidRPr="004D383C">
        <w:rPr>
          <w:sz w:val="24"/>
          <w:szCs w:val="24"/>
        </w:rPr>
        <w:t xml:space="preserve">as needed, </w:t>
      </w:r>
      <w:r w:rsidR="00884BC9" w:rsidRPr="004D383C">
        <w:rPr>
          <w:sz w:val="24"/>
          <w:szCs w:val="24"/>
        </w:rPr>
        <w:t xml:space="preserve">to </w:t>
      </w:r>
      <w:r w:rsidRPr="004D383C">
        <w:rPr>
          <w:sz w:val="24"/>
          <w:szCs w:val="24"/>
        </w:rPr>
        <w:t xml:space="preserve">encourage </w:t>
      </w:r>
      <w:r w:rsidR="00865B25" w:rsidRPr="004D383C">
        <w:rPr>
          <w:sz w:val="24"/>
          <w:szCs w:val="24"/>
        </w:rPr>
        <w:t>individuals</w:t>
      </w:r>
      <w:r w:rsidR="00884BC9" w:rsidRPr="004D383C">
        <w:rPr>
          <w:sz w:val="24"/>
          <w:szCs w:val="24"/>
        </w:rPr>
        <w:t xml:space="preserve"> to </w:t>
      </w:r>
      <w:r w:rsidR="00540488" w:rsidRPr="004D383C">
        <w:rPr>
          <w:sz w:val="24"/>
          <w:szCs w:val="24"/>
        </w:rPr>
        <w:t xml:space="preserve">participate in the study and </w:t>
      </w:r>
      <w:r w:rsidR="00884BC9" w:rsidRPr="004D383C">
        <w:rPr>
          <w:sz w:val="24"/>
          <w:szCs w:val="24"/>
        </w:rPr>
        <w:t xml:space="preserve">complete </w:t>
      </w:r>
      <w:r w:rsidR="00485489" w:rsidRPr="004D383C">
        <w:rPr>
          <w:sz w:val="24"/>
          <w:szCs w:val="24"/>
        </w:rPr>
        <w:t>the questionnaire</w:t>
      </w:r>
      <w:r w:rsidR="00884BC9" w:rsidRPr="004D383C">
        <w:rPr>
          <w:sz w:val="24"/>
          <w:szCs w:val="24"/>
        </w:rPr>
        <w:t xml:space="preserve">. </w:t>
      </w:r>
      <w:r w:rsidR="009A0E95" w:rsidRPr="004D383C">
        <w:rPr>
          <w:sz w:val="24"/>
          <w:szCs w:val="24"/>
        </w:rPr>
        <w:t xml:space="preserve"> </w:t>
      </w:r>
      <w:r w:rsidR="00853485" w:rsidRPr="004D383C">
        <w:rPr>
          <w:sz w:val="24"/>
          <w:szCs w:val="24"/>
        </w:rPr>
        <w:t>The email</w:t>
      </w:r>
      <w:r w:rsidRPr="004D383C">
        <w:rPr>
          <w:sz w:val="24"/>
          <w:szCs w:val="24"/>
        </w:rPr>
        <w:t>s</w:t>
      </w:r>
      <w:r w:rsidR="00853485" w:rsidRPr="004D383C">
        <w:rPr>
          <w:sz w:val="24"/>
          <w:szCs w:val="24"/>
        </w:rPr>
        <w:t xml:space="preserve"> will include </w:t>
      </w:r>
      <w:r w:rsidRPr="004D383C">
        <w:rPr>
          <w:sz w:val="24"/>
          <w:szCs w:val="24"/>
        </w:rPr>
        <w:t xml:space="preserve">a </w:t>
      </w:r>
      <w:r w:rsidR="00853485" w:rsidRPr="004D383C">
        <w:rPr>
          <w:sz w:val="24"/>
          <w:szCs w:val="24"/>
        </w:rPr>
        <w:t>consent information</w:t>
      </w:r>
      <w:r w:rsidRPr="004D383C">
        <w:rPr>
          <w:sz w:val="24"/>
          <w:szCs w:val="24"/>
        </w:rPr>
        <w:t xml:space="preserve"> sheet</w:t>
      </w:r>
      <w:r w:rsidR="00853485" w:rsidRPr="004D383C">
        <w:rPr>
          <w:sz w:val="24"/>
          <w:szCs w:val="24"/>
        </w:rPr>
        <w:t xml:space="preserve"> (</w:t>
      </w:r>
      <w:r w:rsidR="00853485" w:rsidRPr="004D383C">
        <w:rPr>
          <w:b/>
          <w:sz w:val="24"/>
          <w:szCs w:val="24"/>
        </w:rPr>
        <w:t xml:space="preserve">Attachment </w:t>
      </w:r>
      <w:r w:rsidRPr="004D383C">
        <w:rPr>
          <w:b/>
          <w:sz w:val="24"/>
          <w:szCs w:val="24"/>
        </w:rPr>
        <w:t>4</w:t>
      </w:r>
      <w:r w:rsidR="00853485" w:rsidRPr="004D383C">
        <w:rPr>
          <w:sz w:val="24"/>
          <w:szCs w:val="24"/>
        </w:rPr>
        <w:t xml:space="preserve">), a link to the </w:t>
      </w:r>
      <w:r w:rsidR="00865B25" w:rsidRPr="004D383C">
        <w:rPr>
          <w:sz w:val="24"/>
          <w:szCs w:val="24"/>
        </w:rPr>
        <w:t xml:space="preserve">study webpage, </w:t>
      </w:r>
      <w:r w:rsidR="00853485" w:rsidRPr="004D383C">
        <w:rPr>
          <w:sz w:val="24"/>
          <w:szCs w:val="24"/>
        </w:rPr>
        <w:t xml:space="preserve">and individual-specific login </w:t>
      </w:r>
      <w:r w:rsidR="00780ABF" w:rsidRPr="004D383C">
        <w:rPr>
          <w:sz w:val="24"/>
          <w:szCs w:val="24"/>
        </w:rPr>
        <w:t>information</w:t>
      </w:r>
      <w:r w:rsidR="00853485" w:rsidRPr="004D383C">
        <w:rPr>
          <w:sz w:val="24"/>
          <w:szCs w:val="24"/>
        </w:rPr>
        <w:t xml:space="preserve">.  </w:t>
      </w:r>
      <w:r w:rsidRPr="004D383C">
        <w:rPr>
          <w:sz w:val="24"/>
          <w:szCs w:val="24"/>
        </w:rPr>
        <w:t xml:space="preserve"> Before responding to the </w:t>
      </w:r>
      <w:r w:rsidR="00853485" w:rsidRPr="004D383C">
        <w:rPr>
          <w:sz w:val="24"/>
          <w:szCs w:val="24"/>
        </w:rPr>
        <w:t xml:space="preserve">questionnaire, technologists will </w:t>
      </w:r>
      <w:r w:rsidRPr="004D383C">
        <w:rPr>
          <w:sz w:val="24"/>
          <w:szCs w:val="24"/>
        </w:rPr>
        <w:t xml:space="preserve">need to </w:t>
      </w:r>
      <w:r w:rsidR="00C368F7" w:rsidRPr="004D383C">
        <w:rPr>
          <w:sz w:val="24"/>
          <w:szCs w:val="24"/>
        </w:rPr>
        <w:t xml:space="preserve">read the consent </w:t>
      </w:r>
      <w:r w:rsidRPr="004D383C">
        <w:rPr>
          <w:sz w:val="24"/>
          <w:szCs w:val="24"/>
        </w:rPr>
        <w:t>and respond to two consent questions</w:t>
      </w:r>
      <w:r w:rsidR="00C368F7" w:rsidRPr="004D383C">
        <w:rPr>
          <w:sz w:val="24"/>
          <w:szCs w:val="24"/>
        </w:rPr>
        <w:t xml:space="preserve"> at</w:t>
      </w:r>
      <w:r w:rsidRPr="004D383C">
        <w:rPr>
          <w:sz w:val="24"/>
          <w:szCs w:val="24"/>
        </w:rPr>
        <w:t>: (a) do you consent to complete the online survey about your nuclear medicine work history and employers; and (b) do you consent to allow study researchers to request your badge dose records from commercial dosimetry providers?</w:t>
      </w:r>
    </w:p>
    <w:p w14:paraId="0E7C755E" w14:textId="5582DB8E" w:rsidR="00394A3A" w:rsidRPr="004D383C" w:rsidRDefault="00F20E2F" w:rsidP="006D3F92">
      <w:pPr>
        <w:tabs>
          <w:tab w:val="left" w:pos="720"/>
          <w:tab w:val="left" w:pos="2250"/>
        </w:tabs>
        <w:spacing w:line="480" w:lineRule="auto"/>
        <w:rPr>
          <w:b/>
          <w:bCs/>
        </w:rPr>
      </w:pPr>
      <w:r w:rsidRPr="004D383C">
        <w:rPr>
          <w:b/>
          <w:bCs/>
        </w:rPr>
        <w:t>A.3</w:t>
      </w:r>
      <w:r w:rsidR="006D13C4" w:rsidRPr="004D383C">
        <w:rPr>
          <w:b/>
          <w:bCs/>
        </w:rPr>
        <w:tab/>
      </w:r>
      <w:r w:rsidR="00394A3A" w:rsidRPr="004D383C">
        <w:rPr>
          <w:b/>
          <w:bCs/>
        </w:rPr>
        <w:t>Use of Information Technology and Burden Reduction</w:t>
      </w:r>
    </w:p>
    <w:p w14:paraId="67A53005" w14:textId="7DBBE116" w:rsidR="00D3514D" w:rsidRPr="004D383C" w:rsidRDefault="005C3B20" w:rsidP="00F20E2F">
      <w:pPr>
        <w:tabs>
          <w:tab w:val="left" w:pos="720"/>
        </w:tabs>
        <w:spacing w:line="480" w:lineRule="auto"/>
        <w:ind w:firstLine="720"/>
      </w:pPr>
      <w:r w:rsidRPr="004D383C">
        <w:t>I</w:t>
      </w:r>
      <w:r w:rsidR="00394A3A" w:rsidRPr="004D383C">
        <w:t xml:space="preserve">nformation </w:t>
      </w:r>
      <w:r w:rsidRPr="004D383C">
        <w:t xml:space="preserve">will be </w:t>
      </w:r>
      <w:r w:rsidR="00394A3A" w:rsidRPr="004D383C">
        <w:t xml:space="preserve">collected from </w:t>
      </w:r>
      <w:r w:rsidR="001012CF" w:rsidRPr="004D383C">
        <w:t>nuclear medicine technologists u</w:t>
      </w:r>
      <w:r w:rsidR="003142CA" w:rsidRPr="004D383C">
        <w:t>sing</w:t>
      </w:r>
      <w:r w:rsidRPr="004D383C">
        <w:t xml:space="preserve"> computer-assisted web interview (CAWI)</w:t>
      </w:r>
      <w:r w:rsidR="003142CA" w:rsidRPr="004D383C">
        <w:t xml:space="preserve"> technology.</w:t>
      </w:r>
      <w:r w:rsidRPr="004D383C">
        <w:t xml:space="preserve">  Screen shots of each page are provided in </w:t>
      </w:r>
      <w:r w:rsidRPr="004D383C">
        <w:rPr>
          <w:b/>
        </w:rPr>
        <w:t>Attachment 1</w:t>
      </w:r>
      <w:r w:rsidRPr="004D383C">
        <w:t xml:space="preserve">. </w:t>
      </w:r>
      <w:r w:rsidR="00394A3A" w:rsidRPr="004D383C">
        <w:t xml:space="preserve"> Every effort has been made to minimize the length of the questionnaire and to format </w:t>
      </w:r>
      <w:r w:rsidR="00D70477" w:rsidRPr="004D383C">
        <w:t>it</w:t>
      </w:r>
      <w:r w:rsidR="00394A3A" w:rsidRPr="004D383C">
        <w:t xml:space="preserve"> in a manner that w</w:t>
      </w:r>
      <w:r w:rsidR="00D70477" w:rsidRPr="004D383C">
        <w:t>ill</w:t>
      </w:r>
      <w:r w:rsidR="00394A3A" w:rsidRPr="004D383C">
        <w:t xml:space="preserve"> optimize clarity and minimize the burden on the respondent.  </w:t>
      </w:r>
      <w:r w:rsidR="00632787" w:rsidRPr="004D383C">
        <w:lastRenderedPageBreak/>
        <w:t xml:space="preserve">Responses for most questions involve checking a box or inserting a number; only </w:t>
      </w:r>
      <w:r w:rsidR="00885EBC" w:rsidRPr="004D383C">
        <w:t>a few</w:t>
      </w:r>
      <w:r w:rsidR="00632787" w:rsidRPr="004D383C">
        <w:t xml:space="preserve"> questions allow for limited write-in responses.  </w:t>
      </w:r>
      <w:r w:rsidR="00B603D1" w:rsidRPr="004D383C">
        <w:t xml:space="preserve">Skip patterns will reduce burden by allowing subjects to skip over questions that are not applicable.  </w:t>
      </w:r>
      <w:r w:rsidR="00394A3A" w:rsidRPr="004D383C">
        <w:t>The use of improved information technology</w:t>
      </w:r>
      <w:r w:rsidR="00632787" w:rsidRPr="004D383C">
        <w:t xml:space="preserve"> will lead to lower error rates by avoiding transcribed answers and potential distortion of information.</w:t>
      </w:r>
      <w:r w:rsidR="002B1EBA" w:rsidRPr="004D383C">
        <w:t xml:space="preserve">  </w:t>
      </w:r>
    </w:p>
    <w:p w14:paraId="601A7B33" w14:textId="77777777" w:rsidR="00FD07E0" w:rsidRPr="004D383C" w:rsidRDefault="00F20E2F" w:rsidP="004F647D">
      <w:pPr>
        <w:tabs>
          <w:tab w:val="left" w:pos="720"/>
        </w:tabs>
        <w:spacing w:line="480" w:lineRule="auto"/>
        <w:rPr>
          <w:b/>
          <w:bCs/>
        </w:rPr>
      </w:pPr>
      <w:r w:rsidRPr="004D383C">
        <w:rPr>
          <w:b/>
          <w:bCs/>
        </w:rPr>
        <w:t>A.4</w:t>
      </w:r>
      <w:r w:rsidR="0015756E" w:rsidRPr="004D383C">
        <w:rPr>
          <w:b/>
          <w:bCs/>
        </w:rPr>
        <w:tab/>
      </w:r>
      <w:r w:rsidR="00394A3A" w:rsidRPr="004D383C">
        <w:rPr>
          <w:b/>
          <w:bCs/>
        </w:rPr>
        <w:t>Efforts to Identify Duplication and Use of Similar Information</w:t>
      </w:r>
    </w:p>
    <w:p w14:paraId="78761A5F" w14:textId="4EF05CCB" w:rsidR="00DD5335" w:rsidRPr="004D383C" w:rsidRDefault="00F25958" w:rsidP="008C33D8">
      <w:pPr>
        <w:tabs>
          <w:tab w:val="left" w:pos="0"/>
        </w:tabs>
        <w:autoSpaceDE w:val="0"/>
        <w:autoSpaceDN w:val="0"/>
        <w:adjustRightInd w:val="0"/>
        <w:spacing w:line="480" w:lineRule="auto"/>
      </w:pPr>
      <w:r w:rsidRPr="004D383C">
        <w:tab/>
      </w:r>
      <w:r w:rsidR="00EE309C" w:rsidRPr="004D383C">
        <w:t xml:space="preserve">The information </w:t>
      </w:r>
      <w:r w:rsidR="00DD5335" w:rsidRPr="004D383C">
        <w:t xml:space="preserve">that will be </w:t>
      </w:r>
      <w:r w:rsidR="00EE309C" w:rsidRPr="004D383C">
        <w:t xml:space="preserve">collected </w:t>
      </w:r>
      <w:r w:rsidRPr="004D383C">
        <w:t>from</w:t>
      </w:r>
      <w:r w:rsidR="00DD5335" w:rsidRPr="004D383C">
        <w:t xml:space="preserve"> nuclear medicine </w:t>
      </w:r>
      <w:r w:rsidR="009670EA" w:rsidRPr="004D383C">
        <w:t xml:space="preserve">technologists certified after </w:t>
      </w:r>
      <w:r w:rsidR="00DD5335" w:rsidRPr="004D383C">
        <w:t xml:space="preserve">1980 </w:t>
      </w:r>
      <w:r w:rsidR="00EE309C" w:rsidRPr="004D383C">
        <w:t>is not found anywhere else.</w:t>
      </w:r>
      <w:r w:rsidRPr="004D383C">
        <w:t xml:space="preserve">  Similar information was collected from general radiologic technologists certified much earlier in time (</w:t>
      </w:r>
      <w:r w:rsidR="00C722CE">
        <w:t>1</w:t>
      </w:r>
      <w:r w:rsidRPr="004D383C">
        <w:t>926-1980) who reported performing at least some nuclear medicine procedures</w:t>
      </w:r>
      <w:r w:rsidR="006263D2" w:rsidRPr="004D383C">
        <w:t>.  H</w:t>
      </w:r>
      <w:r w:rsidRPr="004D383C">
        <w:t xml:space="preserve">owever, </w:t>
      </w:r>
      <w:r w:rsidR="006263D2" w:rsidRPr="004D383C">
        <w:t>owing to</w:t>
      </w:r>
      <w:r w:rsidRPr="004D383C">
        <w:t xml:space="preserve"> major changes in the field of nuclear medicine </w:t>
      </w:r>
      <w:r w:rsidR="006263D2" w:rsidRPr="004D383C">
        <w:t>in more recent years</w:t>
      </w:r>
      <w:r w:rsidRPr="004D383C">
        <w:t xml:space="preserve">, </w:t>
      </w:r>
      <w:r w:rsidR="006263D2" w:rsidRPr="004D383C">
        <w:t xml:space="preserve">work histories and </w:t>
      </w:r>
      <w:r w:rsidRPr="004D383C">
        <w:t xml:space="preserve">radiation exposures </w:t>
      </w:r>
      <w:r w:rsidR="006263D2" w:rsidRPr="004D383C">
        <w:t xml:space="preserve">in the two </w:t>
      </w:r>
      <w:r w:rsidRPr="004D383C">
        <w:t xml:space="preserve">groups are expected to be very different.    </w:t>
      </w:r>
      <w:r w:rsidR="00EE309C" w:rsidRPr="004D383C">
        <w:t xml:space="preserve"> </w:t>
      </w:r>
      <w:r w:rsidR="00A7791A" w:rsidRPr="004D383C">
        <w:t xml:space="preserve">  </w:t>
      </w:r>
      <w:r w:rsidR="00DD5335" w:rsidRPr="004D383C">
        <w:t xml:space="preserve"> </w:t>
      </w:r>
    </w:p>
    <w:p w14:paraId="72F53827" w14:textId="640C975A" w:rsidR="00B603D1" w:rsidRPr="004D383C" w:rsidRDefault="001C32EE" w:rsidP="00453103">
      <w:pPr>
        <w:autoSpaceDE w:val="0"/>
        <w:autoSpaceDN w:val="0"/>
        <w:adjustRightInd w:val="0"/>
        <w:spacing w:line="480" w:lineRule="auto"/>
        <w:ind w:firstLine="720"/>
      </w:pPr>
      <w:r w:rsidRPr="004D383C">
        <w:t>C</w:t>
      </w:r>
      <w:r w:rsidR="00D747AC" w:rsidRPr="004D383C">
        <w:t>ancer risks following ionizing radiation exposure have been widely studied</w:t>
      </w:r>
      <w:r w:rsidRPr="004D383C">
        <w:t xml:space="preserve"> </w:t>
      </w:r>
      <w:r w:rsidR="00453103" w:rsidRPr="004D383C">
        <w:t>but</w:t>
      </w:r>
      <w:r w:rsidR="00D747AC" w:rsidRPr="004D383C">
        <w:t xml:space="preserve"> quantitative estimates of external radiation-related cancer risk have been derived largely from studies of the Japanese atomic bomb survivors and therapeutically-irradiated patients (</w:t>
      </w:r>
      <w:r w:rsidR="00BD79B7" w:rsidRPr="004D383C">
        <w:t>8</w:t>
      </w:r>
      <w:r w:rsidR="00D747AC" w:rsidRPr="004D383C">
        <w:t xml:space="preserve">).  Cancer risk estimates from the Japanese atomic bomb survivor data and irradiated patients are based on a single acute radiation exposure or a few high radiation exposures over a relatively short period of time, respectively.  In contrast, there is a relative paucity of comparable quantitative risk estimates for cancer from epidemiological data of chronic low- to moderate-dose radiation exposures that occur more commonly in occupational and environmental settings.  Animal studies suggest that repeated, low-dose exposures may not have the same effect as a single or a few high dose exposures because of the opportunity for DNA repair.  </w:t>
      </w:r>
    </w:p>
    <w:p w14:paraId="47D56B60" w14:textId="62055DED" w:rsidR="00BA4020" w:rsidRPr="004D383C" w:rsidRDefault="00BA4020" w:rsidP="00BA4020">
      <w:pPr>
        <w:spacing w:line="480" w:lineRule="auto"/>
        <w:ind w:firstLine="720"/>
        <w:rPr>
          <w:rFonts w:eastAsia="Calibri"/>
        </w:rPr>
      </w:pPr>
      <w:r w:rsidRPr="004D383C">
        <w:rPr>
          <w:rFonts w:eastAsia="Calibri"/>
          <w:szCs w:val="22"/>
        </w:rPr>
        <w:t xml:space="preserve">Nuclear medicine procedures are non-invasive and involve the administration of radiopharmaceuticals to diagnose and treat a wide range of medical conditions.  This field of </w:t>
      </w:r>
      <w:r w:rsidRPr="004D383C">
        <w:rPr>
          <w:rFonts w:eastAsia="Calibri"/>
          <w:szCs w:val="22"/>
        </w:rPr>
        <w:lastRenderedPageBreak/>
        <w:t xml:space="preserve">medicine has grown and changed dramatically over the past few decades.  </w:t>
      </w:r>
      <w:r w:rsidRPr="004D383C">
        <w:rPr>
          <w:rFonts w:eastAsia="Calibri"/>
        </w:rPr>
        <w:t>Many radiopharmaceuticals and procedures used in previous decades are now obsolete and are being replaced by new and emerging radioisotopes and combined-modality and molecular imaging procedures</w:t>
      </w:r>
      <w:r w:rsidR="009E7FE5" w:rsidRPr="004D383C">
        <w:rPr>
          <w:rFonts w:eastAsia="Calibri"/>
        </w:rPr>
        <w:t xml:space="preserve"> (</w:t>
      </w:r>
      <w:r w:rsidR="005D0E4C" w:rsidRPr="004D383C">
        <w:rPr>
          <w:rFonts w:eastAsia="Calibri"/>
        </w:rPr>
        <w:t>9</w:t>
      </w:r>
      <w:r w:rsidR="009E7FE5" w:rsidRPr="004D383C">
        <w:rPr>
          <w:rFonts w:eastAsia="Calibri"/>
        </w:rPr>
        <w:t>)</w:t>
      </w:r>
      <w:r w:rsidRPr="004D383C">
        <w:rPr>
          <w:rFonts w:eastAsia="Calibri"/>
        </w:rPr>
        <w:t xml:space="preserve">.  Nuclear medicine technologists have become increasingly specialized in performing these newer procedures, and are performing these and other nuclear medicine procedures with increasing frequency. </w:t>
      </w:r>
      <w:r w:rsidRPr="004D383C">
        <w:rPr>
          <w:rFonts w:eastAsia="Calibri"/>
          <w:szCs w:val="22"/>
        </w:rPr>
        <w:t xml:space="preserve"> In the U.S., the number of nuclear medicine procedures performed increased from an estimated 7 million during 19</w:t>
      </w:r>
      <w:r w:rsidR="00A818C5" w:rsidRPr="004D383C">
        <w:rPr>
          <w:rFonts w:eastAsia="Calibri"/>
          <w:szCs w:val="22"/>
        </w:rPr>
        <w:t>80-1982 to 18 million in 2006 (</w:t>
      </w:r>
      <w:r w:rsidR="005D0E4C" w:rsidRPr="004D383C">
        <w:rPr>
          <w:rFonts w:eastAsia="Calibri"/>
          <w:szCs w:val="22"/>
        </w:rPr>
        <w:t>10</w:t>
      </w:r>
      <w:r w:rsidRPr="004D383C">
        <w:rPr>
          <w:rFonts w:eastAsia="Calibri"/>
          <w:szCs w:val="22"/>
        </w:rPr>
        <w:t>).  Although per-procedure doses to patients have generally decreased (</w:t>
      </w:r>
      <w:r w:rsidR="005D0E4C" w:rsidRPr="004D383C">
        <w:rPr>
          <w:rFonts w:eastAsia="Calibri"/>
          <w:szCs w:val="22"/>
        </w:rPr>
        <w:t>11</w:t>
      </w:r>
      <w:r w:rsidRPr="004D383C">
        <w:rPr>
          <w:rFonts w:eastAsia="Calibri"/>
          <w:szCs w:val="22"/>
        </w:rPr>
        <w:t xml:space="preserve">), the net effective dose to patients from all nuclear medicine procedures performed in the U.S. between the early 1970s and early 2000s increased 5- to 7-fold, mostly attributable to an increase in the number of relatively high-dose diagnostic cardiac </w:t>
      </w:r>
      <w:r w:rsidRPr="004D383C">
        <w:rPr>
          <w:rFonts w:eastAsia="Calibri"/>
        </w:rPr>
        <w:t xml:space="preserve">procedures </w:t>
      </w:r>
      <w:r w:rsidR="005D0E4C" w:rsidRPr="004D383C">
        <w:rPr>
          <w:rFonts w:eastAsia="Calibri"/>
        </w:rPr>
        <w:t>(12</w:t>
      </w:r>
      <w:r w:rsidRPr="004D383C">
        <w:rPr>
          <w:rFonts w:eastAsia="Calibri"/>
        </w:rPr>
        <w:t>).  At the same time, per-procedure occupational doses to nuclear medicine technologists and physicians are estimated to have increased (</w:t>
      </w:r>
      <w:r w:rsidR="005D0E4C" w:rsidRPr="004D383C">
        <w:rPr>
          <w:rFonts w:eastAsia="Calibri"/>
        </w:rPr>
        <w:t>13</w:t>
      </w:r>
      <w:r w:rsidRPr="004D383C">
        <w:rPr>
          <w:rFonts w:eastAsia="Calibri"/>
        </w:rPr>
        <w:t xml:space="preserve">). Although nuclear medicine procedures have provided enormous medical benefits to patients, exposure to radiation from procedures using radionuclides, especially from higher-dose or frequently-performed procedures, poses potential health risks to the medical workers who perform them.  </w:t>
      </w:r>
    </w:p>
    <w:p w14:paraId="6185235B" w14:textId="77777777" w:rsidR="00BA4020" w:rsidRPr="004D383C" w:rsidRDefault="00BA4020" w:rsidP="00BA4020">
      <w:pPr>
        <w:spacing w:line="480" w:lineRule="auto"/>
        <w:ind w:firstLine="720"/>
        <w:rPr>
          <w:rFonts w:eastAsia="Calibri"/>
        </w:rPr>
      </w:pPr>
      <w:r w:rsidRPr="004D383C">
        <w:rPr>
          <w:rFonts w:eastAsia="Calibri"/>
        </w:rPr>
        <w:t>Although annual doses to nuclear medicine technologists are well below the maximum recommended levels for individuals occupationally exposed to ionizing radiation (</w:t>
      </w:r>
      <w:r w:rsidR="005D0E4C" w:rsidRPr="004D383C">
        <w:rPr>
          <w:rFonts w:eastAsia="Calibri"/>
        </w:rPr>
        <w:t>14-17</w:t>
      </w:r>
      <w:r w:rsidRPr="004D383C">
        <w:rPr>
          <w:rFonts w:eastAsia="Calibri"/>
        </w:rPr>
        <w:t>), there is increasing evidence that protracted or repeated exposure to radiation, even at low levels, may increase risks of certain cancers and circulatory diseases.  Understanding whether these associations are causal is important and relevant for worker populations and the general public (e.g., individuals exposed to repeated low-dose medical radiation procedures, such as x-rays).</w:t>
      </w:r>
      <w:r w:rsidR="009E14A0" w:rsidRPr="004D383C">
        <w:rPr>
          <w:rFonts w:eastAsia="Calibri"/>
        </w:rPr>
        <w:t xml:space="preserve"> Cohort studies of nuclear industry workers, generally limited to follow-up for mortality rather than incidence and lacking information about potential confounding factors, have shown dose-</w:t>
      </w:r>
      <w:r w:rsidR="009E14A0" w:rsidRPr="004D383C">
        <w:rPr>
          <w:rFonts w:eastAsia="Calibri"/>
        </w:rPr>
        <w:lastRenderedPageBreak/>
        <w:t>dependent increased risks for leukemia (excluding chronic lymphocytic leukemia)</w:t>
      </w:r>
      <w:r w:rsidR="009E7FE5" w:rsidRPr="004D383C">
        <w:rPr>
          <w:rFonts w:eastAsia="Calibri"/>
        </w:rPr>
        <w:t xml:space="preserve"> (</w:t>
      </w:r>
      <w:r w:rsidR="005D0E4C" w:rsidRPr="004D383C">
        <w:rPr>
          <w:rFonts w:eastAsia="Calibri"/>
        </w:rPr>
        <w:t>18-20</w:t>
      </w:r>
      <w:r w:rsidR="009E7FE5" w:rsidRPr="004D383C">
        <w:rPr>
          <w:rFonts w:eastAsia="Calibri"/>
        </w:rPr>
        <w:t>)</w:t>
      </w:r>
      <w:r w:rsidR="009E14A0" w:rsidRPr="004D383C">
        <w:rPr>
          <w:rFonts w:eastAsia="Calibri"/>
        </w:rPr>
        <w:t xml:space="preserve">, with mixed results for solid cancers </w:t>
      </w:r>
      <w:r w:rsidR="009E7FE5" w:rsidRPr="004D383C">
        <w:rPr>
          <w:rFonts w:eastAsia="Calibri"/>
        </w:rPr>
        <w:t>(</w:t>
      </w:r>
      <w:r w:rsidR="005D0E4C" w:rsidRPr="004D383C">
        <w:rPr>
          <w:rFonts w:eastAsia="Calibri"/>
        </w:rPr>
        <w:t>18-21</w:t>
      </w:r>
      <w:r w:rsidR="009E7FE5" w:rsidRPr="004D383C">
        <w:rPr>
          <w:rFonts w:eastAsia="Calibri"/>
        </w:rPr>
        <w:t>)</w:t>
      </w:r>
      <w:r w:rsidR="009E14A0" w:rsidRPr="004D383C">
        <w:rPr>
          <w:rFonts w:eastAsia="Calibri"/>
        </w:rPr>
        <w:t>. There have been fewer cohort studies of medical workers, including radiologists and radiologic technologists, but these have shown elevated incidence or mortality risks for leukemia (</w:t>
      </w:r>
      <w:r w:rsidR="005D0E4C" w:rsidRPr="004D383C">
        <w:rPr>
          <w:rFonts w:eastAsia="Calibri"/>
        </w:rPr>
        <w:t>5, 22-26</w:t>
      </w:r>
      <w:r w:rsidR="009E14A0" w:rsidRPr="004D383C">
        <w:rPr>
          <w:rFonts w:eastAsia="Calibri"/>
        </w:rPr>
        <w:t>), lymphoma (</w:t>
      </w:r>
      <w:r w:rsidR="005D0E4C" w:rsidRPr="004D383C">
        <w:rPr>
          <w:rFonts w:eastAsia="Calibri"/>
        </w:rPr>
        <w:t>23</w:t>
      </w:r>
      <w:r w:rsidR="009E14A0" w:rsidRPr="004D383C">
        <w:rPr>
          <w:rFonts w:eastAsia="Calibri"/>
        </w:rPr>
        <w:t>), cancers of the skin (</w:t>
      </w:r>
      <w:r w:rsidR="005D0E4C" w:rsidRPr="004D383C">
        <w:rPr>
          <w:rFonts w:eastAsia="Calibri"/>
        </w:rPr>
        <w:t>23-24</w:t>
      </w:r>
      <w:r w:rsidR="009E14A0" w:rsidRPr="004D383C">
        <w:rPr>
          <w:rFonts w:eastAsia="Calibri"/>
        </w:rPr>
        <w:t>), pancreas (</w:t>
      </w:r>
      <w:r w:rsidR="005D0E4C" w:rsidRPr="004D383C">
        <w:rPr>
          <w:rFonts w:eastAsia="Calibri"/>
        </w:rPr>
        <w:t>24</w:t>
      </w:r>
      <w:r w:rsidR="009E14A0" w:rsidRPr="004D383C">
        <w:rPr>
          <w:rFonts w:eastAsia="Calibri"/>
        </w:rPr>
        <w:t>), lung (</w:t>
      </w:r>
      <w:r w:rsidR="005D0E4C" w:rsidRPr="004D383C">
        <w:rPr>
          <w:rFonts w:eastAsia="Calibri"/>
        </w:rPr>
        <w:t>23-24</w:t>
      </w:r>
      <w:r w:rsidR="009E14A0" w:rsidRPr="004D383C">
        <w:rPr>
          <w:rFonts w:eastAsia="Calibri"/>
        </w:rPr>
        <w:t>), breast (</w:t>
      </w:r>
      <w:r w:rsidR="005D0E4C" w:rsidRPr="004D383C">
        <w:rPr>
          <w:rFonts w:eastAsia="Calibri"/>
        </w:rPr>
        <w:t>5</w:t>
      </w:r>
      <w:r w:rsidR="005B37FB" w:rsidRPr="004D383C">
        <w:rPr>
          <w:rFonts w:eastAsia="Calibri"/>
        </w:rPr>
        <w:t xml:space="preserve">, </w:t>
      </w:r>
      <w:r w:rsidR="005D0E4C" w:rsidRPr="004D383C">
        <w:rPr>
          <w:rFonts w:eastAsia="Calibri"/>
        </w:rPr>
        <w:t>27-28</w:t>
      </w:r>
      <w:r w:rsidR="009E14A0" w:rsidRPr="004D383C">
        <w:rPr>
          <w:rFonts w:eastAsia="Calibri"/>
        </w:rPr>
        <w:t>), and thyroid (</w:t>
      </w:r>
      <w:r w:rsidR="005D0E4C" w:rsidRPr="004D383C">
        <w:rPr>
          <w:rFonts w:eastAsia="Calibri"/>
        </w:rPr>
        <w:t>29</w:t>
      </w:r>
      <w:r w:rsidR="009E14A0" w:rsidRPr="004D383C">
        <w:rPr>
          <w:rFonts w:eastAsia="Calibri"/>
        </w:rPr>
        <w:t>), plus ischemic heart disease and cerebrovascular disease (</w:t>
      </w:r>
      <w:r w:rsidR="005D0E4C" w:rsidRPr="004D383C">
        <w:rPr>
          <w:rFonts w:eastAsia="Calibri"/>
        </w:rPr>
        <w:t>5</w:t>
      </w:r>
      <w:r w:rsidR="009E14A0" w:rsidRPr="004D383C">
        <w:rPr>
          <w:rFonts w:eastAsia="Calibri"/>
        </w:rPr>
        <w:t xml:space="preserve">).  </w:t>
      </w:r>
      <w:r w:rsidRPr="004D383C">
        <w:rPr>
          <w:rFonts w:eastAsia="Calibri"/>
        </w:rPr>
        <w:t xml:space="preserve">  </w:t>
      </w:r>
    </w:p>
    <w:p w14:paraId="4BAA3FF6" w14:textId="77777777" w:rsidR="00272E10" w:rsidRPr="004D383C" w:rsidRDefault="00BC62C5" w:rsidP="00BA4020">
      <w:pPr>
        <w:spacing w:line="480" w:lineRule="auto"/>
        <w:ind w:firstLine="720"/>
        <w:rPr>
          <w:rFonts w:eastAsia="Calibri"/>
        </w:rPr>
      </w:pPr>
      <w:r w:rsidRPr="004D383C">
        <w:rPr>
          <w:rFonts w:eastAsia="Calibri"/>
        </w:rPr>
        <w:t xml:space="preserve">The USRT Study is the largest study of radiologic technologists to date, but the cohort includes relatively few technologists who worked with nuclear medicine procedures and were exposed to </w:t>
      </w:r>
      <w:r w:rsidR="0012612A" w:rsidRPr="004D383C">
        <w:rPr>
          <w:rFonts w:eastAsia="Calibri"/>
        </w:rPr>
        <w:t xml:space="preserve">the </w:t>
      </w:r>
      <w:r w:rsidRPr="004D383C">
        <w:rPr>
          <w:rFonts w:eastAsia="Calibri"/>
        </w:rPr>
        <w:t xml:space="preserve">higher-energy radioisotopes.  </w:t>
      </w:r>
      <w:r w:rsidR="00272E10" w:rsidRPr="004D383C">
        <w:rPr>
          <w:rFonts w:eastAsia="Calibri"/>
        </w:rPr>
        <w:t>Based on a small subgroup of the cohort, USRT Study investigators recently reported increased risks for</w:t>
      </w:r>
      <w:r w:rsidR="00272E10" w:rsidRPr="004D383C">
        <w:t xml:space="preserve"> squamous</w:t>
      </w:r>
      <w:r w:rsidR="00272E10" w:rsidRPr="004D383C">
        <w:rPr>
          <w:rFonts w:ascii="AdvOT0231c847" w:hAnsi="AdvOT0231c847" w:cs="AdvOT0231c847"/>
          <w:sz w:val="19"/>
          <w:szCs w:val="19"/>
        </w:rPr>
        <w:t xml:space="preserve"> </w:t>
      </w:r>
      <w:r w:rsidR="00272E10" w:rsidRPr="004D383C">
        <w:t xml:space="preserve">cell carcinoma of the skin with ever performing diagnostic radionuclide procedures, for myocardial infarction incidence, all-cause mortality, and all cancer mortality with ever performing brachytherapy, and for mortality from all causes, breast cancer, and myocardial infarction with ever performing other radionuclide therapy procedures; increasing risks were also observed with greater frequency of performing these procedures, particularly before 1980 </w:t>
      </w:r>
      <w:r w:rsidR="00272E10" w:rsidRPr="004D383C">
        <w:rPr>
          <w:rFonts w:eastAsia="Calibri"/>
        </w:rPr>
        <w:t>(</w:t>
      </w:r>
      <w:r w:rsidR="005D0E4C" w:rsidRPr="004D383C">
        <w:rPr>
          <w:rFonts w:eastAsia="Calibri"/>
        </w:rPr>
        <w:t>30</w:t>
      </w:r>
      <w:r w:rsidR="00272E10" w:rsidRPr="004D383C">
        <w:rPr>
          <w:rFonts w:eastAsia="Calibri"/>
        </w:rPr>
        <w:t>).  Information was not available on doses so it was not possible to estimate radiation-dose response risks.</w:t>
      </w:r>
    </w:p>
    <w:p w14:paraId="5D649B67" w14:textId="77777777" w:rsidR="0012612A" w:rsidRPr="004D383C" w:rsidRDefault="00246166" w:rsidP="00BA4020">
      <w:pPr>
        <w:spacing w:line="480" w:lineRule="auto"/>
        <w:ind w:firstLine="720"/>
        <w:rPr>
          <w:rFonts w:eastAsia="Calibri"/>
        </w:rPr>
      </w:pPr>
      <w:r w:rsidRPr="004D383C">
        <w:t xml:space="preserve">Since 1980, nuclear medicine technologists have become increasingly specialized and are performing such procedures with increasing frequency.  Lead aprons are less effective in protecting workers from the higher-energy radioisotopes compared to lower-energy X-rays used in general radiologic procedures, and are seldom worn by technologists when performing nuclear medicine procedures.  For these reasons, cumulative doses to nuclear medicine technologists are expected to have increased substantially over time and to be higher than those in general radiologic technologists.  The number of technologists in the USRT cohort who reported working with nuclear medicine procedures is relatively small, and their exposures occurred as </w:t>
      </w:r>
      <w:r w:rsidRPr="004D383C">
        <w:lastRenderedPageBreak/>
        <w:t xml:space="preserve">long as 70 years ago.  </w:t>
      </w:r>
      <w:r w:rsidR="00BA4020" w:rsidRPr="004D383C">
        <w:rPr>
          <w:rFonts w:eastAsia="Calibri"/>
        </w:rPr>
        <w:t>Nuclear medicine technologists may receive higher cumulative radiation exposure compared to other radi</w:t>
      </w:r>
      <w:r w:rsidRPr="004D383C">
        <w:rPr>
          <w:rFonts w:eastAsia="Calibri"/>
        </w:rPr>
        <w:t>ologic technologists</w:t>
      </w:r>
      <w:r w:rsidR="00BA4020" w:rsidRPr="004D383C">
        <w:rPr>
          <w:rFonts w:eastAsia="Calibri"/>
        </w:rPr>
        <w:t xml:space="preserve"> owing to the wide range in photon energies of the radioisotopes used in nuclear medicine procedures and the limited effectiveness of lead aprons in protecting against higher-energy photons, such as positron-emission tomography (PET) (</w:t>
      </w:r>
      <w:r w:rsidR="005D0E4C" w:rsidRPr="004D383C">
        <w:rPr>
          <w:rFonts w:eastAsia="Calibri"/>
        </w:rPr>
        <w:t>31</w:t>
      </w:r>
      <w:r w:rsidR="00BA4020" w:rsidRPr="004D383C">
        <w:rPr>
          <w:rFonts w:eastAsia="Calibri"/>
        </w:rPr>
        <w:t xml:space="preserve">).  </w:t>
      </w:r>
    </w:p>
    <w:p w14:paraId="77AAB2DA" w14:textId="00A3649B" w:rsidR="00272E10" w:rsidRPr="004D383C" w:rsidRDefault="0012612A" w:rsidP="00272E10">
      <w:pPr>
        <w:spacing w:line="480" w:lineRule="auto"/>
        <w:ind w:firstLine="720"/>
        <w:rPr>
          <w:rFonts w:eastAsia="Calibri"/>
        </w:rPr>
      </w:pPr>
      <w:r w:rsidRPr="004D383C">
        <w:rPr>
          <w:rFonts w:eastAsia="Calibri"/>
        </w:rPr>
        <w:t xml:space="preserve">The proposed </w:t>
      </w:r>
      <w:r w:rsidR="00246166" w:rsidRPr="004D383C">
        <w:rPr>
          <w:rFonts w:eastAsia="Calibri"/>
        </w:rPr>
        <w:t xml:space="preserve">U.S. </w:t>
      </w:r>
      <w:r w:rsidRPr="004D383C">
        <w:rPr>
          <w:rFonts w:eastAsia="Calibri"/>
        </w:rPr>
        <w:t>Nuclear Medicine Technologist</w:t>
      </w:r>
      <w:r w:rsidR="003D13E0" w:rsidRPr="004D383C">
        <w:rPr>
          <w:rFonts w:eastAsia="Calibri"/>
        </w:rPr>
        <w:t>s Feasibility</w:t>
      </w:r>
      <w:r w:rsidRPr="004D383C">
        <w:rPr>
          <w:rFonts w:eastAsia="Calibri"/>
        </w:rPr>
        <w:t xml:space="preserve"> Study is an expansion of the USRT Study.  </w:t>
      </w:r>
      <w:r w:rsidR="00272E10" w:rsidRPr="004D383C">
        <w:rPr>
          <w:rFonts w:eastAsia="Calibri"/>
        </w:rPr>
        <w:t xml:space="preserve">As noted above, exposures to USRT members, who were certified much earlier in time, are likely to be very different from more recently certified technologists specializing in nuclear medicine.  </w:t>
      </w:r>
      <w:r w:rsidR="00AB099D" w:rsidRPr="004D383C">
        <w:rPr>
          <w:rFonts w:eastAsia="Calibri"/>
        </w:rPr>
        <w:t xml:space="preserve">To the best of our knowledge, </w:t>
      </w:r>
      <w:r w:rsidR="00246166" w:rsidRPr="004D383C">
        <w:rPr>
          <w:rFonts w:eastAsia="Calibri"/>
        </w:rPr>
        <w:t xml:space="preserve">there are no other studies </w:t>
      </w:r>
      <w:r w:rsidR="00AB099D" w:rsidRPr="004D383C">
        <w:rPr>
          <w:rFonts w:eastAsia="Calibri"/>
        </w:rPr>
        <w:t xml:space="preserve">of health risks to workers </w:t>
      </w:r>
      <w:r w:rsidR="00246166" w:rsidRPr="004D383C">
        <w:rPr>
          <w:rFonts w:eastAsia="Calibri"/>
        </w:rPr>
        <w:t xml:space="preserve">exposed to higher-energy radiation, such as that experienced by nuclear medicine technologists.  </w:t>
      </w:r>
    </w:p>
    <w:p w14:paraId="6E6E3C76" w14:textId="77777777" w:rsidR="00394A3A" w:rsidRPr="004D383C" w:rsidRDefault="00F20E2F" w:rsidP="00482675">
      <w:pPr>
        <w:tabs>
          <w:tab w:val="left" w:pos="720"/>
        </w:tabs>
        <w:spacing w:line="480" w:lineRule="auto"/>
        <w:rPr>
          <w:b/>
          <w:bCs/>
        </w:rPr>
      </w:pPr>
      <w:r w:rsidRPr="004D383C">
        <w:rPr>
          <w:b/>
          <w:bCs/>
        </w:rPr>
        <w:t>A.5</w:t>
      </w:r>
      <w:r w:rsidR="0015756E" w:rsidRPr="004D383C">
        <w:rPr>
          <w:b/>
          <w:bCs/>
        </w:rPr>
        <w:tab/>
      </w:r>
      <w:r w:rsidR="00394A3A" w:rsidRPr="004D383C">
        <w:rPr>
          <w:b/>
          <w:bCs/>
        </w:rPr>
        <w:t>Impact on Small businesses or Other Small Entities</w:t>
      </w:r>
    </w:p>
    <w:p w14:paraId="16127A19" w14:textId="77777777" w:rsidR="000A0B52" w:rsidRPr="004D383C" w:rsidRDefault="00F96E3F" w:rsidP="00F20E2F">
      <w:pPr>
        <w:tabs>
          <w:tab w:val="left" w:pos="720"/>
        </w:tabs>
        <w:spacing w:line="480" w:lineRule="auto"/>
      </w:pPr>
      <w:r w:rsidRPr="004D383C">
        <w:tab/>
        <w:t>No small businesses will be involved in this study.</w:t>
      </w:r>
    </w:p>
    <w:p w14:paraId="5DE2D50A" w14:textId="77777777" w:rsidR="00394A3A" w:rsidRPr="004D383C" w:rsidRDefault="00F20E2F" w:rsidP="00482675">
      <w:pPr>
        <w:tabs>
          <w:tab w:val="left" w:pos="720"/>
        </w:tabs>
        <w:spacing w:line="480" w:lineRule="auto"/>
      </w:pPr>
      <w:r w:rsidRPr="004D383C">
        <w:rPr>
          <w:b/>
          <w:bCs/>
        </w:rPr>
        <w:t>A.6</w:t>
      </w:r>
      <w:r w:rsidR="0015756E" w:rsidRPr="004D383C">
        <w:rPr>
          <w:b/>
          <w:bCs/>
        </w:rPr>
        <w:tab/>
      </w:r>
      <w:r w:rsidR="00394A3A" w:rsidRPr="004D383C">
        <w:rPr>
          <w:b/>
          <w:bCs/>
        </w:rPr>
        <w:t>Consequences of Collecting the Information Less Frequently</w:t>
      </w:r>
    </w:p>
    <w:p w14:paraId="609CB700" w14:textId="2D2D5F10" w:rsidR="00A2693A" w:rsidRPr="004D383C" w:rsidRDefault="00EE309C" w:rsidP="00D452F9">
      <w:pPr>
        <w:pStyle w:val="P1-StandPara"/>
        <w:tabs>
          <w:tab w:val="left" w:pos="720"/>
        </w:tabs>
        <w:spacing w:line="480" w:lineRule="auto"/>
        <w:ind w:firstLine="720"/>
        <w:jc w:val="left"/>
        <w:rPr>
          <w:sz w:val="24"/>
          <w:szCs w:val="24"/>
        </w:rPr>
      </w:pPr>
      <w:r w:rsidRPr="004D383C">
        <w:rPr>
          <w:sz w:val="24"/>
        </w:rPr>
        <w:t xml:space="preserve">This is a one-time information collection. </w:t>
      </w:r>
      <w:r w:rsidR="00AC53DB" w:rsidRPr="004D383C">
        <w:rPr>
          <w:sz w:val="24"/>
          <w:szCs w:val="24"/>
        </w:rPr>
        <w:t xml:space="preserve"> </w:t>
      </w:r>
    </w:p>
    <w:p w14:paraId="7725659F" w14:textId="77777777" w:rsidR="00394A3A" w:rsidRPr="004D383C" w:rsidRDefault="00F20E2F" w:rsidP="00482675">
      <w:pPr>
        <w:tabs>
          <w:tab w:val="left" w:pos="720"/>
        </w:tabs>
        <w:spacing w:line="480" w:lineRule="auto"/>
        <w:rPr>
          <w:b/>
          <w:bCs/>
        </w:rPr>
      </w:pPr>
      <w:r w:rsidRPr="004D383C">
        <w:rPr>
          <w:b/>
        </w:rPr>
        <w:t>A.7</w:t>
      </w:r>
      <w:r w:rsidR="0015756E" w:rsidRPr="004D383C">
        <w:rPr>
          <w:b/>
        </w:rPr>
        <w:tab/>
      </w:r>
      <w:r w:rsidR="00394A3A" w:rsidRPr="004D383C">
        <w:rPr>
          <w:b/>
          <w:bCs/>
        </w:rPr>
        <w:t>Special Circumstances Relating to the Guidelines of 5 CFR 1320.5</w:t>
      </w:r>
    </w:p>
    <w:p w14:paraId="70B870CE" w14:textId="77777777" w:rsidR="00394A3A" w:rsidRPr="004D383C" w:rsidRDefault="00394A3A" w:rsidP="00F20E2F">
      <w:pPr>
        <w:tabs>
          <w:tab w:val="left" w:pos="720"/>
        </w:tabs>
        <w:spacing w:line="480" w:lineRule="auto"/>
        <w:ind w:firstLine="720"/>
      </w:pPr>
      <w:r w:rsidRPr="004D383C">
        <w:t>There are no special circumstance</w:t>
      </w:r>
      <w:r w:rsidR="00E25EEF" w:rsidRPr="004D383C">
        <w:t>s</w:t>
      </w:r>
      <w:r w:rsidRPr="004D383C">
        <w:t xml:space="preserve"> that require collection to be conducted in a manner inconsistent with Guidelines in 5 CFR 1320.5.</w:t>
      </w:r>
    </w:p>
    <w:p w14:paraId="6ECC8C57" w14:textId="40A4C713" w:rsidR="0066113E" w:rsidRPr="004D383C" w:rsidRDefault="00F20E2F" w:rsidP="00482675">
      <w:pPr>
        <w:tabs>
          <w:tab w:val="left" w:pos="720"/>
        </w:tabs>
        <w:rPr>
          <w:b/>
          <w:bCs/>
        </w:rPr>
      </w:pPr>
      <w:r w:rsidRPr="004D383C">
        <w:rPr>
          <w:b/>
          <w:bCs/>
        </w:rPr>
        <w:t>A.8.1</w:t>
      </w:r>
      <w:r w:rsidR="0015756E" w:rsidRPr="004D383C">
        <w:rPr>
          <w:bCs/>
        </w:rPr>
        <w:tab/>
      </w:r>
      <w:r w:rsidR="00394A3A" w:rsidRPr="004D383C">
        <w:rPr>
          <w:b/>
          <w:bCs/>
        </w:rPr>
        <w:t xml:space="preserve">Comments in Response to the </w:t>
      </w:r>
      <w:r w:rsidR="00394A3A" w:rsidRPr="004D383C">
        <w:rPr>
          <w:b/>
          <w:bCs/>
          <w:i/>
          <w:iCs/>
        </w:rPr>
        <w:t>Federal Register</w:t>
      </w:r>
      <w:r w:rsidR="00394A3A" w:rsidRPr="004D383C">
        <w:rPr>
          <w:b/>
          <w:bCs/>
        </w:rPr>
        <w:t xml:space="preserve"> Notice </w:t>
      </w:r>
    </w:p>
    <w:p w14:paraId="3830C909" w14:textId="77777777" w:rsidR="0066113E" w:rsidRPr="004D383C" w:rsidRDefault="0066113E" w:rsidP="00F20E2F">
      <w:pPr>
        <w:tabs>
          <w:tab w:val="left" w:pos="720"/>
        </w:tabs>
        <w:ind w:left="720"/>
        <w:rPr>
          <w:b/>
          <w:bCs/>
        </w:rPr>
      </w:pPr>
    </w:p>
    <w:p w14:paraId="429D399B" w14:textId="46A6C93F" w:rsidR="00394A3A" w:rsidRPr="004D383C" w:rsidRDefault="00394A3A" w:rsidP="00F20E2F">
      <w:pPr>
        <w:tabs>
          <w:tab w:val="left" w:pos="720"/>
        </w:tabs>
        <w:spacing w:line="480" w:lineRule="auto"/>
        <w:ind w:firstLine="720"/>
      </w:pPr>
      <w:r w:rsidRPr="004D383C">
        <w:t xml:space="preserve">In compliance with 5 CFR 1320.8(d), a notice of proposed data collection was published in the Federal Register on </w:t>
      </w:r>
      <w:r w:rsidR="00B33118" w:rsidRPr="004D383C">
        <w:t xml:space="preserve">March </w:t>
      </w:r>
      <w:r w:rsidR="00AF3D43" w:rsidRPr="004D383C">
        <w:t>28</w:t>
      </w:r>
      <w:r w:rsidR="00B33118" w:rsidRPr="004D383C">
        <w:t>, 2016</w:t>
      </w:r>
      <w:r w:rsidR="00951C06" w:rsidRPr="004D383C">
        <w:t xml:space="preserve">, Vol. 81 P. 17192. </w:t>
      </w:r>
      <w:r w:rsidR="007D6936" w:rsidRPr="004D383C">
        <w:t xml:space="preserve">Comments were solicited on the proposed information collection.  </w:t>
      </w:r>
      <w:r w:rsidR="00B33118" w:rsidRPr="004D383C">
        <w:t>No comments were received.</w:t>
      </w:r>
    </w:p>
    <w:p w14:paraId="24B7D942" w14:textId="77777777" w:rsidR="00F20E2F" w:rsidRPr="004D383C" w:rsidRDefault="00F20E2F" w:rsidP="00482675">
      <w:pPr>
        <w:tabs>
          <w:tab w:val="left" w:pos="720"/>
        </w:tabs>
        <w:spacing w:line="480" w:lineRule="auto"/>
      </w:pPr>
      <w:r w:rsidRPr="004D383C">
        <w:rPr>
          <w:b/>
          <w:bCs/>
        </w:rPr>
        <w:t>A.8.2</w:t>
      </w:r>
      <w:r w:rsidRPr="004D383C">
        <w:rPr>
          <w:b/>
          <w:bCs/>
        </w:rPr>
        <w:tab/>
        <w:t>Efforts to Consult Outside Agency</w:t>
      </w:r>
      <w:r w:rsidRPr="004D383C">
        <w:t xml:space="preserve"> </w:t>
      </w:r>
    </w:p>
    <w:p w14:paraId="3C168CAC" w14:textId="2895CE90" w:rsidR="004E59A7" w:rsidRPr="004D383C" w:rsidRDefault="00F20E2F" w:rsidP="00482675">
      <w:pPr>
        <w:tabs>
          <w:tab w:val="left" w:pos="720"/>
        </w:tabs>
        <w:spacing w:line="480" w:lineRule="auto"/>
      </w:pPr>
      <w:r w:rsidRPr="004D383C">
        <w:lastRenderedPageBreak/>
        <w:tab/>
      </w:r>
      <w:r w:rsidR="00394A3A" w:rsidRPr="004D383C">
        <w:t xml:space="preserve">This study is being conducted in collaboration with </w:t>
      </w:r>
      <w:r w:rsidR="00175245" w:rsidRPr="004D383C">
        <w:t xml:space="preserve">researchers in </w:t>
      </w:r>
      <w:r w:rsidR="00394A3A" w:rsidRPr="004D383C">
        <w:t>the Division of Environmental Health</w:t>
      </w:r>
      <w:r w:rsidR="005C7BCA" w:rsidRPr="004D383C">
        <w:t xml:space="preserve"> Sciences</w:t>
      </w:r>
      <w:r w:rsidR="00416AB3" w:rsidRPr="004D383C">
        <w:t xml:space="preserve">, School of Public Health, </w:t>
      </w:r>
      <w:r w:rsidR="00394A3A" w:rsidRPr="004D383C">
        <w:t xml:space="preserve">University of Minnesota (Bruce H. Alexander, PhD, </w:t>
      </w:r>
      <w:r w:rsidR="00175245" w:rsidRPr="004D383C">
        <w:t>Pr</w:t>
      </w:r>
      <w:r w:rsidR="004462B9" w:rsidRPr="004D383C">
        <w:t>oject Director</w:t>
      </w:r>
      <w:r w:rsidR="00175245" w:rsidRPr="004D383C">
        <w:t xml:space="preserve">; </w:t>
      </w:r>
      <w:r w:rsidR="00394A3A" w:rsidRPr="004D383C">
        <w:t xml:space="preserve">telephone 612-625-7934, email </w:t>
      </w:r>
      <w:hyperlink r:id="rId14" w:history="1">
        <w:r w:rsidR="00394A3A" w:rsidRPr="004D383C">
          <w:rPr>
            <w:rStyle w:val="Hyperlink"/>
          </w:rPr>
          <w:t>balex@umn.edu</w:t>
        </w:r>
      </w:hyperlink>
      <w:r w:rsidR="00394A3A" w:rsidRPr="004D383C">
        <w:t xml:space="preserve">).  </w:t>
      </w:r>
    </w:p>
    <w:p w14:paraId="481F7834" w14:textId="77777777" w:rsidR="00394A3A" w:rsidRPr="004D383C" w:rsidRDefault="00212764" w:rsidP="00482675">
      <w:pPr>
        <w:spacing w:line="480" w:lineRule="auto"/>
        <w:rPr>
          <w:b/>
          <w:bCs/>
        </w:rPr>
      </w:pPr>
      <w:r w:rsidRPr="004D383C">
        <w:rPr>
          <w:b/>
          <w:bCs/>
        </w:rPr>
        <w:t>A.9</w:t>
      </w:r>
      <w:r w:rsidRPr="004D383C">
        <w:rPr>
          <w:bCs/>
        </w:rPr>
        <w:tab/>
      </w:r>
      <w:r w:rsidR="00394A3A" w:rsidRPr="004D383C">
        <w:rPr>
          <w:b/>
          <w:bCs/>
        </w:rPr>
        <w:t>Explanation of Any Payment or Gift to Respondents</w:t>
      </w:r>
    </w:p>
    <w:p w14:paraId="7A5334EF" w14:textId="46C4B787" w:rsidR="00FA48D9" w:rsidRPr="004D383C" w:rsidRDefault="0020333F" w:rsidP="00F20E2F">
      <w:pPr>
        <w:tabs>
          <w:tab w:val="left" w:pos="720"/>
        </w:tabs>
        <w:spacing w:line="480" w:lineRule="auto"/>
        <w:ind w:firstLine="720"/>
      </w:pPr>
      <w:r w:rsidRPr="004D383C">
        <w:t>Respondents will receive no payments or gifts.</w:t>
      </w:r>
      <w:r w:rsidR="00D747AC" w:rsidRPr="004D383C">
        <w:t xml:space="preserve"> </w:t>
      </w:r>
    </w:p>
    <w:p w14:paraId="6522B10E" w14:textId="77777777" w:rsidR="00394A3A" w:rsidRPr="004D383C" w:rsidRDefault="00212764" w:rsidP="00482675">
      <w:pPr>
        <w:spacing w:line="480" w:lineRule="auto"/>
        <w:rPr>
          <w:b/>
          <w:bCs/>
        </w:rPr>
      </w:pPr>
      <w:r w:rsidRPr="004D383C">
        <w:rPr>
          <w:b/>
          <w:bCs/>
        </w:rPr>
        <w:t>A.10</w:t>
      </w:r>
      <w:r w:rsidRPr="004D383C">
        <w:rPr>
          <w:b/>
          <w:bCs/>
        </w:rPr>
        <w:tab/>
      </w:r>
      <w:r w:rsidR="00394A3A" w:rsidRPr="004D383C">
        <w:rPr>
          <w:b/>
          <w:bCs/>
        </w:rPr>
        <w:t>Assurance of Confidentiality Provided to Respondents</w:t>
      </w:r>
    </w:p>
    <w:p w14:paraId="088D8B16" w14:textId="2BF1CB88" w:rsidR="006B324F" w:rsidRPr="004D383C" w:rsidRDefault="002477B4" w:rsidP="006B324F">
      <w:pPr>
        <w:tabs>
          <w:tab w:val="left" w:pos="720"/>
        </w:tabs>
        <w:spacing w:line="480" w:lineRule="auto"/>
        <w:ind w:firstLine="720"/>
      </w:pPr>
      <w:r w:rsidRPr="004D383C">
        <w:t>All information will be kept private to the extent allowable under the law.</w:t>
      </w:r>
      <w:r w:rsidR="00AF0F6D" w:rsidRPr="004D383C">
        <w:t xml:space="preserve"> </w:t>
      </w:r>
      <w:r w:rsidR="00B71AB6" w:rsidRPr="004D383C">
        <w:t xml:space="preserve"> </w:t>
      </w:r>
      <w:r w:rsidR="00503DAD" w:rsidRPr="004D383C">
        <w:t>Th</w:t>
      </w:r>
      <w:r w:rsidR="00B71AB6" w:rsidRPr="004D383C">
        <w:t>e</w:t>
      </w:r>
      <w:r w:rsidR="00503DAD" w:rsidRPr="004D383C">
        <w:t xml:space="preserve"> study </w:t>
      </w:r>
      <w:r w:rsidR="004B6DC8" w:rsidRPr="004D383C">
        <w:t>was</w:t>
      </w:r>
      <w:r w:rsidR="00116303" w:rsidRPr="004D383C">
        <w:t xml:space="preserve"> approved with stipulations by the National Cancer Institute Institution Review Board</w:t>
      </w:r>
      <w:r w:rsidR="004B6DC8" w:rsidRPr="004D383C">
        <w:t xml:space="preserve"> on 4/6/2016; </w:t>
      </w:r>
      <w:r w:rsidR="00116303" w:rsidRPr="004D383C">
        <w:t xml:space="preserve">final approval is pending review of responses to </w:t>
      </w:r>
      <w:r w:rsidR="004B6DC8" w:rsidRPr="004D383C">
        <w:t xml:space="preserve">the </w:t>
      </w:r>
      <w:r w:rsidR="00116303" w:rsidRPr="004D383C">
        <w:t xml:space="preserve">stipulations by the SSIRB Chair and primary reviewer </w:t>
      </w:r>
      <w:r w:rsidR="00475B7D" w:rsidRPr="004D383C">
        <w:t>(</w:t>
      </w:r>
      <w:r w:rsidR="00475B7D" w:rsidRPr="004D383C">
        <w:rPr>
          <w:b/>
        </w:rPr>
        <w:t xml:space="preserve">Attachment </w:t>
      </w:r>
      <w:r w:rsidR="00AF3D43" w:rsidRPr="004D383C">
        <w:rPr>
          <w:b/>
        </w:rPr>
        <w:t>5</w:t>
      </w:r>
      <w:r w:rsidR="00475B7D" w:rsidRPr="004D383C">
        <w:rPr>
          <w:b/>
        </w:rPr>
        <w:t>A</w:t>
      </w:r>
      <w:r w:rsidR="00503DAD" w:rsidRPr="004D383C">
        <w:t>)</w:t>
      </w:r>
      <w:r w:rsidR="004B6DC8" w:rsidRPr="004D383C">
        <w:t>.</w:t>
      </w:r>
      <w:r w:rsidR="00116303" w:rsidRPr="004D383C">
        <w:t xml:space="preserve">  The study was approved by</w:t>
      </w:r>
      <w:r w:rsidR="004B6DC8" w:rsidRPr="004D383C">
        <w:t xml:space="preserve"> the University of Minnesota IRB on 2/22/2016 </w:t>
      </w:r>
      <w:r w:rsidR="004B6DC8" w:rsidRPr="004D383C">
        <w:rPr>
          <w:b/>
        </w:rPr>
        <w:t>(Attachment 5B)</w:t>
      </w:r>
      <w:r w:rsidR="00D9172D" w:rsidRPr="004D383C">
        <w:t>.</w:t>
      </w:r>
      <w:r w:rsidR="00457EC6" w:rsidRPr="004D383C">
        <w:t xml:space="preserve">  </w:t>
      </w:r>
      <w:r w:rsidR="00D747AC" w:rsidRPr="004D383C">
        <w:t>It has been determined that the Privacy Act appl</w:t>
      </w:r>
      <w:r w:rsidR="00696FC8" w:rsidRPr="004D383C">
        <w:t>ies</w:t>
      </w:r>
      <w:r w:rsidR="00D747AC" w:rsidRPr="004D383C">
        <w:t xml:space="preserve"> to this collection</w:t>
      </w:r>
      <w:r w:rsidR="00457EC6" w:rsidRPr="004D383C">
        <w:t xml:space="preserve"> of information</w:t>
      </w:r>
      <w:r w:rsidR="006B324F" w:rsidRPr="004D383C">
        <w:t xml:space="preserve"> (</w:t>
      </w:r>
      <w:r w:rsidR="006B324F" w:rsidRPr="004D383C">
        <w:rPr>
          <w:b/>
        </w:rPr>
        <w:t xml:space="preserve">Attachment </w:t>
      </w:r>
      <w:r w:rsidR="00AF3D43" w:rsidRPr="004D383C">
        <w:rPr>
          <w:b/>
        </w:rPr>
        <w:t>6</w:t>
      </w:r>
      <w:r w:rsidR="006B324F" w:rsidRPr="004D383C">
        <w:t>)</w:t>
      </w:r>
      <w:r w:rsidR="000C7868" w:rsidRPr="004D383C">
        <w:t>.</w:t>
      </w:r>
      <w:r w:rsidR="00D747AC" w:rsidRPr="004D383C">
        <w:t xml:space="preserve">  </w:t>
      </w:r>
      <w:r w:rsidR="008C33D8" w:rsidRPr="004D383C">
        <w:t>A</w:t>
      </w:r>
      <w:r w:rsidR="006B324F" w:rsidRPr="004D383C">
        <w:t xml:space="preserve"> Privacy Impact Assessment (PIA) </w:t>
      </w:r>
      <w:r w:rsidR="004B6DC8" w:rsidRPr="004D383C">
        <w:t>form was submitted to the NCI Privacy Coordinator on 5/19/2016</w:t>
      </w:r>
      <w:r w:rsidR="006B324F" w:rsidRPr="004D383C">
        <w:t xml:space="preserve"> (</w:t>
      </w:r>
      <w:r w:rsidR="006B324F" w:rsidRPr="004D383C">
        <w:rPr>
          <w:b/>
        </w:rPr>
        <w:t xml:space="preserve">Attachment </w:t>
      </w:r>
      <w:r w:rsidR="00AF3D43" w:rsidRPr="004D383C">
        <w:rPr>
          <w:b/>
        </w:rPr>
        <w:t>7</w:t>
      </w:r>
      <w:r w:rsidR="008C33D8" w:rsidRPr="004D383C">
        <w:t>).</w:t>
      </w:r>
      <w:r w:rsidR="006B324F" w:rsidRPr="004D383C">
        <w:t xml:space="preserve"> </w:t>
      </w:r>
      <w:r w:rsidR="003D6878" w:rsidRPr="004D383C">
        <w:t xml:space="preserve"> </w:t>
      </w:r>
      <w:r w:rsidR="00D747AC" w:rsidRPr="004D383C">
        <w:t xml:space="preserve">The data collection is covered by NIH Systems of Record 09-25-0200, “Clinical, </w:t>
      </w:r>
      <w:r w:rsidR="00AF5AD0" w:rsidRPr="004D383C">
        <w:t>Basic and Population-based Research</w:t>
      </w:r>
      <w:r w:rsidR="00D747AC" w:rsidRPr="004D383C">
        <w:t xml:space="preserve"> Studies of the National Institutes of Health (NIH), HHS/NIH/OD”</w:t>
      </w:r>
      <w:r w:rsidR="00AF5AD0" w:rsidRPr="004D383C">
        <w:t>.  T</w:t>
      </w:r>
      <w:r w:rsidR="00D747AC" w:rsidRPr="004D383C">
        <w:t>he information will be retrieved and maintained by personal identifiers, and data analysis will involve critical parameters relevant to the targeted audiences</w:t>
      </w:r>
      <w:r w:rsidR="006B324F" w:rsidRPr="004D383C">
        <w:t>, including</w:t>
      </w:r>
      <w:r w:rsidR="00D747AC" w:rsidRPr="004D383C">
        <w:t xml:space="preserve"> participant name, date of birth, gender, </w:t>
      </w:r>
      <w:r w:rsidR="000F51A8" w:rsidRPr="004D383C">
        <w:t>email</w:t>
      </w:r>
      <w:r w:rsidR="00D747AC" w:rsidRPr="004D383C">
        <w:t xml:space="preserve"> address,</w:t>
      </w:r>
      <w:r w:rsidR="006B324F" w:rsidRPr="004D383C">
        <w:t xml:space="preserve"> and</w:t>
      </w:r>
      <w:r w:rsidR="00D747AC" w:rsidRPr="004D383C">
        <w:t xml:space="preserve"> </w:t>
      </w:r>
      <w:r w:rsidR="000F51A8" w:rsidRPr="004D383C">
        <w:t>places of employment</w:t>
      </w:r>
      <w:r w:rsidR="00D747AC" w:rsidRPr="004D383C">
        <w:t>.</w:t>
      </w:r>
      <w:r w:rsidR="0020333F" w:rsidRPr="004D383C">
        <w:t xml:space="preserve">  </w:t>
      </w:r>
    </w:p>
    <w:p w14:paraId="3C65ADE8" w14:textId="365A98E0" w:rsidR="002B1EBA" w:rsidRPr="004D383C" w:rsidRDefault="00D747AC" w:rsidP="00F20E2F">
      <w:pPr>
        <w:tabs>
          <w:tab w:val="left" w:pos="720"/>
        </w:tabs>
        <w:spacing w:line="480" w:lineRule="auto"/>
        <w:ind w:firstLine="720"/>
      </w:pPr>
      <w:r w:rsidRPr="004D383C">
        <w:t xml:space="preserve">The University of Minnesota will </w:t>
      </w:r>
      <w:r w:rsidR="0018415E" w:rsidRPr="004D383C">
        <w:t>maintain the roster of nuclear medicine technologists eligible for the USNMT study as identified from the records of the ARRT and the NMTCB</w:t>
      </w:r>
      <w:r w:rsidR="00B71AB6" w:rsidRPr="004D383C">
        <w:t xml:space="preserve">, </w:t>
      </w:r>
      <w:r w:rsidR="000F51A8" w:rsidRPr="004D383C">
        <w:t>and</w:t>
      </w:r>
      <w:r w:rsidR="00B71AB6" w:rsidRPr="004D383C">
        <w:t xml:space="preserve"> the information collected on the CAWI questionnaires</w:t>
      </w:r>
      <w:r w:rsidR="0018415E" w:rsidRPr="004D383C">
        <w:t xml:space="preserve">.  </w:t>
      </w:r>
      <w:r w:rsidR="00E30EA3" w:rsidRPr="004D383C">
        <w:t xml:space="preserve">University study staff members are </w:t>
      </w:r>
      <w:r w:rsidR="00394A3A" w:rsidRPr="004D383C">
        <w:t xml:space="preserve">cognizant of the sensitive nature of the data </w:t>
      </w:r>
      <w:r w:rsidR="0018415E" w:rsidRPr="004D383C">
        <w:t xml:space="preserve">and have proven their ability to provide secure management of such data, having maintained </w:t>
      </w:r>
      <w:r w:rsidR="00E71C0F" w:rsidRPr="004D383C">
        <w:t>th</w:t>
      </w:r>
      <w:r w:rsidR="00B71AB6" w:rsidRPr="004D383C">
        <w:t>e same</w:t>
      </w:r>
      <w:r w:rsidR="0018415E" w:rsidRPr="004D383C">
        <w:t xml:space="preserve"> information </w:t>
      </w:r>
      <w:r w:rsidR="00394A3A" w:rsidRPr="004D383C">
        <w:t xml:space="preserve">on the </w:t>
      </w:r>
      <w:r w:rsidR="00E71C0F" w:rsidRPr="004D383C">
        <w:t xml:space="preserve">USRT </w:t>
      </w:r>
      <w:r w:rsidR="00394A3A" w:rsidRPr="004D383C">
        <w:t xml:space="preserve">cohort of </w:t>
      </w:r>
      <w:r w:rsidR="0018415E" w:rsidRPr="004D383C">
        <w:t xml:space="preserve">general </w:t>
      </w:r>
      <w:r w:rsidR="00394A3A" w:rsidRPr="004D383C">
        <w:t xml:space="preserve">radiologic technologists obtained from the American Registry of Radiologic </w:t>
      </w:r>
      <w:r w:rsidR="00394A3A" w:rsidRPr="004D383C">
        <w:lastRenderedPageBreak/>
        <w:t>Technologists (ARRT)</w:t>
      </w:r>
      <w:r w:rsidR="0018415E" w:rsidRPr="004D383C">
        <w:t xml:space="preserve">.  </w:t>
      </w:r>
      <w:r w:rsidR="000F51A8" w:rsidRPr="004D383C">
        <w:t>SSS will receive the initial questionnaire responses.  SSS will transfer all data to UMN after questionnaire administration is completed and permanently delete all copies from their files.</w:t>
      </w:r>
    </w:p>
    <w:p w14:paraId="39D358F7" w14:textId="6B9D1ED9" w:rsidR="00BE5252" w:rsidRPr="004D383C" w:rsidRDefault="000F51A8" w:rsidP="00F20E2F">
      <w:pPr>
        <w:tabs>
          <w:tab w:val="left" w:pos="720"/>
        </w:tabs>
        <w:spacing w:line="480" w:lineRule="auto"/>
        <w:ind w:firstLine="720"/>
      </w:pPr>
      <w:r w:rsidRPr="004D383C">
        <w:t>As noted above, t</w:t>
      </w:r>
      <w:r w:rsidR="00E71C0F" w:rsidRPr="004D383C">
        <w:t xml:space="preserve">he USNMT study will utilize a </w:t>
      </w:r>
      <w:r w:rsidR="006213D9" w:rsidRPr="004D383C">
        <w:t xml:space="preserve">CAWI questionnaire. </w:t>
      </w:r>
      <w:r w:rsidR="00E71C0F" w:rsidRPr="004D383C">
        <w:t xml:space="preserve">This data capture method allows for automatically skipping questions that are inapplicable, thus ensures greater accuracy of responses.  </w:t>
      </w:r>
      <w:r w:rsidR="002B1EBA" w:rsidRPr="004D383C">
        <w:t>Email addresses will be obtained from the ARRT and NMTCB rosters.  T</w:t>
      </w:r>
      <w:r w:rsidR="00AE3DC3" w:rsidRPr="004D383C">
        <w:t xml:space="preserve">he University of Minnesota </w:t>
      </w:r>
      <w:r w:rsidR="006717D3" w:rsidRPr="004D383C">
        <w:t>will send an email inviting technologists to participate in the study.  The email will includ</w:t>
      </w:r>
      <w:r w:rsidR="00E71C0F" w:rsidRPr="004D383C">
        <w:t>e</w:t>
      </w:r>
      <w:r w:rsidR="006717D3" w:rsidRPr="004D383C">
        <w:t xml:space="preserve"> </w:t>
      </w:r>
      <w:r w:rsidR="00E71C0F" w:rsidRPr="004D383C">
        <w:t xml:space="preserve">a description of the study, </w:t>
      </w:r>
      <w:r w:rsidR="00276A5D" w:rsidRPr="004D383C">
        <w:t>c</w:t>
      </w:r>
      <w:r w:rsidR="002B1EBA" w:rsidRPr="004D383C">
        <w:t xml:space="preserve">onsent </w:t>
      </w:r>
      <w:r w:rsidR="00E71C0F" w:rsidRPr="004D383C">
        <w:t xml:space="preserve">information, </w:t>
      </w:r>
      <w:r w:rsidR="00A40F57" w:rsidRPr="004D383C">
        <w:t>letters</w:t>
      </w:r>
      <w:r w:rsidR="00E71C0F" w:rsidRPr="004D383C">
        <w:t xml:space="preserve"> of support from the ARRT and NMTCB, and details about how to complete</w:t>
      </w:r>
      <w:r w:rsidR="00276A5D" w:rsidRPr="004D383C">
        <w:t xml:space="preserve"> the study questionnaire, including the </w:t>
      </w:r>
      <w:r w:rsidR="00E71C0F" w:rsidRPr="004D383C">
        <w:t>website link</w:t>
      </w:r>
      <w:r w:rsidR="00276A5D" w:rsidRPr="004D383C">
        <w:t xml:space="preserve"> and a unique</w:t>
      </w:r>
      <w:r w:rsidR="00E71C0F" w:rsidRPr="004D383C">
        <w:t xml:space="preserve"> password). </w:t>
      </w:r>
      <w:r w:rsidR="006717D3" w:rsidRPr="004D383C">
        <w:t xml:space="preserve"> </w:t>
      </w:r>
      <w:r w:rsidR="00D747AC" w:rsidRPr="004D383C">
        <w:t xml:space="preserve">No </w:t>
      </w:r>
      <w:r w:rsidR="00E71C0F" w:rsidRPr="004D383C">
        <w:t xml:space="preserve">hard copy </w:t>
      </w:r>
      <w:r w:rsidR="007E5BFA" w:rsidRPr="004D383C">
        <w:t>questionnaires</w:t>
      </w:r>
      <w:r w:rsidR="00E71C0F" w:rsidRPr="004D383C">
        <w:t xml:space="preserve"> will be </w:t>
      </w:r>
      <w:r w:rsidR="00276A5D" w:rsidRPr="004D383C">
        <w:t>collected</w:t>
      </w:r>
      <w:r w:rsidR="00E71C0F" w:rsidRPr="004D383C">
        <w:t xml:space="preserve">.  </w:t>
      </w:r>
      <w:r w:rsidR="00BE5252" w:rsidRPr="004D383C">
        <w:t xml:space="preserve">All study records </w:t>
      </w:r>
      <w:r w:rsidR="00E30EA3" w:rsidRPr="004D383C">
        <w:t xml:space="preserve">will be </w:t>
      </w:r>
      <w:r w:rsidR="00BE5252" w:rsidRPr="004D383C">
        <w:t xml:space="preserve">kept in locked files in locked study offices.  Electronic data </w:t>
      </w:r>
      <w:r w:rsidR="007E5BFA" w:rsidRPr="004D383C">
        <w:t>will be</w:t>
      </w:r>
      <w:r w:rsidR="00BE5252" w:rsidRPr="004D383C">
        <w:t xml:space="preserve"> stored on password-protected computers.  Access to the study offices and computer files is strictly limited to study staff.  Access to data is limited to only those data files needed by </w:t>
      </w:r>
      <w:r w:rsidR="00E30EA3" w:rsidRPr="004D383C">
        <w:t xml:space="preserve">specific </w:t>
      </w:r>
      <w:r w:rsidR="00BE5252" w:rsidRPr="004D383C">
        <w:t xml:space="preserve">staff </w:t>
      </w:r>
      <w:r w:rsidR="00E30EA3" w:rsidRPr="004D383C">
        <w:t xml:space="preserve">members </w:t>
      </w:r>
      <w:r w:rsidR="00BE5252" w:rsidRPr="004D383C">
        <w:t>to perform their</w:t>
      </w:r>
      <w:r w:rsidR="00E30EA3" w:rsidRPr="004D383C">
        <w:t xml:space="preserve"> specific</w:t>
      </w:r>
      <w:r w:rsidR="00BE5252" w:rsidRPr="004D383C">
        <w:t xml:space="preserve"> job</w:t>
      </w:r>
      <w:r w:rsidR="00E30EA3" w:rsidRPr="004D383C">
        <w:t>s</w:t>
      </w:r>
      <w:r w:rsidR="00BE5252" w:rsidRPr="004D383C">
        <w:t xml:space="preserve">.  Data </w:t>
      </w:r>
      <w:r w:rsidR="00E30EA3" w:rsidRPr="004D383C">
        <w:t>will be</w:t>
      </w:r>
      <w:r w:rsidR="00BE5252" w:rsidRPr="004D383C">
        <w:t xml:space="preserve"> stored by ID number only in separate files from study identifiers (e.g. participant names).  </w:t>
      </w:r>
      <w:r w:rsidR="003F7379" w:rsidRPr="004D383C">
        <w:t xml:space="preserve">Data </w:t>
      </w:r>
      <w:r w:rsidR="00475B7D" w:rsidRPr="004D383C">
        <w:t>files</w:t>
      </w:r>
      <w:r w:rsidR="003F7379" w:rsidRPr="004D383C">
        <w:t xml:space="preserve"> containing </w:t>
      </w:r>
      <w:r w:rsidR="003F7379" w:rsidRPr="004D383C">
        <w:rPr>
          <w:u w:val="single"/>
        </w:rPr>
        <w:t>no</w:t>
      </w:r>
      <w:r w:rsidR="003F7379" w:rsidRPr="004D383C">
        <w:t xml:space="preserve"> personal identifiers will be delivered to NCI periodically and will be accessible only to a limited number of individuals </w:t>
      </w:r>
      <w:r w:rsidR="006717D3" w:rsidRPr="004D383C">
        <w:t xml:space="preserve">in </w:t>
      </w:r>
      <w:r w:rsidR="003F7379" w:rsidRPr="004D383C">
        <w:t>the Radiation Epidemiology Branch</w:t>
      </w:r>
      <w:r w:rsidR="00670CF0" w:rsidRPr="004D383C">
        <w:t xml:space="preserve">, </w:t>
      </w:r>
      <w:r w:rsidR="003F7379" w:rsidRPr="004D383C">
        <w:t xml:space="preserve">NCI and Information Management Services, Inc. (IMS) (computing support services contractor to NCI) who are directly involved in the study and who are responsible for analyzing the data.  </w:t>
      </w:r>
      <w:r w:rsidR="00724764" w:rsidRPr="004D383C">
        <w:t xml:space="preserve">  </w:t>
      </w:r>
    </w:p>
    <w:p w14:paraId="7C08C3F5" w14:textId="3F6109CE" w:rsidR="00F26E0B" w:rsidRPr="004D383C" w:rsidRDefault="00394A3A" w:rsidP="00F20E2F">
      <w:pPr>
        <w:tabs>
          <w:tab w:val="left" w:pos="720"/>
        </w:tabs>
        <w:spacing w:line="480" w:lineRule="auto"/>
        <w:ind w:firstLine="720"/>
      </w:pPr>
      <w:r w:rsidRPr="004D383C">
        <w:t xml:space="preserve">Publication of study results will be of an aggregate and statistical nature only.  </w:t>
      </w:r>
      <w:r w:rsidR="00D9172D" w:rsidRPr="004D383C">
        <w:t xml:space="preserve">Individuals will not be identified or identifiable </w:t>
      </w:r>
      <w:r w:rsidRPr="004D383C">
        <w:t>in any</w:t>
      </w:r>
      <w:r w:rsidR="0020333F" w:rsidRPr="004D383C">
        <w:t xml:space="preserve"> internal or external</w:t>
      </w:r>
      <w:r w:rsidRPr="004D383C">
        <w:t xml:space="preserve"> report </w:t>
      </w:r>
      <w:r w:rsidR="00D9172D" w:rsidRPr="004D383C">
        <w:t>from</w:t>
      </w:r>
      <w:r w:rsidRPr="004D383C">
        <w:t xml:space="preserve"> the study.  </w:t>
      </w:r>
      <w:r w:rsidR="00326710" w:rsidRPr="004D383C">
        <w:t xml:space="preserve">All contractor personnel working on this project and who have access to subject identifying information have </w:t>
      </w:r>
      <w:r w:rsidR="00BE5252" w:rsidRPr="004D383C">
        <w:t xml:space="preserve">received training in protecting the confidentiality of study subjects, and all NCI </w:t>
      </w:r>
      <w:r w:rsidR="00BE5252" w:rsidRPr="004D383C">
        <w:lastRenderedPageBreak/>
        <w:t>contractors have provided assurances of confidentiality.</w:t>
      </w:r>
      <w:r w:rsidR="0096405D" w:rsidRPr="004D383C">
        <w:t xml:space="preserve">  A NIH Certificate of Confidentiality (COC) </w:t>
      </w:r>
      <w:r w:rsidR="0020333F" w:rsidRPr="004D383C">
        <w:t>will be requested upon receipt of NCI Special Studies IRB approval</w:t>
      </w:r>
      <w:r w:rsidR="0096405D" w:rsidRPr="004D383C">
        <w:t xml:space="preserve">. </w:t>
      </w:r>
    </w:p>
    <w:p w14:paraId="77529219" w14:textId="0BE31D96" w:rsidR="00193C92" w:rsidRPr="004D383C" w:rsidRDefault="00394A3A" w:rsidP="00F20E2F">
      <w:pPr>
        <w:tabs>
          <w:tab w:val="left" w:pos="720"/>
        </w:tabs>
        <w:spacing w:line="480" w:lineRule="auto"/>
        <w:ind w:firstLine="720"/>
      </w:pPr>
      <w:r w:rsidRPr="004D383C">
        <w:t>As this is a prospective cohort study, there are no current plans to dispose of the information obtained.  The data will be stored indefinitely unless a decision is reached not to conduct any further follow</w:t>
      </w:r>
      <w:r w:rsidR="00326710" w:rsidRPr="004D383C">
        <w:t>-</w:t>
      </w:r>
      <w:r w:rsidRPr="004D383C">
        <w:t xml:space="preserve">up of this </w:t>
      </w:r>
      <w:r w:rsidR="00326710" w:rsidRPr="004D383C">
        <w:t xml:space="preserve">study </w:t>
      </w:r>
      <w:r w:rsidRPr="004D383C">
        <w:t xml:space="preserve">population.  Should that decision be made at a future date, all items containing personal identifiers will be destroyed through shredding, degaussing, or incineration at the direction of the </w:t>
      </w:r>
      <w:r w:rsidR="0020333F" w:rsidRPr="004D383C">
        <w:t xml:space="preserve">NCI </w:t>
      </w:r>
      <w:r w:rsidR="00670CF0" w:rsidRPr="004D383C">
        <w:t>Contracting Officer Representative</w:t>
      </w:r>
      <w:r w:rsidRPr="004D383C">
        <w:t>.</w:t>
      </w:r>
      <w:r w:rsidR="00193C92" w:rsidRPr="004D383C">
        <w:t xml:space="preserve">  </w:t>
      </w:r>
    </w:p>
    <w:p w14:paraId="35BBD247" w14:textId="77777777" w:rsidR="00EB0C83" w:rsidRPr="004D383C" w:rsidRDefault="00212764" w:rsidP="00482675">
      <w:pPr>
        <w:spacing w:line="480" w:lineRule="auto"/>
        <w:rPr>
          <w:b/>
          <w:bCs/>
        </w:rPr>
      </w:pPr>
      <w:r w:rsidRPr="004D383C">
        <w:rPr>
          <w:b/>
          <w:bCs/>
        </w:rPr>
        <w:t>A.11</w:t>
      </w:r>
      <w:r w:rsidRPr="004D383C">
        <w:rPr>
          <w:b/>
          <w:bCs/>
        </w:rPr>
        <w:tab/>
      </w:r>
      <w:r w:rsidR="00C812F6" w:rsidRPr="004D383C">
        <w:rPr>
          <w:b/>
          <w:bCs/>
        </w:rPr>
        <w:t>J</w:t>
      </w:r>
      <w:r w:rsidR="00394A3A" w:rsidRPr="004D383C">
        <w:rPr>
          <w:b/>
          <w:bCs/>
        </w:rPr>
        <w:t>ustification for Sensitive Questions</w:t>
      </w:r>
    </w:p>
    <w:p w14:paraId="755BFEF0" w14:textId="06A6B330" w:rsidR="00C247F6" w:rsidRPr="004D383C" w:rsidRDefault="003237D2" w:rsidP="00F20E2F">
      <w:pPr>
        <w:tabs>
          <w:tab w:val="left" w:pos="720"/>
        </w:tabs>
        <w:spacing w:line="480" w:lineRule="auto"/>
        <w:ind w:firstLine="720"/>
      </w:pPr>
      <w:r w:rsidRPr="004D383C">
        <w:t xml:space="preserve">Personally identifiable information (PII) will be collected and maintained </w:t>
      </w:r>
      <w:r w:rsidR="00696FC8" w:rsidRPr="004D383C">
        <w:t xml:space="preserve">by the University of Minnesota, </w:t>
      </w:r>
      <w:r w:rsidRPr="004D383C">
        <w:t xml:space="preserve">such as </w:t>
      </w:r>
      <w:r w:rsidR="00D747AC" w:rsidRPr="004D383C">
        <w:t>participant names, home address</w:t>
      </w:r>
      <w:r w:rsidR="00696FC8" w:rsidRPr="004D383C">
        <w:t>es</w:t>
      </w:r>
      <w:r w:rsidR="00D747AC" w:rsidRPr="004D383C">
        <w:t xml:space="preserve">, </w:t>
      </w:r>
      <w:r w:rsidR="00FC0D9B" w:rsidRPr="004D383C">
        <w:t xml:space="preserve">and </w:t>
      </w:r>
      <w:r w:rsidR="00D747AC" w:rsidRPr="004D383C">
        <w:t>telephone number</w:t>
      </w:r>
      <w:r w:rsidR="00FC0D9B" w:rsidRPr="004D383C">
        <w:t xml:space="preserve">s.  </w:t>
      </w:r>
      <w:r w:rsidR="00696FC8" w:rsidRPr="004D383C">
        <w:t>All data submitted to NCI or other contractors will be identified by study ID number only and used for statistical purposes only.</w:t>
      </w:r>
      <w:r w:rsidR="00FF40F7" w:rsidRPr="004D383C">
        <w:t xml:space="preserve">  S</w:t>
      </w:r>
      <w:r w:rsidR="00D747AC" w:rsidRPr="004D383C">
        <w:t xml:space="preserve">ome of the questions </w:t>
      </w:r>
      <w:r w:rsidR="00651107" w:rsidRPr="004D383C">
        <w:t>ar</w:t>
      </w:r>
      <w:r w:rsidR="00D747AC" w:rsidRPr="004D383C">
        <w:t xml:space="preserve">e considered sensitive, including </w:t>
      </w:r>
      <w:r w:rsidR="00B81239" w:rsidRPr="004D383C">
        <w:t xml:space="preserve">current and previous employer </w:t>
      </w:r>
      <w:r w:rsidR="000F51A8" w:rsidRPr="004D383C">
        <w:t>n</w:t>
      </w:r>
      <w:r w:rsidR="00FF40F7" w:rsidRPr="004D383C">
        <w:t>ames and locations</w:t>
      </w:r>
      <w:r w:rsidR="00D747AC" w:rsidRPr="004D383C">
        <w:t>.</w:t>
      </w:r>
      <w:r w:rsidR="00394A3A" w:rsidRPr="004D383C">
        <w:t xml:space="preserve">  </w:t>
      </w:r>
      <w:r w:rsidR="00FF40F7" w:rsidRPr="004D383C">
        <w:t>Th</w:t>
      </w:r>
      <w:r w:rsidR="00E41A21" w:rsidRPr="004D383C">
        <w:t xml:space="preserve">is information will be used to obtain historical badge dose readings from commercial dosimetry providers.  Badge readings are needed to </w:t>
      </w:r>
      <w:r w:rsidR="00FF40F7" w:rsidRPr="004D383C">
        <w:t xml:space="preserve">estimate </w:t>
      </w:r>
      <w:r w:rsidR="00E41A21" w:rsidRPr="004D383C">
        <w:t xml:space="preserve">annual organ-specific </w:t>
      </w:r>
      <w:r w:rsidR="00FF40F7" w:rsidRPr="004D383C">
        <w:t xml:space="preserve">radiation </w:t>
      </w:r>
      <w:r w:rsidR="00E41A21" w:rsidRPr="004D383C">
        <w:t>doses</w:t>
      </w:r>
      <w:r w:rsidR="00FF40F7" w:rsidRPr="004D383C">
        <w:t xml:space="preserve"> </w:t>
      </w:r>
      <w:r w:rsidR="00E41A21" w:rsidRPr="004D383C">
        <w:t>associated with</w:t>
      </w:r>
      <w:r w:rsidR="00FF40F7" w:rsidRPr="004D383C">
        <w:t xml:space="preserve"> performing nuclear medicine procedures</w:t>
      </w:r>
      <w:r w:rsidR="00E41A21" w:rsidRPr="004D383C">
        <w:t xml:space="preserve"> </w:t>
      </w:r>
      <w:r w:rsidR="0014097A" w:rsidRPr="004D383C">
        <w:t xml:space="preserve">to assess </w:t>
      </w:r>
      <w:r w:rsidR="00E41A21" w:rsidRPr="004D383C">
        <w:t>radiation-related disease risks</w:t>
      </w:r>
      <w:r w:rsidR="00FF40F7" w:rsidRPr="004D383C">
        <w:t xml:space="preserve">.  </w:t>
      </w:r>
    </w:p>
    <w:p w14:paraId="6550343F" w14:textId="060F7C4F" w:rsidR="00E77D3E" w:rsidRPr="004D383C" w:rsidRDefault="009B3609" w:rsidP="001A377C">
      <w:pPr>
        <w:pStyle w:val="NoSpacing"/>
        <w:spacing w:line="480" w:lineRule="auto"/>
        <w:ind w:firstLine="720"/>
      </w:pPr>
      <w:r w:rsidRPr="004D383C">
        <w:rPr>
          <w:rFonts w:ascii="Times New Roman" w:hAnsi="Times New Roman"/>
          <w:sz w:val="24"/>
          <w:szCs w:val="24"/>
        </w:rPr>
        <w:t>Participants</w:t>
      </w:r>
      <w:r w:rsidR="00394A3A" w:rsidRPr="004D383C">
        <w:rPr>
          <w:rFonts w:ascii="Times New Roman" w:hAnsi="Times New Roman"/>
          <w:sz w:val="24"/>
          <w:szCs w:val="24"/>
        </w:rPr>
        <w:t xml:space="preserve"> will be advised in </w:t>
      </w:r>
      <w:r w:rsidR="00F963DE" w:rsidRPr="004D383C">
        <w:rPr>
          <w:rFonts w:ascii="Times New Roman" w:hAnsi="Times New Roman"/>
          <w:sz w:val="24"/>
          <w:szCs w:val="24"/>
        </w:rPr>
        <w:t xml:space="preserve">the </w:t>
      </w:r>
      <w:r w:rsidR="00D32F4C" w:rsidRPr="004D383C">
        <w:rPr>
          <w:rFonts w:ascii="Times New Roman" w:hAnsi="Times New Roman"/>
          <w:sz w:val="24"/>
          <w:szCs w:val="24"/>
        </w:rPr>
        <w:t xml:space="preserve">recruitment </w:t>
      </w:r>
      <w:r w:rsidR="007E5BFA" w:rsidRPr="004D383C">
        <w:rPr>
          <w:rFonts w:ascii="Times New Roman" w:hAnsi="Times New Roman"/>
          <w:sz w:val="24"/>
          <w:szCs w:val="24"/>
        </w:rPr>
        <w:t xml:space="preserve">email </w:t>
      </w:r>
      <w:r w:rsidR="00D747AC" w:rsidRPr="004D383C">
        <w:rPr>
          <w:rFonts w:ascii="Times New Roman" w:hAnsi="Times New Roman"/>
          <w:b/>
          <w:sz w:val="24"/>
          <w:szCs w:val="24"/>
        </w:rPr>
        <w:t xml:space="preserve">(Attachment </w:t>
      </w:r>
      <w:r w:rsidR="00AF3D43" w:rsidRPr="004D383C">
        <w:rPr>
          <w:rFonts w:ascii="Times New Roman" w:hAnsi="Times New Roman"/>
          <w:b/>
          <w:sz w:val="24"/>
          <w:szCs w:val="24"/>
        </w:rPr>
        <w:t>3</w:t>
      </w:r>
      <w:r w:rsidR="007E5BFA" w:rsidRPr="004D383C">
        <w:rPr>
          <w:rFonts w:ascii="Times New Roman" w:hAnsi="Times New Roman"/>
          <w:b/>
          <w:sz w:val="24"/>
          <w:szCs w:val="24"/>
        </w:rPr>
        <w:t>A</w:t>
      </w:r>
      <w:r w:rsidR="00D747AC" w:rsidRPr="004D383C">
        <w:rPr>
          <w:rFonts w:ascii="Times New Roman" w:hAnsi="Times New Roman"/>
          <w:b/>
          <w:sz w:val="24"/>
          <w:szCs w:val="24"/>
        </w:rPr>
        <w:t>)</w:t>
      </w:r>
      <w:r w:rsidR="00394A3A" w:rsidRPr="004D383C">
        <w:rPr>
          <w:rFonts w:ascii="Times New Roman" w:hAnsi="Times New Roman"/>
          <w:sz w:val="24"/>
          <w:szCs w:val="24"/>
        </w:rPr>
        <w:t xml:space="preserve"> that their participation is completely voluntary and that they may refuse to respond to any or all questions without penalty. </w:t>
      </w:r>
      <w:r w:rsidR="0014097A" w:rsidRPr="004D383C">
        <w:rPr>
          <w:rFonts w:ascii="Times New Roman" w:hAnsi="Times New Roman"/>
          <w:sz w:val="24"/>
          <w:szCs w:val="24"/>
        </w:rPr>
        <w:t xml:space="preserve"> </w:t>
      </w:r>
      <w:r w:rsidR="00255E54" w:rsidRPr="004D383C">
        <w:rPr>
          <w:rFonts w:ascii="Times New Roman" w:hAnsi="Times New Roman"/>
          <w:sz w:val="24"/>
          <w:szCs w:val="24"/>
        </w:rPr>
        <w:t xml:space="preserve">Follow-up </w:t>
      </w:r>
      <w:r w:rsidR="00D32F4C" w:rsidRPr="004D383C">
        <w:rPr>
          <w:rFonts w:ascii="Times New Roman" w:hAnsi="Times New Roman"/>
          <w:sz w:val="24"/>
          <w:szCs w:val="24"/>
        </w:rPr>
        <w:t xml:space="preserve">recruitment </w:t>
      </w:r>
      <w:r w:rsidR="00255E54" w:rsidRPr="004D383C">
        <w:rPr>
          <w:rFonts w:ascii="Times New Roman" w:hAnsi="Times New Roman"/>
          <w:sz w:val="24"/>
          <w:szCs w:val="24"/>
        </w:rPr>
        <w:t xml:space="preserve">emails </w:t>
      </w:r>
      <w:r w:rsidR="00D32F4C" w:rsidRPr="004D383C">
        <w:rPr>
          <w:rFonts w:ascii="Times New Roman" w:hAnsi="Times New Roman"/>
          <w:sz w:val="24"/>
          <w:szCs w:val="24"/>
        </w:rPr>
        <w:t>(</w:t>
      </w:r>
      <w:r w:rsidR="00D32F4C" w:rsidRPr="004D383C">
        <w:rPr>
          <w:rFonts w:ascii="Times New Roman" w:hAnsi="Times New Roman"/>
          <w:b/>
          <w:sz w:val="24"/>
          <w:szCs w:val="24"/>
        </w:rPr>
        <w:t xml:space="preserve">Attachment </w:t>
      </w:r>
      <w:r w:rsidR="00AF3D43" w:rsidRPr="004D383C">
        <w:rPr>
          <w:rFonts w:ascii="Times New Roman" w:hAnsi="Times New Roman"/>
          <w:b/>
          <w:sz w:val="24"/>
          <w:szCs w:val="24"/>
        </w:rPr>
        <w:t>3</w:t>
      </w:r>
      <w:r w:rsidR="00D32F4C" w:rsidRPr="004D383C">
        <w:rPr>
          <w:rFonts w:ascii="Times New Roman" w:hAnsi="Times New Roman"/>
          <w:b/>
          <w:sz w:val="24"/>
          <w:szCs w:val="24"/>
        </w:rPr>
        <w:t>B</w:t>
      </w:r>
      <w:r w:rsidR="00D32F4C" w:rsidRPr="004D383C">
        <w:rPr>
          <w:rFonts w:ascii="Times New Roman" w:hAnsi="Times New Roman"/>
          <w:sz w:val="24"/>
          <w:szCs w:val="24"/>
        </w:rPr>
        <w:t xml:space="preserve">) </w:t>
      </w:r>
      <w:r w:rsidR="00276A5D" w:rsidRPr="004D383C">
        <w:rPr>
          <w:rFonts w:ascii="Times New Roman" w:hAnsi="Times New Roman"/>
          <w:sz w:val="24"/>
          <w:szCs w:val="24"/>
        </w:rPr>
        <w:t xml:space="preserve">will be sent to </w:t>
      </w:r>
      <w:r w:rsidR="00A7194E" w:rsidRPr="004D383C">
        <w:rPr>
          <w:rFonts w:ascii="Times New Roman" w:hAnsi="Times New Roman"/>
          <w:sz w:val="24"/>
          <w:szCs w:val="24"/>
        </w:rPr>
        <w:t>non-responder</w:t>
      </w:r>
      <w:r w:rsidR="0014097A" w:rsidRPr="004D383C">
        <w:rPr>
          <w:rFonts w:ascii="Times New Roman" w:hAnsi="Times New Roman"/>
          <w:sz w:val="24"/>
          <w:szCs w:val="24"/>
        </w:rPr>
        <w:t>s after 3 weeks, 6 weeks, and 9 weeks</w:t>
      </w:r>
      <w:r w:rsidR="00D32F4C" w:rsidRPr="004D383C">
        <w:rPr>
          <w:rFonts w:ascii="Times New Roman" w:hAnsi="Times New Roman"/>
          <w:sz w:val="24"/>
          <w:szCs w:val="24"/>
        </w:rPr>
        <w:t>, as needed</w:t>
      </w:r>
      <w:r w:rsidR="00A7194E" w:rsidRPr="004D383C">
        <w:rPr>
          <w:rFonts w:ascii="Times New Roman" w:hAnsi="Times New Roman"/>
          <w:sz w:val="24"/>
          <w:szCs w:val="24"/>
        </w:rPr>
        <w:t xml:space="preserve">.  </w:t>
      </w:r>
      <w:r w:rsidR="007E5BFA" w:rsidRPr="004D383C">
        <w:rPr>
          <w:rFonts w:ascii="Times New Roman" w:hAnsi="Times New Roman"/>
          <w:sz w:val="24"/>
          <w:szCs w:val="24"/>
        </w:rPr>
        <w:t xml:space="preserve">Consent information </w:t>
      </w:r>
      <w:r w:rsidR="00A7194E" w:rsidRPr="004D383C">
        <w:rPr>
          <w:rFonts w:ascii="Times New Roman" w:hAnsi="Times New Roman"/>
          <w:sz w:val="24"/>
          <w:szCs w:val="24"/>
        </w:rPr>
        <w:t>(</w:t>
      </w:r>
      <w:r w:rsidR="00A7194E" w:rsidRPr="004D383C">
        <w:rPr>
          <w:rFonts w:ascii="Times New Roman" w:hAnsi="Times New Roman"/>
          <w:b/>
          <w:sz w:val="24"/>
          <w:szCs w:val="24"/>
        </w:rPr>
        <w:t xml:space="preserve">Attachment </w:t>
      </w:r>
      <w:r w:rsidR="00AF3D43" w:rsidRPr="004D383C">
        <w:rPr>
          <w:rFonts w:ascii="Times New Roman" w:hAnsi="Times New Roman"/>
          <w:b/>
          <w:sz w:val="24"/>
          <w:szCs w:val="24"/>
        </w:rPr>
        <w:t>4</w:t>
      </w:r>
      <w:r w:rsidR="00A7194E" w:rsidRPr="004D383C">
        <w:rPr>
          <w:rFonts w:ascii="Times New Roman" w:hAnsi="Times New Roman"/>
          <w:sz w:val="24"/>
          <w:szCs w:val="24"/>
        </w:rPr>
        <w:t xml:space="preserve">) </w:t>
      </w:r>
      <w:r w:rsidR="007E5BFA" w:rsidRPr="004D383C">
        <w:rPr>
          <w:rFonts w:ascii="Times New Roman" w:hAnsi="Times New Roman"/>
          <w:sz w:val="24"/>
          <w:szCs w:val="24"/>
        </w:rPr>
        <w:t>will</w:t>
      </w:r>
      <w:r w:rsidR="00A7194E" w:rsidRPr="004D383C">
        <w:rPr>
          <w:rFonts w:ascii="Times New Roman" w:hAnsi="Times New Roman"/>
          <w:sz w:val="24"/>
          <w:szCs w:val="24"/>
        </w:rPr>
        <w:t xml:space="preserve"> </w:t>
      </w:r>
      <w:r w:rsidR="007E5BFA" w:rsidRPr="004D383C">
        <w:rPr>
          <w:rFonts w:ascii="Times New Roman" w:hAnsi="Times New Roman"/>
          <w:sz w:val="24"/>
          <w:szCs w:val="24"/>
        </w:rPr>
        <w:t>be included in</w:t>
      </w:r>
      <w:r w:rsidR="00FB7575" w:rsidRPr="004D383C">
        <w:rPr>
          <w:rFonts w:ascii="Times New Roman" w:hAnsi="Times New Roman"/>
          <w:sz w:val="24"/>
          <w:szCs w:val="24"/>
        </w:rPr>
        <w:t xml:space="preserve"> the</w:t>
      </w:r>
      <w:r w:rsidR="007E5BFA" w:rsidRPr="004D383C">
        <w:rPr>
          <w:rFonts w:ascii="Times New Roman" w:hAnsi="Times New Roman"/>
          <w:sz w:val="24"/>
          <w:szCs w:val="24"/>
        </w:rPr>
        <w:t xml:space="preserve"> email</w:t>
      </w:r>
      <w:r w:rsidR="00B81239" w:rsidRPr="004D383C">
        <w:rPr>
          <w:rFonts w:ascii="Times New Roman" w:hAnsi="Times New Roman"/>
          <w:sz w:val="24"/>
          <w:szCs w:val="24"/>
        </w:rPr>
        <w:t>s</w:t>
      </w:r>
      <w:r w:rsidR="001A0DBB" w:rsidRPr="004D383C">
        <w:rPr>
          <w:rFonts w:ascii="Times New Roman" w:hAnsi="Times New Roman"/>
          <w:sz w:val="24"/>
          <w:szCs w:val="24"/>
        </w:rPr>
        <w:t xml:space="preserve">.  </w:t>
      </w:r>
      <w:r w:rsidR="00F363E8" w:rsidRPr="004D383C">
        <w:rPr>
          <w:rFonts w:ascii="Times New Roman" w:hAnsi="Times New Roman"/>
          <w:sz w:val="24"/>
          <w:szCs w:val="24"/>
        </w:rPr>
        <w:t>The consent information will be repeated at the beginning of the questionnaire (Attachment 1)</w:t>
      </w:r>
      <w:r w:rsidR="003E0501" w:rsidRPr="004D383C">
        <w:rPr>
          <w:rFonts w:ascii="Times New Roman" w:hAnsi="Times New Roman"/>
          <w:sz w:val="24"/>
          <w:szCs w:val="24"/>
        </w:rPr>
        <w:t>,</w:t>
      </w:r>
      <w:r w:rsidR="00F363E8" w:rsidRPr="004D383C">
        <w:rPr>
          <w:rFonts w:ascii="Times New Roman" w:hAnsi="Times New Roman"/>
          <w:sz w:val="24"/>
          <w:szCs w:val="24"/>
        </w:rPr>
        <w:t xml:space="preserve"> and s</w:t>
      </w:r>
      <w:r w:rsidR="001A0DBB" w:rsidRPr="004D383C">
        <w:rPr>
          <w:rFonts w:ascii="Times New Roman" w:hAnsi="Times New Roman"/>
          <w:sz w:val="24"/>
          <w:szCs w:val="24"/>
        </w:rPr>
        <w:t xml:space="preserve">ubjects will be asked </w:t>
      </w:r>
      <w:r w:rsidR="00BA4389" w:rsidRPr="004D383C">
        <w:rPr>
          <w:rFonts w:ascii="Times New Roman" w:hAnsi="Times New Roman"/>
          <w:color w:val="000000"/>
          <w:sz w:val="24"/>
          <w:szCs w:val="24"/>
        </w:rPr>
        <w:t>to consent</w:t>
      </w:r>
      <w:r w:rsidR="003E0501" w:rsidRPr="004D383C">
        <w:rPr>
          <w:rFonts w:ascii="Times New Roman" w:hAnsi="Times New Roman"/>
          <w:color w:val="000000"/>
          <w:sz w:val="24"/>
          <w:szCs w:val="24"/>
        </w:rPr>
        <w:t xml:space="preserve"> to participate in the study before they will be able to complete the questionnaire.</w:t>
      </w:r>
      <w:r w:rsidR="00F363E8" w:rsidRPr="004D383C">
        <w:rPr>
          <w:rFonts w:ascii="Times New Roman" w:hAnsi="Times New Roman"/>
          <w:sz w:val="24"/>
          <w:szCs w:val="24"/>
        </w:rPr>
        <w:t xml:space="preserve">  </w:t>
      </w:r>
    </w:p>
    <w:p w14:paraId="6D8D74AD" w14:textId="77777777" w:rsidR="00C67EBA" w:rsidRDefault="00C67EBA" w:rsidP="00343D37">
      <w:pPr>
        <w:spacing w:line="480" w:lineRule="auto"/>
        <w:rPr>
          <w:b/>
          <w:bCs/>
        </w:rPr>
      </w:pPr>
    </w:p>
    <w:p w14:paraId="54B060B6" w14:textId="77777777" w:rsidR="00C77D72" w:rsidRPr="004D383C" w:rsidRDefault="00343D37" w:rsidP="00343D37">
      <w:pPr>
        <w:spacing w:line="480" w:lineRule="auto"/>
        <w:sectPr w:rsidR="00C77D72" w:rsidRPr="004D383C" w:rsidSect="00870D04">
          <w:headerReference w:type="default" r:id="rId15"/>
          <w:footerReference w:type="even" r:id="rId16"/>
          <w:footerReference w:type="default" r:id="rId17"/>
          <w:headerReference w:type="first" r:id="rId18"/>
          <w:pgSz w:w="12240" w:h="15840" w:code="1"/>
          <w:pgMar w:top="1440" w:right="1440" w:bottom="1170" w:left="1440" w:header="720" w:footer="720" w:gutter="0"/>
          <w:pgNumType w:start="1"/>
          <w:cols w:space="720"/>
          <w:docGrid w:linePitch="326"/>
        </w:sectPr>
      </w:pPr>
      <w:r w:rsidRPr="004D383C">
        <w:rPr>
          <w:b/>
          <w:bCs/>
        </w:rPr>
        <w:lastRenderedPageBreak/>
        <w:t>A.12.1</w:t>
      </w:r>
      <w:r w:rsidRPr="004D383C">
        <w:rPr>
          <w:b/>
          <w:bCs/>
        </w:rPr>
        <w:tab/>
        <w:t>Estimates of Annualized Burden Hours</w:t>
      </w:r>
      <w:r w:rsidRPr="004D383C">
        <w:t xml:space="preserve"> </w:t>
      </w:r>
    </w:p>
    <w:p w14:paraId="1CE8CC41" w14:textId="28BA69F5" w:rsidR="0074499E" w:rsidRDefault="00244224" w:rsidP="001306FE">
      <w:pPr>
        <w:spacing w:line="480" w:lineRule="auto"/>
        <w:ind w:firstLine="720"/>
        <w:rPr>
          <w:color w:val="000000"/>
          <w:highlight w:val="yellow"/>
        </w:rPr>
      </w:pPr>
      <w:r w:rsidRPr="00244224">
        <w:rPr>
          <w:color w:val="000000"/>
          <w:highlight w:val="yellow"/>
        </w:rPr>
        <w:t xml:space="preserve">The number of nuclear medicine technologists eligible for the feasibility study (the sampling frame) includes approximately 25,000 individuals certified in nuclear medicine technology in 1980 or later who have available email addresses.  A total of 1,500 technologists (the sample) will be selected for the feasibility study.  The primary goals of the feasibility study are to identify the eligible population of nuclear medicine technologists, determine their range of occupational radiation doses, and assess their response rate to a computer-assisted web interview.  Those eligible for the feasibility study are relatively evenly distributed by sex, year of birth, and year certified, but not by type of certification.  Technologists certified in positron-emission tomography (PET) are of greatest interest for the proposed expanded study of radiation-related disease risks in nuclear medicine technologists because they likely have the highest occupational radiation exposures; however, PET-certified technologists represent only about 4% of the eligible population.  </w:t>
      </w:r>
      <w:r w:rsidR="006F5DD8">
        <w:rPr>
          <w:color w:val="000000"/>
          <w:highlight w:val="yellow"/>
        </w:rPr>
        <w:t>W</w:t>
      </w:r>
      <w:r w:rsidRPr="00244224">
        <w:rPr>
          <w:color w:val="000000"/>
          <w:highlight w:val="yellow"/>
        </w:rPr>
        <w:t xml:space="preserve">e plan to oversample from among PET-certified technologists to ensure that there will a sufficient number of participants </w:t>
      </w:r>
      <w:r w:rsidR="006F5DD8">
        <w:rPr>
          <w:color w:val="000000"/>
          <w:highlight w:val="yellow"/>
        </w:rPr>
        <w:t xml:space="preserve">from this group </w:t>
      </w:r>
      <w:r w:rsidRPr="00244224">
        <w:rPr>
          <w:color w:val="000000"/>
          <w:highlight w:val="yellow"/>
        </w:rPr>
        <w:t xml:space="preserve">to get an accurate idea of their likely exposures.  We will randomly select 250 technologists from among those certified in PET and randomly select </w:t>
      </w:r>
      <w:r w:rsidR="006F5DD8">
        <w:rPr>
          <w:color w:val="000000"/>
          <w:highlight w:val="yellow"/>
        </w:rPr>
        <w:t xml:space="preserve">the remaining </w:t>
      </w:r>
      <w:r w:rsidRPr="00244224">
        <w:rPr>
          <w:color w:val="000000"/>
          <w:highlight w:val="yellow"/>
        </w:rPr>
        <w:t>1,250 technologists from among those certified in all other nuclear medicine specialties.  Since this will be our first experience using a computer-assisted web interview and in surveying a group of relatively young individuals, we are not sure what percentage of subjects will complete the questionnaire.  Based on our previous experience from surveying a much older group of radiologic technologists four times between 1983 and 2013, where mail questionnaire response rates ranged from 78% (first survey) to 62% (fourth survey), with even greater declines in participation among the youngest cohort members, we estimate that about 50% of the sample of 1,500 will complete the feasibility study questionnaire.</w:t>
      </w:r>
      <w:r>
        <w:rPr>
          <w:color w:val="000000"/>
          <w:highlight w:val="yellow"/>
        </w:rPr>
        <w:t xml:space="preserve">   </w:t>
      </w:r>
    </w:p>
    <w:p w14:paraId="127F94CD" w14:textId="77777777" w:rsidR="0074499E" w:rsidRDefault="0074499E">
      <w:pPr>
        <w:rPr>
          <w:color w:val="000000"/>
          <w:highlight w:val="yellow"/>
        </w:rPr>
      </w:pPr>
      <w:r>
        <w:rPr>
          <w:color w:val="000000"/>
          <w:highlight w:val="yellow"/>
        </w:rPr>
        <w:br w:type="page"/>
      </w:r>
    </w:p>
    <w:p w14:paraId="0B1C10D4" w14:textId="77777777" w:rsidR="0074499E" w:rsidRDefault="0074499E" w:rsidP="0074499E">
      <w:pPr>
        <w:ind w:firstLine="720"/>
        <w:rPr>
          <w:color w:val="000000"/>
          <w:highlight w:val="yellow"/>
        </w:rPr>
      </w:pPr>
    </w:p>
    <w:p w14:paraId="004A1F6D" w14:textId="77777777" w:rsidR="0074499E" w:rsidRPr="0074499E" w:rsidRDefault="0074499E" w:rsidP="0074499E">
      <w:pPr>
        <w:spacing w:line="480" w:lineRule="auto"/>
        <w:ind w:firstLine="720"/>
        <w:rPr>
          <w:highlight w:val="yellow"/>
        </w:rPr>
        <w:sectPr w:rsidR="0074499E" w:rsidRPr="0074499E" w:rsidSect="00E641A2">
          <w:footerReference w:type="default" r:id="rId19"/>
          <w:type w:val="continuous"/>
          <w:pgSz w:w="12240" w:h="15840" w:code="1"/>
          <w:pgMar w:top="1440" w:right="1440" w:bottom="1170" w:left="1440" w:header="720" w:footer="720" w:gutter="0"/>
          <w:cols w:space="720"/>
          <w:docGrid w:linePitch="326"/>
        </w:sectPr>
      </w:pPr>
      <w:r w:rsidRPr="0074499E">
        <w:rPr>
          <w:color w:val="000000"/>
          <w:highlight w:val="yellow"/>
        </w:rPr>
        <w:t xml:space="preserve">The estimated time to complete the questionnaire is 30 minutes.   Over the course of three years of information collection, it is anticipated that there will be 750 respondents (50% of the sample) which will amount to 375 burden hours.  </w:t>
      </w:r>
      <w:r w:rsidRPr="0074499E">
        <w:rPr>
          <w:highlight w:val="yellow"/>
        </w:rPr>
        <w:t xml:space="preserve">The annualized total burden hours are 125 for 250 respondents.  </w:t>
      </w:r>
    </w:p>
    <w:tbl>
      <w:tblPr>
        <w:tblpPr w:leftFromText="180" w:rightFromText="180" w:vertAnchor="page" w:horzAnchor="margin" w:tblpY="1357"/>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02"/>
        <w:gridCol w:w="1440"/>
        <w:gridCol w:w="1440"/>
        <w:gridCol w:w="1800"/>
        <w:gridCol w:w="1530"/>
      </w:tblGrid>
      <w:tr w:rsidR="0074499E" w:rsidRPr="0074499E" w14:paraId="5A268E22" w14:textId="77777777" w:rsidTr="004508A2">
        <w:tc>
          <w:tcPr>
            <w:tcW w:w="9360" w:type="dxa"/>
            <w:gridSpan w:val="6"/>
          </w:tcPr>
          <w:p w14:paraId="36A45A3C" w14:textId="77777777" w:rsidR="0074499E" w:rsidRPr="0074499E" w:rsidRDefault="0074499E" w:rsidP="0074499E">
            <w:pPr>
              <w:jc w:val="center"/>
              <w:rPr>
                <w:b/>
                <w:sz w:val="22"/>
                <w:szCs w:val="22"/>
              </w:rPr>
            </w:pPr>
            <w:r w:rsidRPr="0074499E">
              <w:rPr>
                <w:b/>
                <w:sz w:val="22"/>
                <w:szCs w:val="22"/>
              </w:rPr>
              <w:t>Table A.12-1.  Estimated Annualized Burden Hours</w:t>
            </w:r>
          </w:p>
        </w:tc>
      </w:tr>
      <w:tr w:rsidR="0074499E" w:rsidRPr="0074499E" w14:paraId="3C9B7482" w14:textId="77777777" w:rsidTr="004508A2">
        <w:tc>
          <w:tcPr>
            <w:tcW w:w="1548" w:type="dxa"/>
            <w:vAlign w:val="center"/>
          </w:tcPr>
          <w:p w14:paraId="14278A84" w14:textId="77777777" w:rsidR="0074499E" w:rsidRPr="0074499E" w:rsidRDefault="0074499E" w:rsidP="0074499E">
            <w:pPr>
              <w:jc w:val="center"/>
              <w:rPr>
                <w:b/>
                <w:sz w:val="22"/>
                <w:szCs w:val="22"/>
              </w:rPr>
            </w:pPr>
            <w:r w:rsidRPr="0074499E">
              <w:rPr>
                <w:b/>
                <w:sz w:val="22"/>
                <w:szCs w:val="22"/>
              </w:rPr>
              <w:t>Type of Respondent</w:t>
            </w:r>
          </w:p>
        </w:tc>
        <w:tc>
          <w:tcPr>
            <w:tcW w:w="1602" w:type="dxa"/>
            <w:vAlign w:val="center"/>
          </w:tcPr>
          <w:p w14:paraId="4BF9AD77" w14:textId="77777777" w:rsidR="0074499E" w:rsidRPr="0074499E" w:rsidRDefault="0074499E" w:rsidP="0074499E">
            <w:pPr>
              <w:jc w:val="center"/>
              <w:rPr>
                <w:b/>
                <w:sz w:val="22"/>
                <w:szCs w:val="22"/>
              </w:rPr>
            </w:pPr>
            <w:r w:rsidRPr="0074499E">
              <w:rPr>
                <w:b/>
                <w:sz w:val="22"/>
                <w:szCs w:val="22"/>
              </w:rPr>
              <w:t>Instrument</w:t>
            </w:r>
          </w:p>
        </w:tc>
        <w:tc>
          <w:tcPr>
            <w:tcW w:w="1440" w:type="dxa"/>
            <w:vAlign w:val="center"/>
          </w:tcPr>
          <w:p w14:paraId="44807AF5" w14:textId="77777777" w:rsidR="0074499E" w:rsidRPr="0074499E" w:rsidRDefault="0074499E" w:rsidP="0074499E">
            <w:pPr>
              <w:jc w:val="center"/>
              <w:rPr>
                <w:b/>
                <w:sz w:val="22"/>
                <w:szCs w:val="22"/>
              </w:rPr>
            </w:pPr>
            <w:r w:rsidRPr="0074499E">
              <w:rPr>
                <w:b/>
                <w:sz w:val="22"/>
                <w:szCs w:val="22"/>
              </w:rPr>
              <w:t>Number of Respondents</w:t>
            </w:r>
          </w:p>
        </w:tc>
        <w:tc>
          <w:tcPr>
            <w:tcW w:w="1440" w:type="dxa"/>
            <w:vAlign w:val="center"/>
          </w:tcPr>
          <w:p w14:paraId="0FF9E2D9" w14:textId="77777777" w:rsidR="0074499E" w:rsidRPr="0074499E" w:rsidRDefault="0074499E" w:rsidP="0074499E">
            <w:pPr>
              <w:jc w:val="center"/>
              <w:rPr>
                <w:b/>
                <w:sz w:val="22"/>
                <w:szCs w:val="22"/>
              </w:rPr>
            </w:pPr>
            <w:r w:rsidRPr="0074499E">
              <w:rPr>
                <w:b/>
                <w:sz w:val="22"/>
                <w:szCs w:val="22"/>
              </w:rPr>
              <w:t>Frequency of Response</w:t>
            </w:r>
          </w:p>
        </w:tc>
        <w:tc>
          <w:tcPr>
            <w:tcW w:w="1800" w:type="dxa"/>
            <w:vAlign w:val="center"/>
          </w:tcPr>
          <w:p w14:paraId="00804A25" w14:textId="77777777" w:rsidR="0074499E" w:rsidRPr="0074499E" w:rsidRDefault="0074499E" w:rsidP="0074499E">
            <w:pPr>
              <w:jc w:val="center"/>
              <w:rPr>
                <w:b/>
                <w:sz w:val="22"/>
                <w:szCs w:val="22"/>
              </w:rPr>
            </w:pPr>
            <w:r w:rsidRPr="0074499E">
              <w:rPr>
                <w:b/>
                <w:sz w:val="22"/>
                <w:szCs w:val="22"/>
              </w:rPr>
              <w:t>Average Time per Response</w:t>
            </w:r>
          </w:p>
          <w:p w14:paraId="54A92077" w14:textId="77777777" w:rsidR="0074499E" w:rsidRPr="0074499E" w:rsidRDefault="0074499E" w:rsidP="0074499E">
            <w:pPr>
              <w:jc w:val="center"/>
              <w:rPr>
                <w:b/>
                <w:sz w:val="22"/>
                <w:szCs w:val="22"/>
              </w:rPr>
            </w:pPr>
            <w:r w:rsidRPr="0074499E">
              <w:rPr>
                <w:b/>
                <w:sz w:val="22"/>
                <w:szCs w:val="22"/>
              </w:rPr>
              <w:t>(Hours)</w:t>
            </w:r>
          </w:p>
        </w:tc>
        <w:tc>
          <w:tcPr>
            <w:tcW w:w="1530" w:type="dxa"/>
            <w:vAlign w:val="center"/>
          </w:tcPr>
          <w:p w14:paraId="774F69D1" w14:textId="77777777" w:rsidR="0074499E" w:rsidRPr="0074499E" w:rsidRDefault="0074499E" w:rsidP="0074499E">
            <w:pPr>
              <w:jc w:val="center"/>
              <w:rPr>
                <w:b/>
                <w:sz w:val="22"/>
                <w:szCs w:val="22"/>
              </w:rPr>
            </w:pPr>
            <w:r w:rsidRPr="0074499E">
              <w:rPr>
                <w:b/>
                <w:sz w:val="22"/>
                <w:szCs w:val="22"/>
              </w:rPr>
              <w:t>Annual Hour Burden</w:t>
            </w:r>
          </w:p>
        </w:tc>
      </w:tr>
      <w:tr w:rsidR="0074499E" w:rsidRPr="0074499E" w14:paraId="62CF7DCD" w14:textId="77777777" w:rsidTr="004508A2">
        <w:trPr>
          <w:trHeight w:val="848"/>
        </w:trPr>
        <w:tc>
          <w:tcPr>
            <w:tcW w:w="1548" w:type="dxa"/>
            <w:vAlign w:val="center"/>
          </w:tcPr>
          <w:p w14:paraId="32D16330" w14:textId="77777777" w:rsidR="0074499E" w:rsidRPr="0074499E" w:rsidRDefault="0074499E" w:rsidP="0074499E">
            <w:pPr>
              <w:jc w:val="center"/>
              <w:rPr>
                <w:sz w:val="22"/>
                <w:szCs w:val="20"/>
              </w:rPr>
            </w:pPr>
            <w:r w:rsidRPr="0074499E">
              <w:rPr>
                <w:sz w:val="22"/>
                <w:szCs w:val="20"/>
              </w:rPr>
              <w:t>Nuclear Medicine Technologists</w:t>
            </w:r>
          </w:p>
        </w:tc>
        <w:tc>
          <w:tcPr>
            <w:tcW w:w="1602" w:type="dxa"/>
            <w:vAlign w:val="center"/>
          </w:tcPr>
          <w:p w14:paraId="25D6F89D" w14:textId="77777777" w:rsidR="0074499E" w:rsidRPr="0074499E" w:rsidRDefault="0074499E" w:rsidP="0074499E">
            <w:pPr>
              <w:widowControl w:val="0"/>
              <w:jc w:val="center"/>
              <w:rPr>
                <w:sz w:val="22"/>
                <w:szCs w:val="20"/>
              </w:rPr>
            </w:pPr>
            <w:r w:rsidRPr="0074499E">
              <w:rPr>
                <w:sz w:val="22"/>
                <w:szCs w:val="22"/>
              </w:rPr>
              <w:t>Nuclear Medicine Questionnaire</w:t>
            </w:r>
          </w:p>
        </w:tc>
        <w:tc>
          <w:tcPr>
            <w:tcW w:w="1440" w:type="dxa"/>
            <w:vAlign w:val="center"/>
          </w:tcPr>
          <w:p w14:paraId="430C6026" w14:textId="77777777" w:rsidR="0074499E" w:rsidRPr="0074499E" w:rsidRDefault="0074499E" w:rsidP="0074499E">
            <w:pPr>
              <w:jc w:val="center"/>
              <w:rPr>
                <w:sz w:val="22"/>
                <w:szCs w:val="20"/>
              </w:rPr>
            </w:pPr>
            <w:r w:rsidRPr="0074499E">
              <w:rPr>
                <w:sz w:val="22"/>
                <w:szCs w:val="22"/>
              </w:rPr>
              <w:t>250</w:t>
            </w:r>
          </w:p>
        </w:tc>
        <w:tc>
          <w:tcPr>
            <w:tcW w:w="1440" w:type="dxa"/>
            <w:vAlign w:val="center"/>
          </w:tcPr>
          <w:p w14:paraId="4CD165B9" w14:textId="77777777" w:rsidR="0074499E" w:rsidRPr="0074499E" w:rsidRDefault="0074499E" w:rsidP="0074499E">
            <w:pPr>
              <w:jc w:val="center"/>
              <w:rPr>
                <w:sz w:val="22"/>
                <w:szCs w:val="20"/>
              </w:rPr>
            </w:pPr>
            <w:r w:rsidRPr="0074499E">
              <w:rPr>
                <w:sz w:val="22"/>
                <w:szCs w:val="22"/>
              </w:rPr>
              <w:t>1</w:t>
            </w:r>
          </w:p>
        </w:tc>
        <w:tc>
          <w:tcPr>
            <w:tcW w:w="1800" w:type="dxa"/>
            <w:vAlign w:val="center"/>
          </w:tcPr>
          <w:p w14:paraId="183854D5" w14:textId="77777777" w:rsidR="0074499E" w:rsidRPr="0074499E" w:rsidRDefault="0074499E" w:rsidP="0074499E">
            <w:pPr>
              <w:jc w:val="center"/>
              <w:rPr>
                <w:sz w:val="22"/>
                <w:szCs w:val="22"/>
              </w:rPr>
            </w:pPr>
            <w:r w:rsidRPr="0074499E">
              <w:rPr>
                <w:sz w:val="22"/>
                <w:szCs w:val="22"/>
              </w:rPr>
              <w:t>30/60</w:t>
            </w:r>
          </w:p>
        </w:tc>
        <w:tc>
          <w:tcPr>
            <w:tcW w:w="1530" w:type="dxa"/>
            <w:vAlign w:val="center"/>
          </w:tcPr>
          <w:p w14:paraId="441B3510" w14:textId="77777777" w:rsidR="0074499E" w:rsidRPr="0074499E" w:rsidRDefault="0074499E" w:rsidP="0074499E">
            <w:pPr>
              <w:jc w:val="center"/>
              <w:rPr>
                <w:sz w:val="22"/>
                <w:szCs w:val="20"/>
              </w:rPr>
            </w:pPr>
            <w:r w:rsidRPr="0074499E">
              <w:rPr>
                <w:sz w:val="22"/>
                <w:szCs w:val="20"/>
              </w:rPr>
              <w:t>125</w:t>
            </w:r>
          </w:p>
        </w:tc>
      </w:tr>
      <w:tr w:rsidR="0074499E" w:rsidRPr="0074499E" w14:paraId="104CC2B0" w14:textId="77777777" w:rsidTr="004508A2">
        <w:trPr>
          <w:trHeight w:val="413"/>
        </w:trPr>
        <w:tc>
          <w:tcPr>
            <w:tcW w:w="3150" w:type="dxa"/>
            <w:gridSpan w:val="2"/>
            <w:vAlign w:val="center"/>
          </w:tcPr>
          <w:p w14:paraId="4D1A1D41" w14:textId="77777777" w:rsidR="0074499E" w:rsidRPr="0074499E" w:rsidRDefault="0074499E" w:rsidP="0074499E">
            <w:pPr>
              <w:jc w:val="center"/>
              <w:rPr>
                <w:b/>
                <w:sz w:val="22"/>
                <w:szCs w:val="22"/>
              </w:rPr>
            </w:pPr>
            <w:r w:rsidRPr="0074499E">
              <w:rPr>
                <w:b/>
                <w:sz w:val="22"/>
                <w:szCs w:val="22"/>
              </w:rPr>
              <w:t xml:space="preserve">TOTAL </w:t>
            </w:r>
          </w:p>
        </w:tc>
        <w:tc>
          <w:tcPr>
            <w:tcW w:w="1440" w:type="dxa"/>
            <w:vAlign w:val="center"/>
          </w:tcPr>
          <w:p w14:paraId="7DE12325" w14:textId="77777777" w:rsidR="0074499E" w:rsidRPr="0074499E" w:rsidRDefault="0074499E" w:rsidP="0074499E">
            <w:pPr>
              <w:jc w:val="center"/>
              <w:rPr>
                <w:sz w:val="22"/>
                <w:szCs w:val="22"/>
              </w:rPr>
            </w:pPr>
            <w:r w:rsidRPr="0074499E">
              <w:rPr>
                <w:sz w:val="22"/>
                <w:szCs w:val="22"/>
              </w:rPr>
              <w:t>250</w:t>
            </w:r>
          </w:p>
        </w:tc>
        <w:tc>
          <w:tcPr>
            <w:tcW w:w="1440" w:type="dxa"/>
            <w:vAlign w:val="center"/>
          </w:tcPr>
          <w:p w14:paraId="410E4F28" w14:textId="77777777" w:rsidR="0074499E" w:rsidRPr="0074499E" w:rsidRDefault="0074499E" w:rsidP="0074499E">
            <w:pPr>
              <w:jc w:val="center"/>
              <w:rPr>
                <w:sz w:val="22"/>
                <w:szCs w:val="22"/>
              </w:rPr>
            </w:pPr>
            <w:r w:rsidRPr="0074499E">
              <w:rPr>
                <w:sz w:val="22"/>
                <w:szCs w:val="22"/>
              </w:rPr>
              <w:t>250</w:t>
            </w:r>
          </w:p>
        </w:tc>
        <w:tc>
          <w:tcPr>
            <w:tcW w:w="1800" w:type="dxa"/>
            <w:vAlign w:val="center"/>
          </w:tcPr>
          <w:p w14:paraId="5CFF9004" w14:textId="77777777" w:rsidR="0074499E" w:rsidRPr="0074499E" w:rsidRDefault="0074499E" w:rsidP="0074499E">
            <w:pPr>
              <w:jc w:val="center"/>
              <w:rPr>
                <w:sz w:val="22"/>
                <w:szCs w:val="22"/>
              </w:rPr>
            </w:pPr>
          </w:p>
        </w:tc>
        <w:tc>
          <w:tcPr>
            <w:tcW w:w="1530" w:type="dxa"/>
            <w:vAlign w:val="center"/>
          </w:tcPr>
          <w:p w14:paraId="5344C52A" w14:textId="77777777" w:rsidR="0074499E" w:rsidRPr="0074499E" w:rsidRDefault="0074499E" w:rsidP="0074499E">
            <w:pPr>
              <w:jc w:val="center"/>
              <w:rPr>
                <w:sz w:val="22"/>
                <w:szCs w:val="22"/>
              </w:rPr>
            </w:pPr>
            <w:r w:rsidRPr="0074499E">
              <w:rPr>
                <w:sz w:val="22"/>
                <w:szCs w:val="22"/>
              </w:rPr>
              <w:t>125</w:t>
            </w:r>
          </w:p>
        </w:tc>
      </w:tr>
    </w:tbl>
    <w:p w14:paraId="7C5C7921" w14:textId="77777777" w:rsidR="0074499E" w:rsidRPr="0074499E" w:rsidRDefault="0074499E" w:rsidP="0074499E">
      <w:pPr>
        <w:spacing w:line="480" w:lineRule="auto"/>
        <w:rPr>
          <w:b/>
        </w:rPr>
      </w:pPr>
      <w:r w:rsidRPr="0074499E">
        <w:rPr>
          <w:b/>
        </w:rPr>
        <w:t>A.12.2</w:t>
      </w:r>
      <w:r w:rsidRPr="0074499E">
        <w:tab/>
      </w:r>
      <w:r w:rsidRPr="0074499E">
        <w:rPr>
          <w:b/>
        </w:rPr>
        <w:t>Annualized Cost to Respondents</w:t>
      </w:r>
    </w:p>
    <w:p w14:paraId="029FF43B" w14:textId="77777777" w:rsidR="0074499E" w:rsidRPr="0074499E" w:rsidRDefault="0074499E" w:rsidP="0074499E">
      <w:pPr>
        <w:spacing w:line="480" w:lineRule="auto"/>
        <w:ind w:firstLine="720"/>
      </w:pPr>
      <w:r w:rsidRPr="0074499E">
        <w:rPr>
          <w:color w:val="000000"/>
        </w:rPr>
        <w:t xml:space="preserve">The estimated annual burden cost is $4,500 (Table A.12-2) and over a three-year information collection period approximately $13,500.  </w:t>
      </w:r>
      <w:r w:rsidRPr="0074499E">
        <w:t xml:space="preserve"> This was calculated using data based on a 2016 survey of Certified Compensation Professionals at thousands of Human Resource departments in U.S. companies of all sizes and industries, for people with the title </w:t>
      </w:r>
    </w:p>
    <w:p w14:paraId="4D693E0B" w14:textId="77777777" w:rsidR="0074499E" w:rsidRPr="0074499E" w:rsidRDefault="0074499E" w:rsidP="0074499E">
      <w:pPr>
        <w:spacing w:line="480" w:lineRule="auto"/>
        <w:sectPr w:rsidR="0074499E" w:rsidRPr="0074499E" w:rsidSect="00F007F5">
          <w:type w:val="continuous"/>
          <w:pgSz w:w="12240" w:h="15840" w:code="1"/>
          <w:pgMar w:top="1440" w:right="1440" w:bottom="1170" w:left="1440" w:header="720" w:footer="720" w:gutter="0"/>
          <w:pgNumType w:start="12"/>
          <w:cols w:space="720"/>
          <w:docGrid w:linePitch="326"/>
        </w:sectPr>
      </w:pPr>
      <w:r w:rsidRPr="0074499E">
        <w:t xml:space="preserve">Nuclear Medicine Technologist, the median annual salary is $75,309 and the median hourly wage is $36.00 </w:t>
      </w:r>
      <w:r w:rsidRPr="0074499E">
        <w:rPr>
          <w:u w:val="single"/>
        </w:rPr>
        <w:t>(</w:t>
      </w:r>
      <w:hyperlink r:id="rId20" w:history="1">
        <w:r w:rsidRPr="0074499E">
          <w:rPr>
            <w:u w:val="single"/>
          </w:rPr>
          <w:t>http://www1.salary.com/Nuclear-Medicine-Technologist-Salaries.html</w:t>
        </w:r>
      </w:hyperlink>
      <w:r w:rsidRPr="0074499E">
        <w:t xml:space="preserve">).  </w:t>
      </w:r>
      <w:r w:rsidRPr="0074499E">
        <w:rPr>
          <w:color w:val="000000"/>
        </w:rPr>
        <w:t>There will be no</w:t>
      </w:r>
      <w:r w:rsidRPr="0074499E">
        <w:t xml:space="preserve"> direct costs to the respondents other than their time to complete the questionnaires or to retrieve employment 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2340"/>
        <w:gridCol w:w="1980"/>
        <w:gridCol w:w="1710"/>
      </w:tblGrid>
      <w:tr w:rsidR="0074499E" w:rsidRPr="0074499E" w14:paraId="55730BBB" w14:textId="77777777" w:rsidTr="004508A2">
        <w:tc>
          <w:tcPr>
            <w:tcW w:w="9450" w:type="dxa"/>
            <w:gridSpan w:val="4"/>
            <w:tcBorders>
              <w:top w:val="single" w:sz="4" w:space="0" w:color="auto"/>
              <w:left w:val="single" w:sz="4" w:space="0" w:color="auto"/>
              <w:bottom w:val="single" w:sz="4" w:space="0" w:color="auto"/>
              <w:right w:val="single" w:sz="4" w:space="0" w:color="auto"/>
            </w:tcBorders>
          </w:tcPr>
          <w:p w14:paraId="597E1832" w14:textId="77777777" w:rsidR="0074499E" w:rsidRPr="0074499E" w:rsidRDefault="0074499E" w:rsidP="0074499E">
            <w:pPr>
              <w:jc w:val="center"/>
              <w:rPr>
                <w:b/>
                <w:sz w:val="22"/>
                <w:szCs w:val="22"/>
              </w:rPr>
            </w:pPr>
            <w:r w:rsidRPr="0074499E">
              <w:rPr>
                <w:b/>
                <w:sz w:val="22"/>
                <w:szCs w:val="22"/>
              </w:rPr>
              <w:t>Table A.12-2.  Annualized Cost to Respondents</w:t>
            </w:r>
          </w:p>
        </w:tc>
      </w:tr>
      <w:tr w:rsidR="0074499E" w:rsidRPr="0074499E" w14:paraId="7B8B9C43" w14:textId="77777777" w:rsidTr="004508A2">
        <w:tc>
          <w:tcPr>
            <w:tcW w:w="3420" w:type="dxa"/>
            <w:vAlign w:val="center"/>
          </w:tcPr>
          <w:p w14:paraId="3995EF68" w14:textId="77777777" w:rsidR="0074499E" w:rsidRPr="0074499E" w:rsidRDefault="0074499E" w:rsidP="0074499E">
            <w:pPr>
              <w:jc w:val="center"/>
              <w:rPr>
                <w:b/>
                <w:sz w:val="22"/>
                <w:szCs w:val="22"/>
              </w:rPr>
            </w:pPr>
            <w:r w:rsidRPr="0074499E">
              <w:rPr>
                <w:b/>
                <w:sz w:val="22"/>
                <w:szCs w:val="22"/>
              </w:rPr>
              <w:t>Type of Respondent</w:t>
            </w:r>
          </w:p>
        </w:tc>
        <w:tc>
          <w:tcPr>
            <w:tcW w:w="2340" w:type="dxa"/>
            <w:vAlign w:val="center"/>
          </w:tcPr>
          <w:p w14:paraId="480E46E4" w14:textId="77777777" w:rsidR="0074499E" w:rsidRPr="0074499E" w:rsidRDefault="0074499E" w:rsidP="0074499E">
            <w:pPr>
              <w:jc w:val="center"/>
              <w:rPr>
                <w:b/>
                <w:sz w:val="22"/>
                <w:szCs w:val="22"/>
              </w:rPr>
            </w:pPr>
            <w:r w:rsidRPr="0074499E">
              <w:rPr>
                <w:b/>
                <w:sz w:val="22"/>
                <w:szCs w:val="22"/>
              </w:rPr>
              <w:t>Annual Hour Burden</w:t>
            </w:r>
          </w:p>
        </w:tc>
        <w:tc>
          <w:tcPr>
            <w:tcW w:w="1980" w:type="dxa"/>
            <w:vAlign w:val="center"/>
          </w:tcPr>
          <w:p w14:paraId="66C2780F" w14:textId="77777777" w:rsidR="0074499E" w:rsidRPr="0074499E" w:rsidRDefault="0074499E" w:rsidP="0074499E">
            <w:pPr>
              <w:jc w:val="center"/>
              <w:rPr>
                <w:b/>
                <w:sz w:val="22"/>
                <w:szCs w:val="22"/>
              </w:rPr>
            </w:pPr>
            <w:r w:rsidRPr="0074499E">
              <w:rPr>
                <w:b/>
                <w:sz w:val="22"/>
                <w:szCs w:val="22"/>
              </w:rPr>
              <w:t>Wage Rate</w:t>
            </w:r>
          </w:p>
        </w:tc>
        <w:tc>
          <w:tcPr>
            <w:tcW w:w="1710" w:type="dxa"/>
            <w:vAlign w:val="center"/>
          </w:tcPr>
          <w:p w14:paraId="4D84D27B" w14:textId="77777777" w:rsidR="0074499E" w:rsidRPr="0074499E" w:rsidRDefault="0074499E" w:rsidP="0074499E">
            <w:pPr>
              <w:jc w:val="center"/>
              <w:rPr>
                <w:b/>
                <w:sz w:val="22"/>
                <w:szCs w:val="22"/>
              </w:rPr>
            </w:pPr>
            <w:r w:rsidRPr="0074499E">
              <w:rPr>
                <w:b/>
                <w:sz w:val="22"/>
                <w:szCs w:val="22"/>
              </w:rPr>
              <w:t>Total</w:t>
            </w:r>
          </w:p>
        </w:tc>
      </w:tr>
      <w:tr w:rsidR="0074499E" w:rsidRPr="0074499E" w14:paraId="1E2EFCE6" w14:textId="77777777" w:rsidTr="004508A2">
        <w:trPr>
          <w:trHeight w:val="818"/>
        </w:trPr>
        <w:tc>
          <w:tcPr>
            <w:tcW w:w="3420" w:type="dxa"/>
            <w:vAlign w:val="center"/>
          </w:tcPr>
          <w:p w14:paraId="35F69F8A" w14:textId="77777777" w:rsidR="0074499E" w:rsidRPr="0074499E" w:rsidRDefault="0074499E" w:rsidP="0074499E">
            <w:pPr>
              <w:jc w:val="center"/>
              <w:rPr>
                <w:sz w:val="22"/>
                <w:szCs w:val="22"/>
              </w:rPr>
            </w:pPr>
            <w:r w:rsidRPr="0074499E">
              <w:rPr>
                <w:sz w:val="22"/>
                <w:szCs w:val="22"/>
              </w:rPr>
              <w:t>Nuclear Medicine Technologists</w:t>
            </w:r>
          </w:p>
        </w:tc>
        <w:tc>
          <w:tcPr>
            <w:tcW w:w="2340" w:type="dxa"/>
            <w:vAlign w:val="center"/>
          </w:tcPr>
          <w:p w14:paraId="51534BDF" w14:textId="77777777" w:rsidR="0074499E" w:rsidRPr="0074499E" w:rsidRDefault="0074499E" w:rsidP="0074499E">
            <w:pPr>
              <w:jc w:val="center"/>
              <w:rPr>
                <w:sz w:val="22"/>
                <w:szCs w:val="22"/>
              </w:rPr>
            </w:pPr>
            <w:r w:rsidRPr="0074499E">
              <w:rPr>
                <w:sz w:val="22"/>
                <w:szCs w:val="22"/>
              </w:rPr>
              <w:t>125</w:t>
            </w:r>
          </w:p>
        </w:tc>
        <w:tc>
          <w:tcPr>
            <w:tcW w:w="1980" w:type="dxa"/>
            <w:vAlign w:val="center"/>
          </w:tcPr>
          <w:p w14:paraId="03928295" w14:textId="77777777" w:rsidR="0074499E" w:rsidRPr="0074499E" w:rsidRDefault="0074499E" w:rsidP="0074499E">
            <w:pPr>
              <w:jc w:val="center"/>
              <w:rPr>
                <w:sz w:val="22"/>
                <w:szCs w:val="22"/>
              </w:rPr>
            </w:pPr>
            <w:r w:rsidRPr="0074499E">
              <w:rPr>
                <w:sz w:val="22"/>
                <w:szCs w:val="22"/>
              </w:rPr>
              <w:t>$36.00</w:t>
            </w:r>
          </w:p>
        </w:tc>
        <w:tc>
          <w:tcPr>
            <w:tcW w:w="1710" w:type="dxa"/>
            <w:vAlign w:val="center"/>
          </w:tcPr>
          <w:p w14:paraId="26A83611" w14:textId="77777777" w:rsidR="0074499E" w:rsidRPr="0074499E" w:rsidRDefault="0074499E" w:rsidP="0074499E">
            <w:pPr>
              <w:jc w:val="center"/>
              <w:rPr>
                <w:sz w:val="22"/>
                <w:szCs w:val="22"/>
              </w:rPr>
            </w:pPr>
            <w:r w:rsidRPr="0074499E">
              <w:rPr>
                <w:sz w:val="22"/>
                <w:szCs w:val="22"/>
              </w:rPr>
              <w:t>$4,500</w:t>
            </w:r>
          </w:p>
        </w:tc>
      </w:tr>
      <w:tr w:rsidR="0074499E" w:rsidRPr="0074499E" w14:paraId="369AC899" w14:textId="77777777" w:rsidTr="004508A2">
        <w:trPr>
          <w:trHeight w:val="449"/>
        </w:trPr>
        <w:tc>
          <w:tcPr>
            <w:tcW w:w="3420" w:type="dxa"/>
            <w:tcBorders>
              <w:top w:val="single" w:sz="4" w:space="0" w:color="auto"/>
              <w:left w:val="single" w:sz="4" w:space="0" w:color="auto"/>
              <w:bottom w:val="single" w:sz="4" w:space="0" w:color="auto"/>
              <w:right w:val="single" w:sz="4" w:space="0" w:color="auto"/>
            </w:tcBorders>
            <w:vAlign w:val="center"/>
          </w:tcPr>
          <w:p w14:paraId="0BA8CB6A" w14:textId="77777777" w:rsidR="0074499E" w:rsidRPr="0074499E" w:rsidRDefault="0074499E" w:rsidP="0074499E">
            <w:pPr>
              <w:jc w:val="center"/>
              <w:rPr>
                <w:b/>
                <w:sz w:val="22"/>
                <w:szCs w:val="22"/>
              </w:rPr>
            </w:pPr>
            <w:r w:rsidRPr="0074499E">
              <w:rPr>
                <w:b/>
                <w:sz w:val="22"/>
                <w:szCs w:val="22"/>
              </w:rPr>
              <w:t>TOTAL COST</w:t>
            </w:r>
          </w:p>
        </w:tc>
        <w:tc>
          <w:tcPr>
            <w:tcW w:w="2340" w:type="dxa"/>
            <w:tcBorders>
              <w:top w:val="single" w:sz="4" w:space="0" w:color="auto"/>
              <w:left w:val="single" w:sz="4" w:space="0" w:color="auto"/>
              <w:bottom w:val="single" w:sz="4" w:space="0" w:color="auto"/>
              <w:right w:val="single" w:sz="4" w:space="0" w:color="auto"/>
            </w:tcBorders>
            <w:vAlign w:val="center"/>
          </w:tcPr>
          <w:p w14:paraId="65905C66" w14:textId="77777777" w:rsidR="0074499E" w:rsidRPr="0074499E" w:rsidRDefault="0074499E" w:rsidP="0074499E">
            <w:pPr>
              <w:jc w:val="center"/>
              <w:rPr>
                <w:sz w:val="22"/>
                <w:szCs w:val="22"/>
              </w:rPr>
            </w:pPr>
            <w:r w:rsidRPr="0074499E">
              <w:rPr>
                <w:sz w:val="22"/>
                <w:szCs w:val="22"/>
              </w:rPr>
              <w:t>125</w:t>
            </w:r>
          </w:p>
        </w:tc>
        <w:tc>
          <w:tcPr>
            <w:tcW w:w="1980" w:type="dxa"/>
            <w:tcBorders>
              <w:top w:val="single" w:sz="4" w:space="0" w:color="auto"/>
              <w:left w:val="single" w:sz="4" w:space="0" w:color="auto"/>
              <w:bottom w:val="single" w:sz="4" w:space="0" w:color="auto"/>
              <w:right w:val="single" w:sz="4" w:space="0" w:color="auto"/>
            </w:tcBorders>
            <w:vAlign w:val="center"/>
          </w:tcPr>
          <w:p w14:paraId="6E35AC6A" w14:textId="77777777" w:rsidR="0074499E" w:rsidRPr="0074499E" w:rsidRDefault="0074499E" w:rsidP="0074499E">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1C2445E9" w14:textId="77777777" w:rsidR="0074499E" w:rsidRPr="0074499E" w:rsidRDefault="0074499E" w:rsidP="0074499E">
            <w:pPr>
              <w:jc w:val="center"/>
              <w:rPr>
                <w:sz w:val="22"/>
                <w:szCs w:val="22"/>
              </w:rPr>
            </w:pPr>
            <w:r w:rsidRPr="0074499E">
              <w:rPr>
                <w:sz w:val="22"/>
                <w:szCs w:val="22"/>
              </w:rPr>
              <w:t>$4,500</w:t>
            </w:r>
          </w:p>
        </w:tc>
      </w:tr>
    </w:tbl>
    <w:p w14:paraId="6B0E5DF6" w14:textId="77777777" w:rsidR="0074499E" w:rsidRPr="0074499E" w:rsidRDefault="0074499E" w:rsidP="0074499E">
      <w:pPr>
        <w:rPr>
          <w:b/>
          <w:bCs/>
          <w:u w:val="single"/>
        </w:rPr>
        <w:sectPr w:rsidR="0074499E" w:rsidRPr="0074499E" w:rsidSect="00F007F5">
          <w:type w:val="continuous"/>
          <w:pgSz w:w="12240" w:h="15840" w:code="1"/>
          <w:pgMar w:top="1440" w:right="1440" w:bottom="1170" w:left="1440" w:header="720" w:footer="720" w:gutter="0"/>
          <w:pgNumType w:start="1"/>
          <w:cols w:space="720"/>
          <w:docGrid w:linePitch="326"/>
        </w:sectPr>
      </w:pPr>
    </w:p>
    <w:p w14:paraId="2137920B" w14:textId="77777777" w:rsidR="0074499E" w:rsidRPr="0074499E" w:rsidRDefault="0074499E" w:rsidP="0074499E">
      <w:pPr>
        <w:rPr>
          <w:b/>
          <w:bCs/>
          <w:u w:val="single"/>
        </w:rPr>
        <w:sectPr w:rsidR="0074499E" w:rsidRPr="0074499E" w:rsidSect="00F007F5">
          <w:type w:val="continuous"/>
          <w:pgSz w:w="12240" w:h="15840" w:code="1"/>
          <w:pgMar w:top="1440" w:right="1440" w:bottom="1170" w:left="1440" w:header="720" w:footer="720" w:gutter="0"/>
          <w:pgNumType w:start="13"/>
          <w:cols w:space="720"/>
          <w:docGrid w:linePitch="326"/>
        </w:sectPr>
      </w:pPr>
    </w:p>
    <w:p w14:paraId="6BEA6438" w14:textId="77777777" w:rsidR="0074499E" w:rsidRPr="0074499E" w:rsidRDefault="0074499E" w:rsidP="0074499E">
      <w:pPr>
        <w:rPr>
          <w:b/>
          <w:bCs/>
          <w:u w:val="single"/>
        </w:rPr>
      </w:pPr>
    </w:p>
    <w:p w14:paraId="7BFC2484" w14:textId="77777777" w:rsidR="00E641A2" w:rsidRDefault="0074499E">
      <w:pPr>
        <w:rPr>
          <w:b/>
          <w:bCs/>
        </w:rPr>
        <w:sectPr w:rsidR="00E641A2" w:rsidSect="00E641A2">
          <w:footerReference w:type="default" r:id="rId21"/>
          <w:type w:val="continuous"/>
          <w:pgSz w:w="12240" w:h="15840" w:code="1"/>
          <w:pgMar w:top="1440" w:right="1440" w:bottom="1170" w:left="1440" w:header="720" w:footer="720" w:gutter="0"/>
          <w:pgNumType w:start="16"/>
          <w:cols w:space="720"/>
          <w:docGrid w:linePitch="326"/>
        </w:sectPr>
      </w:pPr>
      <w:r>
        <w:rPr>
          <w:b/>
          <w:bCs/>
        </w:rPr>
        <w:br w:type="page"/>
      </w:r>
    </w:p>
    <w:p w14:paraId="1A13A957" w14:textId="46A7335C" w:rsidR="0074499E" w:rsidRPr="0074499E" w:rsidRDefault="0074499E" w:rsidP="0074499E">
      <w:pPr>
        <w:spacing w:line="480" w:lineRule="auto"/>
        <w:rPr>
          <w:b/>
          <w:bCs/>
        </w:rPr>
      </w:pPr>
      <w:r w:rsidRPr="0074499E">
        <w:rPr>
          <w:b/>
          <w:bCs/>
        </w:rPr>
        <w:lastRenderedPageBreak/>
        <w:t>A.13</w:t>
      </w:r>
      <w:r w:rsidRPr="0074499E">
        <w:rPr>
          <w:b/>
          <w:bCs/>
        </w:rPr>
        <w:tab/>
        <w:t>Estimate of Other Total Annual Cost Burden to Respondents or Record Keepers</w:t>
      </w:r>
    </w:p>
    <w:p w14:paraId="7F541EC8" w14:textId="77777777" w:rsidR="0074499E" w:rsidRPr="0074499E" w:rsidRDefault="0074499E" w:rsidP="0074499E">
      <w:pPr>
        <w:spacing w:line="480" w:lineRule="auto"/>
        <w:ind w:firstLine="720"/>
      </w:pPr>
      <w:r w:rsidRPr="0074499E">
        <w:t>No additional cost burden to respondents and record keepers is anticipated.  There are no capital, operating, or maintenance costs to report.</w:t>
      </w:r>
    </w:p>
    <w:p w14:paraId="592DD6FD" w14:textId="77777777" w:rsidR="0074499E" w:rsidRPr="0074499E" w:rsidRDefault="0074499E" w:rsidP="0074499E">
      <w:pPr>
        <w:spacing w:line="480" w:lineRule="auto"/>
        <w:rPr>
          <w:b/>
          <w:bCs/>
        </w:rPr>
      </w:pPr>
      <w:r w:rsidRPr="0074499E">
        <w:rPr>
          <w:b/>
          <w:bCs/>
        </w:rPr>
        <w:t>A.14</w:t>
      </w:r>
      <w:r w:rsidRPr="0074499E">
        <w:rPr>
          <w:b/>
          <w:bCs/>
        </w:rPr>
        <w:tab/>
        <w:t>Annualized Cost to the Federal Government</w:t>
      </w:r>
    </w:p>
    <w:p w14:paraId="4E9D9D2C" w14:textId="6E03B999" w:rsidR="0074499E" w:rsidRDefault="0074499E" w:rsidP="0074499E">
      <w:pPr>
        <w:spacing w:line="480" w:lineRule="auto"/>
      </w:pPr>
      <w:r w:rsidRPr="0074499E">
        <w:rPr>
          <w:b/>
          <w:bCs/>
        </w:rPr>
        <w:tab/>
      </w:r>
      <w:r w:rsidRPr="0074499E">
        <w:rPr>
          <w:bCs/>
        </w:rPr>
        <w:t>The annual cost to the government is $94,903.</w:t>
      </w:r>
      <w:r w:rsidRPr="0074499E">
        <w:rPr>
          <w:b/>
          <w:bCs/>
        </w:rPr>
        <w:t xml:space="preserve">  </w:t>
      </w:r>
      <w:r w:rsidRPr="0074499E">
        <w:t>Over the three-year period for which OMB approval is being requested, annual contract costs include $49,462 to the University of Minnesota to coordinate the study and $23,110 to Social &amp; Scientific Systems, Inc. to develop and maintain the computer-assisted questionnaire.  The annual cost for NCI intramural staff is $21,831.  These figures include the costs of study design, subject tracing, data collection, analysis, and report writing.</w:t>
      </w:r>
    </w:p>
    <w:p w14:paraId="08BC8611" w14:textId="19827574" w:rsidR="0074499E" w:rsidRPr="0074499E" w:rsidRDefault="0074499E" w:rsidP="0074499E">
      <w:r>
        <w:br w:type="page"/>
      </w:r>
    </w:p>
    <w:tbl>
      <w:tblPr>
        <w:tblpPr w:leftFromText="180" w:rightFromText="180" w:vertAnchor="text" w:horzAnchor="margin" w:tblpY="25"/>
        <w:tblW w:w="45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74"/>
        <w:gridCol w:w="1081"/>
        <w:gridCol w:w="1074"/>
        <w:gridCol w:w="991"/>
        <w:gridCol w:w="900"/>
        <w:gridCol w:w="1454"/>
      </w:tblGrid>
      <w:tr w:rsidR="0074499E" w:rsidRPr="0074499E" w14:paraId="7302F598" w14:textId="77777777" w:rsidTr="004508A2">
        <w:trPr>
          <w:trHeight w:val="592"/>
        </w:trPr>
        <w:tc>
          <w:tcPr>
            <w:tcW w:w="1830" w:type="pct"/>
            <w:shd w:val="clear" w:color="auto" w:fill="auto"/>
            <w:noWrap/>
            <w:tcMar>
              <w:top w:w="0" w:type="dxa"/>
              <w:left w:w="108" w:type="dxa"/>
              <w:bottom w:w="0" w:type="dxa"/>
              <w:right w:w="108" w:type="dxa"/>
            </w:tcMar>
            <w:vAlign w:val="center"/>
            <w:hideMark/>
          </w:tcPr>
          <w:p w14:paraId="436FFD9D" w14:textId="77777777" w:rsidR="0074499E" w:rsidRPr="0074499E" w:rsidRDefault="0074499E" w:rsidP="0074499E">
            <w:pPr>
              <w:jc w:val="center"/>
              <w:rPr>
                <w:rFonts w:eastAsia="Calibri"/>
                <w:b/>
                <w:bCs/>
                <w:color w:val="000000"/>
                <w:sz w:val="22"/>
                <w:szCs w:val="22"/>
              </w:rPr>
            </w:pPr>
            <w:r w:rsidRPr="0074499E">
              <w:rPr>
                <w:rFonts w:eastAsia="Calibri"/>
                <w:b/>
                <w:bCs/>
                <w:color w:val="000000"/>
                <w:sz w:val="22"/>
                <w:szCs w:val="22"/>
              </w:rPr>
              <w:lastRenderedPageBreak/>
              <w:t>Staff</w:t>
            </w:r>
          </w:p>
        </w:tc>
        <w:tc>
          <w:tcPr>
            <w:tcW w:w="623" w:type="pct"/>
            <w:shd w:val="clear" w:color="auto" w:fill="auto"/>
            <w:vAlign w:val="center"/>
          </w:tcPr>
          <w:p w14:paraId="3A6135CB" w14:textId="77777777" w:rsidR="0074499E" w:rsidRPr="0074499E" w:rsidRDefault="0074499E" w:rsidP="0074499E">
            <w:pPr>
              <w:jc w:val="center"/>
              <w:rPr>
                <w:rFonts w:eastAsia="Calibri"/>
                <w:b/>
                <w:bCs/>
                <w:color w:val="000000"/>
                <w:sz w:val="22"/>
                <w:szCs w:val="22"/>
              </w:rPr>
            </w:pPr>
            <w:r w:rsidRPr="0074499E">
              <w:rPr>
                <w:rFonts w:eastAsia="Calibri"/>
                <w:b/>
                <w:bCs/>
                <w:color w:val="000000"/>
                <w:sz w:val="22"/>
                <w:szCs w:val="22"/>
              </w:rPr>
              <w:t>Grade/</w:t>
            </w:r>
          </w:p>
          <w:p w14:paraId="3E598AB5" w14:textId="77777777" w:rsidR="0074499E" w:rsidRPr="0074499E" w:rsidRDefault="0074499E" w:rsidP="0074499E">
            <w:pPr>
              <w:jc w:val="center"/>
              <w:rPr>
                <w:rFonts w:eastAsia="Calibri"/>
                <w:b/>
                <w:bCs/>
                <w:color w:val="000000"/>
                <w:sz w:val="22"/>
                <w:szCs w:val="22"/>
              </w:rPr>
            </w:pPr>
            <w:r w:rsidRPr="0074499E">
              <w:rPr>
                <w:rFonts w:eastAsia="Calibri"/>
                <w:b/>
                <w:bCs/>
                <w:color w:val="000000"/>
                <w:sz w:val="22"/>
                <w:szCs w:val="22"/>
              </w:rPr>
              <w:t>Step</w:t>
            </w:r>
          </w:p>
        </w:tc>
        <w:tc>
          <w:tcPr>
            <w:tcW w:w="619" w:type="pct"/>
            <w:shd w:val="clear" w:color="auto" w:fill="auto"/>
            <w:tcMar>
              <w:top w:w="0" w:type="dxa"/>
              <w:left w:w="108" w:type="dxa"/>
              <w:bottom w:w="0" w:type="dxa"/>
              <w:right w:w="108" w:type="dxa"/>
            </w:tcMar>
            <w:vAlign w:val="center"/>
            <w:hideMark/>
          </w:tcPr>
          <w:p w14:paraId="0C2B130E" w14:textId="77777777" w:rsidR="0074499E" w:rsidRPr="0074499E" w:rsidRDefault="0074499E" w:rsidP="0074499E">
            <w:pPr>
              <w:jc w:val="center"/>
              <w:rPr>
                <w:rFonts w:eastAsia="Calibri"/>
                <w:b/>
                <w:bCs/>
                <w:sz w:val="22"/>
                <w:szCs w:val="22"/>
              </w:rPr>
            </w:pPr>
            <w:r w:rsidRPr="0074499E">
              <w:rPr>
                <w:rFonts w:eastAsia="Calibri"/>
                <w:b/>
                <w:bCs/>
                <w:sz w:val="22"/>
                <w:szCs w:val="22"/>
              </w:rPr>
              <w:t>Salary</w:t>
            </w:r>
          </w:p>
        </w:tc>
        <w:tc>
          <w:tcPr>
            <w:tcW w:w="571" w:type="pct"/>
            <w:shd w:val="clear" w:color="auto" w:fill="auto"/>
            <w:tcMar>
              <w:top w:w="0" w:type="dxa"/>
              <w:left w:w="108" w:type="dxa"/>
              <w:bottom w:w="0" w:type="dxa"/>
              <w:right w:w="108" w:type="dxa"/>
            </w:tcMar>
            <w:vAlign w:val="center"/>
            <w:hideMark/>
          </w:tcPr>
          <w:p w14:paraId="6B86B6A2" w14:textId="77777777" w:rsidR="0074499E" w:rsidRPr="0074499E" w:rsidRDefault="0074499E" w:rsidP="0074499E">
            <w:pPr>
              <w:jc w:val="center"/>
              <w:rPr>
                <w:rFonts w:eastAsia="Calibri"/>
                <w:b/>
                <w:bCs/>
                <w:sz w:val="22"/>
                <w:szCs w:val="22"/>
              </w:rPr>
            </w:pPr>
            <w:r w:rsidRPr="0074499E">
              <w:rPr>
                <w:rFonts w:eastAsia="Calibri"/>
                <w:b/>
                <w:bCs/>
                <w:sz w:val="22"/>
                <w:szCs w:val="22"/>
              </w:rPr>
              <w:t>% of Effort</w:t>
            </w:r>
          </w:p>
        </w:tc>
        <w:tc>
          <w:tcPr>
            <w:tcW w:w="519" w:type="pct"/>
            <w:shd w:val="clear" w:color="auto" w:fill="auto"/>
            <w:vAlign w:val="center"/>
          </w:tcPr>
          <w:p w14:paraId="2A1947AF" w14:textId="77777777" w:rsidR="0074499E" w:rsidRPr="0074499E" w:rsidRDefault="0074499E" w:rsidP="0074499E">
            <w:pPr>
              <w:jc w:val="center"/>
              <w:rPr>
                <w:rFonts w:eastAsia="Calibri"/>
                <w:b/>
                <w:bCs/>
                <w:sz w:val="22"/>
                <w:szCs w:val="22"/>
              </w:rPr>
            </w:pPr>
            <w:r w:rsidRPr="0074499E">
              <w:rPr>
                <w:rFonts w:eastAsia="Calibri"/>
                <w:b/>
                <w:bCs/>
                <w:sz w:val="22"/>
                <w:szCs w:val="22"/>
              </w:rPr>
              <w:t>Fringe Rate</w:t>
            </w:r>
          </w:p>
        </w:tc>
        <w:tc>
          <w:tcPr>
            <w:tcW w:w="838" w:type="pct"/>
            <w:shd w:val="clear" w:color="auto" w:fill="auto"/>
            <w:vAlign w:val="center"/>
          </w:tcPr>
          <w:p w14:paraId="26DFCE88" w14:textId="77777777" w:rsidR="0074499E" w:rsidRPr="0074499E" w:rsidRDefault="0074499E" w:rsidP="0074499E">
            <w:pPr>
              <w:jc w:val="center"/>
              <w:rPr>
                <w:rFonts w:eastAsia="Calibri"/>
                <w:b/>
                <w:bCs/>
                <w:sz w:val="22"/>
                <w:szCs w:val="22"/>
              </w:rPr>
            </w:pPr>
            <w:r w:rsidRPr="0074499E">
              <w:rPr>
                <w:rFonts w:eastAsia="Calibri"/>
                <w:b/>
                <w:bCs/>
                <w:sz w:val="22"/>
                <w:szCs w:val="22"/>
              </w:rPr>
              <w:t>Total Cost to Government</w:t>
            </w:r>
          </w:p>
        </w:tc>
      </w:tr>
      <w:tr w:rsidR="0074499E" w:rsidRPr="0074499E" w14:paraId="08D10AEF" w14:textId="77777777" w:rsidTr="004508A2">
        <w:trPr>
          <w:trHeight w:val="300"/>
        </w:trPr>
        <w:tc>
          <w:tcPr>
            <w:tcW w:w="1830" w:type="pct"/>
            <w:shd w:val="clear" w:color="auto" w:fill="auto"/>
            <w:noWrap/>
            <w:tcMar>
              <w:top w:w="0" w:type="dxa"/>
              <w:left w:w="108" w:type="dxa"/>
              <w:bottom w:w="0" w:type="dxa"/>
              <w:right w:w="108" w:type="dxa"/>
            </w:tcMar>
            <w:vAlign w:val="bottom"/>
          </w:tcPr>
          <w:p w14:paraId="5394BF47" w14:textId="77777777" w:rsidR="0074499E" w:rsidRPr="0074499E" w:rsidRDefault="0074499E" w:rsidP="0074499E">
            <w:pPr>
              <w:rPr>
                <w:rFonts w:eastAsia="Calibri"/>
                <w:b/>
                <w:color w:val="000000"/>
                <w:sz w:val="22"/>
                <w:szCs w:val="22"/>
              </w:rPr>
            </w:pPr>
            <w:r w:rsidRPr="0074499E">
              <w:rPr>
                <w:rFonts w:eastAsia="Calibri"/>
                <w:b/>
                <w:color w:val="000000"/>
                <w:sz w:val="22"/>
                <w:szCs w:val="22"/>
              </w:rPr>
              <w:t>Federal Oversight</w:t>
            </w:r>
          </w:p>
        </w:tc>
        <w:tc>
          <w:tcPr>
            <w:tcW w:w="623" w:type="pct"/>
            <w:shd w:val="clear" w:color="auto" w:fill="auto"/>
          </w:tcPr>
          <w:p w14:paraId="0C7AF8C3" w14:textId="77777777" w:rsidR="0074499E" w:rsidRPr="0074499E" w:rsidRDefault="0074499E" w:rsidP="0074499E">
            <w:pPr>
              <w:jc w:val="right"/>
              <w:rPr>
                <w:rFonts w:eastAsia="Calibri"/>
                <w:color w:val="000000"/>
                <w:sz w:val="22"/>
                <w:szCs w:val="22"/>
              </w:rPr>
            </w:pPr>
          </w:p>
        </w:tc>
        <w:tc>
          <w:tcPr>
            <w:tcW w:w="619" w:type="pct"/>
            <w:shd w:val="clear" w:color="auto" w:fill="auto"/>
            <w:noWrap/>
            <w:tcMar>
              <w:top w:w="0" w:type="dxa"/>
              <w:left w:w="108" w:type="dxa"/>
              <w:bottom w:w="0" w:type="dxa"/>
              <w:right w:w="108" w:type="dxa"/>
            </w:tcMar>
            <w:vAlign w:val="bottom"/>
          </w:tcPr>
          <w:p w14:paraId="64A60EE1"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5195B6DD" w14:textId="77777777" w:rsidR="0074499E" w:rsidRPr="0074499E" w:rsidRDefault="0074499E" w:rsidP="0074499E">
            <w:pPr>
              <w:jc w:val="right"/>
              <w:rPr>
                <w:rFonts w:eastAsia="Calibri"/>
                <w:sz w:val="22"/>
                <w:szCs w:val="22"/>
              </w:rPr>
            </w:pPr>
          </w:p>
        </w:tc>
        <w:tc>
          <w:tcPr>
            <w:tcW w:w="519" w:type="pct"/>
            <w:shd w:val="clear" w:color="auto" w:fill="auto"/>
          </w:tcPr>
          <w:p w14:paraId="7795100D" w14:textId="77777777" w:rsidR="0074499E" w:rsidRPr="0074499E" w:rsidRDefault="0074499E" w:rsidP="0074499E">
            <w:pPr>
              <w:jc w:val="right"/>
              <w:rPr>
                <w:rFonts w:eastAsia="Calibri"/>
                <w:sz w:val="22"/>
                <w:szCs w:val="22"/>
              </w:rPr>
            </w:pPr>
          </w:p>
        </w:tc>
        <w:tc>
          <w:tcPr>
            <w:tcW w:w="838" w:type="pct"/>
            <w:shd w:val="clear" w:color="auto" w:fill="auto"/>
          </w:tcPr>
          <w:p w14:paraId="2C95C5C6" w14:textId="77777777" w:rsidR="0074499E" w:rsidRPr="0074499E" w:rsidRDefault="0074499E" w:rsidP="0074499E">
            <w:pPr>
              <w:jc w:val="right"/>
              <w:rPr>
                <w:rFonts w:eastAsia="Calibri"/>
                <w:sz w:val="22"/>
                <w:szCs w:val="22"/>
              </w:rPr>
            </w:pPr>
          </w:p>
        </w:tc>
      </w:tr>
      <w:tr w:rsidR="0074499E" w:rsidRPr="0074499E" w14:paraId="34F11CB7" w14:textId="77777777" w:rsidTr="004508A2">
        <w:trPr>
          <w:trHeight w:val="322"/>
        </w:trPr>
        <w:tc>
          <w:tcPr>
            <w:tcW w:w="1830" w:type="pct"/>
            <w:shd w:val="clear" w:color="auto" w:fill="auto"/>
            <w:noWrap/>
            <w:tcMar>
              <w:top w:w="0" w:type="dxa"/>
              <w:left w:w="108" w:type="dxa"/>
              <w:bottom w:w="0" w:type="dxa"/>
              <w:right w:w="108" w:type="dxa"/>
            </w:tcMar>
            <w:vAlign w:val="bottom"/>
          </w:tcPr>
          <w:p w14:paraId="569D29AC" w14:textId="77777777" w:rsidR="0074499E" w:rsidRPr="0074499E" w:rsidRDefault="0074499E" w:rsidP="0074499E">
            <w:pPr>
              <w:rPr>
                <w:rFonts w:eastAsia="Calibri"/>
                <w:sz w:val="22"/>
                <w:szCs w:val="22"/>
              </w:rPr>
            </w:pPr>
            <w:r w:rsidRPr="0074499E">
              <w:rPr>
                <w:rFonts w:eastAsia="Calibri"/>
                <w:sz w:val="22"/>
                <w:szCs w:val="22"/>
              </w:rPr>
              <w:t xml:space="preserve">  Principal Investigator</w:t>
            </w:r>
          </w:p>
        </w:tc>
        <w:tc>
          <w:tcPr>
            <w:tcW w:w="623" w:type="pct"/>
            <w:shd w:val="clear" w:color="auto" w:fill="auto"/>
            <w:vAlign w:val="center"/>
          </w:tcPr>
          <w:p w14:paraId="665483D3" w14:textId="77777777" w:rsidR="0074499E" w:rsidRPr="0074499E" w:rsidRDefault="0074499E" w:rsidP="0074499E">
            <w:pPr>
              <w:jc w:val="center"/>
              <w:rPr>
                <w:rFonts w:eastAsia="Calibri"/>
                <w:sz w:val="22"/>
                <w:szCs w:val="22"/>
              </w:rPr>
            </w:pPr>
            <w:r w:rsidRPr="0074499E">
              <w:rPr>
                <w:rFonts w:eastAsia="Calibri"/>
                <w:sz w:val="22"/>
                <w:szCs w:val="22"/>
              </w:rPr>
              <w:t>AD 00</w:t>
            </w:r>
          </w:p>
        </w:tc>
        <w:tc>
          <w:tcPr>
            <w:tcW w:w="619" w:type="pct"/>
            <w:shd w:val="clear" w:color="auto" w:fill="auto"/>
            <w:noWrap/>
            <w:tcMar>
              <w:top w:w="0" w:type="dxa"/>
              <w:left w:w="108" w:type="dxa"/>
              <w:bottom w:w="0" w:type="dxa"/>
              <w:right w:w="108" w:type="dxa"/>
            </w:tcMar>
            <w:vAlign w:val="bottom"/>
          </w:tcPr>
          <w:p w14:paraId="53521569" w14:textId="77777777" w:rsidR="0074499E" w:rsidRPr="0074499E" w:rsidRDefault="0074499E" w:rsidP="0074499E">
            <w:pPr>
              <w:jc w:val="right"/>
              <w:rPr>
                <w:rFonts w:eastAsia="Calibri"/>
                <w:sz w:val="22"/>
                <w:szCs w:val="22"/>
              </w:rPr>
            </w:pPr>
            <w:r w:rsidRPr="0074499E">
              <w:rPr>
                <w:rFonts w:eastAsia="Calibri"/>
                <w:sz w:val="22"/>
                <w:szCs w:val="22"/>
              </w:rPr>
              <w:t>101,500</w:t>
            </w:r>
          </w:p>
        </w:tc>
        <w:tc>
          <w:tcPr>
            <w:tcW w:w="571" w:type="pct"/>
            <w:shd w:val="clear" w:color="auto" w:fill="auto"/>
            <w:noWrap/>
            <w:tcMar>
              <w:top w:w="0" w:type="dxa"/>
              <w:left w:w="108" w:type="dxa"/>
              <w:bottom w:w="0" w:type="dxa"/>
              <w:right w:w="108" w:type="dxa"/>
            </w:tcMar>
            <w:vAlign w:val="bottom"/>
          </w:tcPr>
          <w:p w14:paraId="0F0C3C3B" w14:textId="77777777" w:rsidR="0074499E" w:rsidRPr="0074499E" w:rsidRDefault="0074499E" w:rsidP="0074499E">
            <w:pPr>
              <w:jc w:val="right"/>
              <w:rPr>
                <w:rFonts w:eastAsia="Calibri"/>
                <w:sz w:val="22"/>
                <w:szCs w:val="22"/>
              </w:rPr>
            </w:pPr>
            <w:r w:rsidRPr="0074499E">
              <w:rPr>
                <w:rFonts w:eastAsia="Calibri"/>
                <w:sz w:val="22"/>
                <w:szCs w:val="22"/>
              </w:rPr>
              <w:t xml:space="preserve"> 5</w:t>
            </w:r>
          </w:p>
        </w:tc>
        <w:tc>
          <w:tcPr>
            <w:tcW w:w="519" w:type="pct"/>
            <w:shd w:val="clear" w:color="auto" w:fill="auto"/>
          </w:tcPr>
          <w:p w14:paraId="636F6A2A" w14:textId="77777777" w:rsidR="0074499E" w:rsidRPr="0074499E" w:rsidRDefault="0074499E" w:rsidP="0074499E">
            <w:pPr>
              <w:jc w:val="right"/>
              <w:rPr>
                <w:rFonts w:eastAsia="Calibri"/>
                <w:sz w:val="22"/>
                <w:szCs w:val="22"/>
              </w:rPr>
            </w:pPr>
          </w:p>
        </w:tc>
        <w:tc>
          <w:tcPr>
            <w:tcW w:w="838" w:type="pct"/>
            <w:shd w:val="clear" w:color="auto" w:fill="auto"/>
          </w:tcPr>
          <w:p w14:paraId="4448B914" w14:textId="77777777" w:rsidR="0074499E" w:rsidRPr="0074499E" w:rsidRDefault="0074499E" w:rsidP="0074499E">
            <w:pPr>
              <w:jc w:val="right"/>
              <w:rPr>
                <w:rFonts w:eastAsia="Calibri"/>
                <w:sz w:val="22"/>
                <w:szCs w:val="22"/>
              </w:rPr>
            </w:pPr>
            <w:r w:rsidRPr="0074499E">
              <w:rPr>
                <w:rFonts w:eastAsia="Calibri"/>
                <w:sz w:val="22"/>
                <w:szCs w:val="22"/>
              </w:rPr>
              <w:t>5,075</w:t>
            </w:r>
          </w:p>
        </w:tc>
      </w:tr>
      <w:tr w:rsidR="0074499E" w:rsidRPr="0074499E" w14:paraId="25CDB2E8" w14:textId="77777777" w:rsidTr="004508A2">
        <w:trPr>
          <w:trHeight w:val="300"/>
        </w:trPr>
        <w:tc>
          <w:tcPr>
            <w:tcW w:w="1830" w:type="pct"/>
            <w:shd w:val="clear" w:color="auto" w:fill="auto"/>
            <w:noWrap/>
            <w:tcMar>
              <w:top w:w="0" w:type="dxa"/>
              <w:left w:w="108" w:type="dxa"/>
              <w:bottom w:w="0" w:type="dxa"/>
              <w:right w:w="108" w:type="dxa"/>
            </w:tcMar>
            <w:vAlign w:val="bottom"/>
          </w:tcPr>
          <w:p w14:paraId="20E77A44" w14:textId="77777777" w:rsidR="0074499E" w:rsidRPr="0074499E" w:rsidRDefault="0074499E" w:rsidP="0074499E">
            <w:pPr>
              <w:rPr>
                <w:rFonts w:eastAsia="Calibri"/>
                <w:sz w:val="22"/>
                <w:szCs w:val="22"/>
              </w:rPr>
            </w:pPr>
            <w:r w:rsidRPr="0074499E">
              <w:rPr>
                <w:rFonts w:eastAsia="Calibri"/>
                <w:sz w:val="22"/>
                <w:szCs w:val="22"/>
              </w:rPr>
              <w:t xml:space="preserve">  Senior Investigator</w:t>
            </w:r>
          </w:p>
        </w:tc>
        <w:tc>
          <w:tcPr>
            <w:tcW w:w="623" w:type="pct"/>
            <w:shd w:val="clear" w:color="auto" w:fill="auto"/>
            <w:vAlign w:val="center"/>
          </w:tcPr>
          <w:p w14:paraId="6B4A37C0" w14:textId="77777777" w:rsidR="0074499E" w:rsidRPr="0074499E" w:rsidRDefault="0074499E" w:rsidP="0074499E">
            <w:pPr>
              <w:jc w:val="center"/>
              <w:rPr>
                <w:rFonts w:eastAsia="Calibri"/>
                <w:sz w:val="22"/>
                <w:szCs w:val="22"/>
              </w:rPr>
            </w:pPr>
            <w:r w:rsidRPr="0074499E">
              <w:rPr>
                <w:rFonts w:eastAsia="Calibri"/>
                <w:sz w:val="22"/>
                <w:szCs w:val="22"/>
              </w:rPr>
              <w:t>AD 00</w:t>
            </w:r>
          </w:p>
        </w:tc>
        <w:tc>
          <w:tcPr>
            <w:tcW w:w="619" w:type="pct"/>
            <w:shd w:val="clear" w:color="auto" w:fill="auto"/>
            <w:noWrap/>
            <w:tcMar>
              <w:top w:w="0" w:type="dxa"/>
              <w:left w:w="108" w:type="dxa"/>
              <w:bottom w:w="0" w:type="dxa"/>
              <w:right w:w="108" w:type="dxa"/>
            </w:tcMar>
            <w:vAlign w:val="bottom"/>
          </w:tcPr>
          <w:p w14:paraId="1949B1AB" w14:textId="77777777" w:rsidR="0074499E" w:rsidRPr="0074499E" w:rsidRDefault="0074499E" w:rsidP="0074499E">
            <w:pPr>
              <w:jc w:val="right"/>
              <w:rPr>
                <w:rFonts w:eastAsia="Calibri"/>
                <w:sz w:val="22"/>
                <w:szCs w:val="22"/>
              </w:rPr>
            </w:pPr>
            <w:r w:rsidRPr="0074499E">
              <w:rPr>
                <w:rFonts w:eastAsia="Calibri"/>
                <w:sz w:val="22"/>
                <w:szCs w:val="22"/>
              </w:rPr>
              <w:t>273,709</w:t>
            </w:r>
          </w:p>
        </w:tc>
        <w:tc>
          <w:tcPr>
            <w:tcW w:w="571" w:type="pct"/>
            <w:shd w:val="clear" w:color="auto" w:fill="auto"/>
            <w:noWrap/>
            <w:tcMar>
              <w:top w:w="0" w:type="dxa"/>
              <w:left w:w="108" w:type="dxa"/>
              <w:bottom w:w="0" w:type="dxa"/>
              <w:right w:w="108" w:type="dxa"/>
            </w:tcMar>
            <w:vAlign w:val="bottom"/>
          </w:tcPr>
          <w:p w14:paraId="3B31BCC5" w14:textId="77777777" w:rsidR="0074499E" w:rsidRPr="0074499E" w:rsidRDefault="0074499E" w:rsidP="0074499E">
            <w:pPr>
              <w:jc w:val="right"/>
              <w:rPr>
                <w:rFonts w:eastAsia="Calibri"/>
                <w:sz w:val="22"/>
                <w:szCs w:val="22"/>
              </w:rPr>
            </w:pPr>
            <w:r w:rsidRPr="0074499E">
              <w:rPr>
                <w:rFonts w:eastAsia="Calibri"/>
                <w:sz w:val="22"/>
                <w:szCs w:val="22"/>
              </w:rPr>
              <w:t>2</w:t>
            </w:r>
          </w:p>
        </w:tc>
        <w:tc>
          <w:tcPr>
            <w:tcW w:w="519" w:type="pct"/>
            <w:shd w:val="clear" w:color="auto" w:fill="auto"/>
          </w:tcPr>
          <w:p w14:paraId="7E23AEA0" w14:textId="77777777" w:rsidR="0074499E" w:rsidRPr="0074499E" w:rsidRDefault="0074499E" w:rsidP="0074499E">
            <w:pPr>
              <w:jc w:val="right"/>
              <w:rPr>
                <w:rFonts w:eastAsia="Calibri"/>
                <w:sz w:val="22"/>
                <w:szCs w:val="22"/>
              </w:rPr>
            </w:pPr>
          </w:p>
        </w:tc>
        <w:tc>
          <w:tcPr>
            <w:tcW w:w="838" w:type="pct"/>
            <w:shd w:val="clear" w:color="auto" w:fill="auto"/>
          </w:tcPr>
          <w:p w14:paraId="39EF20E5" w14:textId="77777777" w:rsidR="0074499E" w:rsidRPr="0074499E" w:rsidRDefault="0074499E" w:rsidP="0074499E">
            <w:pPr>
              <w:jc w:val="right"/>
              <w:rPr>
                <w:rFonts w:eastAsia="Calibri"/>
                <w:sz w:val="22"/>
                <w:szCs w:val="22"/>
              </w:rPr>
            </w:pPr>
            <w:r w:rsidRPr="0074499E">
              <w:rPr>
                <w:rFonts w:eastAsia="Calibri"/>
                <w:sz w:val="22"/>
                <w:szCs w:val="22"/>
              </w:rPr>
              <w:t>5,470</w:t>
            </w:r>
          </w:p>
        </w:tc>
      </w:tr>
      <w:tr w:rsidR="0074499E" w:rsidRPr="0074499E" w14:paraId="460835B7" w14:textId="77777777" w:rsidTr="004508A2">
        <w:trPr>
          <w:trHeight w:val="300"/>
        </w:trPr>
        <w:tc>
          <w:tcPr>
            <w:tcW w:w="1830" w:type="pct"/>
            <w:shd w:val="clear" w:color="auto" w:fill="auto"/>
            <w:noWrap/>
            <w:tcMar>
              <w:top w:w="0" w:type="dxa"/>
              <w:left w:w="108" w:type="dxa"/>
              <w:bottom w:w="0" w:type="dxa"/>
              <w:right w:w="108" w:type="dxa"/>
            </w:tcMar>
            <w:vAlign w:val="bottom"/>
          </w:tcPr>
          <w:p w14:paraId="5F552D38" w14:textId="77777777" w:rsidR="0074499E" w:rsidRPr="0074499E" w:rsidRDefault="0074499E" w:rsidP="0074499E">
            <w:pPr>
              <w:rPr>
                <w:rFonts w:eastAsia="Calibri"/>
                <w:sz w:val="22"/>
                <w:szCs w:val="22"/>
              </w:rPr>
            </w:pPr>
            <w:r w:rsidRPr="0074499E">
              <w:rPr>
                <w:rFonts w:eastAsia="Calibri"/>
                <w:sz w:val="22"/>
                <w:szCs w:val="22"/>
              </w:rPr>
              <w:t xml:space="preserve">  Staff Scientist</w:t>
            </w:r>
          </w:p>
        </w:tc>
        <w:tc>
          <w:tcPr>
            <w:tcW w:w="623" w:type="pct"/>
            <w:shd w:val="clear" w:color="auto" w:fill="auto"/>
            <w:vAlign w:val="center"/>
          </w:tcPr>
          <w:p w14:paraId="61B4AD5C" w14:textId="77777777" w:rsidR="0074499E" w:rsidRPr="0074499E" w:rsidRDefault="0074499E" w:rsidP="0074499E">
            <w:pPr>
              <w:jc w:val="center"/>
              <w:rPr>
                <w:rFonts w:eastAsia="Calibri"/>
                <w:sz w:val="22"/>
                <w:szCs w:val="22"/>
              </w:rPr>
            </w:pPr>
            <w:r w:rsidRPr="0074499E">
              <w:rPr>
                <w:rFonts w:eastAsia="Calibri"/>
                <w:sz w:val="22"/>
                <w:szCs w:val="22"/>
              </w:rPr>
              <w:t>AD 00</w:t>
            </w:r>
          </w:p>
        </w:tc>
        <w:tc>
          <w:tcPr>
            <w:tcW w:w="619" w:type="pct"/>
            <w:shd w:val="clear" w:color="auto" w:fill="auto"/>
            <w:noWrap/>
            <w:tcMar>
              <w:top w:w="0" w:type="dxa"/>
              <w:left w:w="108" w:type="dxa"/>
              <w:bottom w:w="0" w:type="dxa"/>
              <w:right w:w="108" w:type="dxa"/>
            </w:tcMar>
            <w:vAlign w:val="bottom"/>
          </w:tcPr>
          <w:p w14:paraId="6B6B9177" w14:textId="77777777" w:rsidR="0074499E" w:rsidRPr="0074499E" w:rsidRDefault="0074499E" w:rsidP="0074499E">
            <w:pPr>
              <w:jc w:val="right"/>
              <w:rPr>
                <w:rFonts w:eastAsia="Calibri"/>
                <w:sz w:val="22"/>
                <w:szCs w:val="22"/>
              </w:rPr>
            </w:pPr>
            <w:r w:rsidRPr="0074499E">
              <w:rPr>
                <w:rFonts w:eastAsia="Calibri"/>
                <w:sz w:val="22"/>
                <w:szCs w:val="22"/>
              </w:rPr>
              <w:t>128,385</w:t>
            </w:r>
          </w:p>
        </w:tc>
        <w:tc>
          <w:tcPr>
            <w:tcW w:w="571" w:type="pct"/>
            <w:shd w:val="clear" w:color="auto" w:fill="auto"/>
            <w:noWrap/>
            <w:tcMar>
              <w:top w:w="0" w:type="dxa"/>
              <w:left w:w="108" w:type="dxa"/>
              <w:bottom w:w="0" w:type="dxa"/>
              <w:right w:w="108" w:type="dxa"/>
            </w:tcMar>
            <w:vAlign w:val="bottom"/>
          </w:tcPr>
          <w:p w14:paraId="18B8636A" w14:textId="77777777" w:rsidR="0074499E" w:rsidRPr="0074499E" w:rsidRDefault="0074499E" w:rsidP="0074499E">
            <w:pPr>
              <w:jc w:val="right"/>
              <w:rPr>
                <w:rFonts w:eastAsia="Calibri"/>
                <w:sz w:val="22"/>
                <w:szCs w:val="22"/>
              </w:rPr>
            </w:pPr>
            <w:r w:rsidRPr="0074499E">
              <w:rPr>
                <w:rFonts w:eastAsia="Calibri"/>
                <w:sz w:val="22"/>
                <w:szCs w:val="22"/>
              </w:rPr>
              <w:t>2</w:t>
            </w:r>
          </w:p>
        </w:tc>
        <w:tc>
          <w:tcPr>
            <w:tcW w:w="519" w:type="pct"/>
            <w:shd w:val="clear" w:color="auto" w:fill="auto"/>
          </w:tcPr>
          <w:p w14:paraId="74CAA39C" w14:textId="77777777" w:rsidR="0074499E" w:rsidRPr="0074499E" w:rsidRDefault="0074499E" w:rsidP="0074499E">
            <w:pPr>
              <w:jc w:val="right"/>
              <w:rPr>
                <w:rFonts w:eastAsia="Calibri"/>
                <w:sz w:val="22"/>
                <w:szCs w:val="22"/>
              </w:rPr>
            </w:pPr>
          </w:p>
        </w:tc>
        <w:tc>
          <w:tcPr>
            <w:tcW w:w="838" w:type="pct"/>
            <w:shd w:val="clear" w:color="auto" w:fill="auto"/>
          </w:tcPr>
          <w:p w14:paraId="1CF38A2A" w14:textId="77777777" w:rsidR="0074499E" w:rsidRPr="0074499E" w:rsidRDefault="0074499E" w:rsidP="0074499E">
            <w:pPr>
              <w:jc w:val="right"/>
              <w:rPr>
                <w:rFonts w:eastAsia="Calibri"/>
                <w:sz w:val="22"/>
                <w:szCs w:val="22"/>
              </w:rPr>
            </w:pPr>
            <w:r w:rsidRPr="0074499E">
              <w:rPr>
                <w:rFonts w:eastAsia="Calibri"/>
                <w:sz w:val="22"/>
                <w:szCs w:val="22"/>
              </w:rPr>
              <w:t>5,136</w:t>
            </w:r>
          </w:p>
        </w:tc>
      </w:tr>
      <w:tr w:rsidR="0074499E" w:rsidRPr="0074499E" w14:paraId="1C206D31" w14:textId="77777777" w:rsidTr="004508A2">
        <w:trPr>
          <w:trHeight w:val="300"/>
        </w:trPr>
        <w:tc>
          <w:tcPr>
            <w:tcW w:w="1830" w:type="pct"/>
            <w:shd w:val="clear" w:color="auto" w:fill="auto"/>
            <w:noWrap/>
            <w:tcMar>
              <w:top w:w="0" w:type="dxa"/>
              <w:left w:w="108" w:type="dxa"/>
              <w:bottom w:w="0" w:type="dxa"/>
              <w:right w:w="108" w:type="dxa"/>
            </w:tcMar>
            <w:vAlign w:val="bottom"/>
          </w:tcPr>
          <w:p w14:paraId="440179C2" w14:textId="77777777" w:rsidR="0074499E" w:rsidRPr="0074499E" w:rsidRDefault="0074499E" w:rsidP="0074499E">
            <w:pPr>
              <w:rPr>
                <w:rFonts w:eastAsia="Calibri"/>
                <w:sz w:val="22"/>
                <w:szCs w:val="22"/>
              </w:rPr>
            </w:pPr>
            <w:r w:rsidRPr="0074499E">
              <w:rPr>
                <w:rFonts w:eastAsia="Calibri"/>
                <w:sz w:val="22"/>
                <w:szCs w:val="22"/>
              </w:rPr>
              <w:t xml:space="preserve">  Dosimetrist</w:t>
            </w:r>
          </w:p>
        </w:tc>
        <w:tc>
          <w:tcPr>
            <w:tcW w:w="623" w:type="pct"/>
            <w:shd w:val="clear" w:color="auto" w:fill="auto"/>
            <w:vAlign w:val="center"/>
          </w:tcPr>
          <w:p w14:paraId="07A8DDDF" w14:textId="77777777" w:rsidR="0074499E" w:rsidRPr="0074499E" w:rsidRDefault="0074499E" w:rsidP="0074499E">
            <w:pPr>
              <w:jc w:val="center"/>
              <w:rPr>
                <w:rFonts w:eastAsia="Calibri"/>
                <w:sz w:val="22"/>
                <w:szCs w:val="22"/>
              </w:rPr>
            </w:pPr>
            <w:r w:rsidRPr="0074499E">
              <w:rPr>
                <w:rFonts w:eastAsia="Calibri"/>
                <w:sz w:val="22"/>
                <w:szCs w:val="22"/>
              </w:rPr>
              <w:t>AD 00</w:t>
            </w:r>
          </w:p>
        </w:tc>
        <w:tc>
          <w:tcPr>
            <w:tcW w:w="619" w:type="pct"/>
            <w:shd w:val="clear" w:color="auto" w:fill="auto"/>
            <w:noWrap/>
            <w:tcMar>
              <w:top w:w="0" w:type="dxa"/>
              <w:left w:w="108" w:type="dxa"/>
              <w:bottom w:w="0" w:type="dxa"/>
              <w:right w:w="108" w:type="dxa"/>
            </w:tcMar>
            <w:vAlign w:val="bottom"/>
          </w:tcPr>
          <w:p w14:paraId="7454780B" w14:textId="77777777" w:rsidR="0074499E" w:rsidRPr="0074499E" w:rsidRDefault="0074499E" w:rsidP="0074499E">
            <w:pPr>
              <w:jc w:val="right"/>
              <w:rPr>
                <w:rFonts w:eastAsia="Calibri"/>
                <w:sz w:val="22"/>
                <w:szCs w:val="22"/>
              </w:rPr>
            </w:pPr>
            <w:r w:rsidRPr="0074499E">
              <w:rPr>
                <w:rFonts w:eastAsia="Calibri"/>
                <w:sz w:val="22"/>
                <w:szCs w:val="22"/>
              </w:rPr>
              <w:t>112,393</w:t>
            </w:r>
          </w:p>
        </w:tc>
        <w:tc>
          <w:tcPr>
            <w:tcW w:w="571" w:type="pct"/>
            <w:shd w:val="clear" w:color="auto" w:fill="auto"/>
            <w:noWrap/>
            <w:tcMar>
              <w:top w:w="0" w:type="dxa"/>
              <w:left w:w="108" w:type="dxa"/>
              <w:bottom w:w="0" w:type="dxa"/>
              <w:right w:w="108" w:type="dxa"/>
            </w:tcMar>
            <w:vAlign w:val="bottom"/>
          </w:tcPr>
          <w:p w14:paraId="678E3B80" w14:textId="77777777" w:rsidR="0074499E" w:rsidRPr="0074499E" w:rsidRDefault="0074499E" w:rsidP="0074499E">
            <w:pPr>
              <w:jc w:val="right"/>
              <w:rPr>
                <w:rFonts w:eastAsia="Calibri"/>
                <w:sz w:val="22"/>
                <w:szCs w:val="22"/>
              </w:rPr>
            </w:pPr>
            <w:r w:rsidRPr="0074499E">
              <w:rPr>
                <w:rFonts w:eastAsia="Calibri"/>
                <w:sz w:val="22"/>
                <w:szCs w:val="22"/>
              </w:rPr>
              <w:t>2</w:t>
            </w:r>
          </w:p>
        </w:tc>
        <w:tc>
          <w:tcPr>
            <w:tcW w:w="519" w:type="pct"/>
            <w:shd w:val="clear" w:color="auto" w:fill="auto"/>
          </w:tcPr>
          <w:p w14:paraId="568D80EE" w14:textId="77777777" w:rsidR="0074499E" w:rsidRPr="0074499E" w:rsidRDefault="0074499E" w:rsidP="0074499E">
            <w:pPr>
              <w:jc w:val="right"/>
              <w:rPr>
                <w:rFonts w:eastAsia="Calibri"/>
                <w:sz w:val="22"/>
                <w:szCs w:val="22"/>
              </w:rPr>
            </w:pPr>
          </w:p>
        </w:tc>
        <w:tc>
          <w:tcPr>
            <w:tcW w:w="838" w:type="pct"/>
            <w:shd w:val="clear" w:color="auto" w:fill="auto"/>
          </w:tcPr>
          <w:p w14:paraId="0D9805BA" w14:textId="77777777" w:rsidR="0074499E" w:rsidRPr="0074499E" w:rsidRDefault="0074499E" w:rsidP="0074499E">
            <w:pPr>
              <w:jc w:val="right"/>
              <w:rPr>
                <w:rFonts w:eastAsia="Calibri"/>
                <w:sz w:val="22"/>
                <w:szCs w:val="22"/>
              </w:rPr>
            </w:pPr>
            <w:r w:rsidRPr="0074499E">
              <w:rPr>
                <w:rFonts w:eastAsia="Calibri"/>
                <w:sz w:val="22"/>
                <w:szCs w:val="22"/>
              </w:rPr>
              <w:t>4,496</w:t>
            </w:r>
          </w:p>
        </w:tc>
      </w:tr>
      <w:tr w:rsidR="0074499E" w:rsidRPr="0074499E" w14:paraId="5EF07F02" w14:textId="77777777" w:rsidTr="004508A2">
        <w:trPr>
          <w:trHeight w:val="300"/>
        </w:trPr>
        <w:tc>
          <w:tcPr>
            <w:tcW w:w="1830" w:type="pct"/>
            <w:shd w:val="clear" w:color="auto" w:fill="auto"/>
            <w:noWrap/>
            <w:tcMar>
              <w:top w:w="0" w:type="dxa"/>
              <w:left w:w="108" w:type="dxa"/>
              <w:bottom w:w="0" w:type="dxa"/>
              <w:right w:w="108" w:type="dxa"/>
            </w:tcMar>
            <w:vAlign w:val="bottom"/>
          </w:tcPr>
          <w:p w14:paraId="2309A241" w14:textId="77777777" w:rsidR="0074499E" w:rsidRPr="0074499E" w:rsidRDefault="0074499E" w:rsidP="0074499E">
            <w:pPr>
              <w:rPr>
                <w:rFonts w:eastAsia="Calibri"/>
                <w:sz w:val="22"/>
                <w:szCs w:val="22"/>
              </w:rPr>
            </w:pPr>
            <w:r w:rsidRPr="0074499E">
              <w:rPr>
                <w:rFonts w:eastAsia="Calibri"/>
                <w:sz w:val="22"/>
                <w:szCs w:val="22"/>
              </w:rPr>
              <w:t xml:space="preserve">  Statistician</w:t>
            </w:r>
          </w:p>
        </w:tc>
        <w:tc>
          <w:tcPr>
            <w:tcW w:w="623" w:type="pct"/>
            <w:shd w:val="clear" w:color="auto" w:fill="auto"/>
            <w:vAlign w:val="center"/>
          </w:tcPr>
          <w:p w14:paraId="43A26CF5" w14:textId="77777777" w:rsidR="0074499E" w:rsidRPr="0074499E" w:rsidRDefault="0074499E" w:rsidP="0074499E">
            <w:pPr>
              <w:jc w:val="center"/>
              <w:rPr>
                <w:rFonts w:eastAsia="Calibri"/>
                <w:sz w:val="22"/>
                <w:szCs w:val="22"/>
              </w:rPr>
            </w:pPr>
            <w:r w:rsidRPr="0074499E">
              <w:rPr>
                <w:rFonts w:eastAsia="Calibri"/>
                <w:sz w:val="22"/>
                <w:szCs w:val="22"/>
              </w:rPr>
              <w:t>AD 00</w:t>
            </w:r>
          </w:p>
        </w:tc>
        <w:tc>
          <w:tcPr>
            <w:tcW w:w="619" w:type="pct"/>
            <w:shd w:val="clear" w:color="auto" w:fill="auto"/>
            <w:noWrap/>
            <w:tcMar>
              <w:top w:w="0" w:type="dxa"/>
              <w:left w:w="108" w:type="dxa"/>
              <w:bottom w:w="0" w:type="dxa"/>
              <w:right w:w="108" w:type="dxa"/>
            </w:tcMar>
            <w:vAlign w:val="bottom"/>
          </w:tcPr>
          <w:p w14:paraId="493AC892" w14:textId="77777777" w:rsidR="0074499E" w:rsidRPr="0074499E" w:rsidRDefault="0074499E" w:rsidP="0074499E">
            <w:pPr>
              <w:jc w:val="right"/>
              <w:rPr>
                <w:rFonts w:eastAsia="Calibri"/>
                <w:sz w:val="22"/>
                <w:szCs w:val="22"/>
              </w:rPr>
            </w:pPr>
            <w:r w:rsidRPr="0074499E">
              <w:rPr>
                <w:rFonts w:eastAsia="Calibri"/>
                <w:sz w:val="22"/>
                <w:szCs w:val="22"/>
              </w:rPr>
              <w:t>165,360</w:t>
            </w:r>
          </w:p>
        </w:tc>
        <w:tc>
          <w:tcPr>
            <w:tcW w:w="571" w:type="pct"/>
            <w:shd w:val="clear" w:color="auto" w:fill="auto"/>
            <w:noWrap/>
            <w:tcMar>
              <w:top w:w="0" w:type="dxa"/>
              <w:left w:w="108" w:type="dxa"/>
              <w:bottom w:w="0" w:type="dxa"/>
              <w:right w:w="108" w:type="dxa"/>
            </w:tcMar>
            <w:vAlign w:val="bottom"/>
          </w:tcPr>
          <w:p w14:paraId="6F2D7382" w14:textId="77777777" w:rsidR="0074499E" w:rsidRPr="0074499E" w:rsidRDefault="0074499E" w:rsidP="0074499E">
            <w:pPr>
              <w:jc w:val="right"/>
              <w:rPr>
                <w:rFonts w:eastAsia="Calibri"/>
                <w:sz w:val="22"/>
                <w:szCs w:val="22"/>
              </w:rPr>
            </w:pPr>
            <w:r w:rsidRPr="0074499E">
              <w:rPr>
                <w:rFonts w:eastAsia="Calibri"/>
                <w:sz w:val="22"/>
                <w:szCs w:val="22"/>
              </w:rPr>
              <w:t>1</w:t>
            </w:r>
          </w:p>
        </w:tc>
        <w:tc>
          <w:tcPr>
            <w:tcW w:w="519" w:type="pct"/>
            <w:shd w:val="clear" w:color="auto" w:fill="auto"/>
          </w:tcPr>
          <w:p w14:paraId="3DB546B3" w14:textId="77777777" w:rsidR="0074499E" w:rsidRPr="0074499E" w:rsidRDefault="0074499E" w:rsidP="0074499E">
            <w:pPr>
              <w:jc w:val="right"/>
              <w:rPr>
                <w:rFonts w:eastAsia="Calibri"/>
                <w:sz w:val="22"/>
                <w:szCs w:val="22"/>
              </w:rPr>
            </w:pPr>
          </w:p>
        </w:tc>
        <w:tc>
          <w:tcPr>
            <w:tcW w:w="838" w:type="pct"/>
            <w:shd w:val="clear" w:color="auto" w:fill="auto"/>
          </w:tcPr>
          <w:p w14:paraId="6E662042" w14:textId="77777777" w:rsidR="0074499E" w:rsidRPr="0074499E" w:rsidRDefault="0074499E" w:rsidP="0074499E">
            <w:pPr>
              <w:jc w:val="right"/>
              <w:rPr>
                <w:rFonts w:eastAsia="Calibri"/>
                <w:sz w:val="22"/>
                <w:szCs w:val="22"/>
              </w:rPr>
            </w:pPr>
            <w:r w:rsidRPr="0074499E">
              <w:rPr>
                <w:rFonts w:eastAsia="Calibri"/>
                <w:sz w:val="22"/>
                <w:szCs w:val="22"/>
              </w:rPr>
              <w:t>1,654</w:t>
            </w:r>
          </w:p>
        </w:tc>
      </w:tr>
      <w:tr w:rsidR="0074499E" w:rsidRPr="0074499E" w14:paraId="163B9B7D" w14:textId="77777777" w:rsidTr="004508A2">
        <w:trPr>
          <w:trHeight w:val="300"/>
        </w:trPr>
        <w:tc>
          <w:tcPr>
            <w:tcW w:w="1830" w:type="pct"/>
            <w:shd w:val="clear" w:color="auto" w:fill="auto"/>
            <w:noWrap/>
            <w:tcMar>
              <w:top w:w="0" w:type="dxa"/>
              <w:left w:w="108" w:type="dxa"/>
              <w:bottom w:w="0" w:type="dxa"/>
              <w:right w:w="108" w:type="dxa"/>
            </w:tcMar>
            <w:vAlign w:val="bottom"/>
          </w:tcPr>
          <w:p w14:paraId="4B45534E" w14:textId="77777777" w:rsidR="0074499E" w:rsidRPr="0074499E" w:rsidRDefault="0074499E" w:rsidP="0074499E">
            <w:pPr>
              <w:rPr>
                <w:rFonts w:eastAsia="Calibri"/>
                <w:b/>
                <w:sz w:val="22"/>
                <w:szCs w:val="22"/>
              </w:rPr>
            </w:pPr>
            <w:r w:rsidRPr="0074499E">
              <w:rPr>
                <w:rFonts w:eastAsia="Calibri"/>
                <w:b/>
                <w:sz w:val="22"/>
                <w:szCs w:val="22"/>
              </w:rPr>
              <w:t xml:space="preserve">  Sub-Total</w:t>
            </w:r>
          </w:p>
        </w:tc>
        <w:tc>
          <w:tcPr>
            <w:tcW w:w="623" w:type="pct"/>
            <w:shd w:val="clear" w:color="auto" w:fill="auto"/>
          </w:tcPr>
          <w:p w14:paraId="3D99C089"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4E7C2282"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0B44ADCC" w14:textId="77777777" w:rsidR="0074499E" w:rsidRPr="0074499E" w:rsidRDefault="0074499E" w:rsidP="0074499E">
            <w:pPr>
              <w:jc w:val="right"/>
              <w:rPr>
                <w:rFonts w:eastAsia="Calibri"/>
                <w:sz w:val="22"/>
                <w:szCs w:val="22"/>
              </w:rPr>
            </w:pPr>
          </w:p>
        </w:tc>
        <w:tc>
          <w:tcPr>
            <w:tcW w:w="519" w:type="pct"/>
            <w:shd w:val="clear" w:color="auto" w:fill="auto"/>
          </w:tcPr>
          <w:p w14:paraId="64CC130B" w14:textId="77777777" w:rsidR="0074499E" w:rsidRPr="0074499E" w:rsidRDefault="0074499E" w:rsidP="0074499E">
            <w:pPr>
              <w:jc w:val="right"/>
              <w:rPr>
                <w:rFonts w:eastAsia="Calibri"/>
                <w:sz w:val="22"/>
                <w:szCs w:val="22"/>
              </w:rPr>
            </w:pPr>
          </w:p>
        </w:tc>
        <w:tc>
          <w:tcPr>
            <w:tcW w:w="838" w:type="pct"/>
            <w:shd w:val="clear" w:color="auto" w:fill="auto"/>
          </w:tcPr>
          <w:p w14:paraId="04038616" w14:textId="77777777" w:rsidR="0074499E" w:rsidRPr="0074499E" w:rsidRDefault="0074499E" w:rsidP="0074499E">
            <w:pPr>
              <w:jc w:val="right"/>
              <w:rPr>
                <w:rFonts w:eastAsia="Calibri"/>
                <w:b/>
                <w:sz w:val="22"/>
                <w:szCs w:val="22"/>
              </w:rPr>
            </w:pPr>
            <w:r w:rsidRPr="0074499E">
              <w:rPr>
                <w:rFonts w:eastAsia="Calibri"/>
                <w:b/>
                <w:sz w:val="22"/>
                <w:szCs w:val="22"/>
              </w:rPr>
              <w:t>21,831</w:t>
            </w:r>
          </w:p>
        </w:tc>
      </w:tr>
      <w:tr w:rsidR="0074499E" w:rsidRPr="0074499E" w14:paraId="2CAB52B5" w14:textId="77777777" w:rsidTr="004508A2">
        <w:trPr>
          <w:trHeight w:val="300"/>
        </w:trPr>
        <w:tc>
          <w:tcPr>
            <w:tcW w:w="1830" w:type="pct"/>
            <w:shd w:val="clear" w:color="auto" w:fill="auto"/>
            <w:noWrap/>
            <w:tcMar>
              <w:top w:w="0" w:type="dxa"/>
              <w:left w:w="108" w:type="dxa"/>
              <w:bottom w:w="0" w:type="dxa"/>
              <w:right w:w="108" w:type="dxa"/>
            </w:tcMar>
            <w:vAlign w:val="bottom"/>
          </w:tcPr>
          <w:p w14:paraId="07C8C54F" w14:textId="77777777" w:rsidR="0074499E" w:rsidRPr="0074499E" w:rsidRDefault="0074499E" w:rsidP="0074499E">
            <w:pPr>
              <w:rPr>
                <w:rFonts w:eastAsia="Calibri"/>
                <w:b/>
                <w:sz w:val="22"/>
                <w:szCs w:val="22"/>
              </w:rPr>
            </w:pPr>
          </w:p>
        </w:tc>
        <w:tc>
          <w:tcPr>
            <w:tcW w:w="623" w:type="pct"/>
            <w:shd w:val="clear" w:color="auto" w:fill="auto"/>
          </w:tcPr>
          <w:p w14:paraId="3C461255"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673A2E47"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3E0E4D1C" w14:textId="77777777" w:rsidR="0074499E" w:rsidRPr="0074499E" w:rsidRDefault="0074499E" w:rsidP="0074499E">
            <w:pPr>
              <w:jc w:val="right"/>
              <w:rPr>
                <w:rFonts w:eastAsia="Calibri"/>
                <w:sz w:val="22"/>
                <w:szCs w:val="22"/>
              </w:rPr>
            </w:pPr>
          </w:p>
        </w:tc>
        <w:tc>
          <w:tcPr>
            <w:tcW w:w="519" w:type="pct"/>
            <w:shd w:val="clear" w:color="auto" w:fill="auto"/>
          </w:tcPr>
          <w:p w14:paraId="45B0F38D" w14:textId="77777777" w:rsidR="0074499E" w:rsidRPr="0074499E" w:rsidRDefault="0074499E" w:rsidP="0074499E">
            <w:pPr>
              <w:jc w:val="right"/>
              <w:rPr>
                <w:rFonts w:eastAsia="Calibri"/>
                <w:sz w:val="22"/>
                <w:szCs w:val="22"/>
              </w:rPr>
            </w:pPr>
          </w:p>
        </w:tc>
        <w:tc>
          <w:tcPr>
            <w:tcW w:w="838" w:type="pct"/>
            <w:shd w:val="clear" w:color="auto" w:fill="auto"/>
          </w:tcPr>
          <w:p w14:paraId="307C53E5" w14:textId="77777777" w:rsidR="0074499E" w:rsidRPr="0074499E" w:rsidRDefault="0074499E" w:rsidP="0074499E">
            <w:pPr>
              <w:jc w:val="right"/>
              <w:rPr>
                <w:rFonts w:eastAsia="Calibri"/>
                <w:sz w:val="22"/>
                <w:szCs w:val="22"/>
              </w:rPr>
            </w:pPr>
          </w:p>
        </w:tc>
      </w:tr>
      <w:tr w:rsidR="0074499E" w:rsidRPr="0074499E" w14:paraId="51DB745F" w14:textId="77777777" w:rsidTr="004508A2">
        <w:trPr>
          <w:trHeight w:val="300"/>
        </w:trPr>
        <w:tc>
          <w:tcPr>
            <w:tcW w:w="1830" w:type="pct"/>
            <w:shd w:val="clear" w:color="auto" w:fill="auto"/>
            <w:noWrap/>
            <w:tcMar>
              <w:top w:w="0" w:type="dxa"/>
              <w:left w:w="108" w:type="dxa"/>
              <w:bottom w:w="0" w:type="dxa"/>
              <w:right w:w="108" w:type="dxa"/>
            </w:tcMar>
            <w:vAlign w:val="bottom"/>
          </w:tcPr>
          <w:p w14:paraId="4390AD6A" w14:textId="77777777" w:rsidR="0074499E" w:rsidRPr="0074499E" w:rsidRDefault="0074499E" w:rsidP="0074499E">
            <w:pPr>
              <w:rPr>
                <w:rFonts w:eastAsia="Calibri"/>
                <w:sz w:val="22"/>
                <w:szCs w:val="22"/>
              </w:rPr>
            </w:pPr>
            <w:r w:rsidRPr="0074499E">
              <w:rPr>
                <w:rFonts w:eastAsia="Calibri"/>
                <w:b/>
                <w:sz w:val="22"/>
                <w:szCs w:val="22"/>
              </w:rPr>
              <w:t>Travel</w:t>
            </w:r>
          </w:p>
        </w:tc>
        <w:tc>
          <w:tcPr>
            <w:tcW w:w="623" w:type="pct"/>
            <w:shd w:val="clear" w:color="auto" w:fill="auto"/>
          </w:tcPr>
          <w:p w14:paraId="2059962C"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27E2E795"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46DB118D" w14:textId="77777777" w:rsidR="0074499E" w:rsidRPr="0074499E" w:rsidRDefault="0074499E" w:rsidP="0074499E">
            <w:pPr>
              <w:jc w:val="right"/>
              <w:rPr>
                <w:rFonts w:eastAsia="Calibri"/>
                <w:sz w:val="22"/>
                <w:szCs w:val="22"/>
              </w:rPr>
            </w:pPr>
          </w:p>
        </w:tc>
        <w:tc>
          <w:tcPr>
            <w:tcW w:w="519" w:type="pct"/>
            <w:shd w:val="clear" w:color="auto" w:fill="auto"/>
          </w:tcPr>
          <w:p w14:paraId="5D3D2091" w14:textId="77777777" w:rsidR="0074499E" w:rsidRPr="0074499E" w:rsidRDefault="0074499E" w:rsidP="0074499E">
            <w:pPr>
              <w:jc w:val="right"/>
              <w:rPr>
                <w:rFonts w:eastAsia="Calibri"/>
                <w:sz w:val="22"/>
                <w:szCs w:val="22"/>
              </w:rPr>
            </w:pPr>
          </w:p>
        </w:tc>
        <w:tc>
          <w:tcPr>
            <w:tcW w:w="838" w:type="pct"/>
            <w:shd w:val="clear" w:color="auto" w:fill="auto"/>
          </w:tcPr>
          <w:p w14:paraId="0D174C6C" w14:textId="77777777" w:rsidR="0074499E" w:rsidRPr="0074499E" w:rsidRDefault="0074499E" w:rsidP="0074499E">
            <w:pPr>
              <w:jc w:val="right"/>
              <w:rPr>
                <w:rFonts w:eastAsia="Calibri"/>
                <w:b/>
                <w:sz w:val="22"/>
                <w:szCs w:val="22"/>
              </w:rPr>
            </w:pPr>
            <w:r w:rsidRPr="0074499E">
              <w:rPr>
                <w:rFonts w:eastAsia="Calibri"/>
                <w:b/>
                <w:sz w:val="22"/>
                <w:szCs w:val="22"/>
              </w:rPr>
              <w:t>500</w:t>
            </w:r>
          </w:p>
        </w:tc>
      </w:tr>
      <w:tr w:rsidR="0074499E" w:rsidRPr="0074499E" w14:paraId="5E3C3C2F" w14:textId="77777777" w:rsidTr="004508A2">
        <w:trPr>
          <w:trHeight w:val="300"/>
        </w:trPr>
        <w:tc>
          <w:tcPr>
            <w:tcW w:w="1830" w:type="pct"/>
            <w:shd w:val="clear" w:color="auto" w:fill="auto"/>
            <w:noWrap/>
            <w:tcMar>
              <w:top w:w="0" w:type="dxa"/>
              <w:left w:w="108" w:type="dxa"/>
              <w:bottom w:w="0" w:type="dxa"/>
              <w:right w:w="108" w:type="dxa"/>
            </w:tcMar>
            <w:vAlign w:val="bottom"/>
          </w:tcPr>
          <w:p w14:paraId="6B0C2FA2" w14:textId="77777777" w:rsidR="0074499E" w:rsidRPr="0074499E" w:rsidRDefault="0074499E" w:rsidP="0074499E">
            <w:pPr>
              <w:rPr>
                <w:rFonts w:eastAsia="Calibri"/>
                <w:b/>
                <w:sz w:val="22"/>
                <w:szCs w:val="22"/>
              </w:rPr>
            </w:pPr>
          </w:p>
        </w:tc>
        <w:tc>
          <w:tcPr>
            <w:tcW w:w="623" w:type="pct"/>
            <w:shd w:val="clear" w:color="auto" w:fill="auto"/>
          </w:tcPr>
          <w:p w14:paraId="4D8C52DC"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1B53A940"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7390C23B" w14:textId="77777777" w:rsidR="0074499E" w:rsidRPr="0074499E" w:rsidRDefault="0074499E" w:rsidP="0074499E">
            <w:pPr>
              <w:jc w:val="right"/>
              <w:rPr>
                <w:rFonts w:eastAsia="Calibri"/>
                <w:sz w:val="22"/>
                <w:szCs w:val="22"/>
              </w:rPr>
            </w:pPr>
          </w:p>
        </w:tc>
        <w:tc>
          <w:tcPr>
            <w:tcW w:w="519" w:type="pct"/>
            <w:shd w:val="clear" w:color="auto" w:fill="auto"/>
          </w:tcPr>
          <w:p w14:paraId="1378444D" w14:textId="77777777" w:rsidR="0074499E" w:rsidRPr="0074499E" w:rsidRDefault="0074499E" w:rsidP="0074499E">
            <w:pPr>
              <w:jc w:val="center"/>
              <w:rPr>
                <w:rFonts w:eastAsia="Calibri"/>
                <w:sz w:val="22"/>
                <w:szCs w:val="22"/>
              </w:rPr>
            </w:pPr>
          </w:p>
        </w:tc>
        <w:tc>
          <w:tcPr>
            <w:tcW w:w="838" w:type="pct"/>
            <w:shd w:val="clear" w:color="auto" w:fill="auto"/>
          </w:tcPr>
          <w:p w14:paraId="07E102FC" w14:textId="77777777" w:rsidR="0074499E" w:rsidRPr="0074499E" w:rsidRDefault="0074499E" w:rsidP="0074499E">
            <w:pPr>
              <w:jc w:val="right"/>
              <w:rPr>
                <w:rFonts w:eastAsia="Calibri"/>
                <w:sz w:val="22"/>
                <w:szCs w:val="22"/>
              </w:rPr>
            </w:pPr>
          </w:p>
        </w:tc>
      </w:tr>
      <w:tr w:rsidR="0074499E" w:rsidRPr="0074499E" w14:paraId="5120B271" w14:textId="77777777" w:rsidTr="004508A2">
        <w:trPr>
          <w:trHeight w:val="300"/>
        </w:trPr>
        <w:tc>
          <w:tcPr>
            <w:tcW w:w="1830" w:type="pct"/>
            <w:shd w:val="clear" w:color="auto" w:fill="auto"/>
            <w:noWrap/>
            <w:tcMar>
              <w:top w:w="0" w:type="dxa"/>
              <w:left w:w="108" w:type="dxa"/>
              <w:bottom w:w="0" w:type="dxa"/>
              <w:right w:w="108" w:type="dxa"/>
            </w:tcMar>
            <w:vAlign w:val="bottom"/>
          </w:tcPr>
          <w:p w14:paraId="47DDD195" w14:textId="77777777" w:rsidR="0074499E" w:rsidRPr="0074499E" w:rsidRDefault="0074499E" w:rsidP="0074499E">
            <w:pPr>
              <w:rPr>
                <w:rFonts w:eastAsia="Calibri"/>
                <w:sz w:val="22"/>
                <w:szCs w:val="22"/>
              </w:rPr>
            </w:pPr>
            <w:r w:rsidRPr="0074499E">
              <w:rPr>
                <w:rFonts w:eastAsia="Calibri"/>
                <w:b/>
                <w:sz w:val="22"/>
                <w:szCs w:val="22"/>
              </w:rPr>
              <w:t>Contractor Costs</w:t>
            </w:r>
          </w:p>
        </w:tc>
        <w:tc>
          <w:tcPr>
            <w:tcW w:w="623" w:type="pct"/>
            <w:shd w:val="clear" w:color="auto" w:fill="auto"/>
          </w:tcPr>
          <w:p w14:paraId="23BE1A4C"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4F038EEE"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568F1893" w14:textId="77777777" w:rsidR="0074499E" w:rsidRPr="0074499E" w:rsidRDefault="0074499E" w:rsidP="0074499E">
            <w:pPr>
              <w:jc w:val="right"/>
              <w:rPr>
                <w:rFonts w:eastAsia="Calibri"/>
                <w:sz w:val="22"/>
                <w:szCs w:val="22"/>
              </w:rPr>
            </w:pPr>
          </w:p>
        </w:tc>
        <w:tc>
          <w:tcPr>
            <w:tcW w:w="519" w:type="pct"/>
            <w:shd w:val="clear" w:color="auto" w:fill="auto"/>
          </w:tcPr>
          <w:p w14:paraId="4AAEB09E" w14:textId="77777777" w:rsidR="0074499E" w:rsidRPr="0074499E" w:rsidRDefault="0074499E" w:rsidP="0074499E">
            <w:pPr>
              <w:jc w:val="center"/>
              <w:rPr>
                <w:rFonts w:eastAsia="Calibri"/>
                <w:sz w:val="22"/>
                <w:szCs w:val="22"/>
              </w:rPr>
            </w:pPr>
          </w:p>
        </w:tc>
        <w:tc>
          <w:tcPr>
            <w:tcW w:w="838" w:type="pct"/>
            <w:shd w:val="clear" w:color="auto" w:fill="auto"/>
          </w:tcPr>
          <w:p w14:paraId="2ABA88D9" w14:textId="77777777" w:rsidR="0074499E" w:rsidRPr="0074499E" w:rsidRDefault="0074499E" w:rsidP="0074499E">
            <w:pPr>
              <w:jc w:val="right"/>
              <w:rPr>
                <w:rFonts w:eastAsia="Calibri"/>
                <w:sz w:val="22"/>
                <w:szCs w:val="22"/>
              </w:rPr>
            </w:pPr>
          </w:p>
        </w:tc>
      </w:tr>
      <w:tr w:rsidR="0074499E" w:rsidRPr="0074499E" w14:paraId="1B790015" w14:textId="77777777" w:rsidTr="004508A2">
        <w:trPr>
          <w:trHeight w:val="300"/>
        </w:trPr>
        <w:tc>
          <w:tcPr>
            <w:tcW w:w="1830" w:type="pct"/>
            <w:shd w:val="clear" w:color="auto" w:fill="auto"/>
            <w:noWrap/>
            <w:tcMar>
              <w:top w:w="0" w:type="dxa"/>
              <w:left w:w="108" w:type="dxa"/>
              <w:bottom w:w="0" w:type="dxa"/>
              <w:right w:w="108" w:type="dxa"/>
            </w:tcMar>
            <w:vAlign w:val="bottom"/>
          </w:tcPr>
          <w:p w14:paraId="6E6A6912" w14:textId="77777777" w:rsidR="0074499E" w:rsidRPr="0074499E" w:rsidRDefault="0074499E" w:rsidP="0074499E">
            <w:pPr>
              <w:rPr>
                <w:rFonts w:eastAsia="Calibri"/>
                <w:b/>
                <w:sz w:val="22"/>
                <w:szCs w:val="22"/>
              </w:rPr>
            </w:pPr>
            <w:r w:rsidRPr="0074499E">
              <w:rPr>
                <w:rFonts w:eastAsia="Calibri"/>
                <w:sz w:val="22"/>
                <w:szCs w:val="22"/>
              </w:rPr>
              <w:t xml:space="preserve">  </w:t>
            </w:r>
            <w:r w:rsidRPr="0074499E">
              <w:rPr>
                <w:rFonts w:eastAsia="Calibri"/>
                <w:b/>
                <w:sz w:val="22"/>
                <w:szCs w:val="22"/>
              </w:rPr>
              <w:t>University of Minnesota</w:t>
            </w:r>
          </w:p>
        </w:tc>
        <w:tc>
          <w:tcPr>
            <w:tcW w:w="623" w:type="pct"/>
            <w:shd w:val="clear" w:color="auto" w:fill="auto"/>
          </w:tcPr>
          <w:p w14:paraId="034DD772"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5C4EE649"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59E56F5D" w14:textId="77777777" w:rsidR="0074499E" w:rsidRPr="0074499E" w:rsidRDefault="0074499E" w:rsidP="0074499E">
            <w:pPr>
              <w:jc w:val="right"/>
              <w:rPr>
                <w:rFonts w:eastAsia="Calibri"/>
                <w:sz w:val="22"/>
                <w:szCs w:val="22"/>
              </w:rPr>
            </w:pPr>
          </w:p>
        </w:tc>
        <w:tc>
          <w:tcPr>
            <w:tcW w:w="519" w:type="pct"/>
            <w:shd w:val="clear" w:color="auto" w:fill="auto"/>
          </w:tcPr>
          <w:p w14:paraId="51EE2265" w14:textId="77777777" w:rsidR="0074499E" w:rsidRPr="0074499E" w:rsidRDefault="0074499E" w:rsidP="0074499E">
            <w:pPr>
              <w:jc w:val="right"/>
              <w:rPr>
                <w:rFonts w:eastAsia="Calibri"/>
                <w:sz w:val="22"/>
                <w:szCs w:val="22"/>
              </w:rPr>
            </w:pPr>
          </w:p>
        </w:tc>
        <w:tc>
          <w:tcPr>
            <w:tcW w:w="838" w:type="pct"/>
            <w:shd w:val="clear" w:color="auto" w:fill="auto"/>
          </w:tcPr>
          <w:p w14:paraId="37AA4DD7" w14:textId="77777777" w:rsidR="0074499E" w:rsidRPr="0074499E" w:rsidRDefault="0074499E" w:rsidP="0074499E">
            <w:pPr>
              <w:jc w:val="right"/>
              <w:rPr>
                <w:rFonts w:eastAsia="Calibri"/>
                <w:sz w:val="22"/>
                <w:szCs w:val="22"/>
              </w:rPr>
            </w:pPr>
          </w:p>
        </w:tc>
      </w:tr>
      <w:tr w:rsidR="0074499E" w:rsidRPr="0074499E" w14:paraId="2C5DCF69" w14:textId="77777777" w:rsidTr="004508A2">
        <w:trPr>
          <w:trHeight w:val="300"/>
        </w:trPr>
        <w:tc>
          <w:tcPr>
            <w:tcW w:w="1830" w:type="pct"/>
            <w:shd w:val="clear" w:color="auto" w:fill="auto"/>
            <w:noWrap/>
            <w:tcMar>
              <w:top w:w="0" w:type="dxa"/>
              <w:left w:w="108" w:type="dxa"/>
              <w:bottom w:w="0" w:type="dxa"/>
              <w:right w:w="108" w:type="dxa"/>
            </w:tcMar>
            <w:vAlign w:val="bottom"/>
          </w:tcPr>
          <w:p w14:paraId="0C04EA57" w14:textId="77777777" w:rsidR="0074499E" w:rsidRPr="0074499E" w:rsidRDefault="0074499E" w:rsidP="0074499E">
            <w:pPr>
              <w:rPr>
                <w:rFonts w:eastAsia="Calibri"/>
                <w:sz w:val="22"/>
                <w:szCs w:val="22"/>
              </w:rPr>
            </w:pPr>
            <w:r w:rsidRPr="0074499E">
              <w:rPr>
                <w:rFonts w:eastAsia="Calibri"/>
                <w:sz w:val="22"/>
                <w:szCs w:val="22"/>
              </w:rPr>
              <w:t xml:space="preserve">    Principal Investigator</w:t>
            </w:r>
          </w:p>
        </w:tc>
        <w:tc>
          <w:tcPr>
            <w:tcW w:w="623" w:type="pct"/>
            <w:shd w:val="clear" w:color="auto" w:fill="auto"/>
            <w:vAlign w:val="bottom"/>
          </w:tcPr>
          <w:p w14:paraId="339ED4BD"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center"/>
          </w:tcPr>
          <w:p w14:paraId="6F5414EC" w14:textId="77777777" w:rsidR="0074499E" w:rsidRPr="0074499E" w:rsidRDefault="0074499E" w:rsidP="0074499E">
            <w:pPr>
              <w:jc w:val="right"/>
              <w:rPr>
                <w:rFonts w:eastAsia="Calibri"/>
                <w:sz w:val="22"/>
                <w:szCs w:val="22"/>
              </w:rPr>
            </w:pPr>
            <w:r w:rsidRPr="0074499E">
              <w:rPr>
                <w:rFonts w:eastAsia="Calibri"/>
                <w:color w:val="000000"/>
                <w:sz w:val="22"/>
                <w:szCs w:val="22"/>
              </w:rPr>
              <w:t>183,290</w:t>
            </w:r>
          </w:p>
        </w:tc>
        <w:tc>
          <w:tcPr>
            <w:tcW w:w="571" w:type="pct"/>
            <w:shd w:val="clear" w:color="auto" w:fill="auto"/>
            <w:noWrap/>
            <w:tcMar>
              <w:top w:w="0" w:type="dxa"/>
              <w:left w:w="108" w:type="dxa"/>
              <w:bottom w:w="0" w:type="dxa"/>
              <w:right w:w="108" w:type="dxa"/>
            </w:tcMar>
            <w:vAlign w:val="center"/>
          </w:tcPr>
          <w:p w14:paraId="07B39FC4" w14:textId="77777777" w:rsidR="0074499E" w:rsidRPr="0074499E" w:rsidRDefault="0074499E" w:rsidP="0074499E">
            <w:pPr>
              <w:jc w:val="right"/>
              <w:rPr>
                <w:rFonts w:eastAsia="Calibri"/>
                <w:sz w:val="22"/>
                <w:szCs w:val="22"/>
              </w:rPr>
            </w:pPr>
            <w:r w:rsidRPr="0074499E">
              <w:rPr>
                <w:rFonts w:eastAsia="Calibri"/>
                <w:color w:val="000000"/>
                <w:sz w:val="22"/>
                <w:szCs w:val="22"/>
              </w:rPr>
              <w:t>0.005</w:t>
            </w:r>
          </w:p>
        </w:tc>
        <w:tc>
          <w:tcPr>
            <w:tcW w:w="519" w:type="pct"/>
            <w:shd w:val="clear" w:color="auto" w:fill="auto"/>
            <w:vAlign w:val="center"/>
          </w:tcPr>
          <w:p w14:paraId="1104E99D" w14:textId="77777777" w:rsidR="0074499E" w:rsidRPr="0074499E" w:rsidRDefault="0074499E" w:rsidP="0074499E">
            <w:pPr>
              <w:jc w:val="right"/>
              <w:rPr>
                <w:rFonts w:eastAsia="Calibri"/>
                <w:sz w:val="22"/>
                <w:szCs w:val="22"/>
              </w:rPr>
            </w:pPr>
            <w:r w:rsidRPr="0074499E">
              <w:rPr>
                <w:color w:val="000000"/>
                <w:sz w:val="22"/>
                <w:szCs w:val="22"/>
              </w:rPr>
              <w:t>0.337</w:t>
            </w:r>
          </w:p>
        </w:tc>
        <w:tc>
          <w:tcPr>
            <w:tcW w:w="838" w:type="pct"/>
            <w:shd w:val="clear" w:color="auto" w:fill="auto"/>
            <w:vAlign w:val="bottom"/>
          </w:tcPr>
          <w:p w14:paraId="0482E37C" w14:textId="77777777" w:rsidR="0074499E" w:rsidRPr="0074499E" w:rsidRDefault="0074499E" w:rsidP="0074499E">
            <w:pPr>
              <w:jc w:val="right"/>
              <w:rPr>
                <w:rFonts w:eastAsia="Calibri"/>
                <w:sz w:val="22"/>
                <w:szCs w:val="22"/>
              </w:rPr>
            </w:pPr>
            <w:r w:rsidRPr="0074499E">
              <w:rPr>
                <w:color w:val="000000"/>
                <w:sz w:val="22"/>
                <w:szCs w:val="22"/>
              </w:rPr>
              <w:t>1,225</w:t>
            </w:r>
          </w:p>
        </w:tc>
      </w:tr>
      <w:tr w:rsidR="0074499E" w:rsidRPr="0074499E" w14:paraId="4DB6712C" w14:textId="77777777" w:rsidTr="004508A2">
        <w:trPr>
          <w:trHeight w:val="300"/>
        </w:trPr>
        <w:tc>
          <w:tcPr>
            <w:tcW w:w="1830" w:type="pct"/>
            <w:shd w:val="clear" w:color="auto" w:fill="auto"/>
            <w:noWrap/>
            <w:tcMar>
              <w:top w:w="0" w:type="dxa"/>
              <w:left w:w="108" w:type="dxa"/>
              <w:bottom w:w="0" w:type="dxa"/>
              <w:right w:w="108" w:type="dxa"/>
            </w:tcMar>
            <w:vAlign w:val="bottom"/>
          </w:tcPr>
          <w:p w14:paraId="25EAADF0" w14:textId="77777777" w:rsidR="0074499E" w:rsidRPr="0074499E" w:rsidRDefault="0074499E" w:rsidP="0074499E">
            <w:pPr>
              <w:rPr>
                <w:rFonts w:eastAsia="Calibri"/>
                <w:sz w:val="22"/>
                <w:szCs w:val="22"/>
              </w:rPr>
            </w:pPr>
            <w:r w:rsidRPr="0074499E">
              <w:rPr>
                <w:rFonts w:eastAsia="Calibri"/>
                <w:sz w:val="22"/>
                <w:szCs w:val="22"/>
              </w:rPr>
              <w:t xml:space="preserve">    Study Manager</w:t>
            </w:r>
          </w:p>
        </w:tc>
        <w:tc>
          <w:tcPr>
            <w:tcW w:w="623" w:type="pct"/>
            <w:shd w:val="clear" w:color="auto" w:fill="auto"/>
            <w:vAlign w:val="bottom"/>
          </w:tcPr>
          <w:p w14:paraId="371F8BE8"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center"/>
          </w:tcPr>
          <w:p w14:paraId="50471434" w14:textId="77777777" w:rsidR="0074499E" w:rsidRPr="0074499E" w:rsidRDefault="0074499E" w:rsidP="0074499E">
            <w:pPr>
              <w:jc w:val="right"/>
              <w:rPr>
                <w:rFonts w:eastAsia="Calibri"/>
                <w:sz w:val="22"/>
                <w:szCs w:val="22"/>
              </w:rPr>
            </w:pPr>
            <w:r w:rsidRPr="0074499E">
              <w:rPr>
                <w:rFonts w:eastAsia="Calibri"/>
                <w:color w:val="000000"/>
                <w:sz w:val="22"/>
                <w:szCs w:val="22"/>
              </w:rPr>
              <w:t>90,917</w:t>
            </w:r>
          </w:p>
        </w:tc>
        <w:tc>
          <w:tcPr>
            <w:tcW w:w="571" w:type="pct"/>
            <w:shd w:val="clear" w:color="auto" w:fill="auto"/>
            <w:noWrap/>
            <w:tcMar>
              <w:top w:w="0" w:type="dxa"/>
              <w:left w:w="108" w:type="dxa"/>
              <w:bottom w:w="0" w:type="dxa"/>
              <w:right w:w="108" w:type="dxa"/>
            </w:tcMar>
            <w:vAlign w:val="center"/>
          </w:tcPr>
          <w:p w14:paraId="51DEEF53" w14:textId="77777777" w:rsidR="0074499E" w:rsidRPr="0074499E" w:rsidRDefault="0074499E" w:rsidP="0074499E">
            <w:pPr>
              <w:jc w:val="right"/>
              <w:rPr>
                <w:rFonts w:eastAsia="Calibri"/>
                <w:sz w:val="22"/>
                <w:szCs w:val="22"/>
              </w:rPr>
            </w:pPr>
            <w:r w:rsidRPr="0074499E">
              <w:rPr>
                <w:color w:val="000000"/>
                <w:sz w:val="22"/>
                <w:szCs w:val="22"/>
              </w:rPr>
              <w:t>0.020</w:t>
            </w:r>
          </w:p>
        </w:tc>
        <w:tc>
          <w:tcPr>
            <w:tcW w:w="519" w:type="pct"/>
            <w:shd w:val="clear" w:color="auto" w:fill="auto"/>
            <w:vAlign w:val="center"/>
          </w:tcPr>
          <w:p w14:paraId="70901439" w14:textId="77777777" w:rsidR="0074499E" w:rsidRPr="0074499E" w:rsidRDefault="0074499E" w:rsidP="0074499E">
            <w:pPr>
              <w:jc w:val="right"/>
              <w:rPr>
                <w:rFonts w:eastAsia="Calibri"/>
                <w:sz w:val="22"/>
                <w:szCs w:val="22"/>
              </w:rPr>
            </w:pPr>
            <w:r w:rsidRPr="0074499E">
              <w:rPr>
                <w:color w:val="000000"/>
                <w:sz w:val="22"/>
                <w:szCs w:val="22"/>
              </w:rPr>
              <w:t>0.337</w:t>
            </w:r>
          </w:p>
        </w:tc>
        <w:tc>
          <w:tcPr>
            <w:tcW w:w="838" w:type="pct"/>
            <w:shd w:val="clear" w:color="auto" w:fill="auto"/>
            <w:vAlign w:val="bottom"/>
          </w:tcPr>
          <w:p w14:paraId="6264BD13" w14:textId="77777777" w:rsidR="0074499E" w:rsidRPr="0074499E" w:rsidRDefault="0074499E" w:rsidP="0074499E">
            <w:pPr>
              <w:jc w:val="right"/>
              <w:rPr>
                <w:rFonts w:eastAsia="Calibri"/>
                <w:sz w:val="22"/>
                <w:szCs w:val="22"/>
              </w:rPr>
            </w:pPr>
            <w:r w:rsidRPr="0074499E">
              <w:rPr>
                <w:color w:val="000000"/>
                <w:sz w:val="22"/>
                <w:szCs w:val="22"/>
              </w:rPr>
              <w:t>2,431</w:t>
            </w:r>
          </w:p>
        </w:tc>
      </w:tr>
      <w:tr w:rsidR="0074499E" w:rsidRPr="0074499E" w14:paraId="2F5C3D3E" w14:textId="77777777" w:rsidTr="004508A2">
        <w:trPr>
          <w:trHeight w:val="300"/>
        </w:trPr>
        <w:tc>
          <w:tcPr>
            <w:tcW w:w="1830" w:type="pct"/>
            <w:shd w:val="clear" w:color="auto" w:fill="auto"/>
            <w:noWrap/>
            <w:tcMar>
              <w:top w:w="0" w:type="dxa"/>
              <w:left w:w="108" w:type="dxa"/>
              <w:bottom w:w="0" w:type="dxa"/>
              <w:right w:w="108" w:type="dxa"/>
            </w:tcMar>
            <w:vAlign w:val="bottom"/>
          </w:tcPr>
          <w:p w14:paraId="6B2074B5" w14:textId="77777777" w:rsidR="0074499E" w:rsidRPr="0074499E" w:rsidRDefault="0074499E" w:rsidP="0074499E">
            <w:pPr>
              <w:rPr>
                <w:rFonts w:eastAsia="Calibri"/>
                <w:sz w:val="22"/>
                <w:szCs w:val="22"/>
              </w:rPr>
            </w:pPr>
            <w:r w:rsidRPr="0074499E">
              <w:rPr>
                <w:rFonts w:eastAsia="Calibri"/>
                <w:sz w:val="22"/>
                <w:szCs w:val="22"/>
              </w:rPr>
              <w:t xml:space="preserve">    Study Coordinator</w:t>
            </w:r>
          </w:p>
        </w:tc>
        <w:tc>
          <w:tcPr>
            <w:tcW w:w="623" w:type="pct"/>
            <w:shd w:val="clear" w:color="auto" w:fill="auto"/>
            <w:vAlign w:val="bottom"/>
          </w:tcPr>
          <w:p w14:paraId="572A27C8"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center"/>
          </w:tcPr>
          <w:p w14:paraId="07451062" w14:textId="77777777" w:rsidR="0074499E" w:rsidRPr="0074499E" w:rsidRDefault="0074499E" w:rsidP="0074499E">
            <w:pPr>
              <w:jc w:val="right"/>
              <w:rPr>
                <w:rFonts w:eastAsia="Calibri"/>
                <w:sz w:val="22"/>
                <w:szCs w:val="22"/>
              </w:rPr>
            </w:pPr>
            <w:r w:rsidRPr="0074499E">
              <w:rPr>
                <w:rFonts w:eastAsia="Calibri"/>
                <w:color w:val="000000"/>
                <w:sz w:val="22"/>
                <w:szCs w:val="22"/>
              </w:rPr>
              <w:t>73,320</w:t>
            </w:r>
          </w:p>
        </w:tc>
        <w:tc>
          <w:tcPr>
            <w:tcW w:w="571" w:type="pct"/>
            <w:shd w:val="clear" w:color="auto" w:fill="auto"/>
            <w:noWrap/>
            <w:tcMar>
              <w:top w:w="0" w:type="dxa"/>
              <w:left w:w="108" w:type="dxa"/>
              <w:bottom w:w="0" w:type="dxa"/>
              <w:right w:w="108" w:type="dxa"/>
            </w:tcMar>
            <w:vAlign w:val="center"/>
          </w:tcPr>
          <w:p w14:paraId="7F922237" w14:textId="77777777" w:rsidR="0074499E" w:rsidRPr="0074499E" w:rsidRDefault="0074499E" w:rsidP="0074499E">
            <w:pPr>
              <w:jc w:val="right"/>
              <w:rPr>
                <w:rFonts w:eastAsia="Calibri"/>
                <w:sz w:val="22"/>
                <w:szCs w:val="22"/>
              </w:rPr>
            </w:pPr>
            <w:r w:rsidRPr="0074499E">
              <w:rPr>
                <w:rFonts w:eastAsia="Calibri"/>
                <w:color w:val="000000"/>
                <w:sz w:val="22"/>
                <w:szCs w:val="22"/>
              </w:rPr>
              <w:t>0.225</w:t>
            </w:r>
          </w:p>
        </w:tc>
        <w:tc>
          <w:tcPr>
            <w:tcW w:w="519" w:type="pct"/>
            <w:shd w:val="clear" w:color="auto" w:fill="auto"/>
            <w:vAlign w:val="center"/>
          </w:tcPr>
          <w:p w14:paraId="2437950A" w14:textId="77777777" w:rsidR="0074499E" w:rsidRPr="0074499E" w:rsidRDefault="0074499E" w:rsidP="0074499E">
            <w:pPr>
              <w:jc w:val="right"/>
              <w:rPr>
                <w:rFonts w:eastAsia="Calibri"/>
                <w:sz w:val="22"/>
                <w:szCs w:val="22"/>
              </w:rPr>
            </w:pPr>
            <w:r w:rsidRPr="0074499E">
              <w:rPr>
                <w:color w:val="000000"/>
                <w:sz w:val="22"/>
                <w:szCs w:val="22"/>
              </w:rPr>
              <w:t>0.337</w:t>
            </w:r>
          </w:p>
        </w:tc>
        <w:tc>
          <w:tcPr>
            <w:tcW w:w="838" w:type="pct"/>
            <w:shd w:val="clear" w:color="auto" w:fill="auto"/>
            <w:vAlign w:val="bottom"/>
          </w:tcPr>
          <w:p w14:paraId="035D5A42" w14:textId="77777777" w:rsidR="0074499E" w:rsidRPr="0074499E" w:rsidRDefault="0074499E" w:rsidP="0074499E">
            <w:pPr>
              <w:jc w:val="right"/>
              <w:rPr>
                <w:rFonts w:eastAsia="Calibri"/>
                <w:sz w:val="22"/>
                <w:szCs w:val="22"/>
              </w:rPr>
            </w:pPr>
            <w:r w:rsidRPr="0074499E">
              <w:rPr>
                <w:color w:val="000000"/>
                <w:sz w:val="22"/>
                <w:szCs w:val="22"/>
              </w:rPr>
              <w:t>22,056</w:t>
            </w:r>
          </w:p>
        </w:tc>
      </w:tr>
      <w:tr w:rsidR="0074499E" w:rsidRPr="0074499E" w14:paraId="6D263517" w14:textId="77777777" w:rsidTr="004508A2">
        <w:trPr>
          <w:trHeight w:val="300"/>
        </w:trPr>
        <w:tc>
          <w:tcPr>
            <w:tcW w:w="1830" w:type="pct"/>
            <w:shd w:val="clear" w:color="auto" w:fill="auto"/>
            <w:noWrap/>
            <w:tcMar>
              <w:top w:w="0" w:type="dxa"/>
              <w:left w:w="108" w:type="dxa"/>
              <w:bottom w:w="0" w:type="dxa"/>
              <w:right w:w="108" w:type="dxa"/>
            </w:tcMar>
            <w:vAlign w:val="bottom"/>
          </w:tcPr>
          <w:p w14:paraId="00A62DE6" w14:textId="77777777" w:rsidR="0074499E" w:rsidRPr="0074499E" w:rsidRDefault="0074499E" w:rsidP="0074499E">
            <w:pPr>
              <w:rPr>
                <w:rFonts w:eastAsia="Calibri"/>
                <w:sz w:val="22"/>
                <w:szCs w:val="22"/>
              </w:rPr>
            </w:pPr>
            <w:r w:rsidRPr="0074499E">
              <w:rPr>
                <w:rFonts w:eastAsia="Calibri"/>
                <w:sz w:val="22"/>
                <w:szCs w:val="22"/>
              </w:rPr>
              <w:t xml:space="preserve">    Data Analyst</w:t>
            </w:r>
          </w:p>
        </w:tc>
        <w:tc>
          <w:tcPr>
            <w:tcW w:w="623" w:type="pct"/>
            <w:shd w:val="clear" w:color="auto" w:fill="auto"/>
            <w:vAlign w:val="bottom"/>
          </w:tcPr>
          <w:p w14:paraId="023B70C7"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center"/>
          </w:tcPr>
          <w:p w14:paraId="3D6239D1" w14:textId="77777777" w:rsidR="0074499E" w:rsidRPr="0074499E" w:rsidRDefault="0074499E" w:rsidP="0074499E">
            <w:pPr>
              <w:jc w:val="right"/>
              <w:rPr>
                <w:rFonts w:eastAsia="Calibri"/>
                <w:sz w:val="22"/>
                <w:szCs w:val="22"/>
              </w:rPr>
            </w:pPr>
            <w:r w:rsidRPr="0074499E">
              <w:rPr>
                <w:rFonts w:eastAsia="Calibri"/>
                <w:color w:val="000000"/>
                <w:sz w:val="22"/>
                <w:szCs w:val="22"/>
              </w:rPr>
              <w:t>67,122</w:t>
            </w:r>
          </w:p>
        </w:tc>
        <w:tc>
          <w:tcPr>
            <w:tcW w:w="571" w:type="pct"/>
            <w:shd w:val="clear" w:color="auto" w:fill="auto"/>
            <w:noWrap/>
            <w:tcMar>
              <w:top w:w="0" w:type="dxa"/>
              <w:left w:w="108" w:type="dxa"/>
              <w:bottom w:w="0" w:type="dxa"/>
              <w:right w:w="108" w:type="dxa"/>
            </w:tcMar>
            <w:vAlign w:val="center"/>
          </w:tcPr>
          <w:p w14:paraId="7C50DCC0" w14:textId="77777777" w:rsidR="0074499E" w:rsidRPr="0074499E" w:rsidRDefault="0074499E" w:rsidP="0074499E">
            <w:pPr>
              <w:jc w:val="right"/>
              <w:rPr>
                <w:rFonts w:eastAsia="Calibri"/>
                <w:sz w:val="22"/>
                <w:szCs w:val="22"/>
              </w:rPr>
            </w:pPr>
            <w:r w:rsidRPr="0074499E">
              <w:rPr>
                <w:rFonts w:eastAsia="Calibri"/>
                <w:color w:val="000000"/>
                <w:sz w:val="22"/>
                <w:szCs w:val="22"/>
              </w:rPr>
              <w:t>0.040</w:t>
            </w:r>
          </w:p>
        </w:tc>
        <w:tc>
          <w:tcPr>
            <w:tcW w:w="519" w:type="pct"/>
            <w:shd w:val="clear" w:color="auto" w:fill="auto"/>
            <w:vAlign w:val="center"/>
          </w:tcPr>
          <w:p w14:paraId="4531B0D4" w14:textId="77777777" w:rsidR="0074499E" w:rsidRPr="0074499E" w:rsidRDefault="0074499E" w:rsidP="0074499E">
            <w:pPr>
              <w:jc w:val="right"/>
              <w:rPr>
                <w:rFonts w:eastAsia="Calibri"/>
                <w:sz w:val="22"/>
                <w:szCs w:val="22"/>
              </w:rPr>
            </w:pPr>
            <w:r w:rsidRPr="0074499E">
              <w:rPr>
                <w:color w:val="000000"/>
                <w:sz w:val="22"/>
                <w:szCs w:val="22"/>
              </w:rPr>
              <w:t>0.337</w:t>
            </w:r>
          </w:p>
        </w:tc>
        <w:tc>
          <w:tcPr>
            <w:tcW w:w="838" w:type="pct"/>
            <w:shd w:val="clear" w:color="auto" w:fill="auto"/>
            <w:vAlign w:val="bottom"/>
          </w:tcPr>
          <w:p w14:paraId="1E599141" w14:textId="77777777" w:rsidR="0074499E" w:rsidRPr="0074499E" w:rsidRDefault="0074499E" w:rsidP="0074499E">
            <w:pPr>
              <w:jc w:val="right"/>
              <w:rPr>
                <w:rFonts w:eastAsia="Calibri"/>
                <w:sz w:val="22"/>
                <w:szCs w:val="22"/>
              </w:rPr>
            </w:pPr>
            <w:r w:rsidRPr="0074499E">
              <w:rPr>
                <w:color w:val="000000"/>
                <w:sz w:val="22"/>
                <w:szCs w:val="22"/>
              </w:rPr>
              <w:t>3,590</w:t>
            </w:r>
          </w:p>
        </w:tc>
      </w:tr>
      <w:tr w:rsidR="0074499E" w:rsidRPr="0074499E" w14:paraId="1EAD37F7" w14:textId="77777777" w:rsidTr="004508A2">
        <w:trPr>
          <w:trHeight w:val="300"/>
        </w:trPr>
        <w:tc>
          <w:tcPr>
            <w:tcW w:w="1830" w:type="pct"/>
            <w:shd w:val="clear" w:color="auto" w:fill="auto"/>
            <w:noWrap/>
            <w:tcMar>
              <w:top w:w="0" w:type="dxa"/>
              <w:left w:w="108" w:type="dxa"/>
              <w:bottom w:w="0" w:type="dxa"/>
              <w:right w:w="108" w:type="dxa"/>
            </w:tcMar>
            <w:vAlign w:val="bottom"/>
          </w:tcPr>
          <w:p w14:paraId="6DCFA252" w14:textId="77777777" w:rsidR="0074499E" w:rsidRPr="0074499E" w:rsidRDefault="0074499E" w:rsidP="0074499E">
            <w:pPr>
              <w:rPr>
                <w:rFonts w:eastAsia="Calibri"/>
                <w:sz w:val="22"/>
                <w:szCs w:val="22"/>
              </w:rPr>
            </w:pPr>
            <w:r w:rsidRPr="0074499E">
              <w:rPr>
                <w:rFonts w:eastAsia="Calibri"/>
                <w:b/>
                <w:sz w:val="22"/>
                <w:szCs w:val="22"/>
              </w:rPr>
              <w:t xml:space="preserve">    </w:t>
            </w:r>
            <w:r w:rsidRPr="0074499E">
              <w:rPr>
                <w:rFonts w:eastAsia="Calibri"/>
                <w:sz w:val="22"/>
                <w:szCs w:val="22"/>
              </w:rPr>
              <w:t>Interview Specialist</w:t>
            </w:r>
          </w:p>
        </w:tc>
        <w:tc>
          <w:tcPr>
            <w:tcW w:w="623" w:type="pct"/>
            <w:shd w:val="clear" w:color="auto" w:fill="auto"/>
            <w:vAlign w:val="bottom"/>
          </w:tcPr>
          <w:p w14:paraId="51932471"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center"/>
          </w:tcPr>
          <w:p w14:paraId="14E9D83F" w14:textId="77777777" w:rsidR="0074499E" w:rsidRPr="0074499E" w:rsidRDefault="0074499E" w:rsidP="0074499E">
            <w:pPr>
              <w:jc w:val="right"/>
              <w:rPr>
                <w:rFonts w:eastAsia="Calibri"/>
                <w:sz w:val="22"/>
                <w:szCs w:val="22"/>
              </w:rPr>
            </w:pPr>
            <w:r w:rsidRPr="0074499E">
              <w:rPr>
                <w:rFonts w:eastAsia="Calibri"/>
                <w:color w:val="000000"/>
                <w:sz w:val="22"/>
                <w:szCs w:val="22"/>
              </w:rPr>
              <w:t>45,828</w:t>
            </w:r>
          </w:p>
        </w:tc>
        <w:tc>
          <w:tcPr>
            <w:tcW w:w="571" w:type="pct"/>
            <w:shd w:val="clear" w:color="auto" w:fill="auto"/>
            <w:noWrap/>
            <w:tcMar>
              <w:top w:w="0" w:type="dxa"/>
              <w:left w:w="108" w:type="dxa"/>
              <w:bottom w:w="0" w:type="dxa"/>
              <w:right w:w="108" w:type="dxa"/>
            </w:tcMar>
            <w:vAlign w:val="center"/>
          </w:tcPr>
          <w:p w14:paraId="6A19B084" w14:textId="77777777" w:rsidR="0074499E" w:rsidRPr="0074499E" w:rsidRDefault="0074499E" w:rsidP="0074499E">
            <w:pPr>
              <w:jc w:val="right"/>
              <w:rPr>
                <w:rFonts w:eastAsia="Calibri"/>
                <w:sz w:val="22"/>
                <w:szCs w:val="22"/>
              </w:rPr>
            </w:pPr>
            <w:r w:rsidRPr="0074499E">
              <w:rPr>
                <w:rFonts w:eastAsia="Calibri"/>
                <w:color w:val="000000"/>
                <w:sz w:val="22"/>
                <w:szCs w:val="22"/>
              </w:rPr>
              <w:t>0.015</w:t>
            </w:r>
          </w:p>
        </w:tc>
        <w:tc>
          <w:tcPr>
            <w:tcW w:w="519" w:type="pct"/>
            <w:shd w:val="clear" w:color="auto" w:fill="auto"/>
            <w:vAlign w:val="center"/>
          </w:tcPr>
          <w:p w14:paraId="7695AAAA" w14:textId="77777777" w:rsidR="0074499E" w:rsidRPr="0074499E" w:rsidRDefault="0074499E" w:rsidP="0074499E">
            <w:pPr>
              <w:jc w:val="right"/>
              <w:rPr>
                <w:rFonts w:eastAsia="Calibri"/>
                <w:sz w:val="22"/>
                <w:szCs w:val="22"/>
              </w:rPr>
            </w:pPr>
            <w:r w:rsidRPr="0074499E">
              <w:rPr>
                <w:color w:val="000000"/>
                <w:sz w:val="22"/>
                <w:szCs w:val="22"/>
              </w:rPr>
              <w:t>0.079</w:t>
            </w:r>
          </w:p>
        </w:tc>
        <w:tc>
          <w:tcPr>
            <w:tcW w:w="838" w:type="pct"/>
            <w:shd w:val="clear" w:color="auto" w:fill="auto"/>
            <w:vAlign w:val="bottom"/>
          </w:tcPr>
          <w:p w14:paraId="66C13F7B" w14:textId="77777777" w:rsidR="0074499E" w:rsidRPr="0074499E" w:rsidRDefault="0074499E" w:rsidP="0074499E">
            <w:pPr>
              <w:jc w:val="right"/>
              <w:rPr>
                <w:rFonts w:eastAsia="Calibri"/>
                <w:sz w:val="22"/>
                <w:szCs w:val="22"/>
              </w:rPr>
            </w:pPr>
            <w:r w:rsidRPr="0074499E">
              <w:rPr>
                <w:color w:val="000000"/>
                <w:sz w:val="22"/>
                <w:szCs w:val="22"/>
              </w:rPr>
              <w:t>742</w:t>
            </w:r>
          </w:p>
        </w:tc>
      </w:tr>
      <w:tr w:rsidR="0074499E" w:rsidRPr="0074499E" w14:paraId="3A5E1201" w14:textId="77777777" w:rsidTr="004508A2">
        <w:trPr>
          <w:trHeight w:val="300"/>
        </w:trPr>
        <w:tc>
          <w:tcPr>
            <w:tcW w:w="1830" w:type="pct"/>
            <w:shd w:val="clear" w:color="auto" w:fill="auto"/>
            <w:noWrap/>
            <w:tcMar>
              <w:top w:w="0" w:type="dxa"/>
              <w:left w:w="108" w:type="dxa"/>
              <w:bottom w:w="0" w:type="dxa"/>
              <w:right w:w="108" w:type="dxa"/>
            </w:tcMar>
            <w:vAlign w:val="bottom"/>
          </w:tcPr>
          <w:p w14:paraId="7648AFE1" w14:textId="77777777" w:rsidR="0074499E" w:rsidRPr="0074499E" w:rsidRDefault="0074499E" w:rsidP="0074499E">
            <w:pPr>
              <w:rPr>
                <w:rFonts w:eastAsia="Calibri"/>
                <w:color w:val="1F497D"/>
                <w:sz w:val="22"/>
                <w:szCs w:val="22"/>
              </w:rPr>
            </w:pPr>
            <w:r w:rsidRPr="0074499E">
              <w:rPr>
                <w:rFonts w:eastAsia="Calibri"/>
                <w:sz w:val="22"/>
                <w:szCs w:val="22"/>
              </w:rPr>
              <w:t xml:space="preserve">    Student Workers</w:t>
            </w:r>
          </w:p>
        </w:tc>
        <w:tc>
          <w:tcPr>
            <w:tcW w:w="623" w:type="pct"/>
            <w:shd w:val="clear" w:color="auto" w:fill="auto"/>
            <w:vAlign w:val="bottom"/>
          </w:tcPr>
          <w:p w14:paraId="5D9050EF" w14:textId="77777777" w:rsidR="0074499E" w:rsidRPr="0074499E" w:rsidRDefault="0074499E" w:rsidP="0074499E">
            <w:pPr>
              <w:jc w:val="right"/>
              <w:rPr>
                <w:rFonts w:eastAsia="Calibri"/>
                <w:color w:val="000000"/>
                <w:sz w:val="22"/>
                <w:szCs w:val="22"/>
              </w:rPr>
            </w:pPr>
          </w:p>
        </w:tc>
        <w:tc>
          <w:tcPr>
            <w:tcW w:w="619" w:type="pct"/>
            <w:shd w:val="clear" w:color="auto" w:fill="auto"/>
            <w:noWrap/>
            <w:tcMar>
              <w:top w:w="0" w:type="dxa"/>
              <w:left w:w="108" w:type="dxa"/>
              <w:bottom w:w="0" w:type="dxa"/>
              <w:right w:w="108" w:type="dxa"/>
            </w:tcMar>
            <w:vAlign w:val="center"/>
          </w:tcPr>
          <w:p w14:paraId="047DC6F5" w14:textId="77777777" w:rsidR="0074499E" w:rsidRPr="0074499E" w:rsidRDefault="0074499E" w:rsidP="0074499E">
            <w:pPr>
              <w:jc w:val="right"/>
              <w:rPr>
                <w:rFonts w:eastAsia="Calibri"/>
                <w:sz w:val="22"/>
                <w:szCs w:val="22"/>
              </w:rPr>
            </w:pPr>
            <w:r w:rsidRPr="0074499E">
              <w:rPr>
                <w:rFonts w:eastAsia="Calibri"/>
                <w:color w:val="000000"/>
                <w:sz w:val="22"/>
                <w:szCs w:val="22"/>
              </w:rPr>
              <w:t>20,904</w:t>
            </w:r>
          </w:p>
        </w:tc>
        <w:tc>
          <w:tcPr>
            <w:tcW w:w="571" w:type="pct"/>
            <w:shd w:val="clear" w:color="auto" w:fill="auto"/>
            <w:noWrap/>
            <w:tcMar>
              <w:top w:w="0" w:type="dxa"/>
              <w:left w:w="108" w:type="dxa"/>
              <w:bottom w:w="0" w:type="dxa"/>
              <w:right w:w="108" w:type="dxa"/>
            </w:tcMar>
            <w:vAlign w:val="center"/>
          </w:tcPr>
          <w:p w14:paraId="68464838" w14:textId="77777777" w:rsidR="0074499E" w:rsidRPr="0074499E" w:rsidRDefault="0074499E" w:rsidP="0074499E">
            <w:pPr>
              <w:jc w:val="right"/>
              <w:rPr>
                <w:rFonts w:eastAsia="Calibri"/>
                <w:sz w:val="22"/>
                <w:szCs w:val="22"/>
              </w:rPr>
            </w:pPr>
            <w:r w:rsidRPr="0074499E">
              <w:rPr>
                <w:rFonts w:eastAsia="Calibri"/>
                <w:color w:val="000000"/>
                <w:sz w:val="22"/>
                <w:szCs w:val="22"/>
              </w:rPr>
              <w:t>0.075</w:t>
            </w:r>
          </w:p>
        </w:tc>
        <w:tc>
          <w:tcPr>
            <w:tcW w:w="519" w:type="pct"/>
            <w:shd w:val="clear" w:color="auto" w:fill="auto"/>
            <w:vAlign w:val="center"/>
          </w:tcPr>
          <w:p w14:paraId="6B4D746B" w14:textId="77777777" w:rsidR="0074499E" w:rsidRPr="0074499E" w:rsidRDefault="0074499E" w:rsidP="0074499E">
            <w:pPr>
              <w:jc w:val="right"/>
              <w:rPr>
                <w:rFonts w:eastAsia="Calibri"/>
                <w:sz w:val="22"/>
                <w:szCs w:val="22"/>
              </w:rPr>
            </w:pPr>
            <w:r w:rsidRPr="0074499E">
              <w:rPr>
                <w:color w:val="000000"/>
                <w:sz w:val="22"/>
                <w:szCs w:val="22"/>
              </w:rPr>
              <w:t>0.000</w:t>
            </w:r>
          </w:p>
        </w:tc>
        <w:tc>
          <w:tcPr>
            <w:tcW w:w="838" w:type="pct"/>
            <w:shd w:val="clear" w:color="auto" w:fill="auto"/>
            <w:vAlign w:val="bottom"/>
          </w:tcPr>
          <w:p w14:paraId="1578122D" w14:textId="77777777" w:rsidR="0074499E" w:rsidRPr="0074499E" w:rsidRDefault="0074499E" w:rsidP="0074499E">
            <w:pPr>
              <w:jc w:val="right"/>
              <w:rPr>
                <w:rFonts w:eastAsia="Calibri"/>
                <w:sz w:val="22"/>
                <w:szCs w:val="22"/>
              </w:rPr>
            </w:pPr>
            <w:r w:rsidRPr="0074499E">
              <w:rPr>
                <w:color w:val="000000"/>
                <w:sz w:val="22"/>
                <w:szCs w:val="22"/>
              </w:rPr>
              <w:t>1,568</w:t>
            </w:r>
          </w:p>
        </w:tc>
      </w:tr>
      <w:tr w:rsidR="0074499E" w:rsidRPr="0074499E" w14:paraId="22FBE3F5" w14:textId="77777777" w:rsidTr="004508A2">
        <w:trPr>
          <w:trHeight w:val="300"/>
        </w:trPr>
        <w:tc>
          <w:tcPr>
            <w:tcW w:w="1830" w:type="pct"/>
            <w:shd w:val="clear" w:color="auto" w:fill="auto"/>
            <w:noWrap/>
            <w:tcMar>
              <w:top w:w="0" w:type="dxa"/>
              <w:left w:w="108" w:type="dxa"/>
              <w:bottom w:w="0" w:type="dxa"/>
              <w:right w:w="108" w:type="dxa"/>
            </w:tcMar>
            <w:vAlign w:val="bottom"/>
          </w:tcPr>
          <w:p w14:paraId="45E5790B" w14:textId="77777777" w:rsidR="0074499E" w:rsidRPr="0074499E" w:rsidRDefault="0074499E" w:rsidP="0074499E">
            <w:pPr>
              <w:rPr>
                <w:rFonts w:eastAsia="Calibri"/>
                <w:bCs/>
                <w:color w:val="000000"/>
                <w:sz w:val="22"/>
                <w:szCs w:val="22"/>
              </w:rPr>
            </w:pPr>
            <w:r w:rsidRPr="0074499E">
              <w:rPr>
                <w:rFonts w:eastAsia="Calibri"/>
                <w:bCs/>
                <w:color w:val="000000"/>
                <w:sz w:val="22"/>
                <w:szCs w:val="22"/>
              </w:rPr>
              <w:t xml:space="preserve">    Other Direct</w:t>
            </w:r>
          </w:p>
        </w:tc>
        <w:tc>
          <w:tcPr>
            <w:tcW w:w="623" w:type="pct"/>
            <w:shd w:val="clear" w:color="auto" w:fill="auto"/>
          </w:tcPr>
          <w:p w14:paraId="0F617C2E"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29E5BABE"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6D39D02E" w14:textId="77777777" w:rsidR="0074499E" w:rsidRPr="0074499E" w:rsidRDefault="0074499E" w:rsidP="0074499E">
            <w:pPr>
              <w:jc w:val="right"/>
              <w:rPr>
                <w:rFonts w:eastAsia="Calibri"/>
                <w:b/>
                <w:sz w:val="22"/>
                <w:szCs w:val="22"/>
              </w:rPr>
            </w:pPr>
          </w:p>
        </w:tc>
        <w:tc>
          <w:tcPr>
            <w:tcW w:w="519" w:type="pct"/>
            <w:shd w:val="clear" w:color="auto" w:fill="auto"/>
          </w:tcPr>
          <w:p w14:paraId="5DF467A6" w14:textId="77777777" w:rsidR="0074499E" w:rsidRPr="0074499E" w:rsidRDefault="0074499E" w:rsidP="0074499E">
            <w:pPr>
              <w:jc w:val="right"/>
              <w:rPr>
                <w:rFonts w:eastAsia="Calibri"/>
                <w:b/>
                <w:sz w:val="22"/>
                <w:szCs w:val="22"/>
              </w:rPr>
            </w:pPr>
          </w:p>
        </w:tc>
        <w:tc>
          <w:tcPr>
            <w:tcW w:w="838" w:type="pct"/>
            <w:shd w:val="clear" w:color="auto" w:fill="auto"/>
          </w:tcPr>
          <w:p w14:paraId="04393D93" w14:textId="77777777" w:rsidR="0074499E" w:rsidRPr="0074499E" w:rsidRDefault="0074499E" w:rsidP="0074499E">
            <w:pPr>
              <w:jc w:val="right"/>
              <w:rPr>
                <w:rFonts w:eastAsia="Calibri"/>
                <w:sz w:val="22"/>
                <w:szCs w:val="22"/>
              </w:rPr>
            </w:pPr>
            <w:r w:rsidRPr="0074499E">
              <w:rPr>
                <w:rFonts w:eastAsia="Calibri"/>
                <w:sz w:val="22"/>
                <w:szCs w:val="22"/>
              </w:rPr>
              <w:t>929</w:t>
            </w:r>
          </w:p>
        </w:tc>
      </w:tr>
      <w:tr w:rsidR="0074499E" w:rsidRPr="0074499E" w14:paraId="387BFAC9" w14:textId="77777777" w:rsidTr="004508A2">
        <w:trPr>
          <w:trHeight w:val="300"/>
        </w:trPr>
        <w:tc>
          <w:tcPr>
            <w:tcW w:w="1830" w:type="pct"/>
            <w:shd w:val="clear" w:color="auto" w:fill="auto"/>
            <w:noWrap/>
            <w:tcMar>
              <w:top w:w="0" w:type="dxa"/>
              <w:left w:w="108" w:type="dxa"/>
              <w:bottom w:w="0" w:type="dxa"/>
              <w:right w:w="108" w:type="dxa"/>
            </w:tcMar>
            <w:vAlign w:val="bottom"/>
          </w:tcPr>
          <w:p w14:paraId="3464E048" w14:textId="77777777" w:rsidR="0074499E" w:rsidRPr="0074499E" w:rsidRDefault="0074499E" w:rsidP="0074499E">
            <w:pPr>
              <w:rPr>
                <w:rFonts w:eastAsia="Calibri"/>
                <w:bCs/>
                <w:color w:val="000000"/>
                <w:sz w:val="22"/>
                <w:szCs w:val="22"/>
              </w:rPr>
            </w:pPr>
            <w:r w:rsidRPr="0074499E">
              <w:rPr>
                <w:rFonts w:eastAsia="Calibri"/>
                <w:bCs/>
                <w:color w:val="000000"/>
                <w:sz w:val="22"/>
                <w:szCs w:val="22"/>
              </w:rPr>
              <w:t xml:space="preserve">    G&amp;A (52%)</w:t>
            </w:r>
          </w:p>
        </w:tc>
        <w:tc>
          <w:tcPr>
            <w:tcW w:w="623" w:type="pct"/>
            <w:shd w:val="clear" w:color="auto" w:fill="auto"/>
          </w:tcPr>
          <w:p w14:paraId="1CFCFF6D"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30DFC733"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13E9B7C3" w14:textId="77777777" w:rsidR="0074499E" w:rsidRPr="0074499E" w:rsidRDefault="0074499E" w:rsidP="0074499E">
            <w:pPr>
              <w:jc w:val="right"/>
              <w:rPr>
                <w:rFonts w:eastAsia="Calibri"/>
                <w:b/>
                <w:sz w:val="22"/>
                <w:szCs w:val="22"/>
              </w:rPr>
            </w:pPr>
          </w:p>
        </w:tc>
        <w:tc>
          <w:tcPr>
            <w:tcW w:w="519" w:type="pct"/>
            <w:shd w:val="clear" w:color="auto" w:fill="auto"/>
          </w:tcPr>
          <w:p w14:paraId="083B6B37" w14:textId="77777777" w:rsidR="0074499E" w:rsidRPr="0074499E" w:rsidRDefault="0074499E" w:rsidP="0074499E">
            <w:pPr>
              <w:jc w:val="right"/>
              <w:rPr>
                <w:rFonts w:eastAsia="Calibri"/>
                <w:b/>
                <w:sz w:val="22"/>
                <w:szCs w:val="22"/>
              </w:rPr>
            </w:pPr>
          </w:p>
        </w:tc>
        <w:tc>
          <w:tcPr>
            <w:tcW w:w="838" w:type="pct"/>
            <w:shd w:val="clear" w:color="auto" w:fill="auto"/>
          </w:tcPr>
          <w:p w14:paraId="6A8CD95F" w14:textId="77777777" w:rsidR="0074499E" w:rsidRPr="0074499E" w:rsidRDefault="0074499E" w:rsidP="0074499E">
            <w:pPr>
              <w:jc w:val="right"/>
              <w:rPr>
                <w:rFonts w:eastAsia="Calibri"/>
                <w:sz w:val="22"/>
                <w:szCs w:val="22"/>
              </w:rPr>
            </w:pPr>
            <w:r w:rsidRPr="0074499E">
              <w:rPr>
                <w:rFonts w:eastAsia="Calibri"/>
                <w:sz w:val="22"/>
                <w:szCs w:val="22"/>
              </w:rPr>
              <w:t>16,921</w:t>
            </w:r>
          </w:p>
        </w:tc>
      </w:tr>
      <w:tr w:rsidR="0074499E" w:rsidRPr="0074499E" w14:paraId="375867F3" w14:textId="77777777" w:rsidTr="004508A2">
        <w:trPr>
          <w:trHeight w:val="300"/>
        </w:trPr>
        <w:tc>
          <w:tcPr>
            <w:tcW w:w="1830" w:type="pct"/>
            <w:shd w:val="clear" w:color="auto" w:fill="auto"/>
            <w:noWrap/>
            <w:tcMar>
              <w:top w:w="0" w:type="dxa"/>
              <w:left w:w="108" w:type="dxa"/>
              <w:bottom w:w="0" w:type="dxa"/>
              <w:right w:w="108" w:type="dxa"/>
            </w:tcMar>
            <w:vAlign w:val="bottom"/>
          </w:tcPr>
          <w:p w14:paraId="0750D2BB" w14:textId="77777777" w:rsidR="0074499E" w:rsidRPr="0074499E" w:rsidRDefault="0074499E" w:rsidP="0074499E">
            <w:pPr>
              <w:rPr>
                <w:rFonts w:eastAsia="Calibri"/>
                <w:b/>
                <w:sz w:val="22"/>
                <w:szCs w:val="22"/>
              </w:rPr>
            </w:pPr>
            <w:r w:rsidRPr="0074499E">
              <w:rPr>
                <w:rFonts w:eastAsia="Calibri"/>
                <w:b/>
                <w:sz w:val="22"/>
                <w:szCs w:val="22"/>
              </w:rPr>
              <w:t xml:space="preserve">    Sub-total</w:t>
            </w:r>
          </w:p>
        </w:tc>
        <w:tc>
          <w:tcPr>
            <w:tcW w:w="623" w:type="pct"/>
            <w:shd w:val="clear" w:color="auto" w:fill="auto"/>
          </w:tcPr>
          <w:p w14:paraId="42B0FE04"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1B0DAE21"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76DDF72F" w14:textId="77777777" w:rsidR="0074499E" w:rsidRPr="0074499E" w:rsidRDefault="0074499E" w:rsidP="0074499E">
            <w:pPr>
              <w:jc w:val="right"/>
              <w:rPr>
                <w:rFonts w:eastAsia="Calibri"/>
                <w:b/>
                <w:sz w:val="22"/>
                <w:szCs w:val="22"/>
              </w:rPr>
            </w:pPr>
          </w:p>
        </w:tc>
        <w:tc>
          <w:tcPr>
            <w:tcW w:w="519" w:type="pct"/>
            <w:shd w:val="clear" w:color="auto" w:fill="auto"/>
          </w:tcPr>
          <w:p w14:paraId="3C60C60D" w14:textId="77777777" w:rsidR="0074499E" w:rsidRPr="0074499E" w:rsidRDefault="0074499E" w:rsidP="0074499E">
            <w:pPr>
              <w:jc w:val="right"/>
              <w:rPr>
                <w:rFonts w:eastAsia="Calibri"/>
                <w:b/>
                <w:sz w:val="22"/>
                <w:szCs w:val="22"/>
              </w:rPr>
            </w:pPr>
          </w:p>
        </w:tc>
        <w:tc>
          <w:tcPr>
            <w:tcW w:w="838" w:type="pct"/>
            <w:shd w:val="clear" w:color="auto" w:fill="auto"/>
          </w:tcPr>
          <w:p w14:paraId="679AC3DA" w14:textId="77777777" w:rsidR="0074499E" w:rsidRPr="0074499E" w:rsidRDefault="0074499E" w:rsidP="0074499E">
            <w:pPr>
              <w:jc w:val="right"/>
              <w:rPr>
                <w:rFonts w:eastAsia="Calibri"/>
                <w:b/>
                <w:sz w:val="22"/>
                <w:szCs w:val="22"/>
              </w:rPr>
            </w:pPr>
            <w:r w:rsidRPr="0074499E">
              <w:rPr>
                <w:rFonts w:eastAsia="Calibri"/>
                <w:b/>
                <w:sz w:val="22"/>
                <w:szCs w:val="22"/>
              </w:rPr>
              <w:t>49,462</w:t>
            </w:r>
          </w:p>
        </w:tc>
      </w:tr>
      <w:tr w:rsidR="0074499E" w:rsidRPr="0074499E" w14:paraId="3CD2E7EB" w14:textId="77777777" w:rsidTr="004508A2">
        <w:trPr>
          <w:trHeight w:val="300"/>
        </w:trPr>
        <w:tc>
          <w:tcPr>
            <w:tcW w:w="1830" w:type="pct"/>
            <w:shd w:val="clear" w:color="auto" w:fill="auto"/>
            <w:noWrap/>
            <w:tcMar>
              <w:top w:w="0" w:type="dxa"/>
              <w:left w:w="108" w:type="dxa"/>
              <w:bottom w:w="0" w:type="dxa"/>
              <w:right w:w="108" w:type="dxa"/>
            </w:tcMar>
            <w:vAlign w:val="bottom"/>
          </w:tcPr>
          <w:p w14:paraId="5598A261" w14:textId="77777777" w:rsidR="0074499E" w:rsidRPr="0074499E" w:rsidRDefault="0074499E" w:rsidP="0074499E">
            <w:pPr>
              <w:rPr>
                <w:rFonts w:eastAsia="Calibri"/>
                <w:b/>
                <w:sz w:val="22"/>
                <w:szCs w:val="22"/>
              </w:rPr>
            </w:pPr>
          </w:p>
        </w:tc>
        <w:tc>
          <w:tcPr>
            <w:tcW w:w="623" w:type="pct"/>
            <w:shd w:val="clear" w:color="auto" w:fill="auto"/>
          </w:tcPr>
          <w:p w14:paraId="5B9A398E"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469EE004"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5804D4B7" w14:textId="77777777" w:rsidR="0074499E" w:rsidRPr="0074499E" w:rsidRDefault="0074499E" w:rsidP="0074499E">
            <w:pPr>
              <w:jc w:val="right"/>
              <w:rPr>
                <w:rFonts w:eastAsia="Calibri"/>
                <w:b/>
                <w:sz w:val="22"/>
                <w:szCs w:val="22"/>
              </w:rPr>
            </w:pPr>
          </w:p>
        </w:tc>
        <w:tc>
          <w:tcPr>
            <w:tcW w:w="519" w:type="pct"/>
            <w:shd w:val="clear" w:color="auto" w:fill="auto"/>
          </w:tcPr>
          <w:p w14:paraId="4C615376" w14:textId="77777777" w:rsidR="0074499E" w:rsidRPr="0074499E" w:rsidRDefault="0074499E" w:rsidP="0074499E">
            <w:pPr>
              <w:jc w:val="right"/>
              <w:rPr>
                <w:rFonts w:eastAsia="Calibri"/>
                <w:b/>
                <w:sz w:val="22"/>
                <w:szCs w:val="22"/>
              </w:rPr>
            </w:pPr>
          </w:p>
        </w:tc>
        <w:tc>
          <w:tcPr>
            <w:tcW w:w="838" w:type="pct"/>
            <w:shd w:val="clear" w:color="auto" w:fill="auto"/>
          </w:tcPr>
          <w:p w14:paraId="4CCBADAF" w14:textId="77777777" w:rsidR="0074499E" w:rsidRPr="0074499E" w:rsidRDefault="0074499E" w:rsidP="0074499E">
            <w:pPr>
              <w:jc w:val="right"/>
              <w:rPr>
                <w:rFonts w:eastAsia="Calibri"/>
                <w:b/>
                <w:sz w:val="22"/>
                <w:szCs w:val="22"/>
              </w:rPr>
            </w:pPr>
          </w:p>
        </w:tc>
      </w:tr>
      <w:tr w:rsidR="0074499E" w:rsidRPr="0074499E" w14:paraId="76BD9EC2" w14:textId="77777777" w:rsidTr="004508A2">
        <w:trPr>
          <w:trHeight w:val="300"/>
        </w:trPr>
        <w:tc>
          <w:tcPr>
            <w:tcW w:w="1830" w:type="pct"/>
            <w:shd w:val="clear" w:color="auto" w:fill="auto"/>
            <w:noWrap/>
            <w:tcMar>
              <w:top w:w="0" w:type="dxa"/>
              <w:left w:w="108" w:type="dxa"/>
              <w:bottom w:w="0" w:type="dxa"/>
              <w:right w:w="108" w:type="dxa"/>
            </w:tcMar>
            <w:vAlign w:val="bottom"/>
          </w:tcPr>
          <w:p w14:paraId="0217F7F1" w14:textId="77777777" w:rsidR="0074499E" w:rsidRPr="0074499E" w:rsidRDefault="0074499E" w:rsidP="0074499E">
            <w:pPr>
              <w:rPr>
                <w:rFonts w:eastAsia="Calibri"/>
                <w:b/>
                <w:sz w:val="22"/>
                <w:szCs w:val="22"/>
              </w:rPr>
            </w:pPr>
            <w:r w:rsidRPr="0074499E">
              <w:rPr>
                <w:rFonts w:eastAsia="Calibri"/>
                <w:b/>
                <w:sz w:val="22"/>
                <w:szCs w:val="22"/>
              </w:rPr>
              <w:t xml:space="preserve">  Social &amp; Scientific Systems</w:t>
            </w:r>
          </w:p>
        </w:tc>
        <w:tc>
          <w:tcPr>
            <w:tcW w:w="623" w:type="pct"/>
            <w:shd w:val="clear" w:color="auto" w:fill="auto"/>
          </w:tcPr>
          <w:p w14:paraId="6C8F9CA9"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5C79DD81"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4A339406" w14:textId="77777777" w:rsidR="0074499E" w:rsidRPr="0074499E" w:rsidRDefault="0074499E" w:rsidP="0074499E">
            <w:pPr>
              <w:jc w:val="right"/>
              <w:rPr>
                <w:rFonts w:eastAsia="Calibri"/>
                <w:b/>
                <w:sz w:val="22"/>
                <w:szCs w:val="22"/>
              </w:rPr>
            </w:pPr>
          </w:p>
        </w:tc>
        <w:tc>
          <w:tcPr>
            <w:tcW w:w="519" w:type="pct"/>
            <w:shd w:val="clear" w:color="auto" w:fill="auto"/>
          </w:tcPr>
          <w:p w14:paraId="37C2952E" w14:textId="77777777" w:rsidR="0074499E" w:rsidRPr="0074499E" w:rsidRDefault="0074499E" w:rsidP="0074499E">
            <w:pPr>
              <w:jc w:val="right"/>
              <w:rPr>
                <w:rFonts w:eastAsia="Calibri"/>
                <w:b/>
                <w:sz w:val="22"/>
                <w:szCs w:val="22"/>
              </w:rPr>
            </w:pPr>
          </w:p>
        </w:tc>
        <w:tc>
          <w:tcPr>
            <w:tcW w:w="838" w:type="pct"/>
            <w:shd w:val="clear" w:color="auto" w:fill="auto"/>
          </w:tcPr>
          <w:p w14:paraId="3EE1C7DF" w14:textId="77777777" w:rsidR="0074499E" w:rsidRPr="0074499E" w:rsidRDefault="0074499E" w:rsidP="0074499E">
            <w:pPr>
              <w:jc w:val="right"/>
              <w:rPr>
                <w:rFonts w:eastAsia="Calibri"/>
                <w:sz w:val="22"/>
                <w:szCs w:val="22"/>
              </w:rPr>
            </w:pPr>
          </w:p>
        </w:tc>
      </w:tr>
      <w:tr w:rsidR="0074499E" w:rsidRPr="0074499E" w14:paraId="0F76EEF9" w14:textId="77777777" w:rsidTr="004508A2">
        <w:trPr>
          <w:trHeight w:val="300"/>
        </w:trPr>
        <w:tc>
          <w:tcPr>
            <w:tcW w:w="1830" w:type="pct"/>
            <w:shd w:val="clear" w:color="auto" w:fill="auto"/>
            <w:noWrap/>
            <w:tcMar>
              <w:top w:w="0" w:type="dxa"/>
              <w:left w:w="108" w:type="dxa"/>
              <w:bottom w:w="0" w:type="dxa"/>
              <w:right w:w="108" w:type="dxa"/>
            </w:tcMar>
            <w:vAlign w:val="center"/>
          </w:tcPr>
          <w:p w14:paraId="63807621" w14:textId="77777777" w:rsidR="0074499E" w:rsidRPr="0074499E" w:rsidRDefault="0074499E" w:rsidP="0074499E">
            <w:pPr>
              <w:rPr>
                <w:rFonts w:eastAsia="Calibri"/>
                <w:sz w:val="22"/>
                <w:szCs w:val="22"/>
              </w:rPr>
            </w:pPr>
            <w:r w:rsidRPr="0074499E">
              <w:rPr>
                <w:rFonts w:eastAsia="Calibri"/>
                <w:sz w:val="22"/>
                <w:szCs w:val="22"/>
              </w:rPr>
              <w:t xml:space="preserve">    Study Manager</w:t>
            </w:r>
          </w:p>
        </w:tc>
        <w:tc>
          <w:tcPr>
            <w:tcW w:w="623" w:type="pct"/>
            <w:shd w:val="clear" w:color="auto" w:fill="auto"/>
            <w:vAlign w:val="center"/>
          </w:tcPr>
          <w:p w14:paraId="5240C15B"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tcPr>
          <w:p w14:paraId="19469315" w14:textId="77777777" w:rsidR="0074499E" w:rsidRPr="0074499E" w:rsidRDefault="0074499E" w:rsidP="0074499E">
            <w:pPr>
              <w:jc w:val="right"/>
              <w:rPr>
                <w:rFonts w:eastAsia="Calibri"/>
                <w:sz w:val="22"/>
                <w:szCs w:val="22"/>
              </w:rPr>
            </w:pPr>
            <w:r w:rsidRPr="0074499E">
              <w:rPr>
                <w:sz w:val="22"/>
                <w:szCs w:val="22"/>
              </w:rPr>
              <w:t>91,500</w:t>
            </w:r>
          </w:p>
        </w:tc>
        <w:tc>
          <w:tcPr>
            <w:tcW w:w="571" w:type="pct"/>
            <w:shd w:val="clear" w:color="auto" w:fill="auto"/>
            <w:noWrap/>
            <w:tcMar>
              <w:top w:w="0" w:type="dxa"/>
              <w:left w:w="108" w:type="dxa"/>
              <w:bottom w:w="0" w:type="dxa"/>
              <w:right w:w="108" w:type="dxa"/>
            </w:tcMar>
            <w:vAlign w:val="center"/>
          </w:tcPr>
          <w:p w14:paraId="438549FF" w14:textId="77777777" w:rsidR="0074499E" w:rsidRPr="0074499E" w:rsidRDefault="0074499E" w:rsidP="0074499E">
            <w:pPr>
              <w:jc w:val="right"/>
              <w:rPr>
                <w:rFonts w:eastAsia="Calibri"/>
                <w:sz w:val="22"/>
                <w:szCs w:val="22"/>
              </w:rPr>
            </w:pPr>
            <w:r w:rsidRPr="0074499E">
              <w:rPr>
                <w:rFonts w:eastAsia="Calibri"/>
                <w:color w:val="000000"/>
                <w:sz w:val="22"/>
                <w:szCs w:val="22"/>
              </w:rPr>
              <w:t>0.030</w:t>
            </w:r>
          </w:p>
        </w:tc>
        <w:tc>
          <w:tcPr>
            <w:tcW w:w="519" w:type="pct"/>
            <w:shd w:val="clear" w:color="auto" w:fill="auto"/>
          </w:tcPr>
          <w:p w14:paraId="6B748C68" w14:textId="77777777" w:rsidR="0074499E" w:rsidRPr="0074499E" w:rsidRDefault="0074499E" w:rsidP="0074499E">
            <w:pPr>
              <w:jc w:val="right"/>
              <w:rPr>
                <w:rFonts w:eastAsia="Calibri"/>
                <w:sz w:val="22"/>
                <w:szCs w:val="22"/>
              </w:rPr>
            </w:pPr>
            <w:r w:rsidRPr="0074499E">
              <w:rPr>
                <w:rFonts w:eastAsia="Calibri"/>
                <w:sz w:val="22"/>
                <w:szCs w:val="22"/>
              </w:rPr>
              <w:t>0</w:t>
            </w:r>
          </w:p>
        </w:tc>
        <w:tc>
          <w:tcPr>
            <w:tcW w:w="838" w:type="pct"/>
            <w:shd w:val="clear" w:color="auto" w:fill="auto"/>
            <w:vAlign w:val="bottom"/>
          </w:tcPr>
          <w:p w14:paraId="713B6AA3" w14:textId="77777777" w:rsidR="0074499E" w:rsidRPr="0074499E" w:rsidRDefault="0074499E" w:rsidP="0074499E">
            <w:pPr>
              <w:jc w:val="right"/>
              <w:rPr>
                <w:rFonts w:eastAsia="Calibri"/>
                <w:sz w:val="22"/>
                <w:szCs w:val="22"/>
              </w:rPr>
            </w:pPr>
            <w:r w:rsidRPr="0074499E">
              <w:rPr>
                <w:color w:val="000000"/>
                <w:sz w:val="22"/>
                <w:szCs w:val="22"/>
              </w:rPr>
              <w:t>2,745</w:t>
            </w:r>
          </w:p>
        </w:tc>
      </w:tr>
      <w:tr w:rsidR="0074499E" w:rsidRPr="0074499E" w14:paraId="6716D900" w14:textId="77777777" w:rsidTr="004508A2">
        <w:trPr>
          <w:trHeight w:val="300"/>
        </w:trPr>
        <w:tc>
          <w:tcPr>
            <w:tcW w:w="1830" w:type="pct"/>
            <w:shd w:val="clear" w:color="auto" w:fill="auto"/>
            <w:noWrap/>
            <w:tcMar>
              <w:top w:w="0" w:type="dxa"/>
              <w:left w:w="108" w:type="dxa"/>
              <w:bottom w:w="0" w:type="dxa"/>
              <w:right w:w="108" w:type="dxa"/>
            </w:tcMar>
            <w:vAlign w:val="center"/>
          </w:tcPr>
          <w:p w14:paraId="60BA6E64" w14:textId="77777777" w:rsidR="0074499E" w:rsidRPr="0074499E" w:rsidRDefault="0074499E" w:rsidP="0074499E">
            <w:pPr>
              <w:rPr>
                <w:rFonts w:eastAsia="Calibri"/>
                <w:sz w:val="22"/>
                <w:szCs w:val="22"/>
              </w:rPr>
            </w:pPr>
            <w:r w:rsidRPr="0074499E">
              <w:rPr>
                <w:rFonts w:eastAsia="Calibri"/>
                <w:sz w:val="22"/>
                <w:szCs w:val="22"/>
              </w:rPr>
              <w:t xml:space="preserve">    Data Manager</w:t>
            </w:r>
          </w:p>
        </w:tc>
        <w:tc>
          <w:tcPr>
            <w:tcW w:w="623" w:type="pct"/>
            <w:shd w:val="clear" w:color="auto" w:fill="auto"/>
            <w:vAlign w:val="center"/>
          </w:tcPr>
          <w:p w14:paraId="6B29EB69"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tcPr>
          <w:p w14:paraId="4239095D" w14:textId="77777777" w:rsidR="0074499E" w:rsidRPr="0074499E" w:rsidRDefault="0074499E" w:rsidP="0074499E">
            <w:pPr>
              <w:jc w:val="right"/>
              <w:rPr>
                <w:rFonts w:eastAsia="Calibri"/>
                <w:sz w:val="22"/>
                <w:szCs w:val="22"/>
              </w:rPr>
            </w:pPr>
            <w:r w:rsidRPr="0074499E">
              <w:rPr>
                <w:sz w:val="22"/>
                <w:szCs w:val="22"/>
              </w:rPr>
              <w:t>75,800</w:t>
            </w:r>
          </w:p>
        </w:tc>
        <w:tc>
          <w:tcPr>
            <w:tcW w:w="571" w:type="pct"/>
            <w:shd w:val="clear" w:color="auto" w:fill="auto"/>
            <w:noWrap/>
            <w:tcMar>
              <w:top w:w="0" w:type="dxa"/>
              <w:left w:w="108" w:type="dxa"/>
              <w:bottom w:w="0" w:type="dxa"/>
              <w:right w:w="108" w:type="dxa"/>
            </w:tcMar>
            <w:vAlign w:val="center"/>
          </w:tcPr>
          <w:p w14:paraId="2129161F" w14:textId="77777777" w:rsidR="0074499E" w:rsidRPr="0074499E" w:rsidRDefault="0074499E" w:rsidP="0074499E">
            <w:pPr>
              <w:jc w:val="right"/>
              <w:rPr>
                <w:rFonts w:eastAsia="Calibri"/>
                <w:sz w:val="22"/>
                <w:szCs w:val="22"/>
              </w:rPr>
            </w:pPr>
            <w:r w:rsidRPr="0074499E">
              <w:rPr>
                <w:color w:val="000000"/>
                <w:sz w:val="22"/>
                <w:szCs w:val="22"/>
              </w:rPr>
              <w:t>0.040</w:t>
            </w:r>
          </w:p>
        </w:tc>
        <w:tc>
          <w:tcPr>
            <w:tcW w:w="519" w:type="pct"/>
            <w:shd w:val="clear" w:color="auto" w:fill="auto"/>
          </w:tcPr>
          <w:p w14:paraId="404254DD" w14:textId="77777777" w:rsidR="0074499E" w:rsidRPr="0074499E" w:rsidRDefault="0074499E" w:rsidP="0074499E">
            <w:pPr>
              <w:jc w:val="right"/>
              <w:rPr>
                <w:rFonts w:eastAsia="Calibri"/>
                <w:sz w:val="22"/>
                <w:szCs w:val="22"/>
              </w:rPr>
            </w:pPr>
            <w:r w:rsidRPr="0074499E">
              <w:rPr>
                <w:rFonts w:eastAsia="Calibri"/>
                <w:sz w:val="22"/>
                <w:szCs w:val="22"/>
              </w:rPr>
              <w:t>0</w:t>
            </w:r>
          </w:p>
        </w:tc>
        <w:tc>
          <w:tcPr>
            <w:tcW w:w="838" w:type="pct"/>
            <w:shd w:val="clear" w:color="auto" w:fill="auto"/>
            <w:vAlign w:val="bottom"/>
          </w:tcPr>
          <w:p w14:paraId="4BBE8591" w14:textId="77777777" w:rsidR="0074499E" w:rsidRPr="0074499E" w:rsidRDefault="0074499E" w:rsidP="0074499E">
            <w:pPr>
              <w:jc w:val="right"/>
              <w:rPr>
                <w:rFonts w:eastAsia="Calibri"/>
                <w:sz w:val="22"/>
                <w:szCs w:val="22"/>
              </w:rPr>
            </w:pPr>
            <w:r w:rsidRPr="0074499E">
              <w:rPr>
                <w:color w:val="000000"/>
                <w:sz w:val="22"/>
                <w:szCs w:val="22"/>
              </w:rPr>
              <w:t>3,032</w:t>
            </w:r>
          </w:p>
        </w:tc>
      </w:tr>
      <w:tr w:rsidR="0074499E" w:rsidRPr="0074499E" w14:paraId="4E6DCEF2" w14:textId="77777777" w:rsidTr="004508A2">
        <w:trPr>
          <w:trHeight w:val="300"/>
        </w:trPr>
        <w:tc>
          <w:tcPr>
            <w:tcW w:w="1830" w:type="pct"/>
            <w:shd w:val="clear" w:color="auto" w:fill="auto"/>
            <w:noWrap/>
            <w:tcMar>
              <w:top w:w="0" w:type="dxa"/>
              <w:left w:w="108" w:type="dxa"/>
              <w:bottom w:w="0" w:type="dxa"/>
              <w:right w:w="108" w:type="dxa"/>
            </w:tcMar>
            <w:vAlign w:val="center"/>
          </w:tcPr>
          <w:p w14:paraId="728FC038" w14:textId="77777777" w:rsidR="0074499E" w:rsidRPr="0074499E" w:rsidRDefault="0074499E" w:rsidP="0074499E">
            <w:pPr>
              <w:rPr>
                <w:rFonts w:eastAsia="Calibri"/>
                <w:sz w:val="22"/>
                <w:szCs w:val="22"/>
              </w:rPr>
            </w:pPr>
            <w:r w:rsidRPr="0074499E">
              <w:rPr>
                <w:rFonts w:eastAsia="Calibri"/>
                <w:sz w:val="22"/>
                <w:szCs w:val="22"/>
              </w:rPr>
              <w:t xml:space="preserve">    Data Analyst</w:t>
            </w:r>
          </w:p>
        </w:tc>
        <w:tc>
          <w:tcPr>
            <w:tcW w:w="623" w:type="pct"/>
            <w:shd w:val="clear" w:color="auto" w:fill="auto"/>
            <w:vAlign w:val="center"/>
          </w:tcPr>
          <w:p w14:paraId="0FCE21C7"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tcPr>
          <w:p w14:paraId="71F28550" w14:textId="77777777" w:rsidR="0074499E" w:rsidRPr="0074499E" w:rsidRDefault="0074499E" w:rsidP="0074499E">
            <w:pPr>
              <w:jc w:val="right"/>
              <w:rPr>
                <w:rFonts w:eastAsia="Calibri"/>
                <w:sz w:val="22"/>
                <w:szCs w:val="22"/>
              </w:rPr>
            </w:pPr>
            <w:r w:rsidRPr="0074499E">
              <w:rPr>
                <w:sz w:val="22"/>
                <w:szCs w:val="22"/>
              </w:rPr>
              <w:t>58,900</w:t>
            </w:r>
          </w:p>
        </w:tc>
        <w:tc>
          <w:tcPr>
            <w:tcW w:w="571" w:type="pct"/>
            <w:shd w:val="clear" w:color="auto" w:fill="auto"/>
            <w:noWrap/>
            <w:tcMar>
              <w:top w:w="0" w:type="dxa"/>
              <w:left w:w="108" w:type="dxa"/>
              <w:bottom w:w="0" w:type="dxa"/>
              <w:right w:w="108" w:type="dxa"/>
            </w:tcMar>
            <w:vAlign w:val="center"/>
          </w:tcPr>
          <w:p w14:paraId="7FF14CD6" w14:textId="77777777" w:rsidR="0074499E" w:rsidRPr="0074499E" w:rsidRDefault="0074499E" w:rsidP="0074499E">
            <w:pPr>
              <w:jc w:val="right"/>
              <w:rPr>
                <w:rFonts w:eastAsia="Calibri"/>
                <w:sz w:val="22"/>
                <w:szCs w:val="22"/>
              </w:rPr>
            </w:pPr>
            <w:r w:rsidRPr="0074499E">
              <w:rPr>
                <w:rFonts w:eastAsia="Calibri"/>
                <w:color w:val="000000"/>
                <w:sz w:val="22"/>
                <w:szCs w:val="22"/>
              </w:rPr>
              <w:t>0.040</w:t>
            </w:r>
          </w:p>
        </w:tc>
        <w:tc>
          <w:tcPr>
            <w:tcW w:w="519" w:type="pct"/>
            <w:shd w:val="clear" w:color="auto" w:fill="auto"/>
          </w:tcPr>
          <w:p w14:paraId="671DBAD5" w14:textId="77777777" w:rsidR="0074499E" w:rsidRPr="0074499E" w:rsidRDefault="0074499E" w:rsidP="0074499E">
            <w:pPr>
              <w:jc w:val="right"/>
              <w:rPr>
                <w:rFonts w:eastAsia="Calibri"/>
                <w:sz w:val="22"/>
                <w:szCs w:val="22"/>
              </w:rPr>
            </w:pPr>
            <w:r w:rsidRPr="0074499E">
              <w:rPr>
                <w:rFonts w:eastAsia="Calibri"/>
                <w:sz w:val="22"/>
                <w:szCs w:val="22"/>
              </w:rPr>
              <w:t>0</w:t>
            </w:r>
          </w:p>
        </w:tc>
        <w:tc>
          <w:tcPr>
            <w:tcW w:w="838" w:type="pct"/>
            <w:shd w:val="clear" w:color="auto" w:fill="auto"/>
            <w:vAlign w:val="bottom"/>
          </w:tcPr>
          <w:p w14:paraId="7A95586A" w14:textId="77777777" w:rsidR="0074499E" w:rsidRPr="0074499E" w:rsidRDefault="0074499E" w:rsidP="0074499E">
            <w:pPr>
              <w:jc w:val="right"/>
              <w:rPr>
                <w:rFonts w:eastAsia="Calibri"/>
                <w:sz w:val="22"/>
                <w:szCs w:val="22"/>
              </w:rPr>
            </w:pPr>
            <w:r w:rsidRPr="0074499E">
              <w:rPr>
                <w:color w:val="000000"/>
                <w:sz w:val="22"/>
                <w:szCs w:val="22"/>
              </w:rPr>
              <w:t>2,356</w:t>
            </w:r>
          </w:p>
        </w:tc>
      </w:tr>
      <w:tr w:rsidR="0074499E" w:rsidRPr="0074499E" w14:paraId="27D43B69" w14:textId="77777777" w:rsidTr="004508A2">
        <w:trPr>
          <w:trHeight w:val="300"/>
        </w:trPr>
        <w:tc>
          <w:tcPr>
            <w:tcW w:w="1830" w:type="pct"/>
            <w:shd w:val="clear" w:color="auto" w:fill="auto"/>
            <w:noWrap/>
            <w:tcMar>
              <w:top w:w="0" w:type="dxa"/>
              <w:left w:w="108" w:type="dxa"/>
              <w:bottom w:w="0" w:type="dxa"/>
              <w:right w:w="108" w:type="dxa"/>
            </w:tcMar>
            <w:vAlign w:val="center"/>
          </w:tcPr>
          <w:p w14:paraId="65A8FE17" w14:textId="77777777" w:rsidR="0074499E" w:rsidRPr="0074499E" w:rsidRDefault="0074499E" w:rsidP="0074499E">
            <w:pPr>
              <w:rPr>
                <w:rFonts w:eastAsia="Calibri"/>
                <w:color w:val="1F497D"/>
                <w:sz w:val="22"/>
                <w:szCs w:val="22"/>
              </w:rPr>
            </w:pPr>
            <w:r w:rsidRPr="0074499E">
              <w:rPr>
                <w:sz w:val="22"/>
                <w:szCs w:val="22"/>
              </w:rPr>
              <w:t xml:space="preserve">    Research Associate</w:t>
            </w:r>
          </w:p>
        </w:tc>
        <w:tc>
          <w:tcPr>
            <w:tcW w:w="623" w:type="pct"/>
            <w:shd w:val="clear" w:color="auto" w:fill="auto"/>
            <w:vAlign w:val="center"/>
          </w:tcPr>
          <w:p w14:paraId="1F28B2F1" w14:textId="77777777" w:rsidR="0074499E" w:rsidRPr="0074499E" w:rsidRDefault="0074499E" w:rsidP="0074499E">
            <w:pPr>
              <w:jc w:val="right"/>
              <w:rPr>
                <w:rFonts w:eastAsia="Calibri"/>
                <w:color w:val="000000"/>
                <w:sz w:val="22"/>
                <w:szCs w:val="22"/>
              </w:rPr>
            </w:pPr>
          </w:p>
        </w:tc>
        <w:tc>
          <w:tcPr>
            <w:tcW w:w="619" w:type="pct"/>
            <w:shd w:val="clear" w:color="auto" w:fill="auto"/>
            <w:noWrap/>
            <w:tcMar>
              <w:top w:w="0" w:type="dxa"/>
              <w:left w:w="108" w:type="dxa"/>
              <w:bottom w:w="0" w:type="dxa"/>
              <w:right w:w="108" w:type="dxa"/>
            </w:tcMar>
          </w:tcPr>
          <w:p w14:paraId="77658151" w14:textId="77777777" w:rsidR="0074499E" w:rsidRPr="0074499E" w:rsidRDefault="0074499E" w:rsidP="0074499E">
            <w:pPr>
              <w:jc w:val="right"/>
              <w:rPr>
                <w:rFonts w:eastAsia="Calibri"/>
                <w:sz w:val="22"/>
                <w:szCs w:val="22"/>
              </w:rPr>
            </w:pPr>
            <w:r w:rsidRPr="0074499E">
              <w:rPr>
                <w:sz w:val="22"/>
                <w:szCs w:val="22"/>
              </w:rPr>
              <w:t>54,200</w:t>
            </w:r>
          </w:p>
        </w:tc>
        <w:tc>
          <w:tcPr>
            <w:tcW w:w="571" w:type="pct"/>
            <w:shd w:val="clear" w:color="auto" w:fill="auto"/>
            <w:noWrap/>
            <w:tcMar>
              <w:top w:w="0" w:type="dxa"/>
              <w:left w:w="108" w:type="dxa"/>
              <w:bottom w:w="0" w:type="dxa"/>
              <w:right w:w="108" w:type="dxa"/>
            </w:tcMar>
            <w:vAlign w:val="center"/>
          </w:tcPr>
          <w:p w14:paraId="0C1F025B" w14:textId="77777777" w:rsidR="0074499E" w:rsidRPr="0074499E" w:rsidRDefault="0074499E" w:rsidP="0074499E">
            <w:pPr>
              <w:jc w:val="right"/>
              <w:rPr>
                <w:rFonts w:eastAsia="Calibri"/>
                <w:sz w:val="22"/>
                <w:szCs w:val="22"/>
              </w:rPr>
            </w:pPr>
            <w:r w:rsidRPr="0074499E">
              <w:rPr>
                <w:rFonts w:eastAsia="Calibri"/>
                <w:color w:val="000000"/>
                <w:sz w:val="22"/>
                <w:szCs w:val="22"/>
              </w:rPr>
              <w:t>0.010</w:t>
            </w:r>
          </w:p>
        </w:tc>
        <w:tc>
          <w:tcPr>
            <w:tcW w:w="519" w:type="pct"/>
            <w:shd w:val="clear" w:color="auto" w:fill="auto"/>
          </w:tcPr>
          <w:p w14:paraId="1CAA0F30" w14:textId="77777777" w:rsidR="0074499E" w:rsidRPr="0074499E" w:rsidRDefault="0074499E" w:rsidP="0074499E">
            <w:pPr>
              <w:jc w:val="right"/>
              <w:rPr>
                <w:rFonts w:eastAsia="Calibri"/>
                <w:sz w:val="22"/>
                <w:szCs w:val="22"/>
              </w:rPr>
            </w:pPr>
            <w:r w:rsidRPr="0074499E">
              <w:rPr>
                <w:rFonts w:eastAsia="Calibri"/>
                <w:sz w:val="22"/>
                <w:szCs w:val="22"/>
              </w:rPr>
              <w:t>0</w:t>
            </w:r>
          </w:p>
        </w:tc>
        <w:tc>
          <w:tcPr>
            <w:tcW w:w="838" w:type="pct"/>
            <w:shd w:val="clear" w:color="auto" w:fill="auto"/>
            <w:vAlign w:val="bottom"/>
          </w:tcPr>
          <w:p w14:paraId="43156BC5" w14:textId="77777777" w:rsidR="0074499E" w:rsidRPr="0074499E" w:rsidRDefault="0074499E" w:rsidP="0074499E">
            <w:pPr>
              <w:jc w:val="right"/>
              <w:rPr>
                <w:rFonts w:eastAsia="Calibri"/>
                <w:sz w:val="22"/>
                <w:szCs w:val="22"/>
              </w:rPr>
            </w:pPr>
            <w:r w:rsidRPr="0074499E">
              <w:rPr>
                <w:color w:val="000000"/>
                <w:sz w:val="22"/>
                <w:szCs w:val="22"/>
              </w:rPr>
              <w:t>542</w:t>
            </w:r>
          </w:p>
        </w:tc>
      </w:tr>
      <w:tr w:rsidR="0074499E" w:rsidRPr="0074499E" w14:paraId="3F285F03" w14:textId="77777777" w:rsidTr="004508A2">
        <w:trPr>
          <w:trHeight w:val="300"/>
        </w:trPr>
        <w:tc>
          <w:tcPr>
            <w:tcW w:w="1830" w:type="pct"/>
            <w:shd w:val="clear" w:color="auto" w:fill="auto"/>
            <w:noWrap/>
            <w:tcMar>
              <w:top w:w="0" w:type="dxa"/>
              <w:left w:w="108" w:type="dxa"/>
              <w:bottom w:w="0" w:type="dxa"/>
              <w:right w:w="108" w:type="dxa"/>
            </w:tcMar>
            <w:vAlign w:val="center"/>
          </w:tcPr>
          <w:p w14:paraId="13F7F2A1" w14:textId="77777777" w:rsidR="0074499E" w:rsidRPr="0074499E" w:rsidRDefault="0074499E" w:rsidP="0074499E">
            <w:pPr>
              <w:rPr>
                <w:rFonts w:eastAsia="Calibri"/>
                <w:bCs/>
                <w:color w:val="000000"/>
                <w:sz w:val="22"/>
                <w:szCs w:val="22"/>
              </w:rPr>
            </w:pPr>
            <w:r w:rsidRPr="0074499E">
              <w:rPr>
                <w:sz w:val="22"/>
                <w:szCs w:val="22"/>
              </w:rPr>
              <w:t xml:space="preserve">    Questionnaire Design</w:t>
            </w:r>
          </w:p>
        </w:tc>
        <w:tc>
          <w:tcPr>
            <w:tcW w:w="623" w:type="pct"/>
            <w:shd w:val="clear" w:color="auto" w:fill="auto"/>
            <w:vAlign w:val="center"/>
          </w:tcPr>
          <w:p w14:paraId="2A23C8E8"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tcPr>
          <w:p w14:paraId="39DF2B85" w14:textId="77777777" w:rsidR="0074499E" w:rsidRPr="0074499E" w:rsidRDefault="0074499E" w:rsidP="0074499E">
            <w:pPr>
              <w:jc w:val="right"/>
              <w:rPr>
                <w:rFonts w:eastAsia="Calibri"/>
                <w:sz w:val="22"/>
                <w:szCs w:val="22"/>
              </w:rPr>
            </w:pPr>
            <w:r w:rsidRPr="0074499E">
              <w:rPr>
                <w:sz w:val="22"/>
                <w:szCs w:val="22"/>
              </w:rPr>
              <w:t>45,500</w:t>
            </w:r>
          </w:p>
        </w:tc>
        <w:tc>
          <w:tcPr>
            <w:tcW w:w="571" w:type="pct"/>
            <w:shd w:val="clear" w:color="auto" w:fill="auto"/>
            <w:noWrap/>
            <w:tcMar>
              <w:top w:w="0" w:type="dxa"/>
              <w:left w:w="108" w:type="dxa"/>
              <w:bottom w:w="0" w:type="dxa"/>
              <w:right w:w="108" w:type="dxa"/>
            </w:tcMar>
            <w:vAlign w:val="center"/>
          </w:tcPr>
          <w:p w14:paraId="419572D8" w14:textId="77777777" w:rsidR="0074499E" w:rsidRPr="0074499E" w:rsidRDefault="0074499E" w:rsidP="0074499E">
            <w:pPr>
              <w:jc w:val="right"/>
              <w:rPr>
                <w:rFonts w:eastAsia="Calibri"/>
                <w:b/>
                <w:sz w:val="22"/>
                <w:szCs w:val="22"/>
              </w:rPr>
            </w:pPr>
            <w:r w:rsidRPr="0074499E">
              <w:rPr>
                <w:rFonts w:eastAsia="Calibri"/>
                <w:color w:val="000000"/>
                <w:sz w:val="22"/>
                <w:szCs w:val="22"/>
              </w:rPr>
              <w:t>0.050</w:t>
            </w:r>
          </w:p>
        </w:tc>
        <w:tc>
          <w:tcPr>
            <w:tcW w:w="519" w:type="pct"/>
            <w:shd w:val="clear" w:color="auto" w:fill="auto"/>
          </w:tcPr>
          <w:p w14:paraId="1D63A708" w14:textId="77777777" w:rsidR="0074499E" w:rsidRPr="0074499E" w:rsidRDefault="0074499E" w:rsidP="0074499E">
            <w:pPr>
              <w:jc w:val="right"/>
              <w:rPr>
                <w:rFonts w:eastAsia="Calibri"/>
                <w:b/>
                <w:sz w:val="22"/>
                <w:szCs w:val="22"/>
              </w:rPr>
            </w:pPr>
            <w:r w:rsidRPr="0074499E">
              <w:rPr>
                <w:rFonts w:eastAsia="Calibri"/>
                <w:b/>
                <w:sz w:val="22"/>
                <w:szCs w:val="22"/>
              </w:rPr>
              <w:t>0</w:t>
            </w:r>
          </w:p>
        </w:tc>
        <w:tc>
          <w:tcPr>
            <w:tcW w:w="838" w:type="pct"/>
            <w:shd w:val="clear" w:color="auto" w:fill="auto"/>
            <w:vAlign w:val="bottom"/>
          </w:tcPr>
          <w:p w14:paraId="130B9A3A" w14:textId="77777777" w:rsidR="0074499E" w:rsidRPr="0074499E" w:rsidRDefault="0074499E" w:rsidP="0074499E">
            <w:pPr>
              <w:jc w:val="right"/>
              <w:rPr>
                <w:rFonts w:eastAsia="Calibri"/>
                <w:sz w:val="22"/>
                <w:szCs w:val="22"/>
              </w:rPr>
            </w:pPr>
            <w:r w:rsidRPr="0074499E">
              <w:rPr>
                <w:color w:val="000000"/>
                <w:sz w:val="22"/>
                <w:szCs w:val="22"/>
              </w:rPr>
              <w:t>2,275</w:t>
            </w:r>
          </w:p>
        </w:tc>
      </w:tr>
      <w:tr w:rsidR="0074499E" w:rsidRPr="0074499E" w14:paraId="4EDFCF33" w14:textId="77777777" w:rsidTr="004508A2">
        <w:trPr>
          <w:trHeight w:val="300"/>
        </w:trPr>
        <w:tc>
          <w:tcPr>
            <w:tcW w:w="1830" w:type="pct"/>
            <w:shd w:val="clear" w:color="auto" w:fill="auto"/>
            <w:noWrap/>
            <w:tcMar>
              <w:top w:w="0" w:type="dxa"/>
              <w:left w:w="108" w:type="dxa"/>
              <w:bottom w:w="0" w:type="dxa"/>
              <w:right w:w="108" w:type="dxa"/>
            </w:tcMar>
            <w:vAlign w:val="bottom"/>
          </w:tcPr>
          <w:p w14:paraId="0AD1DBEC" w14:textId="77777777" w:rsidR="0074499E" w:rsidRPr="0074499E" w:rsidRDefault="0074499E" w:rsidP="0074499E">
            <w:pPr>
              <w:rPr>
                <w:rFonts w:eastAsia="Calibri"/>
                <w:bCs/>
                <w:color w:val="000000"/>
                <w:sz w:val="22"/>
                <w:szCs w:val="22"/>
              </w:rPr>
            </w:pPr>
            <w:r w:rsidRPr="0074499E">
              <w:rPr>
                <w:rFonts w:eastAsia="Calibri"/>
                <w:bCs/>
                <w:color w:val="000000"/>
                <w:sz w:val="22"/>
                <w:szCs w:val="22"/>
              </w:rPr>
              <w:t xml:space="preserve">    G&amp;A (102%)</w:t>
            </w:r>
          </w:p>
        </w:tc>
        <w:tc>
          <w:tcPr>
            <w:tcW w:w="623" w:type="pct"/>
            <w:shd w:val="clear" w:color="auto" w:fill="auto"/>
          </w:tcPr>
          <w:p w14:paraId="2FEE9A71"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6FA7B33F"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0F945BB2" w14:textId="77777777" w:rsidR="0074499E" w:rsidRPr="0074499E" w:rsidRDefault="0074499E" w:rsidP="0074499E">
            <w:pPr>
              <w:jc w:val="right"/>
              <w:rPr>
                <w:rFonts w:eastAsia="Calibri"/>
                <w:b/>
                <w:sz w:val="22"/>
                <w:szCs w:val="22"/>
              </w:rPr>
            </w:pPr>
          </w:p>
        </w:tc>
        <w:tc>
          <w:tcPr>
            <w:tcW w:w="519" w:type="pct"/>
            <w:shd w:val="clear" w:color="auto" w:fill="auto"/>
          </w:tcPr>
          <w:p w14:paraId="498E6D0B" w14:textId="77777777" w:rsidR="0074499E" w:rsidRPr="0074499E" w:rsidRDefault="0074499E" w:rsidP="0074499E">
            <w:pPr>
              <w:jc w:val="right"/>
              <w:rPr>
                <w:rFonts w:eastAsia="Calibri"/>
                <w:b/>
                <w:sz w:val="22"/>
                <w:szCs w:val="22"/>
              </w:rPr>
            </w:pPr>
          </w:p>
        </w:tc>
        <w:tc>
          <w:tcPr>
            <w:tcW w:w="838" w:type="pct"/>
            <w:shd w:val="clear" w:color="auto" w:fill="auto"/>
          </w:tcPr>
          <w:p w14:paraId="77FA0D5E" w14:textId="77777777" w:rsidR="0074499E" w:rsidRPr="0074499E" w:rsidRDefault="0074499E" w:rsidP="0074499E">
            <w:pPr>
              <w:jc w:val="right"/>
              <w:rPr>
                <w:rFonts w:eastAsia="Calibri"/>
                <w:sz w:val="22"/>
                <w:szCs w:val="22"/>
              </w:rPr>
            </w:pPr>
            <w:r w:rsidRPr="0074499E">
              <w:rPr>
                <w:rFonts w:eastAsia="Calibri"/>
                <w:noProof/>
                <w:sz w:val="22"/>
                <w:szCs w:val="22"/>
              </w:rPr>
              <w:drawing>
                <wp:inline distT="0" distB="0" distL="0" distR="0" wp14:anchorId="79CF98C5" wp14:editId="2C24C410">
                  <wp:extent cx="61722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220" cy="190500"/>
                          </a:xfrm>
                          <a:prstGeom prst="rect">
                            <a:avLst/>
                          </a:prstGeom>
                          <a:noFill/>
                          <a:ln>
                            <a:noFill/>
                          </a:ln>
                        </pic:spPr>
                      </pic:pic>
                    </a:graphicData>
                  </a:graphic>
                </wp:inline>
              </w:drawing>
            </w:r>
          </w:p>
        </w:tc>
      </w:tr>
      <w:tr w:rsidR="0074499E" w:rsidRPr="0074499E" w14:paraId="5F3E5C18" w14:textId="77777777" w:rsidTr="004508A2">
        <w:trPr>
          <w:trHeight w:val="300"/>
        </w:trPr>
        <w:tc>
          <w:tcPr>
            <w:tcW w:w="1830" w:type="pct"/>
            <w:shd w:val="clear" w:color="auto" w:fill="auto"/>
            <w:noWrap/>
            <w:tcMar>
              <w:top w:w="0" w:type="dxa"/>
              <w:left w:w="108" w:type="dxa"/>
              <w:bottom w:w="0" w:type="dxa"/>
              <w:right w:w="108" w:type="dxa"/>
            </w:tcMar>
            <w:vAlign w:val="bottom"/>
          </w:tcPr>
          <w:p w14:paraId="7B1CC1B3" w14:textId="77777777" w:rsidR="0074499E" w:rsidRPr="0074499E" w:rsidRDefault="0074499E" w:rsidP="0074499E">
            <w:pPr>
              <w:rPr>
                <w:rFonts w:eastAsia="Calibri"/>
                <w:bCs/>
                <w:color w:val="000000"/>
                <w:sz w:val="22"/>
                <w:szCs w:val="22"/>
              </w:rPr>
            </w:pPr>
            <w:r w:rsidRPr="0074499E">
              <w:rPr>
                <w:rFonts w:eastAsia="Calibri"/>
                <w:bCs/>
                <w:color w:val="000000"/>
                <w:sz w:val="22"/>
                <w:szCs w:val="22"/>
              </w:rPr>
              <w:t xml:space="preserve">    Fee</w:t>
            </w:r>
          </w:p>
        </w:tc>
        <w:tc>
          <w:tcPr>
            <w:tcW w:w="623" w:type="pct"/>
            <w:shd w:val="clear" w:color="auto" w:fill="auto"/>
          </w:tcPr>
          <w:p w14:paraId="193FD8A1"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416661D8"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0FC46EA4" w14:textId="77777777" w:rsidR="0074499E" w:rsidRPr="0074499E" w:rsidRDefault="0074499E" w:rsidP="0074499E">
            <w:pPr>
              <w:jc w:val="right"/>
              <w:rPr>
                <w:rFonts w:eastAsia="Calibri"/>
                <w:b/>
                <w:sz w:val="22"/>
                <w:szCs w:val="22"/>
              </w:rPr>
            </w:pPr>
          </w:p>
        </w:tc>
        <w:tc>
          <w:tcPr>
            <w:tcW w:w="519" w:type="pct"/>
            <w:shd w:val="clear" w:color="auto" w:fill="auto"/>
          </w:tcPr>
          <w:p w14:paraId="7DD554E1" w14:textId="77777777" w:rsidR="0074499E" w:rsidRPr="0074499E" w:rsidRDefault="0074499E" w:rsidP="0074499E">
            <w:pPr>
              <w:jc w:val="right"/>
              <w:rPr>
                <w:rFonts w:eastAsia="Calibri"/>
                <w:b/>
                <w:sz w:val="22"/>
                <w:szCs w:val="22"/>
              </w:rPr>
            </w:pPr>
          </w:p>
        </w:tc>
        <w:tc>
          <w:tcPr>
            <w:tcW w:w="838" w:type="pct"/>
            <w:shd w:val="clear" w:color="auto" w:fill="auto"/>
          </w:tcPr>
          <w:p w14:paraId="7C262AA1" w14:textId="77777777" w:rsidR="0074499E" w:rsidRPr="0074499E" w:rsidRDefault="0074499E" w:rsidP="0074499E">
            <w:pPr>
              <w:jc w:val="right"/>
              <w:rPr>
                <w:rFonts w:eastAsia="Calibri"/>
                <w:sz w:val="22"/>
                <w:szCs w:val="22"/>
              </w:rPr>
            </w:pPr>
            <w:r w:rsidRPr="0074499E">
              <w:rPr>
                <w:rFonts w:eastAsia="Calibri"/>
                <w:sz w:val="22"/>
                <w:szCs w:val="22"/>
              </w:rPr>
              <w:t>991</w:t>
            </w:r>
          </w:p>
        </w:tc>
      </w:tr>
      <w:tr w:rsidR="0074499E" w:rsidRPr="0074499E" w14:paraId="49B713B8" w14:textId="77777777" w:rsidTr="004508A2">
        <w:trPr>
          <w:trHeight w:val="300"/>
        </w:trPr>
        <w:tc>
          <w:tcPr>
            <w:tcW w:w="1830" w:type="pct"/>
            <w:shd w:val="clear" w:color="auto" w:fill="auto"/>
            <w:noWrap/>
            <w:tcMar>
              <w:top w:w="0" w:type="dxa"/>
              <w:left w:w="108" w:type="dxa"/>
              <w:bottom w:w="0" w:type="dxa"/>
              <w:right w:w="108" w:type="dxa"/>
            </w:tcMar>
            <w:vAlign w:val="bottom"/>
          </w:tcPr>
          <w:p w14:paraId="765FFD6D" w14:textId="77777777" w:rsidR="0074499E" w:rsidRPr="0074499E" w:rsidRDefault="0074499E" w:rsidP="0074499E">
            <w:pPr>
              <w:rPr>
                <w:rFonts w:eastAsia="Calibri"/>
                <w:b/>
                <w:sz w:val="22"/>
                <w:szCs w:val="22"/>
              </w:rPr>
            </w:pPr>
            <w:r w:rsidRPr="0074499E">
              <w:rPr>
                <w:rFonts w:eastAsia="Calibri"/>
                <w:b/>
                <w:sz w:val="22"/>
                <w:szCs w:val="22"/>
              </w:rPr>
              <w:t xml:space="preserve">    Sub-Total</w:t>
            </w:r>
          </w:p>
        </w:tc>
        <w:tc>
          <w:tcPr>
            <w:tcW w:w="623" w:type="pct"/>
            <w:shd w:val="clear" w:color="auto" w:fill="auto"/>
          </w:tcPr>
          <w:p w14:paraId="5B8A3056"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5F6D491A"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7E9A5FEE" w14:textId="77777777" w:rsidR="0074499E" w:rsidRPr="0074499E" w:rsidRDefault="0074499E" w:rsidP="0074499E">
            <w:pPr>
              <w:jc w:val="right"/>
              <w:rPr>
                <w:rFonts w:eastAsia="Calibri"/>
                <w:b/>
                <w:sz w:val="22"/>
                <w:szCs w:val="22"/>
              </w:rPr>
            </w:pPr>
          </w:p>
        </w:tc>
        <w:tc>
          <w:tcPr>
            <w:tcW w:w="519" w:type="pct"/>
            <w:shd w:val="clear" w:color="auto" w:fill="auto"/>
          </w:tcPr>
          <w:p w14:paraId="035F2679" w14:textId="77777777" w:rsidR="0074499E" w:rsidRPr="0074499E" w:rsidRDefault="0074499E" w:rsidP="0074499E">
            <w:pPr>
              <w:jc w:val="right"/>
              <w:rPr>
                <w:rFonts w:eastAsia="Calibri"/>
                <w:b/>
                <w:sz w:val="22"/>
                <w:szCs w:val="22"/>
              </w:rPr>
            </w:pPr>
          </w:p>
        </w:tc>
        <w:tc>
          <w:tcPr>
            <w:tcW w:w="838" w:type="pct"/>
            <w:shd w:val="clear" w:color="auto" w:fill="auto"/>
          </w:tcPr>
          <w:p w14:paraId="7453B0EB" w14:textId="77777777" w:rsidR="0074499E" w:rsidRPr="0074499E" w:rsidRDefault="0074499E" w:rsidP="0074499E">
            <w:pPr>
              <w:jc w:val="right"/>
              <w:rPr>
                <w:rFonts w:eastAsia="Calibri"/>
                <w:b/>
                <w:sz w:val="22"/>
                <w:szCs w:val="22"/>
              </w:rPr>
            </w:pPr>
            <w:r w:rsidRPr="0074499E">
              <w:rPr>
                <w:rFonts w:eastAsia="Calibri"/>
                <w:b/>
                <w:sz w:val="22"/>
                <w:szCs w:val="22"/>
              </w:rPr>
              <w:t>23,110</w:t>
            </w:r>
          </w:p>
        </w:tc>
      </w:tr>
      <w:tr w:rsidR="0074499E" w:rsidRPr="0074499E" w14:paraId="0C72C8D8" w14:textId="77777777" w:rsidTr="004508A2">
        <w:trPr>
          <w:trHeight w:val="300"/>
        </w:trPr>
        <w:tc>
          <w:tcPr>
            <w:tcW w:w="1830" w:type="pct"/>
            <w:shd w:val="clear" w:color="auto" w:fill="auto"/>
            <w:noWrap/>
            <w:tcMar>
              <w:top w:w="0" w:type="dxa"/>
              <w:left w:w="108" w:type="dxa"/>
              <w:bottom w:w="0" w:type="dxa"/>
              <w:right w:w="108" w:type="dxa"/>
            </w:tcMar>
            <w:vAlign w:val="bottom"/>
          </w:tcPr>
          <w:p w14:paraId="0F7C4659" w14:textId="77777777" w:rsidR="0074499E" w:rsidRPr="0074499E" w:rsidRDefault="0074499E" w:rsidP="0074499E">
            <w:pPr>
              <w:rPr>
                <w:rFonts w:eastAsia="Calibri"/>
                <w:b/>
                <w:sz w:val="22"/>
                <w:szCs w:val="22"/>
              </w:rPr>
            </w:pPr>
          </w:p>
        </w:tc>
        <w:tc>
          <w:tcPr>
            <w:tcW w:w="623" w:type="pct"/>
            <w:shd w:val="clear" w:color="auto" w:fill="auto"/>
          </w:tcPr>
          <w:p w14:paraId="2DA38944"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75D5D3BC"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2728D1ED" w14:textId="77777777" w:rsidR="0074499E" w:rsidRPr="0074499E" w:rsidRDefault="0074499E" w:rsidP="0074499E">
            <w:pPr>
              <w:jc w:val="right"/>
              <w:rPr>
                <w:rFonts w:eastAsia="Calibri"/>
                <w:b/>
                <w:sz w:val="22"/>
                <w:szCs w:val="22"/>
              </w:rPr>
            </w:pPr>
          </w:p>
        </w:tc>
        <w:tc>
          <w:tcPr>
            <w:tcW w:w="519" w:type="pct"/>
            <w:shd w:val="clear" w:color="auto" w:fill="auto"/>
          </w:tcPr>
          <w:p w14:paraId="640A49E3" w14:textId="77777777" w:rsidR="0074499E" w:rsidRPr="0074499E" w:rsidRDefault="0074499E" w:rsidP="0074499E">
            <w:pPr>
              <w:jc w:val="right"/>
              <w:rPr>
                <w:rFonts w:eastAsia="Calibri"/>
                <w:b/>
                <w:sz w:val="22"/>
                <w:szCs w:val="22"/>
              </w:rPr>
            </w:pPr>
          </w:p>
        </w:tc>
        <w:tc>
          <w:tcPr>
            <w:tcW w:w="838" w:type="pct"/>
            <w:shd w:val="clear" w:color="auto" w:fill="auto"/>
          </w:tcPr>
          <w:p w14:paraId="79C16CAB" w14:textId="77777777" w:rsidR="0074499E" w:rsidRPr="0074499E" w:rsidRDefault="0074499E" w:rsidP="0074499E">
            <w:pPr>
              <w:jc w:val="right"/>
              <w:rPr>
                <w:rFonts w:eastAsia="Calibri"/>
                <w:sz w:val="22"/>
                <w:szCs w:val="22"/>
              </w:rPr>
            </w:pPr>
          </w:p>
        </w:tc>
      </w:tr>
      <w:tr w:rsidR="0074499E" w:rsidRPr="0074499E" w14:paraId="0502FD5E" w14:textId="77777777" w:rsidTr="004508A2">
        <w:trPr>
          <w:trHeight w:val="300"/>
        </w:trPr>
        <w:tc>
          <w:tcPr>
            <w:tcW w:w="1830" w:type="pct"/>
            <w:shd w:val="clear" w:color="auto" w:fill="auto"/>
            <w:noWrap/>
            <w:tcMar>
              <w:top w:w="0" w:type="dxa"/>
              <w:left w:w="108" w:type="dxa"/>
              <w:bottom w:w="0" w:type="dxa"/>
              <w:right w:w="108" w:type="dxa"/>
            </w:tcMar>
            <w:vAlign w:val="bottom"/>
          </w:tcPr>
          <w:p w14:paraId="2A8FCF87" w14:textId="77777777" w:rsidR="0074499E" w:rsidRPr="0074499E" w:rsidRDefault="0074499E" w:rsidP="0074499E">
            <w:pPr>
              <w:rPr>
                <w:rFonts w:eastAsia="Calibri"/>
                <w:bCs/>
                <w:color w:val="000000"/>
                <w:sz w:val="22"/>
                <w:szCs w:val="22"/>
              </w:rPr>
            </w:pPr>
            <w:r w:rsidRPr="0074499E">
              <w:rPr>
                <w:rFonts w:eastAsia="Calibri"/>
                <w:b/>
                <w:sz w:val="22"/>
                <w:szCs w:val="22"/>
              </w:rPr>
              <w:t>Other Costs</w:t>
            </w:r>
          </w:p>
        </w:tc>
        <w:tc>
          <w:tcPr>
            <w:tcW w:w="623" w:type="pct"/>
            <w:shd w:val="clear" w:color="auto" w:fill="auto"/>
          </w:tcPr>
          <w:p w14:paraId="6A192556"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61BA5664"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449127B9" w14:textId="77777777" w:rsidR="0074499E" w:rsidRPr="0074499E" w:rsidRDefault="0074499E" w:rsidP="0074499E">
            <w:pPr>
              <w:jc w:val="right"/>
              <w:rPr>
                <w:rFonts w:eastAsia="Calibri"/>
                <w:b/>
                <w:sz w:val="22"/>
                <w:szCs w:val="22"/>
              </w:rPr>
            </w:pPr>
          </w:p>
        </w:tc>
        <w:tc>
          <w:tcPr>
            <w:tcW w:w="519" w:type="pct"/>
            <w:shd w:val="clear" w:color="auto" w:fill="auto"/>
          </w:tcPr>
          <w:p w14:paraId="0FADC58B" w14:textId="77777777" w:rsidR="0074499E" w:rsidRPr="0074499E" w:rsidRDefault="0074499E" w:rsidP="0074499E">
            <w:pPr>
              <w:jc w:val="right"/>
              <w:rPr>
                <w:rFonts w:eastAsia="Calibri"/>
                <w:b/>
                <w:sz w:val="22"/>
                <w:szCs w:val="22"/>
              </w:rPr>
            </w:pPr>
          </w:p>
        </w:tc>
        <w:tc>
          <w:tcPr>
            <w:tcW w:w="838" w:type="pct"/>
            <w:shd w:val="clear" w:color="auto" w:fill="auto"/>
          </w:tcPr>
          <w:p w14:paraId="1880171A" w14:textId="77777777" w:rsidR="0074499E" w:rsidRPr="0074499E" w:rsidRDefault="0074499E" w:rsidP="0074499E">
            <w:pPr>
              <w:jc w:val="right"/>
              <w:rPr>
                <w:rFonts w:eastAsia="Calibri"/>
                <w:b/>
                <w:sz w:val="22"/>
                <w:szCs w:val="22"/>
              </w:rPr>
            </w:pPr>
            <w:r w:rsidRPr="0074499E">
              <w:rPr>
                <w:rFonts w:eastAsia="Calibri"/>
                <w:b/>
                <w:sz w:val="22"/>
                <w:szCs w:val="22"/>
              </w:rPr>
              <w:t>0</w:t>
            </w:r>
          </w:p>
        </w:tc>
      </w:tr>
      <w:tr w:rsidR="0074499E" w:rsidRPr="0074499E" w14:paraId="4E7189F7" w14:textId="77777777" w:rsidTr="004508A2">
        <w:trPr>
          <w:trHeight w:val="300"/>
        </w:trPr>
        <w:tc>
          <w:tcPr>
            <w:tcW w:w="1830" w:type="pct"/>
            <w:shd w:val="clear" w:color="auto" w:fill="auto"/>
            <w:noWrap/>
            <w:tcMar>
              <w:top w:w="0" w:type="dxa"/>
              <w:left w:w="108" w:type="dxa"/>
              <w:bottom w:w="0" w:type="dxa"/>
              <w:right w:w="108" w:type="dxa"/>
            </w:tcMar>
            <w:vAlign w:val="bottom"/>
          </w:tcPr>
          <w:p w14:paraId="5EBEA61C" w14:textId="77777777" w:rsidR="0074499E" w:rsidRPr="0074499E" w:rsidRDefault="0074499E" w:rsidP="0074499E">
            <w:pPr>
              <w:rPr>
                <w:rFonts w:eastAsia="Calibri"/>
                <w:b/>
                <w:sz w:val="22"/>
                <w:szCs w:val="22"/>
              </w:rPr>
            </w:pPr>
          </w:p>
        </w:tc>
        <w:tc>
          <w:tcPr>
            <w:tcW w:w="623" w:type="pct"/>
            <w:shd w:val="clear" w:color="auto" w:fill="auto"/>
          </w:tcPr>
          <w:p w14:paraId="52F76B65"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78DFD8C1"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3E8B66DD" w14:textId="77777777" w:rsidR="0074499E" w:rsidRPr="0074499E" w:rsidRDefault="0074499E" w:rsidP="0074499E">
            <w:pPr>
              <w:jc w:val="right"/>
              <w:rPr>
                <w:rFonts w:eastAsia="Calibri"/>
                <w:b/>
                <w:sz w:val="22"/>
                <w:szCs w:val="22"/>
              </w:rPr>
            </w:pPr>
          </w:p>
        </w:tc>
        <w:tc>
          <w:tcPr>
            <w:tcW w:w="519" w:type="pct"/>
            <w:shd w:val="clear" w:color="auto" w:fill="auto"/>
          </w:tcPr>
          <w:p w14:paraId="04F604C8" w14:textId="77777777" w:rsidR="0074499E" w:rsidRPr="0074499E" w:rsidRDefault="0074499E" w:rsidP="0074499E">
            <w:pPr>
              <w:jc w:val="right"/>
              <w:rPr>
                <w:rFonts w:eastAsia="Calibri"/>
                <w:b/>
                <w:sz w:val="22"/>
                <w:szCs w:val="22"/>
              </w:rPr>
            </w:pPr>
          </w:p>
        </w:tc>
        <w:tc>
          <w:tcPr>
            <w:tcW w:w="838" w:type="pct"/>
            <w:shd w:val="clear" w:color="auto" w:fill="auto"/>
          </w:tcPr>
          <w:p w14:paraId="6D220D9F" w14:textId="77777777" w:rsidR="0074499E" w:rsidRPr="0074499E" w:rsidRDefault="0074499E" w:rsidP="0074499E">
            <w:pPr>
              <w:jc w:val="right"/>
              <w:rPr>
                <w:b/>
                <w:color w:val="000000"/>
                <w:sz w:val="22"/>
                <w:szCs w:val="22"/>
              </w:rPr>
            </w:pPr>
          </w:p>
        </w:tc>
      </w:tr>
      <w:tr w:rsidR="0074499E" w:rsidRPr="0074499E" w14:paraId="1EE2B1E6" w14:textId="77777777" w:rsidTr="004508A2">
        <w:trPr>
          <w:trHeight w:val="300"/>
        </w:trPr>
        <w:tc>
          <w:tcPr>
            <w:tcW w:w="1830" w:type="pct"/>
            <w:shd w:val="clear" w:color="auto" w:fill="auto"/>
            <w:noWrap/>
            <w:tcMar>
              <w:top w:w="0" w:type="dxa"/>
              <w:left w:w="108" w:type="dxa"/>
              <w:bottom w:w="0" w:type="dxa"/>
              <w:right w:w="108" w:type="dxa"/>
            </w:tcMar>
            <w:vAlign w:val="bottom"/>
          </w:tcPr>
          <w:p w14:paraId="74C6B6A6" w14:textId="77777777" w:rsidR="0074499E" w:rsidRPr="0074499E" w:rsidRDefault="0074499E" w:rsidP="0074499E">
            <w:pPr>
              <w:rPr>
                <w:rFonts w:eastAsia="Calibri"/>
                <w:b/>
                <w:sz w:val="22"/>
                <w:szCs w:val="22"/>
              </w:rPr>
            </w:pPr>
            <w:r w:rsidRPr="0074499E">
              <w:rPr>
                <w:rFonts w:eastAsia="Calibri"/>
                <w:b/>
                <w:sz w:val="22"/>
                <w:szCs w:val="22"/>
              </w:rPr>
              <w:t>TOTAL</w:t>
            </w:r>
          </w:p>
        </w:tc>
        <w:tc>
          <w:tcPr>
            <w:tcW w:w="623" w:type="pct"/>
            <w:shd w:val="clear" w:color="auto" w:fill="auto"/>
          </w:tcPr>
          <w:p w14:paraId="0659EA0E" w14:textId="77777777" w:rsidR="0074499E" w:rsidRPr="0074499E" w:rsidRDefault="0074499E" w:rsidP="0074499E">
            <w:pPr>
              <w:jc w:val="right"/>
              <w:rPr>
                <w:rFonts w:eastAsia="Calibri"/>
                <w:sz w:val="22"/>
                <w:szCs w:val="22"/>
              </w:rPr>
            </w:pPr>
          </w:p>
        </w:tc>
        <w:tc>
          <w:tcPr>
            <w:tcW w:w="619" w:type="pct"/>
            <w:shd w:val="clear" w:color="auto" w:fill="auto"/>
            <w:noWrap/>
            <w:tcMar>
              <w:top w:w="0" w:type="dxa"/>
              <w:left w:w="108" w:type="dxa"/>
              <w:bottom w:w="0" w:type="dxa"/>
              <w:right w:w="108" w:type="dxa"/>
            </w:tcMar>
            <w:vAlign w:val="bottom"/>
          </w:tcPr>
          <w:p w14:paraId="4274D634" w14:textId="77777777" w:rsidR="0074499E" w:rsidRPr="0074499E" w:rsidRDefault="0074499E" w:rsidP="0074499E">
            <w:pPr>
              <w:jc w:val="right"/>
              <w:rPr>
                <w:rFonts w:eastAsia="Calibri"/>
                <w:sz w:val="22"/>
                <w:szCs w:val="22"/>
              </w:rPr>
            </w:pPr>
          </w:p>
        </w:tc>
        <w:tc>
          <w:tcPr>
            <w:tcW w:w="571" w:type="pct"/>
            <w:shd w:val="clear" w:color="auto" w:fill="auto"/>
            <w:noWrap/>
            <w:tcMar>
              <w:top w:w="0" w:type="dxa"/>
              <w:left w:w="108" w:type="dxa"/>
              <w:bottom w:w="0" w:type="dxa"/>
              <w:right w:w="108" w:type="dxa"/>
            </w:tcMar>
            <w:vAlign w:val="bottom"/>
          </w:tcPr>
          <w:p w14:paraId="174A6ECC" w14:textId="77777777" w:rsidR="0074499E" w:rsidRPr="0074499E" w:rsidRDefault="0074499E" w:rsidP="0074499E">
            <w:pPr>
              <w:jc w:val="right"/>
              <w:rPr>
                <w:rFonts w:eastAsia="Calibri"/>
                <w:b/>
                <w:sz w:val="22"/>
                <w:szCs w:val="22"/>
              </w:rPr>
            </w:pPr>
          </w:p>
        </w:tc>
        <w:tc>
          <w:tcPr>
            <w:tcW w:w="519" w:type="pct"/>
            <w:shd w:val="clear" w:color="auto" w:fill="auto"/>
          </w:tcPr>
          <w:p w14:paraId="1D893CC9" w14:textId="77777777" w:rsidR="0074499E" w:rsidRPr="0074499E" w:rsidRDefault="0074499E" w:rsidP="0074499E">
            <w:pPr>
              <w:jc w:val="right"/>
              <w:rPr>
                <w:rFonts w:eastAsia="Calibri"/>
                <w:b/>
                <w:sz w:val="22"/>
                <w:szCs w:val="22"/>
              </w:rPr>
            </w:pPr>
          </w:p>
        </w:tc>
        <w:tc>
          <w:tcPr>
            <w:tcW w:w="838" w:type="pct"/>
            <w:shd w:val="clear" w:color="auto" w:fill="auto"/>
          </w:tcPr>
          <w:p w14:paraId="34EDB919" w14:textId="77777777" w:rsidR="0074499E" w:rsidRPr="0074499E" w:rsidRDefault="0074499E" w:rsidP="0074499E">
            <w:pPr>
              <w:jc w:val="right"/>
              <w:rPr>
                <w:b/>
                <w:color w:val="000000"/>
                <w:sz w:val="22"/>
                <w:szCs w:val="22"/>
              </w:rPr>
            </w:pPr>
            <w:r w:rsidRPr="0074499E">
              <w:rPr>
                <w:b/>
                <w:color w:val="000000"/>
                <w:sz w:val="22"/>
                <w:szCs w:val="22"/>
              </w:rPr>
              <w:t>94,903</w:t>
            </w:r>
          </w:p>
        </w:tc>
      </w:tr>
    </w:tbl>
    <w:p w14:paraId="21239B26" w14:textId="77777777" w:rsidR="0074499E" w:rsidRPr="0074499E" w:rsidRDefault="0074499E" w:rsidP="0074499E">
      <w:pPr>
        <w:spacing w:line="480" w:lineRule="auto"/>
      </w:pPr>
    </w:p>
    <w:p w14:paraId="367E5CC9" w14:textId="3CE09C3D" w:rsidR="0074499E" w:rsidRDefault="0074499E">
      <w:r>
        <w:br w:type="page"/>
      </w:r>
    </w:p>
    <w:p w14:paraId="43249BE2" w14:textId="77777777" w:rsidR="0074499E" w:rsidRPr="0074499E" w:rsidRDefault="0074499E" w:rsidP="0074499E">
      <w:pPr>
        <w:rPr>
          <w:b/>
          <w:bCs/>
        </w:rPr>
      </w:pPr>
      <w:r w:rsidRPr="0074499E">
        <w:rPr>
          <w:b/>
          <w:bCs/>
        </w:rPr>
        <w:lastRenderedPageBreak/>
        <w:t>A.15</w:t>
      </w:r>
      <w:r w:rsidRPr="0074499E">
        <w:rPr>
          <w:b/>
          <w:bCs/>
        </w:rPr>
        <w:tab/>
        <w:t>Explanation for Program Changes or Adjustments</w:t>
      </w:r>
    </w:p>
    <w:p w14:paraId="6E7D139A" w14:textId="77777777" w:rsidR="0074499E" w:rsidRPr="0074499E" w:rsidRDefault="0074499E" w:rsidP="0074499E">
      <w:pPr>
        <w:ind w:left="720" w:hanging="720"/>
        <w:contextualSpacing/>
      </w:pPr>
    </w:p>
    <w:p w14:paraId="4F65E75E" w14:textId="77777777" w:rsidR="0074499E" w:rsidRPr="0074499E" w:rsidRDefault="0074499E" w:rsidP="0074499E">
      <w:pPr>
        <w:spacing w:line="480" w:lineRule="auto"/>
        <w:ind w:firstLine="720"/>
      </w:pPr>
      <w:r w:rsidRPr="0074499E">
        <w:t xml:space="preserve">This is a reinstatement with change.  The proposed changes have resulted in a decrease in the estimated annual number of respondents from 37,053 general radiologic technologists in the USRT cohort (21,700 to the fourth survey general questionnaire, 7,000 to the radioisotope (nuclear medicine) procedures questionnaire, 6,300 to the fluoroscopically-guided procedures questionnaire, and 2,053 medical records clerks) to an estimated 250 annual respondents (to the revised nuclear medicine procedures questionnaire only) among a sample of 1,500 nuclear medicine technologists targeted.  This reflects a shift in focus from assessing radiation-related cancer and other disease risks in general radiologic technologists certified during 1926-1980 to evaluating the feasibility of conducting a cohort study of radiation-related disease risks in nuclear medicine technologists certified after 1980.  </w:t>
      </w:r>
    </w:p>
    <w:p w14:paraId="1369D4B2" w14:textId="77777777" w:rsidR="0074499E" w:rsidRPr="0074499E" w:rsidRDefault="0074499E" w:rsidP="0074499E">
      <w:pPr>
        <w:spacing w:line="480" w:lineRule="auto"/>
        <w:rPr>
          <w:b/>
          <w:bCs/>
        </w:rPr>
      </w:pPr>
      <w:r w:rsidRPr="0074499E">
        <w:rPr>
          <w:b/>
        </w:rPr>
        <w:t>A.16</w:t>
      </w:r>
      <w:r w:rsidRPr="0074499E">
        <w:rPr>
          <w:b/>
        </w:rPr>
        <w:tab/>
      </w:r>
      <w:r w:rsidRPr="0074499E">
        <w:rPr>
          <w:b/>
          <w:bCs/>
        </w:rPr>
        <w:t>Plans for Tabulation and Publication and Project Time Schedule</w:t>
      </w:r>
    </w:p>
    <w:p w14:paraId="5E117872" w14:textId="77777777" w:rsidR="0074499E" w:rsidRPr="0074499E" w:rsidRDefault="0074499E" w:rsidP="0074499E">
      <w:pPr>
        <w:spacing w:line="480" w:lineRule="auto"/>
        <w:ind w:firstLine="720"/>
      </w:pPr>
      <w:r w:rsidRPr="0074499E">
        <w:t>Data from this information collection will be used to (a) characterize patterns in nuclear medicine procedures performed, related work and safety practices, and badge dose measurements over time, and (b) describe correlations between work history factors and objective measures of cumulative radiation exposure in certified nuclear medicine technologists in the U.S.  At least two manuscripts covering these topics will be published.</w:t>
      </w:r>
    </w:p>
    <w:p w14:paraId="2FD0D983" w14:textId="728DB5A3" w:rsidR="0074499E" w:rsidRPr="0074499E" w:rsidRDefault="0074499E" w:rsidP="0074499E">
      <w:pPr>
        <w:spacing w:line="480" w:lineRule="auto"/>
        <w:ind w:firstLine="720"/>
      </w:pPr>
      <w:r w:rsidRPr="0074499E">
        <w:t>A projected time schedule for the U.S. Nuclear Medicine Technologists Feasibility Study described in Section A.6 is displayed in Table A.17-1.  All times are after initial OMB approval for the Nuclear Medicine Procedures Questionnaire.</w:t>
      </w:r>
    </w:p>
    <w:p w14:paraId="7A353740" w14:textId="77777777" w:rsidR="0074499E" w:rsidRPr="0074499E" w:rsidRDefault="0074499E" w:rsidP="0074499E">
      <w:pPr>
        <w:spacing w:line="480" w:lineRule="auto"/>
        <w:ind w:firstLine="720"/>
        <w:sectPr w:rsidR="0074499E" w:rsidRPr="0074499E" w:rsidSect="00E641A2">
          <w:pgSz w:w="12240" w:h="15840" w:code="1"/>
          <w:pgMar w:top="1440" w:right="1440" w:bottom="1170" w:left="1440" w:header="720" w:footer="720" w:gutter="0"/>
          <w:pgNumType w:start="15"/>
          <w:cols w:space="720"/>
          <w:docGrid w:linePitch="326"/>
        </w:sect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050"/>
      </w:tblGrid>
      <w:tr w:rsidR="0074499E" w:rsidRPr="0074499E" w14:paraId="11B8EDFB" w14:textId="77777777" w:rsidTr="004508A2">
        <w:trPr>
          <w:trHeight w:val="271"/>
        </w:trPr>
        <w:tc>
          <w:tcPr>
            <w:tcW w:w="7920" w:type="dxa"/>
            <w:gridSpan w:val="2"/>
          </w:tcPr>
          <w:p w14:paraId="66958916" w14:textId="77777777" w:rsidR="0074499E" w:rsidRPr="0074499E" w:rsidRDefault="0074499E" w:rsidP="0074499E">
            <w:pPr>
              <w:jc w:val="center"/>
              <w:rPr>
                <w:b/>
                <w:bCs/>
                <w:sz w:val="22"/>
                <w:szCs w:val="22"/>
              </w:rPr>
            </w:pPr>
            <w:r w:rsidRPr="0074499E">
              <w:rPr>
                <w:b/>
                <w:bCs/>
                <w:sz w:val="22"/>
                <w:szCs w:val="22"/>
              </w:rPr>
              <w:t>Table A.16.  PROJECT SCHEDULE</w:t>
            </w:r>
          </w:p>
        </w:tc>
      </w:tr>
      <w:tr w:rsidR="0074499E" w:rsidRPr="0074499E" w14:paraId="3A54625A" w14:textId="77777777" w:rsidTr="004508A2">
        <w:trPr>
          <w:trHeight w:val="269"/>
        </w:trPr>
        <w:tc>
          <w:tcPr>
            <w:tcW w:w="3870" w:type="dxa"/>
          </w:tcPr>
          <w:p w14:paraId="7E8E799E" w14:textId="77777777" w:rsidR="0074499E" w:rsidRPr="0074499E" w:rsidRDefault="0074499E" w:rsidP="0074499E">
            <w:pPr>
              <w:jc w:val="center"/>
              <w:rPr>
                <w:b/>
                <w:bCs/>
                <w:sz w:val="22"/>
                <w:szCs w:val="22"/>
              </w:rPr>
            </w:pPr>
            <w:r w:rsidRPr="0074499E">
              <w:rPr>
                <w:b/>
                <w:bCs/>
                <w:sz w:val="22"/>
                <w:szCs w:val="22"/>
              </w:rPr>
              <w:t>Component</w:t>
            </w:r>
          </w:p>
        </w:tc>
        <w:tc>
          <w:tcPr>
            <w:tcW w:w="4050" w:type="dxa"/>
          </w:tcPr>
          <w:p w14:paraId="3ADC8E85" w14:textId="77777777" w:rsidR="0074499E" w:rsidRPr="0074499E" w:rsidRDefault="0074499E" w:rsidP="0074499E">
            <w:pPr>
              <w:jc w:val="center"/>
              <w:rPr>
                <w:b/>
                <w:bCs/>
                <w:sz w:val="22"/>
                <w:szCs w:val="22"/>
              </w:rPr>
            </w:pPr>
            <w:r w:rsidRPr="0074499E">
              <w:rPr>
                <w:b/>
                <w:bCs/>
                <w:sz w:val="22"/>
                <w:szCs w:val="22"/>
              </w:rPr>
              <w:t>Months</w:t>
            </w:r>
          </w:p>
        </w:tc>
      </w:tr>
      <w:tr w:rsidR="0074499E" w:rsidRPr="0074499E" w14:paraId="170BDDBD" w14:textId="77777777" w:rsidTr="004508A2">
        <w:trPr>
          <w:trHeight w:val="271"/>
        </w:trPr>
        <w:tc>
          <w:tcPr>
            <w:tcW w:w="3870" w:type="dxa"/>
          </w:tcPr>
          <w:p w14:paraId="524DEEF6" w14:textId="77777777" w:rsidR="0074499E" w:rsidRPr="0074499E" w:rsidRDefault="0074499E" w:rsidP="0074499E">
            <w:pPr>
              <w:rPr>
                <w:bCs/>
                <w:sz w:val="22"/>
                <w:szCs w:val="22"/>
              </w:rPr>
            </w:pPr>
            <w:r w:rsidRPr="0074499E">
              <w:rPr>
                <w:bCs/>
                <w:sz w:val="22"/>
                <w:szCs w:val="22"/>
              </w:rPr>
              <w:t>Information collection</w:t>
            </w:r>
          </w:p>
        </w:tc>
        <w:tc>
          <w:tcPr>
            <w:tcW w:w="4050" w:type="dxa"/>
          </w:tcPr>
          <w:p w14:paraId="12D52C29" w14:textId="77777777" w:rsidR="0074499E" w:rsidRPr="0074499E" w:rsidRDefault="0074499E" w:rsidP="0074499E">
            <w:pPr>
              <w:jc w:val="center"/>
              <w:rPr>
                <w:bCs/>
                <w:sz w:val="22"/>
                <w:szCs w:val="22"/>
              </w:rPr>
            </w:pPr>
            <w:r w:rsidRPr="0074499E">
              <w:rPr>
                <w:bCs/>
                <w:sz w:val="22"/>
                <w:szCs w:val="22"/>
              </w:rPr>
              <w:t xml:space="preserve">0-30 </w:t>
            </w:r>
          </w:p>
        </w:tc>
      </w:tr>
      <w:tr w:rsidR="0074499E" w:rsidRPr="0074499E" w14:paraId="21E2C2CE" w14:textId="77777777" w:rsidTr="004508A2">
        <w:trPr>
          <w:trHeight w:val="271"/>
        </w:trPr>
        <w:tc>
          <w:tcPr>
            <w:tcW w:w="3870" w:type="dxa"/>
          </w:tcPr>
          <w:p w14:paraId="3D466205" w14:textId="77777777" w:rsidR="0074499E" w:rsidRPr="0074499E" w:rsidRDefault="0074499E" w:rsidP="0074499E">
            <w:pPr>
              <w:rPr>
                <w:sz w:val="22"/>
              </w:rPr>
            </w:pPr>
            <w:r w:rsidRPr="0074499E">
              <w:rPr>
                <w:bCs/>
                <w:sz w:val="22"/>
                <w:szCs w:val="22"/>
              </w:rPr>
              <w:t xml:space="preserve">Commercial dosimetry linkage </w:t>
            </w:r>
          </w:p>
        </w:tc>
        <w:tc>
          <w:tcPr>
            <w:tcW w:w="4050" w:type="dxa"/>
          </w:tcPr>
          <w:p w14:paraId="502B22CC" w14:textId="77777777" w:rsidR="0074499E" w:rsidRPr="0074499E" w:rsidRDefault="0074499E" w:rsidP="0074499E">
            <w:pPr>
              <w:jc w:val="center"/>
              <w:rPr>
                <w:sz w:val="22"/>
              </w:rPr>
            </w:pPr>
            <w:r w:rsidRPr="0074499E">
              <w:rPr>
                <w:bCs/>
                <w:sz w:val="22"/>
                <w:szCs w:val="22"/>
              </w:rPr>
              <w:t>12-24</w:t>
            </w:r>
          </w:p>
        </w:tc>
      </w:tr>
      <w:tr w:rsidR="0074499E" w:rsidRPr="0074499E" w14:paraId="2B04C8D5" w14:textId="77777777" w:rsidTr="004508A2">
        <w:trPr>
          <w:trHeight w:val="271"/>
        </w:trPr>
        <w:tc>
          <w:tcPr>
            <w:tcW w:w="3870" w:type="dxa"/>
          </w:tcPr>
          <w:p w14:paraId="13581262" w14:textId="77777777" w:rsidR="0074499E" w:rsidRPr="0074499E" w:rsidRDefault="0074499E" w:rsidP="0074499E">
            <w:pPr>
              <w:rPr>
                <w:bCs/>
                <w:sz w:val="22"/>
                <w:szCs w:val="22"/>
              </w:rPr>
            </w:pPr>
            <w:r w:rsidRPr="0074499E">
              <w:rPr>
                <w:bCs/>
                <w:sz w:val="22"/>
                <w:szCs w:val="22"/>
              </w:rPr>
              <w:t>Data analysis</w:t>
            </w:r>
          </w:p>
        </w:tc>
        <w:tc>
          <w:tcPr>
            <w:tcW w:w="4050" w:type="dxa"/>
          </w:tcPr>
          <w:p w14:paraId="34C60043" w14:textId="77777777" w:rsidR="0074499E" w:rsidRPr="0074499E" w:rsidDel="00AC7D5E" w:rsidRDefault="0074499E" w:rsidP="0074499E">
            <w:pPr>
              <w:jc w:val="center"/>
              <w:rPr>
                <w:bCs/>
                <w:sz w:val="22"/>
                <w:szCs w:val="22"/>
              </w:rPr>
            </w:pPr>
            <w:r w:rsidRPr="0074499E">
              <w:rPr>
                <w:bCs/>
                <w:sz w:val="22"/>
                <w:szCs w:val="22"/>
              </w:rPr>
              <w:t>24-34</w:t>
            </w:r>
          </w:p>
        </w:tc>
      </w:tr>
      <w:tr w:rsidR="0074499E" w:rsidRPr="0074499E" w14:paraId="05A5467E" w14:textId="77777777" w:rsidTr="004508A2">
        <w:trPr>
          <w:trHeight w:val="271"/>
        </w:trPr>
        <w:tc>
          <w:tcPr>
            <w:tcW w:w="3870" w:type="dxa"/>
          </w:tcPr>
          <w:p w14:paraId="71995996" w14:textId="77777777" w:rsidR="0074499E" w:rsidRPr="0074499E" w:rsidRDefault="0074499E" w:rsidP="0074499E">
            <w:pPr>
              <w:rPr>
                <w:bCs/>
                <w:sz w:val="22"/>
                <w:szCs w:val="22"/>
              </w:rPr>
            </w:pPr>
            <w:r w:rsidRPr="0074499E">
              <w:rPr>
                <w:bCs/>
                <w:sz w:val="22"/>
                <w:szCs w:val="22"/>
              </w:rPr>
              <w:t>Manuscript preparation</w:t>
            </w:r>
          </w:p>
        </w:tc>
        <w:tc>
          <w:tcPr>
            <w:tcW w:w="4050" w:type="dxa"/>
          </w:tcPr>
          <w:p w14:paraId="230EB0E7" w14:textId="77777777" w:rsidR="0074499E" w:rsidRPr="0074499E" w:rsidDel="00C966AD" w:rsidRDefault="0074499E" w:rsidP="0074499E">
            <w:pPr>
              <w:jc w:val="center"/>
              <w:rPr>
                <w:bCs/>
                <w:sz w:val="22"/>
                <w:szCs w:val="22"/>
              </w:rPr>
            </w:pPr>
            <w:r w:rsidRPr="0074499E">
              <w:rPr>
                <w:bCs/>
                <w:sz w:val="22"/>
                <w:szCs w:val="22"/>
              </w:rPr>
              <w:t>30-36</w:t>
            </w:r>
          </w:p>
        </w:tc>
      </w:tr>
      <w:tr w:rsidR="0074499E" w:rsidRPr="0074499E" w14:paraId="1002B85D" w14:textId="77777777" w:rsidTr="004508A2">
        <w:trPr>
          <w:trHeight w:val="271"/>
        </w:trPr>
        <w:tc>
          <w:tcPr>
            <w:tcW w:w="3870" w:type="dxa"/>
          </w:tcPr>
          <w:p w14:paraId="308E0892" w14:textId="77777777" w:rsidR="0074499E" w:rsidRPr="0074499E" w:rsidRDefault="0074499E" w:rsidP="0074499E">
            <w:pPr>
              <w:rPr>
                <w:bCs/>
                <w:sz w:val="22"/>
                <w:szCs w:val="22"/>
              </w:rPr>
            </w:pPr>
            <w:r w:rsidRPr="0074499E">
              <w:rPr>
                <w:bCs/>
                <w:sz w:val="22"/>
                <w:szCs w:val="22"/>
              </w:rPr>
              <w:t>Submit first publication</w:t>
            </w:r>
          </w:p>
        </w:tc>
        <w:tc>
          <w:tcPr>
            <w:tcW w:w="4050" w:type="dxa"/>
          </w:tcPr>
          <w:p w14:paraId="53EB96BD" w14:textId="77777777" w:rsidR="0074499E" w:rsidRPr="0074499E" w:rsidDel="00AC7D5E" w:rsidRDefault="0074499E" w:rsidP="0074499E">
            <w:pPr>
              <w:jc w:val="center"/>
              <w:rPr>
                <w:bCs/>
                <w:sz w:val="22"/>
                <w:szCs w:val="22"/>
              </w:rPr>
            </w:pPr>
            <w:r w:rsidRPr="0074499E">
              <w:rPr>
                <w:bCs/>
                <w:sz w:val="22"/>
                <w:szCs w:val="22"/>
              </w:rPr>
              <w:t>36</w:t>
            </w:r>
          </w:p>
        </w:tc>
      </w:tr>
    </w:tbl>
    <w:p w14:paraId="462F7125" w14:textId="77777777" w:rsidR="0074499E" w:rsidRPr="0074499E" w:rsidRDefault="0074499E" w:rsidP="0074499E">
      <w:pPr>
        <w:spacing w:before="120" w:line="480" w:lineRule="auto"/>
        <w:ind w:left="720" w:hanging="720"/>
        <w:rPr>
          <w:b/>
          <w:bCs/>
          <w:u w:val="single"/>
        </w:rPr>
      </w:pPr>
      <w:r w:rsidRPr="0074499E">
        <w:rPr>
          <w:b/>
          <w:bCs/>
        </w:rPr>
        <w:lastRenderedPageBreak/>
        <w:t>A.17</w:t>
      </w:r>
      <w:r w:rsidRPr="0074499E">
        <w:rPr>
          <w:b/>
          <w:bCs/>
        </w:rPr>
        <w:tab/>
        <w:t>Reason(s) Display of OMB Expiration Date is Inappropriate</w:t>
      </w:r>
    </w:p>
    <w:p w14:paraId="2514859D" w14:textId="77777777" w:rsidR="0074499E" w:rsidRPr="0074499E" w:rsidRDefault="0074499E" w:rsidP="0074499E">
      <w:pPr>
        <w:spacing w:line="480" w:lineRule="auto"/>
        <w:ind w:firstLine="720"/>
      </w:pPr>
      <w:r w:rsidRPr="0074499E">
        <w:t>There are no reasons to preclude display to the OMB expiration date on the questionnaire.</w:t>
      </w:r>
    </w:p>
    <w:p w14:paraId="1F56A477" w14:textId="77777777" w:rsidR="0074499E" w:rsidRPr="0074499E" w:rsidRDefault="0074499E" w:rsidP="0074499E">
      <w:pPr>
        <w:spacing w:line="480" w:lineRule="auto"/>
        <w:rPr>
          <w:b/>
          <w:bCs/>
          <w:u w:val="single"/>
        </w:rPr>
      </w:pPr>
      <w:r w:rsidRPr="0074499E">
        <w:rPr>
          <w:b/>
          <w:bCs/>
        </w:rPr>
        <w:t>A.18</w:t>
      </w:r>
      <w:r w:rsidRPr="0074499E">
        <w:rPr>
          <w:b/>
          <w:bCs/>
        </w:rPr>
        <w:tab/>
        <w:t>Exceptions to Certification for Paperwork Reduction Act Submissions</w:t>
      </w:r>
    </w:p>
    <w:p w14:paraId="59F02732" w14:textId="77777777" w:rsidR="0074499E" w:rsidRPr="0074499E" w:rsidRDefault="0074499E" w:rsidP="0074499E">
      <w:pPr>
        <w:ind w:firstLine="720"/>
      </w:pPr>
      <w:r w:rsidRPr="0074499E">
        <w:t>There are no exceptions to the certification</w:t>
      </w:r>
    </w:p>
    <w:p w14:paraId="0FD69360" w14:textId="77777777" w:rsidR="00554D5E" w:rsidRDefault="00554D5E" w:rsidP="001306FE">
      <w:pPr>
        <w:spacing w:line="480" w:lineRule="auto"/>
        <w:ind w:firstLine="720"/>
      </w:pPr>
    </w:p>
    <w:sectPr w:rsidR="00554D5E" w:rsidSect="00E641A2">
      <w:type w:val="continuous"/>
      <w:pgSz w:w="12240" w:h="15840" w:code="1"/>
      <w:pgMar w:top="1440" w:right="1440" w:bottom="117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0A934" w14:textId="77777777" w:rsidR="00DB6033" w:rsidRDefault="00DB6033">
      <w:r>
        <w:separator/>
      </w:r>
    </w:p>
  </w:endnote>
  <w:endnote w:type="continuationSeparator" w:id="0">
    <w:p w14:paraId="5FC15BE2" w14:textId="77777777" w:rsidR="00DB6033" w:rsidRDefault="00DB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vOT0231c847">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BE57" w14:textId="77777777" w:rsidR="0061770D" w:rsidRDefault="0061770D" w:rsidP="00BE3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6DC69" w14:textId="77777777" w:rsidR="0061770D" w:rsidRDefault="00617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D0869" w14:textId="6F6E4654" w:rsidR="0061770D" w:rsidRDefault="0061770D" w:rsidP="00A23FE0">
    <w:pPr>
      <w:pStyle w:val="Footer"/>
      <w:framePr w:h="451" w:hRule="exact" w:wrap="around" w:vAnchor="text" w:hAnchor="margin" w:xAlign="center" w:y="-203"/>
      <w:rPr>
        <w:rStyle w:val="PageNumber"/>
      </w:rPr>
    </w:pPr>
    <w:r>
      <w:rPr>
        <w:rStyle w:val="PageNumber"/>
      </w:rPr>
      <w:fldChar w:fldCharType="begin"/>
    </w:r>
    <w:r>
      <w:rPr>
        <w:rStyle w:val="PageNumber"/>
      </w:rPr>
      <w:instrText xml:space="preserve">PAGE  </w:instrText>
    </w:r>
    <w:r>
      <w:rPr>
        <w:rStyle w:val="PageNumber"/>
      </w:rPr>
      <w:fldChar w:fldCharType="separate"/>
    </w:r>
    <w:r w:rsidR="007B0C2B">
      <w:rPr>
        <w:rStyle w:val="PageNumber"/>
        <w:noProof/>
      </w:rPr>
      <w:t>ii</w:t>
    </w:r>
    <w:r>
      <w:rPr>
        <w:rStyle w:val="PageNumber"/>
      </w:rPr>
      <w:fldChar w:fldCharType="end"/>
    </w:r>
  </w:p>
  <w:p w14:paraId="5348578B" w14:textId="77777777" w:rsidR="0061770D" w:rsidRDefault="006177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C51D3" w14:textId="5C06544A" w:rsidR="0061770D" w:rsidRDefault="0061770D">
    <w:pPr>
      <w:pStyle w:val="Footer"/>
      <w:jc w:val="center"/>
    </w:pPr>
    <w:r>
      <w:fldChar w:fldCharType="begin"/>
    </w:r>
    <w:r>
      <w:instrText xml:space="preserve"> PAGE   \* MERGEFORMAT </w:instrText>
    </w:r>
    <w:r>
      <w:fldChar w:fldCharType="separate"/>
    </w:r>
    <w:r w:rsidR="007B0C2B">
      <w:rPr>
        <w:noProof/>
      </w:rPr>
      <w:t>i</w:t>
    </w:r>
    <w:r>
      <w:fldChar w:fldCharType="end"/>
    </w:r>
  </w:p>
  <w:p w14:paraId="23CBD981" w14:textId="77777777" w:rsidR="0061770D" w:rsidRDefault="006177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BEBB0" w14:textId="77777777" w:rsidR="000458C3" w:rsidRDefault="000458C3" w:rsidP="00BE3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D8C2F" w14:textId="77777777" w:rsidR="000458C3" w:rsidRDefault="000458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EEA4" w14:textId="1587387F" w:rsidR="000458C3" w:rsidRDefault="000458C3" w:rsidP="00BE3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C2B">
      <w:rPr>
        <w:rStyle w:val="PageNumber"/>
        <w:noProof/>
      </w:rPr>
      <w:t>13</w:t>
    </w:r>
    <w:r>
      <w:rPr>
        <w:rStyle w:val="PageNumber"/>
      </w:rPr>
      <w:fldChar w:fldCharType="end"/>
    </w:r>
  </w:p>
  <w:p w14:paraId="7B82CD3C" w14:textId="77777777" w:rsidR="000458C3" w:rsidRDefault="000458C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274714"/>
      <w:docPartObj>
        <w:docPartGallery w:val="Page Numbers (Bottom of Page)"/>
        <w:docPartUnique/>
      </w:docPartObj>
    </w:sdtPr>
    <w:sdtEndPr>
      <w:rPr>
        <w:noProof/>
      </w:rPr>
    </w:sdtEndPr>
    <w:sdtContent>
      <w:p w14:paraId="0FA38518" w14:textId="77777777" w:rsidR="0074499E" w:rsidRDefault="0074499E">
        <w:pPr>
          <w:pStyle w:val="Footer"/>
          <w:jc w:val="center"/>
        </w:pPr>
        <w:r>
          <w:fldChar w:fldCharType="begin"/>
        </w:r>
        <w:r>
          <w:instrText xml:space="preserve"> PAGE   \* MERGEFORMAT </w:instrText>
        </w:r>
        <w:r>
          <w:fldChar w:fldCharType="separate"/>
        </w:r>
        <w:r w:rsidR="007B0C2B">
          <w:rPr>
            <w:noProof/>
          </w:rPr>
          <w:t>14</w:t>
        </w:r>
        <w:r>
          <w:rPr>
            <w:noProof/>
          </w:rPr>
          <w:fldChar w:fldCharType="end"/>
        </w:r>
      </w:p>
    </w:sdtContent>
  </w:sdt>
  <w:p w14:paraId="0F35909C" w14:textId="77777777" w:rsidR="0074499E" w:rsidRDefault="007449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148235"/>
      <w:docPartObj>
        <w:docPartGallery w:val="Page Numbers (Bottom of Page)"/>
        <w:docPartUnique/>
      </w:docPartObj>
    </w:sdtPr>
    <w:sdtEndPr>
      <w:rPr>
        <w:noProof/>
      </w:rPr>
    </w:sdtEndPr>
    <w:sdtContent>
      <w:p w14:paraId="6D1C8B51" w14:textId="77777777" w:rsidR="0074499E" w:rsidRDefault="0074499E">
        <w:pPr>
          <w:pStyle w:val="Footer"/>
          <w:jc w:val="center"/>
        </w:pPr>
        <w:r>
          <w:fldChar w:fldCharType="begin"/>
        </w:r>
        <w:r>
          <w:instrText xml:space="preserve"> PAGE   \* MERGEFORMAT </w:instrText>
        </w:r>
        <w:r>
          <w:fldChar w:fldCharType="separate"/>
        </w:r>
        <w:r w:rsidR="007B0C2B">
          <w:rPr>
            <w:noProof/>
          </w:rPr>
          <w:t>18</w:t>
        </w:r>
        <w:r>
          <w:rPr>
            <w:noProof/>
          </w:rPr>
          <w:fldChar w:fldCharType="end"/>
        </w:r>
      </w:p>
    </w:sdtContent>
  </w:sdt>
  <w:p w14:paraId="7B19A0AD" w14:textId="77777777" w:rsidR="0074499E" w:rsidRDefault="00744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0FA25" w14:textId="77777777" w:rsidR="00DB6033" w:rsidRDefault="00DB6033">
      <w:r>
        <w:separator/>
      </w:r>
    </w:p>
  </w:footnote>
  <w:footnote w:type="continuationSeparator" w:id="0">
    <w:p w14:paraId="48C84824" w14:textId="77777777" w:rsidR="00DB6033" w:rsidRDefault="00DB6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BD5F" w14:textId="64A24435" w:rsidR="0061770D" w:rsidRDefault="0061770D">
    <w:pPr>
      <w:pStyle w:val="Header"/>
    </w:pPr>
    <w:r>
      <w:t>Supporting Statement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1D3D8" w14:textId="60AF1D72" w:rsidR="000458C3" w:rsidRDefault="0061770D">
    <w:pPr>
      <w:pStyle w:val="Header"/>
    </w:pPr>
    <w:r>
      <w:t>Supporting Statement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9AB66" w14:textId="77777777" w:rsidR="000458C3" w:rsidRDefault="000458C3">
    <w:pPr>
      <w:pStyle w:val="Header"/>
    </w:pPr>
    <w:r>
      <w:t>SSA-RT-A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7147"/>
    <w:multiLevelType w:val="hybridMultilevel"/>
    <w:tmpl w:val="1820024E"/>
    <w:lvl w:ilvl="0" w:tplc="EF36A81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402A0"/>
    <w:multiLevelType w:val="multilevel"/>
    <w:tmpl w:val="0DCE0F62"/>
    <w:lvl w:ilvl="0">
      <w:start w:val="1"/>
      <w:numFmt w:val="decimal"/>
      <w:lvlText w:val="%1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2D1FB3"/>
    <w:multiLevelType w:val="hybridMultilevel"/>
    <w:tmpl w:val="B8DC6314"/>
    <w:lvl w:ilvl="0" w:tplc="AC16424C">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11690B19"/>
    <w:multiLevelType w:val="singleLevel"/>
    <w:tmpl w:val="00000000"/>
    <w:lvl w:ilvl="0">
      <w:start w:val="1"/>
      <w:numFmt w:val="decimal"/>
      <w:pStyle w:val="References"/>
      <w:lvlText w:val="%1."/>
      <w:lvlJc w:val="left"/>
      <w:pPr>
        <w:tabs>
          <w:tab w:val="num" w:pos="360"/>
        </w:tabs>
        <w:ind w:left="360" w:hanging="360"/>
      </w:pPr>
      <w:rPr>
        <w:b w:val="0"/>
        <w:i/>
      </w:rPr>
    </w:lvl>
  </w:abstractNum>
  <w:abstractNum w:abstractNumId="4" w15:restartNumberingAfterBreak="0">
    <w:nsid w:val="13414F01"/>
    <w:multiLevelType w:val="hybridMultilevel"/>
    <w:tmpl w:val="38929C0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15:restartNumberingAfterBreak="0">
    <w:nsid w:val="1E8914F4"/>
    <w:multiLevelType w:val="hybridMultilevel"/>
    <w:tmpl w:val="6F38153E"/>
    <w:lvl w:ilvl="0" w:tplc="6C407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E3817"/>
    <w:multiLevelType w:val="hybridMultilevel"/>
    <w:tmpl w:val="10A8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61D07"/>
    <w:multiLevelType w:val="hybridMultilevel"/>
    <w:tmpl w:val="9D1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A3067"/>
    <w:multiLevelType w:val="hybridMultilevel"/>
    <w:tmpl w:val="4BC2D814"/>
    <w:lvl w:ilvl="0" w:tplc="2916A864">
      <w:start w:val="1"/>
      <w:numFmt w:val="none"/>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5A7364"/>
    <w:multiLevelType w:val="hybridMultilevel"/>
    <w:tmpl w:val="089238EA"/>
    <w:lvl w:ilvl="0" w:tplc="57D619BA">
      <w:start w:val="1"/>
      <w:numFmt w:val="none"/>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462C76"/>
    <w:multiLevelType w:val="hybridMultilevel"/>
    <w:tmpl w:val="7E7A7B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F589C"/>
    <w:multiLevelType w:val="hybridMultilevel"/>
    <w:tmpl w:val="EEF4BE14"/>
    <w:lvl w:ilvl="0" w:tplc="8326D084">
      <w:start w:val="2"/>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4AA90AD3"/>
    <w:multiLevelType w:val="hybridMultilevel"/>
    <w:tmpl w:val="1BD66A60"/>
    <w:lvl w:ilvl="0" w:tplc="44443EA2">
      <w:start w:val="1"/>
      <w:numFmt w:val="upperLetter"/>
      <w:pStyle w:val="Heading4"/>
      <w:lvlText w:val="%1."/>
      <w:lvlJc w:val="left"/>
      <w:pPr>
        <w:tabs>
          <w:tab w:val="num" w:pos="720"/>
        </w:tabs>
        <w:ind w:left="720" w:hanging="720"/>
      </w:pPr>
      <w:rPr>
        <w:rFonts w:hint="default"/>
        <w:color w:val="auto"/>
      </w:rPr>
    </w:lvl>
    <w:lvl w:ilvl="1" w:tplc="91E452DE">
      <w:start w:val="1"/>
      <w:numFmt w:val="decimal"/>
      <w:lvlText w:val="%2."/>
      <w:lvlJc w:val="left"/>
      <w:pPr>
        <w:tabs>
          <w:tab w:val="num" w:pos="2160"/>
        </w:tabs>
        <w:ind w:left="2160" w:hanging="1080"/>
      </w:pPr>
      <w:rPr>
        <w:rFonts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4C3F85"/>
    <w:multiLevelType w:val="hybridMultilevel"/>
    <w:tmpl w:val="EEF4BE14"/>
    <w:lvl w:ilvl="0" w:tplc="8326D084">
      <w:start w:val="2"/>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4FCC02DF"/>
    <w:multiLevelType w:val="hybridMultilevel"/>
    <w:tmpl w:val="E0C6A1F8"/>
    <w:lvl w:ilvl="0" w:tplc="D012D5B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765E28"/>
    <w:multiLevelType w:val="hybridMultilevel"/>
    <w:tmpl w:val="9662BB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D1CCD"/>
    <w:multiLevelType w:val="hybridMultilevel"/>
    <w:tmpl w:val="410E39CC"/>
    <w:lvl w:ilvl="0" w:tplc="7E9A51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EC22B6"/>
    <w:multiLevelType w:val="multilevel"/>
    <w:tmpl w:val="089238EA"/>
    <w:lvl w:ilvl="0">
      <w:start w:val="1"/>
      <w:numFmt w:val="none"/>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AB3C25"/>
    <w:multiLevelType w:val="hybridMultilevel"/>
    <w:tmpl w:val="0E788DBA"/>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9" w15:restartNumberingAfterBreak="0">
    <w:nsid w:val="6B8233C7"/>
    <w:multiLevelType w:val="hybridMultilevel"/>
    <w:tmpl w:val="0DCE0F62"/>
    <w:lvl w:ilvl="0" w:tplc="6E1A7F16">
      <w:start w:val="1"/>
      <w:numFmt w:val="decimal"/>
      <w:lvlText w:val="%1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580EB5"/>
    <w:multiLevelType w:val="hybridMultilevel"/>
    <w:tmpl w:val="A8ECDE52"/>
    <w:lvl w:ilvl="0" w:tplc="5EAC5FB2">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41494E"/>
    <w:multiLevelType w:val="hybridMultilevel"/>
    <w:tmpl w:val="EB58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414E1"/>
    <w:multiLevelType w:val="hybridMultilevel"/>
    <w:tmpl w:val="8146C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14529"/>
    <w:multiLevelType w:val="hybridMultilevel"/>
    <w:tmpl w:val="64A465D6"/>
    <w:lvl w:ilvl="0" w:tplc="FF3C25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18"/>
  </w:num>
  <w:num w:numId="3">
    <w:abstractNumId w:val="20"/>
  </w:num>
  <w:num w:numId="4">
    <w:abstractNumId w:val="14"/>
  </w:num>
  <w:num w:numId="5">
    <w:abstractNumId w:val="0"/>
  </w:num>
  <w:num w:numId="6">
    <w:abstractNumId w:val="8"/>
  </w:num>
  <w:num w:numId="7">
    <w:abstractNumId w:val="23"/>
  </w:num>
  <w:num w:numId="8">
    <w:abstractNumId w:val="9"/>
  </w:num>
  <w:num w:numId="9">
    <w:abstractNumId w:val="17"/>
  </w:num>
  <w:num w:numId="10">
    <w:abstractNumId w:val="19"/>
  </w:num>
  <w:num w:numId="11">
    <w:abstractNumId w:val="1"/>
  </w:num>
  <w:num w:numId="12">
    <w:abstractNumId w:val="16"/>
  </w:num>
  <w:num w:numId="13">
    <w:abstractNumId w:val="3"/>
  </w:num>
  <w:num w:numId="14">
    <w:abstractNumId w:val="22"/>
  </w:num>
  <w:num w:numId="15">
    <w:abstractNumId w:val="10"/>
  </w:num>
  <w:num w:numId="16">
    <w:abstractNumId w:val="15"/>
  </w:num>
  <w:num w:numId="17">
    <w:abstractNumId w:val="4"/>
  </w:num>
  <w:num w:numId="18">
    <w:abstractNumId w:val="2"/>
  </w:num>
  <w:num w:numId="19">
    <w:abstractNumId w:val="13"/>
  </w:num>
  <w:num w:numId="20">
    <w:abstractNumId w:val="11"/>
  </w:num>
  <w:num w:numId="21">
    <w:abstractNumId w:val="7"/>
  </w:num>
  <w:num w:numId="22">
    <w:abstractNumId w:val="12"/>
    <w:lvlOverride w:ilvl="0">
      <w:startOverride w:val="1"/>
    </w:lvlOverride>
    <w:lvlOverride w:ilvl="1">
      <w:startOverride w:val="17"/>
    </w:lvlOverride>
  </w:num>
  <w:num w:numId="23">
    <w:abstractNumId w:val="5"/>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QxsDA3MjA2tDA0NTNW0lEKTi0uzszPAykwrwUAGZkb9ywAAAA="/>
  </w:docVars>
  <w:rsids>
    <w:rsidRoot w:val="007024DC"/>
    <w:rsid w:val="00000CDC"/>
    <w:rsid w:val="000031A4"/>
    <w:rsid w:val="000101B6"/>
    <w:rsid w:val="00013A0F"/>
    <w:rsid w:val="00015ADA"/>
    <w:rsid w:val="00016068"/>
    <w:rsid w:val="00016A7F"/>
    <w:rsid w:val="00023A87"/>
    <w:rsid w:val="00031717"/>
    <w:rsid w:val="00034897"/>
    <w:rsid w:val="00036492"/>
    <w:rsid w:val="0003717C"/>
    <w:rsid w:val="00042312"/>
    <w:rsid w:val="00044A20"/>
    <w:rsid w:val="000458C3"/>
    <w:rsid w:val="000477BE"/>
    <w:rsid w:val="00053876"/>
    <w:rsid w:val="000617FC"/>
    <w:rsid w:val="0006213C"/>
    <w:rsid w:val="00062BDF"/>
    <w:rsid w:val="00063305"/>
    <w:rsid w:val="000659B2"/>
    <w:rsid w:val="00065E6F"/>
    <w:rsid w:val="0006718D"/>
    <w:rsid w:val="00071054"/>
    <w:rsid w:val="00072343"/>
    <w:rsid w:val="00072CF4"/>
    <w:rsid w:val="00076632"/>
    <w:rsid w:val="00080AC4"/>
    <w:rsid w:val="00086131"/>
    <w:rsid w:val="00086D64"/>
    <w:rsid w:val="00090532"/>
    <w:rsid w:val="00093AF4"/>
    <w:rsid w:val="00096A72"/>
    <w:rsid w:val="000A0B52"/>
    <w:rsid w:val="000A218F"/>
    <w:rsid w:val="000A4324"/>
    <w:rsid w:val="000A4D25"/>
    <w:rsid w:val="000A739B"/>
    <w:rsid w:val="000B0297"/>
    <w:rsid w:val="000B17ED"/>
    <w:rsid w:val="000B4A19"/>
    <w:rsid w:val="000B4C5E"/>
    <w:rsid w:val="000C11F9"/>
    <w:rsid w:val="000C53F7"/>
    <w:rsid w:val="000C5A3A"/>
    <w:rsid w:val="000C7868"/>
    <w:rsid w:val="000D6CC5"/>
    <w:rsid w:val="000D7DA4"/>
    <w:rsid w:val="000E36F8"/>
    <w:rsid w:val="000E685A"/>
    <w:rsid w:val="000E7765"/>
    <w:rsid w:val="000E795D"/>
    <w:rsid w:val="000F1B34"/>
    <w:rsid w:val="000F2D87"/>
    <w:rsid w:val="000F36FB"/>
    <w:rsid w:val="000F4710"/>
    <w:rsid w:val="000F51A8"/>
    <w:rsid w:val="000F5EC9"/>
    <w:rsid w:val="000F69D5"/>
    <w:rsid w:val="001012CF"/>
    <w:rsid w:val="0010720B"/>
    <w:rsid w:val="00107577"/>
    <w:rsid w:val="00110279"/>
    <w:rsid w:val="0011030A"/>
    <w:rsid w:val="001109A5"/>
    <w:rsid w:val="00111591"/>
    <w:rsid w:val="00111788"/>
    <w:rsid w:val="00116303"/>
    <w:rsid w:val="00117E7C"/>
    <w:rsid w:val="00120770"/>
    <w:rsid w:val="00121176"/>
    <w:rsid w:val="00121772"/>
    <w:rsid w:val="00121B3E"/>
    <w:rsid w:val="00125281"/>
    <w:rsid w:val="0012612A"/>
    <w:rsid w:val="001306FE"/>
    <w:rsid w:val="0013363E"/>
    <w:rsid w:val="0014097A"/>
    <w:rsid w:val="00140BED"/>
    <w:rsid w:val="001416D5"/>
    <w:rsid w:val="001417C2"/>
    <w:rsid w:val="0014294C"/>
    <w:rsid w:val="00146225"/>
    <w:rsid w:val="001463EC"/>
    <w:rsid w:val="001464E0"/>
    <w:rsid w:val="00147245"/>
    <w:rsid w:val="00150CAD"/>
    <w:rsid w:val="0015150F"/>
    <w:rsid w:val="00151730"/>
    <w:rsid w:val="00152B29"/>
    <w:rsid w:val="001551DB"/>
    <w:rsid w:val="00155A17"/>
    <w:rsid w:val="0015756E"/>
    <w:rsid w:val="00162740"/>
    <w:rsid w:val="001643B3"/>
    <w:rsid w:val="001663ED"/>
    <w:rsid w:val="00167BF0"/>
    <w:rsid w:val="00171628"/>
    <w:rsid w:val="00174723"/>
    <w:rsid w:val="00175245"/>
    <w:rsid w:val="00180703"/>
    <w:rsid w:val="0018415E"/>
    <w:rsid w:val="00184CF6"/>
    <w:rsid w:val="0018581C"/>
    <w:rsid w:val="00193912"/>
    <w:rsid w:val="00193C92"/>
    <w:rsid w:val="00195546"/>
    <w:rsid w:val="001A043C"/>
    <w:rsid w:val="001A0DBB"/>
    <w:rsid w:val="001A1526"/>
    <w:rsid w:val="001A377C"/>
    <w:rsid w:val="001A4E22"/>
    <w:rsid w:val="001A644B"/>
    <w:rsid w:val="001B0DF1"/>
    <w:rsid w:val="001B4C95"/>
    <w:rsid w:val="001B5069"/>
    <w:rsid w:val="001B54C6"/>
    <w:rsid w:val="001B5E78"/>
    <w:rsid w:val="001C22DF"/>
    <w:rsid w:val="001C2E10"/>
    <w:rsid w:val="001C32EE"/>
    <w:rsid w:val="001C670D"/>
    <w:rsid w:val="001D1A7C"/>
    <w:rsid w:val="001D37D2"/>
    <w:rsid w:val="001D5F92"/>
    <w:rsid w:val="001D6462"/>
    <w:rsid w:val="001D79C1"/>
    <w:rsid w:val="001E6B4B"/>
    <w:rsid w:val="001E7794"/>
    <w:rsid w:val="001F0A9C"/>
    <w:rsid w:val="001F1F44"/>
    <w:rsid w:val="001F3AF0"/>
    <w:rsid w:val="001F4CA0"/>
    <w:rsid w:val="001F75B9"/>
    <w:rsid w:val="001F7821"/>
    <w:rsid w:val="002003E5"/>
    <w:rsid w:val="0020333F"/>
    <w:rsid w:val="00203AA0"/>
    <w:rsid w:val="00205129"/>
    <w:rsid w:val="002109FD"/>
    <w:rsid w:val="00212764"/>
    <w:rsid w:val="00213779"/>
    <w:rsid w:val="00213877"/>
    <w:rsid w:val="0022288C"/>
    <w:rsid w:val="00222E04"/>
    <w:rsid w:val="002238D9"/>
    <w:rsid w:val="002244F9"/>
    <w:rsid w:val="00225E3B"/>
    <w:rsid w:val="002311BC"/>
    <w:rsid w:val="00231B38"/>
    <w:rsid w:val="0023493D"/>
    <w:rsid w:val="00234B99"/>
    <w:rsid w:val="002352A3"/>
    <w:rsid w:val="002363BD"/>
    <w:rsid w:val="0023730C"/>
    <w:rsid w:val="0024341E"/>
    <w:rsid w:val="00244224"/>
    <w:rsid w:val="00246166"/>
    <w:rsid w:val="002477B4"/>
    <w:rsid w:val="0025099E"/>
    <w:rsid w:val="00252402"/>
    <w:rsid w:val="00254F66"/>
    <w:rsid w:val="00255E54"/>
    <w:rsid w:val="00257C3D"/>
    <w:rsid w:val="00257C3F"/>
    <w:rsid w:val="00265959"/>
    <w:rsid w:val="00266F5B"/>
    <w:rsid w:val="002679BE"/>
    <w:rsid w:val="00271E15"/>
    <w:rsid w:val="002726F9"/>
    <w:rsid w:val="00272E10"/>
    <w:rsid w:val="00276A5D"/>
    <w:rsid w:val="002802D7"/>
    <w:rsid w:val="00281772"/>
    <w:rsid w:val="00281866"/>
    <w:rsid w:val="00285863"/>
    <w:rsid w:val="002902DD"/>
    <w:rsid w:val="00294827"/>
    <w:rsid w:val="00295B8B"/>
    <w:rsid w:val="002A6F22"/>
    <w:rsid w:val="002B0F8D"/>
    <w:rsid w:val="002B14CB"/>
    <w:rsid w:val="002B1EBA"/>
    <w:rsid w:val="002B3AEF"/>
    <w:rsid w:val="002B5227"/>
    <w:rsid w:val="002B571B"/>
    <w:rsid w:val="002B6186"/>
    <w:rsid w:val="002C0D6C"/>
    <w:rsid w:val="002C3CE9"/>
    <w:rsid w:val="002C429C"/>
    <w:rsid w:val="002C7BA6"/>
    <w:rsid w:val="002D1C77"/>
    <w:rsid w:val="002D416E"/>
    <w:rsid w:val="002E080C"/>
    <w:rsid w:val="002E1DDA"/>
    <w:rsid w:val="002E30CC"/>
    <w:rsid w:val="002E4D36"/>
    <w:rsid w:val="002E5EE4"/>
    <w:rsid w:val="002F0927"/>
    <w:rsid w:val="002F0EFF"/>
    <w:rsid w:val="002F10CE"/>
    <w:rsid w:val="002F16FB"/>
    <w:rsid w:val="002F704B"/>
    <w:rsid w:val="00302BD0"/>
    <w:rsid w:val="003101D2"/>
    <w:rsid w:val="003127A6"/>
    <w:rsid w:val="003142CA"/>
    <w:rsid w:val="00314E51"/>
    <w:rsid w:val="003237D2"/>
    <w:rsid w:val="0032489B"/>
    <w:rsid w:val="00326710"/>
    <w:rsid w:val="00332645"/>
    <w:rsid w:val="00332952"/>
    <w:rsid w:val="00337ADE"/>
    <w:rsid w:val="00341850"/>
    <w:rsid w:val="00343D37"/>
    <w:rsid w:val="0034630B"/>
    <w:rsid w:val="0035327A"/>
    <w:rsid w:val="00354AD8"/>
    <w:rsid w:val="003579BF"/>
    <w:rsid w:val="0037032A"/>
    <w:rsid w:val="00376E80"/>
    <w:rsid w:val="003779A5"/>
    <w:rsid w:val="003813E0"/>
    <w:rsid w:val="0038255C"/>
    <w:rsid w:val="00384F51"/>
    <w:rsid w:val="00387D8A"/>
    <w:rsid w:val="00390208"/>
    <w:rsid w:val="0039085B"/>
    <w:rsid w:val="00391EB0"/>
    <w:rsid w:val="00394A3A"/>
    <w:rsid w:val="00396FF4"/>
    <w:rsid w:val="003A0648"/>
    <w:rsid w:val="003A15B7"/>
    <w:rsid w:val="003B0A84"/>
    <w:rsid w:val="003B1043"/>
    <w:rsid w:val="003B2538"/>
    <w:rsid w:val="003B3436"/>
    <w:rsid w:val="003B5D2B"/>
    <w:rsid w:val="003C1013"/>
    <w:rsid w:val="003C29AB"/>
    <w:rsid w:val="003C60C1"/>
    <w:rsid w:val="003C7D9E"/>
    <w:rsid w:val="003D01F2"/>
    <w:rsid w:val="003D13E0"/>
    <w:rsid w:val="003D24B1"/>
    <w:rsid w:val="003D50E5"/>
    <w:rsid w:val="003D58DC"/>
    <w:rsid w:val="003D5EF5"/>
    <w:rsid w:val="003D6878"/>
    <w:rsid w:val="003E0501"/>
    <w:rsid w:val="003E549C"/>
    <w:rsid w:val="003E75C8"/>
    <w:rsid w:val="003F0C21"/>
    <w:rsid w:val="003F1491"/>
    <w:rsid w:val="003F415D"/>
    <w:rsid w:val="003F7379"/>
    <w:rsid w:val="00400D4D"/>
    <w:rsid w:val="00402D8F"/>
    <w:rsid w:val="00403706"/>
    <w:rsid w:val="00403D57"/>
    <w:rsid w:val="004066EC"/>
    <w:rsid w:val="00407619"/>
    <w:rsid w:val="004102BD"/>
    <w:rsid w:val="00416554"/>
    <w:rsid w:val="00416AB3"/>
    <w:rsid w:val="004171E2"/>
    <w:rsid w:val="00417AB8"/>
    <w:rsid w:val="004261EE"/>
    <w:rsid w:val="004322CE"/>
    <w:rsid w:val="004345D7"/>
    <w:rsid w:val="00445D98"/>
    <w:rsid w:val="004462B9"/>
    <w:rsid w:val="00446C41"/>
    <w:rsid w:val="004472CA"/>
    <w:rsid w:val="004501CB"/>
    <w:rsid w:val="004520CA"/>
    <w:rsid w:val="00453103"/>
    <w:rsid w:val="004559E6"/>
    <w:rsid w:val="00455C8E"/>
    <w:rsid w:val="00457AA1"/>
    <w:rsid w:val="00457EC6"/>
    <w:rsid w:val="00460FB2"/>
    <w:rsid w:val="00462C3D"/>
    <w:rsid w:val="00465C07"/>
    <w:rsid w:val="004726B0"/>
    <w:rsid w:val="00475440"/>
    <w:rsid w:val="00475B7D"/>
    <w:rsid w:val="00476ECA"/>
    <w:rsid w:val="00482675"/>
    <w:rsid w:val="00485489"/>
    <w:rsid w:val="004942DC"/>
    <w:rsid w:val="00497C69"/>
    <w:rsid w:val="004A0C53"/>
    <w:rsid w:val="004A1BED"/>
    <w:rsid w:val="004A75CE"/>
    <w:rsid w:val="004B46EC"/>
    <w:rsid w:val="004B4DFA"/>
    <w:rsid w:val="004B6DC8"/>
    <w:rsid w:val="004C26E9"/>
    <w:rsid w:val="004C4F9F"/>
    <w:rsid w:val="004C6F17"/>
    <w:rsid w:val="004D1E24"/>
    <w:rsid w:val="004D383C"/>
    <w:rsid w:val="004D7915"/>
    <w:rsid w:val="004E11AE"/>
    <w:rsid w:val="004E2093"/>
    <w:rsid w:val="004E4E4D"/>
    <w:rsid w:val="004E59A7"/>
    <w:rsid w:val="004F3E1C"/>
    <w:rsid w:val="004F5508"/>
    <w:rsid w:val="004F647D"/>
    <w:rsid w:val="005008CF"/>
    <w:rsid w:val="00501371"/>
    <w:rsid w:val="005021F7"/>
    <w:rsid w:val="00503DAD"/>
    <w:rsid w:val="005135A3"/>
    <w:rsid w:val="00516A60"/>
    <w:rsid w:val="005212CE"/>
    <w:rsid w:val="005311D0"/>
    <w:rsid w:val="00533458"/>
    <w:rsid w:val="00537ACC"/>
    <w:rsid w:val="00540488"/>
    <w:rsid w:val="005404F2"/>
    <w:rsid w:val="005409C7"/>
    <w:rsid w:val="00543230"/>
    <w:rsid w:val="00544DFE"/>
    <w:rsid w:val="005459DB"/>
    <w:rsid w:val="00554D5E"/>
    <w:rsid w:val="005567AD"/>
    <w:rsid w:val="00557A4A"/>
    <w:rsid w:val="00565FA6"/>
    <w:rsid w:val="0056774D"/>
    <w:rsid w:val="00567F37"/>
    <w:rsid w:val="0057095F"/>
    <w:rsid w:val="00570B09"/>
    <w:rsid w:val="00570D05"/>
    <w:rsid w:val="00572D9A"/>
    <w:rsid w:val="00574FE3"/>
    <w:rsid w:val="0057549A"/>
    <w:rsid w:val="00576D5E"/>
    <w:rsid w:val="00576F9D"/>
    <w:rsid w:val="00580AAC"/>
    <w:rsid w:val="00580FFB"/>
    <w:rsid w:val="0058219F"/>
    <w:rsid w:val="00582A5C"/>
    <w:rsid w:val="00584F43"/>
    <w:rsid w:val="0058584C"/>
    <w:rsid w:val="00586A39"/>
    <w:rsid w:val="00586B73"/>
    <w:rsid w:val="0059234B"/>
    <w:rsid w:val="00593F00"/>
    <w:rsid w:val="005958F8"/>
    <w:rsid w:val="005A1699"/>
    <w:rsid w:val="005A6B19"/>
    <w:rsid w:val="005B162C"/>
    <w:rsid w:val="005B37FB"/>
    <w:rsid w:val="005B60CB"/>
    <w:rsid w:val="005B6D02"/>
    <w:rsid w:val="005C2305"/>
    <w:rsid w:val="005C3B20"/>
    <w:rsid w:val="005C4202"/>
    <w:rsid w:val="005C7BCA"/>
    <w:rsid w:val="005D0E4C"/>
    <w:rsid w:val="005D66FB"/>
    <w:rsid w:val="005E0E43"/>
    <w:rsid w:val="005F1D35"/>
    <w:rsid w:val="005F38E3"/>
    <w:rsid w:val="005F42E2"/>
    <w:rsid w:val="005F457F"/>
    <w:rsid w:val="005F47A8"/>
    <w:rsid w:val="00600125"/>
    <w:rsid w:val="00600484"/>
    <w:rsid w:val="0060353B"/>
    <w:rsid w:val="006042B4"/>
    <w:rsid w:val="00607AF8"/>
    <w:rsid w:val="00612888"/>
    <w:rsid w:val="006131F4"/>
    <w:rsid w:val="00613AAE"/>
    <w:rsid w:val="0061663A"/>
    <w:rsid w:val="0061770D"/>
    <w:rsid w:val="00620738"/>
    <w:rsid w:val="006213D9"/>
    <w:rsid w:val="00623CDD"/>
    <w:rsid w:val="006263D2"/>
    <w:rsid w:val="00630E9D"/>
    <w:rsid w:val="00632787"/>
    <w:rsid w:val="0063484B"/>
    <w:rsid w:val="0063501E"/>
    <w:rsid w:val="006352E8"/>
    <w:rsid w:val="00635D92"/>
    <w:rsid w:val="00647506"/>
    <w:rsid w:val="0065060C"/>
    <w:rsid w:val="00651107"/>
    <w:rsid w:val="006512FA"/>
    <w:rsid w:val="006524D9"/>
    <w:rsid w:val="00652667"/>
    <w:rsid w:val="00654DF2"/>
    <w:rsid w:val="00655011"/>
    <w:rsid w:val="0065587B"/>
    <w:rsid w:val="00655E56"/>
    <w:rsid w:val="0066113E"/>
    <w:rsid w:val="00661D2F"/>
    <w:rsid w:val="00664EED"/>
    <w:rsid w:val="00670CF0"/>
    <w:rsid w:val="006717D3"/>
    <w:rsid w:val="00672504"/>
    <w:rsid w:val="00673579"/>
    <w:rsid w:val="00675782"/>
    <w:rsid w:val="0068655C"/>
    <w:rsid w:val="0069009A"/>
    <w:rsid w:val="00694554"/>
    <w:rsid w:val="006950B4"/>
    <w:rsid w:val="00696D6F"/>
    <w:rsid w:val="00696FC8"/>
    <w:rsid w:val="00697294"/>
    <w:rsid w:val="00697CD3"/>
    <w:rsid w:val="006A2D26"/>
    <w:rsid w:val="006A47FA"/>
    <w:rsid w:val="006A5FC9"/>
    <w:rsid w:val="006B1047"/>
    <w:rsid w:val="006B324F"/>
    <w:rsid w:val="006B5BBF"/>
    <w:rsid w:val="006B6D0C"/>
    <w:rsid w:val="006B6E6E"/>
    <w:rsid w:val="006B76B3"/>
    <w:rsid w:val="006B7D69"/>
    <w:rsid w:val="006C001D"/>
    <w:rsid w:val="006C4806"/>
    <w:rsid w:val="006C7E04"/>
    <w:rsid w:val="006D13C4"/>
    <w:rsid w:val="006D3F92"/>
    <w:rsid w:val="006D4A62"/>
    <w:rsid w:val="006D5736"/>
    <w:rsid w:val="006E5F53"/>
    <w:rsid w:val="006E652A"/>
    <w:rsid w:val="006E6C07"/>
    <w:rsid w:val="006F03AE"/>
    <w:rsid w:val="006F295E"/>
    <w:rsid w:val="006F2E60"/>
    <w:rsid w:val="006F3401"/>
    <w:rsid w:val="006F5DD8"/>
    <w:rsid w:val="006F6AF1"/>
    <w:rsid w:val="00700262"/>
    <w:rsid w:val="0070028D"/>
    <w:rsid w:val="007024DC"/>
    <w:rsid w:val="007026B8"/>
    <w:rsid w:val="00703CE1"/>
    <w:rsid w:val="0070762B"/>
    <w:rsid w:val="00715DBE"/>
    <w:rsid w:val="00717185"/>
    <w:rsid w:val="00720945"/>
    <w:rsid w:val="0072217F"/>
    <w:rsid w:val="00723C7B"/>
    <w:rsid w:val="00724764"/>
    <w:rsid w:val="00726427"/>
    <w:rsid w:val="00727037"/>
    <w:rsid w:val="00730F17"/>
    <w:rsid w:val="00732AC0"/>
    <w:rsid w:val="00733F9D"/>
    <w:rsid w:val="00736CB4"/>
    <w:rsid w:val="00743BC0"/>
    <w:rsid w:val="007446A8"/>
    <w:rsid w:val="0074499E"/>
    <w:rsid w:val="0074619D"/>
    <w:rsid w:val="00746882"/>
    <w:rsid w:val="00747F37"/>
    <w:rsid w:val="007502B8"/>
    <w:rsid w:val="00765758"/>
    <w:rsid w:val="00765E9D"/>
    <w:rsid w:val="00774948"/>
    <w:rsid w:val="007763DD"/>
    <w:rsid w:val="00780ABF"/>
    <w:rsid w:val="00782CDB"/>
    <w:rsid w:val="00783424"/>
    <w:rsid w:val="00784298"/>
    <w:rsid w:val="00784E85"/>
    <w:rsid w:val="00790171"/>
    <w:rsid w:val="0079116C"/>
    <w:rsid w:val="00791718"/>
    <w:rsid w:val="007A0BE2"/>
    <w:rsid w:val="007A0D11"/>
    <w:rsid w:val="007A1605"/>
    <w:rsid w:val="007A2E5E"/>
    <w:rsid w:val="007A4DE2"/>
    <w:rsid w:val="007A7B06"/>
    <w:rsid w:val="007B05CB"/>
    <w:rsid w:val="007B0C2B"/>
    <w:rsid w:val="007B16A3"/>
    <w:rsid w:val="007B6650"/>
    <w:rsid w:val="007B6D5C"/>
    <w:rsid w:val="007C5808"/>
    <w:rsid w:val="007C73D1"/>
    <w:rsid w:val="007D6501"/>
    <w:rsid w:val="007D6889"/>
    <w:rsid w:val="007D6936"/>
    <w:rsid w:val="007E0FDF"/>
    <w:rsid w:val="007E1708"/>
    <w:rsid w:val="007E2B2E"/>
    <w:rsid w:val="007E5BFA"/>
    <w:rsid w:val="007E630C"/>
    <w:rsid w:val="007E717C"/>
    <w:rsid w:val="007F3EE1"/>
    <w:rsid w:val="008012CE"/>
    <w:rsid w:val="00802865"/>
    <w:rsid w:val="00802D6C"/>
    <w:rsid w:val="0080553B"/>
    <w:rsid w:val="00807BE8"/>
    <w:rsid w:val="00810A68"/>
    <w:rsid w:val="00814FD8"/>
    <w:rsid w:val="0082208C"/>
    <w:rsid w:val="00824020"/>
    <w:rsid w:val="00825B5B"/>
    <w:rsid w:val="008303C0"/>
    <w:rsid w:val="00831F2D"/>
    <w:rsid w:val="00837FF6"/>
    <w:rsid w:val="008419B8"/>
    <w:rsid w:val="00843D8E"/>
    <w:rsid w:val="008446A3"/>
    <w:rsid w:val="008446A4"/>
    <w:rsid w:val="0084644F"/>
    <w:rsid w:val="00847635"/>
    <w:rsid w:val="008478E8"/>
    <w:rsid w:val="00853485"/>
    <w:rsid w:val="0085793D"/>
    <w:rsid w:val="0086056C"/>
    <w:rsid w:val="00864979"/>
    <w:rsid w:val="00865B25"/>
    <w:rsid w:val="00865B32"/>
    <w:rsid w:val="008677CF"/>
    <w:rsid w:val="00870D04"/>
    <w:rsid w:val="00872FEF"/>
    <w:rsid w:val="008833CD"/>
    <w:rsid w:val="00884BC9"/>
    <w:rsid w:val="00885EBC"/>
    <w:rsid w:val="00886E66"/>
    <w:rsid w:val="00890A77"/>
    <w:rsid w:val="00893153"/>
    <w:rsid w:val="0089518C"/>
    <w:rsid w:val="008956E6"/>
    <w:rsid w:val="008A7260"/>
    <w:rsid w:val="008B7ABB"/>
    <w:rsid w:val="008C02D9"/>
    <w:rsid w:val="008C1594"/>
    <w:rsid w:val="008C1E1E"/>
    <w:rsid w:val="008C33D8"/>
    <w:rsid w:val="008C488F"/>
    <w:rsid w:val="008D35C7"/>
    <w:rsid w:val="008D6672"/>
    <w:rsid w:val="008E0164"/>
    <w:rsid w:val="008E36DD"/>
    <w:rsid w:val="008E4973"/>
    <w:rsid w:val="008E6CD3"/>
    <w:rsid w:val="008F0233"/>
    <w:rsid w:val="008F3AA3"/>
    <w:rsid w:val="008F49ED"/>
    <w:rsid w:val="008F77C9"/>
    <w:rsid w:val="009009AF"/>
    <w:rsid w:val="00900B5D"/>
    <w:rsid w:val="00901332"/>
    <w:rsid w:val="00904F16"/>
    <w:rsid w:val="0091062F"/>
    <w:rsid w:val="009123D0"/>
    <w:rsid w:val="00914BEA"/>
    <w:rsid w:val="0092196A"/>
    <w:rsid w:val="00921D9D"/>
    <w:rsid w:val="00926B41"/>
    <w:rsid w:val="00931938"/>
    <w:rsid w:val="00931B7A"/>
    <w:rsid w:val="009331B3"/>
    <w:rsid w:val="00937562"/>
    <w:rsid w:val="009375EA"/>
    <w:rsid w:val="00941E59"/>
    <w:rsid w:val="009472CB"/>
    <w:rsid w:val="00951C06"/>
    <w:rsid w:val="00951E0C"/>
    <w:rsid w:val="00953161"/>
    <w:rsid w:val="00955A88"/>
    <w:rsid w:val="00956508"/>
    <w:rsid w:val="00956FC2"/>
    <w:rsid w:val="00957EB4"/>
    <w:rsid w:val="0096080D"/>
    <w:rsid w:val="0096405D"/>
    <w:rsid w:val="0096527C"/>
    <w:rsid w:val="009670EA"/>
    <w:rsid w:val="0096755C"/>
    <w:rsid w:val="00967AD1"/>
    <w:rsid w:val="00967F7B"/>
    <w:rsid w:val="009706D5"/>
    <w:rsid w:val="009708F2"/>
    <w:rsid w:val="009766AD"/>
    <w:rsid w:val="00980538"/>
    <w:rsid w:val="00980E59"/>
    <w:rsid w:val="0099715F"/>
    <w:rsid w:val="0099761B"/>
    <w:rsid w:val="009A0E95"/>
    <w:rsid w:val="009A54F3"/>
    <w:rsid w:val="009A6249"/>
    <w:rsid w:val="009A7474"/>
    <w:rsid w:val="009A773E"/>
    <w:rsid w:val="009B06F9"/>
    <w:rsid w:val="009B137E"/>
    <w:rsid w:val="009B288B"/>
    <w:rsid w:val="009B33D2"/>
    <w:rsid w:val="009B3609"/>
    <w:rsid w:val="009B58AC"/>
    <w:rsid w:val="009C27D1"/>
    <w:rsid w:val="009C55BB"/>
    <w:rsid w:val="009D0790"/>
    <w:rsid w:val="009D0F68"/>
    <w:rsid w:val="009D54B1"/>
    <w:rsid w:val="009D711D"/>
    <w:rsid w:val="009E14A0"/>
    <w:rsid w:val="009E1902"/>
    <w:rsid w:val="009E2D01"/>
    <w:rsid w:val="009E3D1F"/>
    <w:rsid w:val="009E7FE5"/>
    <w:rsid w:val="009F0FDE"/>
    <w:rsid w:val="009F27CF"/>
    <w:rsid w:val="009F6F30"/>
    <w:rsid w:val="009F7214"/>
    <w:rsid w:val="00A012D5"/>
    <w:rsid w:val="00A03BE3"/>
    <w:rsid w:val="00A10744"/>
    <w:rsid w:val="00A17393"/>
    <w:rsid w:val="00A17F92"/>
    <w:rsid w:val="00A22A10"/>
    <w:rsid w:val="00A2693A"/>
    <w:rsid w:val="00A2770F"/>
    <w:rsid w:val="00A335D5"/>
    <w:rsid w:val="00A35F37"/>
    <w:rsid w:val="00A37D85"/>
    <w:rsid w:val="00A40F57"/>
    <w:rsid w:val="00A444D0"/>
    <w:rsid w:val="00A44A5D"/>
    <w:rsid w:val="00A56E20"/>
    <w:rsid w:val="00A57DDC"/>
    <w:rsid w:val="00A62AEF"/>
    <w:rsid w:val="00A63358"/>
    <w:rsid w:val="00A70D42"/>
    <w:rsid w:val="00A71902"/>
    <w:rsid w:val="00A7194E"/>
    <w:rsid w:val="00A7359C"/>
    <w:rsid w:val="00A74239"/>
    <w:rsid w:val="00A74652"/>
    <w:rsid w:val="00A75150"/>
    <w:rsid w:val="00A7791A"/>
    <w:rsid w:val="00A818C5"/>
    <w:rsid w:val="00A82E70"/>
    <w:rsid w:val="00A857A0"/>
    <w:rsid w:val="00A936AA"/>
    <w:rsid w:val="00A95C25"/>
    <w:rsid w:val="00A97545"/>
    <w:rsid w:val="00AA10BE"/>
    <w:rsid w:val="00AA2029"/>
    <w:rsid w:val="00AA372B"/>
    <w:rsid w:val="00AA5403"/>
    <w:rsid w:val="00AA5613"/>
    <w:rsid w:val="00AA6361"/>
    <w:rsid w:val="00AB099D"/>
    <w:rsid w:val="00AB759E"/>
    <w:rsid w:val="00AC0AFA"/>
    <w:rsid w:val="00AC53DB"/>
    <w:rsid w:val="00AC55CA"/>
    <w:rsid w:val="00AC5684"/>
    <w:rsid w:val="00AC7568"/>
    <w:rsid w:val="00AC7D5E"/>
    <w:rsid w:val="00AD02C2"/>
    <w:rsid w:val="00AD0C9D"/>
    <w:rsid w:val="00AE3DC3"/>
    <w:rsid w:val="00AF06BF"/>
    <w:rsid w:val="00AF0F6D"/>
    <w:rsid w:val="00AF3D43"/>
    <w:rsid w:val="00AF5AD0"/>
    <w:rsid w:val="00AF7ACD"/>
    <w:rsid w:val="00B00963"/>
    <w:rsid w:val="00B0187D"/>
    <w:rsid w:val="00B06476"/>
    <w:rsid w:val="00B130B7"/>
    <w:rsid w:val="00B140D2"/>
    <w:rsid w:val="00B143A4"/>
    <w:rsid w:val="00B14CC5"/>
    <w:rsid w:val="00B1541A"/>
    <w:rsid w:val="00B17418"/>
    <w:rsid w:val="00B17A37"/>
    <w:rsid w:val="00B20274"/>
    <w:rsid w:val="00B20EFC"/>
    <w:rsid w:val="00B22AC7"/>
    <w:rsid w:val="00B27337"/>
    <w:rsid w:val="00B311A5"/>
    <w:rsid w:val="00B33118"/>
    <w:rsid w:val="00B37B1A"/>
    <w:rsid w:val="00B414E6"/>
    <w:rsid w:val="00B42A4C"/>
    <w:rsid w:val="00B44A8F"/>
    <w:rsid w:val="00B46634"/>
    <w:rsid w:val="00B47E5B"/>
    <w:rsid w:val="00B5055E"/>
    <w:rsid w:val="00B50813"/>
    <w:rsid w:val="00B5119E"/>
    <w:rsid w:val="00B53CC1"/>
    <w:rsid w:val="00B548EC"/>
    <w:rsid w:val="00B55A96"/>
    <w:rsid w:val="00B55E8D"/>
    <w:rsid w:val="00B603D1"/>
    <w:rsid w:val="00B632FF"/>
    <w:rsid w:val="00B67766"/>
    <w:rsid w:val="00B712FF"/>
    <w:rsid w:val="00B71AB6"/>
    <w:rsid w:val="00B74EA6"/>
    <w:rsid w:val="00B77C8A"/>
    <w:rsid w:val="00B807C1"/>
    <w:rsid w:val="00B81239"/>
    <w:rsid w:val="00B8401F"/>
    <w:rsid w:val="00B90458"/>
    <w:rsid w:val="00B92122"/>
    <w:rsid w:val="00B93C0E"/>
    <w:rsid w:val="00B95D25"/>
    <w:rsid w:val="00BA07EF"/>
    <w:rsid w:val="00BA29B0"/>
    <w:rsid w:val="00BA4020"/>
    <w:rsid w:val="00BA4389"/>
    <w:rsid w:val="00BA5A0C"/>
    <w:rsid w:val="00BB1F33"/>
    <w:rsid w:val="00BB2B16"/>
    <w:rsid w:val="00BB69ED"/>
    <w:rsid w:val="00BC215F"/>
    <w:rsid w:val="00BC2598"/>
    <w:rsid w:val="00BC62C5"/>
    <w:rsid w:val="00BD0306"/>
    <w:rsid w:val="00BD193D"/>
    <w:rsid w:val="00BD1A6B"/>
    <w:rsid w:val="00BD270B"/>
    <w:rsid w:val="00BD6182"/>
    <w:rsid w:val="00BD65BF"/>
    <w:rsid w:val="00BD79B7"/>
    <w:rsid w:val="00BE0768"/>
    <w:rsid w:val="00BE33E7"/>
    <w:rsid w:val="00BE49DD"/>
    <w:rsid w:val="00BE5252"/>
    <w:rsid w:val="00BF246C"/>
    <w:rsid w:val="00C11BC0"/>
    <w:rsid w:val="00C14BCC"/>
    <w:rsid w:val="00C16390"/>
    <w:rsid w:val="00C23A4E"/>
    <w:rsid w:val="00C247F6"/>
    <w:rsid w:val="00C271D3"/>
    <w:rsid w:val="00C301D2"/>
    <w:rsid w:val="00C30824"/>
    <w:rsid w:val="00C30AB6"/>
    <w:rsid w:val="00C3101C"/>
    <w:rsid w:val="00C33707"/>
    <w:rsid w:val="00C34ACB"/>
    <w:rsid w:val="00C34DD1"/>
    <w:rsid w:val="00C368F7"/>
    <w:rsid w:val="00C40FDD"/>
    <w:rsid w:val="00C464DA"/>
    <w:rsid w:val="00C50A80"/>
    <w:rsid w:val="00C522D8"/>
    <w:rsid w:val="00C60596"/>
    <w:rsid w:val="00C60B7A"/>
    <w:rsid w:val="00C67EBA"/>
    <w:rsid w:val="00C722CE"/>
    <w:rsid w:val="00C739C9"/>
    <w:rsid w:val="00C74F49"/>
    <w:rsid w:val="00C754BD"/>
    <w:rsid w:val="00C77D72"/>
    <w:rsid w:val="00C812F6"/>
    <w:rsid w:val="00C838F2"/>
    <w:rsid w:val="00C8657F"/>
    <w:rsid w:val="00C95960"/>
    <w:rsid w:val="00C966AD"/>
    <w:rsid w:val="00CB3321"/>
    <w:rsid w:val="00CB3D5A"/>
    <w:rsid w:val="00CB5241"/>
    <w:rsid w:val="00CB59C5"/>
    <w:rsid w:val="00CB614C"/>
    <w:rsid w:val="00CB708B"/>
    <w:rsid w:val="00CC160D"/>
    <w:rsid w:val="00CC4F7C"/>
    <w:rsid w:val="00CC7ACD"/>
    <w:rsid w:val="00CD31C9"/>
    <w:rsid w:val="00CD394F"/>
    <w:rsid w:val="00CD3D07"/>
    <w:rsid w:val="00CD7428"/>
    <w:rsid w:val="00CD7768"/>
    <w:rsid w:val="00CE045E"/>
    <w:rsid w:val="00CE1682"/>
    <w:rsid w:val="00CE2A53"/>
    <w:rsid w:val="00CE2A90"/>
    <w:rsid w:val="00CE2D7F"/>
    <w:rsid w:val="00CE3986"/>
    <w:rsid w:val="00CE3EFC"/>
    <w:rsid w:val="00CE595D"/>
    <w:rsid w:val="00CF0540"/>
    <w:rsid w:val="00CF255C"/>
    <w:rsid w:val="00CF2DC5"/>
    <w:rsid w:val="00CF375A"/>
    <w:rsid w:val="00CF55D7"/>
    <w:rsid w:val="00D028C6"/>
    <w:rsid w:val="00D0654B"/>
    <w:rsid w:val="00D10E23"/>
    <w:rsid w:val="00D1704E"/>
    <w:rsid w:val="00D22519"/>
    <w:rsid w:val="00D226C9"/>
    <w:rsid w:val="00D25D1C"/>
    <w:rsid w:val="00D25FDC"/>
    <w:rsid w:val="00D27F41"/>
    <w:rsid w:val="00D32F4C"/>
    <w:rsid w:val="00D34134"/>
    <w:rsid w:val="00D3514D"/>
    <w:rsid w:val="00D36016"/>
    <w:rsid w:val="00D41BBA"/>
    <w:rsid w:val="00D433E8"/>
    <w:rsid w:val="00D43B4A"/>
    <w:rsid w:val="00D448A3"/>
    <w:rsid w:val="00D452F9"/>
    <w:rsid w:val="00D46777"/>
    <w:rsid w:val="00D5028D"/>
    <w:rsid w:val="00D51552"/>
    <w:rsid w:val="00D55761"/>
    <w:rsid w:val="00D5681A"/>
    <w:rsid w:val="00D56EC1"/>
    <w:rsid w:val="00D57128"/>
    <w:rsid w:val="00D6090A"/>
    <w:rsid w:val="00D652C1"/>
    <w:rsid w:val="00D65FE9"/>
    <w:rsid w:val="00D70477"/>
    <w:rsid w:val="00D72342"/>
    <w:rsid w:val="00D747AC"/>
    <w:rsid w:val="00D76F5C"/>
    <w:rsid w:val="00D80A11"/>
    <w:rsid w:val="00D80CAA"/>
    <w:rsid w:val="00D860B3"/>
    <w:rsid w:val="00D9049E"/>
    <w:rsid w:val="00D9159B"/>
    <w:rsid w:val="00D9172D"/>
    <w:rsid w:val="00D92F18"/>
    <w:rsid w:val="00D9309F"/>
    <w:rsid w:val="00D9691C"/>
    <w:rsid w:val="00D96970"/>
    <w:rsid w:val="00DA0193"/>
    <w:rsid w:val="00DA287A"/>
    <w:rsid w:val="00DA32D7"/>
    <w:rsid w:val="00DA4D96"/>
    <w:rsid w:val="00DA7980"/>
    <w:rsid w:val="00DB11E5"/>
    <w:rsid w:val="00DB2F6D"/>
    <w:rsid w:val="00DB4787"/>
    <w:rsid w:val="00DB6033"/>
    <w:rsid w:val="00DB6E45"/>
    <w:rsid w:val="00DB6F62"/>
    <w:rsid w:val="00DB7519"/>
    <w:rsid w:val="00DC5115"/>
    <w:rsid w:val="00DC54BA"/>
    <w:rsid w:val="00DC76DD"/>
    <w:rsid w:val="00DD0898"/>
    <w:rsid w:val="00DD0DC5"/>
    <w:rsid w:val="00DD19C2"/>
    <w:rsid w:val="00DD5335"/>
    <w:rsid w:val="00DD6240"/>
    <w:rsid w:val="00DD7A11"/>
    <w:rsid w:val="00DE2C82"/>
    <w:rsid w:val="00DE35B8"/>
    <w:rsid w:val="00DE4F9E"/>
    <w:rsid w:val="00DE7FCC"/>
    <w:rsid w:val="00DF0EC4"/>
    <w:rsid w:val="00DF575A"/>
    <w:rsid w:val="00DF76B0"/>
    <w:rsid w:val="00E0051D"/>
    <w:rsid w:val="00E01165"/>
    <w:rsid w:val="00E039CF"/>
    <w:rsid w:val="00E03B7D"/>
    <w:rsid w:val="00E14FDD"/>
    <w:rsid w:val="00E17398"/>
    <w:rsid w:val="00E238FC"/>
    <w:rsid w:val="00E257D4"/>
    <w:rsid w:val="00E25EEF"/>
    <w:rsid w:val="00E26A83"/>
    <w:rsid w:val="00E30EA3"/>
    <w:rsid w:val="00E34C55"/>
    <w:rsid w:val="00E35248"/>
    <w:rsid w:val="00E366BE"/>
    <w:rsid w:val="00E377B1"/>
    <w:rsid w:val="00E37BA8"/>
    <w:rsid w:val="00E37BF1"/>
    <w:rsid w:val="00E413BA"/>
    <w:rsid w:val="00E41A21"/>
    <w:rsid w:val="00E42F94"/>
    <w:rsid w:val="00E43A2F"/>
    <w:rsid w:val="00E519BD"/>
    <w:rsid w:val="00E52025"/>
    <w:rsid w:val="00E52A04"/>
    <w:rsid w:val="00E631C3"/>
    <w:rsid w:val="00E641A2"/>
    <w:rsid w:val="00E65C51"/>
    <w:rsid w:val="00E70602"/>
    <w:rsid w:val="00E71C0F"/>
    <w:rsid w:val="00E7278F"/>
    <w:rsid w:val="00E73E24"/>
    <w:rsid w:val="00E77D3E"/>
    <w:rsid w:val="00E82B19"/>
    <w:rsid w:val="00E82CD3"/>
    <w:rsid w:val="00E83E53"/>
    <w:rsid w:val="00E84B23"/>
    <w:rsid w:val="00E8576A"/>
    <w:rsid w:val="00E8597F"/>
    <w:rsid w:val="00E94AA7"/>
    <w:rsid w:val="00E94C0D"/>
    <w:rsid w:val="00E96884"/>
    <w:rsid w:val="00E96A2D"/>
    <w:rsid w:val="00EA1E35"/>
    <w:rsid w:val="00EB0C83"/>
    <w:rsid w:val="00EB2B98"/>
    <w:rsid w:val="00EB4613"/>
    <w:rsid w:val="00EB6A36"/>
    <w:rsid w:val="00EC6928"/>
    <w:rsid w:val="00ED005A"/>
    <w:rsid w:val="00ED0B32"/>
    <w:rsid w:val="00ED2DD2"/>
    <w:rsid w:val="00ED5454"/>
    <w:rsid w:val="00EE0CE9"/>
    <w:rsid w:val="00EE309C"/>
    <w:rsid w:val="00EE35D1"/>
    <w:rsid w:val="00EE4517"/>
    <w:rsid w:val="00EE4D04"/>
    <w:rsid w:val="00EF1D13"/>
    <w:rsid w:val="00EF363A"/>
    <w:rsid w:val="00EF67D9"/>
    <w:rsid w:val="00EF7B2E"/>
    <w:rsid w:val="00F00CCB"/>
    <w:rsid w:val="00F0249A"/>
    <w:rsid w:val="00F03E29"/>
    <w:rsid w:val="00F063BC"/>
    <w:rsid w:val="00F124D5"/>
    <w:rsid w:val="00F20955"/>
    <w:rsid w:val="00F20E2F"/>
    <w:rsid w:val="00F2157A"/>
    <w:rsid w:val="00F25958"/>
    <w:rsid w:val="00F26E0B"/>
    <w:rsid w:val="00F363E8"/>
    <w:rsid w:val="00F36494"/>
    <w:rsid w:val="00F36CD2"/>
    <w:rsid w:val="00F429F0"/>
    <w:rsid w:val="00F42CD5"/>
    <w:rsid w:val="00F43FA2"/>
    <w:rsid w:val="00F4748D"/>
    <w:rsid w:val="00F61EBB"/>
    <w:rsid w:val="00F62AB0"/>
    <w:rsid w:val="00F659D5"/>
    <w:rsid w:val="00F6773C"/>
    <w:rsid w:val="00F70898"/>
    <w:rsid w:val="00F7469C"/>
    <w:rsid w:val="00F83F52"/>
    <w:rsid w:val="00F87734"/>
    <w:rsid w:val="00F9104D"/>
    <w:rsid w:val="00F9265C"/>
    <w:rsid w:val="00F941E7"/>
    <w:rsid w:val="00F950E3"/>
    <w:rsid w:val="00F963DE"/>
    <w:rsid w:val="00F96E3F"/>
    <w:rsid w:val="00FA1D0D"/>
    <w:rsid w:val="00FA48D9"/>
    <w:rsid w:val="00FA613C"/>
    <w:rsid w:val="00FA61D7"/>
    <w:rsid w:val="00FB12BA"/>
    <w:rsid w:val="00FB7575"/>
    <w:rsid w:val="00FC055B"/>
    <w:rsid w:val="00FC0D9B"/>
    <w:rsid w:val="00FC1144"/>
    <w:rsid w:val="00FC35FE"/>
    <w:rsid w:val="00FC4153"/>
    <w:rsid w:val="00FC6F36"/>
    <w:rsid w:val="00FC797E"/>
    <w:rsid w:val="00FD02FB"/>
    <w:rsid w:val="00FD07E0"/>
    <w:rsid w:val="00FD19E8"/>
    <w:rsid w:val="00FD2B3E"/>
    <w:rsid w:val="00FD30AB"/>
    <w:rsid w:val="00FD39F0"/>
    <w:rsid w:val="00FD54F3"/>
    <w:rsid w:val="00FD5B29"/>
    <w:rsid w:val="00FD6CD5"/>
    <w:rsid w:val="00FE3637"/>
    <w:rsid w:val="00FE4FF6"/>
    <w:rsid w:val="00FE521C"/>
    <w:rsid w:val="00FE7945"/>
    <w:rsid w:val="00FF1D59"/>
    <w:rsid w:val="00FF40F7"/>
    <w:rsid w:val="00FF667B"/>
    <w:rsid w:val="00FF6EC3"/>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7C4E4"/>
  <w15:docId w15:val="{6B83CBD6-4CB1-40C1-9376-E9765929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986"/>
    <w:rPr>
      <w:sz w:val="24"/>
      <w:szCs w:val="24"/>
    </w:rPr>
  </w:style>
  <w:style w:type="paragraph" w:styleId="Heading1">
    <w:name w:val="heading 1"/>
    <w:basedOn w:val="Normal"/>
    <w:next w:val="Normal"/>
    <w:qFormat/>
    <w:rsid w:val="00655E56"/>
    <w:pPr>
      <w:keepNext/>
      <w:outlineLvl w:val="0"/>
    </w:pPr>
  </w:style>
  <w:style w:type="paragraph" w:styleId="Heading2">
    <w:name w:val="heading 2"/>
    <w:basedOn w:val="Normal"/>
    <w:next w:val="Normal"/>
    <w:qFormat/>
    <w:rsid w:val="00655E56"/>
    <w:pPr>
      <w:keepNext/>
      <w:jc w:val="center"/>
      <w:outlineLvl w:val="1"/>
    </w:pPr>
  </w:style>
  <w:style w:type="paragraph" w:styleId="Heading3">
    <w:name w:val="heading 3"/>
    <w:basedOn w:val="Normal"/>
    <w:next w:val="Normal"/>
    <w:qFormat/>
    <w:rsid w:val="00655E56"/>
    <w:pPr>
      <w:keepNext/>
      <w:ind w:left="3600" w:firstLine="720"/>
      <w:outlineLvl w:val="2"/>
    </w:pPr>
  </w:style>
  <w:style w:type="paragraph" w:styleId="Heading4">
    <w:name w:val="heading 4"/>
    <w:basedOn w:val="Normal"/>
    <w:next w:val="Normal"/>
    <w:link w:val="Heading4Char"/>
    <w:qFormat/>
    <w:rsid w:val="00655E56"/>
    <w:pPr>
      <w:keepNext/>
      <w:numPr>
        <w:numId w:val="1"/>
      </w:numPr>
      <w:tabs>
        <w:tab w:val="num" w:pos="0"/>
      </w:tabs>
      <w:ind w:left="0" w:hanging="1080"/>
      <w:outlineLvl w:val="3"/>
    </w:pPr>
  </w:style>
  <w:style w:type="paragraph" w:styleId="Heading5">
    <w:name w:val="heading 5"/>
    <w:basedOn w:val="Normal"/>
    <w:next w:val="Normal"/>
    <w:qFormat/>
    <w:rsid w:val="00655E56"/>
    <w:pPr>
      <w:keepNext/>
      <w:ind w:left="-990"/>
      <w:outlineLvl w:val="4"/>
    </w:pPr>
  </w:style>
  <w:style w:type="paragraph" w:styleId="Heading6">
    <w:name w:val="heading 6"/>
    <w:basedOn w:val="Normal"/>
    <w:next w:val="Normal"/>
    <w:qFormat/>
    <w:rsid w:val="00655E56"/>
    <w:pPr>
      <w:keepNext/>
      <w:outlineLvl w:val="5"/>
    </w:pPr>
    <w:rPr>
      <w:b/>
      <w:bCs/>
    </w:rPr>
  </w:style>
  <w:style w:type="paragraph" w:styleId="Heading7">
    <w:name w:val="heading 7"/>
    <w:basedOn w:val="Normal"/>
    <w:next w:val="Normal"/>
    <w:qFormat/>
    <w:rsid w:val="00655E56"/>
    <w:pPr>
      <w:keepNext/>
      <w:jc w:val="center"/>
      <w:outlineLvl w:val="6"/>
    </w:pPr>
    <w:rPr>
      <w:b/>
      <w:bCs/>
    </w:rPr>
  </w:style>
  <w:style w:type="paragraph" w:styleId="Heading8">
    <w:name w:val="heading 8"/>
    <w:basedOn w:val="Normal"/>
    <w:next w:val="Normal"/>
    <w:qFormat/>
    <w:rsid w:val="00655E56"/>
    <w:pPr>
      <w:keepNext/>
      <w:outlineLvl w:val="7"/>
    </w:pPr>
    <w:rPr>
      <w:b/>
      <w:bCs/>
      <w:sz w:val="28"/>
    </w:rPr>
  </w:style>
  <w:style w:type="paragraph" w:styleId="Heading9">
    <w:name w:val="heading 9"/>
    <w:basedOn w:val="Normal"/>
    <w:next w:val="Normal"/>
    <w:qFormat/>
    <w:rsid w:val="00655E56"/>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5E56"/>
    <w:rPr>
      <w:color w:val="0000FF"/>
      <w:u w:val="single"/>
    </w:rPr>
  </w:style>
  <w:style w:type="paragraph" w:styleId="BodyText">
    <w:name w:val="Body Text"/>
    <w:basedOn w:val="Normal"/>
    <w:rsid w:val="00655E56"/>
  </w:style>
  <w:style w:type="paragraph" w:customStyle="1" w:styleId="C2-CtrSglSp">
    <w:name w:val="C2-Ctr Sgl Sp"/>
    <w:rsid w:val="00655E56"/>
    <w:pPr>
      <w:keepLines/>
      <w:spacing w:line="240" w:lineRule="atLeast"/>
      <w:jc w:val="center"/>
    </w:pPr>
    <w:rPr>
      <w:sz w:val="22"/>
    </w:rPr>
  </w:style>
  <w:style w:type="paragraph" w:styleId="BodyTextIndent">
    <w:name w:val="Body Text Indent"/>
    <w:basedOn w:val="Normal"/>
    <w:rsid w:val="00655E56"/>
    <w:pPr>
      <w:tabs>
        <w:tab w:val="left" w:pos="-990"/>
      </w:tabs>
      <w:ind w:left="-990"/>
    </w:pPr>
  </w:style>
  <w:style w:type="paragraph" w:styleId="BalloonText">
    <w:name w:val="Balloon Text"/>
    <w:basedOn w:val="Normal"/>
    <w:semiHidden/>
    <w:rsid w:val="007024DC"/>
    <w:rPr>
      <w:rFonts w:ascii="Tahoma" w:hAnsi="Tahoma" w:cs="Tahoma"/>
      <w:sz w:val="16"/>
      <w:szCs w:val="16"/>
    </w:rPr>
  </w:style>
  <w:style w:type="paragraph" w:customStyle="1" w:styleId="P1-StandPara">
    <w:name w:val="P1-Stand Para"/>
    <w:rsid w:val="00A2693A"/>
    <w:pPr>
      <w:spacing w:line="360" w:lineRule="atLeast"/>
      <w:ind w:firstLine="1152"/>
      <w:jc w:val="both"/>
    </w:pPr>
    <w:rPr>
      <w:sz w:val="22"/>
    </w:rPr>
  </w:style>
  <w:style w:type="paragraph" w:customStyle="1" w:styleId="SL-FlLftSgl">
    <w:name w:val="SL-Fl Lft Sgl"/>
    <w:rsid w:val="00A95C25"/>
    <w:pPr>
      <w:spacing w:line="240" w:lineRule="atLeast"/>
      <w:jc w:val="both"/>
    </w:pPr>
    <w:rPr>
      <w:sz w:val="22"/>
    </w:rPr>
  </w:style>
  <w:style w:type="paragraph" w:styleId="Footer">
    <w:name w:val="footer"/>
    <w:basedOn w:val="Normal"/>
    <w:link w:val="FooterChar"/>
    <w:uiPriority w:val="99"/>
    <w:rsid w:val="009E3D1F"/>
    <w:pPr>
      <w:tabs>
        <w:tab w:val="center" w:pos="4320"/>
        <w:tab w:val="right" w:pos="8640"/>
      </w:tabs>
    </w:pPr>
  </w:style>
  <w:style w:type="paragraph" w:styleId="BodyTextIndent2">
    <w:name w:val="Body Text Indent 2"/>
    <w:basedOn w:val="Normal"/>
    <w:rsid w:val="009E3D1F"/>
    <w:pPr>
      <w:spacing w:after="120" w:line="480" w:lineRule="auto"/>
      <w:ind w:left="360"/>
    </w:pPr>
  </w:style>
  <w:style w:type="paragraph" w:customStyle="1" w:styleId="References">
    <w:name w:val="References"/>
    <w:basedOn w:val="Normal"/>
    <w:rsid w:val="009E3D1F"/>
    <w:pPr>
      <w:widowControl w:val="0"/>
      <w:numPr>
        <w:numId w:val="13"/>
      </w:numPr>
      <w:spacing w:line="480" w:lineRule="auto"/>
    </w:pPr>
    <w:rPr>
      <w:rFonts w:eastAsia="Times"/>
      <w:szCs w:val="20"/>
    </w:rPr>
  </w:style>
  <w:style w:type="table" w:styleId="TableGrid">
    <w:name w:val="Table Grid"/>
    <w:basedOn w:val="TableNormal"/>
    <w:rsid w:val="0012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82B19"/>
    <w:rPr>
      <w:rFonts w:ascii="Courier New" w:hAnsi="Courier New" w:cs="Courier New"/>
      <w:sz w:val="20"/>
      <w:szCs w:val="20"/>
    </w:rPr>
  </w:style>
  <w:style w:type="paragraph" w:styleId="BodyText2">
    <w:name w:val="Body Text 2"/>
    <w:basedOn w:val="Normal"/>
    <w:rsid w:val="00E82B19"/>
    <w:pPr>
      <w:spacing w:after="120" w:line="480" w:lineRule="auto"/>
    </w:pPr>
  </w:style>
  <w:style w:type="paragraph" w:styleId="Header">
    <w:name w:val="header"/>
    <w:basedOn w:val="Normal"/>
    <w:rsid w:val="00E82B19"/>
    <w:pPr>
      <w:tabs>
        <w:tab w:val="center" w:pos="4320"/>
        <w:tab w:val="right" w:pos="8640"/>
      </w:tabs>
    </w:pPr>
  </w:style>
  <w:style w:type="paragraph" w:styleId="FootnoteText">
    <w:name w:val="footnote text"/>
    <w:basedOn w:val="Normal"/>
    <w:semiHidden/>
    <w:rsid w:val="00CD7428"/>
    <w:rPr>
      <w:rFonts w:ascii="Bookman Old Style" w:hAnsi="Bookman Old Style" w:cs="Bookman Old Style"/>
      <w:sz w:val="20"/>
      <w:szCs w:val="20"/>
    </w:rPr>
  </w:style>
  <w:style w:type="character" w:styleId="FootnoteReference">
    <w:name w:val="footnote reference"/>
    <w:semiHidden/>
    <w:rsid w:val="00CD7428"/>
    <w:rPr>
      <w:rFonts w:ascii="Times New Roman" w:hAnsi="Times New Roman" w:cs="Times New Roman"/>
      <w:vertAlign w:val="superscript"/>
    </w:rPr>
  </w:style>
  <w:style w:type="character" w:styleId="PageNumber">
    <w:name w:val="page number"/>
    <w:basedOn w:val="DefaultParagraphFont"/>
    <w:rsid w:val="00D57128"/>
  </w:style>
  <w:style w:type="character" w:customStyle="1" w:styleId="ti">
    <w:name w:val="ti"/>
    <w:basedOn w:val="DefaultParagraphFont"/>
    <w:rsid w:val="00AD02C2"/>
  </w:style>
  <w:style w:type="character" w:styleId="CommentReference">
    <w:name w:val="annotation reference"/>
    <w:rsid w:val="00000CDC"/>
    <w:rPr>
      <w:sz w:val="16"/>
      <w:szCs w:val="16"/>
    </w:rPr>
  </w:style>
  <w:style w:type="paragraph" w:styleId="CommentText">
    <w:name w:val="annotation text"/>
    <w:basedOn w:val="Normal"/>
    <w:link w:val="CommentTextChar"/>
    <w:rsid w:val="00000CDC"/>
    <w:rPr>
      <w:sz w:val="20"/>
      <w:szCs w:val="20"/>
    </w:rPr>
  </w:style>
  <w:style w:type="character" w:customStyle="1" w:styleId="CommentTextChar">
    <w:name w:val="Comment Text Char"/>
    <w:basedOn w:val="DefaultParagraphFont"/>
    <w:link w:val="CommentText"/>
    <w:rsid w:val="00000CDC"/>
  </w:style>
  <w:style w:type="paragraph" w:customStyle="1" w:styleId="CM78">
    <w:name w:val="CM78"/>
    <w:basedOn w:val="Normal"/>
    <w:next w:val="Normal"/>
    <w:uiPriority w:val="99"/>
    <w:rsid w:val="00F20955"/>
    <w:pPr>
      <w:widowControl w:val="0"/>
      <w:autoSpaceDE w:val="0"/>
      <w:autoSpaceDN w:val="0"/>
      <w:adjustRightInd w:val="0"/>
      <w:spacing w:after="118"/>
    </w:pPr>
  </w:style>
  <w:style w:type="paragraph" w:customStyle="1" w:styleId="CM77">
    <w:name w:val="CM77"/>
    <w:basedOn w:val="Normal"/>
    <w:next w:val="Normal"/>
    <w:uiPriority w:val="99"/>
    <w:rsid w:val="00F20955"/>
    <w:pPr>
      <w:widowControl w:val="0"/>
      <w:autoSpaceDE w:val="0"/>
      <w:autoSpaceDN w:val="0"/>
      <w:adjustRightInd w:val="0"/>
      <w:spacing w:after="178"/>
    </w:pPr>
  </w:style>
  <w:style w:type="paragraph" w:customStyle="1" w:styleId="CM73">
    <w:name w:val="CM73"/>
    <w:basedOn w:val="Normal"/>
    <w:next w:val="Normal"/>
    <w:uiPriority w:val="99"/>
    <w:rsid w:val="00FC35FE"/>
    <w:pPr>
      <w:widowControl w:val="0"/>
      <w:autoSpaceDE w:val="0"/>
      <w:autoSpaceDN w:val="0"/>
      <w:adjustRightInd w:val="0"/>
      <w:spacing w:after="258"/>
    </w:pPr>
  </w:style>
  <w:style w:type="character" w:styleId="HTMLCite">
    <w:name w:val="HTML Cite"/>
    <w:uiPriority w:val="99"/>
    <w:semiHidden/>
    <w:unhideWhenUsed/>
    <w:rsid w:val="00900B5D"/>
    <w:rPr>
      <w:i/>
      <w:iCs/>
    </w:rPr>
  </w:style>
  <w:style w:type="paragraph" w:styleId="Revision">
    <w:name w:val="Revision"/>
    <w:hidden/>
    <w:uiPriority w:val="99"/>
    <w:semiHidden/>
    <w:rsid w:val="007F3EE1"/>
    <w:rPr>
      <w:sz w:val="24"/>
      <w:szCs w:val="24"/>
    </w:rPr>
  </w:style>
  <w:style w:type="paragraph" w:styleId="CommentSubject">
    <w:name w:val="annotation subject"/>
    <w:basedOn w:val="CommentText"/>
    <w:next w:val="CommentText"/>
    <w:link w:val="CommentSubjectChar"/>
    <w:uiPriority w:val="99"/>
    <w:semiHidden/>
    <w:unhideWhenUsed/>
    <w:rsid w:val="00121176"/>
    <w:rPr>
      <w:b/>
      <w:bCs/>
    </w:rPr>
  </w:style>
  <w:style w:type="character" w:customStyle="1" w:styleId="CommentSubjectChar">
    <w:name w:val="Comment Subject Char"/>
    <w:link w:val="CommentSubject"/>
    <w:uiPriority w:val="99"/>
    <w:semiHidden/>
    <w:rsid w:val="00121176"/>
    <w:rPr>
      <w:b/>
      <w:bCs/>
    </w:rPr>
  </w:style>
  <w:style w:type="paragraph" w:styleId="ListParagraph">
    <w:name w:val="List Paragraph"/>
    <w:basedOn w:val="Normal"/>
    <w:uiPriority w:val="34"/>
    <w:qFormat/>
    <w:rsid w:val="002B5227"/>
    <w:pPr>
      <w:ind w:left="720"/>
      <w:contextualSpacing/>
    </w:pPr>
  </w:style>
  <w:style w:type="paragraph" w:styleId="TOC1">
    <w:name w:val="toc 1"/>
    <w:basedOn w:val="Normal"/>
    <w:autoRedefine/>
    <w:uiPriority w:val="39"/>
    <w:rsid w:val="003C1013"/>
    <w:pPr>
      <w:tabs>
        <w:tab w:val="left" w:pos="0"/>
        <w:tab w:val="left" w:pos="720"/>
        <w:tab w:val="right" w:leader="dot" w:pos="9494"/>
      </w:tabs>
      <w:spacing w:before="120" w:after="120" w:line="480" w:lineRule="auto"/>
      <w:jc w:val="both"/>
    </w:pPr>
    <w:rPr>
      <w:b/>
      <w:bCs/>
      <w:caps/>
      <w:noProof/>
    </w:rPr>
  </w:style>
  <w:style w:type="paragraph" w:styleId="TOC2">
    <w:name w:val="toc 2"/>
    <w:basedOn w:val="Normal"/>
    <w:autoRedefine/>
    <w:uiPriority w:val="99"/>
    <w:semiHidden/>
    <w:rsid w:val="003C1013"/>
    <w:pPr>
      <w:tabs>
        <w:tab w:val="left" w:pos="720"/>
        <w:tab w:val="right" w:leader="dot" w:pos="9494"/>
      </w:tabs>
      <w:spacing w:before="120" w:after="120" w:line="240" w:lineRule="atLeast"/>
      <w:ind w:left="720" w:hanging="720"/>
    </w:pPr>
    <w:rPr>
      <w:smallCaps/>
    </w:rPr>
  </w:style>
  <w:style w:type="paragraph" w:styleId="NoSpacing">
    <w:name w:val="No Spacing"/>
    <w:uiPriority w:val="1"/>
    <w:qFormat/>
    <w:rsid w:val="000B17ED"/>
    <w:rPr>
      <w:rFonts w:ascii="Calibri" w:eastAsia="Calibri" w:hAnsi="Calibri"/>
      <w:sz w:val="22"/>
      <w:szCs w:val="22"/>
    </w:rPr>
  </w:style>
  <w:style w:type="paragraph" w:customStyle="1" w:styleId="Default">
    <w:name w:val="Default"/>
    <w:rsid w:val="00A40F57"/>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72343"/>
    <w:rPr>
      <w:color w:val="800080" w:themeColor="followedHyperlink"/>
      <w:u w:val="single"/>
    </w:rPr>
  </w:style>
  <w:style w:type="character" w:customStyle="1" w:styleId="Heading4Char">
    <w:name w:val="Heading 4 Char"/>
    <w:basedOn w:val="DefaultParagraphFont"/>
    <w:link w:val="Heading4"/>
    <w:rsid w:val="0061770D"/>
    <w:rPr>
      <w:sz w:val="24"/>
      <w:szCs w:val="24"/>
    </w:rPr>
  </w:style>
  <w:style w:type="character" w:customStyle="1" w:styleId="FooterChar">
    <w:name w:val="Footer Char"/>
    <w:basedOn w:val="DefaultParagraphFont"/>
    <w:link w:val="Footer"/>
    <w:uiPriority w:val="99"/>
    <w:rsid w:val="00617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7018">
      <w:bodyDiv w:val="1"/>
      <w:marLeft w:val="0"/>
      <w:marRight w:val="0"/>
      <w:marTop w:val="0"/>
      <w:marBottom w:val="0"/>
      <w:divBdr>
        <w:top w:val="none" w:sz="0" w:space="0" w:color="auto"/>
        <w:left w:val="none" w:sz="0" w:space="0" w:color="auto"/>
        <w:bottom w:val="none" w:sz="0" w:space="0" w:color="auto"/>
        <w:right w:val="none" w:sz="0" w:space="0" w:color="auto"/>
      </w:divBdr>
    </w:div>
    <w:div w:id="421147350">
      <w:bodyDiv w:val="1"/>
      <w:marLeft w:val="0"/>
      <w:marRight w:val="0"/>
      <w:marTop w:val="0"/>
      <w:marBottom w:val="0"/>
      <w:divBdr>
        <w:top w:val="none" w:sz="0" w:space="0" w:color="auto"/>
        <w:left w:val="none" w:sz="0" w:space="0" w:color="auto"/>
        <w:bottom w:val="none" w:sz="0" w:space="0" w:color="auto"/>
        <w:right w:val="none" w:sz="0" w:space="0" w:color="auto"/>
      </w:divBdr>
    </w:div>
    <w:div w:id="537473297">
      <w:bodyDiv w:val="1"/>
      <w:marLeft w:val="0"/>
      <w:marRight w:val="0"/>
      <w:marTop w:val="0"/>
      <w:marBottom w:val="0"/>
      <w:divBdr>
        <w:top w:val="none" w:sz="0" w:space="0" w:color="auto"/>
        <w:left w:val="none" w:sz="0" w:space="0" w:color="auto"/>
        <w:bottom w:val="none" w:sz="0" w:space="0" w:color="auto"/>
        <w:right w:val="none" w:sz="0" w:space="0" w:color="auto"/>
      </w:divBdr>
    </w:div>
    <w:div w:id="764811051">
      <w:bodyDiv w:val="1"/>
      <w:marLeft w:val="0"/>
      <w:marRight w:val="0"/>
      <w:marTop w:val="0"/>
      <w:marBottom w:val="0"/>
      <w:divBdr>
        <w:top w:val="none" w:sz="0" w:space="0" w:color="auto"/>
        <w:left w:val="none" w:sz="0" w:space="0" w:color="auto"/>
        <w:bottom w:val="none" w:sz="0" w:space="0" w:color="auto"/>
        <w:right w:val="none" w:sz="0" w:space="0" w:color="auto"/>
      </w:divBdr>
    </w:div>
    <w:div w:id="1240215875">
      <w:bodyDiv w:val="1"/>
      <w:marLeft w:val="0"/>
      <w:marRight w:val="0"/>
      <w:marTop w:val="0"/>
      <w:marBottom w:val="0"/>
      <w:divBdr>
        <w:top w:val="none" w:sz="0" w:space="0" w:color="auto"/>
        <w:left w:val="none" w:sz="0" w:space="0" w:color="auto"/>
        <w:bottom w:val="none" w:sz="0" w:space="0" w:color="auto"/>
        <w:right w:val="none" w:sz="0" w:space="0" w:color="auto"/>
      </w:divBdr>
    </w:div>
    <w:div w:id="1318656040">
      <w:bodyDiv w:val="1"/>
      <w:marLeft w:val="0"/>
      <w:marRight w:val="0"/>
      <w:marTop w:val="0"/>
      <w:marBottom w:val="0"/>
      <w:divBdr>
        <w:top w:val="none" w:sz="0" w:space="0" w:color="auto"/>
        <w:left w:val="none" w:sz="0" w:space="0" w:color="auto"/>
        <w:bottom w:val="none" w:sz="0" w:space="0" w:color="auto"/>
        <w:right w:val="none" w:sz="0" w:space="0" w:color="auto"/>
      </w:divBdr>
    </w:div>
    <w:div w:id="1731609233">
      <w:bodyDiv w:val="1"/>
      <w:marLeft w:val="0"/>
      <w:marRight w:val="0"/>
      <w:marTop w:val="0"/>
      <w:marBottom w:val="0"/>
      <w:divBdr>
        <w:top w:val="none" w:sz="0" w:space="0" w:color="auto"/>
        <w:left w:val="none" w:sz="0" w:space="0" w:color="auto"/>
        <w:bottom w:val="none" w:sz="0" w:space="0" w:color="auto"/>
        <w:right w:val="none" w:sz="0" w:space="0" w:color="auto"/>
      </w:divBdr>
    </w:div>
    <w:div w:id="1823807419">
      <w:bodyDiv w:val="1"/>
      <w:marLeft w:val="0"/>
      <w:marRight w:val="0"/>
      <w:marTop w:val="0"/>
      <w:marBottom w:val="0"/>
      <w:divBdr>
        <w:top w:val="none" w:sz="0" w:space="0" w:color="auto"/>
        <w:left w:val="none" w:sz="0" w:space="0" w:color="auto"/>
        <w:bottom w:val="none" w:sz="0" w:space="0" w:color="auto"/>
        <w:right w:val="none" w:sz="0" w:space="0" w:color="auto"/>
      </w:divBdr>
    </w:div>
    <w:div w:id="1909463169">
      <w:bodyDiv w:val="1"/>
      <w:marLeft w:val="0"/>
      <w:marRight w:val="0"/>
      <w:marTop w:val="0"/>
      <w:marBottom w:val="0"/>
      <w:divBdr>
        <w:top w:val="none" w:sz="0" w:space="0" w:color="auto"/>
        <w:left w:val="none" w:sz="0" w:space="0" w:color="auto"/>
        <w:bottom w:val="none" w:sz="0" w:space="0" w:color="auto"/>
        <w:right w:val="none" w:sz="0" w:space="0" w:color="auto"/>
      </w:divBdr>
      <w:divsChild>
        <w:div w:id="1226180001">
          <w:marLeft w:val="0"/>
          <w:marRight w:val="0"/>
          <w:marTop w:val="0"/>
          <w:marBottom w:val="0"/>
          <w:divBdr>
            <w:top w:val="none" w:sz="0" w:space="0" w:color="auto"/>
            <w:left w:val="none" w:sz="0" w:space="0" w:color="auto"/>
            <w:bottom w:val="none" w:sz="0" w:space="0" w:color="auto"/>
            <w:right w:val="none" w:sz="0" w:space="0" w:color="auto"/>
          </w:divBdr>
          <w:divsChild>
            <w:div w:id="318269479">
              <w:marLeft w:val="0"/>
              <w:marRight w:val="0"/>
              <w:marTop w:val="0"/>
              <w:marBottom w:val="0"/>
              <w:divBdr>
                <w:top w:val="none" w:sz="0" w:space="0" w:color="auto"/>
                <w:left w:val="none" w:sz="0" w:space="0" w:color="auto"/>
                <w:bottom w:val="none" w:sz="0" w:space="0" w:color="auto"/>
                <w:right w:val="none" w:sz="0" w:space="0" w:color="auto"/>
              </w:divBdr>
              <w:divsChild>
                <w:div w:id="1175412376">
                  <w:marLeft w:val="0"/>
                  <w:marRight w:val="0"/>
                  <w:marTop w:val="0"/>
                  <w:marBottom w:val="0"/>
                  <w:divBdr>
                    <w:top w:val="none" w:sz="0" w:space="0" w:color="auto"/>
                    <w:left w:val="none" w:sz="0" w:space="0" w:color="auto"/>
                    <w:bottom w:val="none" w:sz="0" w:space="0" w:color="auto"/>
                    <w:right w:val="none" w:sz="0" w:space="0" w:color="auto"/>
                  </w:divBdr>
                  <w:divsChild>
                    <w:div w:id="72246796">
                      <w:marLeft w:val="0"/>
                      <w:marRight w:val="0"/>
                      <w:marTop w:val="0"/>
                      <w:marBottom w:val="0"/>
                      <w:divBdr>
                        <w:top w:val="none" w:sz="0" w:space="0" w:color="auto"/>
                        <w:left w:val="none" w:sz="0" w:space="0" w:color="auto"/>
                        <w:bottom w:val="none" w:sz="0" w:space="0" w:color="auto"/>
                        <w:right w:val="none" w:sz="0" w:space="0" w:color="auto"/>
                      </w:divBdr>
                    </w:div>
                    <w:div w:id="101657725">
                      <w:marLeft w:val="0"/>
                      <w:marRight w:val="0"/>
                      <w:marTop w:val="0"/>
                      <w:marBottom w:val="0"/>
                      <w:divBdr>
                        <w:top w:val="none" w:sz="0" w:space="0" w:color="auto"/>
                        <w:left w:val="none" w:sz="0" w:space="0" w:color="auto"/>
                        <w:bottom w:val="none" w:sz="0" w:space="0" w:color="auto"/>
                        <w:right w:val="none" w:sz="0" w:space="0" w:color="auto"/>
                      </w:divBdr>
                    </w:div>
                    <w:div w:id="9198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1390">
      <w:bodyDiv w:val="1"/>
      <w:marLeft w:val="0"/>
      <w:marRight w:val="0"/>
      <w:marTop w:val="0"/>
      <w:marBottom w:val="0"/>
      <w:divBdr>
        <w:top w:val="none" w:sz="0" w:space="0" w:color="auto"/>
        <w:left w:val="none" w:sz="0" w:space="0" w:color="auto"/>
        <w:bottom w:val="none" w:sz="0" w:space="0" w:color="auto"/>
        <w:right w:val="none" w:sz="0" w:space="0" w:color="auto"/>
      </w:divBdr>
    </w:div>
    <w:div w:id="20811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1.salary.com/Nuclear-Medicine-Technologist-Salari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mailto:doodym@mail.nih.gov" TargetMode="External"/><Relationship Id="rId14" Type="http://schemas.openxmlformats.org/officeDocument/2006/relationships/hyperlink" Target="mailto:balex@umn.edu"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74FF-06C7-4FB2-B9D7-913C3254C034}">
  <ds:schemaRefs>
    <ds:schemaRef ds:uri="http://schemas.openxmlformats.org/officeDocument/2006/bibliography"/>
  </ds:schemaRefs>
</ds:datastoreItem>
</file>

<file path=customXml/itemProps2.xml><?xml version="1.0" encoding="utf-8"?>
<ds:datastoreItem xmlns:ds="http://schemas.openxmlformats.org/officeDocument/2006/customXml" ds:itemID="{AEA71BD9-9375-4CD7-87C9-E8A3BED1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Research Triangle Institute</Company>
  <LinksUpToDate>false</LinksUpToDate>
  <CharactersWithSpaces>34864</CharactersWithSpaces>
  <SharedDoc>false</SharedDoc>
  <HLinks>
    <vt:vector size="30" baseType="variant">
      <vt:variant>
        <vt:i4>2883684</vt:i4>
      </vt:variant>
      <vt:variant>
        <vt:i4>15</vt:i4>
      </vt:variant>
      <vt:variant>
        <vt:i4>0</vt:i4>
      </vt:variant>
      <vt:variant>
        <vt:i4>5</vt:i4>
      </vt:variant>
      <vt:variant>
        <vt:lpwstr>http://www.bls.gov/oco/ocos103.htm</vt:lpwstr>
      </vt:variant>
      <vt:variant>
        <vt:lpwstr/>
      </vt:variant>
      <vt:variant>
        <vt:i4>5046280</vt:i4>
      </vt:variant>
      <vt:variant>
        <vt:i4>12</vt:i4>
      </vt:variant>
      <vt:variant>
        <vt:i4>0</vt:i4>
      </vt:variant>
      <vt:variant>
        <vt:i4>5</vt:i4>
      </vt:variant>
      <vt:variant>
        <vt:lpwstr>https://www.asrt.org/Content/News/PressRoom/PR2010/asrtsurvey100525.aspx</vt:lpwstr>
      </vt:variant>
      <vt:variant>
        <vt:lpwstr/>
      </vt:variant>
      <vt:variant>
        <vt:i4>4915294</vt:i4>
      </vt:variant>
      <vt:variant>
        <vt:i4>9</vt:i4>
      </vt:variant>
      <vt:variant>
        <vt:i4>0</vt:i4>
      </vt:variant>
      <vt:variant>
        <vt:i4>5</vt:i4>
      </vt:variant>
      <vt:variant>
        <vt:lpwstr>http://www.arrt.org/</vt:lpwstr>
      </vt:variant>
      <vt:variant>
        <vt:lpwstr/>
      </vt:variant>
      <vt:variant>
        <vt:i4>2031657</vt:i4>
      </vt:variant>
      <vt:variant>
        <vt:i4>6</vt:i4>
      </vt:variant>
      <vt:variant>
        <vt:i4>0</vt:i4>
      </vt:variant>
      <vt:variant>
        <vt:i4>5</vt:i4>
      </vt:variant>
      <vt:variant>
        <vt:lpwstr>mailto:balex@umn.edu</vt:lpwstr>
      </vt:variant>
      <vt:variant>
        <vt:lpwstr/>
      </vt:variant>
      <vt:variant>
        <vt:i4>4849710</vt:i4>
      </vt:variant>
      <vt:variant>
        <vt:i4>0</vt:i4>
      </vt:variant>
      <vt:variant>
        <vt:i4>0</vt:i4>
      </vt:variant>
      <vt:variant>
        <vt:i4>5</vt:i4>
      </vt:variant>
      <vt:variant>
        <vt:lpwstr>mailto:doodym@mail.nih.gov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Jacquelyn R. Murphy</dc:creator>
  <cp:lastModifiedBy>Currie, Mikia (NIH/OD) [E]</cp:lastModifiedBy>
  <cp:revision>3</cp:revision>
  <cp:lastPrinted>2016-11-14T20:41:00Z</cp:lastPrinted>
  <dcterms:created xsi:type="dcterms:W3CDTF">2016-11-21T19:18:00Z</dcterms:created>
  <dcterms:modified xsi:type="dcterms:W3CDTF">2016-11-21T19:18:00Z</dcterms:modified>
</cp:coreProperties>
</file>