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021F1" w14:textId="77777777" w:rsidR="005C3DC2" w:rsidRPr="00C01C04" w:rsidRDefault="00CA02BF" w:rsidP="005C3DC2">
      <w:pPr>
        <w:ind w:left="1440" w:firstLine="720"/>
        <w:rPr>
          <w:rFonts w:asciiTheme="minorHAnsi" w:hAnsiTheme="minorHAnsi" w:cstheme="minorBidi"/>
          <w:color w:val="000000"/>
          <w:sz w:val="22"/>
          <w:szCs w:val="22"/>
        </w:rPr>
      </w:pPr>
      <w:bookmarkStart w:id="0" w:name="_GoBack"/>
      <w:bookmarkEnd w:id="0"/>
      <w:r w:rsidRPr="00C01C04">
        <w:rPr>
          <w:rFonts w:asciiTheme="minorHAnsi" w:hAnsiTheme="minorHAnsi" w:cstheme="minorBidi"/>
          <w:color w:val="000000"/>
          <w:sz w:val="22"/>
          <w:szCs w:val="22"/>
        </w:rPr>
        <w:t xml:space="preserve">       </w:t>
      </w:r>
      <w:r w:rsidR="00D70D0F" w:rsidRPr="00C01C04">
        <w:rPr>
          <w:rFonts w:asciiTheme="minorHAnsi" w:hAnsiTheme="minorHAnsi" w:cstheme="minorBidi"/>
          <w:color w:val="000000"/>
          <w:sz w:val="22"/>
          <w:szCs w:val="22"/>
        </w:rPr>
        <w:t>Supporting Statement B</w:t>
      </w:r>
      <w:r w:rsidR="005C3DC2" w:rsidRPr="00C01C04">
        <w:rPr>
          <w:rFonts w:asciiTheme="minorHAnsi" w:hAnsiTheme="minorHAnsi" w:cstheme="minorBidi"/>
          <w:color w:val="000000"/>
          <w:sz w:val="22"/>
          <w:szCs w:val="22"/>
        </w:rPr>
        <w:t xml:space="preserve"> for</w:t>
      </w:r>
    </w:p>
    <w:p w14:paraId="57030266" w14:textId="77777777" w:rsidR="005C3DC2" w:rsidRPr="00C01C04" w:rsidRDefault="005C3DC2" w:rsidP="005C3DC2">
      <w:pPr>
        <w:ind w:left="1440" w:firstLine="720"/>
        <w:rPr>
          <w:rFonts w:asciiTheme="minorHAnsi" w:hAnsiTheme="minorHAnsi" w:cstheme="minorBidi"/>
          <w:color w:val="000000"/>
          <w:sz w:val="22"/>
          <w:szCs w:val="22"/>
        </w:rPr>
      </w:pPr>
    </w:p>
    <w:p w14:paraId="297FF9D1" w14:textId="77777777" w:rsidR="00680E77" w:rsidRPr="00C01C04" w:rsidRDefault="005C3DC2" w:rsidP="005C3DC2">
      <w:pPr>
        <w:ind w:left="1440" w:firstLine="720"/>
        <w:rPr>
          <w:rFonts w:asciiTheme="minorHAnsi" w:hAnsiTheme="minorHAnsi" w:cstheme="minorBidi"/>
          <w:color w:val="000000"/>
          <w:sz w:val="22"/>
          <w:szCs w:val="22"/>
        </w:rPr>
      </w:pPr>
      <w:r w:rsidRPr="00C01C04">
        <w:rPr>
          <w:rFonts w:asciiTheme="minorHAnsi" w:hAnsiTheme="minorHAnsi" w:cstheme="minorBidi"/>
          <w:color w:val="000000"/>
          <w:sz w:val="22"/>
          <w:szCs w:val="22"/>
        </w:rPr>
        <w:t xml:space="preserve">         </w:t>
      </w:r>
    </w:p>
    <w:p w14:paraId="2D9F9CF2" w14:textId="77777777" w:rsidR="00CA02BF" w:rsidRPr="00C01C04" w:rsidRDefault="00680E77" w:rsidP="005C3DC2">
      <w:pPr>
        <w:ind w:left="1440" w:firstLine="720"/>
        <w:rPr>
          <w:rFonts w:asciiTheme="minorHAnsi" w:hAnsiTheme="minorHAnsi" w:cstheme="minorBidi"/>
          <w:color w:val="000000"/>
          <w:sz w:val="22"/>
          <w:szCs w:val="22"/>
        </w:rPr>
      </w:pPr>
      <w:r w:rsidRPr="00C01C04">
        <w:rPr>
          <w:rFonts w:asciiTheme="minorHAnsi" w:hAnsiTheme="minorHAnsi" w:cstheme="minorBidi"/>
          <w:color w:val="000000"/>
          <w:sz w:val="22"/>
          <w:szCs w:val="22"/>
        </w:rPr>
        <w:t xml:space="preserve">          </w:t>
      </w:r>
      <w:r w:rsidR="005974BD" w:rsidRPr="00C01C04">
        <w:rPr>
          <w:rFonts w:asciiTheme="minorHAnsi" w:hAnsiTheme="minorHAnsi" w:cstheme="minorBidi"/>
          <w:color w:val="000000"/>
          <w:sz w:val="22"/>
          <w:szCs w:val="22"/>
        </w:rPr>
        <w:t xml:space="preserve">    </w:t>
      </w:r>
    </w:p>
    <w:p w14:paraId="5F54B778" w14:textId="77777777" w:rsidR="00CA02BF" w:rsidRPr="00C01C04" w:rsidRDefault="00CA02BF" w:rsidP="005C3DC2">
      <w:pPr>
        <w:ind w:left="1440" w:firstLine="720"/>
        <w:rPr>
          <w:rFonts w:asciiTheme="minorHAnsi" w:hAnsiTheme="minorHAnsi" w:cstheme="minorBidi"/>
          <w:color w:val="000000"/>
          <w:sz w:val="22"/>
          <w:szCs w:val="22"/>
        </w:rPr>
      </w:pPr>
    </w:p>
    <w:p w14:paraId="500F6257" w14:textId="77777777" w:rsidR="00CA02BF" w:rsidRPr="00C01C04" w:rsidRDefault="00CA02BF" w:rsidP="005C3DC2">
      <w:pPr>
        <w:ind w:left="1440" w:firstLine="720"/>
        <w:rPr>
          <w:rFonts w:asciiTheme="minorHAnsi" w:hAnsiTheme="minorHAnsi" w:cstheme="minorBidi"/>
          <w:color w:val="000000"/>
          <w:sz w:val="22"/>
          <w:szCs w:val="22"/>
        </w:rPr>
      </w:pPr>
    </w:p>
    <w:p w14:paraId="793C8516" w14:textId="77777777" w:rsidR="00C01C04" w:rsidRPr="00C01C04" w:rsidRDefault="00C01C04" w:rsidP="00C01C04">
      <w:pPr>
        <w:ind w:right="-1710"/>
        <w:rPr>
          <w:rFonts w:asciiTheme="minorHAnsi" w:hAnsiTheme="minorHAnsi" w:cstheme="minorBidi"/>
          <w:b/>
          <w:sz w:val="22"/>
          <w:szCs w:val="22"/>
        </w:rPr>
      </w:pPr>
      <w:r w:rsidRPr="00C01C04">
        <w:rPr>
          <w:rFonts w:asciiTheme="minorHAnsi" w:hAnsiTheme="minorHAnsi" w:cstheme="minorBidi"/>
          <w:color w:val="000000"/>
          <w:sz w:val="22"/>
          <w:szCs w:val="22"/>
        </w:rPr>
        <w:t xml:space="preserve">             </w:t>
      </w:r>
      <w:r w:rsidR="00680E77" w:rsidRPr="00C01C04">
        <w:rPr>
          <w:rFonts w:asciiTheme="minorHAnsi" w:hAnsiTheme="minorHAnsi" w:cstheme="minorBidi"/>
          <w:color w:val="000000"/>
          <w:sz w:val="22"/>
          <w:szCs w:val="22"/>
        </w:rPr>
        <w:t xml:space="preserve"> </w:t>
      </w:r>
      <w:r w:rsidRPr="00C01C04">
        <w:rPr>
          <w:rFonts w:asciiTheme="minorHAnsi" w:hAnsiTheme="minorHAnsi" w:cstheme="minorBidi"/>
          <w:b/>
          <w:sz w:val="22"/>
          <w:szCs w:val="22"/>
        </w:rPr>
        <w:t>The National Physician Survey of Precision Medicine in Cancer Treatment (</w:t>
      </w:r>
      <w:smartTag w:uri="urn:schemas-microsoft-com:office:smarttags" w:element="stockticker">
        <w:r w:rsidRPr="00C01C04">
          <w:rPr>
            <w:rFonts w:asciiTheme="minorHAnsi" w:hAnsiTheme="minorHAnsi" w:cstheme="minorBidi"/>
            <w:b/>
            <w:sz w:val="22"/>
            <w:szCs w:val="22"/>
          </w:rPr>
          <w:t>NCI</w:t>
        </w:r>
      </w:smartTag>
      <w:r w:rsidRPr="00C01C04">
        <w:rPr>
          <w:rFonts w:asciiTheme="minorHAnsi" w:hAnsiTheme="minorHAnsi" w:cstheme="minorBidi"/>
          <w:b/>
          <w:sz w:val="22"/>
          <w:szCs w:val="22"/>
        </w:rPr>
        <w:t>)</w:t>
      </w:r>
    </w:p>
    <w:p w14:paraId="21CA82E6" w14:textId="77777777" w:rsidR="005C3DC2" w:rsidRPr="00C01C04" w:rsidRDefault="005C3DC2" w:rsidP="00C01C04">
      <w:pPr>
        <w:ind w:left="1440" w:hanging="1440"/>
        <w:rPr>
          <w:rFonts w:asciiTheme="minorHAnsi" w:hAnsiTheme="minorHAnsi" w:cstheme="minorBidi"/>
          <w:color w:val="000000"/>
          <w:sz w:val="22"/>
          <w:szCs w:val="22"/>
        </w:rPr>
      </w:pPr>
    </w:p>
    <w:p w14:paraId="710C663A" w14:textId="77777777" w:rsidR="005C3DC2" w:rsidRPr="00C01C04" w:rsidRDefault="005C3DC2" w:rsidP="005C3DC2">
      <w:pPr>
        <w:rPr>
          <w:rFonts w:asciiTheme="minorHAnsi" w:hAnsiTheme="minorHAnsi" w:cstheme="minorBidi"/>
          <w:color w:val="000000"/>
          <w:sz w:val="22"/>
          <w:szCs w:val="22"/>
        </w:rPr>
      </w:pPr>
    </w:p>
    <w:p w14:paraId="03BAB383" w14:textId="77777777" w:rsidR="001E2C04" w:rsidRPr="00C01C04" w:rsidRDefault="001E2C04" w:rsidP="005C3DC2">
      <w:pPr>
        <w:rPr>
          <w:rFonts w:asciiTheme="minorHAnsi" w:hAnsiTheme="minorHAnsi" w:cstheme="minorBidi"/>
          <w:color w:val="000000"/>
          <w:sz w:val="22"/>
          <w:szCs w:val="22"/>
        </w:rPr>
      </w:pPr>
    </w:p>
    <w:p w14:paraId="2C85668F" w14:textId="77777777" w:rsidR="00CA02BF" w:rsidRPr="00C01C04" w:rsidRDefault="00CA02BF" w:rsidP="005C3DC2">
      <w:pPr>
        <w:rPr>
          <w:rFonts w:asciiTheme="minorHAnsi" w:hAnsiTheme="minorHAnsi" w:cstheme="minorBidi"/>
          <w:color w:val="000000"/>
          <w:sz w:val="22"/>
          <w:szCs w:val="22"/>
        </w:rPr>
      </w:pPr>
    </w:p>
    <w:p w14:paraId="765C8B08" w14:textId="77777777" w:rsidR="005C3DC2" w:rsidRPr="00C01C04" w:rsidRDefault="005C3DC2" w:rsidP="005C3DC2">
      <w:pPr>
        <w:rPr>
          <w:rFonts w:asciiTheme="minorHAnsi" w:hAnsiTheme="minorHAnsi"/>
          <w:color w:val="0000FF"/>
          <w:sz w:val="22"/>
          <w:szCs w:val="22"/>
        </w:rPr>
      </w:pPr>
    </w:p>
    <w:p w14:paraId="574EBA50" w14:textId="77777777" w:rsidR="005C3DC2" w:rsidRPr="00C01C04" w:rsidRDefault="005C3DC2" w:rsidP="005C3DC2">
      <w:pPr>
        <w:rPr>
          <w:rFonts w:asciiTheme="minorHAnsi" w:hAnsiTheme="minorHAnsi"/>
          <w:color w:val="0000FF"/>
          <w:sz w:val="22"/>
          <w:szCs w:val="22"/>
        </w:rPr>
      </w:pPr>
    </w:p>
    <w:p w14:paraId="024E6FCD" w14:textId="39F6F1CF" w:rsidR="00DF1BC4" w:rsidRPr="00C01C04" w:rsidRDefault="00DF1BC4" w:rsidP="00DF1BC4">
      <w:pPr>
        <w:pStyle w:val="P1-StandPara"/>
        <w:tabs>
          <w:tab w:val="left" w:pos="720"/>
          <w:tab w:val="right" w:leader="dot" w:pos="9504"/>
        </w:tabs>
        <w:spacing w:before="120" w:after="120"/>
        <w:ind w:firstLine="0"/>
        <w:rPr>
          <w:rFonts w:asciiTheme="minorHAnsi" w:hAnsiTheme="minorHAnsi"/>
          <w:szCs w:val="22"/>
        </w:rPr>
      </w:pPr>
      <w:r w:rsidRPr="00C01C04">
        <w:rPr>
          <w:rFonts w:asciiTheme="minorHAnsi" w:hAnsiTheme="minorHAnsi"/>
          <w:szCs w:val="22"/>
        </w:rPr>
        <w:t xml:space="preserve">Date: </w:t>
      </w:r>
      <w:r w:rsidR="00D429CD">
        <w:rPr>
          <w:rFonts w:asciiTheme="minorHAnsi" w:hAnsiTheme="minorHAnsi"/>
          <w:szCs w:val="22"/>
        </w:rPr>
        <w:t>May 1</w:t>
      </w:r>
      <w:r w:rsidR="00F326C9">
        <w:rPr>
          <w:rFonts w:asciiTheme="minorHAnsi" w:hAnsiTheme="minorHAnsi"/>
          <w:szCs w:val="22"/>
        </w:rPr>
        <w:t>2</w:t>
      </w:r>
      <w:r w:rsidR="00120393">
        <w:rPr>
          <w:rFonts w:asciiTheme="minorHAnsi" w:hAnsiTheme="minorHAnsi"/>
          <w:szCs w:val="22"/>
        </w:rPr>
        <w:t>, 2016</w:t>
      </w:r>
    </w:p>
    <w:p w14:paraId="1623ABB2" w14:textId="77777777" w:rsidR="00DF1BC4" w:rsidRPr="00C01C04" w:rsidRDefault="00DF1BC4" w:rsidP="00DF1BC4">
      <w:pPr>
        <w:pStyle w:val="P1-StandPara"/>
        <w:tabs>
          <w:tab w:val="left" w:pos="720"/>
          <w:tab w:val="right" w:leader="dot" w:pos="9504"/>
        </w:tabs>
        <w:spacing w:before="120" w:after="120"/>
        <w:rPr>
          <w:rFonts w:asciiTheme="minorHAnsi" w:hAnsiTheme="minorHAnsi"/>
          <w:szCs w:val="22"/>
        </w:rPr>
      </w:pPr>
      <w:r w:rsidRPr="00C01C04">
        <w:rPr>
          <w:rFonts w:asciiTheme="minorHAnsi" w:hAnsiTheme="minorHAnsi"/>
          <w:szCs w:val="22"/>
        </w:rPr>
        <w:t xml:space="preserve">                        </w:t>
      </w:r>
    </w:p>
    <w:p w14:paraId="3478E28C" w14:textId="77777777" w:rsidR="00636356" w:rsidRPr="003225B3" w:rsidRDefault="00636356" w:rsidP="00636356">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Janet S. de Moor, PhD, MPH</w:t>
      </w:r>
    </w:p>
    <w:p w14:paraId="1C97F598" w14:textId="77777777" w:rsidR="00636356" w:rsidRPr="003225B3" w:rsidRDefault="00636356" w:rsidP="00636356">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 xml:space="preserve">Health Assessment Research Branch, Healthcare Delivery Research Program </w:t>
      </w:r>
    </w:p>
    <w:p w14:paraId="0CB58ECE" w14:textId="77777777" w:rsidR="00636356" w:rsidRPr="003225B3" w:rsidRDefault="00636356" w:rsidP="00636356">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Division of Cancer Control and Population Sciences</w:t>
      </w:r>
    </w:p>
    <w:p w14:paraId="2C342C5C" w14:textId="77777777" w:rsidR="00636356" w:rsidRPr="003225B3" w:rsidRDefault="00636356" w:rsidP="00636356">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National Cancer Institute/National Institutes of Health</w:t>
      </w:r>
    </w:p>
    <w:p w14:paraId="68968FC0" w14:textId="77777777" w:rsidR="00636356" w:rsidRPr="003225B3" w:rsidRDefault="00636356" w:rsidP="00636356">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9609 Medical Center Drive, Room 3E438</w:t>
      </w:r>
    </w:p>
    <w:p w14:paraId="731599C8" w14:textId="77777777" w:rsidR="00636356" w:rsidRPr="003225B3" w:rsidRDefault="00636356" w:rsidP="00636356">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Rockville, MD 20850</w:t>
      </w:r>
    </w:p>
    <w:p w14:paraId="1EB9701D" w14:textId="77777777" w:rsidR="00636356" w:rsidRPr="003225B3" w:rsidRDefault="00636356" w:rsidP="00636356">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 xml:space="preserve">Telephone: </w:t>
      </w:r>
      <w:r w:rsidRPr="003225B3">
        <w:rPr>
          <w:rFonts w:asciiTheme="minorHAnsi" w:eastAsiaTheme="minorEastAsia" w:hAnsiTheme="minorHAnsi" w:cs="Arial"/>
          <w:noProof/>
          <w:szCs w:val="22"/>
        </w:rPr>
        <w:t>240-276-6806</w:t>
      </w:r>
    </w:p>
    <w:p w14:paraId="4B0ED5F0" w14:textId="77777777" w:rsidR="00636356" w:rsidRPr="003225B3" w:rsidRDefault="00636356" w:rsidP="00636356">
      <w:pPr>
        <w:rPr>
          <w:rFonts w:asciiTheme="minorHAnsi" w:hAnsiTheme="minorHAnsi" w:cs="Arial"/>
          <w:sz w:val="22"/>
          <w:szCs w:val="22"/>
        </w:rPr>
      </w:pPr>
      <w:r w:rsidRPr="003225B3">
        <w:rPr>
          <w:rFonts w:asciiTheme="minorHAnsi" w:hAnsiTheme="minorHAnsi" w:cs="Arial"/>
          <w:sz w:val="22"/>
          <w:szCs w:val="22"/>
        </w:rPr>
        <w:t>Fax: 240-276-7909</w:t>
      </w:r>
    </w:p>
    <w:p w14:paraId="13322405" w14:textId="77777777" w:rsidR="00636356" w:rsidRPr="003225B3" w:rsidRDefault="00636356" w:rsidP="00636356">
      <w:pPr>
        <w:rPr>
          <w:rFonts w:asciiTheme="minorHAnsi" w:hAnsiTheme="minorHAnsi" w:cs="Arial"/>
          <w:sz w:val="22"/>
          <w:szCs w:val="22"/>
        </w:rPr>
      </w:pPr>
      <w:r w:rsidRPr="003225B3">
        <w:rPr>
          <w:rFonts w:asciiTheme="minorHAnsi" w:hAnsiTheme="minorHAnsi" w:cs="Arial"/>
          <w:sz w:val="22"/>
          <w:szCs w:val="22"/>
        </w:rPr>
        <w:t>Email:</w:t>
      </w:r>
      <w:r w:rsidRPr="003225B3">
        <w:rPr>
          <w:rFonts w:asciiTheme="minorHAnsi" w:eastAsiaTheme="minorEastAsia" w:hAnsiTheme="minorHAnsi" w:cs="Arial"/>
          <w:noProof/>
          <w:sz w:val="22"/>
          <w:szCs w:val="22"/>
        </w:rPr>
        <w:t xml:space="preserve"> </w:t>
      </w:r>
      <w:hyperlink r:id="rId9" w:history="1">
        <w:r w:rsidRPr="003225B3">
          <w:rPr>
            <w:rStyle w:val="Hyperlink"/>
            <w:rFonts w:asciiTheme="minorHAnsi" w:eastAsiaTheme="minorEastAsia" w:hAnsiTheme="minorHAnsi" w:cs="Arial"/>
            <w:noProof/>
            <w:sz w:val="22"/>
            <w:szCs w:val="22"/>
          </w:rPr>
          <w:t>demoorjs@mail.nih.gov</w:t>
        </w:r>
      </w:hyperlink>
      <w:r w:rsidRPr="003225B3">
        <w:rPr>
          <w:rFonts w:asciiTheme="minorHAnsi" w:eastAsiaTheme="minorEastAsia" w:hAnsiTheme="minorHAnsi"/>
          <w:noProof/>
          <w:color w:val="000000"/>
          <w:sz w:val="22"/>
          <w:szCs w:val="22"/>
        </w:rPr>
        <w:tab/>
      </w:r>
      <w:r w:rsidRPr="003225B3">
        <w:rPr>
          <w:rFonts w:asciiTheme="minorHAnsi" w:eastAsiaTheme="minorEastAsia" w:hAnsiTheme="minorHAnsi"/>
          <w:noProof/>
          <w:color w:val="000000"/>
          <w:sz w:val="22"/>
          <w:szCs w:val="22"/>
        </w:rPr>
        <w:tab/>
      </w:r>
    </w:p>
    <w:p w14:paraId="15D24EC0" w14:textId="77777777" w:rsidR="00DF1BC4" w:rsidRPr="00C01C04" w:rsidRDefault="00DF1BC4" w:rsidP="00DF1BC4">
      <w:pPr>
        <w:pStyle w:val="P1-StandPara"/>
        <w:tabs>
          <w:tab w:val="left" w:pos="720"/>
          <w:tab w:val="right" w:leader="dot" w:pos="9504"/>
        </w:tabs>
        <w:spacing w:before="120" w:line="240" w:lineRule="auto"/>
        <w:ind w:firstLine="0"/>
        <w:rPr>
          <w:rFonts w:asciiTheme="minorHAnsi" w:hAnsiTheme="minorHAnsi"/>
          <w:szCs w:val="22"/>
        </w:rPr>
      </w:pPr>
    </w:p>
    <w:p w14:paraId="4023E388" w14:textId="77777777" w:rsidR="005C3DC2" w:rsidRPr="00C01C04" w:rsidRDefault="005C3DC2" w:rsidP="005C3DC2">
      <w:pPr>
        <w:rPr>
          <w:rFonts w:asciiTheme="minorHAnsi" w:hAnsiTheme="minorHAnsi"/>
          <w:sz w:val="22"/>
          <w:szCs w:val="22"/>
        </w:rPr>
      </w:pPr>
    </w:p>
    <w:p w14:paraId="3BDCB2B2" w14:textId="77777777" w:rsidR="003E1139" w:rsidRPr="00C01C04" w:rsidRDefault="003E1139" w:rsidP="003E1139">
      <w:pPr>
        <w:pStyle w:val="P1-StandPara"/>
        <w:tabs>
          <w:tab w:val="left" w:pos="720"/>
          <w:tab w:val="right" w:leader="dot" w:pos="9504"/>
        </w:tabs>
        <w:spacing w:before="120" w:line="240" w:lineRule="auto"/>
        <w:rPr>
          <w:rFonts w:asciiTheme="minorHAnsi" w:hAnsiTheme="minorHAnsi"/>
          <w:szCs w:val="22"/>
        </w:rPr>
      </w:pPr>
    </w:p>
    <w:p w14:paraId="1CC02BC9" w14:textId="77777777" w:rsidR="005C3DC2" w:rsidRPr="00C01C04" w:rsidRDefault="005C3DC2" w:rsidP="005C3DC2">
      <w:pPr>
        <w:rPr>
          <w:rFonts w:asciiTheme="minorHAnsi" w:hAnsiTheme="minorHAnsi"/>
          <w:sz w:val="22"/>
          <w:szCs w:val="22"/>
        </w:rPr>
      </w:pPr>
    </w:p>
    <w:p w14:paraId="135C7EB0" w14:textId="77777777" w:rsidR="005C3DC2" w:rsidRPr="00C01C04" w:rsidRDefault="005C3DC2" w:rsidP="005C3DC2">
      <w:pPr>
        <w:rPr>
          <w:rFonts w:asciiTheme="minorHAnsi" w:hAnsiTheme="minorHAnsi"/>
          <w:sz w:val="22"/>
          <w:szCs w:val="22"/>
        </w:rPr>
      </w:pPr>
    </w:p>
    <w:p w14:paraId="5E74D00C" w14:textId="77777777" w:rsidR="003E1139" w:rsidRPr="00C01C04" w:rsidRDefault="003E1139" w:rsidP="005C3DC2">
      <w:pPr>
        <w:rPr>
          <w:rFonts w:asciiTheme="minorHAnsi" w:hAnsiTheme="minorHAnsi"/>
          <w:sz w:val="22"/>
          <w:szCs w:val="22"/>
        </w:rPr>
      </w:pPr>
    </w:p>
    <w:p w14:paraId="425E3958" w14:textId="77777777" w:rsidR="00E77C27" w:rsidRPr="00C01C04" w:rsidRDefault="00E77C27" w:rsidP="005C3DC2">
      <w:pPr>
        <w:rPr>
          <w:rFonts w:asciiTheme="minorHAnsi" w:hAnsiTheme="minorHAnsi"/>
          <w:sz w:val="22"/>
          <w:szCs w:val="22"/>
        </w:rPr>
      </w:pPr>
    </w:p>
    <w:p w14:paraId="33CACEC5" w14:textId="77777777" w:rsidR="005C3DC2" w:rsidRPr="00C01C04" w:rsidRDefault="005C3DC2" w:rsidP="005C3DC2">
      <w:pPr>
        <w:rPr>
          <w:rFonts w:asciiTheme="minorHAnsi" w:hAnsiTheme="minorHAnsi"/>
          <w:sz w:val="22"/>
          <w:szCs w:val="22"/>
        </w:rPr>
      </w:pPr>
    </w:p>
    <w:p w14:paraId="066B2154" w14:textId="77777777" w:rsidR="00591473" w:rsidRDefault="00591473" w:rsidP="00D70D0F">
      <w:pPr>
        <w:pStyle w:val="P1-StandPara"/>
        <w:tabs>
          <w:tab w:val="left" w:pos="720"/>
          <w:tab w:val="right" w:leader="dot" w:pos="9504"/>
        </w:tabs>
        <w:spacing w:before="120" w:after="120" w:line="240" w:lineRule="atLeast"/>
        <w:ind w:firstLine="0"/>
        <w:jc w:val="center"/>
        <w:rPr>
          <w:rFonts w:asciiTheme="minorHAnsi" w:hAnsiTheme="minorHAnsi"/>
          <w:b/>
          <w:szCs w:val="22"/>
        </w:rPr>
      </w:pPr>
    </w:p>
    <w:p w14:paraId="604D71A1" w14:textId="77777777" w:rsidR="00636356" w:rsidRDefault="00636356" w:rsidP="00D70D0F">
      <w:pPr>
        <w:pStyle w:val="P1-StandPara"/>
        <w:tabs>
          <w:tab w:val="left" w:pos="720"/>
          <w:tab w:val="right" w:leader="dot" w:pos="9504"/>
        </w:tabs>
        <w:spacing w:before="120" w:after="120" w:line="240" w:lineRule="atLeast"/>
        <w:ind w:firstLine="0"/>
        <w:jc w:val="center"/>
        <w:rPr>
          <w:rFonts w:asciiTheme="minorHAnsi" w:hAnsiTheme="minorHAnsi"/>
          <w:b/>
          <w:szCs w:val="22"/>
        </w:rPr>
      </w:pPr>
    </w:p>
    <w:p w14:paraId="160D047C" w14:textId="77777777" w:rsidR="00636356" w:rsidRPr="00C01C04" w:rsidRDefault="00636356" w:rsidP="00D70D0F">
      <w:pPr>
        <w:pStyle w:val="P1-StandPara"/>
        <w:tabs>
          <w:tab w:val="left" w:pos="720"/>
          <w:tab w:val="right" w:leader="dot" w:pos="9504"/>
        </w:tabs>
        <w:spacing w:before="120" w:after="120" w:line="240" w:lineRule="atLeast"/>
        <w:ind w:firstLine="0"/>
        <w:jc w:val="center"/>
        <w:rPr>
          <w:rFonts w:asciiTheme="minorHAnsi" w:hAnsiTheme="minorHAnsi"/>
          <w:b/>
          <w:szCs w:val="22"/>
        </w:rPr>
      </w:pPr>
    </w:p>
    <w:p w14:paraId="103B8197" w14:textId="77777777" w:rsidR="00662F03" w:rsidRDefault="00662F03" w:rsidP="00D70D0F">
      <w:pPr>
        <w:pStyle w:val="P1-StandPara"/>
        <w:tabs>
          <w:tab w:val="left" w:pos="720"/>
          <w:tab w:val="right" w:leader="dot" w:pos="9504"/>
        </w:tabs>
        <w:spacing w:before="120" w:after="120" w:line="240" w:lineRule="atLeast"/>
        <w:ind w:firstLine="0"/>
        <w:jc w:val="center"/>
        <w:rPr>
          <w:rFonts w:asciiTheme="minorHAnsi" w:hAnsiTheme="minorHAnsi"/>
          <w:b/>
          <w:szCs w:val="22"/>
        </w:rPr>
      </w:pPr>
    </w:p>
    <w:p w14:paraId="55E72771" w14:textId="77777777" w:rsidR="00662F03" w:rsidRDefault="00662F03" w:rsidP="00D70D0F">
      <w:pPr>
        <w:pStyle w:val="P1-StandPara"/>
        <w:tabs>
          <w:tab w:val="left" w:pos="720"/>
          <w:tab w:val="right" w:leader="dot" w:pos="9504"/>
        </w:tabs>
        <w:spacing w:before="120" w:after="120" w:line="240" w:lineRule="atLeast"/>
        <w:ind w:firstLine="0"/>
        <w:jc w:val="center"/>
        <w:rPr>
          <w:rFonts w:asciiTheme="minorHAnsi" w:hAnsiTheme="minorHAnsi"/>
          <w:b/>
          <w:szCs w:val="22"/>
        </w:rPr>
      </w:pPr>
    </w:p>
    <w:p w14:paraId="367CDE16" w14:textId="77777777" w:rsidR="00D429CD" w:rsidRDefault="00D429CD" w:rsidP="00636356">
      <w:pPr>
        <w:pStyle w:val="P1-StandPara"/>
        <w:tabs>
          <w:tab w:val="left" w:pos="720"/>
          <w:tab w:val="right" w:leader="dot" w:pos="9504"/>
        </w:tabs>
        <w:spacing w:before="120" w:after="120" w:line="240" w:lineRule="atLeast"/>
        <w:ind w:firstLine="0"/>
        <w:rPr>
          <w:rFonts w:asciiTheme="minorHAnsi" w:hAnsiTheme="minorHAnsi"/>
          <w:b/>
          <w:szCs w:val="22"/>
          <w:u w:val="single"/>
        </w:rPr>
      </w:pPr>
    </w:p>
    <w:p w14:paraId="755068D4" w14:textId="41E064D5" w:rsidR="00D70D0F" w:rsidRDefault="00D70D0F" w:rsidP="00636356">
      <w:pPr>
        <w:pStyle w:val="P1-StandPara"/>
        <w:tabs>
          <w:tab w:val="left" w:pos="720"/>
          <w:tab w:val="right" w:leader="dot" w:pos="9504"/>
        </w:tabs>
        <w:spacing w:before="120" w:after="120" w:line="240" w:lineRule="atLeast"/>
        <w:ind w:firstLine="0"/>
        <w:rPr>
          <w:rFonts w:asciiTheme="minorHAnsi" w:hAnsiTheme="minorHAnsi"/>
          <w:b/>
          <w:szCs w:val="22"/>
          <w:u w:val="single"/>
        </w:rPr>
      </w:pPr>
      <w:r w:rsidRPr="00636356">
        <w:rPr>
          <w:rFonts w:asciiTheme="minorHAnsi" w:hAnsiTheme="minorHAnsi"/>
          <w:b/>
          <w:szCs w:val="22"/>
          <w:u w:val="single"/>
        </w:rPr>
        <w:lastRenderedPageBreak/>
        <w:t>Table of contents</w:t>
      </w:r>
    </w:p>
    <w:p w14:paraId="65B4A40C" w14:textId="77777777" w:rsidR="00636356" w:rsidRPr="00636356" w:rsidRDefault="00636356" w:rsidP="00636356">
      <w:pPr>
        <w:pStyle w:val="P1-StandPara"/>
        <w:tabs>
          <w:tab w:val="left" w:pos="720"/>
          <w:tab w:val="right" w:leader="dot" w:pos="9504"/>
        </w:tabs>
        <w:spacing w:before="120" w:after="120" w:line="240" w:lineRule="atLeast"/>
        <w:ind w:firstLine="0"/>
        <w:rPr>
          <w:rFonts w:asciiTheme="minorHAnsi" w:hAnsiTheme="minorHAnsi"/>
          <w:b/>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548"/>
      </w:tblGrid>
      <w:tr w:rsidR="001D0974" w:rsidRPr="001D0974" w14:paraId="62AA00F6" w14:textId="77777777" w:rsidTr="001D0974">
        <w:trPr>
          <w:trHeight w:val="377"/>
        </w:trPr>
        <w:tc>
          <w:tcPr>
            <w:tcW w:w="7308" w:type="dxa"/>
          </w:tcPr>
          <w:p w14:paraId="2DCD5668" w14:textId="1B5466FD" w:rsidR="001D0974" w:rsidRPr="001D0974" w:rsidRDefault="001D0974" w:rsidP="002B5800">
            <w:pPr>
              <w:pStyle w:val="TOC1"/>
              <w:rPr>
                <w:rFonts w:asciiTheme="minorHAnsi" w:hAnsiTheme="minorHAnsi"/>
              </w:rPr>
            </w:pPr>
          </w:p>
        </w:tc>
        <w:tc>
          <w:tcPr>
            <w:tcW w:w="1548" w:type="dxa"/>
          </w:tcPr>
          <w:p w14:paraId="3978999D" w14:textId="5AA23191" w:rsidR="001D0974" w:rsidRPr="001D0974" w:rsidRDefault="001D0974" w:rsidP="002B5800">
            <w:pPr>
              <w:pStyle w:val="TOC1"/>
              <w:rPr>
                <w:rFonts w:asciiTheme="minorHAnsi" w:hAnsiTheme="minorHAnsi"/>
              </w:rPr>
            </w:pPr>
            <w:r>
              <w:rPr>
                <w:rFonts w:asciiTheme="minorHAnsi" w:hAnsiTheme="minorHAnsi"/>
              </w:rPr>
              <w:t>Page</w:t>
            </w:r>
          </w:p>
        </w:tc>
      </w:tr>
      <w:tr w:rsidR="001D0974" w:rsidRPr="001D0974" w14:paraId="393A707B" w14:textId="2C5F10A3" w:rsidTr="001D0974">
        <w:tc>
          <w:tcPr>
            <w:tcW w:w="7308" w:type="dxa"/>
          </w:tcPr>
          <w:p w14:paraId="387D47DB" w14:textId="77777777" w:rsidR="001D0974" w:rsidRPr="001D0974" w:rsidRDefault="001D0974" w:rsidP="002B5800">
            <w:pPr>
              <w:pStyle w:val="TOC1"/>
              <w:rPr>
                <w:rFonts w:asciiTheme="minorHAnsi" w:hAnsiTheme="minorHAnsi"/>
              </w:rPr>
            </w:pPr>
            <w:r w:rsidRPr="001D0974">
              <w:rPr>
                <w:rFonts w:asciiTheme="minorHAnsi" w:hAnsiTheme="minorHAnsi"/>
              </w:rPr>
              <w:t>B.</w:t>
            </w:r>
            <w:r w:rsidRPr="001D0974">
              <w:rPr>
                <w:rFonts w:asciiTheme="minorHAnsi" w:hAnsiTheme="minorHAnsi"/>
              </w:rPr>
              <w:tab/>
              <w:t>COLLECTIONS OF INFORMATION EMPLOYING STATISTICAL METHODS</w:t>
            </w:r>
          </w:p>
        </w:tc>
        <w:tc>
          <w:tcPr>
            <w:tcW w:w="1548" w:type="dxa"/>
          </w:tcPr>
          <w:p w14:paraId="560E10AF" w14:textId="68EC5F93" w:rsidR="001D0974" w:rsidRPr="001D0974" w:rsidRDefault="00B77917" w:rsidP="002B5800">
            <w:pPr>
              <w:pStyle w:val="TOC1"/>
              <w:rPr>
                <w:rFonts w:asciiTheme="minorHAnsi" w:hAnsiTheme="minorHAnsi"/>
              </w:rPr>
            </w:pPr>
            <w:r>
              <w:rPr>
                <w:rFonts w:asciiTheme="minorHAnsi" w:hAnsiTheme="minorHAnsi"/>
              </w:rPr>
              <w:t>3</w:t>
            </w:r>
          </w:p>
        </w:tc>
      </w:tr>
      <w:tr w:rsidR="001D0974" w:rsidRPr="001D0974" w14:paraId="3A842399" w14:textId="74A2F0BF" w:rsidTr="001D0974">
        <w:tc>
          <w:tcPr>
            <w:tcW w:w="7308" w:type="dxa"/>
          </w:tcPr>
          <w:p w14:paraId="16942F09" w14:textId="77777777" w:rsidR="001D0974" w:rsidRDefault="001D0974" w:rsidP="002B5800">
            <w:pPr>
              <w:rPr>
                <w:rFonts w:asciiTheme="minorHAnsi" w:hAnsiTheme="minorHAnsi"/>
                <w:noProof/>
                <w:sz w:val="22"/>
                <w:szCs w:val="22"/>
              </w:rPr>
            </w:pPr>
            <w:r w:rsidRPr="001D0974">
              <w:rPr>
                <w:rFonts w:asciiTheme="minorHAnsi" w:hAnsiTheme="minorHAnsi"/>
                <w:noProof/>
                <w:sz w:val="22"/>
                <w:szCs w:val="22"/>
              </w:rPr>
              <w:t>B.1</w:t>
            </w:r>
            <w:r w:rsidRPr="001D0974">
              <w:rPr>
                <w:rFonts w:asciiTheme="minorHAnsi" w:hAnsiTheme="minorHAnsi"/>
                <w:noProof/>
                <w:sz w:val="22"/>
                <w:szCs w:val="22"/>
              </w:rPr>
              <w:tab/>
              <w:t xml:space="preserve">Respondent Universe </w:t>
            </w:r>
            <w:smartTag w:uri="urn:schemas-microsoft-com:office:smarttags" w:element="stockticker">
              <w:r w:rsidRPr="001D0974">
                <w:rPr>
                  <w:rFonts w:asciiTheme="minorHAnsi" w:hAnsiTheme="minorHAnsi"/>
                  <w:noProof/>
                  <w:sz w:val="22"/>
                  <w:szCs w:val="22"/>
                </w:rPr>
                <w:t>and</w:t>
              </w:r>
            </w:smartTag>
            <w:r w:rsidRPr="001D0974">
              <w:rPr>
                <w:rFonts w:asciiTheme="minorHAnsi" w:hAnsiTheme="minorHAnsi"/>
                <w:noProof/>
                <w:sz w:val="22"/>
                <w:szCs w:val="22"/>
              </w:rPr>
              <w:t xml:space="preserve"> Sampling Methods</w:t>
            </w:r>
            <w:r w:rsidRPr="001D0974">
              <w:rPr>
                <w:rFonts w:asciiTheme="minorHAnsi" w:hAnsiTheme="minorHAnsi"/>
                <w:noProof/>
                <w:sz w:val="22"/>
                <w:szCs w:val="22"/>
              </w:rPr>
              <w:tab/>
            </w:r>
          </w:p>
          <w:p w14:paraId="11F9E2F2" w14:textId="77777777" w:rsidR="00B77917" w:rsidRPr="001D0974" w:rsidRDefault="00B77917" w:rsidP="002B5800">
            <w:pPr>
              <w:rPr>
                <w:rFonts w:asciiTheme="minorHAnsi" w:hAnsiTheme="minorHAnsi"/>
                <w:noProof/>
                <w:sz w:val="22"/>
                <w:szCs w:val="22"/>
              </w:rPr>
            </w:pPr>
          </w:p>
        </w:tc>
        <w:tc>
          <w:tcPr>
            <w:tcW w:w="1548" w:type="dxa"/>
          </w:tcPr>
          <w:p w14:paraId="29FAD429" w14:textId="4F1B6B36" w:rsidR="001D0974" w:rsidRPr="001D0974" w:rsidRDefault="00B77917" w:rsidP="002B5800">
            <w:pPr>
              <w:rPr>
                <w:rFonts w:asciiTheme="minorHAnsi" w:hAnsiTheme="minorHAnsi"/>
                <w:noProof/>
                <w:sz w:val="22"/>
                <w:szCs w:val="22"/>
              </w:rPr>
            </w:pPr>
            <w:r>
              <w:rPr>
                <w:rFonts w:asciiTheme="minorHAnsi" w:hAnsiTheme="minorHAnsi"/>
                <w:noProof/>
                <w:sz w:val="22"/>
                <w:szCs w:val="22"/>
              </w:rPr>
              <w:t>3</w:t>
            </w:r>
          </w:p>
        </w:tc>
      </w:tr>
      <w:tr w:rsidR="001D0974" w:rsidRPr="001D0974" w14:paraId="12522C02" w14:textId="10E55DEC" w:rsidTr="001D0974">
        <w:tc>
          <w:tcPr>
            <w:tcW w:w="7308" w:type="dxa"/>
          </w:tcPr>
          <w:p w14:paraId="4DDD316E" w14:textId="77777777" w:rsidR="001D0974" w:rsidRDefault="001D0974" w:rsidP="002B5800">
            <w:pPr>
              <w:rPr>
                <w:rFonts w:asciiTheme="minorHAnsi" w:hAnsiTheme="minorHAnsi"/>
                <w:noProof/>
                <w:sz w:val="22"/>
                <w:szCs w:val="22"/>
              </w:rPr>
            </w:pPr>
            <w:r w:rsidRPr="001D0974">
              <w:rPr>
                <w:rFonts w:asciiTheme="minorHAnsi" w:hAnsiTheme="minorHAnsi"/>
                <w:noProof/>
                <w:sz w:val="22"/>
                <w:szCs w:val="22"/>
              </w:rPr>
              <w:t>B.2</w:t>
            </w:r>
            <w:r w:rsidRPr="001D0974">
              <w:rPr>
                <w:rFonts w:asciiTheme="minorHAnsi" w:hAnsiTheme="minorHAnsi"/>
                <w:noProof/>
                <w:sz w:val="22"/>
                <w:szCs w:val="22"/>
              </w:rPr>
              <w:tab/>
              <w:t>Procedures for the Collection of Information</w:t>
            </w:r>
            <w:r w:rsidRPr="001D0974">
              <w:rPr>
                <w:rFonts w:asciiTheme="minorHAnsi" w:hAnsiTheme="minorHAnsi"/>
                <w:noProof/>
                <w:sz w:val="22"/>
                <w:szCs w:val="22"/>
              </w:rPr>
              <w:tab/>
            </w:r>
          </w:p>
          <w:p w14:paraId="4F33D3D3" w14:textId="77777777" w:rsidR="00B77917" w:rsidRPr="001D0974" w:rsidRDefault="00B77917" w:rsidP="002B5800">
            <w:pPr>
              <w:rPr>
                <w:rFonts w:asciiTheme="minorHAnsi" w:hAnsiTheme="minorHAnsi"/>
                <w:noProof/>
                <w:sz w:val="22"/>
                <w:szCs w:val="22"/>
              </w:rPr>
            </w:pPr>
          </w:p>
        </w:tc>
        <w:tc>
          <w:tcPr>
            <w:tcW w:w="1548" w:type="dxa"/>
          </w:tcPr>
          <w:p w14:paraId="4A50DB7C" w14:textId="69ECC42A" w:rsidR="001D0974" w:rsidRPr="001D0974" w:rsidRDefault="00B77917" w:rsidP="002B5800">
            <w:pPr>
              <w:rPr>
                <w:rFonts w:asciiTheme="minorHAnsi" w:hAnsiTheme="minorHAnsi"/>
                <w:noProof/>
                <w:sz w:val="22"/>
                <w:szCs w:val="22"/>
              </w:rPr>
            </w:pPr>
            <w:r>
              <w:rPr>
                <w:rFonts w:asciiTheme="minorHAnsi" w:hAnsiTheme="minorHAnsi"/>
                <w:noProof/>
                <w:sz w:val="22"/>
                <w:szCs w:val="22"/>
              </w:rPr>
              <w:t>7</w:t>
            </w:r>
          </w:p>
        </w:tc>
      </w:tr>
      <w:tr w:rsidR="001D0974" w:rsidRPr="001D0974" w14:paraId="71B8352F" w14:textId="0ECF021B" w:rsidTr="001D0974">
        <w:tc>
          <w:tcPr>
            <w:tcW w:w="7308" w:type="dxa"/>
          </w:tcPr>
          <w:p w14:paraId="39BE158A" w14:textId="77777777" w:rsidR="001D0974" w:rsidRDefault="001D0974" w:rsidP="002B5800">
            <w:pPr>
              <w:rPr>
                <w:rFonts w:asciiTheme="minorHAnsi" w:hAnsiTheme="minorHAnsi"/>
                <w:noProof/>
                <w:sz w:val="22"/>
                <w:szCs w:val="22"/>
              </w:rPr>
            </w:pPr>
            <w:r w:rsidRPr="001D0974">
              <w:rPr>
                <w:rFonts w:asciiTheme="minorHAnsi" w:hAnsiTheme="minorHAnsi"/>
                <w:noProof/>
                <w:sz w:val="22"/>
                <w:szCs w:val="22"/>
              </w:rPr>
              <w:t>B.3</w:t>
            </w:r>
            <w:r w:rsidRPr="001D0974">
              <w:rPr>
                <w:rFonts w:asciiTheme="minorHAnsi" w:hAnsiTheme="minorHAnsi"/>
                <w:noProof/>
                <w:sz w:val="22"/>
                <w:szCs w:val="22"/>
              </w:rPr>
              <w:tab/>
              <w:t xml:space="preserve">Methods to Maximize Response Rates </w:t>
            </w:r>
            <w:smartTag w:uri="urn:schemas-microsoft-com:office:smarttags" w:element="stockticker">
              <w:r w:rsidRPr="001D0974">
                <w:rPr>
                  <w:rFonts w:asciiTheme="minorHAnsi" w:hAnsiTheme="minorHAnsi"/>
                  <w:noProof/>
                  <w:sz w:val="22"/>
                  <w:szCs w:val="22"/>
                </w:rPr>
                <w:t>and</w:t>
              </w:r>
            </w:smartTag>
            <w:r w:rsidRPr="001D0974">
              <w:rPr>
                <w:rFonts w:asciiTheme="minorHAnsi" w:hAnsiTheme="minorHAnsi"/>
                <w:noProof/>
                <w:sz w:val="22"/>
                <w:szCs w:val="22"/>
              </w:rPr>
              <w:t xml:space="preserve"> Deal with Non-response</w:t>
            </w:r>
          </w:p>
          <w:p w14:paraId="5E049AEC" w14:textId="14D53A1C" w:rsidR="00B77917" w:rsidRPr="001D0974" w:rsidRDefault="00B77917" w:rsidP="002B5800">
            <w:pPr>
              <w:rPr>
                <w:rFonts w:asciiTheme="minorHAnsi" w:hAnsiTheme="minorHAnsi"/>
                <w:noProof/>
                <w:sz w:val="22"/>
                <w:szCs w:val="22"/>
              </w:rPr>
            </w:pPr>
          </w:p>
        </w:tc>
        <w:tc>
          <w:tcPr>
            <w:tcW w:w="1548" w:type="dxa"/>
          </w:tcPr>
          <w:p w14:paraId="36907C0F" w14:textId="3B2E7F63" w:rsidR="001D0974" w:rsidRPr="001D0974" w:rsidRDefault="00B77917" w:rsidP="002B5800">
            <w:pPr>
              <w:rPr>
                <w:rFonts w:asciiTheme="minorHAnsi" w:hAnsiTheme="minorHAnsi"/>
                <w:noProof/>
                <w:sz w:val="22"/>
                <w:szCs w:val="22"/>
              </w:rPr>
            </w:pPr>
            <w:r>
              <w:rPr>
                <w:rFonts w:asciiTheme="minorHAnsi" w:hAnsiTheme="minorHAnsi"/>
                <w:noProof/>
                <w:sz w:val="22"/>
                <w:szCs w:val="22"/>
              </w:rPr>
              <w:t>8</w:t>
            </w:r>
          </w:p>
        </w:tc>
      </w:tr>
      <w:tr w:rsidR="001D0974" w:rsidRPr="001D0974" w14:paraId="45F134CB" w14:textId="22F33988" w:rsidTr="001D0974">
        <w:tc>
          <w:tcPr>
            <w:tcW w:w="7308" w:type="dxa"/>
          </w:tcPr>
          <w:p w14:paraId="4C4D1B09" w14:textId="77777777" w:rsidR="001D0974" w:rsidRDefault="001D0974" w:rsidP="002B5800">
            <w:pPr>
              <w:rPr>
                <w:rFonts w:asciiTheme="minorHAnsi" w:hAnsiTheme="minorHAnsi"/>
                <w:noProof/>
                <w:sz w:val="22"/>
                <w:szCs w:val="22"/>
              </w:rPr>
            </w:pPr>
            <w:r w:rsidRPr="001D0974">
              <w:rPr>
                <w:rFonts w:asciiTheme="minorHAnsi" w:hAnsiTheme="minorHAnsi"/>
                <w:noProof/>
                <w:sz w:val="22"/>
                <w:szCs w:val="22"/>
              </w:rPr>
              <w:t>B.4</w:t>
            </w:r>
            <w:r w:rsidRPr="001D0974">
              <w:rPr>
                <w:rFonts w:asciiTheme="minorHAnsi" w:hAnsiTheme="minorHAnsi"/>
                <w:noProof/>
                <w:sz w:val="22"/>
                <w:szCs w:val="22"/>
              </w:rPr>
              <w:tab/>
              <w:t>Test of Procedures or Methods to be Undertaken</w:t>
            </w:r>
            <w:r w:rsidRPr="001D0974">
              <w:rPr>
                <w:rFonts w:asciiTheme="minorHAnsi" w:hAnsiTheme="minorHAnsi"/>
                <w:noProof/>
                <w:sz w:val="22"/>
                <w:szCs w:val="22"/>
              </w:rPr>
              <w:tab/>
            </w:r>
          </w:p>
          <w:p w14:paraId="16A152C6" w14:textId="77777777" w:rsidR="00B77917" w:rsidRPr="001D0974" w:rsidRDefault="00B77917" w:rsidP="002B5800">
            <w:pPr>
              <w:rPr>
                <w:rFonts w:asciiTheme="minorHAnsi" w:hAnsiTheme="minorHAnsi"/>
                <w:noProof/>
                <w:sz w:val="22"/>
                <w:szCs w:val="22"/>
              </w:rPr>
            </w:pPr>
          </w:p>
        </w:tc>
        <w:tc>
          <w:tcPr>
            <w:tcW w:w="1548" w:type="dxa"/>
          </w:tcPr>
          <w:p w14:paraId="67F2D2F2" w14:textId="01D9C3AC" w:rsidR="001D0974" w:rsidRPr="001D0974" w:rsidRDefault="00B77917" w:rsidP="002B5800">
            <w:pPr>
              <w:rPr>
                <w:rFonts w:asciiTheme="minorHAnsi" w:hAnsiTheme="minorHAnsi"/>
                <w:noProof/>
                <w:sz w:val="22"/>
                <w:szCs w:val="22"/>
              </w:rPr>
            </w:pPr>
            <w:r>
              <w:rPr>
                <w:rFonts w:asciiTheme="minorHAnsi" w:hAnsiTheme="minorHAnsi"/>
                <w:noProof/>
                <w:sz w:val="22"/>
                <w:szCs w:val="22"/>
              </w:rPr>
              <w:t>9</w:t>
            </w:r>
          </w:p>
        </w:tc>
      </w:tr>
      <w:tr w:rsidR="001D0974" w:rsidRPr="001D0974" w14:paraId="525FD4B1" w14:textId="17FBA58D" w:rsidTr="001D0974">
        <w:tc>
          <w:tcPr>
            <w:tcW w:w="7308" w:type="dxa"/>
          </w:tcPr>
          <w:p w14:paraId="1243E974" w14:textId="05479DB8" w:rsidR="00B77917" w:rsidRPr="001D0974" w:rsidRDefault="001D0974" w:rsidP="002B5800">
            <w:pPr>
              <w:rPr>
                <w:rFonts w:asciiTheme="minorHAnsi" w:hAnsiTheme="minorHAnsi"/>
                <w:noProof/>
                <w:sz w:val="22"/>
                <w:szCs w:val="22"/>
              </w:rPr>
            </w:pPr>
            <w:r w:rsidRPr="001D0974">
              <w:rPr>
                <w:rFonts w:asciiTheme="minorHAnsi" w:hAnsiTheme="minorHAnsi"/>
                <w:noProof/>
                <w:sz w:val="22"/>
                <w:szCs w:val="22"/>
              </w:rPr>
              <w:t>B.5</w:t>
            </w:r>
            <w:r w:rsidRPr="001D0974">
              <w:rPr>
                <w:noProof/>
              </w:rPr>
              <w:tab/>
            </w:r>
            <w:r w:rsidRPr="001D0974">
              <w:rPr>
                <w:rFonts w:asciiTheme="minorHAnsi" w:hAnsiTheme="minorHAnsi"/>
                <w:noProof/>
                <w:sz w:val="22"/>
                <w:szCs w:val="22"/>
              </w:rPr>
              <w:t xml:space="preserve">Individuals Consulted on Statistical Aspects </w:t>
            </w:r>
            <w:smartTag w:uri="urn:schemas-microsoft-com:office:smarttags" w:element="stockticker">
              <w:r w:rsidRPr="001D0974">
                <w:rPr>
                  <w:rFonts w:asciiTheme="minorHAnsi" w:hAnsiTheme="minorHAnsi"/>
                  <w:noProof/>
                  <w:sz w:val="22"/>
                  <w:szCs w:val="22"/>
                </w:rPr>
                <w:t>and</w:t>
              </w:r>
            </w:smartTag>
            <w:r w:rsidRPr="001D0974">
              <w:rPr>
                <w:rFonts w:asciiTheme="minorHAnsi" w:hAnsiTheme="minorHAnsi"/>
                <w:noProof/>
                <w:sz w:val="22"/>
                <w:szCs w:val="22"/>
              </w:rPr>
              <w:t xml:space="preserve"> Individuals Collecting </w:t>
            </w:r>
          </w:p>
        </w:tc>
        <w:tc>
          <w:tcPr>
            <w:tcW w:w="1548" w:type="dxa"/>
          </w:tcPr>
          <w:p w14:paraId="2C0AD9DB" w14:textId="1A3454A2" w:rsidR="001D0974" w:rsidRPr="001D0974" w:rsidRDefault="00B77917" w:rsidP="002B5800">
            <w:pPr>
              <w:rPr>
                <w:rFonts w:asciiTheme="minorHAnsi" w:hAnsiTheme="minorHAnsi"/>
                <w:noProof/>
                <w:sz w:val="22"/>
                <w:szCs w:val="22"/>
              </w:rPr>
            </w:pPr>
            <w:r>
              <w:rPr>
                <w:rFonts w:asciiTheme="minorHAnsi" w:hAnsiTheme="minorHAnsi"/>
                <w:noProof/>
                <w:sz w:val="22"/>
                <w:szCs w:val="22"/>
              </w:rPr>
              <w:t>10</w:t>
            </w:r>
          </w:p>
        </w:tc>
      </w:tr>
      <w:tr w:rsidR="001D0974" w:rsidRPr="001D0974" w14:paraId="695EAAE1" w14:textId="375472E9" w:rsidTr="001D0974">
        <w:tc>
          <w:tcPr>
            <w:tcW w:w="7308" w:type="dxa"/>
          </w:tcPr>
          <w:p w14:paraId="416F6411" w14:textId="77777777" w:rsidR="001D0974" w:rsidRPr="001D0974" w:rsidRDefault="001D0974" w:rsidP="002B5800">
            <w:pPr>
              <w:rPr>
                <w:rFonts w:asciiTheme="minorHAnsi" w:hAnsiTheme="minorHAnsi"/>
                <w:noProof/>
                <w:sz w:val="22"/>
                <w:szCs w:val="22"/>
              </w:rPr>
            </w:pPr>
            <w:r w:rsidRPr="001D0974">
              <w:rPr>
                <w:rFonts w:asciiTheme="minorHAnsi" w:hAnsiTheme="minorHAnsi"/>
                <w:noProof/>
                <w:sz w:val="22"/>
                <w:szCs w:val="22"/>
              </w:rPr>
              <w:tab/>
            </w:r>
            <w:smartTag w:uri="urn:schemas-microsoft-com:office:smarttags" w:element="stockticker">
              <w:r w:rsidRPr="001D0974">
                <w:rPr>
                  <w:rFonts w:asciiTheme="minorHAnsi" w:hAnsiTheme="minorHAnsi"/>
                  <w:noProof/>
                  <w:sz w:val="22"/>
                  <w:szCs w:val="22"/>
                </w:rPr>
                <w:t>and</w:t>
              </w:r>
            </w:smartTag>
            <w:r w:rsidRPr="001D0974">
              <w:rPr>
                <w:rFonts w:asciiTheme="minorHAnsi" w:hAnsiTheme="minorHAnsi"/>
                <w:noProof/>
                <w:sz w:val="22"/>
                <w:szCs w:val="22"/>
              </w:rPr>
              <w:t>/or Analyzing Data</w:t>
            </w:r>
          </w:p>
        </w:tc>
        <w:tc>
          <w:tcPr>
            <w:tcW w:w="1548" w:type="dxa"/>
          </w:tcPr>
          <w:p w14:paraId="3DC93201" w14:textId="77777777" w:rsidR="001D0974" w:rsidRPr="001D0974" w:rsidRDefault="001D0974" w:rsidP="002B5800">
            <w:pPr>
              <w:rPr>
                <w:rFonts w:asciiTheme="minorHAnsi" w:hAnsiTheme="minorHAnsi"/>
                <w:noProof/>
                <w:sz w:val="22"/>
                <w:szCs w:val="22"/>
              </w:rPr>
            </w:pPr>
          </w:p>
        </w:tc>
      </w:tr>
    </w:tbl>
    <w:p w14:paraId="1AC88B6C" w14:textId="77777777" w:rsidR="00AB5537" w:rsidRPr="00C01C04" w:rsidRDefault="00AB5537" w:rsidP="004A70E1">
      <w:pPr>
        <w:pStyle w:val="P1-StandPara"/>
        <w:ind w:right="-216" w:firstLine="0"/>
        <w:jc w:val="center"/>
        <w:rPr>
          <w:rFonts w:asciiTheme="minorHAnsi" w:hAnsiTheme="minorHAnsi"/>
          <w:b/>
          <w:caps/>
          <w:noProof/>
          <w:color w:val="FF0000"/>
          <w:szCs w:val="22"/>
        </w:rPr>
      </w:pPr>
    </w:p>
    <w:p w14:paraId="1A996037" w14:textId="77777777" w:rsidR="00AB5537" w:rsidRPr="00C01C04" w:rsidRDefault="00AB5537" w:rsidP="004A70E1">
      <w:pPr>
        <w:pStyle w:val="P1-StandPara"/>
        <w:ind w:right="-216" w:firstLine="0"/>
        <w:jc w:val="center"/>
        <w:rPr>
          <w:rFonts w:asciiTheme="minorHAnsi" w:hAnsiTheme="minorHAnsi"/>
          <w:b/>
          <w:caps/>
          <w:noProof/>
          <w:color w:val="FF0000"/>
          <w:szCs w:val="22"/>
        </w:rPr>
      </w:pPr>
    </w:p>
    <w:p w14:paraId="090CD761" w14:textId="77777777" w:rsidR="00AB5537" w:rsidRPr="00C01C04" w:rsidRDefault="00AB5537" w:rsidP="004A70E1">
      <w:pPr>
        <w:pStyle w:val="P1-StandPara"/>
        <w:ind w:right="-216" w:firstLine="0"/>
        <w:jc w:val="center"/>
        <w:rPr>
          <w:rFonts w:asciiTheme="minorHAnsi" w:hAnsiTheme="minorHAnsi"/>
          <w:b/>
          <w:caps/>
          <w:noProof/>
          <w:color w:val="FF0000"/>
          <w:szCs w:val="22"/>
        </w:rPr>
      </w:pPr>
    </w:p>
    <w:p w14:paraId="4CAF5CF5" w14:textId="77777777" w:rsidR="00AB5537" w:rsidRPr="00C01C04" w:rsidRDefault="00AB5537" w:rsidP="004A70E1">
      <w:pPr>
        <w:pStyle w:val="P1-StandPara"/>
        <w:ind w:right="-216" w:firstLine="0"/>
        <w:jc w:val="center"/>
        <w:rPr>
          <w:rFonts w:asciiTheme="minorHAnsi" w:hAnsiTheme="minorHAnsi"/>
          <w:b/>
          <w:caps/>
          <w:noProof/>
          <w:color w:val="FF0000"/>
          <w:szCs w:val="22"/>
        </w:rPr>
      </w:pPr>
    </w:p>
    <w:p w14:paraId="0343D77B" w14:textId="77777777" w:rsidR="00B77917" w:rsidRDefault="00B77917" w:rsidP="00B77917">
      <w:pPr>
        <w:tabs>
          <w:tab w:val="left" w:pos="720"/>
          <w:tab w:val="right" w:leader="dot" w:pos="9504"/>
        </w:tabs>
        <w:spacing w:before="120" w:after="120" w:line="480" w:lineRule="auto"/>
        <w:rPr>
          <w:rFonts w:ascii="Calibri" w:hAnsi="Calibri"/>
          <w:b/>
          <w:sz w:val="22"/>
          <w:szCs w:val="22"/>
          <w:u w:val="single"/>
        </w:rPr>
      </w:pPr>
      <w:bookmarkStart w:id="1" w:name="_Toc443881763"/>
      <w:bookmarkStart w:id="2" w:name="_Toc451592250"/>
      <w:bookmarkStart w:id="3" w:name="_Toc5610291"/>
      <w:bookmarkStart w:id="4" w:name="_Toc99178797"/>
    </w:p>
    <w:p w14:paraId="5CAE300C" w14:textId="77777777" w:rsidR="00B77917" w:rsidRDefault="00B77917" w:rsidP="00B77917">
      <w:pPr>
        <w:tabs>
          <w:tab w:val="left" w:pos="720"/>
          <w:tab w:val="right" w:leader="dot" w:pos="9504"/>
        </w:tabs>
        <w:spacing w:before="120" w:after="120" w:line="480" w:lineRule="auto"/>
        <w:rPr>
          <w:rFonts w:ascii="Calibri" w:hAnsi="Calibri"/>
          <w:b/>
          <w:sz w:val="22"/>
          <w:szCs w:val="22"/>
          <w:u w:val="single"/>
        </w:rPr>
      </w:pPr>
    </w:p>
    <w:p w14:paraId="21761634" w14:textId="77777777" w:rsidR="00B77917" w:rsidRDefault="00B77917" w:rsidP="00B77917">
      <w:pPr>
        <w:tabs>
          <w:tab w:val="left" w:pos="720"/>
          <w:tab w:val="right" w:leader="dot" w:pos="9504"/>
        </w:tabs>
        <w:spacing w:before="120" w:after="120" w:line="480" w:lineRule="auto"/>
        <w:rPr>
          <w:rFonts w:ascii="Calibri" w:hAnsi="Calibri"/>
          <w:b/>
          <w:sz w:val="22"/>
          <w:szCs w:val="22"/>
          <w:u w:val="single"/>
        </w:rPr>
      </w:pPr>
    </w:p>
    <w:p w14:paraId="4A3E8B34" w14:textId="77777777" w:rsidR="00B77917" w:rsidRDefault="00B77917" w:rsidP="00B77917">
      <w:pPr>
        <w:tabs>
          <w:tab w:val="left" w:pos="720"/>
          <w:tab w:val="right" w:leader="dot" w:pos="9504"/>
        </w:tabs>
        <w:spacing w:before="120" w:after="120" w:line="480" w:lineRule="auto"/>
        <w:rPr>
          <w:rFonts w:ascii="Calibri" w:hAnsi="Calibri"/>
          <w:b/>
          <w:sz w:val="22"/>
          <w:szCs w:val="22"/>
          <w:u w:val="single"/>
        </w:rPr>
      </w:pPr>
    </w:p>
    <w:p w14:paraId="5C6F1A36" w14:textId="77777777" w:rsidR="00B77917" w:rsidRDefault="00B77917" w:rsidP="00B77917">
      <w:pPr>
        <w:tabs>
          <w:tab w:val="left" w:pos="720"/>
          <w:tab w:val="right" w:leader="dot" w:pos="9504"/>
        </w:tabs>
        <w:spacing w:before="120" w:after="120" w:line="480" w:lineRule="auto"/>
        <w:rPr>
          <w:rFonts w:ascii="Calibri" w:hAnsi="Calibri"/>
          <w:b/>
          <w:sz w:val="22"/>
          <w:szCs w:val="22"/>
          <w:u w:val="single"/>
        </w:rPr>
      </w:pPr>
    </w:p>
    <w:p w14:paraId="2D4D7F08" w14:textId="77777777" w:rsidR="00B77917" w:rsidRDefault="00B77917" w:rsidP="00B77917">
      <w:pPr>
        <w:tabs>
          <w:tab w:val="left" w:pos="720"/>
          <w:tab w:val="right" w:leader="dot" w:pos="9504"/>
        </w:tabs>
        <w:spacing w:before="120" w:after="120" w:line="480" w:lineRule="auto"/>
        <w:rPr>
          <w:rFonts w:ascii="Calibri" w:hAnsi="Calibri"/>
          <w:b/>
          <w:sz w:val="22"/>
          <w:szCs w:val="22"/>
          <w:u w:val="single"/>
        </w:rPr>
      </w:pPr>
    </w:p>
    <w:p w14:paraId="110F2196" w14:textId="77777777" w:rsidR="00B77917" w:rsidRDefault="00B77917" w:rsidP="00B77917">
      <w:pPr>
        <w:tabs>
          <w:tab w:val="left" w:pos="720"/>
          <w:tab w:val="right" w:leader="dot" w:pos="9504"/>
        </w:tabs>
        <w:spacing w:before="120" w:after="120" w:line="480" w:lineRule="auto"/>
        <w:rPr>
          <w:rFonts w:ascii="Calibri" w:hAnsi="Calibri"/>
          <w:b/>
          <w:sz w:val="22"/>
          <w:szCs w:val="22"/>
          <w:u w:val="single"/>
        </w:rPr>
      </w:pPr>
    </w:p>
    <w:p w14:paraId="0C883C81" w14:textId="77777777" w:rsidR="00B77917" w:rsidRDefault="00B77917" w:rsidP="00B77917">
      <w:pPr>
        <w:tabs>
          <w:tab w:val="left" w:pos="720"/>
          <w:tab w:val="right" w:leader="dot" w:pos="9504"/>
        </w:tabs>
        <w:spacing w:before="120" w:after="120" w:line="480" w:lineRule="auto"/>
        <w:rPr>
          <w:rFonts w:ascii="Calibri" w:hAnsi="Calibri"/>
          <w:b/>
          <w:sz w:val="22"/>
          <w:szCs w:val="22"/>
          <w:u w:val="single"/>
        </w:rPr>
      </w:pPr>
    </w:p>
    <w:p w14:paraId="6185DF80" w14:textId="77777777" w:rsidR="00B77917" w:rsidRDefault="00B77917" w:rsidP="00B77917">
      <w:pPr>
        <w:tabs>
          <w:tab w:val="left" w:pos="720"/>
          <w:tab w:val="right" w:leader="dot" w:pos="9504"/>
        </w:tabs>
        <w:spacing w:before="120" w:after="120" w:line="480" w:lineRule="auto"/>
        <w:rPr>
          <w:rFonts w:ascii="Calibri" w:hAnsi="Calibri"/>
          <w:b/>
          <w:sz w:val="22"/>
          <w:szCs w:val="22"/>
          <w:u w:val="single"/>
        </w:rPr>
      </w:pPr>
    </w:p>
    <w:p w14:paraId="0FE5164A" w14:textId="77777777" w:rsidR="00186175" w:rsidRPr="00186175" w:rsidRDefault="00186175" w:rsidP="00186175">
      <w:pPr>
        <w:tabs>
          <w:tab w:val="left" w:pos="720"/>
          <w:tab w:val="right" w:leader="dot" w:pos="9504"/>
        </w:tabs>
        <w:spacing w:before="120" w:after="120" w:line="480" w:lineRule="auto"/>
        <w:rPr>
          <w:rFonts w:ascii="Calibri" w:hAnsi="Calibri"/>
          <w:b/>
          <w:sz w:val="22"/>
          <w:szCs w:val="22"/>
          <w:u w:val="single"/>
        </w:rPr>
      </w:pPr>
      <w:r w:rsidRPr="00186175">
        <w:rPr>
          <w:rFonts w:ascii="Calibri" w:hAnsi="Calibri"/>
          <w:b/>
          <w:sz w:val="22"/>
          <w:szCs w:val="22"/>
          <w:u w:val="single"/>
        </w:rPr>
        <w:lastRenderedPageBreak/>
        <w:t>Attachments</w:t>
      </w:r>
    </w:p>
    <w:p w14:paraId="6294D8EA" w14:textId="77777777" w:rsidR="00186175" w:rsidRPr="00186175" w:rsidRDefault="00186175" w:rsidP="00506639">
      <w:pPr>
        <w:spacing w:after="100" w:afterAutospacing="1" w:line="276" w:lineRule="auto"/>
        <w:rPr>
          <w:rFonts w:ascii="Calibri" w:eastAsia="Calibri" w:hAnsi="Calibri"/>
          <w:sz w:val="22"/>
          <w:szCs w:val="22"/>
        </w:rPr>
      </w:pPr>
      <w:r w:rsidRPr="00186175">
        <w:rPr>
          <w:rFonts w:ascii="Calibri" w:eastAsia="Calibri" w:hAnsi="Calibri"/>
          <w:sz w:val="22"/>
          <w:szCs w:val="22"/>
        </w:rPr>
        <w:t xml:space="preserve">Attachment A  </w:t>
      </w:r>
      <w:r w:rsidRPr="00186175">
        <w:rPr>
          <w:rFonts w:ascii="Calibri" w:eastAsia="Calibri" w:hAnsi="Calibri"/>
          <w:sz w:val="22"/>
          <w:szCs w:val="22"/>
        </w:rPr>
        <w:tab/>
      </w:r>
      <w:r w:rsidRPr="00186175">
        <w:rPr>
          <w:rFonts w:ascii="Calibri" w:eastAsia="Calibri" w:hAnsi="Calibri"/>
          <w:sz w:val="22"/>
          <w:szCs w:val="22"/>
        </w:rPr>
        <w:tab/>
        <w:t>Questionnaire</w:t>
      </w:r>
    </w:p>
    <w:p w14:paraId="03528684" w14:textId="77777777" w:rsidR="00186175" w:rsidRPr="00186175" w:rsidRDefault="00186175" w:rsidP="00506639">
      <w:pPr>
        <w:spacing w:after="100" w:afterAutospacing="1" w:line="276" w:lineRule="auto"/>
        <w:rPr>
          <w:rFonts w:ascii="Calibri" w:eastAsia="Calibri" w:hAnsi="Calibri"/>
          <w:sz w:val="22"/>
          <w:szCs w:val="22"/>
        </w:rPr>
      </w:pPr>
      <w:r w:rsidRPr="00186175">
        <w:rPr>
          <w:rFonts w:ascii="Calibri" w:eastAsia="Calibri" w:hAnsi="Calibri"/>
          <w:sz w:val="22"/>
          <w:szCs w:val="22"/>
        </w:rPr>
        <w:t xml:space="preserve">Attachment B  </w:t>
      </w:r>
      <w:r w:rsidRPr="00186175">
        <w:rPr>
          <w:rFonts w:ascii="Calibri" w:eastAsia="Calibri" w:hAnsi="Calibri"/>
          <w:sz w:val="22"/>
          <w:szCs w:val="22"/>
        </w:rPr>
        <w:tab/>
      </w:r>
      <w:r w:rsidRPr="00186175">
        <w:rPr>
          <w:rFonts w:ascii="Calibri" w:eastAsia="Calibri" w:hAnsi="Calibri"/>
          <w:sz w:val="22"/>
          <w:szCs w:val="22"/>
        </w:rPr>
        <w:tab/>
        <w:t>Telephone Screener</w:t>
      </w:r>
    </w:p>
    <w:p w14:paraId="0FFF32F3" w14:textId="77777777" w:rsidR="00186175" w:rsidRPr="00186175" w:rsidRDefault="00186175" w:rsidP="00506639">
      <w:pPr>
        <w:spacing w:after="100" w:afterAutospacing="1" w:line="276" w:lineRule="auto"/>
        <w:rPr>
          <w:rFonts w:ascii="Calibri" w:eastAsia="Calibri" w:hAnsi="Calibri"/>
          <w:sz w:val="22"/>
          <w:szCs w:val="22"/>
        </w:rPr>
      </w:pPr>
      <w:r w:rsidRPr="00186175">
        <w:rPr>
          <w:rFonts w:ascii="Calibri" w:eastAsia="Calibri" w:hAnsi="Calibri"/>
          <w:sz w:val="22"/>
          <w:szCs w:val="22"/>
        </w:rPr>
        <w:t>Attachment C</w:t>
      </w:r>
      <w:r w:rsidRPr="00186175">
        <w:rPr>
          <w:rFonts w:ascii="Calibri" w:eastAsia="Calibri" w:hAnsi="Calibri"/>
          <w:sz w:val="22"/>
          <w:szCs w:val="22"/>
        </w:rPr>
        <w:tab/>
      </w:r>
      <w:r w:rsidRPr="00186175">
        <w:rPr>
          <w:rFonts w:ascii="Calibri" w:eastAsia="Calibri" w:hAnsi="Calibri"/>
          <w:sz w:val="22"/>
          <w:szCs w:val="22"/>
        </w:rPr>
        <w:tab/>
        <w:t>Survey Cover Letters and Emails</w:t>
      </w:r>
    </w:p>
    <w:p w14:paraId="4C524236" w14:textId="77777777" w:rsidR="00186175" w:rsidRPr="00186175" w:rsidRDefault="00186175" w:rsidP="00506639">
      <w:pPr>
        <w:spacing w:after="100" w:afterAutospacing="1" w:line="276" w:lineRule="auto"/>
        <w:rPr>
          <w:rFonts w:ascii="Calibri" w:eastAsia="Calibri" w:hAnsi="Calibri"/>
          <w:sz w:val="22"/>
          <w:szCs w:val="22"/>
        </w:rPr>
      </w:pPr>
      <w:r w:rsidRPr="00186175">
        <w:rPr>
          <w:rFonts w:ascii="Calibri" w:eastAsia="Calibri" w:hAnsi="Calibri"/>
          <w:sz w:val="22"/>
          <w:szCs w:val="22"/>
        </w:rPr>
        <w:t>Attachment D</w:t>
      </w:r>
      <w:r w:rsidRPr="00186175">
        <w:rPr>
          <w:rFonts w:ascii="Calibri" w:eastAsia="Calibri" w:hAnsi="Calibri"/>
          <w:sz w:val="22"/>
          <w:szCs w:val="22"/>
        </w:rPr>
        <w:tab/>
      </w:r>
      <w:r w:rsidRPr="00186175">
        <w:rPr>
          <w:rFonts w:ascii="Calibri" w:eastAsia="Calibri" w:hAnsi="Calibri"/>
          <w:sz w:val="22"/>
          <w:szCs w:val="22"/>
        </w:rPr>
        <w:tab/>
        <w:t>Telephone Reminder Script</w:t>
      </w:r>
    </w:p>
    <w:p w14:paraId="0AC2E95D" w14:textId="77777777" w:rsidR="00186175" w:rsidRPr="00186175" w:rsidRDefault="00186175" w:rsidP="00506639">
      <w:pPr>
        <w:spacing w:after="100" w:afterAutospacing="1" w:line="276" w:lineRule="auto"/>
        <w:rPr>
          <w:rFonts w:ascii="Calibri" w:eastAsia="Calibri" w:hAnsi="Calibri"/>
          <w:sz w:val="22"/>
          <w:szCs w:val="22"/>
        </w:rPr>
      </w:pPr>
      <w:r w:rsidRPr="00186175">
        <w:rPr>
          <w:rFonts w:ascii="Calibri" w:eastAsia="Calibri" w:hAnsi="Calibri"/>
          <w:sz w:val="22"/>
          <w:szCs w:val="22"/>
        </w:rPr>
        <w:t>Attachment E</w:t>
      </w:r>
      <w:r w:rsidRPr="00186175">
        <w:rPr>
          <w:rFonts w:ascii="Calibri" w:eastAsia="Calibri" w:hAnsi="Calibri"/>
          <w:sz w:val="22"/>
          <w:szCs w:val="22"/>
        </w:rPr>
        <w:tab/>
      </w:r>
      <w:r w:rsidRPr="00186175">
        <w:rPr>
          <w:rFonts w:ascii="Calibri" w:eastAsia="Calibri" w:hAnsi="Calibri"/>
          <w:sz w:val="22"/>
          <w:szCs w:val="22"/>
        </w:rPr>
        <w:tab/>
        <w:t>Nonresponse Follow-Back Survey</w:t>
      </w:r>
    </w:p>
    <w:p w14:paraId="727F3CCB" w14:textId="77777777" w:rsidR="00186175" w:rsidRPr="00186175" w:rsidRDefault="00186175" w:rsidP="00506639">
      <w:pPr>
        <w:spacing w:after="100" w:afterAutospacing="1" w:line="276" w:lineRule="auto"/>
        <w:rPr>
          <w:rFonts w:ascii="Calibri" w:eastAsia="Calibri" w:hAnsi="Calibri"/>
          <w:sz w:val="22"/>
          <w:szCs w:val="22"/>
        </w:rPr>
      </w:pPr>
      <w:r w:rsidRPr="00186175">
        <w:rPr>
          <w:rFonts w:ascii="Calibri" w:eastAsia="Calibri" w:hAnsi="Calibri"/>
          <w:sz w:val="22"/>
          <w:szCs w:val="22"/>
        </w:rPr>
        <w:t>Attachment F</w:t>
      </w:r>
      <w:r w:rsidRPr="00186175">
        <w:rPr>
          <w:rFonts w:ascii="Calibri" w:eastAsia="Calibri" w:hAnsi="Calibri"/>
          <w:sz w:val="22"/>
          <w:szCs w:val="22"/>
        </w:rPr>
        <w:tab/>
      </w:r>
      <w:r w:rsidRPr="00186175">
        <w:rPr>
          <w:rFonts w:ascii="Calibri" w:eastAsia="Calibri" w:hAnsi="Calibri"/>
          <w:sz w:val="22"/>
          <w:szCs w:val="22"/>
        </w:rPr>
        <w:tab/>
        <w:t>Consultants</w:t>
      </w:r>
    </w:p>
    <w:p w14:paraId="164C37CD" w14:textId="77777777" w:rsidR="00186175" w:rsidRPr="00186175" w:rsidRDefault="00186175" w:rsidP="00506639">
      <w:pPr>
        <w:spacing w:after="100" w:afterAutospacing="1" w:line="276" w:lineRule="auto"/>
        <w:rPr>
          <w:rFonts w:ascii="Calibri" w:eastAsia="Calibri" w:hAnsi="Calibri"/>
          <w:sz w:val="22"/>
          <w:szCs w:val="22"/>
        </w:rPr>
      </w:pPr>
      <w:r w:rsidRPr="00186175">
        <w:rPr>
          <w:rFonts w:ascii="Calibri" w:eastAsia="Calibri" w:hAnsi="Calibri"/>
          <w:sz w:val="22"/>
          <w:szCs w:val="22"/>
        </w:rPr>
        <w:t>Attachment G</w:t>
      </w:r>
      <w:r w:rsidRPr="00186175">
        <w:rPr>
          <w:rFonts w:ascii="Calibri" w:eastAsia="Calibri" w:hAnsi="Calibri"/>
          <w:sz w:val="22"/>
          <w:szCs w:val="22"/>
        </w:rPr>
        <w:tab/>
      </w:r>
      <w:r w:rsidRPr="00186175">
        <w:rPr>
          <w:rFonts w:ascii="Calibri" w:eastAsia="Calibri" w:hAnsi="Calibri"/>
          <w:sz w:val="22"/>
          <w:szCs w:val="22"/>
        </w:rPr>
        <w:tab/>
        <w:t>References</w:t>
      </w:r>
    </w:p>
    <w:p w14:paraId="05057749" w14:textId="77777777" w:rsidR="00186175" w:rsidRPr="001E06BF" w:rsidRDefault="00186175" w:rsidP="00506639">
      <w:pPr>
        <w:spacing w:after="100" w:afterAutospacing="1" w:line="276" w:lineRule="auto"/>
        <w:rPr>
          <w:rFonts w:asciiTheme="minorHAnsi" w:eastAsia="Calibri" w:hAnsiTheme="minorHAnsi"/>
          <w:sz w:val="22"/>
          <w:szCs w:val="22"/>
        </w:rPr>
      </w:pPr>
      <w:r w:rsidRPr="001E06BF">
        <w:rPr>
          <w:rFonts w:asciiTheme="minorHAnsi" w:eastAsia="Calibri" w:hAnsiTheme="minorHAnsi"/>
          <w:sz w:val="22"/>
          <w:szCs w:val="22"/>
        </w:rPr>
        <w:t>Attachment H</w:t>
      </w:r>
      <w:r w:rsidRPr="001E06BF">
        <w:rPr>
          <w:rFonts w:asciiTheme="minorHAnsi" w:eastAsia="Calibri" w:hAnsiTheme="minorHAnsi"/>
          <w:sz w:val="22"/>
          <w:szCs w:val="22"/>
        </w:rPr>
        <w:tab/>
      </w:r>
      <w:r w:rsidRPr="001E06BF">
        <w:rPr>
          <w:rFonts w:asciiTheme="minorHAnsi" w:eastAsia="Calibri" w:hAnsiTheme="minorHAnsi"/>
          <w:sz w:val="22"/>
          <w:szCs w:val="22"/>
        </w:rPr>
        <w:tab/>
        <w:t>Privacy Act Memo</w:t>
      </w:r>
    </w:p>
    <w:p w14:paraId="0C166FDA" w14:textId="77777777" w:rsidR="001E06BF" w:rsidRPr="001E06BF" w:rsidRDefault="001E06BF" w:rsidP="00506639">
      <w:pPr>
        <w:spacing w:after="100" w:afterAutospacing="1"/>
        <w:rPr>
          <w:rFonts w:asciiTheme="minorHAnsi" w:hAnsiTheme="minorHAnsi"/>
          <w:sz w:val="22"/>
          <w:szCs w:val="22"/>
        </w:rPr>
      </w:pPr>
      <w:r w:rsidRPr="001E06BF">
        <w:rPr>
          <w:rFonts w:asciiTheme="minorHAnsi" w:hAnsiTheme="minorHAnsi"/>
          <w:sz w:val="22"/>
          <w:szCs w:val="22"/>
        </w:rPr>
        <w:t>Attachment H</w:t>
      </w:r>
      <w:r w:rsidRPr="001E06BF">
        <w:rPr>
          <w:rFonts w:asciiTheme="minorHAnsi" w:hAnsiTheme="minorHAnsi"/>
          <w:sz w:val="22"/>
          <w:szCs w:val="22"/>
        </w:rPr>
        <w:tab/>
      </w:r>
      <w:r w:rsidRPr="001E06BF">
        <w:rPr>
          <w:rFonts w:asciiTheme="minorHAnsi" w:hAnsiTheme="minorHAnsi"/>
          <w:sz w:val="22"/>
          <w:szCs w:val="22"/>
        </w:rPr>
        <w:tab/>
        <w:t>OHSRP Exemption</w:t>
      </w:r>
    </w:p>
    <w:p w14:paraId="53CDACA6" w14:textId="77777777" w:rsidR="001E06BF" w:rsidRPr="001E06BF" w:rsidRDefault="001E06BF" w:rsidP="00506639">
      <w:pPr>
        <w:spacing w:after="100" w:afterAutospacing="1"/>
        <w:rPr>
          <w:rFonts w:asciiTheme="minorHAnsi" w:hAnsiTheme="minorHAnsi"/>
          <w:sz w:val="22"/>
          <w:szCs w:val="22"/>
        </w:rPr>
      </w:pPr>
      <w:r w:rsidRPr="001E06BF">
        <w:rPr>
          <w:rFonts w:asciiTheme="minorHAnsi" w:hAnsiTheme="minorHAnsi"/>
          <w:sz w:val="22"/>
          <w:szCs w:val="22"/>
        </w:rPr>
        <w:t>Attachment I</w:t>
      </w:r>
      <w:r w:rsidRPr="001E06BF">
        <w:rPr>
          <w:rFonts w:asciiTheme="minorHAnsi" w:hAnsiTheme="minorHAnsi"/>
          <w:sz w:val="22"/>
          <w:szCs w:val="22"/>
        </w:rPr>
        <w:tab/>
      </w:r>
      <w:r w:rsidRPr="001E06BF">
        <w:rPr>
          <w:rFonts w:asciiTheme="minorHAnsi" w:hAnsiTheme="minorHAnsi"/>
          <w:sz w:val="22"/>
          <w:szCs w:val="22"/>
        </w:rPr>
        <w:tab/>
        <w:t>Privacy Act Memo</w:t>
      </w:r>
    </w:p>
    <w:p w14:paraId="14654DD3" w14:textId="77777777" w:rsidR="001E06BF" w:rsidRDefault="001E06BF" w:rsidP="00506639">
      <w:pPr>
        <w:spacing w:after="100" w:afterAutospacing="1"/>
        <w:rPr>
          <w:rFonts w:asciiTheme="minorHAnsi" w:hAnsiTheme="minorHAnsi"/>
          <w:sz w:val="22"/>
          <w:szCs w:val="22"/>
        </w:rPr>
      </w:pPr>
      <w:r w:rsidRPr="001E06BF">
        <w:rPr>
          <w:rFonts w:asciiTheme="minorHAnsi" w:hAnsiTheme="minorHAnsi"/>
          <w:sz w:val="22"/>
          <w:szCs w:val="22"/>
        </w:rPr>
        <w:t>Attachment J</w:t>
      </w:r>
      <w:r w:rsidRPr="001E06BF">
        <w:rPr>
          <w:rFonts w:asciiTheme="minorHAnsi" w:hAnsiTheme="minorHAnsi"/>
          <w:sz w:val="22"/>
          <w:szCs w:val="22"/>
        </w:rPr>
        <w:tab/>
      </w:r>
      <w:r w:rsidRPr="001E06BF">
        <w:rPr>
          <w:rFonts w:asciiTheme="minorHAnsi" w:hAnsiTheme="minorHAnsi"/>
          <w:sz w:val="22"/>
          <w:szCs w:val="22"/>
        </w:rPr>
        <w:tab/>
        <w:t>Screen Shots from Web Survey</w:t>
      </w:r>
    </w:p>
    <w:p w14:paraId="206083B3" w14:textId="77777777" w:rsidR="00506639" w:rsidRPr="00506639" w:rsidRDefault="00506639" w:rsidP="00506639">
      <w:pPr>
        <w:spacing w:after="100" w:afterAutospacing="1"/>
        <w:rPr>
          <w:rFonts w:asciiTheme="minorHAnsi" w:hAnsiTheme="minorHAnsi"/>
          <w:sz w:val="22"/>
          <w:szCs w:val="22"/>
        </w:rPr>
      </w:pPr>
      <w:r w:rsidRPr="00506639">
        <w:rPr>
          <w:rFonts w:asciiTheme="minorHAnsi" w:hAnsiTheme="minorHAnsi"/>
          <w:sz w:val="22"/>
          <w:szCs w:val="22"/>
        </w:rPr>
        <w:t>Attachment K</w:t>
      </w:r>
      <w:r w:rsidRPr="00506639">
        <w:rPr>
          <w:rFonts w:asciiTheme="minorHAnsi" w:hAnsiTheme="minorHAnsi"/>
          <w:sz w:val="22"/>
          <w:szCs w:val="22"/>
        </w:rPr>
        <w:tab/>
      </w:r>
      <w:r w:rsidRPr="00506639">
        <w:rPr>
          <w:rFonts w:asciiTheme="minorHAnsi" w:hAnsiTheme="minorHAnsi"/>
          <w:sz w:val="22"/>
          <w:szCs w:val="22"/>
        </w:rPr>
        <w:tab/>
        <w:t>Privacy Impact Assessment</w:t>
      </w:r>
    </w:p>
    <w:p w14:paraId="31A9393A" w14:textId="77777777" w:rsidR="00506639" w:rsidRPr="00506639" w:rsidRDefault="00506639" w:rsidP="00506639">
      <w:pPr>
        <w:spacing w:after="100" w:afterAutospacing="1"/>
        <w:rPr>
          <w:rFonts w:asciiTheme="minorHAnsi" w:hAnsiTheme="minorHAnsi"/>
          <w:sz w:val="22"/>
          <w:szCs w:val="22"/>
        </w:rPr>
      </w:pPr>
      <w:r w:rsidRPr="00506639">
        <w:rPr>
          <w:rFonts w:asciiTheme="minorHAnsi" w:hAnsiTheme="minorHAnsi"/>
          <w:sz w:val="22"/>
          <w:szCs w:val="22"/>
        </w:rPr>
        <w:t>Attachment L</w:t>
      </w:r>
      <w:r w:rsidRPr="00506639">
        <w:rPr>
          <w:rFonts w:asciiTheme="minorHAnsi" w:hAnsiTheme="minorHAnsi"/>
          <w:sz w:val="22"/>
          <w:szCs w:val="22"/>
        </w:rPr>
        <w:tab/>
      </w:r>
      <w:r w:rsidRPr="00506639">
        <w:rPr>
          <w:rFonts w:asciiTheme="minorHAnsi" w:hAnsiTheme="minorHAnsi"/>
          <w:sz w:val="22"/>
          <w:szCs w:val="22"/>
        </w:rPr>
        <w:tab/>
        <w:t>Thank you letter for a contingent incentive</w:t>
      </w:r>
    </w:p>
    <w:p w14:paraId="36335418" w14:textId="77777777" w:rsidR="00506639" w:rsidRPr="001E06BF" w:rsidRDefault="00506639" w:rsidP="001E06BF">
      <w:pPr>
        <w:spacing w:after="120"/>
        <w:rPr>
          <w:rFonts w:asciiTheme="minorHAnsi" w:hAnsiTheme="minorHAnsi"/>
          <w:sz w:val="22"/>
          <w:szCs w:val="22"/>
        </w:rPr>
      </w:pPr>
    </w:p>
    <w:p w14:paraId="374FD11F" w14:textId="77777777" w:rsidR="001E06BF" w:rsidRPr="001E06BF" w:rsidRDefault="001E06BF" w:rsidP="001E06BF">
      <w:pPr>
        <w:spacing w:after="120" w:line="276" w:lineRule="auto"/>
        <w:rPr>
          <w:rFonts w:asciiTheme="minorHAnsi" w:eastAsia="Calibri" w:hAnsiTheme="minorHAnsi"/>
          <w:sz w:val="22"/>
          <w:szCs w:val="22"/>
        </w:rPr>
      </w:pPr>
    </w:p>
    <w:p w14:paraId="72FBF26D" w14:textId="77777777" w:rsidR="00D1083F" w:rsidRDefault="00D1083F" w:rsidP="00754DCD">
      <w:pPr>
        <w:pStyle w:val="Heading2"/>
        <w:tabs>
          <w:tab w:val="clear" w:pos="1152"/>
          <w:tab w:val="left" w:pos="720"/>
        </w:tabs>
        <w:spacing w:after="0" w:line="480" w:lineRule="auto"/>
        <w:ind w:left="0" w:firstLine="0"/>
        <w:rPr>
          <w:rFonts w:asciiTheme="minorHAnsi" w:hAnsiTheme="minorHAnsi"/>
          <w:szCs w:val="22"/>
        </w:rPr>
      </w:pPr>
    </w:p>
    <w:p w14:paraId="63971B96" w14:textId="2D274037" w:rsidR="003E1139" w:rsidRPr="00C01C04" w:rsidRDefault="00D1083F" w:rsidP="00F326C9">
      <w:pPr>
        <w:rPr>
          <w:rFonts w:asciiTheme="minorHAnsi" w:hAnsiTheme="minorHAnsi"/>
          <w:szCs w:val="22"/>
        </w:rPr>
      </w:pPr>
      <w:r>
        <w:rPr>
          <w:rFonts w:asciiTheme="minorHAnsi" w:hAnsiTheme="minorHAnsi"/>
          <w:szCs w:val="22"/>
        </w:rPr>
        <w:br w:type="page"/>
      </w:r>
      <w:r w:rsidR="003E1139" w:rsidRPr="00C01C04">
        <w:rPr>
          <w:rFonts w:asciiTheme="minorHAnsi" w:hAnsiTheme="minorHAnsi"/>
          <w:szCs w:val="22"/>
        </w:rPr>
        <w:lastRenderedPageBreak/>
        <w:t>B. Collection of Information Employing Statistical Methods</w:t>
      </w:r>
    </w:p>
    <w:p w14:paraId="370A35FD" w14:textId="77777777" w:rsidR="00754DCD" w:rsidRPr="00C01C04" w:rsidRDefault="00754DCD" w:rsidP="00B77917">
      <w:pPr>
        <w:pStyle w:val="Heading2"/>
        <w:tabs>
          <w:tab w:val="clear" w:pos="1152"/>
          <w:tab w:val="left" w:pos="720"/>
        </w:tabs>
        <w:spacing w:after="0" w:line="480" w:lineRule="auto"/>
        <w:ind w:left="0" w:firstLine="0"/>
        <w:rPr>
          <w:rFonts w:asciiTheme="minorHAnsi" w:hAnsiTheme="minorHAnsi"/>
          <w:szCs w:val="22"/>
        </w:rPr>
      </w:pPr>
      <w:r w:rsidRPr="00C01C04">
        <w:rPr>
          <w:rFonts w:asciiTheme="minorHAnsi" w:hAnsiTheme="minorHAnsi"/>
          <w:szCs w:val="22"/>
        </w:rPr>
        <w:t>B.1</w:t>
      </w:r>
      <w:r w:rsidRPr="00C01C04">
        <w:rPr>
          <w:rFonts w:asciiTheme="minorHAnsi" w:hAnsiTheme="minorHAnsi"/>
          <w:szCs w:val="22"/>
        </w:rPr>
        <w:tab/>
        <w:t>Respondent Universe and Sampling Methods</w:t>
      </w:r>
      <w:bookmarkEnd w:id="1"/>
      <w:bookmarkEnd w:id="2"/>
      <w:bookmarkEnd w:id="3"/>
      <w:bookmarkEnd w:id="4"/>
    </w:p>
    <w:p w14:paraId="1DC6055A" w14:textId="49906144" w:rsidR="00754DCD" w:rsidRDefault="00C01C04" w:rsidP="00B77917">
      <w:pPr>
        <w:rPr>
          <w:rFonts w:asciiTheme="minorHAnsi" w:hAnsiTheme="minorHAnsi"/>
          <w:sz w:val="22"/>
          <w:szCs w:val="22"/>
        </w:rPr>
      </w:pPr>
      <w:r w:rsidRPr="00C01C04">
        <w:rPr>
          <w:rFonts w:asciiTheme="minorHAnsi" w:hAnsiTheme="minorHAnsi"/>
          <w:sz w:val="22"/>
          <w:szCs w:val="22"/>
        </w:rPr>
        <w:t xml:space="preserve">We propose a nationally representative sample that will yield approximately 1,200 completed surveys with medical oncologists who have </w:t>
      </w:r>
      <w:r w:rsidR="001D0974">
        <w:rPr>
          <w:rFonts w:asciiTheme="minorHAnsi" w:hAnsiTheme="minorHAnsi"/>
          <w:sz w:val="22"/>
          <w:szCs w:val="22"/>
        </w:rPr>
        <w:t>treated cancer patients</w:t>
      </w:r>
      <w:r w:rsidRPr="00C01C04">
        <w:rPr>
          <w:rFonts w:asciiTheme="minorHAnsi" w:hAnsiTheme="minorHAnsi"/>
          <w:sz w:val="22"/>
          <w:szCs w:val="22"/>
        </w:rPr>
        <w:t xml:space="preserve"> in the past 12 months.  An analytic sample size of 1,200 was determined to be the minimum sample required to meet the following analytic goals:</w:t>
      </w:r>
    </w:p>
    <w:p w14:paraId="67DC2C01" w14:textId="77777777" w:rsidR="00B77917" w:rsidRDefault="00B77917" w:rsidP="00B77917">
      <w:pPr>
        <w:rPr>
          <w:rFonts w:asciiTheme="minorHAnsi" w:hAnsiTheme="minorHAnsi"/>
          <w:sz w:val="22"/>
          <w:szCs w:val="22"/>
        </w:rPr>
      </w:pPr>
    </w:p>
    <w:p w14:paraId="50C80A63" w14:textId="77777777" w:rsidR="00C01C04" w:rsidRPr="00C01C04" w:rsidRDefault="00C01C04" w:rsidP="00B77917">
      <w:pPr>
        <w:pStyle w:val="ListParagraph"/>
        <w:numPr>
          <w:ilvl w:val="0"/>
          <w:numId w:val="6"/>
        </w:numPr>
        <w:rPr>
          <w:rFonts w:asciiTheme="minorHAnsi" w:hAnsiTheme="minorHAnsi"/>
          <w:sz w:val="22"/>
          <w:szCs w:val="22"/>
        </w:rPr>
      </w:pPr>
      <w:r w:rsidRPr="00C01C04">
        <w:rPr>
          <w:rFonts w:asciiTheme="minorHAnsi" w:hAnsiTheme="minorHAnsi"/>
          <w:sz w:val="22"/>
          <w:szCs w:val="22"/>
        </w:rPr>
        <w:t>provide a national representative sample of medical oncologists, consisting of the following subspecialties: hematologists, hematologists/oncologists, and oncologists.</w:t>
      </w:r>
    </w:p>
    <w:p w14:paraId="254356C0" w14:textId="77777777" w:rsidR="00C01C04" w:rsidRPr="00C01C04" w:rsidRDefault="00C01C04" w:rsidP="00B77917">
      <w:pPr>
        <w:ind w:left="1080"/>
        <w:rPr>
          <w:rFonts w:asciiTheme="minorHAnsi" w:hAnsiTheme="minorHAnsi"/>
          <w:sz w:val="22"/>
          <w:szCs w:val="22"/>
        </w:rPr>
      </w:pPr>
    </w:p>
    <w:p w14:paraId="2363D4F9" w14:textId="77777777" w:rsidR="00C01C04" w:rsidRPr="00C01C04" w:rsidRDefault="00C01C04" w:rsidP="00B77917">
      <w:pPr>
        <w:pStyle w:val="ListParagraph"/>
        <w:numPr>
          <w:ilvl w:val="0"/>
          <w:numId w:val="6"/>
        </w:numPr>
        <w:rPr>
          <w:rFonts w:asciiTheme="minorHAnsi" w:hAnsiTheme="minorHAnsi"/>
          <w:sz w:val="22"/>
          <w:szCs w:val="22"/>
        </w:rPr>
      </w:pPr>
      <w:r w:rsidRPr="00C01C04">
        <w:rPr>
          <w:rFonts w:asciiTheme="minorHAnsi" w:hAnsiTheme="minorHAnsi"/>
          <w:sz w:val="22"/>
          <w:szCs w:val="22"/>
        </w:rPr>
        <w:t>allow for selection of a stratified random sample by subspecialty, metropolitan (metro) area, geographic region, sex, and age</w:t>
      </w:r>
    </w:p>
    <w:p w14:paraId="47EE2A66" w14:textId="77777777" w:rsidR="00C01C04" w:rsidRPr="00C01C04" w:rsidRDefault="00C01C04" w:rsidP="00B77917">
      <w:pPr>
        <w:ind w:left="1080"/>
        <w:rPr>
          <w:rFonts w:asciiTheme="minorHAnsi" w:hAnsiTheme="minorHAnsi"/>
          <w:sz w:val="22"/>
          <w:szCs w:val="22"/>
        </w:rPr>
      </w:pPr>
    </w:p>
    <w:p w14:paraId="16DD7202" w14:textId="77777777" w:rsidR="00C01C04" w:rsidRPr="00C01C04" w:rsidRDefault="00C01C04" w:rsidP="00B77917">
      <w:pPr>
        <w:pStyle w:val="ListParagraph"/>
        <w:numPr>
          <w:ilvl w:val="0"/>
          <w:numId w:val="6"/>
        </w:numPr>
        <w:rPr>
          <w:rFonts w:asciiTheme="minorHAnsi" w:hAnsiTheme="minorHAnsi"/>
          <w:sz w:val="22"/>
          <w:szCs w:val="22"/>
        </w:rPr>
      </w:pPr>
      <w:r w:rsidRPr="00C01C04">
        <w:rPr>
          <w:rFonts w:asciiTheme="minorHAnsi" w:hAnsiTheme="minorHAnsi"/>
          <w:sz w:val="22"/>
          <w:szCs w:val="22"/>
        </w:rPr>
        <w:t>provide an analytic sample size sufficient to detect a 10-15 percentage point difference in proportions of physicians by practice setting (e.g., academic versus non-academic, metro versus non-metro) at 90% power, 0.05 level of significance, and in a 2-tailed test</w:t>
      </w:r>
    </w:p>
    <w:p w14:paraId="486B803B" w14:textId="77777777" w:rsidR="00C01C04" w:rsidRPr="00C01C04" w:rsidRDefault="00C01C04" w:rsidP="00C01C04">
      <w:pPr>
        <w:rPr>
          <w:rFonts w:asciiTheme="minorHAnsi" w:hAnsiTheme="minorHAnsi"/>
          <w:sz w:val="22"/>
          <w:szCs w:val="22"/>
        </w:rPr>
      </w:pPr>
    </w:p>
    <w:p w14:paraId="5F23388A" w14:textId="77777777" w:rsidR="00C01C04" w:rsidRPr="00C01C04" w:rsidRDefault="00C01C04" w:rsidP="00C01C04">
      <w:pPr>
        <w:pStyle w:val="ListParagraph"/>
        <w:numPr>
          <w:ilvl w:val="0"/>
          <w:numId w:val="6"/>
        </w:numPr>
        <w:rPr>
          <w:rFonts w:asciiTheme="minorHAnsi" w:hAnsiTheme="minorHAnsi"/>
          <w:sz w:val="22"/>
          <w:szCs w:val="22"/>
        </w:rPr>
      </w:pPr>
      <w:r w:rsidRPr="00C01C04">
        <w:rPr>
          <w:rFonts w:asciiTheme="minorHAnsi" w:hAnsiTheme="minorHAnsi"/>
          <w:sz w:val="22"/>
          <w:szCs w:val="22"/>
        </w:rPr>
        <w:t>meet the Government’s criteria for precision (margin of error not exceeding + 5% around point estimates)</w:t>
      </w:r>
    </w:p>
    <w:p w14:paraId="653CEF8E" w14:textId="77777777" w:rsidR="00C01C04" w:rsidRPr="00C01C04" w:rsidRDefault="00C01C04" w:rsidP="00C01C04">
      <w:pPr>
        <w:rPr>
          <w:rFonts w:asciiTheme="minorHAnsi" w:hAnsiTheme="minorHAnsi"/>
          <w:sz w:val="22"/>
          <w:szCs w:val="22"/>
        </w:rPr>
      </w:pPr>
    </w:p>
    <w:p w14:paraId="6DBF0A3A" w14:textId="291DBB63" w:rsidR="00C01C04" w:rsidRDefault="00C01C04" w:rsidP="00C01C04">
      <w:pPr>
        <w:pStyle w:val="ListParagraph"/>
        <w:numPr>
          <w:ilvl w:val="0"/>
          <w:numId w:val="6"/>
        </w:numPr>
        <w:rPr>
          <w:rFonts w:asciiTheme="minorHAnsi" w:hAnsiTheme="minorHAnsi"/>
          <w:sz w:val="22"/>
          <w:szCs w:val="22"/>
        </w:rPr>
      </w:pPr>
      <w:r w:rsidRPr="00C01C04">
        <w:rPr>
          <w:rFonts w:asciiTheme="minorHAnsi" w:hAnsiTheme="minorHAnsi"/>
          <w:sz w:val="22"/>
          <w:szCs w:val="22"/>
        </w:rPr>
        <w:t>assume a 50</w:t>
      </w:r>
      <w:r w:rsidR="00662F03">
        <w:rPr>
          <w:rFonts w:asciiTheme="minorHAnsi" w:hAnsiTheme="minorHAnsi"/>
          <w:sz w:val="22"/>
          <w:szCs w:val="22"/>
        </w:rPr>
        <w:t>-60</w:t>
      </w:r>
      <w:r w:rsidRPr="00C01C04">
        <w:rPr>
          <w:rFonts w:asciiTheme="minorHAnsi" w:hAnsiTheme="minorHAnsi"/>
          <w:sz w:val="22"/>
          <w:szCs w:val="22"/>
        </w:rPr>
        <w:t>% response rate as well as an ineligible rate of 15-17%</w:t>
      </w:r>
      <w:r w:rsidR="00662F03">
        <w:rPr>
          <w:rFonts w:asciiTheme="minorHAnsi" w:hAnsiTheme="minorHAnsi"/>
          <w:sz w:val="22"/>
          <w:szCs w:val="22"/>
        </w:rPr>
        <w:t xml:space="preserve"> (McLeod, Klabunde, &amp; Willis, 2013)</w:t>
      </w:r>
    </w:p>
    <w:p w14:paraId="54F845A2" w14:textId="77777777" w:rsidR="00C01C04" w:rsidRPr="00C01C04" w:rsidRDefault="00C01C04" w:rsidP="00C01C04">
      <w:pPr>
        <w:pStyle w:val="ListParagraph"/>
        <w:rPr>
          <w:rFonts w:asciiTheme="minorHAnsi" w:hAnsiTheme="minorHAnsi"/>
          <w:sz w:val="22"/>
          <w:szCs w:val="22"/>
        </w:rPr>
      </w:pPr>
    </w:p>
    <w:p w14:paraId="53944DB7" w14:textId="3D554BD4" w:rsidR="00C01C04" w:rsidRDefault="00C01C04" w:rsidP="00662F03">
      <w:pPr>
        <w:rPr>
          <w:rFonts w:asciiTheme="minorHAnsi" w:hAnsiTheme="minorHAnsi"/>
          <w:sz w:val="22"/>
          <w:szCs w:val="22"/>
        </w:rPr>
      </w:pPr>
      <w:r w:rsidRPr="00C01C04">
        <w:rPr>
          <w:rFonts w:asciiTheme="minorHAnsi" w:hAnsiTheme="minorHAnsi"/>
          <w:sz w:val="22"/>
          <w:szCs w:val="22"/>
        </w:rPr>
        <w:t xml:space="preserve">This sample will be recruited from the American Medical Association (AMA) master file. As shown in Table </w:t>
      </w:r>
      <w:r>
        <w:rPr>
          <w:rFonts w:asciiTheme="minorHAnsi" w:hAnsiTheme="minorHAnsi"/>
          <w:sz w:val="22"/>
          <w:szCs w:val="22"/>
        </w:rPr>
        <w:t>B.1</w:t>
      </w:r>
      <w:r w:rsidR="00412308">
        <w:rPr>
          <w:rFonts w:asciiTheme="minorHAnsi" w:hAnsiTheme="minorHAnsi"/>
          <w:sz w:val="22"/>
          <w:szCs w:val="22"/>
        </w:rPr>
        <w:t>-1</w:t>
      </w:r>
      <w:r w:rsidRPr="00C01C04">
        <w:rPr>
          <w:rFonts w:asciiTheme="minorHAnsi" w:hAnsiTheme="minorHAnsi"/>
          <w:sz w:val="22"/>
          <w:szCs w:val="22"/>
        </w:rPr>
        <w:t>, the AMA Masterfile identified 13,067 oncologists in the target population (as of March 2015), which excludes physicians over age 75, physicians who are deceased, retired, residents, or do not see patients.</w:t>
      </w:r>
    </w:p>
    <w:p w14:paraId="7B76349A" w14:textId="77777777" w:rsidR="00C01C04" w:rsidRDefault="00C01C04" w:rsidP="00C01C04">
      <w:pPr>
        <w:rPr>
          <w:rFonts w:asciiTheme="minorHAnsi" w:hAnsiTheme="minorHAnsi"/>
          <w:sz w:val="22"/>
          <w:szCs w:val="22"/>
        </w:rPr>
      </w:pPr>
    </w:p>
    <w:p w14:paraId="00CCF0F5" w14:textId="3D996015" w:rsidR="00C01C04" w:rsidRPr="00C01C04" w:rsidRDefault="00C01C04" w:rsidP="00662F03">
      <w:pPr>
        <w:pStyle w:val="bodytextpsg"/>
        <w:keepNext/>
        <w:spacing w:line="360" w:lineRule="auto"/>
        <w:ind w:firstLine="0"/>
        <w:jc w:val="center"/>
        <w:rPr>
          <w:rFonts w:asciiTheme="minorHAnsi" w:eastAsia="Arial Unicode MS" w:hAnsiTheme="minorHAnsi"/>
          <w:b/>
          <w:bCs/>
        </w:rPr>
      </w:pPr>
      <w:r w:rsidRPr="00C01C04">
        <w:rPr>
          <w:rFonts w:asciiTheme="minorHAnsi" w:eastAsia="Arial Unicode MS" w:hAnsiTheme="minorHAnsi"/>
          <w:b/>
          <w:bCs/>
        </w:rPr>
        <w:t>Table B.1</w:t>
      </w:r>
      <w:r w:rsidR="00412308">
        <w:rPr>
          <w:rFonts w:asciiTheme="minorHAnsi" w:eastAsia="Arial Unicode MS" w:hAnsiTheme="minorHAnsi"/>
          <w:b/>
          <w:bCs/>
        </w:rPr>
        <w:t>-1</w:t>
      </w:r>
      <w:r w:rsidRPr="00C01C04">
        <w:rPr>
          <w:rFonts w:asciiTheme="minorHAnsi" w:eastAsia="Arial Unicode MS" w:hAnsiTheme="minorHAnsi"/>
          <w:b/>
          <w:bCs/>
        </w:rPr>
        <w:t>. AMA Population Counts by Primary Specialty</w:t>
      </w:r>
    </w:p>
    <w:tbl>
      <w:tblPr>
        <w:tblW w:w="5000" w:type="pct"/>
        <w:tblCellMar>
          <w:left w:w="0" w:type="dxa"/>
          <w:right w:w="0" w:type="dxa"/>
        </w:tblCellMar>
        <w:tblLook w:val="04A0" w:firstRow="1" w:lastRow="0" w:firstColumn="1" w:lastColumn="0" w:noHBand="0" w:noVBand="1"/>
      </w:tblPr>
      <w:tblGrid>
        <w:gridCol w:w="4428"/>
        <w:gridCol w:w="4428"/>
      </w:tblGrid>
      <w:tr w:rsidR="00C01C04" w:rsidRPr="00C01C04" w14:paraId="7D06263A" w14:textId="77777777" w:rsidTr="009446BB">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44A7F7" w14:textId="77777777" w:rsidR="00C01C04" w:rsidRPr="00C01C04" w:rsidRDefault="00C01C04" w:rsidP="00C01C04">
            <w:pPr>
              <w:pStyle w:val="bodytextpsg"/>
              <w:spacing w:line="360" w:lineRule="auto"/>
              <w:ind w:firstLine="0"/>
              <w:jc w:val="center"/>
              <w:rPr>
                <w:rFonts w:asciiTheme="minorHAnsi" w:hAnsiTheme="minorHAnsi"/>
              </w:rPr>
            </w:pPr>
            <w:r w:rsidRPr="00C01C04">
              <w:rPr>
                <w:rFonts w:asciiTheme="minorHAnsi" w:hAnsiTheme="minorHAnsi"/>
              </w:rPr>
              <w:t>Primary Specialty</w:t>
            </w:r>
          </w:p>
        </w:tc>
        <w:tc>
          <w:tcPr>
            <w:tcW w:w="2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1EC9B14" w14:textId="77777777" w:rsidR="00C01C04" w:rsidRPr="00C01C04" w:rsidRDefault="00C01C04" w:rsidP="00C01C04">
            <w:pPr>
              <w:pStyle w:val="bodytextpsg"/>
              <w:spacing w:line="360" w:lineRule="auto"/>
              <w:ind w:firstLine="0"/>
              <w:jc w:val="center"/>
              <w:rPr>
                <w:rFonts w:asciiTheme="minorHAnsi" w:hAnsiTheme="minorHAnsi"/>
              </w:rPr>
            </w:pPr>
            <w:r w:rsidRPr="00C01C04">
              <w:rPr>
                <w:rFonts w:asciiTheme="minorHAnsi" w:hAnsiTheme="minorHAnsi"/>
              </w:rPr>
              <w:t>AMA Population Count &lt;76</w:t>
            </w:r>
          </w:p>
        </w:tc>
      </w:tr>
      <w:tr w:rsidR="00C01C04" w:rsidRPr="00C01C04" w14:paraId="16712702" w14:textId="77777777" w:rsidTr="009446BB">
        <w:tc>
          <w:tcPr>
            <w:tcW w:w="2500" w:type="pct"/>
            <w:tcBorders>
              <w:top w:val="nil"/>
              <w:left w:val="nil"/>
              <w:bottom w:val="nil"/>
              <w:right w:val="single" w:sz="8" w:space="0" w:color="auto"/>
            </w:tcBorders>
            <w:tcMar>
              <w:top w:w="0" w:type="dxa"/>
              <w:left w:w="108" w:type="dxa"/>
              <w:bottom w:w="0" w:type="dxa"/>
              <w:right w:w="108" w:type="dxa"/>
            </w:tcMar>
            <w:hideMark/>
          </w:tcPr>
          <w:p w14:paraId="6FF588B6" w14:textId="77777777" w:rsidR="00C01C04" w:rsidRPr="00C01C04" w:rsidRDefault="00C01C04" w:rsidP="00C01C04">
            <w:pPr>
              <w:pStyle w:val="bodytextpsg"/>
              <w:spacing w:line="360" w:lineRule="auto"/>
              <w:ind w:firstLine="0"/>
              <w:rPr>
                <w:rFonts w:asciiTheme="minorHAnsi" w:hAnsiTheme="minorHAnsi"/>
              </w:rPr>
            </w:pPr>
            <w:r w:rsidRPr="00C01C04">
              <w:rPr>
                <w:rFonts w:asciiTheme="minorHAnsi" w:hAnsiTheme="minorHAnsi"/>
              </w:rPr>
              <w:t>Hematology</w:t>
            </w:r>
          </w:p>
        </w:tc>
        <w:tc>
          <w:tcPr>
            <w:tcW w:w="2500" w:type="pct"/>
            <w:tcBorders>
              <w:top w:val="nil"/>
              <w:left w:val="single" w:sz="8" w:space="0" w:color="auto"/>
              <w:bottom w:val="nil"/>
              <w:right w:val="nil"/>
            </w:tcBorders>
            <w:tcMar>
              <w:top w:w="0" w:type="dxa"/>
              <w:left w:w="108" w:type="dxa"/>
              <w:bottom w:w="0" w:type="dxa"/>
              <w:right w:w="108" w:type="dxa"/>
            </w:tcMar>
            <w:hideMark/>
          </w:tcPr>
          <w:p w14:paraId="398AA1E2" w14:textId="77777777" w:rsidR="00C01C04" w:rsidRPr="00C01C04" w:rsidRDefault="00C01C04" w:rsidP="00C01C04">
            <w:pPr>
              <w:pStyle w:val="bodytextpsg"/>
              <w:spacing w:line="360" w:lineRule="auto"/>
              <w:ind w:firstLine="0"/>
              <w:jc w:val="center"/>
              <w:rPr>
                <w:rFonts w:asciiTheme="minorHAnsi" w:hAnsiTheme="minorHAnsi"/>
              </w:rPr>
            </w:pPr>
            <w:r w:rsidRPr="00C01C04">
              <w:rPr>
                <w:rFonts w:asciiTheme="minorHAnsi" w:hAnsiTheme="minorHAnsi"/>
              </w:rPr>
              <w:t>1,610</w:t>
            </w:r>
          </w:p>
        </w:tc>
      </w:tr>
      <w:tr w:rsidR="00C01C04" w:rsidRPr="00C01C04" w14:paraId="40F04698" w14:textId="77777777" w:rsidTr="009446BB">
        <w:tc>
          <w:tcPr>
            <w:tcW w:w="2500" w:type="pct"/>
            <w:tcBorders>
              <w:top w:val="nil"/>
              <w:left w:val="nil"/>
              <w:bottom w:val="nil"/>
              <w:right w:val="single" w:sz="8" w:space="0" w:color="auto"/>
            </w:tcBorders>
            <w:tcMar>
              <w:top w:w="0" w:type="dxa"/>
              <w:left w:w="108" w:type="dxa"/>
              <w:bottom w:w="0" w:type="dxa"/>
              <w:right w:w="108" w:type="dxa"/>
            </w:tcMar>
            <w:hideMark/>
          </w:tcPr>
          <w:p w14:paraId="0DF22B48" w14:textId="77777777" w:rsidR="00C01C04" w:rsidRPr="00C01C04" w:rsidRDefault="00C01C04" w:rsidP="00C01C04">
            <w:pPr>
              <w:pStyle w:val="bodytextpsg"/>
              <w:spacing w:line="360" w:lineRule="auto"/>
              <w:ind w:firstLine="0"/>
              <w:rPr>
                <w:rFonts w:asciiTheme="minorHAnsi" w:hAnsiTheme="minorHAnsi"/>
              </w:rPr>
            </w:pPr>
            <w:r w:rsidRPr="00C01C04">
              <w:rPr>
                <w:rFonts w:asciiTheme="minorHAnsi" w:hAnsiTheme="minorHAnsi"/>
              </w:rPr>
              <w:t>Hematololgy/Oncology</w:t>
            </w:r>
          </w:p>
        </w:tc>
        <w:tc>
          <w:tcPr>
            <w:tcW w:w="2500" w:type="pct"/>
            <w:tcBorders>
              <w:top w:val="nil"/>
              <w:left w:val="single" w:sz="8" w:space="0" w:color="auto"/>
              <w:bottom w:val="nil"/>
              <w:right w:val="nil"/>
            </w:tcBorders>
            <w:tcMar>
              <w:top w:w="0" w:type="dxa"/>
              <w:left w:w="108" w:type="dxa"/>
              <w:bottom w:w="0" w:type="dxa"/>
              <w:right w:w="108" w:type="dxa"/>
            </w:tcMar>
            <w:hideMark/>
          </w:tcPr>
          <w:p w14:paraId="1E731B6F" w14:textId="77777777" w:rsidR="00C01C04" w:rsidRPr="00C01C04" w:rsidRDefault="00C01C04" w:rsidP="00C01C04">
            <w:pPr>
              <w:pStyle w:val="bodytextpsg"/>
              <w:spacing w:line="360" w:lineRule="auto"/>
              <w:ind w:firstLine="0"/>
              <w:jc w:val="center"/>
              <w:rPr>
                <w:rFonts w:asciiTheme="minorHAnsi" w:hAnsiTheme="minorHAnsi"/>
              </w:rPr>
            </w:pPr>
            <w:r w:rsidRPr="00C01C04">
              <w:rPr>
                <w:rFonts w:asciiTheme="minorHAnsi" w:hAnsiTheme="minorHAnsi"/>
              </w:rPr>
              <w:t>7,014</w:t>
            </w:r>
          </w:p>
        </w:tc>
      </w:tr>
      <w:tr w:rsidR="00C01C04" w:rsidRPr="00C01C04" w14:paraId="7806670C" w14:textId="77777777" w:rsidTr="009446BB">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5CD103D1" w14:textId="77777777" w:rsidR="00C01C04" w:rsidRPr="00C01C04" w:rsidRDefault="00C01C04" w:rsidP="00C01C04">
            <w:pPr>
              <w:pStyle w:val="bodytextpsg"/>
              <w:spacing w:line="360" w:lineRule="auto"/>
              <w:ind w:firstLine="0"/>
              <w:rPr>
                <w:rFonts w:asciiTheme="minorHAnsi" w:hAnsiTheme="minorHAnsi"/>
              </w:rPr>
            </w:pPr>
            <w:r w:rsidRPr="00C01C04">
              <w:rPr>
                <w:rFonts w:asciiTheme="minorHAnsi" w:hAnsiTheme="minorHAnsi"/>
              </w:rPr>
              <w:t>Oncology</w:t>
            </w:r>
          </w:p>
        </w:tc>
        <w:tc>
          <w:tcPr>
            <w:tcW w:w="2500" w:type="pct"/>
            <w:tcBorders>
              <w:top w:val="nil"/>
              <w:left w:val="single" w:sz="8" w:space="0" w:color="auto"/>
              <w:bottom w:val="single" w:sz="8" w:space="0" w:color="auto"/>
              <w:right w:val="nil"/>
            </w:tcBorders>
            <w:tcMar>
              <w:top w:w="0" w:type="dxa"/>
              <w:left w:w="108" w:type="dxa"/>
              <w:bottom w:w="0" w:type="dxa"/>
              <w:right w:w="108" w:type="dxa"/>
            </w:tcMar>
            <w:hideMark/>
          </w:tcPr>
          <w:p w14:paraId="598C5785" w14:textId="77777777" w:rsidR="00C01C04" w:rsidRPr="00C01C04" w:rsidRDefault="00C01C04" w:rsidP="00C01C04">
            <w:pPr>
              <w:pStyle w:val="bodytextpsg"/>
              <w:spacing w:line="360" w:lineRule="auto"/>
              <w:ind w:firstLine="0"/>
              <w:jc w:val="center"/>
              <w:rPr>
                <w:rFonts w:asciiTheme="minorHAnsi" w:hAnsiTheme="minorHAnsi"/>
              </w:rPr>
            </w:pPr>
            <w:r w:rsidRPr="00C01C04">
              <w:rPr>
                <w:rFonts w:asciiTheme="minorHAnsi" w:hAnsiTheme="minorHAnsi"/>
              </w:rPr>
              <w:t>4,443</w:t>
            </w:r>
          </w:p>
        </w:tc>
      </w:tr>
      <w:tr w:rsidR="00C01C04" w:rsidRPr="00C01C04" w14:paraId="714275AA" w14:textId="77777777" w:rsidTr="009446BB">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8AC407B" w14:textId="77777777" w:rsidR="00C01C04" w:rsidRPr="00C01C04" w:rsidRDefault="00C01C04" w:rsidP="00C01C04">
            <w:pPr>
              <w:pStyle w:val="bodytextpsg"/>
              <w:spacing w:line="360" w:lineRule="auto"/>
              <w:ind w:firstLine="0"/>
              <w:rPr>
                <w:rFonts w:asciiTheme="minorHAnsi" w:hAnsiTheme="minorHAnsi"/>
              </w:rPr>
            </w:pPr>
            <w:r w:rsidRPr="00C01C04">
              <w:rPr>
                <w:rFonts w:asciiTheme="minorHAnsi" w:hAnsiTheme="minorHAnsi"/>
              </w:rPr>
              <w:t>Total</w:t>
            </w:r>
          </w:p>
        </w:tc>
        <w:tc>
          <w:tcPr>
            <w:tcW w:w="2500" w:type="pct"/>
            <w:tcBorders>
              <w:top w:val="nil"/>
              <w:left w:val="single" w:sz="8" w:space="0" w:color="auto"/>
              <w:bottom w:val="single" w:sz="8" w:space="0" w:color="auto"/>
              <w:right w:val="nil"/>
            </w:tcBorders>
            <w:tcMar>
              <w:top w:w="0" w:type="dxa"/>
              <w:left w:w="108" w:type="dxa"/>
              <w:bottom w:w="0" w:type="dxa"/>
              <w:right w:w="108" w:type="dxa"/>
            </w:tcMar>
            <w:hideMark/>
          </w:tcPr>
          <w:p w14:paraId="733271BE" w14:textId="77777777" w:rsidR="00C01C04" w:rsidRPr="00C01C04" w:rsidRDefault="00C01C04" w:rsidP="00C01C04">
            <w:pPr>
              <w:pStyle w:val="bodytextpsg"/>
              <w:spacing w:line="360" w:lineRule="auto"/>
              <w:ind w:firstLine="0"/>
              <w:jc w:val="center"/>
              <w:rPr>
                <w:rFonts w:asciiTheme="minorHAnsi" w:hAnsiTheme="minorHAnsi"/>
              </w:rPr>
            </w:pPr>
            <w:r w:rsidRPr="00C01C04">
              <w:rPr>
                <w:rFonts w:asciiTheme="minorHAnsi" w:hAnsiTheme="minorHAnsi"/>
              </w:rPr>
              <w:t>13,067</w:t>
            </w:r>
          </w:p>
        </w:tc>
      </w:tr>
    </w:tbl>
    <w:p w14:paraId="1DA8ED7A" w14:textId="77777777" w:rsidR="00C01C04" w:rsidRDefault="00C01C04" w:rsidP="00C01C04">
      <w:pPr>
        <w:rPr>
          <w:rFonts w:asciiTheme="minorHAnsi" w:hAnsiTheme="minorHAnsi"/>
          <w:sz w:val="22"/>
          <w:szCs w:val="22"/>
        </w:rPr>
      </w:pPr>
    </w:p>
    <w:p w14:paraId="74AB1864" w14:textId="77777777" w:rsidR="00C01C04" w:rsidRPr="00C01C04" w:rsidRDefault="00C01C04" w:rsidP="00C01C04">
      <w:pPr>
        <w:rPr>
          <w:rFonts w:asciiTheme="minorHAnsi" w:hAnsiTheme="minorHAnsi"/>
          <w:sz w:val="22"/>
          <w:szCs w:val="22"/>
        </w:rPr>
      </w:pPr>
      <w:r w:rsidRPr="00C01C04">
        <w:rPr>
          <w:rFonts w:asciiTheme="minorHAnsi" w:hAnsiTheme="minorHAnsi"/>
          <w:sz w:val="22"/>
          <w:szCs w:val="22"/>
        </w:rPr>
        <w:t xml:space="preserve">The primary analytic objective is to make a national estimate for a binary analytic variable, for example, whether or not oncologists use a specific genomic test. The secondary research objective is to make a two-group comparisons, for example, determine whether there is a statistically significant difference between medical oncologists in large metropolitan areas versus small metropolitan areas. </w:t>
      </w:r>
    </w:p>
    <w:p w14:paraId="62D3A192" w14:textId="77777777" w:rsidR="00C01C04" w:rsidRDefault="00C01C04" w:rsidP="00C01C04">
      <w:pPr>
        <w:rPr>
          <w:rFonts w:asciiTheme="minorHAnsi" w:hAnsiTheme="minorHAnsi"/>
          <w:sz w:val="22"/>
          <w:szCs w:val="22"/>
        </w:rPr>
      </w:pPr>
    </w:p>
    <w:p w14:paraId="6BEA57F2" w14:textId="77777777" w:rsidR="00C01C04" w:rsidRDefault="00C01C04" w:rsidP="00C01C04">
      <w:pPr>
        <w:rPr>
          <w:rFonts w:asciiTheme="minorHAnsi" w:hAnsiTheme="minorHAnsi"/>
          <w:sz w:val="22"/>
          <w:szCs w:val="22"/>
        </w:rPr>
      </w:pPr>
      <w:r w:rsidRPr="00C01C04">
        <w:rPr>
          <w:rFonts w:asciiTheme="minorHAnsi" w:hAnsiTheme="minorHAnsi"/>
          <w:sz w:val="22"/>
          <w:szCs w:val="22"/>
        </w:rPr>
        <w:lastRenderedPageBreak/>
        <w:t>For the national estimates, proportional allocation is most efficient. That is, the analytic sample size is proportional to the sampling strata population sizes. To compare differences between two groups (oncologists from large metro areas versus small metro areas), equal allocation is most efficient. That is, the analytic sample size is equal in all the sampling strata. However, to allow for both national estimates and group comparisons, a composite allocation is recommended because it allows for both of these research objectives.</w:t>
      </w:r>
    </w:p>
    <w:p w14:paraId="183CCD10" w14:textId="77777777" w:rsidR="00C01C04" w:rsidRDefault="00C01C04" w:rsidP="00C01C04">
      <w:pPr>
        <w:rPr>
          <w:rFonts w:asciiTheme="minorHAnsi" w:hAnsiTheme="minorHAnsi"/>
          <w:sz w:val="22"/>
          <w:szCs w:val="22"/>
        </w:rPr>
      </w:pPr>
    </w:p>
    <w:p w14:paraId="6F9392E3" w14:textId="31B666FA" w:rsidR="00C01C04" w:rsidRPr="00C01C04" w:rsidRDefault="00C01C04" w:rsidP="00662F03">
      <w:pPr>
        <w:rPr>
          <w:rFonts w:asciiTheme="minorHAnsi" w:hAnsiTheme="minorHAnsi"/>
          <w:sz w:val="22"/>
          <w:szCs w:val="22"/>
        </w:rPr>
      </w:pPr>
      <w:r w:rsidRPr="00C01C04">
        <w:rPr>
          <w:rFonts w:asciiTheme="minorHAnsi" w:hAnsiTheme="minorHAnsi"/>
          <w:sz w:val="22"/>
          <w:szCs w:val="22"/>
        </w:rPr>
        <w:t xml:space="preserve">Table </w:t>
      </w:r>
      <w:r>
        <w:rPr>
          <w:rFonts w:asciiTheme="minorHAnsi" w:hAnsiTheme="minorHAnsi"/>
          <w:sz w:val="22"/>
          <w:szCs w:val="22"/>
        </w:rPr>
        <w:t>B.</w:t>
      </w:r>
      <w:r w:rsidR="00412308">
        <w:rPr>
          <w:rFonts w:asciiTheme="minorHAnsi" w:hAnsiTheme="minorHAnsi"/>
          <w:sz w:val="22"/>
          <w:szCs w:val="22"/>
        </w:rPr>
        <w:t>1-</w:t>
      </w:r>
      <w:r>
        <w:rPr>
          <w:rFonts w:asciiTheme="minorHAnsi" w:hAnsiTheme="minorHAnsi"/>
          <w:sz w:val="22"/>
          <w:szCs w:val="22"/>
        </w:rPr>
        <w:t>2</w:t>
      </w:r>
      <w:r w:rsidRPr="00C01C04">
        <w:rPr>
          <w:rFonts w:asciiTheme="minorHAnsi" w:hAnsiTheme="minorHAnsi"/>
          <w:sz w:val="22"/>
          <w:szCs w:val="22"/>
        </w:rPr>
        <w:t xml:space="preserve"> shows the composite allocation, which is the mean of the proportional and equal allocations. Remaining stratification variables that will not be used for group comparisons such as region, age, and sex can be selected proportional to size.</w:t>
      </w:r>
    </w:p>
    <w:p w14:paraId="0B76F186" w14:textId="77777777" w:rsidR="00C01C04" w:rsidRPr="00C01C04" w:rsidRDefault="00C01C04" w:rsidP="00C01C04">
      <w:pPr>
        <w:rPr>
          <w:rFonts w:asciiTheme="minorHAnsi" w:hAnsiTheme="minorHAnsi"/>
          <w:sz w:val="22"/>
          <w:szCs w:val="22"/>
        </w:rPr>
      </w:pPr>
    </w:p>
    <w:p w14:paraId="6D1C5A40" w14:textId="08D6C0FD" w:rsidR="00C01C04" w:rsidRPr="00C01C04" w:rsidRDefault="00C01C04" w:rsidP="00662F03">
      <w:pPr>
        <w:ind w:firstLine="720"/>
        <w:jc w:val="center"/>
        <w:rPr>
          <w:rFonts w:asciiTheme="minorHAnsi" w:hAnsiTheme="minorHAnsi"/>
          <w:b/>
          <w:bCs/>
          <w:sz w:val="22"/>
          <w:szCs w:val="22"/>
        </w:rPr>
      </w:pPr>
      <w:r w:rsidRPr="00C01C04">
        <w:rPr>
          <w:rFonts w:asciiTheme="minorHAnsi" w:hAnsiTheme="minorHAnsi"/>
          <w:b/>
          <w:bCs/>
          <w:sz w:val="22"/>
          <w:szCs w:val="22"/>
        </w:rPr>
        <w:t xml:space="preserve">Table </w:t>
      </w:r>
      <w:r>
        <w:rPr>
          <w:rFonts w:asciiTheme="minorHAnsi" w:hAnsiTheme="minorHAnsi"/>
          <w:b/>
          <w:bCs/>
          <w:sz w:val="22"/>
          <w:szCs w:val="22"/>
        </w:rPr>
        <w:t>B.</w:t>
      </w:r>
      <w:r w:rsidR="00412308">
        <w:rPr>
          <w:rFonts w:asciiTheme="minorHAnsi" w:hAnsiTheme="minorHAnsi"/>
          <w:b/>
          <w:bCs/>
          <w:sz w:val="22"/>
          <w:szCs w:val="22"/>
        </w:rPr>
        <w:t>1-</w:t>
      </w:r>
      <w:r>
        <w:rPr>
          <w:rFonts w:asciiTheme="minorHAnsi" w:hAnsiTheme="minorHAnsi"/>
          <w:b/>
          <w:bCs/>
          <w:sz w:val="22"/>
          <w:szCs w:val="22"/>
        </w:rPr>
        <w:t>2</w:t>
      </w:r>
      <w:r w:rsidRPr="00C01C04">
        <w:rPr>
          <w:rFonts w:asciiTheme="minorHAnsi" w:hAnsiTheme="minorHAnsi"/>
          <w:b/>
          <w:bCs/>
          <w:sz w:val="22"/>
          <w:szCs w:val="22"/>
        </w:rPr>
        <w:t>. Composite Allocation by Subspecialty and Metropolitan Area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1222"/>
        <w:gridCol w:w="1222"/>
        <w:gridCol w:w="1370"/>
        <w:gridCol w:w="1215"/>
        <w:gridCol w:w="1379"/>
      </w:tblGrid>
      <w:tr w:rsidR="00C01C04" w:rsidRPr="00C01C04" w14:paraId="0F21CDA5" w14:textId="77777777" w:rsidTr="00C01C04">
        <w:trPr>
          <w:trHeight w:val="288"/>
        </w:trPr>
        <w:tc>
          <w:tcPr>
            <w:tcW w:w="2232" w:type="dxa"/>
            <w:tcBorders>
              <w:top w:val="single" w:sz="4" w:space="0" w:color="auto"/>
              <w:bottom w:val="single" w:sz="4" w:space="0" w:color="auto"/>
            </w:tcBorders>
            <w:vAlign w:val="center"/>
          </w:tcPr>
          <w:p w14:paraId="73BF2868" w14:textId="77777777" w:rsidR="00C01C04" w:rsidRPr="00C01C04" w:rsidRDefault="00C01C04" w:rsidP="009446BB">
            <w:pPr>
              <w:rPr>
                <w:rFonts w:asciiTheme="minorHAnsi" w:hAnsiTheme="minorHAnsi"/>
                <w:sz w:val="22"/>
                <w:szCs w:val="22"/>
              </w:rPr>
            </w:pPr>
            <w:r w:rsidRPr="00C01C04">
              <w:rPr>
                <w:rFonts w:asciiTheme="minorHAnsi" w:hAnsiTheme="minorHAnsi"/>
                <w:sz w:val="22"/>
                <w:szCs w:val="22"/>
              </w:rPr>
              <w:t>Subspecialty</w:t>
            </w:r>
          </w:p>
        </w:tc>
        <w:tc>
          <w:tcPr>
            <w:tcW w:w="1222" w:type="dxa"/>
            <w:tcBorders>
              <w:top w:val="single" w:sz="4" w:space="0" w:color="auto"/>
              <w:bottom w:val="single" w:sz="4" w:space="0" w:color="auto"/>
            </w:tcBorders>
            <w:vAlign w:val="center"/>
          </w:tcPr>
          <w:p w14:paraId="077E1200"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Very Large</w:t>
            </w:r>
          </w:p>
        </w:tc>
        <w:tc>
          <w:tcPr>
            <w:tcW w:w="1222" w:type="dxa"/>
            <w:tcBorders>
              <w:top w:val="single" w:sz="4" w:space="0" w:color="auto"/>
              <w:bottom w:val="single" w:sz="4" w:space="0" w:color="auto"/>
            </w:tcBorders>
            <w:vAlign w:val="center"/>
          </w:tcPr>
          <w:p w14:paraId="0A8532FD"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Large</w:t>
            </w:r>
          </w:p>
        </w:tc>
        <w:tc>
          <w:tcPr>
            <w:tcW w:w="1370" w:type="dxa"/>
            <w:tcBorders>
              <w:top w:val="single" w:sz="4" w:space="0" w:color="auto"/>
              <w:bottom w:val="single" w:sz="4" w:space="0" w:color="auto"/>
            </w:tcBorders>
            <w:vAlign w:val="center"/>
          </w:tcPr>
          <w:p w14:paraId="3301D519"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Medium</w:t>
            </w:r>
          </w:p>
        </w:tc>
        <w:tc>
          <w:tcPr>
            <w:tcW w:w="1215" w:type="dxa"/>
            <w:tcBorders>
              <w:top w:val="single" w:sz="4" w:space="0" w:color="auto"/>
              <w:bottom w:val="single" w:sz="4" w:space="0" w:color="auto"/>
            </w:tcBorders>
            <w:vAlign w:val="center"/>
          </w:tcPr>
          <w:p w14:paraId="6858FAF8"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Small</w:t>
            </w:r>
          </w:p>
        </w:tc>
        <w:tc>
          <w:tcPr>
            <w:tcW w:w="1379" w:type="dxa"/>
            <w:tcBorders>
              <w:top w:val="single" w:sz="4" w:space="0" w:color="auto"/>
              <w:bottom w:val="single" w:sz="4" w:space="0" w:color="auto"/>
            </w:tcBorders>
          </w:tcPr>
          <w:p w14:paraId="38A0E299"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Total Respondents</w:t>
            </w:r>
          </w:p>
        </w:tc>
      </w:tr>
      <w:tr w:rsidR="00C01C04" w:rsidRPr="00C01C04" w14:paraId="261DAB91" w14:textId="77777777" w:rsidTr="00C01C04">
        <w:trPr>
          <w:trHeight w:val="288"/>
        </w:trPr>
        <w:tc>
          <w:tcPr>
            <w:tcW w:w="2232" w:type="dxa"/>
            <w:tcBorders>
              <w:top w:val="single" w:sz="4" w:space="0" w:color="auto"/>
            </w:tcBorders>
          </w:tcPr>
          <w:p w14:paraId="1EDAE00D" w14:textId="77777777" w:rsidR="00C01C04" w:rsidRPr="00C01C04" w:rsidRDefault="00C01C04" w:rsidP="009446BB">
            <w:pPr>
              <w:rPr>
                <w:rFonts w:asciiTheme="minorHAnsi" w:hAnsiTheme="minorHAnsi"/>
                <w:sz w:val="22"/>
                <w:szCs w:val="22"/>
              </w:rPr>
            </w:pPr>
            <w:r w:rsidRPr="00C01C04">
              <w:rPr>
                <w:rFonts w:asciiTheme="minorHAnsi" w:hAnsiTheme="minorHAnsi"/>
                <w:sz w:val="22"/>
                <w:szCs w:val="22"/>
              </w:rPr>
              <w:t>Hematology</w:t>
            </w:r>
          </w:p>
        </w:tc>
        <w:tc>
          <w:tcPr>
            <w:tcW w:w="1222" w:type="dxa"/>
            <w:tcBorders>
              <w:top w:val="single" w:sz="4" w:space="0" w:color="auto"/>
            </w:tcBorders>
          </w:tcPr>
          <w:p w14:paraId="4DD21389"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109</w:t>
            </w:r>
          </w:p>
        </w:tc>
        <w:tc>
          <w:tcPr>
            <w:tcW w:w="1222" w:type="dxa"/>
            <w:tcBorders>
              <w:top w:val="single" w:sz="4" w:space="0" w:color="auto"/>
            </w:tcBorders>
          </w:tcPr>
          <w:p w14:paraId="0F444D2F"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61</w:t>
            </w:r>
          </w:p>
        </w:tc>
        <w:tc>
          <w:tcPr>
            <w:tcW w:w="1370" w:type="dxa"/>
            <w:tcBorders>
              <w:top w:val="single" w:sz="4" w:space="0" w:color="auto"/>
            </w:tcBorders>
          </w:tcPr>
          <w:p w14:paraId="4A51B274"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56</w:t>
            </w:r>
          </w:p>
        </w:tc>
        <w:tc>
          <w:tcPr>
            <w:tcW w:w="1215" w:type="dxa"/>
            <w:tcBorders>
              <w:top w:val="single" w:sz="4" w:space="0" w:color="auto"/>
            </w:tcBorders>
          </w:tcPr>
          <w:p w14:paraId="3B37F6B0"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56</w:t>
            </w:r>
          </w:p>
        </w:tc>
        <w:tc>
          <w:tcPr>
            <w:tcW w:w="1379" w:type="dxa"/>
            <w:tcBorders>
              <w:top w:val="single" w:sz="4" w:space="0" w:color="auto"/>
            </w:tcBorders>
          </w:tcPr>
          <w:p w14:paraId="6CFFA303"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282</w:t>
            </w:r>
          </w:p>
        </w:tc>
      </w:tr>
      <w:tr w:rsidR="00C01C04" w:rsidRPr="00C01C04" w14:paraId="2E8C0F86" w14:textId="77777777" w:rsidTr="00C01C04">
        <w:trPr>
          <w:trHeight w:val="288"/>
        </w:trPr>
        <w:tc>
          <w:tcPr>
            <w:tcW w:w="2232" w:type="dxa"/>
          </w:tcPr>
          <w:p w14:paraId="5B4BAEB8" w14:textId="77777777" w:rsidR="00C01C04" w:rsidRPr="00C01C04" w:rsidRDefault="00C01C04" w:rsidP="009446BB">
            <w:pPr>
              <w:rPr>
                <w:rFonts w:asciiTheme="minorHAnsi" w:hAnsiTheme="minorHAnsi"/>
                <w:sz w:val="22"/>
                <w:szCs w:val="22"/>
              </w:rPr>
            </w:pPr>
            <w:r w:rsidRPr="00C01C04">
              <w:rPr>
                <w:rFonts w:asciiTheme="minorHAnsi" w:hAnsiTheme="minorHAnsi"/>
                <w:sz w:val="22"/>
                <w:szCs w:val="22"/>
              </w:rPr>
              <w:t>Hematology/Oncology</w:t>
            </w:r>
          </w:p>
        </w:tc>
        <w:tc>
          <w:tcPr>
            <w:tcW w:w="1222" w:type="dxa"/>
          </w:tcPr>
          <w:p w14:paraId="017AA8E8"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272</w:t>
            </w:r>
          </w:p>
        </w:tc>
        <w:tc>
          <w:tcPr>
            <w:tcW w:w="1222" w:type="dxa"/>
          </w:tcPr>
          <w:p w14:paraId="59AE7A83"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91</w:t>
            </w:r>
          </w:p>
        </w:tc>
        <w:tc>
          <w:tcPr>
            <w:tcW w:w="1370" w:type="dxa"/>
          </w:tcPr>
          <w:p w14:paraId="159ED035"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72</w:t>
            </w:r>
          </w:p>
        </w:tc>
        <w:tc>
          <w:tcPr>
            <w:tcW w:w="1215" w:type="dxa"/>
          </w:tcPr>
          <w:p w14:paraId="08A62D51"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71</w:t>
            </w:r>
          </w:p>
        </w:tc>
        <w:tc>
          <w:tcPr>
            <w:tcW w:w="1379" w:type="dxa"/>
          </w:tcPr>
          <w:p w14:paraId="6A252868"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506</w:t>
            </w:r>
          </w:p>
        </w:tc>
      </w:tr>
      <w:tr w:rsidR="00C01C04" w:rsidRPr="00C01C04" w14:paraId="2F2A591F" w14:textId="77777777" w:rsidTr="00C01C04">
        <w:trPr>
          <w:trHeight w:val="288"/>
        </w:trPr>
        <w:tc>
          <w:tcPr>
            <w:tcW w:w="2232" w:type="dxa"/>
          </w:tcPr>
          <w:p w14:paraId="4E3C572E" w14:textId="77777777" w:rsidR="00C01C04" w:rsidRPr="00C01C04" w:rsidRDefault="00C01C04" w:rsidP="009446BB">
            <w:pPr>
              <w:rPr>
                <w:rFonts w:asciiTheme="minorHAnsi" w:hAnsiTheme="minorHAnsi"/>
                <w:sz w:val="22"/>
                <w:szCs w:val="22"/>
              </w:rPr>
            </w:pPr>
            <w:r w:rsidRPr="00C01C04">
              <w:rPr>
                <w:rFonts w:asciiTheme="minorHAnsi" w:hAnsiTheme="minorHAnsi"/>
                <w:sz w:val="22"/>
                <w:szCs w:val="22"/>
              </w:rPr>
              <w:t>Oncology</w:t>
            </w:r>
          </w:p>
        </w:tc>
        <w:tc>
          <w:tcPr>
            <w:tcW w:w="1222" w:type="dxa"/>
          </w:tcPr>
          <w:p w14:paraId="7BE94ED5"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205</w:t>
            </w:r>
          </w:p>
        </w:tc>
        <w:tc>
          <w:tcPr>
            <w:tcW w:w="1222" w:type="dxa"/>
          </w:tcPr>
          <w:p w14:paraId="40823A63"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78</w:t>
            </w:r>
          </w:p>
        </w:tc>
        <w:tc>
          <w:tcPr>
            <w:tcW w:w="1370" w:type="dxa"/>
          </w:tcPr>
          <w:p w14:paraId="5F06CF4A"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66</w:t>
            </w:r>
          </w:p>
        </w:tc>
        <w:tc>
          <w:tcPr>
            <w:tcW w:w="1215" w:type="dxa"/>
          </w:tcPr>
          <w:p w14:paraId="234B363B"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65</w:t>
            </w:r>
          </w:p>
        </w:tc>
        <w:tc>
          <w:tcPr>
            <w:tcW w:w="1379" w:type="dxa"/>
          </w:tcPr>
          <w:p w14:paraId="176C41F0"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414</w:t>
            </w:r>
          </w:p>
        </w:tc>
      </w:tr>
      <w:tr w:rsidR="00C01C04" w:rsidRPr="00C01C04" w14:paraId="24C9E770" w14:textId="77777777" w:rsidTr="00C01C04">
        <w:trPr>
          <w:trHeight w:val="288"/>
        </w:trPr>
        <w:tc>
          <w:tcPr>
            <w:tcW w:w="2232" w:type="dxa"/>
          </w:tcPr>
          <w:p w14:paraId="06A9D84D" w14:textId="77777777" w:rsidR="00C01C04" w:rsidRPr="00C01C04" w:rsidRDefault="00C01C04" w:rsidP="009446BB">
            <w:pPr>
              <w:rPr>
                <w:rFonts w:asciiTheme="minorHAnsi" w:hAnsiTheme="minorHAnsi"/>
                <w:sz w:val="22"/>
                <w:szCs w:val="22"/>
              </w:rPr>
            </w:pPr>
            <w:r w:rsidRPr="00C01C04">
              <w:rPr>
                <w:rFonts w:asciiTheme="minorHAnsi" w:hAnsiTheme="minorHAnsi"/>
                <w:sz w:val="22"/>
                <w:szCs w:val="22"/>
              </w:rPr>
              <w:t>Total Respondents</w:t>
            </w:r>
          </w:p>
        </w:tc>
        <w:tc>
          <w:tcPr>
            <w:tcW w:w="1222" w:type="dxa"/>
          </w:tcPr>
          <w:p w14:paraId="3CDBB3E0"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586</w:t>
            </w:r>
          </w:p>
        </w:tc>
        <w:tc>
          <w:tcPr>
            <w:tcW w:w="1222" w:type="dxa"/>
          </w:tcPr>
          <w:p w14:paraId="5390712A"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230</w:t>
            </w:r>
          </w:p>
        </w:tc>
        <w:tc>
          <w:tcPr>
            <w:tcW w:w="1370" w:type="dxa"/>
          </w:tcPr>
          <w:p w14:paraId="67523B76"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194</w:t>
            </w:r>
          </w:p>
        </w:tc>
        <w:tc>
          <w:tcPr>
            <w:tcW w:w="1215" w:type="dxa"/>
          </w:tcPr>
          <w:p w14:paraId="58C00A96"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192</w:t>
            </w:r>
          </w:p>
        </w:tc>
        <w:tc>
          <w:tcPr>
            <w:tcW w:w="1379" w:type="dxa"/>
          </w:tcPr>
          <w:p w14:paraId="5A630BD6" w14:textId="77777777" w:rsidR="00C01C04" w:rsidRPr="00C01C04" w:rsidRDefault="00C01C04" w:rsidP="009446BB">
            <w:pPr>
              <w:jc w:val="center"/>
              <w:rPr>
                <w:rFonts w:asciiTheme="minorHAnsi" w:hAnsiTheme="minorHAnsi"/>
                <w:sz w:val="22"/>
                <w:szCs w:val="22"/>
              </w:rPr>
            </w:pPr>
            <w:r w:rsidRPr="00C01C04">
              <w:rPr>
                <w:rFonts w:asciiTheme="minorHAnsi" w:hAnsiTheme="minorHAnsi"/>
                <w:sz w:val="22"/>
                <w:szCs w:val="22"/>
              </w:rPr>
              <w:t>1,202</w:t>
            </w:r>
          </w:p>
        </w:tc>
      </w:tr>
    </w:tbl>
    <w:p w14:paraId="70C06D3B" w14:textId="77777777" w:rsidR="00C01C04" w:rsidRDefault="00C01C04" w:rsidP="00C01C04">
      <w:pPr>
        <w:pStyle w:val="bodytextpsg"/>
        <w:spacing w:line="240" w:lineRule="auto"/>
        <w:ind w:firstLine="0"/>
        <w:rPr>
          <w:rFonts w:asciiTheme="minorHAnsi" w:hAnsiTheme="minorHAnsi"/>
          <w:szCs w:val="22"/>
        </w:rPr>
      </w:pPr>
    </w:p>
    <w:p w14:paraId="212B5D75" w14:textId="77777777" w:rsidR="00C01C04" w:rsidRPr="00C01C04" w:rsidRDefault="00C01C04" w:rsidP="00C01C04">
      <w:pPr>
        <w:pStyle w:val="bodytextpsg"/>
        <w:spacing w:line="240" w:lineRule="auto"/>
        <w:ind w:firstLine="0"/>
        <w:rPr>
          <w:rFonts w:asciiTheme="minorHAnsi" w:hAnsiTheme="minorHAnsi"/>
          <w:szCs w:val="22"/>
        </w:rPr>
      </w:pPr>
      <w:r w:rsidRPr="00C01C04">
        <w:rPr>
          <w:rFonts w:asciiTheme="minorHAnsi" w:hAnsiTheme="minorHAnsi"/>
          <w:szCs w:val="22"/>
        </w:rPr>
        <w:t>Based on the composite allocation we calculated the unequal weighting effect, which affects the margin of error, and thus the precision of our survey estimates. After calculating the unequal weighting effect, we calculated the margin of error for national estimates and the power calculations for two-group comparisons.</w:t>
      </w:r>
    </w:p>
    <w:p w14:paraId="17AD1012" w14:textId="77777777" w:rsidR="00C01C04" w:rsidRDefault="00C01C04" w:rsidP="00C01C04">
      <w:pPr>
        <w:pStyle w:val="bodytextpsg"/>
        <w:spacing w:line="240" w:lineRule="auto"/>
        <w:ind w:firstLine="0"/>
        <w:rPr>
          <w:rFonts w:asciiTheme="minorHAnsi" w:hAnsiTheme="minorHAnsi"/>
          <w:szCs w:val="22"/>
        </w:rPr>
      </w:pPr>
    </w:p>
    <w:p w14:paraId="654E4FB7" w14:textId="77777777" w:rsidR="00C01C04" w:rsidRPr="00C01C04" w:rsidRDefault="00C01C04" w:rsidP="00C01C04">
      <w:pPr>
        <w:pStyle w:val="bodytextpsg"/>
        <w:spacing w:line="240" w:lineRule="auto"/>
        <w:ind w:firstLine="0"/>
        <w:rPr>
          <w:rFonts w:asciiTheme="minorHAnsi" w:hAnsiTheme="minorHAnsi"/>
          <w:szCs w:val="22"/>
        </w:rPr>
      </w:pPr>
      <w:r w:rsidRPr="00C01C04">
        <w:rPr>
          <w:rFonts w:asciiTheme="minorHAnsi" w:hAnsiTheme="minorHAnsi"/>
          <w:szCs w:val="22"/>
        </w:rPr>
        <w:t xml:space="preserve">One of the study’s research objectives is to meet the Government’s criteria for precision, which is a margin of error not exceeding + 5% around point estimates. The use of the composite allocation affects the margin of error by creating an unequal weighting effect (uwe) due to of the increase in variance caused by having sample cases with different probabilities of selection. </w:t>
      </w:r>
    </w:p>
    <w:p w14:paraId="0854FCC5" w14:textId="77777777" w:rsidR="00C01C04" w:rsidRPr="00C01C04" w:rsidRDefault="00C01C04" w:rsidP="00C01C04">
      <w:pPr>
        <w:rPr>
          <w:rFonts w:asciiTheme="minorHAnsi" w:hAnsiTheme="minorHAnsi"/>
          <w:sz w:val="22"/>
          <w:szCs w:val="22"/>
        </w:rPr>
      </w:pPr>
    </w:p>
    <w:p w14:paraId="3F71CA83" w14:textId="77777777" w:rsidR="00C01C04" w:rsidRPr="00C01C04" w:rsidRDefault="00C01C04" w:rsidP="00247480">
      <w:pPr>
        <w:rPr>
          <w:rFonts w:asciiTheme="minorHAnsi" w:hAnsiTheme="minorHAnsi"/>
          <w:sz w:val="22"/>
          <w:szCs w:val="22"/>
        </w:rPr>
      </w:pPr>
      <w:r w:rsidRPr="00C01C04">
        <w:rPr>
          <w:rFonts w:asciiTheme="minorHAnsi" w:hAnsiTheme="minorHAnsi"/>
          <w:sz w:val="22"/>
          <w:szCs w:val="22"/>
        </w:rPr>
        <w:t>The uwe is</w:t>
      </w:r>
      <w:r w:rsidRPr="00C01C04">
        <w:rPr>
          <w:rFonts w:asciiTheme="minorHAnsi" w:hAnsiTheme="minorHAnsi"/>
          <w:sz w:val="22"/>
          <w:szCs w:val="22"/>
        </w:rPr>
        <w:tab/>
      </w:r>
      <w:r w:rsidRPr="00C01C04">
        <w:rPr>
          <w:rFonts w:asciiTheme="minorHAnsi" w:hAnsiTheme="minorHAnsi"/>
          <w:sz w:val="22"/>
          <w:szCs w:val="22"/>
        </w:rPr>
        <w:tab/>
      </w:r>
      <m:oMath>
        <m:r>
          <w:rPr>
            <w:rFonts w:ascii="Cambria Math" w:hAnsi="Cambria Math"/>
            <w:sz w:val="22"/>
            <w:szCs w:val="22"/>
          </w:rPr>
          <m:t>uwe</m:t>
        </m:r>
        <m:r>
          <m:rPr>
            <m:sty m:val="p"/>
          </m:rPr>
          <w:rPr>
            <w:rFonts w:ascii="Cambria Math" w:hAnsi="Cambria Math"/>
            <w:sz w:val="22"/>
            <w:szCs w:val="22"/>
          </w:rPr>
          <m:t>=1+</m:t>
        </m:r>
        <m:f>
          <m:fPr>
            <m:ctrlPr>
              <w:rPr>
                <w:rFonts w:ascii="Cambria Math" w:hAnsi="Cambria Math"/>
                <w:sz w:val="22"/>
                <w:szCs w:val="22"/>
              </w:rPr>
            </m:ctrlPr>
          </m:fPr>
          <m:num>
            <m:r>
              <m:rPr>
                <m:sty m:val="p"/>
              </m:rPr>
              <w:rPr>
                <w:rFonts w:ascii="Cambria Math" w:hAnsi="Cambria Math"/>
                <w:sz w:val="22"/>
                <w:szCs w:val="22"/>
              </w:rPr>
              <m:t>1</m:t>
            </m:r>
          </m:num>
          <m:den>
            <m:r>
              <w:rPr>
                <w:rFonts w:ascii="Cambria Math" w:hAnsi="Cambria Math"/>
                <w:sz w:val="22"/>
                <w:szCs w:val="22"/>
              </w:rPr>
              <m:t>n</m:t>
            </m:r>
          </m:den>
        </m:f>
        <m:r>
          <m:rPr>
            <m:sty m:val="p"/>
          </m:rPr>
          <w:rPr>
            <w:rFonts w:ascii="Cambria Math" w:hAnsi="Cambria Math"/>
            <w:sz w:val="22"/>
            <w:szCs w:val="22"/>
          </w:rPr>
          <m:t>*</m:t>
        </m:r>
        <m:f>
          <m:fPr>
            <m:ctrlPr>
              <w:rPr>
                <w:rFonts w:ascii="Cambria Math" w:hAnsi="Cambria Math"/>
                <w:sz w:val="22"/>
                <w:szCs w:val="22"/>
              </w:rPr>
            </m:ctrlPr>
          </m:fPr>
          <m:num>
            <m:nary>
              <m:naryPr>
                <m:chr m:val="∑"/>
                <m:limLoc m:val="undOvr"/>
                <m:ctrlPr>
                  <w:rPr>
                    <w:rFonts w:ascii="Cambria Math" w:hAnsi="Cambria Math"/>
                    <w:sz w:val="22"/>
                    <w:szCs w:val="22"/>
                  </w:rPr>
                </m:ctrlPr>
              </m:naryPr>
              <m:sub>
                <m:r>
                  <w:rPr>
                    <w:rFonts w:ascii="Cambria Math" w:hAnsi="Cambria Math"/>
                    <w:sz w:val="22"/>
                    <w:szCs w:val="22"/>
                  </w:rPr>
                  <m:t>i</m:t>
                </m:r>
                <m:r>
                  <m:rPr>
                    <m:sty m:val="p"/>
                  </m:rPr>
                  <w:rPr>
                    <w:rFonts w:ascii="Cambria Math" w:hAnsi="Cambria Math"/>
                    <w:sz w:val="22"/>
                    <w:szCs w:val="22"/>
                  </w:rPr>
                  <m:t>=1</m:t>
                </m:r>
              </m:sub>
              <m:sup>
                <m:r>
                  <w:rPr>
                    <w:rFonts w:ascii="Cambria Math" w:hAnsi="Cambria Math"/>
                    <w:sz w:val="22"/>
                    <w:szCs w:val="22"/>
                  </w:rPr>
                  <m:t>n</m:t>
                </m:r>
              </m:sup>
              <m:e>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i</m:t>
                    </m:r>
                  </m:sub>
                </m:sSub>
                <m:r>
                  <m:rPr>
                    <m:sty m:val="p"/>
                  </m:rPr>
                  <w:rPr>
                    <w:rFonts w:ascii="Cambria Math" w:hAnsi="Cambria Math"/>
                    <w:sz w:val="22"/>
                    <w:szCs w:val="22"/>
                  </w:rPr>
                  <m:t>-</m:t>
                </m:r>
                <m:bar>
                  <m:barPr>
                    <m:pos m:val="top"/>
                    <m:ctrlPr>
                      <w:rPr>
                        <w:rFonts w:ascii="Cambria Math" w:hAnsi="Cambria Math"/>
                        <w:sz w:val="22"/>
                        <w:szCs w:val="22"/>
                      </w:rPr>
                    </m:ctrlPr>
                  </m:barPr>
                  <m:e>
                    <m:r>
                      <w:rPr>
                        <w:rFonts w:ascii="Cambria Math" w:hAnsi="Cambria Math"/>
                        <w:sz w:val="22"/>
                        <w:szCs w:val="22"/>
                      </w:rPr>
                      <m:t>w</m:t>
                    </m:r>
                  </m:e>
                </m:bar>
                <m:sSup>
                  <m:sSupPr>
                    <m:ctrlPr>
                      <w:rPr>
                        <w:rFonts w:ascii="Cambria Math" w:hAnsi="Cambria Math"/>
                        <w:sz w:val="22"/>
                        <w:szCs w:val="22"/>
                      </w:rPr>
                    </m:ctrlPr>
                  </m:sSupPr>
                  <m:e>
                    <m:r>
                      <m:rPr>
                        <m:sty m:val="p"/>
                      </m:rPr>
                      <w:rPr>
                        <w:rFonts w:ascii="Cambria Math" w:hAnsi="Cambria Math"/>
                        <w:sz w:val="22"/>
                        <w:szCs w:val="22"/>
                      </w:rPr>
                      <m:t>)</m:t>
                    </m:r>
                  </m:e>
                  <m:sup>
                    <m:r>
                      <m:rPr>
                        <m:sty m:val="p"/>
                      </m:rPr>
                      <w:rPr>
                        <w:rFonts w:ascii="Cambria Math" w:hAnsi="Cambria Math"/>
                        <w:sz w:val="22"/>
                        <w:szCs w:val="22"/>
                      </w:rPr>
                      <m:t>2</m:t>
                    </m:r>
                  </m:sup>
                </m:sSup>
              </m:e>
            </m:nary>
          </m:num>
          <m:den>
            <m:sSup>
              <m:sSupPr>
                <m:ctrlPr>
                  <w:rPr>
                    <w:rFonts w:ascii="Cambria Math" w:hAnsi="Cambria Math"/>
                    <w:sz w:val="22"/>
                    <w:szCs w:val="22"/>
                  </w:rPr>
                </m:ctrlPr>
              </m:sSupPr>
              <m:e>
                <m:bar>
                  <m:barPr>
                    <m:pos m:val="top"/>
                    <m:ctrlPr>
                      <w:rPr>
                        <w:rFonts w:ascii="Cambria Math" w:hAnsi="Cambria Math"/>
                        <w:sz w:val="22"/>
                        <w:szCs w:val="22"/>
                      </w:rPr>
                    </m:ctrlPr>
                  </m:barPr>
                  <m:e>
                    <m:r>
                      <w:rPr>
                        <w:rFonts w:ascii="Cambria Math" w:hAnsi="Cambria Math"/>
                        <w:sz w:val="22"/>
                        <w:szCs w:val="22"/>
                      </w:rPr>
                      <m:t>w</m:t>
                    </m:r>
                  </m:e>
                </m:bar>
              </m:e>
              <m:sup>
                <m:r>
                  <m:rPr>
                    <m:sty m:val="p"/>
                  </m:rPr>
                  <w:rPr>
                    <w:rFonts w:ascii="Cambria Math" w:hAnsi="Cambria Math"/>
                    <w:sz w:val="22"/>
                    <w:szCs w:val="22"/>
                  </w:rPr>
                  <m:t>2</m:t>
                </m:r>
              </m:sup>
            </m:sSup>
          </m:den>
        </m:f>
        <m:r>
          <m:rPr>
            <m:sty m:val="p"/>
          </m:rPr>
          <w:rPr>
            <w:rFonts w:ascii="Cambria Math" w:hAnsi="Cambria Math"/>
            <w:sz w:val="22"/>
            <w:szCs w:val="22"/>
          </w:rPr>
          <m:t>,</m:t>
        </m:r>
      </m:oMath>
    </w:p>
    <w:p w14:paraId="0B72DF3B" w14:textId="77777777" w:rsidR="00C01C04" w:rsidRPr="00247480" w:rsidRDefault="00C01C04" w:rsidP="00247480">
      <w:pPr>
        <w:pStyle w:val="bodytextpsg"/>
        <w:spacing w:line="240" w:lineRule="auto"/>
        <w:ind w:firstLine="0"/>
        <w:rPr>
          <w:rFonts w:asciiTheme="minorHAnsi" w:hAnsiTheme="minorHAnsi"/>
          <w:szCs w:val="22"/>
        </w:rPr>
      </w:pPr>
      <w:r w:rsidRPr="00247480">
        <w:rPr>
          <w:rFonts w:asciiTheme="minorHAnsi" w:hAnsiTheme="minorHAnsi"/>
          <w:szCs w:val="22"/>
        </w:rPr>
        <w:t xml:space="preserve">where n is the sample size, </w:t>
      </w:r>
      <m:oMath>
        <m:sSub>
          <m:sSubPr>
            <m:ctrlPr>
              <w:rPr>
                <w:rFonts w:ascii="Cambria Math" w:hAnsi="Cambria Math"/>
                <w:szCs w:val="22"/>
              </w:rPr>
            </m:ctrlPr>
          </m:sSubPr>
          <m:e>
            <m:r>
              <w:rPr>
                <w:rFonts w:ascii="Cambria Math" w:hAnsi="Cambria Math"/>
                <w:szCs w:val="22"/>
              </w:rPr>
              <m:t>w</m:t>
            </m:r>
          </m:e>
          <m:sub>
            <m:r>
              <w:rPr>
                <w:rFonts w:ascii="Cambria Math" w:hAnsi="Cambria Math"/>
                <w:szCs w:val="22"/>
              </w:rPr>
              <m:t>i</m:t>
            </m:r>
          </m:sub>
        </m:sSub>
      </m:oMath>
      <w:r w:rsidRPr="00247480">
        <w:rPr>
          <w:rFonts w:asciiTheme="minorHAnsi" w:hAnsiTheme="minorHAnsi"/>
          <w:szCs w:val="22"/>
        </w:rPr>
        <w:t xml:space="preserve"> is the weight for the </w:t>
      </w:r>
      <m:oMath>
        <m:sSup>
          <m:sSupPr>
            <m:ctrlPr>
              <w:rPr>
                <w:rFonts w:ascii="Cambria Math" w:hAnsi="Cambria Math"/>
                <w:szCs w:val="22"/>
              </w:rPr>
            </m:ctrlPr>
          </m:sSupPr>
          <m:e>
            <m:r>
              <w:rPr>
                <w:rFonts w:ascii="Cambria Math" w:hAnsi="Cambria Math"/>
                <w:szCs w:val="22"/>
              </w:rPr>
              <m:t>i</m:t>
            </m:r>
          </m:e>
          <m:sup>
            <m:r>
              <w:rPr>
                <w:rFonts w:ascii="Cambria Math" w:hAnsi="Cambria Math"/>
                <w:szCs w:val="22"/>
              </w:rPr>
              <m:t>th</m:t>
            </m:r>
          </m:sup>
        </m:sSup>
      </m:oMath>
      <w:r w:rsidRPr="00247480">
        <w:rPr>
          <w:rFonts w:asciiTheme="minorHAnsi" w:hAnsiTheme="minorHAnsi"/>
          <w:szCs w:val="22"/>
        </w:rPr>
        <w:t xml:space="preserve"> medical oncologist sampled, and </w:t>
      </w:r>
      <m:oMath>
        <m:bar>
          <m:barPr>
            <m:pos m:val="top"/>
            <m:ctrlPr>
              <w:rPr>
                <w:rFonts w:ascii="Cambria Math" w:hAnsi="Cambria Math"/>
                <w:szCs w:val="22"/>
              </w:rPr>
            </m:ctrlPr>
          </m:barPr>
          <m:e>
            <m:r>
              <w:rPr>
                <w:rFonts w:ascii="Cambria Math" w:hAnsi="Cambria Math"/>
                <w:szCs w:val="22"/>
              </w:rPr>
              <m:t>w</m:t>
            </m:r>
          </m:e>
        </m:bar>
      </m:oMath>
      <w:r w:rsidRPr="00247480">
        <w:rPr>
          <w:rFonts w:asciiTheme="minorHAnsi" w:hAnsiTheme="minorHAnsi"/>
          <w:szCs w:val="22"/>
        </w:rPr>
        <w:t xml:space="preserve"> is the mean of weights. Based on the composite sample size allocation, the uwe is 1.27.</w:t>
      </w:r>
    </w:p>
    <w:p w14:paraId="50EA9387" w14:textId="77777777" w:rsidR="00247480" w:rsidRDefault="00247480" w:rsidP="00247480">
      <w:pPr>
        <w:pStyle w:val="bodytextpsg"/>
        <w:spacing w:line="240" w:lineRule="auto"/>
        <w:ind w:firstLine="0"/>
        <w:rPr>
          <w:rFonts w:asciiTheme="minorHAnsi" w:hAnsiTheme="minorHAnsi"/>
          <w:szCs w:val="22"/>
        </w:rPr>
      </w:pPr>
    </w:p>
    <w:p w14:paraId="522A8B9E" w14:textId="77777777" w:rsidR="00C01C04" w:rsidRDefault="00C01C04" w:rsidP="00247480">
      <w:pPr>
        <w:pStyle w:val="bodytextpsg"/>
        <w:spacing w:line="240" w:lineRule="auto"/>
        <w:ind w:firstLine="0"/>
        <w:rPr>
          <w:rFonts w:asciiTheme="minorHAnsi" w:hAnsiTheme="minorHAnsi"/>
          <w:szCs w:val="22"/>
        </w:rPr>
      </w:pPr>
      <w:r w:rsidRPr="00247480">
        <w:rPr>
          <w:rFonts w:asciiTheme="minorHAnsi" w:hAnsiTheme="minorHAnsi"/>
          <w:szCs w:val="22"/>
        </w:rPr>
        <w:t>Figure 1 shows that with a uwe of 1.27, an analytic sample size of 1,200 is more than sufficient to meet the margin of error requirement. In this figure, the horizontal axis is the population proportion (e.g., proportion of respondents who have used a genomic test), and the vertical axis is the analytic sample size. When the proportion is 0.5, a sample size of 1,200 will achieve a margin of error of 2.66 percentage points, which is well below the 5 percentage point criterion.</w:t>
      </w:r>
    </w:p>
    <w:p w14:paraId="2BE07545" w14:textId="77777777" w:rsidR="00662F03" w:rsidRDefault="00662F03" w:rsidP="00247480">
      <w:pPr>
        <w:pStyle w:val="bodytextpsg"/>
        <w:spacing w:line="240" w:lineRule="auto"/>
        <w:ind w:firstLine="0"/>
        <w:rPr>
          <w:rFonts w:asciiTheme="minorHAnsi" w:hAnsiTheme="minorHAnsi"/>
          <w:szCs w:val="22"/>
        </w:rPr>
      </w:pPr>
    </w:p>
    <w:p w14:paraId="01BE0E90" w14:textId="53C9D775" w:rsidR="00662F03" w:rsidRDefault="00662F03" w:rsidP="00934939">
      <w:pPr>
        <w:pStyle w:val="bodytextpsg"/>
        <w:keepNext/>
        <w:spacing w:line="240" w:lineRule="auto"/>
        <w:ind w:firstLine="0"/>
        <w:jc w:val="center"/>
        <w:rPr>
          <w:rFonts w:asciiTheme="minorHAnsi" w:hAnsiTheme="minorHAnsi"/>
          <w:b/>
          <w:bCs/>
          <w:szCs w:val="22"/>
        </w:rPr>
      </w:pPr>
      <w:r w:rsidRPr="00662F03">
        <w:rPr>
          <w:rFonts w:asciiTheme="minorHAnsi" w:hAnsiTheme="minorHAnsi"/>
          <w:b/>
          <w:bCs/>
          <w:szCs w:val="22"/>
        </w:rPr>
        <w:lastRenderedPageBreak/>
        <w:t>Figure 1: Analytic Sample Size (MOE) by Population Proportion</w:t>
      </w:r>
    </w:p>
    <w:p w14:paraId="015B946D" w14:textId="7431C145" w:rsidR="00662F03" w:rsidRPr="00662F03" w:rsidRDefault="00662F03" w:rsidP="00662F03">
      <w:pPr>
        <w:pStyle w:val="bodytextpsg"/>
        <w:spacing w:line="240" w:lineRule="auto"/>
        <w:ind w:firstLine="0"/>
        <w:jc w:val="center"/>
        <w:rPr>
          <w:rFonts w:asciiTheme="minorHAnsi" w:hAnsiTheme="minorHAnsi"/>
          <w:b/>
          <w:bCs/>
          <w:szCs w:val="22"/>
        </w:rPr>
      </w:pPr>
      <w:r>
        <w:rPr>
          <w:noProof/>
        </w:rPr>
        <w:drawing>
          <wp:inline distT="0" distB="0" distL="0" distR="0" wp14:anchorId="33D06B47" wp14:editId="575259F4">
            <wp:extent cx="5486400" cy="30245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3024505"/>
                    </a:xfrm>
                    <a:prstGeom prst="rect">
                      <a:avLst/>
                    </a:prstGeom>
                  </pic:spPr>
                </pic:pic>
              </a:graphicData>
            </a:graphic>
          </wp:inline>
        </w:drawing>
      </w:r>
    </w:p>
    <w:p w14:paraId="453B039D" w14:textId="0D51BF7C" w:rsidR="00C01C04" w:rsidRDefault="00C01C04" w:rsidP="00C01C04">
      <w:pPr>
        <w:pStyle w:val="bodytextpsg"/>
        <w:ind w:firstLine="0"/>
        <w:rPr>
          <w:sz w:val="24"/>
          <w:u w:val="single"/>
        </w:rPr>
      </w:pPr>
    </w:p>
    <w:p w14:paraId="0406885D" w14:textId="77777777" w:rsidR="00C01C04" w:rsidRPr="00247480" w:rsidRDefault="00C01C04" w:rsidP="00247480">
      <w:pPr>
        <w:pStyle w:val="bodytextpsg"/>
        <w:spacing w:line="240" w:lineRule="auto"/>
        <w:ind w:firstLine="0"/>
        <w:rPr>
          <w:rFonts w:asciiTheme="minorHAnsi" w:hAnsiTheme="minorHAnsi"/>
          <w:szCs w:val="22"/>
        </w:rPr>
      </w:pPr>
      <w:r w:rsidRPr="00247480">
        <w:rPr>
          <w:rFonts w:asciiTheme="minorHAnsi" w:hAnsiTheme="minorHAnsi"/>
          <w:szCs w:val="22"/>
        </w:rPr>
        <w:t>The power calculations for the two-group comparisons fall into two categories. The first category represents power calculations for variables available on the sampling frame, which will have known sample sizes, e.g., specialty group and metropolitan size. The second category represents power calculations for variables that are not on the sampling frame and thus have an unknown sample size, e.g., academic practice.</w:t>
      </w:r>
    </w:p>
    <w:p w14:paraId="09AA0199" w14:textId="77777777" w:rsidR="00C01C04" w:rsidRPr="00247480" w:rsidRDefault="00C01C04" w:rsidP="00247480">
      <w:pPr>
        <w:rPr>
          <w:rFonts w:asciiTheme="minorHAnsi" w:hAnsiTheme="minorHAnsi"/>
          <w:sz w:val="22"/>
          <w:szCs w:val="22"/>
        </w:rPr>
      </w:pPr>
      <w:bookmarkStart w:id="5" w:name="specialty-groups-metropolitan-sizes-and-"/>
    </w:p>
    <w:bookmarkEnd w:id="5"/>
    <w:p w14:paraId="5A0C0BB2" w14:textId="131E34A8" w:rsidR="00C01C04" w:rsidRPr="00247480" w:rsidRDefault="00C01C04" w:rsidP="00662F03">
      <w:pPr>
        <w:pStyle w:val="bodytextpsg"/>
        <w:spacing w:line="240" w:lineRule="auto"/>
        <w:ind w:firstLine="0"/>
        <w:rPr>
          <w:rFonts w:asciiTheme="minorHAnsi" w:hAnsiTheme="minorHAnsi"/>
          <w:szCs w:val="22"/>
        </w:rPr>
      </w:pPr>
      <w:r w:rsidRPr="00247480">
        <w:rPr>
          <w:rFonts w:asciiTheme="minorHAnsi" w:hAnsiTheme="minorHAnsi"/>
          <w:szCs w:val="22"/>
        </w:rPr>
        <w:t xml:space="preserve">Based on the composite allocation, Table </w:t>
      </w:r>
      <w:r w:rsidR="00247480">
        <w:rPr>
          <w:rFonts w:asciiTheme="minorHAnsi" w:hAnsiTheme="minorHAnsi"/>
          <w:szCs w:val="22"/>
        </w:rPr>
        <w:t>B.</w:t>
      </w:r>
      <w:r w:rsidR="00412308">
        <w:rPr>
          <w:rFonts w:asciiTheme="minorHAnsi" w:hAnsiTheme="minorHAnsi"/>
          <w:szCs w:val="22"/>
        </w:rPr>
        <w:t>1-</w:t>
      </w:r>
      <w:r w:rsidR="00247480">
        <w:rPr>
          <w:rFonts w:asciiTheme="minorHAnsi" w:hAnsiTheme="minorHAnsi"/>
          <w:szCs w:val="22"/>
        </w:rPr>
        <w:t>3</w:t>
      </w:r>
      <w:r w:rsidRPr="00247480">
        <w:rPr>
          <w:rFonts w:asciiTheme="minorHAnsi" w:hAnsiTheme="minorHAnsi"/>
          <w:szCs w:val="22"/>
        </w:rPr>
        <w:t xml:space="preserve"> shows the power to detect differences between two groups for three separate percentage point differences, 5, 10, and 15. The examples chosen demonstrate the highest and lowest power for detecting differences. For example, an overall sample size of 1,200 is sufficient to detect a 15 percentage point difference between the two largest metropolitan areas with 0.97 power (row 3). The power to detect a difference between the two smallest metropolitan areas (row 4) is 0.85. The power to detect a difference between any two other metro areas will fall somewhere between 0.85 and 0.97.</w:t>
      </w:r>
    </w:p>
    <w:p w14:paraId="1B297F96" w14:textId="77777777" w:rsidR="00C01C04" w:rsidRPr="00247480" w:rsidRDefault="00C01C04" w:rsidP="00247480">
      <w:pPr>
        <w:ind w:firstLine="720"/>
        <w:rPr>
          <w:rFonts w:asciiTheme="minorHAnsi" w:hAnsiTheme="minorHAnsi"/>
          <w:sz w:val="22"/>
          <w:szCs w:val="22"/>
        </w:rPr>
      </w:pPr>
    </w:p>
    <w:p w14:paraId="221061C1" w14:textId="28F9D2F1" w:rsidR="00C01C04" w:rsidRPr="00247480" w:rsidRDefault="00C01C04" w:rsidP="00662F03">
      <w:pPr>
        <w:rPr>
          <w:rFonts w:asciiTheme="minorHAnsi" w:hAnsiTheme="minorHAnsi"/>
          <w:b/>
          <w:bCs/>
          <w:sz w:val="22"/>
          <w:szCs w:val="22"/>
        </w:rPr>
      </w:pPr>
      <w:r w:rsidRPr="00247480">
        <w:rPr>
          <w:rFonts w:asciiTheme="minorHAnsi" w:hAnsiTheme="minorHAnsi"/>
          <w:b/>
          <w:bCs/>
          <w:sz w:val="22"/>
          <w:szCs w:val="22"/>
        </w:rPr>
        <w:t xml:space="preserve">Table </w:t>
      </w:r>
      <w:r w:rsidR="00247480" w:rsidRPr="00247480">
        <w:rPr>
          <w:rFonts w:asciiTheme="minorHAnsi" w:hAnsiTheme="minorHAnsi"/>
          <w:b/>
          <w:bCs/>
          <w:sz w:val="22"/>
          <w:szCs w:val="22"/>
        </w:rPr>
        <w:t>B.</w:t>
      </w:r>
      <w:r w:rsidR="00412308">
        <w:rPr>
          <w:rFonts w:asciiTheme="minorHAnsi" w:hAnsiTheme="minorHAnsi"/>
          <w:b/>
          <w:bCs/>
          <w:sz w:val="22"/>
          <w:szCs w:val="22"/>
        </w:rPr>
        <w:t>1-</w:t>
      </w:r>
      <w:r w:rsidR="00247480" w:rsidRPr="00247480">
        <w:rPr>
          <w:rFonts w:asciiTheme="minorHAnsi" w:hAnsiTheme="minorHAnsi"/>
          <w:b/>
          <w:bCs/>
          <w:sz w:val="22"/>
          <w:szCs w:val="22"/>
        </w:rPr>
        <w:t>3</w:t>
      </w:r>
      <w:r w:rsidRPr="00247480">
        <w:rPr>
          <w:rFonts w:asciiTheme="minorHAnsi" w:hAnsiTheme="minorHAnsi"/>
          <w:b/>
          <w:bCs/>
          <w:sz w:val="22"/>
          <w:szCs w:val="22"/>
        </w:rPr>
        <w:t>. Power Calculations Comparisons between Subspecialty and/or Metropolitan Area</w:t>
      </w:r>
    </w:p>
    <w:p w14:paraId="6982EECB" w14:textId="77777777" w:rsidR="00C01C04" w:rsidRPr="00247480" w:rsidRDefault="00C01C04" w:rsidP="00247480">
      <w:pPr>
        <w:rPr>
          <w:rFonts w:asciiTheme="minorHAnsi" w:hAnsiTheme="minorHAnsi"/>
          <w:sz w:val="22"/>
          <w:szCs w:val="22"/>
        </w:rPr>
      </w:pPr>
    </w:p>
    <w:tbl>
      <w:tblPr>
        <w:tblW w:w="5000" w:type="pct"/>
        <w:tblCellMar>
          <w:left w:w="0" w:type="dxa"/>
          <w:right w:w="0" w:type="dxa"/>
        </w:tblCellMar>
        <w:tblLook w:val="01E0" w:firstRow="1" w:lastRow="1" w:firstColumn="1" w:lastColumn="1" w:noHBand="0" w:noVBand="0"/>
      </w:tblPr>
      <w:tblGrid>
        <w:gridCol w:w="3910"/>
        <w:gridCol w:w="914"/>
        <w:gridCol w:w="914"/>
        <w:gridCol w:w="969"/>
        <w:gridCol w:w="969"/>
        <w:gridCol w:w="964"/>
      </w:tblGrid>
      <w:tr w:rsidR="00C01C04" w:rsidRPr="00247480" w14:paraId="7E411269" w14:textId="77777777" w:rsidTr="009446BB">
        <w:trPr>
          <w:trHeight w:hRule="exact" w:val="288"/>
        </w:trPr>
        <w:tc>
          <w:tcPr>
            <w:tcW w:w="2262" w:type="pct"/>
            <w:vMerge w:val="restart"/>
            <w:tcBorders>
              <w:top w:val="single" w:sz="3" w:space="0" w:color="000000"/>
              <w:left w:val="nil"/>
              <w:right w:val="nil"/>
            </w:tcBorders>
            <w:vAlign w:val="center"/>
          </w:tcPr>
          <w:p w14:paraId="5F0FDF19" w14:textId="77777777" w:rsidR="00C01C04" w:rsidRPr="00247480" w:rsidRDefault="00C01C04" w:rsidP="009446BB">
            <w:pPr>
              <w:pStyle w:val="TableParagraph"/>
              <w:ind w:left="554"/>
              <w:jc w:val="center"/>
              <w:rPr>
                <w:spacing w:val="-1"/>
              </w:rPr>
            </w:pPr>
            <w:r w:rsidRPr="00247480">
              <w:rPr>
                <w:spacing w:val="-1"/>
              </w:rPr>
              <w:t>Groups Comparisons</w:t>
            </w:r>
          </w:p>
        </w:tc>
        <w:tc>
          <w:tcPr>
            <w:tcW w:w="529" w:type="pct"/>
            <w:vMerge w:val="restart"/>
            <w:tcBorders>
              <w:top w:val="single" w:sz="3" w:space="0" w:color="000000"/>
              <w:left w:val="nil"/>
              <w:right w:val="nil"/>
            </w:tcBorders>
            <w:vAlign w:val="center"/>
          </w:tcPr>
          <w:p w14:paraId="7EEEBDDC" w14:textId="77777777" w:rsidR="00C01C04" w:rsidRPr="00247480" w:rsidRDefault="00C01C04" w:rsidP="009446BB">
            <w:pPr>
              <w:pStyle w:val="TableParagraph"/>
              <w:jc w:val="center"/>
            </w:pPr>
            <w:r w:rsidRPr="00247480">
              <w:t xml:space="preserve">Sample </w:t>
            </w:r>
          </w:p>
          <w:p w14:paraId="27F6A3D3" w14:textId="77777777" w:rsidR="00C01C04" w:rsidRPr="00247480" w:rsidRDefault="00C01C04" w:rsidP="009446BB">
            <w:pPr>
              <w:pStyle w:val="TableParagraph"/>
              <w:jc w:val="center"/>
            </w:pPr>
            <w:r w:rsidRPr="00247480">
              <w:t>size 1</w:t>
            </w:r>
          </w:p>
        </w:tc>
        <w:tc>
          <w:tcPr>
            <w:tcW w:w="529" w:type="pct"/>
            <w:vMerge w:val="restart"/>
            <w:tcBorders>
              <w:top w:val="single" w:sz="3" w:space="0" w:color="000000"/>
              <w:left w:val="nil"/>
              <w:right w:val="nil"/>
            </w:tcBorders>
            <w:vAlign w:val="center"/>
          </w:tcPr>
          <w:p w14:paraId="3BF795B7" w14:textId="77777777" w:rsidR="00C01C04" w:rsidRPr="00247480" w:rsidRDefault="00C01C04" w:rsidP="009446BB">
            <w:pPr>
              <w:pStyle w:val="TableParagraph"/>
              <w:jc w:val="center"/>
            </w:pPr>
            <w:r w:rsidRPr="00247480">
              <w:t>Sample size 2</w:t>
            </w:r>
          </w:p>
        </w:tc>
        <w:tc>
          <w:tcPr>
            <w:tcW w:w="1680" w:type="pct"/>
            <w:gridSpan w:val="3"/>
            <w:tcBorders>
              <w:top w:val="single" w:sz="3" w:space="0" w:color="000000"/>
              <w:left w:val="nil"/>
              <w:bottom w:val="nil"/>
              <w:right w:val="nil"/>
            </w:tcBorders>
          </w:tcPr>
          <w:p w14:paraId="243772EF" w14:textId="77777777" w:rsidR="00C01C04" w:rsidRPr="00247480" w:rsidRDefault="00C01C04" w:rsidP="009446BB">
            <w:pPr>
              <w:pStyle w:val="TableParagraph"/>
              <w:ind w:left="231"/>
            </w:pPr>
            <w:r w:rsidRPr="00247480">
              <w:t>Power for percent difference</w:t>
            </w:r>
          </w:p>
        </w:tc>
      </w:tr>
      <w:tr w:rsidR="00C01C04" w:rsidRPr="00247480" w14:paraId="0DD111A9" w14:textId="77777777" w:rsidTr="009446BB">
        <w:trPr>
          <w:trHeight w:hRule="exact" w:val="288"/>
        </w:trPr>
        <w:tc>
          <w:tcPr>
            <w:tcW w:w="2262" w:type="pct"/>
            <w:vMerge/>
            <w:tcBorders>
              <w:left w:val="nil"/>
              <w:bottom w:val="single" w:sz="4" w:space="0" w:color="000000"/>
              <w:right w:val="nil"/>
            </w:tcBorders>
          </w:tcPr>
          <w:p w14:paraId="216C5350" w14:textId="77777777" w:rsidR="00C01C04" w:rsidRPr="00247480" w:rsidRDefault="00C01C04" w:rsidP="009446BB">
            <w:pPr>
              <w:pStyle w:val="TableParagraph"/>
              <w:ind w:left="554"/>
              <w:rPr>
                <w:spacing w:val="-1"/>
              </w:rPr>
            </w:pPr>
          </w:p>
        </w:tc>
        <w:tc>
          <w:tcPr>
            <w:tcW w:w="529" w:type="pct"/>
            <w:vMerge/>
            <w:tcBorders>
              <w:left w:val="nil"/>
              <w:bottom w:val="single" w:sz="4" w:space="0" w:color="000000"/>
              <w:right w:val="nil"/>
            </w:tcBorders>
          </w:tcPr>
          <w:p w14:paraId="53C4DFA1" w14:textId="77777777" w:rsidR="00C01C04" w:rsidRPr="00247480" w:rsidRDefault="00C01C04" w:rsidP="009446BB">
            <w:pPr>
              <w:pStyle w:val="TableParagraph"/>
              <w:jc w:val="center"/>
            </w:pPr>
          </w:p>
        </w:tc>
        <w:tc>
          <w:tcPr>
            <w:tcW w:w="529" w:type="pct"/>
            <w:vMerge/>
            <w:tcBorders>
              <w:left w:val="nil"/>
              <w:bottom w:val="single" w:sz="4" w:space="0" w:color="000000"/>
              <w:right w:val="nil"/>
            </w:tcBorders>
          </w:tcPr>
          <w:p w14:paraId="42C40CD6" w14:textId="77777777" w:rsidR="00C01C04" w:rsidRPr="00247480" w:rsidRDefault="00C01C04" w:rsidP="009446BB">
            <w:pPr>
              <w:pStyle w:val="TableParagraph"/>
              <w:jc w:val="center"/>
            </w:pPr>
          </w:p>
        </w:tc>
        <w:tc>
          <w:tcPr>
            <w:tcW w:w="561" w:type="pct"/>
            <w:tcBorders>
              <w:top w:val="single" w:sz="3" w:space="0" w:color="000000"/>
              <w:left w:val="nil"/>
              <w:bottom w:val="single" w:sz="4" w:space="0" w:color="000000"/>
              <w:right w:val="nil"/>
            </w:tcBorders>
          </w:tcPr>
          <w:p w14:paraId="762D566A" w14:textId="77777777" w:rsidR="00C01C04" w:rsidRPr="00247480" w:rsidRDefault="00C01C04" w:rsidP="009446BB">
            <w:pPr>
              <w:pStyle w:val="TableParagraph"/>
              <w:ind w:left="181"/>
              <w:jc w:val="center"/>
            </w:pPr>
            <w:r w:rsidRPr="00247480">
              <w:t>5</w:t>
            </w:r>
          </w:p>
        </w:tc>
        <w:tc>
          <w:tcPr>
            <w:tcW w:w="561" w:type="pct"/>
            <w:tcBorders>
              <w:top w:val="single" w:sz="3" w:space="0" w:color="000000"/>
              <w:left w:val="nil"/>
              <w:bottom w:val="single" w:sz="4" w:space="0" w:color="000000"/>
              <w:right w:val="nil"/>
            </w:tcBorders>
          </w:tcPr>
          <w:p w14:paraId="44591732" w14:textId="77777777" w:rsidR="00C01C04" w:rsidRPr="00247480" w:rsidRDefault="00C01C04" w:rsidP="009446BB">
            <w:pPr>
              <w:pStyle w:val="TableParagraph"/>
              <w:ind w:left="231"/>
              <w:jc w:val="center"/>
            </w:pPr>
            <w:r w:rsidRPr="00247480">
              <w:t>10</w:t>
            </w:r>
          </w:p>
        </w:tc>
        <w:tc>
          <w:tcPr>
            <w:tcW w:w="558" w:type="pct"/>
            <w:tcBorders>
              <w:top w:val="single" w:sz="3" w:space="0" w:color="000000"/>
              <w:left w:val="nil"/>
              <w:bottom w:val="single" w:sz="4" w:space="0" w:color="000000"/>
              <w:right w:val="nil"/>
            </w:tcBorders>
          </w:tcPr>
          <w:p w14:paraId="28DBA837" w14:textId="77777777" w:rsidR="00C01C04" w:rsidRPr="00247480" w:rsidRDefault="00C01C04" w:rsidP="009446BB">
            <w:pPr>
              <w:pStyle w:val="TableParagraph"/>
              <w:ind w:left="231"/>
              <w:jc w:val="center"/>
            </w:pPr>
            <w:r w:rsidRPr="00247480">
              <w:t>15</w:t>
            </w:r>
          </w:p>
        </w:tc>
      </w:tr>
      <w:tr w:rsidR="00C01C04" w:rsidRPr="00247480" w14:paraId="4490DB51" w14:textId="77777777" w:rsidTr="009446BB">
        <w:tc>
          <w:tcPr>
            <w:tcW w:w="2262" w:type="pct"/>
            <w:tcBorders>
              <w:left w:val="nil"/>
              <w:bottom w:val="nil"/>
              <w:right w:val="nil"/>
            </w:tcBorders>
          </w:tcPr>
          <w:p w14:paraId="289F4568" w14:textId="77777777" w:rsidR="00C01C04" w:rsidRPr="00247480" w:rsidRDefault="00C01C04" w:rsidP="00C01C04">
            <w:pPr>
              <w:pStyle w:val="TableParagraph"/>
              <w:numPr>
                <w:ilvl w:val="0"/>
                <w:numId w:val="7"/>
              </w:numPr>
              <w:rPr>
                <w:rFonts w:eastAsia="Book Antiqua" w:cs="Book Antiqua"/>
              </w:rPr>
            </w:pPr>
            <w:r w:rsidRPr="00247480">
              <w:rPr>
                <w:b/>
                <w:bCs/>
                <w:spacing w:val="-1"/>
              </w:rPr>
              <w:t>Two l</w:t>
            </w:r>
            <w:r w:rsidRPr="00247480">
              <w:rPr>
                <w:b/>
                <w:bCs/>
              </w:rPr>
              <w:t>argest subspecialties</w:t>
            </w:r>
            <w:r w:rsidRPr="00247480">
              <w:t xml:space="preserve"> (hematology /oncology vs oncology)</w:t>
            </w:r>
          </w:p>
        </w:tc>
        <w:tc>
          <w:tcPr>
            <w:tcW w:w="529" w:type="pct"/>
            <w:tcBorders>
              <w:left w:val="nil"/>
              <w:bottom w:val="nil"/>
              <w:right w:val="nil"/>
            </w:tcBorders>
          </w:tcPr>
          <w:p w14:paraId="0136656D" w14:textId="77777777" w:rsidR="00C01C04" w:rsidRPr="00247480" w:rsidRDefault="00C01C04" w:rsidP="009446BB">
            <w:pPr>
              <w:pStyle w:val="TableParagraph"/>
              <w:jc w:val="center"/>
              <w:rPr>
                <w:rFonts w:eastAsia="Book Antiqua" w:cs="Book Antiqua"/>
              </w:rPr>
            </w:pPr>
            <w:r w:rsidRPr="00247480">
              <w:t>506</w:t>
            </w:r>
          </w:p>
        </w:tc>
        <w:tc>
          <w:tcPr>
            <w:tcW w:w="529" w:type="pct"/>
            <w:tcBorders>
              <w:left w:val="nil"/>
              <w:bottom w:val="nil"/>
              <w:right w:val="nil"/>
            </w:tcBorders>
          </w:tcPr>
          <w:p w14:paraId="1EDDB462" w14:textId="77777777" w:rsidR="00C01C04" w:rsidRPr="00247480" w:rsidRDefault="00C01C04" w:rsidP="009446BB">
            <w:pPr>
              <w:pStyle w:val="TableParagraph"/>
              <w:jc w:val="center"/>
              <w:rPr>
                <w:rFonts w:eastAsia="Book Antiqua" w:cs="Book Antiqua"/>
              </w:rPr>
            </w:pPr>
            <w:r w:rsidRPr="00247480">
              <w:t>414</w:t>
            </w:r>
          </w:p>
        </w:tc>
        <w:tc>
          <w:tcPr>
            <w:tcW w:w="561" w:type="pct"/>
            <w:tcBorders>
              <w:left w:val="nil"/>
              <w:bottom w:val="nil"/>
              <w:right w:val="nil"/>
            </w:tcBorders>
          </w:tcPr>
          <w:p w14:paraId="3A5DC668" w14:textId="77777777" w:rsidR="00C01C04" w:rsidRPr="00247480" w:rsidRDefault="00C01C04" w:rsidP="009446BB">
            <w:pPr>
              <w:pStyle w:val="TableParagraph"/>
              <w:jc w:val="center"/>
              <w:rPr>
                <w:rFonts w:eastAsia="Book Antiqua" w:cs="Book Antiqua"/>
              </w:rPr>
            </w:pPr>
            <w:r w:rsidRPr="00247480">
              <w:t>0.33</w:t>
            </w:r>
          </w:p>
        </w:tc>
        <w:tc>
          <w:tcPr>
            <w:tcW w:w="561" w:type="pct"/>
            <w:tcBorders>
              <w:left w:val="nil"/>
              <w:bottom w:val="nil"/>
              <w:right w:val="nil"/>
            </w:tcBorders>
          </w:tcPr>
          <w:p w14:paraId="3A91489B" w14:textId="77777777" w:rsidR="00C01C04" w:rsidRPr="00247480" w:rsidRDefault="00C01C04" w:rsidP="009446BB">
            <w:pPr>
              <w:pStyle w:val="TableParagraph"/>
              <w:jc w:val="center"/>
              <w:rPr>
                <w:rFonts w:eastAsia="Book Antiqua" w:cs="Book Antiqua"/>
              </w:rPr>
            </w:pPr>
            <w:r w:rsidRPr="00247480">
              <w:t>0.86</w:t>
            </w:r>
          </w:p>
        </w:tc>
        <w:tc>
          <w:tcPr>
            <w:tcW w:w="558" w:type="pct"/>
            <w:tcBorders>
              <w:left w:val="nil"/>
              <w:bottom w:val="nil"/>
              <w:right w:val="nil"/>
            </w:tcBorders>
          </w:tcPr>
          <w:p w14:paraId="729B22BF" w14:textId="77777777" w:rsidR="00C01C04" w:rsidRPr="00247480" w:rsidRDefault="00C01C04" w:rsidP="009446BB">
            <w:pPr>
              <w:pStyle w:val="TableParagraph"/>
              <w:jc w:val="center"/>
              <w:rPr>
                <w:rFonts w:eastAsia="Book Antiqua" w:cs="Book Antiqua"/>
              </w:rPr>
            </w:pPr>
            <w:r w:rsidRPr="00247480">
              <w:t>1.00</w:t>
            </w:r>
          </w:p>
        </w:tc>
      </w:tr>
      <w:tr w:rsidR="00C01C04" w:rsidRPr="00247480" w14:paraId="37B21B04" w14:textId="77777777" w:rsidTr="009446BB">
        <w:tc>
          <w:tcPr>
            <w:tcW w:w="2262" w:type="pct"/>
            <w:tcBorders>
              <w:top w:val="nil"/>
              <w:left w:val="nil"/>
              <w:bottom w:val="nil"/>
              <w:right w:val="nil"/>
            </w:tcBorders>
          </w:tcPr>
          <w:p w14:paraId="043A9BDB" w14:textId="77777777" w:rsidR="00C01C04" w:rsidRPr="00247480" w:rsidRDefault="00C01C04" w:rsidP="00C01C04">
            <w:pPr>
              <w:pStyle w:val="TableParagraph"/>
              <w:numPr>
                <w:ilvl w:val="0"/>
                <w:numId w:val="7"/>
              </w:numPr>
              <w:rPr>
                <w:rFonts w:eastAsia="Book Antiqua" w:cs="Book Antiqua"/>
              </w:rPr>
            </w:pPr>
            <w:r w:rsidRPr="00247480">
              <w:rPr>
                <w:b/>
                <w:bCs/>
                <w:spacing w:val="-1"/>
              </w:rPr>
              <w:t>Two smallest subspecialties</w:t>
            </w:r>
            <w:r w:rsidRPr="00247480">
              <w:t xml:space="preserve"> (oncology vs hematology)</w:t>
            </w:r>
          </w:p>
        </w:tc>
        <w:tc>
          <w:tcPr>
            <w:tcW w:w="529" w:type="pct"/>
            <w:tcBorders>
              <w:top w:val="nil"/>
              <w:left w:val="nil"/>
              <w:bottom w:val="nil"/>
              <w:right w:val="nil"/>
            </w:tcBorders>
          </w:tcPr>
          <w:p w14:paraId="5779C379" w14:textId="77777777" w:rsidR="00C01C04" w:rsidRPr="00247480" w:rsidRDefault="00C01C04" w:rsidP="009446BB">
            <w:pPr>
              <w:pStyle w:val="TableParagraph"/>
              <w:jc w:val="center"/>
              <w:rPr>
                <w:rFonts w:eastAsia="Book Antiqua" w:cs="Book Antiqua"/>
              </w:rPr>
            </w:pPr>
            <w:r w:rsidRPr="00247480">
              <w:t>414</w:t>
            </w:r>
          </w:p>
        </w:tc>
        <w:tc>
          <w:tcPr>
            <w:tcW w:w="529" w:type="pct"/>
            <w:tcBorders>
              <w:top w:val="nil"/>
              <w:left w:val="nil"/>
              <w:bottom w:val="nil"/>
              <w:right w:val="nil"/>
            </w:tcBorders>
          </w:tcPr>
          <w:p w14:paraId="754CEB85" w14:textId="77777777" w:rsidR="00C01C04" w:rsidRPr="00247480" w:rsidRDefault="00C01C04" w:rsidP="009446BB">
            <w:pPr>
              <w:pStyle w:val="TableParagraph"/>
              <w:jc w:val="center"/>
              <w:rPr>
                <w:rFonts w:eastAsia="Book Antiqua" w:cs="Book Antiqua"/>
              </w:rPr>
            </w:pPr>
            <w:r w:rsidRPr="00247480">
              <w:t>282</w:t>
            </w:r>
          </w:p>
        </w:tc>
        <w:tc>
          <w:tcPr>
            <w:tcW w:w="561" w:type="pct"/>
            <w:tcBorders>
              <w:top w:val="nil"/>
              <w:left w:val="nil"/>
              <w:bottom w:val="nil"/>
              <w:right w:val="nil"/>
            </w:tcBorders>
          </w:tcPr>
          <w:p w14:paraId="22F4431B" w14:textId="77777777" w:rsidR="00C01C04" w:rsidRPr="00247480" w:rsidRDefault="00C01C04" w:rsidP="009446BB">
            <w:pPr>
              <w:pStyle w:val="TableParagraph"/>
              <w:jc w:val="center"/>
              <w:rPr>
                <w:rFonts w:eastAsia="Book Antiqua" w:cs="Book Antiqua"/>
              </w:rPr>
            </w:pPr>
            <w:r w:rsidRPr="00247480">
              <w:t>0.25</w:t>
            </w:r>
          </w:p>
        </w:tc>
        <w:tc>
          <w:tcPr>
            <w:tcW w:w="561" w:type="pct"/>
            <w:tcBorders>
              <w:top w:val="nil"/>
              <w:left w:val="nil"/>
              <w:bottom w:val="nil"/>
              <w:right w:val="nil"/>
            </w:tcBorders>
          </w:tcPr>
          <w:p w14:paraId="0FBF2AF8" w14:textId="77777777" w:rsidR="00C01C04" w:rsidRPr="00247480" w:rsidRDefault="00C01C04" w:rsidP="009446BB">
            <w:pPr>
              <w:pStyle w:val="TableParagraph"/>
              <w:jc w:val="center"/>
              <w:rPr>
                <w:rFonts w:eastAsia="Book Antiqua" w:cs="Book Antiqua"/>
              </w:rPr>
            </w:pPr>
            <w:r w:rsidRPr="00247480">
              <w:t>0.74</w:t>
            </w:r>
          </w:p>
        </w:tc>
        <w:tc>
          <w:tcPr>
            <w:tcW w:w="558" w:type="pct"/>
            <w:tcBorders>
              <w:top w:val="nil"/>
              <w:left w:val="nil"/>
              <w:bottom w:val="nil"/>
              <w:right w:val="nil"/>
            </w:tcBorders>
          </w:tcPr>
          <w:p w14:paraId="33E01C80" w14:textId="77777777" w:rsidR="00C01C04" w:rsidRPr="00247480" w:rsidRDefault="00C01C04" w:rsidP="009446BB">
            <w:pPr>
              <w:pStyle w:val="TableParagraph"/>
              <w:jc w:val="center"/>
              <w:rPr>
                <w:rFonts w:eastAsia="Book Antiqua" w:cs="Book Antiqua"/>
              </w:rPr>
            </w:pPr>
            <w:r w:rsidRPr="00247480">
              <w:t>0.98</w:t>
            </w:r>
          </w:p>
        </w:tc>
      </w:tr>
      <w:tr w:rsidR="00C01C04" w:rsidRPr="00247480" w14:paraId="6CF579D4" w14:textId="77777777" w:rsidTr="009446BB">
        <w:tc>
          <w:tcPr>
            <w:tcW w:w="2262" w:type="pct"/>
            <w:tcBorders>
              <w:top w:val="nil"/>
              <w:left w:val="nil"/>
              <w:bottom w:val="nil"/>
              <w:right w:val="nil"/>
            </w:tcBorders>
          </w:tcPr>
          <w:p w14:paraId="46C32AFD" w14:textId="77777777" w:rsidR="00C01C04" w:rsidRPr="00247480" w:rsidRDefault="00C01C04" w:rsidP="00C01C04">
            <w:pPr>
              <w:pStyle w:val="TableParagraph"/>
              <w:numPr>
                <w:ilvl w:val="0"/>
                <w:numId w:val="7"/>
              </w:numPr>
              <w:rPr>
                <w:rFonts w:eastAsia="Book Antiqua" w:cs="Book Antiqua"/>
              </w:rPr>
            </w:pPr>
            <w:r w:rsidRPr="00247480">
              <w:rPr>
                <w:b/>
                <w:bCs/>
              </w:rPr>
              <w:t>Two largest metro areas</w:t>
            </w:r>
            <w:r w:rsidRPr="00247480">
              <w:t xml:space="preserve"> (very large vs large)</w:t>
            </w:r>
          </w:p>
        </w:tc>
        <w:tc>
          <w:tcPr>
            <w:tcW w:w="529" w:type="pct"/>
            <w:tcBorders>
              <w:top w:val="nil"/>
              <w:left w:val="nil"/>
              <w:bottom w:val="nil"/>
              <w:right w:val="nil"/>
            </w:tcBorders>
          </w:tcPr>
          <w:p w14:paraId="48551123" w14:textId="77777777" w:rsidR="00C01C04" w:rsidRPr="00247480" w:rsidRDefault="00C01C04" w:rsidP="009446BB">
            <w:pPr>
              <w:pStyle w:val="TableParagraph"/>
              <w:jc w:val="center"/>
              <w:rPr>
                <w:rFonts w:eastAsia="Book Antiqua" w:cs="Book Antiqua"/>
              </w:rPr>
            </w:pPr>
            <w:r w:rsidRPr="00247480">
              <w:t>586</w:t>
            </w:r>
          </w:p>
        </w:tc>
        <w:tc>
          <w:tcPr>
            <w:tcW w:w="529" w:type="pct"/>
            <w:tcBorders>
              <w:top w:val="nil"/>
              <w:left w:val="nil"/>
              <w:bottom w:val="nil"/>
              <w:right w:val="nil"/>
            </w:tcBorders>
          </w:tcPr>
          <w:p w14:paraId="027F54C5" w14:textId="77777777" w:rsidR="00C01C04" w:rsidRPr="00247480" w:rsidRDefault="00C01C04" w:rsidP="009446BB">
            <w:pPr>
              <w:pStyle w:val="TableParagraph"/>
              <w:jc w:val="center"/>
              <w:rPr>
                <w:rFonts w:eastAsia="Book Antiqua" w:cs="Book Antiqua"/>
              </w:rPr>
            </w:pPr>
            <w:r w:rsidRPr="00247480">
              <w:t>230</w:t>
            </w:r>
          </w:p>
        </w:tc>
        <w:tc>
          <w:tcPr>
            <w:tcW w:w="561" w:type="pct"/>
            <w:tcBorders>
              <w:top w:val="nil"/>
              <w:left w:val="nil"/>
              <w:bottom w:val="nil"/>
              <w:right w:val="nil"/>
            </w:tcBorders>
          </w:tcPr>
          <w:p w14:paraId="69E3B001" w14:textId="77777777" w:rsidR="00C01C04" w:rsidRPr="00247480" w:rsidRDefault="00C01C04" w:rsidP="009446BB">
            <w:pPr>
              <w:pStyle w:val="TableParagraph"/>
              <w:jc w:val="center"/>
              <w:rPr>
                <w:rFonts w:eastAsia="Book Antiqua" w:cs="Book Antiqua"/>
              </w:rPr>
            </w:pPr>
            <w:r w:rsidRPr="00247480">
              <w:t>0.25</w:t>
            </w:r>
          </w:p>
        </w:tc>
        <w:tc>
          <w:tcPr>
            <w:tcW w:w="561" w:type="pct"/>
            <w:tcBorders>
              <w:top w:val="nil"/>
              <w:left w:val="nil"/>
              <w:bottom w:val="nil"/>
              <w:right w:val="nil"/>
            </w:tcBorders>
          </w:tcPr>
          <w:p w14:paraId="5EE3F72C" w14:textId="77777777" w:rsidR="00C01C04" w:rsidRPr="00247480" w:rsidRDefault="00C01C04" w:rsidP="009446BB">
            <w:pPr>
              <w:pStyle w:val="TableParagraph"/>
              <w:jc w:val="center"/>
              <w:rPr>
                <w:rFonts w:eastAsia="Book Antiqua" w:cs="Book Antiqua"/>
              </w:rPr>
            </w:pPr>
            <w:r w:rsidRPr="00247480">
              <w:t>0.73</w:t>
            </w:r>
          </w:p>
        </w:tc>
        <w:tc>
          <w:tcPr>
            <w:tcW w:w="558" w:type="pct"/>
            <w:tcBorders>
              <w:top w:val="nil"/>
              <w:left w:val="nil"/>
              <w:bottom w:val="nil"/>
              <w:right w:val="nil"/>
            </w:tcBorders>
          </w:tcPr>
          <w:p w14:paraId="6A8E3789" w14:textId="77777777" w:rsidR="00C01C04" w:rsidRPr="00247480" w:rsidRDefault="00C01C04" w:rsidP="009446BB">
            <w:pPr>
              <w:pStyle w:val="TableParagraph"/>
              <w:jc w:val="center"/>
              <w:rPr>
                <w:rFonts w:eastAsia="Book Antiqua" w:cs="Book Antiqua"/>
              </w:rPr>
            </w:pPr>
            <w:r w:rsidRPr="00247480">
              <w:t>0.97</w:t>
            </w:r>
          </w:p>
        </w:tc>
      </w:tr>
      <w:tr w:rsidR="00C01C04" w:rsidRPr="00247480" w14:paraId="25865A37" w14:textId="77777777" w:rsidTr="009446BB">
        <w:tc>
          <w:tcPr>
            <w:tcW w:w="2262" w:type="pct"/>
            <w:tcBorders>
              <w:top w:val="nil"/>
              <w:left w:val="nil"/>
              <w:bottom w:val="nil"/>
              <w:right w:val="nil"/>
            </w:tcBorders>
          </w:tcPr>
          <w:p w14:paraId="204FABE9" w14:textId="77777777" w:rsidR="00C01C04" w:rsidRPr="00247480" w:rsidRDefault="00C01C04" w:rsidP="00C01C04">
            <w:pPr>
              <w:pStyle w:val="TableParagraph"/>
              <w:numPr>
                <w:ilvl w:val="0"/>
                <w:numId w:val="7"/>
              </w:numPr>
              <w:rPr>
                <w:rFonts w:eastAsia="Book Antiqua" w:cs="Book Antiqua"/>
              </w:rPr>
            </w:pPr>
            <w:r w:rsidRPr="00247480">
              <w:rPr>
                <w:b/>
                <w:bCs/>
              </w:rPr>
              <w:t>Two smallest metro areas</w:t>
            </w:r>
            <w:r w:rsidRPr="00247480">
              <w:t xml:space="preserve"> (medium vs small)</w:t>
            </w:r>
          </w:p>
        </w:tc>
        <w:tc>
          <w:tcPr>
            <w:tcW w:w="529" w:type="pct"/>
            <w:tcBorders>
              <w:top w:val="nil"/>
              <w:left w:val="nil"/>
              <w:bottom w:val="nil"/>
              <w:right w:val="nil"/>
            </w:tcBorders>
          </w:tcPr>
          <w:p w14:paraId="2B82C0B8" w14:textId="77777777" w:rsidR="00C01C04" w:rsidRPr="00247480" w:rsidRDefault="00C01C04" w:rsidP="009446BB">
            <w:pPr>
              <w:pStyle w:val="TableParagraph"/>
              <w:jc w:val="center"/>
              <w:rPr>
                <w:rFonts w:eastAsia="Book Antiqua" w:cs="Book Antiqua"/>
              </w:rPr>
            </w:pPr>
            <w:r w:rsidRPr="00247480">
              <w:t>194</w:t>
            </w:r>
          </w:p>
        </w:tc>
        <w:tc>
          <w:tcPr>
            <w:tcW w:w="529" w:type="pct"/>
            <w:tcBorders>
              <w:top w:val="nil"/>
              <w:left w:val="nil"/>
              <w:bottom w:val="nil"/>
              <w:right w:val="nil"/>
            </w:tcBorders>
          </w:tcPr>
          <w:p w14:paraId="522819BA" w14:textId="77777777" w:rsidR="00C01C04" w:rsidRPr="00247480" w:rsidRDefault="00C01C04" w:rsidP="009446BB">
            <w:pPr>
              <w:pStyle w:val="TableParagraph"/>
              <w:jc w:val="center"/>
              <w:rPr>
                <w:rFonts w:eastAsia="Book Antiqua" w:cs="Book Antiqua"/>
              </w:rPr>
            </w:pPr>
            <w:r w:rsidRPr="00247480">
              <w:t>192</w:t>
            </w:r>
          </w:p>
        </w:tc>
        <w:tc>
          <w:tcPr>
            <w:tcW w:w="561" w:type="pct"/>
            <w:tcBorders>
              <w:top w:val="nil"/>
              <w:left w:val="nil"/>
              <w:bottom w:val="nil"/>
              <w:right w:val="nil"/>
            </w:tcBorders>
          </w:tcPr>
          <w:p w14:paraId="676FC7F7" w14:textId="77777777" w:rsidR="00C01C04" w:rsidRPr="00247480" w:rsidRDefault="00C01C04" w:rsidP="009446BB">
            <w:pPr>
              <w:pStyle w:val="TableParagraph"/>
              <w:jc w:val="center"/>
              <w:rPr>
                <w:rFonts w:eastAsia="Book Antiqua" w:cs="Book Antiqua"/>
              </w:rPr>
            </w:pPr>
            <w:r w:rsidRPr="00247480">
              <w:t>0.17</w:t>
            </w:r>
          </w:p>
        </w:tc>
        <w:tc>
          <w:tcPr>
            <w:tcW w:w="561" w:type="pct"/>
            <w:tcBorders>
              <w:top w:val="nil"/>
              <w:left w:val="nil"/>
              <w:bottom w:val="nil"/>
              <w:right w:val="nil"/>
            </w:tcBorders>
          </w:tcPr>
          <w:p w14:paraId="46572EF0" w14:textId="77777777" w:rsidR="00C01C04" w:rsidRPr="00247480" w:rsidRDefault="00C01C04" w:rsidP="009446BB">
            <w:pPr>
              <w:pStyle w:val="TableParagraph"/>
              <w:jc w:val="center"/>
              <w:rPr>
                <w:rFonts w:eastAsia="Book Antiqua" w:cs="Book Antiqua"/>
              </w:rPr>
            </w:pPr>
            <w:r w:rsidRPr="00247480">
              <w:t>0.51</w:t>
            </w:r>
          </w:p>
        </w:tc>
        <w:tc>
          <w:tcPr>
            <w:tcW w:w="558" w:type="pct"/>
            <w:tcBorders>
              <w:top w:val="nil"/>
              <w:left w:val="nil"/>
              <w:bottom w:val="nil"/>
              <w:right w:val="nil"/>
            </w:tcBorders>
          </w:tcPr>
          <w:p w14:paraId="19B08FB9" w14:textId="77777777" w:rsidR="00C01C04" w:rsidRPr="00247480" w:rsidRDefault="00C01C04" w:rsidP="009446BB">
            <w:pPr>
              <w:pStyle w:val="TableParagraph"/>
              <w:jc w:val="center"/>
              <w:rPr>
                <w:rFonts w:eastAsia="Book Antiqua" w:cs="Book Antiqua"/>
              </w:rPr>
            </w:pPr>
            <w:r w:rsidRPr="00247480">
              <w:t>0.85</w:t>
            </w:r>
          </w:p>
        </w:tc>
      </w:tr>
      <w:tr w:rsidR="00C01C04" w:rsidRPr="00247480" w14:paraId="5C84B860" w14:textId="77777777" w:rsidTr="009446BB">
        <w:tc>
          <w:tcPr>
            <w:tcW w:w="2262" w:type="pct"/>
            <w:tcBorders>
              <w:top w:val="nil"/>
              <w:left w:val="nil"/>
              <w:bottom w:val="nil"/>
              <w:right w:val="nil"/>
            </w:tcBorders>
          </w:tcPr>
          <w:p w14:paraId="2E3FB7B0" w14:textId="77777777" w:rsidR="00C01C04" w:rsidRPr="00247480" w:rsidRDefault="00C01C04" w:rsidP="00C01C04">
            <w:pPr>
              <w:pStyle w:val="TableParagraph"/>
              <w:numPr>
                <w:ilvl w:val="0"/>
                <w:numId w:val="7"/>
              </w:numPr>
              <w:rPr>
                <w:rFonts w:eastAsia="Book Antiqua" w:cs="Book Antiqua"/>
              </w:rPr>
            </w:pPr>
            <w:r w:rsidRPr="00247480">
              <w:rPr>
                <w:b/>
                <w:bCs/>
              </w:rPr>
              <w:t>Largest subspecialty*metro area</w:t>
            </w:r>
            <w:r w:rsidRPr="00247480">
              <w:t xml:space="preserve"> </w:t>
            </w:r>
            <w:r w:rsidRPr="00247480">
              <w:lastRenderedPageBreak/>
              <w:t>(hematology / oncology in very large metro vs oncology in very large metro)</w:t>
            </w:r>
          </w:p>
        </w:tc>
        <w:tc>
          <w:tcPr>
            <w:tcW w:w="529" w:type="pct"/>
            <w:tcBorders>
              <w:top w:val="nil"/>
              <w:left w:val="nil"/>
              <w:bottom w:val="nil"/>
              <w:right w:val="nil"/>
            </w:tcBorders>
          </w:tcPr>
          <w:p w14:paraId="5D76AE42" w14:textId="77777777" w:rsidR="00C01C04" w:rsidRPr="00247480" w:rsidRDefault="00C01C04" w:rsidP="009446BB">
            <w:pPr>
              <w:pStyle w:val="TableParagraph"/>
              <w:jc w:val="center"/>
              <w:rPr>
                <w:rFonts w:eastAsia="Book Antiqua" w:cs="Book Antiqua"/>
              </w:rPr>
            </w:pPr>
            <w:r w:rsidRPr="00247480">
              <w:lastRenderedPageBreak/>
              <w:t>272</w:t>
            </w:r>
          </w:p>
        </w:tc>
        <w:tc>
          <w:tcPr>
            <w:tcW w:w="529" w:type="pct"/>
            <w:tcBorders>
              <w:top w:val="nil"/>
              <w:left w:val="nil"/>
              <w:bottom w:val="nil"/>
              <w:right w:val="nil"/>
            </w:tcBorders>
          </w:tcPr>
          <w:p w14:paraId="2D07F338" w14:textId="77777777" w:rsidR="00C01C04" w:rsidRPr="00247480" w:rsidRDefault="00C01C04" w:rsidP="009446BB">
            <w:pPr>
              <w:pStyle w:val="TableParagraph"/>
              <w:jc w:val="center"/>
              <w:rPr>
                <w:rFonts w:eastAsia="Book Antiqua" w:cs="Book Antiqua"/>
              </w:rPr>
            </w:pPr>
            <w:r w:rsidRPr="00247480">
              <w:t>205</w:t>
            </w:r>
          </w:p>
        </w:tc>
        <w:tc>
          <w:tcPr>
            <w:tcW w:w="561" w:type="pct"/>
            <w:tcBorders>
              <w:top w:val="nil"/>
              <w:left w:val="nil"/>
              <w:bottom w:val="nil"/>
              <w:right w:val="nil"/>
            </w:tcBorders>
          </w:tcPr>
          <w:p w14:paraId="250A6BA2" w14:textId="77777777" w:rsidR="00C01C04" w:rsidRPr="00247480" w:rsidRDefault="00C01C04" w:rsidP="009446BB">
            <w:pPr>
              <w:pStyle w:val="TableParagraph"/>
              <w:jc w:val="center"/>
              <w:rPr>
                <w:rFonts w:eastAsia="Book Antiqua" w:cs="Book Antiqua"/>
              </w:rPr>
            </w:pPr>
            <w:r w:rsidRPr="00247480">
              <w:t>0.19</w:t>
            </w:r>
          </w:p>
        </w:tc>
        <w:tc>
          <w:tcPr>
            <w:tcW w:w="561" w:type="pct"/>
            <w:tcBorders>
              <w:top w:val="nil"/>
              <w:left w:val="nil"/>
              <w:bottom w:val="nil"/>
              <w:right w:val="nil"/>
            </w:tcBorders>
          </w:tcPr>
          <w:p w14:paraId="1BCFF9D9" w14:textId="77777777" w:rsidR="00C01C04" w:rsidRPr="00247480" w:rsidRDefault="00C01C04" w:rsidP="009446BB">
            <w:pPr>
              <w:pStyle w:val="TableParagraph"/>
              <w:jc w:val="center"/>
              <w:rPr>
                <w:rFonts w:eastAsia="Book Antiqua" w:cs="Book Antiqua"/>
              </w:rPr>
            </w:pPr>
            <w:r w:rsidRPr="00247480">
              <w:t>0.58</w:t>
            </w:r>
          </w:p>
        </w:tc>
        <w:tc>
          <w:tcPr>
            <w:tcW w:w="558" w:type="pct"/>
            <w:tcBorders>
              <w:top w:val="nil"/>
              <w:left w:val="nil"/>
              <w:bottom w:val="nil"/>
              <w:right w:val="nil"/>
            </w:tcBorders>
          </w:tcPr>
          <w:p w14:paraId="14B0C510" w14:textId="77777777" w:rsidR="00C01C04" w:rsidRPr="00247480" w:rsidRDefault="00C01C04" w:rsidP="009446BB">
            <w:pPr>
              <w:pStyle w:val="TableParagraph"/>
              <w:jc w:val="center"/>
              <w:rPr>
                <w:rFonts w:eastAsia="Book Antiqua" w:cs="Book Antiqua"/>
              </w:rPr>
            </w:pPr>
            <w:r w:rsidRPr="00247480">
              <w:t>0.91</w:t>
            </w:r>
          </w:p>
        </w:tc>
      </w:tr>
      <w:tr w:rsidR="00C01C04" w:rsidRPr="00247480" w14:paraId="7FE1F904" w14:textId="77777777" w:rsidTr="009446BB">
        <w:tc>
          <w:tcPr>
            <w:tcW w:w="2262" w:type="pct"/>
            <w:tcBorders>
              <w:top w:val="nil"/>
              <w:left w:val="nil"/>
              <w:bottom w:val="single" w:sz="3" w:space="0" w:color="000000"/>
              <w:right w:val="nil"/>
            </w:tcBorders>
          </w:tcPr>
          <w:p w14:paraId="6AA2123D" w14:textId="77777777" w:rsidR="00C01C04" w:rsidRPr="00247480" w:rsidRDefault="00C01C04" w:rsidP="00C01C04">
            <w:pPr>
              <w:pStyle w:val="TableParagraph"/>
              <w:numPr>
                <w:ilvl w:val="0"/>
                <w:numId w:val="7"/>
              </w:numPr>
              <w:rPr>
                <w:rFonts w:eastAsia="Book Antiqua" w:cs="Book Antiqua"/>
              </w:rPr>
            </w:pPr>
            <w:r w:rsidRPr="00247480">
              <w:rPr>
                <w:b/>
                <w:bCs/>
              </w:rPr>
              <w:lastRenderedPageBreak/>
              <w:t>Smallest subspecialty*metro area</w:t>
            </w:r>
            <w:r w:rsidRPr="00247480">
              <w:t xml:space="preserve"> (hematologists in medium metro vs hematologists in small metro)</w:t>
            </w:r>
          </w:p>
        </w:tc>
        <w:tc>
          <w:tcPr>
            <w:tcW w:w="529" w:type="pct"/>
            <w:tcBorders>
              <w:top w:val="nil"/>
              <w:left w:val="nil"/>
              <w:bottom w:val="single" w:sz="3" w:space="0" w:color="000000"/>
              <w:right w:val="nil"/>
            </w:tcBorders>
          </w:tcPr>
          <w:p w14:paraId="66A2A66B" w14:textId="77777777" w:rsidR="00C01C04" w:rsidRPr="00247480" w:rsidRDefault="00C01C04" w:rsidP="009446BB">
            <w:pPr>
              <w:pStyle w:val="TableParagraph"/>
              <w:jc w:val="center"/>
              <w:rPr>
                <w:rFonts w:eastAsia="Book Antiqua" w:cs="Book Antiqua"/>
              </w:rPr>
            </w:pPr>
            <w:r w:rsidRPr="00247480">
              <w:t>56</w:t>
            </w:r>
          </w:p>
        </w:tc>
        <w:tc>
          <w:tcPr>
            <w:tcW w:w="529" w:type="pct"/>
            <w:tcBorders>
              <w:top w:val="nil"/>
              <w:left w:val="nil"/>
              <w:bottom w:val="single" w:sz="3" w:space="0" w:color="000000"/>
              <w:right w:val="nil"/>
            </w:tcBorders>
          </w:tcPr>
          <w:p w14:paraId="08D7452B" w14:textId="77777777" w:rsidR="00C01C04" w:rsidRPr="00247480" w:rsidRDefault="00C01C04" w:rsidP="009446BB">
            <w:pPr>
              <w:pStyle w:val="TableParagraph"/>
              <w:jc w:val="center"/>
              <w:rPr>
                <w:rFonts w:eastAsia="Book Antiqua" w:cs="Book Antiqua"/>
              </w:rPr>
            </w:pPr>
            <w:r w:rsidRPr="00247480">
              <w:t>56</w:t>
            </w:r>
          </w:p>
        </w:tc>
        <w:tc>
          <w:tcPr>
            <w:tcW w:w="561" w:type="pct"/>
            <w:tcBorders>
              <w:top w:val="nil"/>
              <w:left w:val="nil"/>
              <w:bottom w:val="single" w:sz="3" w:space="0" w:color="000000"/>
              <w:right w:val="nil"/>
            </w:tcBorders>
          </w:tcPr>
          <w:p w14:paraId="4585447C" w14:textId="77777777" w:rsidR="00C01C04" w:rsidRPr="00247480" w:rsidRDefault="00C01C04" w:rsidP="009446BB">
            <w:pPr>
              <w:pStyle w:val="TableParagraph"/>
              <w:jc w:val="center"/>
              <w:rPr>
                <w:rFonts w:eastAsia="Book Antiqua" w:cs="Book Antiqua"/>
              </w:rPr>
            </w:pPr>
            <w:r w:rsidRPr="00247480">
              <w:t>0.08</w:t>
            </w:r>
          </w:p>
        </w:tc>
        <w:tc>
          <w:tcPr>
            <w:tcW w:w="561" w:type="pct"/>
            <w:tcBorders>
              <w:top w:val="nil"/>
              <w:left w:val="nil"/>
              <w:bottom w:val="single" w:sz="3" w:space="0" w:color="000000"/>
              <w:right w:val="nil"/>
            </w:tcBorders>
          </w:tcPr>
          <w:p w14:paraId="24A115ED" w14:textId="77777777" w:rsidR="00C01C04" w:rsidRPr="00247480" w:rsidRDefault="00C01C04" w:rsidP="009446BB">
            <w:pPr>
              <w:pStyle w:val="TableParagraph"/>
              <w:jc w:val="center"/>
              <w:rPr>
                <w:rFonts w:eastAsia="Book Antiqua" w:cs="Book Antiqua"/>
              </w:rPr>
            </w:pPr>
            <w:r w:rsidRPr="00247480">
              <w:t>0.18</w:t>
            </w:r>
          </w:p>
        </w:tc>
        <w:tc>
          <w:tcPr>
            <w:tcW w:w="558" w:type="pct"/>
            <w:tcBorders>
              <w:top w:val="nil"/>
              <w:left w:val="nil"/>
              <w:bottom w:val="single" w:sz="3" w:space="0" w:color="000000"/>
              <w:right w:val="nil"/>
            </w:tcBorders>
          </w:tcPr>
          <w:p w14:paraId="52D2E682" w14:textId="77777777" w:rsidR="00C01C04" w:rsidRPr="00247480" w:rsidRDefault="00C01C04" w:rsidP="009446BB">
            <w:pPr>
              <w:pStyle w:val="TableParagraph"/>
              <w:jc w:val="center"/>
              <w:rPr>
                <w:rFonts w:eastAsia="Book Antiqua" w:cs="Book Antiqua"/>
              </w:rPr>
            </w:pPr>
            <w:r w:rsidRPr="00247480">
              <w:t>0.36</w:t>
            </w:r>
          </w:p>
        </w:tc>
      </w:tr>
    </w:tbl>
    <w:p w14:paraId="1B1B0EF5" w14:textId="77777777" w:rsidR="00C01C04" w:rsidRDefault="00C01C04" w:rsidP="00C01C04"/>
    <w:p w14:paraId="78199442" w14:textId="77777777" w:rsidR="00C01C04" w:rsidRDefault="00C01C04" w:rsidP="00C01C04"/>
    <w:p w14:paraId="08599E38" w14:textId="77777777" w:rsidR="00C01C04" w:rsidRPr="00247480" w:rsidRDefault="00C01C04" w:rsidP="00247480">
      <w:pPr>
        <w:pStyle w:val="bodytextpsg"/>
        <w:spacing w:line="240" w:lineRule="auto"/>
        <w:ind w:firstLine="0"/>
        <w:rPr>
          <w:rFonts w:asciiTheme="minorHAnsi" w:hAnsiTheme="minorHAnsi"/>
        </w:rPr>
      </w:pPr>
      <w:r w:rsidRPr="00247480">
        <w:rPr>
          <w:rFonts w:asciiTheme="minorHAnsi" w:hAnsiTheme="minorHAnsi"/>
        </w:rPr>
        <w:t xml:space="preserve">Our sampling frame does not indicate what proportion of the sample will be from an academic setting versus a non-academic setting. Therefore to determine the power of the test for a difference in the two-group comparison, we estimated the percentage of the analytic sample of 1,200 that will fall into the academic practice setting. This proportion was set to either 10, 30, or 50 percent. </w:t>
      </w:r>
    </w:p>
    <w:p w14:paraId="71176FBB" w14:textId="77777777" w:rsidR="00247480" w:rsidRDefault="00247480" w:rsidP="00247480">
      <w:pPr>
        <w:pStyle w:val="bodytextpsg"/>
        <w:spacing w:line="240" w:lineRule="auto"/>
        <w:ind w:firstLine="0"/>
        <w:rPr>
          <w:rFonts w:asciiTheme="minorHAnsi" w:hAnsiTheme="minorHAnsi"/>
          <w:bCs/>
        </w:rPr>
      </w:pPr>
    </w:p>
    <w:p w14:paraId="2B264B47" w14:textId="3451553B" w:rsidR="00C01C04" w:rsidRDefault="00C01C04" w:rsidP="00662F03">
      <w:pPr>
        <w:pStyle w:val="bodytextpsg"/>
        <w:spacing w:line="240" w:lineRule="auto"/>
        <w:ind w:firstLine="0"/>
        <w:rPr>
          <w:rFonts w:asciiTheme="minorHAnsi" w:hAnsiTheme="minorHAnsi"/>
        </w:rPr>
      </w:pPr>
      <w:r w:rsidRPr="00247480">
        <w:rPr>
          <w:rFonts w:asciiTheme="minorHAnsi" w:hAnsiTheme="minorHAnsi"/>
          <w:bCs/>
        </w:rPr>
        <w:t xml:space="preserve">Figure </w:t>
      </w:r>
      <w:r w:rsidR="00662F03">
        <w:rPr>
          <w:rFonts w:asciiTheme="minorHAnsi" w:hAnsiTheme="minorHAnsi"/>
          <w:bCs/>
        </w:rPr>
        <w:t>2</w:t>
      </w:r>
      <w:r w:rsidRPr="00247480">
        <w:rPr>
          <w:rFonts w:asciiTheme="minorHAnsi" w:hAnsiTheme="minorHAnsi"/>
        </w:rPr>
        <w:t xml:space="preserve"> shows the power by the difference in proportions with the three lines representing 10, 30, and 50 percent for the analytic samples of 1,200. The horizontal axis, difference in proportions, ranges from a 0.01 to a 0.25 difference in proportions. The vertical axis is the power. To achieve 0.9 power where the percentage of academic physicians is 10 percent, the minimum detectable difference is a difference in proportions of about 0.15. To achieve 0.9 power where the percentage of academic physicians is 30 percent, the minimum detectable difference is a difference in proportions is about 0.10. To achieve 0.9 power where the percentage of academic physicians is 50 percent, the minimum detectable difference is a difference in proportions is about 0.09.</w:t>
      </w:r>
    </w:p>
    <w:p w14:paraId="6CD473C7" w14:textId="77777777" w:rsidR="00662F03" w:rsidRDefault="00662F03" w:rsidP="00662F03">
      <w:pPr>
        <w:pStyle w:val="bodytextpsg"/>
        <w:spacing w:line="240" w:lineRule="auto"/>
        <w:ind w:firstLine="0"/>
        <w:rPr>
          <w:rFonts w:asciiTheme="minorHAnsi" w:hAnsiTheme="minorHAnsi"/>
        </w:rPr>
      </w:pPr>
    </w:p>
    <w:p w14:paraId="2F3F8037" w14:textId="53F0CB5B" w:rsidR="00662F03" w:rsidRPr="00662F03" w:rsidRDefault="00662F03" w:rsidP="00662F03">
      <w:pPr>
        <w:pStyle w:val="bodytextpsg"/>
        <w:spacing w:line="240" w:lineRule="auto"/>
        <w:ind w:firstLine="0"/>
        <w:jc w:val="center"/>
        <w:rPr>
          <w:rFonts w:asciiTheme="minorHAnsi" w:hAnsiTheme="minorHAnsi"/>
          <w:b/>
          <w:bCs/>
        </w:rPr>
      </w:pPr>
      <w:r w:rsidRPr="00662F03">
        <w:rPr>
          <w:rFonts w:asciiTheme="minorHAnsi" w:hAnsiTheme="minorHAnsi"/>
          <w:b/>
          <w:bCs/>
        </w:rPr>
        <w:t>Figure 2: Power Differences in Proportions</w:t>
      </w:r>
    </w:p>
    <w:p w14:paraId="0788FCAF" w14:textId="40ED453E" w:rsidR="00662F03" w:rsidRPr="00247480" w:rsidRDefault="00662F03" w:rsidP="00662F03">
      <w:pPr>
        <w:pStyle w:val="bodytextpsg"/>
        <w:spacing w:line="240" w:lineRule="auto"/>
        <w:ind w:firstLine="0"/>
        <w:rPr>
          <w:rFonts w:asciiTheme="minorHAnsi" w:hAnsiTheme="minorHAnsi"/>
        </w:rPr>
      </w:pPr>
      <w:r>
        <w:rPr>
          <w:noProof/>
        </w:rPr>
        <w:drawing>
          <wp:inline distT="0" distB="0" distL="0" distR="0" wp14:anchorId="69863C7A" wp14:editId="4E2E36AD">
            <wp:extent cx="5486400" cy="3060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3060065"/>
                    </a:xfrm>
                    <a:prstGeom prst="rect">
                      <a:avLst/>
                    </a:prstGeom>
                  </pic:spPr>
                </pic:pic>
              </a:graphicData>
            </a:graphic>
          </wp:inline>
        </w:drawing>
      </w:r>
    </w:p>
    <w:p w14:paraId="77229D75" w14:textId="5DF47C36" w:rsidR="00C01C04" w:rsidRDefault="00C01C04" w:rsidP="00C01C04"/>
    <w:p w14:paraId="39D02FB4" w14:textId="77777777" w:rsidR="00C01C04" w:rsidRPr="00247480" w:rsidRDefault="00C01C04" w:rsidP="00247480">
      <w:pPr>
        <w:pStyle w:val="bodytextpsg"/>
        <w:spacing w:line="240" w:lineRule="auto"/>
        <w:ind w:firstLine="0"/>
        <w:rPr>
          <w:rFonts w:asciiTheme="minorHAnsi" w:hAnsiTheme="minorHAnsi"/>
          <w:szCs w:val="22"/>
          <w:u w:val="single"/>
        </w:rPr>
      </w:pPr>
      <w:r w:rsidRPr="00247480">
        <w:rPr>
          <w:rFonts w:asciiTheme="minorHAnsi" w:hAnsiTheme="minorHAnsi"/>
          <w:szCs w:val="22"/>
          <w:u w:val="single"/>
        </w:rPr>
        <w:t>Inflating the Analytic Sample</w:t>
      </w:r>
    </w:p>
    <w:p w14:paraId="02C2E629" w14:textId="77777777" w:rsidR="00C01C04" w:rsidRPr="00247480" w:rsidRDefault="00C01C04" w:rsidP="00247480">
      <w:pPr>
        <w:pStyle w:val="bodytextpsg"/>
        <w:spacing w:line="240" w:lineRule="auto"/>
        <w:ind w:firstLine="0"/>
        <w:rPr>
          <w:rFonts w:asciiTheme="minorHAnsi" w:hAnsiTheme="minorHAnsi"/>
          <w:szCs w:val="22"/>
        </w:rPr>
      </w:pPr>
      <w:r w:rsidRPr="00247480">
        <w:rPr>
          <w:rFonts w:asciiTheme="minorHAnsi" w:hAnsiTheme="minorHAnsi"/>
          <w:szCs w:val="22"/>
        </w:rPr>
        <w:t xml:space="preserve">The analytic sample size must be inflated to account for telephone screening of medical oncologists, non-contact with medical oncologists, and non-cooperating medical oncologists. It is anticipated that about 15% of the sample will be deemed ineligible during a telephone verification because they are deceased, retired, do not see patients, or the contact information </w:t>
      </w:r>
      <w:r w:rsidRPr="00247480">
        <w:rPr>
          <w:rFonts w:asciiTheme="minorHAnsi" w:hAnsiTheme="minorHAnsi"/>
          <w:szCs w:val="22"/>
        </w:rPr>
        <w:lastRenderedPageBreak/>
        <w:t xml:space="preserve">is not valid. Of the medical oncologists that are eligible and have valid contact information, we will send them an invitation to participate in the survey. For survey invitations that are deliverable, these medical oncologists will then either responded (cooperate) or will not respond. The final set of respondents comprises the analytic data set. </w:t>
      </w:r>
    </w:p>
    <w:p w14:paraId="0A04573D" w14:textId="77777777" w:rsidR="00247480" w:rsidRDefault="00247480" w:rsidP="00247480">
      <w:pPr>
        <w:pStyle w:val="bodytextpsg"/>
        <w:spacing w:line="240" w:lineRule="auto"/>
        <w:ind w:firstLine="0"/>
        <w:rPr>
          <w:rFonts w:asciiTheme="minorHAnsi" w:hAnsiTheme="minorHAnsi"/>
          <w:bCs/>
          <w:szCs w:val="22"/>
        </w:rPr>
      </w:pPr>
    </w:p>
    <w:p w14:paraId="6393764F" w14:textId="56327725" w:rsidR="00C01C04" w:rsidRPr="00247480" w:rsidRDefault="00C01C04" w:rsidP="00471D9E">
      <w:pPr>
        <w:pStyle w:val="bodytextpsg"/>
        <w:spacing w:line="240" w:lineRule="auto"/>
        <w:ind w:firstLine="0"/>
        <w:rPr>
          <w:rFonts w:asciiTheme="minorHAnsi" w:hAnsiTheme="minorHAnsi"/>
          <w:szCs w:val="22"/>
        </w:rPr>
      </w:pPr>
      <w:r w:rsidRPr="00247480">
        <w:rPr>
          <w:rFonts w:asciiTheme="minorHAnsi" w:hAnsiTheme="minorHAnsi"/>
          <w:bCs/>
          <w:szCs w:val="22"/>
        </w:rPr>
        <w:t xml:space="preserve">Table </w:t>
      </w:r>
      <w:r w:rsidR="00247480">
        <w:rPr>
          <w:rFonts w:asciiTheme="minorHAnsi" w:hAnsiTheme="minorHAnsi"/>
          <w:bCs/>
          <w:szCs w:val="22"/>
        </w:rPr>
        <w:t>B.1-4</w:t>
      </w:r>
      <w:r w:rsidRPr="00247480">
        <w:rPr>
          <w:rFonts w:asciiTheme="minorHAnsi" w:hAnsiTheme="minorHAnsi"/>
          <w:szCs w:val="22"/>
        </w:rPr>
        <w:t xml:space="preserve"> contains the final disposition, assumed rate, and inflated sample size for the sample size. The selected sample size is the actual number of medical oncologists that need to be sampled to achieve the analytic sample size of 1,200. The cooperation and analytic samples sizes are the same set of responding medical oncologists. Based on the assumed rates</w:t>
      </w:r>
      <w:r w:rsidR="00412308">
        <w:rPr>
          <w:rFonts w:asciiTheme="minorHAnsi" w:hAnsiTheme="minorHAnsi"/>
          <w:szCs w:val="22"/>
        </w:rPr>
        <w:t xml:space="preserve"> of a minimum of 50%</w:t>
      </w:r>
      <w:r w:rsidRPr="00247480">
        <w:rPr>
          <w:rFonts w:asciiTheme="minorHAnsi" w:hAnsiTheme="minorHAnsi"/>
          <w:szCs w:val="22"/>
        </w:rPr>
        <w:t>, we need to select 2,882 medical oncologists to get 1,200 responding medical oncologists.</w:t>
      </w:r>
      <w:r w:rsidR="00412308">
        <w:rPr>
          <w:rFonts w:asciiTheme="minorHAnsi" w:hAnsiTheme="minorHAnsi"/>
          <w:szCs w:val="22"/>
        </w:rPr>
        <w:t xml:space="preserve"> If a higher response rate is achieved, we will have a larger analytic sample, which will increase the power to detect smaller differences in proportions.</w:t>
      </w:r>
    </w:p>
    <w:p w14:paraId="2B2E998C" w14:textId="77777777" w:rsidR="00247480" w:rsidRDefault="00247480" w:rsidP="00247480">
      <w:pPr>
        <w:pStyle w:val="bodytextpsg"/>
        <w:spacing w:line="240" w:lineRule="auto"/>
        <w:ind w:firstLine="0"/>
        <w:rPr>
          <w:rFonts w:asciiTheme="minorHAnsi" w:hAnsiTheme="minorHAnsi" w:cstheme="majorBidi"/>
          <w:b/>
          <w:bCs/>
          <w:spacing w:val="-4"/>
          <w:szCs w:val="22"/>
        </w:rPr>
      </w:pPr>
    </w:p>
    <w:p w14:paraId="35C546C8" w14:textId="77777777" w:rsidR="00C01C04" w:rsidRPr="00247480" w:rsidRDefault="00C01C04" w:rsidP="00247480">
      <w:pPr>
        <w:pStyle w:val="bodytextpsg"/>
        <w:spacing w:line="240" w:lineRule="auto"/>
        <w:ind w:firstLine="0"/>
        <w:rPr>
          <w:rFonts w:asciiTheme="minorHAnsi" w:hAnsiTheme="minorHAnsi" w:cstheme="majorBidi"/>
          <w:b/>
          <w:bCs/>
          <w:szCs w:val="22"/>
        </w:rPr>
      </w:pPr>
      <w:r w:rsidRPr="00247480">
        <w:rPr>
          <w:rFonts w:asciiTheme="minorHAnsi" w:hAnsiTheme="minorHAnsi" w:cstheme="majorBidi"/>
          <w:b/>
          <w:bCs/>
          <w:spacing w:val="-4"/>
          <w:szCs w:val="22"/>
        </w:rPr>
        <w:t>T</w:t>
      </w:r>
      <w:r w:rsidRPr="00247480">
        <w:rPr>
          <w:rFonts w:asciiTheme="minorHAnsi" w:hAnsiTheme="minorHAnsi" w:cstheme="majorBidi"/>
          <w:b/>
          <w:bCs/>
          <w:spacing w:val="-5"/>
          <w:szCs w:val="22"/>
        </w:rPr>
        <w:t>able</w:t>
      </w:r>
      <w:r w:rsidRPr="00247480">
        <w:rPr>
          <w:rFonts w:asciiTheme="minorHAnsi" w:hAnsiTheme="minorHAnsi" w:cstheme="majorBidi"/>
          <w:b/>
          <w:bCs/>
          <w:spacing w:val="3"/>
          <w:szCs w:val="22"/>
        </w:rPr>
        <w:t xml:space="preserve"> </w:t>
      </w:r>
      <w:r w:rsidR="00247480">
        <w:rPr>
          <w:rFonts w:asciiTheme="minorHAnsi" w:hAnsiTheme="minorHAnsi" w:cstheme="majorBidi"/>
          <w:b/>
          <w:bCs/>
          <w:szCs w:val="22"/>
        </w:rPr>
        <w:t>B.1-4</w:t>
      </w:r>
      <w:r w:rsidRPr="00247480">
        <w:rPr>
          <w:rFonts w:asciiTheme="minorHAnsi" w:hAnsiTheme="minorHAnsi" w:cstheme="majorBidi"/>
          <w:b/>
          <w:bCs/>
          <w:szCs w:val="22"/>
        </w:rPr>
        <w:t>.</w:t>
      </w:r>
      <w:r w:rsidRPr="00247480">
        <w:rPr>
          <w:rFonts w:asciiTheme="minorHAnsi" w:hAnsiTheme="minorHAnsi" w:cstheme="majorBidi"/>
          <w:b/>
          <w:bCs/>
          <w:spacing w:val="21"/>
          <w:szCs w:val="22"/>
        </w:rPr>
        <w:t xml:space="preserve"> </w:t>
      </w:r>
      <w:r w:rsidRPr="00247480">
        <w:rPr>
          <w:rFonts w:asciiTheme="minorHAnsi" w:hAnsiTheme="minorHAnsi" w:cstheme="majorBidi"/>
          <w:b/>
          <w:bCs/>
          <w:szCs w:val="22"/>
        </w:rPr>
        <w:t>Sample</w:t>
      </w:r>
      <w:r w:rsidRPr="00247480">
        <w:rPr>
          <w:rFonts w:asciiTheme="minorHAnsi" w:hAnsiTheme="minorHAnsi" w:cstheme="majorBidi"/>
          <w:b/>
          <w:bCs/>
          <w:spacing w:val="3"/>
          <w:szCs w:val="22"/>
        </w:rPr>
        <w:t xml:space="preserve"> </w:t>
      </w:r>
      <w:r w:rsidRPr="00247480">
        <w:rPr>
          <w:rFonts w:asciiTheme="minorHAnsi" w:hAnsiTheme="minorHAnsi" w:cstheme="majorBidi"/>
          <w:b/>
          <w:bCs/>
          <w:spacing w:val="-1"/>
          <w:szCs w:val="22"/>
        </w:rPr>
        <w:t>S</w:t>
      </w:r>
      <w:r w:rsidRPr="00247480">
        <w:rPr>
          <w:rFonts w:asciiTheme="minorHAnsi" w:hAnsiTheme="minorHAnsi" w:cstheme="majorBidi"/>
          <w:b/>
          <w:bCs/>
          <w:spacing w:val="-2"/>
          <w:szCs w:val="22"/>
        </w:rPr>
        <w:t>ize</w:t>
      </w:r>
      <w:r w:rsidRPr="00247480">
        <w:rPr>
          <w:rFonts w:asciiTheme="minorHAnsi" w:hAnsiTheme="minorHAnsi" w:cstheme="majorBidi"/>
          <w:b/>
          <w:bCs/>
          <w:spacing w:val="4"/>
          <w:szCs w:val="22"/>
        </w:rPr>
        <w:t xml:space="preserve"> </w:t>
      </w:r>
      <w:r w:rsidRPr="00247480">
        <w:rPr>
          <w:rFonts w:asciiTheme="minorHAnsi" w:hAnsiTheme="minorHAnsi" w:cstheme="majorBidi"/>
          <w:b/>
          <w:bCs/>
          <w:spacing w:val="-3"/>
          <w:szCs w:val="22"/>
        </w:rPr>
        <w:t>b</w:t>
      </w:r>
      <w:r w:rsidRPr="00247480">
        <w:rPr>
          <w:rFonts w:asciiTheme="minorHAnsi" w:hAnsiTheme="minorHAnsi" w:cstheme="majorBidi"/>
          <w:b/>
          <w:bCs/>
          <w:spacing w:val="-4"/>
          <w:szCs w:val="22"/>
        </w:rPr>
        <w:t>y</w:t>
      </w:r>
      <w:r w:rsidRPr="00247480">
        <w:rPr>
          <w:rFonts w:asciiTheme="minorHAnsi" w:hAnsiTheme="minorHAnsi" w:cstheme="majorBidi"/>
          <w:b/>
          <w:bCs/>
          <w:spacing w:val="3"/>
          <w:szCs w:val="22"/>
        </w:rPr>
        <w:t xml:space="preserve"> </w:t>
      </w:r>
      <w:r w:rsidRPr="00247480">
        <w:rPr>
          <w:rFonts w:asciiTheme="minorHAnsi" w:hAnsiTheme="minorHAnsi" w:cstheme="majorBidi"/>
          <w:b/>
          <w:bCs/>
          <w:szCs w:val="22"/>
        </w:rPr>
        <w:t>Final</w:t>
      </w:r>
      <w:r w:rsidRPr="00247480">
        <w:rPr>
          <w:rFonts w:asciiTheme="minorHAnsi" w:hAnsiTheme="minorHAnsi" w:cstheme="majorBidi"/>
          <w:b/>
          <w:bCs/>
          <w:spacing w:val="4"/>
          <w:szCs w:val="22"/>
        </w:rPr>
        <w:t xml:space="preserve"> </w:t>
      </w:r>
      <w:r w:rsidRPr="00247480">
        <w:rPr>
          <w:rFonts w:asciiTheme="minorHAnsi" w:hAnsiTheme="minorHAnsi" w:cstheme="majorBidi"/>
          <w:b/>
          <w:bCs/>
          <w:szCs w:val="22"/>
        </w:rPr>
        <w:t>Disposition</w:t>
      </w:r>
    </w:p>
    <w:tbl>
      <w:tblPr>
        <w:tblW w:w="0" w:type="auto"/>
        <w:tblLayout w:type="fixed"/>
        <w:tblCellMar>
          <w:left w:w="0" w:type="dxa"/>
          <w:right w:w="0" w:type="dxa"/>
        </w:tblCellMar>
        <w:tblLook w:val="01E0" w:firstRow="1" w:lastRow="1" w:firstColumn="1" w:lastColumn="1" w:noHBand="0" w:noVBand="0"/>
      </w:tblPr>
      <w:tblGrid>
        <w:gridCol w:w="2520"/>
        <w:gridCol w:w="990"/>
        <w:gridCol w:w="1710"/>
      </w:tblGrid>
      <w:tr w:rsidR="00C01C04" w:rsidRPr="00247480" w14:paraId="3B2174D4" w14:textId="77777777" w:rsidTr="009446BB">
        <w:trPr>
          <w:trHeight w:hRule="exact" w:val="288"/>
        </w:trPr>
        <w:tc>
          <w:tcPr>
            <w:tcW w:w="2520" w:type="dxa"/>
            <w:tcBorders>
              <w:top w:val="single" w:sz="3" w:space="0" w:color="000000"/>
              <w:left w:val="nil"/>
              <w:bottom w:val="single" w:sz="3" w:space="0" w:color="000000"/>
              <w:right w:val="nil"/>
            </w:tcBorders>
          </w:tcPr>
          <w:p w14:paraId="6C3945F6" w14:textId="77777777" w:rsidR="00C01C04" w:rsidRPr="00247480" w:rsidRDefault="00C01C04" w:rsidP="00247480">
            <w:pPr>
              <w:pStyle w:val="TableParagraph"/>
              <w:ind w:left="455"/>
              <w:jc w:val="center"/>
              <w:rPr>
                <w:rFonts w:eastAsia="Book Antiqua" w:cs="Times New Roman"/>
              </w:rPr>
            </w:pPr>
            <w:r w:rsidRPr="00247480">
              <w:rPr>
                <w:rFonts w:eastAsia="Book Antiqua" w:cs="Times New Roman"/>
              </w:rPr>
              <w:t>Final Disposition</w:t>
            </w:r>
          </w:p>
        </w:tc>
        <w:tc>
          <w:tcPr>
            <w:tcW w:w="990" w:type="dxa"/>
            <w:tcBorders>
              <w:top w:val="single" w:sz="3" w:space="0" w:color="000000"/>
              <w:left w:val="nil"/>
              <w:bottom w:val="single" w:sz="3" w:space="0" w:color="000000"/>
              <w:right w:val="nil"/>
            </w:tcBorders>
          </w:tcPr>
          <w:p w14:paraId="6C3DF05E" w14:textId="77777777" w:rsidR="00C01C04" w:rsidRPr="00247480" w:rsidRDefault="00C01C04" w:rsidP="00247480">
            <w:pPr>
              <w:pStyle w:val="TableParagraph"/>
              <w:ind w:left="119"/>
              <w:jc w:val="center"/>
              <w:rPr>
                <w:rFonts w:eastAsia="Book Antiqua" w:cstheme="majorBidi"/>
              </w:rPr>
            </w:pPr>
            <w:r w:rsidRPr="00247480">
              <w:rPr>
                <w:rFonts w:cstheme="majorBidi"/>
                <w:w w:val="105"/>
              </w:rPr>
              <w:t>Rate</w:t>
            </w:r>
          </w:p>
        </w:tc>
        <w:tc>
          <w:tcPr>
            <w:tcW w:w="1710" w:type="dxa"/>
            <w:tcBorders>
              <w:top w:val="single" w:sz="3" w:space="0" w:color="000000"/>
              <w:left w:val="nil"/>
              <w:bottom w:val="single" w:sz="3" w:space="0" w:color="000000"/>
              <w:right w:val="nil"/>
            </w:tcBorders>
          </w:tcPr>
          <w:p w14:paraId="1F3B25AF" w14:textId="77777777" w:rsidR="00C01C04" w:rsidRPr="00247480" w:rsidRDefault="00C01C04" w:rsidP="00247480">
            <w:pPr>
              <w:pStyle w:val="TableParagraph"/>
              <w:ind w:left="119"/>
              <w:jc w:val="center"/>
              <w:rPr>
                <w:rFonts w:eastAsia="Book Antiqua" w:cstheme="majorBidi"/>
              </w:rPr>
            </w:pPr>
            <w:r w:rsidRPr="00247480">
              <w:rPr>
                <w:rFonts w:cstheme="majorBidi"/>
                <w:w w:val="95"/>
              </w:rPr>
              <w:t>Sample</w:t>
            </w:r>
            <w:r w:rsidRPr="00247480">
              <w:rPr>
                <w:rFonts w:cstheme="majorBidi"/>
                <w:spacing w:val="25"/>
                <w:w w:val="95"/>
              </w:rPr>
              <w:t xml:space="preserve"> </w:t>
            </w:r>
            <w:r w:rsidRPr="00247480">
              <w:rPr>
                <w:rFonts w:cstheme="majorBidi"/>
                <w:w w:val="95"/>
              </w:rPr>
              <w:t>Size</w:t>
            </w:r>
          </w:p>
        </w:tc>
      </w:tr>
      <w:tr w:rsidR="00C01C04" w:rsidRPr="00247480" w14:paraId="3289127D" w14:textId="77777777" w:rsidTr="009446BB">
        <w:trPr>
          <w:trHeight w:hRule="exact" w:val="288"/>
        </w:trPr>
        <w:tc>
          <w:tcPr>
            <w:tcW w:w="2520" w:type="dxa"/>
            <w:tcBorders>
              <w:top w:val="single" w:sz="3" w:space="0" w:color="000000"/>
              <w:left w:val="nil"/>
              <w:bottom w:val="nil"/>
              <w:right w:val="nil"/>
            </w:tcBorders>
          </w:tcPr>
          <w:p w14:paraId="0D8BC315" w14:textId="77777777" w:rsidR="00C01C04" w:rsidRPr="00247480" w:rsidRDefault="00C01C04" w:rsidP="00247480">
            <w:pPr>
              <w:pStyle w:val="TableParagraph"/>
              <w:ind w:left="424"/>
              <w:jc w:val="center"/>
              <w:rPr>
                <w:rFonts w:eastAsia="Book Antiqua" w:cs="Times New Roman"/>
              </w:rPr>
            </w:pPr>
            <w:r w:rsidRPr="00247480">
              <w:rPr>
                <w:rFonts w:eastAsia="Book Antiqua" w:cs="Times New Roman"/>
              </w:rPr>
              <w:t>Sample Selection</w:t>
            </w:r>
          </w:p>
        </w:tc>
        <w:tc>
          <w:tcPr>
            <w:tcW w:w="990" w:type="dxa"/>
            <w:tcBorders>
              <w:top w:val="single" w:sz="3" w:space="0" w:color="000000"/>
              <w:left w:val="nil"/>
              <w:bottom w:val="nil"/>
              <w:right w:val="nil"/>
            </w:tcBorders>
          </w:tcPr>
          <w:p w14:paraId="45C7BCD8" w14:textId="77777777" w:rsidR="00C01C04" w:rsidRPr="00247480" w:rsidRDefault="00C01C04" w:rsidP="00247480">
            <w:pPr>
              <w:pStyle w:val="TableParagraph"/>
              <w:ind w:left="232"/>
              <w:jc w:val="center"/>
              <w:rPr>
                <w:rFonts w:eastAsia="Book Antiqua" w:cstheme="majorBidi"/>
              </w:rPr>
            </w:pPr>
            <w:r w:rsidRPr="00247480">
              <w:rPr>
                <w:rFonts w:cstheme="majorBidi"/>
              </w:rPr>
              <w:t>NA</w:t>
            </w:r>
          </w:p>
        </w:tc>
        <w:tc>
          <w:tcPr>
            <w:tcW w:w="1710" w:type="dxa"/>
            <w:tcBorders>
              <w:top w:val="single" w:sz="3" w:space="0" w:color="000000"/>
              <w:left w:val="nil"/>
              <w:bottom w:val="nil"/>
              <w:right w:val="nil"/>
            </w:tcBorders>
          </w:tcPr>
          <w:p w14:paraId="1AA4777F" w14:textId="0CBF1102" w:rsidR="00C01C04" w:rsidRPr="00247480" w:rsidRDefault="00C01C04" w:rsidP="00471D9E">
            <w:pPr>
              <w:pStyle w:val="TableParagraph"/>
              <w:ind w:left="706"/>
              <w:jc w:val="center"/>
              <w:rPr>
                <w:rFonts w:eastAsia="Book Antiqua" w:cstheme="majorBidi"/>
              </w:rPr>
            </w:pPr>
            <w:r w:rsidRPr="00247480">
              <w:rPr>
                <w:rFonts w:cstheme="majorBidi"/>
              </w:rPr>
              <w:t>2,882</w:t>
            </w:r>
          </w:p>
        </w:tc>
      </w:tr>
      <w:tr w:rsidR="00C01C04" w:rsidRPr="00247480" w14:paraId="7937C523" w14:textId="77777777" w:rsidTr="009446BB">
        <w:trPr>
          <w:trHeight w:hRule="exact" w:val="288"/>
        </w:trPr>
        <w:tc>
          <w:tcPr>
            <w:tcW w:w="2520" w:type="dxa"/>
            <w:tcBorders>
              <w:top w:val="nil"/>
              <w:left w:val="nil"/>
              <w:bottom w:val="nil"/>
              <w:right w:val="nil"/>
            </w:tcBorders>
          </w:tcPr>
          <w:p w14:paraId="4F970699" w14:textId="77777777" w:rsidR="00C01C04" w:rsidRPr="00247480" w:rsidRDefault="00C01C04" w:rsidP="00247480">
            <w:pPr>
              <w:pStyle w:val="TableParagraph"/>
              <w:ind w:left="119"/>
              <w:jc w:val="center"/>
              <w:rPr>
                <w:rFonts w:eastAsia="Book Antiqua" w:cs="Times New Roman"/>
              </w:rPr>
            </w:pPr>
            <w:r w:rsidRPr="00247480">
              <w:rPr>
                <w:rFonts w:eastAsia="Book Antiqua" w:cs="Times New Roman"/>
              </w:rPr>
              <w:t>Telephone Screening</w:t>
            </w:r>
          </w:p>
        </w:tc>
        <w:tc>
          <w:tcPr>
            <w:tcW w:w="990" w:type="dxa"/>
            <w:tcBorders>
              <w:top w:val="nil"/>
              <w:left w:val="nil"/>
              <w:bottom w:val="nil"/>
              <w:right w:val="nil"/>
            </w:tcBorders>
          </w:tcPr>
          <w:p w14:paraId="6FE4F678" w14:textId="77777777" w:rsidR="00C01C04" w:rsidRPr="00247480" w:rsidRDefault="00C01C04" w:rsidP="00247480">
            <w:pPr>
              <w:pStyle w:val="TableParagraph"/>
              <w:ind w:left="177"/>
              <w:jc w:val="center"/>
              <w:rPr>
                <w:rFonts w:eastAsia="Book Antiqua" w:cstheme="majorBidi"/>
              </w:rPr>
            </w:pPr>
            <w:r w:rsidRPr="00247480">
              <w:rPr>
                <w:rFonts w:cstheme="majorBidi"/>
              </w:rPr>
              <w:t>0.85</w:t>
            </w:r>
          </w:p>
        </w:tc>
        <w:tc>
          <w:tcPr>
            <w:tcW w:w="1710" w:type="dxa"/>
            <w:tcBorders>
              <w:top w:val="nil"/>
              <w:left w:val="nil"/>
              <w:bottom w:val="nil"/>
              <w:right w:val="nil"/>
            </w:tcBorders>
          </w:tcPr>
          <w:p w14:paraId="3DD04019" w14:textId="18FC1F1E" w:rsidR="00C01C04" w:rsidRPr="00247480" w:rsidRDefault="00C01C04">
            <w:pPr>
              <w:pStyle w:val="TableParagraph"/>
              <w:ind w:left="706"/>
              <w:jc w:val="center"/>
              <w:rPr>
                <w:rFonts w:eastAsia="Book Antiqua" w:cstheme="majorBidi"/>
              </w:rPr>
            </w:pPr>
            <w:r w:rsidRPr="00247480">
              <w:rPr>
                <w:rFonts w:cstheme="majorBidi"/>
              </w:rPr>
              <w:t>2,449</w:t>
            </w:r>
          </w:p>
        </w:tc>
      </w:tr>
      <w:tr w:rsidR="00C01C04" w:rsidRPr="00247480" w14:paraId="4964F5AE" w14:textId="77777777" w:rsidTr="009446BB">
        <w:trPr>
          <w:trHeight w:hRule="exact" w:val="288"/>
        </w:trPr>
        <w:tc>
          <w:tcPr>
            <w:tcW w:w="2520" w:type="dxa"/>
            <w:tcBorders>
              <w:top w:val="nil"/>
              <w:left w:val="nil"/>
              <w:bottom w:val="nil"/>
              <w:right w:val="nil"/>
            </w:tcBorders>
          </w:tcPr>
          <w:p w14:paraId="6B92C98C" w14:textId="77777777" w:rsidR="00C01C04" w:rsidRPr="00247480" w:rsidRDefault="00C01C04" w:rsidP="00247480">
            <w:pPr>
              <w:pStyle w:val="TableParagraph"/>
              <w:ind w:left="1204"/>
              <w:jc w:val="center"/>
              <w:rPr>
                <w:rFonts w:eastAsia="Book Antiqua" w:cstheme="majorBidi"/>
              </w:rPr>
            </w:pPr>
            <w:r w:rsidRPr="00247480">
              <w:rPr>
                <w:rFonts w:cstheme="majorBidi"/>
                <w:spacing w:val="-2"/>
              </w:rPr>
              <w:t>Eligible</w:t>
            </w:r>
          </w:p>
        </w:tc>
        <w:tc>
          <w:tcPr>
            <w:tcW w:w="990" w:type="dxa"/>
            <w:tcBorders>
              <w:top w:val="nil"/>
              <w:left w:val="nil"/>
              <w:bottom w:val="nil"/>
              <w:right w:val="nil"/>
            </w:tcBorders>
          </w:tcPr>
          <w:p w14:paraId="794AE72F" w14:textId="77777777" w:rsidR="00C01C04" w:rsidRPr="00247480" w:rsidRDefault="00C01C04" w:rsidP="00247480">
            <w:pPr>
              <w:pStyle w:val="TableParagraph"/>
              <w:ind w:left="177"/>
              <w:jc w:val="center"/>
              <w:rPr>
                <w:rFonts w:eastAsia="Book Antiqua" w:cstheme="majorBidi"/>
              </w:rPr>
            </w:pPr>
            <w:r w:rsidRPr="00247480">
              <w:rPr>
                <w:rFonts w:cstheme="majorBidi"/>
              </w:rPr>
              <w:t>0.98</w:t>
            </w:r>
          </w:p>
        </w:tc>
        <w:tc>
          <w:tcPr>
            <w:tcW w:w="1710" w:type="dxa"/>
            <w:tcBorders>
              <w:top w:val="nil"/>
              <w:left w:val="nil"/>
              <w:bottom w:val="nil"/>
              <w:right w:val="nil"/>
            </w:tcBorders>
          </w:tcPr>
          <w:p w14:paraId="4993E27F" w14:textId="1C3BD780" w:rsidR="00C01C04" w:rsidRPr="00247480" w:rsidRDefault="00C01C04">
            <w:pPr>
              <w:pStyle w:val="TableParagraph"/>
              <w:ind w:left="706"/>
              <w:jc w:val="center"/>
              <w:rPr>
                <w:rFonts w:eastAsia="Book Antiqua" w:cstheme="majorBidi"/>
              </w:rPr>
            </w:pPr>
            <w:r w:rsidRPr="00247480">
              <w:rPr>
                <w:rFonts w:cstheme="majorBidi"/>
              </w:rPr>
              <w:t>2,400</w:t>
            </w:r>
          </w:p>
        </w:tc>
      </w:tr>
      <w:tr w:rsidR="00C01C04" w:rsidRPr="00247480" w14:paraId="6CA0F0CD" w14:textId="77777777" w:rsidTr="009446BB">
        <w:trPr>
          <w:trHeight w:hRule="exact" w:val="288"/>
        </w:trPr>
        <w:tc>
          <w:tcPr>
            <w:tcW w:w="2520" w:type="dxa"/>
            <w:tcBorders>
              <w:top w:val="nil"/>
              <w:left w:val="nil"/>
              <w:bottom w:val="nil"/>
              <w:right w:val="nil"/>
            </w:tcBorders>
          </w:tcPr>
          <w:p w14:paraId="4132025B" w14:textId="77777777" w:rsidR="00C01C04" w:rsidRPr="00247480" w:rsidRDefault="00C01C04" w:rsidP="00247480">
            <w:pPr>
              <w:pStyle w:val="TableParagraph"/>
              <w:ind w:left="822"/>
              <w:jc w:val="center"/>
              <w:rPr>
                <w:rFonts w:eastAsia="Book Antiqua" w:cstheme="majorBidi"/>
              </w:rPr>
            </w:pPr>
            <w:r w:rsidRPr="00247480">
              <w:rPr>
                <w:rFonts w:cstheme="majorBidi"/>
              </w:rPr>
              <w:t>Cooperation</w:t>
            </w:r>
          </w:p>
        </w:tc>
        <w:tc>
          <w:tcPr>
            <w:tcW w:w="990" w:type="dxa"/>
            <w:tcBorders>
              <w:top w:val="nil"/>
              <w:left w:val="nil"/>
              <w:bottom w:val="nil"/>
              <w:right w:val="nil"/>
            </w:tcBorders>
          </w:tcPr>
          <w:p w14:paraId="36913759" w14:textId="7242DBBB" w:rsidR="00C01C04" w:rsidRPr="00247480" w:rsidRDefault="00C01C04" w:rsidP="00471D9E">
            <w:pPr>
              <w:pStyle w:val="TableParagraph"/>
              <w:ind w:left="177"/>
              <w:jc w:val="center"/>
              <w:rPr>
                <w:rFonts w:eastAsia="Book Antiqua" w:cstheme="majorBidi"/>
              </w:rPr>
            </w:pPr>
            <w:r w:rsidRPr="00247480">
              <w:rPr>
                <w:rFonts w:cstheme="majorBidi"/>
              </w:rPr>
              <w:t>0.50</w:t>
            </w:r>
          </w:p>
        </w:tc>
        <w:tc>
          <w:tcPr>
            <w:tcW w:w="1710" w:type="dxa"/>
            <w:tcBorders>
              <w:top w:val="nil"/>
              <w:left w:val="nil"/>
              <w:bottom w:val="nil"/>
              <w:right w:val="nil"/>
            </w:tcBorders>
          </w:tcPr>
          <w:p w14:paraId="7C052672" w14:textId="77777777" w:rsidR="00C01C04" w:rsidRPr="00247480" w:rsidRDefault="00C01C04" w:rsidP="00247480">
            <w:pPr>
              <w:pStyle w:val="TableParagraph"/>
              <w:ind w:left="706"/>
              <w:jc w:val="center"/>
              <w:rPr>
                <w:rFonts w:eastAsia="Book Antiqua" w:cstheme="majorBidi"/>
              </w:rPr>
            </w:pPr>
            <w:r w:rsidRPr="00247480">
              <w:rPr>
                <w:rFonts w:cstheme="majorBidi"/>
              </w:rPr>
              <w:t>1,200</w:t>
            </w:r>
          </w:p>
        </w:tc>
      </w:tr>
      <w:tr w:rsidR="00C01C04" w:rsidRPr="00247480" w14:paraId="1E2C5F9A" w14:textId="77777777" w:rsidTr="009446BB">
        <w:trPr>
          <w:trHeight w:hRule="exact" w:val="288"/>
        </w:trPr>
        <w:tc>
          <w:tcPr>
            <w:tcW w:w="2520" w:type="dxa"/>
            <w:tcBorders>
              <w:top w:val="nil"/>
              <w:left w:val="nil"/>
              <w:bottom w:val="single" w:sz="3" w:space="0" w:color="000000"/>
              <w:right w:val="nil"/>
            </w:tcBorders>
          </w:tcPr>
          <w:p w14:paraId="7542DF62" w14:textId="77777777" w:rsidR="00C01C04" w:rsidRPr="00247480" w:rsidRDefault="00C01C04" w:rsidP="00247480">
            <w:pPr>
              <w:pStyle w:val="TableParagraph"/>
              <w:ind w:left="457"/>
              <w:jc w:val="center"/>
              <w:rPr>
                <w:rFonts w:eastAsia="Book Antiqua" w:cstheme="majorBidi"/>
              </w:rPr>
            </w:pPr>
            <w:r w:rsidRPr="00247480">
              <w:rPr>
                <w:rFonts w:cstheme="majorBidi"/>
              </w:rPr>
              <w:t>Analytic</w:t>
            </w:r>
            <w:r w:rsidRPr="00247480">
              <w:rPr>
                <w:rFonts w:cstheme="majorBidi"/>
                <w:spacing w:val="-25"/>
              </w:rPr>
              <w:t xml:space="preserve"> </w:t>
            </w:r>
            <w:r w:rsidRPr="00247480">
              <w:rPr>
                <w:rFonts w:cstheme="majorBidi"/>
              </w:rPr>
              <w:t>Sample</w:t>
            </w:r>
          </w:p>
        </w:tc>
        <w:tc>
          <w:tcPr>
            <w:tcW w:w="990" w:type="dxa"/>
            <w:tcBorders>
              <w:top w:val="nil"/>
              <w:left w:val="nil"/>
              <w:bottom w:val="single" w:sz="3" w:space="0" w:color="000000"/>
              <w:right w:val="nil"/>
            </w:tcBorders>
          </w:tcPr>
          <w:p w14:paraId="218096A2" w14:textId="77777777" w:rsidR="00C01C04" w:rsidRPr="00247480" w:rsidRDefault="00C01C04" w:rsidP="00247480">
            <w:pPr>
              <w:pStyle w:val="TableParagraph"/>
              <w:ind w:left="232"/>
              <w:jc w:val="center"/>
              <w:rPr>
                <w:rFonts w:eastAsia="Book Antiqua" w:cstheme="majorBidi"/>
              </w:rPr>
            </w:pPr>
            <w:r w:rsidRPr="00247480">
              <w:rPr>
                <w:rFonts w:cstheme="majorBidi"/>
              </w:rPr>
              <w:t>NA</w:t>
            </w:r>
          </w:p>
        </w:tc>
        <w:tc>
          <w:tcPr>
            <w:tcW w:w="1710" w:type="dxa"/>
            <w:tcBorders>
              <w:top w:val="nil"/>
              <w:left w:val="nil"/>
              <w:bottom w:val="single" w:sz="3" w:space="0" w:color="000000"/>
              <w:right w:val="nil"/>
            </w:tcBorders>
          </w:tcPr>
          <w:p w14:paraId="5D1F8B35" w14:textId="77777777" w:rsidR="00C01C04" w:rsidRPr="00247480" w:rsidRDefault="00C01C04" w:rsidP="00247480">
            <w:pPr>
              <w:pStyle w:val="TableParagraph"/>
              <w:ind w:left="706"/>
              <w:jc w:val="center"/>
              <w:rPr>
                <w:rFonts w:eastAsia="Book Antiqua" w:cstheme="majorBidi"/>
              </w:rPr>
            </w:pPr>
            <w:r w:rsidRPr="00247480">
              <w:rPr>
                <w:rFonts w:cstheme="majorBidi"/>
              </w:rPr>
              <w:t>1,200</w:t>
            </w:r>
          </w:p>
        </w:tc>
      </w:tr>
    </w:tbl>
    <w:p w14:paraId="275C4747" w14:textId="77777777" w:rsidR="00C01C04" w:rsidRPr="00247480" w:rsidRDefault="00C01C04" w:rsidP="00247480">
      <w:pPr>
        <w:rPr>
          <w:rFonts w:asciiTheme="minorHAnsi" w:hAnsiTheme="minorHAnsi"/>
          <w:sz w:val="22"/>
          <w:szCs w:val="22"/>
        </w:rPr>
      </w:pPr>
    </w:p>
    <w:p w14:paraId="1A272857" w14:textId="77777777" w:rsidR="00957F14" w:rsidRPr="00C01C04" w:rsidRDefault="00957F14" w:rsidP="00957F14">
      <w:pPr>
        <w:pStyle w:val="Heading2"/>
        <w:tabs>
          <w:tab w:val="left" w:pos="720"/>
        </w:tabs>
        <w:spacing w:after="0" w:line="480" w:lineRule="auto"/>
        <w:ind w:left="0" w:firstLine="0"/>
        <w:rPr>
          <w:rFonts w:asciiTheme="minorHAnsi" w:hAnsiTheme="minorHAnsi"/>
          <w:szCs w:val="22"/>
        </w:rPr>
      </w:pPr>
      <w:r w:rsidRPr="00C01C04">
        <w:rPr>
          <w:rFonts w:asciiTheme="minorHAnsi" w:hAnsiTheme="minorHAnsi"/>
          <w:szCs w:val="22"/>
        </w:rPr>
        <w:t>B.2</w:t>
      </w:r>
      <w:r w:rsidRPr="00C01C04">
        <w:rPr>
          <w:rFonts w:asciiTheme="minorHAnsi" w:hAnsiTheme="minorHAnsi"/>
          <w:szCs w:val="22"/>
        </w:rPr>
        <w:tab/>
        <w:t>Procedures for the Collection of Information</w:t>
      </w:r>
    </w:p>
    <w:p w14:paraId="6B435843" w14:textId="48E57CF4" w:rsidR="00471D9E" w:rsidRPr="00471D9E" w:rsidRDefault="00471D9E" w:rsidP="007410BB">
      <w:pPr>
        <w:rPr>
          <w:rFonts w:asciiTheme="minorHAnsi" w:hAnsiTheme="minorHAnsi"/>
          <w:bCs/>
          <w:sz w:val="22"/>
          <w:szCs w:val="22"/>
        </w:rPr>
      </w:pPr>
      <w:r w:rsidRPr="00471D9E">
        <w:rPr>
          <w:rFonts w:asciiTheme="minorHAnsi" w:hAnsiTheme="minorHAnsi"/>
          <w:bCs/>
          <w:sz w:val="22"/>
          <w:szCs w:val="22"/>
        </w:rPr>
        <w:t xml:space="preserve">An estimated of 1,200 surveys </w:t>
      </w:r>
      <w:r w:rsidR="00B77917">
        <w:rPr>
          <w:rFonts w:asciiTheme="minorHAnsi" w:hAnsiTheme="minorHAnsi"/>
          <w:bCs/>
          <w:sz w:val="22"/>
          <w:szCs w:val="22"/>
        </w:rPr>
        <w:t>(</w:t>
      </w:r>
      <w:r w:rsidR="00423E97">
        <w:rPr>
          <w:rFonts w:asciiTheme="minorHAnsi" w:hAnsiTheme="minorHAnsi"/>
          <w:bCs/>
          <w:sz w:val="22"/>
          <w:szCs w:val="22"/>
        </w:rPr>
        <w:t xml:space="preserve">see </w:t>
      </w:r>
      <w:r w:rsidR="00B77917" w:rsidRPr="00B77917">
        <w:rPr>
          <w:rFonts w:asciiTheme="minorHAnsi" w:hAnsiTheme="minorHAnsi"/>
          <w:b/>
          <w:bCs/>
          <w:sz w:val="22"/>
          <w:szCs w:val="22"/>
        </w:rPr>
        <w:t>Attachment A</w:t>
      </w:r>
      <w:r w:rsidR="00423E97">
        <w:rPr>
          <w:rFonts w:asciiTheme="minorHAnsi" w:hAnsiTheme="minorHAnsi"/>
          <w:b/>
          <w:bCs/>
          <w:sz w:val="22"/>
          <w:szCs w:val="22"/>
        </w:rPr>
        <w:t xml:space="preserve"> </w:t>
      </w:r>
      <w:r w:rsidR="00423E97" w:rsidRPr="00423E97">
        <w:rPr>
          <w:rFonts w:asciiTheme="minorHAnsi" w:hAnsiTheme="minorHAnsi"/>
          <w:bCs/>
          <w:sz w:val="22"/>
          <w:szCs w:val="22"/>
        </w:rPr>
        <w:t>for a copy of the instrument</w:t>
      </w:r>
      <w:r w:rsidR="00B77917">
        <w:rPr>
          <w:rFonts w:asciiTheme="minorHAnsi" w:hAnsiTheme="minorHAnsi"/>
          <w:bCs/>
          <w:sz w:val="22"/>
          <w:szCs w:val="22"/>
        </w:rPr>
        <w:t xml:space="preserve">) </w:t>
      </w:r>
      <w:r w:rsidRPr="00471D9E">
        <w:rPr>
          <w:rFonts w:asciiTheme="minorHAnsi" w:hAnsiTheme="minorHAnsi"/>
          <w:bCs/>
          <w:sz w:val="22"/>
          <w:szCs w:val="22"/>
        </w:rPr>
        <w:t xml:space="preserve">will be completed </w:t>
      </w:r>
      <w:r w:rsidR="00B77917">
        <w:rPr>
          <w:rFonts w:asciiTheme="minorHAnsi" w:hAnsiTheme="minorHAnsi"/>
          <w:bCs/>
          <w:sz w:val="22"/>
          <w:szCs w:val="22"/>
        </w:rPr>
        <w:t xml:space="preserve">for the main study </w:t>
      </w:r>
      <w:r w:rsidRPr="00471D9E">
        <w:rPr>
          <w:rFonts w:asciiTheme="minorHAnsi" w:hAnsiTheme="minorHAnsi"/>
          <w:bCs/>
          <w:sz w:val="22"/>
          <w:szCs w:val="22"/>
        </w:rPr>
        <w:t>either by paper survey or web survey</w:t>
      </w:r>
      <w:r w:rsidR="001E06BF">
        <w:rPr>
          <w:rFonts w:asciiTheme="minorHAnsi" w:hAnsiTheme="minorHAnsi"/>
          <w:bCs/>
          <w:sz w:val="22"/>
          <w:szCs w:val="22"/>
        </w:rPr>
        <w:t xml:space="preserve"> (</w:t>
      </w:r>
      <w:r w:rsidR="001E06BF">
        <w:rPr>
          <w:rFonts w:asciiTheme="minorHAnsi" w:hAnsiTheme="minorHAnsi"/>
          <w:b/>
          <w:bCs/>
          <w:sz w:val="22"/>
          <w:szCs w:val="22"/>
        </w:rPr>
        <w:t>A</w:t>
      </w:r>
      <w:r w:rsidR="001E06BF" w:rsidRPr="001E06BF">
        <w:rPr>
          <w:rFonts w:asciiTheme="minorHAnsi" w:hAnsiTheme="minorHAnsi"/>
          <w:b/>
          <w:bCs/>
          <w:sz w:val="22"/>
          <w:szCs w:val="22"/>
        </w:rPr>
        <w:t>ttachment J</w:t>
      </w:r>
      <w:r w:rsidR="001E06BF">
        <w:rPr>
          <w:rFonts w:asciiTheme="minorHAnsi" w:hAnsiTheme="minorHAnsi"/>
          <w:bCs/>
          <w:sz w:val="22"/>
          <w:szCs w:val="22"/>
        </w:rPr>
        <w:t>)</w:t>
      </w:r>
      <w:r w:rsidRPr="00471D9E">
        <w:rPr>
          <w:rFonts w:asciiTheme="minorHAnsi" w:hAnsiTheme="minorHAnsi"/>
          <w:bCs/>
          <w:sz w:val="22"/>
          <w:szCs w:val="22"/>
        </w:rPr>
        <w:t>.  Participants will answer questions about their experiences with genomic testing in oncology and their perceptions of the barriers and facilitators of genomic testing within their practice.  Demographic information and practice characteristics will also be collected.  The entire procedure is expected to last approximately 20 minutes.  This will be a one-time (rather than annual) information collection.</w:t>
      </w:r>
    </w:p>
    <w:p w14:paraId="119DE732" w14:textId="77777777" w:rsidR="00471D9E" w:rsidRDefault="00471D9E" w:rsidP="00471D9E">
      <w:pPr>
        <w:rPr>
          <w:rFonts w:asciiTheme="minorHAnsi" w:hAnsiTheme="minorHAnsi"/>
          <w:bCs/>
          <w:sz w:val="22"/>
          <w:szCs w:val="22"/>
        </w:rPr>
      </w:pPr>
    </w:p>
    <w:p w14:paraId="71BB2F85" w14:textId="0A90D32E" w:rsidR="00471D9E" w:rsidRPr="00471D9E" w:rsidRDefault="00471D9E" w:rsidP="007410BB">
      <w:pPr>
        <w:rPr>
          <w:rFonts w:asciiTheme="minorHAnsi" w:hAnsiTheme="minorHAnsi"/>
          <w:bCs/>
          <w:sz w:val="22"/>
          <w:szCs w:val="22"/>
        </w:rPr>
      </w:pPr>
      <w:r w:rsidRPr="00471D9E">
        <w:rPr>
          <w:rFonts w:asciiTheme="minorHAnsi" w:hAnsiTheme="minorHAnsi"/>
          <w:bCs/>
          <w:sz w:val="22"/>
          <w:szCs w:val="22"/>
        </w:rPr>
        <w:t>To achieve approximately 1,200 completed surveys, we will draw a sample of 2,</w:t>
      </w:r>
      <w:r w:rsidR="00412308">
        <w:rPr>
          <w:rFonts w:asciiTheme="minorHAnsi" w:hAnsiTheme="minorHAnsi"/>
          <w:bCs/>
          <w:sz w:val="22"/>
          <w:szCs w:val="22"/>
        </w:rPr>
        <w:t>882</w:t>
      </w:r>
      <w:r w:rsidRPr="00471D9E">
        <w:rPr>
          <w:rFonts w:asciiTheme="minorHAnsi" w:hAnsiTheme="minorHAnsi"/>
          <w:bCs/>
          <w:sz w:val="22"/>
          <w:szCs w:val="22"/>
        </w:rPr>
        <w:t xml:space="preserve"> oncologists from the American Medical Association Masterfile. Prior to sending physicians a copy of the survey, the contractor will make telephone calls to the sampled physicians to verify that the sample member is eligible for the survey (e.g., a practicing oncologist under age 75), and that the address is correct. The script for verifying eligibility and contact information is provided in </w:t>
      </w:r>
      <w:r w:rsidRPr="001D0974">
        <w:rPr>
          <w:rFonts w:asciiTheme="minorHAnsi" w:hAnsiTheme="minorHAnsi"/>
          <w:b/>
          <w:bCs/>
          <w:sz w:val="22"/>
          <w:szCs w:val="22"/>
        </w:rPr>
        <w:t xml:space="preserve">Attachment </w:t>
      </w:r>
      <w:r w:rsidR="00B77917">
        <w:rPr>
          <w:rFonts w:asciiTheme="minorHAnsi" w:hAnsiTheme="minorHAnsi"/>
          <w:b/>
          <w:bCs/>
          <w:sz w:val="22"/>
          <w:szCs w:val="22"/>
        </w:rPr>
        <w:t>B</w:t>
      </w:r>
      <w:r w:rsidRPr="00471D9E">
        <w:rPr>
          <w:rFonts w:asciiTheme="minorHAnsi" w:hAnsiTheme="minorHAnsi"/>
          <w:bCs/>
          <w:sz w:val="22"/>
          <w:szCs w:val="22"/>
        </w:rPr>
        <w:t xml:space="preserve">. For any sampled physicians who have moved, the contractor will attempt to obtain new address information from the office contacted or through various tracing procedures and internet searches. </w:t>
      </w:r>
    </w:p>
    <w:p w14:paraId="351AF0A9" w14:textId="77777777" w:rsidR="00471D9E" w:rsidRDefault="00471D9E" w:rsidP="00471D9E">
      <w:pPr>
        <w:rPr>
          <w:rFonts w:asciiTheme="minorHAnsi" w:hAnsiTheme="minorHAnsi"/>
          <w:bCs/>
          <w:sz w:val="22"/>
          <w:szCs w:val="22"/>
        </w:rPr>
      </w:pPr>
    </w:p>
    <w:p w14:paraId="658F5A3C" w14:textId="77777777" w:rsidR="00471D9E" w:rsidRPr="00471D9E" w:rsidRDefault="00471D9E" w:rsidP="00471D9E">
      <w:pPr>
        <w:rPr>
          <w:rFonts w:asciiTheme="minorHAnsi" w:hAnsiTheme="minorHAnsi"/>
          <w:bCs/>
          <w:sz w:val="22"/>
          <w:szCs w:val="22"/>
        </w:rPr>
      </w:pPr>
      <w:r w:rsidRPr="00471D9E">
        <w:rPr>
          <w:rFonts w:asciiTheme="minorHAnsi" w:hAnsiTheme="minorHAnsi"/>
          <w:bCs/>
          <w:sz w:val="22"/>
          <w:szCs w:val="22"/>
        </w:rPr>
        <w:t>We estimate that approximately 15% of the initial sample will be ineligible or unable to be located. If needed, additional sample can be taken to ensure and verified to assure that the survey will yield the analytic sample required for the study.</w:t>
      </w:r>
    </w:p>
    <w:p w14:paraId="47859DA4" w14:textId="77777777" w:rsidR="00471D9E" w:rsidRDefault="00471D9E" w:rsidP="00471D9E">
      <w:pPr>
        <w:rPr>
          <w:rFonts w:asciiTheme="minorHAnsi" w:hAnsiTheme="minorHAnsi"/>
          <w:bCs/>
          <w:sz w:val="22"/>
          <w:szCs w:val="22"/>
        </w:rPr>
      </w:pPr>
    </w:p>
    <w:p w14:paraId="6BFD815B" w14:textId="200C6147" w:rsidR="00471D9E" w:rsidRPr="00471D9E" w:rsidRDefault="00471D9E" w:rsidP="007410BB">
      <w:pPr>
        <w:rPr>
          <w:rFonts w:asciiTheme="minorHAnsi" w:hAnsiTheme="minorHAnsi"/>
          <w:bCs/>
          <w:sz w:val="22"/>
          <w:szCs w:val="22"/>
        </w:rPr>
      </w:pPr>
      <w:r w:rsidRPr="00471D9E">
        <w:rPr>
          <w:rFonts w:asciiTheme="minorHAnsi" w:hAnsiTheme="minorHAnsi"/>
          <w:bCs/>
          <w:sz w:val="22"/>
          <w:szCs w:val="22"/>
        </w:rPr>
        <w:t xml:space="preserve">Eligible, sampled physicians will then be mailed a survey invitation. The initial survey package will be sent by U.S.P.S. first-class mail. It will include a cover letter, survey, postage-paid return envelope, and a prepaid </w:t>
      </w:r>
      <w:r w:rsidR="001D0974">
        <w:rPr>
          <w:rFonts w:asciiTheme="minorHAnsi" w:hAnsiTheme="minorHAnsi"/>
          <w:bCs/>
          <w:sz w:val="22"/>
          <w:szCs w:val="22"/>
        </w:rPr>
        <w:t>gift of</w:t>
      </w:r>
      <w:r w:rsidRPr="00471D9E">
        <w:rPr>
          <w:rFonts w:asciiTheme="minorHAnsi" w:hAnsiTheme="minorHAnsi"/>
          <w:bCs/>
          <w:sz w:val="22"/>
          <w:szCs w:val="22"/>
        </w:rPr>
        <w:t xml:space="preserve"> $</w:t>
      </w:r>
      <w:r w:rsidR="00412308">
        <w:rPr>
          <w:rFonts w:asciiTheme="minorHAnsi" w:hAnsiTheme="minorHAnsi"/>
          <w:bCs/>
          <w:sz w:val="22"/>
          <w:szCs w:val="22"/>
        </w:rPr>
        <w:t>50</w:t>
      </w:r>
      <w:r w:rsidRPr="00471D9E">
        <w:rPr>
          <w:rFonts w:asciiTheme="minorHAnsi" w:hAnsiTheme="minorHAnsi"/>
          <w:bCs/>
          <w:sz w:val="22"/>
          <w:szCs w:val="22"/>
        </w:rPr>
        <w:t xml:space="preserve">. </w:t>
      </w:r>
    </w:p>
    <w:p w14:paraId="775865A9" w14:textId="6B2F2158" w:rsidR="00471D9E" w:rsidRPr="00471D9E" w:rsidRDefault="00471D9E" w:rsidP="00412308">
      <w:pPr>
        <w:rPr>
          <w:rFonts w:asciiTheme="minorHAnsi" w:hAnsiTheme="minorHAnsi"/>
          <w:bCs/>
          <w:sz w:val="22"/>
          <w:szCs w:val="22"/>
        </w:rPr>
      </w:pPr>
      <w:r w:rsidRPr="00471D9E">
        <w:rPr>
          <w:rFonts w:asciiTheme="minorHAnsi" w:hAnsiTheme="minorHAnsi"/>
          <w:bCs/>
          <w:sz w:val="22"/>
          <w:szCs w:val="22"/>
        </w:rPr>
        <w:lastRenderedPageBreak/>
        <w:t xml:space="preserve">About </w:t>
      </w:r>
      <w:r w:rsidR="00412308">
        <w:rPr>
          <w:rFonts w:asciiTheme="minorHAnsi" w:hAnsiTheme="minorHAnsi"/>
          <w:bCs/>
          <w:sz w:val="22"/>
          <w:szCs w:val="22"/>
        </w:rPr>
        <w:t>3</w:t>
      </w:r>
      <w:r w:rsidRPr="00471D9E">
        <w:rPr>
          <w:rFonts w:asciiTheme="minorHAnsi" w:hAnsiTheme="minorHAnsi"/>
          <w:bCs/>
          <w:sz w:val="22"/>
          <w:szCs w:val="22"/>
        </w:rPr>
        <w:t xml:space="preserve"> weeks after the initial mailing, a follow-up mailing</w:t>
      </w:r>
      <w:r w:rsidR="006E3612">
        <w:rPr>
          <w:rFonts w:asciiTheme="minorHAnsi" w:hAnsiTheme="minorHAnsi"/>
          <w:bCs/>
          <w:sz w:val="22"/>
          <w:szCs w:val="22"/>
        </w:rPr>
        <w:t xml:space="preserve"> </w:t>
      </w:r>
      <w:r w:rsidRPr="00471D9E">
        <w:rPr>
          <w:rFonts w:asciiTheme="minorHAnsi" w:hAnsiTheme="minorHAnsi"/>
          <w:bCs/>
          <w:sz w:val="22"/>
          <w:szCs w:val="22"/>
        </w:rPr>
        <w:t>will be sent to all nonresponding physicians by Priority mail. The package will include a new cover letter, replacement copy of the survey, and a postage-paid return envelope.</w:t>
      </w:r>
    </w:p>
    <w:p w14:paraId="1540E9ED" w14:textId="77777777" w:rsidR="00471D9E" w:rsidRDefault="00471D9E" w:rsidP="00471D9E">
      <w:pPr>
        <w:rPr>
          <w:rFonts w:asciiTheme="minorHAnsi" w:hAnsiTheme="minorHAnsi"/>
          <w:bCs/>
          <w:sz w:val="22"/>
          <w:szCs w:val="22"/>
        </w:rPr>
      </w:pPr>
    </w:p>
    <w:p w14:paraId="765AE15E" w14:textId="44834D9D" w:rsidR="00471D9E" w:rsidRPr="00471D9E" w:rsidRDefault="00471D9E" w:rsidP="00412308">
      <w:pPr>
        <w:rPr>
          <w:rFonts w:asciiTheme="minorHAnsi" w:hAnsiTheme="minorHAnsi"/>
          <w:bCs/>
          <w:sz w:val="22"/>
          <w:szCs w:val="22"/>
        </w:rPr>
      </w:pPr>
      <w:r w:rsidRPr="00471D9E">
        <w:rPr>
          <w:rFonts w:asciiTheme="minorHAnsi" w:hAnsiTheme="minorHAnsi"/>
          <w:bCs/>
          <w:sz w:val="22"/>
          <w:szCs w:val="22"/>
        </w:rPr>
        <w:t>One</w:t>
      </w:r>
      <w:r w:rsidR="00412308">
        <w:rPr>
          <w:rFonts w:asciiTheme="minorHAnsi" w:hAnsiTheme="minorHAnsi"/>
          <w:bCs/>
          <w:sz w:val="22"/>
          <w:szCs w:val="22"/>
        </w:rPr>
        <w:t>-and-half</w:t>
      </w:r>
      <w:r w:rsidRPr="00471D9E">
        <w:rPr>
          <w:rFonts w:asciiTheme="minorHAnsi" w:hAnsiTheme="minorHAnsi"/>
          <w:bCs/>
          <w:sz w:val="22"/>
          <w:szCs w:val="22"/>
        </w:rPr>
        <w:t xml:space="preserve"> week</w:t>
      </w:r>
      <w:r w:rsidR="00412308">
        <w:rPr>
          <w:rFonts w:asciiTheme="minorHAnsi" w:hAnsiTheme="minorHAnsi"/>
          <w:bCs/>
          <w:sz w:val="22"/>
          <w:szCs w:val="22"/>
        </w:rPr>
        <w:t>s</w:t>
      </w:r>
      <w:r w:rsidRPr="00471D9E">
        <w:rPr>
          <w:rFonts w:asciiTheme="minorHAnsi" w:hAnsiTheme="minorHAnsi"/>
          <w:bCs/>
          <w:sz w:val="22"/>
          <w:szCs w:val="22"/>
        </w:rPr>
        <w:t xml:space="preserve"> after the follow-up mailing, we will send an email reminder to nonresponders with a link to complete the survey via the web. Within </w:t>
      </w:r>
      <w:r w:rsidR="00412308">
        <w:rPr>
          <w:rFonts w:asciiTheme="minorHAnsi" w:hAnsiTheme="minorHAnsi"/>
          <w:bCs/>
          <w:sz w:val="22"/>
          <w:szCs w:val="22"/>
        </w:rPr>
        <w:t>one-and-a-half</w:t>
      </w:r>
      <w:r w:rsidRPr="00471D9E">
        <w:rPr>
          <w:rFonts w:asciiTheme="minorHAnsi" w:hAnsiTheme="minorHAnsi"/>
          <w:bCs/>
          <w:sz w:val="22"/>
          <w:szCs w:val="22"/>
        </w:rPr>
        <w:t xml:space="preserve"> week</w:t>
      </w:r>
      <w:r w:rsidR="00412308">
        <w:rPr>
          <w:rFonts w:asciiTheme="minorHAnsi" w:hAnsiTheme="minorHAnsi"/>
          <w:bCs/>
          <w:sz w:val="22"/>
          <w:szCs w:val="22"/>
        </w:rPr>
        <w:t>s</w:t>
      </w:r>
      <w:r w:rsidRPr="00471D9E">
        <w:rPr>
          <w:rFonts w:asciiTheme="minorHAnsi" w:hAnsiTheme="minorHAnsi"/>
          <w:bCs/>
          <w:sz w:val="22"/>
          <w:szCs w:val="22"/>
        </w:rPr>
        <w:t xml:space="preserve"> of sending the email reminder, the contractor’s telephone interviewers will begin making follow-up telephone calls to nonresponders. The interviewers will provide reminders about the study, obtain new mailing addresses or email addresses, and send replacement questionnaires or emails as needed. </w:t>
      </w:r>
    </w:p>
    <w:p w14:paraId="1784BCCD" w14:textId="77777777" w:rsidR="00471D9E" w:rsidRDefault="00471D9E" w:rsidP="00471D9E">
      <w:pPr>
        <w:rPr>
          <w:rFonts w:asciiTheme="minorHAnsi" w:hAnsiTheme="minorHAnsi"/>
          <w:bCs/>
          <w:sz w:val="22"/>
          <w:szCs w:val="22"/>
        </w:rPr>
      </w:pPr>
    </w:p>
    <w:p w14:paraId="5A4BBC71" w14:textId="77777777" w:rsidR="00471D9E" w:rsidRPr="00471D9E" w:rsidRDefault="00471D9E" w:rsidP="00471D9E">
      <w:pPr>
        <w:rPr>
          <w:rFonts w:asciiTheme="minorHAnsi" w:hAnsiTheme="minorHAnsi"/>
          <w:bCs/>
          <w:sz w:val="22"/>
          <w:szCs w:val="22"/>
        </w:rPr>
      </w:pPr>
      <w:r w:rsidRPr="00471D9E">
        <w:rPr>
          <w:rFonts w:asciiTheme="minorHAnsi" w:hAnsiTheme="minorHAnsi"/>
          <w:bCs/>
          <w:sz w:val="22"/>
          <w:szCs w:val="22"/>
        </w:rPr>
        <w:t>Two weeks after the email reminder, we will send the final follow-up mailing to nonresponders via FedEx. The package will include a new cover letter, replacement survey, and a postage-paid envelope.</w:t>
      </w:r>
    </w:p>
    <w:p w14:paraId="26892F31" w14:textId="77777777" w:rsidR="00471D9E" w:rsidRDefault="00471D9E" w:rsidP="00471D9E">
      <w:pPr>
        <w:rPr>
          <w:rFonts w:asciiTheme="minorHAnsi" w:hAnsiTheme="minorHAnsi"/>
          <w:bCs/>
          <w:sz w:val="22"/>
          <w:szCs w:val="22"/>
        </w:rPr>
      </w:pPr>
    </w:p>
    <w:p w14:paraId="77E4331A" w14:textId="510304B4" w:rsidR="00471D9E" w:rsidRPr="00471D9E" w:rsidRDefault="00412308" w:rsidP="00412308">
      <w:pPr>
        <w:rPr>
          <w:rFonts w:asciiTheme="minorHAnsi" w:hAnsiTheme="minorHAnsi"/>
          <w:bCs/>
          <w:sz w:val="22"/>
          <w:szCs w:val="22"/>
        </w:rPr>
      </w:pPr>
      <w:r w:rsidRPr="00471D9E">
        <w:rPr>
          <w:rFonts w:asciiTheme="minorHAnsi" w:hAnsiTheme="minorHAnsi"/>
          <w:bCs/>
          <w:sz w:val="22"/>
          <w:szCs w:val="22"/>
        </w:rPr>
        <w:t>One</w:t>
      </w:r>
      <w:r>
        <w:rPr>
          <w:rFonts w:asciiTheme="minorHAnsi" w:hAnsiTheme="minorHAnsi"/>
          <w:bCs/>
          <w:sz w:val="22"/>
          <w:szCs w:val="22"/>
        </w:rPr>
        <w:t>-and-half</w:t>
      </w:r>
      <w:r w:rsidRPr="00471D9E">
        <w:rPr>
          <w:rFonts w:asciiTheme="minorHAnsi" w:hAnsiTheme="minorHAnsi"/>
          <w:bCs/>
          <w:sz w:val="22"/>
          <w:szCs w:val="22"/>
        </w:rPr>
        <w:t xml:space="preserve"> week</w:t>
      </w:r>
      <w:r>
        <w:rPr>
          <w:rFonts w:asciiTheme="minorHAnsi" w:hAnsiTheme="minorHAnsi"/>
          <w:bCs/>
          <w:sz w:val="22"/>
          <w:szCs w:val="22"/>
        </w:rPr>
        <w:t>s</w:t>
      </w:r>
      <w:r w:rsidRPr="00471D9E">
        <w:rPr>
          <w:rFonts w:asciiTheme="minorHAnsi" w:hAnsiTheme="minorHAnsi"/>
          <w:bCs/>
          <w:sz w:val="22"/>
          <w:szCs w:val="22"/>
        </w:rPr>
        <w:t xml:space="preserve"> </w:t>
      </w:r>
      <w:r w:rsidR="00471D9E" w:rsidRPr="00471D9E">
        <w:rPr>
          <w:rFonts w:asciiTheme="minorHAnsi" w:hAnsiTheme="minorHAnsi"/>
          <w:bCs/>
          <w:sz w:val="22"/>
          <w:szCs w:val="22"/>
        </w:rPr>
        <w:t xml:space="preserve">after the FedEx mailing, we will send a final reminder via email to all nonresponding physicians. The email will include a link to the web survey. Reminder phone calls to nonresponding physicians will continue until the end of data collection – approximately </w:t>
      </w:r>
      <w:r w:rsidR="00B77917">
        <w:rPr>
          <w:rFonts w:asciiTheme="minorHAnsi" w:hAnsiTheme="minorHAnsi"/>
          <w:bCs/>
          <w:sz w:val="22"/>
          <w:szCs w:val="22"/>
        </w:rPr>
        <w:t>7.5</w:t>
      </w:r>
      <w:r w:rsidR="00471D9E" w:rsidRPr="00471D9E">
        <w:rPr>
          <w:rFonts w:asciiTheme="minorHAnsi" w:hAnsiTheme="minorHAnsi"/>
          <w:bCs/>
          <w:sz w:val="22"/>
          <w:szCs w:val="22"/>
        </w:rPr>
        <w:t xml:space="preserve"> weeks after the initial survey invitations were sent.</w:t>
      </w:r>
    </w:p>
    <w:p w14:paraId="08897784" w14:textId="77777777" w:rsidR="00471D9E" w:rsidRDefault="00471D9E" w:rsidP="00471D9E">
      <w:pPr>
        <w:rPr>
          <w:rFonts w:asciiTheme="minorHAnsi" w:hAnsiTheme="minorHAnsi"/>
          <w:bCs/>
          <w:sz w:val="22"/>
          <w:szCs w:val="22"/>
        </w:rPr>
      </w:pPr>
    </w:p>
    <w:p w14:paraId="6CA8C102" w14:textId="689EE7F5" w:rsidR="00B77917" w:rsidRDefault="00B77917" w:rsidP="00471D9E">
      <w:pPr>
        <w:rPr>
          <w:rFonts w:asciiTheme="minorHAnsi" w:hAnsiTheme="minorHAnsi"/>
          <w:bCs/>
          <w:sz w:val="22"/>
          <w:szCs w:val="22"/>
        </w:rPr>
      </w:pPr>
      <w:r>
        <w:rPr>
          <w:rFonts w:asciiTheme="minorHAnsi" w:hAnsiTheme="minorHAnsi"/>
          <w:bCs/>
          <w:sz w:val="22"/>
          <w:szCs w:val="22"/>
        </w:rPr>
        <w:t xml:space="preserve">Copies of the survey cover letters and emails are in </w:t>
      </w:r>
      <w:r w:rsidRPr="00B77917">
        <w:rPr>
          <w:rFonts w:asciiTheme="minorHAnsi" w:hAnsiTheme="minorHAnsi"/>
          <w:b/>
          <w:bCs/>
          <w:sz w:val="22"/>
          <w:szCs w:val="22"/>
        </w:rPr>
        <w:t>Attachment C</w:t>
      </w:r>
      <w:r>
        <w:rPr>
          <w:rFonts w:asciiTheme="minorHAnsi" w:hAnsiTheme="minorHAnsi"/>
          <w:bCs/>
          <w:sz w:val="22"/>
          <w:szCs w:val="22"/>
        </w:rPr>
        <w:t xml:space="preserve">.  The telephone reminder script is in </w:t>
      </w:r>
      <w:r w:rsidRPr="00B77917">
        <w:rPr>
          <w:rFonts w:asciiTheme="minorHAnsi" w:hAnsiTheme="minorHAnsi"/>
          <w:b/>
          <w:bCs/>
          <w:sz w:val="22"/>
          <w:szCs w:val="22"/>
        </w:rPr>
        <w:t>Attachment D</w:t>
      </w:r>
      <w:r>
        <w:rPr>
          <w:rFonts w:asciiTheme="minorHAnsi" w:hAnsiTheme="minorHAnsi"/>
          <w:bCs/>
          <w:sz w:val="22"/>
          <w:szCs w:val="22"/>
        </w:rPr>
        <w:t xml:space="preserve">. </w:t>
      </w:r>
    </w:p>
    <w:p w14:paraId="184EB7D8" w14:textId="77777777" w:rsidR="00B77917" w:rsidRDefault="00B77917" w:rsidP="00471D9E">
      <w:pPr>
        <w:rPr>
          <w:rFonts w:asciiTheme="minorHAnsi" w:hAnsiTheme="minorHAnsi"/>
          <w:bCs/>
          <w:sz w:val="22"/>
          <w:szCs w:val="22"/>
        </w:rPr>
      </w:pPr>
    </w:p>
    <w:p w14:paraId="1CBABB3A" w14:textId="33358AE8" w:rsidR="00471D9E" w:rsidRPr="00471D9E" w:rsidRDefault="00471D9E" w:rsidP="00DF0F6E">
      <w:pPr>
        <w:rPr>
          <w:rFonts w:asciiTheme="minorHAnsi" w:hAnsiTheme="minorHAnsi"/>
          <w:bCs/>
          <w:sz w:val="22"/>
          <w:szCs w:val="22"/>
        </w:rPr>
      </w:pPr>
      <w:r w:rsidRPr="00471D9E">
        <w:rPr>
          <w:rFonts w:asciiTheme="minorHAnsi" w:hAnsiTheme="minorHAnsi"/>
          <w:bCs/>
          <w:sz w:val="22"/>
          <w:szCs w:val="22"/>
        </w:rPr>
        <w:t xml:space="preserve">The data collection schedule is shown in Table </w:t>
      </w:r>
      <w:r>
        <w:rPr>
          <w:rFonts w:asciiTheme="minorHAnsi" w:hAnsiTheme="minorHAnsi"/>
          <w:bCs/>
          <w:sz w:val="22"/>
          <w:szCs w:val="22"/>
        </w:rPr>
        <w:t>B.2-1</w:t>
      </w:r>
      <w:r w:rsidRPr="00471D9E">
        <w:rPr>
          <w:rFonts w:asciiTheme="minorHAnsi" w:hAnsiTheme="minorHAnsi"/>
          <w:bCs/>
          <w:sz w:val="22"/>
          <w:szCs w:val="22"/>
        </w:rPr>
        <w:t xml:space="preserve">. </w:t>
      </w:r>
    </w:p>
    <w:p w14:paraId="42AD635B" w14:textId="77777777" w:rsidR="00471D9E" w:rsidRDefault="00471D9E" w:rsidP="00471D9E">
      <w:pPr>
        <w:pStyle w:val="TT-TableTitle"/>
        <w:spacing w:line="240" w:lineRule="auto"/>
        <w:ind w:left="0" w:right="-1714" w:firstLine="0"/>
        <w:rPr>
          <w:rFonts w:asciiTheme="minorHAnsi" w:hAnsiTheme="minorHAnsi"/>
          <w:b/>
          <w:sz w:val="22"/>
          <w:szCs w:val="22"/>
        </w:rPr>
      </w:pPr>
    </w:p>
    <w:p w14:paraId="10C9783F" w14:textId="77777777" w:rsidR="00471D9E" w:rsidRPr="00471D9E" w:rsidRDefault="00471D9E" w:rsidP="00471D9E">
      <w:pPr>
        <w:pStyle w:val="TT-TableTitle"/>
        <w:spacing w:line="240" w:lineRule="auto"/>
        <w:ind w:left="0" w:right="-1714" w:firstLine="0"/>
        <w:rPr>
          <w:rFonts w:asciiTheme="minorHAnsi" w:hAnsiTheme="minorHAnsi"/>
          <w:b/>
          <w:sz w:val="22"/>
          <w:szCs w:val="22"/>
        </w:rPr>
      </w:pPr>
      <w:r w:rsidRPr="00471D9E">
        <w:rPr>
          <w:rFonts w:asciiTheme="minorHAnsi" w:hAnsiTheme="minorHAnsi"/>
          <w:b/>
          <w:sz w:val="22"/>
          <w:szCs w:val="22"/>
        </w:rPr>
        <w:t xml:space="preserve">Table </w:t>
      </w:r>
      <w:r>
        <w:rPr>
          <w:rFonts w:asciiTheme="minorHAnsi" w:hAnsiTheme="minorHAnsi"/>
          <w:b/>
          <w:sz w:val="22"/>
          <w:szCs w:val="22"/>
        </w:rPr>
        <w:t>B.2-1</w:t>
      </w:r>
      <w:r w:rsidRPr="00471D9E">
        <w:rPr>
          <w:rFonts w:asciiTheme="minorHAnsi" w:hAnsiTheme="minorHAnsi"/>
          <w:b/>
          <w:sz w:val="22"/>
          <w:szCs w:val="22"/>
        </w:rPr>
        <w:t>. Data Collection Schedule</w:t>
      </w:r>
    </w:p>
    <w:tbl>
      <w:tblPr>
        <w:tblStyle w:val="TableGrid"/>
        <w:tblW w:w="5000" w:type="pct"/>
        <w:tblLook w:val="04A0" w:firstRow="1" w:lastRow="0" w:firstColumn="1" w:lastColumn="0" w:noHBand="0" w:noVBand="1"/>
      </w:tblPr>
      <w:tblGrid>
        <w:gridCol w:w="5319"/>
        <w:gridCol w:w="3537"/>
      </w:tblGrid>
      <w:tr w:rsidR="00471D9E" w:rsidRPr="00471D9E" w14:paraId="1A845ADB" w14:textId="77777777" w:rsidTr="009446BB">
        <w:tc>
          <w:tcPr>
            <w:tcW w:w="3003" w:type="pct"/>
          </w:tcPr>
          <w:p w14:paraId="1C16C8BA" w14:textId="77777777" w:rsidR="00471D9E" w:rsidRPr="00471D9E" w:rsidRDefault="00471D9E" w:rsidP="009446BB">
            <w:pPr>
              <w:pStyle w:val="TableParagraph"/>
              <w:jc w:val="center"/>
              <w:rPr>
                <w:b/>
                <w:bCs/>
              </w:rPr>
            </w:pPr>
            <w:r w:rsidRPr="00471D9E">
              <w:rPr>
                <w:b/>
                <w:bCs/>
              </w:rPr>
              <w:t>Task</w:t>
            </w:r>
          </w:p>
        </w:tc>
        <w:tc>
          <w:tcPr>
            <w:tcW w:w="1997" w:type="pct"/>
          </w:tcPr>
          <w:p w14:paraId="311F581F" w14:textId="77777777" w:rsidR="00471D9E" w:rsidRPr="00471D9E" w:rsidRDefault="00471D9E" w:rsidP="009446BB">
            <w:pPr>
              <w:pStyle w:val="TableParagraph"/>
              <w:jc w:val="center"/>
              <w:rPr>
                <w:b/>
                <w:bCs/>
              </w:rPr>
            </w:pPr>
            <w:r w:rsidRPr="00471D9E">
              <w:rPr>
                <w:b/>
                <w:bCs/>
              </w:rPr>
              <w:t>Dates</w:t>
            </w:r>
          </w:p>
        </w:tc>
      </w:tr>
      <w:tr w:rsidR="00471D9E" w:rsidRPr="00471D9E" w14:paraId="5EDBC2AA" w14:textId="77777777" w:rsidTr="009446BB">
        <w:tc>
          <w:tcPr>
            <w:tcW w:w="3003" w:type="pct"/>
          </w:tcPr>
          <w:p w14:paraId="629E42DF" w14:textId="77777777" w:rsidR="00471D9E" w:rsidRPr="00471D9E" w:rsidRDefault="00471D9E" w:rsidP="009446BB">
            <w:pPr>
              <w:pStyle w:val="TableParagraph"/>
            </w:pPr>
            <w:r w:rsidRPr="00471D9E">
              <w:t>Initial Survey Invitation</w:t>
            </w:r>
          </w:p>
        </w:tc>
        <w:tc>
          <w:tcPr>
            <w:tcW w:w="1997" w:type="pct"/>
          </w:tcPr>
          <w:p w14:paraId="6C785181" w14:textId="77777777" w:rsidR="00471D9E" w:rsidRPr="00471D9E" w:rsidRDefault="00471D9E" w:rsidP="009446BB">
            <w:pPr>
              <w:pStyle w:val="TableParagraph"/>
              <w:jc w:val="center"/>
            </w:pPr>
            <w:r w:rsidRPr="00471D9E">
              <w:t>--</w:t>
            </w:r>
          </w:p>
        </w:tc>
      </w:tr>
      <w:tr w:rsidR="00471D9E" w:rsidRPr="00471D9E" w14:paraId="28C13972" w14:textId="77777777" w:rsidTr="009446BB">
        <w:tc>
          <w:tcPr>
            <w:tcW w:w="3003" w:type="pct"/>
          </w:tcPr>
          <w:p w14:paraId="2FC7D6E4" w14:textId="77777777" w:rsidR="00471D9E" w:rsidRPr="00471D9E" w:rsidRDefault="00471D9E" w:rsidP="009446BB">
            <w:pPr>
              <w:pStyle w:val="TableParagraph"/>
            </w:pPr>
            <w:r w:rsidRPr="00471D9E">
              <w:t>Priority Follow-Up Mailing</w:t>
            </w:r>
          </w:p>
        </w:tc>
        <w:tc>
          <w:tcPr>
            <w:tcW w:w="1997" w:type="pct"/>
          </w:tcPr>
          <w:p w14:paraId="208BA838" w14:textId="0BDCFF1B" w:rsidR="00471D9E" w:rsidRPr="00471D9E" w:rsidRDefault="00471D9E" w:rsidP="00D8534B">
            <w:pPr>
              <w:pStyle w:val="TableParagraph"/>
              <w:jc w:val="center"/>
            </w:pPr>
            <w:r w:rsidRPr="00471D9E">
              <w:t xml:space="preserve">+ </w:t>
            </w:r>
            <w:r w:rsidR="00D8534B">
              <w:t>3</w:t>
            </w:r>
            <w:r w:rsidRPr="00471D9E">
              <w:t xml:space="preserve"> weeks</w:t>
            </w:r>
          </w:p>
        </w:tc>
      </w:tr>
      <w:tr w:rsidR="00471D9E" w:rsidRPr="00471D9E" w14:paraId="7CD8100B" w14:textId="77777777" w:rsidTr="009446BB">
        <w:tc>
          <w:tcPr>
            <w:tcW w:w="3003" w:type="pct"/>
          </w:tcPr>
          <w:p w14:paraId="17C5A0BC" w14:textId="77777777" w:rsidR="00471D9E" w:rsidRPr="00471D9E" w:rsidRDefault="00471D9E" w:rsidP="009446BB">
            <w:pPr>
              <w:pStyle w:val="TableParagraph"/>
            </w:pPr>
            <w:r w:rsidRPr="00471D9E">
              <w:t>Email reminder with link to web survey</w:t>
            </w:r>
          </w:p>
        </w:tc>
        <w:tc>
          <w:tcPr>
            <w:tcW w:w="1997" w:type="pct"/>
          </w:tcPr>
          <w:p w14:paraId="13B4095E" w14:textId="3833546C" w:rsidR="00471D9E" w:rsidRPr="00471D9E" w:rsidRDefault="00471D9E" w:rsidP="00B77917">
            <w:pPr>
              <w:pStyle w:val="TableParagraph"/>
              <w:jc w:val="center"/>
            </w:pPr>
            <w:r w:rsidRPr="00471D9E">
              <w:t xml:space="preserve">+ </w:t>
            </w:r>
            <w:r w:rsidR="00412308">
              <w:t>4</w:t>
            </w:r>
            <w:r w:rsidR="00D8534B">
              <w:t>.5</w:t>
            </w:r>
            <w:r w:rsidRPr="00471D9E">
              <w:t xml:space="preserve"> weeks</w:t>
            </w:r>
          </w:p>
        </w:tc>
      </w:tr>
      <w:tr w:rsidR="00471D9E" w:rsidRPr="00471D9E" w14:paraId="5E5F5872" w14:textId="77777777" w:rsidTr="009446BB">
        <w:tc>
          <w:tcPr>
            <w:tcW w:w="3003" w:type="pct"/>
          </w:tcPr>
          <w:p w14:paraId="07EC7F58" w14:textId="77777777" w:rsidR="00471D9E" w:rsidRPr="00471D9E" w:rsidRDefault="00471D9E" w:rsidP="009446BB">
            <w:pPr>
              <w:pStyle w:val="TableParagraph"/>
            </w:pPr>
            <w:r w:rsidRPr="00471D9E">
              <w:t>Telephone Reminders</w:t>
            </w:r>
          </w:p>
        </w:tc>
        <w:tc>
          <w:tcPr>
            <w:tcW w:w="1997" w:type="pct"/>
          </w:tcPr>
          <w:p w14:paraId="16DE0480" w14:textId="1FFC3984" w:rsidR="00471D9E" w:rsidRPr="00471D9E" w:rsidRDefault="00471D9E" w:rsidP="00D8534B">
            <w:pPr>
              <w:pStyle w:val="TableParagraph"/>
              <w:jc w:val="center"/>
            </w:pPr>
            <w:r w:rsidRPr="00471D9E">
              <w:t xml:space="preserve">+ </w:t>
            </w:r>
            <w:r w:rsidR="00D8534B">
              <w:t>5.5-10</w:t>
            </w:r>
            <w:r w:rsidR="00412308">
              <w:t xml:space="preserve"> </w:t>
            </w:r>
            <w:r w:rsidRPr="00471D9E">
              <w:t>weeks</w:t>
            </w:r>
          </w:p>
        </w:tc>
      </w:tr>
      <w:tr w:rsidR="00471D9E" w:rsidRPr="00471D9E" w14:paraId="2B19902D" w14:textId="77777777" w:rsidTr="009446BB">
        <w:tc>
          <w:tcPr>
            <w:tcW w:w="3003" w:type="pct"/>
          </w:tcPr>
          <w:p w14:paraId="0AD1053A" w14:textId="77777777" w:rsidR="00471D9E" w:rsidRPr="00471D9E" w:rsidRDefault="00471D9E" w:rsidP="009446BB">
            <w:pPr>
              <w:pStyle w:val="TableParagraph"/>
            </w:pPr>
            <w:r w:rsidRPr="00471D9E">
              <w:t>FedEx mailing (final mailing)</w:t>
            </w:r>
          </w:p>
        </w:tc>
        <w:tc>
          <w:tcPr>
            <w:tcW w:w="1997" w:type="pct"/>
          </w:tcPr>
          <w:p w14:paraId="0FC2468F" w14:textId="25D614C5" w:rsidR="00471D9E" w:rsidRPr="00471D9E" w:rsidRDefault="00471D9E" w:rsidP="00D8534B">
            <w:pPr>
              <w:pStyle w:val="TableParagraph"/>
              <w:jc w:val="center"/>
            </w:pPr>
            <w:r w:rsidRPr="00471D9E">
              <w:t xml:space="preserve">+ </w:t>
            </w:r>
            <w:r w:rsidR="00D8534B">
              <w:t>6</w:t>
            </w:r>
            <w:r w:rsidR="00B77917">
              <w:t>.5</w:t>
            </w:r>
            <w:r w:rsidRPr="00471D9E">
              <w:t xml:space="preserve"> weeks</w:t>
            </w:r>
          </w:p>
        </w:tc>
      </w:tr>
      <w:tr w:rsidR="00471D9E" w:rsidRPr="00471D9E" w14:paraId="198C52C2" w14:textId="77777777" w:rsidTr="009446BB">
        <w:tc>
          <w:tcPr>
            <w:tcW w:w="3003" w:type="pct"/>
          </w:tcPr>
          <w:p w14:paraId="0EBCD8FB" w14:textId="77777777" w:rsidR="00471D9E" w:rsidRPr="00471D9E" w:rsidRDefault="00471D9E" w:rsidP="009446BB">
            <w:pPr>
              <w:pStyle w:val="TableParagraph"/>
            </w:pPr>
            <w:r w:rsidRPr="00471D9E">
              <w:t xml:space="preserve">Final email reminder </w:t>
            </w:r>
          </w:p>
        </w:tc>
        <w:tc>
          <w:tcPr>
            <w:tcW w:w="1997" w:type="pct"/>
          </w:tcPr>
          <w:p w14:paraId="7DDCC55C" w14:textId="6BF41DD2" w:rsidR="00471D9E" w:rsidRPr="00471D9E" w:rsidRDefault="00471D9E" w:rsidP="00D8534B">
            <w:pPr>
              <w:pStyle w:val="TableParagraph"/>
              <w:jc w:val="center"/>
            </w:pPr>
            <w:r w:rsidRPr="00471D9E">
              <w:t xml:space="preserve">+ </w:t>
            </w:r>
            <w:r w:rsidR="00D8534B">
              <w:t>8</w:t>
            </w:r>
            <w:r w:rsidRPr="00471D9E">
              <w:t xml:space="preserve"> weeks</w:t>
            </w:r>
          </w:p>
        </w:tc>
      </w:tr>
      <w:tr w:rsidR="00471D9E" w:rsidRPr="00471D9E" w14:paraId="30D7EF38" w14:textId="77777777" w:rsidTr="009446BB">
        <w:tc>
          <w:tcPr>
            <w:tcW w:w="3003" w:type="pct"/>
          </w:tcPr>
          <w:p w14:paraId="374FAB87" w14:textId="77777777" w:rsidR="00471D9E" w:rsidRPr="00471D9E" w:rsidRDefault="00471D9E" w:rsidP="009446BB">
            <w:pPr>
              <w:pStyle w:val="TableParagraph"/>
            </w:pPr>
            <w:r w:rsidRPr="00471D9E">
              <w:t>End data collection</w:t>
            </w:r>
          </w:p>
        </w:tc>
        <w:tc>
          <w:tcPr>
            <w:tcW w:w="1997" w:type="pct"/>
          </w:tcPr>
          <w:p w14:paraId="067425B9" w14:textId="615633AA" w:rsidR="00471D9E" w:rsidRPr="00471D9E" w:rsidRDefault="00471D9E" w:rsidP="00D8534B">
            <w:pPr>
              <w:pStyle w:val="TableParagraph"/>
              <w:jc w:val="center"/>
            </w:pPr>
            <w:r w:rsidRPr="00471D9E">
              <w:t xml:space="preserve">+ </w:t>
            </w:r>
            <w:r w:rsidR="00D8534B">
              <w:t>12</w:t>
            </w:r>
            <w:r w:rsidRPr="00471D9E">
              <w:t xml:space="preserve"> weeks</w:t>
            </w:r>
          </w:p>
        </w:tc>
      </w:tr>
    </w:tbl>
    <w:p w14:paraId="73E26DC4" w14:textId="77777777" w:rsidR="00957F14" w:rsidRPr="00C01C04" w:rsidRDefault="00957F14" w:rsidP="00AB5537">
      <w:pPr>
        <w:rPr>
          <w:rFonts w:asciiTheme="minorHAnsi" w:hAnsiTheme="minorHAnsi"/>
          <w:sz w:val="22"/>
          <w:szCs w:val="22"/>
        </w:rPr>
      </w:pPr>
    </w:p>
    <w:p w14:paraId="5099E453" w14:textId="77777777" w:rsidR="00957F14" w:rsidRPr="00C01C04" w:rsidRDefault="00957F14" w:rsidP="00957F14">
      <w:pPr>
        <w:pStyle w:val="Heading2"/>
        <w:tabs>
          <w:tab w:val="clear" w:pos="1152"/>
          <w:tab w:val="left" w:pos="720"/>
        </w:tabs>
        <w:spacing w:after="0" w:line="480" w:lineRule="auto"/>
        <w:ind w:left="0" w:firstLine="0"/>
        <w:rPr>
          <w:rFonts w:asciiTheme="minorHAnsi" w:hAnsiTheme="minorHAnsi"/>
          <w:szCs w:val="22"/>
        </w:rPr>
      </w:pPr>
      <w:bookmarkStart w:id="6" w:name="_Toc443881765"/>
      <w:bookmarkStart w:id="7" w:name="_Toc451592252"/>
      <w:bookmarkStart w:id="8" w:name="_Toc5610293"/>
      <w:bookmarkStart w:id="9" w:name="_Toc99178799"/>
      <w:r w:rsidRPr="00C01C04">
        <w:rPr>
          <w:rFonts w:asciiTheme="minorHAnsi" w:hAnsiTheme="minorHAnsi"/>
          <w:szCs w:val="22"/>
        </w:rPr>
        <w:t>B.3</w:t>
      </w:r>
      <w:r w:rsidRPr="00C01C04">
        <w:rPr>
          <w:rFonts w:asciiTheme="minorHAnsi" w:hAnsiTheme="minorHAnsi"/>
          <w:szCs w:val="22"/>
        </w:rPr>
        <w:tab/>
        <w:t>Methods to Maximize Response Rates and Deal with Nonresponse</w:t>
      </w:r>
      <w:bookmarkEnd w:id="6"/>
      <w:bookmarkEnd w:id="7"/>
      <w:bookmarkEnd w:id="8"/>
      <w:bookmarkEnd w:id="9"/>
    </w:p>
    <w:p w14:paraId="062628E9" w14:textId="77777777" w:rsidR="0072465F" w:rsidRDefault="0072465F" w:rsidP="0072465F">
      <w:pPr>
        <w:rPr>
          <w:rFonts w:asciiTheme="minorHAnsi" w:hAnsiTheme="minorHAnsi"/>
          <w:sz w:val="22"/>
          <w:szCs w:val="22"/>
        </w:rPr>
      </w:pPr>
      <w:r w:rsidRPr="0072465F">
        <w:rPr>
          <w:rFonts w:asciiTheme="minorHAnsi" w:hAnsiTheme="minorHAnsi"/>
          <w:sz w:val="22"/>
          <w:szCs w:val="22"/>
        </w:rPr>
        <w:t>To help ensure that the participation rate is as high as possible, NCI and the contractor will employ the following strategies:</w:t>
      </w:r>
    </w:p>
    <w:p w14:paraId="24720B53" w14:textId="77777777" w:rsidR="00B77917" w:rsidRPr="0072465F" w:rsidRDefault="00B77917" w:rsidP="0072465F">
      <w:pPr>
        <w:rPr>
          <w:rFonts w:asciiTheme="minorHAnsi" w:hAnsiTheme="minorHAnsi"/>
          <w:sz w:val="22"/>
          <w:szCs w:val="22"/>
        </w:rPr>
      </w:pPr>
    </w:p>
    <w:p w14:paraId="00FC2048" w14:textId="77777777" w:rsidR="0072465F" w:rsidRPr="009A0F93" w:rsidRDefault="0072465F" w:rsidP="009A0F93">
      <w:pPr>
        <w:pStyle w:val="ListParagraph"/>
        <w:numPr>
          <w:ilvl w:val="0"/>
          <w:numId w:val="9"/>
        </w:numPr>
        <w:rPr>
          <w:rFonts w:asciiTheme="minorHAnsi" w:hAnsiTheme="minorHAnsi"/>
          <w:sz w:val="22"/>
          <w:szCs w:val="22"/>
        </w:rPr>
      </w:pPr>
      <w:r w:rsidRPr="009A0F93">
        <w:rPr>
          <w:rFonts w:asciiTheme="minorHAnsi" w:hAnsiTheme="minorHAnsi"/>
          <w:b/>
          <w:bCs/>
          <w:sz w:val="22"/>
          <w:szCs w:val="22"/>
        </w:rPr>
        <w:t xml:space="preserve">Tailored contact materials. </w:t>
      </w:r>
      <w:r w:rsidRPr="009A0F93">
        <w:rPr>
          <w:rFonts w:asciiTheme="minorHAnsi" w:hAnsiTheme="minorHAnsi"/>
          <w:sz w:val="22"/>
          <w:szCs w:val="22"/>
        </w:rPr>
        <w:t>All contact materials and emails will be tailored to include the sample member’s name per the Tailored Design Method (Dillman, 2000).</w:t>
      </w:r>
    </w:p>
    <w:p w14:paraId="636F0F05" w14:textId="77777777" w:rsidR="0072465F" w:rsidRPr="009A0F93" w:rsidRDefault="0072465F" w:rsidP="009A0F93">
      <w:pPr>
        <w:pStyle w:val="ListParagraph"/>
        <w:numPr>
          <w:ilvl w:val="0"/>
          <w:numId w:val="9"/>
        </w:numPr>
        <w:rPr>
          <w:rFonts w:asciiTheme="minorHAnsi" w:hAnsiTheme="minorHAnsi"/>
          <w:sz w:val="22"/>
          <w:szCs w:val="22"/>
        </w:rPr>
      </w:pPr>
      <w:r w:rsidRPr="009A0F93">
        <w:rPr>
          <w:rFonts w:asciiTheme="minorHAnsi" w:hAnsiTheme="minorHAnsi"/>
          <w:b/>
          <w:bCs/>
          <w:sz w:val="22"/>
          <w:szCs w:val="22"/>
        </w:rPr>
        <w:t xml:space="preserve">Topic Saliency. </w:t>
      </w:r>
      <w:r w:rsidRPr="009A0F93">
        <w:rPr>
          <w:rFonts w:asciiTheme="minorHAnsi" w:hAnsiTheme="minorHAnsi"/>
          <w:sz w:val="22"/>
          <w:szCs w:val="22"/>
        </w:rPr>
        <w:t>Oncologists will be surveyed about their attitudes and experiences with genomic testing, a topic that is salient and relevant to them.</w:t>
      </w:r>
    </w:p>
    <w:p w14:paraId="36A01ABE" w14:textId="1C340C91" w:rsidR="0072465F" w:rsidRPr="009A0F93" w:rsidRDefault="0072465F" w:rsidP="009A0F93">
      <w:pPr>
        <w:pStyle w:val="ListParagraph"/>
        <w:numPr>
          <w:ilvl w:val="0"/>
          <w:numId w:val="9"/>
        </w:numPr>
        <w:rPr>
          <w:rFonts w:asciiTheme="minorHAnsi" w:hAnsiTheme="minorHAnsi"/>
          <w:sz w:val="22"/>
          <w:szCs w:val="22"/>
        </w:rPr>
      </w:pPr>
      <w:r w:rsidRPr="009A0F93">
        <w:rPr>
          <w:rFonts w:asciiTheme="minorHAnsi" w:hAnsiTheme="minorHAnsi"/>
          <w:sz w:val="22"/>
          <w:szCs w:val="22"/>
        </w:rPr>
        <w:t>Design a protocol that minimizes burden. The survey will be short in length (</w:t>
      </w:r>
      <w:r w:rsidR="009A0F93">
        <w:rPr>
          <w:rFonts w:asciiTheme="minorHAnsi" w:hAnsiTheme="minorHAnsi"/>
          <w:sz w:val="22"/>
          <w:szCs w:val="22"/>
        </w:rPr>
        <w:t>approximately</w:t>
      </w:r>
      <w:r w:rsidRPr="009A0F93">
        <w:rPr>
          <w:rFonts w:asciiTheme="minorHAnsi" w:hAnsiTheme="minorHAnsi"/>
          <w:sz w:val="22"/>
          <w:szCs w:val="22"/>
        </w:rPr>
        <w:t xml:space="preserve"> 20 minutes), clearly written, and with appealing formatting; </w:t>
      </w:r>
    </w:p>
    <w:p w14:paraId="372ECDDB" w14:textId="77777777" w:rsidR="0072465F" w:rsidRPr="009A0F93" w:rsidRDefault="0072465F" w:rsidP="009A0F93">
      <w:pPr>
        <w:pStyle w:val="ListParagraph"/>
        <w:numPr>
          <w:ilvl w:val="0"/>
          <w:numId w:val="9"/>
        </w:numPr>
        <w:rPr>
          <w:rFonts w:asciiTheme="minorHAnsi" w:hAnsiTheme="minorHAnsi"/>
          <w:sz w:val="22"/>
          <w:szCs w:val="22"/>
        </w:rPr>
      </w:pPr>
      <w:r w:rsidRPr="009A0F93">
        <w:rPr>
          <w:rFonts w:asciiTheme="minorHAnsi" w:hAnsiTheme="minorHAnsi"/>
          <w:b/>
          <w:bCs/>
          <w:sz w:val="22"/>
          <w:szCs w:val="22"/>
        </w:rPr>
        <w:lastRenderedPageBreak/>
        <w:t xml:space="preserve">Use of NCI sponsorship. </w:t>
      </w:r>
      <w:r w:rsidRPr="009A0F93">
        <w:rPr>
          <w:rFonts w:asciiTheme="minorHAnsi" w:hAnsiTheme="minorHAnsi"/>
          <w:sz w:val="22"/>
          <w:szCs w:val="22"/>
        </w:rPr>
        <w:t>Physicians are more willing to participate when they know the organization sponsoring the survey (Beebe, Jenkins, Anderson &amp; Davern, 2008).</w:t>
      </w:r>
    </w:p>
    <w:p w14:paraId="199C1471" w14:textId="77777777" w:rsidR="0072465F" w:rsidRPr="009A0F93" w:rsidRDefault="0072465F" w:rsidP="009A0F93">
      <w:pPr>
        <w:pStyle w:val="ListParagraph"/>
        <w:numPr>
          <w:ilvl w:val="0"/>
          <w:numId w:val="9"/>
        </w:numPr>
        <w:rPr>
          <w:rFonts w:asciiTheme="minorHAnsi" w:hAnsiTheme="minorHAnsi"/>
          <w:sz w:val="22"/>
          <w:szCs w:val="22"/>
        </w:rPr>
      </w:pPr>
      <w:r w:rsidRPr="009A0F93">
        <w:rPr>
          <w:rFonts w:asciiTheme="minorHAnsi" w:hAnsiTheme="minorHAnsi"/>
          <w:b/>
          <w:bCs/>
          <w:sz w:val="22"/>
          <w:szCs w:val="22"/>
        </w:rPr>
        <w:t>Endorsements.</w:t>
      </w:r>
      <w:r w:rsidRPr="009A0F93">
        <w:rPr>
          <w:rFonts w:asciiTheme="minorHAnsi" w:hAnsiTheme="minorHAnsi"/>
          <w:sz w:val="22"/>
          <w:szCs w:val="22"/>
        </w:rPr>
        <w:t xml:space="preserve"> The study will include endorsements from organizations such as the American Society of Clinical Oncology. Endorsements by professional organization have been shown to be effective (Olson, Schneirderman &amp; Armstrong, 1993).</w:t>
      </w:r>
    </w:p>
    <w:p w14:paraId="1DD05440" w14:textId="77777777" w:rsidR="0072465F" w:rsidRPr="009A0F93" w:rsidRDefault="0072465F" w:rsidP="009A0F93">
      <w:pPr>
        <w:pStyle w:val="ListParagraph"/>
        <w:numPr>
          <w:ilvl w:val="0"/>
          <w:numId w:val="9"/>
        </w:numPr>
        <w:rPr>
          <w:rFonts w:asciiTheme="minorHAnsi" w:hAnsiTheme="minorHAnsi"/>
          <w:sz w:val="22"/>
          <w:szCs w:val="22"/>
        </w:rPr>
      </w:pPr>
      <w:r w:rsidRPr="009A0F93">
        <w:rPr>
          <w:rFonts w:asciiTheme="minorHAnsi" w:hAnsiTheme="minorHAnsi"/>
          <w:b/>
          <w:bCs/>
          <w:sz w:val="22"/>
          <w:szCs w:val="22"/>
        </w:rPr>
        <w:t xml:space="preserve">Sequential Mixed Mode. </w:t>
      </w:r>
      <w:r w:rsidRPr="009A0F93">
        <w:rPr>
          <w:rFonts w:asciiTheme="minorHAnsi" w:hAnsiTheme="minorHAnsi"/>
          <w:sz w:val="22"/>
          <w:szCs w:val="22"/>
        </w:rPr>
        <w:t>Using a sequential mail and web mixed mode design is shown to increase response compared with concurrent mixed mode designs (Medway and Fulton, 2012)</w:t>
      </w:r>
    </w:p>
    <w:p w14:paraId="5C3CE667" w14:textId="77777777" w:rsidR="0072465F" w:rsidRPr="009A0F93" w:rsidRDefault="0072465F" w:rsidP="009A0F93">
      <w:pPr>
        <w:pStyle w:val="ListParagraph"/>
        <w:numPr>
          <w:ilvl w:val="0"/>
          <w:numId w:val="9"/>
        </w:numPr>
        <w:rPr>
          <w:rFonts w:asciiTheme="minorHAnsi" w:hAnsiTheme="minorHAnsi"/>
          <w:sz w:val="22"/>
          <w:szCs w:val="22"/>
        </w:rPr>
      </w:pPr>
      <w:r w:rsidRPr="009A0F93">
        <w:rPr>
          <w:rFonts w:asciiTheme="minorHAnsi" w:hAnsiTheme="minorHAnsi"/>
          <w:b/>
          <w:bCs/>
          <w:sz w:val="22"/>
          <w:szCs w:val="22"/>
        </w:rPr>
        <w:t>Reminder telephone calls.</w:t>
      </w:r>
      <w:r w:rsidRPr="009A0F93">
        <w:rPr>
          <w:rFonts w:asciiTheme="minorHAnsi" w:hAnsiTheme="minorHAnsi"/>
          <w:sz w:val="22"/>
          <w:szCs w:val="22"/>
        </w:rPr>
        <w:t xml:space="preserve"> Several studies have found that the use of telephone “prompts” to complete a mail or Internet survey were successful (Braithwaite, Emery, Lusignan, &amp; Sutton,2003; Price, 2000).</w:t>
      </w:r>
    </w:p>
    <w:p w14:paraId="1D50B5EA" w14:textId="77777777" w:rsidR="009A0F93" w:rsidRDefault="009A0F93" w:rsidP="0072465F">
      <w:pPr>
        <w:rPr>
          <w:rFonts w:asciiTheme="minorHAnsi" w:hAnsiTheme="minorHAnsi"/>
          <w:sz w:val="22"/>
          <w:szCs w:val="22"/>
        </w:rPr>
      </w:pPr>
    </w:p>
    <w:p w14:paraId="275FDE61" w14:textId="77777777" w:rsidR="0072465F" w:rsidRPr="0072465F" w:rsidRDefault="0072465F" w:rsidP="0072465F">
      <w:pPr>
        <w:rPr>
          <w:rFonts w:asciiTheme="minorHAnsi" w:hAnsiTheme="minorHAnsi"/>
          <w:sz w:val="22"/>
          <w:szCs w:val="22"/>
        </w:rPr>
      </w:pPr>
      <w:r w:rsidRPr="0072465F">
        <w:rPr>
          <w:rFonts w:asciiTheme="minorHAnsi" w:hAnsiTheme="minorHAnsi"/>
          <w:sz w:val="22"/>
          <w:szCs w:val="22"/>
        </w:rPr>
        <w:t>In the absence of additional information, response rates are often used alone as a proxy measure for survey quality, with lower response rates indicating poorer quality. However, lower response rates are not always associated with greater nonresponse bias (Groves, 2006). Total survey error is a function of many factors, including nonsampling errors that may arise from both responders and nonresponders (Biemer and Lyberg, 2003). A nonresponse bias analysis can be used to determine the potential for nonresponse bias in the survey estimates from the main data collection.</w:t>
      </w:r>
    </w:p>
    <w:p w14:paraId="13D2E966" w14:textId="77777777" w:rsidR="009A0F93" w:rsidRDefault="009A0F93" w:rsidP="0072465F">
      <w:pPr>
        <w:rPr>
          <w:rFonts w:asciiTheme="minorHAnsi" w:hAnsiTheme="minorHAnsi"/>
          <w:sz w:val="22"/>
          <w:szCs w:val="22"/>
        </w:rPr>
      </w:pPr>
    </w:p>
    <w:p w14:paraId="23E2E45D" w14:textId="75D537BF" w:rsidR="0072465F" w:rsidRPr="0072465F" w:rsidRDefault="0072465F" w:rsidP="007410BB">
      <w:pPr>
        <w:rPr>
          <w:rFonts w:asciiTheme="minorHAnsi" w:hAnsiTheme="minorHAnsi"/>
          <w:sz w:val="22"/>
          <w:szCs w:val="22"/>
        </w:rPr>
      </w:pPr>
      <w:r w:rsidRPr="0072465F">
        <w:rPr>
          <w:rFonts w:asciiTheme="minorHAnsi" w:hAnsiTheme="minorHAnsi"/>
          <w:sz w:val="22"/>
          <w:szCs w:val="22"/>
        </w:rPr>
        <w:t>For this project, a brief (1page) nonresponse survey will be conducted with physicians via telephone (</w:t>
      </w:r>
      <w:r w:rsidRPr="00B77917">
        <w:rPr>
          <w:rFonts w:asciiTheme="minorHAnsi" w:hAnsiTheme="minorHAnsi"/>
          <w:b/>
          <w:sz w:val="22"/>
          <w:szCs w:val="22"/>
        </w:rPr>
        <w:t xml:space="preserve">Attachment </w:t>
      </w:r>
      <w:r w:rsidR="00B77917" w:rsidRPr="00B77917">
        <w:rPr>
          <w:rFonts w:asciiTheme="minorHAnsi" w:hAnsiTheme="minorHAnsi"/>
          <w:b/>
          <w:sz w:val="22"/>
          <w:szCs w:val="22"/>
        </w:rPr>
        <w:t>E</w:t>
      </w:r>
      <w:r w:rsidRPr="0072465F">
        <w:rPr>
          <w:rFonts w:asciiTheme="minorHAnsi" w:hAnsiTheme="minorHAnsi"/>
          <w:sz w:val="22"/>
          <w:szCs w:val="22"/>
        </w:rPr>
        <w:t xml:space="preserve">). The survey will be designed to produce estimates of reasons for nonresponse. In addition to questions on reasons for nonresponse, we will include one or two key items of interest from the main survey, such the use of genomic testing. Statistical comparisons between items that are on both the nonresponse follow up survey and the mail survey will be used to measure the magnitude of nonresponse bias in the main study. We will also include some information on practice characteristics (such as academic versus non-academic practice setting). These characteristics may assist in producing weighting adjustments for nonresponse. </w:t>
      </w:r>
    </w:p>
    <w:p w14:paraId="38AD4AEB" w14:textId="77777777" w:rsidR="009A0F93" w:rsidRDefault="009A0F93" w:rsidP="00957F14">
      <w:pPr>
        <w:pStyle w:val="Heading2"/>
        <w:tabs>
          <w:tab w:val="clear" w:pos="1152"/>
          <w:tab w:val="left" w:pos="720"/>
        </w:tabs>
        <w:spacing w:after="0" w:line="480" w:lineRule="auto"/>
        <w:ind w:left="0" w:firstLine="0"/>
        <w:rPr>
          <w:rFonts w:asciiTheme="minorHAnsi" w:hAnsiTheme="minorHAnsi"/>
          <w:szCs w:val="22"/>
        </w:rPr>
      </w:pPr>
      <w:bookmarkStart w:id="10" w:name="_Toc443881766"/>
      <w:bookmarkStart w:id="11" w:name="_Toc451592253"/>
      <w:bookmarkStart w:id="12" w:name="_Toc5610294"/>
      <w:bookmarkStart w:id="13" w:name="_Toc99178800"/>
    </w:p>
    <w:p w14:paraId="4B5AC92E" w14:textId="77777777" w:rsidR="00957F14" w:rsidRPr="00C01C04" w:rsidRDefault="00957F14" w:rsidP="00957F14">
      <w:pPr>
        <w:pStyle w:val="Heading2"/>
        <w:tabs>
          <w:tab w:val="clear" w:pos="1152"/>
          <w:tab w:val="left" w:pos="720"/>
        </w:tabs>
        <w:spacing w:after="0" w:line="480" w:lineRule="auto"/>
        <w:ind w:left="0" w:firstLine="0"/>
        <w:rPr>
          <w:rFonts w:asciiTheme="minorHAnsi" w:hAnsiTheme="minorHAnsi"/>
          <w:szCs w:val="22"/>
        </w:rPr>
      </w:pPr>
      <w:r w:rsidRPr="00C01C04">
        <w:rPr>
          <w:rFonts w:asciiTheme="minorHAnsi" w:hAnsiTheme="minorHAnsi"/>
          <w:szCs w:val="22"/>
        </w:rPr>
        <w:t>B.4</w:t>
      </w:r>
      <w:r w:rsidRPr="00C01C04">
        <w:rPr>
          <w:rFonts w:asciiTheme="minorHAnsi" w:hAnsiTheme="minorHAnsi"/>
          <w:szCs w:val="22"/>
        </w:rPr>
        <w:tab/>
        <w:t>Test of Procedures or Methods to be Undertaken</w:t>
      </w:r>
      <w:bookmarkEnd w:id="10"/>
      <w:bookmarkEnd w:id="11"/>
      <w:bookmarkEnd w:id="12"/>
      <w:bookmarkEnd w:id="13"/>
    </w:p>
    <w:p w14:paraId="067E4267" w14:textId="4DBD0058" w:rsidR="009A0F93" w:rsidRPr="009A0F93" w:rsidRDefault="009A0F93" w:rsidP="009A0F93">
      <w:pPr>
        <w:rPr>
          <w:rFonts w:asciiTheme="minorHAnsi" w:hAnsiTheme="minorHAnsi"/>
          <w:sz w:val="22"/>
          <w:szCs w:val="22"/>
        </w:rPr>
      </w:pPr>
      <w:r w:rsidRPr="009A0F93">
        <w:rPr>
          <w:rFonts w:asciiTheme="minorHAnsi" w:hAnsiTheme="minorHAnsi"/>
          <w:sz w:val="22"/>
          <w:szCs w:val="22"/>
        </w:rPr>
        <w:t xml:space="preserve">The survey instrument </w:t>
      </w:r>
      <w:r w:rsidR="00D1083F">
        <w:rPr>
          <w:rFonts w:asciiTheme="minorHAnsi" w:hAnsiTheme="minorHAnsi"/>
          <w:sz w:val="22"/>
          <w:szCs w:val="22"/>
        </w:rPr>
        <w:t>was</w:t>
      </w:r>
      <w:r w:rsidRPr="009A0F93">
        <w:rPr>
          <w:rFonts w:asciiTheme="minorHAnsi" w:hAnsiTheme="minorHAnsi"/>
          <w:sz w:val="22"/>
          <w:szCs w:val="22"/>
        </w:rPr>
        <w:t xml:space="preserve"> cognitively tested with 9 participants</w:t>
      </w:r>
      <w:r w:rsidR="00D1083F">
        <w:rPr>
          <w:rFonts w:asciiTheme="minorHAnsi" w:hAnsiTheme="minorHAnsi"/>
          <w:sz w:val="22"/>
          <w:szCs w:val="22"/>
        </w:rPr>
        <w:t xml:space="preserve"> (completed June 2015)</w:t>
      </w:r>
      <w:r w:rsidRPr="009A0F93">
        <w:rPr>
          <w:rFonts w:asciiTheme="minorHAnsi" w:hAnsiTheme="minorHAnsi"/>
          <w:sz w:val="22"/>
          <w:szCs w:val="22"/>
        </w:rPr>
        <w:t xml:space="preserve">. </w:t>
      </w:r>
      <w:r w:rsidR="00D1083F">
        <w:rPr>
          <w:rFonts w:asciiTheme="minorHAnsi" w:hAnsiTheme="minorHAnsi"/>
          <w:sz w:val="22"/>
          <w:szCs w:val="22"/>
        </w:rPr>
        <w:t xml:space="preserve"> PRA OMB Clearance was not needed for this small pilot.  </w:t>
      </w:r>
      <w:r w:rsidRPr="009A0F93">
        <w:rPr>
          <w:rFonts w:asciiTheme="minorHAnsi" w:hAnsiTheme="minorHAnsi"/>
          <w:sz w:val="22"/>
          <w:szCs w:val="22"/>
        </w:rPr>
        <w:t xml:space="preserve">In response to the feedback received during testing, some survey questions were dropped, and many survey questions were revised or improved. </w:t>
      </w:r>
    </w:p>
    <w:p w14:paraId="04510F52" w14:textId="77777777" w:rsidR="009A0F93" w:rsidRDefault="009A0F93" w:rsidP="009A0F93">
      <w:pPr>
        <w:rPr>
          <w:rFonts w:asciiTheme="minorHAnsi" w:hAnsiTheme="minorHAnsi"/>
          <w:sz w:val="22"/>
          <w:szCs w:val="22"/>
        </w:rPr>
      </w:pPr>
    </w:p>
    <w:p w14:paraId="1925DC6C" w14:textId="35D6161E" w:rsidR="000D1650" w:rsidRDefault="00C941C6" w:rsidP="000D1650">
      <w:pPr>
        <w:rPr>
          <w:rFonts w:asciiTheme="minorHAnsi" w:hAnsiTheme="minorHAnsi"/>
          <w:sz w:val="22"/>
          <w:szCs w:val="22"/>
        </w:rPr>
      </w:pPr>
      <w:r>
        <w:rPr>
          <w:rFonts w:asciiTheme="minorHAnsi" w:hAnsiTheme="minorHAnsi"/>
          <w:sz w:val="22"/>
          <w:szCs w:val="22"/>
        </w:rPr>
        <w:t>Prior to launching the main study</w:t>
      </w:r>
      <w:r w:rsidR="009A0F93" w:rsidRPr="009A0F93">
        <w:rPr>
          <w:rFonts w:asciiTheme="minorHAnsi" w:hAnsiTheme="minorHAnsi"/>
          <w:sz w:val="22"/>
          <w:szCs w:val="22"/>
        </w:rPr>
        <w:t xml:space="preserve">, we will conduct a </w:t>
      </w:r>
      <w:r w:rsidR="004C4420">
        <w:rPr>
          <w:rFonts w:asciiTheme="minorHAnsi" w:hAnsiTheme="minorHAnsi"/>
          <w:sz w:val="22"/>
          <w:szCs w:val="22"/>
        </w:rPr>
        <w:t>pilot test</w:t>
      </w:r>
      <w:r w:rsidR="009A0F93" w:rsidRPr="009A0F93">
        <w:rPr>
          <w:rFonts w:asciiTheme="minorHAnsi" w:hAnsiTheme="minorHAnsi"/>
          <w:sz w:val="22"/>
          <w:szCs w:val="22"/>
        </w:rPr>
        <w:t xml:space="preserve"> designed </w:t>
      </w:r>
      <w:r w:rsidR="000D1650">
        <w:rPr>
          <w:rFonts w:asciiTheme="minorHAnsi" w:hAnsiTheme="minorHAnsi"/>
          <w:sz w:val="22"/>
          <w:szCs w:val="22"/>
        </w:rPr>
        <w:t>with a sample of 350</w:t>
      </w:r>
      <w:r w:rsidR="009A0F93" w:rsidRPr="009A0F93">
        <w:rPr>
          <w:rFonts w:asciiTheme="minorHAnsi" w:hAnsiTheme="minorHAnsi"/>
          <w:sz w:val="22"/>
          <w:szCs w:val="22"/>
        </w:rPr>
        <w:t xml:space="preserve"> oncologists before running the main study. The purpose of the </w:t>
      </w:r>
      <w:r w:rsidR="001601B7">
        <w:rPr>
          <w:rFonts w:asciiTheme="minorHAnsi" w:hAnsiTheme="minorHAnsi"/>
          <w:sz w:val="22"/>
          <w:szCs w:val="22"/>
        </w:rPr>
        <w:t>pilot</w:t>
      </w:r>
      <w:r w:rsidR="009A0F93" w:rsidRPr="009A0F93">
        <w:rPr>
          <w:rFonts w:asciiTheme="minorHAnsi" w:hAnsiTheme="minorHAnsi"/>
          <w:sz w:val="22"/>
          <w:szCs w:val="22"/>
        </w:rPr>
        <w:t xml:space="preserve"> is to </w:t>
      </w:r>
      <w:r w:rsidR="00D429CD">
        <w:rPr>
          <w:rFonts w:asciiTheme="minorHAnsi" w:hAnsiTheme="minorHAnsi"/>
          <w:sz w:val="22"/>
          <w:szCs w:val="22"/>
        </w:rPr>
        <w:t xml:space="preserve">verify our assumptions about the response rate and to </w:t>
      </w:r>
      <w:r w:rsidR="009A0F93" w:rsidRPr="009A0F93">
        <w:rPr>
          <w:rFonts w:asciiTheme="minorHAnsi" w:hAnsiTheme="minorHAnsi"/>
          <w:sz w:val="22"/>
          <w:szCs w:val="22"/>
        </w:rPr>
        <w:t>test the survey instruments as well as the recruitment</w:t>
      </w:r>
      <w:r w:rsidR="00D429CD">
        <w:rPr>
          <w:rFonts w:asciiTheme="minorHAnsi" w:hAnsiTheme="minorHAnsi"/>
          <w:sz w:val="22"/>
          <w:szCs w:val="22"/>
        </w:rPr>
        <w:t xml:space="preserve"> protocol</w:t>
      </w:r>
      <w:r w:rsidR="000D1650">
        <w:rPr>
          <w:rFonts w:asciiTheme="minorHAnsi" w:hAnsiTheme="minorHAnsi"/>
          <w:sz w:val="22"/>
          <w:szCs w:val="22"/>
        </w:rPr>
        <w:t xml:space="preserve">. </w:t>
      </w:r>
    </w:p>
    <w:p w14:paraId="1446AE91" w14:textId="77777777" w:rsidR="000D1650" w:rsidRDefault="000D1650" w:rsidP="000D1650">
      <w:pPr>
        <w:rPr>
          <w:rFonts w:asciiTheme="minorHAnsi" w:hAnsiTheme="minorHAnsi"/>
          <w:sz w:val="22"/>
          <w:szCs w:val="22"/>
        </w:rPr>
      </w:pPr>
    </w:p>
    <w:p w14:paraId="0165E3FE" w14:textId="77777777" w:rsidR="00957F14" w:rsidRPr="00C01C04" w:rsidRDefault="00957F14" w:rsidP="00957F14">
      <w:pPr>
        <w:rPr>
          <w:rFonts w:asciiTheme="minorHAnsi" w:hAnsiTheme="minorHAnsi"/>
          <w:b/>
          <w:sz w:val="22"/>
          <w:szCs w:val="22"/>
        </w:rPr>
      </w:pPr>
    </w:p>
    <w:p w14:paraId="3CE83E92" w14:textId="77777777" w:rsidR="00957F14" w:rsidRPr="00C01C04" w:rsidRDefault="00957F14" w:rsidP="00957F14">
      <w:pPr>
        <w:pStyle w:val="Heading2"/>
        <w:tabs>
          <w:tab w:val="left" w:pos="720"/>
        </w:tabs>
        <w:spacing w:after="0" w:line="240" w:lineRule="auto"/>
        <w:ind w:left="720" w:hanging="720"/>
        <w:rPr>
          <w:rFonts w:asciiTheme="minorHAnsi" w:hAnsiTheme="minorHAnsi"/>
          <w:color w:val="000000"/>
          <w:szCs w:val="22"/>
        </w:rPr>
      </w:pPr>
      <w:bookmarkStart w:id="14" w:name="_Toc443881767"/>
      <w:bookmarkStart w:id="15" w:name="_Toc451592254"/>
      <w:bookmarkStart w:id="16" w:name="_Toc5610295"/>
      <w:bookmarkStart w:id="17" w:name="_Toc99178801"/>
      <w:r w:rsidRPr="00C01C04">
        <w:rPr>
          <w:rFonts w:asciiTheme="minorHAnsi" w:hAnsiTheme="minorHAnsi"/>
          <w:color w:val="000000"/>
          <w:szCs w:val="22"/>
        </w:rPr>
        <w:t>B.5</w:t>
      </w:r>
      <w:r w:rsidRPr="00C01C04">
        <w:rPr>
          <w:rFonts w:asciiTheme="minorHAnsi" w:hAnsiTheme="minorHAnsi"/>
          <w:color w:val="000000"/>
          <w:szCs w:val="22"/>
        </w:rPr>
        <w:tab/>
        <w:t>Individuals Consulted on Statistical Aspects and Individuals Collecting and/or Analyzing Data</w:t>
      </w:r>
      <w:bookmarkEnd w:id="14"/>
      <w:bookmarkEnd w:id="15"/>
      <w:bookmarkEnd w:id="16"/>
      <w:bookmarkEnd w:id="17"/>
    </w:p>
    <w:p w14:paraId="34B542D4" w14:textId="77777777" w:rsidR="009D3721" w:rsidRPr="00C01C04" w:rsidRDefault="009D3721" w:rsidP="00957F14">
      <w:pPr>
        <w:rPr>
          <w:rFonts w:asciiTheme="minorHAnsi" w:hAnsiTheme="minorHAnsi"/>
          <w:sz w:val="22"/>
          <w:szCs w:val="22"/>
        </w:rPr>
      </w:pPr>
    </w:p>
    <w:p w14:paraId="28D19183" w14:textId="011250E6" w:rsidR="00957F14" w:rsidRPr="001601B7" w:rsidRDefault="00C941C6" w:rsidP="00C941C6">
      <w:pPr>
        <w:rPr>
          <w:rFonts w:asciiTheme="minorHAnsi" w:hAnsiTheme="minorHAnsi"/>
          <w:sz w:val="22"/>
          <w:szCs w:val="22"/>
        </w:rPr>
      </w:pPr>
      <w:r w:rsidRPr="001601B7">
        <w:rPr>
          <w:rFonts w:asciiTheme="minorHAnsi" w:hAnsiTheme="minorHAnsi"/>
          <w:sz w:val="22"/>
          <w:szCs w:val="22"/>
        </w:rPr>
        <w:t xml:space="preserve">Statistical experts both within and outside of NCI contributed to this project. RTI’s senior statistician, Darryl Creel, PhD, is the lead statistician responsible for developing the sampling </w:t>
      </w:r>
      <w:r w:rsidRPr="001601B7">
        <w:rPr>
          <w:rFonts w:asciiTheme="minorHAnsi" w:hAnsiTheme="minorHAnsi"/>
          <w:sz w:val="22"/>
          <w:szCs w:val="22"/>
        </w:rPr>
        <w:lastRenderedPageBreak/>
        <w:t xml:space="preserve">plan and reviewing the analytic goals. Benmei Liu, PhD, Mathematical Statistician in the Surveillance Research Program of the Division of Cancer Control and Population Sciences at the National Cancer Institute provided statistical consultation on both the sampling plan and analytic goals for this project. </w:t>
      </w:r>
    </w:p>
    <w:p w14:paraId="6A277B25" w14:textId="36724603" w:rsidR="001A35DF" w:rsidRPr="00B77917" w:rsidRDefault="001A35DF" w:rsidP="001A35DF">
      <w:pPr>
        <w:rPr>
          <w:rFonts w:asciiTheme="minorHAnsi" w:hAnsiTheme="minorHAnsi"/>
          <w:color w:val="FF0000"/>
          <w:sz w:val="22"/>
          <w:szCs w:val="22"/>
        </w:rPr>
      </w:pPr>
    </w:p>
    <w:p w14:paraId="07AC3C25" w14:textId="77777777" w:rsidR="001A35DF" w:rsidRPr="00C01C04" w:rsidRDefault="001A35DF" w:rsidP="001A35DF">
      <w:pPr>
        <w:rPr>
          <w:rFonts w:asciiTheme="minorHAnsi" w:hAnsiTheme="minorHAnsi"/>
          <w:sz w:val="22"/>
          <w:szCs w:val="22"/>
        </w:rPr>
      </w:pPr>
    </w:p>
    <w:p w14:paraId="758C1B06" w14:textId="77777777" w:rsidR="001A35DF" w:rsidRPr="00C01C04" w:rsidRDefault="001A35DF" w:rsidP="001A35DF">
      <w:pPr>
        <w:rPr>
          <w:rFonts w:asciiTheme="minorHAnsi" w:hAnsiTheme="minorHAnsi"/>
          <w:sz w:val="22"/>
          <w:szCs w:val="22"/>
        </w:rPr>
      </w:pPr>
    </w:p>
    <w:p w14:paraId="1AF5AF3E" w14:textId="77777777" w:rsidR="001A35DF" w:rsidRPr="00C01C04" w:rsidRDefault="001A35DF" w:rsidP="001A35DF">
      <w:pPr>
        <w:rPr>
          <w:rFonts w:asciiTheme="minorHAnsi" w:hAnsiTheme="minorHAnsi"/>
          <w:sz w:val="22"/>
          <w:szCs w:val="22"/>
        </w:rPr>
      </w:pPr>
    </w:p>
    <w:p w14:paraId="5E508CF4" w14:textId="77777777" w:rsidR="001A35DF" w:rsidRPr="00C01C04" w:rsidRDefault="001A35DF" w:rsidP="001A35DF">
      <w:pPr>
        <w:rPr>
          <w:rFonts w:asciiTheme="minorHAnsi" w:hAnsiTheme="minorHAnsi"/>
          <w:sz w:val="22"/>
          <w:szCs w:val="22"/>
        </w:rPr>
      </w:pPr>
    </w:p>
    <w:p w14:paraId="533C45A8" w14:textId="77777777" w:rsidR="001A35DF" w:rsidRPr="00C01C04" w:rsidRDefault="001A35DF" w:rsidP="001A35DF">
      <w:pPr>
        <w:rPr>
          <w:rFonts w:asciiTheme="minorHAnsi" w:hAnsiTheme="minorHAnsi"/>
          <w:sz w:val="22"/>
          <w:szCs w:val="22"/>
        </w:rPr>
      </w:pPr>
    </w:p>
    <w:p w14:paraId="4A490FC7" w14:textId="77777777" w:rsidR="001A35DF" w:rsidRPr="00C01C04" w:rsidRDefault="001A35DF" w:rsidP="001A35DF">
      <w:pPr>
        <w:rPr>
          <w:rFonts w:asciiTheme="minorHAnsi" w:hAnsiTheme="minorHAnsi"/>
          <w:sz w:val="22"/>
          <w:szCs w:val="22"/>
        </w:rPr>
      </w:pPr>
    </w:p>
    <w:p w14:paraId="6FEF25A6" w14:textId="77777777" w:rsidR="001A35DF" w:rsidRPr="00C01C04" w:rsidRDefault="001A35DF" w:rsidP="001A35DF">
      <w:pPr>
        <w:rPr>
          <w:rFonts w:asciiTheme="minorHAnsi" w:hAnsiTheme="minorHAnsi"/>
          <w:sz w:val="22"/>
          <w:szCs w:val="22"/>
        </w:rPr>
      </w:pPr>
    </w:p>
    <w:p w14:paraId="448441C6" w14:textId="77777777" w:rsidR="001A35DF" w:rsidRPr="00C01C04" w:rsidRDefault="001A35DF" w:rsidP="001A35DF">
      <w:pPr>
        <w:rPr>
          <w:rFonts w:asciiTheme="minorHAnsi" w:hAnsiTheme="minorHAnsi"/>
          <w:sz w:val="22"/>
          <w:szCs w:val="22"/>
        </w:rPr>
      </w:pPr>
    </w:p>
    <w:p w14:paraId="20DC1522" w14:textId="77777777" w:rsidR="001A35DF" w:rsidRPr="00C01C04" w:rsidRDefault="001A35DF" w:rsidP="001A35DF">
      <w:pPr>
        <w:rPr>
          <w:rFonts w:asciiTheme="minorHAnsi" w:hAnsiTheme="minorHAnsi"/>
          <w:sz w:val="22"/>
          <w:szCs w:val="22"/>
        </w:rPr>
      </w:pPr>
    </w:p>
    <w:p w14:paraId="362388C7" w14:textId="77777777" w:rsidR="001A35DF" w:rsidRPr="00C01C04" w:rsidRDefault="001A35DF" w:rsidP="001A35DF">
      <w:pPr>
        <w:rPr>
          <w:rFonts w:asciiTheme="minorHAnsi" w:hAnsiTheme="minorHAnsi"/>
          <w:sz w:val="22"/>
          <w:szCs w:val="22"/>
        </w:rPr>
      </w:pPr>
    </w:p>
    <w:p w14:paraId="0C430274" w14:textId="77777777" w:rsidR="001A35DF" w:rsidRPr="00C01C04" w:rsidRDefault="001A35DF" w:rsidP="001A35DF">
      <w:pPr>
        <w:rPr>
          <w:rFonts w:asciiTheme="minorHAnsi" w:hAnsiTheme="minorHAnsi"/>
          <w:sz w:val="22"/>
          <w:szCs w:val="22"/>
        </w:rPr>
      </w:pPr>
    </w:p>
    <w:p w14:paraId="01C1CC8C" w14:textId="77777777" w:rsidR="001A35DF" w:rsidRPr="00C01C04" w:rsidRDefault="001A35DF" w:rsidP="001A35DF">
      <w:pPr>
        <w:rPr>
          <w:rFonts w:asciiTheme="minorHAnsi" w:hAnsiTheme="minorHAnsi"/>
          <w:sz w:val="22"/>
          <w:szCs w:val="22"/>
        </w:rPr>
      </w:pPr>
    </w:p>
    <w:p w14:paraId="02D0D760" w14:textId="77777777" w:rsidR="001A35DF" w:rsidRPr="00C01C04" w:rsidRDefault="001A35DF" w:rsidP="001A35DF">
      <w:pPr>
        <w:rPr>
          <w:rFonts w:asciiTheme="minorHAnsi" w:hAnsiTheme="minorHAnsi"/>
          <w:sz w:val="22"/>
          <w:szCs w:val="22"/>
        </w:rPr>
      </w:pPr>
    </w:p>
    <w:p w14:paraId="20E3406A" w14:textId="77777777" w:rsidR="001A35DF" w:rsidRPr="00C01C04" w:rsidRDefault="001A35DF" w:rsidP="001A35DF">
      <w:pPr>
        <w:rPr>
          <w:rFonts w:asciiTheme="minorHAnsi" w:hAnsiTheme="minorHAnsi"/>
          <w:sz w:val="22"/>
          <w:szCs w:val="22"/>
        </w:rPr>
      </w:pPr>
    </w:p>
    <w:p w14:paraId="492AF85F" w14:textId="77777777" w:rsidR="001A35DF" w:rsidRPr="00C01C04" w:rsidRDefault="001A35DF" w:rsidP="001A35DF">
      <w:pPr>
        <w:rPr>
          <w:rFonts w:asciiTheme="minorHAnsi" w:hAnsiTheme="minorHAnsi"/>
          <w:sz w:val="22"/>
          <w:szCs w:val="22"/>
        </w:rPr>
      </w:pPr>
    </w:p>
    <w:p w14:paraId="10872CDB" w14:textId="77777777" w:rsidR="001A35DF" w:rsidRPr="00C01C04" w:rsidRDefault="001A35DF" w:rsidP="001A35DF">
      <w:pPr>
        <w:rPr>
          <w:rFonts w:asciiTheme="minorHAnsi" w:hAnsiTheme="minorHAnsi"/>
          <w:sz w:val="22"/>
          <w:szCs w:val="22"/>
        </w:rPr>
      </w:pPr>
    </w:p>
    <w:p w14:paraId="2CD086F5" w14:textId="77777777" w:rsidR="001A35DF" w:rsidRPr="00C01C04" w:rsidRDefault="001A35DF" w:rsidP="001A35DF">
      <w:pPr>
        <w:rPr>
          <w:rFonts w:asciiTheme="minorHAnsi" w:hAnsiTheme="minorHAnsi"/>
          <w:sz w:val="22"/>
          <w:szCs w:val="22"/>
        </w:rPr>
      </w:pPr>
    </w:p>
    <w:p w14:paraId="56D61DB9" w14:textId="77777777" w:rsidR="001A35DF" w:rsidRPr="00C01C04" w:rsidRDefault="001A35DF" w:rsidP="001A35DF">
      <w:pPr>
        <w:rPr>
          <w:rFonts w:asciiTheme="minorHAnsi" w:hAnsiTheme="minorHAnsi"/>
          <w:sz w:val="22"/>
          <w:szCs w:val="22"/>
        </w:rPr>
      </w:pPr>
    </w:p>
    <w:sectPr w:rsidR="001A35DF" w:rsidRPr="00C01C04" w:rsidSect="00DC582B">
      <w:footerReference w:type="even" r:id="rId12"/>
      <w:footerReference w:type="default" r:id="rId13"/>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F1054" w14:textId="77777777" w:rsidR="00A64698" w:rsidRDefault="00A64698">
      <w:r>
        <w:separator/>
      </w:r>
    </w:p>
  </w:endnote>
  <w:endnote w:type="continuationSeparator" w:id="0">
    <w:p w14:paraId="67FD61AD" w14:textId="77777777" w:rsidR="00A64698" w:rsidRDefault="00A6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22CBB" w14:textId="77777777"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AE583" w14:textId="77777777" w:rsidR="009D3721" w:rsidRDefault="009D37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80F1F" w14:textId="3B012C1B"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CF9">
      <w:rPr>
        <w:rStyle w:val="PageNumber"/>
        <w:noProof/>
      </w:rPr>
      <w:t>10</w:t>
    </w:r>
    <w:r>
      <w:rPr>
        <w:rStyle w:val="PageNumber"/>
      </w:rPr>
      <w:fldChar w:fldCharType="end"/>
    </w:r>
  </w:p>
  <w:p w14:paraId="1598F0D4" w14:textId="77777777" w:rsidR="009D3721" w:rsidRDefault="009D3721" w:rsidP="004A70E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658CC" w14:textId="77777777" w:rsidR="00A64698" w:rsidRDefault="00A64698">
      <w:r>
        <w:separator/>
      </w:r>
    </w:p>
  </w:footnote>
  <w:footnote w:type="continuationSeparator" w:id="0">
    <w:p w14:paraId="0E93EE9D" w14:textId="77777777" w:rsidR="00A64698" w:rsidRDefault="00A646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E95C28"/>
    <w:multiLevelType w:val="hybridMultilevel"/>
    <w:tmpl w:val="605AB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DE253C"/>
    <w:multiLevelType w:val="hybridMultilevel"/>
    <w:tmpl w:val="5A4806C0"/>
    <w:lvl w:ilvl="0" w:tplc="A8147CE4">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93930"/>
    <w:multiLevelType w:val="hybridMultilevel"/>
    <w:tmpl w:val="403C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948A1"/>
    <w:multiLevelType w:val="hybridMultilevel"/>
    <w:tmpl w:val="4AD8944A"/>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6" w15:restartNumberingAfterBreak="0">
    <w:nsid w:val="5D4E4E52"/>
    <w:multiLevelType w:val="hybridMultilevel"/>
    <w:tmpl w:val="9ADA20EC"/>
    <w:lvl w:ilvl="0" w:tplc="A8147CE4">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5"/>
  </w:num>
  <w:num w:numId="3">
    <w:abstractNumId w:val="0"/>
  </w:num>
  <w:num w:numId="4">
    <w:abstractNumId w:val="0"/>
  </w:num>
  <w:num w:numId="5">
    <w:abstractNumId w:val="3"/>
  </w:num>
  <w:num w:numId="6">
    <w:abstractNumId w:val="6"/>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c1NrE0NTI1MjE0MrdQ0lEKTi0uzszPAykwqgUATX/3TywAAAA="/>
  </w:docVars>
  <w:rsids>
    <w:rsidRoot w:val="008C310E"/>
    <w:rsid w:val="000267ED"/>
    <w:rsid w:val="000311E5"/>
    <w:rsid w:val="00033A4E"/>
    <w:rsid w:val="0005035B"/>
    <w:rsid w:val="000A516F"/>
    <w:rsid w:val="000D1650"/>
    <w:rsid w:val="00107151"/>
    <w:rsid w:val="00120393"/>
    <w:rsid w:val="001601B7"/>
    <w:rsid w:val="00186175"/>
    <w:rsid w:val="00197085"/>
    <w:rsid w:val="001A35DF"/>
    <w:rsid w:val="001A3CF9"/>
    <w:rsid w:val="001D074A"/>
    <w:rsid w:val="001D0974"/>
    <w:rsid w:val="001E06BF"/>
    <w:rsid w:val="001E2C04"/>
    <w:rsid w:val="001F602A"/>
    <w:rsid w:val="0024029C"/>
    <w:rsid w:val="00247480"/>
    <w:rsid w:val="00253C78"/>
    <w:rsid w:val="00282C7C"/>
    <w:rsid w:val="002D2CA0"/>
    <w:rsid w:val="003034B7"/>
    <w:rsid w:val="0035478C"/>
    <w:rsid w:val="0037556F"/>
    <w:rsid w:val="003C7F21"/>
    <w:rsid w:val="003E1139"/>
    <w:rsid w:val="003E5D3E"/>
    <w:rsid w:val="00412308"/>
    <w:rsid w:val="00423E97"/>
    <w:rsid w:val="00471D9E"/>
    <w:rsid w:val="00480818"/>
    <w:rsid w:val="004A70E1"/>
    <w:rsid w:val="004C4420"/>
    <w:rsid w:val="004D190D"/>
    <w:rsid w:val="00506639"/>
    <w:rsid w:val="005846FB"/>
    <w:rsid w:val="00591473"/>
    <w:rsid w:val="005974BD"/>
    <w:rsid w:val="005C3DC2"/>
    <w:rsid w:val="005D3103"/>
    <w:rsid w:val="005D3FB2"/>
    <w:rsid w:val="005E3002"/>
    <w:rsid w:val="00636356"/>
    <w:rsid w:val="00654981"/>
    <w:rsid w:val="00657165"/>
    <w:rsid w:val="0065740A"/>
    <w:rsid w:val="00662F03"/>
    <w:rsid w:val="00680E77"/>
    <w:rsid w:val="006E3612"/>
    <w:rsid w:val="006E557B"/>
    <w:rsid w:val="0072465F"/>
    <w:rsid w:val="007410BB"/>
    <w:rsid w:val="00741EE3"/>
    <w:rsid w:val="00751001"/>
    <w:rsid w:val="00754DCD"/>
    <w:rsid w:val="0077506C"/>
    <w:rsid w:val="007C0A89"/>
    <w:rsid w:val="007C16BD"/>
    <w:rsid w:val="00807E31"/>
    <w:rsid w:val="00844DD4"/>
    <w:rsid w:val="0085671F"/>
    <w:rsid w:val="008C310E"/>
    <w:rsid w:val="008F048F"/>
    <w:rsid w:val="0093431F"/>
    <w:rsid w:val="00934939"/>
    <w:rsid w:val="00957F14"/>
    <w:rsid w:val="00995E0A"/>
    <w:rsid w:val="009965F7"/>
    <w:rsid w:val="009A0F93"/>
    <w:rsid w:val="009D3721"/>
    <w:rsid w:val="00A01159"/>
    <w:rsid w:val="00A10AC6"/>
    <w:rsid w:val="00A357BC"/>
    <w:rsid w:val="00A64698"/>
    <w:rsid w:val="00A71760"/>
    <w:rsid w:val="00A749C6"/>
    <w:rsid w:val="00AA0A3B"/>
    <w:rsid w:val="00AB5537"/>
    <w:rsid w:val="00AF034C"/>
    <w:rsid w:val="00B015A3"/>
    <w:rsid w:val="00B3466D"/>
    <w:rsid w:val="00B41EC6"/>
    <w:rsid w:val="00B433FF"/>
    <w:rsid w:val="00B77917"/>
    <w:rsid w:val="00B90BA3"/>
    <w:rsid w:val="00BA67B3"/>
    <w:rsid w:val="00BB7EBB"/>
    <w:rsid w:val="00BC4E67"/>
    <w:rsid w:val="00C01C04"/>
    <w:rsid w:val="00C25211"/>
    <w:rsid w:val="00C7746D"/>
    <w:rsid w:val="00C941C6"/>
    <w:rsid w:val="00C94EE3"/>
    <w:rsid w:val="00CA02BF"/>
    <w:rsid w:val="00CB7E71"/>
    <w:rsid w:val="00CD679B"/>
    <w:rsid w:val="00D1083F"/>
    <w:rsid w:val="00D40287"/>
    <w:rsid w:val="00D4233E"/>
    <w:rsid w:val="00D429CD"/>
    <w:rsid w:val="00D54962"/>
    <w:rsid w:val="00D70D0F"/>
    <w:rsid w:val="00D8534B"/>
    <w:rsid w:val="00DC582B"/>
    <w:rsid w:val="00DF0F6E"/>
    <w:rsid w:val="00DF1BC4"/>
    <w:rsid w:val="00E31EAB"/>
    <w:rsid w:val="00E36A07"/>
    <w:rsid w:val="00E77C27"/>
    <w:rsid w:val="00EA6E4F"/>
    <w:rsid w:val="00F326C9"/>
    <w:rsid w:val="00F4506A"/>
    <w:rsid w:val="00F460A8"/>
    <w:rsid w:val="00F82654"/>
    <w:rsid w:val="00FC5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FAECF98"/>
  <w15:docId w15:val="{B1442DBF-3FE1-4ED5-9094-8E460693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link w:val="P1-StandParaChar1"/>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character" w:styleId="CommentReference">
    <w:name w:val="annotation reference"/>
    <w:basedOn w:val="DefaultParagraphFont"/>
    <w:semiHidden/>
    <w:unhideWhenUsed/>
    <w:rsid w:val="00C01C04"/>
    <w:rPr>
      <w:sz w:val="16"/>
      <w:szCs w:val="16"/>
    </w:rPr>
  </w:style>
  <w:style w:type="paragraph" w:styleId="CommentText">
    <w:name w:val="annotation text"/>
    <w:basedOn w:val="Normal"/>
    <w:link w:val="CommentTextChar"/>
    <w:semiHidden/>
    <w:unhideWhenUsed/>
    <w:rsid w:val="00C01C04"/>
    <w:rPr>
      <w:sz w:val="20"/>
      <w:szCs w:val="20"/>
    </w:rPr>
  </w:style>
  <w:style w:type="character" w:customStyle="1" w:styleId="CommentTextChar">
    <w:name w:val="Comment Text Char"/>
    <w:basedOn w:val="DefaultParagraphFont"/>
    <w:link w:val="CommentText"/>
    <w:semiHidden/>
    <w:rsid w:val="00C01C04"/>
  </w:style>
  <w:style w:type="paragraph" w:styleId="CommentSubject">
    <w:name w:val="annotation subject"/>
    <w:basedOn w:val="CommentText"/>
    <w:next w:val="CommentText"/>
    <w:link w:val="CommentSubjectChar"/>
    <w:semiHidden/>
    <w:unhideWhenUsed/>
    <w:rsid w:val="00C01C04"/>
    <w:rPr>
      <w:b/>
      <w:bCs/>
    </w:rPr>
  </w:style>
  <w:style w:type="character" w:customStyle="1" w:styleId="CommentSubjectChar">
    <w:name w:val="Comment Subject Char"/>
    <w:basedOn w:val="CommentTextChar"/>
    <w:link w:val="CommentSubject"/>
    <w:semiHidden/>
    <w:rsid w:val="00C01C04"/>
    <w:rPr>
      <w:b/>
      <w:bCs/>
    </w:rPr>
  </w:style>
  <w:style w:type="paragraph" w:styleId="ListParagraph">
    <w:name w:val="List Paragraph"/>
    <w:basedOn w:val="Normal"/>
    <w:uiPriority w:val="34"/>
    <w:qFormat/>
    <w:rsid w:val="00C01C04"/>
    <w:pPr>
      <w:ind w:left="720"/>
      <w:contextualSpacing/>
    </w:pPr>
  </w:style>
  <w:style w:type="paragraph" w:customStyle="1" w:styleId="bodytextpsg">
    <w:name w:val="body text_psg"/>
    <w:basedOn w:val="Normal"/>
    <w:link w:val="bodytextpsgChar"/>
    <w:rsid w:val="00C01C04"/>
    <w:pPr>
      <w:spacing w:line="480" w:lineRule="auto"/>
      <w:ind w:firstLine="720"/>
    </w:pPr>
    <w:rPr>
      <w:sz w:val="22"/>
      <w:szCs w:val="20"/>
    </w:rPr>
  </w:style>
  <w:style w:type="character" w:customStyle="1" w:styleId="bodytextpsgChar">
    <w:name w:val="body text_psg Char"/>
    <w:link w:val="bodytextpsg"/>
    <w:rsid w:val="00C01C04"/>
    <w:rPr>
      <w:sz w:val="22"/>
    </w:rPr>
  </w:style>
  <w:style w:type="table" w:styleId="TableGrid">
    <w:name w:val="Table Grid"/>
    <w:basedOn w:val="TableNormal"/>
    <w:uiPriority w:val="59"/>
    <w:rsid w:val="00C01C0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1C04"/>
    <w:pPr>
      <w:widowControl w:val="0"/>
    </w:pPr>
    <w:rPr>
      <w:rFonts w:asciiTheme="minorHAnsi" w:eastAsiaTheme="minorHAnsi" w:hAnsiTheme="minorHAnsi" w:cstheme="minorBidi"/>
      <w:sz w:val="22"/>
      <w:szCs w:val="22"/>
    </w:rPr>
  </w:style>
  <w:style w:type="paragraph" w:customStyle="1" w:styleId="TT-TableTitle">
    <w:name w:val="TT-Table Title"/>
    <w:rsid w:val="00471D9E"/>
    <w:pPr>
      <w:tabs>
        <w:tab w:val="left" w:pos="1152"/>
      </w:tabs>
      <w:spacing w:line="240" w:lineRule="atLeast"/>
      <w:ind w:left="1152" w:hanging="1152"/>
    </w:pPr>
    <w:rPr>
      <w:sz w:val="24"/>
    </w:rPr>
  </w:style>
  <w:style w:type="character" w:customStyle="1" w:styleId="P1-StandParaChar1">
    <w:name w:val="P1-Stand Para Char1"/>
    <w:link w:val="P1-StandPara"/>
    <w:rsid w:val="009A0F93"/>
    <w:rPr>
      <w:sz w:val="22"/>
    </w:rPr>
  </w:style>
  <w:style w:type="paragraph" w:styleId="BodyText">
    <w:name w:val="Body Text"/>
    <w:basedOn w:val="ListParagraph"/>
    <w:link w:val="BodyTextChar"/>
    <w:rsid w:val="00C941C6"/>
    <w:pPr>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C941C6"/>
    <w:rPr>
      <w:rFonts w:asciiTheme="majorBidi" w:eastAsiaTheme="minorHAnsi" w:hAnsiTheme="majorBidi" w:cstheme="majorBidi"/>
      <w:color w:val="000000" w:themeColor="text1"/>
      <w:sz w:val="24"/>
      <w:szCs w:val="24"/>
    </w:rPr>
  </w:style>
  <w:style w:type="paragraph" w:customStyle="1" w:styleId="apptitle">
    <w:name w:val="apptitle"/>
    <w:basedOn w:val="Heading1"/>
    <w:rsid w:val="00C941C6"/>
    <w:pPr>
      <w:keepNext w:val="0"/>
      <w:pageBreakBefore/>
      <w:widowControl w:val="0"/>
      <w:numPr>
        <w:ilvl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line="276" w:lineRule="auto"/>
      <w:ind w:left="720" w:hanging="720"/>
      <w:contextualSpacing/>
      <w:jc w:val="center"/>
    </w:pPr>
    <w:rPr>
      <w:rFonts w:asciiTheme="majorBidi" w:eastAsiaTheme="majorEastAsia" w:hAnsiTheme="majorBidi" w:cstheme="majorBidi"/>
      <w:color w:val="000000" w:themeColor="text1"/>
      <w:kern w:val="0"/>
      <w:sz w:val="28"/>
      <w:szCs w:val="28"/>
      <w:lang w:bidi="en-US"/>
    </w:rPr>
  </w:style>
  <w:style w:type="character" w:customStyle="1" w:styleId="apple-converted-space">
    <w:name w:val="apple-converted-space"/>
    <w:basedOn w:val="DefaultParagraphFont"/>
    <w:rsid w:val="001601B7"/>
  </w:style>
  <w:style w:type="character" w:customStyle="1" w:styleId="cit-title">
    <w:name w:val="cit-title"/>
    <w:basedOn w:val="DefaultParagraphFont"/>
    <w:rsid w:val="001601B7"/>
  </w:style>
  <w:style w:type="character" w:styleId="HTMLCite">
    <w:name w:val="HTML Cite"/>
    <w:basedOn w:val="DefaultParagraphFont"/>
    <w:uiPriority w:val="99"/>
    <w:semiHidden/>
    <w:unhideWhenUsed/>
    <w:rsid w:val="001601B7"/>
    <w:rPr>
      <w:i/>
      <w:iCs/>
    </w:rPr>
  </w:style>
  <w:style w:type="character" w:customStyle="1" w:styleId="cit-vol">
    <w:name w:val="cit-vol"/>
    <w:basedOn w:val="DefaultParagraphFont"/>
    <w:rsid w:val="001601B7"/>
  </w:style>
  <w:style w:type="character" w:customStyle="1" w:styleId="cit-sep">
    <w:name w:val="cit-sep"/>
    <w:basedOn w:val="DefaultParagraphFont"/>
    <w:rsid w:val="001601B7"/>
  </w:style>
  <w:style w:type="character" w:customStyle="1" w:styleId="cit-first-page">
    <w:name w:val="cit-first-page"/>
    <w:basedOn w:val="DefaultParagraphFont"/>
    <w:rsid w:val="001601B7"/>
  </w:style>
  <w:style w:type="character" w:customStyle="1" w:styleId="cit-last-page">
    <w:name w:val="cit-last-page"/>
    <w:basedOn w:val="DefaultParagraphFont"/>
    <w:rsid w:val="001601B7"/>
  </w:style>
  <w:style w:type="character" w:styleId="Hyperlink">
    <w:name w:val="Hyperlink"/>
    <w:rsid w:val="00636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870551">
      <w:bodyDiv w:val="1"/>
      <w:marLeft w:val="0"/>
      <w:marRight w:val="0"/>
      <w:marTop w:val="0"/>
      <w:marBottom w:val="0"/>
      <w:divBdr>
        <w:top w:val="none" w:sz="0" w:space="0" w:color="auto"/>
        <w:left w:val="none" w:sz="0" w:space="0" w:color="auto"/>
        <w:bottom w:val="none" w:sz="0" w:space="0" w:color="auto"/>
        <w:right w:val="none" w:sz="0" w:space="0" w:color="auto"/>
      </w:divBdr>
    </w:div>
    <w:div w:id="752429487">
      <w:bodyDiv w:val="1"/>
      <w:marLeft w:val="0"/>
      <w:marRight w:val="0"/>
      <w:marTop w:val="0"/>
      <w:marBottom w:val="0"/>
      <w:divBdr>
        <w:top w:val="none" w:sz="0" w:space="0" w:color="auto"/>
        <w:left w:val="none" w:sz="0" w:space="0" w:color="auto"/>
        <w:bottom w:val="none" w:sz="0" w:space="0" w:color="auto"/>
        <w:right w:val="none" w:sz="0" w:space="0" w:color="auto"/>
      </w:divBdr>
    </w:div>
    <w:div w:id="1205488529">
      <w:bodyDiv w:val="1"/>
      <w:marLeft w:val="0"/>
      <w:marRight w:val="0"/>
      <w:marTop w:val="0"/>
      <w:marBottom w:val="0"/>
      <w:divBdr>
        <w:top w:val="none" w:sz="0" w:space="0" w:color="auto"/>
        <w:left w:val="none" w:sz="0" w:space="0" w:color="auto"/>
        <w:bottom w:val="none" w:sz="0" w:space="0" w:color="auto"/>
        <w:right w:val="none" w:sz="0" w:space="0" w:color="auto"/>
      </w:divBdr>
    </w:div>
    <w:div w:id="1878272336">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demoorjs@mail.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EABA45-E513-4732-8C33-5D888100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Bailey, Karla (NIH/NCI) [E]</cp:lastModifiedBy>
  <cp:revision>5</cp:revision>
  <dcterms:created xsi:type="dcterms:W3CDTF">2016-05-04T15:05:00Z</dcterms:created>
  <dcterms:modified xsi:type="dcterms:W3CDTF">2016-05-12T16:50:00Z</dcterms:modified>
</cp:coreProperties>
</file>