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49A" w:rsidRPr="0093449A" w:rsidRDefault="0093449A" w:rsidP="0093449A">
      <w:pPr>
        <w:jc w:val="center"/>
        <w:rPr>
          <w:b/>
        </w:rPr>
      </w:pPr>
      <w:r w:rsidRPr="0093449A">
        <w:rPr>
          <w:b/>
        </w:rPr>
        <w:t>Changes to ICR for 2017 and 2019 National Youth Risk Behavior Survey</w:t>
      </w:r>
    </w:p>
    <w:tbl>
      <w:tblPr>
        <w:tblStyle w:val="TableGrid"/>
        <w:tblW w:w="0" w:type="auto"/>
        <w:tblLook w:val="04A0" w:firstRow="1" w:lastRow="0" w:firstColumn="1" w:lastColumn="0" w:noHBand="0" w:noVBand="1"/>
      </w:tblPr>
      <w:tblGrid>
        <w:gridCol w:w="1975"/>
        <w:gridCol w:w="3330"/>
        <w:gridCol w:w="4140"/>
        <w:gridCol w:w="3690"/>
      </w:tblGrid>
      <w:tr w:rsidR="0093449A" w:rsidRPr="00AE43BB" w:rsidTr="009B790C">
        <w:tc>
          <w:tcPr>
            <w:tcW w:w="1975" w:type="dxa"/>
          </w:tcPr>
          <w:p w:rsidR="0093449A" w:rsidRPr="00AE43BB" w:rsidRDefault="009B790C">
            <w:pPr>
              <w:rPr>
                <w:b/>
              </w:rPr>
            </w:pPr>
            <w:r w:rsidRPr="00AE43BB">
              <w:rPr>
                <w:b/>
              </w:rPr>
              <w:t>Location of Change</w:t>
            </w:r>
          </w:p>
        </w:tc>
        <w:tc>
          <w:tcPr>
            <w:tcW w:w="3330" w:type="dxa"/>
          </w:tcPr>
          <w:p w:rsidR="0093449A" w:rsidRPr="00AE43BB" w:rsidRDefault="009B790C">
            <w:pPr>
              <w:rPr>
                <w:b/>
              </w:rPr>
            </w:pPr>
            <w:r w:rsidRPr="00AE43BB">
              <w:rPr>
                <w:b/>
              </w:rPr>
              <w:t>Change</w:t>
            </w:r>
          </w:p>
        </w:tc>
        <w:tc>
          <w:tcPr>
            <w:tcW w:w="4140" w:type="dxa"/>
          </w:tcPr>
          <w:p w:rsidR="0093449A" w:rsidRPr="00AE43BB" w:rsidRDefault="009B790C">
            <w:pPr>
              <w:rPr>
                <w:b/>
              </w:rPr>
            </w:pPr>
            <w:r w:rsidRPr="00AE43BB">
              <w:rPr>
                <w:b/>
              </w:rPr>
              <w:t>Reason for Change</w:t>
            </w:r>
          </w:p>
        </w:tc>
        <w:tc>
          <w:tcPr>
            <w:tcW w:w="3690" w:type="dxa"/>
          </w:tcPr>
          <w:p w:rsidR="0093449A" w:rsidRPr="00AE43BB" w:rsidRDefault="009B790C">
            <w:pPr>
              <w:rPr>
                <w:b/>
              </w:rPr>
            </w:pPr>
            <w:r w:rsidRPr="00AE43BB">
              <w:rPr>
                <w:b/>
              </w:rPr>
              <w:t>Impact on ICR</w:t>
            </w:r>
          </w:p>
        </w:tc>
      </w:tr>
      <w:tr w:rsidR="0093449A" w:rsidTr="009B790C">
        <w:tc>
          <w:tcPr>
            <w:tcW w:w="1975" w:type="dxa"/>
          </w:tcPr>
          <w:p w:rsidR="0093449A" w:rsidRDefault="00AC43B0">
            <w:r>
              <w:t>Appendix F</w:t>
            </w:r>
            <w:r w:rsidR="00222AC1">
              <w:t>: Data Collection Checklist</w:t>
            </w:r>
          </w:p>
        </w:tc>
        <w:tc>
          <w:tcPr>
            <w:tcW w:w="3330" w:type="dxa"/>
          </w:tcPr>
          <w:p w:rsidR="0093449A" w:rsidRDefault="00AC43B0" w:rsidP="00C137C0">
            <w:r>
              <w:t>Deleted columns for grade and gender</w:t>
            </w:r>
            <w:r w:rsidR="00C137C0">
              <w:t>. C</w:t>
            </w:r>
            <w:r>
              <w:t>larified instructions for column headings</w:t>
            </w:r>
            <w:r w:rsidR="00C137C0">
              <w:t>. M</w:t>
            </w:r>
            <w:r>
              <w:t>oved “totals” box to the bottom of the form and marked it “Office Use Only”</w:t>
            </w:r>
          </w:p>
        </w:tc>
        <w:tc>
          <w:tcPr>
            <w:tcW w:w="4140" w:type="dxa"/>
          </w:tcPr>
          <w:p w:rsidR="0093449A" w:rsidRDefault="00AC43B0">
            <w:r>
              <w:t>This form was overly complicated, and the teachers did not need to complete the “totals” box—it could be done by data collection staff</w:t>
            </w:r>
          </w:p>
        </w:tc>
        <w:tc>
          <w:tcPr>
            <w:tcW w:w="3690" w:type="dxa"/>
          </w:tcPr>
          <w:p w:rsidR="0093449A" w:rsidRDefault="00AC43B0">
            <w:r>
              <w:t xml:space="preserve">Negligible reduction in burden but improved clarity </w:t>
            </w:r>
          </w:p>
        </w:tc>
      </w:tr>
      <w:tr w:rsidR="0093449A" w:rsidTr="009B790C">
        <w:tc>
          <w:tcPr>
            <w:tcW w:w="1975" w:type="dxa"/>
          </w:tcPr>
          <w:p w:rsidR="0093449A" w:rsidRDefault="00222AC1">
            <w:r>
              <w:t>Appendix G: Survey Administrator Script</w:t>
            </w:r>
          </w:p>
        </w:tc>
        <w:tc>
          <w:tcPr>
            <w:tcW w:w="3330" w:type="dxa"/>
          </w:tcPr>
          <w:p w:rsidR="0093449A" w:rsidRDefault="00222AC1">
            <w:r>
              <w:t>Changed instructions so that survey administrator introduced the surveys before distributing booklets, pencils, and envelopes</w:t>
            </w:r>
          </w:p>
        </w:tc>
        <w:tc>
          <w:tcPr>
            <w:tcW w:w="4140" w:type="dxa"/>
          </w:tcPr>
          <w:p w:rsidR="0093449A" w:rsidRDefault="00222AC1">
            <w:r>
              <w:t>Students were distracted by the distribution of materials and were not giving survey administrators their full attention</w:t>
            </w:r>
          </w:p>
        </w:tc>
        <w:tc>
          <w:tcPr>
            <w:tcW w:w="3690" w:type="dxa"/>
          </w:tcPr>
          <w:p w:rsidR="0093449A" w:rsidRDefault="00222AC1">
            <w:r>
              <w:t xml:space="preserve">Increased </w:t>
            </w:r>
            <w:r w:rsidR="00416E95">
              <w:t xml:space="preserve">adherence to protocol by increasing </w:t>
            </w:r>
            <w:r>
              <w:t xml:space="preserve">likelihood </w:t>
            </w:r>
            <w:r w:rsidR="00416E95">
              <w:t xml:space="preserve">that </w:t>
            </w:r>
            <w:r>
              <w:t>students all hear the instructions</w:t>
            </w:r>
          </w:p>
        </w:tc>
      </w:tr>
      <w:tr w:rsidR="0093449A" w:rsidTr="009B790C">
        <w:tc>
          <w:tcPr>
            <w:tcW w:w="1975" w:type="dxa"/>
          </w:tcPr>
          <w:p w:rsidR="0093449A" w:rsidRDefault="00222AC1">
            <w:r>
              <w:t>Appendix J: YRBS Questionnaire</w:t>
            </w:r>
          </w:p>
        </w:tc>
        <w:tc>
          <w:tcPr>
            <w:tcW w:w="3330" w:type="dxa"/>
          </w:tcPr>
          <w:p w:rsidR="0093449A" w:rsidRDefault="00AD4311" w:rsidP="00C137C0">
            <w:r>
              <w:t>Changes are noted in separate chart (see below)</w:t>
            </w:r>
          </w:p>
        </w:tc>
        <w:tc>
          <w:tcPr>
            <w:tcW w:w="4140" w:type="dxa"/>
          </w:tcPr>
          <w:p w:rsidR="0093449A" w:rsidRDefault="00383FAC">
            <w:r>
              <w:t>The questionnaire is revised periodically to incorporate content suggested by experts inside and outside of CDC</w:t>
            </w:r>
          </w:p>
        </w:tc>
        <w:tc>
          <w:tcPr>
            <w:tcW w:w="3690" w:type="dxa"/>
          </w:tcPr>
          <w:p w:rsidR="0093449A" w:rsidRDefault="00383FAC">
            <w:r>
              <w:t xml:space="preserve">No impact on burden because questionnaire length is fixed to ensure administration can be limited to one class period. Some questions are revised to improve clarity. </w:t>
            </w:r>
          </w:p>
        </w:tc>
      </w:tr>
      <w:tr w:rsidR="00BC5C9E" w:rsidTr="009B790C">
        <w:tc>
          <w:tcPr>
            <w:tcW w:w="1975" w:type="dxa"/>
          </w:tcPr>
          <w:p w:rsidR="00BC5C9E" w:rsidRDefault="00BC5C9E">
            <w:r>
              <w:t>Appendix M: Sampling and Weighting Plan (section 3.5.3)</w:t>
            </w:r>
          </w:p>
        </w:tc>
        <w:tc>
          <w:tcPr>
            <w:tcW w:w="3330" w:type="dxa"/>
          </w:tcPr>
          <w:p w:rsidR="00BC5C9E" w:rsidRDefault="00BC5C9E" w:rsidP="00C137C0">
            <w:r>
              <w:t>Primary sampling units will be allocated to oversample black students</w:t>
            </w:r>
          </w:p>
        </w:tc>
        <w:tc>
          <w:tcPr>
            <w:tcW w:w="4140" w:type="dxa"/>
          </w:tcPr>
          <w:p w:rsidR="00BC5C9E" w:rsidRDefault="00BC5C9E" w:rsidP="00BC5C9E">
            <w:r>
              <w:t>Shortfall of participating black students in 2013 and 2015 cycles</w:t>
            </w:r>
          </w:p>
        </w:tc>
        <w:tc>
          <w:tcPr>
            <w:tcW w:w="3690" w:type="dxa"/>
          </w:tcPr>
          <w:p w:rsidR="00BC5C9E" w:rsidRDefault="00BC5C9E">
            <w:r>
              <w:t>Improvement of black student yield resulting in increased precision of subgroup estimates</w:t>
            </w:r>
          </w:p>
        </w:tc>
      </w:tr>
      <w:tr w:rsidR="000255F3" w:rsidTr="009B790C">
        <w:tc>
          <w:tcPr>
            <w:tcW w:w="1975" w:type="dxa"/>
          </w:tcPr>
          <w:p w:rsidR="000255F3" w:rsidRDefault="000255F3">
            <w:r>
              <w:t>Appendix M: Sampling and Weighting Plan (section</w:t>
            </w:r>
          </w:p>
        </w:tc>
        <w:tc>
          <w:tcPr>
            <w:tcW w:w="3330" w:type="dxa"/>
          </w:tcPr>
          <w:p w:rsidR="000255F3" w:rsidRDefault="000255F3" w:rsidP="00C137C0">
            <w:r>
              <w:t>Increased threshold for minimum school enrollment size for inclusion from 25 to 40 students</w:t>
            </w:r>
          </w:p>
        </w:tc>
        <w:tc>
          <w:tcPr>
            <w:tcW w:w="4140" w:type="dxa"/>
          </w:tcPr>
          <w:p w:rsidR="000255F3" w:rsidRDefault="000255F3" w:rsidP="00BC5C9E">
            <w:r>
              <w:t>Cost of recruiting and collecting data from schools below this threshold outweighed the benefit of adding a relatively small number of students who attend these schools</w:t>
            </w:r>
          </w:p>
        </w:tc>
        <w:tc>
          <w:tcPr>
            <w:tcW w:w="3690" w:type="dxa"/>
          </w:tcPr>
          <w:p w:rsidR="000255F3" w:rsidRDefault="000255F3">
            <w:r>
              <w:t>Eliminates burden for schools with enrollment less than 40 students</w:t>
            </w:r>
          </w:p>
        </w:tc>
      </w:tr>
      <w:tr w:rsidR="0093449A" w:rsidTr="009B790C">
        <w:tc>
          <w:tcPr>
            <w:tcW w:w="1975" w:type="dxa"/>
          </w:tcPr>
          <w:p w:rsidR="0093449A" w:rsidRDefault="00383FAC">
            <w:r>
              <w:t>Appendix N1: Letter to Teachers in Participating Schools</w:t>
            </w:r>
          </w:p>
        </w:tc>
        <w:tc>
          <w:tcPr>
            <w:tcW w:w="3330" w:type="dxa"/>
          </w:tcPr>
          <w:p w:rsidR="0093449A" w:rsidRDefault="00383FAC" w:rsidP="00416E95">
            <w:r>
              <w:t>Added explicit mention of Parent</w:t>
            </w:r>
            <w:r w:rsidR="00C137C0">
              <w:t>al</w:t>
            </w:r>
            <w:r>
              <w:t xml:space="preserve"> Permission </w:t>
            </w:r>
            <w:r w:rsidR="00C137C0">
              <w:t xml:space="preserve">Form Distribution Script. </w:t>
            </w:r>
          </w:p>
        </w:tc>
        <w:tc>
          <w:tcPr>
            <w:tcW w:w="4140" w:type="dxa"/>
          </w:tcPr>
          <w:p w:rsidR="0093449A" w:rsidRDefault="00C137C0" w:rsidP="00C137C0">
            <w:r>
              <w:t xml:space="preserve">Mention of the script helps ensure teachers will use the script. </w:t>
            </w:r>
          </w:p>
        </w:tc>
        <w:tc>
          <w:tcPr>
            <w:tcW w:w="3690" w:type="dxa"/>
          </w:tcPr>
          <w:p w:rsidR="0093449A" w:rsidRDefault="00C137C0">
            <w:r>
              <w:t xml:space="preserve">Increased </w:t>
            </w:r>
            <w:r w:rsidR="00416E95">
              <w:t xml:space="preserve">adherence to protocol by increasing </w:t>
            </w:r>
            <w:r>
              <w:t xml:space="preserve">likelihood that </w:t>
            </w:r>
            <w:r w:rsidR="00416E95">
              <w:t>teachers use script.</w:t>
            </w:r>
          </w:p>
        </w:tc>
      </w:tr>
      <w:tr w:rsidR="00416E95" w:rsidTr="009B790C">
        <w:tc>
          <w:tcPr>
            <w:tcW w:w="1975" w:type="dxa"/>
          </w:tcPr>
          <w:p w:rsidR="00416E95" w:rsidRDefault="00416E95">
            <w:r>
              <w:t>Appendix O3b: Letter to Agreeing Schools</w:t>
            </w:r>
          </w:p>
        </w:tc>
        <w:tc>
          <w:tcPr>
            <w:tcW w:w="3330" w:type="dxa"/>
          </w:tcPr>
          <w:p w:rsidR="00416E95" w:rsidRDefault="00416E95" w:rsidP="00416E95">
            <w:r>
              <w:t>Deleted paragraph containing instructions for teachers.</w:t>
            </w:r>
          </w:p>
        </w:tc>
        <w:tc>
          <w:tcPr>
            <w:tcW w:w="4140" w:type="dxa"/>
          </w:tcPr>
          <w:p w:rsidR="00416E95" w:rsidRDefault="00416E95" w:rsidP="00C137C0">
            <w:r>
              <w:t>This paragraph appears in the Letter to Teachers in Participating Schools so is not needed here.</w:t>
            </w:r>
          </w:p>
        </w:tc>
        <w:tc>
          <w:tcPr>
            <w:tcW w:w="3690" w:type="dxa"/>
          </w:tcPr>
          <w:p w:rsidR="00416E95" w:rsidRDefault="00416E95">
            <w:r>
              <w:t>Negligible reduction in burden</w:t>
            </w:r>
          </w:p>
        </w:tc>
      </w:tr>
    </w:tbl>
    <w:p w:rsidR="00DC57CC" w:rsidRDefault="00DC57CC"/>
    <w:p w:rsidR="00AD4311" w:rsidRDefault="00AD4311">
      <w:pPr>
        <w:rPr>
          <w:b/>
        </w:rPr>
      </w:pPr>
      <w:r>
        <w:rPr>
          <w:b/>
        </w:rPr>
        <w:br w:type="page"/>
      </w:r>
    </w:p>
    <w:p w:rsidR="00AD4311" w:rsidRDefault="00AD4311" w:rsidP="00AD4311">
      <w:pPr>
        <w:jc w:val="center"/>
        <w:rPr>
          <w:b/>
        </w:rPr>
      </w:pPr>
      <w:r w:rsidRPr="00AD4311">
        <w:rPr>
          <w:b/>
        </w:rPr>
        <w:lastRenderedPageBreak/>
        <w:t>Changes to Appendix J: YRBS questionnaire</w:t>
      </w:r>
    </w:p>
    <w:p w:rsidR="00AD4311" w:rsidRPr="00AD4311" w:rsidRDefault="00AD4311" w:rsidP="00AD4311">
      <w:pPr>
        <w:jc w:val="center"/>
        <w:rPr>
          <w:b/>
        </w:rPr>
      </w:pPr>
      <w:r w:rsidRPr="00AD4311">
        <w:t xml:space="preserve">Note: </w:t>
      </w:r>
      <w:r>
        <w:t>Impact on ICR column has been deleted because c</w:t>
      </w:r>
      <w:r w:rsidRPr="00AD4311">
        <w:t xml:space="preserve">hanges </w:t>
      </w:r>
      <w:r>
        <w:t>have no impact on</w:t>
      </w:r>
      <w:r w:rsidRPr="00AD4311">
        <w:t xml:space="preserve"> burden</w:t>
      </w:r>
      <w:r>
        <w:t xml:space="preserve"> (see chart above)</w:t>
      </w:r>
      <w:r>
        <w:t xml:space="preserve">. </w:t>
      </w:r>
    </w:p>
    <w:tbl>
      <w:tblPr>
        <w:tblStyle w:val="TableGrid"/>
        <w:tblW w:w="0" w:type="auto"/>
        <w:tblLook w:val="04A0" w:firstRow="1" w:lastRow="0" w:firstColumn="1" w:lastColumn="0" w:noHBand="0" w:noVBand="1"/>
      </w:tblPr>
      <w:tblGrid>
        <w:gridCol w:w="1975"/>
        <w:gridCol w:w="5220"/>
        <w:gridCol w:w="5940"/>
      </w:tblGrid>
      <w:tr w:rsidR="00AD4311" w:rsidRPr="00AE43BB" w:rsidTr="0043686D">
        <w:tc>
          <w:tcPr>
            <w:tcW w:w="1975" w:type="dxa"/>
          </w:tcPr>
          <w:p w:rsidR="00AD4311" w:rsidRPr="00AE43BB" w:rsidRDefault="00AD4311" w:rsidP="00281671">
            <w:pPr>
              <w:rPr>
                <w:b/>
              </w:rPr>
            </w:pPr>
            <w:r>
              <w:rPr>
                <w:b/>
              </w:rPr>
              <w:t>Section</w:t>
            </w:r>
          </w:p>
        </w:tc>
        <w:tc>
          <w:tcPr>
            <w:tcW w:w="5220" w:type="dxa"/>
          </w:tcPr>
          <w:p w:rsidR="00AD4311" w:rsidRPr="00AE43BB" w:rsidRDefault="00AD4311" w:rsidP="00281671">
            <w:pPr>
              <w:rPr>
                <w:b/>
              </w:rPr>
            </w:pPr>
            <w:r w:rsidRPr="00AE43BB">
              <w:rPr>
                <w:b/>
              </w:rPr>
              <w:t>Change</w:t>
            </w:r>
          </w:p>
        </w:tc>
        <w:tc>
          <w:tcPr>
            <w:tcW w:w="5940" w:type="dxa"/>
          </w:tcPr>
          <w:p w:rsidR="00AD4311" w:rsidRPr="00AE43BB" w:rsidRDefault="00AD4311" w:rsidP="00281671">
            <w:pPr>
              <w:rPr>
                <w:b/>
              </w:rPr>
            </w:pPr>
            <w:r w:rsidRPr="00AE43BB">
              <w:rPr>
                <w:b/>
              </w:rPr>
              <w:t>Reason for Change</w:t>
            </w:r>
          </w:p>
        </w:tc>
      </w:tr>
      <w:tr w:rsidR="00AD4311" w:rsidTr="0043686D">
        <w:tc>
          <w:tcPr>
            <w:tcW w:w="1975" w:type="dxa"/>
          </w:tcPr>
          <w:p w:rsidR="00AD4311" w:rsidRDefault="00AD4311" w:rsidP="00281671">
            <w:r>
              <w:t>Injury-related behaviors</w:t>
            </w:r>
          </w:p>
        </w:tc>
        <w:tc>
          <w:tcPr>
            <w:tcW w:w="5220" w:type="dxa"/>
          </w:tcPr>
          <w:p w:rsidR="00AD4311" w:rsidRDefault="00AD4311" w:rsidP="00281671">
            <w:r>
              <w:t>Deleted question on how often wore bicycle helmet</w:t>
            </w:r>
          </w:p>
        </w:tc>
        <w:tc>
          <w:tcPr>
            <w:tcW w:w="5940" w:type="dxa"/>
          </w:tcPr>
          <w:p w:rsidR="00AD4311" w:rsidRDefault="00AD4311" w:rsidP="00281671">
            <w:r>
              <w:t xml:space="preserve">Greater interest from </w:t>
            </w:r>
            <w:r w:rsidR="0043686D">
              <w:t xml:space="preserve">CDC </w:t>
            </w:r>
            <w:r>
              <w:t xml:space="preserve">subject matter experts (SMEs) on </w:t>
            </w:r>
            <w:r w:rsidR="0043686D">
              <w:t>concussions</w:t>
            </w:r>
          </w:p>
        </w:tc>
      </w:tr>
      <w:tr w:rsidR="007C38A7" w:rsidTr="0043686D">
        <w:tc>
          <w:tcPr>
            <w:tcW w:w="1975" w:type="dxa"/>
          </w:tcPr>
          <w:p w:rsidR="007C38A7" w:rsidRDefault="007C38A7" w:rsidP="00281671"/>
        </w:tc>
        <w:tc>
          <w:tcPr>
            <w:tcW w:w="5220" w:type="dxa"/>
          </w:tcPr>
          <w:p w:rsidR="007C38A7" w:rsidRDefault="007C38A7" w:rsidP="00281671">
            <w:r>
              <w:t>Added question on how many times driven a car under the influence of marijuana</w:t>
            </w:r>
          </w:p>
        </w:tc>
        <w:tc>
          <w:tcPr>
            <w:tcW w:w="5940" w:type="dxa"/>
          </w:tcPr>
          <w:p w:rsidR="007C38A7" w:rsidRDefault="00C531D3" w:rsidP="00C531D3">
            <w:r>
              <w:t>Interest from SMEs as a result of legalization of marijuana in certain states</w:t>
            </w:r>
          </w:p>
        </w:tc>
      </w:tr>
      <w:tr w:rsidR="00AD4311" w:rsidTr="0043686D">
        <w:tc>
          <w:tcPr>
            <w:tcW w:w="1975" w:type="dxa"/>
          </w:tcPr>
          <w:p w:rsidR="00AD4311" w:rsidRDefault="00AD4311" w:rsidP="00281671"/>
        </w:tc>
        <w:tc>
          <w:tcPr>
            <w:tcW w:w="5220" w:type="dxa"/>
          </w:tcPr>
          <w:p w:rsidR="00AD4311" w:rsidRDefault="0043686D" w:rsidP="007C38A7">
            <w:r>
              <w:t xml:space="preserve">Deleted question on how </w:t>
            </w:r>
            <w:r w:rsidR="007C38A7">
              <w:t xml:space="preserve">many times </w:t>
            </w:r>
            <w:r>
              <w:t>injured in a physical fight</w:t>
            </w:r>
          </w:p>
        </w:tc>
        <w:tc>
          <w:tcPr>
            <w:tcW w:w="5940" w:type="dxa"/>
          </w:tcPr>
          <w:p w:rsidR="00AD4311" w:rsidRDefault="0043686D" w:rsidP="00281671">
            <w:r>
              <w:t>Greater interest from CDC SMEs on sexual violence</w:t>
            </w:r>
          </w:p>
        </w:tc>
      </w:tr>
      <w:tr w:rsidR="00AD4311" w:rsidTr="0043686D">
        <w:tc>
          <w:tcPr>
            <w:tcW w:w="1975" w:type="dxa"/>
          </w:tcPr>
          <w:p w:rsidR="00AD4311" w:rsidRDefault="00AD4311" w:rsidP="00281671"/>
        </w:tc>
        <w:tc>
          <w:tcPr>
            <w:tcW w:w="5220" w:type="dxa"/>
          </w:tcPr>
          <w:p w:rsidR="00AD4311" w:rsidRDefault="0043686D" w:rsidP="00281671">
            <w:r>
              <w:t>Added question on sexual violence not specific to dating</w:t>
            </w:r>
          </w:p>
        </w:tc>
        <w:tc>
          <w:tcPr>
            <w:tcW w:w="5940" w:type="dxa"/>
          </w:tcPr>
          <w:p w:rsidR="00AD4311" w:rsidRDefault="0043686D" w:rsidP="00281671">
            <w:r>
              <w:t>Important issue for CDC SMEs</w:t>
            </w:r>
            <w:r w:rsidR="00694CB2">
              <w:t xml:space="preserve"> and the Office of the Vice President</w:t>
            </w:r>
            <w:r>
              <w:t>; current question only asked about sexual violence specific to dating but this does not capture all sexual violence among adolescents</w:t>
            </w:r>
          </w:p>
        </w:tc>
      </w:tr>
      <w:tr w:rsidR="0043686D" w:rsidTr="0043686D">
        <w:tc>
          <w:tcPr>
            <w:tcW w:w="1975" w:type="dxa"/>
          </w:tcPr>
          <w:p w:rsidR="0043686D" w:rsidRDefault="0043686D" w:rsidP="00281671"/>
        </w:tc>
        <w:tc>
          <w:tcPr>
            <w:tcW w:w="5220" w:type="dxa"/>
          </w:tcPr>
          <w:p w:rsidR="0043686D" w:rsidRDefault="0043686D" w:rsidP="00281671">
            <w:r>
              <w:t>Modified gun carrying question to exclude carrying for sport or hunting</w:t>
            </w:r>
          </w:p>
        </w:tc>
        <w:tc>
          <w:tcPr>
            <w:tcW w:w="5940" w:type="dxa"/>
          </w:tcPr>
          <w:p w:rsidR="0043686D" w:rsidRDefault="0043686D" w:rsidP="00281671">
            <w:r>
              <w:t>Improvement in ability to interpret responses</w:t>
            </w:r>
          </w:p>
        </w:tc>
      </w:tr>
      <w:tr w:rsidR="0043686D" w:rsidTr="0043686D">
        <w:tc>
          <w:tcPr>
            <w:tcW w:w="1975" w:type="dxa"/>
          </w:tcPr>
          <w:p w:rsidR="0043686D" w:rsidRDefault="0043686D" w:rsidP="00281671"/>
        </w:tc>
        <w:tc>
          <w:tcPr>
            <w:tcW w:w="5220" w:type="dxa"/>
          </w:tcPr>
          <w:p w:rsidR="0043686D" w:rsidRDefault="0043686D" w:rsidP="00281671">
            <w:r>
              <w:t>Changed recall period for gun carrying question from 30 days to 12 months</w:t>
            </w:r>
          </w:p>
        </w:tc>
        <w:tc>
          <w:tcPr>
            <w:tcW w:w="5940" w:type="dxa"/>
          </w:tcPr>
          <w:p w:rsidR="0043686D" w:rsidRDefault="0043686D" w:rsidP="00281671">
            <w:r>
              <w:t>To increase likelihood of assessing gun carrying that might not occur at the same rate each month and to eliminate any seasonal bias</w:t>
            </w:r>
          </w:p>
        </w:tc>
      </w:tr>
      <w:tr w:rsidR="0043686D" w:rsidTr="0043686D">
        <w:tc>
          <w:tcPr>
            <w:tcW w:w="1975" w:type="dxa"/>
          </w:tcPr>
          <w:p w:rsidR="0043686D" w:rsidRDefault="0043686D" w:rsidP="00281671"/>
        </w:tc>
        <w:tc>
          <w:tcPr>
            <w:tcW w:w="5220" w:type="dxa"/>
          </w:tcPr>
          <w:p w:rsidR="0043686D" w:rsidRDefault="0043686D" w:rsidP="0043686D">
            <w:r>
              <w:t xml:space="preserve">Updated technology list on electronic bullying question </w:t>
            </w:r>
          </w:p>
        </w:tc>
        <w:tc>
          <w:tcPr>
            <w:tcW w:w="5940" w:type="dxa"/>
          </w:tcPr>
          <w:p w:rsidR="0043686D" w:rsidRDefault="0043686D" w:rsidP="00281671">
            <w:r>
              <w:t>T</w:t>
            </w:r>
            <w:r>
              <w:t>o reflect how this bullying actually occurs</w:t>
            </w:r>
          </w:p>
        </w:tc>
      </w:tr>
      <w:tr w:rsidR="0043686D" w:rsidTr="0043686D">
        <w:tc>
          <w:tcPr>
            <w:tcW w:w="1975" w:type="dxa"/>
          </w:tcPr>
          <w:p w:rsidR="0043686D" w:rsidRDefault="0043686D" w:rsidP="00281671">
            <w:r>
              <w:t>Tobacco use</w:t>
            </w:r>
          </w:p>
        </w:tc>
        <w:tc>
          <w:tcPr>
            <w:tcW w:w="5220" w:type="dxa"/>
          </w:tcPr>
          <w:p w:rsidR="0043686D" w:rsidRDefault="0043686D" w:rsidP="0043686D">
            <w:r>
              <w:t xml:space="preserve">Changed age at first cigarette use </w:t>
            </w:r>
            <w:r w:rsidR="00D635EC">
              <w:t>question to refer to “even one or two puffs” rather than “whole cigarette”</w:t>
            </w:r>
          </w:p>
        </w:tc>
        <w:tc>
          <w:tcPr>
            <w:tcW w:w="5940" w:type="dxa"/>
          </w:tcPr>
          <w:p w:rsidR="0043686D" w:rsidRDefault="00D635EC" w:rsidP="00281671">
            <w:r>
              <w:t>To be consistent with other questions on cigarette use in YRBS and National Youth Tobacco Survey and to capture more students who have experimented with cigarette smoking but may not have smoked an entire cigarette</w:t>
            </w:r>
          </w:p>
        </w:tc>
      </w:tr>
      <w:tr w:rsidR="005A2D65" w:rsidTr="0043686D">
        <w:tc>
          <w:tcPr>
            <w:tcW w:w="1975" w:type="dxa"/>
          </w:tcPr>
          <w:p w:rsidR="005A2D65" w:rsidRDefault="005A2D65" w:rsidP="00281671"/>
        </w:tc>
        <w:tc>
          <w:tcPr>
            <w:tcW w:w="5220" w:type="dxa"/>
          </w:tcPr>
          <w:p w:rsidR="005A2D65" w:rsidRDefault="005A2D65" w:rsidP="0043686D">
            <w:r>
              <w:t>Changed question on source of cigarettes to question on source of electronic vapor products</w:t>
            </w:r>
          </w:p>
        </w:tc>
        <w:tc>
          <w:tcPr>
            <w:tcW w:w="5940" w:type="dxa"/>
          </w:tcPr>
          <w:p w:rsidR="005A2D65" w:rsidRDefault="005A2D65" w:rsidP="005A2D65">
            <w:r>
              <w:t>Stronger interest from CDC SMEs on electronic vapor products (EVPs) than cigarettes, as EVPs are an emerging and largely unstudied  tobacco product that is very popular among young people</w:t>
            </w:r>
          </w:p>
        </w:tc>
      </w:tr>
      <w:tr w:rsidR="005A2D65" w:rsidTr="0043686D">
        <w:tc>
          <w:tcPr>
            <w:tcW w:w="1975" w:type="dxa"/>
          </w:tcPr>
          <w:p w:rsidR="005A2D65" w:rsidRDefault="005A2D65" w:rsidP="00281671"/>
        </w:tc>
        <w:tc>
          <w:tcPr>
            <w:tcW w:w="5220" w:type="dxa"/>
          </w:tcPr>
          <w:p w:rsidR="005A2D65" w:rsidRDefault="005A2D65" w:rsidP="0043686D">
            <w:r>
              <w:t xml:space="preserve">Modified quitting </w:t>
            </w:r>
            <w:r w:rsidR="00F05B42">
              <w:t>question to focus on all tobacco products, not just cigarettes</w:t>
            </w:r>
          </w:p>
        </w:tc>
        <w:tc>
          <w:tcPr>
            <w:tcW w:w="5940" w:type="dxa"/>
          </w:tcPr>
          <w:p w:rsidR="005A2D65" w:rsidRDefault="00F05B42" w:rsidP="005A2D65">
            <w:r>
              <w:t>Interest from CDC SMEs on capturing all tobacco products, several of which are very popular among young people</w:t>
            </w:r>
          </w:p>
        </w:tc>
      </w:tr>
      <w:tr w:rsidR="00F05B42" w:rsidTr="0043686D">
        <w:tc>
          <w:tcPr>
            <w:tcW w:w="1975" w:type="dxa"/>
          </w:tcPr>
          <w:p w:rsidR="00F05B42" w:rsidRDefault="00F05B42" w:rsidP="00281671"/>
        </w:tc>
        <w:tc>
          <w:tcPr>
            <w:tcW w:w="5220" w:type="dxa"/>
          </w:tcPr>
          <w:p w:rsidR="00F05B42" w:rsidRDefault="00F05B42" w:rsidP="0043686D">
            <w:r>
              <w:t>Modified smokeless tobacco question to include snus and dissolvable tobacco products</w:t>
            </w:r>
          </w:p>
        </w:tc>
        <w:tc>
          <w:tcPr>
            <w:tcW w:w="5940" w:type="dxa"/>
          </w:tcPr>
          <w:p w:rsidR="00F05B42" w:rsidRDefault="00F05B42" w:rsidP="005A2D65">
            <w:r>
              <w:t>To reflect emerging forms of smokeless tobacco (other than electronic vapor products) used by young people</w:t>
            </w:r>
          </w:p>
        </w:tc>
      </w:tr>
      <w:tr w:rsidR="00F05B42" w:rsidTr="0043686D">
        <w:tc>
          <w:tcPr>
            <w:tcW w:w="1975" w:type="dxa"/>
          </w:tcPr>
          <w:p w:rsidR="00F05B42" w:rsidRDefault="00F05B42" w:rsidP="00281671">
            <w:r>
              <w:t>Alcohol and other drug use</w:t>
            </w:r>
          </w:p>
        </w:tc>
        <w:tc>
          <w:tcPr>
            <w:tcW w:w="5220" w:type="dxa"/>
          </w:tcPr>
          <w:p w:rsidR="00F05B42" w:rsidRDefault="00F05B42" w:rsidP="0043686D">
            <w:r>
              <w:t>Modified binge drinking question to make it sex-specific</w:t>
            </w:r>
          </w:p>
        </w:tc>
        <w:tc>
          <w:tcPr>
            <w:tcW w:w="5940" w:type="dxa"/>
          </w:tcPr>
          <w:p w:rsidR="00F05B42" w:rsidRDefault="00F05B42" w:rsidP="005A2D65">
            <w:r>
              <w:t>To comply with HHS Data Council recommendation to use a sex-specific definition of binge drinking in all HHS surveys</w:t>
            </w:r>
          </w:p>
        </w:tc>
      </w:tr>
      <w:tr w:rsidR="00F05B42" w:rsidTr="0043686D">
        <w:tc>
          <w:tcPr>
            <w:tcW w:w="1975" w:type="dxa"/>
          </w:tcPr>
          <w:p w:rsidR="00F05B42" w:rsidRDefault="00F05B42" w:rsidP="00281671"/>
        </w:tc>
        <w:tc>
          <w:tcPr>
            <w:tcW w:w="5220" w:type="dxa"/>
          </w:tcPr>
          <w:p w:rsidR="00F05B42" w:rsidRDefault="00F05B42" w:rsidP="0043686D">
            <w:r>
              <w:t>Changed prescription drug use question from a general question to a question specific to opioid-related prescri</w:t>
            </w:r>
            <w:r w:rsidR="00823F16">
              <w:t>ption drug use</w:t>
            </w:r>
          </w:p>
        </w:tc>
        <w:tc>
          <w:tcPr>
            <w:tcW w:w="5940" w:type="dxa"/>
          </w:tcPr>
          <w:p w:rsidR="00F05B42" w:rsidRDefault="00823F16" w:rsidP="005A2D65">
            <w:r>
              <w:t>To reflect the significant public health impact of misuse of prescription pain medicine that can lead to dependency, injected drug use, and heroin use</w:t>
            </w:r>
          </w:p>
        </w:tc>
      </w:tr>
      <w:tr w:rsidR="00823F16" w:rsidTr="0043686D">
        <w:tc>
          <w:tcPr>
            <w:tcW w:w="1975" w:type="dxa"/>
          </w:tcPr>
          <w:p w:rsidR="00823F16" w:rsidRDefault="00823F16" w:rsidP="00281671">
            <w:r>
              <w:t>Physical activity</w:t>
            </w:r>
          </w:p>
        </w:tc>
        <w:tc>
          <w:tcPr>
            <w:tcW w:w="5220" w:type="dxa"/>
          </w:tcPr>
          <w:p w:rsidR="00823F16" w:rsidRDefault="00823F16" w:rsidP="0043686D">
            <w:r>
              <w:t>Added question on concussions from physical activity</w:t>
            </w:r>
          </w:p>
        </w:tc>
        <w:tc>
          <w:tcPr>
            <w:tcW w:w="5940" w:type="dxa"/>
          </w:tcPr>
          <w:p w:rsidR="00823F16" w:rsidRDefault="00823F16" w:rsidP="005A2D65">
            <w:r>
              <w:t>To obtain comprehensive national estimates</w:t>
            </w:r>
            <w:r w:rsidR="007C38A7">
              <w:t xml:space="preserve"> of sports- and recreation-related concussions among high school students that are not captured by current surveillance efforts</w:t>
            </w:r>
          </w:p>
        </w:tc>
      </w:tr>
      <w:tr w:rsidR="00C531D3" w:rsidTr="00281671">
        <w:tc>
          <w:tcPr>
            <w:tcW w:w="1975" w:type="dxa"/>
          </w:tcPr>
          <w:p w:rsidR="00C531D3" w:rsidRDefault="00C531D3" w:rsidP="00281671"/>
        </w:tc>
        <w:tc>
          <w:tcPr>
            <w:tcW w:w="5220" w:type="dxa"/>
          </w:tcPr>
          <w:p w:rsidR="00C531D3" w:rsidRDefault="00C531D3" w:rsidP="00C531D3">
            <w:r>
              <w:t xml:space="preserve">Updated technology list on </w:t>
            </w:r>
            <w:r>
              <w:t xml:space="preserve">video game and computer use </w:t>
            </w:r>
            <w:r>
              <w:t xml:space="preserve">question </w:t>
            </w:r>
          </w:p>
        </w:tc>
        <w:tc>
          <w:tcPr>
            <w:tcW w:w="5940" w:type="dxa"/>
          </w:tcPr>
          <w:p w:rsidR="00C531D3" w:rsidRDefault="00C531D3" w:rsidP="00C531D3">
            <w:r>
              <w:t xml:space="preserve">To reflect </w:t>
            </w:r>
            <w:r>
              <w:t>types of technology used by young people</w:t>
            </w:r>
          </w:p>
        </w:tc>
      </w:tr>
    </w:tbl>
    <w:p w:rsidR="00AD4311" w:rsidRDefault="00AD4311">
      <w:bookmarkStart w:id="0" w:name="_GoBack"/>
      <w:bookmarkEnd w:id="0"/>
    </w:p>
    <w:sectPr w:rsidR="00AD4311" w:rsidSect="0093449A">
      <w:headerReference w:type="even" r:id="rId7"/>
      <w:headerReference w:type="default" r:id="rId8"/>
      <w:footerReference w:type="even" r:id="rId9"/>
      <w:footerReference w:type="default" r:id="rId10"/>
      <w:headerReference w:type="first" r:id="rId11"/>
      <w:footerReference w:type="first" r:id="rId12"/>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7C0" w:rsidRDefault="00C137C0" w:rsidP="008B5D54">
      <w:pPr>
        <w:spacing w:after="0" w:line="240" w:lineRule="auto"/>
      </w:pPr>
      <w:r>
        <w:separator/>
      </w:r>
    </w:p>
  </w:endnote>
  <w:endnote w:type="continuationSeparator" w:id="0">
    <w:p w:rsidR="00C137C0" w:rsidRDefault="00C137C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7C0" w:rsidRDefault="00C137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7C0" w:rsidRDefault="00C137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7C0" w:rsidRDefault="00C137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7C0" w:rsidRDefault="00C137C0" w:rsidP="008B5D54">
      <w:pPr>
        <w:spacing w:after="0" w:line="240" w:lineRule="auto"/>
      </w:pPr>
      <w:r>
        <w:separator/>
      </w:r>
    </w:p>
  </w:footnote>
  <w:footnote w:type="continuationSeparator" w:id="0">
    <w:p w:rsidR="00C137C0" w:rsidRDefault="00C137C0"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7C0" w:rsidRDefault="00C137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7C0" w:rsidRDefault="00C137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7C0" w:rsidRDefault="00C137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49A"/>
    <w:rsid w:val="000255F3"/>
    <w:rsid w:val="00222AC1"/>
    <w:rsid w:val="00275D49"/>
    <w:rsid w:val="00383FAC"/>
    <w:rsid w:val="00416E95"/>
    <w:rsid w:val="0043686D"/>
    <w:rsid w:val="005A2D65"/>
    <w:rsid w:val="00694CB2"/>
    <w:rsid w:val="006C6578"/>
    <w:rsid w:val="007210D0"/>
    <w:rsid w:val="007C38A7"/>
    <w:rsid w:val="00823F16"/>
    <w:rsid w:val="008B5D54"/>
    <w:rsid w:val="0093449A"/>
    <w:rsid w:val="009B790C"/>
    <w:rsid w:val="00AC43B0"/>
    <w:rsid w:val="00AD4311"/>
    <w:rsid w:val="00AE43BB"/>
    <w:rsid w:val="00B55735"/>
    <w:rsid w:val="00B608AC"/>
    <w:rsid w:val="00BC5C9E"/>
    <w:rsid w:val="00C137C0"/>
    <w:rsid w:val="00C531D3"/>
    <w:rsid w:val="00D635EC"/>
    <w:rsid w:val="00DC57CC"/>
    <w:rsid w:val="00F05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934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0D0D2-2FB8-4C97-B7FD-41EB6B12D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2016-04-15T22:07:00Z</dcterms:created>
  <dcterms:modified xsi:type="dcterms:W3CDTF">2016-05-02T19:54:00Z</dcterms:modified>
</cp:coreProperties>
</file>