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B2944" w14:textId="77777777" w:rsidR="00544C10" w:rsidRPr="00D8482F" w:rsidRDefault="00544C10" w:rsidP="00544C10"/>
    <w:p w14:paraId="77FB11A2" w14:textId="77777777" w:rsidR="00B06E6A" w:rsidRPr="00D8482F" w:rsidRDefault="00B06E6A" w:rsidP="00544C10"/>
    <w:p w14:paraId="75E05E52" w14:textId="77777777" w:rsidR="0087205F" w:rsidRPr="00D8482F" w:rsidRDefault="0087205F" w:rsidP="00E55D50">
      <w:pPr>
        <w:ind w:left="1440" w:hanging="1440"/>
        <w:outlineLvl w:val="0"/>
      </w:pPr>
    </w:p>
    <w:p w14:paraId="3B8F7456" w14:textId="77777777" w:rsidR="0087205F" w:rsidRPr="00D8482F" w:rsidRDefault="0087205F" w:rsidP="00E55D50">
      <w:pPr>
        <w:ind w:left="1440" w:hanging="1440"/>
        <w:outlineLvl w:val="0"/>
      </w:pPr>
    </w:p>
    <w:p w14:paraId="096EED86" w14:textId="77777777" w:rsidR="0087205F" w:rsidRPr="00D8482F" w:rsidRDefault="0087205F" w:rsidP="00E55D50">
      <w:pPr>
        <w:ind w:left="1440" w:hanging="1440"/>
        <w:outlineLvl w:val="0"/>
      </w:pPr>
    </w:p>
    <w:p w14:paraId="7F9ADED4" w14:textId="77777777" w:rsidR="00642397" w:rsidRPr="00D8482F" w:rsidRDefault="00642397" w:rsidP="00E55D50">
      <w:pPr>
        <w:ind w:left="1440" w:hanging="1440"/>
        <w:outlineLvl w:val="0"/>
      </w:pPr>
    </w:p>
    <w:p w14:paraId="73637136" w14:textId="77777777" w:rsidR="00642397" w:rsidRPr="00D8482F" w:rsidRDefault="00642397" w:rsidP="00E55D50">
      <w:pPr>
        <w:ind w:left="1440" w:hanging="1440"/>
        <w:outlineLvl w:val="0"/>
      </w:pPr>
    </w:p>
    <w:p w14:paraId="48FB0ABF" w14:textId="77777777" w:rsidR="0087205F" w:rsidRPr="00D8482F" w:rsidRDefault="0087205F" w:rsidP="00E55D50">
      <w:pPr>
        <w:ind w:left="1440" w:hanging="1440"/>
        <w:outlineLvl w:val="0"/>
      </w:pPr>
    </w:p>
    <w:p w14:paraId="61D80B0A" w14:textId="77777777" w:rsidR="0087205F" w:rsidRPr="00D8482F" w:rsidRDefault="0087205F" w:rsidP="00E55D50">
      <w:pPr>
        <w:ind w:left="1440" w:hanging="1440"/>
        <w:outlineLvl w:val="0"/>
      </w:pPr>
    </w:p>
    <w:p w14:paraId="382C6DAD" w14:textId="77777777" w:rsidR="0087205F" w:rsidRPr="00D8482F" w:rsidRDefault="0087205F" w:rsidP="00E55D50">
      <w:pPr>
        <w:ind w:left="1440" w:hanging="1440"/>
        <w:outlineLvl w:val="0"/>
      </w:pPr>
    </w:p>
    <w:p w14:paraId="1B786708" w14:textId="77777777" w:rsidR="0087205F" w:rsidRPr="00D8482F" w:rsidRDefault="0087205F" w:rsidP="00E55D50">
      <w:pPr>
        <w:ind w:left="1440" w:hanging="1440"/>
        <w:outlineLvl w:val="0"/>
      </w:pPr>
    </w:p>
    <w:p w14:paraId="751567EF" w14:textId="77777777" w:rsidR="0087205F" w:rsidRPr="00D8482F" w:rsidRDefault="0087205F" w:rsidP="00E55D50">
      <w:pPr>
        <w:ind w:left="1440" w:hanging="1440"/>
        <w:outlineLvl w:val="0"/>
      </w:pPr>
    </w:p>
    <w:p w14:paraId="51412758" w14:textId="31E98912" w:rsidR="009437C4" w:rsidRPr="00D8482F" w:rsidRDefault="00B06E6A" w:rsidP="009437C4">
      <w:pPr>
        <w:ind w:left="1440" w:hanging="1440"/>
        <w:jc w:val="center"/>
        <w:outlineLvl w:val="0"/>
        <w:rPr>
          <w:b/>
        </w:rPr>
      </w:pPr>
      <w:bookmarkStart w:id="0" w:name="_Toc444242948"/>
      <w:r w:rsidRPr="00D8482F">
        <w:rPr>
          <w:b/>
        </w:rPr>
        <w:t xml:space="preserve">Survey of </w:t>
      </w:r>
      <w:r w:rsidR="00544C10" w:rsidRPr="00D8482F">
        <w:rPr>
          <w:b/>
        </w:rPr>
        <w:t>Healthcare-Associated Infections</w:t>
      </w:r>
      <w:r w:rsidRPr="00D8482F">
        <w:rPr>
          <w:b/>
        </w:rPr>
        <w:t xml:space="preserve"> </w:t>
      </w:r>
      <w:r w:rsidR="004D2D29" w:rsidRPr="00D8482F">
        <w:rPr>
          <w:b/>
        </w:rPr>
        <w:t xml:space="preserve">and Antimicrobial Use </w:t>
      </w:r>
      <w:r w:rsidRPr="00D8482F">
        <w:rPr>
          <w:b/>
        </w:rPr>
        <w:t>in U.S.</w:t>
      </w:r>
      <w:bookmarkEnd w:id="0"/>
    </w:p>
    <w:p w14:paraId="4B8F4DFC" w14:textId="77777777" w:rsidR="00526F15" w:rsidRPr="00D8482F" w:rsidRDefault="00E37834" w:rsidP="009437C4">
      <w:pPr>
        <w:ind w:left="1440" w:hanging="1440"/>
        <w:jc w:val="center"/>
        <w:outlineLvl w:val="0"/>
        <w:rPr>
          <w:b/>
        </w:rPr>
      </w:pPr>
      <w:bookmarkStart w:id="1" w:name="_Toc444242949"/>
      <w:r w:rsidRPr="00D8482F">
        <w:rPr>
          <w:b/>
        </w:rPr>
        <w:t>Nursin</w:t>
      </w:r>
      <w:r w:rsidRPr="002639F3">
        <w:rPr>
          <w:b/>
        </w:rPr>
        <w:t>g Homes</w:t>
      </w:r>
      <w:bookmarkEnd w:id="1"/>
      <w:r w:rsidR="0052784F" w:rsidRPr="002639F3">
        <w:rPr>
          <w:b/>
        </w:rPr>
        <w:t xml:space="preserve"> for use in </w:t>
      </w:r>
      <w:r w:rsidR="008B6314" w:rsidRPr="002639F3">
        <w:rPr>
          <w:b/>
        </w:rPr>
        <w:t>Exploring the D</w:t>
      </w:r>
      <w:r w:rsidR="0052784F" w:rsidRPr="002639F3">
        <w:rPr>
          <w:b/>
        </w:rPr>
        <w:t>evelop</w:t>
      </w:r>
      <w:r w:rsidR="008B6314" w:rsidRPr="002639F3">
        <w:rPr>
          <w:b/>
        </w:rPr>
        <w:t xml:space="preserve">ment of </w:t>
      </w:r>
      <w:r w:rsidR="0052784F" w:rsidRPr="002639F3">
        <w:rPr>
          <w:b/>
        </w:rPr>
        <w:t>a National Prevalence Model</w:t>
      </w:r>
    </w:p>
    <w:p w14:paraId="53AF8F6B" w14:textId="77777777" w:rsidR="009437C4" w:rsidRPr="00D8482F" w:rsidRDefault="009437C4" w:rsidP="0087205F">
      <w:pPr>
        <w:ind w:left="1440" w:hanging="1440"/>
        <w:jc w:val="center"/>
        <w:outlineLvl w:val="0"/>
        <w:rPr>
          <w:b/>
        </w:rPr>
      </w:pPr>
    </w:p>
    <w:p w14:paraId="111DD1AB" w14:textId="77777777" w:rsidR="00544C10" w:rsidRPr="00D8482F" w:rsidRDefault="00544C10" w:rsidP="0087205F">
      <w:pPr>
        <w:ind w:left="1440" w:hanging="1440"/>
        <w:jc w:val="center"/>
        <w:outlineLvl w:val="0"/>
        <w:rPr>
          <w:b/>
        </w:rPr>
      </w:pPr>
    </w:p>
    <w:p w14:paraId="40013FC6" w14:textId="77777777" w:rsidR="00207E90" w:rsidRPr="00D8482F" w:rsidRDefault="00207E90" w:rsidP="0087205F">
      <w:pPr>
        <w:ind w:left="1440" w:hanging="1440"/>
        <w:jc w:val="center"/>
        <w:outlineLvl w:val="0"/>
        <w:rPr>
          <w:b/>
        </w:rPr>
      </w:pPr>
    </w:p>
    <w:p w14:paraId="0AF860AE" w14:textId="77777777" w:rsidR="00544C10" w:rsidRPr="00D8482F" w:rsidRDefault="00E37834" w:rsidP="0087205F">
      <w:pPr>
        <w:ind w:left="1440" w:hanging="1440"/>
        <w:jc w:val="center"/>
        <w:rPr>
          <w:b/>
        </w:rPr>
      </w:pPr>
      <w:r w:rsidRPr="00D8482F">
        <w:rPr>
          <w:b/>
        </w:rPr>
        <w:t>New Information Collection</w:t>
      </w:r>
      <w:r w:rsidR="00F11275" w:rsidRPr="00D8482F">
        <w:rPr>
          <w:b/>
        </w:rPr>
        <w:t xml:space="preserve"> Request</w:t>
      </w:r>
    </w:p>
    <w:p w14:paraId="75A1AD34" w14:textId="77777777" w:rsidR="003E734F" w:rsidRPr="00D8482F" w:rsidRDefault="003E734F" w:rsidP="0087205F">
      <w:pPr>
        <w:ind w:left="1440" w:hanging="1440"/>
        <w:jc w:val="center"/>
        <w:rPr>
          <w:b/>
        </w:rPr>
      </w:pPr>
    </w:p>
    <w:p w14:paraId="567E945B" w14:textId="77777777" w:rsidR="003E734F" w:rsidRPr="00D8482F" w:rsidRDefault="003E734F" w:rsidP="0087205F">
      <w:pPr>
        <w:ind w:left="1440" w:hanging="1440"/>
        <w:jc w:val="center"/>
        <w:rPr>
          <w:b/>
        </w:rPr>
      </w:pPr>
      <w:r w:rsidRPr="00D8482F">
        <w:rPr>
          <w:b/>
        </w:rPr>
        <w:t>Part A</w:t>
      </w:r>
    </w:p>
    <w:p w14:paraId="510E59A0" w14:textId="77777777" w:rsidR="00642397" w:rsidRPr="00D8482F" w:rsidRDefault="00642397" w:rsidP="0087205F">
      <w:pPr>
        <w:ind w:left="1440" w:hanging="1440"/>
        <w:jc w:val="center"/>
        <w:rPr>
          <w:b/>
        </w:rPr>
      </w:pPr>
    </w:p>
    <w:p w14:paraId="2E911E8D" w14:textId="13142644" w:rsidR="00207E90" w:rsidRPr="00D8482F" w:rsidRDefault="00EF17EC" w:rsidP="0087205F">
      <w:pPr>
        <w:ind w:left="1440" w:hanging="1440"/>
        <w:jc w:val="center"/>
        <w:rPr>
          <w:b/>
        </w:rPr>
      </w:pPr>
      <w:r>
        <w:rPr>
          <w:b/>
          <w:noProof/>
        </w:rPr>
        <w:t>February 15</w:t>
      </w:r>
      <w:bookmarkStart w:id="2" w:name="_GoBack"/>
      <w:bookmarkEnd w:id="2"/>
      <w:r w:rsidR="00FE7853">
        <w:rPr>
          <w:b/>
          <w:noProof/>
        </w:rPr>
        <w:t>, 2017</w:t>
      </w:r>
    </w:p>
    <w:p w14:paraId="104DCF62" w14:textId="77777777" w:rsidR="00207E90" w:rsidRPr="00D8482F" w:rsidRDefault="00207E90" w:rsidP="0087205F">
      <w:pPr>
        <w:ind w:left="1440" w:hanging="1440"/>
        <w:jc w:val="center"/>
        <w:rPr>
          <w:b/>
        </w:rPr>
      </w:pPr>
    </w:p>
    <w:p w14:paraId="14199302" w14:textId="77777777" w:rsidR="00207E90" w:rsidRPr="00D8482F" w:rsidRDefault="00207E90" w:rsidP="0087205F">
      <w:pPr>
        <w:ind w:left="1440" w:hanging="1440"/>
        <w:jc w:val="center"/>
        <w:rPr>
          <w:b/>
        </w:rPr>
      </w:pPr>
    </w:p>
    <w:p w14:paraId="3429743E" w14:textId="77777777" w:rsidR="00207E90" w:rsidRPr="00D8482F" w:rsidRDefault="00207E90" w:rsidP="0087205F">
      <w:pPr>
        <w:ind w:left="1440" w:hanging="1440"/>
        <w:jc w:val="center"/>
        <w:rPr>
          <w:b/>
        </w:rPr>
      </w:pPr>
    </w:p>
    <w:p w14:paraId="355D3110" w14:textId="77777777" w:rsidR="00207E90" w:rsidRPr="00D8482F" w:rsidRDefault="00207E90" w:rsidP="0087205F">
      <w:pPr>
        <w:ind w:left="1440" w:hanging="1440"/>
        <w:jc w:val="center"/>
        <w:rPr>
          <w:b/>
        </w:rPr>
      </w:pPr>
    </w:p>
    <w:p w14:paraId="532FF1AD" w14:textId="77777777" w:rsidR="00207E90" w:rsidRPr="00D8482F" w:rsidRDefault="00207E90" w:rsidP="0087205F">
      <w:pPr>
        <w:ind w:left="1440" w:hanging="1440"/>
        <w:jc w:val="center"/>
        <w:rPr>
          <w:b/>
        </w:rPr>
      </w:pPr>
    </w:p>
    <w:p w14:paraId="715762E5" w14:textId="77777777" w:rsidR="00207E90" w:rsidRPr="00D8482F" w:rsidRDefault="00207E90" w:rsidP="0087205F">
      <w:pPr>
        <w:ind w:left="1440" w:hanging="1440"/>
        <w:jc w:val="center"/>
        <w:rPr>
          <w:b/>
        </w:rPr>
      </w:pPr>
    </w:p>
    <w:p w14:paraId="4079DE5B" w14:textId="77777777" w:rsidR="0087205F" w:rsidRPr="00D8482F" w:rsidRDefault="0087205F" w:rsidP="00544C10">
      <w:pPr>
        <w:ind w:left="1440" w:hanging="1440"/>
        <w:rPr>
          <w:b/>
        </w:rPr>
      </w:pPr>
    </w:p>
    <w:p w14:paraId="1E5429F1" w14:textId="77777777" w:rsidR="00B06E6A" w:rsidRPr="00D8482F" w:rsidRDefault="00B06E6A" w:rsidP="00544C10">
      <w:pPr>
        <w:ind w:left="1440" w:hanging="1440"/>
        <w:rPr>
          <w:b/>
        </w:rPr>
      </w:pPr>
    </w:p>
    <w:p w14:paraId="1DD9D713" w14:textId="77777777" w:rsidR="00B06E6A" w:rsidRPr="00D8482F" w:rsidRDefault="00B06E6A" w:rsidP="00544C10">
      <w:pPr>
        <w:ind w:left="1440" w:hanging="1440"/>
        <w:rPr>
          <w:b/>
        </w:rPr>
      </w:pPr>
    </w:p>
    <w:p w14:paraId="491CA32F" w14:textId="77777777" w:rsidR="00B06E6A" w:rsidRPr="00D8482F" w:rsidRDefault="00B06E6A" w:rsidP="00544C10">
      <w:pPr>
        <w:ind w:left="1440" w:hanging="1440"/>
        <w:rPr>
          <w:b/>
        </w:rPr>
      </w:pPr>
    </w:p>
    <w:p w14:paraId="6AAD0D26" w14:textId="77777777" w:rsidR="0087205F" w:rsidRPr="00D8482F" w:rsidRDefault="0087205F" w:rsidP="00544C10">
      <w:pPr>
        <w:ind w:left="1440" w:hanging="1440"/>
        <w:rPr>
          <w:b/>
        </w:rPr>
      </w:pPr>
    </w:p>
    <w:p w14:paraId="0BDE6B29" w14:textId="77777777" w:rsidR="0087205F" w:rsidRPr="00D8482F" w:rsidRDefault="0087205F" w:rsidP="00544C10">
      <w:pPr>
        <w:ind w:left="1440" w:hanging="1440"/>
        <w:rPr>
          <w:b/>
        </w:rPr>
      </w:pPr>
    </w:p>
    <w:p w14:paraId="6EC1BD23" w14:textId="77777777" w:rsidR="0087205F" w:rsidRPr="00D8482F" w:rsidRDefault="00544C10" w:rsidP="00E55D50">
      <w:pPr>
        <w:ind w:left="1440" w:hanging="1440"/>
        <w:outlineLvl w:val="0"/>
        <w:rPr>
          <w:b/>
        </w:rPr>
      </w:pPr>
      <w:bookmarkStart w:id="3" w:name="_Toc444242950"/>
      <w:r w:rsidRPr="00D8482F">
        <w:rPr>
          <w:b/>
        </w:rPr>
        <w:t>Contact:</w:t>
      </w:r>
      <w:bookmarkEnd w:id="3"/>
    </w:p>
    <w:p w14:paraId="1981DF3A" w14:textId="77777777" w:rsidR="00114840" w:rsidRPr="00D8482F" w:rsidRDefault="00114840" w:rsidP="00114840">
      <w:pPr>
        <w:outlineLvl w:val="0"/>
        <w:rPr>
          <w:b/>
        </w:rPr>
      </w:pPr>
      <w:bookmarkStart w:id="4" w:name="_Toc444242951"/>
      <w:r w:rsidRPr="00D8482F">
        <w:rPr>
          <w:b/>
        </w:rPr>
        <w:t>Amy McMillen</w:t>
      </w:r>
      <w:bookmarkEnd w:id="4"/>
    </w:p>
    <w:p w14:paraId="265D831F" w14:textId="77777777" w:rsidR="00114840" w:rsidRPr="00D8482F" w:rsidRDefault="00114840" w:rsidP="00114840">
      <w:pPr>
        <w:rPr>
          <w:b/>
          <w:color w:val="000000"/>
        </w:rPr>
      </w:pPr>
      <w:r w:rsidRPr="00D8482F">
        <w:rPr>
          <w:b/>
          <w:color w:val="000000"/>
        </w:rPr>
        <w:t>Public Health Analyst</w:t>
      </w:r>
    </w:p>
    <w:p w14:paraId="6C7C07F0" w14:textId="77777777" w:rsidR="00114840" w:rsidRPr="00D8482F" w:rsidRDefault="00114840" w:rsidP="00114840">
      <w:pPr>
        <w:rPr>
          <w:b/>
          <w:color w:val="000000"/>
        </w:rPr>
      </w:pPr>
      <w:r w:rsidRPr="00D8482F">
        <w:rPr>
          <w:b/>
          <w:color w:val="000000"/>
        </w:rPr>
        <w:t>National Center for Emerging and Zoonotic Infectious Diseases</w:t>
      </w:r>
    </w:p>
    <w:p w14:paraId="6D496D8F" w14:textId="77777777" w:rsidR="00114840" w:rsidRPr="00D8482F" w:rsidRDefault="00114840" w:rsidP="00114840">
      <w:pPr>
        <w:rPr>
          <w:b/>
          <w:color w:val="000000"/>
        </w:rPr>
      </w:pPr>
      <w:r w:rsidRPr="00D8482F">
        <w:rPr>
          <w:b/>
          <w:color w:val="000000"/>
        </w:rPr>
        <w:t>Centers for Disease Control and Prevention</w:t>
      </w:r>
    </w:p>
    <w:p w14:paraId="34FCEC07" w14:textId="77777777" w:rsidR="00114840" w:rsidRPr="00D8482F" w:rsidRDefault="00114840" w:rsidP="00114840">
      <w:pPr>
        <w:outlineLvl w:val="0"/>
        <w:rPr>
          <w:b/>
        </w:rPr>
      </w:pPr>
      <w:bookmarkStart w:id="5" w:name="_Toc444242952"/>
      <w:r w:rsidRPr="00D8482F">
        <w:rPr>
          <w:b/>
        </w:rPr>
        <w:t>Phone: (404) 639-1045</w:t>
      </w:r>
      <w:bookmarkEnd w:id="5"/>
    </w:p>
    <w:p w14:paraId="65F7A3BB" w14:textId="77777777" w:rsidR="00114840" w:rsidRPr="00D8482F" w:rsidRDefault="00114840" w:rsidP="00114840">
      <w:pPr>
        <w:outlineLvl w:val="0"/>
        <w:rPr>
          <w:b/>
        </w:rPr>
      </w:pPr>
      <w:bookmarkStart w:id="6" w:name="_Toc444242953"/>
      <w:r w:rsidRPr="00D8482F">
        <w:rPr>
          <w:b/>
        </w:rPr>
        <w:t>Fax: (404) 639-7090</w:t>
      </w:r>
      <w:bookmarkEnd w:id="6"/>
    </w:p>
    <w:p w14:paraId="685118F2" w14:textId="77777777" w:rsidR="00114840" w:rsidRPr="00D8482F" w:rsidRDefault="00114840" w:rsidP="00114840">
      <w:pPr>
        <w:outlineLvl w:val="0"/>
        <w:rPr>
          <w:b/>
        </w:rPr>
      </w:pPr>
      <w:bookmarkStart w:id="7" w:name="_Toc444242954"/>
      <w:r w:rsidRPr="00D8482F">
        <w:rPr>
          <w:b/>
        </w:rPr>
        <w:t xml:space="preserve">Email: </w:t>
      </w:r>
      <w:hyperlink r:id="rId13" w:history="1">
        <w:r w:rsidRPr="00D8482F">
          <w:rPr>
            <w:rStyle w:val="Hyperlink"/>
            <w:b/>
          </w:rPr>
          <w:t>auh1@cdc.gov</w:t>
        </w:r>
        <w:bookmarkEnd w:id="7"/>
      </w:hyperlink>
    </w:p>
    <w:p w14:paraId="0A36D7DB" w14:textId="77777777" w:rsidR="002F16AA" w:rsidRPr="00D8482F" w:rsidRDefault="002F16AA" w:rsidP="002F16AA">
      <w:pPr>
        <w:rPr>
          <w:b/>
        </w:rPr>
      </w:pPr>
    </w:p>
    <w:p w14:paraId="75039B29" w14:textId="77777777" w:rsidR="002F16AA" w:rsidRPr="00D8482F" w:rsidRDefault="002F16AA" w:rsidP="002F16AA">
      <w:pPr>
        <w:rPr>
          <w:b/>
          <w:color w:val="000080"/>
        </w:rPr>
      </w:pPr>
    </w:p>
    <w:p w14:paraId="26647359" w14:textId="77777777" w:rsidR="002D3685" w:rsidRDefault="00544C10" w:rsidP="007362FB">
      <w:pPr>
        <w:ind w:left="1440" w:hanging="1440"/>
        <w:contextualSpacing/>
        <w:jc w:val="center"/>
        <w:outlineLvl w:val="0"/>
      </w:pPr>
      <w:r w:rsidRPr="00D8482F">
        <w:br w:type="page"/>
      </w:r>
    </w:p>
    <w:p w14:paraId="76A9F61E" w14:textId="77777777" w:rsidR="002D3685" w:rsidRPr="002307EC" w:rsidRDefault="002D3685" w:rsidP="002307EC">
      <w:pPr>
        <w:pStyle w:val="TOCHeading"/>
        <w:jc w:val="center"/>
        <w:rPr>
          <w:rFonts w:ascii="Times New Roman" w:hAnsi="Times New Roman"/>
          <w:color w:val="auto"/>
          <w:sz w:val="28"/>
          <w:szCs w:val="28"/>
        </w:rPr>
      </w:pPr>
      <w:r w:rsidRPr="002307EC">
        <w:rPr>
          <w:rFonts w:ascii="Times New Roman" w:hAnsi="Times New Roman"/>
          <w:color w:val="auto"/>
          <w:sz w:val="28"/>
          <w:szCs w:val="28"/>
        </w:rPr>
        <w:lastRenderedPageBreak/>
        <w:t>Table of Contents</w:t>
      </w:r>
    </w:p>
    <w:p w14:paraId="7153E677" w14:textId="77777777" w:rsidR="002D3685" w:rsidRPr="002D3685" w:rsidRDefault="002D3685" w:rsidP="002307EC">
      <w:pPr>
        <w:pStyle w:val="TOC1"/>
        <w:tabs>
          <w:tab w:val="right" w:leader="dot" w:pos="9350"/>
        </w:tabs>
        <w:spacing w:line="360" w:lineRule="auto"/>
        <w:rPr>
          <w:rFonts w:ascii="Calibri" w:hAnsi="Calibri"/>
          <w:noProof/>
          <w:sz w:val="22"/>
          <w:szCs w:val="22"/>
        </w:rPr>
      </w:pPr>
      <w:r>
        <w:fldChar w:fldCharType="begin"/>
      </w:r>
      <w:r>
        <w:instrText xml:space="preserve"> TOC \o "1-3" \h \z \u </w:instrText>
      </w:r>
      <w:r>
        <w:fldChar w:fldCharType="separate"/>
      </w:r>
    </w:p>
    <w:p w14:paraId="3ABD4FF4" w14:textId="77777777" w:rsidR="002D3685" w:rsidRPr="002D3685" w:rsidRDefault="00EF17EC" w:rsidP="002307EC">
      <w:pPr>
        <w:pStyle w:val="TOC1"/>
        <w:tabs>
          <w:tab w:val="left" w:pos="440"/>
          <w:tab w:val="right" w:leader="dot" w:pos="9350"/>
        </w:tabs>
        <w:spacing w:line="360" w:lineRule="auto"/>
        <w:rPr>
          <w:rFonts w:ascii="Calibri" w:hAnsi="Calibri"/>
          <w:noProof/>
          <w:sz w:val="22"/>
          <w:szCs w:val="22"/>
        </w:rPr>
      </w:pPr>
      <w:hyperlink w:anchor="_Toc444242957" w:history="1">
        <w:r w:rsidR="002D3685" w:rsidRPr="00D925B1">
          <w:rPr>
            <w:rStyle w:val="Hyperlink"/>
            <w:noProof/>
          </w:rPr>
          <w:t>1.</w:t>
        </w:r>
        <w:r w:rsidR="002D3685" w:rsidRPr="002D3685">
          <w:rPr>
            <w:rFonts w:ascii="Calibri" w:hAnsi="Calibri"/>
            <w:noProof/>
            <w:sz w:val="22"/>
            <w:szCs w:val="22"/>
          </w:rPr>
          <w:tab/>
        </w:r>
        <w:r w:rsidR="002D3685" w:rsidRPr="00D925B1">
          <w:rPr>
            <w:rStyle w:val="Hyperlink"/>
            <w:noProof/>
          </w:rPr>
          <w:t>Circumstances Making the Collection of Information Necessary</w:t>
        </w:r>
        <w:r w:rsidR="002D3685">
          <w:rPr>
            <w:noProof/>
            <w:webHidden/>
          </w:rPr>
          <w:tab/>
        </w:r>
        <w:r w:rsidR="002D3685">
          <w:rPr>
            <w:noProof/>
            <w:webHidden/>
          </w:rPr>
          <w:fldChar w:fldCharType="begin"/>
        </w:r>
        <w:r w:rsidR="002D3685">
          <w:rPr>
            <w:noProof/>
            <w:webHidden/>
          </w:rPr>
          <w:instrText xml:space="preserve"> PAGEREF _Toc444242957 \h </w:instrText>
        </w:r>
        <w:r w:rsidR="002D3685">
          <w:rPr>
            <w:noProof/>
            <w:webHidden/>
          </w:rPr>
        </w:r>
        <w:r w:rsidR="002D3685">
          <w:rPr>
            <w:noProof/>
            <w:webHidden/>
          </w:rPr>
          <w:fldChar w:fldCharType="separate"/>
        </w:r>
        <w:r w:rsidR="00FE7853">
          <w:rPr>
            <w:noProof/>
            <w:webHidden/>
          </w:rPr>
          <w:t>3</w:t>
        </w:r>
        <w:r w:rsidR="002D3685">
          <w:rPr>
            <w:noProof/>
            <w:webHidden/>
          </w:rPr>
          <w:fldChar w:fldCharType="end"/>
        </w:r>
      </w:hyperlink>
    </w:p>
    <w:p w14:paraId="0BB10CB3" w14:textId="77777777" w:rsidR="002D3685" w:rsidRPr="002D3685" w:rsidRDefault="00EF17EC" w:rsidP="002307EC">
      <w:pPr>
        <w:pStyle w:val="TOC1"/>
        <w:tabs>
          <w:tab w:val="left" w:pos="440"/>
          <w:tab w:val="right" w:leader="dot" w:pos="9350"/>
        </w:tabs>
        <w:spacing w:line="360" w:lineRule="auto"/>
        <w:rPr>
          <w:rFonts w:ascii="Calibri" w:hAnsi="Calibri"/>
          <w:noProof/>
          <w:sz w:val="22"/>
          <w:szCs w:val="22"/>
        </w:rPr>
      </w:pPr>
      <w:hyperlink w:anchor="_Toc444242958" w:history="1">
        <w:r w:rsidR="002D3685" w:rsidRPr="00D925B1">
          <w:rPr>
            <w:rStyle w:val="Hyperlink"/>
            <w:noProof/>
          </w:rPr>
          <w:t>2.</w:t>
        </w:r>
        <w:r w:rsidR="002D3685" w:rsidRPr="002D3685">
          <w:rPr>
            <w:rFonts w:ascii="Calibri" w:hAnsi="Calibri"/>
            <w:noProof/>
            <w:sz w:val="22"/>
            <w:szCs w:val="22"/>
          </w:rPr>
          <w:tab/>
        </w:r>
        <w:r w:rsidR="002D3685" w:rsidRPr="00D925B1">
          <w:rPr>
            <w:rStyle w:val="Hyperlink"/>
            <w:noProof/>
          </w:rPr>
          <w:t>Purpose and Use of Information Collection</w:t>
        </w:r>
        <w:r w:rsidR="002D3685">
          <w:rPr>
            <w:noProof/>
            <w:webHidden/>
          </w:rPr>
          <w:tab/>
        </w:r>
        <w:r w:rsidR="002D3685">
          <w:rPr>
            <w:noProof/>
            <w:webHidden/>
          </w:rPr>
          <w:fldChar w:fldCharType="begin"/>
        </w:r>
        <w:r w:rsidR="002D3685">
          <w:rPr>
            <w:noProof/>
            <w:webHidden/>
          </w:rPr>
          <w:instrText xml:space="preserve"> PAGEREF _Toc444242958 \h </w:instrText>
        </w:r>
        <w:r w:rsidR="002D3685">
          <w:rPr>
            <w:noProof/>
            <w:webHidden/>
          </w:rPr>
        </w:r>
        <w:r w:rsidR="002D3685">
          <w:rPr>
            <w:noProof/>
            <w:webHidden/>
          </w:rPr>
          <w:fldChar w:fldCharType="separate"/>
        </w:r>
        <w:r w:rsidR="00FE7853">
          <w:rPr>
            <w:noProof/>
            <w:webHidden/>
          </w:rPr>
          <w:t>5</w:t>
        </w:r>
        <w:r w:rsidR="002D3685">
          <w:rPr>
            <w:noProof/>
            <w:webHidden/>
          </w:rPr>
          <w:fldChar w:fldCharType="end"/>
        </w:r>
      </w:hyperlink>
    </w:p>
    <w:p w14:paraId="2240E654" w14:textId="77777777" w:rsidR="002D3685" w:rsidRPr="002D3685" w:rsidRDefault="00EF17EC" w:rsidP="002307EC">
      <w:pPr>
        <w:pStyle w:val="TOC1"/>
        <w:tabs>
          <w:tab w:val="left" w:pos="440"/>
          <w:tab w:val="right" w:leader="dot" w:pos="9350"/>
        </w:tabs>
        <w:spacing w:line="360" w:lineRule="auto"/>
        <w:rPr>
          <w:rFonts w:ascii="Calibri" w:hAnsi="Calibri"/>
          <w:noProof/>
          <w:sz w:val="22"/>
          <w:szCs w:val="22"/>
        </w:rPr>
      </w:pPr>
      <w:hyperlink w:anchor="_Toc444242959" w:history="1">
        <w:r w:rsidR="002D3685" w:rsidRPr="00D925B1">
          <w:rPr>
            <w:rStyle w:val="Hyperlink"/>
            <w:noProof/>
          </w:rPr>
          <w:t>3.</w:t>
        </w:r>
        <w:r w:rsidR="002D3685" w:rsidRPr="002D3685">
          <w:rPr>
            <w:rFonts w:ascii="Calibri" w:hAnsi="Calibri"/>
            <w:noProof/>
            <w:sz w:val="22"/>
            <w:szCs w:val="22"/>
          </w:rPr>
          <w:tab/>
        </w:r>
        <w:r w:rsidR="002D3685" w:rsidRPr="00D925B1">
          <w:rPr>
            <w:rStyle w:val="Hyperlink"/>
            <w:noProof/>
          </w:rPr>
          <w:t>Use of Improved Information Technology and Burden Reduction</w:t>
        </w:r>
        <w:r w:rsidR="002D3685">
          <w:rPr>
            <w:noProof/>
            <w:webHidden/>
          </w:rPr>
          <w:tab/>
        </w:r>
        <w:r w:rsidR="002D3685">
          <w:rPr>
            <w:noProof/>
            <w:webHidden/>
          </w:rPr>
          <w:fldChar w:fldCharType="begin"/>
        </w:r>
        <w:r w:rsidR="002D3685">
          <w:rPr>
            <w:noProof/>
            <w:webHidden/>
          </w:rPr>
          <w:instrText xml:space="preserve"> PAGEREF _Toc444242959 \h </w:instrText>
        </w:r>
        <w:r w:rsidR="002D3685">
          <w:rPr>
            <w:noProof/>
            <w:webHidden/>
          </w:rPr>
        </w:r>
        <w:r w:rsidR="002D3685">
          <w:rPr>
            <w:noProof/>
            <w:webHidden/>
          </w:rPr>
          <w:fldChar w:fldCharType="separate"/>
        </w:r>
        <w:r w:rsidR="00FE7853">
          <w:rPr>
            <w:noProof/>
            <w:webHidden/>
          </w:rPr>
          <w:t>6</w:t>
        </w:r>
        <w:r w:rsidR="002D3685">
          <w:rPr>
            <w:noProof/>
            <w:webHidden/>
          </w:rPr>
          <w:fldChar w:fldCharType="end"/>
        </w:r>
      </w:hyperlink>
    </w:p>
    <w:p w14:paraId="2ED0D9F1" w14:textId="77777777" w:rsidR="002D3685" w:rsidRPr="002D3685" w:rsidRDefault="00EF17EC" w:rsidP="002307EC">
      <w:pPr>
        <w:pStyle w:val="TOC1"/>
        <w:tabs>
          <w:tab w:val="left" w:pos="440"/>
          <w:tab w:val="right" w:leader="dot" w:pos="9350"/>
        </w:tabs>
        <w:spacing w:line="360" w:lineRule="auto"/>
        <w:rPr>
          <w:rFonts w:ascii="Calibri" w:hAnsi="Calibri"/>
          <w:noProof/>
          <w:sz w:val="22"/>
          <w:szCs w:val="22"/>
        </w:rPr>
      </w:pPr>
      <w:hyperlink w:anchor="_Toc444242960" w:history="1">
        <w:r w:rsidR="002D3685" w:rsidRPr="00D925B1">
          <w:rPr>
            <w:rStyle w:val="Hyperlink"/>
            <w:noProof/>
          </w:rPr>
          <w:t>4.</w:t>
        </w:r>
        <w:r w:rsidR="002D3685" w:rsidRPr="002D3685">
          <w:rPr>
            <w:rFonts w:ascii="Calibri" w:hAnsi="Calibri"/>
            <w:noProof/>
            <w:sz w:val="22"/>
            <w:szCs w:val="22"/>
          </w:rPr>
          <w:tab/>
        </w:r>
        <w:r w:rsidR="002D3685" w:rsidRPr="00D925B1">
          <w:rPr>
            <w:rStyle w:val="Hyperlink"/>
            <w:noProof/>
          </w:rPr>
          <w:t>Efforts to Identify Duplication and Use of Similar Information</w:t>
        </w:r>
        <w:r w:rsidR="002D3685">
          <w:rPr>
            <w:noProof/>
            <w:webHidden/>
          </w:rPr>
          <w:tab/>
        </w:r>
        <w:r w:rsidR="002D3685">
          <w:rPr>
            <w:noProof/>
            <w:webHidden/>
          </w:rPr>
          <w:fldChar w:fldCharType="begin"/>
        </w:r>
        <w:r w:rsidR="002D3685">
          <w:rPr>
            <w:noProof/>
            <w:webHidden/>
          </w:rPr>
          <w:instrText xml:space="preserve"> PAGEREF _Toc444242960 \h </w:instrText>
        </w:r>
        <w:r w:rsidR="002D3685">
          <w:rPr>
            <w:noProof/>
            <w:webHidden/>
          </w:rPr>
        </w:r>
        <w:r w:rsidR="002D3685">
          <w:rPr>
            <w:noProof/>
            <w:webHidden/>
          </w:rPr>
          <w:fldChar w:fldCharType="separate"/>
        </w:r>
        <w:r w:rsidR="00FE7853">
          <w:rPr>
            <w:noProof/>
            <w:webHidden/>
          </w:rPr>
          <w:t>7</w:t>
        </w:r>
        <w:r w:rsidR="002D3685">
          <w:rPr>
            <w:noProof/>
            <w:webHidden/>
          </w:rPr>
          <w:fldChar w:fldCharType="end"/>
        </w:r>
      </w:hyperlink>
    </w:p>
    <w:p w14:paraId="1D45B996" w14:textId="77777777" w:rsidR="002D3685" w:rsidRPr="002D3685" w:rsidRDefault="00EF17EC" w:rsidP="002307EC">
      <w:pPr>
        <w:pStyle w:val="TOC1"/>
        <w:tabs>
          <w:tab w:val="left" w:pos="440"/>
          <w:tab w:val="right" w:leader="dot" w:pos="9350"/>
        </w:tabs>
        <w:spacing w:line="360" w:lineRule="auto"/>
        <w:rPr>
          <w:rFonts w:ascii="Calibri" w:hAnsi="Calibri"/>
          <w:noProof/>
          <w:sz w:val="22"/>
          <w:szCs w:val="22"/>
        </w:rPr>
      </w:pPr>
      <w:hyperlink w:anchor="_Toc444242961" w:history="1">
        <w:r w:rsidR="002D3685" w:rsidRPr="00D925B1">
          <w:rPr>
            <w:rStyle w:val="Hyperlink"/>
            <w:noProof/>
          </w:rPr>
          <w:t>5.</w:t>
        </w:r>
        <w:r w:rsidR="002D3685" w:rsidRPr="002D3685">
          <w:rPr>
            <w:rFonts w:ascii="Calibri" w:hAnsi="Calibri"/>
            <w:noProof/>
            <w:sz w:val="22"/>
            <w:szCs w:val="22"/>
          </w:rPr>
          <w:tab/>
        </w:r>
        <w:r w:rsidR="002D3685" w:rsidRPr="00D925B1">
          <w:rPr>
            <w:rStyle w:val="Hyperlink"/>
            <w:noProof/>
          </w:rPr>
          <w:t>Impact on Small Businesses or Other Small Entities</w:t>
        </w:r>
        <w:r w:rsidR="002D3685">
          <w:rPr>
            <w:noProof/>
            <w:webHidden/>
          </w:rPr>
          <w:tab/>
        </w:r>
        <w:r w:rsidR="002D3685">
          <w:rPr>
            <w:noProof/>
            <w:webHidden/>
          </w:rPr>
          <w:fldChar w:fldCharType="begin"/>
        </w:r>
        <w:r w:rsidR="002D3685">
          <w:rPr>
            <w:noProof/>
            <w:webHidden/>
          </w:rPr>
          <w:instrText xml:space="preserve"> PAGEREF _Toc444242961 \h </w:instrText>
        </w:r>
        <w:r w:rsidR="002D3685">
          <w:rPr>
            <w:noProof/>
            <w:webHidden/>
          </w:rPr>
        </w:r>
        <w:r w:rsidR="002D3685">
          <w:rPr>
            <w:noProof/>
            <w:webHidden/>
          </w:rPr>
          <w:fldChar w:fldCharType="separate"/>
        </w:r>
        <w:r w:rsidR="00FE7853">
          <w:rPr>
            <w:noProof/>
            <w:webHidden/>
          </w:rPr>
          <w:t>9</w:t>
        </w:r>
        <w:r w:rsidR="002D3685">
          <w:rPr>
            <w:noProof/>
            <w:webHidden/>
          </w:rPr>
          <w:fldChar w:fldCharType="end"/>
        </w:r>
      </w:hyperlink>
    </w:p>
    <w:p w14:paraId="16ED6A77" w14:textId="77777777" w:rsidR="002D3685" w:rsidRPr="002D3685" w:rsidRDefault="00EF17EC" w:rsidP="002307EC">
      <w:pPr>
        <w:pStyle w:val="TOC1"/>
        <w:tabs>
          <w:tab w:val="left" w:pos="440"/>
          <w:tab w:val="right" w:leader="dot" w:pos="9350"/>
        </w:tabs>
        <w:spacing w:line="360" w:lineRule="auto"/>
        <w:rPr>
          <w:rFonts w:ascii="Calibri" w:hAnsi="Calibri"/>
          <w:noProof/>
          <w:sz w:val="22"/>
          <w:szCs w:val="22"/>
        </w:rPr>
      </w:pPr>
      <w:hyperlink w:anchor="_Toc444242962" w:history="1">
        <w:r w:rsidR="002D3685" w:rsidRPr="00D925B1">
          <w:rPr>
            <w:rStyle w:val="Hyperlink"/>
            <w:noProof/>
          </w:rPr>
          <w:t>6.</w:t>
        </w:r>
        <w:r w:rsidR="002D3685" w:rsidRPr="002D3685">
          <w:rPr>
            <w:rFonts w:ascii="Calibri" w:hAnsi="Calibri"/>
            <w:noProof/>
            <w:sz w:val="22"/>
            <w:szCs w:val="22"/>
          </w:rPr>
          <w:tab/>
        </w:r>
        <w:r w:rsidR="002D3685" w:rsidRPr="00D925B1">
          <w:rPr>
            <w:rStyle w:val="Hyperlink"/>
            <w:noProof/>
          </w:rPr>
          <w:t>Consequences of Collecting the Information Less Frequently</w:t>
        </w:r>
        <w:r w:rsidR="002D3685">
          <w:rPr>
            <w:noProof/>
            <w:webHidden/>
          </w:rPr>
          <w:tab/>
        </w:r>
        <w:r w:rsidR="002D3685">
          <w:rPr>
            <w:noProof/>
            <w:webHidden/>
          </w:rPr>
          <w:fldChar w:fldCharType="begin"/>
        </w:r>
        <w:r w:rsidR="002D3685">
          <w:rPr>
            <w:noProof/>
            <w:webHidden/>
          </w:rPr>
          <w:instrText xml:space="preserve"> PAGEREF _Toc444242962 \h </w:instrText>
        </w:r>
        <w:r w:rsidR="002D3685">
          <w:rPr>
            <w:noProof/>
            <w:webHidden/>
          </w:rPr>
        </w:r>
        <w:r w:rsidR="002D3685">
          <w:rPr>
            <w:noProof/>
            <w:webHidden/>
          </w:rPr>
          <w:fldChar w:fldCharType="separate"/>
        </w:r>
        <w:r w:rsidR="00FE7853">
          <w:rPr>
            <w:noProof/>
            <w:webHidden/>
          </w:rPr>
          <w:t>9</w:t>
        </w:r>
        <w:r w:rsidR="002D3685">
          <w:rPr>
            <w:noProof/>
            <w:webHidden/>
          </w:rPr>
          <w:fldChar w:fldCharType="end"/>
        </w:r>
      </w:hyperlink>
    </w:p>
    <w:p w14:paraId="2D1A08D6" w14:textId="77777777" w:rsidR="002D3685" w:rsidRPr="002D3685" w:rsidRDefault="00EF17EC" w:rsidP="002307EC">
      <w:pPr>
        <w:pStyle w:val="TOC1"/>
        <w:tabs>
          <w:tab w:val="left" w:pos="440"/>
          <w:tab w:val="right" w:leader="dot" w:pos="9350"/>
        </w:tabs>
        <w:spacing w:line="360" w:lineRule="auto"/>
        <w:rPr>
          <w:rFonts w:ascii="Calibri" w:hAnsi="Calibri"/>
          <w:noProof/>
          <w:sz w:val="22"/>
          <w:szCs w:val="22"/>
        </w:rPr>
      </w:pPr>
      <w:hyperlink w:anchor="_Toc444242963" w:history="1">
        <w:r w:rsidR="002D3685" w:rsidRPr="00D925B1">
          <w:rPr>
            <w:rStyle w:val="Hyperlink"/>
            <w:noProof/>
          </w:rPr>
          <w:t>7.</w:t>
        </w:r>
        <w:r w:rsidR="002D3685" w:rsidRPr="002D3685">
          <w:rPr>
            <w:rFonts w:ascii="Calibri" w:hAnsi="Calibri"/>
            <w:noProof/>
            <w:sz w:val="22"/>
            <w:szCs w:val="22"/>
          </w:rPr>
          <w:tab/>
        </w:r>
        <w:r w:rsidR="002D3685" w:rsidRPr="00D925B1">
          <w:rPr>
            <w:rStyle w:val="Hyperlink"/>
            <w:noProof/>
          </w:rPr>
          <w:t>Special Circumstances Relating to the Guidelines of 5 CFR 1320.5</w:t>
        </w:r>
        <w:r w:rsidR="002D3685">
          <w:rPr>
            <w:noProof/>
            <w:webHidden/>
          </w:rPr>
          <w:tab/>
        </w:r>
        <w:r w:rsidR="002D3685">
          <w:rPr>
            <w:noProof/>
            <w:webHidden/>
          </w:rPr>
          <w:fldChar w:fldCharType="begin"/>
        </w:r>
        <w:r w:rsidR="002D3685">
          <w:rPr>
            <w:noProof/>
            <w:webHidden/>
          </w:rPr>
          <w:instrText xml:space="preserve"> PAGEREF _Toc444242963 \h </w:instrText>
        </w:r>
        <w:r w:rsidR="002D3685">
          <w:rPr>
            <w:noProof/>
            <w:webHidden/>
          </w:rPr>
        </w:r>
        <w:r w:rsidR="002D3685">
          <w:rPr>
            <w:noProof/>
            <w:webHidden/>
          </w:rPr>
          <w:fldChar w:fldCharType="separate"/>
        </w:r>
        <w:r w:rsidR="00FE7853">
          <w:rPr>
            <w:noProof/>
            <w:webHidden/>
          </w:rPr>
          <w:t>9</w:t>
        </w:r>
        <w:r w:rsidR="002D3685">
          <w:rPr>
            <w:noProof/>
            <w:webHidden/>
          </w:rPr>
          <w:fldChar w:fldCharType="end"/>
        </w:r>
      </w:hyperlink>
    </w:p>
    <w:p w14:paraId="5AD1B6A8" w14:textId="77777777" w:rsidR="002D3685" w:rsidRPr="002D3685" w:rsidRDefault="00EF17EC" w:rsidP="002307EC">
      <w:pPr>
        <w:pStyle w:val="TOC1"/>
        <w:tabs>
          <w:tab w:val="left" w:pos="440"/>
          <w:tab w:val="right" w:leader="dot" w:pos="9350"/>
        </w:tabs>
        <w:spacing w:line="360" w:lineRule="auto"/>
        <w:rPr>
          <w:rFonts w:ascii="Calibri" w:hAnsi="Calibri"/>
          <w:noProof/>
          <w:sz w:val="22"/>
          <w:szCs w:val="22"/>
        </w:rPr>
      </w:pPr>
      <w:hyperlink w:anchor="_Toc444242964" w:history="1">
        <w:r w:rsidR="002D3685" w:rsidRPr="00D925B1">
          <w:rPr>
            <w:rStyle w:val="Hyperlink"/>
            <w:noProof/>
          </w:rPr>
          <w:t>8.</w:t>
        </w:r>
        <w:r w:rsidR="002D3685" w:rsidRPr="002D3685">
          <w:rPr>
            <w:rFonts w:ascii="Calibri" w:hAnsi="Calibri"/>
            <w:noProof/>
            <w:sz w:val="22"/>
            <w:szCs w:val="22"/>
          </w:rPr>
          <w:tab/>
        </w:r>
        <w:r w:rsidR="002D3685" w:rsidRPr="00D925B1">
          <w:rPr>
            <w:rStyle w:val="Hyperlink"/>
            <w:noProof/>
          </w:rPr>
          <w:t>Comments in Response to the Federal Register Notice and Efforts to Consult Outside the Agency</w:t>
        </w:r>
        <w:r w:rsidR="002D3685">
          <w:rPr>
            <w:noProof/>
            <w:webHidden/>
          </w:rPr>
          <w:tab/>
        </w:r>
        <w:r w:rsidR="002D3685">
          <w:rPr>
            <w:noProof/>
            <w:webHidden/>
          </w:rPr>
          <w:fldChar w:fldCharType="begin"/>
        </w:r>
        <w:r w:rsidR="002D3685">
          <w:rPr>
            <w:noProof/>
            <w:webHidden/>
          </w:rPr>
          <w:instrText xml:space="preserve"> PAGEREF _Toc444242964 \h </w:instrText>
        </w:r>
        <w:r w:rsidR="002D3685">
          <w:rPr>
            <w:noProof/>
            <w:webHidden/>
          </w:rPr>
        </w:r>
        <w:r w:rsidR="002D3685">
          <w:rPr>
            <w:noProof/>
            <w:webHidden/>
          </w:rPr>
          <w:fldChar w:fldCharType="separate"/>
        </w:r>
        <w:r w:rsidR="00FE7853">
          <w:rPr>
            <w:noProof/>
            <w:webHidden/>
          </w:rPr>
          <w:t>9</w:t>
        </w:r>
        <w:r w:rsidR="002D3685">
          <w:rPr>
            <w:noProof/>
            <w:webHidden/>
          </w:rPr>
          <w:fldChar w:fldCharType="end"/>
        </w:r>
      </w:hyperlink>
    </w:p>
    <w:p w14:paraId="3A593EB9" w14:textId="77777777" w:rsidR="002D3685" w:rsidRPr="002D3685" w:rsidRDefault="00EF17EC" w:rsidP="005452C2">
      <w:pPr>
        <w:pStyle w:val="TOC1"/>
        <w:tabs>
          <w:tab w:val="left" w:pos="440"/>
          <w:tab w:val="right" w:leader="dot" w:pos="9350"/>
        </w:tabs>
        <w:spacing w:line="360" w:lineRule="auto"/>
        <w:rPr>
          <w:rFonts w:ascii="Calibri" w:hAnsi="Calibri"/>
          <w:noProof/>
          <w:sz w:val="22"/>
          <w:szCs w:val="22"/>
        </w:rPr>
      </w:pPr>
      <w:hyperlink w:anchor="_Toc444242965" w:history="1">
        <w:r w:rsidR="002D3685" w:rsidRPr="00D925B1">
          <w:rPr>
            <w:rStyle w:val="Hyperlink"/>
            <w:noProof/>
          </w:rPr>
          <w:t>9.</w:t>
        </w:r>
        <w:r w:rsidR="002D3685" w:rsidRPr="002D3685">
          <w:rPr>
            <w:rFonts w:ascii="Calibri" w:hAnsi="Calibri"/>
            <w:noProof/>
            <w:sz w:val="22"/>
            <w:szCs w:val="22"/>
          </w:rPr>
          <w:tab/>
        </w:r>
        <w:r w:rsidR="002D3685" w:rsidRPr="00D925B1">
          <w:rPr>
            <w:rStyle w:val="Hyperlink"/>
            <w:noProof/>
          </w:rPr>
          <w:t>Explanation of Any Payment or Gift to Respondents</w:t>
        </w:r>
        <w:r w:rsidR="002D3685">
          <w:rPr>
            <w:noProof/>
            <w:webHidden/>
          </w:rPr>
          <w:tab/>
        </w:r>
        <w:r w:rsidR="002D3685">
          <w:rPr>
            <w:noProof/>
            <w:webHidden/>
          </w:rPr>
          <w:fldChar w:fldCharType="begin"/>
        </w:r>
        <w:r w:rsidR="002D3685">
          <w:rPr>
            <w:noProof/>
            <w:webHidden/>
          </w:rPr>
          <w:instrText xml:space="preserve"> PAGEREF _Toc444242965 \h </w:instrText>
        </w:r>
        <w:r w:rsidR="002D3685">
          <w:rPr>
            <w:noProof/>
            <w:webHidden/>
          </w:rPr>
        </w:r>
        <w:r w:rsidR="002D3685">
          <w:rPr>
            <w:noProof/>
            <w:webHidden/>
          </w:rPr>
          <w:fldChar w:fldCharType="separate"/>
        </w:r>
        <w:r w:rsidR="00FE7853">
          <w:rPr>
            <w:noProof/>
            <w:webHidden/>
          </w:rPr>
          <w:t>10</w:t>
        </w:r>
        <w:r w:rsidR="002D3685">
          <w:rPr>
            <w:noProof/>
            <w:webHidden/>
          </w:rPr>
          <w:fldChar w:fldCharType="end"/>
        </w:r>
      </w:hyperlink>
    </w:p>
    <w:p w14:paraId="0CC80412" w14:textId="77777777" w:rsidR="002D3685" w:rsidRPr="002D3685" w:rsidRDefault="00EF17EC" w:rsidP="002307EC">
      <w:pPr>
        <w:pStyle w:val="TOC1"/>
        <w:tabs>
          <w:tab w:val="left" w:pos="660"/>
          <w:tab w:val="right" w:leader="dot" w:pos="9350"/>
        </w:tabs>
        <w:spacing w:line="360" w:lineRule="auto"/>
        <w:rPr>
          <w:rFonts w:ascii="Calibri" w:hAnsi="Calibri"/>
          <w:noProof/>
          <w:sz w:val="22"/>
          <w:szCs w:val="22"/>
        </w:rPr>
      </w:pPr>
      <w:hyperlink w:anchor="_Toc444242967" w:history="1">
        <w:r w:rsidR="002D3685" w:rsidRPr="00D925B1">
          <w:rPr>
            <w:rStyle w:val="Hyperlink"/>
            <w:noProof/>
          </w:rPr>
          <w:t>10.</w:t>
        </w:r>
        <w:r w:rsidR="002D3685">
          <w:rPr>
            <w:rFonts w:ascii="Calibri" w:hAnsi="Calibri"/>
            <w:noProof/>
            <w:sz w:val="22"/>
            <w:szCs w:val="22"/>
          </w:rPr>
          <w:t xml:space="preserve">   </w:t>
        </w:r>
        <w:r w:rsidR="002D3685" w:rsidRPr="00D925B1">
          <w:rPr>
            <w:rStyle w:val="Hyperlink"/>
            <w:noProof/>
          </w:rPr>
          <w:t>Protection of the Privacy and Confidentiality of Information Provided by Respondents</w:t>
        </w:r>
        <w:r w:rsidR="002D3685">
          <w:rPr>
            <w:noProof/>
            <w:webHidden/>
          </w:rPr>
          <w:tab/>
        </w:r>
        <w:r w:rsidR="002D3685">
          <w:rPr>
            <w:noProof/>
            <w:webHidden/>
          </w:rPr>
          <w:fldChar w:fldCharType="begin"/>
        </w:r>
        <w:r w:rsidR="002D3685">
          <w:rPr>
            <w:noProof/>
            <w:webHidden/>
          </w:rPr>
          <w:instrText xml:space="preserve"> PAGEREF _Toc444242967 \h </w:instrText>
        </w:r>
        <w:r w:rsidR="002D3685">
          <w:rPr>
            <w:noProof/>
            <w:webHidden/>
          </w:rPr>
        </w:r>
        <w:r w:rsidR="002D3685">
          <w:rPr>
            <w:noProof/>
            <w:webHidden/>
          </w:rPr>
          <w:fldChar w:fldCharType="separate"/>
        </w:r>
        <w:r w:rsidR="00FE7853">
          <w:rPr>
            <w:noProof/>
            <w:webHidden/>
          </w:rPr>
          <w:t>11</w:t>
        </w:r>
        <w:r w:rsidR="002D3685">
          <w:rPr>
            <w:noProof/>
            <w:webHidden/>
          </w:rPr>
          <w:fldChar w:fldCharType="end"/>
        </w:r>
      </w:hyperlink>
    </w:p>
    <w:p w14:paraId="7050D73D" w14:textId="77777777" w:rsidR="002D3685" w:rsidRPr="002D3685" w:rsidRDefault="00EF17EC" w:rsidP="002307EC">
      <w:pPr>
        <w:pStyle w:val="TOC1"/>
        <w:tabs>
          <w:tab w:val="left" w:pos="660"/>
          <w:tab w:val="right" w:leader="dot" w:pos="9350"/>
        </w:tabs>
        <w:spacing w:line="360" w:lineRule="auto"/>
        <w:rPr>
          <w:rFonts w:ascii="Calibri" w:hAnsi="Calibri"/>
          <w:noProof/>
          <w:sz w:val="22"/>
          <w:szCs w:val="22"/>
        </w:rPr>
      </w:pPr>
      <w:hyperlink w:anchor="_Toc444242968" w:history="1">
        <w:r w:rsidR="002D3685" w:rsidRPr="00D925B1">
          <w:rPr>
            <w:rStyle w:val="Hyperlink"/>
            <w:noProof/>
          </w:rPr>
          <w:t>11.</w:t>
        </w:r>
        <w:r w:rsidR="002D3685">
          <w:rPr>
            <w:rFonts w:ascii="Calibri" w:hAnsi="Calibri"/>
            <w:noProof/>
            <w:sz w:val="22"/>
            <w:szCs w:val="22"/>
          </w:rPr>
          <w:t xml:space="preserve">   </w:t>
        </w:r>
        <w:r w:rsidR="002D3685" w:rsidRPr="00D925B1">
          <w:rPr>
            <w:rStyle w:val="Hyperlink"/>
            <w:noProof/>
          </w:rPr>
          <w:t>Institutional Review Board (IRB) and Justification for Sensitive Questions</w:t>
        </w:r>
        <w:r w:rsidR="002D3685">
          <w:rPr>
            <w:noProof/>
            <w:webHidden/>
          </w:rPr>
          <w:tab/>
        </w:r>
        <w:r w:rsidR="002D3685">
          <w:rPr>
            <w:noProof/>
            <w:webHidden/>
          </w:rPr>
          <w:fldChar w:fldCharType="begin"/>
        </w:r>
        <w:r w:rsidR="002D3685">
          <w:rPr>
            <w:noProof/>
            <w:webHidden/>
          </w:rPr>
          <w:instrText xml:space="preserve"> PAGEREF _Toc444242968 \h </w:instrText>
        </w:r>
        <w:r w:rsidR="002D3685">
          <w:rPr>
            <w:noProof/>
            <w:webHidden/>
          </w:rPr>
        </w:r>
        <w:r w:rsidR="002D3685">
          <w:rPr>
            <w:noProof/>
            <w:webHidden/>
          </w:rPr>
          <w:fldChar w:fldCharType="separate"/>
        </w:r>
        <w:r w:rsidR="00FE7853">
          <w:rPr>
            <w:noProof/>
            <w:webHidden/>
          </w:rPr>
          <w:t>13</w:t>
        </w:r>
        <w:r w:rsidR="002D3685">
          <w:rPr>
            <w:noProof/>
            <w:webHidden/>
          </w:rPr>
          <w:fldChar w:fldCharType="end"/>
        </w:r>
      </w:hyperlink>
    </w:p>
    <w:p w14:paraId="685E41E8" w14:textId="77777777" w:rsidR="002D3685" w:rsidRPr="002D3685" w:rsidRDefault="00EF17EC" w:rsidP="005452C2">
      <w:pPr>
        <w:pStyle w:val="TOC1"/>
        <w:tabs>
          <w:tab w:val="left" w:pos="660"/>
          <w:tab w:val="right" w:leader="dot" w:pos="9350"/>
        </w:tabs>
        <w:spacing w:line="360" w:lineRule="auto"/>
        <w:rPr>
          <w:rFonts w:ascii="Calibri" w:hAnsi="Calibri"/>
          <w:noProof/>
          <w:sz w:val="22"/>
          <w:szCs w:val="22"/>
        </w:rPr>
      </w:pPr>
      <w:hyperlink w:anchor="_Toc444242969" w:history="1">
        <w:r w:rsidR="002D3685" w:rsidRPr="00D925B1">
          <w:rPr>
            <w:rStyle w:val="Hyperlink"/>
            <w:noProof/>
          </w:rPr>
          <w:t>12.</w:t>
        </w:r>
        <w:r w:rsidR="002D3685">
          <w:rPr>
            <w:rFonts w:ascii="Calibri" w:hAnsi="Calibri"/>
            <w:noProof/>
            <w:sz w:val="22"/>
            <w:szCs w:val="22"/>
          </w:rPr>
          <w:t xml:space="preserve">   </w:t>
        </w:r>
        <w:r w:rsidR="002D3685" w:rsidRPr="00D925B1">
          <w:rPr>
            <w:rStyle w:val="Hyperlink"/>
            <w:noProof/>
          </w:rPr>
          <w:t>Estimates of Annualized Burden Hours and Costs</w:t>
        </w:r>
        <w:r w:rsidR="002D3685">
          <w:rPr>
            <w:noProof/>
            <w:webHidden/>
          </w:rPr>
          <w:tab/>
        </w:r>
        <w:r w:rsidR="002D3685">
          <w:rPr>
            <w:noProof/>
            <w:webHidden/>
          </w:rPr>
          <w:fldChar w:fldCharType="begin"/>
        </w:r>
        <w:r w:rsidR="002D3685">
          <w:rPr>
            <w:noProof/>
            <w:webHidden/>
          </w:rPr>
          <w:instrText xml:space="preserve"> PAGEREF _Toc444242969 \h </w:instrText>
        </w:r>
        <w:r w:rsidR="002D3685">
          <w:rPr>
            <w:noProof/>
            <w:webHidden/>
          </w:rPr>
        </w:r>
        <w:r w:rsidR="002D3685">
          <w:rPr>
            <w:noProof/>
            <w:webHidden/>
          </w:rPr>
          <w:fldChar w:fldCharType="separate"/>
        </w:r>
        <w:r w:rsidR="00FE7853">
          <w:rPr>
            <w:noProof/>
            <w:webHidden/>
          </w:rPr>
          <w:t>14</w:t>
        </w:r>
        <w:r w:rsidR="002D3685">
          <w:rPr>
            <w:noProof/>
            <w:webHidden/>
          </w:rPr>
          <w:fldChar w:fldCharType="end"/>
        </w:r>
      </w:hyperlink>
    </w:p>
    <w:p w14:paraId="03136024" w14:textId="77777777" w:rsidR="002D3685" w:rsidRPr="002D3685" w:rsidRDefault="00EF17EC" w:rsidP="002307EC">
      <w:pPr>
        <w:pStyle w:val="TOC1"/>
        <w:tabs>
          <w:tab w:val="left" w:pos="660"/>
          <w:tab w:val="right" w:leader="dot" w:pos="9350"/>
        </w:tabs>
        <w:spacing w:line="360" w:lineRule="auto"/>
        <w:rPr>
          <w:rFonts w:ascii="Calibri" w:hAnsi="Calibri"/>
          <w:noProof/>
          <w:sz w:val="22"/>
          <w:szCs w:val="22"/>
        </w:rPr>
      </w:pPr>
      <w:hyperlink w:anchor="_Toc444242998" w:history="1">
        <w:r w:rsidR="002D3685" w:rsidRPr="00D925B1">
          <w:rPr>
            <w:rStyle w:val="Hyperlink"/>
            <w:noProof/>
          </w:rPr>
          <w:t>13.</w:t>
        </w:r>
        <w:r w:rsidR="002D3685">
          <w:rPr>
            <w:rFonts w:ascii="Calibri" w:hAnsi="Calibri"/>
            <w:noProof/>
            <w:sz w:val="22"/>
            <w:szCs w:val="22"/>
          </w:rPr>
          <w:t xml:space="preserve">   </w:t>
        </w:r>
        <w:r w:rsidR="002D3685" w:rsidRPr="00D925B1">
          <w:rPr>
            <w:rStyle w:val="Hyperlink"/>
            <w:noProof/>
          </w:rPr>
          <w:t>Estimates of Other Total Annual Cost Burden to Respondents or Record Keepers</w:t>
        </w:r>
        <w:r w:rsidR="002D3685">
          <w:rPr>
            <w:noProof/>
            <w:webHidden/>
          </w:rPr>
          <w:tab/>
        </w:r>
        <w:r w:rsidR="002D3685">
          <w:rPr>
            <w:noProof/>
            <w:webHidden/>
          </w:rPr>
          <w:fldChar w:fldCharType="begin"/>
        </w:r>
        <w:r w:rsidR="002D3685">
          <w:rPr>
            <w:noProof/>
            <w:webHidden/>
          </w:rPr>
          <w:instrText xml:space="preserve"> PAGEREF _Toc444242998 \h </w:instrText>
        </w:r>
        <w:r w:rsidR="002D3685">
          <w:rPr>
            <w:noProof/>
            <w:webHidden/>
          </w:rPr>
        </w:r>
        <w:r w:rsidR="002D3685">
          <w:rPr>
            <w:noProof/>
            <w:webHidden/>
          </w:rPr>
          <w:fldChar w:fldCharType="separate"/>
        </w:r>
        <w:r w:rsidR="00FE7853">
          <w:rPr>
            <w:noProof/>
            <w:webHidden/>
          </w:rPr>
          <w:t>16</w:t>
        </w:r>
        <w:r w:rsidR="002D3685">
          <w:rPr>
            <w:noProof/>
            <w:webHidden/>
          </w:rPr>
          <w:fldChar w:fldCharType="end"/>
        </w:r>
      </w:hyperlink>
    </w:p>
    <w:p w14:paraId="195BE60D" w14:textId="77777777" w:rsidR="002D3685" w:rsidRPr="002D3685" w:rsidRDefault="00EF17EC" w:rsidP="005452C2">
      <w:pPr>
        <w:pStyle w:val="TOC1"/>
        <w:tabs>
          <w:tab w:val="left" w:pos="660"/>
          <w:tab w:val="right" w:leader="dot" w:pos="9350"/>
        </w:tabs>
        <w:spacing w:line="360" w:lineRule="auto"/>
        <w:rPr>
          <w:rFonts w:ascii="Calibri" w:hAnsi="Calibri"/>
          <w:noProof/>
          <w:sz w:val="22"/>
          <w:szCs w:val="22"/>
        </w:rPr>
      </w:pPr>
      <w:hyperlink w:anchor="_Toc444242999" w:history="1">
        <w:r w:rsidR="002D3685" w:rsidRPr="00D925B1">
          <w:rPr>
            <w:rStyle w:val="Hyperlink"/>
            <w:noProof/>
          </w:rPr>
          <w:t>14.</w:t>
        </w:r>
        <w:r w:rsidR="002D3685">
          <w:rPr>
            <w:rFonts w:ascii="Calibri" w:hAnsi="Calibri"/>
            <w:noProof/>
            <w:sz w:val="22"/>
            <w:szCs w:val="22"/>
          </w:rPr>
          <w:t xml:space="preserve">   </w:t>
        </w:r>
        <w:r w:rsidR="002D3685" w:rsidRPr="00D925B1">
          <w:rPr>
            <w:rStyle w:val="Hyperlink"/>
            <w:noProof/>
          </w:rPr>
          <w:t>Annualized Cost to the Government</w:t>
        </w:r>
        <w:r w:rsidR="002D3685">
          <w:rPr>
            <w:noProof/>
            <w:webHidden/>
          </w:rPr>
          <w:tab/>
        </w:r>
        <w:r w:rsidR="002D3685">
          <w:rPr>
            <w:noProof/>
            <w:webHidden/>
          </w:rPr>
          <w:fldChar w:fldCharType="begin"/>
        </w:r>
        <w:r w:rsidR="002D3685">
          <w:rPr>
            <w:noProof/>
            <w:webHidden/>
          </w:rPr>
          <w:instrText xml:space="preserve"> PAGEREF _Toc444242999 \h </w:instrText>
        </w:r>
        <w:r w:rsidR="002D3685">
          <w:rPr>
            <w:noProof/>
            <w:webHidden/>
          </w:rPr>
        </w:r>
        <w:r w:rsidR="002D3685">
          <w:rPr>
            <w:noProof/>
            <w:webHidden/>
          </w:rPr>
          <w:fldChar w:fldCharType="separate"/>
        </w:r>
        <w:r w:rsidR="00FE7853">
          <w:rPr>
            <w:noProof/>
            <w:webHidden/>
          </w:rPr>
          <w:t>16</w:t>
        </w:r>
        <w:r w:rsidR="002D3685">
          <w:rPr>
            <w:noProof/>
            <w:webHidden/>
          </w:rPr>
          <w:fldChar w:fldCharType="end"/>
        </w:r>
      </w:hyperlink>
    </w:p>
    <w:p w14:paraId="75953133" w14:textId="77777777" w:rsidR="002D3685" w:rsidRPr="002D3685" w:rsidRDefault="00EF17EC" w:rsidP="002307EC">
      <w:pPr>
        <w:pStyle w:val="TOC1"/>
        <w:tabs>
          <w:tab w:val="left" w:pos="660"/>
          <w:tab w:val="right" w:leader="dot" w:pos="9350"/>
        </w:tabs>
        <w:spacing w:line="360" w:lineRule="auto"/>
        <w:rPr>
          <w:rFonts w:ascii="Calibri" w:hAnsi="Calibri"/>
          <w:noProof/>
          <w:sz w:val="22"/>
          <w:szCs w:val="22"/>
        </w:rPr>
      </w:pPr>
      <w:hyperlink w:anchor="_Toc444243002" w:history="1">
        <w:r w:rsidR="002D3685" w:rsidRPr="00D925B1">
          <w:rPr>
            <w:rStyle w:val="Hyperlink"/>
            <w:noProof/>
          </w:rPr>
          <w:t>15.</w:t>
        </w:r>
        <w:r w:rsidR="002D3685">
          <w:rPr>
            <w:rFonts w:ascii="Calibri" w:hAnsi="Calibri"/>
            <w:noProof/>
            <w:sz w:val="22"/>
            <w:szCs w:val="22"/>
          </w:rPr>
          <w:t xml:space="preserve">   </w:t>
        </w:r>
        <w:r w:rsidR="002D3685" w:rsidRPr="00D925B1">
          <w:rPr>
            <w:rStyle w:val="Hyperlink"/>
            <w:noProof/>
          </w:rPr>
          <w:t>Explanation for Program Changes or Adjustments</w:t>
        </w:r>
        <w:r w:rsidR="002D3685">
          <w:rPr>
            <w:noProof/>
            <w:webHidden/>
          </w:rPr>
          <w:tab/>
        </w:r>
        <w:r w:rsidR="002D3685">
          <w:rPr>
            <w:noProof/>
            <w:webHidden/>
          </w:rPr>
          <w:fldChar w:fldCharType="begin"/>
        </w:r>
        <w:r w:rsidR="002D3685">
          <w:rPr>
            <w:noProof/>
            <w:webHidden/>
          </w:rPr>
          <w:instrText xml:space="preserve"> PAGEREF _Toc444243002 \h </w:instrText>
        </w:r>
        <w:r w:rsidR="002D3685">
          <w:rPr>
            <w:noProof/>
            <w:webHidden/>
          </w:rPr>
        </w:r>
        <w:r w:rsidR="002D3685">
          <w:rPr>
            <w:noProof/>
            <w:webHidden/>
          </w:rPr>
          <w:fldChar w:fldCharType="separate"/>
        </w:r>
        <w:r w:rsidR="00FE7853">
          <w:rPr>
            <w:noProof/>
            <w:webHidden/>
          </w:rPr>
          <w:t>17</w:t>
        </w:r>
        <w:r w:rsidR="002D3685">
          <w:rPr>
            <w:noProof/>
            <w:webHidden/>
          </w:rPr>
          <w:fldChar w:fldCharType="end"/>
        </w:r>
      </w:hyperlink>
    </w:p>
    <w:p w14:paraId="778D765F" w14:textId="77777777" w:rsidR="002D3685" w:rsidRPr="002D3685" w:rsidRDefault="00EF17EC" w:rsidP="005452C2">
      <w:pPr>
        <w:pStyle w:val="TOC1"/>
        <w:tabs>
          <w:tab w:val="left" w:pos="660"/>
          <w:tab w:val="right" w:leader="dot" w:pos="9350"/>
        </w:tabs>
        <w:spacing w:line="360" w:lineRule="auto"/>
        <w:rPr>
          <w:rFonts w:ascii="Calibri" w:hAnsi="Calibri"/>
          <w:noProof/>
          <w:sz w:val="22"/>
          <w:szCs w:val="22"/>
        </w:rPr>
      </w:pPr>
      <w:hyperlink w:anchor="_Toc444243003" w:history="1">
        <w:r w:rsidR="002D3685" w:rsidRPr="00D925B1">
          <w:rPr>
            <w:rStyle w:val="Hyperlink"/>
            <w:noProof/>
          </w:rPr>
          <w:t>16.</w:t>
        </w:r>
        <w:r w:rsidR="002D3685">
          <w:rPr>
            <w:rFonts w:ascii="Calibri" w:hAnsi="Calibri"/>
            <w:noProof/>
            <w:sz w:val="22"/>
            <w:szCs w:val="22"/>
          </w:rPr>
          <w:t xml:space="preserve">   </w:t>
        </w:r>
        <w:r w:rsidR="002D3685" w:rsidRPr="00D925B1">
          <w:rPr>
            <w:rStyle w:val="Hyperlink"/>
            <w:noProof/>
          </w:rPr>
          <w:t>Plans for Tabulation and Publication and Project Time Schedule</w:t>
        </w:r>
        <w:r w:rsidR="002D3685">
          <w:rPr>
            <w:noProof/>
            <w:webHidden/>
          </w:rPr>
          <w:tab/>
        </w:r>
        <w:r w:rsidR="002D3685">
          <w:rPr>
            <w:noProof/>
            <w:webHidden/>
          </w:rPr>
          <w:fldChar w:fldCharType="begin"/>
        </w:r>
        <w:r w:rsidR="002D3685">
          <w:rPr>
            <w:noProof/>
            <w:webHidden/>
          </w:rPr>
          <w:instrText xml:space="preserve"> PAGEREF _Toc444243003 \h </w:instrText>
        </w:r>
        <w:r w:rsidR="002D3685">
          <w:rPr>
            <w:noProof/>
            <w:webHidden/>
          </w:rPr>
        </w:r>
        <w:r w:rsidR="002D3685">
          <w:rPr>
            <w:noProof/>
            <w:webHidden/>
          </w:rPr>
          <w:fldChar w:fldCharType="separate"/>
        </w:r>
        <w:r w:rsidR="00FE7853">
          <w:rPr>
            <w:noProof/>
            <w:webHidden/>
          </w:rPr>
          <w:t>17</w:t>
        </w:r>
        <w:r w:rsidR="002D3685">
          <w:rPr>
            <w:noProof/>
            <w:webHidden/>
          </w:rPr>
          <w:fldChar w:fldCharType="end"/>
        </w:r>
      </w:hyperlink>
    </w:p>
    <w:p w14:paraId="09031CAA" w14:textId="77777777" w:rsidR="002D3685" w:rsidRPr="002D3685" w:rsidRDefault="00EF17EC" w:rsidP="002307EC">
      <w:pPr>
        <w:pStyle w:val="TOC1"/>
        <w:tabs>
          <w:tab w:val="left" w:pos="660"/>
          <w:tab w:val="right" w:leader="dot" w:pos="9350"/>
        </w:tabs>
        <w:spacing w:line="360" w:lineRule="auto"/>
        <w:rPr>
          <w:rFonts w:ascii="Calibri" w:hAnsi="Calibri"/>
          <w:noProof/>
          <w:sz w:val="22"/>
          <w:szCs w:val="22"/>
        </w:rPr>
      </w:pPr>
      <w:hyperlink w:anchor="_Toc444243006" w:history="1">
        <w:r w:rsidR="002D3685" w:rsidRPr="00D925B1">
          <w:rPr>
            <w:rStyle w:val="Hyperlink"/>
            <w:noProof/>
          </w:rPr>
          <w:t>17.</w:t>
        </w:r>
        <w:r w:rsidR="002D3685">
          <w:rPr>
            <w:rFonts w:ascii="Calibri" w:hAnsi="Calibri"/>
            <w:noProof/>
            <w:sz w:val="22"/>
            <w:szCs w:val="22"/>
          </w:rPr>
          <w:t xml:space="preserve">   </w:t>
        </w:r>
        <w:r w:rsidR="002D3685" w:rsidRPr="00D925B1">
          <w:rPr>
            <w:rStyle w:val="Hyperlink"/>
            <w:noProof/>
          </w:rPr>
          <w:t>Reason(s) Display of OMB Expiration Date is Inappropriate</w:t>
        </w:r>
        <w:r w:rsidR="002D3685">
          <w:rPr>
            <w:noProof/>
            <w:webHidden/>
          </w:rPr>
          <w:tab/>
        </w:r>
        <w:r w:rsidR="002D3685">
          <w:rPr>
            <w:noProof/>
            <w:webHidden/>
          </w:rPr>
          <w:fldChar w:fldCharType="begin"/>
        </w:r>
        <w:r w:rsidR="002D3685">
          <w:rPr>
            <w:noProof/>
            <w:webHidden/>
          </w:rPr>
          <w:instrText xml:space="preserve"> PAGEREF _Toc444243006 \h </w:instrText>
        </w:r>
        <w:r w:rsidR="002D3685">
          <w:rPr>
            <w:noProof/>
            <w:webHidden/>
          </w:rPr>
        </w:r>
        <w:r w:rsidR="002D3685">
          <w:rPr>
            <w:noProof/>
            <w:webHidden/>
          </w:rPr>
          <w:fldChar w:fldCharType="separate"/>
        </w:r>
        <w:r w:rsidR="00FE7853">
          <w:rPr>
            <w:noProof/>
            <w:webHidden/>
          </w:rPr>
          <w:t>18</w:t>
        </w:r>
        <w:r w:rsidR="002D3685">
          <w:rPr>
            <w:noProof/>
            <w:webHidden/>
          </w:rPr>
          <w:fldChar w:fldCharType="end"/>
        </w:r>
      </w:hyperlink>
    </w:p>
    <w:p w14:paraId="576F6CDD" w14:textId="77777777" w:rsidR="002D3685" w:rsidRPr="002D3685" w:rsidRDefault="00EF17EC" w:rsidP="002307EC">
      <w:pPr>
        <w:pStyle w:val="TOC1"/>
        <w:tabs>
          <w:tab w:val="left" w:pos="660"/>
          <w:tab w:val="right" w:leader="dot" w:pos="9350"/>
        </w:tabs>
        <w:spacing w:line="360" w:lineRule="auto"/>
        <w:rPr>
          <w:rFonts w:ascii="Calibri" w:hAnsi="Calibri"/>
          <w:noProof/>
          <w:sz w:val="22"/>
          <w:szCs w:val="22"/>
        </w:rPr>
      </w:pPr>
      <w:hyperlink w:anchor="_Toc444243007" w:history="1">
        <w:r w:rsidR="002D3685" w:rsidRPr="00D925B1">
          <w:rPr>
            <w:rStyle w:val="Hyperlink"/>
            <w:noProof/>
          </w:rPr>
          <w:t>18.</w:t>
        </w:r>
        <w:r w:rsidR="002D3685">
          <w:rPr>
            <w:rFonts w:ascii="Calibri" w:hAnsi="Calibri"/>
            <w:noProof/>
            <w:sz w:val="22"/>
            <w:szCs w:val="22"/>
          </w:rPr>
          <w:t xml:space="preserve">   </w:t>
        </w:r>
        <w:r w:rsidR="002D3685" w:rsidRPr="00D925B1">
          <w:rPr>
            <w:rStyle w:val="Hyperlink"/>
            <w:noProof/>
          </w:rPr>
          <w:t>Exceptions to Certification for Paperwork Reduction Act Submissions</w:t>
        </w:r>
        <w:r w:rsidR="002D3685">
          <w:rPr>
            <w:noProof/>
            <w:webHidden/>
          </w:rPr>
          <w:tab/>
        </w:r>
        <w:r w:rsidR="002D3685">
          <w:rPr>
            <w:noProof/>
            <w:webHidden/>
          </w:rPr>
          <w:fldChar w:fldCharType="begin"/>
        </w:r>
        <w:r w:rsidR="002D3685">
          <w:rPr>
            <w:noProof/>
            <w:webHidden/>
          </w:rPr>
          <w:instrText xml:space="preserve"> PAGEREF _Toc444243007 \h </w:instrText>
        </w:r>
        <w:r w:rsidR="002D3685">
          <w:rPr>
            <w:noProof/>
            <w:webHidden/>
          </w:rPr>
        </w:r>
        <w:r w:rsidR="002D3685">
          <w:rPr>
            <w:noProof/>
            <w:webHidden/>
          </w:rPr>
          <w:fldChar w:fldCharType="separate"/>
        </w:r>
        <w:r w:rsidR="00FE7853">
          <w:rPr>
            <w:noProof/>
            <w:webHidden/>
          </w:rPr>
          <w:t>18</w:t>
        </w:r>
        <w:r w:rsidR="002D3685">
          <w:rPr>
            <w:noProof/>
            <w:webHidden/>
          </w:rPr>
          <w:fldChar w:fldCharType="end"/>
        </w:r>
      </w:hyperlink>
    </w:p>
    <w:p w14:paraId="68B04295" w14:textId="77777777" w:rsidR="002D3685" w:rsidRPr="002D3685" w:rsidRDefault="00EF17EC" w:rsidP="002307EC">
      <w:pPr>
        <w:pStyle w:val="TOC1"/>
        <w:tabs>
          <w:tab w:val="right" w:leader="dot" w:pos="9350"/>
        </w:tabs>
        <w:spacing w:line="360" w:lineRule="auto"/>
        <w:rPr>
          <w:rFonts w:ascii="Calibri" w:hAnsi="Calibri"/>
          <w:noProof/>
          <w:sz w:val="22"/>
          <w:szCs w:val="22"/>
        </w:rPr>
      </w:pPr>
      <w:hyperlink w:anchor="_Toc444243008" w:history="1">
        <w:r w:rsidR="002D3685" w:rsidRPr="00D925B1">
          <w:rPr>
            <w:rStyle w:val="Hyperlink"/>
            <w:noProof/>
          </w:rPr>
          <w:t>References</w:t>
        </w:r>
        <w:r w:rsidR="002D3685">
          <w:rPr>
            <w:noProof/>
            <w:webHidden/>
          </w:rPr>
          <w:tab/>
        </w:r>
        <w:r w:rsidR="002D3685">
          <w:rPr>
            <w:noProof/>
            <w:webHidden/>
          </w:rPr>
          <w:fldChar w:fldCharType="begin"/>
        </w:r>
        <w:r w:rsidR="002D3685">
          <w:rPr>
            <w:noProof/>
            <w:webHidden/>
          </w:rPr>
          <w:instrText xml:space="preserve"> PAGEREF _Toc444243008 \h </w:instrText>
        </w:r>
        <w:r w:rsidR="002D3685">
          <w:rPr>
            <w:noProof/>
            <w:webHidden/>
          </w:rPr>
        </w:r>
        <w:r w:rsidR="002D3685">
          <w:rPr>
            <w:noProof/>
            <w:webHidden/>
          </w:rPr>
          <w:fldChar w:fldCharType="separate"/>
        </w:r>
        <w:r w:rsidR="00FE7853">
          <w:rPr>
            <w:noProof/>
            <w:webHidden/>
          </w:rPr>
          <w:t>19</w:t>
        </w:r>
        <w:r w:rsidR="002D3685">
          <w:rPr>
            <w:noProof/>
            <w:webHidden/>
          </w:rPr>
          <w:fldChar w:fldCharType="end"/>
        </w:r>
      </w:hyperlink>
    </w:p>
    <w:p w14:paraId="4CF74856" w14:textId="77777777" w:rsidR="002D3685" w:rsidRPr="002D3685" w:rsidRDefault="00EF17EC" w:rsidP="002307EC">
      <w:pPr>
        <w:pStyle w:val="TOC1"/>
        <w:tabs>
          <w:tab w:val="right" w:leader="dot" w:pos="9350"/>
        </w:tabs>
        <w:spacing w:line="360" w:lineRule="auto"/>
        <w:rPr>
          <w:rFonts w:ascii="Calibri" w:hAnsi="Calibri"/>
          <w:noProof/>
          <w:sz w:val="22"/>
          <w:szCs w:val="22"/>
        </w:rPr>
      </w:pPr>
      <w:hyperlink w:anchor="_Toc444243009" w:history="1">
        <w:r w:rsidR="002D3685" w:rsidRPr="00D925B1">
          <w:rPr>
            <w:rStyle w:val="Hyperlink"/>
            <w:noProof/>
          </w:rPr>
          <w:t>List of Attachments</w:t>
        </w:r>
        <w:r w:rsidR="002D3685">
          <w:rPr>
            <w:noProof/>
            <w:webHidden/>
          </w:rPr>
          <w:tab/>
        </w:r>
        <w:r w:rsidR="002D3685">
          <w:rPr>
            <w:noProof/>
            <w:webHidden/>
          </w:rPr>
          <w:fldChar w:fldCharType="begin"/>
        </w:r>
        <w:r w:rsidR="002D3685">
          <w:rPr>
            <w:noProof/>
            <w:webHidden/>
          </w:rPr>
          <w:instrText xml:space="preserve"> PAGEREF _Toc444243009 \h </w:instrText>
        </w:r>
        <w:r w:rsidR="002D3685">
          <w:rPr>
            <w:noProof/>
            <w:webHidden/>
          </w:rPr>
        </w:r>
        <w:r w:rsidR="002D3685">
          <w:rPr>
            <w:noProof/>
            <w:webHidden/>
          </w:rPr>
          <w:fldChar w:fldCharType="separate"/>
        </w:r>
        <w:r w:rsidR="00FE7853">
          <w:rPr>
            <w:noProof/>
            <w:webHidden/>
          </w:rPr>
          <w:t>21</w:t>
        </w:r>
        <w:r w:rsidR="002D3685">
          <w:rPr>
            <w:noProof/>
            <w:webHidden/>
          </w:rPr>
          <w:fldChar w:fldCharType="end"/>
        </w:r>
      </w:hyperlink>
    </w:p>
    <w:p w14:paraId="459EEEE6" w14:textId="77777777" w:rsidR="002D3685" w:rsidRDefault="002D3685">
      <w:r>
        <w:rPr>
          <w:b/>
          <w:bCs/>
          <w:noProof/>
        </w:rPr>
        <w:fldChar w:fldCharType="end"/>
      </w:r>
    </w:p>
    <w:p w14:paraId="7D3FB75B" w14:textId="77777777" w:rsidR="00605ED9" w:rsidRDefault="00605ED9" w:rsidP="007362FB">
      <w:pPr>
        <w:ind w:left="1440" w:hanging="1440"/>
        <w:contextualSpacing/>
        <w:jc w:val="center"/>
        <w:outlineLvl w:val="0"/>
      </w:pPr>
    </w:p>
    <w:p w14:paraId="106A1B0B" w14:textId="77777777" w:rsidR="002D3685" w:rsidRDefault="002D3685" w:rsidP="007362FB">
      <w:pPr>
        <w:ind w:left="1440" w:hanging="1440"/>
        <w:contextualSpacing/>
        <w:jc w:val="center"/>
        <w:outlineLvl w:val="0"/>
      </w:pPr>
    </w:p>
    <w:p w14:paraId="519C2792" w14:textId="77777777" w:rsidR="002D3685" w:rsidRDefault="002D3685" w:rsidP="007362FB">
      <w:pPr>
        <w:ind w:left="1440" w:hanging="1440"/>
        <w:contextualSpacing/>
        <w:jc w:val="center"/>
        <w:outlineLvl w:val="0"/>
      </w:pPr>
    </w:p>
    <w:p w14:paraId="6EA6FD2E" w14:textId="77777777" w:rsidR="002D3685" w:rsidRDefault="002D3685" w:rsidP="007362FB">
      <w:pPr>
        <w:ind w:left="1440" w:hanging="1440"/>
        <w:contextualSpacing/>
        <w:jc w:val="center"/>
        <w:outlineLvl w:val="0"/>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605ED9" w14:paraId="5BA1929F" w14:textId="77777777" w:rsidTr="005452C2">
        <w:trPr>
          <w:trHeight w:val="6110"/>
        </w:trPr>
        <w:tc>
          <w:tcPr>
            <w:tcW w:w="9738" w:type="dxa"/>
            <w:shd w:val="clear" w:color="auto" w:fill="auto"/>
          </w:tcPr>
          <w:p w14:paraId="174BB231" w14:textId="77777777" w:rsidR="00CE498A" w:rsidRDefault="00CE498A" w:rsidP="002307EC">
            <w:pPr>
              <w:numPr>
                <w:ilvl w:val="0"/>
                <w:numId w:val="33"/>
              </w:numPr>
              <w:spacing w:line="276" w:lineRule="auto"/>
            </w:pPr>
            <w:r>
              <w:lastRenderedPageBreak/>
              <w:t>The goal i</w:t>
            </w:r>
            <w:r w:rsidR="00CF4B0F">
              <w:t>s</w:t>
            </w:r>
            <w:r>
              <w:t xml:space="preserve"> to </w:t>
            </w:r>
            <w:r w:rsidR="007C4151">
              <w:t xml:space="preserve">conduct a </w:t>
            </w:r>
            <w:r w:rsidR="007C4151">
              <w:rPr>
                <w:color w:val="000000"/>
              </w:rPr>
              <w:t xml:space="preserve">multi-state </w:t>
            </w:r>
            <w:r w:rsidR="00F3046E">
              <w:rPr>
                <w:color w:val="000000"/>
              </w:rPr>
              <w:t>prevalence survey to</w:t>
            </w:r>
            <w:r w:rsidR="007C4151">
              <w:rPr>
                <w:color w:val="000000"/>
              </w:rPr>
              <w:t xml:space="preserve"> </w:t>
            </w:r>
            <w:r>
              <w:t>estimate the</w:t>
            </w:r>
            <w:r w:rsidRPr="00D8482F">
              <w:t xml:space="preserve"> </w:t>
            </w:r>
            <w:r>
              <w:t xml:space="preserve">burden and </w:t>
            </w:r>
            <w:r w:rsidR="00F767DD">
              <w:t xml:space="preserve">describe the </w:t>
            </w:r>
            <w:r>
              <w:t xml:space="preserve">epidemiology of </w:t>
            </w:r>
            <w:r w:rsidR="00770FBF">
              <w:t>healthcare-associated infections (</w:t>
            </w:r>
            <w:r>
              <w:t>HAI</w:t>
            </w:r>
            <w:r w:rsidR="00770FBF">
              <w:t>)</w:t>
            </w:r>
            <w:r>
              <w:t xml:space="preserve"> and antimicrobial use in </w:t>
            </w:r>
            <w:r w:rsidR="007C4151">
              <w:t xml:space="preserve">a sample of </w:t>
            </w:r>
            <w:r>
              <w:t>nursing homes</w:t>
            </w:r>
            <w:r w:rsidR="007C4151">
              <w:t xml:space="preserve"> in ten states</w:t>
            </w:r>
            <w:r>
              <w:t>.</w:t>
            </w:r>
          </w:p>
          <w:p w14:paraId="4DFFCB9B" w14:textId="77777777" w:rsidR="00CF4B0F" w:rsidRPr="002639F3" w:rsidRDefault="00CF4B0F" w:rsidP="002307EC">
            <w:pPr>
              <w:numPr>
                <w:ilvl w:val="0"/>
                <w:numId w:val="33"/>
              </w:numPr>
              <w:spacing w:line="276" w:lineRule="auto"/>
            </w:pPr>
            <w:r w:rsidRPr="002639F3">
              <w:t>The results will be used to 1)</w:t>
            </w:r>
            <w:r w:rsidR="0052784F" w:rsidRPr="002639F3">
              <w:t xml:space="preserve"> explore the development of an approach to</w:t>
            </w:r>
            <w:r w:rsidRPr="002639F3">
              <w:t xml:space="preserve"> </w:t>
            </w:r>
            <w:r w:rsidR="006F4CE9" w:rsidRPr="002639F3">
              <w:t>model</w:t>
            </w:r>
            <w:r w:rsidR="0052784F" w:rsidRPr="002639F3">
              <w:t>ing the</w:t>
            </w:r>
            <w:r w:rsidRPr="002639F3">
              <w:t xml:space="preserve"> </w:t>
            </w:r>
            <w:r w:rsidR="00860746" w:rsidRPr="002639F3">
              <w:t xml:space="preserve">national </w:t>
            </w:r>
            <w:r w:rsidRPr="002639F3">
              <w:t>burden</w:t>
            </w:r>
            <w:r w:rsidR="0052784F" w:rsidRPr="002639F3">
              <w:t xml:space="preserve"> of HAI. Such</w:t>
            </w:r>
            <w:r w:rsidRPr="002639F3">
              <w:t xml:space="preserve"> estimates </w:t>
            </w:r>
            <w:r w:rsidR="0052784F" w:rsidRPr="002639F3">
              <w:t xml:space="preserve">may be used </w:t>
            </w:r>
            <w:r w:rsidR="007810BB" w:rsidRPr="002639F3">
              <w:t>to</w:t>
            </w:r>
            <w:r w:rsidRPr="002639F3">
              <w:t xml:space="preserve"> inform state and federal</w:t>
            </w:r>
            <w:r w:rsidR="007810BB" w:rsidRPr="002639F3">
              <w:t xml:space="preserve"> </w:t>
            </w:r>
            <w:r w:rsidRPr="002639F3">
              <w:t xml:space="preserve">priority setting for public health initiatives to improve HAI prevention, 2) inform development of the CDCs National Healthcare Safety Network, 3) evaluate uptake of  </w:t>
            </w:r>
            <w:r w:rsidRPr="002639F3">
              <w:rPr>
                <w:color w:val="333333"/>
              </w:rPr>
              <w:t xml:space="preserve">antibiotic stewardship activities </w:t>
            </w:r>
            <w:r w:rsidR="008C669D" w:rsidRPr="002639F3">
              <w:rPr>
                <w:color w:val="333333"/>
              </w:rPr>
              <w:t>in</w:t>
            </w:r>
            <w:r w:rsidRPr="002639F3">
              <w:rPr>
                <w:color w:val="333333"/>
              </w:rPr>
              <w:t xml:space="preserve"> nursing homes</w:t>
            </w:r>
            <w:r w:rsidR="0052784F" w:rsidRPr="002639F3">
              <w:rPr>
                <w:color w:val="333333"/>
              </w:rPr>
              <w:t xml:space="preserve"> in 10 states.</w:t>
            </w:r>
          </w:p>
          <w:p w14:paraId="6932CFEC" w14:textId="77777777" w:rsidR="008718D6" w:rsidRDefault="00DE1164" w:rsidP="002307EC">
            <w:pPr>
              <w:numPr>
                <w:ilvl w:val="0"/>
                <w:numId w:val="33"/>
              </w:numPr>
              <w:spacing w:line="276" w:lineRule="auto"/>
            </w:pPr>
            <w:r w:rsidRPr="002639F3">
              <w:t>T</w:t>
            </w:r>
            <w:r w:rsidR="00704406" w:rsidRPr="002639F3">
              <w:t>he</w:t>
            </w:r>
            <w:r w:rsidR="00A0033B" w:rsidRPr="002639F3">
              <w:t xml:space="preserve"> </w:t>
            </w:r>
            <w:r w:rsidR="0052784F" w:rsidRPr="002639F3">
              <w:t xml:space="preserve">application of the </w:t>
            </w:r>
            <w:r w:rsidR="00A0033B" w:rsidRPr="002639F3">
              <w:t xml:space="preserve">prevalence survey </w:t>
            </w:r>
            <w:r w:rsidR="008C669D" w:rsidRPr="002639F3">
              <w:t xml:space="preserve">method, </w:t>
            </w:r>
            <w:r w:rsidR="00CE498A" w:rsidRPr="002639F3">
              <w:t>in which data are collected in healthcare facilities during a short, specified time period</w:t>
            </w:r>
            <w:r w:rsidR="008C669D" w:rsidRPr="002639F3">
              <w:t>, will be used</w:t>
            </w:r>
            <w:r w:rsidR="0052784F" w:rsidRPr="002639F3">
              <w:t xml:space="preserve"> to develop an approach to modeling estimated national burden of HAI</w:t>
            </w:r>
            <w:r w:rsidR="00850D23" w:rsidRPr="002639F3">
              <w:t>.</w:t>
            </w:r>
            <w:r w:rsidR="00850D23">
              <w:t xml:space="preserve"> This </w:t>
            </w:r>
            <w:r w:rsidR="008C669D">
              <w:t>is an</w:t>
            </w:r>
            <w:r w:rsidR="00CE498A" w:rsidRPr="00D8482F">
              <w:t xml:space="preserve"> efficient</w:t>
            </w:r>
            <w:r w:rsidR="008C669D">
              <w:t xml:space="preserve">, resource- and </w:t>
            </w:r>
            <w:r w:rsidR="00CE498A" w:rsidRPr="00D8482F">
              <w:t xml:space="preserve">cost-effective alternative to prospective, </w:t>
            </w:r>
            <w:r w:rsidR="00CE498A">
              <w:t>studies of HAI and antimicrobial use incidence</w:t>
            </w:r>
            <w:r w:rsidR="00CE498A" w:rsidRPr="00D8482F">
              <w:t>.</w:t>
            </w:r>
            <w:r w:rsidR="008718D6">
              <w:t xml:space="preserve"> </w:t>
            </w:r>
          </w:p>
          <w:p w14:paraId="5D5F9009" w14:textId="77777777" w:rsidR="00987E83" w:rsidRPr="003B5785" w:rsidRDefault="00CE498A" w:rsidP="002307EC">
            <w:pPr>
              <w:numPr>
                <w:ilvl w:val="0"/>
                <w:numId w:val="33"/>
              </w:numPr>
              <w:spacing w:line="276" w:lineRule="auto"/>
              <w:rPr>
                <w:rFonts w:cs="Courier New"/>
              </w:rPr>
            </w:pPr>
            <w:r>
              <w:t>The</w:t>
            </w:r>
            <w:r w:rsidRPr="00002CA2">
              <w:t xml:space="preserve"> </w:t>
            </w:r>
            <w:r w:rsidR="00CF4B0F">
              <w:t>survey</w:t>
            </w:r>
            <w:r w:rsidR="008718D6">
              <w:t xml:space="preserve"> </w:t>
            </w:r>
            <w:r w:rsidRPr="00002CA2">
              <w:t xml:space="preserve">will be performed by </w:t>
            </w:r>
            <w:r>
              <w:t xml:space="preserve">the </w:t>
            </w:r>
            <w:r w:rsidRPr="00002CA2">
              <w:t xml:space="preserve">CDC through </w:t>
            </w:r>
            <w:r>
              <w:t>the Emerging Infections Program</w:t>
            </w:r>
            <w:r w:rsidR="00CF4B0F">
              <w:t xml:space="preserve"> (EIP)</w:t>
            </w:r>
            <w:r>
              <w:t xml:space="preserve">, </w:t>
            </w:r>
            <w:r w:rsidRPr="00DD7F2C">
              <w:rPr>
                <w:rFonts w:cs="Courier New"/>
                <w:color w:val="000000"/>
              </w:rPr>
              <w:t xml:space="preserve">a collaboration </w:t>
            </w:r>
            <w:r w:rsidR="00850D23">
              <w:rPr>
                <w:rFonts w:cs="Courier New"/>
                <w:color w:val="000000"/>
              </w:rPr>
              <w:t xml:space="preserve">with </w:t>
            </w:r>
            <w:r w:rsidRPr="00DD7F2C">
              <w:rPr>
                <w:rFonts w:cs="Courier New"/>
                <w:color w:val="000000"/>
              </w:rPr>
              <w:t>CDC and 10 state health departments</w:t>
            </w:r>
            <w:r w:rsidR="007810BB">
              <w:rPr>
                <w:rFonts w:cs="Courier New"/>
                <w:color w:val="000000"/>
              </w:rPr>
              <w:t xml:space="preserve"> </w:t>
            </w:r>
            <w:r w:rsidR="00E610FA" w:rsidRPr="00DD7F2C">
              <w:rPr>
                <w:rFonts w:cs="Courier New"/>
                <w:color w:val="000000"/>
              </w:rPr>
              <w:t xml:space="preserve">with </w:t>
            </w:r>
            <w:r w:rsidR="00E610FA">
              <w:rPr>
                <w:rFonts w:cs="Courier New"/>
                <w:color w:val="000000"/>
              </w:rPr>
              <w:t>experience</w:t>
            </w:r>
            <w:r w:rsidR="00E57628">
              <w:rPr>
                <w:rFonts w:cs="Courier New"/>
                <w:color w:val="000000"/>
              </w:rPr>
              <w:t xml:space="preserve"> </w:t>
            </w:r>
            <w:r w:rsidRPr="00DD7F2C">
              <w:rPr>
                <w:rFonts w:cs="Courier New"/>
                <w:color w:val="000000"/>
              </w:rPr>
              <w:t>in HAI surveillance</w:t>
            </w:r>
            <w:r>
              <w:rPr>
                <w:rFonts w:cs="Courier New"/>
                <w:color w:val="000000"/>
              </w:rPr>
              <w:t xml:space="preserve"> and data collection</w:t>
            </w:r>
            <w:r w:rsidRPr="00DD7F2C">
              <w:rPr>
                <w:rFonts w:cs="Courier New"/>
                <w:color w:val="000000"/>
              </w:rPr>
              <w:t xml:space="preserve">. </w:t>
            </w:r>
            <w:r>
              <w:rPr>
                <w:rFonts w:cs="Courier New"/>
              </w:rPr>
              <w:t xml:space="preserve">Respondents </w:t>
            </w:r>
            <w:r w:rsidRPr="00DD7F2C">
              <w:rPr>
                <w:rFonts w:cs="Courier New"/>
              </w:rPr>
              <w:t xml:space="preserve">are </w:t>
            </w:r>
            <w:r>
              <w:rPr>
                <w:rFonts w:cs="Courier New"/>
              </w:rPr>
              <w:t xml:space="preserve">nursing homes </w:t>
            </w:r>
            <w:r w:rsidRPr="00DD7F2C">
              <w:rPr>
                <w:rFonts w:cs="Courier New"/>
              </w:rPr>
              <w:t xml:space="preserve">certified by the Centers for Medicare &amp; Medicare Services (CMS) </w:t>
            </w:r>
            <w:r>
              <w:rPr>
                <w:rFonts w:cs="Courier New"/>
              </w:rPr>
              <w:t xml:space="preserve">in </w:t>
            </w:r>
            <w:r w:rsidR="00CF4B0F">
              <w:rPr>
                <w:rFonts w:cs="Courier New"/>
              </w:rPr>
              <w:t>EIP states</w:t>
            </w:r>
            <w:r>
              <w:rPr>
                <w:rFonts w:cs="Courier New"/>
              </w:rPr>
              <w:t xml:space="preserve">. </w:t>
            </w:r>
            <w:r w:rsidRPr="00DD7F2C">
              <w:rPr>
                <w:rFonts w:cs="Courier New"/>
              </w:rPr>
              <w:t>Nursing home participation is voluntary.</w:t>
            </w:r>
          </w:p>
          <w:p w14:paraId="36259A6A" w14:textId="77777777" w:rsidR="00605ED9" w:rsidRPr="008C669D" w:rsidRDefault="007810BB" w:rsidP="002307EC">
            <w:pPr>
              <w:numPr>
                <w:ilvl w:val="0"/>
                <w:numId w:val="33"/>
              </w:numPr>
              <w:spacing w:line="276" w:lineRule="auto"/>
            </w:pPr>
            <w:r>
              <w:rPr>
                <w:rStyle w:val="A0"/>
                <w:rFonts w:cs="Times New Roman"/>
                <w:sz w:val="24"/>
                <w:szCs w:val="24"/>
              </w:rPr>
              <w:t>V</w:t>
            </w:r>
            <w:r w:rsidR="00987E83" w:rsidRPr="00D8482F">
              <w:rPr>
                <w:rStyle w:val="A0"/>
                <w:rFonts w:cs="Times New Roman"/>
                <w:sz w:val="24"/>
                <w:szCs w:val="24"/>
              </w:rPr>
              <w:t xml:space="preserve">ariables will be compared in residents with and without HAIs </w:t>
            </w:r>
            <w:r w:rsidR="008C669D">
              <w:rPr>
                <w:rStyle w:val="A0"/>
                <w:rFonts w:cs="Times New Roman"/>
                <w:sz w:val="24"/>
                <w:szCs w:val="24"/>
              </w:rPr>
              <w:t xml:space="preserve">and </w:t>
            </w:r>
            <w:r w:rsidR="00987E83">
              <w:rPr>
                <w:rStyle w:val="A0"/>
                <w:rFonts w:cs="Times New Roman"/>
                <w:sz w:val="24"/>
                <w:szCs w:val="24"/>
              </w:rPr>
              <w:t xml:space="preserve">antimicrobials </w:t>
            </w:r>
            <w:r w:rsidR="00987E83" w:rsidRPr="00D8482F">
              <w:rPr>
                <w:rStyle w:val="A0"/>
                <w:rFonts w:cs="Times New Roman"/>
                <w:sz w:val="24"/>
                <w:szCs w:val="24"/>
              </w:rPr>
              <w:t>using chi-square tests and Wilcoxon rank-sum or median tests. Associations between resident and facility-level characteristics and HAIs and antimicrobial use will be explored using univariate and multivariable log binomial regression modeling or other appropriate methods.</w:t>
            </w:r>
          </w:p>
        </w:tc>
      </w:tr>
    </w:tbl>
    <w:p w14:paraId="6082CDDA" w14:textId="77777777" w:rsidR="004A64F7" w:rsidRDefault="004A64F7" w:rsidP="007362FB">
      <w:pPr>
        <w:ind w:left="1440" w:hanging="1440"/>
        <w:contextualSpacing/>
        <w:jc w:val="center"/>
        <w:outlineLvl w:val="0"/>
      </w:pPr>
    </w:p>
    <w:p w14:paraId="15201A36" w14:textId="77777777" w:rsidR="00EE7469" w:rsidRPr="00D8482F" w:rsidRDefault="00B06E6A" w:rsidP="007362FB">
      <w:pPr>
        <w:ind w:left="1440" w:hanging="1440"/>
        <w:contextualSpacing/>
        <w:jc w:val="center"/>
        <w:outlineLvl w:val="0"/>
        <w:rPr>
          <w:b/>
        </w:rPr>
      </w:pPr>
      <w:bookmarkStart w:id="8" w:name="_Toc444242955"/>
      <w:r w:rsidRPr="00D8482F">
        <w:rPr>
          <w:b/>
        </w:rPr>
        <w:t>Prevalence Survey of Healthcare Associated Infections and</w:t>
      </w:r>
      <w:bookmarkEnd w:id="8"/>
    </w:p>
    <w:p w14:paraId="0B9A4052" w14:textId="77777777" w:rsidR="00B06E6A" w:rsidRPr="00D8482F" w:rsidRDefault="00B06E6A" w:rsidP="00EE7469">
      <w:pPr>
        <w:ind w:left="1440" w:hanging="1440"/>
        <w:jc w:val="center"/>
        <w:outlineLvl w:val="0"/>
        <w:rPr>
          <w:b/>
        </w:rPr>
      </w:pPr>
      <w:bookmarkStart w:id="9" w:name="_Toc444242956"/>
      <w:r w:rsidRPr="00D8482F">
        <w:rPr>
          <w:b/>
        </w:rPr>
        <w:t xml:space="preserve">Antimicrobial Use in U.S. </w:t>
      </w:r>
      <w:r w:rsidR="00A42685" w:rsidRPr="00D8482F">
        <w:rPr>
          <w:b/>
        </w:rPr>
        <w:t>Nursing Homes</w:t>
      </w:r>
      <w:bookmarkEnd w:id="9"/>
    </w:p>
    <w:p w14:paraId="37A22DD5" w14:textId="77777777" w:rsidR="00EE7469" w:rsidRPr="00D8482F" w:rsidRDefault="00EE7469" w:rsidP="00EE7469">
      <w:pPr>
        <w:ind w:left="1440" w:hanging="1440"/>
        <w:jc w:val="center"/>
        <w:rPr>
          <w:b/>
        </w:rPr>
      </w:pPr>
    </w:p>
    <w:p w14:paraId="63C50604" w14:textId="77777777" w:rsidR="00EE7469" w:rsidRPr="00D8482F" w:rsidRDefault="0046554C" w:rsidP="00DA405D">
      <w:pPr>
        <w:tabs>
          <w:tab w:val="left" w:pos="7920"/>
        </w:tabs>
      </w:pPr>
      <w:r w:rsidRPr="00D8482F">
        <w:t xml:space="preserve">This is </w:t>
      </w:r>
      <w:r w:rsidR="00034F7E" w:rsidRPr="00D8482F">
        <w:t xml:space="preserve">a </w:t>
      </w:r>
      <w:r w:rsidR="00A42685" w:rsidRPr="00D8482F">
        <w:t xml:space="preserve">new information collection </w:t>
      </w:r>
      <w:r w:rsidR="008669F0" w:rsidRPr="00D8482F">
        <w:t>request</w:t>
      </w:r>
      <w:r w:rsidR="00770804" w:rsidRPr="00D8482F">
        <w:t xml:space="preserve"> </w:t>
      </w:r>
      <w:r w:rsidR="001742CB" w:rsidRPr="00D8482F">
        <w:t>from</w:t>
      </w:r>
      <w:r w:rsidR="001D34CC" w:rsidRPr="00D8482F">
        <w:t xml:space="preserve"> the</w:t>
      </w:r>
      <w:r w:rsidR="00770804" w:rsidRPr="00D8482F">
        <w:t xml:space="preserve"> </w:t>
      </w:r>
      <w:r w:rsidR="00114840" w:rsidRPr="00D8482F">
        <w:t>C</w:t>
      </w:r>
      <w:r w:rsidR="00956BC5" w:rsidRPr="00D8482F">
        <w:t xml:space="preserve">enters for </w:t>
      </w:r>
      <w:r w:rsidR="00114840" w:rsidRPr="00D8482F">
        <w:t>D</w:t>
      </w:r>
      <w:r w:rsidR="00956BC5" w:rsidRPr="00D8482F">
        <w:t xml:space="preserve">isease </w:t>
      </w:r>
      <w:r w:rsidR="00114840" w:rsidRPr="00D8482F">
        <w:t>C</w:t>
      </w:r>
      <w:r w:rsidR="00956BC5" w:rsidRPr="00D8482F">
        <w:t>ontrol and Prevention (CDC)</w:t>
      </w:r>
      <w:r w:rsidR="001D34CC" w:rsidRPr="00D8482F">
        <w:t xml:space="preserve"> </w:t>
      </w:r>
      <w:r w:rsidR="004B2761">
        <w:t>for a</w:t>
      </w:r>
      <w:r w:rsidR="00EC3EB4">
        <w:t xml:space="preserve"> Prevalence Survey of </w:t>
      </w:r>
      <w:r w:rsidR="00EE7469" w:rsidRPr="00D8482F">
        <w:t xml:space="preserve">Healthcare-Associated Infections </w:t>
      </w:r>
      <w:r w:rsidR="00E80EE4" w:rsidRPr="00D8482F">
        <w:t xml:space="preserve">(HAI) </w:t>
      </w:r>
      <w:r w:rsidR="00EE7469" w:rsidRPr="00D8482F">
        <w:t>and Antimicrobial</w:t>
      </w:r>
      <w:r w:rsidR="00D32E07">
        <w:t xml:space="preserve"> Use</w:t>
      </w:r>
      <w:r w:rsidR="00EE7469" w:rsidRPr="00D8482F">
        <w:t xml:space="preserve"> </w:t>
      </w:r>
      <w:r w:rsidR="000375B9" w:rsidRPr="00D8482F">
        <w:t>in US Nursing Homes. Approval is requested for a period of 3 years.</w:t>
      </w:r>
    </w:p>
    <w:p w14:paraId="1884A5CA" w14:textId="77777777" w:rsidR="00EE7469" w:rsidRPr="00D8482F" w:rsidRDefault="00EE7469" w:rsidP="00EE7469">
      <w:pPr>
        <w:rPr>
          <w:b/>
          <w:u w:val="single"/>
        </w:rPr>
      </w:pPr>
    </w:p>
    <w:p w14:paraId="33D90429" w14:textId="77777777" w:rsidR="00544C10" w:rsidRPr="00D8482F" w:rsidRDefault="007A4CBA" w:rsidP="00EE7469">
      <w:pPr>
        <w:rPr>
          <w:b/>
          <w:u w:val="single"/>
        </w:rPr>
      </w:pPr>
      <w:r w:rsidRPr="00D8482F">
        <w:rPr>
          <w:b/>
          <w:u w:val="single"/>
        </w:rPr>
        <w:t xml:space="preserve">A.  </w:t>
      </w:r>
      <w:r w:rsidR="00544C10" w:rsidRPr="00D8482F">
        <w:rPr>
          <w:b/>
          <w:u w:val="single"/>
        </w:rPr>
        <w:t>Justification</w:t>
      </w:r>
    </w:p>
    <w:p w14:paraId="27816134" w14:textId="77777777" w:rsidR="00043B2E" w:rsidRPr="00D8482F" w:rsidRDefault="00043B2E" w:rsidP="00EE7469">
      <w:pPr>
        <w:rPr>
          <w:b/>
        </w:rPr>
      </w:pPr>
    </w:p>
    <w:p w14:paraId="297AC63C" w14:textId="77777777" w:rsidR="0042065E" w:rsidRPr="00753597" w:rsidRDefault="00544C10" w:rsidP="00753597">
      <w:pPr>
        <w:pStyle w:val="Heading1"/>
      </w:pPr>
      <w:bookmarkStart w:id="10" w:name="_Toc444242957"/>
      <w:r w:rsidRPr="00753597">
        <w:t>Circumstances Making the Collection of Information Necessary</w:t>
      </w:r>
      <w:bookmarkEnd w:id="10"/>
    </w:p>
    <w:p w14:paraId="6613A411" w14:textId="77777777" w:rsidR="00A42685" w:rsidRPr="00D8482F" w:rsidRDefault="00A42685" w:rsidP="00E127F8"/>
    <w:p w14:paraId="1A8A09D4" w14:textId="77777777" w:rsidR="005A7B80" w:rsidRPr="00D8482F" w:rsidRDefault="00A42685" w:rsidP="005A7B80">
      <w:r w:rsidRPr="00D8482F">
        <w:t xml:space="preserve">Elimination of HAIs is a priority of the U.S. Department of Health and Human Services (HHS) (see </w:t>
      </w:r>
      <w:hyperlink r:id="rId14" w:history="1">
        <w:r w:rsidRPr="00D8482F">
          <w:rPr>
            <w:rStyle w:val="Hyperlink"/>
          </w:rPr>
          <w:t>www.hhs.gov/ash/initiatives/hai/</w:t>
        </w:r>
      </w:hyperlink>
      <w:r w:rsidRPr="00D8482F">
        <w:t xml:space="preserve">) and a CDC “Winnable Battle” (see </w:t>
      </w:r>
      <w:hyperlink r:id="rId15" w:history="1">
        <w:r w:rsidRPr="00D8482F">
          <w:rPr>
            <w:rStyle w:val="Hyperlink"/>
          </w:rPr>
          <w:t>/www.cdc.gov/winnablebattles/healthcareassociatedinfections/index.html</w:t>
        </w:r>
      </w:hyperlink>
      <w:r w:rsidRPr="00D8482F">
        <w:t xml:space="preserve">). Understanding the scope and magnitude of all types of HAIs </w:t>
      </w:r>
      <w:r w:rsidR="00B114DB" w:rsidRPr="00D8482F">
        <w:t xml:space="preserve">in </w:t>
      </w:r>
      <w:r w:rsidRPr="00D8482F">
        <w:t xml:space="preserve">patient populations </w:t>
      </w:r>
      <w:r w:rsidR="007130F5" w:rsidRPr="00D8482F">
        <w:t xml:space="preserve">across the spectrum of </w:t>
      </w:r>
      <w:r w:rsidRPr="00D8482F">
        <w:t xml:space="preserve">U.S. healthcare facilities is essential to the development of effective prevention and control strategies and policies. </w:t>
      </w:r>
      <w:r w:rsidR="005A7B80" w:rsidRPr="00D8482F">
        <w:t xml:space="preserve"> HAI prevalence </w:t>
      </w:r>
      <w:r w:rsidR="00E6575B" w:rsidRPr="00D8482F">
        <w:t xml:space="preserve">and </w:t>
      </w:r>
      <w:r w:rsidR="005A7B80" w:rsidRPr="00D8482F">
        <w:t>antimicrobial u</w:t>
      </w:r>
      <w:r w:rsidR="00924E8F">
        <w:t>se</w:t>
      </w:r>
      <w:r w:rsidR="005A7B80" w:rsidRPr="00D8482F">
        <w:t xml:space="preserve"> </w:t>
      </w:r>
      <w:r w:rsidR="00E6575B" w:rsidRPr="00D8482F">
        <w:t xml:space="preserve">estimates </w:t>
      </w:r>
      <w:r w:rsidR="005A7B80" w:rsidRPr="00D8482F">
        <w:t xml:space="preserve">can be obtained through prevalence surveys, in which data are collected in healthcare facilities during a short, specified time period. </w:t>
      </w:r>
      <w:r w:rsidR="00A051BC" w:rsidRPr="00D8482F">
        <w:t>Since</w:t>
      </w:r>
      <w:r w:rsidR="005A7B80" w:rsidRPr="00D8482F">
        <w:t xml:space="preserve"> 2009, the CDC has conducted surveys to evaluate the prevalence of HAIs and antimicrobial use in acute care hospitals </w:t>
      </w:r>
      <w:r w:rsidR="00782680">
        <w:t>(</w:t>
      </w:r>
      <w:r w:rsidR="005A7B80" w:rsidRPr="00D8482F">
        <w:t>1</w:t>
      </w:r>
      <w:r w:rsidR="00D32E07" w:rsidRPr="00D8482F">
        <w:t>, 2, 3</w:t>
      </w:r>
      <w:r w:rsidR="00782680">
        <w:t>)</w:t>
      </w:r>
      <w:r w:rsidR="00782680" w:rsidRPr="00D8482F">
        <w:t xml:space="preserve">, </w:t>
      </w:r>
      <w:r w:rsidR="000C21DE" w:rsidRPr="00D8482F">
        <w:t>with t</w:t>
      </w:r>
      <w:r w:rsidR="00A051BC" w:rsidRPr="00D8482F">
        <w:t>he most recent</w:t>
      </w:r>
      <w:r w:rsidR="000C21DE" w:rsidRPr="00D8482F">
        <w:t xml:space="preserve"> </w:t>
      </w:r>
      <w:r w:rsidR="00A051BC" w:rsidRPr="00D8482F">
        <w:t>performed in 2015</w:t>
      </w:r>
      <w:r w:rsidR="00F11275" w:rsidRPr="00D8482F">
        <w:t xml:space="preserve"> </w:t>
      </w:r>
      <w:r w:rsidR="005A7B80" w:rsidRPr="00D8482F">
        <w:t>[</w:t>
      </w:r>
      <w:r w:rsidR="007130F5" w:rsidRPr="00D8482F">
        <w:t xml:space="preserve">2015 </w:t>
      </w:r>
      <w:r w:rsidR="007130F5" w:rsidRPr="00D8482F">
        <w:lastRenderedPageBreak/>
        <w:t xml:space="preserve">survey </w:t>
      </w:r>
      <w:r w:rsidR="005A7B80" w:rsidRPr="00D8482F">
        <w:t xml:space="preserve">OMB Control No. </w:t>
      </w:r>
      <w:r w:rsidR="00837CA2" w:rsidRPr="00D8482F">
        <w:t>0920-0852</w:t>
      </w:r>
      <w:r w:rsidR="005A7B80" w:rsidRPr="00D8482F">
        <w:t xml:space="preserve">, expiration date </w:t>
      </w:r>
      <w:r w:rsidR="00837CA2" w:rsidRPr="00D8482F">
        <w:t>12/31/2016</w:t>
      </w:r>
      <w:r w:rsidR="007130F5" w:rsidRPr="00D8482F">
        <w:t>]</w:t>
      </w:r>
      <w:r w:rsidR="005A7B80" w:rsidRPr="00D8482F">
        <w:t xml:space="preserve">. </w:t>
      </w:r>
      <w:r w:rsidR="00F11275" w:rsidRPr="00D8482F">
        <w:t>P</w:t>
      </w:r>
      <w:r w:rsidR="002A3B23" w:rsidRPr="00D8482F">
        <w:t>roviding a snapshot of the frequency and nature of HAI and antimicrobial use, prevalence surveys represent an efficient and cost-effective alternative to prospective, facility-wide incidence studies.</w:t>
      </w:r>
    </w:p>
    <w:p w14:paraId="3CA7C1D6" w14:textId="77777777" w:rsidR="005A7B80" w:rsidRPr="00D8482F" w:rsidRDefault="005A7B80" w:rsidP="00A42685"/>
    <w:p w14:paraId="0AC414F3" w14:textId="77777777" w:rsidR="00A42685" w:rsidRPr="00D8482F" w:rsidRDefault="00A42685" w:rsidP="00A42685">
      <w:r w:rsidRPr="00D8482F">
        <w:t>CDC conducts HAI surveillance</w:t>
      </w:r>
      <w:r w:rsidR="002A3B23" w:rsidRPr="00D8482F">
        <w:t xml:space="preserve"> </w:t>
      </w:r>
      <w:r w:rsidRPr="00D8482F">
        <w:t xml:space="preserve">through </w:t>
      </w:r>
      <w:r w:rsidR="00930F6A">
        <w:t>T</w:t>
      </w:r>
      <w:r w:rsidRPr="00D8482F">
        <w:t>he National Healthcare Safety Network (NHSN</w:t>
      </w:r>
      <w:r w:rsidR="00F11275" w:rsidRPr="00D8482F">
        <w:t xml:space="preserve"> </w:t>
      </w:r>
      <w:hyperlink r:id="rId16" w:history="1">
        <w:r w:rsidR="00A051BC" w:rsidRPr="00D8482F">
          <w:rPr>
            <w:rStyle w:val="Hyperlink"/>
          </w:rPr>
          <w:t>www.cdc.gov/nhsn/</w:t>
        </w:r>
      </w:hyperlink>
      <w:r w:rsidR="00A051BC" w:rsidRPr="00D8482F">
        <w:t xml:space="preserve"> </w:t>
      </w:r>
      <w:r w:rsidRPr="00D8482F">
        <w:t xml:space="preserve">) </w:t>
      </w:r>
      <w:r w:rsidR="00782680">
        <w:t>[</w:t>
      </w:r>
      <w:r w:rsidRPr="00D8482F">
        <w:t xml:space="preserve">OMB Control No. 0920-0666, expiration date </w:t>
      </w:r>
      <w:r w:rsidR="001C48E0" w:rsidRPr="00D8482F">
        <w:t>12</w:t>
      </w:r>
      <w:r w:rsidRPr="00D8482F">
        <w:t>/31/201</w:t>
      </w:r>
      <w:r w:rsidR="001C48E0" w:rsidRPr="00D8482F">
        <w:t>8</w:t>
      </w:r>
      <w:r w:rsidR="00782680">
        <w:t>]</w:t>
      </w:r>
      <w:r w:rsidRPr="00D8482F">
        <w:t xml:space="preserve">. </w:t>
      </w:r>
      <w:r w:rsidR="00070939" w:rsidRPr="00D8482F">
        <w:t xml:space="preserve">The Long-term Care Facility </w:t>
      </w:r>
      <w:r w:rsidR="00A051BC" w:rsidRPr="00D8482F">
        <w:t xml:space="preserve">(LTCF) </w:t>
      </w:r>
      <w:r w:rsidR="00070939" w:rsidRPr="00D8482F">
        <w:t>Component of NHSN (</w:t>
      </w:r>
      <w:hyperlink r:id="rId17" w:history="1">
        <w:r w:rsidR="00A051BC" w:rsidRPr="00D8482F">
          <w:rPr>
            <w:rStyle w:val="Hyperlink"/>
          </w:rPr>
          <w:t>www.cdc.gov/nhsn/ltc/index.html</w:t>
        </w:r>
      </w:hyperlink>
      <w:r w:rsidR="00A051BC" w:rsidRPr="00D8482F">
        <w:t xml:space="preserve">), </w:t>
      </w:r>
      <w:r w:rsidR="000C21DE" w:rsidRPr="00D8482F">
        <w:t>provides infrastructure and methods to enable nursing homes to perform</w:t>
      </w:r>
      <w:r w:rsidR="00A051BC" w:rsidRPr="00D8482F">
        <w:t xml:space="preserve"> </w:t>
      </w:r>
      <w:r w:rsidR="00616D84" w:rsidRPr="00D8482F">
        <w:t>p</w:t>
      </w:r>
      <w:r w:rsidR="00070939" w:rsidRPr="00D8482F">
        <w:t>rospective surveillance for incident HAIs</w:t>
      </w:r>
      <w:r w:rsidR="00A051BC" w:rsidRPr="00D8482F">
        <w:t>. The</w:t>
      </w:r>
      <w:r w:rsidR="00782680">
        <w:t xml:space="preserve"> NHSN</w:t>
      </w:r>
      <w:r w:rsidR="00A051BC" w:rsidRPr="00D8482F">
        <w:t xml:space="preserve"> LTCF </w:t>
      </w:r>
      <w:r w:rsidR="009A29D5" w:rsidRPr="00D8482F">
        <w:t xml:space="preserve">Component, </w:t>
      </w:r>
      <w:r w:rsidR="00070939" w:rsidRPr="00D8482F">
        <w:t>available since September 2012</w:t>
      </w:r>
      <w:r w:rsidR="001C48E0" w:rsidRPr="00D8482F">
        <w:t>, enables</w:t>
      </w:r>
      <w:r w:rsidR="005A7B80" w:rsidRPr="00D8482F">
        <w:t xml:space="preserve"> nursing homes</w:t>
      </w:r>
      <w:r w:rsidRPr="00D8482F">
        <w:t xml:space="preserve"> </w:t>
      </w:r>
      <w:r w:rsidR="00A051BC" w:rsidRPr="00D8482F">
        <w:t xml:space="preserve">(and other types of LTCF) </w:t>
      </w:r>
      <w:r w:rsidR="005A7B80" w:rsidRPr="00D8482F">
        <w:t>to</w:t>
      </w:r>
      <w:r w:rsidRPr="00D8482F">
        <w:t xml:space="preserve"> report</w:t>
      </w:r>
      <w:r w:rsidR="007A433A" w:rsidRPr="00D8482F">
        <w:t xml:space="preserve"> </w:t>
      </w:r>
      <w:r w:rsidR="00B114DB" w:rsidRPr="00D8482F">
        <w:t xml:space="preserve">data on selected </w:t>
      </w:r>
      <w:r w:rsidRPr="00D8482F">
        <w:t>HAIs</w:t>
      </w:r>
      <w:r w:rsidR="006B72BE" w:rsidRPr="00D8482F">
        <w:t xml:space="preserve"> known to be of importance in this healthcare setting</w:t>
      </w:r>
      <w:r w:rsidR="00B114DB" w:rsidRPr="00D8482F">
        <w:t xml:space="preserve">, including </w:t>
      </w:r>
      <w:r w:rsidR="005A7B80" w:rsidRPr="00D8482F">
        <w:t xml:space="preserve">urinary tract </w:t>
      </w:r>
      <w:r w:rsidR="002A3B23" w:rsidRPr="00D8482F">
        <w:t>infections</w:t>
      </w:r>
      <w:r w:rsidR="000C21DE" w:rsidRPr="00D8482F">
        <w:t xml:space="preserve"> (UTIs)</w:t>
      </w:r>
      <w:r w:rsidR="002A3B23" w:rsidRPr="00D8482F">
        <w:t xml:space="preserve"> and </w:t>
      </w:r>
      <w:r w:rsidR="002A3B23" w:rsidRPr="00D8482F">
        <w:rPr>
          <w:i/>
        </w:rPr>
        <w:t>Clostridium difficile</w:t>
      </w:r>
      <w:r w:rsidR="002A3B23" w:rsidRPr="00D8482F">
        <w:t xml:space="preserve"> infections and multi-drug resistance organisms via a laboratory-based </w:t>
      </w:r>
      <w:r w:rsidR="00A051BC" w:rsidRPr="00D8482F">
        <w:t>infection</w:t>
      </w:r>
      <w:r w:rsidR="002A3B23" w:rsidRPr="00D8482F">
        <w:t xml:space="preserve"> proxy measure. </w:t>
      </w:r>
      <w:r w:rsidRPr="00D8482F">
        <w:t xml:space="preserve"> </w:t>
      </w:r>
      <w:r w:rsidR="00A051BC" w:rsidRPr="00D8482F">
        <w:t>D</w:t>
      </w:r>
      <w:r w:rsidR="00616D84" w:rsidRPr="00D8482F">
        <w:t>ue to th</w:t>
      </w:r>
      <w:r w:rsidR="00A051BC" w:rsidRPr="00D8482F">
        <w:t>e</w:t>
      </w:r>
      <w:r w:rsidR="00616D84" w:rsidRPr="00D8482F">
        <w:t xml:space="preserve"> </w:t>
      </w:r>
      <w:r w:rsidR="000C21DE" w:rsidRPr="00D8482F">
        <w:t xml:space="preserve">limited </w:t>
      </w:r>
      <w:r w:rsidR="00A051BC" w:rsidRPr="00D8482F">
        <w:t>HAI</w:t>
      </w:r>
      <w:r w:rsidR="00616D84" w:rsidRPr="00D8482F">
        <w:t xml:space="preserve"> </w:t>
      </w:r>
      <w:r w:rsidR="00E15EEB" w:rsidRPr="00D8482F">
        <w:t>surveillance</w:t>
      </w:r>
      <w:r w:rsidR="000C21DE" w:rsidRPr="00D8482F">
        <w:t xml:space="preserve"> </w:t>
      </w:r>
      <w:r w:rsidR="006B72BE" w:rsidRPr="00D8482F">
        <w:t xml:space="preserve">options </w:t>
      </w:r>
      <w:r w:rsidR="000C21DE" w:rsidRPr="00D8482F">
        <w:t>for nursing homes in NHSN</w:t>
      </w:r>
      <w:r w:rsidR="00616D84" w:rsidRPr="00D8482F">
        <w:t xml:space="preserve">, </w:t>
      </w:r>
      <w:r w:rsidRPr="00D8482F">
        <w:t xml:space="preserve">CDC cannot </w:t>
      </w:r>
      <w:r w:rsidR="00616D84" w:rsidRPr="00D8482F">
        <w:t xml:space="preserve">use the data from </w:t>
      </w:r>
      <w:r w:rsidRPr="00D8482F">
        <w:t>NHSN</w:t>
      </w:r>
      <w:r w:rsidR="00A051BC" w:rsidRPr="00D8482F">
        <w:t xml:space="preserve"> </w:t>
      </w:r>
      <w:r w:rsidR="00616D84" w:rsidRPr="00D8482F">
        <w:t>to estimate the</w:t>
      </w:r>
      <w:r w:rsidRPr="00D8482F">
        <w:t xml:space="preserve"> scope and magnitude of all HAIs affecting </w:t>
      </w:r>
      <w:r w:rsidR="005A7B80" w:rsidRPr="00D8482F">
        <w:t xml:space="preserve">residents </w:t>
      </w:r>
      <w:r w:rsidR="00A051BC" w:rsidRPr="00D8482F">
        <w:t>of</w:t>
      </w:r>
      <w:r w:rsidR="005A7B80" w:rsidRPr="00D8482F">
        <w:t xml:space="preserve"> </w:t>
      </w:r>
      <w:r w:rsidR="00CF58ED" w:rsidRPr="00D8482F">
        <w:t xml:space="preserve">US </w:t>
      </w:r>
      <w:r w:rsidR="005A7B80" w:rsidRPr="00D8482F">
        <w:t>nursing homes</w:t>
      </w:r>
      <w:r w:rsidRPr="00D8482F">
        <w:t xml:space="preserve">. Furthermore, </w:t>
      </w:r>
      <w:r w:rsidR="006A528A" w:rsidRPr="00D8482F">
        <w:t xml:space="preserve">while NHSN includes reporting for antimicrobial use in acute care hospitals, this </w:t>
      </w:r>
      <w:r w:rsidR="00E15EEB" w:rsidRPr="00D8482F">
        <w:t xml:space="preserve">surveillance, which relies exclusively on automated reporting </w:t>
      </w:r>
      <w:r w:rsidR="006B72BE" w:rsidRPr="00D8482F">
        <w:t>using</w:t>
      </w:r>
      <w:r w:rsidR="00E15EEB" w:rsidRPr="00D8482F">
        <w:t xml:space="preserve"> electronic </w:t>
      </w:r>
      <w:r w:rsidR="006B72BE" w:rsidRPr="00D8482F">
        <w:t>data,</w:t>
      </w:r>
      <w:r w:rsidR="00E15EEB" w:rsidRPr="00D8482F">
        <w:t xml:space="preserve"> </w:t>
      </w:r>
      <w:r w:rsidR="006A528A" w:rsidRPr="00D8482F">
        <w:t xml:space="preserve">is not </w:t>
      </w:r>
      <w:r w:rsidR="00616D84" w:rsidRPr="00D8482F">
        <w:t xml:space="preserve">available </w:t>
      </w:r>
      <w:r w:rsidR="006B72BE" w:rsidRPr="00D8482F">
        <w:t>to nursing homes</w:t>
      </w:r>
      <w:r w:rsidR="00E15EEB" w:rsidRPr="00D8482F">
        <w:t xml:space="preserve">. </w:t>
      </w:r>
      <w:r w:rsidRPr="00D8482F">
        <w:t>CDC</w:t>
      </w:r>
      <w:r w:rsidR="008C669D">
        <w:t xml:space="preserve">, therefore, </w:t>
      </w:r>
      <w:r w:rsidRPr="00D8482F">
        <w:t>does not</w:t>
      </w:r>
      <w:r w:rsidR="008C669D">
        <w:t xml:space="preserve"> </w:t>
      </w:r>
      <w:r w:rsidRPr="00D8482F">
        <w:t xml:space="preserve">currently </w:t>
      </w:r>
      <w:r w:rsidR="005A7B80" w:rsidRPr="00D8482F">
        <w:t xml:space="preserve">collect data </w:t>
      </w:r>
      <w:r w:rsidR="00E15EEB" w:rsidRPr="00D8482F">
        <w:t>on antimicrobial use in</w:t>
      </w:r>
      <w:r w:rsidRPr="00D8482F">
        <w:t xml:space="preserve"> </w:t>
      </w:r>
      <w:r w:rsidR="00CF58ED" w:rsidRPr="00D8482F">
        <w:t>nursing homes</w:t>
      </w:r>
      <w:r w:rsidRPr="00D8482F">
        <w:t>. Such data are essential in the effort to develop and implement strategies to reduce inappropriate antimicrobial use and prevent the emergence and spread of resistant pathogens. Improving antimicrobial prescribing is a critical component of strategies to reduce antimicrobial resistance, and is a priority for CDC and other government agencies (</w:t>
      </w:r>
      <w:hyperlink r:id="rId18" w:history="1">
        <w:r w:rsidRPr="00D8482F">
          <w:rPr>
            <w:rStyle w:val="Hyperlink"/>
          </w:rPr>
          <w:t>www.cdc.gov/mmwr/preview/mmwrhtml/mm6309a4.htm?s_cid=mm6309a4_w</w:t>
        </w:r>
      </w:hyperlink>
      <w:r w:rsidRPr="00D8482F">
        <w:t>).</w:t>
      </w:r>
    </w:p>
    <w:p w14:paraId="1F645877" w14:textId="77777777" w:rsidR="00A42685" w:rsidRPr="00D8482F" w:rsidRDefault="00A42685" w:rsidP="00A42685"/>
    <w:p w14:paraId="67A28AD2" w14:textId="77777777" w:rsidR="00860746" w:rsidRDefault="007130F5" w:rsidP="00E127F8">
      <w:r w:rsidRPr="00D8482F">
        <w:t xml:space="preserve">The methods </w:t>
      </w:r>
      <w:r w:rsidR="007F0056" w:rsidRPr="00D8482F">
        <w:t xml:space="preserve">to be </w:t>
      </w:r>
      <w:r w:rsidRPr="00D8482F">
        <w:t xml:space="preserve">used for </w:t>
      </w:r>
      <w:r w:rsidR="006F583C" w:rsidRPr="00D8482F">
        <w:t>this</w:t>
      </w:r>
      <w:r w:rsidR="005A7B80" w:rsidRPr="00D8482F">
        <w:t xml:space="preserve"> </w:t>
      </w:r>
      <w:r w:rsidR="00A42685" w:rsidRPr="00D8482F">
        <w:t>survey</w:t>
      </w:r>
      <w:r w:rsidR="005A7B80" w:rsidRPr="00D8482F">
        <w:t xml:space="preserve"> </w:t>
      </w:r>
      <w:r w:rsidR="00A42685" w:rsidRPr="00D8482F">
        <w:t xml:space="preserve">will be </w:t>
      </w:r>
      <w:r w:rsidR="006F583C" w:rsidRPr="00D8482F">
        <w:t>similar to</w:t>
      </w:r>
      <w:r w:rsidR="005A7B80" w:rsidRPr="00D8482F">
        <w:t xml:space="preserve"> </w:t>
      </w:r>
      <w:r w:rsidR="00A42685" w:rsidRPr="00D8482F">
        <w:t xml:space="preserve">those used </w:t>
      </w:r>
      <w:r w:rsidR="005A7B80" w:rsidRPr="00D8482F">
        <w:t xml:space="preserve">for the </w:t>
      </w:r>
      <w:r w:rsidR="007F0056" w:rsidRPr="00D8482F">
        <w:t xml:space="preserve">CDC </w:t>
      </w:r>
      <w:r w:rsidR="00D45F32" w:rsidRPr="00D8482F">
        <w:t xml:space="preserve">hospital </w:t>
      </w:r>
      <w:r w:rsidR="005A7B80" w:rsidRPr="00D8482F">
        <w:t>surveys</w:t>
      </w:r>
      <w:r w:rsidR="00A42685" w:rsidRPr="00D8482F">
        <w:t xml:space="preserve">, </w:t>
      </w:r>
      <w:r w:rsidR="001742CB" w:rsidRPr="00D8482F">
        <w:t xml:space="preserve">with changes informed by </w:t>
      </w:r>
      <w:r w:rsidR="00860746">
        <w:t xml:space="preserve">prevalence </w:t>
      </w:r>
      <w:r w:rsidR="0066573D" w:rsidRPr="00D8482F">
        <w:t xml:space="preserve">surveys conducted in </w:t>
      </w:r>
      <w:r w:rsidR="00A051BC" w:rsidRPr="00D8482F">
        <w:t xml:space="preserve">long-term care </w:t>
      </w:r>
      <w:r w:rsidR="0066573D" w:rsidRPr="00D8482F">
        <w:t>facilities b</w:t>
      </w:r>
      <w:r w:rsidR="00100DBE" w:rsidRPr="00D8482F">
        <w:t>y</w:t>
      </w:r>
      <w:r w:rsidR="0066573D" w:rsidRPr="00D8482F">
        <w:t xml:space="preserve"> the European CDC (ECDC)</w:t>
      </w:r>
      <w:r w:rsidR="00660C86" w:rsidRPr="00D8482F">
        <w:t xml:space="preserve"> </w:t>
      </w:r>
      <w:r w:rsidR="00782680">
        <w:t>(</w:t>
      </w:r>
      <w:r w:rsidR="00660C86" w:rsidRPr="00D8482F">
        <w:t>4,5</w:t>
      </w:r>
      <w:r w:rsidR="00782680">
        <w:t>)</w:t>
      </w:r>
      <w:r w:rsidR="00782680" w:rsidRPr="00D8482F">
        <w:t xml:space="preserve">, </w:t>
      </w:r>
      <w:r w:rsidR="00660C86" w:rsidRPr="00D8482F">
        <w:t xml:space="preserve">and </w:t>
      </w:r>
      <w:r w:rsidR="00D45F32" w:rsidRPr="00D8482F">
        <w:t xml:space="preserve">a </w:t>
      </w:r>
      <w:r w:rsidR="0066573D" w:rsidRPr="00D8482F">
        <w:t xml:space="preserve">CDC </w:t>
      </w:r>
      <w:r w:rsidRPr="00D8482F">
        <w:t>pilot</w:t>
      </w:r>
      <w:r w:rsidR="007F0056" w:rsidRPr="00D8482F">
        <w:t xml:space="preserve"> </w:t>
      </w:r>
      <w:r w:rsidR="006027FC">
        <w:t xml:space="preserve">prevalence </w:t>
      </w:r>
      <w:r w:rsidR="00D45F32" w:rsidRPr="00D8482F">
        <w:t>survey</w:t>
      </w:r>
      <w:r w:rsidR="00660C86" w:rsidRPr="00D8482F">
        <w:t xml:space="preserve"> </w:t>
      </w:r>
      <w:r w:rsidR="00782680">
        <w:t>(</w:t>
      </w:r>
      <w:r w:rsidR="00660C86" w:rsidRPr="00D8482F">
        <w:t>6,7</w:t>
      </w:r>
      <w:r w:rsidR="00782680">
        <w:t>)</w:t>
      </w:r>
      <w:r w:rsidR="00782680" w:rsidRPr="00D8482F">
        <w:t xml:space="preserve">. </w:t>
      </w:r>
      <w:r w:rsidR="006027FC">
        <w:t xml:space="preserve">  </w:t>
      </w:r>
      <w:r w:rsidR="006027FC" w:rsidRPr="00FD1F90">
        <w:t xml:space="preserve">The </w:t>
      </w:r>
      <w:r w:rsidR="006027FC">
        <w:t>pilot</w:t>
      </w:r>
      <w:r w:rsidR="006027FC" w:rsidRPr="00FD1F90">
        <w:t xml:space="preserve">, a </w:t>
      </w:r>
      <w:r w:rsidR="006027FC">
        <w:t>small</w:t>
      </w:r>
      <w:r w:rsidR="006027FC" w:rsidRPr="00FD1F90">
        <w:t xml:space="preserve"> survey with less than 10 respondents</w:t>
      </w:r>
      <w:r w:rsidR="006027FC">
        <w:t>, was completed in 2014 (6</w:t>
      </w:r>
      <w:r w:rsidR="009823B7">
        <w:t>,7</w:t>
      </w:r>
      <w:r w:rsidR="006027FC">
        <w:t xml:space="preserve">) in collaboration with </w:t>
      </w:r>
      <w:r w:rsidR="009823B7">
        <w:t>four states (CO</w:t>
      </w:r>
      <w:r w:rsidR="006A5AC1">
        <w:t>, CT, NM and NY)</w:t>
      </w:r>
      <w:r w:rsidR="009823B7">
        <w:t xml:space="preserve"> from the</w:t>
      </w:r>
      <w:r w:rsidR="006A5AC1">
        <w:t xml:space="preserve"> </w:t>
      </w:r>
      <w:r w:rsidR="006027FC">
        <w:t xml:space="preserve">CDC’s Emerging Infections Program (EIP). </w:t>
      </w:r>
      <w:r w:rsidR="006A5AC1">
        <w:t>In this pilot</w:t>
      </w:r>
      <w:r w:rsidR="006027FC" w:rsidRPr="00FD1F90">
        <w:t xml:space="preserve"> involving </w:t>
      </w:r>
      <w:r w:rsidR="009823B7">
        <w:t xml:space="preserve">1,272 nursing home residents, the HAI and </w:t>
      </w:r>
      <w:r w:rsidR="007F27CF">
        <w:t>antimicrobial use</w:t>
      </w:r>
      <w:r w:rsidR="009823B7">
        <w:t xml:space="preserve"> prevalence was 5.5% and 11.0%, respectively</w:t>
      </w:r>
      <w:r w:rsidR="009823B7">
        <w:rPr>
          <w:rFonts w:asciiTheme="minorHAnsi" w:hAnsiTheme="minorHAnsi" w:cstheme="minorBidi"/>
          <w:color w:val="1F497D"/>
          <w:sz w:val="22"/>
          <w:szCs w:val="22"/>
        </w:rPr>
        <w:t xml:space="preserve">. </w:t>
      </w:r>
      <w:r w:rsidR="00485238">
        <w:t>The strongest</w:t>
      </w:r>
      <w:r w:rsidR="007F76B4">
        <w:t xml:space="preserve"> </w:t>
      </w:r>
      <w:r w:rsidR="00485238">
        <w:t>predictor of</w:t>
      </w:r>
      <w:r w:rsidR="007F76B4">
        <w:t xml:space="preserve"> prevalence was resident type</w:t>
      </w:r>
      <w:r w:rsidR="00F40B3B">
        <w:t xml:space="preserve"> (</w:t>
      </w:r>
      <w:r w:rsidR="007F27CF">
        <w:t xml:space="preserve">as defined by CMS, </w:t>
      </w:r>
      <w:r w:rsidR="00F40B3B">
        <w:t xml:space="preserve">short- or </w:t>
      </w:r>
      <w:r w:rsidR="00485238">
        <w:t>long-stay</w:t>
      </w:r>
      <w:r w:rsidR="00F40B3B">
        <w:t>)</w:t>
      </w:r>
      <w:r w:rsidR="007F76B4">
        <w:t>, with short-stay residents</w:t>
      </w:r>
      <w:r w:rsidR="007F27CF">
        <w:t xml:space="preserve"> </w:t>
      </w:r>
      <w:r w:rsidR="007F76B4">
        <w:t xml:space="preserve">having HAI and </w:t>
      </w:r>
      <w:r w:rsidR="007F27CF">
        <w:t>antimicrobial use</w:t>
      </w:r>
      <w:r w:rsidR="007F76B4">
        <w:t xml:space="preserve"> prevalence</w:t>
      </w:r>
      <w:r w:rsidR="007F27CF">
        <w:t>s</w:t>
      </w:r>
      <w:r w:rsidR="007F76B4">
        <w:t xml:space="preserve"> of 9% and 21%, respectively.  </w:t>
      </w:r>
      <w:r w:rsidR="007F0056" w:rsidRPr="00D8482F">
        <w:t xml:space="preserve">Collection of this information from </w:t>
      </w:r>
      <w:r w:rsidR="007C4151">
        <w:t xml:space="preserve">a </w:t>
      </w:r>
      <w:r w:rsidR="00295321">
        <w:t xml:space="preserve">larger </w:t>
      </w:r>
      <w:r w:rsidR="007C4151">
        <w:t xml:space="preserve">sample of </w:t>
      </w:r>
      <w:r w:rsidR="007F0056" w:rsidRPr="00D8482F">
        <w:t>U</w:t>
      </w:r>
      <w:r w:rsidR="00FD07D6">
        <w:t>.</w:t>
      </w:r>
      <w:r w:rsidR="007F0056" w:rsidRPr="00D8482F">
        <w:t>S</w:t>
      </w:r>
      <w:r w:rsidR="00FD07D6">
        <w:t>.</w:t>
      </w:r>
      <w:r w:rsidR="007F0056" w:rsidRPr="00D8482F">
        <w:t xml:space="preserve"> nursing homes</w:t>
      </w:r>
      <w:r w:rsidR="007C4151">
        <w:t xml:space="preserve"> in 10 states</w:t>
      </w:r>
      <w:r w:rsidR="006F583C" w:rsidRPr="00D8482F">
        <w:t xml:space="preserve"> is necessary</w:t>
      </w:r>
      <w:r w:rsidRPr="00D8482F">
        <w:t xml:space="preserve"> </w:t>
      </w:r>
      <w:r w:rsidR="006F583C" w:rsidRPr="00D8482F">
        <w:t>to understand the</w:t>
      </w:r>
      <w:r w:rsidR="0066573D" w:rsidRPr="00D8482F">
        <w:t xml:space="preserve"> </w:t>
      </w:r>
      <w:r w:rsidR="007C4151">
        <w:t xml:space="preserve">potential </w:t>
      </w:r>
      <w:r w:rsidR="00100DBE" w:rsidRPr="00D8482F">
        <w:t>scope and</w:t>
      </w:r>
      <w:r w:rsidR="0066573D" w:rsidRPr="00D8482F">
        <w:t xml:space="preserve"> type of</w:t>
      </w:r>
      <w:r w:rsidR="006F583C" w:rsidRPr="00D8482F">
        <w:t xml:space="preserve"> infections and antimicrobial use that should be targeted for </w:t>
      </w:r>
      <w:r w:rsidR="0066573D" w:rsidRPr="00D8482F">
        <w:t xml:space="preserve">more intensive </w:t>
      </w:r>
      <w:r w:rsidR="006F583C" w:rsidRPr="00D8482F">
        <w:t>surveillance or prevention and improvement efforts</w:t>
      </w:r>
      <w:r w:rsidRPr="00D8482F">
        <w:t>.</w:t>
      </w:r>
    </w:p>
    <w:p w14:paraId="61B47FF7" w14:textId="77777777" w:rsidR="00860746" w:rsidRDefault="00860746" w:rsidP="00E127F8"/>
    <w:p w14:paraId="649E133A" w14:textId="77777777" w:rsidR="00DB49A1" w:rsidRDefault="00B83743" w:rsidP="007968D6">
      <w:pPr>
        <w:autoSpaceDE w:val="0"/>
        <w:autoSpaceDN w:val="0"/>
        <w:adjustRightInd w:val="0"/>
        <w:rPr>
          <w:color w:val="000000"/>
        </w:rPr>
      </w:pPr>
      <w:r w:rsidRPr="007F76B4">
        <w:t>The national burden of HAIs in U.S. nursing homes</w:t>
      </w:r>
      <w:r w:rsidR="00485238">
        <w:t xml:space="preserve"> has not been estimated in over 20 years, and</w:t>
      </w:r>
      <w:r w:rsidRPr="007F76B4">
        <w:t xml:space="preserve"> is currently unknown. </w:t>
      </w:r>
      <w:r w:rsidR="00485238">
        <w:t>Therefore, t</w:t>
      </w:r>
      <w:r w:rsidR="00E16E47" w:rsidRPr="007F76B4">
        <w:t>he results from th</w:t>
      </w:r>
      <w:r w:rsidRPr="007F76B4">
        <w:t>is</w:t>
      </w:r>
      <w:r w:rsidR="00E16E47" w:rsidRPr="007F76B4">
        <w:t xml:space="preserve"> </w:t>
      </w:r>
      <w:r w:rsidR="00A51BB2">
        <w:t xml:space="preserve">CDC </w:t>
      </w:r>
      <w:r w:rsidR="00485238">
        <w:t xml:space="preserve">prevalence </w:t>
      </w:r>
      <w:r w:rsidR="00E16E47" w:rsidRPr="007F76B4">
        <w:t>survey</w:t>
      </w:r>
      <w:r w:rsidR="00365152" w:rsidRPr="007F76B4">
        <w:t xml:space="preserve"> </w:t>
      </w:r>
      <w:r w:rsidR="002D0E25" w:rsidRPr="007F76B4">
        <w:t xml:space="preserve">will be combined with </w:t>
      </w:r>
      <w:r w:rsidR="00365152" w:rsidRPr="007F76B4">
        <w:t xml:space="preserve">nursing home data </w:t>
      </w:r>
      <w:r w:rsidR="002D0E25" w:rsidRPr="007F76B4">
        <w:t xml:space="preserve">from </w:t>
      </w:r>
      <w:r w:rsidR="00365152" w:rsidRPr="007F76B4">
        <w:t xml:space="preserve">the CMS Nursing Home Compare </w:t>
      </w:r>
      <w:hyperlink r:id="rId19" w:history="1">
        <w:r w:rsidR="00365152" w:rsidRPr="007F76B4">
          <w:rPr>
            <w:rStyle w:val="Hyperlink"/>
          </w:rPr>
          <w:t>(www.medicare.gov/NursingHomeCompare/About/Nursing-Home-Info.html</w:t>
        </w:r>
      </w:hyperlink>
      <w:r w:rsidR="00365152" w:rsidRPr="007F76B4">
        <w:rPr>
          <w:rStyle w:val="Hyperlink"/>
        </w:rPr>
        <w:t>)</w:t>
      </w:r>
      <w:r w:rsidR="00365152" w:rsidRPr="007F76B4">
        <w:rPr>
          <w:color w:val="000000"/>
        </w:rPr>
        <w:t xml:space="preserve"> </w:t>
      </w:r>
      <w:r w:rsidR="00E16E47" w:rsidRPr="007F76B4">
        <w:t xml:space="preserve">to model national burden estimates of HAI in nursing homes. </w:t>
      </w:r>
      <w:r w:rsidR="00365152" w:rsidRPr="007F76B4">
        <w:rPr>
          <w:color w:val="000000"/>
        </w:rPr>
        <w:t>The CMS Nursing Home Compare includes</w:t>
      </w:r>
      <w:r w:rsidR="00A51BB2">
        <w:rPr>
          <w:color w:val="000000"/>
        </w:rPr>
        <w:t xml:space="preserve"> datasets with</w:t>
      </w:r>
      <w:r w:rsidR="00365152" w:rsidRPr="007F76B4">
        <w:rPr>
          <w:color w:val="000000"/>
        </w:rPr>
        <w:t xml:space="preserve"> </w:t>
      </w:r>
      <w:r w:rsidR="002D0E25" w:rsidRPr="007F76B4">
        <w:rPr>
          <w:color w:val="000000"/>
        </w:rPr>
        <w:t xml:space="preserve">facility-level </w:t>
      </w:r>
      <w:r w:rsidR="00485238">
        <w:rPr>
          <w:color w:val="000000"/>
        </w:rPr>
        <w:t>data</w:t>
      </w:r>
      <w:r w:rsidR="002D0E25" w:rsidRPr="007F76B4">
        <w:rPr>
          <w:color w:val="000000"/>
        </w:rPr>
        <w:t xml:space="preserve"> derived from administrative data routinely collected by CMS from </w:t>
      </w:r>
      <w:r w:rsidR="00365152" w:rsidRPr="007F76B4">
        <w:rPr>
          <w:color w:val="000000"/>
        </w:rPr>
        <w:t>all active nursing homes (current</w:t>
      </w:r>
      <w:r w:rsidR="002D0E25" w:rsidRPr="007F76B4">
        <w:rPr>
          <w:color w:val="000000"/>
        </w:rPr>
        <w:t>ly 15</w:t>
      </w:r>
      <w:r w:rsidR="00365152" w:rsidRPr="007F76B4">
        <w:rPr>
          <w:color w:val="000000"/>
        </w:rPr>
        <w:t>,691 nursing homes)</w:t>
      </w:r>
      <w:r w:rsidR="002D0E25" w:rsidRPr="007F76B4">
        <w:rPr>
          <w:color w:val="000000"/>
        </w:rPr>
        <w:t xml:space="preserve"> in the United States.</w:t>
      </w:r>
      <w:r w:rsidR="007E0E41" w:rsidRPr="007F76B4">
        <w:rPr>
          <w:color w:val="000000"/>
        </w:rPr>
        <w:t xml:space="preserve"> </w:t>
      </w:r>
    </w:p>
    <w:p w14:paraId="1F547283" w14:textId="77777777" w:rsidR="00DB49A1" w:rsidRDefault="00DB49A1" w:rsidP="007968D6">
      <w:pPr>
        <w:autoSpaceDE w:val="0"/>
        <w:autoSpaceDN w:val="0"/>
        <w:adjustRightInd w:val="0"/>
        <w:rPr>
          <w:color w:val="000000"/>
        </w:rPr>
      </w:pPr>
    </w:p>
    <w:p w14:paraId="05B9C849" w14:textId="77777777" w:rsidR="00295321" w:rsidRPr="00A51BB2" w:rsidRDefault="00DB49A1" w:rsidP="007968D6">
      <w:pPr>
        <w:autoSpaceDE w:val="0"/>
        <w:autoSpaceDN w:val="0"/>
        <w:adjustRightInd w:val="0"/>
      </w:pPr>
      <w:r>
        <w:rPr>
          <w:color w:val="000000"/>
        </w:rPr>
        <w:t xml:space="preserve">We plan to </w:t>
      </w:r>
      <w:r w:rsidR="0052784F" w:rsidRPr="002639F3">
        <w:rPr>
          <w:color w:val="000000"/>
        </w:rPr>
        <w:t>explore adapting</w:t>
      </w:r>
      <w:r w:rsidR="006F4CE9" w:rsidRPr="007968D6">
        <w:rPr>
          <w:color w:val="000000"/>
        </w:rPr>
        <w:t xml:space="preserve"> a process similar to the modeling </w:t>
      </w:r>
      <w:r w:rsidR="007E0E41" w:rsidRPr="007968D6">
        <w:rPr>
          <w:color w:val="000000"/>
        </w:rPr>
        <w:t xml:space="preserve">approach </w:t>
      </w:r>
      <w:r w:rsidR="006F4CE9" w:rsidRPr="007968D6">
        <w:rPr>
          <w:color w:val="000000"/>
        </w:rPr>
        <w:t xml:space="preserve">used for </w:t>
      </w:r>
      <w:r w:rsidR="007E0E41" w:rsidRPr="007968D6">
        <w:rPr>
          <w:color w:val="000000"/>
        </w:rPr>
        <w:t xml:space="preserve">the CDC 2011 hospital prevalence survey data </w:t>
      </w:r>
      <w:r w:rsidR="007E0E41" w:rsidRPr="007968D6">
        <w:t>(2)</w:t>
      </w:r>
      <w:r w:rsidR="00485238" w:rsidRPr="007968D6">
        <w:t>.</w:t>
      </w:r>
      <w:r>
        <w:t xml:space="preserve"> First</w:t>
      </w:r>
      <w:r w:rsidR="00485238">
        <w:t xml:space="preserve">, </w:t>
      </w:r>
      <w:r w:rsidR="006F4CE9" w:rsidRPr="007F76B4">
        <w:t xml:space="preserve">data from the </w:t>
      </w:r>
      <w:r w:rsidR="00485238">
        <w:t>approximately</w:t>
      </w:r>
      <w:r w:rsidR="006F4CE9" w:rsidRPr="007F76B4">
        <w:t xml:space="preserve"> </w:t>
      </w:r>
      <w:r w:rsidR="00485238">
        <w:t xml:space="preserve">200 </w:t>
      </w:r>
      <w:r w:rsidR="006F4CE9" w:rsidRPr="007F76B4">
        <w:t xml:space="preserve">NHs </w:t>
      </w:r>
      <w:r w:rsidR="00485238">
        <w:t xml:space="preserve">(or 15,000 </w:t>
      </w:r>
      <w:r w:rsidR="00485238">
        <w:lastRenderedPageBreak/>
        <w:t xml:space="preserve">nursing home residents) </w:t>
      </w:r>
      <w:r>
        <w:t xml:space="preserve">in the survey </w:t>
      </w:r>
      <w:r w:rsidR="006F4CE9" w:rsidRPr="007F76B4">
        <w:t>will be used t</w:t>
      </w:r>
      <w:r w:rsidR="00F40B3B">
        <w:t>o</w:t>
      </w:r>
      <w:r w:rsidR="00485238">
        <w:t xml:space="preserve"> </w:t>
      </w:r>
      <w:r w:rsidR="00F40B3B">
        <w:t xml:space="preserve">determine HAI prevalence and identify predictors of </w:t>
      </w:r>
      <w:r w:rsidR="00F40B3B" w:rsidRPr="002639F3">
        <w:t>HAI prevalence</w:t>
      </w:r>
      <w:r w:rsidR="0052784F" w:rsidRPr="002639F3">
        <w:t xml:space="preserve"> in those locations</w:t>
      </w:r>
      <w:r w:rsidR="00485238" w:rsidRPr="002639F3">
        <w:t>.</w:t>
      </w:r>
      <w:r w:rsidR="00A51BB2" w:rsidRPr="002639F3">
        <w:t xml:space="preserve"> </w:t>
      </w:r>
      <w:r w:rsidR="00485238" w:rsidRPr="002639F3">
        <w:t>Second</w:t>
      </w:r>
      <w:r w:rsidR="00F40B3B" w:rsidRPr="002639F3">
        <w:t>,</w:t>
      </w:r>
      <w:r w:rsidR="006F4CE9" w:rsidRPr="002639F3">
        <w:t xml:space="preserve"> </w:t>
      </w:r>
      <w:r w:rsidR="0052784F" w:rsidRPr="002639F3">
        <w:t xml:space="preserve">we will explore development of a model that incorporates </w:t>
      </w:r>
      <w:r w:rsidR="00F40B3B" w:rsidRPr="002639F3">
        <w:t xml:space="preserve">the relevant </w:t>
      </w:r>
      <w:r w:rsidRPr="002639F3">
        <w:t xml:space="preserve">HAI </w:t>
      </w:r>
      <w:r w:rsidR="00F40B3B" w:rsidRPr="002639F3">
        <w:t>predictors</w:t>
      </w:r>
      <w:r w:rsidR="00DC32D5" w:rsidRPr="002639F3">
        <w:t xml:space="preserve"> for nursing homes</w:t>
      </w:r>
      <w:r w:rsidR="007F27CF" w:rsidRPr="002639F3">
        <w:t xml:space="preserve"> (see part B for additional detail)</w:t>
      </w:r>
      <w:r w:rsidR="006F4CE9" w:rsidRPr="002639F3">
        <w:t>,</w:t>
      </w:r>
      <w:r w:rsidR="00485238" w:rsidRPr="002639F3">
        <w:t xml:space="preserve"> </w:t>
      </w:r>
      <w:r w:rsidR="00F40B3B" w:rsidRPr="002639F3">
        <w:t>HAI</w:t>
      </w:r>
      <w:r w:rsidR="006F4CE9" w:rsidRPr="002639F3">
        <w:t xml:space="preserve"> prevalence </w:t>
      </w:r>
      <w:r w:rsidR="00485238" w:rsidRPr="002639F3">
        <w:t xml:space="preserve">data </w:t>
      </w:r>
      <w:r w:rsidRPr="002639F3">
        <w:t xml:space="preserve">from the survey </w:t>
      </w:r>
      <w:r w:rsidR="006F4CE9" w:rsidRPr="002639F3">
        <w:t xml:space="preserve">will be used to </w:t>
      </w:r>
      <w:r w:rsidRPr="002639F3">
        <w:t>calculate</w:t>
      </w:r>
      <w:r w:rsidR="006F4CE9" w:rsidRPr="002639F3">
        <w:t xml:space="preserve"> </w:t>
      </w:r>
      <w:r w:rsidR="0052784F" w:rsidRPr="002639F3">
        <w:t xml:space="preserve">an estimated national </w:t>
      </w:r>
      <w:r w:rsidR="00F40B3B" w:rsidRPr="002639F3">
        <w:t>HAI</w:t>
      </w:r>
      <w:r w:rsidR="006F4CE9" w:rsidRPr="002639F3">
        <w:t xml:space="preserve"> incidence. Finally, the </w:t>
      </w:r>
      <w:r w:rsidR="006F4CE9" w:rsidRPr="002639F3">
        <w:rPr>
          <w:rFonts w:eastAsia="OTNEJMQuadraat"/>
          <w:lang w:eastAsia="ja-JP"/>
        </w:rPr>
        <w:t xml:space="preserve">number of nursing home </w:t>
      </w:r>
      <w:r w:rsidR="007F76B4" w:rsidRPr="002639F3">
        <w:rPr>
          <w:rFonts w:eastAsia="OTNEJMQuadraat"/>
          <w:lang w:eastAsia="ja-JP"/>
        </w:rPr>
        <w:t>residents</w:t>
      </w:r>
      <w:r w:rsidR="006F4CE9" w:rsidRPr="002639F3">
        <w:rPr>
          <w:rFonts w:eastAsia="OTNEJMQuadraat"/>
          <w:lang w:eastAsia="ja-JP"/>
        </w:rPr>
        <w:t xml:space="preserve"> with HAI </w:t>
      </w:r>
      <w:r w:rsidRPr="002639F3">
        <w:rPr>
          <w:rFonts w:eastAsia="OTNEJMQuadraat"/>
          <w:lang w:eastAsia="ja-JP"/>
        </w:rPr>
        <w:t xml:space="preserve">nationally </w:t>
      </w:r>
      <w:r w:rsidR="006F4CE9" w:rsidRPr="002639F3">
        <w:rPr>
          <w:rFonts w:eastAsia="OTNEJMQuadraat"/>
          <w:lang w:eastAsia="ja-JP"/>
        </w:rPr>
        <w:t xml:space="preserve">will be </w:t>
      </w:r>
      <w:r w:rsidR="0052784F" w:rsidRPr="002639F3">
        <w:rPr>
          <w:rFonts w:eastAsia="OTNEJMQuadraat"/>
          <w:lang w:eastAsia="ja-JP"/>
        </w:rPr>
        <w:t>estimated</w:t>
      </w:r>
      <w:r w:rsidR="0052784F" w:rsidRPr="002639F3">
        <w:rPr>
          <w:rFonts w:eastAsia="OTNEJMQuadraat"/>
          <w:strike/>
          <w:lang w:eastAsia="ja-JP"/>
        </w:rPr>
        <w:t xml:space="preserve"> </w:t>
      </w:r>
      <w:r w:rsidR="006F4CE9" w:rsidRPr="007968D6">
        <w:rPr>
          <w:rFonts w:eastAsia="OTNEJMQuadraat"/>
          <w:lang w:eastAsia="ja-JP"/>
        </w:rPr>
        <w:t xml:space="preserve">by multiplying </w:t>
      </w:r>
      <w:r w:rsidR="000A17F5">
        <w:rPr>
          <w:rFonts w:eastAsia="OTNEJMQuadraat"/>
          <w:vanish/>
          <w:lang w:eastAsia="ja-JP"/>
        </w:rPr>
        <w:t xml:space="preserve">HAI </w:t>
      </w:r>
      <w:r w:rsidR="007F76B4" w:rsidRPr="007F76B4">
        <w:rPr>
          <w:rFonts w:eastAsia="OTNEJMQuadraat"/>
          <w:lang w:eastAsia="ja-JP"/>
        </w:rPr>
        <w:t xml:space="preserve">incidence by </w:t>
      </w:r>
      <w:r>
        <w:rPr>
          <w:rFonts w:eastAsia="OTNEJMQuadraat"/>
          <w:lang w:eastAsia="ja-JP"/>
        </w:rPr>
        <w:t xml:space="preserve">the </w:t>
      </w:r>
      <w:r w:rsidR="007F76B4" w:rsidRPr="007F76B4">
        <w:rPr>
          <w:rFonts w:eastAsia="OTNEJMQuadraat"/>
          <w:lang w:eastAsia="ja-JP"/>
        </w:rPr>
        <w:t>number</w:t>
      </w:r>
      <w:r w:rsidR="006F4CE9" w:rsidRPr="007968D6">
        <w:rPr>
          <w:rFonts w:eastAsia="OTNEJMQuadraat"/>
          <w:lang w:eastAsia="ja-JP"/>
        </w:rPr>
        <w:t xml:space="preserve"> of U.S. </w:t>
      </w:r>
      <w:r w:rsidR="007F76B4">
        <w:rPr>
          <w:rFonts w:eastAsia="OTNEJMQuadraat"/>
          <w:lang w:eastAsia="ja-JP"/>
        </w:rPr>
        <w:t>nursing home residents</w:t>
      </w:r>
      <w:r w:rsidR="00F40B3B">
        <w:rPr>
          <w:rFonts w:eastAsia="OTNEJMQuadraat"/>
          <w:lang w:eastAsia="ja-JP"/>
        </w:rPr>
        <w:t xml:space="preserve"> obtained from CMS Nursing Home Compare. </w:t>
      </w:r>
    </w:p>
    <w:p w14:paraId="434550F1" w14:textId="77777777" w:rsidR="00280A6E" w:rsidRDefault="00280A6E" w:rsidP="00E127F8"/>
    <w:p w14:paraId="553EFEC6" w14:textId="77777777" w:rsidR="00280A6E" w:rsidRDefault="00280A6E" w:rsidP="00E127F8">
      <w:pPr>
        <w:rPr>
          <w:color w:val="000000"/>
        </w:rPr>
      </w:pPr>
      <w:r w:rsidRPr="00002CA2">
        <w:t xml:space="preserve">As with the prior </w:t>
      </w:r>
      <w:r w:rsidR="00554195">
        <w:t>healthcare prevalence</w:t>
      </w:r>
      <w:r w:rsidR="00C63810">
        <w:t xml:space="preserve"> </w:t>
      </w:r>
      <w:r w:rsidRPr="00002CA2">
        <w:t>surveys</w:t>
      </w:r>
      <w:r w:rsidR="00554195">
        <w:t xml:space="preserve"> conducted by CDC</w:t>
      </w:r>
      <w:r w:rsidR="001011D2">
        <w:t xml:space="preserve"> (</w:t>
      </w:r>
      <w:r w:rsidRPr="00002CA2">
        <w:t>1,2,3,6,7</w:t>
      </w:r>
      <w:r w:rsidR="001011D2">
        <w:t>)</w:t>
      </w:r>
      <w:r w:rsidR="001011D2" w:rsidRPr="00002CA2">
        <w:t xml:space="preserve">, </w:t>
      </w:r>
      <w:r w:rsidRPr="00002CA2">
        <w:t xml:space="preserve">this survey will be performed by CDC through the </w:t>
      </w:r>
      <w:r w:rsidR="00930F6A">
        <w:t>EIP</w:t>
      </w:r>
      <w:r w:rsidRPr="00002CA2">
        <w:t xml:space="preserve"> (</w:t>
      </w:r>
      <w:hyperlink r:id="rId20" w:history="1">
        <w:r w:rsidRPr="00002CA2">
          <w:rPr>
            <w:rStyle w:val="Hyperlink"/>
          </w:rPr>
          <w:t>www.cdc.gov/ncezid/dpei/eip/</w:t>
        </w:r>
      </w:hyperlink>
      <w:r w:rsidRPr="00002CA2">
        <w:t xml:space="preserve">).  </w:t>
      </w:r>
      <w:r w:rsidRPr="00002CA2">
        <w:rPr>
          <w:color w:val="000000"/>
        </w:rPr>
        <w:t>EIP</w:t>
      </w:r>
      <w:r w:rsidR="008B32D4">
        <w:rPr>
          <w:color w:val="000000"/>
        </w:rPr>
        <w:t xml:space="preserve"> </w:t>
      </w:r>
      <w:r w:rsidR="00002CA2" w:rsidRPr="00002CA2">
        <w:rPr>
          <w:color w:val="000000"/>
        </w:rPr>
        <w:t xml:space="preserve">is </w:t>
      </w:r>
      <w:r w:rsidRPr="00002CA2">
        <w:rPr>
          <w:color w:val="000000"/>
        </w:rPr>
        <w:t xml:space="preserve">a collaboration </w:t>
      </w:r>
      <w:r w:rsidR="00002CA2" w:rsidRPr="00002CA2">
        <w:rPr>
          <w:color w:val="000000"/>
        </w:rPr>
        <w:t>between CDC and</w:t>
      </w:r>
      <w:r w:rsidR="008B32D4">
        <w:rPr>
          <w:color w:val="000000"/>
        </w:rPr>
        <w:t xml:space="preserve"> </w:t>
      </w:r>
      <w:r w:rsidRPr="00002CA2">
        <w:rPr>
          <w:color w:val="000000"/>
        </w:rPr>
        <w:t xml:space="preserve">10 state health departments and their academic partners, </w:t>
      </w:r>
      <w:r w:rsidR="008B32D4" w:rsidRPr="00002CA2">
        <w:rPr>
          <w:color w:val="000000"/>
        </w:rPr>
        <w:t>funded and organized by CDC</w:t>
      </w:r>
      <w:r w:rsidR="003D588E">
        <w:rPr>
          <w:color w:val="000000"/>
        </w:rPr>
        <w:t>,</w:t>
      </w:r>
      <w:r w:rsidR="008B32D4" w:rsidRPr="00002CA2">
        <w:rPr>
          <w:color w:val="000000"/>
        </w:rPr>
        <w:t xml:space="preserve"> </w:t>
      </w:r>
      <w:r w:rsidRPr="00002CA2">
        <w:rPr>
          <w:color w:val="000000"/>
        </w:rPr>
        <w:t>with the goal of conducting enhanced public health surveillance and applied research to detect, prevent, and control emerg</w:t>
      </w:r>
      <w:r w:rsidRPr="00002CA2">
        <w:rPr>
          <w:color w:val="000000"/>
        </w:rPr>
        <w:softHyphen/>
        <w:t>ing infectious diseases</w:t>
      </w:r>
      <w:r w:rsidR="00D1576D" w:rsidRPr="00002CA2">
        <w:rPr>
          <w:color w:val="000000"/>
        </w:rPr>
        <w:t xml:space="preserve"> (</w:t>
      </w:r>
      <w:r w:rsidR="00D56087" w:rsidRPr="00002CA2">
        <w:rPr>
          <w:color w:val="000000"/>
        </w:rPr>
        <w:t>8</w:t>
      </w:r>
      <w:r w:rsidR="00D1576D" w:rsidRPr="00002CA2">
        <w:rPr>
          <w:color w:val="000000"/>
        </w:rPr>
        <w:t>)</w:t>
      </w:r>
      <w:r w:rsidRPr="00002CA2">
        <w:rPr>
          <w:color w:val="000000"/>
        </w:rPr>
        <w:t>.</w:t>
      </w:r>
      <w:r w:rsidR="00B85938">
        <w:rPr>
          <w:color w:val="000000"/>
        </w:rPr>
        <w:t xml:space="preserve"> </w:t>
      </w:r>
    </w:p>
    <w:p w14:paraId="6CC0C7DF" w14:textId="77777777" w:rsidR="008B6314" w:rsidRDefault="008B6314" w:rsidP="00E127F8">
      <w:pPr>
        <w:rPr>
          <w:color w:val="000000"/>
        </w:rPr>
      </w:pPr>
    </w:p>
    <w:p w14:paraId="3AC09CF7" w14:textId="77777777" w:rsidR="008B6314" w:rsidRPr="00002CA2" w:rsidRDefault="008B6314" w:rsidP="00E127F8">
      <w:r w:rsidRPr="00331A06">
        <w:rPr>
          <w:color w:val="000000"/>
        </w:rPr>
        <w:t xml:space="preserve">CDC will solicit expert advice at several stages of the development of this model. Of particular interest is obtaining advice from survey statisticians on how to characterize the potential representativeness of the 10 state health departments given that the risk factors </w:t>
      </w:r>
      <w:r w:rsidR="00676333" w:rsidRPr="00331A06">
        <w:rPr>
          <w:color w:val="000000"/>
        </w:rPr>
        <w:t>are not being identified a priori</w:t>
      </w:r>
      <w:r w:rsidRPr="00331A06">
        <w:rPr>
          <w:color w:val="000000"/>
        </w:rPr>
        <w:t xml:space="preserve">. </w:t>
      </w:r>
      <w:r w:rsidR="00676333" w:rsidRPr="00331A06">
        <w:rPr>
          <w:color w:val="000000"/>
        </w:rPr>
        <w:t xml:space="preserve">That input can be gathered before data collection has been completed. Specialists in </w:t>
      </w:r>
      <w:r w:rsidRPr="00331A06">
        <w:rPr>
          <w:color w:val="000000"/>
        </w:rPr>
        <w:t>health</w:t>
      </w:r>
      <w:r w:rsidR="00676333" w:rsidRPr="00331A06">
        <w:rPr>
          <w:color w:val="000000"/>
        </w:rPr>
        <w:t>care related</w:t>
      </w:r>
      <w:r w:rsidRPr="00331A06">
        <w:rPr>
          <w:color w:val="000000"/>
        </w:rPr>
        <w:t xml:space="preserve"> infection and nursing home</w:t>
      </w:r>
      <w:r w:rsidR="00676333" w:rsidRPr="00331A06">
        <w:rPr>
          <w:color w:val="000000"/>
        </w:rPr>
        <w:t>s</w:t>
      </w:r>
      <w:r w:rsidRPr="00331A06">
        <w:rPr>
          <w:color w:val="000000"/>
        </w:rPr>
        <w:t xml:space="preserve"> </w:t>
      </w:r>
      <w:r w:rsidR="00676333" w:rsidRPr="00331A06">
        <w:rPr>
          <w:color w:val="000000"/>
        </w:rPr>
        <w:t xml:space="preserve">should be queried </w:t>
      </w:r>
      <w:r w:rsidRPr="00331A06">
        <w:rPr>
          <w:color w:val="000000"/>
        </w:rPr>
        <w:t xml:space="preserve">regarding the risk factors </w:t>
      </w:r>
      <w:r w:rsidR="00676333" w:rsidRPr="00331A06">
        <w:rPr>
          <w:color w:val="000000"/>
        </w:rPr>
        <w:t>identified from the analysis of the nursing homes in these 10 states</w:t>
      </w:r>
      <w:r w:rsidRPr="00331A06">
        <w:rPr>
          <w:color w:val="000000"/>
        </w:rPr>
        <w:t xml:space="preserve">. </w:t>
      </w:r>
      <w:r w:rsidR="00676333" w:rsidRPr="00331A06">
        <w:rPr>
          <w:color w:val="000000"/>
        </w:rPr>
        <w:t>Finally, b</w:t>
      </w:r>
      <w:r w:rsidRPr="00331A06">
        <w:rPr>
          <w:color w:val="000000"/>
        </w:rPr>
        <w:t>efore disseminating the estimate</w:t>
      </w:r>
      <w:r w:rsidR="00676333" w:rsidRPr="00331A06">
        <w:rPr>
          <w:color w:val="000000"/>
        </w:rPr>
        <w:t xml:space="preserve">, CDC will have the final estimate and underlying methodology subject to independent expert peer review consistent with OMB’s Information Quality Bulletin for Peer Review, including charge questions that elicit opinions on </w:t>
      </w:r>
      <w:r w:rsidRPr="00331A06">
        <w:rPr>
          <w:color w:val="000000"/>
        </w:rPr>
        <w:t>the strengths and weakness of the final model</w:t>
      </w:r>
      <w:r w:rsidR="00692B8D" w:rsidRPr="00331A06">
        <w:rPr>
          <w:color w:val="000000"/>
        </w:rPr>
        <w:t>, thus informing CDC’s</w:t>
      </w:r>
      <w:r w:rsidRPr="00331A06">
        <w:rPr>
          <w:color w:val="000000"/>
        </w:rPr>
        <w:t xml:space="preserve"> characterization of the uses of the resulting estimates.</w:t>
      </w:r>
      <w:r>
        <w:rPr>
          <w:color w:val="000000"/>
        </w:rPr>
        <w:t xml:space="preserve"> </w:t>
      </w:r>
    </w:p>
    <w:p w14:paraId="0A527963" w14:textId="77777777" w:rsidR="00DA405D" w:rsidRPr="00D8482F" w:rsidRDefault="00DA405D" w:rsidP="00043B2E"/>
    <w:p w14:paraId="190793A6" w14:textId="77777777" w:rsidR="00214465" w:rsidRPr="00D8482F" w:rsidRDefault="008F795D" w:rsidP="00DA405D">
      <w:r w:rsidRPr="00465506">
        <w:t xml:space="preserve">This data collection is authorized by </w:t>
      </w:r>
      <w:r w:rsidR="00EE11B0" w:rsidRPr="00465506">
        <w:t xml:space="preserve">Section 301 of the Public Health Service Act (42 U.S.C. 241) </w:t>
      </w:r>
      <w:r w:rsidRPr="00465506">
        <w:t>(Attachment A)</w:t>
      </w:r>
      <w:r w:rsidR="006240D8" w:rsidRPr="00465506">
        <w:t>.</w:t>
      </w:r>
    </w:p>
    <w:p w14:paraId="52B8021F" w14:textId="77777777" w:rsidR="0046554C" w:rsidRPr="00D8482F" w:rsidRDefault="0046554C" w:rsidP="00EE7469"/>
    <w:p w14:paraId="78364FA7" w14:textId="77777777" w:rsidR="00544C10" w:rsidRPr="00D8482F" w:rsidRDefault="00544C10" w:rsidP="00753597">
      <w:pPr>
        <w:pStyle w:val="Heading1"/>
      </w:pPr>
      <w:bookmarkStart w:id="11" w:name="_Toc444242958"/>
      <w:r w:rsidRPr="00D8482F">
        <w:t>Purpose and Use of Information Collection</w:t>
      </w:r>
      <w:bookmarkEnd w:id="11"/>
    </w:p>
    <w:p w14:paraId="569AA530" w14:textId="77777777" w:rsidR="00AF2959" w:rsidRPr="00D8482F" w:rsidRDefault="00043B2E" w:rsidP="006A7F56">
      <w:r w:rsidRPr="00D8482F">
        <w:t xml:space="preserve">     </w:t>
      </w:r>
      <w:r w:rsidR="00B31E5D" w:rsidRPr="00D8482F">
        <w:tab/>
      </w:r>
    </w:p>
    <w:p w14:paraId="05C01575" w14:textId="77777777" w:rsidR="006A7F56" w:rsidRPr="00D8482F" w:rsidRDefault="00EE11B0" w:rsidP="001C48E0">
      <w:pPr>
        <w:autoSpaceDE w:val="0"/>
        <w:autoSpaceDN w:val="0"/>
        <w:adjustRightInd w:val="0"/>
        <w:rPr>
          <w:color w:val="292526"/>
        </w:rPr>
      </w:pPr>
      <w:r w:rsidRPr="00D8482F">
        <w:t xml:space="preserve">Preventing </w:t>
      </w:r>
      <w:r w:rsidR="003B5A74" w:rsidRPr="00D8482F">
        <w:t>HAIs</w:t>
      </w:r>
      <w:r w:rsidRPr="00D8482F">
        <w:t xml:space="preserve"> </w:t>
      </w:r>
      <w:r w:rsidR="001C0011" w:rsidRPr="00D8482F">
        <w:t xml:space="preserve">and encouraging appropriate use of antimicrobials are </w:t>
      </w:r>
      <w:r w:rsidR="004673D2" w:rsidRPr="00D8482F">
        <w:t xml:space="preserve">HHS and </w:t>
      </w:r>
      <w:r w:rsidR="001C0011" w:rsidRPr="00D8482F">
        <w:t>CDC priorities</w:t>
      </w:r>
      <w:r w:rsidR="00B54544" w:rsidRPr="00D8482F">
        <w:t>.</w:t>
      </w:r>
      <w:r w:rsidR="000C456B" w:rsidRPr="00D8482F">
        <w:t xml:space="preserve"> </w:t>
      </w:r>
      <w:r w:rsidR="00B54544" w:rsidRPr="00D8482F">
        <w:t>E</w:t>
      </w:r>
      <w:r w:rsidRPr="00D8482F">
        <w:t>ssential step</w:t>
      </w:r>
      <w:r w:rsidR="00B54544" w:rsidRPr="00D8482F">
        <w:t>s</w:t>
      </w:r>
      <w:r w:rsidRPr="00D8482F">
        <w:t xml:space="preserve"> in reducing the occurrence of HAIs</w:t>
      </w:r>
      <w:r w:rsidR="001C0011" w:rsidRPr="00D8482F">
        <w:t xml:space="preserve"> and</w:t>
      </w:r>
      <w:r w:rsidR="00950093" w:rsidRPr="00D8482F">
        <w:t xml:space="preserve"> the</w:t>
      </w:r>
      <w:r w:rsidR="001C0011" w:rsidRPr="00D8482F">
        <w:t xml:space="preserve"> prevalence of resistant pathogens</w:t>
      </w:r>
      <w:r w:rsidRPr="00D8482F">
        <w:t xml:space="preserve"> </w:t>
      </w:r>
      <w:r w:rsidR="00B54544" w:rsidRPr="00D8482F">
        <w:t>are</w:t>
      </w:r>
      <w:r w:rsidRPr="00D8482F">
        <w:t xml:space="preserve"> to</w:t>
      </w:r>
      <w:r w:rsidR="00EB1649">
        <w:t xml:space="preserve"> </w:t>
      </w:r>
      <w:r w:rsidR="00782680">
        <w:t>estimate the</w:t>
      </w:r>
      <w:r w:rsidR="00EB1649">
        <w:t xml:space="preserve"> burden, types, and causative organisms of HAIs and</w:t>
      </w:r>
      <w:r w:rsidR="00EB1649" w:rsidRPr="00D8482F">
        <w:t xml:space="preserve"> assess the nature and extent of antimicrobial use</w:t>
      </w:r>
      <w:r w:rsidRPr="00D8482F">
        <w:t xml:space="preserve"> </w:t>
      </w:r>
      <w:r w:rsidR="00B54544" w:rsidRPr="00D8482F">
        <w:t xml:space="preserve">in U.S. </w:t>
      </w:r>
      <w:r w:rsidR="00E76AF5" w:rsidRPr="00D8482F">
        <w:t>healthcare facilitie</w:t>
      </w:r>
      <w:r w:rsidR="00B54544" w:rsidRPr="00D8482F">
        <w:t>s</w:t>
      </w:r>
      <w:r w:rsidR="008B32D4">
        <w:t xml:space="preserve">, </w:t>
      </w:r>
      <w:r w:rsidR="00B54544" w:rsidRPr="00D8482F">
        <w:t xml:space="preserve">and </w:t>
      </w:r>
      <w:r w:rsidR="001134BF" w:rsidRPr="00D8482F">
        <w:t>assess the nature and extent of antimicrobial use.</w:t>
      </w:r>
      <w:r w:rsidR="000C456B" w:rsidRPr="00D8482F">
        <w:t xml:space="preserve"> </w:t>
      </w:r>
      <w:r w:rsidR="001134BF" w:rsidRPr="00D8482F">
        <w:t xml:space="preserve"> </w:t>
      </w:r>
      <w:r w:rsidR="00CF58ED" w:rsidRPr="00D8482F">
        <w:t>T</w:t>
      </w:r>
      <w:r w:rsidR="004673D2" w:rsidRPr="00D8482F">
        <w:t xml:space="preserve">he </w:t>
      </w:r>
      <w:r w:rsidR="00EB1649">
        <w:t xml:space="preserve">current </w:t>
      </w:r>
      <w:r w:rsidR="00950093" w:rsidRPr="00D8482F">
        <w:t xml:space="preserve">national </w:t>
      </w:r>
      <w:r w:rsidR="004673D2" w:rsidRPr="00D8482F">
        <w:t xml:space="preserve">burden of HAIs </w:t>
      </w:r>
      <w:r w:rsidR="00EB1649">
        <w:t xml:space="preserve">and antimicrobial use </w:t>
      </w:r>
      <w:r w:rsidR="004673D2" w:rsidRPr="00D8482F">
        <w:t xml:space="preserve">in </w:t>
      </w:r>
      <w:r w:rsidR="00CF58ED" w:rsidRPr="00D8482F">
        <w:t>nursing homes</w:t>
      </w:r>
      <w:r w:rsidR="004673D2" w:rsidRPr="00D8482F">
        <w:t xml:space="preserve"> in the United States </w:t>
      </w:r>
      <w:r w:rsidR="00EB1649">
        <w:t xml:space="preserve">is unknown.  HAI burden </w:t>
      </w:r>
      <w:r w:rsidR="004673D2" w:rsidRPr="00D8482F">
        <w:t xml:space="preserve">was last estimated in </w:t>
      </w:r>
      <w:r w:rsidR="00950093" w:rsidRPr="00D8482F">
        <w:t xml:space="preserve">a </w:t>
      </w:r>
      <w:r w:rsidR="00404DEA">
        <w:t xml:space="preserve">2000 </w:t>
      </w:r>
      <w:r w:rsidR="00950093" w:rsidRPr="00D8482F">
        <w:t xml:space="preserve">publication and </w:t>
      </w:r>
      <w:r w:rsidR="00852F72" w:rsidRPr="00D8482F">
        <w:t>based on</w:t>
      </w:r>
      <w:r w:rsidR="00B97C0C" w:rsidRPr="00D8482F">
        <w:t xml:space="preserve"> data </w:t>
      </w:r>
      <w:r w:rsidR="00852F72" w:rsidRPr="00D8482F">
        <w:t>collected</w:t>
      </w:r>
      <w:r w:rsidR="00B97C0C" w:rsidRPr="00D8482F">
        <w:t xml:space="preserve"> </w:t>
      </w:r>
      <w:r w:rsidR="00852F72" w:rsidRPr="00D8482F">
        <w:t>between</w:t>
      </w:r>
      <w:r w:rsidR="00B97C0C" w:rsidRPr="00D8482F">
        <w:t xml:space="preserve"> </w:t>
      </w:r>
      <w:r w:rsidR="00216ACB" w:rsidRPr="00D8482F">
        <w:t>1978</w:t>
      </w:r>
      <w:r w:rsidR="00852F72" w:rsidRPr="00D8482F">
        <w:t xml:space="preserve"> and</w:t>
      </w:r>
      <w:r w:rsidR="00B97C0C" w:rsidRPr="00D8482F">
        <w:t xml:space="preserve"> </w:t>
      </w:r>
      <w:r w:rsidR="00216ACB" w:rsidRPr="00D8482F">
        <w:t>1998</w:t>
      </w:r>
      <w:r w:rsidR="00CF58ED" w:rsidRPr="00D8482F">
        <w:t xml:space="preserve"> </w:t>
      </w:r>
      <w:r w:rsidR="001011D2">
        <w:t>(</w:t>
      </w:r>
      <w:r w:rsidR="00B609CA">
        <w:t>9</w:t>
      </w:r>
      <w:r w:rsidR="001011D2">
        <w:t>)</w:t>
      </w:r>
      <w:r w:rsidR="001011D2" w:rsidRPr="00D8482F">
        <w:t xml:space="preserve">. </w:t>
      </w:r>
      <w:r w:rsidR="0036517B" w:rsidRPr="00D8482F">
        <w:t>Th</w:t>
      </w:r>
      <w:r w:rsidR="00762398" w:rsidRPr="00D8482F">
        <w:t xml:space="preserve">e </w:t>
      </w:r>
      <w:r w:rsidR="0036517B" w:rsidRPr="00D8482F">
        <w:t>estimate of between</w:t>
      </w:r>
      <w:r w:rsidR="006B507E" w:rsidRPr="00D8482F">
        <w:t xml:space="preserve"> </w:t>
      </w:r>
      <w:r w:rsidR="00C91F07" w:rsidRPr="00D8482F">
        <w:rPr>
          <w:color w:val="292526"/>
        </w:rPr>
        <w:t xml:space="preserve">1.64 and 3.83 </w:t>
      </w:r>
      <w:r w:rsidR="0046554C" w:rsidRPr="00D8482F">
        <w:rPr>
          <w:color w:val="292526"/>
        </w:rPr>
        <w:t>million infections</w:t>
      </w:r>
      <w:r w:rsidR="00C91F07" w:rsidRPr="00D8482F">
        <w:rPr>
          <w:color w:val="292526"/>
        </w:rPr>
        <w:t xml:space="preserve"> per year</w:t>
      </w:r>
      <w:r w:rsidR="00C91F07" w:rsidRPr="00D8482F" w:rsidDel="00C91F07">
        <w:t xml:space="preserve"> </w:t>
      </w:r>
      <w:r w:rsidR="004673D2" w:rsidRPr="00D8482F">
        <w:t>(</w:t>
      </w:r>
      <w:r w:rsidR="00737630" w:rsidRPr="00D8482F">
        <w:t xml:space="preserve">and </w:t>
      </w:r>
      <w:r w:rsidR="004673D2" w:rsidRPr="00D8482F">
        <w:t xml:space="preserve">causing </w:t>
      </w:r>
      <w:r w:rsidR="00852F72" w:rsidRPr="00D8482F">
        <w:rPr>
          <w:color w:val="292526"/>
        </w:rPr>
        <w:t>21,880 to 388,370 deaths</w:t>
      </w:r>
      <w:r w:rsidR="00B06C6A" w:rsidRPr="00D8482F">
        <w:t>),</w:t>
      </w:r>
      <w:r w:rsidR="00CF58ED" w:rsidRPr="00D8482F">
        <w:t xml:space="preserve"> has </w:t>
      </w:r>
      <w:r w:rsidR="008669F0" w:rsidRPr="00D8482F">
        <w:t xml:space="preserve">continued to be cited for many years by scientists, public health officials, and policy makers. </w:t>
      </w:r>
      <w:r w:rsidR="0046554C" w:rsidRPr="00D8482F">
        <w:t xml:space="preserve">To illustrate, </w:t>
      </w:r>
      <w:r w:rsidR="0036517B" w:rsidRPr="00D8482F">
        <w:t xml:space="preserve">this estimate </w:t>
      </w:r>
      <w:r w:rsidR="00567FD2" w:rsidRPr="00D8482F">
        <w:t xml:space="preserve">was </w:t>
      </w:r>
      <w:r w:rsidR="0036517B" w:rsidRPr="00D8482F">
        <w:t>used in the HHS National Action Plan to prevent HAIs: Ch</w:t>
      </w:r>
      <w:r w:rsidR="00737630" w:rsidRPr="00D8482F">
        <w:t>apter</w:t>
      </w:r>
      <w:r w:rsidR="0036517B" w:rsidRPr="00D8482F">
        <w:t xml:space="preserve"> 8 Long Term Care Facilities (</w:t>
      </w:r>
      <w:hyperlink r:id="rId21" w:history="1">
        <w:r w:rsidR="00762398" w:rsidRPr="00D8482F">
          <w:rPr>
            <w:rStyle w:val="Hyperlink"/>
          </w:rPr>
          <w:t>http://health.gov/hcq/pdfs/hai-action-plan-ltcf.pdf</w:t>
        </w:r>
      </w:hyperlink>
      <w:r w:rsidR="00762398" w:rsidRPr="00D8482F">
        <w:t xml:space="preserve"> </w:t>
      </w:r>
      <w:r w:rsidR="0036517B" w:rsidRPr="00D8482F">
        <w:t>)</w:t>
      </w:r>
      <w:r w:rsidR="00950093" w:rsidRPr="00D8482F">
        <w:t xml:space="preserve">, </w:t>
      </w:r>
      <w:r w:rsidR="0046554C" w:rsidRPr="00D8482F">
        <w:t>despite the acknowledged limitations, due to</w:t>
      </w:r>
      <w:r w:rsidR="00950093" w:rsidRPr="00D8482F">
        <w:t xml:space="preserve"> an absence of </w:t>
      </w:r>
      <w:r w:rsidR="0046554C" w:rsidRPr="00D8482F">
        <w:t xml:space="preserve">more robust </w:t>
      </w:r>
      <w:r w:rsidR="00762398" w:rsidRPr="00D8482F">
        <w:t xml:space="preserve">or </w:t>
      </w:r>
      <w:r w:rsidR="0046554C" w:rsidRPr="00D8482F">
        <w:t>contemporary</w:t>
      </w:r>
      <w:r w:rsidR="00950093" w:rsidRPr="00D8482F">
        <w:t xml:space="preserve"> national HAI data </w:t>
      </w:r>
      <w:r w:rsidR="00762398" w:rsidRPr="00D8482F">
        <w:t xml:space="preserve">for </w:t>
      </w:r>
      <w:r w:rsidR="0046554C" w:rsidRPr="00D8482F">
        <w:t>nursing homes</w:t>
      </w:r>
      <w:r w:rsidR="0036517B" w:rsidRPr="00D8482F">
        <w:t xml:space="preserve">. </w:t>
      </w:r>
      <w:r w:rsidR="00567FD2" w:rsidRPr="00D8482F">
        <w:t xml:space="preserve"> </w:t>
      </w:r>
      <w:r w:rsidR="008669F0" w:rsidRPr="00D8482F">
        <w:t xml:space="preserve">New </w:t>
      </w:r>
      <w:r w:rsidR="00B13F15" w:rsidRPr="00D8482F">
        <w:t xml:space="preserve">HAI </w:t>
      </w:r>
      <w:r w:rsidR="00617B6F">
        <w:t xml:space="preserve">national </w:t>
      </w:r>
      <w:r w:rsidR="00B13F15" w:rsidRPr="00D8482F">
        <w:t xml:space="preserve">burden </w:t>
      </w:r>
      <w:r w:rsidR="008669F0" w:rsidRPr="00D8482F">
        <w:t>estimates</w:t>
      </w:r>
      <w:r w:rsidR="0046554C" w:rsidRPr="00D8482F">
        <w:t xml:space="preserve"> </w:t>
      </w:r>
      <w:r w:rsidR="00CF58ED" w:rsidRPr="00D8482F">
        <w:t>are</w:t>
      </w:r>
      <w:r w:rsidR="008669F0" w:rsidRPr="00D8482F">
        <w:t xml:space="preserve"> needed for public health priority setting, </w:t>
      </w:r>
      <w:r w:rsidR="00404DEA" w:rsidRPr="00D8482F">
        <w:t>for policy</w:t>
      </w:r>
      <w:r w:rsidR="008669F0" w:rsidRPr="00D8482F">
        <w:t xml:space="preserve">-making purposes, and for communications with the public and other stakeholders. </w:t>
      </w:r>
      <w:r w:rsidR="00852F72" w:rsidRPr="00D8482F">
        <w:t xml:space="preserve"> </w:t>
      </w:r>
      <w:r w:rsidR="00B13F15" w:rsidRPr="00D8482F">
        <w:t>U</w:t>
      </w:r>
      <w:r w:rsidR="00B06C6A" w:rsidRPr="00D8482F">
        <w:t xml:space="preserve">nderstanding of </w:t>
      </w:r>
      <w:r w:rsidR="00B13F15" w:rsidRPr="00D8482F">
        <w:t xml:space="preserve">the </w:t>
      </w:r>
      <w:r w:rsidR="00DC6513" w:rsidRPr="00D8482F">
        <w:t xml:space="preserve">current </w:t>
      </w:r>
      <w:r w:rsidR="00B06C6A" w:rsidRPr="00D8482F">
        <w:t>HAI and</w:t>
      </w:r>
      <w:r w:rsidR="00B13F15" w:rsidRPr="00D8482F">
        <w:t xml:space="preserve"> antimicrobial use epidemiology</w:t>
      </w:r>
      <w:r w:rsidR="00B06C6A" w:rsidRPr="00D8482F">
        <w:t xml:space="preserve"> </w:t>
      </w:r>
      <w:r w:rsidR="00DC6513" w:rsidRPr="00D8482F">
        <w:t>are</w:t>
      </w:r>
      <w:r w:rsidR="008669F0" w:rsidRPr="00D8482F">
        <w:t xml:space="preserve"> necessary</w:t>
      </w:r>
      <w:r w:rsidR="00B06C6A" w:rsidRPr="00D8482F">
        <w:t xml:space="preserve"> for collaborations with partners in </w:t>
      </w:r>
      <w:r w:rsidR="00B06C6A" w:rsidRPr="00D8482F">
        <w:lastRenderedPageBreak/>
        <w:t>other parts of the world (the European Union, fo</w:t>
      </w:r>
      <w:r w:rsidR="00B13F15" w:rsidRPr="00D8482F">
        <w:t>r example) and internally for</w:t>
      </w:r>
      <w:r w:rsidR="00B06C6A" w:rsidRPr="00D8482F">
        <w:t xml:space="preserve"> </w:t>
      </w:r>
      <w:r w:rsidR="00550C81" w:rsidRPr="00D8482F">
        <w:t xml:space="preserve">state health departments and </w:t>
      </w:r>
      <w:r w:rsidR="00B06C6A" w:rsidRPr="00D8482F">
        <w:t xml:space="preserve">the CDC </w:t>
      </w:r>
      <w:r w:rsidR="00B13F15" w:rsidRPr="00D8482F">
        <w:t xml:space="preserve">to identify </w:t>
      </w:r>
      <w:r w:rsidR="00B06C6A" w:rsidRPr="00D8482F">
        <w:t xml:space="preserve">surveillance and prevention priorities. </w:t>
      </w:r>
    </w:p>
    <w:p w14:paraId="3503D603" w14:textId="77777777" w:rsidR="0042376E" w:rsidRPr="00D8482F" w:rsidRDefault="0042376E" w:rsidP="001C48E0"/>
    <w:p w14:paraId="6F3606E1" w14:textId="77777777" w:rsidR="006A7F56" w:rsidRPr="00D8482F" w:rsidRDefault="009430F4" w:rsidP="00DA405D">
      <w:r w:rsidRPr="00D8482F">
        <w:t>The r</w:t>
      </w:r>
      <w:r w:rsidR="006A7F56" w:rsidRPr="00D8482F">
        <w:t xml:space="preserve">esults from </w:t>
      </w:r>
      <w:r w:rsidRPr="00D8482F">
        <w:t>this</w:t>
      </w:r>
      <w:r w:rsidR="006A7F56" w:rsidRPr="00D8482F">
        <w:t xml:space="preserve"> </w:t>
      </w:r>
      <w:r w:rsidR="006A7F56" w:rsidRPr="002639F3">
        <w:t xml:space="preserve">survey </w:t>
      </w:r>
      <w:r w:rsidR="0052784F" w:rsidRPr="002639F3">
        <w:t>and the developmental work associated with modeling national HAI prevalence</w:t>
      </w:r>
      <w:r w:rsidR="0052784F">
        <w:t xml:space="preserve"> </w:t>
      </w:r>
      <w:r w:rsidR="008B32D4">
        <w:t>can</w:t>
      </w:r>
      <w:r w:rsidR="008B32D4" w:rsidRPr="00D8482F">
        <w:t xml:space="preserve"> </w:t>
      </w:r>
      <w:r w:rsidR="006A7F56" w:rsidRPr="00D8482F">
        <w:t xml:space="preserve">be used in </w:t>
      </w:r>
      <w:r w:rsidRPr="00D8482F">
        <w:t>the following ways</w:t>
      </w:r>
      <w:r w:rsidR="006A7F56" w:rsidRPr="00D8482F">
        <w:t>:</w:t>
      </w:r>
    </w:p>
    <w:p w14:paraId="06B2E51F" w14:textId="77777777" w:rsidR="006A7F56" w:rsidRPr="00D8482F" w:rsidRDefault="006A7F56" w:rsidP="0042376E">
      <w:pPr>
        <w:ind w:firstLine="720"/>
      </w:pPr>
    </w:p>
    <w:p w14:paraId="180C81A6" w14:textId="77777777" w:rsidR="006A7F56" w:rsidRPr="00D8482F" w:rsidRDefault="006A7F56" w:rsidP="0042376E">
      <w:pPr>
        <w:numPr>
          <w:ilvl w:val="0"/>
          <w:numId w:val="15"/>
        </w:numPr>
      </w:pPr>
      <w:r w:rsidRPr="00D8482F">
        <w:t xml:space="preserve">State health departments of participating EIP sites </w:t>
      </w:r>
      <w:r w:rsidR="006B507E" w:rsidRPr="00D8482F">
        <w:t xml:space="preserve">can </w:t>
      </w:r>
      <w:r w:rsidR="009430F4" w:rsidRPr="00D8482F">
        <w:t>share</w:t>
      </w:r>
      <w:r w:rsidR="007A21D9" w:rsidRPr="00D8482F">
        <w:t xml:space="preserve"> survey </w:t>
      </w:r>
      <w:r w:rsidRPr="00D8482F">
        <w:t xml:space="preserve">data with their HAI Committees to </w:t>
      </w:r>
      <w:r w:rsidR="00D203C6" w:rsidRPr="00D8482F">
        <w:t>inform priority setting</w:t>
      </w:r>
      <w:r w:rsidR="00A14029" w:rsidRPr="00D8482F">
        <w:t xml:space="preserve"> for public health initiatives to improve </w:t>
      </w:r>
      <w:r w:rsidR="006B507E" w:rsidRPr="00D8482F">
        <w:t xml:space="preserve">HAI prevention and </w:t>
      </w:r>
      <w:r w:rsidR="00A14029" w:rsidRPr="00D8482F">
        <w:t>antimicrobial use</w:t>
      </w:r>
      <w:r w:rsidR="00D203C6" w:rsidRPr="00D8482F">
        <w:t>;</w:t>
      </w:r>
    </w:p>
    <w:p w14:paraId="32D6774D" w14:textId="77777777" w:rsidR="00A14029" w:rsidRPr="00D8482F" w:rsidRDefault="00EB31CD" w:rsidP="0042376E">
      <w:pPr>
        <w:numPr>
          <w:ilvl w:val="0"/>
          <w:numId w:val="15"/>
        </w:numPr>
      </w:pPr>
      <w:r w:rsidRPr="00D8482F">
        <w:t>The CDC</w:t>
      </w:r>
      <w:r w:rsidR="00A14029" w:rsidRPr="00D8482F">
        <w:t xml:space="preserve"> </w:t>
      </w:r>
      <w:r w:rsidR="006B507E" w:rsidRPr="00D8482F">
        <w:t xml:space="preserve">can </w:t>
      </w:r>
      <w:r w:rsidR="00A14029" w:rsidRPr="00D8482F">
        <w:t xml:space="preserve">use </w:t>
      </w:r>
      <w:r w:rsidRPr="00D8482F">
        <w:t>the survey results to inform</w:t>
      </w:r>
      <w:r w:rsidR="00A14029" w:rsidRPr="00D8482F">
        <w:t xml:space="preserve"> </w:t>
      </w:r>
      <w:r w:rsidR="0098191D" w:rsidRPr="00D8482F">
        <w:t xml:space="preserve">further </w:t>
      </w:r>
      <w:r w:rsidR="001F1BA2" w:rsidRPr="00D8482F">
        <w:t xml:space="preserve">development of </w:t>
      </w:r>
      <w:r w:rsidR="00567FD2" w:rsidRPr="00D8482F">
        <w:t xml:space="preserve">HAI and </w:t>
      </w:r>
      <w:r w:rsidR="00DC6DCD">
        <w:t xml:space="preserve">antimicrobial use </w:t>
      </w:r>
      <w:r w:rsidR="00567FD2" w:rsidRPr="00D8482F">
        <w:t>surveillance</w:t>
      </w:r>
      <w:r w:rsidR="00E97646" w:rsidRPr="00D8482F">
        <w:t xml:space="preserve"> </w:t>
      </w:r>
      <w:r w:rsidR="008B32D4">
        <w:t xml:space="preserve">for nursing homes </w:t>
      </w:r>
      <w:r w:rsidR="00567FD2" w:rsidRPr="00D8482F">
        <w:t>in</w:t>
      </w:r>
      <w:r w:rsidR="00A14029" w:rsidRPr="00D8482F">
        <w:t xml:space="preserve"> </w:t>
      </w:r>
      <w:r w:rsidR="00567FD2" w:rsidRPr="00D8482F">
        <w:t>the NHSN Long-Term Care Facility Component</w:t>
      </w:r>
    </w:p>
    <w:p w14:paraId="68AB8F13" w14:textId="77777777" w:rsidR="001F1BA2" w:rsidRPr="00D8482F" w:rsidRDefault="001F1BA2" w:rsidP="00E97646">
      <w:pPr>
        <w:numPr>
          <w:ilvl w:val="0"/>
          <w:numId w:val="15"/>
        </w:numPr>
      </w:pPr>
      <w:r w:rsidRPr="00D8482F">
        <w:t>The CDC can use the survey results from the Healthcare Faci</w:t>
      </w:r>
      <w:r w:rsidR="0098191D" w:rsidRPr="00D8482F">
        <w:t xml:space="preserve">lity Assessment to evaluate </w:t>
      </w:r>
      <w:r w:rsidRPr="00D8482F">
        <w:t xml:space="preserve">uptake of CDC </w:t>
      </w:r>
      <w:r w:rsidRPr="00D8482F">
        <w:rPr>
          <w:rStyle w:val="Emphasis"/>
          <w:rFonts w:ascii="Times New Roman" w:hAnsi="Times New Roman"/>
          <w:i w:val="0"/>
          <w:color w:val="333333"/>
        </w:rPr>
        <w:t xml:space="preserve">The Core Elements of Antibiotic Stewardship for Nursing Homes, a set of </w:t>
      </w:r>
      <w:r w:rsidRPr="00D8482F">
        <w:rPr>
          <w:color w:val="333333"/>
        </w:rPr>
        <w:t>antibiotic stewardship activities designed for nursing homes</w:t>
      </w:r>
      <w:r w:rsidR="00F84C3D" w:rsidRPr="00D8482F">
        <w:rPr>
          <w:color w:val="333333"/>
        </w:rPr>
        <w:t>,</w:t>
      </w:r>
      <w:r w:rsidRPr="00D8482F">
        <w:t xml:space="preserve"> </w:t>
      </w:r>
      <w:hyperlink w:history="1">
        <w:r w:rsidRPr="00D8482F">
          <w:rPr>
            <w:rStyle w:val="Hyperlink"/>
          </w:rPr>
          <w:t>(see www.cdc.gov/longtermcare/prevention/antibiotic-stewardship.html</w:t>
        </w:r>
      </w:hyperlink>
      <w:r w:rsidRPr="00D8482F">
        <w:t xml:space="preserve">) </w:t>
      </w:r>
    </w:p>
    <w:p w14:paraId="189CBE65" w14:textId="77777777" w:rsidR="001F1BA2" w:rsidRPr="00D8482F" w:rsidRDefault="001F1BA2" w:rsidP="001F1BA2">
      <w:pPr>
        <w:numPr>
          <w:ilvl w:val="0"/>
          <w:numId w:val="15"/>
        </w:numPr>
      </w:pPr>
      <w:r w:rsidRPr="00D8482F">
        <w:t xml:space="preserve">CDC has collaborated with the European Centre for Disease Prevention and Control (ECDC) to harmonize HAI and antimicrobial use prevalence survey methods to allow for selected comparisons of prevalence and burden, and facilitate international situational awareness of HAI and antimicrobial use. Collaborations on prevalence survey methods between the CDC and the ECDC are included in the work plan for the Transatlantic Task Force on Antimicrobial Resistance (see </w:t>
      </w:r>
      <w:hyperlink r:id="rId22" w:history="1">
        <w:r w:rsidRPr="00D8482F">
          <w:rPr>
            <w:rStyle w:val="Hyperlink"/>
          </w:rPr>
          <w:t>http://ecdc.europa.eu/en/activities/diseaseprogrammes/TATFAR/Documents/210911_TATFAR_Report.pdf</w:t>
        </w:r>
      </w:hyperlink>
      <w:r w:rsidRPr="00D8482F">
        <w:t>).</w:t>
      </w:r>
    </w:p>
    <w:p w14:paraId="5040F125" w14:textId="77777777" w:rsidR="001F1BA2" w:rsidRPr="00D8482F" w:rsidRDefault="007968D6" w:rsidP="001F1BA2">
      <w:pPr>
        <w:numPr>
          <w:ilvl w:val="0"/>
          <w:numId w:val="15"/>
        </w:numPr>
      </w:pPr>
      <w:r>
        <w:t>Na</w:t>
      </w:r>
      <w:r w:rsidR="002E6024">
        <w:t>t</w:t>
      </w:r>
      <w:r>
        <w:t xml:space="preserve">ional </w:t>
      </w:r>
      <w:r w:rsidR="001F1BA2" w:rsidRPr="00D8482F">
        <w:t xml:space="preserve">HAI </w:t>
      </w:r>
      <w:r>
        <w:t>b</w:t>
      </w:r>
      <w:r w:rsidR="001F1BA2" w:rsidRPr="00D8482F">
        <w:t>urden estimates generated using survey data can</w:t>
      </w:r>
      <w:r w:rsidR="00762398" w:rsidRPr="00D8482F">
        <w:t xml:space="preserve"> be used to update the </w:t>
      </w:r>
      <w:r w:rsidR="001F1BA2" w:rsidRPr="00D8482F">
        <w:t>estimates included in the Department of HHS National Action Plan to Prevent HAIs – Chapter 8: Long-term Care</w:t>
      </w:r>
    </w:p>
    <w:p w14:paraId="66700B14" w14:textId="77777777" w:rsidR="001F1BA2" w:rsidRDefault="001F1BA2" w:rsidP="001C48E0">
      <w:pPr>
        <w:ind w:left="1080"/>
      </w:pPr>
    </w:p>
    <w:p w14:paraId="7365FB05" w14:textId="77777777" w:rsidR="007C1EE3" w:rsidRPr="00D8482F" w:rsidRDefault="007C1EE3" w:rsidP="00DA405D">
      <w:r w:rsidRPr="00D8482F">
        <w:t xml:space="preserve">Because there is no ongoing surveillance for all HAI types occurring across patient populations in U.S. healthcare facilities, understanding the impact of prevention programs and ensuring that prevention initiatives are targeted to the highest-priority, highest-impact conditions requires </w:t>
      </w:r>
      <w:r w:rsidR="00614411" w:rsidRPr="00D8482F">
        <w:t xml:space="preserve">the use of </w:t>
      </w:r>
      <w:r w:rsidRPr="00D8482F">
        <w:t>prevalence survey</w:t>
      </w:r>
      <w:r w:rsidR="00614411" w:rsidRPr="00D8482F">
        <w:t>s</w:t>
      </w:r>
      <w:r w:rsidRPr="00D8482F">
        <w:t xml:space="preserve">. Without </w:t>
      </w:r>
      <w:r w:rsidR="00614411" w:rsidRPr="00D8482F">
        <w:t>these</w:t>
      </w:r>
      <w:r w:rsidRPr="00D8482F">
        <w:t xml:space="preserve"> surveys, knowledge of the entire spectrum of HAIs and antimicrobial use will </w:t>
      </w:r>
      <w:r w:rsidR="00614411" w:rsidRPr="00D8482F">
        <w:t>not be gained</w:t>
      </w:r>
      <w:r w:rsidRPr="00D8482F">
        <w:t xml:space="preserve">. There are no other surveillance systems currently in the United States that can provide this information. </w:t>
      </w:r>
      <w:r w:rsidR="00FE33EC" w:rsidRPr="00D8482F">
        <w:t xml:space="preserve">In addition, </w:t>
      </w:r>
      <w:r w:rsidR="007D5DE8" w:rsidRPr="00D8482F">
        <w:t xml:space="preserve">the </w:t>
      </w:r>
      <w:r w:rsidR="00F2689F" w:rsidRPr="00D8482F">
        <w:t xml:space="preserve">proposed data collection </w:t>
      </w:r>
      <w:r w:rsidR="00FE33EC" w:rsidRPr="00D8482F">
        <w:t xml:space="preserve">will </w:t>
      </w:r>
      <w:r w:rsidR="001011D2" w:rsidRPr="00D8482F">
        <w:t>be CDC’s</w:t>
      </w:r>
      <w:r w:rsidR="005518BB" w:rsidRPr="00D8482F">
        <w:t xml:space="preserve"> first </w:t>
      </w:r>
      <w:r w:rsidR="0098191D" w:rsidRPr="00D8482F">
        <w:t>large-scale attempt to evaluate antimicrobial use quality</w:t>
      </w:r>
      <w:r w:rsidR="005518BB" w:rsidRPr="00D8482F">
        <w:t xml:space="preserve"> in the </w:t>
      </w:r>
      <w:r w:rsidR="009430F4" w:rsidRPr="00D8482F">
        <w:t xml:space="preserve">nursing home </w:t>
      </w:r>
      <w:r w:rsidR="005518BB" w:rsidRPr="00D8482F">
        <w:t>setting, and will contribute greatly toward understanding those agents or infections that should be the focus of local, state or national stewardship programs.</w:t>
      </w:r>
      <w:r w:rsidR="00FE33EC" w:rsidRPr="00D8482F">
        <w:t xml:space="preserve"> </w:t>
      </w:r>
      <w:r w:rsidR="00DC6513" w:rsidRPr="00D8482F">
        <w:t>N</w:t>
      </w:r>
      <w:r w:rsidR="00FE33EC" w:rsidRPr="00D8482F">
        <w:t>o other large-scale</w:t>
      </w:r>
      <w:r w:rsidR="00F2689F" w:rsidRPr="00D8482F">
        <w:t xml:space="preserve">, </w:t>
      </w:r>
      <w:r w:rsidR="009430F4" w:rsidRPr="00D8482F">
        <w:t>resident</w:t>
      </w:r>
      <w:r w:rsidR="00F2689F" w:rsidRPr="00D8482F">
        <w:t>-level</w:t>
      </w:r>
      <w:r w:rsidR="00FE33EC" w:rsidRPr="00D8482F">
        <w:t xml:space="preserve"> </w:t>
      </w:r>
      <w:r w:rsidR="007D5DE8" w:rsidRPr="00D8482F">
        <w:t xml:space="preserve">assessment </w:t>
      </w:r>
      <w:r w:rsidR="00FE33EC" w:rsidRPr="00D8482F">
        <w:t xml:space="preserve">of </w:t>
      </w:r>
      <w:r w:rsidR="007D5DE8" w:rsidRPr="00D8482F">
        <w:t xml:space="preserve">antimicrobial </w:t>
      </w:r>
      <w:r w:rsidR="00FE33EC" w:rsidRPr="00D8482F">
        <w:t xml:space="preserve">use is underway in </w:t>
      </w:r>
      <w:r w:rsidR="009430F4" w:rsidRPr="00D8482F">
        <w:t>US nursing homes</w:t>
      </w:r>
      <w:r w:rsidR="00FE33EC" w:rsidRPr="00D8482F">
        <w:t>.</w:t>
      </w:r>
    </w:p>
    <w:p w14:paraId="2A5BD937" w14:textId="77777777" w:rsidR="006B662D" w:rsidRPr="00D8482F" w:rsidRDefault="006B662D" w:rsidP="00EE7469"/>
    <w:p w14:paraId="20A8EA20" w14:textId="77777777" w:rsidR="00245111" w:rsidRPr="00D8482F" w:rsidRDefault="00544C10" w:rsidP="00753597">
      <w:pPr>
        <w:pStyle w:val="Heading1"/>
      </w:pPr>
      <w:bookmarkStart w:id="12" w:name="_Toc444242959"/>
      <w:r w:rsidRPr="00D8482F">
        <w:t>Use of Improved Information Technology and Burden Reduction</w:t>
      </w:r>
      <w:bookmarkEnd w:id="12"/>
    </w:p>
    <w:p w14:paraId="0B2A8A9F" w14:textId="77777777" w:rsidR="00AF2959" w:rsidRPr="00D8482F" w:rsidRDefault="009C40B0" w:rsidP="00EE7469">
      <w:r w:rsidRPr="00D8482F">
        <w:t xml:space="preserve">     </w:t>
      </w:r>
      <w:r w:rsidR="00C31088" w:rsidRPr="00D8482F">
        <w:tab/>
      </w:r>
    </w:p>
    <w:p w14:paraId="7A14A3B1" w14:textId="77777777" w:rsidR="002E183F" w:rsidRPr="00D8482F" w:rsidRDefault="00CF58ED" w:rsidP="00DA405D">
      <w:r w:rsidRPr="00D8482F">
        <w:t>T</w:t>
      </w:r>
      <w:r w:rsidR="00D4197A" w:rsidRPr="00D8482F">
        <w:t xml:space="preserve">he </w:t>
      </w:r>
      <w:r w:rsidR="00F2689F" w:rsidRPr="00D8482F">
        <w:t xml:space="preserve">proposed data collection </w:t>
      </w:r>
      <w:r w:rsidR="002E183F" w:rsidRPr="00D8482F">
        <w:t>will</w:t>
      </w:r>
      <w:r w:rsidR="00246B21" w:rsidRPr="00D8482F">
        <w:t xml:space="preserve"> </w:t>
      </w:r>
      <w:r w:rsidR="009025A8" w:rsidRPr="00D8482F">
        <w:t xml:space="preserve">be performed using </w:t>
      </w:r>
      <w:r w:rsidR="00660C86" w:rsidRPr="00D8482F">
        <w:t xml:space="preserve">either </w:t>
      </w:r>
      <w:r w:rsidR="00246B21" w:rsidRPr="00D8482F">
        <w:t>paper forms</w:t>
      </w:r>
      <w:r w:rsidR="009C40B0" w:rsidRPr="00D8482F">
        <w:t xml:space="preserve"> </w:t>
      </w:r>
      <w:r w:rsidR="001742CB" w:rsidRPr="00D8482F">
        <w:t xml:space="preserve">or a </w:t>
      </w:r>
      <w:r w:rsidR="009025A8" w:rsidRPr="00D8482F">
        <w:t>mobile tablet device.  It is necessary to permit data collection using paper forms because</w:t>
      </w:r>
      <w:r w:rsidR="009C40B0" w:rsidRPr="00D8482F">
        <w:t xml:space="preserve"> s</w:t>
      </w:r>
      <w:r w:rsidR="00246B21" w:rsidRPr="00D8482F">
        <w:t xml:space="preserve">urvey personnel </w:t>
      </w:r>
      <w:r w:rsidR="006D1180">
        <w:t xml:space="preserve">may </w:t>
      </w:r>
      <w:r w:rsidR="006B662D" w:rsidRPr="00D8482F">
        <w:t xml:space="preserve">not have reliable or </w:t>
      </w:r>
      <w:r w:rsidR="00246B21" w:rsidRPr="00D8482F">
        <w:t>timely access to computers</w:t>
      </w:r>
      <w:r w:rsidR="009025A8" w:rsidRPr="00D8482F">
        <w:t xml:space="preserve"> or the internet</w:t>
      </w:r>
      <w:r w:rsidR="00947A20" w:rsidRPr="00D8482F">
        <w:t xml:space="preserve">, as </w:t>
      </w:r>
      <w:r w:rsidR="00DA405D" w:rsidRPr="00D8482F">
        <w:t xml:space="preserve">information technology resources vary widely among </w:t>
      </w:r>
      <w:r w:rsidR="00947A20" w:rsidRPr="00D8482F">
        <w:t>nursing homes</w:t>
      </w:r>
      <w:r w:rsidR="00DA405D" w:rsidRPr="00D8482F">
        <w:t xml:space="preserve">. </w:t>
      </w:r>
      <w:r w:rsidR="009025A8" w:rsidRPr="00D8482F">
        <w:t xml:space="preserve"> </w:t>
      </w:r>
    </w:p>
    <w:p w14:paraId="04D8A468" w14:textId="77777777" w:rsidR="00394B08" w:rsidRPr="00D8482F" w:rsidRDefault="00394B08" w:rsidP="00EE7469"/>
    <w:p w14:paraId="0627DADD" w14:textId="77777777" w:rsidR="009025A8" w:rsidRPr="00D8482F" w:rsidRDefault="00394B08" w:rsidP="00EE7469">
      <w:r w:rsidRPr="00D8482F">
        <w:lastRenderedPageBreak/>
        <w:t xml:space="preserve">As part of the </w:t>
      </w:r>
      <w:r w:rsidR="00547282" w:rsidRPr="00D8482F">
        <w:t>proposed</w:t>
      </w:r>
      <w:r w:rsidRPr="00D8482F">
        <w:t xml:space="preserve"> </w:t>
      </w:r>
      <w:r w:rsidR="00F2689F" w:rsidRPr="00D8482F">
        <w:t>data collection</w:t>
      </w:r>
      <w:r w:rsidRPr="00D8482F">
        <w:t xml:space="preserve">, </w:t>
      </w:r>
      <w:r w:rsidR="00BD741F" w:rsidRPr="00D8482F">
        <w:t>nursing home</w:t>
      </w:r>
      <w:r w:rsidRPr="00D8482F">
        <w:t xml:space="preserve"> staff</w:t>
      </w:r>
      <w:r w:rsidR="006D1180">
        <w:t xml:space="preserve"> </w:t>
      </w:r>
      <w:r w:rsidRPr="00D8482F">
        <w:t xml:space="preserve">will </w:t>
      </w:r>
      <w:r w:rsidR="00BC7CD3" w:rsidRPr="00D8482F">
        <w:t>complete a H</w:t>
      </w:r>
      <w:r w:rsidR="009025A8" w:rsidRPr="00D8482F">
        <w:t xml:space="preserve">ealthcare </w:t>
      </w:r>
      <w:r w:rsidR="00BC7CD3" w:rsidRPr="00D8482F">
        <w:t>F</w:t>
      </w:r>
      <w:r w:rsidR="009025A8" w:rsidRPr="00D8482F">
        <w:t xml:space="preserve">acility </w:t>
      </w:r>
      <w:r w:rsidR="00BC7CD3" w:rsidRPr="00D8482F">
        <w:t>A</w:t>
      </w:r>
      <w:r w:rsidR="009025A8" w:rsidRPr="00D8482F">
        <w:t>ssessment</w:t>
      </w:r>
      <w:r w:rsidR="006D1180">
        <w:t xml:space="preserve"> (HFA)</w:t>
      </w:r>
      <w:r w:rsidR="00BC7CD3" w:rsidRPr="00D8482F">
        <w:t xml:space="preserve"> (</w:t>
      </w:r>
      <w:r w:rsidR="00BC7CD3" w:rsidRPr="00920704">
        <w:t xml:space="preserve">Attachment </w:t>
      </w:r>
      <w:r w:rsidR="00E313B5" w:rsidRPr="00920704">
        <w:t>C</w:t>
      </w:r>
      <w:r w:rsidR="00BC7CD3" w:rsidRPr="00D8482F">
        <w:t>)</w:t>
      </w:r>
      <w:r w:rsidR="009025A8" w:rsidRPr="00D8482F">
        <w:t xml:space="preserve">, </w:t>
      </w:r>
      <w:r w:rsidRPr="00D8482F">
        <w:t xml:space="preserve">a questionnaire that will be completed on a one-time basis by </w:t>
      </w:r>
      <w:r w:rsidR="00E13F0C" w:rsidRPr="00D8482F">
        <w:t>s</w:t>
      </w:r>
      <w:r w:rsidRPr="00D8482F">
        <w:t xml:space="preserve">taff </w:t>
      </w:r>
      <w:r w:rsidR="00A41726">
        <w:t>from</w:t>
      </w:r>
      <w:r w:rsidRPr="00D8482F">
        <w:t xml:space="preserve"> participating </w:t>
      </w:r>
      <w:r w:rsidR="00FD3FE7" w:rsidRPr="00D8482F">
        <w:t>nursing homes</w:t>
      </w:r>
      <w:r w:rsidRPr="00D8482F">
        <w:t>. EIP personnel</w:t>
      </w:r>
      <w:r w:rsidR="006D1180">
        <w:t xml:space="preserve"> </w:t>
      </w:r>
      <w:r w:rsidRPr="00D8482F">
        <w:t xml:space="preserve">will provide the HFA and </w:t>
      </w:r>
      <w:r w:rsidR="00A41726">
        <w:t xml:space="preserve">written </w:t>
      </w:r>
      <w:r w:rsidRPr="00D8482F">
        <w:t xml:space="preserve">instructions to </w:t>
      </w:r>
      <w:r w:rsidR="00A41726">
        <w:t>nursing home staff</w:t>
      </w:r>
      <w:r w:rsidRPr="00D8482F">
        <w:t xml:space="preserve"> either in person or via electronic communication</w:t>
      </w:r>
      <w:r w:rsidR="00A41726">
        <w:t xml:space="preserve"> (e-mail)</w:t>
      </w:r>
      <w:r w:rsidRPr="00D8482F">
        <w:t xml:space="preserve">. The HFA will be completed in paper form, due to the wide array of electronic communication capabilities across healthcare facilities and because it is anticipated that the </w:t>
      </w:r>
      <w:r w:rsidR="00A41726">
        <w:t>nursing home staff</w:t>
      </w:r>
      <w:r w:rsidRPr="00D8482F">
        <w:t xml:space="preserve"> member completing the HFA may need to consult with other colleagues in the facility to answer some of the HFA questions.</w:t>
      </w:r>
      <w:r w:rsidR="00BC7CD3" w:rsidRPr="00D8482F">
        <w:t xml:space="preserve"> EIP personnel will enter HFA data into the data management system for </w:t>
      </w:r>
      <w:r w:rsidR="00F2689F" w:rsidRPr="00D8482F">
        <w:t>sharing with</w:t>
      </w:r>
      <w:r w:rsidR="00BC7CD3" w:rsidRPr="00D8482F">
        <w:t xml:space="preserve"> </w:t>
      </w:r>
      <w:r w:rsidR="00962C1D" w:rsidRPr="00D8482F">
        <w:t>CDC.</w:t>
      </w:r>
    </w:p>
    <w:p w14:paraId="420402C9" w14:textId="77777777" w:rsidR="00962C1D" w:rsidRPr="00D8482F" w:rsidRDefault="00962C1D" w:rsidP="00EE7469"/>
    <w:p w14:paraId="2EEBC332" w14:textId="77777777" w:rsidR="00A41726" w:rsidRPr="00D8482F" w:rsidRDefault="00A41726" w:rsidP="00EE7469">
      <w:r>
        <w:t>Selected nursing home staff (</w:t>
      </w:r>
      <w:r w:rsidR="004A6B23">
        <w:t xml:space="preserve">referred to as </w:t>
      </w:r>
      <w:r>
        <w:t xml:space="preserve">the </w:t>
      </w:r>
      <w:r w:rsidR="006D1180">
        <w:t xml:space="preserve">NH </w:t>
      </w:r>
      <w:r>
        <w:t>T</w:t>
      </w:r>
      <w:r w:rsidR="006D1180">
        <w:t>eam</w:t>
      </w:r>
      <w:r>
        <w:t>)</w:t>
      </w:r>
      <w:r w:rsidR="00962C1D" w:rsidRPr="00D8482F">
        <w:t xml:space="preserve"> may additional</w:t>
      </w:r>
      <w:r w:rsidR="00311B39" w:rsidRPr="00D8482F">
        <w:t>ly</w:t>
      </w:r>
      <w:r w:rsidR="00962C1D" w:rsidRPr="00D8482F">
        <w:t xml:space="preserve"> complete the Residents by Location Form (</w:t>
      </w:r>
      <w:r w:rsidR="00962C1D" w:rsidRPr="00920704">
        <w:t xml:space="preserve">see Attachment </w:t>
      </w:r>
      <w:r w:rsidR="00530B89" w:rsidRPr="00920704">
        <w:t>D</w:t>
      </w:r>
      <w:r w:rsidR="00962C1D" w:rsidRPr="00D8482F">
        <w:t xml:space="preserve">), a data collection instrument in </w:t>
      </w:r>
      <w:r w:rsidR="00A041A7" w:rsidRPr="00D8482F">
        <w:t xml:space="preserve">a </w:t>
      </w:r>
      <w:r w:rsidR="00962C1D" w:rsidRPr="00D8482F">
        <w:t xml:space="preserve">table format </w:t>
      </w:r>
      <w:r w:rsidRPr="00D8482F">
        <w:t>w</w:t>
      </w:r>
      <w:r>
        <w:t>here</w:t>
      </w:r>
      <w:r w:rsidRPr="00D8482F">
        <w:t xml:space="preserve"> </w:t>
      </w:r>
      <w:r w:rsidR="00962C1D" w:rsidRPr="00D8482F">
        <w:t xml:space="preserve">each row </w:t>
      </w:r>
      <w:r w:rsidRPr="00D8482F">
        <w:t>represent</w:t>
      </w:r>
      <w:r>
        <w:t>s</w:t>
      </w:r>
      <w:r w:rsidRPr="00D8482F">
        <w:t xml:space="preserve"> </w:t>
      </w:r>
      <w:r w:rsidR="00962C1D" w:rsidRPr="00D8482F">
        <w:t xml:space="preserve">a nursing home resident and </w:t>
      </w:r>
      <w:r>
        <w:t>each</w:t>
      </w:r>
      <w:r w:rsidRPr="00D8482F">
        <w:t xml:space="preserve"> </w:t>
      </w:r>
      <w:r w:rsidR="00962C1D" w:rsidRPr="00D8482F">
        <w:t>column representing the data element</w:t>
      </w:r>
      <w:r>
        <w:t xml:space="preserve"> (variable)</w:t>
      </w:r>
      <w:r w:rsidR="00962C1D" w:rsidRPr="00D8482F">
        <w:t xml:space="preserve"> to be co</w:t>
      </w:r>
      <w:r w:rsidR="001742CB" w:rsidRPr="00D8482F">
        <w:t>llected</w:t>
      </w:r>
      <w:r w:rsidR="00962C1D" w:rsidRPr="00D8482F">
        <w:t xml:space="preserve">.  </w:t>
      </w:r>
      <w:r>
        <w:t xml:space="preserve">EIP personnel </w:t>
      </w:r>
      <w:r w:rsidR="00962C1D" w:rsidRPr="00D8482F">
        <w:t xml:space="preserve">will provide </w:t>
      </w:r>
      <w:r w:rsidR="00A041A7" w:rsidRPr="00D8482F">
        <w:t>a sufficient number of Resident</w:t>
      </w:r>
      <w:r w:rsidR="00962C1D" w:rsidRPr="00D8482F">
        <w:t xml:space="preserve"> by Location Forms to ensure every licensed bed in each </w:t>
      </w:r>
      <w:r w:rsidR="00311B39" w:rsidRPr="00D8482F">
        <w:t>nursing home</w:t>
      </w:r>
      <w:r w:rsidR="001742CB" w:rsidRPr="00D8482F">
        <w:t xml:space="preserve"> </w:t>
      </w:r>
      <w:r w:rsidR="00311B39" w:rsidRPr="00D8482F">
        <w:t xml:space="preserve">is included, </w:t>
      </w:r>
      <w:r w:rsidR="00962C1D" w:rsidRPr="00D8482F">
        <w:t>and</w:t>
      </w:r>
      <w:r>
        <w:t xml:space="preserve"> written</w:t>
      </w:r>
      <w:r w:rsidR="00962C1D" w:rsidRPr="00D8482F">
        <w:t xml:space="preserve"> instructions to</w:t>
      </w:r>
      <w:r>
        <w:t xml:space="preserve"> the</w:t>
      </w:r>
      <w:r w:rsidR="00962C1D" w:rsidRPr="00D8482F">
        <w:t xml:space="preserve"> </w:t>
      </w:r>
      <w:r w:rsidR="006D1180">
        <w:t>NH team</w:t>
      </w:r>
      <w:r w:rsidR="00962C1D" w:rsidRPr="00D8482F">
        <w:t xml:space="preserve"> either in person or via </w:t>
      </w:r>
      <w:r>
        <w:t>e-mail</w:t>
      </w:r>
      <w:r w:rsidR="00962C1D" w:rsidRPr="00D8482F">
        <w:t>.</w:t>
      </w:r>
      <w:r w:rsidR="00311B39" w:rsidRPr="00D8482F">
        <w:t xml:space="preserve"> The</w:t>
      </w:r>
      <w:r w:rsidR="00962C1D" w:rsidRPr="00D8482F">
        <w:t xml:space="preserve"> </w:t>
      </w:r>
      <w:r>
        <w:t xml:space="preserve">form </w:t>
      </w:r>
      <w:r w:rsidR="00962C1D" w:rsidRPr="00D8482F">
        <w:t>format</w:t>
      </w:r>
      <w:r>
        <w:t xml:space="preserve">, </w:t>
      </w:r>
      <w:r w:rsidR="001742CB" w:rsidRPr="00D8482F">
        <w:t>previously used</w:t>
      </w:r>
      <w:r w:rsidR="00311B39" w:rsidRPr="00D8482F">
        <w:t xml:space="preserve"> by </w:t>
      </w:r>
      <w:r>
        <w:t xml:space="preserve">European </w:t>
      </w:r>
      <w:r w:rsidR="006D1180">
        <w:t>CDC</w:t>
      </w:r>
      <w:r w:rsidR="00311B39" w:rsidRPr="00D8482F">
        <w:t xml:space="preserve"> for their </w:t>
      </w:r>
      <w:r w:rsidR="001742CB" w:rsidRPr="00D8482F">
        <w:t>long-term care surveys and for</w:t>
      </w:r>
      <w:r w:rsidR="00311B39" w:rsidRPr="00D8482F">
        <w:t xml:space="preserve"> the CDC pilot </w:t>
      </w:r>
      <w:r w:rsidR="001742CB" w:rsidRPr="00D8482F">
        <w:t xml:space="preserve">nursing home </w:t>
      </w:r>
      <w:r w:rsidR="00311B39" w:rsidRPr="00D8482F">
        <w:t xml:space="preserve">survey, </w:t>
      </w:r>
      <w:r w:rsidR="00962C1D" w:rsidRPr="00D8482F">
        <w:t xml:space="preserve">enables efficient </w:t>
      </w:r>
      <w:r w:rsidR="00311B39" w:rsidRPr="00D8482F">
        <w:t xml:space="preserve">collection of </w:t>
      </w:r>
      <w:r w:rsidR="00962C1D" w:rsidRPr="00D8482F">
        <w:t xml:space="preserve">resident-level </w:t>
      </w:r>
      <w:r w:rsidR="00311B39" w:rsidRPr="00D8482F">
        <w:t xml:space="preserve">demographic and basic clinical information while </w:t>
      </w:r>
      <w:r>
        <w:t xml:space="preserve">participants of the </w:t>
      </w:r>
      <w:r w:rsidR="006D1180">
        <w:t>NH team</w:t>
      </w:r>
      <w:r w:rsidR="00311B39" w:rsidRPr="00D8482F">
        <w:t xml:space="preserve"> are completing their routine </w:t>
      </w:r>
      <w:r w:rsidR="000236BC" w:rsidRPr="00D8482F">
        <w:t>resident-</w:t>
      </w:r>
      <w:r w:rsidR="00311B39" w:rsidRPr="00D8482F">
        <w:t>care duties</w:t>
      </w:r>
      <w:r>
        <w:t xml:space="preserve"> (e.g., nursing rounds)</w:t>
      </w:r>
      <w:r w:rsidR="00311B39" w:rsidRPr="00D8482F">
        <w:t xml:space="preserve">. </w:t>
      </w:r>
      <w:r w:rsidR="00C44137">
        <w:t>Provided</w:t>
      </w:r>
      <w:r w:rsidR="00A041A7" w:rsidRPr="00D8482F">
        <w:t xml:space="preserve"> a suitable WiFi internet connection is available at the nursing home, the</w:t>
      </w:r>
      <w:r w:rsidR="00320905" w:rsidRPr="00D8482F">
        <w:t xml:space="preserve"> data </w:t>
      </w:r>
      <w:r w:rsidR="00A041A7" w:rsidRPr="00D8482F">
        <w:t>for this form can</w:t>
      </w:r>
      <w:r w:rsidR="00320905" w:rsidRPr="00D8482F">
        <w:t xml:space="preserve"> be collected </w:t>
      </w:r>
      <w:r w:rsidR="00A041A7" w:rsidRPr="00D8482F">
        <w:t xml:space="preserve">with </w:t>
      </w:r>
      <w:r w:rsidR="00C44137">
        <w:t xml:space="preserve">a </w:t>
      </w:r>
      <w:r w:rsidR="00320905" w:rsidRPr="00D8482F">
        <w:t>CDC-developed database, such as R</w:t>
      </w:r>
      <w:r w:rsidR="000236BC" w:rsidRPr="00D8482F">
        <w:t xml:space="preserve">EDCAP, </w:t>
      </w:r>
      <w:r w:rsidR="00A041A7" w:rsidRPr="00D8482F">
        <w:t>loaded onto a</w:t>
      </w:r>
      <w:r w:rsidR="000236BC" w:rsidRPr="00D8482F">
        <w:t xml:space="preserve"> mobile tablet device</w:t>
      </w:r>
      <w:r w:rsidR="00A041A7" w:rsidRPr="00D8482F">
        <w:t>.</w:t>
      </w:r>
      <w:r>
        <w:t xml:space="preserve"> EIP personnel will provide </w:t>
      </w:r>
      <w:r w:rsidR="00A041A7" w:rsidRPr="00D8482F">
        <w:t xml:space="preserve">tablet devices </w:t>
      </w:r>
      <w:r>
        <w:t>for temporary use by</w:t>
      </w:r>
      <w:r w:rsidRPr="00D8482F">
        <w:t xml:space="preserve"> </w:t>
      </w:r>
      <w:r w:rsidR="00A041A7" w:rsidRPr="00D8482F">
        <w:t xml:space="preserve">nursing home staff for </w:t>
      </w:r>
      <w:r>
        <w:t xml:space="preserve">survey </w:t>
      </w:r>
      <w:r w:rsidR="00A041A7" w:rsidRPr="00D8482F">
        <w:t xml:space="preserve">data collection activates and will be returned upon completion of data collection. </w:t>
      </w:r>
      <w:r w:rsidR="000236BC" w:rsidRPr="00D8482F">
        <w:t xml:space="preserve">Data collected </w:t>
      </w:r>
      <w:r w:rsidR="00320905" w:rsidRPr="00D8482F">
        <w:t>via a table</w:t>
      </w:r>
      <w:r w:rsidR="00E457B9">
        <w:t>t</w:t>
      </w:r>
      <w:r w:rsidR="00320905" w:rsidRPr="00D8482F">
        <w:t xml:space="preserve"> </w:t>
      </w:r>
      <w:r w:rsidR="00A041A7" w:rsidRPr="00D8482F">
        <w:t>device will be</w:t>
      </w:r>
      <w:r w:rsidR="000236BC" w:rsidRPr="00D8482F">
        <w:t xml:space="preserve"> ent</w:t>
      </w:r>
      <w:r w:rsidR="00A041A7" w:rsidRPr="00D8482F">
        <w:t xml:space="preserve">ered directly into the database, and </w:t>
      </w:r>
      <w:r w:rsidR="00320905" w:rsidRPr="00D8482F">
        <w:t xml:space="preserve">enable </w:t>
      </w:r>
      <w:r w:rsidR="000236BC" w:rsidRPr="00D8482F">
        <w:t xml:space="preserve">the use of data entry edits, </w:t>
      </w:r>
      <w:r w:rsidR="00320905" w:rsidRPr="00D8482F">
        <w:t xml:space="preserve">checks and skip patterns to </w:t>
      </w:r>
      <w:r w:rsidR="000236BC" w:rsidRPr="00D8482F">
        <w:t>reduce errors and make data entry more efficient</w:t>
      </w:r>
      <w:r w:rsidR="00320905" w:rsidRPr="00D8482F">
        <w:t>.</w:t>
      </w:r>
      <w:r>
        <w:t xml:space="preserve"> The option for NH team</w:t>
      </w:r>
      <w:r w:rsidRPr="00D8482F">
        <w:t xml:space="preserve"> </w:t>
      </w:r>
      <w:r>
        <w:t xml:space="preserve">data </w:t>
      </w:r>
      <w:r w:rsidRPr="00D8482F">
        <w:t>collect</w:t>
      </w:r>
      <w:r>
        <w:t>ion</w:t>
      </w:r>
      <w:r w:rsidRPr="00D8482F">
        <w:t xml:space="preserve"> using a paper form</w:t>
      </w:r>
      <w:r>
        <w:t xml:space="preserve"> is also available</w:t>
      </w:r>
      <w:r w:rsidRPr="00D8482F">
        <w:t>.</w:t>
      </w:r>
      <w:r>
        <w:t xml:space="preserve"> </w:t>
      </w:r>
    </w:p>
    <w:p w14:paraId="25AC1767" w14:textId="77777777" w:rsidR="007A4CBA" w:rsidRPr="00D8482F" w:rsidRDefault="00320905" w:rsidP="00EE7469">
      <w:r w:rsidRPr="00D8482F">
        <w:t>All d</w:t>
      </w:r>
      <w:r w:rsidR="009025A8" w:rsidRPr="00D8482F">
        <w:t>ata collected on paper forms will be entered by EIP site personnel into a CDC-developed database such as REDC</w:t>
      </w:r>
      <w:r w:rsidR="00C44137">
        <w:t>AP</w:t>
      </w:r>
      <w:r w:rsidR="009025A8" w:rsidRPr="00D8482F">
        <w:t xml:space="preserve"> or a CDC-developed, web-based, electronic data management system. No personal identifiers such as resident name or medical record number will be submitted to CDC. Dates as noted above will be recorded on paper forms and in the data management system, and will be submitted to CDC.</w:t>
      </w:r>
      <w:r w:rsidR="00BD741F" w:rsidRPr="00D8482F">
        <w:t xml:space="preserve"> </w:t>
      </w:r>
    </w:p>
    <w:p w14:paraId="560A93C6" w14:textId="77777777" w:rsidR="00320905" w:rsidRPr="00D8482F" w:rsidRDefault="00320905" w:rsidP="00EE7469"/>
    <w:p w14:paraId="6ED3E619" w14:textId="77777777" w:rsidR="00BC7CD3" w:rsidRPr="00753597" w:rsidRDefault="00B21225" w:rsidP="00753597">
      <w:pPr>
        <w:pStyle w:val="Heading1"/>
      </w:pPr>
      <w:bookmarkStart w:id="13" w:name="_Toc444242960"/>
      <w:r w:rsidRPr="00753597">
        <w:t>Efforts to Identify Duplication and Use of Similar Information</w:t>
      </w:r>
      <w:bookmarkEnd w:id="13"/>
    </w:p>
    <w:p w14:paraId="522F3EBF" w14:textId="77777777" w:rsidR="00BC7CD3" w:rsidRPr="00D8482F" w:rsidRDefault="00BC7CD3" w:rsidP="00EE7469">
      <w:pPr>
        <w:rPr>
          <w:lang w:val="en-CA"/>
        </w:rPr>
      </w:pPr>
    </w:p>
    <w:p w14:paraId="7987145A" w14:textId="77777777" w:rsidR="001A3985" w:rsidRPr="00D8482F" w:rsidRDefault="00050F77" w:rsidP="00EE7469">
      <w:r w:rsidRPr="00D8482F">
        <w:t xml:space="preserve">CDC’s </w:t>
      </w:r>
      <w:r w:rsidR="009C40B0" w:rsidRPr="00D8482F">
        <w:t>NHSN</w:t>
      </w:r>
      <w:r w:rsidR="003C5F8F" w:rsidRPr="00D8482F">
        <w:t xml:space="preserve"> </w:t>
      </w:r>
      <w:r w:rsidR="001011D2">
        <w:t>[</w:t>
      </w:r>
      <w:r w:rsidR="009C3201" w:rsidRPr="00D8482F">
        <w:t>OMB Control No. 0920-0666</w:t>
      </w:r>
      <w:r w:rsidR="001011D2">
        <w:t>]</w:t>
      </w:r>
      <w:r w:rsidR="004B4D01" w:rsidRPr="00D8482F">
        <w:t xml:space="preserve"> Long-term C</w:t>
      </w:r>
      <w:r w:rsidR="009430F4" w:rsidRPr="00D8482F">
        <w:t>are</w:t>
      </w:r>
      <w:r w:rsidR="004B4D01" w:rsidRPr="00D8482F">
        <w:t xml:space="preserve"> Facility</w:t>
      </w:r>
      <w:r w:rsidR="009430F4" w:rsidRPr="00D8482F">
        <w:t xml:space="preserve"> Component</w:t>
      </w:r>
      <w:r w:rsidRPr="00D8482F">
        <w:t xml:space="preserve">, </w:t>
      </w:r>
      <w:r w:rsidR="004B4D01" w:rsidRPr="00D8482F">
        <w:t xml:space="preserve">released in September 2012, </w:t>
      </w:r>
      <w:r w:rsidRPr="00D8482F">
        <w:t>is not designed to estimate the scope</w:t>
      </w:r>
      <w:r w:rsidR="003C5F8F" w:rsidRPr="00D8482F">
        <w:t xml:space="preserve"> and magnitude of </w:t>
      </w:r>
      <w:r w:rsidR="009F792B" w:rsidRPr="00D8482F">
        <w:t xml:space="preserve">all types of </w:t>
      </w:r>
      <w:r w:rsidR="003C5F8F" w:rsidRPr="00D8482F">
        <w:t xml:space="preserve">HAI </w:t>
      </w:r>
      <w:r w:rsidR="009F792B" w:rsidRPr="00D8482F">
        <w:t xml:space="preserve">that occur in </w:t>
      </w:r>
      <w:r w:rsidR="009430F4" w:rsidRPr="00D8482F">
        <w:t>nursing home</w:t>
      </w:r>
      <w:r w:rsidR="009F792B" w:rsidRPr="00D8482F">
        <w:t xml:space="preserve"> residents</w:t>
      </w:r>
      <w:r w:rsidRPr="00D8482F">
        <w:t>; rather, it focuses on</w:t>
      </w:r>
      <w:r w:rsidR="000236BC" w:rsidRPr="00D8482F">
        <w:t xml:space="preserve"> specific types of infections, </w:t>
      </w:r>
      <w:r w:rsidR="007560BE">
        <w:t>such as</w:t>
      </w:r>
      <w:r w:rsidR="007560BE" w:rsidRPr="00D8482F">
        <w:t xml:space="preserve"> </w:t>
      </w:r>
      <w:r w:rsidR="003C5F8F" w:rsidRPr="00D8482F">
        <w:t>urinary tract infections</w:t>
      </w:r>
      <w:r w:rsidR="009430F4" w:rsidRPr="00D8482F">
        <w:t xml:space="preserve"> </w:t>
      </w:r>
      <w:r w:rsidR="00903FC3" w:rsidRPr="00D8482F">
        <w:t>(</w:t>
      </w:r>
      <w:hyperlink r:id="rId23" w:history="1">
        <w:r w:rsidR="003C5F8F" w:rsidRPr="00D8482F">
          <w:rPr>
            <w:rStyle w:val="Hyperlink"/>
          </w:rPr>
          <w:t>http://www.cdc.gov/nhsn/about.html</w:t>
        </w:r>
      </w:hyperlink>
      <w:r w:rsidR="00903FC3" w:rsidRPr="00D8482F">
        <w:t>)</w:t>
      </w:r>
      <w:r w:rsidR="009F792B" w:rsidRPr="00D8482F">
        <w:t xml:space="preserve">, </w:t>
      </w:r>
      <w:r w:rsidR="000236BC" w:rsidRPr="00D8482F">
        <w:t>and</w:t>
      </w:r>
      <w:r w:rsidR="005C38A3" w:rsidRPr="00D8482F">
        <w:t xml:space="preserve"> </w:t>
      </w:r>
      <w:r w:rsidR="00E13F0C" w:rsidRPr="00D8482F">
        <w:t xml:space="preserve">infections due to </w:t>
      </w:r>
      <w:r w:rsidR="000236BC" w:rsidRPr="00D8482F">
        <w:t>specific</w:t>
      </w:r>
      <w:r w:rsidR="005C38A3" w:rsidRPr="00D8482F">
        <w:t xml:space="preserve"> types of </w:t>
      </w:r>
      <w:r w:rsidR="00E13F0C" w:rsidRPr="00D8482F">
        <w:t>organisms</w:t>
      </w:r>
      <w:r w:rsidR="009F792B" w:rsidRPr="00D8482F">
        <w:t xml:space="preserve"> (e.g., </w:t>
      </w:r>
      <w:r w:rsidR="009F792B" w:rsidRPr="00D8482F">
        <w:rPr>
          <w:i/>
        </w:rPr>
        <w:t>Clostridium difficile</w:t>
      </w:r>
      <w:r w:rsidR="009F792B" w:rsidRPr="00D8482F">
        <w:t xml:space="preserve"> infection, methicillin resistant </w:t>
      </w:r>
      <w:r w:rsidR="000E3C6E" w:rsidRPr="00D8482F">
        <w:rPr>
          <w:i/>
        </w:rPr>
        <w:t>staphylococcus</w:t>
      </w:r>
      <w:r w:rsidR="009F792B" w:rsidRPr="00D8482F">
        <w:rPr>
          <w:i/>
        </w:rPr>
        <w:t xml:space="preserve"> aureus</w:t>
      </w:r>
      <w:r w:rsidR="009F792B" w:rsidRPr="00D8482F">
        <w:t>)</w:t>
      </w:r>
      <w:r w:rsidRPr="00D8482F">
        <w:t>.</w:t>
      </w:r>
      <w:r w:rsidR="009C40B0" w:rsidRPr="00D8482F">
        <w:t xml:space="preserve"> </w:t>
      </w:r>
      <w:r w:rsidR="005C38A3" w:rsidRPr="00D8482F">
        <w:t>Reporting of a</w:t>
      </w:r>
      <w:r w:rsidR="00F2689F" w:rsidRPr="00D8482F">
        <w:t xml:space="preserve">ntimicrobial </w:t>
      </w:r>
      <w:r w:rsidR="005C38A3" w:rsidRPr="00D8482F">
        <w:t xml:space="preserve">use </w:t>
      </w:r>
      <w:r w:rsidR="00F2689F" w:rsidRPr="00D8482F">
        <w:t>data to NHSN</w:t>
      </w:r>
      <w:r w:rsidR="009F792B" w:rsidRPr="00D8482F">
        <w:t xml:space="preserve"> is available for hospitals</w:t>
      </w:r>
      <w:r w:rsidR="004F4033" w:rsidRPr="00D8482F">
        <w:t xml:space="preserve"> (</w:t>
      </w:r>
      <w:hyperlink r:id="rId24" w:history="1">
        <w:r w:rsidR="004F4033" w:rsidRPr="00D8482F">
          <w:rPr>
            <w:rStyle w:val="Hyperlink"/>
          </w:rPr>
          <w:t>www.cdc.gov/nhsn/acute-care-hospital/aur/index.html</w:t>
        </w:r>
      </w:hyperlink>
      <w:r w:rsidR="004F4033" w:rsidRPr="00D8482F">
        <w:t xml:space="preserve"> )</w:t>
      </w:r>
      <w:r w:rsidR="009F792B" w:rsidRPr="00D8482F">
        <w:t>, but</w:t>
      </w:r>
      <w:r w:rsidR="004B4D01" w:rsidRPr="00D8482F">
        <w:t xml:space="preserve"> not for </w:t>
      </w:r>
      <w:r w:rsidR="009430F4" w:rsidRPr="00D8482F">
        <w:t>nursing homes</w:t>
      </w:r>
      <w:r w:rsidR="009F792B" w:rsidRPr="00D8482F">
        <w:t>, as this surveillance requires the use of electronic medication administration record (eMAR) and/or bar coding medication record (BCMA)</w:t>
      </w:r>
      <w:r w:rsidR="00575142" w:rsidRPr="00D8482F">
        <w:t xml:space="preserve"> and submission of data using Clinical Document Architecture. </w:t>
      </w:r>
      <w:r w:rsidR="009C40B0" w:rsidRPr="00D8482F">
        <w:t>In its current form</w:t>
      </w:r>
      <w:r w:rsidR="00782680" w:rsidRPr="00D8482F">
        <w:t xml:space="preserve"> NHSN</w:t>
      </w:r>
      <w:r w:rsidR="001268FF" w:rsidRPr="00D8482F">
        <w:t xml:space="preserve"> cannot provide estimates of </w:t>
      </w:r>
      <w:r w:rsidR="005B0E8E" w:rsidRPr="00D8482F">
        <w:t xml:space="preserve">all types of </w:t>
      </w:r>
      <w:r w:rsidR="001268FF" w:rsidRPr="00D8482F">
        <w:t xml:space="preserve">HAI </w:t>
      </w:r>
      <w:r w:rsidR="00782680">
        <w:t>n</w:t>
      </w:r>
      <w:r w:rsidR="00443968" w:rsidRPr="00D8482F">
        <w:t xml:space="preserve">or antimicrobial use </w:t>
      </w:r>
      <w:r w:rsidR="005364BA" w:rsidRPr="00D8482F">
        <w:t>for nursing homes</w:t>
      </w:r>
      <w:r w:rsidR="001268FF" w:rsidRPr="00D8482F">
        <w:t>.</w:t>
      </w:r>
    </w:p>
    <w:p w14:paraId="4E24C146" w14:textId="77777777" w:rsidR="001A3985" w:rsidRPr="00D8482F" w:rsidRDefault="001A3985" w:rsidP="00EE7469"/>
    <w:p w14:paraId="73176894" w14:textId="77777777" w:rsidR="009C40B0" w:rsidRPr="00D8482F" w:rsidRDefault="00050F77" w:rsidP="00EE7469">
      <w:r w:rsidRPr="00D8482F">
        <w:lastRenderedPageBreak/>
        <w:t>Measurements o</w:t>
      </w:r>
      <w:r w:rsidR="003C5F8F" w:rsidRPr="00D8482F">
        <w:t xml:space="preserve">f the magnitude and types of HAIs </w:t>
      </w:r>
      <w:r w:rsidR="00443968" w:rsidRPr="00D8482F">
        <w:t xml:space="preserve">and nature and extent of antimicrobial use </w:t>
      </w:r>
      <w:r w:rsidRPr="00D8482F">
        <w:t xml:space="preserve">occurring </w:t>
      </w:r>
      <w:r w:rsidR="001268FF" w:rsidRPr="00D8482F">
        <w:t>across</w:t>
      </w:r>
      <w:r w:rsidRPr="00D8482F">
        <w:t xml:space="preserve"> all </w:t>
      </w:r>
      <w:r w:rsidR="005364BA" w:rsidRPr="00D8482F">
        <w:t xml:space="preserve">healthcare settings </w:t>
      </w:r>
      <w:r w:rsidRPr="00D8482F">
        <w:t xml:space="preserve">are needed to inform decisions by local and national policy makers and by hospital infection control personnel regarding appropriate targets and strategies for HAI prevention, </w:t>
      </w:r>
      <w:r w:rsidR="00443968" w:rsidRPr="00D8482F">
        <w:t xml:space="preserve">measures to encourage appropriate antimicrobial use, </w:t>
      </w:r>
      <w:r w:rsidRPr="00D8482F">
        <w:t>and/or justification to focus efforts at specific antimicrobial resistant infections.</w:t>
      </w:r>
      <w:r w:rsidR="00CD4F28" w:rsidRPr="00D8482F">
        <w:t xml:space="preserve"> </w:t>
      </w:r>
      <w:r w:rsidRPr="00D8482F">
        <w:t>Such measurements</w:t>
      </w:r>
      <w:r w:rsidR="005364BA" w:rsidRPr="00D8482F">
        <w:t xml:space="preserve"> </w:t>
      </w:r>
      <w:r w:rsidRPr="00D8482F">
        <w:t>can be obtained in prevalence surveys.</w:t>
      </w:r>
      <w:r w:rsidR="009C40B0" w:rsidRPr="00D8482F">
        <w:t xml:space="preserve"> </w:t>
      </w:r>
      <w:r w:rsidR="00CD4F28" w:rsidRPr="00D8482F">
        <w:t>Prevalence</w:t>
      </w:r>
      <w:r w:rsidR="0001233E" w:rsidRPr="00D8482F">
        <w:t xml:space="preserve"> </w:t>
      </w:r>
      <w:r w:rsidRPr="00D8482F">
        <w:t xml:space="preserve">surveys have been conducted in </w:t>
      </w:r>
      <w:r w:rsidR="004606BE" w:rsidRPr="00D8482F">
        <w:t xml:space="preserve">long-term care facilities or nursing homes in </w:t>
      </w:r>
      <w:r w:rsidRPr="00D8482F">
        <w:t xml:space="preserve">several </w:t>
      </w:r>
      <w:r w:rsidR="004606BE" w:rsidRPr="00D8482F">
        <w:t>European count</w:t>
      </w:r>
      <w:r w:rsidR="00960495">
        <w:t>r</w:t>
      </w:r>
      <w:r w:rsidR="004606BE" w:rsidRPr="00D8482F">
        <w:t xml:space="preserve">ies </w:t>
      </w:r>
      <w:r w:rsidR="00191E0E" w:rsidRPr="00D8482F">
        <w:t>(</w:t>
      </w:r>
      <w:r w:rsidR="004F4033" w:rsidRPr="00D8482F">
        <w:t>4</w:t>
      </w:r>
      <w:r w:rsidR="00782680" w:rsidRPr="00D8482F">
        <w:t>, 5</w:t>
      </w:r>
      <w:r w:rsidR="00191E0E" w:rsidRPr="00D8482F">
        <w:t xml:space="preserve">) </w:t>
      </w:r>
      <w:r w:rsidR="004606BE" w:rsidRPr="00D8482F">
        <w:t xml:space="preserve">and in U.S. Veterans Affairs </w:t>
      </w:r>
      <w:r w:rsidR="007560BE" w:rsidRPr="00D8482F">
        <w:t>facilities in</w:t>
      </w:r>
      <w:r w:rsidRPr="00D8482F">
        <w:t xml:space="preserve"> recent years</w:t>
      </w:r>
      <w:r w:rsidR="00C77282" w:rsidRPr="00D8482F">
        <w:t xml:space="preserve"> </w:t>
      </w:r>
      <w:r w:rsidR="00782680">
        <w:t>(</w:t>
      </w:r>
      <w:r w:rsidR="00B609CA">
        <w:t>10</w:t>
      </w:r>
      <w:r w:rsidR="004F4033" w:rsidRPr="00D8482F">
        <w:t>,</w:t>
      </w:r>
      <w:r w:rsidR="00B609CA" w:rsidRPr="00D8482F">
        <w:t>1</w:t>
      </w:r>
      <w:r w:rsidR="00B609CA">
        <w:t>1</w:t>
      </w:r>
      <w:r w:rsidR="004F4033" w:rsidRPr="00D8482F">
        <w:t>,</w:t>
      </w:r>
      <w:r w:rsidR="00B609CA" w:rsidRPr="00D8482F">
        <w:t>1</w:t>
      </w:r>
      <w:r w:rsidR="00B609CA">
        <w:t>2</w:t>
      </w:r>
      <w:r w:rsidR="00782680">
        <w:t>)</w:t>
      </w:r>
      <w:r w:rsidR="00782680" w:rsidRPr="00D8482F">
        <w:t xml:space="preserve">. </w:t>
      </w:r>
      <w:r w:rsidRPr="00D8482F">
        <w:t>There are</w:t>
      </w:r>
      <w:r w:rsidR="004606BE" w:rsidRPr="00D8482F">
        <w:t xml:space="preserve"> </w:t>
      </w:r>
      <w:r w:rsidR="00E13F0C" w:rsidRPr="00D8482F">
        <w:t xml:space="preserve">currently </w:t>
      </w:r>
      <w:r w:rsidRPr="00D8482F">
        <w:t xml:space="preserve">no duplicate efforts </w:t>
      </w:r>
      <w:r w:rsidR="005364BA" w:rsidRPr="00D8482F">
        <w:t xml:space="preserve">in </w:t>
      </w:r>
      <w:r w:rsidR="004606BE" w:rsidRPr="00D8482F">
        <w:t xml:space="preserve">general </w:t>
      </w:r>
      <w:r w:rsidR="00264AA2" w:rsidRPr="00D8482F">
        <w:t xml:space="preserve">(e.g., non-VA facilities) </w:t>
      </w:r>
      <w:r w:rsidR="005364BA" w:rsidRPr="00D8482F">
        <w:t xml:space="preserve">nursing homes </w:t>
      </w:r>
      <w:r w:rsidRPr="00D8482F">
        <w:t xml:space="preserve">underway </w:t>
      </w:r>
      <w:r w:rsidR="00960495">
        <w:t>in</w:t>
      </w:r>
      <w:r w:rsidR="00960495" w:rsidRPr="00D8482F">
        <w:t xml:space="preserve"> </w:t>
      </w:r>
      <w:r w:rsidRPr="00D8482F">
        <w:t>the United States</w:t>
      </w:r>
      <w:r w:rsidR="00960495">
        <w:t>.</w:t>
      </w:r>
    </w:p>
    <w:p w14:paraId="6413E0E9" w14:textId="77777777" w:rsidR="0073632E" w:rsidRPr="00D8482F" w:rsidRDefault="0073632E" w:rsidP="00EE7469"/>
    <w:p w14:paraId="69A84141" w14:textId="77777777" w:rsidR="00334757" w:rsidRPr="00D8482F" w:rsidRDefault="00334757" w:rsidP="00334757">
      <w:r w:rsidRPr="00D8482F">
        <w:t xml:space="preserve">Other CDC systems that have the capability of collecting information on </w:t>
      </w:r>
      <w:r w:rsidR="007560BE">
        <w:t>infections</w:t>
      </w:r>
      <w:r w:rsidR="007560BE" w:rsidRPr="00D8482F">
        <w:t xml:space="preserve"> </w:t>
      </w:r>
      <w:r w:rsidRPr="00D8482F">
        <w:t xml:space="preserve">in </w:t>
      </w:r>
      <w:r w:rsidR="00191E0E" w:rsidRPr="00D8482F">
        <w:t xml:space="preserve">nursing homes </w:t>
      </w:r>
      <w:r w:rsidRPr="00D8482F">
        <w:t xml:space="preserve">include the National </w:t>
      </w:r>
      <w:r w:rsidR="00191E0E" w:rsidRPr="00D8482F">
        <w:t>Nursing Home Survey</w:t>
      </w:r>
      <w:r w:rsidRPr="00D8482F">
        <w:t xml:space="preserve"> (</w:t>
      </w:r>
      <w:r w:rsidR="00191E0E" w:rsidRPr="00D8482F">
        <w:t>NNHS</w:t>
      </w:r>
      <w:r w:rsidRPr="00D8482F">
        <w:t xml:space="preserve">), run by the National Center for Health Statistics (NCHS). </w:t>
      </w:r>
      <w:r w:rsidR="00191E0E" w:rsidRPr="00D8482F">
        <w:t>However, the NNSH was last conducted in 2004 (</w:t>
      </w:r>
      <w:hyperlink r:id="rId25" w:history="1">
        <w:r w:rsidR="00191E0E" w:rsidRPr="00D8482F">
          <w:rPr>
            <w:rStyle w:val="Hyperlink"/>
          </w:rPr>
          <w:t>www.cdc.gov/nchs/nnhs.htm</w:t>
        </w:r>
      </w:hyperlink>
      <w:r w:rsidR="002740AD" w:rsidRPr="00D8482F">
        <w:t xml:space="preserve">). </w:t>
      </w:r>
      <w:r w:rsidR="00191E0E" w:rsidRPr="00D8482F">
        <w:t xml:space="preserve"> </w:t>
      </w:r>
      <w:r w:rsidR="002740AD" w:rsidRPr="00D8482F">
        <w:t xml:space="preserve">We in the Division of Healthcare Quality Promotion (DHQP) </w:t>
      </w:r>
      <w:r w:rsidR="00575142" w:rsidRPr="00D8482F">
        <w:t>collaborated</w:t>
      </w:r>
      <w:r w:rsidR="002740AD" w:rsidRPr="00D8482F">
        <w:t xml:space="preserve"> with NCHS staff to generate</w:t>
      </w:r>
      <w:r w:rsidR="00E4136D" w:rsidRPr="00D8482F">
        <w:t xml:space="preserve"> and publish</w:t>
      </w:r>
      <w:r w:rsidR="002740AD" w:rsidRPr="00D8482F">
        <w:t xml:space="preserve"> </w:t>
      </w:r>
      <w:r w:rsidR="004F4033" w:rsidRPr="00D8482F">
        <w:t xml:space="preserve">in the peer reviewed literature </w:t>
      </w:r>
      <w:r w:rsidR="002740AD" w:rsidRPr="00D8482F">
        <w:t>estimate</w:t>
      </w:r>
      <w:r w:rsidR="00575142" w:rsidRPr="00D8482F">
        <w:t>s</w:t>
      </w:r>
      <w:r w:rsidR="002740AD" w:rsidRPr="00D8482F">
        <w:t xml:space="preserve"> of infection prevalence </w:t>
      </w:r>
      <w:r w:rsidR="00191E0E" w:rsidRPr="00D8482F">
        <w:t>in various</w:t>
      </w:r>
      <w:r w:rsidR="004F4033" w:rsidRPr="00D8482F">
        <w:t xml:space="preserve"> U.S.</w:t>
      </w:r>
      <w:r w:rsidR="00191E0E" w:rsidRPr="00D8482F">
        <w:t xml:space="preserve"> long-term care settings</w:t>
      </w:r>
      <w:r w:rsidR="004F4033" w:rsidRPr="00D8482F">
        <w:t xml:space="preserve">, </w:t>
      </w:r>
      <w:r w:rsidR="00E4136D" w:rsidRPr="00D8482F">
        <w:t>including nursing home</w:t>
      </w:r>
      <w:r w:rsidR="000236BC" w:rsidRPr="00D8482F">
        <w:t>s</w:t>
      </w:r>
      <w:r w:rsidR="004F4033" w:rsidRPr="00D8482F">
        <w:t xml:space="preserve"> </w:t>
      </w:r>
      <w:r w:rsidR="00782680">
        <w:t>(</w:t>
      </w:r>
      <w:r w:rsidR="00B609CA" w:rsidRPr="00D8482F">
        <w:t>1</w:t>
      </w:r>
      <w:r w:rsidR="00B609CA">
        <w:t>3</w:t>
      </w:r>
      <w:r w:rsidR="00782680">
        <w:t>)</w:t>
      </w:r>
      <w:r w:rsidR="00782680" w:rsidRPr="00D8482F">
        <w:t xml:space="preserve">. </w:t>
      </w:r>
      <w:r w:rsidR="00E4136D" w:rsidRPr="00D8482F">
        <w:t>While useful,</w:t>
      </w:r>
      <w:r w:rsidR="00191E0E" w:rsidRPr="00D8482F">
        <w:t xml:space="preserve"> </w:t>
      </w:r>
      <w:r w:rsidR="002740AD" w:rsidRPr="00D8482F">
        <w:t>the</w:t>
      </w:r>
      <w:r w:rsidR="00E4136D" w:rsidRPr="00D8482F">
        <w:t>se</w:t>
      </w:r>
      <w:r w:rsidR="002740AD" w:rsidRPr="00D8482F">
        <w:t xml:space="preserve"> </w:t>
      </w:r>
      <w:r w:rsidR="00B66CC7" w:rsidRPr="00D8482F">
        <w:t>estimate</w:t>
      </w:r>
      <w:r w:rsidR="00B66CC7">
        <w:t>s</w:t>
      </w:r>
      <w:r w:rsidR="00B66CC7" w:rsidRPr="00D8482F">
        <w:t xml:space="preserve"> </w:t>
      </w:r>
      <w:r w:rsidR="00E4136D" w:rsidRPr="00D8482F">
        <w:t>were of all infections, not those that are “healthcare-associated</w:t>
      </w:r>
      <w:r w:rsidR="00B66CC7">
        <w:t>,</w:t>
      </w:r>
      <w:r w:rsidR="00E4136D" w:rsidRPr="00D8482F">
        <w:t xml:space="preserve">” because the </w:t>
      </w:r>
      <w:r w:rsidR="002740AD" w:rsidRPr="00D8482F">
        <w:t>data</w:t>
      </w:r>
      <w:r w:rsidR="00E4136D" w:rsidRPr="00D8482F">
        <w:t xml:space="preserve"> collected</w:t>
      </w:r>
      <w:r w:rsidR="002740AD" w:rsidRPr="00D8482F">
        <w:t xml:space="preserve"> did not permit us to</w:t>
      </w:r>
      <w:r w:rsidR="00191E0E" w:rsidRPr="00D8482F">
        <w:t xml:space="preserve"> distinguish </w:t>
      </w:r>
      <w:r w:rsidR="00575142" w:rsidRPr="00D8482F">
        <w:t xml:space="preserve">between </w:t>
      </w:r>
      <w:r w:rsidR="00191E0E" w:rsidRPr="00D8482F">
        <w:t xml:space="preserve">infections that </w:t>
      </w:r>
      <w:r w:rsidR="00575142" w:rsidRPr="00D8482F">
        <w:t xml:space="preserve">had their on-set in the nursing home </w:t>
      </w:r>
      <w:r w:rsidR="00191E0E" w:rsidRPr="00D8482F">
        <w:t>fro</w:t>
      </w:r>
      <w:r w:rsidR="002740AD" w:rsidRPr="00D8482F">
        <w:t xml:space="preserve">m those </w:t>
      </w:r>
      <w:r w:rsidR="00575142" w:rsidRPr="00D8482F">
        <w:t>present at the time of nursing home admission (e.g., after discharge from hospital)</w:t>
      </w:r>
      <w:r w:rsidR="002740AD" w:rsidRPr="00D8482F">
        <w:t xml:space="preserve">. </w:t>
      </w:r>
      <w:r w:rsidR="00575142" w:rsidRPr="00D8482F">
        <w:t>In 2012, t</w:t>
      </w:r>
      <w:r w:rsidR="002740AD" w:rsidRPr="00D8482F">
        <w:t>he NNHS was replaced by the</w:t>
      </w:r>
      <w:r w:rsidR="002740AD" w:rsidRPr="00D8482F">
        <w:rPr>
          <w:color w:val="000000"/>
          <w:lang w:val="en"/>
        </w:rPr>
        <w:t xml:space="preserve"> biennial National Study of Long-Term Care Providers (NSLTCP, </w:t>
      </w:r>
      <w:hyperlink r:id="rId26" w:history="1">
        <w:r w:rsidR="002740AD" w:rsidRPr="00D8482F">
          <w:rPr>
            <w:rStyle w:val="Hyperlink"/>
            <w:lang w:val="en"/>
          </w:rPr>
          <w:t>www.cdc.gov/nchs/nsltcp/about_nsltcp.htm</w:t>
        </w:r>
      </w:hyperlink>
      <w:r w:rsidR="002740AD" w:rsidRPr="00D8482F">
        <w:rPr>
          <w:color w:val="000000"/>
          <w:lang w:val="en"/>
        </w:rPr>
        <w:t xml:space="preserve">). </w:t>
      </w:r>
      <w:r w:rsidR="00264AA2" w:rsidRPr="00D8482F">
        <w:rPr>
          <w:color w:val="000000"/>
          <w:lang w:val="en"/>
        </w:rPr>
        <w:t>However, in order to meet the goal o</w:t>
      </w:r>
      <w:r w:rsidR="002A6CC4" w:rsidRPr="00D8482F">
        <w:rPr>
          <w:color w:val="000000"/>
          <w:lang w:val="en"/>
        </w:rPr>
        <w:t>f</w:t>
      </w:r>
      <w:r w:rsidR="00264AA2" w:rsidRPr="00D8482F">
        <w:rPr>
          <w:color w:val="000000"/>
          <w:lang w:val="en"/>
        </w:rPr>
        <w:t xml:space="preserve"> monitoring continual changes occurring in the </w:t>
      </w:r>
      <w:r w:rsidR="000236BC" w:rsidRPr="00D8482F">
        <w:rPr>
          <w:color w:val="000000"/>
          <w:lang w:val="en"/>
        </w:rPr>
        <w:t>long-term care</w:t>
      </w:r>
      <w:r w:rsidR="00264AA2" w:rsidRPr="00D8482F">
        <w:rPr>
          <w:color w:val="000000"/>
          <w:lang w:val="en"/>
        </w:rPr>
        <w:t xml:space="preserve"> field in a time of increasingly limited resources, the NSL</w:t>
      </w:r>
      <w:r w:rsidR="00960495">
        <w:rPr>
          <w:color w:val="000000"/>
          <w:lang w:val="en"/>
        </w:rPr>
        <w:t>T</w:t>
      </w:r>
      <w:r w:rsidR="00264AA2" w:rsidRPr="00D8482F">
        <w:rPr>
          <w:color w:val="000000"/>
          <w:lang w:val="en"/>
        </w:rPr>
        <w:t>CP does not perform any primary data collection in nursing homes, and relies on existing administrative data obtained from other federal agencies</w:t>
      </w:r>
      <w:r w:rsidR="002A6CC4" w:rsidRPr="00D8482F">
        <w:rPr>
          <w:color w:val="000000"/>
          <w:lang w:val="en"/>
        </w:rPr>
        <w:t xml:space="preserve"> (i.e., the Centers for Medicare &amp; Medicaid Services (CMS))</w:t>
      </w:r>
      <w:r w:rsidR="00264AA2" w:rsidRPr="00D8482F">
        <w:rPr>
          <w:color w:val="000000"/>
          <w:lang w:val="en"/>
        </w:rPr>
        <w:t>.</w:t>
      </w:r>
      <w:r w:rsidR="0088550D">
        <w:rPr>
          <w:color w:val="000000"/>
          <w:lang w:val="en"/>
        </w:rPr>
        <w:t xml:space="preserve"> </w:t>
      </w:r>
      <w:r w:rsidR="00DA0570">
        <w:rPr>
          <w:color w:val="000000"/>
          <w:lang w:val="en"/>
        </w:rPr>
        <w:t>This was confirmed in</w:t>
      </w:r>
      <w:r w:rsidR="0088550D">
        <w:rPr>
          <w:color w:val="000000"/>
          <w:lang w:val="en"/>
        </w:rPr>
        <w:t xml:space="preserve"> consultation with Dr. Lauren Harris-Kojetin, Chief of the Long-term </w:t>
      </w:r>
      <w:r w:rsidR="00DA0570">
        <w:rPr>
          <w:color w:val="000000"/>
          <w:lang w:val="en"/>
        </w:rPr>
        <w:t xml:space="preserve">Care Statistics branch </w:t>
      </w:r>
      <w:r w:rsidR="002639F3">
        <w:rPr>
          <w:color w:val="000000"/>
          <w:lang w:val="en"/>
        </w:rPr>
        <w:t xml:space="preserve">(LTCSB) </w:t>
      </w:r>
      <w:r w:rsidR="00DA0570">
        <w:rPr>
          <w:color w:val="000000"/>
          <w:lang w:val="en"/>
        </w:rPr>
        <w:t xml:space="preserve">at NCHS, and prompted </w:t>
      </w:r>
      <w:r w:rsidR="0088550D">
        <w:rPr>
          <w:color w:val="000000"/>
          <w:lang w:val="en"/>
        </w:rPr>
        <w:t xml:space="preserve">discussion </w:t>
      </w:r>
      <w:r w:rsidR="00DA0570">
        <w:rPr>
          <w:color w:val="000000"/>
          <w:lang w:val="en"/>
        </w:rPr>
        <w:t xml:space="preserve">on </w:t>
      </w:r>
      <w:r w:rsidR="0088550D">
        <w:rPr>
          <w:color w:val="000000"/>
          <w:lang w:val="en"/>
        </w:rPr>
        <w:t xml:space="preserve">identifying future opportunities for collaboration NCHS (Attachment I). </w:t>
      </w:r>
      <w:r w:rsidR="0052784F" w:rsidRPr="002639F3">
        <w:rPr>
          <w:color w:val="000000"/>
          <w:lang w:val="en"/>
        </w:rPr>
        <w:t xml:space="preserve">We will continue to work with </w:t>
      </w:r>
      <w:r w:rsidR="002639F3" w:rsidRPr="002639F3">
        <w:rPr>
          <w:color w:val="000000"/>
          <w:lang w:val="en"/>
        </w:rPr>
        <w:t>staff of the LTCSB</w:t>
      </w:r>
      <w:r w:rsidR="0052784F" w:rsidRPr="002639F3">
        <w:rPr>
          <w:color w:val="000000"/>
          <w:lang w:val="en"/>
        </w:rPr>
        <w:t xml:space="preserve"> to explore opportunities to share data collection platforms in the future, as well as to understand the sample </w:t>
      </w:r>
      <w:r w:rsidR="002639F3" w:rsidRPr="002639F3">
        <w:rPr>
          <w:color w:val="000000"/>
          <w:lang w:val="en"/>
        </w:rPr>
        <w:t xml:space="preserve">of nursing home </w:t>
      </w:r>
      <w:r w:rsidR="0052784F" w:rsidRPr="002639F3">
        <w:rPr>
          <w:color w:val="000000"/>
          <w:lang w:val="en"/>
        </w:rPr>
        <w:t xml:space="preserve">for the current </w:t>
      </w:r>
      <w:r w:rsidR="002639F3" w:rsidRPr="002639F3">
        <w:rPr>
          <w:color w:val="000000"/>
          <w:lang w:val="en"/>
        </w:rPr>
        <w:t>prevalence survey</w:t>
      </w:r>
      <w:r w:rsidR="0052784F" w:rsidRPr="002639F3">
        <w:rPr>
          <w:color w:val="000000"/>
          <w:lang w:val="en"/>
        </w:rPr>
        <w:t>.</w:t>
      </w:r>
    </w:p>
    <w:p w14:paraId="76DC490E" w14:textId="77777777" w:rsidR="00334757" w:rsidRPr="00D8482F" w:rsidRDefault="00334757" w:rsidP="00334757"/>
    <w:p w14:paraId="7BEB943F" w14:textId="77777777" w:rsidR="007720C3" w:rsidRPr="00D56087" w:rsidRDefault="0096414E" w:rsidP="001C48E0">
      <w:pPr>
        <w:pStyle w:val="CM22"/>
        <w:spacing w:after="272" w:line="276" w:lineRule="atLeast"/>
        <w:ind w:right="87"/>
        <w:rPr>
          <w:rFonts w:ascii="Times New Roman" w:hAnsi="Times New Roman"/>
          <w:color w:val="000000"/>
        </w:rPr>
      </w:pPr>
      <w:r w:rsidRPr="00465506">
        <w:rPr>
          <w:rFonts w:ascii="Times New Roman" w:hAnsi="Times New Roman"/>
        </w:rPr>
        <w:t xml:space="preserve">CMS, </w:t>
      </w:r>
      <w:r w:rsidR="00C432B2" w:rsidRPr="00465506">
        <w:rPr>
          <w:rFonts w:ascii="Times New Roman" w:hAnsi="Times New Roman"/>
        </w:rPr>
        <w:t xml:space="preserve">the </w:t>
      </w:r>
      <w:r w:rsidR="008D66B1" w:rsidRPr="00465506">
        <w:rPr>
          <w:rFonts w:ascii="Times New Roman" w:hAnsi="Times New Roman"/>
        </w:rPr>
        <w:t xml:space="preserve">federal agency responsible for oversight and regulation of U.S. nursing homes, routinely collects </w:t>
      </w:r>
      <w:r w:rsidR="00C432B2" w:rsidRPr="00B5551E">
        <w:rPr>
          <w:rFonts w:ascii="Times New Roman" w:hAnsi="Times New Roman"/>
        </w:rPr>
        <w:t xml:space="preserve">large amounts of </w:t>
      </w:r>
      <w:r w:rsidR="008D66B1" w:rsidRPr="00B5551E">
        <w:rPr>
          <w:rFonts w:ascii="Times New Roman" w:hAnsi="Times New Roman"/>
        </w:rPr>
        <w:t>nursing home resident</w:t>
      </w:r>
      <w:r w:rsidR="00C553C7" w:rsidRPr="00B5551E">
        <w:rPr>
          <w:rFonts w:ascii="Times New Roman" w:hAnsi="Times New Roman"/>
        </w:rPr>
        <w:t xml:space="preserve"> and facility-level</w:t>
      </w:r>
      <w:r w:rsidR="008D66B1" w:rsidRPr="00B5551E">
        <w:rPr>
          <w:rFonts w:ascii="Times New Roman" w:hAnsi="Times New Roman"/>
        </w:rPr>
        <w:t xml:space="preserve"> data </w:t>
      </w:r>
      <w:r w:rsidR="00C432B2" w:rsidRPr="00B5551E">
        <w:rPr>
          <w:rFonts w:ascii="Times New Roman" w:hAnsi="Times New Roman"/>
        </w:rPr>
        <w:t xml:space="preserve">for programs such as the Nursing Home Prospective Payment System and the Nursing Home Quality Initiative.  </w:t>
      </w:r>
      <w:r w:rsidR="00C553C7" w:rsidRPr="0031366F">
        <w:rPr>
          <w:rFonts w:ascii="Times New Roman" w:hAnsi="Times New Roman"/>
          <w:color w:val="000000"/>
        </w:rPr>
        <w:t>All persons (regardless of payer) who reside in a Medicare</w:t>
      </w:r>
      <w:r w:rsidR="007560BE">
        <w:rPr>
          <w:rFonts w:ascii="Times New Roman" w:hAnsi="Times New Roman"/>
          <w:color w:val="000000"/>
        </w:rPr>
        <w:t xml:space="preserve"> </w:t>
      </w:r>
      <w:r w:rsidR="00C553C7" w:rsidRPr="0031366F">
        <w:rPr>
          <w:rFonts w:ascii="Times New Roman" w:hAnsi="Times New Roman"/>
          <w:color w:val="000000"/>
        </w:rPr>
        <w:t>or Medicaid-certified nursing faci</w:t>
      </w:r>
      <w:r w:rsidR="00C553C7" w:rsidRPr="00280A6E">
        <w:rPr>
          <w:rFonts w:ascii="Times New Roman" w:hAnsi="Times New Roman"/>
          <w:color w:val="000000"/>
        </w:rPr>
        <w:t xml:space="preserve">lity must have a resident assessment, via </w:t>
      </w:r>
      <w:r w:rsidR="00104A30" w:rsidRPr="00280A6E">
        <w:rPr>
          <w:rFonts w:ascii="Times New Roman" w:hAnsi="Times New Roman"/>
          <w:color w:val="000000"/>
        </w:rPr>
        <w:t>the</w:t>
      </w:r>
      <w:r w:rsidR="00C553C7" w:rsidRPr="00280A6E">
        <w:rPr>
          <w:rFonts w:ascii="Times New Roman" w:hAnsi="Times New Roman"/>
          <w:color w:val="000000"/>
        </w:rPr>
        <w:t xml:space="preserve"> Minimum Data Set (MDS), completed.  The MDS uses a variety of </w:t>
      </w:r>
      <w:r w:rsidR="00AC4D4B">
        <w:rPr>
          <w:rFonts w:ascii="Times New Roman" w:hAnsi="Times New Roman"/>
          <w:color w:val="000000"/>
        </w:rPr>
        <w:t xml:space="preserve">data </w:t>
      </w:r>
      <w:r w:rsidR="00C553C7" w:rsidRPr="00280A6E">
        <w:rPr>
          <w:rFonts w:ascii="Times New Roman" w:hAnsi="Times New Roman"/>
          <w:color w:val="000000"/>
        </w:rPr>
        <w:t>sources, including resident interviews and medical records, to capture information on clinical diagnoses, medication, physical and cognitive functio</w:t>
      </w:r>
      <w:r w:rsidR="00C553C7" w:rsidRPr="00D1576D">
        <w:rPr>
          <w:rFonts w:ascii="Times New Roman" w:hAnsi="Times New Roman"/>
          <w:color w:val="000000"/>
        </w:rPr>
        <w:t>ning, mood, and resident preferences in diet and activities.</w:t>
      </w:r>
      <w:r w:rsidR="00104A30" w:rsidRPr="00D1576D">
        <w:rPr>
          <w:rFonts w:ascii="Times New Roman" w:hAnsi="Times New Roman"/>
          <w:color w:val="000000"/>
        </w:rPr>
        <w:t xml:space="preserve"> Electronic MDS assessment data are available from approximately 16,000 nurs</w:t>
      </w:r>
      <w:r w:rsidR="00104A30" w:rsidRPr="00D56087">
        <w:rPr>
          <w:rFonts w:ascii="Times New Roman" w:hAnsi="Times New Roman"/>
          <w:color w:val="000000"/>
        </w:rPr>
        <w:t>ing homes for approximately 3 million individuals who reside in nursing homes each year.</w:t>
      </w:r>
      <w:r w:rsidR="00C553C7" w:rsidRPr="00D56087">
        <w:rPr>
          <w:rFonts w:ascii="Times New Roman" w:hAnsi="Times New Roman"/>
          <w:color w:val="000000"/>
        </w:rPr>
        <w:t xml:space="preserve"> </w:t>
      </w:r>
      <w:r w:rsidR="00104A30" w:rsidRPr="00D56087">
        <w:rPr>
          <w:rFonts w:ascii="Times New Roman" w:hAnsi="Times New Roman"/>
          <w:color w:val="000000"/>
        </w:rPr>
        <w:t xml:space="preserve"> </w:t>
      </w:r>
      <w:r w:rsidR="007720C3" w:rsidRPr="00D56087">
        <w:rPr>
          <w:rFonts w:ascii="Times New Roman" w:hAnsi="Times New Roman"/>
          <w:color w:val="000000"/>
        </w:rPr>
        <w:t>T</w:t>
      </w:r>
      <w:r w:rsidR="00104A30" w:rsidRPr="00D56087">
        <w:rPr>
          <w:rFonts w:ascii="Times New Roman" w:hAnsi="Times New Roman"/>
          <w:color w:val="000000"/>
        </w:rPr>
        <w:t xml:space="preserve">he MDS </w:t>
      </w:r>
      <w:r w:rsidR="00B028ED" w:rsidRPr="00D56087">
        <w:rPr>
          <w:rFonts w:ascii="Times New Roman" w:hAnsi="Times New Roman"/>
          <w:color w:val="000000"/>
        </w:rPr>
        <w:t xml:space="preserve">collects substantial </w:t>
      </w:r>
      <w:r w:rsidR="00104A30" w:rsidRPr="00D56087">
        <w:rPr>
          <w:rFonts w:ascii="Times New Roman" w:hAnsi="Times New Roman"/>
          <w:color w:val="000000"/>
        </w:rPr>
        <w:t>resident-level data</w:t>
      </w:r>
      <w:r w:rsidR="00710C66" w:rsidRPr="00D56087">
        <w:rPr>
          <w:rFonts w:ascii="Times New Roman" w:hAnsi="Times New Roman"/>
          <w:color w:val="000000"/>
        </w:rPr>
        <w:t>,</w:t>
      </w:r>
      <w:r w:rsidR="00072C7F" w:rsidRPr="00D56087">
        <w:rPr>
          <w:rFonts w:ascii="Times New Roman" w:hAnsi="Times New Roman"/>
          <w:color w:val="000000"/>
        </w:rPr>
        <w:t xml:space="preserve"> including </w:t>
      </w:r>
      <w:r w:rsidR="00B028ED" w:rsidRPr="00D56087">
        <w:rPr>
          <w:rFonts w:ascii="Times New Roman" w:hAnsi="Times New Roman"/>
          <w:color w:val="000000"/>
        </w:rPr>
        <w:t xml:space="preserve">(in </w:t>
      </w:r>
      <w:r w:rsidR="00B028ED" w:rsidRPr="00465506">
        <w:rPr>
          <w:rFonts w:ascii="Times New Roman" w:hAnsi="Times New Roman"/>
          <w:lang w:val="en"/>
        </w:rPr>
        <w:t>Section I of the MDS 3.0: Active diagnoses</w:t>
      </w:r>
      <w:r w:rsidR="00AC4D4B" w:rsidRPr="00465506">
        <w:rPr>
          <w:rFonts w:ascii="Times New Roman" w:hAnsi="Times New Roman"/>
          <w:lang w:val="en"/>
        </w:rPr>
        <w:t>) information</w:t>
      </w:r>
      <w:r w:rsidR="00072C7F" w:rsidRPr="00465506">
        <w:rPr>
          <w:rFonts w:ascii="Times New Roman" w:hAnsi="Times New Roman"/>
          <w:color w:val="000000"/>
        </w:rPr>
        <w:t xml:space="preserve"> on </w:t>
      </w:r>
      <w:r w:rsidR="00710C66" w:rsidRPr="00465506">
        <w:rPr>
          <w:rFonts w:ascii="Times New Roman" w:hAnsi="Times New Roman"/>
          <w:color w:val="000000"/>
        </w:rPr>
        <w:t xml:space="preserve">selected </w:t>
      </w:r>
      <w:r w:rsidR="00072C7F" w:rsidRPr="00465506">
        <w:rPr>
          <w:rFonts w:ascii="Times New Roman" w:hAnsi="Times New Roman"/>
          <w:color w:val="000000"/>
        </w:rPr>
        <w:t>infections</w:t>
      </w:r>
      <w:r w:rsidR="00AC4D4B">
        <w:rPr>
          <w:rFonts w:ascii="Times New Roman" w:hAnsi="Times New Roman"/>
          <w:color w:val="000000"/>
        </w:rPr>
        <w:t>, including</w:t>
      </w:r>
      <w:r w:rsidR="00072C7F" w:rsidRPr="00465506">
        <w:rPr>
          <w:rFonts w:ascii="Times New Roman" w:hAnsi="Times New Roman"/>
          <w:color w:val="000000"/>
        </w:rPr>
        <w:t xml:space="preserve"> urinary tract infection, pneumonia, </w:t>
      </w:r>
      <w:r w:rsidR="00710C66" w:rsidRPr="00B5551E">
        <w:rPr>
          <w:rFonts w:ascii="Times New Roman" w:hAnsi="Times New Roman"/>
          <w:color w:val="000000"/>
        </w:rPr>
        <w:t>septicemia, tuberculosis</w:t>
      </w:r>
      <w:r w:rsidR="00104A30" w:rsidRPr="00B5551E">
        <w:rPr>
          <w:rFonts w:ascii="Times New Roman" w:hAnsi="Times New Roman"/>
          <w:color w:val="000000"/>
        </w:rPr>
        <w:t>,</w:t>
      </w:r>
      <w:r w:rsidR="00710C66" w:rsidRPr="00B5551E">
        <w:rPr>
          <w:rFonts w:ascii="Times New Roman" w:hAnsi="Times New Roman"/>
          <w:color w:val="000000"/>
        </w:rPr>
        <w:t xml:space="preserve"> viral hepatitis</w:t>
      </w:r>
      <w:r w:rsidR="00AC4D4B">
        <w:rPr>
          <w:rFonts w:ascii="Times New Roman" w:hAnsi="Times New Roman"/>
          <w:color w:val="000000"/>
        </w:rPr>
        <w:t>,</w:t>
      </w:r>
      <w:r w:rsidR="00710C66" w:rsidRPr="00B5551E">
        <w:rPr>
          <w:rFonts w:ascii="Times New Roman" w:hAnsi="Times New Roman"/>
          <w:color w:val="000000"/>
        </w:rPr>
        <w:t xml:space="preserve"> and</w:t>
      </w:r>
      <w:r w:rsidR="00B028ED" w:rsidRPr="00B5551E">
        <w:rPr>
          <w:rFonts w:ascii="Times New Roman" w:hAnsi="Times New Roman"/>
          <w:color w:val="000000"/>
        </w:rPr>
        <w:t xml:space="preserve"> </w:t>
      </w:r>
      <w:r w:rsidR="00AC4D4B">
        <w:rPr>
          <w:rFonts w:ascii="Times New Roman" w:hAnsi="Times New Roman"/>
          <w:color w:val="000000"/>
        </w:rPr>
        <w:t xml:space="preserve">also </w:t>
      </w:r>
      <w:r w:rsidR="00960495">
        <w:rPr>
          <w:rFonts w:ascii="Times New Roman" w:hAnsi="Times New Roman"/>
          <w:color w:val="000000"/>
        </w:rPr>
        <w:t>i</w:t>
      </w:r>
      <w:r w:rsidR="00AC4D4B">
        <w:rPr>
          <w:rFonts w:ascii="Times New Roman" w:hAnsi="Times New Roman"/>
          <w:color w:val="000000"/>
        </w:rPr>
        <w:t>f the resident used</w:t>
      </w:r>
      <w:r w:rsidR="00710C66" w:rsidRPr="0031366F">
        <w:rPr>
          <w:rFonts w:ascii="Times New Roman" w:hAnsi="Times New Roman"/>
          <w:color w:val="000000"/>
        </w:rPr>
        <w:t xml:space="preserve"> antibiotics in the seven days </w:t>
      </w:r>
      <w:r w:rsidR="00B028ED" w:rsidRPr="00280A6E">
        <w:rPr>
          <w:rFonts w:ascii="Times New Roman" w:hAnsi="Times New Roman"/>
          <w:color w:val="000000"/>
        </w:rPr>
        <w:t>prior</w:t>
      </w:r>
      <w:r w:rsidR="00710C66" w:rsidRPr="00280A6E">
        <w:rPr>
          <w:rFonts w:ascii="Times New Roman" w:hAnsi="Times New Roman"/>
          <w:color w:val="000000"/>
        </w:rPr>
        <w:t xml:space="preserve"> to the assessment. </w:t>
      </w:r>
      <w:r w:rsidR="00104A30" w:rsidRPr="00280A6E">
        <w:rPr>
          <w:rFonts w:ascii="Times New Roman" w:hAnsi="Times New Roman"/>
          <w:color w:val="000000"/>
        </w:rPr>
        <w:t xml:space="preserve"> </w:t>
      </w:r>
      <w:r w:rsidR="00710C66" w:rsidRPr="00280A6E">
        <w:rPr>
          <w:rFonts w:ascii="Times New Roman" w:hAnsi="Times New Roman"/>
          <w:color w:val="000000"/>
        </w:rPr>
        <w:t>However, the MDS was</w:t>
      </w:r>
      <w:r w:rsidR="00104A30" w:rsidRPr="00280A6E">
        <w:rPr>
          <w:rFonts w:ascii="Times New Roman" w:hAnsi="Times New Roman"/>
          <w:color w:val="000000"/>
        </w:rPr>
        <w:t xml:space="preserve"> not designed for the collection of data for </w:t>
      </w:r>
      <w:r w:rsidR="007720C3" w:rsidRPr="00D1576D">
        <w:rPr>
          <w:rFonts w:ascii="Times New Roman" w:hAnsi="Times New Roman"/>
          <w:color w:val="000000"/>
        </w:rPr>
        <w:t>HAI surveillance</w:t>
      </w:r>
      <w:r w:rsidR="00104A30" w:rsidRPr="00D1576D">
        <w:rPr>
          <w:rFonts w:ascii="Times New Roman" w:hAnsi="Times New Roman"/>
          <w:color w:val="000000"/>
        </w:rPr>
        <w:t xml:space="preserve"> purposes</w:t>
      </w:r>
      <w:r w:rsidR="00605ED9" w:rsidRPr="00D1576D">
        <w:rPr>
          <w:rFonts w:ascii="Times New Roman" w:hAnsi="Times New Roman"/>
          <w:color w:val="000000"/>
        </w:rPr>
        <w:t xml:space="preserve">, with </w:t>
      </w:r>
      <w:r w:rsidR="00AC4D4B">
        <w:rPr>
          <w:rFonts w:ascii="Times New Roman" w:hAnsi="Times New Roman"/>
          <w:color w:val="000000"/>
        </w:rPr>
        <w:t>the</w:t>
      </w:r>
      <w:r w:rsidR="00AC4D4B" w:rsidRPr="00D1576D">
        <w:rPr>
          <w:rFonts w:ascii="Times New Roman" w:hAnsi="Times New Roman"/>
          <w:color w:val="000000"/>
        </w:rPr>
        <w:t xml:space="preserve"> </w:t>
      </w:r>
      <w:r w:rsidR="00605ED9" w:rsidRPr="00D1576D">
        <w:rPr>
          <w:rFonts w:ascii="Times New Roman" w:hAnsi="Times New Roman"/>
          <w:color w:val="000000"/>
        </w:rPr>
        <w:t>major limitation being tha</w:t>
      </w:r>
      <w:r w:rsidR="00605ED9" w:rsidRPr="00D56087">
        <w:rPr>
          <w:rFonts w:ascii="Times New Roman" w:hAnsi="Times New Roman"/>
          <w:color w:val="000000"/>
        </w:rPr>
        <w:t xml:space="preserve">t no standardized </w:t>
      </w:r>
      <w:r w:rsidR="007560BE">
        <w:rPr>
          <w:rFonts w:ascii="Times New Roman" w:hAnsi="Times New Roman"/>
          <w:color w:val="000000"/>
        </w:rPr>
        <w:t xml:space="preserve">infection </w:t>
      </w:r>
      <w:r w:rsidR="00605ED9" w:rsidRPr="00D56087">
        <w:rPr>
          <w:rFonts w:ascii="Times New Roman" w:hAnsi="Times New Roman"/>
          <w:color w:val="000000"/>
        </w:rPr>
        <w:t>definitions are used</w:t>
      </w:r>
      <w:r w:rsidR="00104A30" w:rsidRPr="00D56087">
        <w:rPr>
          <w:rFonts w:ascii="Times New Roman" w:hAnsi="Times New Roman"/>
          <w:color w:val="000000"/>
        </w:rPr>
        <w:t>.</w:t>
      </w:r>
      <w:r w:rsidR="00AC4D4B">
        <w:rPr>
          <w:rFonts w:ascii="Times New Roman" w:hAnsi="Times New Roman"/>
        </w:rPr>
        <w:t xml:space="preserve"> Additionally, some</w:t>
      </w:r>
      <w:r w:rsidR="00130B3F" w:rsidRPr="00130B3F">
        <w:rPr>
          <w:rFonts w:ascii="Times New Roman" w:hAnsi="Times New Roman"/>
        </w:rPr>
        <w:t xml:space="preserve"> </w:t>
      </w:r>
      <w:r w:rsidR="00AC4D4B">
        <w:rPr>
          <w:rFonts w:ascii="Times New Roman" w:hAnsi="Times New Roman"/>
          <w:color w:val="000000"/>
        </w:rPr>
        <w:t>MDS</w:t>
      </w:r>
      <w:r w:rsidR="00104A30" w:rsidRPr="00D56087">
        <w:rPr>
          <w:rFonts w:ascii="Times New Roman" w:hAnsi="Times New Roman"/>
          <w:color w:val="000000"/>
        </w:rPr>
        <w:t xml:space="preserve"> measures</w:t>
      </w:r>
      <w:r w:rsidR="00AC4D4B">
        <w:rPr>
          <w:rFonts w:ascii="Times New Roman" w:hAnsi="Times New Roman"/>
          <w:color w:val="000000"/>
        </w:rPr>
        <w:t xml:space="preserve"> </w:t>
      </w:r>
      <w:r w:rsidR="00AC4D4B">
        <w:rPr>
          <w:rFonts w:ascii="Times New Roman" w:hAnsi="Times New Roman"/>
          <w:color w:val="000000"/>
        </w:rPr>
        <w:lastRenderedPageBreak/>
        <w:t>may</w:t>
      </w:r>
      <w:r w:rsidR="00104A30" w:rsidRPr="00D56087">
        <w:rPr>
          <w:rFonts w:ascii="Times New Roman" w:hAnsi="Times New Roman"/>
          <w:color w:val="000000"/>
        </w:rPr>
        <w:t xml:space="preserve"> apply only to long-stay</w:t>
      </w:r>
      <w:r w:rsidR="00AC4D4B">
        <w:rPr>
          <w:rFonts w:ascii="Times New Roman" w:hAnsi="Times New Roman"/>
          <w:color w:val="000000"/>
        </w:rPr>
        <w:t xml:space="preserve"> or short-stay</w:t>
      </w:r>
      <w:r w:rsidR="00104A30" w:rsidRPr="00D56087">
        <w:rPr>
          <w:rFonts w:ascii="Times New Roman" w:hAnsi="Times New Roman"/>
          <w:color w:val="000000"/>
        </w:rPr>
        <w:t xml:space="preserve"> NH resident</w:t>
      </w:r>
      <w:r w:rsidR="00960495">
        <w:rPr>
          <w:rFonts w:ascii="Times New Roman" w:hAnsi="Times New Roman"/>
          <w:color w:val="000000"/>
        </w:rPr>
        <w:t>s</w:t>
      </w:r>
      <w:r w:rsidR="00AC4D4B">
        <w:rPr>
          <w:rFonts w:ascii="Times New Roman" w:hAnsi="Times New Roman"/>
          <w:color w:val="000000"/>
        </w:rPr>
        <w:t>,</w:t>
      </w:r>
      <w:r w:rsidR="00AF45AF">
        <w:rPr>
          <w:rFonts w:ascii="Times New Roman" w:hAnsi="Times New Roman"/>
          <w:color w:val="000000"/>
        </w:rPr>
        <w:t xml:space="preserve"> and</w:t>
      </w:r>
      <w:r w:rsidR="00AC4D4B">
        <w:rPr>
          <w:rFonts w:ascii="Times New Roman" w:hAnsi="Times New Roman"/>
          <w:color w:val="000000"/>
        </w:rPr>
        <w:t xml:space="preserve"> not all residents</w:t>
      </w:r>
      <w:r w:rsidR="00104A30" w:rsidRPr="00D56087">
        <w:rPr>
          <w:rFonts w:ascii="Times New Roman" w:hAnsi="Times New Roman"/>
          <w:color w:val="000000"/>
        </w:rPr>
        <w:t>; the look back period</w:t>
      </w:r>
      <w:r w:rsidR="007720C3" w:rsidRPr="00D56087">
        <w:rPr>
          <w:rFonts w:ascii="Times New Roman" w:hAnsi="Times New Roman"/>
          <w:color w:val="000000"/>
        </w:rPr>
        <w:t>s for the</w:t>
      </w:r>
      <w:r w:rsidR="00104A30" w:rsidRPr="00D56087">
        <w:rPr>
          <w:rFonts w:ascii="Times New Roman" w:hAnsi="Times New Roman"/>
          <w:color w:val="000000"/>
        </w:rPr>
        <w:t xml:space="preserve"> measures differ, </w:t>
      </w:r>
      <w:r w:rsidR="007720C3" w:rsidRPr="00D56087">
        <w:rPr>
          <w:rFonts w:ascii="Times New Roman" w:hAnsi="Times New Roman"/>
          <w:color w:val="000000"/>
        </w:rPr>
        <w:t xml:space="preserve">and </w:t>
      </w:r>
      <w:r w:rsidR="00104A30" w:rsidRPr="00D56087">
        <w:rPr>
          <w:rFonts w:ascii="Times New Roman" w:hAnsi="Times New Roman"/>
          <w:color w:val="000000"/>
        </w:rPr>
        <w:t xml:space="preserve">the time between </w:t>
      </w:r>
      <w:r w:rsidR="007720C3" w:rsidRPr="00D56087">
        <w:rPr>
          <w:rFonts w:ascii="Times New Roman" w:hAnsi="Times New Roman"/>
          <w:color w:val="000000"/>
        </w:rPr>
        <w:t xml:space="preserve">resident </w:t>
      </w:r>
      <w:r w:rsidR="00104A30" w:rsidRPr="00D56087">
        <w:rPr>
          <w:rFonts w:ascii="Times New Roman" w:hAnsi="Times New Roman"/>
          <w:color w:val="000000"/>
        </w:rPr>
        <w:t>MDS assessments</w:t>
      </w:r>
      <w:r w:rsidR="007720C3" w:rsidRPr="00D56087">
        <w:rPr>
          <w:rFonts w:ascii="Times New Roman" w:hAnsi="Times New Roman"/>
          <w:color w:val="000000"/>
        </w:rPr>
        <w:t xml:space="preserve"> varies</w:t>
      </w:r>
      <w:r w:rsidR="00104A30" w:rsidRPr="00D56087">
        <w:rPr>
          <w:rFonts w:ascii="Times New Roman" w:hAnsi="Times New Roman"/>
          <w:color w:val="000000"/>
        </w:rPr>
        <w:t xml:space="preserve">. </w:t>
      </w:r>
      <w:r w:rsidR="001830FC">
        <w:rPr>
          <w:rFonts w:ascii="Times New Roman" w:hAnsi="Times New Roman"/>
          <w:color w:val="000000"/>
        </w:rPr>
        <w:t xml:space="preserve">These points are illustrated with the MDS urinary tract infection and urinary catheter use measure in the </w:t>
      </w:r>
      <w:r w:rsidR="001830FC" w:rsidRPr="00D8482F">
        <w:t>HHS National Action Plan to prevent HAIs: Chapter 8 Long Term Care Facilities (</w:t>
      </w:r>
      <w:hyperlink r:id="rId27" w:history="1">
        <w:r w:rsidR="001830FC" w:rsidRPr="00D8482F">
          <w:rPr>
            <w:rStyle w:val="Hyperlink"/>
          </w:rPr>
          <w:t>http://health.gov/hcq/pdfs/hai-action-plan-ltcf.pdf</w:t>
        </w:r>
      </w:hyperlink>
      <w:r w:rsidR="00104A30" w:rsidRPr="00D56087">
        <w:rPr>
          <w:rFonts w:ascii="Times New Roman" w:hAnsi="Times New Roman"/>
          <w:color w:val="000000"/>
        </w:rPr>
        <w:t xml:space="preserve"> </w:t>
      </w:r>
      <w:r w:rsidR="00960495">
        <w:rPr>
          <w:rFonts w:ascii="Times New Roman" w:hAnsi="Times New Roman"/>
          <w:color w:val="000000"/>
        </w:rPr>
        <w:t>)</w:t>
      </w:r>
      <w:r w:rsidR="001830FC">
        <w:rPr>
          <w:rFonts w:ascii="Times New Roman" w:hAnsi="Times New Roman"/>
          <w:color w:val="000000"/>
        </w:rPr>
        <w:t xml:space="preserve">. </w:t>
      </w:r>
      <w:r w:rsidR="00AC4D4B">
        <w:rPr>
          <w:rFonts w:ascii="Times New Roman" w:hAnsi="Times New Roman"/>
          <w:color w:val="000000"/>
        </w:rPr>
        <w:t>Collectively, these factors make the MDS unsu</w:t>
      </w:r>
      <w:r w:rsidR="00960495">
        <w:rPr>
          <w:rFonts w:ascii="Times New Roman" w:hAnsi="Times New Roman"/>
          <w:color w:val="000000"/>
        </w:rPr>
        <w:t>itable</w:t>
      </w:r>
      <w:r w:rsidR="00AC4D4B">
        <w:rPr>
          <w:rFonts w:ascii="Times New Roman" w:hAnsi="Times New Roman"/>
          <w:color w:val="000000"/>
        </w:rPr>
        <w:t xml:space="preserve"> to describe epidemiology and estimate the prevalence of HAIs and antimicrobial use among US nursing home residents. </w:t>
      </w:r>
    </w:p>
    <w:p w14:paraId="17A31FF6" w14:textId="77777777" w:rsidR="005857AA" w:rsidRDefault="00B028ED" w:rsidP="00462A03">
      <w:pPr>
        <w:pStyle w:val="CM22"/>
        <w:spacing w:after="272" w:line="276" w:lineRule="atLeast"/>
        <w:ind w:right="87"/>
        <w:rPr>
          <w:rFonts w:ascii="Arial" w:hAnsi="Arial" w:cs="Arial"/>
          <w:color w:val="999999"/>
          <w:sz w:val="19"/>
          <w:szCs w:val="19"/>
          <w:lang w:val="en"/>
        </w:rPr>
      </w:pPr>
      <w:r>
        <w:rPr>
          <w:rFonts w:ascii="Times New Roman" w:hAnsi="Times New Roman"/>
          <w:color w:val="000000"/>
        </w:rPr>
        <w:t>Importantly, t</w:t>
      </w:r>
      <w:r w:rsidR="00575142" w:rsidRPr="00D8482F">
        <w:rPr>
          <w:rFonts w:ascii="Times New Roman" w:hAnsi="Times New Roman"/>
          <w:color w:val="000000"/>
        </w:rPr>
        <w:t xml:space="preserve">o reduce the public burden of data collection, </w:t>
      </w:r>
      <w:r w:rsidR="007560BE">
        <w:rPr>
          <w:rFonts w:ascii="Times New Roman" w:hAnsi="Times New Roman"/>
          <w:color w:val="000000"/>
        </w:rPr>
        <w:t>we</w:t>
      </w:r>
      <w:r w:rsidR="007720C3" w:rsidRPr="00D8482F">
        <w:rPr>
          <w:rFonts w:ascii="Times New Roman" w:hAnsi="Times New Roman"/>
          <w:color w:val="000000"/>
        </w:rPr>
        <w:t xml:space="preserve"> </w:t>
      </w:r>
      <w:r w:rsidR="00575142" w:rsidRPr="00D8482F">
        <w:rPr>
          <w:rFonts w:ascii="Times New Roman" w:hAnsi="Times New Roman"/>
          <w:color w:val="000000"/>
        </w:rPr>
        <w:t xml:space="preserve">will make use of </w:t>
      </w:r>
      <w:r w:rsidR="00550FF0" w:rsidRPr="00D8482F">
        <w:rPr>
          <w:rFonts w:ascii="Times New Roman" w:hAnsi="Times New Roman"/>
          <w:color w:val="000000"/>
        </w:rPr>
        <w:t>publicly</w:t>
      </w:r>
      <w:r w:rsidR="007720C3" w:rsidRPr="00D8482F">
        <w:rPr>
          <w:rFonts w:ascii="Times New Roman" w:hAnsi="Times New Roman"/>
          <w:color w:val="000000"/>
        </w:rPr>
        <w:t xml:space="preserve"> available CMS data.  </w:t>
      </w:r>
      <w:r w:rsidR="00617B6F" w:rsidRPr="000A17F5">
        <w:rPr>
          <w:rFonts w:ascii="Times New Roman" w:hAnsi="Times New Roman"/>
          <w:color w:val="000000"/>
        </w:rPr>
        <w:t>The CMS Nursing Home Compare website</w:t>
      </w:r>
      <w:r w:rsidR="00462A03" w:rsidRPr="000A17F5">
        <w:rPr>
          <w:rFonts w:ascii="Times New Roman" w:hAnsi="Times New Roman"/>
          <w:color w:val="000000"/>
        </w:rPr>
        <w:t xml:space="preserve"> </w:t>
      </w:r>
      <w:hyperlink w:history="1">
        <w:r w:rsidR="00462A03" w:rsidRPr="000A17F5">
          <w:rPr>
            <w:rStyle w:val="Hyperlink"/>
            <w:rFonts w:ascii="Times New Roman" w:hAnsi="Times New Roman"/>
          </w:rPr>
          <w:t xml:space="preserve"> (www.medicare.gov/NursingHomeCompare/About/Nursing-Home-Info.html</w:t>
        </w:r>
      </w:hyperlink>
      <w:r w:rsidR="00462A03" w:rsidRPr="000A17F5">
        <w:rPr>
          <w:rStyle w:val="Hyperlink"/>
          <w:rFonts w:ascii="Times New Roman" w:hAnsi="Times New Roman"/>
        </w:rPr>
        <w:t>)</w:t>
      </w:r>
      <w:r w:rsidR="00617B6F" w:rsidRPr="000A17F5">
        <w:rPr>
          <w:rFonts w:ascii="Times New Roman" w:hAnsi="Times New Roman"/>
          <w:color w:val="000000"/>
        </w:rPr>
        <w:t xml:space="preserve"> </w:t>
      </w:r>
      <w:r w:rsidR="00BF7A3E">
        <w:rPr>
          <w:rFonts w:ascii="Times New Roman" w:hAnsi="Times New Roman"/>
          <w:color w:val="000000"/>
        </w:rPr>
        <w:t xml:space="preserve">includes </w:t>
      </w:r>
      <w:r w:rsidR="000A17F5" w:rsidRPr="000A17F5">
        <w:rPr>
          <w:rFonts w:ascii="Times New Roman" w:hAnsi="Times New Roman"/>
          <w:color w:val="000000"/>
        </w:rPr>
        <w:t>dataset</w:t>
      </w:r>
      <w:r w:rsidR="007F27CF">
        <w:rPr>
          <w:rFonts w:ascii="Times New Roman" w:hAnsi="Times New Roman"/>
          <w:color w:val="000000"/>
        </w:rPr>
        <w:t>s</w:t>
      </w:r>
      <w:r w:rsidR="000A17F5" w:rsidRPr="000A17F5">
        <w:rPr>
          <w:rFonts w:ascii="Times New Roman" w:hAnsi="Times New Roman"/>
          <w:color w:val="000000"/>
        </w:rPr>
        <w:t xml:space="preserve"> </w:t>
      </w:r>
      <w:r w:rsidR="00617B6F" w:rsidRPr="000A17F5">
        <w:rPr>
          <w:rFonts w:ascii="Times New Roman" w:hAnsi="Times New Roman"/>
          <w:color w:val="000000"/>
        </w:rPr>
        <w:t xml:space="preserve"> </w:t>
      </w:r>
      <w:r w:rsidR="007F27CF">
        <w:rPr>
          <w:rFonts w:ascii="Times New Roman" w:hAnsi="Times New Roman"/>
          <w:color w:val="000000"/>
        </w:rPr>
        <w:t>with all</w:t>
      </w:r>
      <w:r w:rsidR="00617B6F" w:rsidRPr="000A17F5">
        <w:rPr>
          <w:rFonts w:ascii="Times New Roman" w:hAnsi="Times New Roman"/>
          <w:color w:val="000000"/>
        </w:rPr>
        <w:t xml:space="preserve"> active nursing homes</w:t>
      </w:r>
      <w:r w:rsidR="007F27CF">
        <w:rPr>
          <w:rFonts w:ascii="Times New Roman" w:hAnsi="Times New Roman"/>
          <w:color w:val="000000"/>
        </w:rPr>
        <w:t xml:space="preserve"> containing</w:t>
      </w:r>
      <w:r w:rsidR="00617B6F" w:rsidRPr="000A17F5">
        <w:rPr>
          <w:rFonts w:ascii="Times New Roman" w:hAnsi="Times New Roman"/>
          <w:color w:val="000000"/>
        </w:rPr>
        <w:t xml:space="preserve"> </w:t>
      </w:r>
      <w:r w:rsidR="00BF7A3E" w:rsidRPr="002639F3">
        <w:rPr>
          <w:rFonts w:ascii="Times New Roman" w:hAnsi="Times New Roman"/>
          <w:lang w:val="en"/>
        </w:rPr>
        <w:t>information</w:t>
      </w:r>
      <w:r w:rsidR="00617B6F" w:rsidRPr="002639F3">
        <w:rPr>
          <w:rFonts w:ascii="Times New Roman" w:hAnsi="Times New Roman"/>
          <w:lang w:val="en"/>
        </w:rPr>
        <w:t xml:space="preserve"> including </w:t>
      </w:r>
      <w:r w:rsidR="007F27CF" w:rsidRPr="002639F3">
        <w:rPr>
          <w:rFonts w:ascii="Times New Roman" w:hAnsi="Times New Roman"/>
          <w:lang w:val="en"/>
        </w:rPr>
        <w:t xml:space="preserve">nursing home </w:t>
      </w:r>
      <w:r w:rsidR="00533279" w:rsidRPr="002639F3">
        <w:rPr>
          <w:rFonts w:ascii="Times New Roman" w:hAnsi="Times New Roman"/>
          <w:lang w:val="en"/>
        </w:rPr>
        <w:t>state and county, ownership type (e.g., For profit, not-for profit, Government)</w:t>
      </w:r>
      <w:r w:rsidR="00462A03" w:rsidRPr="002639F3">
        <w:rPr>
          <w:rFonts w:ascii="Times New Roman" w:hAnsi="Times New Roman"/>
          <w:lang w:val="en"/>
        </w:rPr>
        <w:t>,</w:t>
      </w:r>
      <w:r w:rsidR="00533279" w:rsidRPr="002639F3">
        <w:rPr>
          <w:rFonts w:ascii="Times New Roman" w:hAnsi="Times New Roman"/>
          <w:lang w:val="en"/>
        </w:rPr>
        <w:t xml:space="preserve"> </w:t>
      </w:r>
      <w:r w:rsidR="00617B6F" w:rsidRPr="002639F3">
        <w:rPr>
          <w:rFonts w:ascii="Times New Roman" w:hAnsi="Times New Roman"/>
          <w:lang w:val="en"/>
        </w:rPr>
        <w:t xml:space="preserve">number of certified beds, </w:t>
      </w:r>
      <w:r w:rsidR="00533279" w:rsidRPr="002639F3">
        <w:rPr>
          <w:rFonts w:ascii="Times New Roman" w:hAnsi="Times New Roman"/>
          <w:lang w:val="en"/>
        </w:rPr>
        <w:t xml:space="preserve">occupancy, </w:t>
      </w:r>
      <w:r w:rsidR="00BF7A3E" w:rsidRPr="002639F3">
        <w:rPr>
          <w:rFonts w:ascii="Times New Roman" w:hAnsi="Times New Roman"/>
          <w:lang w:val="en"/>
        </w:rPr>
        <w:t>staff-to-resident ratios for nursing staff and other para-professionals</w:t>
      </w:r>
      <w:r w:rsidR="00617B6F" w:rsidRPr="002639F3">
        <w:rPr>
          <w:rFonts w:ascii="Times New Roman" w:hAnsi="Times New Roman"/>
          <w:lang w:val="en"/>
        </w:rPr>
        <w:t xml:space="preserve">, </w:t>
      </w:r>
      <w:r w:rsidR="000A17F5" w:rsidRPr="002639F3">
        <w:rPr>
          <w:rFonts w:ascii="Times New Roman" w:hAnsi="Times New Roman"/>
          <w:lang w:val="en"/>
        </w:rPr>
        <w:t xml:space="preserve">and various healthcare </w:t>
      </w:r>
      <w:r w:rsidR="00617B6F" w:rsidRPr="002639F3">
        <w:rPr>
          <w:rFonts w:ascii="Times New Roman" w:hAnsi="Times New Roman"/>
          <w:lang w:val="en"/>
        </w:rPr>
        <w:t>quality measure scores</w:t>
      </w:r>
      <w:r w:rsidR="00533279" w:rsidRPr="002639F3">
        <w:rPr>
          <w:rFonts w:ascii="Times New Roman" w:hAnsi="Times New Roman"/>
          <w:lang w:val="en"/>
        </w:rPr>
        <w:t xml:space="preserve"> derived by CMS.</w:t>
      </w:r>
      <w:r w:rsidR="00617B6F" w:rsidRPr="002639F3">
        <w:rPr>
          <w:rFonts w:ascii="Arial" w:hAnsi="Arial" w:cs="Arial"/>
          <w:sz w:val="19"/>
          <w:szCs w:val="19"/>
          <w:lang w:val="en"/>
        </w:rPr>
        <w:t xml:space="preserve"> </w:t>
      </w:r>
      <w:r w:rsidR="00462A03" w:rsidRPr="002639F3">
        <w:rPr>
          <w:rFonts w:ascii="Times New Roman" w:hAnsi="Times New Roman"/>
        </w:rPr>
        <w:t>EIP staff will</w:t>
      </w:r>
      <w:r w:rsidR="00BF7A3E" w:rsidRPr="002639F3">
        <w:rPr>
          <w:rFonts w:ascii="Times New Roman" w:hAnsi="Times New Roman"/>
        </w:rPr>
        <w:t>, therefore,</w:t>
      </w:r>
      <w:r w:rsidR="00462A03" w:rsidRPr="002639F3">
        <w:rPr>
          <w:rFonts w:ascii="Times New Roman" w:hAnsi="Times New Roman"/>
        </w:rPr>
        <w:t xml:space="preserve"> be able to </w:t>
      </w:r>
      <w:r w:rsidR="000A17F5" w:rsidRPr="002639F3">
        <w:rPr>
          <w:rFonts w:ascii="Times New Roman" w:hAnsi="Times New Roman"/>
        </w:rPr>
        <w:t>use</w:t>
      </w:r>
      <w:r w:rsidR="00BF7A3E" w:rsidRPr="002639F3">
        <w:rPr>
          <w:rFonts w:ascii="Times New Roman" w:hAnsi="Times New Roman"/>
        </w:rPr>
        <w:t xml:space="preserve"> data available from</w:t>
      </w:r>
      <w:r w:rsidR="000A17F5" w:rsidRPr="002639F3">
        <w:rPr>
          <w:rFonts w:ascii="Times New Roman" w:hAnsi="Times New Roman"/>
        </w:rPr>
        <w:t xml:space="preserve"> the CMS Nursing Home Compare to </w:t>
      </w:r>
      <w:r w:rsidR="00462A03" w:rsidRPr="002639F3">
        <w:rPr>
          <w:rFonts w:ascii="Times New Roman" w:hAnsi="Times New Roman"/>
        </w:rPr>
        <w:t xml:space="preserve">obtain descriptive characteristics about NHs </w:t>
      </w:r>
      <w:r w:rsidR="000A17F5" w:rsidRPr="002639F3">
        <w:rPr>
          <w:rFonts w:ascii="Times New Roman" w:hAnsi="Times New Roman"/>
        </w:rPr>
        <w:t xml:space="preserve">included in the sample </w:t>
      </w:r>
      <w:r w:rsidR="00462A03" w:rsidRPr="002639F3">
        <w:rPr>
          <w:rFonts w:ascii="Times New Roman" w:hAnsi="Times New Roman"/>
        </w:rPr>
        <w:t xml:space="preserve">would otherwise need to be collected </w:t>
      </w:r>
      <w:r w:rsidR="005857AA" w:rsidRPr="002639F3">
        <w:rPr>
          <w:rFonts w:ascii="Times New Roman" w:hAnsi="Times New Roman"/>
        </w:rPr>
        <w:t xml:space="preserve">from </w:t>
      </w:r>
      <w:r w:rsidR="00462A03" w:rsidRPr="002639F3">
        <w:rPr>
          <w:rFonts w:ascii="Times New Roman" w:hAnsi="Times New Roman"/>
        </w:rPr>
        <w:t xml:space="preserve">NH staff </w:t>
      </w:r>
      <w:r w:rsidR="005857AA" w:rsidRPr="002639F3">
        <w:rPr>
          <w:rFonts w:ascii="Times New Roman" w:hAnsi="Times New Roman"/>
        </w:rPr>
        <w:t xml:space="preserve">as part of </w:t>
      </w:r>
      <w:r w:rsidR="00462A03" w:rsidRPr="002639F3">
        <w:rPr>
          <w:rFonts w:ascii="Times New Roman" w:hAnsi="Times New Roman"/>
        </w:rPr>
        <w:t xml:space="preserve">survey </w:t>
      </w:r>
      <w:r w:rsidR="005857AA" w:rsidRPr="002639F3">
        <w:rPr>
          <w:rFonts w:ascii="Times New Roman" w:hAnsi="Times New Roman"/>
        </w:rPr>
        <w:t>process</w:t>
      </w:r>
      <w:r w:rsidR="00462A03" w:rsidRPr="002639F3">
        <w:rPr>
          <w:rFonts w:ascii="Times New Roman" w:hAnsi="Times New Roman"/>
        </w:rPr>
        <w:t xml:space="preserve">. </w:t>
      </w:r>
      <w:r w:rsidR="00462A03" w:rsidRPr="002639F3">
        <w:rPr>
          <w:rFonts w:ascii="Arial" w:hAnsi="Arial" w:cs="Arial"/>
          <w:sz w:val="19"/>
          <w:szCs w:val="19"/>
          <w:lang w:val="en"/>
        </w:rPr>
        <w:t xml:space="preserve"> </w:t>
      </w:r>
    </w:p>
    <w:p w14:paraId="680DE992" w14:textId="77777777" w:rsidR="00FD343E" w:rsidRPr="00D8482F" w:rsidRDefault="00B21225" w:rsidP="00753597">
      <w:pPr>
        <w:pStyle w:val="Heading1"/>
      </w:pPr>
      <w:bookmarkStart w:id="14" w:name="_Toc444242961"/>
      <w:r w:rsidRPr="00D8482F">
        <w:t>Impact on Small Businesses or Other Small Entities</w:t>
      </w:r>
      <w:bookmarkEnd w:id="14"/>
    </w:p>
    <w:p w14:paraId="78C671A2" w14:textId="77777777" w:rsidR="0073632E" w:rsidRPr="00D8482F" w:rsidRDefault="0073632E" w:rsidP="00EE7469"/>
    <w:p w14:paraId="70024DC2" w14:textId="77777777" w:rsidR="00633A82" w:rsidRPr="00D8482F" w:rsidRDefault="006C4689" w:rsidP="00EE7469">
      <w:r w:rsidRPr="00D8482F">
        <w:t xml:space="preserve">Small </w:t>
      </w:r>
      <w:r w:rsidR="008A4E80" w:rsidRPr="00D8482F">
        <w:t>nursing home</w:t>
      </w:r>
      <w:r w:rsidR="00550FF0">
        <w:t>s</w:t>
      </w:r>
      <w:r w:rsidR="0073632E" w:rsidRPr="00D8482F">
        <w:t xml:space="preserve"> </w:t>
      </w:r>
      <w:r w:rsidRPr="00D8482F">
        <w:t xml:space="preserve">may participate in the </w:t>
      </w:r>
      <w:r w:rsidR="00F2689F" w:rsidRPr="00D8482F">
        <w:t>data collection</w:t>
      </w:r>
      <w:r w:rsidRPr="00D8482F">
        <w:t xml:space="preserve">. </w:t>
      </w:r>
      <w:r w:rsidR="00220043" w:rsidRPr="00D8482F">
        <w:t xml:space="preserve">Participation is voluntary, but </w:t>
      </w:r>
      <w:r w:rsidR="00227C56" w:rsidRPr="00D8482F">
        <w:t>we anticipate that most facilities selected for participation will</w:t>
      </w:r>
      <w:r w:rsidR="00DC3B9C" w:rsidRPr="00D8482F">
        <w:t xml:space="preserve"> agree to</w:t>
      </w:r>
      <w:r w:rsidR="00227C56" w:rsidRPr="00D8482F">
        <w:t xml:space="preserve"> participate.</w:t>
      </w:r>
      <w:r w:rsidR="009C40B0" w:rsidRPr="00D8482F">
        <w:t xml:space="preserve"> </w:t>
      </w:r>
      <w:r w:rsidR="00227C56" w:rsidRPr="00D8482F">
        <w:t xml:space="preserve">Elimination of </w:t>
      </w:r>
      <w:r w:rsidR="00675784" w:rsidRPr="00D8482F">
        <w:t>HAI</w:t>
      </w:r>
      <w:r w:rsidR="00227C56" w:rsidRPr="00D8482F">
        <w:t xml:space="preserve">s </w:t>
      </w:r>
      <w:r w:rsidR="00F2689F" w:rsidRPr="00D8482F">
        <w:t xml:space="preserve">and improving antimicrobial prescribing are major goals </w:t>
      </w:r>
      <w:r w:rsidR="00227C56" w:rsidRPr="00D8482F">
        <w:t xml:space="preserve">of </w:t>
      </w:r>
      <w:r w:rsidR="00C1765E" w:rsidRPr="00D8482F">
        <w:t xml:space="preserve">all </w:t>
      </w:r>
      <w:r w:rsidR="00227C56" w:rsidRPr="00D8482F">
        <w:t>U.S. healthcare institutions,</w:t>
      </w:r>
      <w:r w:rsidR="00C1765E" w:rsidRPr="00D8482F">
        <w:t xml:space="preserve"> large and small,</w:t>
      </w:r>
      <w:r w:rsidR="00227C56" w:rsidRPr="00D8482F">
        <w:t xml:space="preserve"> and we expect that facilities will be highly motivated to participate. </w:t>
      </w:r>
      <w:r w:rsidR="00220043" w:rsidRPr="00D8482F">
        <w:t xml:space="preserve">The data collection and management burden for </w:t>
      </w:r>
      <w:r w:rsidR="008469B7" w:rsidRPr="00D8482F">
        <w:t>participating</w:t>
      </w:r>
      <w:r w:rsidR="00220043" w:rsidRPr="00D8482F">
        <w:t xml:space="preserve"> healthcare facilities will be minimized as much as possible.</w:t>
      </w:r>
      <w:r w:rsidR="00CD4F28" w:rsidRPr="00D8482F">
        <w:t xml:space="preserve"> </w:t>
      </w:r>
      <w:r w:rsidR="00675784" w:rsidRPr="00D8482F">
        <w:t xml:space="preserve">This will be accomplished by having EIP personnel </w:t>
      </w:r>
      <w:r w:rsidR="00BC32DD" w:rsidRPr="00D8482F">
        <w:t xml:space="preserve">assist with or </w:t>
      </w:r>
      <w:r w:rsidR="00675784" w:rsidRPr="00D8482F">
        <w:t>perform most of the data collection.</w:t>
      </w:r>
    </w:p>
    <w:p w14:paraId="236DF9B3" w14:textId="77777777" w:rsidR="00245111" w:rsidRPr="00D8482F" w:rsidRDefault="00245111" w:rsidP="00EE7469"/>
    <w:p w14:paraId="4D1102FF" w14:textId="77777777" w:rsidR="0073632E" w:rsidRPr="00D8482F" w:rsidRDefault="00B21225" w:rsidP="00753597">
      <w:pPr>
        <w:pStyle w:val="Heading1"/>
      </w:pPr>
      <w:bookmarkStart w:id="15" w:name="_Toc444242962"/>
      <w:r w:rsidRPr="00D8482F">
        <w:t>Consequences of Collecting the Information Less Frequently</w:t>
      </w:r>
      <w:bookmarkEnd w:id="15"/>
    </w:p>
    <w:p w14:paraId="20ACC89B" w14:textId="77777777" w:rsidR="0073632E" w:rsidRPr="00D8482F" w:rsidRDefault="0073632E" w:rsidP="00680AE7">
      <w:pPr>
        <w:rPr>
          <w:b/>
        </w:rPr>
      </w:pPr>
    </w:p>
    <w:p w14:paraId="1F989F3A" w14:textId="77777777" w:rsidR="00C2382F" w:rsidRPr="00D8482F" w:rsidRDefault="00BF312D" w:rsidP="002307EC">
      <w:pPr>
        <w:rPr>
          <w:b/>
        </w:rPr>
      </w:pPr>
      <w:r w:rsidRPr="00D8482F">
        <w:t xml:space="preserve">The survey was developed </w:t>
      </w:r>
      <w:r w:rsidR="00E1127F" w:rsidRPr="00D8482F">
        <w:t xml:space="preserve">with the </w:t>
      </w:r>
      <w:r w:rsidR="0073632E" w:rsidRPr="00D8482F">
        <w:t>goal of repeating it</w:t>
      </w:r>
      <w:r w:rsidR="00E1127F" w:rsidRPr="00D8482F">
        <w:t xml:space="preserve"> at regular but infrequent intervals (</w:t>
      </w:r>
      <w:r w:rsidR="003F5BE0" w:rsidRPr="00D8482F">
        <w:t xml:space="preserve">e.g., </w:t>
      </w:r>
      <w:r w:rsidR="00E1127F" w:rsidRPr="00D8482F">
        <w:t>once every 3</w:t>
      </w:r>
      <w:r w:rsidR="003F5BE0" w:rsidRPr="00D8482F">
        <w:t xml:space="preserve"> years</w:t>
      </w:r>
      <w:r w:rsidR="00E1127F" w:rsidRPr="00D8482F">
        <w:t xml:space="preserve">). Repeating the survey will provide information on changes in HAI prevalence </w:t>
      </w:r>
      <w:r w:rsidR="004259D1" w:rsidRPr="00D8482F">
        <w:t xml:space="preserve">over time </w:t>
      </w:r>
      <w:r w:rsidR="00024FEC" w:rsidRPr="00D8482F">
        <w:t>as well as</w:t>
      </w:r>
      <w:r w:rsidR="004259D1" w:rsidRPr="00D8482F">
        <w:t xml:space="preserve"> </w:t>
      </w:r>
      <w:r w:rsidR="00E1127F" w:rsidRPr="00D8482F">
        <w:t>changes in</w:t>
      </w:r>
      <w:r w:rsidR="009F34E3" w:rsidRPr="00D8482F">
        <w:t xml:space="preserve"> </w:t>
      </w:r>
      <w:r w:rsidR="004259D1" w:rsidRPr="00D8482F">
        <w:t xml:space="preserve">the burden and distribution of infection types and causative organisms. There are no </w:t>
      </w:r>
      <w:r w:rsidR="00BA091D" w:rsidRPr="00D8482F">
        <w:t xml:space="preserve">technical or </w:t>
      </w:r>
      <w:r w:rsidR="004259D1" w:rsidRPr="00D8482F">
        <w:t>legal obstacles to reduc</w:t>
      </w:r>
      <w:r w:rsidR="00BA091D" w:rsidRPr="00D8482F">
        <w:t>ing</w:t>
      </w:r>
      <w:r w:rsidR="004259D1" w:rsidRPr="00D8482F">
        <w:t xml:space="preserve"> the burden. </w:t>
      </w:r>
    </w:p>
    <w:p w14:paraId="3D214166" w14:textId="77777777" w:rsidR="00C2382F" w:rsidRPr="00D8482F" w:rsidRDefault="00C2382F" w:rsidP="002307EC">
      <w:r w:rsidRPr="00D8482F">
        <w:tab/>
      </w:r>
    </w:p>
    <w:p w14:paraId="3FD6AAEA" w14:textId="77777777" w:rsidR="00F33801" w:rsidRPr="00D8482F" w:rsidRDefault="00B21225" w:rsidP="002307EC">
      <w:pPr>
        <w:pStyle w:val="Heading1"/>
      </w:pPr>
      <w:bookmarkStart w:id="16" w:name="_Toc444242963"/>
      <w:r w:rsidRPr="00D8482F">
        <w:t>Special Circumstances Relating to the Guidelines of 5 CFR 1320.5</w:t>
      </w:r>
      <w:bookmarkEnd w:id="16"/>
    </w:p>
    <w:p w14:paraId="2967AA14" w14:textId="77777777" w:rsidR="0073632E" w:rsidRPr="00D8482F" w:rsidRDefault="0073632E" w:rsidP="002307EC"/>
    <w:p w14:paraId="08F4774B" w14:textId="77777777" w:rsidR="004E1E68" w:rsidRPr="00D8482F" w:rsidRDefault="004E1E68" w:rsidP="002307EC">
      <w:r w:rsidRPr="00D8482F">
        <w:t>There are no special circumstances that require the information to be collected in any of the formats identified, and the request fully complies with regulations.</w:t>
      </w:r>
    </w:p>
    <w:p w14:paraId="25912A4D" w14:textId="77777777" w:rsidR="004E1E68" w:rsidRPr="00D8482F" w:rsidRDefault="004E1E68" w:rsidP="002307EC"/>
    <w:p w14:paraId="4D108C56" w14:textId="77777777" w:rsidR="00DF2683" w:rsidRPr="00D8482F" w:rsidRDefault="00F33801" w:rsidP="002307EC">
      <w:pPr>
        <w:pStyle w:val="Heading1"/>
      </w:pPr>
      <w:bookmarkStart w:id="17" w:name="_Toc444242964"/>
      <w:r w:rsidRPr="00D8482F">
        <w:t>Comments in Response to the Federal Register Notice and Efforts to Consult Outside</w:t>
      </w:r>
      <w:r w:rsidR="00024FEC" w:rsidRPr="00D8482F">
        <w:t xml:space="preserve"> </w:t>
      </w:r>
      <w:r w:rsidRPr="00D8482F">
        <w:t>the Agency</w:t>
      </w:r>
      <w:bookmarkEnd w:id="17"/>
    </w:p>
    <w:p w14:paraId="0EE49A35" w14:textId="77777777" w:rsidR="0073632E" w:rsidRPr="00D8482F" w:rsidRDefault="0073632E" w:rsidP="002307EC">
      <w:pPr>
        <w:ind w:left="1080" w:hanging="360"/>
      </w:pPr>
    </w:p>
    <w:p w14:paraId="72FCAA5C" w14:textId="77777777" w:rsidR="00716EA3" w:rsidRPr="00D9142B" w:rsidRDefault="00860CA3" w:rsidP="002307EC">
      <w:pPr>
        <w:numPr>
          <w:ilvl w:val="0"/>
          <w:numId w:val="32"/>
        </w:numPr>
      </w:pPr>
      <w:r w:rsidRPr="00D9142B">
        <w:t xml:space="preserve">A Federal Register Notice was published on </w:t>
      </w:r>
      <w:r w:rsidR="00CA35D6" w:rsidRPr="00D9142B">
        <w:t>3</w:t>
      </w:r>
      <w:r w:rsidR="00E4136D" w:rsidRPr="00D9142B">
        <w:t>/</w:t>
      </w:r>
      <w:r w:rsidR="00CA35D6" w:rsidRPr="00D9142B">
        <w:t>11</w:t>
      </w:r>
      <w:r w:rsidR="00E4136D" w:rsidRPr="00D9142B">
        <w:t>/</w:t>
      </w:r>
      <w:r w:rsidR="00E26BED" w:rsidRPr="00D9142B">
        <w:t>2016</w:t>
      </w:r>
      <w:r w:rsidRPr="00D9142B">
        <w:t xml:space="preserve">, volume </w:t>
      </w:r>
      <w:r w:rsidR="00CA35D6" w:rsidRPr="00D9142B">
        <w:t>81</w:t>
      </w:r>
      <w:r w:rsidRPr="00D9142B">
        <w:t xml:space="preserve">, </w:t>
      </w:r>
      <w:r w:rsidR="001B337C" w:rsidRPr="00D9142B">
        <w:t xml:space="preserve">No. </w:t>
      </w:r>
      <w:r w:rsidR="00CA35D6" w:rsidRPr="00D9142B">
        <w:t>48</w:t>
      </w:r>
      <w:r w:rsidR="001B337C" w:rsidRPr="00D9142B">
        <w:t xml:space="preserve">, </w:t>
      </w:r>
      <w:r w:rsidRPr="00D9142B">
        <w:t xml:space="preserve">page </w:t>
      </w:r>
      <w:r w:rsidR="00CA35D6" w:rsidRPr="00D9142B">
        <w:t>12900</w:t>
      </w:r>
      <w:r w:rsidR="001B337C" w:rsidRPr="00D9142B">
        <w:t>-</w:t>
      </w:r>
      <w:r w:rsidR="00CA35D6" w:rsidRPr="00D9142B">
        <w:t>12901</w:t>
      </w:r>
      <w:r w:rsidRPr="00D9142B">
        <w:t>.</w:t>
      </w:r>
      <w:r w:rsidR="003A6129" w:rsidRPr="00D9142B">
        <w:t xml:space="preserve"> (</w:t>
      </w:r>
      <w:r w:rsidR="003A6129" w:rsidRPr="00D9142B">
        <w:rPr>
          <w:color w:val="000000"/>
        </w:rPr>
        <w:t>Attachment B</w:t>
      </w:r>
      <w:r w:rsidR="003A6129" w:rsidRPr="00D9142B">
        <w:t>)</w:t>
      </w:r>
      <w:r w:rsidR="00E26BED" w:rsidRPr="00D9142B">
        <w:t xml:space="preserve">. No comments were received. </w:t>
      </w:r>
    </w:p>
    <w:p w14:paraId="622073B8" w14:textId="77777777" w:rsidR="00550FF0" w:rsidRPr="00D9142B" w:rsidRDefault="00550FF0" w:rsidP="002307EC">
      <w:pPr>
        <w:rPr>
          <w:b/>
        </w:rPr>
      </w:pPr>
    </w:p>
    <w:p w14:paraId="1204540E" w14:textId="77777777" w:rsidR="00550FF0" w:rsidRPr="00D9142B" w:rsidRDefault="00CA35D6" w:rsidP="002307EC">
      <w:pPr>
        <w:numPr>
          <w:ilvl w:val="0"/>
          <w:numId w:val="32"/>
        </w:numPr>
        <w:rPr>
          <w:bCs/>
          <w:color w:val="000000"/>
        </w:rPr>
      </w:pPr>
      <w:r w:rsidRPr="00D9142B">
        <w:t>Efforts to consult outside the agency include contact with the following individuals:</w:t>
      </w:r>
    </w:p>
    <w:p w14:paraId="4B195A60" w14:textId="77777777" w:rsidR="00550FF0" w:rsidRDefault="00550FF0" w:rsidP="002307EC">
      <w:pPr>
        <w:pStyle w:val="ListParagraph"/>
        <w:rPr>
          <w:bCs/>
          <w:color w:val="000000"/>
        </w:rPr>
      </w:pPr>
    </w:p>
    <w:p w14:paraId="26AD050B" w14:textId="77777777" w:rsidR="00550FF0" w:rsidRPr="00550FF0" w:rsidRDefault="00550FF0" w:rsidP="002307EC">
      <w:pPr>
        <w:rPr>
          <w:b/>
          <w:bCs/>
          <w:color w:val="000000"/>
        </w:rPr>
      </w:pPr>
      <w:r w:rsidRPr="00550FF0">
        <w:rPr>
          <w:b/>
          <w:bCs/>
          <w:color w:val="000000"/>
        </w:rPr>
        <w:t>Richard Melchreit, MD</w:t>
      </w:r>
      <w:r w:rsidR="00C25BDE">
        <w:rPr>
          <w:b/>
          <w:bCs/>
          <w:color w:val="000000"/>
        </w:rPr>
        <w:t xml:space="preserve"> </w:t>
      </w:r>
      <w:r w:rsidR="00C25BDE" w:rsidRPr="001011D2">
        <w:rPr>
          <w:bCs/>
          <w:color w:val="000000"/>
        </w:rPr>
        <w:t>(201</w:t>
      </w:r>
      <w:r w:rsidR="00FB0223" w:rsidRPr="001011D2">
        <w:rPr>
          <w:bCs/>
          <w:color w:val="000000"/>
        </w:rPr>
        <w:t>2</w:t>
      </w:r>
      <w:r w:rsidR="00C25BDE" w:rsidRPr="001011D2">
        <w:rPr>
          <w:bCs/>
          <w:color w:val="000000"/>
        </w:rPr>
        <w:t>-Present)</w:t>
      </w:r>
    </w:p>
    <w:p w14:paraId="56A74D9D" w14:textId="77777777" w:rsidR="00550FF0" w:rsidRDefault="00550FF0" w:rsidP="002307EC">
      <w:pPr>
        <w:rPr>
          <w:color w:val="000000"/>
        </w:rPr>
      </w:pPr>
      <w:r>
        <w:rPr>
          <w:color w:val="000000"/>
        </w:rPr>
        <w:t>Healthcare Associated Infections Program Coordinator</w:t>
      </w:r>
    </w:p>
    <w:p w14:paraId="6B5958F9" w14:textId="77777777" w:rsidR="00550FF0" w:rsidRDefault="00550FF0" w:rsidP="002307EC">
      <w:pPr>
        <w:rPr>
          <w:color w:val="000000"/>
        </w:rPr>
      </w:pPr>
      <w:r>
        <w:rPr>
          <w:color w:val="000000"/>
        </w:rPr>
        <w:t>Connecticut Department of Public Health</w:t>
      </w:r>
    </w:p>
    <w:p w14:paraId="5DB73999" w14:textId="77777777" w:rsidR="00550FF0" w:rsidRDefault="00550FF0" w:rsidP="002307EC">
      <w:pPr>
        <w:rPr>
          <w:color w:val="000000"/>
        </w:rPr>
      </w:pPr>
      <w:r>
        <w:rPr>
          <w:color w:val="000000"/>
        </w:rPr>
        <w:t>Tel:  (860) 509-7833</w:t>
      </w:r>
    </w:p>
    <w:p w14:paraId="59298736" w14:textId="77777777" w:rsidR="00550FF0" w:rsidRDefault="00550FF0" w:rsidP="002307EC">
      <w:pPr>
        <w:rPr>
          <w:color w:val="2E75B6"/>
        </w:rPr>
      </w:pPr>
      <w:r>
        <w:t xml:space="preserve">E-mail: </w:t>
      </w:r>
      <w:hyperlink r:id="rId28" w:history="1">
        <w:r w:rsidRPr="00C2284B">
          <w:rPr>
            <w:rStyle w:val="Hyperlink"/>
          </w:rPr>
          <w:t>richard.melchreit@ct.gov</w:t>
        </w:r>
      </w:hyperlink>
    </w:p>
    <w:p w14:paraId="2934FA49" w14:textId="77777777" w:rsidR="00550FF0" w:rsidRDefault="00550FF0" w:rsidP="002307EC">
      <w:pPr>
        <w:pStyle w:val="PlainText"/>
        <w:rPr>
          <w:rFonts w:ascii="Times New Roman" w:hAnsi="Times New Roman"/>
          <w:color w:val="000000"/>
          <w:sz w:val="24"/>
          <w:szCs w:val="24"/>
        </w:rPr>
      </w:pPr>
    </w:p>
    <w:p w14:paraId="707289EC" w14:textId="77777777" w:rsidR="00550FF0" w:rsidRDefault="00550FF0" w:rsidP="002307EC">
      <w:pPr>
        <w:pStyle w:val="NoSpacing"/>
        <w:rPr>
          <w:rFonts w:ascii="Times New Roman" w:hAnsi="Times New Roman"/>
        </w:rPr>
      </w:pPr>
      <w:r>
        <w:rPr>
          <w:rFonts w:ascii="Times New Roman" w:hAnsi="Times New Roman"/>
          <w:b/>
          <w:bCs/>
        </w:rPr>
        <w:t>Ghinwa K. Dumyati MD</w:t>
      </w:r>
      <w:r w:rsidR="00C25BDE">
        <w:rPr>
          <w:rFonts w:ascii="Times New Roman" w:hAnsi="Times New Roman"/>
          <w:b/>
          <w:bCs/>
        </w:rPr>
        <w:t xml:space="preserve"> </w:t>
      </w:r>
      <w:r w:rsidR="00C25BDE" w:rsidRPr="001011D2">
        <w:rPr>
          <w:rFonts w:ascii="Times New Roman" w:hAnsi="Times New Roman"/>
          <w:bCs/>
        </w:rPr>
        <w:t>(201</w:t>
      </w:r>
      <w:r w:rsidR="00FB0223" w:rsidRPr="001011D2">
        <w:rPr>
          <w:rFonts w:ascii="Times New Roman" w:hAnsi="Times New Roman"/>
          <w:bCs/>
        </w:rPr>
        <w:t>2</w:t>
      </w:r>
      <w:r w:rsidR="00C25BDE" w:rsidRPr="001011D2">
        <w:rPr>
          <w:rFonts w:ascii="Times New Roman" w:hAnsi="Times New Roman"/>
          <w:bCs/>
        </w:rPr>
        <w:t xml:space="preserve"> – Present)</w:t>
      </w:r>
    </w:p>
    <w:p w14:paraId="752226E8" w14:textId="77777777" w:rsidR="00550FF0" w:rsidRDefault="00550FF0" w:rsidP="002307EC">
      <w:pPr>
        <w:pStyle w:val="NoSpacing"/>
        <w:rPr>
          <w:rFonts w:ascii="Times New Roman" w:hAnsi="Times New Roman"/>
        </w:rPr>
      </w:pPr>
      <w:r>
        <w:rPr>
          <w:rFonts w:ascii="Times New Roman" w:hAnsi="Times New Roman"/>
        </w:rPr>
        <w:t>Professor of Infectious Diseases</w:t>
      </w:r>
    </w:p>
    <w:p w14:paraId="3A3B7C01" w14:textId="77777777" w:rsidR="00550FF0" w:rsidRPr="007560BE" w:rsidRDefault="00550FF0" w:rsidP="002307EC">
      <w:pPr>
        <w:pStyle w:val="NoSpacing"/>
        <w:rPr>
          <w:rFonts w:ascii="Times New Roman" w:hAnsi="Times New Roman"/>
          <w:bCs/>
          <w:i/>
        </w:rPr>
      </w:pPr>
      <w:r w:rsidRPr="007560BE">
        <w:rPr>
          <w:rStyle w:val="Emphasis"/>
          <w:rFonts w:ascii="Times New Roman" w:hAnsi="Times New Roman"/>
          <w:bCs/>
          <w:i w:val="0"/>
          <w:sz w:val="24"/>
          <w:szCs w:val="24"/>
          <w:lang w:val="en"/>
        </w:rPr>
        <w:t xml:space="preserve">New York- </w:t>
      </w:r>
      <w:r w:rsidRPr="007560BE">
        <w:rPr>
          <w:rStyle w:val="Emphasis"/>
          <w:rFonts w:ascii="Times New Roman" w:hAnsi="Times New Roman"/>
          <w:bCs/>
          <w:i w:val="0"/>
          <w:lang w:val="en"/>
        </w:rPr>
        <w:t xml:space="preserve">Rochester </w:t>
      </w:r>
      <w:r w:rsidRPr="007560BE">
        <w:rPr>
          <w:rStyle w:val="Emphasis"/>
          <w:rFonts w:ascii="Times New Roman" w:hAnsi="Times New Roman"/>
          <w:bCs/>
          <w:i w:val="0"/>
          <w:sz w:val="24"/>
          <w:szCs w:val="24"/>
          <w:lang w:val="en"/>
        </w:rPr>
        <w:t>Emerging Infections Program</w:t>
      </w:r>
      <w:r w:rsidRPr="007560BE">
        <w:rPr>
          <w:rStyle w:val="st1"/>
          <w:rFonts w:ascii="Times New Roman" w:hAnsi="Times New Roman"/>
          <w:bCs/>
          <w:i/>
          <w:sz w:val="24"/>
          <w:szCs w:val="24"/>
          <w:lang w:val="en"/>
        </w:rPr>
        <w:t xml:space="preserve"> (</w:t>
      </w:r>
      <w:r w:rsidRPr="007560BE">
        <w:rPr>
          <w:rStyle w:val="Emphasis"/>
          <w:rFonts w:ascii="Times New Roman" w:hAnsi="Times New Roman"/>
          <w:bCs/>
          <w:i w:val="0"/>
          <w:sz w:val="24"/>
          <w:szCs w:val="24"/>
          <w:lang w:val="en"/>
        </w:rPr>
        <w:t>EIP</w:t>
      </w:r>
      <w:r w:rsidRPr="007560BE">
        <w:rPr>
          <w:rStyle w:val="st1"/>
          <w:rFonts w:ascii="Times New Roman" w:hAnsi="Times New Roman"/>
          <w:bCs/>
          <w:i/>
          <w:sz w:val="24"/>
          <w:szCs w:val="24"/>
          <w:lang w:val="en"/>
        </w:rPr>
        <w:t>)</w:t>
      </w:r>
    </w:p>
    <w:p w14:paraId="17111798" w14:textId="77777777" w:rsidR="00550FF0" w:rsidRDefault="00550FF0" w:rsidP="002307EC">
      <w:pPr>
        <w:pStyle w:val="NoSpacing"/>
        <w:rPr>
          <w:rFonts w:ascii="Times New Roman" w:hAnsi="Times New Roman"/>
        </w:rPr>
      </w:pPr>
      <w:r>
        <w:rPr>
          <w:rFonts w:ascii="Times New Roman" w:hAnsi="Times New Roman"/>
        </w:rPr>
        <w:t>University of Rochester Medical Center</w:t>
      </w:r>
      <w:r>
        <w:rPr>
          <w:rFonts w:ascii="Times New Roman" w:hAnsi="Times New Roman"/>
        </w:rPr>
        <w:br/>
        <w:t>School of Medicine and Dentistry</w:t>
      </w:r>
      <w:r>
        <w:rPr>
          <w:rFonts w:ascii="Times New Roman" w:hAnsi="Times New Roman"/>
        </w:rPr>
        <w:br/>
      </w:r>
      <w:r>
        <w:rPr>
          <w:rFonts w:ascii="Times New Roman" w:hAnsi="Times New Roman"/>
          <w:sz w:val="24"/>
          <w:szCs w:val="24"/>
        </w:rPr>
        <w:t xml:space="preserve">E-mail: </w:t>
      </w:r>
      <w:hyperlink r:id="rId29" w:history="1">
        <w:r>
          <w:rPr>
            <w:rStyle w:val="Hyperlink"/>
            <w:rFonts w:ascii="Times New Roman" w:hAnsi="Times New Roman"/>
          </w:rPr>
          <w:t>ghinwa_dumyati@urmc.rochester.edu</w:t>
        </w:r>
      </w:hyperlink>
    </w:p>
    <w:p w14:paraId="05C2E4E9" w14:textId="77777777" w:rsidR="00550FF0" w:rsidRDefault="00550FF0" w:rsidP="002307EC">
      <w:pPr>
        <w:pStyle w:val="NoSpacing"/>
        <w:rPr>
          <w:rFonts w:ascii="Times New Roman" w:hAnsi="Times New Roman"/>
        </w:rPr>
      </w:pPr>
    </w:p>
    <w:p w14:paraId="20D46516" w14:textId="77777777" w:rsidR="00550FF0" w:rsidRDefault="00550FF0" w:rsidP="002307EC">
      <w:pPr>
        <w:pStyle w:val="Default"/>
        <w:rPr>
          <w:sz w:val="22"/>
          <w:szCs w:val="22"/>
        </w:rPr>
      </w:pPr>
      <w:r>
        <w:rPr>
          <w:b/>
          <w:bCs/>
          <w:sz w:val="22"/>
          <w:szCs w:val="22"/>
        </w:rPr>
        <w:t>Ruth Lynfield MD</w:t>
      </w:r>
      <w:r w:rsidR="00C25BDE">
        <w:rPr>
          <w:b/>
          <w:bCs/>
          <w:sz w:val="22"/>
          <w:szCs w:val="22"/>
        </w:rPr>
        <w:t xml:space="preserve"> </w:t>
      </w:r>
      <w:r w:rsidR="00C25BDE" w:rsidRPr="001011D2">
        <w:rPr>
          <w:bCs/>
          <w:sz w:val="22"/>
          <w:szCs w:val="22"/>
        </w:rPr>
        <w:t>(201</w:t>
      </w:r>
      <w:r w:rsidR="00FB0223" w:rsidRPr="001011D2">
        <w:rPr>
          <w:bCs/>
          <w:sz w:val="22"/>
          <w:szCs w:val="22"/>
        </w:rPr>
        <w:t>2</w:t>
      </w:r>
      <w:r w:rsidR="00C25BDE" w:rsidRPr="001011D2">
        <w:rPr>
          <w:bCs/>
          <w:sz w:val="22"/>
          <w:szCs w:val="22"/>
        </w:rPr>
        <w:t xml:space="preserve"> – Present)</w:t>
      </w:r>
    </w:p>
    <w:p w14:paraId="0F36B771" w14:textId="77777777" w:rsidR="00550FF0" w:rsidRDefault="00550FF0" w:rsidP="002307EC">
      <w:pPr>
        <w:pStyle w:val="Default"/>
        <w:rPr>
          <w:sz w:val="22"/>
          <w:szCs w:val="22"/>
        </w:rPr>
      </w:pPr>
      <w:r>
        <w:rPr>
          <w:sz w:val="22"/>
          <w:szCs w:val="22"/>
        </w:rPr>
        <w:t>State Epidemiologist</w:t>
      </w:r>
      <w:r w:rsidR="00C2284B">
        <w:rPr>
          <w:sz w:val="22"/>
          <w:szCs w:val="22"/>
        </w:rPr>
        <w:t xml:space="preserve">, </w:t>
      </w:r>
      <w:r>
        <w:rPr>
          <w:sz w:val="22"/>
          <w:szCs w:val="22"/>
        </w:rPr>
        <w:t>Minnesota Department of Health</w:t>
      </w:r>
    </w:p>
    <w:p w14:paraId="4128113D" w14:textId="77777777" w:rsidR="00550FF0" w:rsidRDefault="00550FF0" w:rsidP="002307EC">
      <w:pPr>
        <w:pStyle w:val="PlainText"/>
        <w:rPr>
          <w:rFonts w:ascii="Times New Roman" w:hAnsi="Times New Roman"/>
          <w:sz w:val="24"/>
          <w:szCs w:val="24"/>
        </w:rPr>
      </w:pPr>
      <w:r>
        <w:rPr>
          <w:rFonts w:ascii="Times New Roman" w:hAnsi="Times New Roman"/>
          <w:sz w:val="24"/>
          <w:szCs w:val="24"/>
        </w:rPr>
        <w:t>Tel:  (651) 201-5422</w:t>
      </w:r>
    </w:p>
    <w:p w14:paraId="392A2AED" w14:textId="77777777" w:rsidR="00550FF0" w:rsidRDefault="00550FF0" w:rsidP="002307EC">
      <w:pPr>
        <w:pStyle w:val="Default"/>
        <w:rPr>
          <w:sz w:val="22"/>
          <w:szCs w:val="22"/>
        </w:rPr>
      </w:pPr>
      <w:r>
        <w:t xml:space="preserve">E-mail: </w:t>
      </w:r>
      <w:hyperlink r:id="rId30" w:history="1">
        <w:r>
          <w:rPr>
            <w:rStyle w:val="Hyperlink"/>
            <w:sz w:val="22"/>
            <w:szCs w:val="22"/>
          </w:rPr>
          <w:t>ruth.lynfield@.state.mn.us</w:t>
        </w:r>
      </w:hyperlink>
    </w:p>
    <w:p w14:paraId="21BD90CE" w14:textId="77777777" w:rsidR="00550FF0" w:rsidRDefault="00550FF0" w:rsidP="002307EC">
      <w:pPr>
        <w:pStyle w:val="NoSpacing"/>
        <w:rPr>
          <w:rFonts w:ascii="Times New Roman" w:hAnsi="Times New Roman"/>
          <w:b/>
          <w:bCs/>
          <w:sz w:val="24"/>
          <w:szCs w:val="24"/>
          <w:lang w:val="en"/>
        </w:rPr>
      </w:pPr>
    </w:p>
    <w:p w14:paraId="0068E5FD" w14:textId="77777777" w:rsidR="00550FF0" w:rsidRDefault="00550FF0" w:rsidP="002307EC">
      <w:pPr>
        <w:pStyle w:val="NoSpacing"/>
        <w:rPr>
          <w:rFonts w:ascii="Times New Roman" w:hAnsi="Times New Roman"/>
          <w:b/>
          <w:bCs/>
          <w:sz w:val="24"/>
          <w:szCs w:val="24"/>
          <w:lang w:val="en"/>
        </w:rPr>
      </w:pPr>
      <w:r>
        <w:rPr>
          <w:rFonts w:ascii="Times New Roman" w:hAnsi="Times New Roman"/>
          <w:b/>
          <w:bCs/>
          <w:sz w:val="24"/>
          <w:szCs w:val="24"/>
          <w:lang w:val="en"/>
        </w:rPr>
        <w:t>Lona Mody, MBBS, MSc</w:t>
      </w:r>
      <w:r w:rsidR="00C25BDE">
        <w:rPr>
          <w:rFonts w:ascii="Times New Roman" w:hAnsi="Times New Roman"/>
          <w:b/>
          <w:bCs/>
          <w:sz w:val="24"/>
          <w:szCs w:val="24"/>
          <w:lang w:val="en"/>
        </w:rPr>
        <w:t xml:space="preserve"> </w:t>
      </w:r>
      <w:r w:rsidR="00C25BDE" w:rsidRPr="001011D2">
        <w:rPr>
          <w:rFonts w:ascii="Times New Roman" w:hAnsi="Times New Roman"/>
          <w:bCs/>
          <w:sz w:val="24"/>
          <w:szCs w:val="24"/>
          <w:lang w:val="en"/>
        </w:rPr>
        <w:t>(201</w:t>
      </w:r>
      <w:r w:rsidR="00FB0223" w:rsidRPr="001011D2">
        <w:rPr>
          <w:rFonts w:ascii="Times New Roman" w:hAnsi="Times New Roman"/>
          <w:bCs/>
          <w:sz w:val="24"/>
          <w:szCs w:val="24"/>
          <w:lang w:val="en"/>
        </w:rPr>
        <w:t>2</w:t>
      </w:r>
      <w:r w:rsidR="00C25BDE" w:rsidRPr="001011D2">
        <w:rPr>
          <w:rFonts w:ascii="Times New Roman" w:hAnsi="Times New Roman"/>
          <w:bCs/>
          <w:sz w:val="24"/>
          <w:szCs w:val="24"/>
          <w:lang w:val="en"/>
        </w:rPr>
        <w:t>-</w:t>
      </w:r>
      <w:r w:rsidR="007F27CF">
        <w:rPr>
          <w:rFonts w:ascii="Times New Roman" w:hAnsi="Times New Roman"/>
          <w:bCs/>
          <w:sz w:val="24"/>
          <w:szCs w:val="24"/>
          <w:lang w:val="en"/>
        </w:rPr>
        <w:t>present</w:t>
      </w:r>
      <w:r w:rsidR="00C25BDE" w:rsidRPr="001011D2">
        <w:rPr>
          <w:rFonts w:ascii="Times New Roman" w:hAnsi="Times New Roman"/>
          <w:bCs/>
          <w:sz w:val="24"/>
          <w:szCs w:val="24"/>
          <w:lang w:val="en"/>
        </w:rPr>
        <w:t>)</w:t>
      </w:r>
    </w:p>
    <w:p w14:paraId="534BC266" w14:textId="77777777" w:rsidR="00550FF0" w:rsidRDefault="00550FF0" w:rsidP="002307EC">
      <w:pPr>
        <w:pStyle w:val="NoSpacing"/>
        <w:rPr>
          <w:rFonts w:ascii="Times New Roman" w:hAnsi="Times New Roman"/>
          <w:sz w:val="24"/>
          <w:szCs w:val="24"/>
          <w:lang w:val="en"/>
        </w:rPr>
      </w:pPr>
      <w:r>
        <w:rPr>
          <w:rFonts w:ascii="Times New Roman" w:hAnsi="Times New Roman"/>
          <w:sz w:val="24"/>
          <w:szCs w:val="24"/>
        </w:rPr>
        <w:t>Division of Geriatric and Palliative Medicine</w:t>
      </w:r>
    </w:p>
    <w:p w14:paraId="1C6D9255" w14:textId="77777777" w:rsidR="00550FF0" w:rsidRDefault="00550FF0" w:rsidP="002307EC">
      <w:pPr>
        <w:pStyle w:val="NoSpacing"/>
        <w:rPr>
          <w:rFonts w:ascii="Times New Roman" w:hAnsi="Times New Roman"/>
          <w:sz w:val="24"/>
          <w:szCs w:val="24"/>
        </w:rPr>
      </w:pPr>
      <w:r>
        <w:rPr>
          <w:rFonts w:ascii="Times New Roman" w:hAnsi="Times New Roman"/>
          <w:sz w:val="24"/>
          <w:szCs w:val="24"/>
        </w:rPr>
        <w:t>University of Michigan Medical School</w:t>
      </w:r>
    </w:p>
    <w:p w14:paraId="32938F7C" w14:textId="77777777" w:rsidR="00550FF0" w:rsidRDefault="00550FF0" w:rsidP="002307EC">
      <w:pPr>
        <w:pStyle w:val="NoSpacing"/>
        <w:rPr>
          <w:rFonts w:ascii="Times New Roman" w:hAnsi="Times New Roman"/>
          <w:sz w:val="24"/>
          <w:szCs w:val="24"/>
        </w:rPr>
      </w:pPr>
      <w:r>
        <w:rPr>
          <w:rFonts w:ascii="Times New Roman" w:hAnsi="Times New Roman"/>
          <w:sz w:val="24"/>
          <w:szCs w:val="24"/>
        </w:rPr>
        <w:t xml:space="preserve">E-mail: </w:t>
      </w:r>
      <w:hyperlink r:id="rId31" w:history="1">
        <w:r>
          <w:rPr>
            <w:rStyle w:val="Hyperlink"/>
            <w:rFonts w:ascii="Times New Roman" w:hAnsi="Times New Roman"/>
            <w:sz w:val="24"/>
            <w:szCs w:val="24"/>
          </w:rPr>
          <w:t>lonamody@umich.edu</w:t>
        </w:r>
      </w:hyperlink>
    </w:p>
    <w:p w14:paraId="61F46242" w14:textId="77777777" w:rsidR="00C25BDE" w:rsidRDefault="00C25BDE" w:rsidP="002307EC">
      <w:pPr>
        <w:pStyle w:val="NoSpacing"/>
        <w:rPr>
          <w:rFonts w:ascii="Times New Roman" w:hAnsi="Times New Roman"/>
          <w:sz w:val="24"/>
          <w:szCs w:val="24"/>
        </w:rPr>
      </w:pPr>
    </w:p>
    <w:p w14:paraId="776A727D" w14:textId="77777777" w:rsidR="00550FF0" w:rsidRPr="001011D2" w:rsidRDefault="00550FF0" w:rsidP="002307EC">
      <w:r w:rsidRPr="001011D2">
        <w:rPr>
          <w:b/>
          <w:bCs/>
        </w:rPr>
        <w:t>Béatrice Jans</w:t>
      </w:r>
      <w:r w:rsidRPr="001011D2">
        <w:t xml:space="preserve"> </w:t>
      </w:r>
      <w:r w:rsidR="00C25BDE" w:rsidRPr="001011D2">
        <w:t>(</w:t>
      </w:r>
      <w:r w:rsidR="00FB0223" w:rsidRPr="001011D2">
        <w:t>2012</w:t>
      </w:r>
      <w:r w:rsidR="00C25BDE" w:rsidRPr="001011D2">
        <w:t>-</w:t>
      </w:r>
      <w:r w:rsidR="007560BE" w:rsidRPr="001011D2">
        <w:t>201</w:t>
      </w:r>
      <w:r w:rsidR="007560BE">
        <w:t>3</w:t>
      </w:r>
      <w:r w:rsidR="00C25BDE" w:rsidRPr="001011D2">
        <w:t>)</w:t>
      </w:r>
      <w:r w:rsidRPr="001011D2">
        <w:br/>
      </w:r>
      <w:r w:rsidR="001011D2" w:rsidRPr="007560BE">
        <w:rPr>
          <w:color w:val="000000"/>
        </w:rPr>
        <w:t xml:space="preserve">Healthcare Associated infections in Long-Term care facilities project </w:t>
      </w:r>
      <w:r w:rsidR="001011D2" w:rsidRPr="001011D2">
        <w:rPr>
          <w:color w:val="000000"/>
        </w:rPr>
        <w:t xml:space="preserve"> </w:t>
      </w:r>
      <w:r w:rsidR="001011D2">
        <w:rPr>
          <w:color w:val="000000"/>
        </w:rPr>
        <w:t xml:space="preserve">- </w:t>
      </w:r>
      <w:r w:rsidR="001011D2" w:rsidRPr="001011D2">
        <w:rPr>
          <w:color w:val="000000"/>
        </w:rPr>
        <w:t>Survey Coordinator</w:t>
      </w:r>
    </w:p>
    <w:p w14:paraId="49B7108F" w14:textId="77777777" w:rsidR="00550FF0" w:rsidRDefault="00550FF0" w:rsidP="002307EC">
      <w:r w:rsidRPr="001011D2">
        <w:t>Scientific Institute of Public Health</w:t>
      </w:r>
      <w:r w:rsidR="001011D2">
        <w:t xml:space="preserve">, </w:t>
      </w:r>
      <w:r w:rsidRPr="001011D2">
        <w:t>Brussels, Belgium</w:t>
      </w:r>
      <w:r w:rsidRPr="001011D2">
        <w:br/>
        <w:t>Tel. +32 (0)26425736</w:t>
      </w:r>
      <w:r>
        <w:t xml:space="preserve"> </w:t>
      </w:r>
      <w:r>
        <w:br/>
        <w:t xml:space="preserve">E-mail: </w:t>
      </w:r>
      <w:hyperlink r:id="rId32" w:history="1">
        <w:r>
          <w:rPr>
            <w:rStyle w:val="Hyperlink"/>
          </w:rPr>
          <w:t>beatrice.jans@</w:t>
        </w:r>
      </w:hyperlink>
      <w:hyperlink r:id="rId33" w:history="1">
        <w:r>
          <w:rPr>
            <w:rStyle w:val="Hyperlink"/>
          </w:rPr>
          <w:t>wiv-isp.be</w:t>
        </w:r>
      </w:hyperlink>
    </w:p>
    <w:p w14:paraId="0F030E33" w14:textId="77777777" w:rsidR="00550FF0" w:rsidRDefault="00550FF0" w:rsidP="002307EC">
      <w:pPr>
        <w:pStyle w:val="NoSpacing"/>
        <w:rPr>
          <w:rFonts w:ascii="Times New Roman" w:hAnsi="Times New Roman"/>
          <w:sz w:val="24"/>
          <w:szCs w:val="24"/>
        </w:rPr>
      </w:pPr>
    </w:p>
    <w:p w14:paraId="0344829D" w14:textId="77777777" w:rsidR="00550FF0" w:rsidRPr="001011D2" w:rsidRDefault="00550FF0" w:rsidP="002307EC">
      <w:pPr>
        <w:pStyle w:val="NoSpacing"/>
        <w:rPr>
          <w:rFonts w:ascii="Times New Roman" w:hAnsi="Times New Roman"/>
          <w:b/>
          <w:bCs/>
          <w:sz w:val="24"/>
          <w:szCs w:val="24"/>
        </w:rPr>
      </w:pPr>
      <w:r w:rsidRPr="001011D2">
        <w:rPr>
          <w:rFonts w:ascii="Times New Roman" w:hAnsi="Times New Roman"/>
          <w:b/>
          <w:bCs/>
          <w:sz w:val="24"/>
          <w:szCs w:val="24"/>
        </w:rPr>
        <w:t>Katrien Latour</w:t>
      </w:r>
      <w:r w:rsidR="00C25BDE" w:rsidRPr="001011D2">
        <w:rPr>
          <w:rFonts w:ascii="Times New Roman" w:hAnsi="Times New Roman"/>
          <w:b/>
          <w:bCs/>
          <w:sz w:val="24"/>
          <w:szCs w:val="24"/>
        </w:rPr>
        <w:t xml:space="preserve"> </w:t>
      </w:r>
      <w:r w:rsidR="00C25BDE" w:rsidRPr="001011D2">
        <w:rPr>
          <w:rFonts w:ascii="Times New Roman" w:hAnsi="Times New Roman"/>
          <w:bCs/>
          <w:sz w:val="24"/>
          <w:szCs w:val="24"/>
        </w:rPr>
        <w:t>(</w:t>
      </w:r>
      <w:r w:rsidR="00FB0223" w:rsidRPr="001011D2">
        <w:rPr>
          <w:rFonts w:ascii="Times New Roman" w:hAnsi="Times New Roman"/>
          <w:bCs/>
          <w:sz w:val="24"/>
          <w:szCs w:val="24"/>
        </w:rPr>
        <w:t>2012</w:t>
      </w:r>
      <w:r w:rsidR="00C25BDE" w:rsidRPr="001011D2">
        <w:rPr>
          <w:rFonts w:ascii="Times New Roman" w:hAnsi="Times New Roman"/>
          <w:bCs/>
          <w:sz w:val="24"/>
          <w:szCs w:val="24"/>
        </w:rPr>
        <w:t>-</w:t>
      </w:r>
      <w:r w:rsidR="007560BE" w:rsidRPr="001011D2">
        <w:rPr>
          <w:rFonts w:ascii="Times New Roman" w:hAnsi="Times New Roman"/>
          <w:bCs/>
          <w:sz w:val="24"/>
          <w:szCs w:val="24"/>
        </w:rPr>
        <w:t>201</w:t>
      </w:r>
      <w:r w:rsidR="007560BE">
        <w:rPr>
          <w:rFonts w:ascii="Times New Roman" w:hAnsi="Times New Roman"/>
          <w:bCs/>
          <w:sz w:val="24"/>
          <w:szCs w:val="24"/>
        </w:rPr>
        <w:t>3</w:t>
      </w:r>
      <w:r w:rsidR="00C25BDE" w:rsidRPr="001011D2">
        <w:rPr>
          <w:rFonts w:ascii="Times New Roman" w:hAnsi="Times New Roman"/>
          <w:bCs/>
          <w:sz w:val="24"/>
          <w:szCs w:val="24"/>
        </w:rPr>
        <w:t>)</w:t>
      </w:r>
    </w:p>
    <w:p w14:paraId="76536A78" w14:textId="77777777" w:rsidR="001011D2" w:rsidRPr="001011D2" w:rsidRDefault="001011D2" w:rsidP="002307EC">
      <w:pPr>
        <w:rPr>
          <w:b/>
          <w:bCs/>
          <w:color w:val="000000"/>
        </w:rPr>
      </w:pPr>
      <w:r w:rsidRPr="001011D2">
        <w:rPr>
          <w:color w:val="000000"/>
        </w:rPr>
        <w:t xml:space="preserve">Healthcare Associated infections in Long-Term care facilities </w:t>
      </w:r>
      <w:r w:rsidR="00C2284B" w:rsidRPr="001011D2">
        <w:rPr>
          <w:color w:val="000000"/>
        </w:rPr>
        <w:t>project -</w:t>
      </w:r>
      <w:r w:rsidRPr="001011D2">
        <w:rPr>
          <w:color w:val="000000"/>
        </w:rPr>
        <w:t xml:space="preserve"> Survey Coordinator</w:t>
      </w:r>
    </w:p>
    <w:p w14:paraId="79286897" w14:textId="77777777" w:rsidR="00550FF0" w:rsidRDefault="001011D2" w:rsidP="002307EC">
      <w:pPr>
        <w:pStyle w:val="NoSpacing"/>
        <w:rPr>
          <w:rFonts w:ascii="Times New Roman" w:hAnsi="Times New Roman"/>
          <w:sz w:val="24"/>
          <w:szCs w:val="24"/>
        </w:rPr>
      </w:pPr>
      <w:r w:rsidRPr="001011D2">
        <w:rPr>
          <w:rFonts w:ascii="Times New Roman" w:hAnsi="Times New Roman"/>
          <w:sz w:val="24"/>
          <w:szCs w:val="24"/>
        </w:rPr>
        <w:t>Scientific Institute of Public Health, Brussels, Belgium</w:t>
      </w:r>
      <w:r w:rsidR="00550FF0" w:rsidRPr="001011D2">
        <w:rPr>
          <w:rFonts w:ascii="Times New Roman" w:hAnsi="Times New Roman"/>
          <w:sz w:val="24"/>
          <w:szCs w:val="24"/>
        </w:rPr>
        <w:br/>
        <w:t>Tel. +32 (0)26425762</w:t>
      </w:r>
      <w:r w:rsidR="00550FF0">
        <w:rPr>
          <w:rFonts w:ascii="Times New Roman" w:hAnsi="Times New Roman"/>
          <w:sz w:val="24"/>
          <w:szCs w:val="24"/>
        </w:rPr>
        <w:t xml:space="preserve"> </w:t>
      </w:r>
      <w:r w:rsidR="00550FF0">
        <w:rPr>
          <w:rFonts w:ascii="Times New Roman" w:hAnsi="Times New Roman"/>
          <w:sz w:val="24"/>
          <w:szCs w:val="24"/>
        </w:rPr>
        <w:br/>
        <w:t xml:space="preserve">E-mail: </w:t>
      </w:r>
      <w:hyperlink r:id="rId34" w:history="1">
        <w:r w:rsidR="00550FF0">
          <w:rPr>
            <w:rStyle w:val="Hyperlink"/>
            <w:rFonts w:ascii="Times New Roman" w:hAnsi="Times New Roman"/>
            <w:sz w:val="24"/>
            <w:szCs w:val="24"/>
          </w:rPr>
          <w:t>katrien.latour@</w:t>
        </w:r>
      </w:hyperlink>
      <w:hyperlink r:id="rId35" w:history="1">
        <w:r w:rsidR="00550FF0">
          <w:rPr>
            <w:rStyle w:val="Hyperlink"/>
            <w:rFonts w:ascii="Times New Roman" w:hAnsi="Times New Roman"/>
            <w:sz w:val="24"/>
            <w:szCs w:val="24"/>
          </w:rPr>
          <w:t>wiv-isp.be</w:t>
        </w:r>
      </w:hyperlink>
    </w:p>
    <w:p w14:paraId="1E416876" w14:textId="77777777" w:rsidR="00C2284B" w:rsidRDefault="00C2284B" w:rsidP="002307EC">
      <w:pPr>
        <w:pStyle w:val="NoSpacing"/>
        <w:rPr>
          <w:rFonts w:ascii="Times New Roman" w:hAnsi="Times New Roman"/>
          <w:sz w:val="24"/>
          <w:szCs w:val="24"/>
        </w:rPr>
      </w:pPr>
    </w:p>
    <w:p w14:paraId="4E51373B" w14:textId="77777777" w:rsidR="00C2284B" w:rsidRPr="00C2284B" w:rsidRDefault="00C2284B" w:rsidP="002307EC">
      <w:r w:rsidRPr="00C2284B">
        <w:rPr>
          <w:b/>
        </w:rPr>
        <w:t>Maria Luisa Moro</w:t>
      </w:r>
      <w:r>
        <w:t xml:space="preserve"> </w:t>
      </w:r>
      <w:r w:rsidRPr="001011D2">
        <w:rPr>
          <w:bCs/>
        </w:rPr>
        <w:t>(2012-201</w:t>
      </w:r>
      <w:r>
        <w:rPr>
          <w:bCs/>
        </w:rPr>
        <w:t>3</w:t>
      </w:r>
      <w:r w:rsidRPr="001011D2">
        <w:rPr>
          <w:bCs/>
        </w:rPr>
        <w:t>)</w:t>
      </w:r>
    </w:p>
    <w:p w14:paraId="1CC0AD66" w14:textId="77777777" w:rsidR="00C2284B" w:rsidRPr="00C2284B" w:rsidRDefault="00C2284B" w:rsidP="002307EC">
      <w:r w:rsidRPr="00C2284B">
        <w:rPr>
          <w:color w:val="000000"/>
        </w:rPr>
        <w:t>Healthcare Associated infections in Long-Term care facilities project - Survey Coordinator</w:t>
      </w:r>
    </w:p>
    <w:p w14:paraId="26C8E92A" w14:textId="77777777" w:rsidR="00C2284B" w:rsidRPr="00C2284B" w:rsidRDefault="00C2284B" w:rsidP="002307EC">
      <w:r w:rsidRPr="00C2284B">
        <w:t>Agenzia Sanitaria e Sociale</w:t>
      </w:r>
      <w:r>
        <w:t>,</w:t>
      </w:r>
      <w:r w:rsidRPr="00C2284B">
        <w:t xml:space="preserve"> Bologna, Italy</w:t>
      </w:r>
    </w:p>
    <w:p w14:paraId="04A5B233" w14:textId="77777777" w:rsidR="00C2284B" w:rsidRPr="00C2284B" w:rsidRDefault="00C2284B" w:rsidP="002307EC">
      <w:r w:rsidRPr="00C2284B">
        <w:t xml:space="preserve">Tel.: </w:t>
      </w:r>
      <w:r w:rsidRPr="00C2284B">
        <w:rPr>
          <w:rStyle w:val="baec5a81-e4d6-4674-97f3-e9220f0136c1"/>
        </w:rPr>
        <w:t>+39 (0) 515277139</w:t>
      </w:r>
    </w:p>
    <w:p w14:paraId="63B1FC02" w14:textId="77777777" w:rsidR="00C2284B" w:rsidRPr="00C2284B" w:rsidRDefault="00C2284B" w:rsidP="002307EC">
      <w:r w:rsidRPr="00C2284B">
        <w:t xml:space="preserve">E-mail: </w:t>
      </w:r>
      <w:hyperlink r:id="rId36" w:tooltip="mlmoro@regione.emilia-romagna.it" w:history="1">
        <w:r w:rsidRPr="00C2284B">
          <w:rPr>
            <w:rStyle w:val="Hyperlink"/>
          </w:rPr>
          <w:t>mlmoro@regione.emilia-romagna.it</w:t>
        </w:r>
      </w:hyperlink>
    </w:p>
    <w:p w14:paraId="3E1DBC62" w14:textId="77777777" w:rsidR="00550FF0" w:rsidRDefault="00550FF0" w:rsidP="002307EC">
      <w:pPr>
        <w:pStyle w:val="NoSpacing"/>
        <w:rPr>
          <w:rFonts w:ascii="Times New Roman" w:hAnsi="Times New Roman"/>
          <w:sz w:val="24"/>
          <w:szCs w:val="24"/>
        </w:rPr>
      </w:pPr>
    </w:p>
    <w:p w14:paraId="15D0C569" w14:textId="77777777" w:rsidR="00550FF0" w:rsidRDefault="00550FF0" w:rsidP="002307EC">
      <w:pPr>
        <w:pStyle w:val="NoSpacing"/>
        <w:rPr>
          <w:rFonts w:ascii="Times New Roman" w:hAnsi="Times New Roman"/>
          <w:b/>
          <w:bCs/>
          <w:sz w:val="24"/>
          <w:szCs w:val="24"/>
        </w:rPr>
      </w:pPr>
      <w:r>
        <w:rPr>
          <w:rFonts w:ascii="Times New Roman" w:hAnsi="Times New Roman"/>
          <w:b/>
          <w:bCs/>
          <w:color w:val="000000"/>
          <w:sz w:val="24"/>
          <w:szCs w:val="24"/>
        </w:rPr>
        <w:t>Fidelma Fitzpatrick</w:t>
      </w:r>
      <w:r w:rsidR="00C25BDE">
        <w:rPr>
          <w:rFonts w:ascii="Times New Roman" w:hAnsi="Times New Roman"/>
          <w:b/>
          <w:bCs/>
          <w:color w:val="000000"/>
          <w:sz w:val="24"/>
          <w:szCs w:val="24"/>
        </w:rPr>
        <w:t xml:space="preserve"> </w:t>
      </w:r>
      <w:r w:rsidR="00C25BDE" w:rsidRPr="001011D2">
        <w:rPr>
          <w:rFonts w:ascii="Times New Roman" w:hAnsi="Times New Roman"/>
          <w:bCs/>
          <w:color w:val="000000"/>
          <w:sz w:val="24"/>
          <w:szCs w:val="24"/>
        </w:rPr>
        <w:t>(201</w:t>
      </w:r>
      <w:r w:rsidR="00FB0223" w:rsidRPr="001011D2">
        <w:rPr>
          <w:rFonts w:ascii="Times New Roman" w:hAnsi="Times New Roman"/>
          <w:bCs/>
          <w:color w:val="000000"/>
          <w:sz w:val="24"/>
          <w:szCs w:val="24"/>
        </w:rPr>
        <w:t>2</w:t>
      </w:r>
      <w:r w:rsidR="00C25BDE" w:rsidRPr="001011D2">
        <w:rPr>
          <w:rFonts w:ascii="Times New Roman" w:hAnsi="Times New Roman"/>
          <w:bCs/>
          <w:color w:val="000000"/>
          <w:sz w:val="24"/>
          <w:szCs w:val="24"/>
        </w:rPr>
        <w:t>-</w:t>
      </w:r>
      <w:r w:rsidR="007560BE" w:rsidRPr="001011D2">
        <w:rPr>
          <w:rFonts w:ascii="Times New Roman" w:hAnsi="Times New Roman"/>
          <w:bCs/>
          <w:color w:val="000000"/>
          <w:sz w:val="24"/>
          <w:szCs w:val="24"/>
        </w:rPr>
        <w:t>201</w:t>
      </w:r>
      <w:r w:rsidR="007560BE">
        <w:rPr>
          <w:rFonts w:ascii="Times New Roman" w:hAnsi="Times New Roman"/>
          <w:bCs/>
          <w:color w:val="000000"/>
          <w:sz w:val="24"/>
          <w:szCs w:val="24"/>
        </w:rPr>
        <w:t>3</w:t>
      </w:r>
      <w:r w:rsidR="00C25BDE" w:rsidRPr="001011D2">
        <w:rPr>
          <w:rFonts w:ascii="Times New Roman" w:hAnsi="Times New Roman"/>
          <w:bCs/>
          <w:color w:val="000000"/>
          <w:sz w:val="24"/>
          <w:szCs w:val="24"/>
        </w:rPr>
        <w:t>)</w:t>
      </w:r>
    </w:p>
    <w:p w14:paraId="0531FD67" w14:textId="77777777" w:rsidR="00550FF0" w:rsidRDefault="007560BE" w:rsidP="002307EC">
      <w:pPr>
        <w:pStyle w:val="NoSpacing"/>
        <w:rPr>
          <w:rFonts w:ascii="Times New Roman" w:hAnsi="Times New Roman"/>
          <w:b/>
          <w:bCs/>
          <w:color w:val="000000"/>
          <w:sz w:val="24"/>
          <w:szCs w:val="24"/>
        </w:rPr>
      </w:pPr>
      <w:r w:rsidRPr="001011D2">
        <w:rPr>
          <w:rFonts w:ascii="Times New Roman" w:hAnsi="Times New Roman"/>
          <w:color w:val="000000"/>
          <w:sz w:val="24"/>
          <w:szCs w:val="24"/>
        </w:rPr>
        <w:t>Healthcare Associated infections in Long-Term care facilities</w:t>
      </w:r>
      <w:r>
        <w:rPr>
          <w:rFonts w:ascii="Times New Roman" w:hAnsi="Times New Roman"/>
          <w:color w:val="000000"/>
          <w:sz w:val="24"/>
          <w:szCs w:val="24"/>
        </w:rPr>
        <w:t xml:space="preserve"> -</w:t>
      </w:r>
      <w:r w:rsidR="00550FF0">
        <w:rPr>
          <w:rFonts w:ascii="Times New Roman" w:hAnsi="Times New Roman"/>
          <w:color w:val="000000"/>
          <w:sz w:val="24"/>
          <w:szCs w:val="24"/>
        </w:rPr>
        <w:t xml:space="preserve"> Survey Coordinator</w:t>
      </w:r>
    </w:p>
    <w:p w14:paraId="69D30AFE" w14:textId="77777777" w:rsidR="00550FF0" w:rsidRDefault="00550FF0" w:rsidP="002307EC">
      <w:pPr>
        <w:pStyle w:val="NoSpacing"/>
      </w:pPr>
      <w:r>
        <w:rPr>
          <w:rStyle w:val="st1"/>
          <w:rFonts w:ascii="Times New Roman" w:hAnsi="Times New Roman"/>
          <w:color w:val="000000"/>
          <w:sz w:val="24"/>
          <w:szCs w:val="24"/>
          <w:lang w:val="en"/>
        </w:rPr>
        <w:t>Health Protection Surveillance Centre</w:t>
      </w:r>
      <w:r w:rsidR="007560BE">
        <w:rPr>
          <w:rStyle w:val="st1"/>
          <w:rFonts w:ascii="Times New Roman" w:hAnsi="Times New Roman"/>
          <w:color w:val="000000"/>
          <w:sz w:val="24"/>
          <w:szCs w:val="24"/>
          <w:lang w:val="en"/>
        </w:rPr>
        <w:t xml:space="preserve">, </w:t>
      </w:r>
      <w:r>
        <w:rPr>
          <w:rStyle w:val="st1"/>
          <w:rFonts w:ascii="Times New Roman" w:hAnsi="Times New Roman"/>
          <w:color w:val="000000"/>
          <w:sz w:val="24"/>
          <w:szCs w:val="24"/>
          <w:lang w:val="en"/>
        </w:rPr>
        <w:t>Dublin, Ireland</w:t>
      </w:r>
    </w:p>
    <w:p w14:paraId="6059A36A" w14:textId="77777777" w:rsidR="00550FF0" w:rsidRDefault="00550FF0" w:rsidP="002307EC">
      <w:pPr>
        <w:pStyle w:val="NoSpacing"/>
        <w:rPr>
          <w:rFonts w:ascii="Times New Roman" w:hAnsi="Times New Roman"/>
          <w:color w:val="000000"/>
          <w:sz w:val="24"/>
          <w:szCs w:val="24"/>
        </w:rPr>
      </w:pPr>
      <w:r>
        <w:rPr>
          <w:rStyle w:val="st1"/>
          <w:rFonts w:ascii="Times New Roman" w:hAnsi="Times New Roman"/>
          <w:color w:val="000000"/>
          <w:sz w:val="24"/>
          <w:szCs w:val="24"/>
          <w:lang w:val="en"/>
        </w:rPr>
        <w:lastRenderedPageBreak/>
        <w:t>Tel: +353 (0)18765300</w:t>
      </w:r>
    </w:p>
    <w:p w14:paraId="69DEFDFC" w14:textId="77777777" w:rsidR="00550FF0" w:rsidRDefault="00550FF0" w:rsidP="002307EC">
      <w:pPr>
        <w:pStyle w:val="NoSpacing"/>
        <w:rPr>
          <w:rFonts w:ascii="Times New Roman" w:hAnsi="Times New Roman"/>
          <w:sz w:val="24"/>
          <w:szCs w:val="24"/>
        </w:rPr>
      </w:pPr>
      <w:r>
        <w:rPr>
          <w:rFonts w:ascii="Times New Roman" w:hAnsi="Times New Roman"/>
          <w:sz w:val="24"/>
          <w:szCs w:val="24"/>
        </w:rPr>
        <w:t xml:space="preserve">E-mail: </w:t>
      </w:r>
      <w:hyperlink r:id="rId37" w:history="1">
        <w:r>
          <w:rPr>
            <w:rStyle w:val="Hyperlink"/>
            <w:rFonts w:ascii="Times New Roman" w:hAnsi="Times New Roman"/>
            <w:sz w:val="24"/>
            <w:szCs w:val="24"/>
          </w:rPr>
          <w:t>fidelma.fitzpatrick@hse.ie</w:t>
        </w:r>
      </w:hyperlink>
    </w:p>
    <w:p w14:paraId="2AC29CA4" w14:textId="77777777" w:rsidR="0041600D" w:rsidRDefault="0041600D" w:rsidP="002307EC">
      <w:pPr>
        <w:ind w:left="720"/>
      </w:pPr>
    </w:p>
    <w:p w14:paraId="07000F3B" w14:textId="77777777" w:rsidR="00AD36BD" w:rsidRPr="00D8482F" w:rsidRDefault="00AD36BD" w:rsidP="002307EC">
      <w:pPr>
        <w:pStyle w:val="Heading1"/>
      </w:pPr>
      <w:bookmarkStart w:id="18" w:name="_Toc444242965"/>
      <w:r w:rsidRPr="00D8482F">
        <w:t>Explanation of Any Payment or Gift to Respondents</w:t>
      </w:r>
      <w:bookmarkEnd w:id="18"/>
    </w:p>
    <w:p w14:paraId="28550122" w14:textId="77777777" w:rsidR="0026537C" w:rsidRPr="00D8482F" w:rsidRDefault="0026537C" w:rsidP="002307EC">
      <w:pPr>
        <w:outlineLvl w:val="0"/>
      </w:pPr>
    </w:p>
    <w:p w14:paraId="60193FC1" w14:textId="77777777" w:rsidR="005A2E28" w:rsidRPr="00D8482F" w:rsidRDefault="00121275" w:rsidP="002307EC">
      <w:pPr>
        <w:outlineLvl w:val="0"/>
      </w:pPr>
      <w:bookmarkStart w:id="19" w:name="_Toc444242966"/>
      <w:r w:rsidRPr="00D8482F">
        <w:t xml:space="preserve">Participating healthcare facilities may receive a certificate or letter of appreciation. </w:t>
      </w:r>
      <w:r w:rsidR="00BF312D" w:rsidRPr="00D8482F">
        <w:t>EIP sites or state health departments may choose to provide education and/or training resources to participating facilities.</w:t>
      </w:r>
      <w:bookmarkEnd w:id="19"/>
    </w:p>
    <w:p w14:paraId="43AFB71D" w14:textId="77777777" w:rsidR="005A2E28" w:rsidRPr="00D8482F" w:rsidRDefault="005A2E28" w:rsidP="002307EC">
      <w:pPr>
        <w:ind w:left="720" w:hanging="720"/>
      </w:pPr>
    </w:p>
    <w:p w14:paraId="4710B1DF" w14:textId="77777777" w:rsidR="0026537C" w:rsidRDefault="0041600D" w:rsidP="002307EC">
      <w:pPr>
        <w:pStyle w:val="Heading1"/>
      </w:pPr>
      <w:bookmarkStart w:id="20" w:name="_Toc444242967"/>
      <w:r>
        <w:t xml:space="preserve">Protection of the Privacy and </w:t>
      </w:r>
      <w:r w:rsidR="00AD36BD" w:rsidRPr="00D8482F">
        <w:t xml:space="preserve">Confidentiality </w:t>
      </w:r>
      <w:r>
        <w:t xml:space="preserve">of Information </w:t>
      </w:r>
      <w:r w:rsidR="00AD36BD" w:rsidRPr="00D8482F">
        <w:t xml:space="preserve">Provided </w:t>
      </w:r>
      <w:r>
        <w:t>by</w:t>
      </w:r>
      <w:r w:rsidR="00AD36BD" w:rsidRPr="00D8482F">
        <w:t xml:space="preserve"> Respondents</w:t>
      </w:r>
      <w:bookmarkEnd w:id="20"/>
    </w:p>
    <w:p w14:paraId="668485C9" w14:textId="77777777" w:rsidR="001830FC" w:rsidRDefault="001830FC" w:rsidP="002307EC">
      <w:pPr>
        <w:ind w:left="720" w:hanging="720"/>
        <w:rPr>
          <w:b/>
        </w:rPr>
      </w:pPr>
    </w:p>
    <w:p w14:paraId="050D5EB1" w14:textId="77777777" w:rsidR="001830FC" w:rsidRPr="00E55828" w:rsidRDefault="00650333" w:rsidP="002307EC">
      <w:pPr>
        <w:rPr>
          <w:u w:val="single"/>
        </w:rPr>
      </w:pPr>
      <w:r w:rsidRPr="0081163D">
        <w:t>This information collection request has been reviewed by NCEZID who has determined that the Privacy Act does not apply</w:t>
      </w:r>
      <w:r>
        <w:t xml:space="preserve">. </w:t>
      </w:r>
      <w:r w:rsidR="001830FC" w:rsidRPr="00E55828">
        <w:t>Patient (i.e., nursing home resident) and healthcare facility data will be collected on either paper forms or mobile tablet devices from existing sources of information, including electronic and paper medical records, healthcare facility information systems in use at the nursing home, or from existing publically available datasets</w:t>
      </w:r>
      <w:r w:rsidR="00E55828">
        <w:t>. Data collected will be</w:t>
      </w:r>
      <w:r w:rsidR="001830FC" w:rsidRPr="00E55828">
        <w:t xml:space="preserve"> entered into a data management system</w:t>
      </w:r>
      <w:r w:rsidR="00E55828">
        <w:t xml:space="preserve">, such </w:t>
      </w:r>
      <w:r w:rsidR="00E55828" w:rsidRPr="00D8482F">
        <w:t>as REDCap</w:t>
      </w:r>
      <w:r w:rsidR="00E55828">
        <w:t>,</w:t>
      </w:r>
      <w:r w:rsidR="00E55828" w:rsidRPr="00D8482F">
        <w:t xml:space="preserve"> or a CDC-developed, web-based, electronic data management system</w:t>
      </w:r>
      <w:r w:rsidR="00E55828">
        <w:t xml:space="preserve">. </w:t>
      </w:r>
      <w:r w:rsidR="001830FC" w:rsidRPr="00E55828">
        <w:t>Data collection and data entry partners will include local healthcare facility staff (e.g., Director of Nursing, Infection Prevention and Control Officer, and other staff working in their own facilities)</w:t>
      </w:r>
      <w:r w:rsidR="001830FC">
        <w:t xml:space="preserve"> and </w:t>
      </w:r>
      <w:r w:rsidR="001830FC" w:rsidRPr="00E55828">
        <w:t>EIP site personnel</w:t>
      </w:r>
      <w:r w:rsidR="001830FC">
        <w:t xml:space="preserve"> (</w:t>
      </w:r>
      <w:r w:rsidR="001830FC" w:rsidRPr="00E55828">
        <w:t>local and state public health professionals</w:t>
      </w:r>
      <w:r w:rsidR="001830FC">
        <w:t>, and their academic collaborators)</w:t>
      </w:r>
      <w:r w:rsidR="001830FC" w:rsidRPr="00E55828">
        <w:t xml:space="preserve">. </w:t>
      </w:r>
      <w:r w:rsidR="00E55828">
        <w:t>D</w:t>
      </w:r>
      <w:r w:rsidR="00E55828" w:rsidRPr="00D8482F">
        <w:t>ata</w:t>
      </w:r>
      <w:r w:rsidR="00E55828">
        <w:t xml:space="preserve"> will be transferred between each EIP site and CDC securely, for example, through </w:t>
      </w:r>
      <w:r w:rsidR="00E55828" w:rsidRPr="00D8482F">
        <w:t xml:space="preserve">a CDC-established, </w:t>
      </w:r>
      <w:r w:rsidR="00C2284B">
        <w:t xml:space="preserve">Secure Access Management System (SAMS) or </w:t>
      </w:r>
      <w:r w:rsidR="00E55828" w:rsidRPr="001830FC">
        <w:t xml:space="preserve">encrypted </w:t>
      </w:r>
      <w:r w:rsidR="00C2284B" w:rsidRPr="00C2284B">
        <w:rPr>
          <w:rStyle w:val="tgc"/>
          <w:color w:val="222222"/>
          <w:lang w:val="en"/>
        </w:rPr>
        <w:t>File Transfer Protocol (</w:t>
      </w:r>
      <w:r w:rsidR="00E55828" w:rsidRPr="001830FC">
        <w:t>FTP</w:t>
      </w:r>
      <w:r w:rsidR="00C2284B">
        <w:t>)</w:t>
      </w:r>
      <w:r w:rsidR="00E55828" w:rsidRPr="001830FC">
        <w:t xml:space="preserve"> site.</w:t>
      </w:r>
      <w:r w:rsidR="00E55828" w:rsidRPr="00D8482F">
        <w:t xml:space="preserve"> CDC staff will download site-specific databases from the </w:t>
      </w:r>
      <w:r w:rsidR="00F269D9">
        <w:t xml:space="preserve">SAMS or </w:t>
      </w:r>
      <w:r w:rsidR="00E55828" w:rsidRPr="00D8482F">
        <w:t>FTP site and merge them for analysis purposes.</w:t>
      </w:r>
      <w:r w:rsidR="00E55828">
        <w:t xml:space="preserve"> </w:t>
      </w:r>
      <w:r w:rsidR="001830FC" w:rsidRPr="00E55828">
        <w:t>EIP sites will have access to data submitted from facilities within their catchment areas. The information in the CDC database will be maintained indefinitely</w:t>
      </w:r>
      <w:r w:rsidR="00F269D9">
        <w:t xml:space="preserve"> for comparison purposes</w:t>
      </w:r>
      <w:r w:rsidR="00FB0223">
        <w:t>,</w:t>
      </w:r>
      <w:r w:rsidR="001830FC" w:rsidRPr="00E55828">
        <w:t xml:space="preserve"> since this data collection will be repeated at regular intervals. Information in identifiable form (potentially including name, medical record numbers, and medical information) will be maintained by local facilities and/or EIP sites until completion of all survey activities, and according to local and/or state requirements and regulations</w:t>
      </w:r>
      <w:r w:rsidR="00173C38">
        <w:t>.</w:t>
      </w:r>
      <w:r w:rsidR="001830FC" w:rsidRPr="00E55828">
        <w:t xml:space="preserve"> </w:t>
      </w:r>
      <w:r w:rsidR="00173C38">
        <w:t>N</w:t>
      </w:r>
      <w:r w:rsidR="001830FC" w:rsidRPr="00E55828">
        <w:t>ames, dates of birth, and medical record numbers will not be transmitted to CDC. Medical information, including certain dates, will be transmitted to CDC as described below.</w:t>
      </w:r>
    </w:p>
    <w:p w14:paraId="6CF66AA4" w14:textId="77777777" w:rsidR="001830FC" w:rsidRPr="007863A1" w:rsidRDefault="001830FC" w:rsidP="001830FC">
      <w:r w:rsidRPr="007863A1">
        <w:tab/>
      </w:r>
    </w:p>
    <w:p w14:paraId="4465F436" w14:textId="77777777" w:rsidR="001830FC" w:rsidRPr="007863A1" w:rsidRDefault="001830FC" w:rsidP="001830FC">
      <w:r w:rsidRPr="007863A1">
        <w:t xml:space="preserve">Two types of data will be collected: healthcare facility data and patient </w:t>
      </w:r>
      <w:r>
        <w:t xml:space="preserve">(i.e. nursing home </w:t>
      </w:r>
      <w:r w:rsidRPr="007863A1">
        <w:t xml:space="preserve">resident) data. </w:t>
      </w:r>
    </w:p>
    <w:p w14:paraId="1656A558" w14:textId="77777777" w:rsidR="001830FC" w:rsidRPr="007863A1" w:rsidRDefault="001830FC" w:rsidP="001830FC"/>
    <w:p w14:paraId="1511DFC3" w14:textId="77777777" w:rsidR="001830FC" w:rsidRPr="007863A1" w:rsidRDefault="001830FC" w:rsidP="001830FC">
      <w:r w:rsidRPr="007863A1">
        <w:t xml:space="preserve">Healthcare facility information will be collected using the “Healthcare Facility Assessment” (HFA) (Attachment </w:t>
      </w:r>
      <w:r w:rsidR="00E313B5" w:rsidRPr="007863A1">
        <w:t>C</w:t>
      </w:r>
      <w:r w:rsidR="004A6B23">
        <w:t>1</w:t>
      </w:r>
      <w:r w:rsidRPr="00F269D9">
        <w:t>). It includes information regarding the numbers of facility beds, services provided,</w:t>
      </w:r>
      <w:r>
        <w:t xml:space="preserve"> </w:t>
      </w:r>
      <w:r w:rsidRPr="007863A1">
        <w:t xml:space="preserve">types of selected staff members in the facility, and information </w:t>
      </w:r>
      <w:r w:rsidR="00F269D9" w:rsidRPr="00F269D9">
        <w:t xml:space="preserve">about </w:t>
      </w:r>
      <w:r w:rsidR="00F269D9">
        <w:t>facility</w:t>
      </w:r>
      <w:r>
        <w:t xml:space="preserve"> </w:t>
      </w:r>
      <w:r w:rsidRPr="007863A1">
        <w:t xml:space="preserve">infection control and antimicrobial stewardship resources, policies and practices. EIP personnel will also obtain </w:t>
      </w:r>
      <w:r w:rsidR="00173C38">
        <w:t>publicly</w:t>
      </w:r>
      <w:r w:rsidRPr="007863A1">
        <w:t xml:space="preserve"> available healthcare facility information from CMS </w:t>
      </w:r>
      <w:r w:rsidRPr="007863A1">
        <w:rPr>
          <w:lang w:val="en"/>
        </w:rPr>
        <w:t>Nursing Home Compare datasets</w:t>
      </w:r>
      <w:r w:rsidRPr="007863A1">
        <w:t xml:space="preserve"> (available at </w:t>
      </w:r>
      <w:hyperlink r:id="rId38" w:history="1">
        <w:r w:rsidRPr="007863A1">
          <w:rPr>
            <w:rStyle w:val="Hyperlink"/>
          </w:rPr>
          <w:t>https://data.medicare.gov/data/nursing-home-compare</w:t>
        </w:r>
      </w:hyperlink>
      <w:r w:rsidRPr="007863A1">
        <w:t xml:space="preserve">), as outlined on the EIP HFA (Attachment </w:t>
      </w:r>
      <w:r w:rsidR="004A6B23">
        <w:t>C2</w:t>
      </w:r>
      <w:r w:rsidRPr="00FB0223">
        <w:t xml:space="preserve">). </w:t>
      </w:r>
      <w:r w:rsidRPr="007863A1">
        <w:t xml:space="preserve">Attachment </w:t>
      </w:r>
      <w:r w:rsidR="004A6B23">
        <w:t>C2</w:t>
      </w:r>
      <w:r w:rsidR="00F269D9" w:rsidRPr="007863A1">
        <w:t xml:space="preserve"> </w:t>
      </w:r>
      <w:r w:rsidRPr="007863A1">
        <w:t>is provided as supplemental information only; the EIP data collection is not part of the public burden (see Section 14).</w:t>
      </w:r>
    </w:p>
    <w:p w14:paraId="69C1F78E" w14:textId="77777777" w:rsidR="001830FC" w:rsidRPr="007863A1" w:rsidRDefault="001830FC" w:rsidP="001830FC"/>
    <w:p w14:paraId="5142F9DF" w14:textId="77777777" w:rsidR="001830FC" w:rsidRPr="007863A1" w:rsidRDefault="001830FC" w:rsidP="001830FC">
      <w:r>
        <w:lastRenderedPageBreak/>
        <w:t>Patient-level</w:t>
      </w:r>
      <w:r w:rsidRPr="007863A1">
        <w:t xml:space="preserve"> data will be collected through review of medical records and nursing home documentation and by direct observation, for example to confirm the presence of medical devices</w:t>
      </w:r>
      <w:r>
        <w:t xml:space="preserve"> (e.g., ventilator</w:t>
      </w:r>
      <w:r w:rsidR="00F269D9">
        <w:t xml:space="preserve"> use</w:t>
      </w:r>
      <w:r w:rsidR="00E55828">
        <w:t>)</w:t>
      </w:r>
      <w:r w:rsidRPr="007863A1">
        <w:t xml:space="preserve">. Residents will not be interviewed. If resident data is collected by </w:t>
      </w:r>
      <w:r w:rsidR="00F269D9">
        <w:t xml:space="preserve">the </w:t>
      </w:r>
      <w:r w:rsidRPr="007863A1">
        <w:t xml:space="preserve">EIP </w:t>
      </w:r>
      <w:r w:rsidR="00173C38">
        <w:t>team</w:t>
      </w:r>
      <w:r w:rsidR="00E55828">
        <w:t xml:space="preserve"> </w:t>
      </w:r>
      <w:r w:rsidRPr="007863A1">
        <w:t xml:space="preserve">instead of </w:t>
      </w:r>
      <w:r w:rsidR="00173C38">
        <w:t>NH team</w:t>
      </w:r>
      <w:r w:rsidRPr="007863A1">
        <w:t xml:space="preserve">, </w:t>
      </w:r>
      <w:r w:rsidR="00173C38">
        <w:t>EIP team</w:t>
      </w:r>
      <w:r w:rsidRPr="007863A1">
        <w:t xml:space="preserve"> </w:t>
      </w:r>
      <w:r w:rsidR="00782680">
        <w:t xml:space="preserve">members </w:t>
      </w:r>
      <w:r w:rsidRPr="007863A1">
        <w:t xml:space="preserve">will not directly observe residents but may consult with </w:t>
      </w:r>
      <w:r w:rsidR="00173C38">
        <w:t>NH team</w:t>
      </w:r>
      <w:r w:rsidR="00782680">
        <w:t xml:space="preserve"> members</w:t>
      </w:r>
      <w:r w:rsidRPr="007863A1">
        <w:t xml:space="preserve"> on nursing units to confirm information (such as the presence of medical devices). Three forms will be used collect resident-level data including the “Residents by Location Form” (RLF), ‘Resident Antimicrobial Use Form (RAU)” and the “Resident Infection Form” (RIF).  Most of the data collection will be completed by EIP </w:t>
      </w:r>
      <w:r w:rsidR="00782680">
        <w:t>personnel</w:t>
      </w:r>
      <w:r w:rsidR="00E55828">
        <w:t xml:space="preserve"> and </w:t>
      </w:r>
      <w:r w:rsidR="00E55828" w:rsidRPr="00E23C02">
        <w:t>is not part of the public burden</w:t>
      </w:r>
      <w:r w:rsidR="00F269D9">
        <w:t>.</w:t>
      </w:r>
    </w:p>
    <w:p w14:paraId="1178C073" w14:textId="77777777" w:rsidR="001830FC" w:rsidRPr="007863A1" w:rsidRDefault="001830FC" w:rsidP="001830FC"/>
    <w:p w14:paraId="607BA67C" w14:textId="77777777" w:rsidR="001830FC" w:rsidRPr="007863A1" w:rsidRDefault="00FB0223" w:rsidP="001830FC">
      <w:r>
        <w:t xml:space="preserve">The NH Team </w:t>
      </w:r>
      <w:r w:rsidR="001830FC" w:rsidRPr="007863A1">
        <w:t xml:space="preserve">may participate in collection of data on the RLF (see Attachment </w:t>
      </w:r>
      <w:r w:rsidR="00530B89" w:rsidRPr="007863A1">
        <w:t>D</w:t>
      </w:r>
      <w:r w:rsidR="001830FC" w:rsidRPr="007863A1">
        <w:t xml:space="preserve">; example of draft instructions provided in Attachment </w:t>
      </w:r>
      <w:r w:rsidR="00530B89" w:rsidRPr="007863A1">
        <w:t>E</w:t>
      </w:r>
      <w:r w:rsidR="001830FC" w:rsidRPr="007863A1">
        <w:t xml:space="preserve">). Information from the RLF that is transmitted to CDC includes: state, data collection date, resident care location, unique resident identification code, nursing home admission date, resident demographic information (age, gender, race, ethnicity), presence of selected clinical conditions or medical care (diabetes, receiving dialysis, mobility, pressure ulcers, and receiving wound care), presence of medical devices (urinary catheter, central line, ventilator), and whether the resident was on antimicrobial therapy or had signs or symptoms suggested of an infection.  </w:t>
      </w:r>
    </w:p>
    <w:p w14:paraId="02AED16C" w14:textId="77777777" w:rsidR="001830FC" w:rsidRPr="007863A1" w:rsidRDefault="001830FC" w:rsidP="001830FC">
      <w:pPr>
        <w:ind w:firstLine="720"/>
      </w:pPr>
    </w:p>
    <w:p w14:paraId="07A4BEB5" w14:textId="77777777" w:rsidR="001830FC" w:rsidRPr="00FB0223" w:rsidRDefault="00FB0223" w:rsidP="001830FC">
      <w:r>
        <w:t xml:space="preserve">The </w:t>
      </w:r>
      <w:r w:rsidR="00173C38">
        <w:t xml:space="preserve">EIP </w:t>
      </w:r>
      <w:r>
        <w:t>T</w:t>
      </w:r>
      <w:r w:rsidR="00173C38">
        <w:t>eam</w:t>
      </w:r>
      <w:r w:rsidR="001830FC" w:rsidRPr="007863A1">
        <w:t xml:space="preserve"> </w:t>
      </w:r>
      <w:r w:rsidR="00173C38">
        <w:t>is</w:t>
      </w:r>
      <w:r w:rsidR="001830FC" w:rsidRPr="007863A1">
        <w:t xml:space="preserve"> responsible for c</w:t>
      </w:r>
      <w:r w:rsidR="004A6B23">
        <w:t xml:space="preserve">ompleting the RAU and RI forms </w:t>
      </w:r>
      <w:r w:rsidR="001830FC" w:rsidRPr="007863A1">
        <w:t>(Attachment</w:t>
      </w:r>
      <w:r w:rsidR="004A6B23">
        <w:t>s</w:t>
      </w:r>
      <w:r w:rsidRPr="007863A1">
        <w:t xml:space="preserve"> </w:t>
      </w:r>
      <w:r w:rsidR="00530B89" w:rsidRPr="007863A1">
        <w:t>F</w:t>
      </w:r>
      <w:r w:rsidR="004A6B23">
        <w:t>1 and F2)</w:t>
      </w:r>
      <w:r w:rsidR="004A6B23" w:rsidRPr="007863A1">
        <w:t>.</w:t>
      </w:r>
      <w:r w:rsidR="001830FC" w:rsidRPr="00FB0223">
        <w:t xml:space="preserve"> Data collection pertaining to HAIs includes specific signs and symptoms related to the presence of HAIs, onset dates, microbiology, diagnostic and laboratory testing performed and the results, including causative pathogens and antimicrobial susceptibility of those pathogens.  Data collection pertaining to antimicrobial use includes drug names, route of administration, dose information, start dates, indication or rationale for use, and therapeutic sites. </w:t>
      </w:r>
      <w:r w:rsidR="001830FC" w:rsidRPr="007863A1">
        <w:t>Attachment</w:t>
      </w:r>
      <w:r w:rsidR="004A6B23">
        <w:t>s</w:t>
      </w:r>
      <w:r w:rsidR="001830FC" w:rsidRPr="007863A1">
        <w:t xml:space="preserve"> </w:t>
      </w:r>
      <w:r w:rsidR="00530B89" w:rsidRPr="007863A1">
        <w:t>F</w:t>
      </w:r>
      <w:r w:rsidR="004A6B23">
        <w:t>1 and F2</w:t>
      </w:r>
      <w:r w:rsidR="001830FC" w:rsidRPr="007863A1">
        <w:t xml:space="preserve"> is provided as supplemental information only</w:t>
      </w:r>
      <w:r w:rsidR="001830FC" w:rsidRPr="00FB0223">
        <w:t>; the EIP data collection is not part of the public burden (see Section 14). Note that the data collection items appearing in Attachment</w:t>
      </w:r>
      <w:r w:rsidR="004A6B23">
        <w:t>s C2,</w:t>
      </w:r>
      <w:r w:rsidR="001830FC" w:rsidRPr="00FB0223">
        <w:t xml:space="preserve"> </w:t>
      </w:r>
      <w:r>
        <w:t>F</w:t>
      </w:r>
      <w:r w:rsidR="004A6B23">
        <w:t>1 and F2</w:t>
      </w:r>
      <w:r w:rsidRPr="00FB0223">
        <w:t xml:space="preserve"> </w:t>
      </w:r>
      <w:r w:rsidR="001830FC" w:rsidRPr="00FB0223">
        <w:t>are subject to minor modification, based on practical and scientific considerations that may come to light during the planning, training, and implementation of the EIP data collection.</w:t>
      </w:r>
    </w:p>
    <w:p w14:paraId="5634C826" w14:textId="77777777" w:rsidR="001830FC" w:rsidRPr="00FB0223" w:rsidRDefault="001830FC" w:rsidP="001830FC"/>
    <w:p w14:paraId="41EF3296" w14:textId="77777777" w:rsidR="001830FC" w:rsidRPr="00D8482F" w:rsidRDefault="001830FC" w:rsidP="001830FC">
      <w:pPr>
        <w:rPr>
          <w:i/>
        </w:rPr>
      </w:pPr>
      <w:r w:rsidRPr="00FB0223">
        <w:t>Although medical information and admission date, survey and data collection dates,  infection and therapy dates, and other dates pertaining to clinical information (such as date of collection of specimens for testing) will be transmitted to CDC, other patient (or resident) identifiers, such as name or medical record number, will not be transmitted to CDC.  Each resident will be assigned a unique identification code that will not contain identifying information. CDC will know the names of the nursing homes that agree and do not agree to participate in the information collection. EIP personnel will be able to link facility identification codes with facility names, but CDC will not have these linkages. Local data collectors in participating nursing homes and EIP personnel will need to collect information in identifiable form (IIF) for nursing home residents within their own facility or catchment area, such as room number and name or medical record number. This information will not be transmitted to CDC.</w:t>
      </w:r>
    </w:p>
    <w:p w14:paraId="1074786A" w14:textId="77777777" w:rsidR="0026537C" w:rsidRPr="00D8482F" w:rsidRDefault="0026537C" w:rsidP="00FB0223">
      <w:pPr>
        <w:rPr>
          <w:b/>
        </w:rPr>
      </w:pPr>
    </w:p>
    <w:p w14:paraId="5F3C3EC4" w14:textId="77777777" w:rsidR="006A3614" w:rsidRDefault="006A3614" w:rsidP="0026537C">
      <w:r w:rsidRPr="00D8482F">
        <w:t xml:space="preserve">Data will be treated in a secure manner, and will not be disclosed, unless otherwise compelled by law. </w:t>
      </w:r>
      <w:r w:rsidR="000A1344" w:rsidRPr="00D8482F">
        <w:t>A</w:t>
      </w:r>
      <w:r w:rsidR="00AA5A02" w:rsidRPr="00D8482F">
        <w:t xml:space="preserve"> unique </w:t>
      </w:r>
      <w:r w:rsidR="005B0E8E" w:rsidRPr="00D8482F">
        <w:t xml:space="preserve">identification </w:t>
      </w:r>
      <w:r w:rsidR="008333DD" w:rsidRPr="00D8482F">
        <w:t xml:space="preserve">code </w:t>
      </w:r>
      <w:r w:rsidR="00AA5A02" w:rsidRPr="00D8482F">
        <w:t xml:space="preserve">will </w:t>
      </w:r>
      <w:r w:rsidR="00B45612" w:rsidRPr="00D8482F">
        <w:t xml:space="preserve">be assigned to each </w:t>
      </w:r>
      <w:r w:rsidR="000A1344" w:rsidRPr="00D8482F">
        <w:t xml:space="preserve">resident </w:t>
      </w:r>
      <w:r w:rsidR="00A96C76" w:rsidRPr="00D8482F">
        <w:t xml:space="preserve">included in </w:t>
      </w:r>
      <w:r w:rsidR="0026537C" w:rsidRPr="00D8482F">
        <w:t xml:space="preserve">the </w:t>
      </w:r>
      <w:r w:rsidR="00BF312D" w:rsidRPr="00D8482F">
        <w:t>survey</w:t>
      </w:r>
      <w:r w:rsidR="0026537C" w:rsidRPr="00D8482F">
        <w:t xml:space="preserve">. These codes will not include patient </w:t>
      </w:r>
      <w:r w:rsidR="005B0E8E" w:rsidRPr="00D8482F">
        <w:t>(</w:t>
      </w:r>
      <w:r w:rsidR="00575142" w:rsidRPr="00D8482F">
        <w:t xml:space="preserve">i.e., nursing home </w:t>
      </w:r>
      <w:r w:rsidR="005B0E8E" w:rsidRPr="00D8482F">
        <w:t xml:space="preserve">resident) </w:t>
      </w:r>
      <w:r w:rsidR="0026537C" w:rsidRPr="00D8482F">
        <w:t xml:space="preserve">identifiers. The codes will be linked at the facility level and EIP site level </w:t>
      </w:r>
      <w:r w:rsidR="007B66E1" w:rsidRPr="00D8482F">
        <w:t xml:space="preserve">to the individual </w:t>
      </w:r>
      <w:r w:rsidR="000A1344" w:rsidRPr="00D8482F">
        <w:t xml:space="preserve">resident </w:t>
      </w:r>
      <w:r w:rsidR="0026537C" w:rsidRPr="00D8482F">
        <w:t xml:space="preserve">from whose record the data were </w:t>
      </w:r>
      <w:r w:rsidR="0026537C" w:rsidRPr="00D8482F">
        <w:lastRenderedPageBreak/>
        <w:t>collected</w:t>
      </w:r>
      <w:r w:rsidR="00121275" w:rsidRPr="00D8482F">
        <w:t>;</w:t>
      </w:r>
      <w:r w:rsidR="007B66E1" w:rsidRPr="00D8482F">
        <w:t xml:space="preserve"> however</w:t>
      </w:r>
      <w:r w:rsidR="001C6937" w:rsidRPr="00D8482F">
        <w:t xml:space="preserve">, </w:t>
      </w:r>
      <w:r w:rsidR="00DB48CA" w:rsidRPr="00D8482F">
        <w:t xml:space="preserve">those links and </w:t>
      </w:r>
      <w:r w:rsidR="001C6937" w:rsidRPr="00D8482F">
        <w:t>patient identifiers</w:t>
      </w:r>
      <w:r w:rsidR="005B0E8E" w:rsidRPr="00D8482F">
        <w:t>,</w:t>
      </w:r>
      <w:r w:rsidR="001C6937" w:rsidRPr="00D8482F">
        <w:t xml:space="preserve"> other than </w:t>
      </w:r>
      <w:r w:rsidR="00DB48CA" w:rsidRPr="00D8482F">
        <w:t>certain dates</w:t>
      </w:r>
      <w:r w:rsidR="005B0E8E" w:rsidRPr="00D8482F">
        <w:t>,</w:t>
      </w:r>
      <w:r w:rsidR="007B66E1" w:rsidRPr="00D8482F">
        <w:t xml:space="preserve"> will not be shared with CDC. </w:t>
      </w:r>
      <w:r w:rsidR="00121275" w:rsidRPr="00D8482F">
        <w:t xml:space="preserve">CDC will know the identities of </w:t>
      </w:r>
      <w:r w:rsidR="00100DBE" w:rsidRPr="00D8482F">
        <w:t>nursing homes</w:t>
      </w:r>
      <w:r w:rsidR="00DB48CA" w:rsidRPr="00D8482F">
        <w:t xml:space="preserve"> within EIP catchment areas that are eligible for participation, those facilities that are selected to participate, and those facilities that agreed or did not agree to participate. EIP sites will use codes to identify specific facilities. Data collection forms will be</w:t>
      </w:r>
      <w:r w:rsidR="00121275" w:rsidRPr="00D8482F">
        <w:t xml:space="preserve"> filled out using </w:t>
      </w:r>
      <w:r w:rsidR="00100DBE" w:rsidRPr="00D8482F">
        <w:t xml:space="preserve">the </w:t>
      </w:r>
      <w:r w:rsidR="005B0E8E" w:rsidRPr="00D8482F">
        <w:t xml:space="preserve">resident </w:t>
      </w:r>
      <w:r w:rsidR="00121275" w:rsidRPr="00D8482F">
        <w:t xml:space="preserve">and facility codes. </w:t>
      </w:r>
      <w:r w:rsidR="00DC3B9C" w:rsidRPr="00D8482F">
        <w:t>Links between facility codes and names will be maintained by EIPs and will not be shared with CDC.</w:t>
      </w:r>
      <w:r w:rsidR="00B45612" w:rsidRPr="00D8482F">
        <w:t xml:space="preserve"> </w:t>
      </w:r>
      <w:r w:rsidR="00F2325A" w:rsidRPr="00D8482F">
        <w:t>Participating facilities’</w:t>
      </w:r>
      <w:r w:rsidR="00B45612" w:rsidRPr="00D8482F">
        <w:t xml:space="preserve"> data will be aggregated </w:t>
      </w:r>
      <w:r w:rsidR="00F2325A" w:rsidRPr="00D8482F">
        <w:t xml:space="preserve">by CDC </w:t>
      </w:r>
      <w:r w:rsidR="00B45612" w:rsidRPr="00D8482F">
        <w:t xml:space="preserve">to provide HAI </w:t>
      </w:r>
      <w:r w:rsidR="008469B7" w:rsidRPr="00D8482F">
        <w:t xml:space="preserve">and antimicrobial use </w:t>
      </w:r>
      <w:r w:rsidR="00B45612" w:rsidRPr="00D8482F">
        <w:t>prevalence estimate</w:t>
      </w:r>
      <w:r w:rsidR="00323420" w:rsidRPr="00D8482F">
        <w:t>s</w:t>
      </w:r>
      <w:r w:rsidR="00B45612" w:rsidRPr="00D8482F">
        <w:t xml:space="preserve">. </w:t>
      </w:r>
      <w:r w:rsidR="00F2689F" w:rsidRPr="00D8482F">
        <w:t>Data may be analyzed to determine whether certain facility (e.g., bed size,</w:t>
      </w:r>
      <w:r w:rsidR="005B0E8E" w:rsidRPr="00D8482F">
        <w:t xml:space="preserve"> </w:t>
      </w:r>
      <w:r w:rsidR="00F2689F" w:rsidRPr="00D8482F">
        <w:t xml:space="preserve">etc.) </w:t>
      </w:r>
      <w:r w:rsidR="00CC69F3" w:rsidRPr="00D8482F">
        <w:t xml:space="preserve">or </w:t>
      </w:r>
      <w:r w:rsidR="000A1344" w:rsidRPr="00D8482F">
        <w:t>resident</w:t>
      </w:r>
      <w:r w:rsidR="00CC69F3" w:rsidRPr="00D8482F">
        <w:t xml:space="preserve"> characteristics </w:t>
      </w:r>
      <w:r w:rsidR="000203E8" w:rsidRPr="00D8482F">
        <w:t xml:space="preserve">(e.g., presence of devices) </w:t>
      </w:r>
      <w:r w:rsidR="00F2689F" w:rsidRPr="00D8482F">
        <w:t xml:space="preserve">are associated with aspects of HAI prevalence or antimicrobial </w:t>
      </w:r>
      <w:r w:rsidR="000203E8" w:rsidRPr="00D8482F">
        <w:t>use</w:t>
      </w:r>
      <w:r w:rsidR="00F2689F" w:rsidRPr="00D8482F">
        <w:t xml:space="preserve">. </w:t>
      </w:r>
      <w:r w:rsidR="00F2325A" w:rsidRPr="00D8482F">
        <w:t xml:space="preserve">An individual participating facility may have access to its own data (e.g., provided in a report prepared by the EIP site staff). </w:t>
      </w:r>
      <w:r w:rsidR="00BF312D" w:rsidRPr="00D8482F">
        <w:t xml:space="preserve">Individual states and/or CDC may choose to present or publish state-specific survey data. </w:t>
      </w:r>
      <w:r w:rsidR="00DB48CA" w:rsidRPr="00D8482F">
        <w:t>Individual states, in consultation with participating facilities in that state, may elect to present or publish facility-specific information</w:t>
      </w:r>
      <w:r w:rsidRPr="00D8482F">
        <w:t>.</w:t>
      </w:r>
    </w:p>
    <w:p w14:paraId="2540D140" w14:textId="77777777" w:rsidR="00465506" w:rsidRPr="00D8482F" w:rsidRDefault="00465506" w:rsidP="00465506">
      <w:pPr>
        <w:rPr>
          <w:i/>
          <w:color w:val="000000"/>
        </w:rPr>
      </w:pPr>
      <w:r w:rsidRPr="00D8482F">
        <w:rPr>
          <w:i/>
          <w:color w:val="000000"/>
        </w:rPr>
        <w:tab/>
      </w:r>
    </w:p>
    <w:p w14:paraId="42A85B3E" w14:textId="77777777" w:rsidR="00465506" w:rsidRPr="00E55828" w:rsidRDefault="00465506" w:rsidP="00465506">
      <w:pPr>
        <w:rPr>
          <w:color w:val="000000"/>
        </w:rPr>
      </w:pPr>
      <w:r w:rsidRPr="00E55828">
        <w:rPr>
          <w:color w:val="000000"/>
        </w:rPr>
        <w:t xml:space="preserve">The data collected during the survey will be used to determine the prevalence of HAIs, the types of HAIs and causative pathogens, the nature and extent of antimicrobial use in healthcare facilities as well as opportunities for improvement in antimicrobial use, the prevalence of antimicrobial resistance among pathogens causing HAIs, and the prevalence of certain risk factors for infection, such as medical devices. HAIs are recognized as a major cause of morbidity and mortality in the United States, as well as a major contributor to excess healthcare costs (see </w:t>
      </w:r>
      <w:hyperlink r:id="rId39" w:history="1">
        <w:r w:rsidRPr="00E55828">
          <w:rPr>
            <w:rStyle w:val="Hyperlink"/>
          </w:rPr>
          <w:t>http://www.hhs.gov/ophs/initiatives/hai/</w:t>
        </w:r>
      </w:hyperlink>
      <w:r w:rsidRPr="00E55828">
        <w:t>)</w:t>
      </w:r>
      <w:r w:rsidRPr="00E55828">
        <w:rPr>
          <w:color w:val="000000"/>
        </w:rPr>
        <w:t xml:space="preserve">. Eliminating HAIs </w:t>
      </w:r>
      <w:r w:rsidR="007863A1">
        <w:rPr>
          <w:color w:val="000000"/>
        </w:rPr>
        <w:t xml:space="preserve">and reducing infection caused by antibiotic resistance organisms </w:t>
      </w:r>
      <w:r w:rsidR="002F79E7">
        <w:rPr>
          <w:color w:val="000000"/>
        </w:rPr>
        <w:t xml:space="preserve">is a priority of </w:t>
      </w:r>
      <w:r w:rsidRPr="00E55828">
        <w:rPr>
          <w:color w:val="000000"/>
        </w:rPr>
        <w:t>CDC and other federal agencies</w:t>
      </w:r>
      <w:r w:rsidR="00F269D9">
        <w:rPr>
          <w:color w:val="000000"/>
        </w:rPr>
        <w:t xml:space="preserve"> (</w:t>
      </w:r>
      <w:r w:rsidR="007863A1">
        <w:rPr>
          <w:color w:val="000000"/>
        </w:rPr>
        <w:t xml:space="preserve">see </w:t>
      </w:r>
      <w:r w:rsidR="007863A1">
        <w:t xml:space="preserve">the 2015 </w:t>
      </w:r>
      <w:r w:rsidR="007863A1" w:rsidRPr="000B72BE">
        <w:rPr>
          <w:lang w:val="en"/>
        </w:rPr>
        <w:t>Presidential Advisory Council on Combating Antibiotic-Resistant Bacteria</w:t>
      </w:r>
      <w:r w:rsidR="007863A1">
        <w:rPr>
          <w:lang w:val="en"/>
        </w:rPr>
        <w:t xml:space="preserve"> (CARB) initiative</w:t>
      </w:r>
      <w:r w:rsidR="007863A1" w:rsidRPr="000B72BE">
        <w:rPr>
          <w:lang w:val="en"/>
        </w:rPr>
        <w:t xml:space="preserve"> </w:t>
      </w:r>
      <w:hyperlink r:id="rId40" w:history="1">
        <w:r w:rsidR="007863A1" w:rsidRPr="00360349">
          <w:rPr>
            <w:rStyle w:val="Hyperlink"/>
          </w:rPr>
          <w:t>www.hhs.gov/ash/carb/</w:t>
        </w:r>
      </w:hyperlink>
      <w:r w:rsidRPr="00E55828">
        <w:rPr>
          <w:color w:val="000000"/>
        </w:rPr>
        <w:t>. Th</w:t>
      </w:r>
      <w:r w:rsidR="007863A1">
        <w:rPr>
          <w:color w:val="000000"/>
        </w:rPr>
        <w:t>is</w:t>
      </w:r>
      <w:r w:rsidRPr="00E55828">
        <w:rPr>
          <w:color w:val="000000"/>
        </w:rPr>
        <w:t xml:space="preserve"> prevalence survey will provide estimates of the magnitude and burden of HAIs in a large sample of U.S. nursing homes</w:t>
      </w:r>
      <w:r w:rsidR="007863A1">
        <w:rPr>
          <w:color w:val="000000"/>
        </w:rPr>
        <w:t>,</w:t>
      </w:r>
      <w:r w:rsidRPr="00E55828">
        <w:rPr>
          <w:color w:val="000000"/>
        </w:rPr>
        <w:t xml:space="preserve"> forming the foundation for development and implementation of effective prevention measures, and will enable an assessment of change in burden and epidemiology of HAIs and antimicrobial use over time. During this data collection, CDC will neither receive nor share IIF, with the exception of medical information as described above. Sensitive information being collected includes information race and ethnicity, information on the presence of HAIs and appropriateness of antimicrobial use. Data will be entered into the electronic data management system and retrieved by CDC using identification codes that do not contain patient (resident) identifiers. CDC will analyze and report aggregated data obtained during the data collection. The results may be shared in local, state, national and international presentations and publications, and will be used by local, state and federal public health authorities to inform the development of HAI prevention and antimicrobial stewardship strategies and policies. Individual healthcare facilities may also request their own results from EIP sites and use the data to inform institution-level practice and policy. </w:t>
      </w:r>
    </w:p>
    <w:p w14:paraId="4FC12EF1" w14:textId="77777777" w:rsidR="006A3614" w:rsidRPr="00D8482F" w:rsidRDefault="006A3614" w:rsidP="0026537C"/>
    <w:p w14:paraId="4132B016" w14:textId="77777777" w:rsidR="000D054E" w:rsidRDefault="005B0E8E" w:rsidP="000D054E">
      <w:r w:rsidRPr="0081163D">
        <w:t>Nursing homes</w:t>
      </w:r>
      <w:r w:rsidR="00DE6F1A" w:rsidRPr="0081163D">
        <w:t xml:space="preserve"> selected to participate in the </w:t>
      </w:r>
      <w:r w:rsidR="00F2689F" w:rsidRPr="0081163D">
        <w:t xml:space="preserve">data collection </w:t>
      </w:r>
      <w:r w:rsidR="00DE6F1A" w:rsidRPr="0081163D">
        <w:t>are informed that participation is voluntary.</w:t>
      </w:r>
      <w:r w:rsidR="00327389" w:rsidRPr="0081163D">
        <w:t xml:space="preserve"> Individual </w:t>
      </w:r>
      <w:r w:rsidR="00802C01" w:rsidRPr="0081163D">
        <w:t xml:space="preserve">nursing home residents </w:t>
      </w:r>
      <w:r w:rsidR="00327389" w:rsidRPr="0081163D">
        <w:t xml:space="preserve">are not </w:t>
      </w:r>
      <w:r w:rsidR="00DE6F1A" w:rsidRPr="0081163D">
        <w:t xml:space="preserve">the respondents for </w:t>
      </w:r>
      <w:r w:rsidR="00F2689F" w:rsidRPr="0081163D">
        <w:t>this data collection</w:t>
      </w:r>
      <w:r w:rsidR="00DE6F1A" w:rsidRPr="0081163D">
        <w:t xml:space="preserve">, and are not </w:t>
      </w:r>
      <w:r w:rsidR="00327389" w:rsidRPr="0081163D">
        <w:t xml:space="preserve">informed of their inclusion in the </w:t>
      </w:r>
      <w:r w:rsidR="00F2689F" w:rsidRPr="0081163D">
        <w:t>data collection</w:t>
      </w:r>
      <w:r w:rsidR="00327389" w:rsidRPr="0081163D">
        <w:t xml:space="preserve">. </w:t>
      </w:r>
      <w:r w:rsidR="00315C83" w:rsidRPr="0081163D">
        <w:t xml:space="preserve">There is no interaction </w:t>
      </w:r>
      <w:r w:rsidR="00737B84">
        <w:t>between</w:t>
      </w:r>
      <w:r w:rsidR="00315C83" w:rsidRPr="0081163D">
        <w:t xml:space="preserve"> EIP or CDC personnel </w:t>
      </w:r>
      <w:r w:rsidR="00737B84">
        <w:t>and</w:t>
      </w:r>
      <w:r w:rsidR="00315C83" w:rsidRPr="0081163D">
        <w:t xml:space="preserve"> individual</w:t>
      </w:r>
      <w:r w:rsidR="00C54BF3" w:rsidRPr="0081163D">
        <w:t xml:space="preserve"> nursing home</w:t>
      </w:r>
      <w:r w:rsidR="00315C83" w:rsidRPr="0081163D">
        <w:t xml:space="preserve"> </w:t>
      </w:r>
      <w:r w:rsidR="00802C01" w:rsidRPr="0081163D">
        <w:t>residents</w:t>
      </w:r>
      <w:r w:rsidR="00315C83" w:rsidRPr="0081163D">
        <w:t xml:space="preserve">. </w:t>
      </w:r>
      <w:r w:rsidR="00327389" w:rsidRPr="0081163D">
        <w:t xml:space="preserve">Participating facilities are provided with their individual results by the EIP sites, upon request. </w:t>
      </w:r>
      <w:r w:rsidR="00DE6F1A" w:rsidRPr="0081163D">
        <w:t xml:space="preserve">Information </w:t>
      </w:r>
      <w:r w:rsidR="00315C83" w:rsidRPr="0081163D">
        <w:t>received by CDC will be stored in a secure</w:t>
      </w:r>
      <w:r w:rsidR="00F2689F" w:rsidRPr="0081163D">
        <w:t xml:space="preserve"> </w:t>
      </w:r>
      <w:r w:rsidR="00315C83" w:rsidRPr="0081163D">
        <w:t>database. Information received by CDC will be provided only to those individuals at CDC with a need to know.</w:t>
      </w:r>
      <w:r w:rsidR="000D054E" w:rsidRPr="0081163D">
        <w:t xml:space="preserve"> Data will be treated in a secure manner, and will not be disclosed, unless otherwise compelled by law.</w:t>
      </w:r>
      <w:r w:rsidR="00630F1B" w:rsidRPr="0081163D">
        <w:t xml:space="preserve">  </w:t>
      </w:r>
    </w:p>
    <w:p w14:paraId="509A2258" w14:textId="77777777" w:rsidR="00315C83" w:rsidRPr="00D8482F" w:rsidRDefault="00315C83" w:rsidP="00315C83"/>
    <w:p w14:paraId="44246874" w14:textId="77777777" w:rsidR="00AF37B2" w:rsidRDefault="0041600D" w:rsidP="00753597">
      <w:pPr>
        <w:pStyle w:val="Heading1"/>
      </w:pPr>
      <w:bookmarkStart w:id="21" w:name="_Toc444242968"/>
      <w:r>
        <w:t xml:space="preserve">Institutional Review Board (IRB) and </w:t>
      </w:r>
      <w:r w:rsidR="00AD36BD" w:rsidRPr="00D8482F">
        <w:t>Justification for Sensitive Questions</w:t>
      </w:r>
      <w:bookmarkEnd w:id="21"/>
    </w:p>
    <w:p w14:paraId="43C805DA" w14:textId="77777777" w:rsidR="00CA293B" w:rsidRDefault="00CA293B" w:rsidP="00EE7469">
      <w:pPr>
        <w:ind w:left="720" w:hanging="720"/>
        <w:rPr>
          <w:b/>
        </w:rPr>
      </w:pPr>
    </w:p>
    <w:p w14:paraId="6B95629F" w14:textId="77777777" w:rsidR="00DD23AA" w:rsidRPr="00DD23AA" w:rsidRDefault="00DD23AA" w:rsidP="00CA293B">
      <w:pPr>
        <w:rPr>
          <w:i/>
          <w:u w:val="single"/>
        </w:rPr>
      </w:pPr>
      <w:r>
        <w:rPr>
          <w:i/>
          <w:u w:val="single"/>
        </w:rPr>
        <w:t>Institutional Review Board</w:t>
      </w:r>
      <w:r w:rsidR="008C6AB3">
        <w:rPr>
          <w:i/>
          <w:u w:val="single"/>
        </w:rPr>
        <w:t xml:space="preserve"> (IRB)</w:t>
      </w:r>
    </w:p>
    <w:p w14:paraId="5CF55337" w14:textId="77777777" w:rsidR="00DD7595" w:rsidRPr="00DD7595" w:rsidRDefault="00DD7595" w:rsidP="00DD7595">
      <w:r w:rsidRPr="00DD7595">
        <w:t xml:space="preserve">The protocols and tools used to conduct this information collection request have been reviewed and approved by NCEZID’s Human Subjects Advisor, who determined that this data collection does not meet the definition of research under 45 CFR 46.102(d). IRB review is not required (Attachment </w:t>
      </w:r>
      <w:r>
        <w:t>G</w:t>
      </w:r>
      <w:r w:rsidRPr="00DD7595">
        <w:t xml:space="preserve">).     </w:t>
      </w:r>
    </w:p>
    <w:p w14:paraId="4A863CB9" w14:textId="77777777" w:rsidR="00630F1B" w:rsidRPr="00D8482F" w:rsidRDefault="00630F1B" w:rsidP="00EE7469"/>
    <w:p w14:paraId="1AD45396" w14:textId="77777777" w:rsidR="00DD23AA" w:rsidRPr="00DD23AA" w:rsidRDefault="00DD23AA" w:rsidP="00EE7469">
      <w:pPr>
        <w:rPr>
          <w:i/>
          <w:u w:val="single"/>
        </w:rPr>
      </w:pPr>
      <w:r w:rsidRPr="00DD23AA">
        <w:rPr>
          <w:i/>
          <w:u w:val="single"/>
        </w:rPr>
        <w:t>Justification for Sensitive Questions</w:t>
      </w:r>
    </w:p>
    <w:p w14:paraId="5E9754D1" w14:textId="77777777" w:rsidR="00802C01" w:rsidRPr="00D8482F" w:rsidRDefault="001C4601" w:rsidP="00EE7469">
      <w:pPr>
        <w:rPr>
          <w:color w:val="000000"/>
        </w:rPr>
      </w:pPr>
      <w:r w:rsidRPr="00D8482F">
        <w:t xml:space="preserve">Information on criminal behavior, sexual behavior and attitudes, alcohol or drug use, </w:t>
      </w:r>
      <w:r w:rsidR="00C3244F" w:rsidRPr="00D8482F">
        <w:t xml:space="preserve">and </w:t>
      </w:r>
      <w:r w:rsidRPr="00D8482F">
        <w:t>religious beliefs</w:t>
      </w:r>
      <w:r w:rsidR="00642397" w:rsidRPr="00D8482F">
        <w:t xml:space="preserve">, </w:t>
      </w:r>
      <w:r w:rsidRPr="00D8482F">
        <w:t>will not be collected</w:t>
      </w:r>
      <w:r w:rsidR="00802C01" w:rsidRPr="00D8482F">
        <w:t xml:space="preserve">. </w:t>
      </w:r>
      <w:r w:rsidR="002C1661" w:rsidRPr="00D8482F">
        <w:t>Race and ethnicity will be collected</w:t>
      </w:r>
      <w:r w:rsidR="00C54BF3" w:rsidRPr="00D8482F">
        <w:t xml:space="preserve">, </w:t>
      </w:r>
      <w:r w:rsidR="00802C01" w:rsidRPr="00D8482F">
        <w:rPr>
          <w:color w:val="000000"/>
        </w:rPr>
        <w:t>in accordance with federal standards</w:t>
      </w:r>
      <w:r w:rsidR="00C54BF3" w:rsidRPr="00D8482F">
        <w:rPr>
          <w:color w:val="000000"/>
        </w:rPr>
        <w:t xml:space="preserve">, </w:t>
      </w:r>
      <w:r w:rsidR="00C54BF3" w:rsidRPr="00D8482F">
        <w:t xml:space="preserve">by </w:t>
      </w:r>
      <w:r w:rsidR="000A2621" w:rsidRPr="00D8482F">
        <w:t>nursing home</w:t>
      </w:r>
      <w:r w:rsidR="00C54BF3" w:rsidRPr="00D8482F">
        <w:t xml:space="preserve"> staff </w:t>
      </w:r>
      <w:r w:rsidR="000A2621" w:rsidRPr="00D8482F">
        <w:t xml:space="preserve">or </w:t>
      </w:r>
      <w:r w:rsidR="00C54BF3" w:rsidRPr="00D8482F">
        <w:t>EIP personnel</w:t>
      </w:r>
      <w:r w:rsidR="002C1661" w:rsidRPr="00D8482F">
        <w:t xml:space="preserve">. </w:t>
      </w:r>
      <w:r w:rsidR="002C1661" w:rsidRPr="00D8482F">
        <w:rPr>
          <w:color w:val="000000"/>
        </w:rPr>
        <w:t xml:space="preserve">We believe it is important to collect data on race and ethnicity because studies have indicated that there is a higher burden of some types of </w:t>
      </w:r>
      <w:r w:rsidR="00630F1B" w:rsidRPr="00D8482F">
        <w:rPr>
          <w:color w:val="000000"/>
        </w:rPr>
        <w:t>HAIs</w:t>
      </w:r>
      <w:r w:rsidR="002C1661" w:rsidRPr="00D8482F">
        <w:rPr>
          <w:color w:val="000000"/>
        </w:rPr>
        <w:t xml:space="preserve"> in minority patients</w:t>
      </w:r>
      <w:r w:rsidR="00711900" w:rsidRPr="00D8482F">
        <w:rPr>
          <w:color w:val="000000"/>
        </w:rPr>
        <w:t xml:space="preserve">. </w:t>
      </w:r>
    </w:p>
    <w:p w14:paraId="6E9DC006" w14:textId="77777777" w:rsidR="004F4033" w:rsidRPr="00D8482F" w:rsidRDefault="004F4033" w:rsidP="00EE7469">
      <w:pPr>
        <w:rPr>
          <w:color w:val="000000"/>
        </w:rPr>
      </w:pPr>
    </w:p>
    <w:p w14:paraId="34DC87D0" w14:textId="77777777" w:rsidR="00D93F67" w:rsidRDefault="00D93F67" w:rsidP="00EE7469">
      <w:r w:rsidRPr="00D8482F">
        <w:t xml:space="preserve">The reporting of adverse events </w:t>
      </w:r>
      <w:r w:rsidR="001C4601" w:rsidRPr="00D8482F">
        <w:t xml:space="preserve">occurring in </w:t>
      </w:r>
      <w:r w:rsidR="000A2621" w:rsidRPr="00D8482F">
        <w:t>nursing home residents</w:t>
      </w:r>
      <w:r w:rsidR="00323420" w:rsidRPr="00D8482F">
        <w:t xml:space="preserve">, including infections, </w:t>
      </w:r>
      <w:r w:rsidR="001C4601" w:rsidRPr="00D8482F">
        <w:t xml:space="preserve">could </w:t>
      </w:r>
      <w:r w:rsidRPr="00D8482F">
        <w:t xml:space="preserve">be </w:t>
      </w:r>
      <w:r w:rsidR="001C4601" w:rsidRPr="00D8482F">
        <w:t xml:space="preserve">considered sensitive unless </w:t>
      </w:r>
      <w:r w:rsidR="000A2621" w:rsidRPr="00D8482F">
        <w:t xml:space="preserve">participating </w:t>
      </w:r>
      <w:r w:rsidR="001C4601" w:rsidRPr="00D8482F">
        <w:t>facilities are</w:t>
      </w:r>
      <w:r w:rsidR="00323420" w:rsidRPr="00D8482F">
        <w:t xml:space="preserve"> assured that the data-</w:t>
      </w:r>
      <w:r w:rsidRPr="00D8482F">
        <w:t xml:space="preserve">aggregating organization will provide security for the data and maintain the institution’s confidentiality. </w:t>
      </w:r>
      <w:r w:rsidR="00323420" w:rsidRPr="00D8482F">
        <w:t>Data security will b</w:t>
      </w:r>
      <w:r w:rsidR="00612172" w:rsidRPr="00D8482F">
        <w:t xml:space="preserve">e </w:t>
      </w:r>
      <w:r w:rsidR="00F2689F" w:rsidRPr="00D8482F">
        <w:t xml:space="preserve">protected </w:t>
      </w:r>
      <w:r w:rsidR="00612172" w:rsidRPr="00D8482F">
        <w:t>as described above.</w:t>
      </w:r>
    </w:p>
    <w:p w14:paraId="0B53041E" w14:textId="77777777" w:rsidR="006F30FC" w:rsidRPr="00D8482F" w:rsidRDefault="006F30FC" w:rsidP="00EE7469"/>
    <w:p w14:paraId="0AD1A64E" w14:textId="77777777" w:rsidR="00F570F3" w:rsidRPr="00D8482F" w:rsidRDefault="00F570F3" w:rsidP="00753597">
      <w:pPr>
        <w:pStyle w:val="Heading1"/>
      </w:pPr>
      <w:bookmarkStart w:id="22" w:name="_Toc444242969"/>
      <w:r w:rsidRPr="00D8482F">
        <w:t>Estimates of Annualized Burden Hours and Costs</w:t>
      </w:r>
      <w:bookmarkEnd w:id="22"/>
    </w:p>
    <w:p w14:paraId="27E5A2AE" w14:textId="77777777" w:rsidR="00630F1B" w:rsidRPr="00D8482F" w:rsidRDefault="00630F1B" w:rsidP="00F570F3">
      <w:pPr>
        <w:ind w:left="720" w:hanging="720"/>
        <w:rPr>
          <w:b/>
        </w:rPr>
      </w:pPr>
    </w:p>
    <w:p w14:paraId="2F9EA45C" w14:textId="77777777" w:rsidR="00F570F3" w:rsidRPr="00D8482F" w:rsidRDefault="00F570F3" w:rsidP="00630F1B">
      <w:pPr>
        <w:ind w:left="360" w:hanging="360"/>
      </w:pPr>
      <w:r w:rsidRPr="00D8482F">
        <w:t xml:space="preserve">A.  </w:t>
      </w:r>
      <w:r w:rsidR="000A2621" w:rsidRPr="00D8482F">
        <w:t xml:space="preserve">The </w:t>
      </w:r>
      <w:r w:rsidR="00802C01" w:rsidRPr="00D8482F">
        <w:t>Director of Nursing</w:t>
      </w:r>
      <w:r w:rsidR="004D314D" w:rsidRPr="00D8482F">
        <w:t>, Infection Control and Prevention Officer, or other designated staff</w:t>
      </w:r>
      <w:r w:rsidRPr="00D8482F">
        <w:t xml:space="preserve"> in participating healthcare facilities will be asked to </w:t>
      </w:r>
      <w:r w:rsidR="00630F1B" w:rsidRPr="00D8482F">
        <w:t xml:space="preserve">do the following: 1) complete the HFA </w:t>
      </w:r>
      <w:r w:rsidR="00CD06C4" w:rsidRPr="00D8482F">
        <w:t>on a one-time bas</w:t>
      </w:r>
      <w:r w:rsidR="00630F1B" w:rsidRPr="00D8482F">
        <w:t xml:space="preserve">is in </w:t>
      </w:r>
      <w:r w:rsidR="00802C01" w:rsidRPr="00D8482F">
        <w:t>2017</w:t>
      </w:r>
      <w:r w:rsidR="00F2689F" w:rsidRPr="00D8482F">
        <w:t xml:space="preserve">, </w:t>
      </w:r>
      <w:r w:rsidR="00E33580" w:rsidRPr="00D8482F">
        <w:t>2</w:t>
      </w:r>
      <w:r w:rsidR="00F2689F" w:rsidRPr="00D8482F">
        <w:t>) participate in training for the 201</w:t>
      </w:r>
      <w:r w:rsidR="00E33580" w:rsidRPr="00D8482F">
        <w:t xml:space="preserve">7 </w:t>
      </w:r>
      <w:r w:rsidR="00F2689F" w:rsidRPr="00D8482F">
        <w:t>survey, and 3) collect survey</w:t>
      </w:r>
      <w:r w:rsidR="004D314D" w:rsidRPr="00D8482F">
        <w:t xml:space="preserve"> data on nursing home</w:t>
      </w:r>
      <w:r w:rsidR="00F2689F" w:rsidRPr="00D8482F">
        <w:t xml:space="preserve"> </w:t>
      </w:r>
      <w:r w:rsidR="00E33580" w:rsidRPr="00D8482F">
        <w:t>residents</w:t>
      </w:r>
      <w:r w:rsidRPr="00D8482F">
        <w:t xml:space="preserve">, limited to basic demographic and </w:t>
      </w:r>
      <w:r w:rsidR="00CD06C4" w:rsidRPr="00D8482F">
        <w:t>clinical</w:t>
      </w:r>
      <w:r w:rsidRPr="00D8482F">
        <w:t xml:space="preserve"> information</w:t>
      </w:r>
      <w:r w:rsidR="00A759F6" w:rsidRPr="00D8482F">
        <w:t xml:space="preserve"> on the </w:t>
      </w:r>
      <w:r w:rsidR="00702FC3" w:rsidRPr="00D8482F">
        <w:t>R</w:t>
      </w:r>
      <w:r w:rsidR="006E7EB2" w:rsidRPr="00D8482F">
        <w:t>esidents by Location Form</w:t>
      </w:r>
      <w:r w:rsidR="00A759F6" w:rsidRPr="00D8482F">
        <w:t>.</w:t>
      </w:r>
    </w:p>
    <w:p w14:paraId="74142B45" w14:textId="77777777" w:rsidR="00F570F3" w:rsidRPr="00D8482F" w:rsidRDefault="00F570F3" w:rsidP="00F570F3"/>
    <w:p w14:paraId="44CCEBB4" w14:textId="77777777" w:rsidR="00CD06C4" w:rsidRPr="00D8482F" w:rsidRDefault="00CD06C4" w:rsidP="00E01B7C">
      <w:pPr>
        <w:tabs>
          <w:tab w:val="left" w:pos="360"/>
        </w:tabs>
        <w:ind w:left="360"/>
      </w:pPr>
      <w:r w:rsidRPr="00D8482F">
        <w:t xml:space="preserve">For the </w:t>
      </w:r>
      <w:r w:rsidR="006E7EB2" w:rsidRPr="00D8482F">
        <w:t>Healthcare Facility Assessment</w:t>
      </w:r>
      <w:r w:rsidR="00CE3CBC" w:rsidRPr="00D8482F">
        <w:t xml:space="preserve"> (Table A</w:t>
      </w:r>
      <w:r w:rsidR="0098037C" w:rsidRPr="00D8482F">
        <w:t>)</w:t>
      </w:r>
      <w:r w:rsidRPr="00D8482F">
        <w:t xml:space="preserve">, respondents will be </w:t>
      </w:r>
      <w:r w:rsidR="00702FC3" w:rsidRPr="00D8482F">
        <w:t>Director of Nursing</w:t>
      </w:r>
      <w:r w:rsidR="004D314D" w:rsidRPr="00D8482F">
        <w:t xml:space="preserve"> or Infection Control and Prevention Officer</w:t>
      </w:r>
      <w:r w:rsidRPr="00D8482F">
        <w:t xml:space="preserve"> (or other designated </w:t>
      </w:r>
      <w:r w:rsidR="00A759F6" w:rsidRPr="00D8482F">
        <w:t xml:space="preserve">healthcare facility </w:t>
      </w:r>
      <w:r w:rsidRPr="00D8482F">
        <w:t xml:space="preserve">staff). We anticipate </w:t>
      </w:r>
      <w:r w:rsidR="00871666" w:rsidRPr="00D8482F">
        <w:t xml:space="preserve">up to </w:t>
      </w:r>
      <w:r w:rsidRPr="00D8482F">
        <w:t xml:space="preserve">a total of </w:t>
      </w:r>
      <w:r w:rsidR="00214DA5" w:rsidRPr="00D8482F">
        <w:t>200</w:t>
      </w:r>
      <w:r w:rsidRPr="00D8482F">
        <w:t xml:space="preserve"> respondents, one for each participating </w:t>
      </w:r>
      <w:r w:rsidR="00CE3CBC" w:rsidRPr="00D8482F">
        <w:t>facility</w:t>
      </w:r>
      <w:r w:rsidRPr="00D8482F">
        <w:t xml:space="preserve">, who will complete the assessment </w:t>
      </w:r>
      <w:r w:rsidR="00A759F6" w:rsidRPr="00D8482F">
        <w:t>one time</w:t>
      </w:r>
      <w:r w:rsidRPr="00D8482F">
        <w:t xml:space="preserve"> </w:t>
      </w:r>
      <w:r w:rsidR="006E7EB2" w:rsidRPr="00D8482F">
        <w:t xml:space="preserve">for </w:t>
      </w:r>
      <w:r w:rsidRPr="00D8482F">
        <w:t xml:space="preserve">the survey. </w:t>
      </w:r>
      <w:r w:rsidR="006E7EB2" w:rsidRPr="00D8482F">
        <w:t>Based on knowledge gained from the CDC hospital survey and the CDC pilot nursing home survey, t</w:t>
      </w:r>
      <w:r w:rsidRPr="00D8482F">
        <w:t>he time required to complete the assessment is estimated to be 45 minutes</w:t>
      </w:r>
      <w:r w:rsidR="00EF390E" w:rsidRPr="00D8482F">
        <w:t>.</w:t>
      </w:r>
      <w:r w:rsidRPr="00D8482F">
        <w:t xml:space="preserve"> </w:t>
      </w:r>
    </w:p>
    <w:p w14:paraId="047B3921" w14:textId="77777777" w:rsidR="00F2689F" w:rsidRPr="00D8482F" w:rsidRDefault="00F2689F" w:rsidP="004D314D"/>
    <w:p w14:paraId="064B4736" w14:textId="77777777" w:rsidR="00E01B7C" w:rsidRPr="00D8482F" w:rsidRDefault="0098037C" w:rsidP="009842E3">
      <w:pPr>
        <w:ind w:left="360"/>
      </w:pPr>
      <w:r w:rsidRPr="00D8482F">
        <w:t xml:space="preserve">For the training and </w:t>
      </w:r>
      <w:r w:rsidR="006E7EB2" w:rsidRPr="00D8482F">
        <w:t>Residents by Location Form</w:t>
      </w:r>
      <w:r w:rsidRPr="00D8482F">
        <w:t xml:space="preserve"> completion burden on </w:t>
      </w:r>
      <w:r w:rsidR="004D314D" w:rsidRPr="00D8482F">
        <w:t>nursing home staff</w:t>
      </w:r>
      <w:r w:rsidRPr="00D8482F">
        <w:t xml:space="preserve"> in participating facilities</w:t>
      </w:r>
      <w:r w:rsidR="00CE3CBC" w:rsidRPr="00D8482F">
        <w:t xml:space="preserve"> (Table A</w:t>
      </w:r>
      <w:r w:rsidR="00922F7B" w:rsidRPr="00D8482F">
        <w:t>)</w:t>
      </w:r>
      <w:r w:rsidRPr="00D8482F">
        <w:t xml:space="preserve">, </w:t>
      </w:r>
      <w:r w:rsidR="00F570F3" w:rsidRPr="00D8482F">
        <w:t xml:space="preserve">we incorporated knowledge gained from the conduct of the </w:t>
      </w:r>
      <w:r w:rsidR="006E7EB2" w:rsidRPr="00D8482F">
        <w:t>CDC pilot nursing home survey</w:t>
      </w:r>
      <w:r w:rsidR="00F570F3" w:rsidRPr="00D8482F">
        <w:t xml:space="preserve">. </w:t>
      </w:r>
      <w:r w:rsidR="00213910" w:rsidRPr="00D8482F">
        <w:t xml:space="preserve">Please note: throughout this Information Collection Request, any reference to number of </w:t>
      </w:r>
      <w:r w:rsidR="00E33580" w:rsidRPr="00D8482F">
        <w:t>residents</w:t>
      </w:r>
      <w:r w:rsidR="00213910" w:rsidRPr="00D8482F">
        <w:t xml:space="preserve"> surveyed or included in the survey should be interpreted to mean the number of </w:t>
      </w:r>
      <w:r w:rsidR="00E33580" w:rsidRPr="00D8482F">
        <w:t>residents’</w:t>
      </w:r>
      <w:r w:rsidR="00213910" w:rsidRPr="00D8482F">
        <w:t xml:space="preserve"> medical records that are reviewed/included in the survey; it does </w:t>
      </w:r>
      <w:r w:rsidR="00213910" w:rsidRPr="00D8482F">
        <w:rPr>
          <w:i/>
        </w:rPr>
        <w:t>not</w:t>
      </w:r>
      <w:r w:rsidR="00213910" w:rsidRPr="00D8482F">
        <w:t xml:space="preserve"> mean that </w:t>
      </w:r>
      <w:r w:rsidR="000A2621" w:rsidRPr="00D8482F">
        <w:t>residents</w:t>
      </w:r>
      <w:r w:rsidR="00213910" w:rsidRPr="00D8482F">
        <w:t xml:space="preserve"> are actually being interviewed or interacted with directly. This is </w:t>
      </w:r>
      <w:r w:rsidR="006E7EB2" w:rsidRPr="00D8482F">
        <w:t>made clear in Section 1.1,</w:t>
      </w:r>
      <w:r w:rsidR="00213910" w:rsidRPr="00D8482F">
        <w:t xml:space="preserve"> “</w:t>
      </w:r>
      <w:r w:rsidR="00E33580" w:rsidRPr="00D8482F">
        <w:t>Resident</w:t>
      </w:r>
      <w:r w:rsidR="00213910" w:rsidRPr="00D8482F">
        <w:t xml:space="preserve"> data will be collected through review of medical records. </w:t>
      </w:r>
      <w:r w:rsidR="000A2621" w:rsidRPr="00D8482F">
        <w:t xml:space="preserve">Residents </w:t>
      </w:r>
      <w:r w:rsidR="00213910" w:rsidRPr="00D8482F">
        <w:t xml:space="preserve">will not be interviewed.” </w:t>
      </w:r>
      <w:r w:rsidR="000A2621" w:rsidRPr="00D8482F">
        <w:t xml:space="preserve"> </w:t>
      </w:r>
      <w:r w:rsidR="00F570F3" w:rsidRPr="00D8482F">
        <w:t xml:space="preserve">Therefore, the total number of records reviewed </w:t>
      </w:r>
      <w:r w:rsidR="00E963F2" w:rsidRPr="00D8482F">
        <w:t>was estimated</w:t>
      </w:r>
      <w:r w:rsidR="00F570F3" w:rsidRPr="00D8482F">
        <w:t xml:space="preserve"> as follows: [(</w:t>
      </w:r>
      <w:r w:rsidR="00214DA5" w:rsidRPr="00D8482F">
        <w:t xml:space="preserve">200 </w:t>
      </w:r>
      <w:r w:rsidR="00F570F3" w:rsidRPr="00D8482F">
        <w:t>fac</w:t>
      </w:r>
      <w:r w:rsidR="00BD1B4A" w:rsidRPr="00D8482F">
        <w:t>ilities)*</w:t>
      </w:r>
      <w:r w:rsidR="00C94805" w:rsidRPr="00D8482F">
        <w:t xml:space="preserve"> (2 respondents per facility)*</w:t>
      </w:r>
      <w:r w:rsidR="00BD1B4A" w:rsidRPr="00D8482F">
        <w:t>(</w:t>
      </w:r>
      <w:r w:rsidR="00C94805" w:rsidRPr="00D8482F">
        <w:t>38</w:t>
      </w:r>
      <w:r w:rsidR="00BD1B4A" w:rsidRPr="00D8482F">
        <w:t xml:space="preserve"> </w:t>
      </w:r>
      <w:r w:rsidR="00A7706E" w:rsidRPr="00D8482F">
        <w:t xml:space="preserve">resident </w:t>
      </w:r>
      <w:r w:rsidR="00BD1B4A" w:rsidRPr="00D8482F">
        <w:t xml:space="preserve">records) </w:t>
      </w:r>
      <w:r w:rsidR="00F570F3" w:rsidRPr="00D8482F">
        <w:t xml:space="preserve">= </w:t>
      </w:r>
      <w:r w:rsidR="0094770B" w:rsidRPr="00D8482F">
        <w:t>15</w:t>
      </w:r>
      <w:r w:rsidR="00214DA5" w:rsidRPr="00D8482F">
        <w:t>,000</w:t>
      </w:r>
      <w:r w:rsidR="00F570F3" w:rsidRPr="00D8482F">
        <w:t xml:space="preserve"> </w:t>
      </w:r>
      <w:r w:rsidR="00A7706E" w:rsidRPr="00D8482F">
        <w:t xml:space="preserve">resident </w:t>
      </w:r>
      <w:r w:rsidR="00F570F3" w:rsidRPr="00D8482F">
        <w:t>records</w:t>
      </w:r>
      <w:r w:rsidR="00EE43CA">
        <w:t>]</w:t>
      </w:r>
      <w:r w:rsidR="00F570F3" w:rsidRPr="00D8482F">
        <w:t xml:space="preserve">, which </w:t>
      </w:r>
      <w:r w:rsidR="00E963F2" w:rsidRPr="00D8482F">
        <w:t xml:space="preserve">translated </w:t>
      </w:r>
      <w:r w:rsidR="00F570F3" w:rsidRPr="00D8482F">
        <w:t xml:space="preserve">to an average of </w:t>
      </w:r>
      <w:r w:rsidR="00A7706E" w:rsidRPr="00D8482F">
        <w:t>75</w:t>
      </w:r>
      <w:r w:rsidR="00F570F3" w:rsidRPr="00D8482F">
        <w:t xml:space="preserve"> responses per </w:t>
      </w:r>
      <w:r w:rsidR="00F570F3" w:rsidRPr="00D8482F">
        <w:lastRenderedPageBreak/>
        <w:t xml:space="preserve">respondent. </w:t>
      </w:r>
      <w:r w:rsidR="00922F7B" w:rsidRPr="00D8482F">
        <w:t>Th</w:t>
      </w:r>
      <w:r w:rsidR="00CE3CBC" w:rsidRPr="00D8482F">
        <w:t xml:space="preserve">e time required </w:t>
      </w:r>
      <w:r w:rsidR="00922F7B" w:rsidRPr="00D8482F">
        <w:t xml:space="preserve">to </w:t>
      </w:r>
      <w:r w:rsidR="00CE3CBC" w:rsidRPr="00D8482F">
        <w:t>p</w:t>
      </w:r>
      <w:r w:rsidR="00922F7B" w:rsidRPr="00D8482F">
        <w:t xml:space="preserve">articipate in training and data collection to complete the </w:t>
      </w:r>
      <w:r w:rsidR="00BD1B4A" w:rsidRPr="00D8482F">
        <w:t>RLF</w:t>
      </w:r>
      <w:r w:rsidR="0094770B" w:rsidRPr="00D8482F">
        <w:t xml:space="preserve"> is estimated to be 20</w:t>
      </w:r>
      <w:r w:rsidR="00922F7B" w:rsidRPr="00D8482F">
        <w:t xml:space="preserve"> minutes</w:t>
      </w:r>
      <w:r w:rsidR="00612246" w:rsidRPr="00D8482F">
        <w:t xml:space="preserve">. </w:t>
      </w:r>
    </w:p>
    <w:p w14:paraId="10F79A24" w14:textId="77777777" w:rsidR="006E7EB2" w:rsidRPr="00D8482F" w:rsidRDefault="006E7EB2" w:rsidP="00612246">
      <w:pPr>
        <w:outlineLvl w:val="0"/>
      </w:pPr>
    </w:p>
    <w:p w14:paraId="05E12169" w14:textId="77777777" w:rsidR="00612246" w:rsidRPr="00D8482F" w:rsidRDefault="00612246" w:rsidP="00612246">
      <w:pPr>
        <w:outlineLvl w:val="0"/>
      </w:pPr>
      <w:bookmarkStart w:id="23" w:name="_Toc444242970"/>
      <w:r w:rsidRPr="00D8482F">
        <w:t>Table A: Estimated Annualized Burden Hours</w:t>
      </w:r>
      <w:bookmarkEnd w:id="23"/>
      <w:r w:rsidRPr="00D8482F">
        <w:t xml:space="preserve"> </w:t>
      </w:r>
    </w:p>
    <w:p w14:paraId="28CB73D1" w14:textId="77777777" w:rsidR="00A269D4" w:rsidRPr="00D8482F" w:rsidRDefault="00A269D4" w:rsidP="00612246">
      <w:pPr>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685"/>
        <w:gridCol w:w="1528"/>
        <w:gridCol w:w="1568"/>
        <w:gridCol w:w="1445"/>
        <w:gridCol w:w="1359"/>
      </w:tblGrid>
      <w:tr w:rsidR="000A2621" w:rsidRPr="00D8482F" w14:paraId="0AD725A5" w14:textId="77777777" w:rsidTr="00C57FD6">
        <w:tc>
          <w:tcPr>
            <w:tcW w:w="1818" w:type="dxa"/>
            <w:tcBorders>
              <w:top w:val="single" w:sz="4" w:space="0" w:color="auto"/>
              <w:left w:val="single" w:sz="4" w:space="0" w:color="auto"/>
              <w:bottom w:val="single" w:sz="4" w:space="0" w:color="auto"/>
              <w:right w:val="single" w:sz="4" w:space="0" w:color="auto"/>
            </w:tcBorders>
            <w:hideMark/>
          </w:tcPr>
          <w:p w14:paraId="2026D505" w14:textId="77777777" w:rsidR="00612246" w:rsidRPr="00D8482F" w:rsidRDefault="00612246" w:rsidP="00C57FD6">
            <w:pPr>
              <w:outlineLvl w:val="0"/>
              <w:rPr>
                <w:b/>
              </w:rPr>
            </w:pPr>
            <w:bookmarkStart w:id="24" w:name="_Toc444242971"/>
            <w:r w:rsidRPr="00D8482F">
              <w:rPr>
                <w:b/>
              </w:rPr>
              <w:t>Type of Respondent</w:t>
            </w:r>
            <w:bookmarkEnd w:id="24"/>
          </w:p>
        </w:tc>
        <w:tc>
          <w:tcPr>
            <w:tcW w:w="1737" w:type="dxa"/>
            <w:tcBorders>
              <w:top w:val="single" w:sz="4" w:space="0" w:color="auto"/>
              <w:left w:val="single" w:sz="4" w:space="0" w:color="auto"/>
              <w:bottom w:val="single" w:sz="4" w:space="0" w:color="auto"/>
              <w:right w:val="single" w:sz="4" w:space="0" w:color="auto"/>
            </w:tcBorders>
            <w:hideMark/>
          </w:tcPr>
          <w:p w14:paraId="0CC6EE39" w14:textId="77777777" w:rsidR="00612246" w:rsidRPr="00D8482F" w:rsidRDefault="00612246" w:rsidP="00C57FD6">
            <w:pPr>
              <w:outlineLvl w:val="0"/>
              <w:rPr>
                <w:b/>
              </w:rPr>
            </w:pPr>
            <w:bookmarkStart w:id="25" w:name="_Toc444242972"/>
            <w:r w:rsidRPr="00D8482F">
              <w:rPr>
                <w:b/>
              </w:rPr>
              <w:t>Form</w:t>
            </w:r>
            <w:bookmarkEnd w:id="25"/>
          </w:p>
          <w:p w14:paraId="46ADA62C" w14:textId="77777777" w:rsidR="00612246" w:rsidRPr="00D8482F" w:rsidRDefault="00612246" w:rsidP="00C57FD6">
            <w:pPr>
              <w:outlineLvl w:val="0"/>
              <w:rPr>
                <w:b/>
              </w:rPr>
            </w:pPr>
            <w:bookmarkStart w:id="26" w:name="_Toc444242973"/>
            <w:r w:rsidRPr="00D8482F">
              <w:rPr>
                <w:b/>
              </w:rPr>
              <w:t>Name</w:t>
            </w:r>
            <w:bookmarkEnd w:id="26"/>
          </w:p>
        </w:tc>
        <w:tc>
          <w:tcPr>
            <w:tcW w:w="1529" w:type="dxa"/>
            <w:tcBorders>
              <w:top w:val="single" w:sz="4" w:space="0" w:color="auto"/>
              <w:left w:val="single" w:sz="4" w:space="0" w:color="auto"/>
              <w:bottom w:val="single" w:sz="4" w:space="0" w:color="auto"/>
              <w:right w:val="single" w:sz="4" w:space="0" w:color="auto"/>
            </w:tcBorders>
            <w:hideMark/>
          </w:tcPr>
          <w:p w14:paraId="0ECCB8EF" w14:textId="77777777" w:rsidR="00612246" w:rsidRPr="00D8482F" w:rsidRDefault="00612246" w:rsidP="00C57FD6">
            <w:pPr>
              <w:outlineLvl w:val="0"/>
              <w:rPr>
                <w:b/>
              </w:rPr>
            </w:pPr>
            <w:bookmarkStart w:id="27" w:name="_Toc444242974"/>
            <w:r w:rsidRPr="00D8482F">
              <w:rPr>
                <w:b/>
              </w:rPr>
              <w:t>Number of Respondents</w:t>
            </w:r>
            <w:bookmarkEnd w:id="27"/>
          </w:p>
        </w:tc>
        <w:tc>
          <w:tcPr>
            <w:tcW w:w="1589" w:type="dxa"/>
            <w:tcBorders>
              <w:top w:val="single" w:sz="4" w:space="0" w:color="auto"/>
              <w:left w:val="single" w:sz="4" w:space="0" w:color="auto"/>
              <w:bottom w:val="single" w:sz="4" w:space="0" w:color="auto"/>
              <w:right w:val="single" w:sz="4" w:space="0" w:color="auto"/>
            </w:tcBorders>
            <w:hideMark/>
          </w:tcPr>
          <w:p w14:paraId="5EDF5F38" w14:textId="77777777" w:rsidR="00612246" w:rsidRPr="00D8482F" w:rsidRDefault="00612246" w:rsidP="00C57FD6">
            <w:pPr>
              <w:outlineLvl w:val="0"/>
              <w:rPr>
                <w:b/>
              </w:rPr>
            </w:pPr>
            <w:bookmarkStart w:id="28" w:name="_Toc444242975"/>
            <w:r w:rsidRPr="00D8482F">
              <w:rPr>
                <w:b/>
              </w:rPr>
              <w:t>Number of</w:t>
            </w:r>
            <w:bookmarkEnd w:id="28"/>
            <w:r w:rsidRPr="00D8482F">
              <w:rPr>
                <w:b/>
              </w:rPr>
              <w:t xml:space="preserve"> </w:t>
            </w:r>
          </w:p>
          <w:p w14:paraId="3A54E29A" w14:textId="77777777" w:rsidR="00612246" w:rsidRPr="00D8482F" w:rsidRDefault="00612246" w:rsidP="00C57FD6">
            <w:pPr>
              <w:outlineLvl w:val="0"/>
              <w:rPr>
                <w:b/>
              </w:rPr>
            </w:pPr>
            <w:bookmarkStart w:id="29" w:name="_Toc444242976"/>
            <w:r w:rsidRPr="00D8482F">
              <w:rPr>
                <w:b/>
              </w:rPr>
              <w:t>Responses per Respondent</w:t>
            </w:r>
            <w:bookmarkEnd w:id="29"/>
          </w:p>
        </w:tc>
        <w:tc>
          <w:tcPr>
            <w:tcW w:w="1487" w:type="dxa"/>
            <w:tcBorders>
              <w:top w:val="single" w:sz="4" w:space="0" w:color="auto"/>
              <w:left w:val="single" w:sz="4" w:space="0" w:color="auto"/>
              <w:bottom w:val="single" w:sz="4" w:space="0" w:color="auto"/>
              <w:right w:val="single" w:sz="4" w:space="0" w:color="auto"/>
            </w:tcBorders>
            <w:hideMark/>
          </w:tcPr>
          <w:p w14:paraId="65860011" w14:textId="77777777" w:rsidR="00612246" w:rsidRPr="00D8482F" w:rsidRDefault="00612246" w:rsidP="00C57FD6">
            <w:pPr>
              <w:outlineLvl w:val="0"/>
              <w:rPr>
                <w:b/>
              </w:rPr>
            </w:pPr>
            <w:bookmarkStart w:id="30" w:name="_Toc444242977"/>
            <w:r w:rsidRPr="00D8482F">
              <w:rPr>
                <w:b/>
              </w:rPr>
              <w:t>Average Burden per Response</w:t>
            </w:r>
            <w:bookmarkEnd w:id="30"/>
          </w:p>
          <w:p w14:paraId="60BD6903" w14:textId="77777777" w:rsidR="00612246" w:rsidRPr="00D8482F" w:rsidRDefault="00612246" w:rsidP="00C57FD6">
            <w:pPr>
              <w:outlineLvl w:val="0"/>
              <w:rPr>
                <w:b/>
              </w:rPr>
            </w:pPr>
            <w:bookmarkStart w:id="31" w:name="_Toc444242978"/>
            <w:r w:rsidRPr="00D8482F">
              <w:rPr>
                <w:b/>
              </w:rPr>
              <w:t>(in hours)</w:t>
            </w:r>
            <w:bookmarkEnd w:id="31"/>
          </w:p>
        </w:tc>
        <w:tc>
          <w:tcPr>
            <w:tcW w:w="1416" w:type="dxa"/>
            <w:tcBorders>
              <w:top w:val="single" w:sz="4" w:space="0" w:color="auto"/>
              <w:left w:val="single" w:sz="4" w:space="0" w:color="auto"/>
              <w:bottom w:val="single" w:sz="4" w:space="0" w:color="auto"/>
              <w:right w:val="single" w:sz="4" w:space="0" w:color="auto"/>
            </w:tcBorders>
            <w:hideMark/>
          </w:tcPr>
          <w:p w14:paraId="5D7273F3" w14:textId="77777777" w:rsidR="00612246" w:rsidRPr="00D8482F" w:rsidRDefault="00612246" w:rsidP="00C57FD6">
            <w:pPr>
              <w:outlineLvl w:val="0"/>
              <w:rPr>
                <w:b/>
              </w:rPr>
            </w:pPr>
            <w:bookmarkStart w:id="32" w:name="_Toc444242979"/>
            <w:r w:rsidRPr="00D8482F">
              <w:rPr>
                <w:b/>
              </w:rPr>
              <w:t>Total Burden Hours</w:t>
            </w:r>
            <w:bookmarkEnd w:id="32"/>
          </w:p>
        </w:tc>
      </w:tr>
      <w:tr w:rsidR="000A2621" w:rsidRPr="00D8482F" w14:paraId="4CA25EF5" w14:textId="77777777" w:rsidTr="00C57FD6">
        <w:tc>
          <w:tcPr>
            <w:tcW w:w="1818" w:type="dxa"/>
            <w:tcBorders>
              <w:top w:val="single" w:sz="4" w:space="0" w:color="auto"/>
              <w:left w:val="single" w:sz="4" w:space="0" w:color="auto"/>
              <w:bottom w:val="single" w:sz="4" w:space="0" w:color="auto"/>
              <w:right w:val="single" w:sz="4" w:space="0" w:color="auto"/>
            </w:tcBorders>
          </w:tcPr>
          <w:p w14:paraId="7ACBE1C9" w14:textId="77777777" w:rsidR="00E01B7C" w:rsidRPr="00D8482F" w:rsidRDefault="000A2621" w:rsidP="002307EC">
            <w:pPr>
              <w:outlineLvl w:val="0"/>
            </w:pPr>
            <w:bookmarkStart w:id="33" w:name="_Toc444242980"/>
            <w:r w:rsidRPr="00D8482F">
              <w:t>Director of Nursing</w:t>
            </w:r>
            <w:r w:rsidR="006E7EB2" w:rsidRPr="00D8482F">
              <w:t>,</w:t>
            </w:r>
            <w:r w:rsidR="00EC3EB4">
              <w:t xml:space="preserve"> Registered Nurse,</w:t>
            </w:r>
            <w:r w:rsidR="006E7EB2" w:rsidRPr="00D8482F">
              <w:t xml:space="preserve"> </w:t>
            </w:r>
            <w:r w:rsidR="00A7706E" w:rsidRPr="00D8482F">
              <w:t>Infection Control and Prevention Officer</w:t>
            </w:r>
            <w:bookmarkEnd w:id="33"/>
          </w:p>
        </w:tc>
        <w:tc>
          <w:tcPr>
            <w:tcW w:w="1737" w:type="dxa"/>
            <w:tcBorders>
              <w:top w:val="single" w:sz="4" w:space="0" w:color="auto"/>
              <w:left w:val="single" w:sz="4" w:space="0" w:color="auto"/>
              <w:bottom w:val="single" w:sz="4" w:space="0" w:color="auto"/>
              <w:right w:val="single" w:sz="4" w:space="0" w:color="auto"/>
            </w:tcBorders>
            <w:vAlign w:val="center"/>
          </w:tcPr>
          <w:p w14:paraId="7AA1DAB8" w14:textId="77777777" w:rsidR="00E01B7C" w:rsidRPr="00D8482F" w:rsidRDefault="00E01B7C" w:rsidP="00C57FD6">
            <w:pPr>
              <w:outlineLvl w:val="0"/>
            </w:pPr>
            <w:bookmarkStart w:id="34" w:name="_Toc444242981"/>
            <w:r w:rsidRPr="00D8482F">
              <w:t>Healthcare Facility Assessment</w:t>
            </w:r>
            <w:bookmarkEnd w:id="34"/>
            <w:r w:rsidR="003D1CD5" w:rsidRPr="00D8482F">
              <w:t xml:space="preserve"> </w:t>
            </w:r>
          </w:p>
        </w:tc>
        <w:tc>
          <w:tcPr>
            <w:tcW w:w="1529" w:type="dxa"/>
            <w:tcBorders>
              <w:top w:val="single" w:sz="4" w:space="0" w:color="auto"/>
              <w:left w:val="single" w:sz="4" w:space="0" w:color="auto"/>
              <w:bottom w:val="single" w:sz="4" w:space="0" w:color="auto"/>
              <w:right w:val="single" w:sz="4" w:space="0" w:color="auto"/>
            </w:tcBorders>
          </w:tcPr>
          <w:p w14:paraId="2E50CB0B" w14:textId="77777777" w:rsidR="00E01B7C" w:rsidRPr="00D8482F" w:rsidRDefault="00214DA5" w:rsidP="00C57FD6">
            <w:pPr>
              <w:outlineLvl w:val="0"/>
            </w:pPr>
            <w:bookmarkStart w:id="35" w:name="_Toc444242982"/>
            <w:r w:rsidRPr="00D8482F">
              <w:t>200</w:t>
            </w:r>
            <w:bookmarkEnd w:id="35"/>
          </w:p>
        </w:tc>
        <w:tc>
          <w:tcPr>
            <w:tcW w:w="1589" w:type="dxa"/>
            <w:tcBorders>
              <w:top w:val="single" w:sz="4" w:space="0" w:color="auto"/>
              <w:left w:val="single" w:sz="4" w:space="0" w:color="auto"/>
              <w:bottom w:val="single" w:sz="4" w:space="0" w:color="auto"/>
              <w:right w:val="single" w:sz="4" w:space="0" w:color="auto"/>
            </w:tcBorders>
          </w:tcPr>
          <w:p w14:paraId="6C8A24C2" w14:textId="77777777" w:rsidR="00E01B7C" w:rsidRPr="00D8482F" w:rsidRDefault="008A73D9" w:rsidP="00C57FD6">
            <w:pPr>
              <w:outlineLvl w:val="0"/>
            </w:pPr>
            <w:bookmarkStart w:id="36" w:name="_Toc444242983"/>
            <w:r w:rsidRPr="00D8482F">
              <w:t>1</w:t>
            </w:r>
            <w:bookmarkEnd w:id="36"/>
          </w:p>
        </w:tc>
        <w:tc>
          <w:tcPr>
            <w:tcW w:w="1487" w:type="dxa"/>
            <w:tcBorders>
              <w:top w:val="single" w:sz="4" w:space="0" w:color="auto"/>
              <w:left w:val="single" w:sz="4" w:space="0" w:color="auto"/>
              <w:bottom w:val="single" w:sz="4" w:space="0" w:color="auto"/>
              <w:right w:val="single" w:sz="4" w:space="0" w:color="auto"/>
            </w:tcBorders>
          </w:tcPr>
          <w:p w14:paraId="0AB1166C" w14:textId="77777777" w:rsidR="00E01B7C" w:rsidRPr="00D8482F" w:rsidRDefault="00E01B7C" w:rsidP="00C57FD6">
            <w:pPr>
              <w:outlineLvl w:val="0"/>
            </w:pPr>
            <w:bookmarkStart w:id="37" w:name="_Toc444242984"/>
            <w:r w:rsidRPr="00D8482F">
              <w:t>45/60</w:t>
            </w:r>
            <w:bookmarkEnd w:id="37"/>
          </w:p>
        </w:tc>
        <w:tc>
          <w:tcPr>
            <w:tcW w:w="1416" w:type="dxa"/>
            <w:tcBorders>
              <w:top w:val="single" w:sz="4" w:space="0" w:color="auto"/>
              <w:left w:val="single" w:sz="4" w:space="0" w:color="auto"/>
              <w:bottom w:val="single" w:sz="4" w:space="0" w:color="auto"/>
              <w:right w:val="single" w:sz="4" w:space="0" w:color="auto"/>
            </w:tcBorders>
          </w:tcPr>
          <w:p w14:paraId="46B5EF19" w14:textId="77777777" w:rsidR="00E01B7C" w:rsidRPr="00D8482F" w:rsidRDefault="00CF5C4E" w:rsidP="00C57FD6">
            <w:pPr>
              <w:outlineLvl w:val="0"/>
            </w:pPr>
            <w:bookmarkStart w:id="38" w:name="_Toc444242985"/>
            <w:r w:rsidRPr="00D8482F">
              <w:t>150</w:t>
            </w:r>
            <w:bookmarkEnd w:id="38"/>
          </w:p>
        </w:tc>
      </w:tr>
      <w:tr w:rsidR="003B3F8B" w:rsidRPr="00D8482F" w14:paraId="0BF85521" w14:textId="77777777" w:rsidTr="00C57FD6">
        <w:trPr>
          <w:trHeight w:val="1052"/>
        </w:trPr>
        <w:tc>
          <w:tcPr>
            <w:tcW w:w="1818" w:type="dxa"/>
            <w:tcBorders>
              <w:top w:val="single" w:sz="4" w:space="0" w:color="auto"/>
              <w:left w:val="single" w:sz="4" w:space="0" w:color="auto"/>
              <w:bottom w:val="single" w:sz="4" w:space="0" w:color="auto"/>
              <w:right w:val="single" w:sz="4" w:space="0" w:color="auto"/>
            </w:tcBorders>
            <w:vAlign w:val="center"/>
          </w:tcPr>
          <w:p w14:paraId="0C21C4C8" w14:textId="77777777" w:rsidR="003B3F8B" w:rsidRPr="00D8482F" w:rsidRDefault="003B3F8B" w:rsidP="002307EC">
            <w:pPr>
              <w:outlineLvl w:val="0"/>
            </w:pPr>
            <w:r>
              <w:t>Registered Nurse</w:t>
            </w:r>
          </w:p>
        </w:tc>
        <w:tc>
          <w:tcPr>
            <w:tcW w:w="1737" w:type="dxa"/>
            <w:vMerge w:val="restart"/>
            <w:tcBorders>
              <w:top w:val="single" w:sz="4" w:space="0" w:color="auto"/>
              <w:left w:val="single" w:sz="4" w:space="0" w:color="auto"/>
              <w:right w:val="single" w:sz="4" w:space="0" w:color="auto"/>
            </w:tcBorders>
            <w:vAlign w:val="center"/>
          </w:tcPr>
          <w:p w14:paraId="0686F617" w14:textId="77777777" w:rsidR="003B3F8B" w:rsidRPr="00D8482F" w:rsidRDefault="003B3F8B" w:rsidP="00C57FD6">
            <w:pPr>
              <w:outlineLvl w:val="0"/>
            </w:pPr>
            <w:r w:rsidRPr="00D8482F">
              <w:t>Resident</w:t>
            </w:r>
            <w:r w:rsidR="00C57FD6">
              <w:t>s</w:t>
            </w:r>
            <w:r w:rsidRPr="00D8482F">
              <w:t xml:space="preserve"> by Location Form</w:t>
            </w:r>
          </w:p>
          <w:p w14:paraId="029B8423" w14:textId="77777777" w:rsidR="003B3F8B" w:rsidRPr="00D8482F" w:rsidRDefault="003B3F8B" w:rsidP="00C57FD6">
            <w:pPr>
              <w:outlineLvl w:val="0"/>
            </w:pPr>
          </w:p>
        </w:tc>
        <w:tc>
          <w:tcPr>
            <w:tcW w:w="1529" w:type="dxa"/>
            <w:tcBorders>
              <w:top w:val="single" w:sz="4" w:space="0" w:color="auto"/>
              <w:left w:val="single" w:sz="4" w:space="0" w:color="auto"/>
              <w:bottom w:val="single" w:sz="4" w:space="0" w:color="auto"/>
              <w:right w:val="single" w:sz="4" w:space="0" w:color="auto"/>
            </w:tcBorders>
          </w:tcPr>
          <w:p w14:paraId="2328D389" w14:textId="77777777" w:rsidR="003B3F8B" w:rsidRPr="00D8482F" w:rsidRDefault="003B3F8B" w:rsidP="00C57FD6">
            <w:pPr>
              <w:outlineLvl w:val="0"/>
            </w:pPr>
            <w:r>
              <w:t>200</w:t>
            </w:r>
          </w:p>
        </w:tc>
        <w:tc>
          <w:tcPr>
            <w:tcW w:w="1589" w:type="dxa"/>
            <w:tcBorders>
              <w:top w:val="single" w:sz="4" w:space="0" w:color="auto"/>
              <w:left w:val="single" w:sz="4" w:space="0" w:color="auto"/>
              <w:bottom w:val="single" w:sz="4" w:space="0" w:color="auto"/>
              <w:right w:val="single" w:sz="4" w:space="0" w:color="auto"/>
            </w:tcBorders>
          </w:tcPr>
          <w:p w14:paraId="7047F7AD" w14:textId="77777777" w:rsidR="003B3F8B" w:rsidRPr="00D8482F" w:rsidRDefault="003B3F8B" w:rsidP="00C57FD6">
            <w:pPr>
              <w:outlineLvl w:val="0"/>
            </w:pPr>
            <w:r>
              <w:t>38</w:t>
            </w:r>
          </w:p>
        </w:tc>
        <w:tc>
          <w:tcPr>
            <w:tcW w:w="1487" w:type="dxa"/>
            <w:tcBorders>
              <w:top w:val="single" w:sz="4" w:space="0" w:color="auto"/>
              <w:left w:val="single" w:sz="4" w:space="0" w:color="auto"/>
              <w:bottom w:val="single" w:sz="4" w:space="0" w:color="auto"/>
              <w:right w:val="single" w:sz="4" w:space="0" w:color="auto"/>
            </w:tcBorders>
          </w:tcPr>
          <w:p w14:paraId="13F58E94" w14:textId="77777777" w:rsidR="003B3F8B" w:rsidRPr="00D8482F" w:rsidRDefault="003B3F8B" w:rsidP="00C57FD6">
            <w:pPr>
              <w:outlineLvl w:val="0"/>
            </w:pPr>
            <w:r>
              <w:t>20/60</w:t>
            </w:r>
          </w:p>
        </w:tc>
        <w:tc>
          <w:tcPr>
            <w:tcW w:w="1416" w:type="dxa"/>
            <w:tcBorders>
              <w:top w:val="single" w:sz="4" w:space="0" w:color="auto"/>
              <w:left w:val="single" w:sz="4" w:space="0" w:color="auto"/>
              <w:bottom w:val="single" w:sz="4" w:space="0" w:color="auto"/>
              <w:right w:val="single" w:sz="4" w:space="0" w:color="auto"/>
            </w:tcBorders>
          </w:tcPr>
          <w:p w14:paraId="4E6B7871" w14:textId="77777777" w:rsidR="003B3F8B" w:rsidRPr="00D8482F" w:rsidRDefault="003B3F8B" w:rsidP="00C57FD6">
            <w:pPr>
              <w:outlineLvl w:val="0"/>
            </w:pPr>
            <w:r>
              <w:t>2,533</w:t>
            </w:r>
          </w:p>
        </w:tc>
      </w:tr>
      <w:tr w:rsidR="003B3F8B" w:rsidRPr="00D8482F" w14:paraId="68996F2E" w14:textId="77777777" w:rsidTr="00C57FD6">
        <w:tc>
          <w:tcPr>
            <w:tcW w:w="1818" w:type="dxa"/>
            <w:tcBorders>
              <w:top w:val="single" w:sz="4" w:space="0" w:color="auto"/>
              <w:left w:val="single" w:sz="4" w:space="0" w:color="auto"/>
              <w:bottom w:val="single" w:sz="4" w:space="0" w:color="auto"/>
              <w:right w:val="single" w:sz="4" w:space="0" w:color="auto"/>
            </w:tcBorders>
          </w:tcPr>
          <w:p w14:paraId="50E690CE" w14:textId="77777777" w:rsidR="003B3F8B" w:rsidRPr="00D8482F" w:rsidRDefault="003B3F8B" w:rsidP="002307EC">
            <w:pPr>
              <w:outlineLvl w:val="0"/>
            </w:pPr>
            <w:bookmarkStart w:id="39" w:name="_Toc444242986"/>
            <w:r w:rsidRPr="00D8482F">
              <w:rPr>
                <w:rStyle w:val="tgc"/>
                <w:color w:val="222222"/>
                <w:lang w:val="en"/>
              </w:rPr>
              <w:t>Licensed Practical or</w:t>
            </w:r>
            <w:r w:rsidRPr="00D8482F">
              <w:t xml:space="preserve"> </w:t>
            </w:r>
            <w:r w:rsidRPr="00D8482F">
              <w:rPr>
                <w:color w:val="000000"/>
              </w:rPr>
              <w:t>Licensed Vocational Nurses</w:t>
            </w:r>
            <w:bookmarkEnd w:id="39"/>
            <w:r w:rsidRPr="00D8482F">
              <w:t xml:space="preserve"> </w:t>
            </w:r>
          </w:p>
        </w:tc>
        <w:tc>
          <w:tcPr>
            <w:tcW w:w="1737" w:type="dxa"/>
            <w:vMerge/>
            <w:tcBorders>
              <w:left w:val="single" w:sz="4" w:space="0" w:color="auto"/>
              <w:bottom w:val="single" w:sz="4" w:space="0" w:color="auto"/>
              <w:right w:val="single" w:sz="4" w:space="0" w:color="auto"/>
            </w:tcBorders>
          </w:tcPr>
          <w:p w14:paraId="384E030E" w14:textId="77777777" w:rsidR="003B3F8B" w:rsidRPr="00D8482F" w:rsidRDefault="003B3F8B" w:rsidP="00C57FD6">
            <w:pPr>
              <w:outlineLvl w:val="0"/>
            </w:pPr>
          </w:p>
        </w:tc>
        <w:tc>
          <w:tcPr>
            <w:tcW w:w="1529" w:type="dxa"/>
            <w:tcBorders>
              <w:top w:val="single" w:sz="4" w:space="0" w:color="auto"/>
              <w:left w:val="single" w:sz="4" w:space="0" w:color="auto"/>
              <w:bottom w:val="single" w:sz="4" w:space="0" w:color="auto"/>
              <w:right w:val="single" w:sz="4" w:space="0" w:color="auto"/>
            </w:tcBorders>
          </w:tcPr>
          <w:p w14:paraId="23D81039" w14:textId="77777777" w:rsidR="003B3F8B" w:rsidRPr="00D8482F" w:rsidRDefault="003B3F8B" w:rsidP="00C57FD6">
            <w:pPr>
              <w:outlineLvl w:val="0"/>
            </w:pPr>
            <w:r>
              <w:t>2</w:t>
            </w:r>
            <w:r w:rsidRPr="00D8482F">
              <w:t>00</w:t>
            </w:r>
          </w:p>
        </w:tc>
        <w:tc>
          <w:tcPr>
            <w:tcW w:w="1589" w:type="dxa"/>
            <w:tcBorders>
              <w:top w:val="single" w:sz="4" w:space="0" w:color="auto"/>
              <w:left w:val="single" w:sz="4" w:space="0" w:color="auto"/>
              <w:bottom w:val="single" w:sz="4" w:space="0" w:color="auto"/>
              <w:right w:val="single" w:sz="4" w:space="0" w:color="auto"/>
            </w:tcBorders>
          </w:tcPr>
          <w:p w14:paraId="32F30FE8" w14:textId="77777777" w:rsidR="003B3F8B" w:rsidRPr="00D8482F" w:rsidRDefault="003B3F8B" w:rsidP="00C57FD6">
            <w:pPr>
              <w:outlineLvl w:val="0"/>
            </w:pPr>
            <w:bookmarkStart w:id="40" w:name="_Toc444242989"/>
            <w:r w:rsidRPr="00D8482F">
              <w:t>38</w:t>
            </w:r>
            <w:bookmarkEnd w:id="40"/>
          </w:p>
        </w:tc>
        <w:tc>
          <w:tcPr>
            <w:tcW w:w="1487" w:type="dxa"/>
            <w:tcBorders>
              <w:top w:val="single" w:sz="4" w:space="0" w:color="auto"/>
              <w:left w:val="single" w:sz="4" w:space="0" w:color="auto"/>
              <w:bottom w:val="single" w:sz="4" w:space="0" w:color="auto"/>
              <w:right w:val="single" w:sz="4" w:space="0" w:color="auto"/>
            </w:tcBorders>
          </w:tcPr>
          <w:p w14:paraId="31B60FC6" w14:textId="77777777" w:rsidR="003B3F8B" w:rsidRPr="00D8482F" w:rsidRDefault="003B3F8B" w:rsidP="00C57FD6">
            <w:pPr>
              <w:outlineLvl w:val="0"/>
            </w:pPr>
            <w:bookmarkStart w:id="41" w:name="_Toc444242990"/>
            <w:r w:rsidRPr="00D8482F">
              <w:t>20/60</w:t>
            </w:r>
            <w:bookmarkEnd w:id="41"/>
          </w:p>
        </w:tc>
        <w:tc>
          <w:tcPr>
            <w:tcW w:w="1416" w:type="dxa"/>
            <w:tcBorders>
              <w:top w:val="single" w:sz="4" w:space="0" w:color="auto"/>
              <w:left w:val="single" w:sz="4" w:space="0" w:color="auto"/>
              <w:bottom w:val="single" w:sz="4" w:space="0" w:color="auto"/>
              <w:right w:val="single" w:sz="4" w:space="0" w:color="auto"/>
            </w:tcBorders>
          </w:tcPr>
          <w:p w14:paraId="3087E643" w14:textId="77777777" w:rsidR="003B3F8B" w:rsidRPr="00D8482F" w:rsidRDefault="003B3F8B" w:rsidP="00C57FD6">
            <w:pPr>
              <w:outlineLvl w:val="0"/>
            </w:pPr>
            <w:r>
              <w:t>2,533</w:t>
            </w:r>
          </w:p>
        </w:tc>
      </w:tr>
      <w:tr w:rsidR="000A2621" w:rsidRPr="00D8482F" w14:paraId="06C2308E" w14:textId="77777777" w:rsidTr="00C57FD6">
        <w:tc>
          <w:tcPr>
            <w:tcW w:w="1818" w:type="dxa"/>
            <w:tcBorders>
              <w:top w:val="single" w:sz="4" w:space="0" w:color="auto"/>
              <w:left w:val="single" w:sz="4" w:space="0" w:color="auto"/>
              <w:bottom w:val="single" w:sz="4" w:space="0" w:color="auto"/>
              <w:right w:val="nil"/>
            </w:tcBorders>
            <w:hideMark/>
          </w:tcPr>
          <w:p w14:paraId="614B258E" w14:textId="77777777" w:rsidR="00612246" w:rsidRPr="00D8482F" w:rsidRDefault="00612246" w:rsidP="00CA6501">
            <w:pPr>
              <w:outlineLvl w:val="0"/>
              <w:rPr>
                <w:b/>
              </w:rPr>
            </w:pPr>
            <w:bookmarkStart w:id="42" w:name="_Toc444242992"/>
            <w:r w:rsidRPr="00D8482F">
              <w:rPr>
                <w:b/>
              </w:rPr>
              <w:t>Total</w:t>
            </w:r>
            <w:bookmarkEnd w:id="42"/>
          </w:p>
        </w:tc>
        <w:tc>
          <w:tcPr>
            <w:tcW w:w="1737" w:type="dxa"/>
            <w:tcBorders>
              <w:top w:val="single" w:sz="4" w:space="0" w:color="auto"/>
              <w:left w:val="nil"/>
              <w:bottom w:val="single" w:sz="4" w:space="0" w:color="auto"/>
              <w:right w:val="nil"/>
            </w:tcBorders>
          </w:tcPr>
          <w:p w14:paraId="1AEC9D5E" w14:textId="77777777" w:rsidR="00612246" w:rsidRPr="00D8482F" w:rsidRDefault="00612246" w:rsidP="00CA6501">
            <w:pPr>
              <w:jc w:val="center"/>
              <w:outlineLvl w:val="0"/>
            </w:pPr>
          </w:p>
        </w:tc>
        <w:tc>
          <w:tcPr>
            <w:tcW w:w="1529" w:type="dxa"/>
            <w:tcBorders>
              <w:top w:val="single" w:sz="4" w:space="0" w:color="auto"/>
              <w:left w:val="nil"/>
              <w:bottom w:val="single" w:sz="4" w:space="0" w:color="auto"/>
              <w:right w:val="nil"/>
            </w:tcBorders>
          </w:tcPr>
          <w:p w14:paraId="025DDE64" w14:textId="77777777" w:rsidR="00612246" w:rsidRPr="00D8482F" w:rsidRDefault="00612246" w:rsidP="00CA6501">
            <w:pPr>
              <w:jc w:val="center"/>
              <w:outlineLvl w:val="0"/>
            </w:pPr>
          </w:p>
        </w:tc>
        <w:tc>
          <w:tcPr>
            <w:tcW w:w="1589" w:type="dxa"/>
            <w:tcBorders>
              <w:top w:val="single" w:sz="4" w:space="0" w:color="auto"/>
              <w:left w:val="nil"/>
              <w:bottom w:val="single" w:sz="4" w:space="0" w:color="auto"/>
              <w:right w:val="nil"/>
            </w:tcBorders>
          </w:tcPr>
          <w:p w14:paraId="6629617E" w14:textId="77777777" w:rsidR="00612246" w:rsidRPr="00D8482F" w:rsidRDefault="00612246" w:rsidP="00CA6501">
            <w:pPr>
              <w:jc w:val="center"/>
              <w:outlineLvl w:val="0"/>
            </w:pPr>
          </w:p>
        </w:tc>
        <w:tc>
          <w:tcPr>
            <w:tcW w:w="1487" w:type="dxa"/>
            <w:tcBorders>
              <w:top w:val="single" w:sz="4" w:space="0" w:color="auto"/>
              <w:left w:val="nil"/>
              <w:bottom w:val="single" w:sz="4" w:space="0" w:color="auto"/>
              <w:right w:val="nil"/>
            </w:tcBorders>
            <w:hideMark/>
          </w:tcPr>
          <w:p w14:paraId="5C8DFD55" w14:textId="77777777" w:rsidR="00612246" w:rsidRPr="00D8482F" w:rsidRDefault="00612246" w:rsidP="00CA6501">
            <w:pPr>
              <w:jc w:val="center"/>
              <w:outlineLvl w:val="0"/>
            </w:pPr>
          </w:p>
        </w:tc>
        <w:tc>
          <w:tcPr>
            <w:tcW w:w="1416" w:type="dxa"/>
            <w:tcBorders>
              <w:top w:val="single" w:sz="4" w:space="0" w:color="auto"/>
              <w:left w:val="nil"/>
              <w:bottom w:val="single" w:sz="4" w:space="0" w:color="auto"/>
              <w:right w:val="single" w:sz="4" w:space="0" w:color="auto"/>
            </w:tcBorders>
            <w:hideMark/>
          </w:tcPr>
          <w:p w14:paraId="4E3C9F90" w14:textId="77777777" w:rsidR="00612246" w:rsidRPr="00D8482F" w:rsidRDefault="0094770B" w:rsidP="00306BC2">
            <w:pPr>
              <w:jc w:val="right"/>
              <w:outlineLvl w:val="0"/>
              <w:rPr>
                <w:b/>
              </w:rPr>
            </w:pPr>
            <w:bookmarkStart w:id="43" w:name="_Toc444242993"/>
            <w:r w:rsidRPr="00D8482F">
              <w:rPr>
                <w:b/>
              </w:rPr>
              <w:t>5</w:t>
            </w:r>
            <w:r w:rsidR="0044381C">
              <w:rPr>
                <w:b/>
              </w:rPr>
              <w:t>,</w:t>
            </w:r>
            <w:r w:rsidR="00306BC2" w:rsidRPr="00D8482F">
              <w:rPr>
                <w:b/>
              </w:rPr>
              <w:t>217</w:t>
            </w:r>
            <w:bookmarkEnd w:id="43"/>
          </w:p>
        </w:tc>
      </w:tr>
    </w:tbl>
    <w:p w14:paraId="62CD77DF" w14:textId="77777777" w:rsidR="00612246" w:rsidRPr="00D8482F" w:rsidRDefault="00612246" w:rsidP="00FF08E2"/>
    <w:p w14:paraId="7F7CA05E" w14:textId="77777777" w:rsidR="009C467B" w:rsidRDefault="00E7342B" w:rsidP="008F4427">
      <w:pPr>
        <w:numPr>
          <w:ilvl w:val="0"/>
          <w:numId w:val="37"/>
        </w:numPr>
      </w:pPr>
      <w:r w:rsidRPr="00D8482F">
        <w:t xml:space="preserve">The total cost burden </w:t>
      </w:r>
      <w:r w:rsidR="006C63B7" w:rsidRPr="00D8482F">
        <w:t>in participating nursing homes</w:t>
      </w:r>
      <w:r w:rsidRPr="00D8482F">
        <w:t xml:space="preserve"> is estimated as follows: </w:t>
      </w:r>
      <w:r w:rsidR="00A269D4" w:rsidRPr="00D8482F">
        <w:t xml:space="preserve">With a total annual burden of </w:t>
      </w:r>
      <w:r w:rsidR="00306BC2" w:rsidRPr="00D8482F">
        <w:t>5</w:t>
      </w:r>
      <w:r w:rsidR="001C3B9A">
        <w:t>,</w:t>
      </w:r>
      <w:r w:rsidR="00306BC2" w:rsidRPr="00D8482F">
        <w:t>217</w:t>
      </w:r>
      <w:r w:rsidR="00011A29" w:rsidRPr="00D8482F">
        <w:t xml:space="preserve"> </w:t>
      </w:r>
      <w:r w:rsidRPr="00D8482F">
        <w:t xml:space="preserve">hours, the total cost of the time to respond to the proposed survey is estimated to be </w:t>
      </w:r>
      <w:r w:rsidR="009C467B">
        <w:t>$136,430.24</w:t>
      </w:r>
      <w:r w:rsidR="001C3B9A">
        <w:t xml:space="preserve"> (Table B). </w:t>
      </w:r>
      <w:r w:rsidRPr="00D8482F">
        <w:t xml:space="preserve">We have utilized the mean hourly wage for a </w:t>
      </w:r>
      <w:r w:rsidR="006C63B7" w:rsidRPr="00D8482F">
        <w:t>Medical Health Services Manager</w:t>
      </w:r>
      <w:r w:rsidR="0094770B" w:rsidRPr="00D8482F">
        <w:t xml:space="preserve"> in</w:t>
      </w:r>
      <w:r w:rsidR="006C63B7" w:rsidRPr="00D8482F">
        <w:t xml:space="preserve"> the Nursing Care Facilities (Skilled Nursing Facility) industry</w:t>
      </w:r>
      <w:r w:rsidRPr="00D8482F">
        <w:t>, $</w:t>
      </w:r>
      <w:r w:rsidR="006C63B7" w:rsidRPr="00D8482F">
        <w:t>41</w:t>
      </w:r>
      <w:r w:rsidR="00A269D4" w:rsidRPr="00D8482F">
        <w:t>.</w:t>
      </w:r>
      <w:r w:rsidR="006C63B7" w:rsidRPr="00D8482F">
        <w:t>22</w:t>
      </w:r>
      <w:r w:rsidRPr="00D8482F">
        <w:t xml:space="preserve">, obtained from the Bureau of Labor Statistics, </w:t>
      </w:r>
      <w:r w:rsidR="006C63B7" w:rsidRPr="00D8482F">
        <w:rPr>
          <w:kern w:val="36"/>
        </w:rPr>
        <w:t>National Industry-Specific Occupational Employment and Wage Estimates</w:t>
      </w:r>
      <w:r w:rsidR="006C63B7" w:rsidRPr="00D8482F">
        <w:t xml:space="preserve"> </w:t>
      </w:r>
      <w:r w:rsidRPr="00D8482F">
        <w:t xml:space="preserve">(accessed </w:t>
      </w:r>
      <w:r w:rsidR="005E7490" w:rsidRPr="00D8482F">
        <w:t>February</w:t>
      </w:r>
      <w:r w:rsidR="00A269D4" w:rsidRPr="00D8482F">
        <w:t xml:space="preserve"> </w:t>
      </w:r>
      <w:r w:rsidR="005E7490" w:rsidRPr="00D8482F">
        <w:t>08</w:t>
      </w:r>
      <w:r w:rsidR="00A269D4" w:rsidRPr="00D8482F">
        <w:t>,</w:t>
      </w:r>
      <w:r w:rsidRPr="00D8482F">
        <w:t xml:space="preserve"> </w:t>
      </w:r>
      <w:r w:rsidR="00A269D4" w:rsidRPr="00D8482F">
        <w:t>201</w:t>
      </w:r>
      <w:r w:rsidR="005E7490" w:rsidRPr="00D8482F">
        <w:t>5</w:t>
      </w:r>
      <w:r w:rsidR="00761E7D" w:rsidRPr="00D8482F">
        <w:t xml:space="preserve"> </w:t>
      </w:r>
      <w:r w:rsidRPr="00D8482F">
        <w:t xml:space="preserve">at </w:t>
      </w:r>
      <w:hyperlink r:id="rId41" w:history="1">
        <w:r w:rsidR="006C63B7" w:rsidRPr="00D8482F">
          <w:rPr>
            <w:rStyle w:val="Hyperlink"/>
          </w:rPr>
          <w:t>http://www.bls.gov/oes/current/oes119111.htm</w:t>
        </w:r>
      </w:hyperlink>
      <w:r w:rsidR="00A269D4" w:rsidRPr="00D8482F">
        <w:t xml:space="preserve">). </w:t>
      </w:r>
      <w:r w:rsidRPr="00D8482F">
        <w:t xml:space="preserve">We utilized this wage because: 1) </w:t>
      </w:r>
      <w:r w:rsidR="006C63B7" w:rsidRPr="00D8482F">
        <w:t xml:space="preserve">the Director of Nursing or </w:t>
      </w:r>
      <w:r w:rsidR="00A7706E" w:rsidRPr="00D8482F">
        <w:t xml:space="preserve">Infection Control and Prevention Officer </w:t>
      </w:r>
      <w:r w:rsidRPr="00D8482F">
        <w:t>are Registered Nurses</w:t>
      </w:r>
      <w:r w:rsidR="006C63B7" w:rsidRPr="00D8482F">
        <w:t xml:space="preserve"> with additional program and/or staff management and administrative duties</w:t>
      </w:r>
      <w:r w:rsidRPr="00D8482F">
        <w:t xml:space="preserve">; and 2) there is no wage information specifically for </w:t>
      </w:r>
      <w:r w:rsidR="006C63B7" w:rsidRPr="00D8482F">
        <w:t xml:space="preserve">Director of Nursing or </w:t>
      </w:r>
      <w:r w:rsidR="00A7706E" w:rsidRPr="00D8482F">
        <w:t xml:space="preserve">Infection Control and Prevention Officer </w:t>
      </w:r>
      <w:r w:rsidRPr="00D8482F">
        <w:t xml:space="preserve">available in the Bureau of Labor Statistics database cited above. </w:t>
      </w:r>
      <w:r w:rsidR="0094770B" w:rsidRPr="00D8482F">
        <w:t xml:space="preserve"> The collection of data for the Resident by Location Form is expected to be shared among </w:t>
      </w:r>
      <w:r w:rsidR="00306BC2" w:rsidRPr="00D8482F">
        <w:t xml:space="preserve">Registered Nurses and </w:t>
      </w:r>
      <w:r w:rsidR="00306BC2" w:rsidRPr="00D8482F">
        <w:rPr>
          <w:rStyle w:val="tgc"/>
          <w:color w:val="222222"/>
          <w:lang w:val="en"/>
        </w:rPr>
        <w:t>Licensed Practical or</w:t>
      </w:r>
      <w:r w:rsidR="00306BC2" w:rsidRPr="00D8482F">
        <w:t xml:space="preserve"> </w:t>
      </w:r>
      <w:r w:rsidR="00306BC2" w:rsidRPr="00D8482F">
        <w:rPr>
          <w:color w:val="000000"/>
        </w:rPr>
        <w:t>Licensed Vocational Nurses</w:t>
      </w:r>
      <w:r w:rsidR="00C94805" w:rsidRPr="00D8482F">
        <w:rPr>
          <w:color w:val="000000"/>
        </w:rPr>
        <w:t xml:space="preserve"> within the nursing home</w:t>
      </w:r>
      <w:r w:rsidR="0094770B" w:rsidRPr="00D8482F">
        <w:t xml:space="preserve">. We utilized the mean hourly wage for Registered Nurse, $30.02, and in the Nursing Care Facilities (Skilled Nursing Facility) industry, $30.02 and for Licensed Practical and Licensed Vocational Nurses, $21.39 obtained from the Bureau of Labor Statistics, </w:t>
      </w:r>
      <w:r w:rsidR="0094770B" w:rsidRPr="00D8482F">
        <w:rPr>
          <w:kern w:val="36"/>
        </w:rPr>
        <w:t>National Industry-Specific Occupational Employment and Wage Estimates</w:t>
      </w:r>
      <w:r w:rsidR="0094770B" w:rsidRPr="00D8482F">
        <w:t xml:space="preserve"> (accessed February 08, 2015 at </w:t>
      </w:r>
      <w:hyperlink r:id="rId42" w:history="1">
        <w:r w:rsidR="0094770B" w:rsidRPr="00D8482F">
          <w:rPr>
            <w:rStyle w:val="Hyperlink"/>
          </w:rPr>
          <w:t>http://www.bls.gov/oes/current/oes119111.htm</w:t>
        </w:r>
      </w:hyperlink>
      <w:r w:rsidR="0094770B" w:rsidRPr="00D8482F">
        <w:t xml:space="preserve"> and </w:t>
      </w:r>
      <w:hyperlink r:id="rId43" w:history="1">
        <w:r w:rsidR="0012730D" w:rsidRPr="00D8482F">
          <w:rPr>
            <w:rStyle w:val="Hyperlink"/>
          </w:rPr>
          <w:t>http://www.bls.gov/oes/current/oes292061.htm</w:t>
        </w:r>
      </w:hyperlink>
      <w:r w:rsidR="0094770B" w:rsidRPr="00D8482F">
        <w:t>)</w:t>
      </w:r>
      <w:r w:rsidR="00D8482F" w:rsidRPr="00D8482F">
        <w:t xml:space="preserve">.  </w:t>
      </w:r>
    </w:p>
    <w:p w14:paraId="6B2127BD" w14:textId="77777777" w:rsidR="009C467B" w:rsidRDefault="009C467B" w:rsidP="005452C2">
      <w:pPr>
        <w:ind w:left="420"/>
      </w:pPr>
    </w:p>
    <w:p w14:paraId="71FE6595" w14:textId="77777777" w:rsidR="00E7342B" w:rsidRPr="00D8482F" w:rsidRDefault="00E7342B" w:rsidP="007A21D9">
      <w:pPr>
        <w:outlineLvl w:val="0"/>
      </w:pPr>
      <w:bookmarkStart w:id="44" w:name="_Toc444242994"/>
      <w:r w:rsidRPr="00D8482F">
        <w:t>Table B: Estimated Annualized Burden Costs</w:t>
      </w:r>
      <w:bookmarkEnd w:id="44"/>
      <w:r w:rsidRPr="00D8482F">
        <w:t xml:space="preserve"> </w:t>
      </w:r>
    </w:p>
    <w:p w14:paraId="478C02EF" w14:textId="77777777" w:rsidR="00E7342B" w:rsidRPr="00D8482F" w:rsidRDefault="00E7342B" w:rsidP="00E7342B">
      <w:pPr>
        <w:ind w:left="720" w:hanging="720"/>
        <w:outlineLvl w:val="0"/>
      </w:pPr>
    </w:p>
    <w:tbl>
      <w:tblPr>
        <w:tblW w:w="49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1863"/>
        <w:gridCol w:w="1861"/>
        <w:gridCol w:w="1863"/>
        <w:gridCol w:w="1863"/>
      </w:tblGrid>
      <w:tr w:rsidR="0044381C" w:rsidRPr="00D8482F" w14:paraId="53CBDB82" w14:textId="77777777" w:rsidTr="005452C2">
        <w:tc>
          <w:tcPr>
            <w:tcW w:w="1001" w:type="pct"/>
            <w:tcBorders>
              <w:top w:val="single" w:sz="4" w:space="0" w:color="auto"/>
              <w:left w:val="single" w:sz="4" w:space="0" w:color="auto"/>
              <w:bottom w:val="single" w:sz="4" w:space="0" w:color="auto"/>
              <w:right w:val="single" w:sz="4" w:space="0" w:color="auto"/>
            </w:tcBorders>
            <w:hideMark/>
          </w:tcPr>
          <w:p w14:paraId="615963C3" w14:textId="77777777" w:rsidR="0044381C" w:rsidRPr="00D8482F" w:rsidRDefault="0044381C" w:rsidP="005452C2">
            <w:pPr>
              <w:rPr>
                <w:b/>
              </w:rPr>
            </w:pPr>
            <w:r w:rsidRPr="00D8482F">
              <w:rPr>
                <w:b/>
              </w:rPr>
              <w:t>Type of Respondent</w:t>
            </w:r>
          </w:p>
        </w:tc>
        <w:tc>
          <w:tcPr>
            <w:tcW w:w="1000" w:type="pct"/>
            <w:tcBorders>
              <w:top w:val="single" w:sz="4" w:space="0" w:color="auto"/>
              <w:left w:val="single" w:sz="4" w:space="0" w:color="auto"/>
              <w:bottom w:val="single" w:sz="4" w:space="0" w:color="auto"/>
              <w:right w:val="single" w:sz="4" w:space="0" w:color="auto"/>
            </w:tcBorders>
          </w:tcPr>
          <w:p w14:paraId="3D5520FB" w14:textId="77777777" w:rsidR="0044381C" w:rsidRPr="00D8482F" w:rsidRDefault="0044381C" w:rsidP="005452C2">
            <w:pPr>
              <w:rPr>
                <w:b/>
              </w:rPr>
            </w:pPr>
            <w:r w:rsidRPr="00D8482F">
              <w:rPr>
                <w:b/>
              </w:rPr>
              <w:t>Form Name</w:t>
            </w:r>
          </w:p>
        </w:tc>
        <w:tc>
          <w:tcPr>
            <w:tcW w:w="999" w:type="pct"/>
            <w:tcBorders>
              <w:top w:val="single" w:sz="4" w:space="0" w:color="auto"/>
              <w:left w:val="single" w:sz="4" w:space="0" w:color="auto"/>
              <w:bottom w:val="single" w:sz="4" w:space="0" w:color="auto"/>
              <w:right w:val="single" w:sz="4" w:space="0" w:color="auto"/>
            </w:tcBorders>
            <w:hideMark/>
          </w:tcPr>
          <w:p w14:paraId="05DF21AB" w14:textId="77777777" w:rsidR="0044381C" w:rsidRPr="00D8482F" w:rsidRDefault="0044381C" w:rsidP="005452C2">
            <w:pPr>
              <w:rPr>
                <w:b/>
              </w:rPr>
            </w:pPr>
            <w:r w:rsidRPr="00D8482F">
              <w:rPr>
                <w:b/>
              </w:rPr>
              <w:t>Total Burden Hours</w:t>
            </w:r>
          </w:p>
        </w:tc>
        <w:tc>
          <w:tcPr>
            <w:tcW w:w="1000" w:type="pct"/>
            <w:tcBorders>
              <w:top w:val="single" w:sz="4" w:space="0" w:color="auto"/>
              <w:left w:val="single" w:sz="4" w:space="0" w:color="auto"/>
              <w:bottom w:val="single" w:sz="4" w:space="0" w:color="auto"/>
              <w:right w:val="single" w:sz="4" w:space="0" w:color="auto"/>
            </w:tcBorders>
            <w:hideMark/>
          </w:tcPr>
          <w:p w14:paraId="5C1B407C" w14:textId="77777777" w:rsidR="0044381C" w:rsidRPr="00D8482F" w:rsidRDefault="0044381C" w:rsidP="005452C2">
            <w:pPr>
              <w:rPr>
                <w:b/>
              </w:rPr>
            </w:pPr>
            <w:r w:rsidRPr="00D8482F">
              <w:rPr>
                <w:b/>
              </w:rPr>
              <w:t>Hourly Wage Rate</w:t>
            </w:r>
          </w:p>
        </w:tc>
        <w:tc>
          <w:tcPr>
            <w:tcW w:w="1000" w:type="pct"/>
            <w:tcBorders>
              <w:top w:val="single" w:sz="4" w:space="0" w:color="auto"/>
              <w:left w:val="single" w:sz="4" w:space="0" w:color="auto"/>
              <w:bottom w:val="single" w:sz="4" w:space="0" w:color="auto"/>
              <w:right w:val="single" w:sz="4" w:space="0" w:color="auto"/>
            </w:tcBorders>
            <w:hideMark/>
          </w:tcPr>
          <w:p w14:paraId="1C85CB10" w14:textId="77777777" w:rsidR="0044381C" w:rsidRPr="00D8482F" w:rsidRDefault="0044381C" w:rsidP="005452C2">
            <w:pPr>
              <w:rPr>
                <w:b/>
              </w:rPr>
            </w:pPr>
            <w:r w:rsidRPr="00D8482F">
              <w:rPr>
                <w:b/>
              </w:rPr>
              <w:t>Total Respondent Cost</w:t>
            </w:r>
          </w:p>
        </w:tc>
      </w:tr>
      <w:tr w:rsidR="0044381C" w:rsidRPr="00D8482F" w14:paraId="6BABF801" w14:textId="77777777" w:rsidTr="005452C2">
        <w:tc>
          <w:tcPr>
            <w:tcW w:w="1001" w:type="pct"/>
            <w:tcBorders>
              <w:top w:val="single" w:sz="4" w:space="0" w:color="auto"/>
              <w:left w:val="single" w:sz="4" w:space="0" w:color="auto"/>
              <w:bottom w:val="single" w:sz="4" w:space="0" w:color="auto"/>
              <w:right w:val="single" w:sz="4" w:space="0" w:color="auto"/>
            </w:tcBorders>
            <w:hideMark/>
          </w:tcPr>
          <w:p w14:paraId="4EB0FAFE" w14:textId="77777777" w:rsidR="0044381C" w:rsidRPr="00D8482F" w:rsidRDefault="0044381C" w:rsidP="002307EC">
            <w:r w:rsidRPr="00D8482F">
              <w:t>Director of Nursing, Infection Control and Prevention Officer</w:t>
            </w:r>
          </w:p>
        </w:tc>
        <w:tc>
          <w:tcPr>
            <w:tcW w:w="1000" w:type="pct"/>
            <w:tcBorders>
              <w:top w:val="single" w:sz="4" w:space="0" w:color="auto"/>
              <w:left w:val="single" w:sz="4" w:space="0" w:color="auto"/>
              <w:bottom w:val="single" w:sz="4" w:space="0" w:color="auto"/>
              <w:right w:val="single" w:sz="4" w:space="0" w:color="auto"/>
            </w:tcBorders>
          </w:tcPr>
          <w:p w14:paraId="7699CA45" w14:textId="77777777" w:rsidR="0044381C" w:rsidRPr="00D8482F" w:rsidRDefault="0044381C" w:rsidP="005452C2">
            <w:pPr>
              <w:outlineLvl w:val="0"/>
            </w:pPr>
            <w:bookmarkStart w:id="45" w:name="_Toc444242995"/>
            <w:r w:rsidRPr="00D8482F">
              <w:t>Healthcare Facility Assessment</w:t>
            </w:r>
            <w:bookmarkEnd w:id="45"/>
            <w:r w:rsidRPr="00D8482F">
              <w:t xml:space="preserve"> </w:t>
            </w:r>
          </w:p>
        </w:tc>
        <w:tc>
          <w:tcPr>
            <w:tcW w:w="999" w:type="pct"/>
            <w:tcBorders>
              <w:top w:val="single" w:sz="4" w:space="0" w:color="auto"/>
              <w:left w:val="single" w:sz="4" w:space="0" w:color="auto"/>
              <w:bottom w:val="single" w:sz="4" w:space="0" w:color="auto"/>
              <w:right w:val="single" w:sz="4" w:space="0" w:color="auto"/>
            </w:tcBorders>
            <w:hideMark/>
          </w:tcPr>
          <w:p w14:paraId="04F1BDC5" w14:textId="77777777" w:rsidR="0044381C" w:rsidRPr="00D8482F" w:rsidRDefault="0044381C" w:rsidP="005452C2">
            <w:r w:rsidRPr="00D8482F">
              <w:t>150</w:t>
            </w:r>
          </w:p>
        </w:tc>
        <w:tc>
          <w:tcPr>
            <w:tcW w:w="1000" w:type="pct"/>
            <w:tcBorders>
              <w:top w:val="single" w:sz="4" w:space="0" w:color="auto"/>
              <w:left w:val="single" w:sz="4" w:space="0" w:color="auto"/>
              <w:bottom w:val="single" w:sz="4" w:space="0" w:color="auto"/>
              <w:right w:val="single" w:sz="4" w:space="0" w:color="auto"/>
            </w:tcBorders>
            <w:hideMark/>
          </w:tcPr>
          <w:p w14:paraId="4909D60E" w14:textId="77777777" w:rsidR="0044381C" w:rsidRPr="00D8482F" w:rsidRDefault="0044381C" w:rsidP="005452C2">
            <w:r w:rsidRPr="00D8482F">
              <w:t>$41.22</w:t>
            </w:r>
          </w:p>
        </w:tc>
        <w:tc>
          <w:tcPr>
            <w:tcW w:w="1000" w:type="pct"/>
            <w:tcBorders>
              <w:top w:val="single" w:sz="4" w:space="0" w:color="auto"/>
              <w:left w:val="single" w:sz="4" w:space="0" w:color="auto"/>
              <w:bottom w:val="single" w:sz="4" w:space="0" w:color="auto"/>
              <w:right w:val="single" w:sz="4" w:space="0" w:color="auto"/>
            </w:tcBorders>
            <w:hideMark/>
          </w:tcPr>
          <w:p w14:paraId="1965A65D" w14:textId="77777777" w:rsidR="0044381C" w:rsidRPr="00D8482F" w:rsidRDefault="0044381C" w:rsidP="005452C2">
            <w:r w:rsidRPr="00D8482F">
              <w:t>$6,183.00</w:t>
            </w:r>
          </w:p>
        </w:tc>
      </w:tr>
      <w:tr w:rsidR="0081422A" w:rsidRPr="00D8482F" w14:paraId="6CC7D9DF" w14:textId="77777777" w:rsidTr="0081422A">
        <w:trPr>
          <w:trHeight w:val="935"/>
        </w:trPr>
        <w:tc>
          <w:tcPr>
            <w:tcW w:w="1001" w:type="pct"/>
            <w:tcBorders>
              <w:top w:val="single" w:sz="4" w:space="0" w:color="auto"/>
              <w:left w:val="single" w:sz="4" w:space="0" w:color="auto"/>
              <w:bottom w:val="single" w:sz="4" w:space="0" w:color="auto"/>
              <w:right w:val="single" w:sz="4" w:space="0" w:color="auto"/>
            </w:tcBorders>
          </w:tcPr>
          <w:p w14:paraId="3F561D5F" w14:textId="77777777" w:rsidR="0081422A" w:rsidRPr="00D8482F" w:rsidRDefault="0081422A" w:rsidP="002307EC">
            <w:r w:rsidRPr="00D8482F">
              <w:t>Registered Nurse</w:t>
            </w:r>
          </w:p>
        </w:tc>
        <w:tc>
          <w:tcPr>
            <w:tcW w:w="1000" w:type="pct"/>
            <w:vMerge w:val="restart"/>
            <w:tcBorders>
              <w:top w:val="single" w:sz="4" w:space="0" w:color="auto"/>
              <w:left w:val="single" w:sz="4" w:space="0" w:color="auto"/>
              <w:right w:val="single" w:sz="4" w:space="0" w:color="auto"/>
            </w:tcBorders>
          </w:tcPr>
          <w:p w14:paraId="65B1ABA3" w14:textId="77777777" w:rsidR="0081422A" w:rsidRPr="00D8482F" w:rsidRDefault="0081422A" w:rsidP="005452C2">
            <w:pPr>
              <w:outlineLvl w:val="0"/>
            </w:pPr>
            <w:bookmarkStart w:id="46" w:name="_Toc444242996"/>
            <w:r w:rsidRPr="00D8482F">
              <w:t>Residents by Location Form</w:t>
            </w:r>
            <w:bookmarkEnd w:id="46"/>
            <w:r w:rsidRPr="00D8482F">
              <w:t xml:space="preserve"> </w:t>
            </w:r>
          </w:p>
          <w:p w14:paraId="6C127C28" w14:textId="77777777" w:rsidR="0081422A" w:rsidRPr="00D8482F" w:rsidRDefault="0081422A" w:rsidP="005452C2">
            <w:pPr>
              <w:outlineLvl w:val="0"/>
            </w:pPr>
          </w:p>
        </w:tc>
        <w:tc>
          <w:tcPr>
            <w:tcW w:w="999" w:type="pct"/>
            <w:tcBorders>
              <w:top w:val="single" w:sz="4" w:space="0" w:color="auto"/>
              <w:left w:val="single" w:sz="4" w:space="0" w:color="auto"/>
              <w:bottom w:val="single" w:sz="4" w:space="0" w:color="auto"/>
              <w:right w:val="single" w:sz="4" w:space="0" w:color="auto"/>
            </w:tcBorders>
          </w:tcPr>
          <w:p w14:paraId="1C31F29C" w14:textId="77777777" w:rsidR="0081422A" w:rsidRPr="00D8482F" w:rsidRDefault="0081422A" w:rsidP="005452C2">
            <w:r>
              <w:t>2533.5</w:t>
            </w:r>
          </w:p>
        </w:tc>
        <w:tc>
          <w:tcPr>
            <w:tcW w:w="1000" w:type="pct"/>
            <w:tcBorders>
              <w:top w:val="single" w:sz="4" w:space="0" w:color="auto"/>
              <w:left w:val="single" w:sz="4" w:space="0" w:color="auto"/>
              <w:bottom w:val="single" w:sz="4" w:space="0" w:color="auto"/>
              <w:right w:val="single" w:sz="4" w:space="0" w:color="auto"/>
            </w:tcBorders>
          </w:tcPr>
          <w:p w14:paraId="433509B0" w14:textId="77777777" w:rsidR="0081422A" w:rsidRPr="00D8482F" w:rsidRDefault="0081422A" w:rsidP="005452C2">
            <w:r w:rsidRPr="00D8482F">
              <w:t>$30.02</w:t>
            </w:r>
          </w:p>
        </w:tc>
        <w:tc>
          <w:tcPr>
            <w:tcW w:w="1000" w:type="pct"/>
            <w:tcBorders>
              <w:top w:val="single" w:sz="4" w:space="0" w:color="auto"/>
              <w:left w:val="single" w:sz="4" w:space="0" w:color="auto"/>
              <w:bottom w:val="single" w:sz="4" w:space="0" w:color="auto"/>
              <w:right w:val="single" w:sz="4" w:space="0" w:color="auto"/>
            </w:tcBorders>
          </w:tcPr>
          <w:p w14:paraId="64C1758F" w14:textId="77777777" w:rsidR="0081422A" w:rsidRPr="00D8482F" w:rsidRDefault="0081422A" w:rsidP="005452C2">
            <w:r w:rsidRPr="00D8482F">
              <w:t>$7</w:t>
            </w:r>
            <w:r>
              <w:t>6</w:t>
            </w:r>
            <w:r w:rsidRPr="00D8482F">
              <w:t>,</w:t>
            </w:r>
            <w:r>
              <w:t>055</w:t>
            </w:r>
            <w:r w:rsidRPr="00D8482F">
              <w:t>.</w:t>
            </w:r>
            <w:r>
              <w:t>6</w:t>
            </w:r>
            <w:r w:rsidRPr="00D8482F">
              <w:t>7</w:t>
            </w:r>
          </w:p>
        </w:tc>
      </w:tr>
      <w:tr w:rsidR="0081422A" w:rsidRPr="00D8482F" w14:paraId="132B75CD" w14:textId="77777777" w:rsidTr="00832AB8">
        <w:tc>
          <w:tcPr>
            <w:tcW w:w="1001" w:type="pct"/>
            <w:tcBorders>
              <w:top w:val="single" w:sz="4" w:space="0" w:color="auto"/>
              <w:left w:val="single" w:sz="4" w:space="0" w:color="auto"/>
              <w:bottom w:val="single" w:sz="4" w:space="0" w:color="auto"/>
              <w:right w:val="single" w:sz="4" w:space="0" w:color="auto"/>
            </w:tcBorders>
          </w:tcPr>
          <w:p w14:paraId="49FE2191" w14:textId="77777777" w:rsidR="0081422A" w:rsidRPr="00D8482F" w:rsidRDefault="0081422A" w:rsidP="002307EC">
            <w:r w:rsidRPr="00D8482F">
              <w:rPr>
                <w:rStyle w:val="tgc"/>
                <w:color w:val="222222"/>
                <w:lang w:val="en"/>
              </w:rPr>
              <w:t>Licensed Practical or</w:t>
            </w:r>
            <w:r w:rsidRPr="00D8482F">
              <w:t xml:space="preserve"> </w:t>
            </w:r>
            <w:r w:rsidRPr="00D8482F">
              <w:rPr>
                <w:color w:val="000000"/>
              </w:rPr>
              <w:t>Licensed Vocational Nurses</w:t>
            </w:r>
          </w:p>
        </w:tc>
        <w:tc>
          <w:tcPr>
            <w:tcW w:w="1000" w:type="pct"/>
            <w:vMerge/>
            <w:tcBorders>
              <w:left w:val="single" w:sz="4" w:space="0" w:color="auto"/>
              <w:bottom w:val="single" w:sz="4" w:space="0" w:color="auto"/>
              <w:right w:val="single" w:sz="4" w:space="0" w:color="auto"/>
            </w:tcBorders>
          </w:tcPr>
          <w:p w14:paraId="355AA4B3" w14:textId="77777777" w:rsidR="0081422A" w:rsidRPr="00D8482F" w:rsidRDefault="0081422A" w:rsidP="005452C2">
            <w:pPr>
              <w:outlineLvl w:val="0"/>
            </w:pPr>
          </w:p>
        </w:tc>
        <w:tc>
          <w:tcPr>
            <w:tcW w:w="999" w:type="pct"/>
            <w:tcBorders>
              <w:top w:val="single" w:sz="4" w:space="0" w:color="auto"/>
              <w:left w:val="single" w:sz="4" w:space="0" w:color="auto"/>
              <w:bottom w:val="single" w:sz="4" w:space="0" w:color="auto"/>
              <w:right w:val="single" w:sz="4" w:space="0" w:color="auto"/>
            </w:tcBorders>
          </w:tcPr>
          <w:p w14:paraId="716D2584" w14:textId="77777777" w:rsidR="0081422A" w:rsidRPr="00D8482F" w:rsidRDefault="0081422A" w:rsidP="005452C2">
            <w:r w:rsidRPr="00D8482F">
              <w:t>2</w:t>
            </w:r>
            <w:r>
              <w:t>533</w:t>
            </w:r>
            <w:r w:rsidRPr="00D8482F">
              <w:t>.5</w:t>
            </w:r>
          </w:p>
        </w:tc>
        <w:tc>
          <w:tcPr>
            <w:tcW w:w="1000" w:type="pct"/>
            <w:tcBorders>
              <w:top w:val="single" w:sz="4" w:space="0" w:color="auto"/>
              <w:left w:val="single" w:sz="4" w:space="0" w:color="auto"/>
              <w:bottom w:val="single" w:sz="4" w:space="0" w:color="auto"/>
              <w:right w:val="single" w:sz="4" w:space="0" w:color="auto"/>
            </w:tcBorders>
          </w:tcPr>
          <w:p w14:paraId="03452587" w14:textId="77777777" w:rsidR="0081422A" w:rsidRPr="00D8482F" w:rsidRDefault="0081422A" w:rsidP="005452C2">
            <w:r w:rsidRPr="00D8482F">
              <w:t>$21.39</w:t>
            </w:r>
          </w:p>
        </w:tc>
        <w:tc>
          <w:tcPr>
            <w:tcW w:w="1000" w:type="pct"/>
            <w:tcBorders>
              <w:top w:val="single" w:sz="4" w:space="0" w:color="auto"/>
              <w:left w:val="single" w:sz="4" w:space="0" w:color="auto"/>
              <w:bottom w:val="single" w:sz="4" w:space="0" w:color="auto"/>
              <w:right w:val="single" w:sz="4" w:space="0" w:color="auto"/>
            </w:tcBorders>
          </w:tcPr>
          <w:p w14:paraId="0EBD672A" w14:textId="77777777" w:rsidR="0081422A" w:rsidRPr="00D8482F" w:rsidRDefault="0081422A" w:rsidP="005452C2">
            <w:r>
              <w:t>$</w:t>
            </w:r>
            <w:r w:rsidRPr="00D8482F">
              <w:t>5</w:t>
            </w:r>
            <w:r>
              <w:t>4</w:t>
            </w:r>
            <w:r w:rsidRPr="00D8482F">
              <w:t>,</w:t>
            </w:r>
            <w:r>
              <w:t>191</w:t>
            </w:r>
            <w:r w:rsidRPr="00D8482F">
              <w:t>.</w:t>
            </w:r>
            <w:r>
              <w:t>57</w:t>
            </w:r>
          </w:p>
        </w:tc>
      </w:tr>
      <w:tr w:rsidR="0044381C" w:rsidRPr="00D8482F" w14:paraId="68049959" w14:textId="77777777" w:rsidTr="0044381C">
        <w:tc>
          <w:tcPr>
            <w:tcW w:w="4000" w:type="pct"/>
            <w:gridSpan w:val="4"/>
            <w:tcBorders>
              <w:top w:val="single" w:sz="4" w:space="0" w:color="auto"/>
              <w:left w:val="single" w:sz="4" w:space="0" w:color="auto"/>
              <w:bottom w:val="single" w:sz="4" w:space="0" w:color="auto"/>
              <w:right w:val="single" w:sz="4" w:space="0" w:color="auto"/>
            </w:tcBorders>
          </w:tcPr>
          <w:p w14:paraId="05530527" w14:textId="77777777" w:rsidR="0044381C" w:rsidRPr="005452C2" w:rsidRDefault="0044381C" w:rsidP="0044381C">
            <w:pPr>
              <w:rPr>
                <w:b/>
              </w:rPr>
            </w:pPr>
            <w:r>
              <w:rPr>
                <w:b/>
              </w:rPr>
              <w:t>Total</w:t>
            </w:r>
          </w:p>
        </w:tc>
        <w:tc>
          <w:tcPr>
            <w:tcW w:w="1000" w:type="pct"/>
            <w:tcBorders>
              <w:top w:val="single" w:sz="4" w:space="0" w:color="auto"/>
              <w:left w:val="single" w:sz="4" w:space="0" w:color="auto"/>
              <w:bottom w:val="single" w:sz="4" w:space="0" w:color="auto"/>
              <w:right w:val="single" w:sz="4" w:space="0" w:color="auto"/>
            </w:tcBorders>
          </w:tcPr>
          <w:p w14:paraId="5CF96E2D" w14:textId="77777777" w:rsidR="0044381C" w:rsidRPr="00D8482F" w:rsidRDefault="003B3F8B" w:rsidP="002307EC">
            <w:r>
              <w:t>$</w:t>
            </w:r>
            <w:r w:rsidR="009C467B">
              <w:t>136,430.24</w:t>
            </w:r>
          </w:p>
        </w:tc>
      </w:tr>
    </w:tbl>
    <w:p w14:paraId="137BE5D8" w14:textId="77777777" w:rsidR="00633A82" w:rsidRPr="00D8482F" w:rsidRDefault="00633A82" w:rsidP="00815675"/>
    <w:p w14:paraId="132D4246" w14:textId="77777777" w:rsidR="003F5BE0" w:rsidRPr="00D8482F" w:rsidRDefault="00AD36BD" w:rsidP="00753597">
      <w:pPr>
        <w:pStyle w:val="Heading1"/>
      </w:pPr>
      <w:bookmarkStart w:id="47" w:name="_Toc444242998"/>
      <w:r w:rsidRPr="00D8482F">
        <w:t>Estimates of Other Total Annual Cost Burden to Respondents or Record Keepers</w:t>
      </w:r>
      <w:bookmarkEnd w:id="47"/>
    </w:p>
    <w:p w14:paraId="4A5430C0" w14:textId="77777777" w:rsidR="003F5BE0" w:rsidRPr="00D8482F" w:rsidRDefault="003F5BE0" w:rsidP="003F5BE0">
      <w:pPr>
        <w:ind w:left="720" w:hanging="720"/>
        <w:rPr>
          <w:b/>
        </w:rPr>
      </w:pPr>
    </w:p>
    <w:p w14:paraId="1ADF0DDE" w14:textId="77777777" w:rsidR="004E404E" w:rsidRPr="00D8482F" w:rsidRDefault="0095586D" w:rsidP="003F5BE0">
      <w:pPr>
        <w:ind w:left="720" w:hanging="720"/>
        <w:rPr>
          <w:b/>
        </w:rPr>
      </w:pPr>
      <w:r w:rsidRPr="00D8482F">
        <w:t xml:space="preserve">None. </w:t>
      </w:r>
    </w:p>
    <w:p w14:paraId="7A23C880" w14:textId="77777777" w:rsidR="004E404E" w:rsidRPr="00D8482F" w:rsidRDefault="004E404E" w:rsidP="00EE7469">
      <w:pPr>
        <w:ind w:left="720" w:hanging="720"/>
        <w:rPr>
          <w:b/>
        </w:rPr>
      </w:pPr>
    </w:p>
    <w:p w14:paraId="49CFC1F2" w14:textId="77777777" w:rsidR="00D36BF1" w:rsidRPr="00D8482F" w:rsidRDefault="00B02A30" w:rsidP="00753597">
      <w:pPr>
        <w:pStyle w:val="Heading1"/>
      </w:pPr>
      <w:bookmarkStart w:id="48" w:name="_Toc444242999"/>
      <w:r w:rsidRPr="00D8482F">
        <w:t>Annualized Cost to the Government</w:t>
      </w:r>
      <w:bookmarkEnd w:id="48"/>
    </w:p>
    <w:p w14:paraId="42504D09" w14:textId="77777777" w:rsidR="00D36BF1" w:rsidRPr="00D8482F" w:rsidRDefault="00D36BF1" w:rsidP="00D36BF1">
      <w:pPr>
        <w:ind w:left="720" w:hanging="720"/>
        <w:rPr>
          <w:b/>
        </w:rPr>
      </w:pPr>
    </w:p>
    <w:p w14:paraId="1DA8303B" w14:textId="77777777" w:rsidR="00B02A30" w:rsidRPr="00D8482F" w:rsidRDefault="00B02A30" w:rsidP="00D36BF1">
      <w:pPr>
        <w:rPr>
          <w:b/>
        </w:rPr>
      </w:pPr>
      <w:r w:rsidRPr="00D8482F">
        <w:t xml:space="preserve">Costs to the government include costs for CDC </w:t>
      </w:r>
      <w:r w:rsidR="00DE6C46" w:rsidRPr="00D8482F">
        <w:t>and EIP site personnel</w:t>
      </w:r>
      <w:r w:rsidRPr="00D8482F">
        <w:t xml:space="preserve"> to develop and coordinate </w:t>
      </w:r>
      <w:r w:rsidR="00E743B7" w:rsidRPr="00D8482F">
        <w:t xml:space="preserve">data collection </w:t>
      </w:r>
      <w:r w:rsidRPr="00D8482F">
        <w:t xml:space="preserve">activities, EIP </w:t>
      </w:r>
      <w:r w:rsidR="00D36BF1" w:rsidRPr="00D8482F">
        <w:t xml:space="preserve">site </w:t>
      </w:r>
      <w:r w:rsidRPr="00D8482F">
        <w:t xml:space="preserve">personnel to perform local coordination and data collection and entry activities, costs for a database manager, </w:t>
      </w:r>
      <w:r w:rsidR="00422023" w:rsidRPr="00D8482F">
        <w:t xml:space="preserve">and </w:t>
      </w:r>
      <w:r w:rsidRPr="00D8482F">
        <w:t>costs for photocopying survey materials</w:t>
      </w:r>
      <w:r w:rsidR="00422023" w:rsidRPr="00D8482F">
        <w:t>.</w:t>
      </w:r>
    </w:p>
    <w:p w14:paraId="584F18BB" w14:textId="77777777" w:rsidR="00DE6C46" w:rsidRPr="00D8482F" w:rsidRDefault="00DE6C46" w:rsidP="00B02A30"/>
    <w:p w14:paraId="6D749AD8" w14:textId="77777777" w:rsidR="00B02A30" w:rsidRPr="00D8482F" w:rsidRDefault="00B02A30" w:rsidP="00B02A30">
      <w:r w:rsidRPr="00D8482F">
        <w:t xml:space="preserve">CDC personnel working on </w:t>
      </w:r>
      <w:r w:rsidR="00E743B7" w:rsidRPr="00D8482F">
        <w:t>the data collection</w:t>
      </w:r>
      <w:r w:rsidR="00DE6C46" w:rsidRPr="00D8482F">
        <w:t xml:space="preserve"> are estimated to include a 0.</w:t>
      </w:r>
      <w:r w:rsidR="00AB5CD3" w:rsidRPr="00D8482F">
        <w:t>5</w:t>
      </w:r>
      <w:r w:rsidRPr="00D8482F">
        <w:t xml:space="preserve"> full-time-</w:t>
      </w:r>
      <w:r w:rsidR="00DE6C46" w:rsidRPr="00D8482F">
        <w:t xml:space="preserve">equivalent (FTE) public health analyst or epidemiologist </w:t>
      </w:r>
      <w:r w:rsidRPr="00D8482F">
        <w:t xml:space="preserve">(see Row #1 of Table C) and a 0.2 FTE database </w:t>
      </w:r>
      <w:r w:rsidR="00DE6C46" w:rsidRPr="00D8482F">
        <w:t xml:space="preserve">developer and a 0.2 FTE data database </w:t>
      </w:r>
      <w:r w:rsidRPr="00D8482F">
        <w:t>manager (see Row #2 of Table C). The mean hourly wage for an epidemiologist is $</w:t>
      </w:r>
      <w:r w:rsidR="00C94805" w:rsidRPr="00D8482F">
        <w:t xml:space="preserve">35.63 </w:t>
      </w:r>
      <w:r w:rsidRPr="00D8482F">
        <w:t xml:space="preserve">(obtained from the Bureau of Labor Statistics, Occupational and Employment Statistics data, available </w:t>
      </w:r>
      <w:r w:rsidR="00E31DCB" w:rsidRPr="00D8482F">
        <w:t xml:space="preserve">at </w:t>
      </w:r>
      <w:hyperlink r:id="rId44" w:history="1">
        <w:r w:rsidR="00E31DCB" w:rsidRPr="00D8482F">
          <w:rPr>
            <w:rStyle w:val="Hyperlink"/>
          </w:rPr>
          <w:t>http://www.bls.gov/oes/current/oes191041.htm</w:t>
        </w:r>
      </w:hyperlink>
      <w:r w:rsidRPr="00D8482F">
        <w:t>), for a total cost of $</w:t>
      </w:r>
      <w:r w:rsidR="00AB5CD3" w:rsidRPr="00D8482F">
        <w:t>37,055.20</w:t>
      </w:r>
      <w:r w:rsidRPr="00D8482F">
        <w:t>. The mean hourly wage for a database administrator is $</w:t>
      </w:r>
      <w:r w:rsidR="00AB5CD3" w:rsidRPr="00D8482F">
        <w:t xml:space="preserve">39.56 </w:t>
      </w:r>
      <w:r w:rsidRPr="00D8482F">
        <w:t xml:space="preserve">(obtained from the Bureau of Labor Statistics, Occupational and Employment Statistics data, available at: </w:t>
      </w:r>
      <w:hyperlink r:id="rId45" w:history="1">
        <w:r w:rsidR="00C7510F" w:rsidRPr="00D8482F">
          <w:rPr>
            <w:rStyle w:val="Hyperlink"/>
          </w:rPr>
          <w:t>http://www.bls.gov/oes/current/oes151141.htm</w:t>
        </w:r>
      </w:hyperlink>
      <w:r w:rsidRPr="00D8482F">
        <w:t>), for a total cost of $</w:t>
      </w:r>
      <w:r w:rsidR="00AB5CD3" w:rsidRPr="00D8482F">
        <w:t xml:space="preserve">16,456.96 </w:t>
      </w:r>
      <w:r w:rsidR="00EA74FD" w:rsidRPr="00D8482F">
        <w:t>for a database developer and $</w:t>
      </w:r>
      <w:r w:rsidR="00AB5CD3" w:rsidRPr="00D8482F">
        <w:t xml:space="preserve">16,456.96 </w:t>
      </w:r>
      <w:r w:rsidR="00EA74FD" w:rsidRPr="00D8482F">
        <w:t>for a database manager</w:t>
      </w:r>
      <w:r w:rsidRPr="00D8482F">
        <w:t xml:space="preserve">. </w:t>
      </w:r>
    </w:p>
    <w:p w14:paraId="2D65334D" w14:textId="77777777" w:rsidR="00B02A30" w:rsidRPr="00D8482F" w:rsidRDefault="00B02A30" w:rsidP="00B02A30"/>
    <w:p w14:paraId="1E6DDAEE" w14:textId="77777777" w:rsidR="00B02A30" w:rsidRPr="00D8482F" w:rsidRDefault="00B02A30" w:rsidP="00EA74FD">
      <w:pPr>
        <w:outlineLvl w:val="0"/>
      </w:pPr>
      <w:bookmarkStart w:id="49" w:name="_Toc444243000"/>
      <w:r w:rsidRPr="00D8482F">
        <w:t>EIP sites (see Row #</w:t>
      </w:r>
      <w:r w:rsidR="00C7510F" w:rsidRPr="00D8482F">
        <w:t>4</w:t>
      </w:r>
      <w:r w:rsidRPr="00D8482F">
        <w:t xml:space="preserve"> of Table C) are supported through a Cooperative Agreement with CDC. </w:t>
      </w:r>
      <w:r w:rsidR="00AB5CD3" w:rsidRPr="00D8482F">
        <w:t>For the prior CDC prevalence surveys</w:t>
      </w:r>
      <w:r w:rsidR="00D5409B" w:rsidRPr="00D8482F">
        <w:t xml:space="preserve"> in hospitals</w:t>
      </w:r>
      <w:r w:rsidR="00AB5CD3" w:rsidRPr="00D8482F">
        <w:t xml:space="preserve"> [2015 survey OMB Control No. 0920-0852, </w:t>
      </w:r>
      <w:r w:rsidR="00AB5CD3" w:rsidRPr="00D8482F">
        <w:lastRenderedPageBreak/>
        <w:t>expiration date 12/31/2016]</w:t>
      </w:r>
      <w:r w:rsidR="008C0323" w:rsidRPr="00D8482F">
        <w:t xml:space="preserve">, EIP personnel </w:t>
      </w:r>
      <w:r w:rsidR="00FE4E0D" w:rsidRPr="00D8482F">
        <w:t xml:space="preserve">(and therefore, </w:t>
      </w:r>
      <w:r w:rsidR="004A6B23">
        <w:t>the forms included in Attachments C2, F1 and F2</w:t>
      </w:r>
      <w:r w:rsidR="00FE4E0D" w:rsidRPr="00D8482F">
        <w:t xml:space="preserve">) </w:t>
      </w:r>
      <w:r w:rsidR="00AB5CD3" w:rsidRPr="00D8482F">
        <w:t>were</w:t>
      </w:r>
      <w:r w:rsidR="008C0323" w:rsidRPr="00D8482F">
        <w:t xml:space="preserve"> </w:t>
      </w:r>
      <w:r w:rsidR="00AB5CD3" w:rsidRPr="00D8482F">
        <w:t xml:space="preserve">not </w:t>
      </w:r>
      <w:r w:rsidR="008C0323" w:rsidRPr="00D8482F">
        <w:t>included in the annualized public burden estimate, but in the estimate of annualized cost to the government.</w:t>
      </w:r>
      <w:r w:rsidR="00AB5CD3" w:rsidRPr="00D8482F">
        <w:t xml:space="preserve"> </w:t>
      </w:r>
      <w:r w:rsidRPr="00D8482F">
        <w:t>We estimate that on an annualized basis, 1.5 FTE employees are needed in each site to conduct survey activities. These employees are epidemiologists, with an estimated hourly wage of $</w:t>
      </w:r>
      <w:r w:rsidR="00C94805" w:rsidRPr="00D8482F">
        <w:t xml:space="preserve">35.63 </w:t>
      </w:r>
      <w:r w:rsidRPr="00D8482F">
        <w:t>(obtained from the Bureau of Labor Statistics, Occupational an</w:t>
      </w:r>
      <w:r w:rsidR="00AB5CD3" w:rsidRPr="00D8482F">
        <w:t>d Employment Statistics Section</w:t>
      </w:r>
      <w:r w:rsidR="00C6261B" w:rsidRPr="00D8482F">
        <w:t xml:space="preserve"> </w:t>
      </w:r>
      <w:r w:rsidRPr="00D8482F">
        <w:t xml:space="preserve">data, available at: </w:t>
      </w:r>
      <w:hyperlink r:id="rId46" w:history="1">
        <w:r w:rsidR="00C7510F" w:rsidRPr="00D8482F">
          <w:rPr>
            <w:rStyle w:val="Hyperlink"/>
          </w:rPr>
          <w:t>http://www.bls.gov/oes/current/oes191041.htm</w:t>
        </w:r>
      </w:hyperlink>
      <w:r w:rsidRPr="00D8482F">
        <w:t>). Therefore, in each EIP site, the estimated annual cost is $</w:t>
      </w:r>
      <w:r w:rsidR="00B00683" w:rsidRPr="00D8482F">
        <w:t>10</w:t>
      </w:r>
      <w:r w:rsidR="00C7510F" w:rsidRPr="00D8482F">
        <w:t>7</w:t>
      </w:r>
      <w:r w:rsidR="00B00683" w:rsidRPr="00D8482F">
        <w:t>,</w:t>
      </w:r>
      <w:r w:rsidR="00C7510F" w:rsidRPr="00D8482F">
        <w:t>096</w:t>
      </w:r>
      <w:r w:rsidRPr="00D8482F">
        <w:t>. The estimated cost across the 10 EIP sites is $</w:t>
      </w:r>
      <w:r w:rsidR="00D5409B" w:rsidRPr="00D8482F">
        <w:t>1,111,656</w:t>
      </w:r>
      <w:r w:rsidRPr="00D8482F">
        <w:t>.</w:t>
      </w:r>
      <w:r w:rsidR="00D5409B" w:rsidRPr="00D8482F">
        <w:t>12</w:t>
      </w:r>
      <w:bookmarkEnd w:id="49"/>
    </w:p>
    <w:p w14:paraId="77749AA6" w14:textId="77777777" w:rsidR="00B02A30" w:rsidRPr="00D8482F" w:rsidRDefault="00B02A30" w:rsidP="00B02A30"/>
    <w:p w14:paraId="4F5DC95D" w14:textId="77777777" w:rsidR="00B02A30" w:rsidRPr="00D8482F" w:rsidRDefault="00B02A30" w:rsidP="00C96FE2">
      <w:r w:rsidRPr="00D8482F">
        <w:t xml:space="preserve">Review time for each record </w:t>
      </w:r>
      <w:r w:rsidR="00C96FE2" w:rsidRPr="00D8482F">
        <w:t xml:space="preserve">on average (including time to fill out the </w:t>
      </w:r>
      <w:r w:rsidR="000A65A9" w:rsidRPr="00D8482F">
        <w:t>RAUF and R</w:t>
      </w:r>
      <w:r w:rsidR="00C96FE2" w:rsidRPr="00D8482F">
        <w:t xml:space="preserve">IF for </w:t>
      </w:r>
      <w:r w:rsidR="00422023" w:rsidRPr="00D8482F">
        <w:t>a</w:t>
      </w:r>
      <w:r w:rsidR="00C96FE2" w:rsidRPr="00D8482F">
        <w:t xml:space="preserve"> limited number of records</w:t>
      </w:r>
      <w:r w:rsidR="00D5409B" w:rsidRPr="00D8482F">
        <w:t xml:space="preserve"> (approximately 25%)</w:t>
      </w:r>
      <w:r w:rsidR="00C96FE2" w:rsidRPr="00D8482F">
        <w:t xml:space="preserve">) </w:t>
      </w:r>
      <w:r w:rsidRPr="00D8482F">
        <w:t xml:space="preserve">is estimated to be </w:t>
      </w:r>
      <w:r w:rsidR="00C94805" w:rsidRPr="00D8482F">
        <w:t>30</w:t>
      </w:r>
      <w:r w:rsidRPr="00D8482F">
        <w:t xml:space="preserve"> minutes</w:t>
      </w:r>
      <w:r w:rsidR="005F7F31" w:rsidRPr="00D8482F">
        <w:t xml:space="preserve">, including time to account for training </w:t>
      </w:r>
      <w:r w:rsidRPr="00D8482F">
        <w:t>and other survey-related activities. Based on experience</w:t>
      </w:r>
      <w:r w:rsidR="00422023" w:rsidRPr="00D8482F">
        <w:t xml:space="preserve"> from previous surveys</w:t>
      </w:r>
      <w:r w:rsidRPr="00D8482F">
        <w:t>, the hourly cost for these medical record reviews is estimated to be $100.00. The total cost for record review alone is therefore estimated to be $</w:t>
      </w:r>
      <w:r w:rsidR="00D5409B" w:rsidRPr="00D8482F">
        <w:t>187</w:t>
      </w:r>
      <w:r w:rsidRPr="00D8482F">
        <w:t>,</w:t>
      </w:r>
      <w:r w:rsidR="00D5409B" w:rsidRPr="00D8482F">
        <w:t>500</w:t>
      </w:r>
      <w:r w:rsidRPr="00D8482F">
        <w:t>. We estimate an additional $100,000 for coordination and travel- and supply-related expenses. The total estimated cost of this contract is therefore $</w:t>
      </w:r>
      <w:r w:rsidR="00D5409B" w:rsidRPr="00D8482F">
        <w:t>287</w:t>
      </w:r>
      <w:r w:rsidR="005F7F31" w:rsidRPr="00D8482F">
        <w:t>,</w:t>
      </w:r>
      <w:r w:rsidR="00D5409B" w:rsidRPr="00D8482F">
        <w:t>500</w:t>
      </w:r>
      <w:r w:rsidRPr="00D8482F">
        <w:t>.</w:t>
      </w:r>
      <w:r w:rsidR="009A653B" w:rsidRPr="00D8482F">
        <w:t xml:space="preserve"> If </w:t>
      </w:r>
      <w:r w:rsidR="009F6547">
        <w:t>one</w:t>
      </w:r>
      <w:r w:rsidR="009A653B" w:rsidRPr="00D8482F">
        <w:t xml:space="preserve"> </w:t>
      </w:r>
      <w:r w:rsidR="000A65A9" w:rsidRPr="00D8482F">
        <w:t xml:space="preserve">data collection is </w:t>
      </w:r>
      <w:r w:rsidR="009A653B" w:rsidRPr="00D8482F">
        <w:t>conducted during the 3-year approval period, the annualized cost o</w:t>
      </w:r>
      <w:r w:rsidR="000A65A9" w:rsidRPr="00D8482F">
        <w:t xml:space="preserve">f the contract is therefore </w:t>
      </w:r>
      <w:r w:rsidR="009A653B" w:rsidRPr="00D8482F">
        <w:t>$</w:t>
      </w:r>
      <w:r w:rsidR="00D8482F" w:rsidRPr="00D8482F">
        <w:t>287</w:t>
      </w:r>
      <w:r w:rsidR="009A653B" w:rsidRPr="00D8482F">
        <w:t>,</w:t>
      </w:r>
      <w:r w:rsidR="00D8482F" w:rsidRPr="00D8482F">
        <w:t>500</w:t>
      </w:r>
      <w:r w:rsidR="009A653B" w:rsidRPr="00D8482F">
        <w:t xml:space="preserve"> divided by 3, or $</w:t>
      </w:r>
      <w:r w:rsidR="00D8482F" w:rsidRPr="00D8482F">
        <w:t>95</w:t>
      </w:r>
      <w:r w:rsidR="000A65A9" w:rsidRPr="00D8482F">
        <w:t>,8</w:t>
      </w:r>
      <w:r w:rsidR="00D8482F" w:rsidRPr="00D8482F">
        <w:t>33</w:t>
      </w:r>
      <w:r w:rsidR="000A65A9" w:rsidRPr="00D8482F">
        <w:t>.</w:t>
      </w:r>
      <w:r w:rsidR="00D8482F" w:rsidRPr="00D8482F">
        <w:t>33</w:t>
      </w:r>
      <w:r w:rsidR="009A653B" w:rsidRPr="00D8482F">
        <w:t>.</w:t>
      </w:r>
    </w:p>
    <w:p w14:paraId="5C02E6C0" w14:textId="77777777" w:rsidR="00B77C36" w:rsidRPr="00D8482F" w:rsidRDefault="00B77C36" w:rsidP="00C96FE2"/>
    <w:p w14:paraId="765B3827" w14:textId="77777777" w:rsidR="00B77C36" w:rsidRPr="00D8482F" w:rsidRDefault="00B77C36" w:rsidP="00B77C36">
      <w:r w:rsidRPr="00D8482F">
        <w:t>There will also be costs related to photocopying of forms and instructions. The cost is estimated to be $</w:t>
      </w:r>
      <w:r w:rsidR="00CA10FA" w:rsidRPr="00D8482F">
        <w:t>5,000</w:t>
      </w:r>
      <w:r w:rsidRPr="00D8482F">
        <w:t xml:space="preserve"> ($0.05 to copy each page, estimated </w:t>
      </w:r>
      <w:r w:rsidR="00CA10FA" w:rsidRPr="00D8482F">
        <w:t>100</w:t>
      </w:r>
      <w:r w:rsidRPr="00D8482F">
        <w:t>,0</w:t>
      </w:r>
      <w:r w:rsidR="00CA10FA" w:rsidRPr="00D8482F">
        <w:t>00</w:t>
      </w:r>
      <w:r w:rsidRPr="00D8482F">
        <w:t xml:space="preserve"> copies made to support survey activities in </w:t>
      </w:r>
      <w:r w:rsidR="00403296" w:rsidRPr="00D8482F">
        <w:t>200</w:t>
      </w:r>
      <w:r w:rsidRPr="00D8482F">
        <w:t xml:space="preserve"> facilities in 10 EIP sites). If </w:t>
      </w:r>
      <w:r w:rsidR="006768B7">
        <w:t>one</w:t>
      </w:r>
      <w:r w:rsidRPr="00D8482F">
        <w:t xml:space="preserve"> </w:t>
      </w:r>
      <w:r w:rsidR="00E743B7" w:rsidRPr="00D8482F">
        <w:t>data collection</w:t>
      </w:r>
      <w:r w:rsidR="00571612">
        <w:t xml:space="preserve"> is</w:t>
      </w:r>
      <w:r w:rsidRPr="00D8482F">
        <w:t xml:space="preserve"> conducted during the 3-year approval per</w:t>
      </w:r>
      <w:r w:rsidR="00422023" w:rsidRPr="00D8482F">
        <w:t>iod, the annualized cost is</w:t>
      </w:r>
      <w:r w:rsidR="00CA10FA" w:rsidRPr="00D8482F">
        <w:t xml:space="preserve"> </w:t>
      </w:r>
      <w:r w:rsidR="00422023" w:rsidRPr="00D8482F">
        <w:t>$</w:t>
      </w:r>
      <w:r w:rsidR="00AB5CD3" w:rsidRPr="00D8482F">
        <w:t>5</w:t>
      </w:r>
      <w:r w:rsidR="00422023" w:rsidRPr="00D8482F">
        <w:t>,</w:t>
      </w:r>
      <w:r w:rsidR="00AB5CD3" w:rsidRPr="00D8482F">
        <w:t>000</w:t>
      </w:r>
      <w:r w:rsidRPr="00D8482F">
        <w:t xml:space="preserve"> divided by 3, or $</w:t>
      </w:r>
      <w:r w:rsidR="00AB5CD3" w:rsidRPr="00D8482F">
        <w:t>1,666</w:t>
      </w:r>
      <w:r w:rsidRPr="00D8482F">
        <w:t>.</w:t>
      </w:r>
      <w:r w:rsidR="00AB5CD3" w:rsidRPr="00D8482F">
        <w:t>67</w:t>
      </w:r>
      <w:r w:rsidRPr="00D8482F">
        <w:t>.</w:t>
      </w:r>
    </w:p>
    <w:p w14:paraId="2486194B" w14:textId="77777777" w:rsidR="00B77C36" w:rsidRPr="00D8482F" w:rsidRDefault="00B77C36" w:rsidP="005452C2"/>
    <w:p w14:paraId="47852617" w14:textId="77777777" w:rsidR="00B77C36" w:rsidRPr="00D8482F" w:rsidRDefault="00B77C36" w:rsidP="00B77C36">
      <w:r w:rsidRPr="00D8482F">
        <w:t>The total annualized cost to the federal government for personnel and photocopying is therefore estimated to be $1,</w:t>
      </w:r>
      <w:r w:rsidR="007C0A12">
        <w:t>183,291.79</w:t>
      </w:r>
      <w:r w:rsidRPr="00D8482F">
        <w:t>.</w:t>
      </w:r>
    </w:p>
    <w:p w14:paraId="5A132402" w14:textId="77777777" w:rsidR="005F7F31" w:rsidRPr="00D8482F" w:rsidRDefault="005F7F31" w:rsidP="005F7F31"/>
    <w:p w14:paraId="2B5950E5" w14:textId="77777777" w:rsidR="00B02A30" w:rsidRPr="00D8482F" w:rsidRDefault="00B02A30" w:rsidP="00B02A30">
      <w:pPr>
        <w:outlineLvl w:val="0"/>
      </w:pPr>
      <w:bookmarkStart w:id="50" w:name="_Toc444243001"/>
      <w:r w:rsidRPr="00D8482F">
        <w:t>Table C: Annualized cost to the federal government</w:t>
      </w:r>
      <w:bookmarkEnd w:id="50"/>
      <w:r w:rsidRPr="00D8482F">
        <w:t xml:space="preserve">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250"/>
        <w:gridCol w:w="1530"/>
        <w:gridCol w:w="2160"/>
      </w:tblGrid>
      <w:tr w:rsidR="00B02A30" w:rsidRPr="00D8482F" w14:paraId="6C918B5C" w14:textId="77777777" w:rsidTr="00B02A30">
        <w:tc>
          <w:tcPr>
            <w:tcW w:w="3258" w:type="dxa"/>
            <w:tcBorders>
              <w:top w:val="single" w:sz="4" w:space="0" w:color="auto"/>
              <w:left w:val="single" w:sz="4" w:space="0" w:color="auto"/>
              <w:bottom w:val="single" w:sz="12" w:space="0" w:color="auto"/>
              <w:right w:val="single" w:sz="4" w:space="0" w:color="auto"/>
            </w:tcBorders>
            <w:vAlign w:val="center"/>
            <w:hideMark/>
          </w:tcPr>
          <w:p w14:paraId="1C8137D0" w14:textId="77777777" w:rsidR="00B02A30" w:rsidRPr="00D8482F" w:rsidRDefault="00B02A30">
            <w:pPr>
              <w:jc w:val="center"/>
              <w:rPr>
                <w:b/>
              </w:rPr>
            </w:pPr>
            <w:r w:rsidRPr="00D8482F">
              <w:rPr>
                <w:b/>
              </w:rPr>
              <w:t>Government Employee Title</w:t>
            </w:r>
          </w:p>
        </w:tc>
        <w:tc>
          <w:tcPr>
            <w:tcW w:w="2250" w:type="dxa"/>
            <w:tcBorders>
              <w:top w:val="single" w:sz="4" w:space="0" w:color="auto"/>
              <w:left w:val="single" w:sz="4" w:space="0" w:color="auto"/>
              <w:bottom w:val="single" w:sz="12" w:space="0" w:color="auto"/>
              <w:right w:val="single" w:sz="4" w:space="0" w:color="auto"/>
            </w:tcBorders>
            <w:vAlign w:val="center"/>
            <w:hideMark/>
          </w:tcPr>
          <w:p w14:paraId="2446D924" w14:textId="77777777" w:rsidR="00B02A30" w:rsidRPr="00D8482F" w:rsidRDefault="00B02A30" w:rsidP="00E743B7">
            <w:pPr>
              <w:jc w:val="center"/>
              <w:rPr>
                <w:b/>
              </w:rPr>
            </w:pPr>
            <w:r w:rsidRPr="00D8482F">
              <w:rPr>
                <w:b/>
              </w:rPr>
              <w:t>Total Number of Hours Dedicated per Year</w:t>
            </w:r>
          </w:p>
        </w:tc>
        <w:tc>
          <w:tcPr>
            <w:tcW w:w="1530" w:type="dxa"/>
            <w:tcBorders>
              <w:top w:val="single" w:sz="4" w:space="0" w:color="auto"/>
              <w:left w:val="single" w:sz="4" w:space="0" w:color="auto"/>
              <w:bottom w:val="single" w:sz="12" w:space="0" w:color="auto"/>
              <w:right w:val="single" w:sz="4" w:space="0" w:color="auto"/>
            </w:tcBorders>
            <w:vAlign w:val="center"/>
            <w:hideMark/>
          </w:tcPr>
          <w:p w14:paraId="4D0504DB" w14:textId="77777777" w:rsidR="00B02A30" w:rsidRPr="00D8482F" w:rsidRDefault="00B02A30">
            <w:pPr>
              <w:jc w:val="center"/>
              <w:rPr>
                <w:b/>
              </w:rPr>
            </w:pPr>
            <w:r w:rsidRPr="00D8482F">
              <w:rPr>
                <w:b/>
              </w:rPr>
              <w:t>Hourly Rate</w:t>
            </w:r>
          </w:p>
        </w:tc>
        <w:tc>
          <w:tcPr>
            <w:tcW w:w="2160" w:type="dxa"/>
            <w:tcBorders>
              <w:top w:val="single" w:sz="4" w:space="0" w:color="auto"/>
              <w:left w:val="single" w:sz="4" w:space="0" w:color="auto"/>
              <w:bottom w:val="single" w:sz="12" w:space="0" w:color="auto"/>
              <w:right w:val="single" w:sz="4" w:space="0" w:color="auto"/>
            </w:tcBorders>
            <w:vAlign w:val="center"/>
            <w:hideMark/>
          </w:tcPr>
          <w:p w14:paraId="54982A09" w14:textId="77777777" w:rsidR="00B02A30" w:rsidRPr="00D8482F" w:rsidRDefault="00B64DFE">
            <w:pPr>
              <w:jc w:val="center"/>
              <w:rPr>
                <w:b/>
              </w:rPr>
            </w:pPr>
            <w:r>
              <w:rPr>
                <w:b/>
              </w:rPr>
              <w:t>Total</w:t>
            </w:r>
          </w:p>
        </w:tc>
      </w:tr>
      <w:tr w:rsidR="00B02A30" w:rsidRPr="00D8482F" w14:paraId="68FDDF57" w14:textId="77777777" w:rsidTr="00B02A30">
        <w:tc>
          <w:tcPr>
            <w:tcW w:w="3258" w:type="dxa"/>
            <w:tcBorders>
              <w:top w:val="single" w:sz="12" w:space="0" w:color="auto"/>
              <w:left w:val="single" w:sz="4" w:space="0" w:color="auto"/>
              <w:bottom w:val="single" w:sz="4" w:space="0" w:color="auto"/>
              <w:right w:val="single" w:sz="4" w:space="0" w:color="auto"/>
            </w:tcBorders>
            <w:vAlign w:val="center"/>
            <w:hideMark/>
          </w:tcPr>
          <w:p w14:paraId="269C3E70" w14:textId="77777777" w:rsidR="00B02A30" w:rsidRPr="00D8482F" w:rsidRDefault="00B02A30" w:rsidP="005F7F31">
            <w:r w:rsidRPr="00D8482F">
              <w:t xml:space="preserve">CDC epidemiologist </w:t>
            </w:r>
          </w:p>
        </w:tc>
        <w:tc>
          <w:tcPr>
            <w:tcW w:w="2250" w:type="dxa"/>
            <w:tcBorders>
              <w:top w:val="single" w:sz="12" w:space="0" w:color="auto"/>
              <w:left w:val="single" w:sz="4" w:space="0" w:color="auto"/>
              <w:bottom w:val="single" w:sz="4" w:space="0" w:color="auto"/>
              <w:right w:val="single" w:sz="4" w:space="0" w:color="auto"/>
            </w:tcBorders>
            <w:vAlign w:val="center"/>
            <w:hideMark/>
          </w:tcPr>
          <w:p w14:paraId="53140576" w14:textId="77777777" w:rsidR="00B02A30" w:rsidRPr="00D8482F" w:rsidRDefault="00AB5CD3">
            <w:pPr>
              <w:jc w:val="center"/>
            </w:pPr>
            <w:r w:rsidRPr="00D8482F">
              <w:t>1</w:t>
            </w:r>
            <w:r w:rsidR="00CF3407">
              <w:t>,</w:t>
            </w:r>
            <w:r w:rsidRPr="00D8482F">
              <w:t>040</w:t>
            </w:r>
          </w:p>
        </w:tc>
        <w:tc>
          <w:tcPr>
            <w:tcW w:w="1530" w:type="dxa"/>
            <w:tcBorders>
              <w:top w:val="single" w:sz="12" w:space="0" w:color="auto"/>
              <w:left w:val="single" w:sz="4" w:space="0" w:color="auto"/>
              <w:bottom w:val="single" w:sz="4" w:space="0" w:color="auto"/>
              <w:right w:val="single" w:sz="4" w:space="0" w:color="auto"/>
            </w:tcBorders>
            <w:vAlign w:val="center"/>
            <w:hideMark/>
          </w:tcPr>
          <w:p w14:paraId="4222513D" w14:textId="77777777" w:rsidR="00B02A30" w:rsidRPr="00D8482F" w:rsidRDefault="00B02A30" w:rsidP="00CA10FA">
            <w:pPr>
              <w:jc w:val="center"/>
            </w:pPr>
            <w:r w:rsidRPr="00D8482F">
              <w:t>$</w:t>
            </w:r>
            <w:r w:rsidR="00EA74FD" w:rsidRPr="00D8482F">
              <w:t>3</w:t>
            </w:r>
            <w:r w:rsidR="00CA10FA" w:rsidRPr="00D8482F">
              <w:t>5</w:t>
            </w:r>
            <w:r w:rsidR="00EA74FD" w:rsidRPr="00D8482F">
              <w:t>.</w:t>
            </w:r>
            <w:r w:rsidR="00CA10FA" w:rsidRPr="00D8482F">
              <w:t>63</w:t>
            </w:r>
          </w:p>
        </w:tc>
        <w:tc>
          <w:tcPr>
            <w:tcW w:w="2160" w:type="dxa"/>
            <w:tcBorders>
              <w:top w:val="single" w:sz="12" w:space="0" w:color="auto"/>
              <w:left w:val="single" w:sz="4" w:space="0" w:color="auto"/>
              <w:bottom w:val="single" w:sz="4" w:space="0" w:color="auto"/>
              <w:right w:val="single" w:sz="4" w:space="0" w:color="auto"/>
            </w:tcBorders>
            <w:vAlign w:val="center"/>
            <w:hideMark/>
          </w:tcPr>
          <w:p w14:paraId="3993750A" w14:textId="77777777" w:rsidR="00B02A30" w:rsidRPr="00D8482F" w:rsidRDefault="00B02A30" w:rsidP="00AB5CD3">
            <w:pPr>
              <w:jc w:val="center"/>
            </w:pPr>
            <w:r w:rsidRPr="00D8482F">
              <w:t>$</w:t>
            </w:r>
            <w:r w:rsidR="00AB5CD3" w:rsidRPr="00D8482F">
              <w:t>37</w:t>
            </w:r>
            <w:r w:rsidR="00EA74FD" w:rsidRPr="00D8482F">
              <w:t>,</w:t>
            </w:r>
            <w:r w:rsidR="00AB5CD3" w:rsidRPr="00D8482F">
              <w:t>055.</w:t>
            </w:r>
            <w:r w:rsidR="00CA10FA" w:rsidRPr="00D8482F">
              <w:t>2</w:t>
            </w:r>
            <w:r w:rsidR="00AB5CD3" w:rsidRPr="00D8482F">
              <w:t>0</w:t>
            </w:r>
          </w:p>
        </w:tc>
      </w:tr>
      <w:tr w:rsidR="00EA74FD" w:rsidRPr="00D8482F" w14:paraId="7291E3B9" w14:textId="77777777" w:rsidTr="00B02A30">
        <w:tc>
          <w:tcPr>
            <w:tcW w:w="3258" w:type="dxa"/>
            <w:tcBorders>
              <w:top w:val="single" w:sz="4" w:space="0" w:color="auto"/>
              <w:left w:val="single" w:sz="4" w:space="0" w:color="auto"/>
              <w:bottom w:val="single" w:sz="4" w:space="0" w:color="auto"/>
              <w:right w:val="single" w:sz="4" w:space="0" w:color="auto"/>
            </w:tcBorders>
            <w:vAlign w:val="center"/>
          </w:tcPr>
          <w:p w14:paraId="6E6DFD38" w14:textId="77777777" w:rsidR="00EA74FD" w:rsidRPr="00D8482F" w:rsidRDefault="00EA74FD" w:rsidP="005F7F31">
            <w:r w:rsidRPr="00D8482F">
              <w:t>Database developer</w:t>
            </w:r>
          </w:p>
        </w:tc>
        <w:tc>
          <w:tcPr>
            <w:tcW w:w="2250" w:type="dxa"/>
            <w:tcBorders>
              <w:top w:val="single" w:sz="4" w:space="0" w:color="auto"/>
              <w:left w:val="single" w:sz="4" w:space="0" w:color="auto"/>
              <w:bottom w:val="single" w:sz="4" w:space="0" w:color="auto"/>
              <w:right w:val="single" w:sz="4" w:space="0" w:color="auto"/>
            </w:tcBorders>
            <w:vAlign w:val="center"/>
          </w:tcPr>
          <w:p w14:paraId="0C984DC6" w14:textId="77777777" w:rsidR="00EA74FD" w:rsidRPr="00D8482F" w:rsidRDefault="00EA74FD">
            <w:pPr>
              <w:jc w:val="center"/>
            </w:pPr>
            <w:r w:rsidRPr="00D8482F">
              <w:t>416</w:t>
            </w:r>
          </w:p>
        </w:tc>
        <w:tc>
          <w:tcPr>
            <w:tcW w:w="1530" w:type="dxa"/>
            <w:tcBorders>
              <w:top w:val="single" w:sz="4" w:space="0" w:color="auto"/>
              <w:left w:val="single" w:sz="4" w:space="0" w:color="auto"/>
              <w:bottom w:val="single" w:sz="4" w:space="0" w:color="auto"/>
              <w:right w:val="single" w:sz="4" w:space="0" w:color="auto"/>
            </w:tcBorders>
            <w:vAlign w:val="center"/>
          </w:tcPr>
          <w:p w14:paraId="49EC654B" w14:textId="77777777" w:rsidR="00EA74FD" w:rsidRPr="00D8482F" w:rsidRDefault="00EA74FD" w:rsidP="00AB5CD3">
            <w:pPr>
              <w:jc w:val="center"/>
            </w:pPr>
            <w:r w:rsidRPr="00D8482F">
              <w:t>$3</w:t>
            </w:r>
            <w:r w:rsidR="00AB5CD3" w:rsidRPr="00D8482F">
              <w:t>9</w:t>
            </w:r>
            <w:r w:rsidRPr="00D8482F">
              <w:t>.</w:t>
            </w:r>
            <w:r w:rsidR="00AB5CD3" w:rsidRPr="00D8482F">
              <w:t>56</w:t>
            </w:r>
          </w:p>
        </w:tc>
        <w:tc>
          <w:tcPr>
            <w:tcW w:w="2160" w:type="dxa"/>
            <w:tcBorders>
              <w:top w:val="single" w:sz="4" w:space="0" w:color="auto"/>
              <w:left w:val="single" w:sz="4" w:space="0" w:color="auto"/>
              <w:bottom w:val="single" w:sz="4" w:space="0" w:color="auto"/>
              <w:right w:val="single" w:sz="4" w:space="0" w:color="auto"/>
            </w:tcBorders>
            <w:vAlign w:val="center"/>
          </w:tcPr>
          <w:p w14:paraId="0CF6C936" w14:textId="77777777" w:rsidR="00EA74FD" w:rsidRPr="00D8482F" w:rsidRDefault="00EA74FD" w:rsidP="00AB5CD3">
            <w:pPr>
              <w:jc w:val="center"/>
            </w:pPr>
            <w:r w:rsidRPr="00D8482F">
              <w:t>$1</w:t>
            </w:r>
            <w:r w:rsidR="00AB5CD3" w:rsidRPr="00D8482F">
              <w:t>6</w:t>
            </w:r>
            <w:r w:rsidRPr="00D8482F">
              <w:t>,</w:t>
            </w:r>
            <w:r w:rsidR="00AB5CD3" w:rsidRPr="00D8482F">
              <w:t>456.96</w:t>
            </w:r>
          </w:p>
        </w:tc>
      </w:tr>
      <w:tr w:rsidR="00B02A30" w:rsidRPr="00D8482F" w14:paraId="2423B4B7" w14:textId="77777777" w:rsidTr="00B02A30">
        <w:tc>
          <w:tcPr>
            <w:tcW w:w="3258" w:type="dxa"/>
            <w:tcBorders>
              <w:top w:val="single" w:sz="4" w:space="0" w:color="auto"/>
              <w:left w:val="single" w:sz="4" w:space="0" w:color="auto"/>
              <w:bottom w:val="single" w:sz="4" w:space="0" w:color="auto"/>
              <w:right w:val="single" w:sz="4" w:space="0" w:color="auto"/>
            </w:tcBorders>
            <w:vAlign w:val="center"/>
            <w:hideMark/>
          </w:tcPr>
          <w:p w14:paraId="61DA1881" w14:textId="77777777" w:rsidR="00B02A30" w:rsidRPr="00D8482F" w:rsidRDefault="00B02A30" w:rsidP="005F7F31">
            <w:r w:rsidRPr="00D8482F">
              <w:t xml:space="preserve">Database manager </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6EB0713" w14:textId="77777777" w:rsidR="00B02A30" w:rsidRPr="00D8482F" w:rsidRDefault="00B02A30">
            <w:pPr>
              <w:jc w:val="center"/>
            </w:pPr>
            <w:r w:rsidRPr="00D8482F">
              <w:t>416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17B2133" w14:textId="77777777" w:rsidR="00B02A30" w:rsidRPr="00D8482F" w:rsidRDefault="00B02A30" w:rsidP="00AB5CD3">
            <w:pPr>
              <w:jc w:val="center"/>
            </w:pPr>
            <w:r w:rsidRPr="00D8482F">
              <w:t>$</w:t>
            </w:r>
            <w:r w:rsidR="00AB5CD3" w:rsidRPr="00D8482F">
              <w:t>39.56</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BB544F7" w14:textId="77777777" w:rsidR="00B02A30" w:rsidRPr="00D8482F" w:rsidRDefault="00AB5CD3" w:rsidP="00EA74FD">
            <w:pPr>
              <w:jc w:val="center"/>
            </w:pPr>
            <w:r w:rsidRPr="00D8482F">
              <w:t>$16,456.96</w:t>
            </w:r>
          </w:p>
        </w:tc>
      </w:tr>
      <w:tr w:rsidR="00B02A30" w:rsidRPr="00D8482F" w14:paraId="1489F2FD" w14:textId="77777777" w:rsidTr="00B02A30">
        <w:tc>
          <w:tcPr>
            <w:tcW w:w="3258" w:type="dxa"/>
            <w:tcBorders>
              <w:top w:val="single" w:sz="4" w:space="0" w:color="auto"/>
              <w:left w:val="single" w:sz="4" w:space="0" w:color="auto"/>
              <w:bottom w:val="single" w:sz="4" w:space="0" w:color="auto"/>
              <w:right w:val="single" w:sz="4" w:space="0" w:color="auto"/>
            </w:tcBorders>
            <w:vAlign w:val="center"/>
            <w:hideMark/>
          </w:tcPr>
          <w:p w14:paraId="08D88E9A" w14:textId="77777777" w:rsidR="00B02A30" w:rsidRPr="00D8482F" w:rsidRDefault="00B02A30" w:rsidP="005F7F31">
            <w:r w:rsidRPr="00D8482F">
              <w:t>EIP epidemiologists (1.5 FTE in each of 10 sites)</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6E34D4F" w14:textId="77777777" w:rsidR="00B02A30" w:rsidRPr="00D8482F" w:rsidRDefault="00B02A30" w:rsidP="00C7510F">
            <w:pPr>
              <w:jc w:val="center"/>
            </w:pPr>
            <w:r w:rsidRPr="00D8482F">
              <w:t>31,20</w:t>
            </w:r>
            <w:r w:rsidR="00C7510F" w:rsidRPr="00D8482F">
              <w:t>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919C5B7" w14:textId="77777777" w:rsidR="00B02A30" w:rsidRPr="00D8482F" w:rsidRDefault="00B02A30" w:rsidP="00C7510F">
            <w:pPr>
              <w:jc w:val="center"/>
            </w:pPr>
            <w:r w:rsidRPr="00D8482F">
              <w:t>$</w:t>
            </w:r>
            <w:r w:rsidR="00D5409B" w:rsidRPr="00D8482F">
              <w:t>35.63</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CC2B441" w14:textId="77777777" w:rsidR="00B02A30" w:rsidRPr="00D8482F" w:rsidRDefault="00B02A30" w:rsidP="00D5409B">
            <w:pPr>
              <w:jc w:val="center"/>
            </w:pPr>
            <w:r w:rsidRPr="00D8482F">
              <w:t>$</w:t>
            </w:r>
            <w:r w:rsidR="00B00683" w:rsidRPr="00D8482F">
              <w:t>1,</w:t>
            </w:r>
            <w:r w:rsidR="00D5409B" w:rsidRPr="00D8482F">
              <w:t>111</w:t>
            </w:r>
            <w:r w:rsidR="00B00683" w:rsidRPr="00D8482F">
              <w:t>,</w:t>
            </w:r>
            <w:r w:rsidR="00D5409B" w:rsidRPr="00D8482F">
              <w:t>656</w:t>
            </w:r>
            <w:r w:rsidR="00571612">
              <w:t>.00</w:t>
            </w:r>
          </w:p>
        </w:tc>
      </w:tr>
      <w:tr w:rsidR="009A653B" w:rsidRPr="00D8482F" w14:paraId="1D7766F8" w14:textId="77777777" w:rsidTr="00B02A30">
        <w:tc>
          <w:tcPr>
            <w:tcW w:w="3258" w:type="dxa"/>
            <w:tcBorders>
              <w:top w:val="single" w:sz="4" w:space="0" w:color="auto"/>
              <w:left w:val="single" w:sz="4" w:space="0" w:color="auto"/>
              <w:bottom w:val="single" w:sz="4" w:space="0" w:color="auto"/>
              <w:right w:val="single" w:sz="4" w:space="0" w:color="auto"/>
            </w:tcBorders>
            <w:vAlign w:val="center"/>
          </w:tcPr>
          <w:p w14:paraId="0B3B916E" w14:textId="77777777" w:rsidR="009A653B" w:rsidRPr="00D8482F" w:rsidRDefault="009A653B" w:rsidP="005F7F31">
            <w:r w:rsidRPr="00D8482F">
              <w:t>Photocopying</w:t>
            </w:r>
          </w:p>
        </w:tc>
        <w:tc>
          <w:tcPr>
            <w:tcW w:w="2250" w:type="dxa"/>
            <w:tcBorders>
              <w:top w:val="single" w:sz="4" w:space="0" w:color="auto"/>
              <w:left w:val="single" w:sz="4" w:space="0" w:color="auto"/>
              <w:bottom w:val="single" w:sz="4" w:space="0" w:color="auto"/>
              <w:right w:val="single" w:sz="4" w:space="0" w:color="auto"/>
            </w:tcBorders>
            <w:vAlign w:val="center"/>
          </w:tcPr>
          <w:p w14:paraId="0746E150" w14:textId="77777777" w:rsidR="009A653B" w:rsidRPr="00D8482F" w:rsidRDefault="009A653B" w:rsidP="00C7510F">
            <w:pPr>
              <w:jc w:val="center"/>
            </w:pPr>
            <w:r w:rsidRPr="00D8482F">
              <w:t>--</w:t>
            </w:r>
          </w:p>
        </w:tc>
        <w:tc>
          <w:tcPr>
            <w:tcW w:w="1530" w:type="dxa"/>
            <w:tcBorders>
              <w:top w:val="single" w:sz="4" w:space="0" w:color="auto"/>
              <w:left w:val="single" w:sz="4" w:space="0" w:color="auto"/>
              <w:bottom w:val="single" w:sz="4" w:space="0" w:color="auto"/>
              <w:right w:val="single" w:sz="4" w:space="0" w:color="auto"/>
            </w:tcBorders>
            <w:vAlign w:val="center"/>
          </w:tcPr>
          <w:p w14:paraId="453E5DF4" w14:textId="77777777" w:rsidR="009A653B" w:rsidRPr="00D8482F" w:rsidRDefault="009A653B" w:rsidP="00C7510F">
            <w:pPr>
              <w:jc w:val="center"/>
            </w:pPr>
            <w:r w:rsidRPr="00D8482F">
              <w:t>--</w:t>
            </w:r>
          </w:p>
        </w:tc>
        <w:tc>
          <w:tcPr>
            <w:tcW w:w="2160" w:type="dxa"/>
            <w:tcBorders>
              <w:top w:val="single" w:sz="4" w:space="0" w:color="auto"/>
              <w:left w:val="single" w:sz="4" w:space="0" w:color="auto"/>
              <w:bottom w:val="single" w:sz="4" w:space="0" w:color="auto"/>
              <w:right w:val="single" w:sz="4" w:space="0" w:color="auto"/>
            </w:tcBorders>
            <w:vAlign w:val="center"/>
          </w:tcPr>
          <w:p w14:paraId="04A733B5" w14:textId="77777777" w:rsidR="009A653B" w:rsidRPr="00D8482F" w:rsidRDefault="009A653B" w:rsidP="00571612">
            <w:pPr>
              <w:jc w:val="center"/>
            </w:pPr>
            <w:r w:rsidRPr="00D8482F">
              <w:t>$</w:t>
            </w:r>
            <w:r w:rsidR="00571612">
              <w:t>1,666.67</w:t>
            </w:r>
          </w:p>
        </w:tc>
      </w:tr>
      <w:tr w:rsidR="00B02A30" w:rsidRPr="00D8482F" w14:paraId="2E203FCC" w14:textId="77777777" w:rsidTr="005F7F31">
        <w:tc>
          <w:tcPr>
            <w:tcW w:w="3258" w:type="dxa"/>
            <w:tcBorders>
              <w:top w:val="single" w:sz="4" w:space="0" w:color="auto"/>
              <w:left w:val="single" w:sz="4" w:space="0" w:color="auto"/>
              <w:bottom w:val="single" w:sz="4" w:space="0" w:color="auto"/>
              <w:right w:val="single" w:sz="4" w:space="0" w:color="auto"/>
            </w:tcBorders>
            <w:hideMark/>
          </w:tcPr>
          <w:p w14:paraId="08B60520" w14:textId="77777777" w:rsidR="00B02A30" w:rsidRPr="00D8482F" w:rsidRDefault="00B02A30" w:rsidP="005F7F31">
            <w:pPr>
              <w:rPr>
                <w:b/>
              </w:rPr>
            </w:pPr>
            <w:r w:rsidRPr="00D8482F">
              <w:rPr>
                <w:b/>
              </w:rPr>
              <w:t xml:space="preserve">Total </w:t>
            </w:r>
          </w:p>
        </w:tc>
        <w:tc>
          <w:tcPr>
            <w:tcW w:w="2250" w:type="dxa"/>
            <w:tcBorders>
              <w:top w:val="single" w:sz="4" w:space="0" w:color="auto"/>
              <w:left w:val="single" w:sz="4" w:space="0" w:color="auto"/>
              <w:bottom w:val="single" w:sz="4" w:space="0" w:color="auto"/>
              <w:right w:val="nil"/>
            </w:tcBorders>
          </w:tcPr>
          <w:p w14:paraId="49EF459C" w14:textId="77777777" w:rsidR="00B02A30" w:rsidRPr="00D8482F" w:rsidRDefault="00B02A30">
            <w:pPr>
              <w:jc w:val="center"/>
              <w:rPr>
                <w:i/>
              </w:rPr>
            </w:pPr>
          </w:p>
        </w:tc>
        <w:tc>
          <w:tcPr>
            <w:tcW w:w="1530" w:type="dxa"/>
            <w:tcBorders>
              <w:top w:val="single" w:sz="4" w:space="0" w:color="auto"/>
              <w:left w:val="nil"/>
              <w:bottom w:val="single" w:sz="4" w:space="0" w:color="auto"/>
              <w:right w:val="nil"/>
            </w:tcBorders>
          </w:tcPr>
          <w:p w14:paraId="7B4E5938" w14:textId="77777777" w:rsidR="00B02A30" w:rsidRPr="00D8482F" w:rsidRDefault="00B02A30">
            <w:pPr>
              <w:jc w:val="center"/>
              <w:rPr>
                <w:i/>
              </w:rPr>
            </w:pPr>
          </w:p>
        </w:tc>
        <w:tc>
          <w:tcPr>
            <w:tcW w:w="2160" w:type="dxa"/>
            <w:tcBorders>
              <w:top w:val="single" w:sz="4" w:space="0" w:color="auto"/>
              <w:left w:val="nil"/>
              <w:bottom w:val="single" w:sz="4" w:space="0" w:color="auto"/>
              <w:right w:val="single" w:sz="4" w:space="0" w:color="auto"/>
            </w:tcBorders>
            <w:hideMark/>
          </w:tcPr>
          <w:p w14:paraId="07C1BA99" w14:textId="77777777" w:rsidR="00B02A30" w:rsidRPr="00D8482F" w:rsidRDefault="00B02A30" w:rsidP="006768B7">
            <w:pPr>
              <w:jc w:val="center"/>
              <w:rPr>
                <w:b/>
              </w:rPr>
            </w:pPr>
            <w:r w:rsidRPr="00D8482F">
              <w:rPr>
                <w:b/>
              </w:rPr>
              <w:t>$</w:t>
            </w:r>
            <w:r w:rsidR="00D5409B" w:rsidRPr="00D8482F">
              <w:rPr>
                <w:b/>
              </w:rPr>
              <w:t>1,18</w:t>
            </w:r>
            <w:r w:rsidR="006768B7">
              <w:rPr>
                <w:b/>
              </w:rPr>
              <w:t>3</w:t>
            </w:r>
            <w:r w:rsidR="00D5409B" w:rsidRPr="00D8482F">
              <w:rPr>
                <w:b/>
              </w:rPr>
              <w:t>,</w:t>
            </w:r>
            <w:r w:rsidR="006768B7">
              <w:rPr>
                <w:b/>
              </w:rPr>
              <w:t>291</w:t>
            </w:r>
            <w:r w:rsidR="00D5409B" w:rsidRPr="00D8482F">
              <w:rPr>
                <w:b/>
              </w:rPr>
              <w:t>.</w:t>
            </w:r>
            <w:r w:rsidR="006768B7">
              <w:rPr>
                <w:b/>
              </w:rPr>
              <w:t>79</w:t>
            </w:r>
          </w:p>
        </w:tc>
      </w:tr>
    </w:tbl>
    <w:p w14:paraId="263C4223" w14:textId="77777777" w:rsidR="002F5670" w:rsidRPr="00D8482F" w:rsidRDefault="00AD36BD" w:rsidP="008D6ECA">
      <w:pPr>
        <w:pStyle w:val="Heading1"/>
        <w:spacing w:before="240"/>
      </w:pPr>
      <w:bookmarkStart w:id="51" w:name="_Toc444243002"/>
      <w:r w:rsidRPr="00D8482F">
        <w:t>Explanation for Program Changes or Adjustments</w:t>
      </w:r>
      <w:bookmarkEnd w:id="51"/>
    </w:p>
    <w:p w14:paraId="70C20810" w14:textId="77777777" w:rsidR="00403296" w:rsidRPr="00D8482F" w:rsidRDefault="00403296" w:rsidP="002F5670"/>
    <w:p w14:paraId="5EBC355D" w14:textId="77777777" w:rsidR="00403296" w:rsidRDefault="00DB7506" w:rsidP="002F5670">
      <w:r w:rsidRPr="00D8482F">
        <w:t xml:space="preserve">None. </w:t>
      </w:r>
      <w:r w:rsidR="00661383" w:rsidRPr="00D8482F">
        <w:t>This is a new information collection.</w:t>
      </w:r>
    </w:p>
    <w:p w14:paraId="75580BD2" w14:textId="77777777" w:rsidR="00AD36BD" w:rsidRPr="00D8482F" w:rsidRDefault="001E7A1B" w:rsidP="002F5670">
      <w:pPr>
        <w:rPr>
          <w:i/>
        </w:rPr>
      </w:pPr>
      <w:r w:rsidRPr="00D8482F">
        <w:rPr>
          <w:i/>
        </w:rPr>
        <w:tab/>
      </w:r>
    </w:p>
    <w:p w14:paraId="4DCA6BBA" w14:textId="77777777" w:rsidR="00952A9B" w:rsidRPr="00D8482F" w:rsidRDefault="00AD36BD" w:rsidP="00753597">
      <w:pPr>
        <w:pStyle w:val="Heading1"/>
      </w:pPr>
      <w:bookmarkStart w:id="52" w:name="_Toc444243003"/>
      <w:r w:rsidRPr="00D8482F">
        <w:t>Plans for Tabulation and Publication and Project Time Schedule</w:t>
      </w:r>
      <w:bookmarkEnd w:id="52"/>
      <w:r w:rsidR="008469B7" w:rsidRPr="00D8482F">
        <w:t xml:space="preserve"> </w:t>
      </w:r>
    </w:p>
    <w:p w14:paraId="6993A2E6" w14:textId="77777777" w:rsidR="00AA64C4" w:rsidRPr="00D8482F" w:rsidRDefault="00AA64C4" w:rsidP="003F4EE5">
      <w:pPr>
        <w:outlineLvl w:val="0"/>
      </w:pPr>
    </w:p>
    <w:p w14:paraId="5FDD33B6" w14:textId="77777777" w:rsidR="00B13715" w:rsidRPr="00D8482F" w:rsidRDefault="00D61F28" w:rsidP="00B13715">
      <w:pPr>
        <w:outlineLvl w:val="0"/>
        <w:rPr>
          <w:rStyle w:val="A0"/>
          <w:rFonts w:cs="Times New Roman"/>
          <w:color w:val="auto"/>
          <w:sz w:val="24"/>
          <w:szCs w:val="24"/>
        </w:rPr>
      </w:pPr>
      <w:bookmarkStart w:id="53" w:name="_Toc444243004"/>
      <w:r w:rsidRPr="00D8482F">
        <w:t xml:space="preserve">A </w:t>
      </w:r>
      <w:r w:rsidR="00E24EC6" w:rsidRPr="00D8482F">
        <w:t>resident</w:t>
      </w:r>
      <w:r w:rsidR="00F1020B" w:rsidRPr="00D8482F">
        <w:t xml:space="preserve">-level </w:t>
      </w:r>
      <w:r w:rsidRPr="00D8482F">
        <w:t xml:space="preserve">surveillance dataset </w:t>
      </w:r>
      <w:r w:rsidR="00AA64C4" w:rsidRPr="00D8482F">
        <w:t>will continue to be</w:t>
      </w:r>
      <w:r w:rsidR="00952A9B" w:rsidRPr="00D8482F">
        <w:t xml:space="preserve"> </w:t>
      </w:r>
      <w:r w:rsidR="00F1020B" w:rsidRPr="00D8482F">
        <w:t>maintained</w:t>
      </w:r>
      <w:r w:rsidR="00952A9B" w:rsidRPr="00D8482F">
        <w:t xml:space="preserve"> at CDC. </w:t>
      </w:r>
      <w:r w:rsidR="00F1020B" w:rsidRPr="00D8482F">
        <w:t xml:space="preserve">This dataset will be used to determine HAI </w:t>
      </w:r>
      <w:r w:rsidR="00AA64C4" w:rsidRPr="00D8482F">
        <w:t xml:space="preserve">and </w:t>
      </w:r>
      <w:r w:rsidR="00F1020B" w:rsidRPr="00D8482F">
        <w:t xml:space="preserve">antimicrobial use prevalence, the </w:t>
      </w:r>
      <w:r w:rsidR="007124A6" w:rsidRPr="00D8482F">
        <w:t xml:space="preserve">distribution of </w:t>
      </w:r>
      <w:r w:rsidR="00F1020B" w:rsidRPr="00D8482F">
        <w:t>HAI</w:t>
      </w:r>
      <w:r w:rsidR="007124A6" w:rsidRPr="00D8482F">
        <w:t xml:space="preserve"> types and </w:t>
      </w:r>
      <w:r w:rsidR="007124A6" w:rsidRPr="00D8482F">
        <w:lastRenderedPageBreak/>
        <w:t xml:space="preserve">causative </w:t>
      </w:r>
      <w:r w:rsidR="000A24DA" w:rsidRPr="00D8482F">
        <w:t>org</w:t>
      </w:r>
      <w:r w:rsidR="00F1020B" w:rsidRPr="00D8482F">
        <w:t>anisms</w:t>
      </w:r>
      <w:r w:rsidR="000A24DA" w:rsidRPr="00D8482F">
        <w:t xml:space="preserve">, and </w:t>
      </w:r>
      <w:r w:rsidR="00F1020B" w:rsidRPr="00D8482F">
        <w:t xml:space="preserve">the distribution of types of </w:t>
      </w:r>
      <w:r w:rsidR="000A24DA" w:rsidRPr="00D8482F">
        <w:t>antimicrobial</w:t>
      </w:r>
      <w:r w:rsidR="00F1020B" w:rsidRPr="00D8482F">
        <w:t>s and rationale for their</w:t>
      </w:r>
      <w:r w:rsidR="000A24DA" w:rsidRPr="00D8482F">
        <w:t xml:space="preserve"> use</w:t>
      </w:r>
      <w:r w:rsidR="00AA64C4" w:rsidRPr="00D8482F">
        <w:t xml:space="preserve">. </w:t>
      </w:r>
      <w:r w:rsidR="007124A6" w:rsidRPr="00D8482F">
        <w:t>Analysis will occur in SAS version 9.</w:t>
      </w:r>
      <w:r w:rsidR="00FF08E2" w:rsidRPr="00D8482F">
        <w:t xml:space="preserve">3 </w:t>
      </w:r>
      <w:r w:rsidR="00A67200" w:rsidRPr="00D8482F">
        <w:t xml:space="preserve">or newer versions as they become available </w:t>
      </w:r>
      <w:r w:rsidR="00B13715" w:rsidRPr="00D8482F">
        <w:t xml:space="preserve">(SAS Institute, Carey, NC) and OpenEpi versions 3.01 (or newer versions as they become available). </w:t>
      </w:r>
      <w:r w:rsidR="00D8482F" w:rsidRPr="00D8482F">
        <w:t>This survey will use the most up-to-date infection surveillance definitions used in the nursing</w:t>
      </w:r>
      <w:r w:rsidR="00DD7980">
        <w:t xml:space="preserve"> homes, and by the European CDC for the surveys in long-term care facilities</w:t>
      </w:r>
      <w:r w:rsidR="00D8482F" w:rsidRPr="00D8482F">
        <w:t xml:space="preserve">, “Surveillance Definitions for Infections in Long-Term Care Facilities” (also </w:t>
      </w:r>
      <w:r w:rsidR="00DD7980" w:rsidRPr="00D8482F">
        <w:t>known</w:t>
      </w:r>
      <w:r w:rsidR="00D8482F" w:rsidRPr="00D8482F">
        <w:t xml:space="preserve"> as the revised McGeer criteria)</w:t>
      </w:r>
      <w:r w:rsidR="00D8482F" w:rsidRPr="00D8482F">
        <w:rPr>
          <w:i/>
        </w:rPr>
        <w:t xml:space="preserve"> </w:t>
      </w:r>
      <w:r w:rsidR="00D8482F" w:rsidRPr="00D8482F">
        <w:t>published</w:t>
      </w:r>
      <w:r w:rsidR="00D8482F" w:rsidRPr="00D8482F">
        <w:rPr>
          <w:i/>
        </w:rPr>
        <w:t xml:space="preserve"> </w:t>
      </w:r>
      <w:r w:rsidR="00D8482F" w:rsidRPr="00D8482F">
        <w:t xml:space="preserve">in 2012 by </w:t>
      </w:r>
      <w:r w:rsidR="00C17236">
        <w:t>T</w:t>
      </w:r>
      <w:r w:rsidR="00D8482F" w:rsidRPr="00D8482F">
        <w:t>he</w:t>
      </w:r>
      <w:r w:rsidR="00D8482F" w:rsidRPr="00D8482F">
        <w:rPr>
          <w:bCs/>
        </w:rPr>
        <w:t xml:space="preserve"> Society for Healthcare Epidemiolog</w:t>
      </w:r>
      <w:r w:rsidR="00C17236">
        <w:rPr>
          <w:bCs/>
        </w:rPr>
        <w:t>y</w:t>
      </w:r>
      <w:r w:rsidR="00D8482F" w:rsidRPr="00D8482F">
        <w:rPr>
          <w:bCs/>
        </w:rPr>
        <w:t xml:space="preserve"> of America and endorsed by CDC </w:t>
      </w:r>
      <w:r w:rsidR="001011D2">
        <w:rPr>
          <w:bCs/>
        </w:rPr>
        <w:t>(</w:t>
      </w:r>
      <w:r w:rsidR="00B609CA" w:rsidRPr="00D8482F">
        <w:rPr>
          <w:bCs/>
        </w:rPr>
        <w:t>1</w:t>
      </w:r>
      <w:r w:rsidR="00B609CA">
        <w:rPr>
          <w:bCs/>
        </w:rPr>
        <w:t>4</w:t>
      </w:r>
      <w:r w:rsidR="001011D2">
        <w:rPr>
          <w:bCs/>
        </w:rPr>
        <w:t>)</w:t>
      </w:r>
      <w:r w:rsidR="001011D2" w:rsidRPr="00D8482F">
        <w:rPr>
          <w:bCs/>
        </w:rPr>
        <w:t>.</w:t>
      </w:r>
      <w:r w:rsidR="001011D2" w:rsidRPr="00D8482F">
        <w:t xml:space="preserve">  </w:t>
      </w:r>
      <w:r w:rsidR="00B13715" w:rsidRPr="00D8482F">
        <w:rPr>
          <w:rStyle w:val="A0"/>
          <w:rFonts w:cs="Times New Roman"/>
          <w:sz w:val="24"/>
          <w:szCs w:val="24"/>
        </w:rPr>
        <w:t xml:space="preserve">Categorical and continuous variables will be compared in </w:t>
      </w:r>
      <w:r w:rsidR="00E24EC6" w:rsidRPr="00D8482F">
        <w:rPr>
          <w:rStyle w:val="A0"/>
          <w:rFonts w:cs="Times New Roman"/>
          <w:sz w:val="24"/>
          <w:szCs w:val="24"/>
        </w:rPr>
        <w:t>residents</w:t>
      </w:r>
      <w:r w:rsidR="00B13715" w:rsidRPr="00D8482F">
        <w:rPr>
          <w:rStyle w:val="A0"/>
          <w:rFonts w:cs="Times New Roman"/>
          <w:sz w:val="24"/>
          <w:szCs w:val="24"/>
        </w:rPr>
        <w:t xml:space="preserve"> with and without HAIs and </w:t>
      </w:r>
      <w:r w:rsidR="00E24EC6" w:rsidRPr="00D8482F">
        <w:rPr>
          <w:rStyle w:val="A0"/>
          <w:rFonts w:cs="Times New Roman"/>
          <w:sz w:val="24"/>
          <w:szCs w:val="24"/>
        </w:rPr>
        <w:t xml:space="preserve">in residents </w:t>
      </w:r>
      <w:r w:rsidR="00B13715" w:rsidRPr="00D8482F">
        <w:rPr>
          <w:rStyle w:val="A0"/>
          <w:rFonts w:cs="Times New Roman"/>
          <w:sz w:val="24"/>
          <w:szCs w:val="24"/>
        </w:rPr>
        <w:t>receiving and not receiving antimicrobia</w:t>
      </w:r>
      <w:r w:rsidR="00E24EC6" w:rsidRPr="00D8482F">
        <w:rPr>
          <w:rStyle w:val="A0"/>
          <w:rFonts w:cs="Times New Roman"/>
          <w:sz w:val="24"/>
          <w:szCs w:val="24"/>
        </w:rPr>
        <w:t xml:space="preserve">ls </w:t>
      </w:r>
      <w:r w:rsidR="00B13715" w:rsidRPr="00D8482F">
        <w:rPr>
          <w:rStyle w:val="A0"/>
          <w:rFonts w:cs="Times New Roman"/>
          <w:sz w:val="24"/>
          <w:szCs w:val="24"/>
        </w:rPr>
        <w:t xml:space="preserve">using chi-square tests and Wilcoxon rank-sum </w:t>
      </w:r>
      <w:r w:rsidR="008C50A1" w:rsidRPr="00D8482F">
        <w:rPr>
          <w:rStyle w:val="A0"/>
          <w:rFonts w:cs="Times New Roman"/>
          <w:sz w:val="24"/>
          <w:szCs w:val="24"/>
        </w:rPr>
        <w:t xml:space="preserve">or median </w:t>
      </w:r>
      <w:r w:rsidR="00B13715" w:rsidRPr="00D8482F">
        <w:rPr>
          <w:rStyle w:val="A0"/>
          <w:rFonts w:cs="Times New Roman"/>
          <w:sz w:val="24"/>
          <w:szCs w:val="24"/>
        </w:rPr>
        <w:t xml:space="preserve">tests, respectively. </w:t>
      </w:r>
      <w:r w:rsidR="00D37D44" w:rsidRPr="00D8482F">
        <w:rPr>
          <w:rStyle w:val="A0"/>
          <w:rFonts w:cs="Times New Roman"/>
          <w:sz w:val="24"/>
          <w:szCs w:val="24"/>
        </w:rPr>
        <w:t xml:space="preserve">Associations between </w:t>
      </w:r>
      <w:r w:rsidR="008B2240" w:rsidRPr="00D8482F">
        <w:rPr>
          <w:rStyle w:val="A0"/>
          <w:rFonts w:cs="Times New Roman"/>
          <w:sz w:val="24"/>
          <w:szCs w:val="24"/>
        </w:rPr>
        <w:t xml:space="preserve">resident </w:t>
      </w:r>
      <w:r w:rsidR="00D37D44" w:rsidRPr="00D8482F">
        <w:rPr>
          <w:rStyle w:val="A0"/>
          <w:rFonts w:cs="Times New Roman"/>
          <w:sz w:val="24"/>
          <w:szCs w:val="24"/>
        </w:rPr>
        <w:t>and facility-level characteristics and</w:t>
      </w:r>
      <w:r w:rsidR="00B13715" w:rsidRPr="00D8482F">
        <w:rPr>
          <w:rStyle w:val="A0"/>
          <w:rFonts w:cs="Times New Roman"/>
          <w:sz w:val="24"/>
          <w:szCs w:val="24"/>
        </w:rPr>
        <w:t xml:space="preserve"> HAIs and antimicrobial use will</w:t>
      </w:r>
      <w:r w:rsidR="00D37D44" w:rsidRPr="00D8482F">
        <w:rPr>
          <w:rStyle w:val="A0"/>
          <w:rFonts w:cs="Times New Roman"/>
          <w:sz w:val="24"/>
          <w:szCs w:val="24"/>
        </w:rPr>
        <w:t xml:space="preserve"> be explored using univariate and multivariable log binomial regression modeling</w:t>
      </w:r>
      <w:r w:rsidR="008C50A1" w:rsidRPr="00D8482F">
        <w:rPr>
          <w:rStyle w:val="A0"/>
          <w:rFonts w:cs="Times New Roman"/>
          <w:sz w:val="24"/>
          <w:szCs w:val="24"/>
        </w:rPr>
        <w:t xml:space="preserve"> or other appropriate methods</w:t>
      </w:r>
      <w:r w:rsidR="00D37D44" w:rsidRPr="00D8482F">
        <w:rPr>
          <w:rStyle w:val="A0"/>
          <w:rFonts w:cs="Times New Roman"/>
          <w:sz w:val="24"/>
          <w:szCs w:val="24"/>
        </w:rPr>
        <w:t xml:space="preserve">. HAI and antimicrobial use prevalence will be converted to incidence using the formula </w:t>
      </w:r>
      <w:r w:rsidR="008B2240" w:rsidRPr="00D8482F">
        <w:rPr>
          <w:rStyle w:val="A0"/>
          <w:rFonts w:cs="Times New Roman"/>
          <w:sz w:val="24"/>
          <w:szCs w:val="24"/>
        </w:rPr>
        <w:t>based on that from</w:t>
      </w:r>
      <w:r w:rsidR="00D37D44" w:rsidRPr="00D8482F">
        <w:rPr>
          <w:rStyle w:val="A0"/>
          <w:rFonts w:cs="Times New Roman"/>
          <w:sz w:val="24"/>
          <w:szCs w:val="24"/>
        </w:rPr>
        <w:t xml:space="preserve"> Rhame and Sudderth </w:t>
      </w:r>
      <w:r w:rsidR="001011D2">
        <w:rPr>
          <w:rStyle w:val="A0"/>
          <w:rFonts w:cs="Times New Roman"/>
          <w:sz w:val="24"/>
          <w:szCs w:val="24"/>
        </w:rPr>
        <w:t>(</w:t>
      </w:r>
      <w:r w:rsidR="00B609CA" w:rsidRPr="00D8482F">
        <w:rPr>
          <w:rStyle w:val="A0"/>
          <w:rFonts w:cs="Times New Roman"/>
          <w:sz w:val="24"/>
          <w:szCs w:val="24"/>
        </w:rPr>
        <w:t>1</w:t>
      </w:r>
      <w:r w:rsidR="00B609CA">
        <w:rPr>
          <w:rStyle w:val="A0"/>
          <w:rFonts w:cs="Times New Roman"/>
          <w:sz w:val="24"/>
          <w:szCs w:val="24"/>
        </w:rPr>
        <w:t>5</w:t>
      </w:r>
      <w:r w:rsidR="001011D2">
        <w:rPr>
          <w:rStyle w:val="A0"/>
          <w:rFonts w:cs="Times New Roman"/>
          <w:sz w:val="24"/>
          <w:szCs w:val="24"/>
        </w:rPr>
        <w:t>)</w:t>
      </w:r>
      <w:r w:rsidR="00B609CA">
        <w:rPr>
          <w:rStyle w:val="A0"/>
          <w:rFonts w:cs="Times New Roman"/>
          <w:sz w:val="24"/>
          <w:szCs w:val="24"/>
        </w:rPr>
        <w:t>, as outlined in Section A1 and Statement B</w:t>
      </w:r>
      <w:r w:rsidR="00D37D44" w:rsidRPr="00D8482F">
        <w:rPr>
          <w:rStyle w:val="A0"/>
          <w:rFonts w:cs="Times New Roman"/>
          <w:sz w:val="24"/>
          <w:szCs w:val="24"/>
        </w:rPr>
        <w:t>. HAI and antimicrobial use burden estimates will be generated u</w:t>
      </w:r>
      <w:r w:rsidR="00065366" w:rsidRPr="00D8482F">
        <w:rPr>
          <w:rStyle w:val="A0"/>
          <w:rFonts w:cs="Times New Roman"/>
          <w:sz w:val="24"/>
          <w:szCs w:val="24"/>
        </w:rPr>
        <w:t xml:space="preserve">sing prevalence survey data and </w:t>
      </w:r>
      <w:r w:rsidR="00D37D44" w:rsidRPr="00D8482F">
        <w:rPr>
          <w:rStyle w:val="A0"/>
          <w:rFonts w:cs="Times New Roman"/>
          <w:sz w:val="24"/>
          <w:szCs w:val="24"/>
        </w:rPr>
        <w:t xml:space="preserve">data from the </w:t>
      </w:r>
      <w:r w:rsidR="008B2240" w:rsidRPr="00D8482F">
        <w:rPr>
          <w:rStyle w:val="A0"/>
          <w:rFonts w:cs="Times New Roman"/>
          <w:sz w:val="24"/>
          <w:szCs w:val="24"/>
        </w:rPr>
        <w:t>Minimum Data</w:t>
      </w:r>
      <w:r w:rsidR="00065366" w:rsidRPr="00D8482F">
        <w:rPr>
          <w:rStyle w:val="A0"/>
          <w:rFonts w:cs="Times New Roman"/>
          <w:sz w:val="24"/>
          <w:szCs w:val="24"/>
        </w:rPr>
        <w:t xml:space="preserve">set (MDS), </w:t>
      </w:r>
      <w:r w:rsidR="008B2240" w:rsidRPr="00D8482F">
        <w:rPr>
          <w:rStyle w:val="A0"/>
          <w:rFonts w:cs="Times New Roman"/>
          <w:sz w:val="24"/>
          <w:szCs w:val="24"/>
        </w:rPr>
        <w:t>Nursing Home Compare dat</w:t>
      </w:r>
      <w:r w:rsidR="00065366" w:rsidRPr="00D8482F">
        <w:rPr>
          <w:rStyle w:val="A0"/>
          <w:rFonts w:cs="Times New Roman"/>
          <w:sz w:val="24"/>
          <w:szCs w:val="24"/>
        </w:rPr>
        <w:t xml:space="preserve">abase, and the </w:t>
      </w:r>
      <w:r w:rsidR="00065366" w:rsidRPr="00D8482F">
        <w:t xml:space="preserve">Certification and Survey Provider Enhanced Reporting (CASPER) </w:t>
      </w:r>
      <w:r w:rsidR="008B2240" w:rsidRPr="00D8482F">
        <w:rPr>
          <w:rStyle w:val="A0"/>
          <w:rFonts w:cs="Times New Roman"/>
          <w:sz w:val="24"/>
          <w:szCs w:val="24"/>
        </w:rPr>
        <w:t>from the CMS</w:t>
      </w:r>
      <w:r w:rsidR="00D37D44" w:rsidRPr="00D8482F">
        <w:rPr>
          <w:rStyle w:val="A0"/>
          <w:rFonts w:cs="Times New Roman"/>
          <w:sz w:val="24"/>
          <w:szCs w:val="24"/>
        </w:rPr>
        <w:t>.</w:t>
      </w:r>
      <w:bookmarkEnd w:id="53"/>
      <w:r w:rsidR="00D37D44" w:rsidRPr="00D8482F">
        <w:rPr>
          <w:rStyle w:val="A0"/>
          <w:rFonts w:cs="Times New Roman"/>
          <w:sz w:val="24"/>
          <w:szCs w:val="24"/>
        </w:rPr>
        <w:t xml:space="preserve"> </w:t>
      </w:r>
    </w:p>
    <w:p w14:paraId="4415A502" w14:textId="77777777" w:rsidR="00B13715" w:rsidRPr="00D8482F" w:rsidRDefault="00B13715" w:rsidP="00AA64C4">
      <w:pPr>
        <w:outlineLvl w:val="0"/>
      </w:pPr>
    </w:p>
    <w:p w14:paraId="0D681A0B" w14:textId="77777777" w:rsidR="00C83B78" w:rsidRPr="00D8482F" w:rsidRDefault="00AA64C4" w:rsidP="00AA64C4">
      <w:pPr>
        <w:outlineLvl w:val="0"/>
        <w:rPr>
          <w:b/>
        </w:rPr>
      </w:pPr>
      <w:bookmarkStart w:id="54" w:name="_Toc444243005"/>
      <w:r w:rsidRPr="00D8482F">
        <w:t>R</w:t>
      </w:r>
      <w:r w:rsidR="00C83B78" w:rsidRPr="00D8482F">
        <w:t xml:space="preserve">esults from this </w:t>
      </w:r>
      <w:r w:rsidR="008C50A1" w:rsidRPr="00D8482F">
        <w:t xml:space="preserve">data collection </w:t>
      </w:r>
      <w:r w:rsidR="00C83B78" w:rsidRPr="00D8482F">
        <w:t xml:space="preserve">will be </w:t>
      </w:r>
      <w:r w:rsidR="00914852" w:rsidRPr="00D8482F">
        <w:t xml:space="preserve">presented at national meetings and </w:t>
      </w:r>
      <w:r w:rsidR="00C83B78" w:rsidRPr="00D8482F">
        <w:t>published in a manuscript format in a peer-rev</w:t>
      </w:r>
      <w:r w:rsidR="000A24DA" w:rsidRPr="00D8482F">
        <w:t>iewed scientific journal.</w:t>
      </w:r>
      <w:r w:rsidRPr="00D8482F">
        <w:t xml:space="preserve"> </w:t>
      </w:r>
      <w:r w:rsidR="0022519E" w:rsidRPr="00D8482F">
        <w:t>Publications will include a discussion of potential biases and other limitations of the project.</w:t>
      </w:r>
      <w:bookmarkEnd w:id="54"/>
      <w:r w:rsidR="0022519E" w:rsidRPr="00D8482F">
        <w:t xml:space="preserve"> </w:t>
      </w:r>
    </w:p>
    <w:p w14:paraId="6DBBC314" w14:textId="77777777" w:rsidR="008B2240" w:rsidRPr="00D8482F" w:rsidRDefault="008B2240" w:rsidP="00EE7469"/>
    <w:p w14:paraId="5737C11D" w14:textId="77777777" w:rsidR="00633A82" w:rsidRPr="00D8482F" w:rsidRDefault="00F075B1" w:rsidP="00EE7469">
      <w:r w:rsidRPr="00D8482F">
        <w:t>Table A.16.1</w:t>
      </w:r>
      <w:r w:rsidR="0056142F" w:rsidRPr="00D8482F">
        <w:t xml:space="preserve">: </w:t>
      </w:r>
      <w:r w:rsidR="007124A6" w:rsidRPr="00D8482F">
        <w:t xml:space="preserve">Project </w:t>
      </w:r>
      <w:r w:rsidR="00F1020B" w:rsidRPr="00D8482F">
        <w:t>time schedule</w:t>
      </w:r>
    </w:p>
    <w:p w14:paraId="10F85047" w14:textId="77777777" w:rsidR="0056142F" w:rsidRPr="00D8482F" w:rsidRDefault="0056142F" w:rsidP="00EE7469"/>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200"/>
      </w:tblGrid>
      <w:tr w:rsidR="0056142F" w:rsidRPr="00D8482F" w14:paraId="3CBD8AE9" w14:textId="77777777" w:rsidTr="00EF390E">
        <w:tc>
          <w:tcPr>
            <w:tcW w:w="4668" w:type="dxa"/>
            <w:tcBorders>
              <w:top w:val="single" w:sz="4" w:space="0" w:color="auto"/>
              <w:left w:val="single" w:sz="4" w:space="0" w:color="auto"/>
              <w:bottom w:val="single" w:sz="4" w:space="0" w:color="auto"/>
              <w:right w:val="single" w:sz="4" w:space="0" w:color="auto"/>
            </w:tcBorders>
            <w:vAlign w:val="center"/>
            <w:hideMark/>
          </w:tcPr>
          <w:p w14:paraId="212C65FF" w14:textId="77777777" w:rsidR="0056142F" w:rsidRPr="00D8482F" w:rsidRDefault="0056142F">
            <w:pPr>
              <w:rPr>
                <w:b/>
              </w:rPr>
            </w:pPr>
            <w:r w:rsidRPr="00D8482F">
              <w:rPr>
                <w:b/>
              </w:rPr>
              <w:t>Activity</w:t>
            </w:r>
          </w:p>
        </w:tc>
        <w:tc>
          <w:tcPr>
            <w:tcW w:w="4200" w:type="dxa"/>
            <w:tcBorders>
              <w:top w:val="single" w:sz="4" w:space="0" w:color="auto"/>
              <w:left w:val="single" w:sz="4" w:space="0" w:color="auto"/>
              <w:bottom w:val="single" w:sz="4" w:space="0" w:color="auto"/>
              <w:right w:val="single" w:sz="4" w:space="0" w:color="auto"/>
            </w:tcBorders>
            <w:vAlign w:val="center"/>
            <w:hideMark/>
          </w:tcPr>
          <w:p w14:paraId="3F51B5F0" w14:textId="77777777" w:rsidR="0056142F" w:rsidRPr="00D8482F" w:rsidRDefault="0056142F">
            <w:pPr>
              <w:rPr>
                <w:b/>
              </w:rPr>
            </w:pPr>
            <w:r w:rsidRPr="00D8482F">
              <w:rPr>
                <w:b/>
              </w:rPr>
              <w:t>Time Schedule</w:t>
            </w:r>
          </w:p>
        </w:tc>
      </w:tr>
      <w:tr w:rsidR="0056142F" w:rsidRPr="00D8482F" w14:paraId="1669CA7A" w14:textId="77777777" w:rsidTr="00EF390E">
        <w:tc>
          <w:tcPr>
            <w:tcW w:w="4668" w:type="dxa"/>
            <w:tcBorders>
              <w:top w:val="single" w:sz="4" w:space="0" w:color="auto"/>
              <w:left w:val="single" w:sz="4" w:space="0" w:color="auto"/>
              <w:bottom w:val="single" w:sz="4" w:space="0" w:color="auto"/>
              <w:right w:val="single" w:sz="4" w:space="0" w:color="auto"/>
            </w:tcBorders>
            <w:vAlign w:val="center"/>
            <w:hideMark/>
          </w:tcPr>
          <w:p w14:paraId="4E86D480" w14:textId="77777777" w:rsidR="0056142F" w:rsidRPr="00D8482F" w:rsidRDefault="0056142F" w:rsidP="00246DEA">
            <w:r w:rsidRPr="00D8482F">
              <w:t xml:space="preserve">Training of </w:t>
            </w:r>
            <w:r w:rsidR="00CF1D92" w:rsidRPr="00D8482F">
              <w:t>staff</w:t>
            </w:r>
            <w:r w:rsidRPr="00D8482F">
              <w:t xml:space="preserve"> in participating </w:t>
            </w:r>
            <w:r w:rsidR="00246DEA" w:rsidRPr="00D8482F">
              <w:t>nursing homes</w:t>
            </w:r>
          </w:p>
        </w:tc>
        <w:tc>
          <w:tcPr>
            <w:tcW w:w="4200" w:type="dxa"/>
            <w:tcBorders>
              <w:top w:val="single" w:sz="4" w:space="0" w:color="auto"/>
              <w:left w:val="single" w:sz="4" w:space="0" w:color="auto"/>
              <w:bottom w:val="single" w:sz="4" w:space="0" w:color="auto"/>
              <w:right w:val="single" w:sz="4" w:space="0" w:color="auto"/>
            </w:tcBorders>
            <w:vAlign w:val="center"/>
            <w:hideMark/>
          </w:tcPr>
          <w:p w14:paraId="259313C2" w14:textId="77777777" w:rsidR="0056142F" w:rsidRPr="00D8482F" w:rsidRDefault="00CF1D92" w:rsidP="00B5551E">
            <w:r w:rsidRPr="00D8482F">
              <w:t>W</w:t>
            </w:r>
            <w:r w:rsidR="0056142F" w:rsidRPr="00D8482F">
              <w:t xml:space="preserve">ithin </w:t>
            </w:r>
            <w:r w:rsidR="00B5551E">
              <w:t>1</w:t>
            </w:r>
            <w:r w:rsidR="0056142F" w:rsidRPr="00D8482F">
              <w:t>-</w:t>
            </w:r>
            <w:r w:rsidR="00B5551E">
              <w:t>4</w:t>
            </w:r>
            <w:r w:rsidR="00B5551E" w:rsidRPr="00D8482F">
              <w:t xml:space="preserve"> </w:t>
            </w:r>
            <w:r w:rsidR="0056142F" w:rsidRPr="00D8482F">
              <w:t xml:space="preserve">months </w:t>
            </w:r>
            <w:r w:rsidR="00F41F61" w:rsidRPr="00D8482F">
              <w:t>after OMB approval</w:t>
            </w:r>
          </w:p>
        </w:tc>
      </w:tr>
      <w:tr w:rsidR="0056142F" w:rsidRPr="00D8482F" w14:paraId="65EBAC54" w14:textId="77777777" w:rsidTr="0056142F">
        <w:trPr>
          <w:trHeight w:val="398"/>
        </w:trPr>
        <w:tc>
          <w:tcPr>
            <w:tcW w:w="4668" w:type="dxa"/>
            <w:tcBorders>
              <w:top w:val="single" w:sz="4" w:space="0" w:color="auto"/>
              <w:left w:val="single" w:sz="4" w:space="0" w:color="auto"/>
              <w:bottom w:val="single" w:sz="4" w:space="0" w:color="auto"/>
              <w:right w:val="single" w:sz="4" w:space="0" w:color="auto"/>
            </w:tcBorders>
            <w:vAlign w:val="center"/>
            <w:hideMark/>
          </w:tcPr>
          <w:p w14:paraId="73896B5B" w14:textId="77777777" w:rsidR="0056142F" w:rsidRPr="00D8482F" w:rsidRDefault="0056142F" w:rsidP="00F075B1">
            <w:r w:rsidRPr="00D8482F">
              <w:t xml:space="preserve">Conduct of survey </w:t>
            </w:r>
          </w:p>
        </w:tc>
        <w:tc>
          <w:tcPr>
            <w:tcW w:w="4200" w:type="dxa"/>
            <w:tcBorders>
              <w:top w:val="single" w:sz="4" w:space="0" w:color="auto"/>
              <w:left w:val="single" w:sz="4" w:space="0" w:color="auto"/>
              <w:bottom w:val="single" w:sz="4" w:space="0" w:color="auto"/>
              <w:right w:val="single" w:sz="4" w:space="0" w:color="auto"/>
            </w:tcBorders>
            <w:vAlign w:val="center"/>
            <w:hideMark/>
          </w:tcPr>
          <w:p w14:paraId="79E8755F" w14:textId="77777777" w:rsidR="0056142F" w:rsidRPr="00D8482F" w:rsidRDefault="0056142F" w:rsidP="00B5551E">
            <w:r w:rsidRPr="00D8482F">
              <w:t xml:space="preserve">Within </w:t>
            </w:r>
            <w:r w:rsidR="00B5551E">
              <w:t>4</w:t>
            </w:r>
            <w:r w:rsidRPr="00D8482F">
              <w:t>-</w:t>
            </w:r>
            <w:r w:rsidR="009D3C34">
              <w:t>9</w:t>
            </w:r>
            <w:r w:rsidR="009D3C34" w:rsidRPr="00D8482F">
              <w:t xml:space="preserve"> </w:t>
            </w:r>
            <w:r w:rsidRPr="00D8482F">
              <w:t xml:space="preserve">months after OMB approval </w:t>
            </w:r>
          </w:p>
        </w:tc>
      </w:tr>
      <w:tr w:rsidR="0056142F" w:rsidRPr="00D8482F" w14:paraId="62F1A305" w14:textId="77777777" w:rsidTr="0056142F">
        <w:tc>
          <w:tcPr>
            <w:tcW w:w="4668" w:type="dxa"/>
            <w:tcBorders>
              <w:top w:val="single" w:sz="4" w:space="0" w:color="auto"/>
              <w:left w:val="single" w:sz="4" w:space="0" w:color="auto"/>
              <w:bottom w:val="single" w:sz="4" w:space="0" w:color="auto"/>
              <w:right w:val="single" w:sz="4" w:space="0" w:color="auto"/>
            </w:tcBorders>
            <w:vAlign w:val="center"/>
            <w:hideMark/>
          </w:tcPr>
          <w:p w14:paraId="1D3F053C" w14:textId="77777777" w:rsidR="0056142F" w:rsidRPr="00D8482F" w:rsidRDefault="0056142F">
            <w:r w:rsidRPr="00D8482F">
              <w:t>Data collection by EIP personnel</w:t>
            </w:r>
          </w:p>
        </w:tc>
        <w:tc>
          <w:tcPr>
            <w:tcW w:w="4200" w:type="dxa"/>
            <w:tcBorders>
              <w:top w:val="single" w:sz="4" w:space="0" w:color="auto"/>
              <w:left w:val="single" w:sz="4" w:space="0" w:color="auto"/>
              <w:bottom w:val="single" w:sz="4" w:space="0" w:color="auto"/>
              <w:right w:val="single" w:sz="4" w:space="0" w:color="auto"/>
            </w:tcBorders>
            <w:vAlign w:val="center"/>
            <w:hideMark/>
          </w:tcPr>
          <w:p w14:paraId="15B885CC" w14:textId="77777777" w:rsidR="0056142F" w:rsidRPr="00D8482F" w:rsidRDefault="0056142F" w:rsidP="00B5551E">
            <w:r w:rsidRPr="00D8482F">
              <w:t xml:space="preserve">Within </w:t>
            </w:r>
            <w:r w:rsidR="009D3C34">
              <w:t>6</w:t>
            </w:r>
            <w:r w:rsidRPr="00D8482F">
              <w:t>-</w:t>
            </w:r>
            <w:r w:rsidR="00B5551E">
              <w:t>15</w:t>
            </w:r>
            <w:r w:rsidR="00B5551E" w:rsidRPr="00D8482F">
              <w:t xml:space="preserve"> </w:t>
            </w:r>
            <w:r w:rsidRPr="00D8482F">
              <w:t xml:space="preserve">months after OMB approval </w:t>
            </w:r>
          </w:p>
        </w:tc>
      </w:tr>
      <w:tr w:rsidR="0056142F" w:rsidRPr="00D8482F" w14:paraId="4BA85E43" w14:textId="77777777" w:rsidTr="0056142F">
        <w:tc>
          <w:tcPr>
            <w:tcW w:w="4668" w:type="dxa"/>
            <w:tcBorders>
              <w:top w:val="single" w:sz="4" w:space="0" w:color="auto"/>
              <w:left w:val="single" w:sz="4" w:space="0" w:color="auto"/>
              <w:bottom w:val="single" w:sz="4" w:space="0" w:color="auto"/>
              <w:right w:val="single" w:sz="4" w:space="0" w:color="auto"/>
            </w:tcBorders>
            <w:vAlign w:val="center"/>
            <w:hideMark/>
          </w:tcPr>
          <w:p w14:paraId="6B07F4B2" w14:textId="77777777" w:rsidR="0056142F" w:rsidRPr="00D8482F" w:rsidRDefault="0056142F" w:rsidP="00F075B1">
            <w:r w:rsidRPr="00D8482F">
              <w:t xml:space="preserve">Transmission of </w:t>
            </w:r>
            <w:r w:rsidR="00F075B1" w:rsidRPr="00D8482F">
              <w:t>all survey</w:t>
            </w:r>
            <w:r w:rsidRPr="00D8482F">
              <w:t xml:space="preserve"> data to CDC </w:t>
            </w:r>
          </w:p>
        </w:tc>
        <w:tc>
          <w:tcPr>
            <w:tcW w:w="4200" w:type="dxa"/>
            <w:tcBorders>
              <w:top w:val="single" w:sz="4" w:space="0" w:color="auto"/>
              <w:left w:val="single" w:sz="4" w:space="0" w:color="auto"/>
              <w:bottom w:val="single" w:sz="4" w:space="0" w:color="auto"/>
              <w:right w:val="single" w:sz="4" w:space="0" w:color="auto"/>
            </w:tcBorders>
            <w:vAlign w:val="center"/>
            <w:hideMark/>
          </w:tcPr>
          <w:p w14:paraId="2B433080" w14:textId="77777777" w:rsidR="0056142F" w:rsidRPr="00D8482F" w:rsidRDefault="0056142F" w:rsidP="00B5551E">
            <w:r w:rsidRPr="00D8482F">
              <w:t xml:space="preserve">Within </w:t>
            </w:r>
            <w:r w:rsidR="00B5551E">
              <w:t>18</w:t>
            </w:r>
            <w:r w:rsidR="00B5551E" w:rsidRPr="00D8482F">
              <w:t xml:space="preserve"> </w:t>
            </w:r>
            <w:r w:rsidRPr="00D8482F">
              <w:t xml:space="preserve">months after OMB approval </w:t>
            </w:r>
          </w:p>
        </w:tc>
      </w:tr>
      <w:tr w:rsidR="0056142F" w:rsidRPr="00D8482F" w14:paraId="367386BD" w14:textId="77777777" w:rsidTr="0056142F">
        <w:tc>
          <w:tcPr>
            <w:tcW w:w="4668" w:type="dxa"/>
            <w:tcBorders>
              <w:top w:val="single" w:sz="4" w:space="0" w:color="auto"/>
              <w:left w:val="single" w:sz="4" w:space="0" w:color="auto"/>
              <w:bottom w:val="single" w:sz="4" w:space="0" w:color="auto"/>
              <w:right w:val="single" w:sz="4" w:space="0" w:color="auto"/>
            </w:tcBorders>
            <w:vAlign w:val="center"/>
            <w:hideMark/>
          </w:tcPr>
          <w:p w14:paraId="15352049" w14:textId="77777777" w:rsidR="0056142F" w:rsidRPr="00D8482F" w:rsidRDefault="0056142F" w:rsidP="00F075B1">
            <w:r w:rsidRPr="00D8482F">
              <w:t xml:space="preserve">Analysis and presentation of results </w:t>
            </w:r>
          </w:p>
        </w:tc>
        <w:tc>
          <w:tcPr>
            <w:tcW w:w="4200" w:type="dxa"/>
            <w:tcBorders>
              <w:top w:val="single" w:sz="4" w:space="0" w:color="auto"/>
              <w:left w:val="single" w:sz="4" w:space="0" w:color="auto"/>
              <w:bottom w:val="single" w:sz="4" w:space="0" w:color="auto"/>
              <w:right w:val="single" w:sz="4" w:space="0" w:color="auto"/>
            </w:tcBorders>
            <w:vAlign w:val="center"/>
            <w:hideMark/>
          </w:tcPr>
          <w:p w14:paraId="3224523C" w14:textId="77777777" w:rsidR="0056142F" w:rsidRPr="00D8482F" w:rsidRDefault="0056142F" w:rsidP="00B5551E">
            <w:r w:rsidRPr="00D8482F">
              <w:t xml:space="preserve">Within </w:t>
            </w:r>
            <w:r w:rsidR="008F5CF2" w:rsidRPr="00D8482F">
              <w:t>1</w:t>
            </w:r>
            <w:r w:rsidR="008F5CF2">
              <w:t>8</w:t>
            </w:r>
            <w:r w:rsidR="00F075B1" w:rsidRPr="00D8482F">
              <w:t>-</w:t>
            </w:r>
            <w:r w:rsidR="00B5551E">
              <w:t>30</w:t>
            </w:r>
            <w:r w:rsidR="00B5551E" w:rsidRPr="00D8482F">
              <w:t xml:space="preserve"> </w:t>
            </w:r>
            <w:r w:rsidR="00CF1D92" w:rsidRPr="00D8482F">
              <w:t>months after OMB approval</w:t>
            </w:r>
          </w:p>
        </w:tc>
      </w:tr>
    </w:tbl>
    <w:p w14:paraId="0904CA51" w14:textId="77777777" w:rsidR="00D8482F" w:rsidRPr="00D8482F" w:rsidRDefault="00D8482F" w:rsidP="0056142F">
      <w:pPr>
        <w:rPr>
          <w:b/>
        </w:rPr>
      </w:pPr>
    </w:p>
    <w:p w14:paraId="17D24E1C" w14:textId="77777777" w:rsidR="00B13715" w:rsidRPr="00D8482F" w:rsidRDefault="00AD36BD" w:rsidP="00753597">
      <w:pPr>
        <w:pStyle w:val="Heading1"/>
      </w:pPr>
      <w:bookmarkStart w:id="55" w:name="_Toc444243006"/>
      <w:r w:rsidRPr="00D8482F">
        <w:t>Reason(s) Display of OMB Expiration Date is Inappropriate</w:t>
      </w:r>
      <w:bookmarkEnd w:id="55"/>
    </w:p>
    <w:p w14:paraId="7A0B42FD" w14:textId="77777777" w:rsidR="00B13715" w:rsidRPr="00D8482F" w:rsidRDefault="00B13715" w:rsidP="00B13715">
      <w:pPr>
        <w:ind w:left="720" w:hanging="720"/>
        <w:rPr>
          <w:b/>
        </w:rPr>
      </w:pPr>
    </w:p>
    <w:p w14:paraId="1D15D44E" w14:textId="77777777" w:rsidR="005A2E28" w:rsidRPr="00D8482F" w:rsidRDefault="005A2E28" w:rsidP="00B13715">
      <w:pPr>
        <w:ind w:left="720" w:hanging="720"/>
        <w:rPr>
          <w:b/>
        </w:rPr>
      </w:pPr>
      <w:r w:rsidRPr="00D8482F">
        <w:t xml:space="preserve">The </w:t>
      </w:r>
      <w:r w:rsidR="00E03C8B" w:rsidRPr="00D8482F">
        <w:t xml:space="preserve">display of the OMB expiration date is not inappropriate. </w:t>
      </w:r>
    </w:p>
    <w:p w14:paraId="697E797E" w14:textId="77777777" w:rsidR="00AD36BD" w:rsidRPr="00D8482F" w:rsidRDefault="00AD36BD" w:rsidP="00EE7469"/>
    <w:p w14:paraId="3407C9B7" w14:textId="77777777" w:rsidR="00E03C8B" w:rsidRPr="00D8482F" w:rsidRDefault="00AD36BD" w:rsidP="00753597">
      <w:pPr>
        <w:pStyle w:val="Heading1"/>
      </w:pPr>
      <w:bookmarkStart w:id="56" w:name="_Toc444243007"/>
      <w:r w:rsidRPr="00D8482F">
        <w:t>Exceptions to Certification for Paperwork Reduction Act Submissions</w:t>
      </w:r>
      <w:bookmarkEnd w:id="56"/>
    </w:p>
    <w:p w14:paraId="29D23D62" w14:textId="77777777" w:rsidR="00E03C8B" w:rsidRPr="00D8482F" w:rsidRDefault="00E03C8B" w:rsidP="00E03C8B">
      <w:pPr>
        <w:ind w:left="720" w:hanging="720"/>
        <w:rPr>
          <w:b/>
        </w:rPr>
      </w:pPr>
    </w:p>
    <w:p w14:paraId="0189B285" w14:textId="77777777" w:rsidR="006D4B71" w:rsidRDefault="00E03C8B" w:rsidP="009842E3">
      <w:r w:rsidRPr="00D8482F">
        <w:t>There are n</w:t>
      </w:r>
      <w:r w:rsidR="005A2E28" w:rsidRPr="00D8482F">
        <w:t xml:space="preserve">o exceptions to </w:t>
      </w:r>
      <w:r w:rsidRPr="00D8482F">
        <w:t xml:space="preserve">the </w:t>
      </w:r>
      <w:r w:rsidR="005A2E28" w:rsidRPr="00D8482F">
        <w:t xml:space="preserve">certification. </w:t>
      </w:r>
    </w:p>
    <w:p w14:paraId="1A924A99" w14:textId="77777777" w:rsidR="00D8482F" w:rsidRPr="006D4B71" w:rsidRDefault="006D4B71" w:rsidP="006D4B71">
      <w:pPr>
        <w:rPr>
          <w:b/>
        </w:rPr>
      </w:pPr>
      <w:r w:rsidRPr="006D4B71">
        <w:rPr>
          <w:b/>
        </w:rPr>
        <w:br w:type="page"/>
      </w:r>
      <w:bookmarkStart w:id="57" w:name="_Toc444243008"/>
      <w:r w:rsidR="00D8482F" w:rsidRPr="006D4B71">
        <w:rPr>
          <w:b/>
        </w:rPr>
        <w:lastRenderedPageBreak/>
        <w:t>References</w:t>
      </w:r>
      <w:bookmarkEnd w:id="57"/>
    </w:p>
    <w:p w14:paraId="79447E7C" w14:textId="77777777" w:rsidR="00D8482F" w:rsidRDefault="00D8482F" w:rsidP="009842E3">
      <w:pPr>
        <w:rPr>
          <w:b/>
        </w:rPr>
      </w:pPr>
    </w:p>
    <w:p w14:paraId="53B55B83" w14:textId="77777777" w:rsidR="00D8482F" w:rsidRPr="00502277" w:rsidRDefault="00D8482F" w:rsidP="00320E2D">
      <w:pPr>
        <w:pStyle w:val="ListParagraph"/>
        <w:numPr>
          <w:ilvl w:val="0"/>
          <w:numId w:val="30"/>
        </w:numPr>
        <w:spacing w:before="100" w:beforeAutospacing="1" w:after="100" w:afterAutospacing="1" w:line="360" w:lineRule="auto"/>
        <w:contextualSpacing/>
        <w:rPr>
          <w:rFonts w:ascii="Times New Roman" w:hAnsi="Times New Roman"/>
          <w:sz w:val="24"/>
          <w:szCs w:val="24"/>
          <w:lang w:val="en"/>
        </w:rPr>
      </w:pPr>
      <w:r w:rsidRPr="00502277">
        <w:rPr>
          <w:rFonts w:ascii="Times New Roman" w:hAnsi="Times New Roman"/>
          <w:sz w:val="24"/>
          <w:szCs w:val="24"/>
          <w:lang w:val="en"/>
        </w:rPr>
        <w:t xml:space="preserve">Magill SS et al. Prevalence of healthcare-associated infections in acute care hospitals in Jacksonville, Florida. </w:t>
      </w:r>
      <w:r w:rsidRPr="00D8482F">
        <w:rPr>
          <w:rStyle w:val="Emphasis"/>
          <w:rFonts w:ascii="Times New Roman" w:hAnsi="Times New Roman"/>
          <w:sz w:val="24"/>
          <w:szCs w:val="24"/>
          <w:lang w:val="en"/>
        </w:rPr>
        <w:t>Infect Control Hosp Epidemiol</w:t>
      </w:r>
      <w:r w:rsidRPr="00502277">
        <w:rPr>
          <w:rFonts w:ascii="Times New Roman" w:hAnsi="Times New Roman"/>
          <w:sz w:val="24"/>
          <w:szCs w:val="24"/>
          <w:lang w:val="en"/>
        </w:rPr>
        <w:t xml:space="preserve"> 2012;33:283-91.</w:t>
      </w:r>
    </w:p>
    <w:p w14:paraId="6F848794" w14:textId="77777777" w:rsidR="00D8482F" w:rsidRPr="00502277" w:rsidRDefault="00D8482F" w:rsidP="00320E2D">
      <w:pPr>
        <w:pStyle w:val="ListParagraph"/>
        <w:numPr>
          <w:ilvl w:val="0"/>
          <w:numId w:val="30"/>
        </w:numPr>
        <w:spacing w:before="100" w:beforeAutospacing="1" w:after="100" w:afterAutospacing="1" w:line="360" w:lineRule="auto"/>
        <w:contextualSpacing/>
        <w:rPr>
          <w:rFonts w:ascii="Times New Roman" w:hAnsi="Times New Roman"/>
          <w:sz w:val="24"/>
          <w:szCs w:val="24"/>
          <w:lang w:val="en"/>
        </w:rPr>
      </w:pPr>
      <w:r w:rsidRPr="00502277">
        <w:rPr>
          <w:rFonts w:ascii="Times New Roman" w:hAnsi="Times New Roman"/>
          <w:sz w:val="24"/>
          <w:szCs w:val="24"/>
          <w:lang w:val="en"/>
        </w:rPr>
        <w:t xml:space="preserve">Magill SS, Edwards JR, Bamberg W, et al. </w:t>
      </w:r>
      <w:r w:rsidRPr="00502277">
        <w:rPr>
          <w:rStyle w:val="cdc-decorated1"/>
          <w:rFonts w:ascii="Times New Roman" w:hAnsi="Times New Roman"/>
          <w:sz w:val="24"/>
          <w:szCs w:val="24"/>
          <w:lang w:val="en"/>
          <w:specVanish w:val="0"/>
        </w:rPr>
        <w:t>Multistate Point-Prevalence Survey of Health Care–Associated Infections</w:t>
      </w:r>
      <w:r w:rsidRPr="00502277">
        <w:rPr>
          <w:rFonts w:ascii="Times New Roman" w:hAnsi="Times New Roman"/>
          <w:noProof/>
          <w:sz w:val="24"/>
          <w:szCs w:val="24"/>
        </w:rPr>
        <w:t xml:space="preserve">. </w:t>
      </w:r>
      <w:r w:rsidRPr="00D8482F">
        <w:rPr>
          <w:rStyle w:val="Emphasis"/>
          <w:rFonts w:ascii="Times New Roman" w:hAnsi="Times New Roman"/>
          <w:sz w:val="24"/>
          <w:szCs w:val="24"/>
          <w:lang w:val="en"/>
        </w:rPr>
        <w:t>N Engl J Med</w:t>
      </w:r>
      <w:r w:rsidRPr="00D8482F">
        <w:rPr>
          <w:rFonts w:ascii="Times New Roman" w:hAnsi="Times New Roman"/>
          <w:sz w:val="24"/>
          <w:szCs w:val="24"/>
          <w:lang w:val="en"/>
        </w:rPr>
        <w:t xml:space="preserve"> </w:t>
      </w:r>
      <w:r w:rsidRPr="00502277">
        <w:rPr>
          <w:rFonts w:ascii="Times New Roman" w:hAnsi="Times New Roman"/>
          <w:sz w:val="24"/>
          <w:szCs w:val="24"/>
          <w:lang w:val="en"/>
        </w:rPr>
        <w:t>2014;370:1198-208.</w:t>
      </w:r>
    </w:p>
    <w:p w14:paraId="4A52348C" w14:textId="77777777" w:rsidR="00D8482F" w:rsidRPr="00502277" w:rsidRDefault="00D8482F" w:rsidP="00320E2D">
      <w:pPr>
        <w:pStyle w:val="ListParagraph"/>
        <w:numPr>
          <w:ilvl w:val="0"/>
          <w:numId w:val="30"/>
        </w:numPr>
        <w:spacing w:before="100" w:beforeAutospacing="1" w:after="100" w:afterAutospacing="1" w:line="360" w:lineRule="auto"/>
        <w:contextualSpacing/>
        <w:rPr>
          <w:rFonts w:ascii="Times New Roman" w:hAnsi="Times New Roman"/>
          <w:sz w:val="24"/>
          <w:szCs w:val="24"/>
          <w:lang w:val="en"/>
        </w:rPr>
      </w:pPr>
      <w:r w:rsidRPr="00502277">
        <w:rPr>
          <w:rFonts w:ascii="Times New Roman" w:hAnsi="Times New Roman"/>
          <w:sz w:val="24"/>
          <w:szCs w:val="24"/>
          <w:lang w:val="en"/>
        </w:rPr>
        <w:t xml:space="preserve">Magill SS et al. </w:t>
      </w:r>
      <w:r w:rsidRPr="00502277">
        <w:rPr>
          <w:rFonts w:ascii="Times New Roman" w:hAnsi="Times New Roman"/>
          <w:bCs/>
          <w:sz w:val="24"/>
          <w:szCs w:val="24"/>
        </w:rPr>
        <w:t xml:space="preserve">Prevalence of Antimicrobial Use in US Acute Care Hospitals, May-September 2011. </w:t>
      </w:r>
      <w:r w:rsidRPr="00502277">
        <w:rPr>
          <w:rFonts w:ascii="Times New Roman" w:hAnsi="Times New Roman"/>
          <w:i/>
          <w:iCs/>
          <w:color w:val="333333"/>
          <w:sz w:val="24"/>
          <w:szCs w:val="24"/>
        </w:rPr>
        <w:t xml:space="preserve">JAMA. </w:t>
      </w:r>
      <w:r w:rsidRPr="00502277">
        <w:rPr>
          <w:rFonts w:ascii="Times New Roman" w:hAnsi="Times New Roman"/>
          <w:color w:val="333333"/>
          <w:sz w:val="24"/>
          <w:szCs w:val="24"/>
        </w:rPr>
        <w:t>2014;312(14):1438-1446.</w:t>
      </w:r>
    </w:p>
    <w:p w14:paraId="4EB6BB65" w14:textId="77777777" w:rsidR="00494F19" w:rsidRPr="00494F19" w:rsidRDefault="00D8482F" w:rsidP="00494F19">
      <w:pPr>
        <w:pStyle w:val="ListParagraph"/>
        <w:numPr>
          <w:ilvl w:val="0"/>
          <w:numId w:val="30"/>
        </w:numPr>
        <w:autoSpaceDE w:val="0"/>
        <w:autoSpaceDN w:val="0"/>
        <w:adjustRightInd w:val="0"/>
        <w:spacing w:line="360" w:lineRule="auto"/>
        <w:contextualSpacing/>
        <w:rPr>
          <w:rFonts w:ascii="Times New Roman" w:hAnsi="Times New Roman"/>
          <w:sz w:val="24"/>
          <w:szCs w:val="24"/>
          <w:lang w:eastAsia="ja-JP"/>
        </w:rPr>
      </w:pPr>
      <w:r w:rsidRPr="00494F19">
        <w:rPr>
          <w:rFonts w:ascii="Times New Roman" w:hAnsi="Times New Roman"/>
          <w:sz w:val="24"/>
          <w:szCs w:val="24"/>
        </w:rPr>
        <w:t>European Centre for Disease Prevention and Control. Point prevalence survey of healthcare-associated infections</w:t>
      </w:r>
      <w:r w:rsidRPr="00494F19">
        <w:rPr>
          <w:rFonts w:ascii="Times New Roman" w:hAnsi="Times New Roman"/>
          <w:bCs/>
          <w:sz w:val="24"/>
          <w:szCs w:val="24"/>
        </w:rPr>
        <w:t xml:space="preserve"> </w:t>
      </w:r>
      <w:r w:rsidRPr="00494F19">
        <w:rPr>
          <w:rFonts w:ascii="Times New Roman" w:hAnsi="Times New Roman"/>
          <w:sz w:val="24"/>
          <w:szCs w:val="24"/>
        </w:rPr>
        <w:t>and antimicrobial use in European long-term care facilities, May–September 2010. Stockholm: ECDC; 2014.</w:t>
      </w:r>
    </w:p>
    <w:p w14:paraId="533FF80B" w14:textId="77777777" w:rsidR="00494F19" w:rsidRPr="00494F19" w:rsidRDefault="00D8482F" w:rsidP="00494F19">
      <w:pPr>
        <w:pStyle w:val="ListParagraph"/>
        <w:numPr>
          <w:ilvl w:val="0"/>
          <w:numId w:val="30"/>
        </w:numPr>
        <w:autoSpaceDE w:val="0"/>
        <w:autoSpaceDN w:val="0"/>
        <w:adjustRightInd w:val="0"/>
        <w:spacing w:line="360" w:lineRule="auto"/>
        <w:contextualSpacing/>
        <w:rPr>
          <w:rFonts w:ascii="Times New Roman" w:hAnsi="Times New Roman"/>
          <w:sz w:val="24"/>
          <w:szCs w:val="24"/>
          <w:lang w:eastAsia="ja-JP"/>
        </w:rPr>
      </w:pPr>
      <w:r w:rsidRPr="00494F19">
        <w:rPr>
          <w:rFonts w:ascii="Times New Roman" w:hAnsi="Times New Roman"/>
          <w:sz w:val="24"/>
          <w:szCs w:val="24"/>
        </w:rPr>
        <w:t xml:space="preserve"> European Centre for Disease Prevention and Control. Point prevalence survey of healthcare associated infections and antimicrobial use in European long-term care facilities. April–May 2013. Stockholm: ECDC; 2014.</w:t>
      </w:r>
    </w:p>
    <w:p w14:paraId="581B9C7B" w14:textId="77777777" w:rsidR="00494F19" w:rsidRPr="00494F19" w:rsidRDefault="00494F19" w:rsidP="00494F19">
      <w:pPr>
        <w:pStyle w:val="ListParagraph"/>
        <w:numPr>
          <w:ilvl w:val="0"/>
          <w:numId w:val="30"/>
        </w:numPr>
        <w:autoSpaceDE w:val="0"/>
        <w:autoSpaceDN w:val="0"/>
        <w:adjustRightInd w:val="0"/>
        <w:spacing w:line="360" w:lineRule="auto"/>
        <w:contextualSpacing/>
        <w:rPr>
          <w:rFonts w:ascii="Times New Roman" w:hAnsi="Times New Roman"/>
          <w:sz w:val="24"/>
          <w:szCs w:val="24"/>
          <w:lang w:eastAsia="ja-JP"/>
        </w:rPr>
      </w:pPr>
      <w:r w:rsidRPr="00494F19">
        <w:rPr>
          <w:rFonts w:ascii="Times New Roman" w:hAnsi="Times New Roman"/>
          <w:sz w:val="24"/>
          <w:szCs w:val="24"/>
          <w:lang w:eastAsia="ja-JP"/>
        </w:rPr>
        <w:t>Epstein L, Stone, ND, LaPlace L, et al. Comparison of Data Collection for Healthcare-Associated Infection Surveillance in Nursing Homes. Infect Control Hosp Epidemiol, 2016;37:</w:t>
      </w:r>
      <w:r w:rsidRPr="00494F19">
        <w:rPr>
          <w:rStyle w:val="Hyperlink"/>
          <w:rFonts w:ascii="Times New Roman" w:hAnsi="Times New Roman"/>
          <w:sz w:val="24"/>
          <w:szCs w:val="24"/>
          <w:lang w:val="en"/>
        </w:rPr>
        <w:t xml:space="preserve"> </w:t>
      </w:r>
      <w:r w:rsidRPr="00494F19">
        <w:rPr>
          <w:rStyle w:val="Date1"/>
          <w:rFonts w:ascii="Times New Roman" w:hAnsi="Times New Roman"/>
          <w:sz w:val="24"/>
          <w:szCs w:val="24"/>
          <w:lang w:val="en"/>
        </w:rPr>
        <w:t>1440-1445</w:t>
      </w:r>
      <w:r>
        <w:rPr>
          <w:rStyle w:val="Date1"/>
          <w:rFonts w:ascii="Times New Roman" w:hAnsi="Times New Roman"/>
          <w:sz w:val="24"/>
          <w:szCs w:val="24"/>
          <w:lang w:val="en"/>
        </w:rPr>
        <w:t>.</w:t>
      </w:r>
    </w:p>
    <w:p w14:paraId="364EF666" w14:textId="77777777" w:rsidR="00494F19" w:rsidRPr="00494F19" w:rsidRDefault="00494F19" w:rsidP="00494F19">
      <w:pPr>
        <w:numPr>
          <w:ilvl w:val="0"/>
          <w:numId w:val="30"/>
        </w:numPr>
        <w:autoSpaceDE w:val="0"/>
        <w:autoSpaceDN w:val="0"/>
        <w:adjustRightInd w:val="0"/>
        <w:spacing w:line="360" w:lineRule="auto"/>
        <w:rPr>
          <w:lang w:eastAsia="ja-JP"/>
        </w:rPr>
      </w:pPr>
      <w:r w:rsidRPr="00494F19">
        <w:rPr>
          <w:color w:val="000000"/>
          <w:lang w:eastAsia="ja-JP"/>
        </w:rPr>
        <w:t xml:space="preserve">Thompson ND, LaPlace L, Epstein L et al. </w:t>
      </w:r>
      <w:r w:rsidRPr="00494F19">
        <w:rPr>
          <w:lang w:eastAsia="ja-JP"/>
        </w:rPr>
        <w:t>Antimicrobial Use and Opportunities to Improve Prescribing Practices in U.S. Nursing Homes. JAMDA, 2016; 17 (2016) 1151-1153.</w:t>
      </w:r>
    </w:p>
    <w:p w14:paraId="0E4F671F" w14:textId="77777777" w:rsidR="00D1576D" w:rsidRPr="00D56087" w:rsidRDefault="00D1576D" w:rsidP="00320E2D">
      <w:pPr>
        <w:numPr>
          <w:ilvl w:val="0"/>
          <w:numId w:val="30"/>
        </w:numPr>
        <w:spacing w:line="360" w:lineRule="auto"/>
        <w:rPr>
          <w:lang w:val="en-GB"/>
        </w:rPr>
      </w:pPr>
      <w:r w:rsidRPr="00D56087">
        <w:rPr>
          <w:bCs/>
          <w:color w:val="000000"/>
        </w:rPr>
        <w:t xml:space="preserve">Lynfield R &amp; Schaffner W. </w:t>
      </w:r>
      <w:r w:rsidRPr="00D56087">
        <w:rPr>
          <w:rFonts w:cs="Verdana"/>
          <w:bCs/>
          <w:color w:val="000000"/>
        </w:rPr>
        <w:t>Emerging Infections Program— 20 Years of Achievements and Future Prospects.</w:t>
      </w:r>
      <w:r w:rsidRPr="00D56087">
        <w:rPr>
          <w:bCs/>
          <w:color w:val="000000"/>
        </w:rPr>
        <w:t xml:space="preserve"> </w:t>
      </w:r>
      <w:r w:rsidR="00D56087" w:rsidRPr="00D56087">
        <w:rPr>
          <w:rStyle w:val="A31"/>
          <w:sz w:val="24"/>
          <w:szCs w:val="24"/>
        </w:rPr>
        <w:t>Emerging Infectious Diseases 2015;</w:t>
      </w:r>
      <w:r w:rsidRPr="00D56087">
        <w:rPr>
          <w:rStyle w:val="A31"/>
          <w:sz w:val="24"/>
          <w:szCs w:val="24"/>
        </w:rPr>
        <w:t xml:space="preserve"> 21</w:t>
      </w:r>
      <w:r w:rsidR="00D56087" w:rsidRPr="00D56087">
        <w:rPr>
          <w:rStyle w:val="A31"/>
          <w:sz w:val="24"/>
          <w:szCs w:val="24"/>
        </w:rPr>
        <w:t>:</w:t>
      </w:r>
      <w:r w:rsidR="00D56087">
        <w:rPr>
          <w:rStyle w:val="A31"/>
          <w:sz w:val="24"/>
          <w:szCs w:val="24"/>
        </w:rPr>
        <w:t>1497-98.</w:t>
      </w:r>
    </w:p>
    <w:p w14:paraId="1733CF5B" w14:textId="77777777" w:rsidR="00D8482F" w:rsidRPr="00502277" w:rsidRDefault="00EF17EC" w:rsidP="00320E2D">
      <w:pPr>
        <w:numPr>
          <w:ilvl w:val="0"/>
          <w:numId w:val="30"/>
        </w:numPr>
        <w:autoSpaceDE w:val="0"/>
        <w:autoSpaceDN w:val="0"/>
        <w:adjustRightInd w:val="0"/>
        <w:spacing w:line="360" w:lineRule="auto"/>
        <w:rPr>
          <w:bCs/>
        </w:rPr>
      </w:pPr>
      <w:hyperlink r:id="rId47" w:history="1">
        <w:r w:rsidR="00D8482F" w:rsidRPr="00502277">
          <w:t>Strausbaugh LJ</w:t>
        </w:r>
      </w:hyperlink>
      <w:r w:rsidR="00D8482F" w:rsidRPr="00502277">
        <w:t xml:space="preserve"> &amp; </w:t>
      </w:r>
      <w:hyperlink r:id="rId48" w:history="1">
        <w:r w:rsidR="00D8482F" w:rsidRPr="00502277">
          <w:t>Joseph CL</w:t>
        </w:r>
      </w:hyperlink>
      <w:r w:rsidR="00D8482F" w:rsidRPr="00502277">
        <w:t>.</w:t>
      </w:r>
      <w:r w:rsidR="00D8482F" w:rsidRPr="00502277">
        <w:rPr>
          <w:bCs/>
          <w:color w:val="000000"/>
          <w:kern w:val="36"/>
        </w:rPr>
        <w:t xml:space="preserve"> The burden of infection in long-term care. </w:t>
      </w:r>
      <w:r w:rsidR="00D8482F" w:rsidRPr="00D8482F">
        <w:rPr>
          <w:rStyle w:val="Emphasis"/>
          <w:rFonts w:ascii="Times New Roman" w:hAnsi="Times New Roman"/>
          <w:lang w:val="en"/>
        </w:rPr>
        <w:t>Infect Control Hosp Epidemiol</w:t>
      </w:r>
      <w:r w:rsidR="00D8482F" w:rsidRPr="00D8482F">
        <w:t xml:space="preserve"> </w:t>
      </w:r>
      <w:r w:rsidR="00D8482F" w:rsidRPr="00502277">
        <w:t>2000 Oct;21(10):674-9.</w:t>
      </w:r>
    </w:p>
    <w:p w14:paraId="39A6874A" w14:textId="77777777" w:rsidR="00D8482F" w:rsidRPr="00502277" w:rsidRDefault="00D8482F" w:rsidP="00320E2D">
      <w:pPr>
        <w:numPr>
          <w:ilvl w:val="0"/>
          <w:numId w:val="30"/>
        </w:numPr>
        <w:autoSpaceDE w:val="0"/>
        <w:autoSpaceDN w:val="0"/>
        <w:adjustRightInd w:val="0"/>
        <w:spacing w:line="360" w:lineRule="auto"/>
        <w:rPr>
          <w:bCs/>
        </w:rPr>
      </w:pPr>
      <w:r w:rsidRPr="00502277">
        <w:t>Tsan L et al. Prevalence of nursing home-associated</w:t>
      </w:r>
      <w:r w:rsidRPr="00502277">
        <w:rPr>
          <w:bCs/>
        </w:rPr>
        <w:t xml:space="preserve"> </w:t>
      </w:r>
      <w:r w:rsidRPr="00502277">
        <w:t xml:space="preserve">infections in the Department of Veterans Affairs nursing home care units. </w:t>
      </w:r>
      <w:r w:rsidRPr="00502277">
        <w:rPr>
          <w:i/>
        </w:rPr>
        <w:t xml:space="preserve">Am J Infect Control </w:t>
      </w:r>
      <w:r w:rsidRPr="00502277">
        <w:t>2008;36:173-9.</w:t>
      </w:r>
    </w:p>
    <w:p w14:paraId="44A0E252" w14:textId="77777777" w:rsidR="00D8482F" w:rsidRPr="00502277" w:rsidRDefault="00D8482F" w:rsidP="00320E2D">
      <w:pPr>
        <w:numPr>
          <w:ilvl w:val="0"/>
          <w:numId w:val="30"/>
        </w:numPr>
        <w:autoSpaceDE w:val="0"/>
        <w:autoSpaceDN w:val="0"/>
        <w:adjustRightInd w:val="0"/>
        <w:spacing w:line="360" w:lineRule="auto"/>
        <w:rPr>
          <w:bCs/>
        </w:rPr>
      </w:pPr>
      <w:r w:rsidRPr="00502277">
        <w:t>Tsan L et al. Nursing home-associated infections</w:t>
      </w:r>
      <w:r w:rsidRPr="00502277">
        <w:rPr>
          <w:bCs/>
        </w:rPr>
        <w:t xml:space="preserve"> </w:t>
      </w:r>
      <w:r w:rsidRPr="00502277">
        <w:t xml:space="preserve">in Department of Veterans Affairs community living centers. </w:t>
      </w:r>
      <w:r w:rsidRPr="00502277">
        <w:rPr>
          <w:i/>
        </w:rPr>
        <w:t xml:space="preserve">Am J Infect Control </w:t>
      </w:r>
      <w:r w:rsidRPr="00502277">
        <w:t>2010;38:461-64.</w:t>
      </w:r>
    </w:p>
    <w:p w14:paraId="6B1745B8" w14:textId="77777777" w:rsidR="00D8482F" w:rsidRPr="00502277" w:rsidRDefault="00D8482F" w:rsidP="00320E2D">
      <w:pPr>
        <w:numPr>
          <w:ilvl w:val="0"/>
          <w:numId w:val="30"/>
        </w:numPr>
        <w:autoSpaceDE w:val="0"/>
        <w:autoSpaceDN w:val="0"/>
        <w:adjustRightInd w:val="0"/>
        <w:spacing w:line="360" w:lineRule="auto"/>
        <w:rPr>
          <w:bCs/>
        </w:rPr>
      </w:pPr>
      <w:r w:rsidRPr="00502277">
        <w:t xml:space="preserve">Danko L et al. </w:t>
      </w:r>
      <w:r w:rsidRPr="00502277">
        <w:rPr>
          <w:bCs/>
        </w:rPr>
        <w:t>Prevalence of Long Term Care Healthcare-Associated Infections in U.S.Department of Veterans Affairs Community Living Centers (CLCs) Nationwide. (Abstract)</w:t>
      </w:r>
      <w:r w:rsidRPr="00502277">
        <w:t xml:space="preserve"> IDWeek Conference 2012; San Diego, California.</w:t>
      </w:r>
    </w:p>
    <w:p w14:paraId="76DA8D31" w14:textId="77777777" w:rsidR="00D8482F" w:rsidRPr="00502277" w:rsidRDefault="00D8482F" w:rsidP="00320E2D">
      <w:pPr>
        <w:numPr>
          <w:ilvl w:val="0"/>
          <w:numId w:val="30"/>
        </w:numPr>
        <w:autoSpaceDE w:val="0"/>
        <w:autoSpaceDN w:val="0"/>
        <w:adjustRightInd w:val="0"/>
        <w:spacing w:line="360" w:lineRule="auto"/>
        <w:rPr>
          <w:bCs/>
        </w:rPr>
      </w:pPr>
      <w:r w:rsidRPr="00502277">
        <w:lastRenderedPageBreak/>
        <w:t xml:space="preserve">Dwyer LL et al. Infections in long-term care populations in the United States. </w:t>
      </w:r>
      <w:r w:rsidRPr="00502277">
        <w:rPr>
          <w:i/>
        </w:rPr>
        <w:t>J Am Geriatr Soc.</w:t>
      </w:r>
      <w:r w:rsidRPr="00502277">
        <w:t xml:space="preserve"> 2013;61(3):342-9.</w:t>
      </w:r>
    </w:p>
    <w:p w14:paraId="396779A0" w14:textId="77777777" w:rsidR="00D8482F" w:rsidRPr="00502277" w:rsidRDefault="00D8482F" w:rsidP="00320E2D">
      <w:pPr>
        <w:numPr>
          <w:ilvl w:val="0"/>
          <w:numId w:val="30"/>
        </w:numPr>
        <w:autoSpaceDE w:val="0"/>
        <w:autoSpaceDN w:val="0"/>
        <w:adjustRightInd w:val="0"/>
        <w:spacing w:line="360" w:lineRule="auto"/>
        <w:rPr>
          <w:bCs/>
        </w:rPr>
      </w:pPr>
      <w:r w:rsidRPr="00502277">
        <w:t xml:space="preserve">Stone N, et al. Surveillance Definitions of Infections in Long-Term Care Facilities: Revisiting the McGeer Criteria. </w:t>
      </w:r>
      <w:r w:rsidRPr="00502277">
        <w:rPr>
          <w:i/>
        </w:rPr>
        <w:t>Infect Control Hosp Epi</w:t>
      </w:r>
      <w:r w:rsidRPr="00502277">
        <w:t xml:space="preserve"> 2012;33:965-977.</w:t>
      </w:r>
    </w:p>
    <w:p w14:paraId="51B1CD75" w14:textId="77777777" w:rsidR="00D8482F" w:rsidRPr="00502277" w:rsidRDefault="00D8482F" w:rsidP="00320E2D">
      <w:pPr>
        <w:numPr>
          <w:ilvl w:val="0"/>
          <w:numId w:val="30"/>
        </w:numPr>
        <w:autoSpaceDE w:val="0"/>
        <w:autoSpaceDN w:val="0"/>
        <w:adjustRightInd w:val="0"/>
        <w:spacing w:line="360" w:lineRule="auto"/>
      </w:pPr>
      <w:r w:rsidRPr="00502277">
        <w:t xml:space="preserve">Rhame FS, Sudderth WD. Incidence and prevalence as used in the analysis of the occurrence of nosocomial infections. </w:t>
      </w:r>
      <w:r w:rsidRPr="00502277">
        <w:rPr>
          <w:i/>
          <w:iCs/>
        </w:rPr>
        <w:t>Am J</w:t>
      </w:r>
      <w:r w:rsidRPr="00502277">
        <w:t xml:space="preserve"> </w:t>
      </w:r>
      <w:r w:rsidRPr="00502277">
        <w:rPr>
          <w:i/>
          <w:iCs/>
        </w:rPr>
        <w:t xml:space="preserve">Epidemiol </w:t>
      </w:r>
      <w:r w:rsidRPr="00502277">
        <w:t>1981;113(1):1–11.</w:t>
      </w:r>
    </w:p>
    <w:p w14:paraId="2D23F5A5" w14:textId="77777777" w:rsidR="00D8482F" w:rsidRDefault="00D8482F" w:rsidP="009842E3">
      <w:pPr>
        <w:rPr>
          <w:b/>
        </w:rPr>
      </w:pPr>
    </w:p>
    <w:p w14:paraId="5793833F" w14:textId="77777777" w:rsidR="00D8482F" w:rsidRDefault="00D8482F" w:rsidP="009842E3">
      <w:pPr>
        <w:rPr>
          <w:b/>
        </w:rPr>
      </w:pPr>
    </w:p>
    <w:p w14:paraId="511EEC97" w14:textId="77777777" w:rsidR="00D8482F" w:rsidRDefault="00D8482F" w:rsidP="00D8482F">
      <w:pPr>
        <w:rPr>
          <w:b/>
        </w:rPr>
      </w:pPr>
    </w:p>
    <w:p w14:paraId="2A673B7E" w14:textId="77777777" w:rsidR="00D8482F" w:rsidRDefault="00D8482F" w:rsidP="00D8482F">
      <w:pPr>
        <w:rPr>
          <w:b/>
        </w:rPr>
      </w:pPr>
    </w:p>
    <w:p w14:paraId="5562140F" w14:textId="77777777" w:rsidR="00D8482F" w:rsidRDefault="00D8482F" w:rsidP="00D8482F">
      <w:pPr>
        <w:rPr>
          <w:b/>
        </w:rPr>
      </w:pPr>
    </w:p>
    <w:p w14:paraId="2EA861A3" w14:textId="77777777" w:rsidR="00D8482F" w:rsidRDefault="00D8482F" w:rsidP="00D8482F">
      <w:pPr>
        <w:rPr>
          <w:b/>
        </w:rPr>
      </w:pPr>
    </w:p>
    <w:p w14:paraId="0CB66A0F" w14:textId="77777777" w:rsidR="00D8482F" w:rsidRDefault="00D8482F" w:rsidP="00D8482F">
      <w:pPr>
        <w:rPr>
          <w:b/>
        </w:rPr>
      </w:pPr>
    </w:p>
    <w:p w14:paraId="4D0F6BA2" w14:textId="77777777" w:rsidR="00D8482F" w:rsidRDefault="00D8482F" w:rsidP="00D8482F">
      <w:pPr>
        <w:rPr>
          <w:b/>
        </w:rPr>
      </w:pPr>
    </w:p>
    <w:p w14:paraId="63A109CE" w14:textId="77777777" w:rsidR="00D8482F" w:rsidRDefault="00D8482F" w:rsidP="00D8482F">
      <w:pPr>
        <w:rPr>
          <w:b/>
        </w:rPr>
      </w:pPr>
    </w:p>
    <w:p w14:paraId="34020984" w14:textId="77777777" w:rsidR="00D8482F" w:rsidRDefault="00D8482F" w:rsidP="00D8482F">
      <w:pPr>
        <w:rPr>
          <w:b/>
        </w:rPr>
      </w:pPr>
    </w:p>
    <w:p w14:paraId="4D33D316" w14:textId="77777777" w:rsidR="006B6464" w:rsidRDefault="006B6464" w:rsidP="006B6464">
      <w:pPr>
        <w:tabs>
          <w:tab w:val="left" w:pos="1848"/>
        </w:tabs>
      </w:pPr>
    </w:p>
    <w:p w14:paraId="5835CD6E" w14:textId="77777777" w:rsidR="00B01377" w:rsidRPr="006B6464" w:rsidRDefault="006B6464" w:rsidP="006B6464">
      <w:pPr>
        <w:tabs>
          <w:tab w:val="left" w:pos="1848"/>
        </w:tabs>
        <w:sectPr w:rsidR="00B01377" w:rsidRPr="006B6464" w:rsidSect="0022519E">
          <w:footerReference w:type="even" r:id="rId49"/>
          <w:footerReference w:type="default" r:id="rId50"/>
          <w:pgSz w:w="12240" w:h="15840"/>
          <w:pgMar w:top="1440" w:right="1440" w:bottom="1440" w:left="1440" w:header="720" w:footer="720" w:gutter="0"/>
          <w:cols w:space="720"/>
          <w:docGrid w:linePitch="360"/>
        </w:sectPr>
      </w:pPr>
      <w:r>
        <w:tab/>
      </w:r>
    </w:p>
    <w:p w14:paraId="2316D805" w14:textId="77777777" w:rsidR="00320E2D" w:rsidRPr="00D8482F" w:rsidRDefault="00320E2D" w:rsidP="00304F7A">
      <w:pPr>
        <w:pStyle w:val="Heading1"/>
        <w:numPr>
          <w:ilvl w:val="0"/>
          <w:numId w:val="0"/>
        </w:numPr>
      </w:pPr>
      <w:bookmarkStart w:id="58" w:name="_Toc444243009"/>
      <w:r w:rsidRPr="00D8482F">
        <w:lastRenderedPageBreak/>
        <w:t>List of Attachments</w:t>
      </w:r>
      <w:bookmarkEnd w:id="58"/>
    </w:p>
    <w:p w14:paraId="3E69F03D" w14:textId="77777777" w:rsidR="00320E2D" w:rsidRPr="00D8482F" w:rsidRDefault="00320E2D" w:rsidP="00320E2D">
      <w:pPr>
        <w:ind w:left="720" w:hanging="720"/>
        <w:jc w:val="center"/>
        <w:rPr>
          <w:b/>
        </w:rPr>
      </w:pPr>
    </w:p>
    <w:p w14:paraId="01322563" w14:textId="77777777" w:rsidR="00320E2D" w:rsidRPr="00D8482F" w:rsidRDefault="00320E2D" w:rsidP="009C5EF5">
      <w:pPr>
        <w:numPr>
          <w:ilvl w:val="0"/>
          <w:numId w:val="34"/>
        </w:numPr>
        <w:spacing w:line="276" w:lineRule="auto"/>
      </w:pPr>
      <w:r w:rsidRPr="00D8482F">
        <w:t>United States Code, Title 42, Chapter 6A Part 241</w:t>
      </w:r>
    </w:p>
    <w:p w14:paraId="7BD0F68A" w14:textId="77777777" w:rsidR="00320E2D" w:rsidRPr="00D8482F" w:rsidRDefault="00320E2D" w:rsidP="009C5EF5">
      <w:pPr>
        <w:numPr>
          <w:ilvl w:val="0"/>
          <w:numId w:val="34"/>
        </w:numPr>
        <w:spacing w:line="276" w:lineRule="auto"/>
      </w:pPr>
      <w:r w:rsidRPr="00D8482F">
        <w:t>60-day Federal Register Notice</w:t>
      </w:r>
    </w:p>
    <w:p w14:paraId="1A8F1974" w14:textId="77777777" w:rsidR="009C5EF5" w:rsidRDefault="00FC566E" w:rsidP="009C5EF5">
      <w:pPr>
        <w:numPr>
          <w:ilvl w:val="0"/>
          <w:numId w:val="34"/>
        </w:numPr>
        <w:spacing w:line="276" w:lineRule="auto"/>
      </w:pPr>
      <w:r w:rsidRPr="00FC566E">
        <w:t>Healthcare</w:t>
      </w:r>
      <w:r>
        <w:rPr>
          <w:b/>
        </w:rPr>
        <w:t xml:space="preserve"> </w:t>
      </w:r>
      <w:r w:rsidR="00320E2D" w:rsidRPr="00D8482F">
        <w:t>Facility Assessment (HFA)</w:t>
      </w:r>
    </w:p>
    <w:p w14:paraId="7ED025D1" w14:textId="77777777" w:rsidR="009C5EF5" w:rsidRDefault="00F00D0A" w:rsidP="009C5EF5">
      <w:pPr>
        <w:numPr>
          <w:ilvl w:val="1"/>
          <w:numId w:val="35"/>
        </w:numPr>
        <w:spacing w:line="276" w:lineRule="auto"/>
      </w:pPr>
      <w:r>
        <w:t xml:space="preserve">HFA - </w:t>
      </w:r>
      <w:r w:rsidR="00FC566E">
        <w:t>Nursing Home</w:t>
      </w:r>
    </w:p>
    <w:p w14:paraId="1247C95A" w14:textId="77777777" w:rsidR="00320E2D" w:rsidRPr="00D8482F" w:rsidRDefault="00F00D0A" w:rsidP="009C5EF5">
      <w:pPr>
        <w:numPr>
          <w:ilvl w:val="1"/>
          <w:numId w:val="35"/>
        </w:numPr>
        <w:spacing w:line="276" w:lineRule="auto"/>
      </w:pPr>
      <w:r>
        <w:t xml:space="preserve">Supplemental Information: </w:t>
      </w:r>
      <w:r w:rsidR="00FC566E">
        <w:t xml:space="preserve">HFA </w:t>
      </w:r>
      <w:r>
        <w:t xml:space="preserve">Variables - </w:t>
      </w:r>
      <w:r w:rsidR="00FC566E">
        <w:t>EIP</w:t>
      </w:r>
    </w:p>
    <w:p w14:paraId="67043013" w14:textId="77777777" w:rsidR="00320E2D" w:rsidRPr="00D8482F" w:rsidRDefault="009C5EF5" w:rsidP="009C5EF5">
      <w:pPr>
        <w:numPr>
          <w:ilvl w:val="0"/>
          <w:numId w:val="34"/>
        </w:numPr>
        <w:spacing w:line="276" w:lineRule="auto"/>
      </w:pPr>
      <w:r>
        <w:t>Residents by Location Form</w:t>
      </w:r>
    </w:p>
    <w:p w14:paraId="26B53374" w14:textId="77777777" w:rsidR="00320E2D" w:rsidRPr="00D8482F" w:rsidRDefault="00320E2D" w:rsidP="009C5EF5">
      <w:pPr>
        <w:numPr>
          <w:ilvl w:val="0"/>
          <w:numId w:val="34"/>
        </w:numPr>
        <w:spacing w:line="276" w:lineRule="auto"/>
      </w:pPr>
      <w:r>
        <w:t>I</w:t>
      </w:r>
      <w:r w:rsidRPr="00D8482F">
        <w:t>nstructions for</w:t>
      </w:r>
      <w:r>
        <w:t xml:space="preserve"> Residents by Location</w:t>
      </w:r>
      <w:r w:rsidR="009C5EF5">
        <w:t xml:space="preserve"> data collection (draft example)</w:t>
      </w:r>
    </w:p>
    <w:p w14:paraId="1083A7DC" w14:textId="77777777" w:rsidR="009C5EF5" w:rsidRDefault="0081163D" w:rsidP="009C5EF5">
      <w:pPr>
        <w:numPr>
          <w:ilvl w:val="0"/>
          <w:numId w:val="34"/>
        </w:numPr>
        <w:spacing w:line="276" w:lineRule="auto"/>
      </w:pPr>
      <w:r>
        <w:t>Supplemental Information: D</w:t>
      </w:r>
      <w:r w:rsidR="00320E2D" w:rsidRPr="00D8482F">
        <w:t xml:space="preserve">ata collection </w:t>
      </w:r>
      <w:r w:rsidR="00F269D9">
        <w:t xml:space="preserve">performed </w:t>
      </w:r>
      <w:r w:rsidR="00320E2D" w:rsidRPr="00D8482F">
        <w:t>by EIP personnel, bu</w:t>
      </w:r>
      <w:r w:rsidR="009C5EF5">
        <w:t>t not part of the public burden</w:t>
      </w:r>
    </w:p>
    <w:p w14:paraId="25CB57AC" w14:textId="77777777" w:rsidR="009C5EF5" w:rsidRDefault="00230222" w:rsidP="009C5EF5">
      <w:pPr>
        <w:numPr>
          <w:ilvl w:val="1"/>
          <w:numId w:val="36"/>
        </w:numPr>
        <w:spacing w:line="276" w:lineRule="auto"/>
      </w:pPr>
      <w:r>
        <w:t>Resident Infection Form</w:t>
      </w:r>
    </w:p>
    <w:p w14:paraId="04EF3688" w14:textId="77777777" w:rsidR="00230222" w:rsidRDefault="00230222" w:rsidP="009C5EF5">
      <w:pPr>
        <w:numPr>
          <w:ilvl w:val="1"/>
          <w:numId w:val="36"/>
        </w:numPr>
        <w:spacing w:line="276" w:lineRule="auto"/>
      </w:pPr>
      <w:r>
        <w:t>Resident Antimicrobial Use Form</w:t>
      </w:r>
    </w:p>
    <w:p w14:paraId="680BB919" w14:textId="77777777" w:rsidR="00FC566E" w:rsidRDefault="007128B9" w:rsidP="009C5EF5">
      <w:pPr>
        <w:numPr>
          <w:ilvl w:val="0"/>
          <w:numId w:val="34"/>
        </w:numPr>
        <w:spacing w:line="276" w:lineRule="auto"/>
      </w:pPr>
      <w:r>
        <w:t>IRB determination letter</w:t>
      </w:r>
    </w:p>
    <w:p w14:paraId="24C8EF0B" w14:textId="77777777" w:rsidR="00FC566E" w:rsidRDefault="00FC566E" w:rsidP="009C5EF5">
      <w:pPr>
        <w:numPr>
          <w:ilvl w:val="0"/>
          <w:numId w:val="34"/>
        </w:numPr>
        <w:spacing w:line="276" w:lineRule="auto"/>
      </w:pPr>
      <w:r>
        <w:t>Informational document for Nursing Homes</w:t>
      </w:r>
    </w:p>
    <w:p w14:paraId="4B872F3E" w14:textId="77777777" w:rsidR="0088550D" w:rsidRPr="002639F3" w:rsidRDefault="002E6024" w:rsidP="009C5EF5">
      <w:pPr>
        <w:numPr>
          <w:ilvl w:val="0"/>
          <w:numId w:val="34"/>
        </w:numPr>
        <w:spacing w:line="276" w:lineRule="auto"/>
      </w:pPr>
      <w:r w:rsidRPr="002639F3">
        <w:t>Correspondence between</w:t>
      </w:r>
      <w:r w:rsidR="0088550D" w:rsidRPr="002639F3">
        <w:t xml:space="preserve"> </w:t>
      </w:r>
      <w:r w:rsidRPr="002639F3">
        <w:t>National Center for Health Statistics Long-Term Care Branch Chief and Division of Healthcare Quality Promotion Branch Chief</w:t>
      </w:r>
    </w:p>
    <w:p w14:paraId="1C2C4AD9" w14:textId="77777777" w:rsidR="00FC566E" w:rsidRPr="00D8482F" w:rsidRDefault="00FC566E" w:rsidP="00FC566E">
      <w:pPr>
        <w:ind w:left="360" w:hanging="360"/>
      </w:pPr>
    </w:p>
    <w:p w14:paraId="6A401AD4" w14:textId="77777777" w:rsidR="00115E5D" w:rsidRPr="00D8482F" w:rsidRDefault="00115E5D" w:rsidP="00320E2D"/>
    <w:sectPr w:rsidR="00115E5D" w:rsidRPr="00D8482F" w:rsidSect="0022519E">
      <w:footerReference w:type="even" r:id="rId51"/>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E30CD" w14:textId="77777777" w:rsidR="002639F3" w:rsidRDefault="002639F3">
      <w:r>
        <w:separator/>
      </w:r>
    </w:p>
  </w:endnote>
  <w:endnote w:type="continuationSeparator" w:id="0">
    <w:p w14:paraId="59DDED64" w14:textId="77777777" w:rsidR="002639F3" w:rsidRDefault="0026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XBNUF+TimesNewRomanPSMT">
    <w:altName w:val="Times New Roman PSMT"/>
    <w:panose1 w:val="00000000000000000000"/>
    <w:charset w:val="00"/>
    <w:family w:val="roman"/>
    <w:notTrueType/>
    <w:pitch w:val="default"/>
    <w:sig w:usb0="00000003" w:usb1="00000000" w:usb2="00000000" w:usb3="00000000" w:csb0="00000001"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OTNEJMQuadraat">
    <w:altName w:val="Arial Unicode MS"/>
    <w:panose1 w:val="00000000000000000000"/>
    <w:charset w:val="86"/>
    <w:family w:val="roman"/>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39C0A" w14:textId="77777777" w:rsidR="002639F3" w:rsidRDefault="002639F3" w:rsidP="00DB52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60C71" w14:textId="77777777" w:rsidR="002639F3" w:rsidRDefault="002639F3" w:rsidP="003127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4A5B5" w14:textId="77777777" w:rsidR="002639F3" w:rsidRPr="004F2001" w:rsidRDefault="002639F3" w:rsidP="00DB5284">
    <w:pPr>
      <w:pStyle w:val="Footer"/>
      <w:framePr w:wrap="around" w:vAnchor="text" w:hAnchor="margin" w:xAlign="right" w:y="1"/>
      <w:rPr>
        <w:rStyle w:val="PageNumber"/>
        <w:sz w:val="20"/>
        <w:szCs w:val="20"/>
      </w:rPr>
    </w:pPr>
    <w:r w:rsidRPr="004F2001">
      <w:rPr>
        <w:rStyle w:val="PageNumber"/>
        <w:sz w:val="20"/>
        <w:szCs w:val="20"/>
      </w:rPr>
      <w:fldChar w:fldCharType="begin"/>
    </w:r>
    <w:r w:rsidRPr="004F2001">
      <w:rPr>
        <w:rStyle w:val="PageNumber"/>
        <w:sz w:val="20"/>
        <w:szCs w:val="20"/>
      </w:rPr>
      <w:instrText xml:space="preserve">PAGE  </w:instrText>
    </w:r>
    <w:r w:rsidRPr="004F2001">
      <w:rPr>
        <w:rStyle w:val="PageNumber"/>
        <w:sz w:val="20"/>
        <w:szCs w:val="20"/>
      </w:rPr>
      <w:fldChar w:fldCharType="separate"/>
    </w:r>
    <w:r w:rsidR="00EF17EC">
      <w:rPr>
        <w:rStyle w:val="PageNumber"/>
        <w:noProof/>
        <w:sz w:val="20"/>
        <w:szCs w:val="20"/>
      </w:rPr>
      <w:t>1</w:t>
    </w:r>
    <w:r w:rsidRPr="004F2001">
      <w:rPr>
        <w:rStyle w:val="PageNumber"/>
        <w:sz w:val="20"/>
        <w:szCs w:val="20"/>
      </w:rPr>
      <w:fldChar w:fldCharType="end"/>
    </w:r>
  </w:p>
  <w:p w14:paraId="04F601D3" w14:textId="77777777" w:rsidR="002639F3" w:rsidRPr="004F2001" w:rsidRDefault="002639F3" w:rsidP="004F2001">
    <w:pPr>
      <w:pStyle w:val="Footer"/>
      <w:rPr>
        <w:sz w:val="20"/>
        <w:szCs w:val="20"/>
      </w:rPr>
    </w:pPr>
  </w:p>
  <w:p w14:paraId="6CB0B2CC" w14:textId="77777777" w:rsidR="002639F3" w:rsidRDefault="002639F3" w:rsidP="003127DA">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2AF81" w14:textId="77777777" w:rsidR="002639F3" w:rsidRDefault="002639F3" w:rsidP="00DB52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0443A90E" w14:textId="77777777" w:rsidR="002639F3" w:rsidRDefault="002639F3" w:rsidP="003127D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7712D" w14:textId="77777777" w:rsidR="002639F3" w:rsidRPr="004F2001" w:rsidRDefault="002639F3" w:rsidP="00DB5284">
    <w:pPr>
      <w:pStyle w:val="Footer"/>
      <w:framePr w:wrap="around" w:vAnchor="text" w:hAnchor="margin" w:xAlign="right" w:y="1"/>
      <w:rPr>
        <w:rStyle w:val="PageNumber"/>
        <w:sz w:val="20"/>
        <w:szCs w:val="20"/>
      </w:rPr>
    </w:pPr>
    <w:r w:rsidRPr="004F2001">
      <w:rPr>
        <w:rStyle w:val="PageNumber"/>
        <w:sz w:val="20"/>
        <w:szCs w:val="20"/>
      </w:rPr>
      <w:fldChar w:fldCharType="begin"/>
    </w:r>
    <w:r w:rsidRPr="004F2001">
      <w:rPr>
        <w:rStyle w:val="PageNumber"/>
        <w:sz w:val="20"/>
        <w:szCs w:val="20"/>
      </w:rPr>
      <w:instrText xml:space="preserve">PAGE  </w:instrText>
    </w:r>
    <w:r w:rsidRPr="004F2001">
      <w:rPr>
        <w:rStyle w:val="PageNumber"/>
        <w:sz w:val="20"/>
        <w:szCs w:val="20"/>
      </w:rPr>
      <w:fldChar w:fldCharType="separate"/>
    </w:r>
    <w:r w:rsidR="00EF17EC">
      <w:rPr>
        <w:rStyle w:val="PageNumber"/>
        <w:noProof/>
        <w:sz w:val="20"/>
        <w:szCs w:val="20"/>
      </w:rPr>
      <w:t>21</w:t>
    </w:r>
    <w:r w:rsidRPr="004F2001">
      <w:rPr>
        <w:rStyle w:val="PageNumber"/>
        <w:sz w:val="20"/>
        <w:szCs w:val="20"/>
      </w:rPr>
      <w:fldChar w:fldCharType="end"/>
    </w:r>
  </w:p>
  <w:p w14:paraId="351D9168" w14:textId="77777777" w:rsidR="002639F3" w:rsidRPr="004F2001" w:rsidRDefault="002639F3" w:rsidP="004F2001">
    <w:pPr>
      <w:pStyle w:val="Footer"/>
      <w:rPr>
        <w:sz w:val="20"/>
        <w:szCs w:val="20"/>
      </w:rPr>
    </w:pPr>
  </w:p>
  <w:p w14:paraId="4A601640" w14:textId="77777777" w:rsidR="002639F3" w:rsidRDefault="002639F3" w:rsidP="003127DA">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4901D" w14:textId="77777777" w:rsidR="002639F3" w:rsidRDefault="002639F3">
      <w:r>
        <w:separator/>
      </w:r>
    </w:p>
  </w:footnote>
  <w:footnote w:type="continuationSeparator" w:id="0">
    <w:p w14:paraId="5FAFA899" w14:textId="77777777" w:rsidR="002639F3" w:rsidRDefault="002639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936"/>
    <w:multiLevelType w:val="hybridMultilevel"/>
    <w:tmpl w:val="7FF6828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508F3"/>
    <w:multiLevelType w:val="hybridMultilevel"/>
    <w:tmpl w:val="1EDEA48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4E27"/>
    <w:multiLevelType w:val="hybridMultilevel"/>
    <w:tmpl w:val="F150439C"/>
    <w:lvl w:ilvl="0" w:tplc="D4C402E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7212C4"/>
    <w:multiLevelType w:val="hybridMultilevel"/>
    <w:tmpl w:val="400A3470"/>
    <w:lvl w:ilvl="0" w:tplc="9560ED7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943EA6"/>
    <w:multiLevelType w:val="hybridMultilevel"/>
    <w:tmpl w:val="17F2232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57761"/>
    <w:multiLevelType w:val="hybridMultilevel"/>
    <w:tmpl w:val="BE58D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A346A"/>
    <w:multiLevelType w:val="hybridMultilevel"/>
    <w:tmpl w:val="2C563D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E6D49"/>
    <w:multiLevelType w:val="hybridMultilevel"/>
    <w:tmpl w:val="B7CA55C0"/>
    <w:lvl w:ilvl="0" w:tplc="BB986F4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922045"/>
    <w:multiLevelType w:val="hybridMultilevel"/>
    <w:tmpl w:val="91E0DA90"/>
    <w:lvl w:ilvl="0" w:tplc="CAC69F5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E96FA7"/>
    <w:multiLevelType w:val="hybridMultilevel"/>
    <w:tmpl w:val="83B056CA"/>
    <w:lvl w:ilvl="0" w:tplc="5748E15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515FA7"/>
    <w:multiLevelType w:val="hybridMultilevel"/>
    <w:tmpl w:val="BC522BEE"/>
    <w:lvl w:ilvl="0" w:tplc="484279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AD4599"/>
    <w:multiLevelType w:val="hybridMultilevel"/>
    <w:tmpl w:val="9E94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A7D36"/>
    <w:multiLevelType w:val="hybridMultilevel"/>
    <w:tmpl w:val="294814CC"/>
    <w:lvl w:ilvl="0" w:tplc="A394D6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11B99"/>
    <w:multiLevelType w:val="hybridMultilevel"/>
    <w:tmpl w:val="F5CA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45BCE"/>
    <w:multiLevelType w:val="hybridMultilevel"/>
    <w:tmpl w:val="361058B0"/>
    <w:lvl w:ilvl="0" w:tplc="070A51E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574AA8"/>
    <w:multiLevelType w:val="hybridMultilevel"/>
    <w:tmpl w:val="0C9053F8"/>
    <w:lvl w:ilvl="0" w:tplc="C3DE9C1A">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127B3E"/>
    <w:multiLevelType w:val="hybridMultilevel"/>
    <w:tmpl w:val="8AF08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A765A4"/>
    <w:multiLevelType w:val="hybridMultilevel"/>
    <w:tmpl w:val="23DC11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2614B2"/>
    <w:multiLevelType w:val="hybridMultilevel"/>
    <w:tmpl w:val="5BA88E26"/>
    <w:lvl w:ilvl="0" w:tplc="F76EF6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01593B"/>
    <w:multiLevelType w:val="hybridMultilevel"/>
    <w:tmpl w:val="035AD572"/>
    <w:lvl w:ilvl="0" w:tplc="71BCC2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0E4FEE"/>
    <w:multiLevelType w:val="hybridMultilevel"/>
    <w:tmpl w:val="4D3C8804"/>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21" w15:restartNumberingAfterBreak="0">
    <w:nsid w:val="4A304D39"/>
    <w:multiLevelType w:val="hybridMultilevel"/>
    <w:tmpl w:val="8A48707C"/>
    <w:lvl w:ilvl="0" w:tplc="04090015">
      <w:start w:val="1"/>
      <w:numFmt w:val="upperLetter"/>
      <w:lvlText w:val="%1."/>
      <w:lvlJc w:val="left"/>
      <w:pPr>
        <w:tabs>
          <w:tab w:val="num" w:pos="720"/>
        </w:tabs>
        <w:ind w:left="720" w:hanging="360"/>
      </w:pPr>
      <w:rPr>
        <w:rFonts w:hint="default"/>
      </w:rPr>
    </w:lvl>
    <w:lvl w:ilvl="1" w:tplc="B2BA308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FB4BA0"/>
    <w:multiLevelType w:val="hybridMultilevel"/>
    <w:tmpl w:val="D5F4996C"/>
    <w:lvl w:ilvl="0" w:tplc="38C2F6F0">
      <w:start w:val="1"/>
      <w:numFmt w:val="upperLetter"/>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4EDD39D3"/>
    <w:multiLevelType w:val="hybridMultilevel"/>
    <w:tmpl w:val="2268454E"/>
    <w:lvl w:ilvl="0" w:tplc="F76EF6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693FA6"/>
    <w:multiLevelType w:val="hybridMultilevel"/>
    <w:tmpl w:val="B086B648"/>
    <w:lvl w:ilvl="0" w:tplc="5C5A6FE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A842F5"/>
    <w:multiLevelType w:val="hybridMultilevel"/>
    <w:tmpl w:val="C00C42D4"/>
    <w:lvl w:ilvl="0" w:tplc="D752ECD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9E2E59"/>
    <w:multiLevelType w:val="hybridMultilevel"/>
    <w:tmpl w:val="9700551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C4280"/>
    <w:multiLevelType w:val="hybridMultilevel"/>
    <w:tmpl w:val="5D3C3836"/>
    <w:lvl w:ilvl="0" w:tplc="C6565D76">
      <w:start w:val="1"/>
      <w:numFmt w:val="decimal"/>
      <w:lvlText w:val="%1)"/>
      <w:lvlJc w:val="left"/>
      <w:pPr>
        <w:ind w:left="360" w:hanging="360"/>
      </w:pPr>
      <w:rPr>
        <w:rFonts w:ascii="Calibri" w:eastAsia="Times New Roman" w:hAnsi="Calibri"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2C1A21"/>
    <w:multiLevelType w:val="hybridMultilevel"/>
    <w:tmpl w:val="246A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60EA3"/>
    <w:multiLevelType w:val="hybridMultilevel"/>
    <w:tmpl w:val="58FAF0C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B82A1A"/>
    <w:multiLevelType w:val="hybridMultilevel"/>
    <w:tmpl w:val="CC74F2A2"/>
    <w:lvl w:ilvl="0" w:tplc="A10E2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8F11D8"/>
    <w:multiLevelType w:val="hybridMultilevel"/>
    <w:tmpl w:val="C61E1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145F03"/>
    <w:multiLevelType w:val="hybridMultilevel"/>
    <w:tmpl w:val="75E65D4C"/>
    <w:lvl w:ilvl="0" w:tplc="A80A17BC">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AE48B0"/>
    <w:multiLevelType w:val="hybridMultilevel"/>
    <w:tmpl w:val="F57415F8"/>
    <w:lvl w:ilvl="0" w:tplc="59A2FA38">
      <w:start w:val="1"/>
      <w:numFmt w:val="upperLetter"/>
      <w:lvlText w:val="%1."/>
      <w:lvlJc w:val="left"/>
      <w:pPr>
        <w:tabs>
          <w:tab w:val="num" w:pos="465"/>
        </w:tabs>
        <w:ind w:left="465" w:hanging="46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DAB61C9"/>
    <w:multiLevelType w:val="hybridMultilevel"/>
    <w:tmpl w:val="6D746130"/>
    <w:lvl w:ilvl="0" w:tplc="84820728">
      <w:start w:val="2"/>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
  </w:num>
  <w:num w:numId="3">
    <w:abstractNumId w:val="7"/>
  </w:num>
  <w:num w:numId="4">
    <w:abstractNumId w:val="25"/>
  </w:num>
  <w:num w:numId="5">
    <w:abstractNumId w:val="8"/>
  </w:num>
  <w:num w:numId="6">
    <w:abstractNumId w:val="9"/>
  </w:num>
  <w:num w:numId="7">
    <w:abstractNumId w:val="33"/>
  </w:num>
  <w:num w:numId="8">
    <w:abstractNumId w:val="10"/>
  </w:num>
  <w:num w:numId="9">
    <w:abstractNumId w:val="14"/>
  </w:num>
  <w:num w:numId="10">
    <w:abstractNumId w:val="23"/>
  </w:num>
  <w:num w:numId="11">
    <w:abstractNumId w:val="3"/>
  </w:num>
  <w:num w:numId="12">
    <w:abstractNumId w:val="18"/>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0"/>
  </w:num>
  <w:num w:numId="16">
    <w:abstractNumId w:val="15"/>
  </w:num>
  <w:num w:numId="17">
    <w:abstractNumId w:val="17"/>
  </w:num>
  <w:num w:numId="18">
    <w:abstractNumId w:val="24"/>
  </w:num>
  <w:num w:numId="19">
    <w:abstractNumId w:val="27"/>
  </w:num>
  <w:num w:numId="20">
    <w:abstractNumId w:val="22"/>
  </w:num>
  <w:num w:numId="21">
    <w:abstractNumId w:val="16"/>
  </w:num>
  <w:num w:numId="22">
    <w:abstractNumId w:val="16"/>
  </w:num>
  <w:num w:numId="23">
    <w:abstractNumId w:val="20"/>
  </w:num>
  <w:num w:numId="24">
    <w:abstractNumId w:val="13"/>
  </w:num>
  <w:num w:numId="25">
    <w:abstractNumId w:val="1"/>
  </w:num>
  <w:num w:numId="26">
    <w:abstractNumId w:val="4"/>
  </w:num>
  <w:num w:numId="27">
    <w:abstractNumId w:val="32"/>
  </w:num>
  <w:num w:numId="28">
    <w:abstractNumId w:val="12"/>
  </w:num>
  <w:num w:numId="29">
    <w:abstractNumId w:val="30"/>
  </w:num>
  <w:num w:numId="30">
    <w:abstractNumId w:val="31"/>
  </w:num>
  <w:num w:numId="31">
    <w:abstractNumId w:val="11"/>
  </w:num>
  <w:num w:numId="32">
    <w:abstractNumId w:val="5"/>
  </w:num>
  <w:num w:numId="33">
    <w:abstractNumId w:val="28"/>
  </w:num>
  <w:num w:numId="34">
    <w:abstractNumId w:val="6"/>
  </w:num>
  <w:num w:numId="35">
    <w:abstractNumId w:val="26"/>
  </w:num>
  <w:num w:numId="36">
    <w:abstractNumId w:val="29"/>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10"/>
    <w:rsid w:val="00000863"/>
    <w:rsid w:val="00001898"/>
    <w:rsid w:val="00002CA2"/>
    <w:rsid w:val="00005280"/>
    <w:rsid w:val="00007152"/>
    <w:rsid w:val="00011A29"/>
    <w:rsid w:val="0001233E"/>
    <w:rsid w:val="00013037"/>
    <w:rsid w:val="000203E8"/>
    <w:rsid w:val="000236BC"/>
    <w:rsid w:val="00024FEC"/>
    <w:rsid w:val="00025781"/>
    <w:rsid w:val="00025F19"/>
    <w:rsid w:val="0002663D"/>
    <w:rsid w:val="00031D0E"/>
    <w:rsid w:val="0003477E"/>
    <w:rsid w:val="00034AF0"/>
    <w:rsid w:val="00034F7E"/>
    <w:rsid w:val="000359B8"/>
    <w:rsid w:val="000375B9"/>
    <w:rsid w:val="00043A7E"/>
    <w:rsid w:val="00043B2E"/>
    <w:rsid w:val="00044DE6"/>
    <w:rsid w:val="00047378"/>
    <w:rsid w:val="00047771"/>
    <w:rsid w:val="00050746"/>
    <w:rsid w:val="00050EB3"/>
    <w:rsid w:val="00050F77"/>
    <w:rsid w:val="000533B4"/>
    <w:rsid w:val="000545CE"/>
    <w:rsid w:val="000646D5"/>
    <w:rsid w:val="00064C76"/>
    <w:rsid w:val="00064D45"/>
    <w:rsid w:val="00065366"/>
    <w:rsid w:val="00070578"/>
    <w:rsid w:val="00070939"/>
    <w:rsid w:val="00072C7F"/>
    <w:rsid w:val="00075ED8"/>
    <w:rsid w:val="000770EA"/>
    <w:rsid w:val="0007787C"/>
    <w:rsid w:val="000845ED"/>
    <w:rsid w:val="000859A6"/>
    <w:rsid w:val="00091050"/>
    <w:rsid w:val="00094172"/>
    <w:rsid w:val="000A1344"/>
    <w:rsid w:val="000A17F5"/>
    <w:rsid w:val="000A24DA"/>
    <w:rsid w:val="000A2621"/>
    <w:rsid w:val="000A2A5E"/>
    <w:rsid w:val="000A417E"/>
    <w:rsid w:val="000A65A9"/>
    <w:rsid w:val="000B04B9"/>
    <w:rsid w:val="000B7AF3"/>
    <w:rsid w:val="000C0C9F"/>
    <w:rsid w:val="000C0EBC"/>
    <w:rsid w:val="000C19CD"/>
    <w:rsid w:val="000C21DE"/>
    <w:rsid w:val="000C4023"/>
    <w:rsid w:val="000C456B"/>
    <w:rsid w:val="000C50D1"/>
    <w:rsid w:val="000C57C1"/>
    <w:rsid w:val="000C5EC2"/>
    <w:rsid w:val="000D054E"/>
    <w:rsid w:val="000D2170"/>
    <w:rsid w:val="000D5C88"/>
    <w:rsid w:val="000E3430"/>
    <w:rsid w:val="000E3C6E"/>
    <w:rsid w:val="000F17A2"/>
    <w:rsid w:val="000F20DD"/>
    <w:rsid w:val="000F3065"/>
    <w:rsid w:val="00100DBE"/>
    <w:rsid w:val="001011D2"/>
    <w:rsid w:val="00104A30"/>
    <w:rsid w:val="0011250A"/>
    <w:rsid w:val="001134BF"/>
    <w:rsid w:val="00114840"/>
    <w:rsid w:val="00115E5D"/>
    <w:rsid w:val="00115F57"/>
    <w:rsid w:val="0011782E"/>
    <w:rsid w:val="00117FD7"/>
    <w:rsid w:val="00121275"/>
    <w:rsid w:val="001225F3"/>
    <w:rsid w:val="001268FF"/>
    <w:rsid w:val="0012730D"/>
    <w:rsid w:val="001276FD"/>
    <w:rsid w:val="00130799"/>
    <w:rsid w:val="00130B3F"/>
    <w:rsid w:val="00132174"/>
    <w:rsid w:val="0013265C"/>
    <w:rsid w:val="00132DBA"/>
    <w:rsid w:val="00135263"/>
    <w:rsid w:val="001367BB"/>
    <w:rsid w:val="00136A50"/>
    <w:rsid w:val="001410B4"/>
    <w:rsid w:val="00143660"/>
    <w:rsid w:val="0014741E"/>
    <w:rsid w:val="00150985"/>
    <w:rsid w:val="001533AF"/>
    <w:rsid w:val="0015399F"/>
    <w:rsid w:val="001551F7"/>
    <w:rsid w:val="00162058"/>
    <w:rsid w:val="00173266"/>
    <w:rsid w:val="00173C38"/>
    <w:rsid w:val="001742CB"/>
    <w:rsid w:val="00175BD7"/>
    <w:rsid w:val="001827DD"/>
    <w:rsid w:val="001830FC"/>
    <w:rsid w:val="0018578D"/>
    <w:rsid w:val="00185C50"/>
    <w:rsid w:val="00186937"/>
    <w:rsid w:val="00191414"/>
    <w:rsid w:val="00191E0E"/>
    <w:rsid w:val="001A3985"/>
    <w:rsid w:val="001B0986"/>
    <w:rsid w:val="001B0B09"/>
    <w:rsid w:val="001B31B8"/>
    <w:rsid w:val="001B337C"/>
    <w:rsid w:val="001B3F74"/>
    <w:rsid w:val="001B7108"/>
    <w:rsid w:val="001C0011"/>
    <w:rsid w:val="001C3A3A"/>
    <w:rsid w:val="001C3B9A"/>
    <w:rsid w:val="001C4601"/>
    <w:rsid w:val="001C48E0"/>
    <w:rsid w:val="001C4C2C"/>
    <w:rsid w:val="001C630F"/>
    <w:rsid w:val="001C6937"/>
    <w:rsid w:val="001C7709"/>
    <w:rsid w:val="001D34CC"/>
    <w:rsid w:val="001D3F53"/>
    <w:rsid w:val="001D4BA6"/>
    <w:rsid w:val="001D653C"/>
    <w:rsid w:val="001D69F6"/>
    <w:rsid w:val="001D7AF6"/>
    <w:rsid w:val="001D7DD5"/>
    <w:rsid w:val="001E2BD8"/>
    <w:rsid w:val="001E30F8"/>
    <w:rsid w:val="001E6FE2"/>
    <w:rsid w:val="001E7A1B"/>
    <w:rsid w:val="001F1141"/>
    <w:rsid w:val="001F13EF"/>
    <w:rsid w:val="001F1BA2"/>
    <w:rsid w:val="00201770"/>
    <w:rsid w:val="00207E90"/>
    <w:rsid w:val="00207FC3"/>
    <w:rsid w:val="002124E6"/>
    <w:rsid w:val="00213910"/>
    <w:rsid w:val="00214465"/>
    <w:rsid w:val="00214DA5"/>
    <w:rsid w:val="00216ACB"/>
    <w:rsid w:val="00220043"/>
    <w:rsid w:val="002225C7"/>
    <w:rsid w:val="00223C4B"/>
    <w:rsid w:val="00224DB3"/>
    <w:rsid w:val="0022519E"/>
    <w:rsid w:val="00227C56"/>
    <w:rsid w:val="00230222"/>
    <w:rsid w:val="002307EC"/>
    <w:rsid w:val="00231061"/>
    <w:rsid w:val="002354DB"/>
    <w:rsid w:val="002356F3"/>
    <w:rsid w:val="00235F0C"/>
    <w:rsid w:val="00237165"/>
    <w:rsid w:val="002418C9"/>
    <w:rsid w:val="0024396E"/>
    <w:rsid w:val="00244039"/>
    <w:rsid w:val="00245111"/>
    <w:rsid w:val="002454E0"/>
    <w:rsid w:val="00246225"/>
    <w:rsid w:val="00246B21"/>
    <w:rsid w:val="00246DEA"/>
    <w:rsid w:val="00246FC3"/>
    <w:rsid w:val="002516DC"/>
    <w:rsid w:val="00253F90"/>
    <w:rsid w:val="00254C1F"/>
    <w:rsid w:val="00261F2F"/>
    <w:rsid w:val="0026292A"/>
    <w:rsid w:val="002639F3"/>
    <w:rsid w:val="00264AA2"/>
    <w:rsid w:val="0026537C"/>
    <w:rsid w:val="00265A8D"/>
    <w:rsid w:val="0026602A"/>
    <w:rsid w:val="002740AD"/>
    <w:rsid w:val="002760F2"/>
    <w:rsid w:val="002764AC"/>
    <w:rsid w:val="00280A6E"/>
    <w:rsid w:val="00281C89"/>
    <w:rsid w:val="002820B3"/>
    <w:rsid w:val="00282DDE"/>
    <w:rsid w:val="00284156"/>
    <w:rsid w:val="00286501"/>
    <w:rsid w:val="00286F6E"/>
    <w:rsid w:val="00290635"/>
    <w:rsid w:val="00295321"/>
    <w:rsid w:val="002A1675"/>
    <w:rsid w:val="002A3338"/>
    <w:rsid w:val="002A3B23"/>
    <w:rsid w:val="002A5CFA"/>
    <w:rsid w:val="002A6CC4"/>
    <w:rsid w:val="002A6F1A"/>
    <w:rsid w:val="002B4328"/>
    <w:rsid w:val="002B4968"/>
    <w:rsid w:val="002B6B08"/>
    <w:rsid w:val="002B700A"/>
    <w:rsid w:val="002C1661"/>
    <w:rsid w:val="002C50D9"/>
    <w:rsid w:val="002D0E25"/>
    <w:rsid w:val="002D3596"/>
    <w:rsid w:val="002D3685"/>
    <w:rsid w:val="002E01FA"/>
    <w:rsid w:val="002E09E4"/>
    <w:rsid w:val="002E0D3D"/>
    <w:rsid w:val="002E183F"/>
    <w:rsid w:val="002E382B"/>
    <w:rsid w:val="002E52B7"/>
    <w:rsid w:val="002E6024"/>
    <w:rsid w:val="002F16AA"/>
    <w:rsid w:val="002F1914"/>
    <w:rsid w:val="002F1E49"/>
    <w:rsid w:val="002F22CF"/>
    <w:rsid w:val="002F5670"/>
    <w:rsid w:val="002F5EAF"/>
    <w:rsid w:val="002F79E7"/>
    <w:rsid w:val="00300680"/>
    <w:rsid w:val="00300975"/>
    <w:rsid w:val="00303110"/>
    <w:rsid w:val="00304F7A"/>
    <w:rsid w:val="00306BC2"/>
    <w:rsid w:val="00307B00"/>
    <w:rsid w:val="00307B2D"/>
    <w:rsid w:val="00310290"/>
    <w:rsid w:val="00311B39"/>
    <w:rsid w:val="003127DA"/>
    <w:rsid w:val="00312894"/>
    <w:rsid w:val="0031366F"/>
    <w:rsid w:val="00315C83"/>
    <w:rsid w:val="00320905"/>
    <w:rsid w:val="00320E2D"/>
    <w:rsid w:val="00322083"/>
    <w:rsid w:val="00323420"/>
    <w:rsid w:val="00324F2B"/>
    <w:rsid w:val="00325896"/>
    <w:rsid w:val="00326605"/>
    <w:rsid w:val="00327389"/>
    <w:rsid w:val="003273C4"/>
    <w:rsid w:val="0033012F"/>
    <w:rsid w:val="00331A06"/>
    <w:rsid w:val="00334757"/>
    <w:rsid w:val="003356F3"/>
    <w:rsid w:val="00337A9E"/>
    <w:rsid w:val="00340D3B"/>
    <w:rsid w:val="00341A6B"/>
    <w:rsid w:val="00342735"/>
    <w:rsid w:val="00344B7A"/>
    <w:rsid w:val="003465D0"/>
    <w:rsid w:val="00346B0F"/>
    <w:rsid w:val="003505E8"/>
    <w:rsid w:val="003519B2"/>
    <w:rsid w:val="003530BD"/>
    <w:rsid w:val="00355382"/>
    <w:rsid w:val="00360CC6"/>
    <w:rsid w:val="00365152"/>
    <w:rsid w:val="0036517B"/>
    <w:rsid w:val="00366B29"/>
    <w:rsid w:val="0036772B"/>
    <w:rsid w:val="003679CC"/>
    <w:rsid w:val="00367BCB"/>
    <w:rsid w:val="00371C1C"/>
    <w:rsid w:val="00372C0E"/>
    <w:rsid w:val="003763CD"/>
    <w:rsid w:val="00377BF0"/>
    <w:rsid w:val="00380C55"/>
    <w:rsid w:val="003829C7"/>
    <w:rsid w:val="00384FF4"/>
    <w:rsid w:val="00387F85"/>
    <w:rsid w:val="00392BA2"/>
    <w:rsid w:val="003938F2"/>
    <w:rsid w:val="00394B08"/>
    <w:rsid w:val="00396641"/>
    <w:rsid w:val="00397B73"/>
    <w:rsid w:val="003A52C7"/>
    <w:rsid w:val="003A57CE"/>
    <w:rsid w:val="003A6129"/>
    <w:rsid w:val="003A6AFC"/>
    <w:rsid w:val="003A77BB"/>
    <w:rsid w:val="003B0213"/>
    <w:rsid w:val="003B0301"/>
    <w:rsid w:val="003B3F8B"/>
    <w:rsid w:val="003B4E21"/>
    <w:rsid w:val="003B5785"/>
    <w:rsid w:val="003B5A74"/>
    <w:rsid w:val="003B5D61"/>
    <w:rsid w:val="003C1094"/>
    <w:rsid w:val="003C12C7"/>
    <w:rsid w:val="003C1795"/>
    <w:rsid w:val="003C4ED0"/>
    <w:rsid w:val="003C5359"/>
    <w:rsid w:val="003C5F8F"/>
    <w:rsid w:val="003C693D"/>
    <w:rsid w:val="003D1379"/>
    <w:rsid w:val="003D1CD5"/>
    <w:rsid w:val="003D283D"/>
    <w:rsid w:val="003D588E"/>
    <w:rsid w:val="003E16CC"/>
    <w:rsid w:val="003E6A9D"/>
    <w:rsid w:val="003E734F"/>
    <w:rsid w:val="003F2B60"/>
    <w:rsid w:val="003F4EE5"/>
    <w:rsid w:val="003F5BE0"/>
    <w:rsid w:val="0040045F"/>
    <w:rsid w:val="00403296"/>
    <w:rsid w:val="00404B49"/>
    <w:rsid w:val="00404DEA"/>
    <w:rsid w:val="00406459"/>
    <w:rsid w:val="00406806"/>
    <w:rsid w:val="004140CE"/>
    <w:rsid w:val="00415DE6"/>
    <w:rsid w:val="0041600D"/>
    <w:rsid w:val="00416757"/>
    <w:rsid w:val="0042065E"/>
    <w:rsid w:val="00422023"/>
    <w:rsid w:val="0042315E"/>
    <w:rsid w:val="0042376E"/>
    <w:rsid w:val="004259D1"/>
    <w:rsid w:val="0043364A"/>
    <w:rsid w:val="004370DC"/>
    <w:rsid w:val="0044191A"/>
    <w:rsid w:val="0044381C"/>
    <w:rsid w:val="00443968"/>
    <w:rsid w:val="00443DF6"/>
    <w:rsid w:val="00460464"/>
    <w:rsid w:val="004606BE"/>
    <w:rsid w:val="0046221E"/>
    <w:rsid w:val="00462A03"/>
    <w:rsid w:val="00465506"/>
    <w:rsid w:val="0046554C"/>
    <w:rsid w:val="00466814"/>
    <w:rsid w:val="004673D2"/>
    <w:rsid w:val="00470DFF"/>
    <w:rsid w:val="00473299"/>
    <w:rsid w:val="00473C08"/>
    <w:rsid w:val="00475774"/>
    <w:rsid w:val="00476C26"/>
    <w:rsid w:val="00476C6B"/>
    <w:rsid w:val="004772DD"/>
    <w:rsid w:val="004840AB"/>
    <w:rsid w:val="00485238"/>
    <w:rsid w:val="00493407"/>
    <w:rsid w:val="004935C3"/>
    <w:rsid w:val="00494F19"/>
    <w:rsid w:val="0049566F"/>
    <w:rsid w:val="004A59F1"/>
    <w:rsid w:val="004A5FD6"/>
    <w:rsid w:val="004A64F7"/>
    <w:rsid w:val="004A6B23"/>
    <w:rsid w:val="004B2761"/>
    <w:rsid w:val="004B3A2C"/>
    <w:rsid w:val="004B4D01"/>
    <w:rsid w:val="004C4CBC"/>
    <w:rsid w:val="004C6493"/>
    <w:rsid w:val="004C706A"/>
    <w:rsid w:val="004D15D7"/>
    <w:rsid w:val="004D2D29"/>
    <w:rsid w:val="004D314D"/>
    <w:rsid w:val="004D4091"/>
    <w:rsid w:val="004D7D98"/>
    <w:rsid w:val="004E1E68"/>
    <w:rsid w:val="004E3BE7"/>
    <w:rsid w:val="004E404E"/>
    <w:rsid w:val="004E41E5"/>
    <w:rsid w:val="004E45FA"/>
    <w:rsid w:val="004E7F82"/>
    <w:rsid w:val="004F2001"/>
    <w:rsid w:val="004F2A6A"/>
    <w:rsid w:val="004F4033"/>
    <w:rsid w:val="004F411F"/>
    <w:rsid w:val="004F451F"/>
    <w:rsid w:val="005077E3"/>
    <w:rsid w:val="0051234A"/>
    <w:rsid w:val="00514802"/>
    <w:rsid w:val="00523F48"/>
    <w:rsid w:val="00524A17"/>
    <w:rsid w:val="00526F15"/>
    <w:rsid w:val="0052784F"/>
    <w:rsid w:val="00527CDB"/>
    <w:rsid w:val="00530B89"/>
    <w:rsid w:val="00532669"/>
    <w:rsid w:val="00533279"/>
    <w:rsid w:val="005364BA"/>
    <w:rsid w:val="00536966"/>
    <w:rsid w:val="0053790A"/>
    <w:rsid w:val="00537E05"/>
    <w:rsid w:val="00542A68"/>
    <w:rsid w:val="00544C10"/>
    <w:rsid w:val="005452C2"/>
    <w:rsid w:val="005460EB"/>
    <w:rsid w:val="00547282"/>
    <w:rsid w:val="00547F23"/>
    <w:rsid w:val="00550C81"/>
    <w:rsid w:val="00550FF0"/>
    <w:rsid w:val="005518BB"/>
    <w:rsid w:val="00554195"/>
    <w:rsid w:val="0055778F"/>
    <w:rsid w:val="005610EB"/>
    <w:rsid w:val="0056142F"/>
    <w:rsid w:val="0056215B"/>
    <w:rsid w:val="005624D6"/>
    <w:rsid w:val="00563FD5"/>
    <w:rsid w:val="00565096"/>
    <w:rsid w:val="0056514F"/>
    <w:rsid w:val="00567FD2"/>
    <w:rsid w:val="0057115E"/>
    <w:rsid w:val="00571612"/>
    <w:rsid w:val="0057171A"/>
    <w:rsid w:val="005747CD"/>
    <w:rsid w:val="00574C70"/>
    <w:rsid w:val="00575142"/>
    <w:rsid w:val="00580432"/>
    <w:rsid w:val="005857AA"/>
    <w:rsid w:val="005869B2"/>
    <w:rsid w:val="0059518D"/>
    <w:rsid w:val="00595AD3"/>
    <w:rsid w:val="005A0AA9"/>
    <w:rsid w:val="005A2E28"/>
    <w:rsid w:val="005A3832"/>
    <w:rsid w:val="005A38AD"/>
    <w:rsid w:val="005A44F8"/>
    <w:rsid w:val="005A67C2"/>
    <w:rsid w:val="005A7189"/>
    <w:rsid w:val="005A7B80"/>
    <w:rsid w:val="005B0E0C"/>
    <w:rsid w:val="005B0E8E"/>
    <w:rsid w:val="005B10AE"/>
    <w:rsid w:val="005B30B7"/>
    <w:rsid w:val="005B3AA4"/>
    <w:rsid w:val="005B6623"/>
    <w:rsid w:val="005B777A"/>
    <w:rsid w:val="005C0087"/>
    <w:rsid w:val="005C38A3"/>
    <w:rsid w:val="005C38F1"/>
    <w:rsid w:val="005C4E27"/>
    <w:rsid w:val="005C5A6D"/>
    <w:rsid w:val="005C6240"/>
    <w:rsid w:val="005D25BB"/>
    <w:rsid w:val="005D3A25"/>
    <w:rsid w:val="005D5116"/>
    <w:rsid w:val="005E0119"/>
    <w:rsid w:val="005E67A8"/>
    <w:rsid w:val="005E6E99"/>
    <w:rsid w:val="005E7490"/>
    <w:rsid w:val="005F27FC"/>
    <w:rsid w:val="005F6B88"/>
    <w:rsid w:val="005F7DEA"/>
    <w:rsid w:val="005F7F31"/>
    <w:rsid w:val="00600512"/>
    <w:rsid w:val="006027FC"/>
    <w:rsid w:val="00605ED9"/>
    <w:rsid w:val="00612172"/>
    <w:rsid w:val="00612246"/>
    <w:rsid w:val="00614411"/>
    <w:rsid w:val="00616AD1"/>
    <w:rsid w:val="00616C6A"/>
    <w:rsid w:val="00616D84"/>
    <w:rsid w:val="00617B6F"/>
    <w:rsid w:val="006206B4"/>
    <w:rsid w:val="006240D8"/>
    <w:rsid w:val="006274E6"/>
    <w:rsid w:val="0062757C"/>
    <w:rsid w:val="00630F1B"/>
    <w:rsid w:val="00631870"/>
    <w:rsid w:val="00631FF2"/>
    <w:rsid w:val="00633A82"/>
    <w:rsid w:val="00634904"/>
    <w:rsid w:val="006349D8"/>
    <w:rsid w:val="00637212"/>
    <w:rsid w:val="006375D5"/>
    <w:rsid w:val="00641EF6"/>
    <w:rsid w:val="00641F20"/>
    <w:rsid w:val="00642397"/>
    <w:rsid w:val="00642DFF"/>
    <w:rsid w:val="006447B3"/>
    <w:rsid w:val="006475FD"/>
    <w:rsid w:val="0064798E"/>
    <w:rsid w:val="00647ECC"/>
    <w:rsid w:val="00650333"/>
    <w:rsid w:val="00652721"/>
    <w:rsid w:val="00655BD5"/>
    <w:rsid w:val="00660C86"/>
    <w:rsid w:val="00661383"/>
    <w:rsid w:val="00661557"/>
    <w:rsid w:val="006642B4"/>
    <w:rsid w:val="006647CB"/>
    <w:rsid w:val="0066573D"/>
    <w:rsid w:val="00667F84"/>
    <w:rsid w:val="0067129D"/>
    <w:rsid w:val="006712F9"/>
    <w:rsid w:val="00675784"/>
    <w:rsid w:val="00676333"/>
    <w:rsid w:val="006768B7"/>
    <w:rsid w:val="00676A12"/>
    <w:rsid w:val="00680AE7"/>
    <w:rsid w:val="006815AC"/>
    <w:rsid w:val="00692B8D"/>
    <w:rsid w:val="00697F49"/>
    <w:rsid w:val="006A1FD4"/>
    <w:rsid w:val="006A3614"/>
    <w:rsid w:val="006A4567"/>
    <w:rsid w:val="006A4CCD"/>
    <w:rsid w:val="006A528A"/>
    <w:rsid w:val="006A5AC1"/>
    <w:rsid w:val="006A7F56"/>
    <w:rsid w:val="006B10FB"/>
    <w:rsid w:val="006B47CD"/>
    <w:rsid w:val="006B507E"/>
    <w:rsid w:val="006B6464"/>
    <w:rsid w:val="006B662D"/>
    <w:rsid w:val="006B72BE"/>
    <w:rsid w:val="006B76C1"/>
    <w:rsid w:val="006C015B"/>
    <w:rsid w:val="006C15B2"/>
    <w:rsid w:val="006C3FC8"/>
    <w:rsid w:val="006C4689"/>
    <w:rsid w:val="006C63B7"/>
    <w:rsid w:val="006D1180"/>
    <w:rsid w:val="006D4694"/>
    <w:rsid w:val="006D4B71"/>
    <w:rsid w:val="006D5219"/>
    <w:rsid w:val="006D69D4"/>
    <w:rsid w:val="006D7F33"/>
    <w:rsid w:val="006E0295"/>
    <w:rsid w:val="006E543F"/>
    <w:rsid w:val="006E5C06"/>
    <w:rsid w:val="006E65D1"/>
    <w:rsid w:val="006E7EB2"/>
    <w:rsid w:val="006F30FC"/>
    <w:rsid w:val="006F35FE"/>
    <w:rsid w:val="006F4CE9"/>
    <w:rsid w:val="006F4CF7"/>
    <w:rsid w:val="006F583C"/>
    <w:rsid w:val="00700236"/>
    <w:rsid w:val="00702441"/>
    <w:rsid w:val="00702FC3"/>
    <w:rsid w:val="00704406"/>
    <w:rsid w:val="00706D81"/>
    <w:rsid w:val="00707016"/>
    <w:rsid w:val="00710C66"/>
    <w:rsid w:val="00711900"/>
    <w:rsid w:val="007124A6"/>
    <w:rsid w:val="007128B9"/>
    <w:rsid w:val="007130F5"/>
    <w:rsid w:val="0071526D"/>
    <w:rsid w:val="00715279"/>
    <w:rsid w:val="00716EA3"/>
    <w:rsid w:val="00727990"/>
    <w:rsid w:val="00730ADB"/>
    <w:rsid w:val="0073262A"/>
    <w:rsid w:val="00734869"/>
    <w:rsid w:val="00734FD5"/>
    <w:rsid w:val="007362FB"/>
    <w:rsid w:val="0073632E"/>
    <w:rsid w:val="00737630"/>
    <w:rsid w:val="00737B84"/>
    <w:rsid w:val="00741417"/>
    <w:rsid w:val="007423EA"/>
    <w:rsid w:val="0074669B"/>
    <w:rsid w:val="00753597"/>
    <w:rsid w:val="007560BE"/>
    <w:rsid w:val="0075646E"/>
    <w:rsid w:val="00756E15"/>
    <w:rsid w:val="007579D3"/>
    <w:rsid w:val="00761E7D"/>
    <w:rsid w:val="00762398"/>
    <w:rsid w:val="00770804"/>
    <w:rsid w:val="00770812"/>
    <w:rsid w:val="00770FBF"/>
    <w:rsid w:val="007720C3"/>
    <w:rsid w:val="007747BC"/>
    <w:rsid w:val="00774D6C"/>
    <w:rsid w:val="007751CB"/>
    <w:rsid w:val="0077624E"/>
    <w:rsid w:val="007810BB"/>
    <w:rsid w:val="00781BAC"/>
    <w:rsid w:val="00782680"/>
    <w:rsid w:val="007863A1"/>
    <w:rsid w:val="007917EB"/>
    <w:rsid w:val="007968D6"/>
    <w:rsid w:val="007A21D9"/>
    <w:rsid w:val="007A32B5"/>
    <w:rsid w:val="007A433A"/>
    <w:rsid w:val="007A4908"/>
    <w:rsid w:val="007A4CBA"/>
    <w:rsid w:val="007A63B1"/>
    <w:rsid w:val="007A6F67"/>
    <w:rsid w:val="007B172D"/>
    <w:rsid w:val="007B30FD"/>
    <w:rsid w:val="007B66E1"/>
    <w:rsid w:val="007C0A12"/>
    <w:rsid w:val="007C1EE3"/>
    <w:rsid w:val="007C4151"/>
    <w:rsid w:val="007D3964"/>
    <w:rsid w:val="007D42B5"/>
    <w:rsid w:val="007D5DE8"/>
    <w:rsid w:val="007E0E41"/>
    <w:rsid w:val="007E1D82"/>
    <w:rsid w:val="007E259D"/>
    <w:rsid w:val="007E335B"/>
    <w:rsid w:val="007E768D"/>
    <w:rsid w:val="007F0056"/>
    <w:rsid w:val="007F06C0"/>
    <w:rsid w:val="007F27CF"/>
    <w:rsid w:val="007F3213"/>
    <w:rsid w:val="007F332A"/>
    <w:rsid w:val="007F76B4"/>
    <w:rsid w:val="0080220F"/>
    <w:rsid w:val="00802571"/>
    <w:rsid w:val="00802C01"/>
    <w:rsid w:val="0081163D"/>
    <w:rsid w:val="0081422A"/>
    <w:rsid w:val="00815675"/>
    <w:rsid w:val="00816572"/>
    <w:rsid w:val="00820513"/>
    <w:rsid w:val="008218CB"/>
    <w:rsid w:val="00831E86"/>
    <w:rsid w:val="00832AB8"/>
    <w:rsid w:val="008333DD"/>
    <w:rsid w:val="00833EB5"/>
    <w:rsid w:val="00837CA2"/>
    <w:rsid w:val="00837E94"/>
    <w:rsid w:val="008469B7"/>
    <w:rsid w:val="00850D23"/>
    <w:rsid w:val="00852F72"/>
    <w:rsid w:val="00853EC4"/>
    <w:rsid w:val="008568FE"/>
    <w:rsid w:val="00860746"/>
    <w:rsid w:val="00860CA3"/>
    <w:rsid w:val="00861D96"/>
    <w:rsid w:val="008669F0"/>
    <w:rsid w:val="00866A6C"/>
    <w:rsid w:val="00866B07"/>
    <w:rsid w:val="008714D3"/>
    <w:rsid w:val="00871666"/>
    <w:rsid w:val="008718D6"/>
    <w:rsid w:val="0087205F"/>
    <w:rsid w:val="00880148"/>
    <w:rsid w:val="008811D6"/>
    <w:rsid w:val="00881B74"/>
    <w:rsid w:val="00882FB9"/>
    <w:rsid w:val="0088550D"/>
    <w:rsid w:val="0088670A"/>
    <w:rsid w:val="00887083"/>
    <w:rsid w:val="00891780"/>
    <w:rsid w:val="00894893"/>
    <w:rsid w:val="008A4E80"/>
    <w:rsid w:val="008A6D22"/>
    <w:rsid w:val="008A73D9"/>
    <w:rsid w:val="008B1FF9"/>
    <w:rsid w:val="008B2240"/>
    <w:rsid w:val="008B32D4"/>
    <w:rsid w:val="008B6314"/>
    <w:rsid w:val="008C0323"/>
    <w:rsid w:val="008C05C5"/>
    <w:rsid w:val="008C0F7E"/>
    <w:rsid w:val="008C1C30"/>
    <w:rsid w:val="008C4C20"/>
    <w:rsid w:val="008C50A1"/>
    <w:rsid w:val="008C57DF"/>
    <w:rsid w:val="008C669D"/>
    <w:rsid w:val="008C6AB3"/>
    <w:rsid w:val="008D05E4"/>
    <w:rsid w:val="008D16A0"/>
    <w:rsid w:val="008D468D"/>
    <w:rsid w:val="008D66B1"/>
    <w:rsid w:val="008D6ECA"/>
    <w:rsid w:val="008E6313"/>
    <w:rsid w:val="008F2D0C"/>
    <w:rsid w:val="008F4427"/>
    <w:rsid w:val="008F4D4A"/>
    <w:rsid w:val="008F5CF2"/>
    <w:rsid w:val="008F795D"/>
    <w:rsid w:val="009025A8"/>
    <w:rsid w:val="00903FC3"/>
    <w:rsid w:val="009055FF"/>
    <w:rsid w:val="00907149"/>
    <w:rsid w:val="00910E9B"/>
    <w:rsid w:val="009128B2"/>
    <w:rsid w:val="00914852"/>
    <w:rsid w:val="009169AC"/>
    <w:rsid w:val="00917E23"/>
    <w:rsid w:val="00920704"/>
    <w:rsid w:val="00922F7B"/>
    <w:rsid w:val="00924E88"/>
    <w:rsid w:val="00924E8F"/>
    <w:rsid w:val="00927955"/>
    <w:rsid w:val="00930740"/>
    <w:rsid w:val="00930F6A"/>
    <w:rsid w:val="009326B3"/>
    <w:rsid w:val="00935419"/>
    <w:rsid w:val="009430F4"/>
    <w:rsid w:val="009437C4"/>
    <w:rsid w:val="00945879"/>
    <w:rsid w:val="0094770B"/>
    <w:rsid w:val="00947A20"/>
    <w:rsid w:val="00950093"/>
    <w:rsid w:val="00951464"/>
    <w:rsid w:val="0095155E"/>
    <w:rsid w:val="00952A9B"/>
    <w:rsid w:val="0095586D"/>
    <w:rsid w:val="009564C7"/>
    <w:rsid w:val="00956BC5"/>
    <w:rsid w:val="009602F2"/>
    <w:rsid w:val="00960495"/>
    <w:rsid w:val="00962C1D"/>
    <w:rsid w:val="00962E8C"/>
    <w:rsid w:val="0096414E"/>
    <w:rsid w:val="00967FDF"/>
    <w:rsid w:val="009720B8"/>
    <w:rsid w:val="00972F1A"/>
    <w:rsid w:val="0097473C"/>
    <w:rsid w:val="00976F57"/>
    <w:rsid w:val="009801DC"/>
    <w:rsid w:val="0098037C"/>
    <w:rsid w:val="0098191D"/>
    <w:rsid w:val="009823B7"/>
    <w:rsid w:val="009842E3"/>
    <w:rsid w:val="00984440"/>
    <w:rsid w:val="0098656B"/>
    <w:rsid w:val="00986FEC"/>
    <w:rsid w:val="00987E83"/>
    <w:rsid w:val="00990E99"/>
    <w:rsid w:val="0099119E"/>
    <w:rsid w:val="00991BA5"/>
    <w:rsid w:val="00991C5B"/>
    <w:rsid w:val="0099218D"/>
    <w:rsid w:val="009923BA"/>
    <w:rsid w:val="00992D3B"/>
    <w:rsid w:val="00993AA6"/>
    <w:rsid w:val="00995AB0"/>
    <w:rsid w:val="0099769E"/>
    <w:rsid w:val="009A29D5"/>
    <w:rsid w:val="009A653B"/>
    <w:rsid w:val="009A6C69"/>
    <w:rsid w:val="009A7D5D"/>
    <w:rsid w:val="009B6387"/>
    <w:rsid w:val="009C0417"/>
    <w:rsid w:val="009C2B52"/>
    <w:rsid w:val="009C3201"/>
    <w:rsid w:val="009C40B0"/>
    <w:rsid w:val="009C467B"/>
    <w:rsid w:val="009C4B2D"/>
    <w:rsid w:val="009C5EF5"/>
    <w:rsid w:val="009C708A"/>
    <w:rsid w:val="009D1411"/>
    <w:rsid w:val="009D3C34"/>
    <w:rsid w:val="009D7200"/>
    <w:rsid w:val="009E1105"/>
    <w:rsid w:val="009E1EB1"/>
    <w:rsid w:val="009E2D51"/>
    <w:rsid w:val="009E4AD0"/>
    <w:rsid w:val="009F34E3"/>
    <w:rsid w:val="009F6547"/>
    <w:rsid w:val="009F792B"/>
    <w:rsid w:val="00A00071"/>
    <w:rsid w:val="00A0033B"/>
    <w:rsid w:val="00A006AD"/>
    <w:rsid w:val="00A01735"/>
    <w:rsid w:val="00A041A7"/>
    <w:rsid w:val="00A051BC"/>
    <w:rsid w:val="00A079F6"/>
    <w:rsid w:val="00A14029"/>
    <w:rsid w:val="00A15689"/>
    <w:rsid w:val="00A1590B"/>
    <w:rsid w:val="00A17E7A"/>
    <w:rsid w:val="00A23D0A"/>
    <w:rsid w:val="00A269D4"/>
    <w:rsid w:val="00A41726"/>
    <w:rsid w:val="00A421FA"/>
    <w:rsid w:val="00A42685"/>
    <w:rsid w:val="00A43646"/>
    <w:rsid w:val="00A44368"/>
    <w:rsid w:val="00A455C2"/>
    <w:rsid w:val="00A471C4"/>
    <w:rsid w:val="00A50DF2"/>
    <w:rsid w:val="00A51BB2"/>
    <w:rsid w:val="00A5332E"/>
    <w:rsid w:val="00A55173"/>
    <w:rsid w:val="00A60E11"/>
    <w:rsid w:val="00A637A7"/>
    <w:rsid w:val="00A64D68"/>
    <w:rsid w:val="00A67200"/>
    <w:rsid w:val="00A73CE4"/>
    <w:rsid w:val="00A759F6"/>
    <w:rsid w:val="00A75FEB"/>
    <w:rsid w:val="00A76BEC"/>
    <w:rsid w:val="00A76F92"/>
    <w:rsid w:val="00A7706E"/>
    <w:rsid w:val="00A777F2"/>
    <w:rsid w:val="00A84457"/>
    <w:rsid w:val="00A87E37"/>
    <w:rsid w:val="00A903CB"/>
    <w:rsid w:val="00A90D8A"/>
    <w:rsid w:val="00A94E06"/>
    <w:rsid w:val="00A96C76"/>
    <w:rsid w:val="00A978BB"/>
    <w:rsid w:val="00AA0328"/>
    <w:rsid w:val="00AA5A02"/>
    <w:rsid w:val="00AA64C4"/>
    <w:rsid w:val="00AA77C4"/>
    <w:rsid w:val="00AB1E64"/>
    <w:rsid w:val="00AB43C0"/>
    <w:rsid w:val="00AB4673"/>
    <w:rsid w:val="00AB5CD3"/>
    <w:rsid w:val="00AC4D4B"/>
    <w:rsid w:val="00AC5DC0"/>
    <w:rsid w:val="00AC6EBA"/>
    <w:rsid w:val="00AC7748"/>
    <w:rsid w:val="00AD2488"/>
    <w:rsid w:val="00AD33A9"/>
    <w:rsid w:val="00AD36BD"/>
    <w:rsid w:val="00AE21DA"/>
    <w:rsid w:val="00AE2D18"/>
    <w:rsid w:val="00AE54FA"/>
    <w:rsid w:val="00AE574A"/>
    <w:rsid w:val="00AF2959"/>
    <w:rsid w:val="00AF37B2"/>
    <w:rsid w:val="00AF3F93"/>
    <w:rsid w:val="00AF42A0"/>
    <w:rsid w:val="00AF45AF"/>
    <w:rsid w:val="00B00683"/>
    <w:rsid w:val="00B01377"/>
    <w:rsid w:val="00B028ED"/>
    <w:rsid w:val="00B02A30"/>
    <w:rsid w:val="00B06C6A"/>
    <w:rsid w:val="00B06E6A"/>
    <w:rsid w:val="00B1121E"/>
    <w:rsid w:val="00B114DB"/>
    <w:rsid w:val="00B13715"/>
    <w:rsid w:val="00B13F15"/>
    <w:rsid w:val="00B150D4"/>
    <w:rsid w:val="00B208A1"/>
    <w:rsid w:val="00B21225"/>
    <w:rsid w:val="00B23960"/>
    <w:rsid w:val="00B24B82"/>
    <w:rsid w:val="00B27061"/>
    <w:rsid w:val="00B30EBC"/>
    <w:rsid w:val="00B31165"/>
    <w:rsid w:val="00B31E5D"/>
    <w:rsid w:val="00B31F07"/>
    <w:rsid w:val="00B325B6"/>
    <w:rsid w:val="00B32AB8"/>
    <w:rsid w:val="00B4092E"/>
    <w:rsid w:val="00B45612"/>
    <w:rsid w:val="00B5040D"/>
    <w:rsid w:val="00B5127A"/>
    <w:rsid w:val="00B53479"/>
    <w:rsid w:val="00B54544"/>
    <w:rsid w:val="00B54E2C"/>
    <w:rsid w:val="00B5551E"/>
    <w:rsid w:val="00B60724"/>
    <w:rsid w:val="00B609CA"/>
    <w:rsid w:val="00B62BF7"/>
    <w:rsid w:val="00B63FB4"/>
    <w:rsid w:val="00B64DFE"/>
    <w:rsid w:val="00B66CC7"/>
    <w:rsid w:val="00B7004C"/>
    <w:rsid w:val="00B70723"/>
    <w:rsid w:val="00B77C36"/>
    <w:rsid w:val="00B80D8F"/>
    <w:rsid w:val="00B81ED8"/>
    <w:rsid w:val="00B82DB6"/>
    <w:rsid w:val="00B83743"/>
    <w:rsid w:val="00B853DD"/>
    <w:rsid w:val="00B85938"/>
    <w:rsid w:val="00B86DB4"/>
    <w:rsid w:val="00B96F0D"/>
    <w:rsid w:val="00B97C0C"/>
    <w:rsid w:val="00BA091D"/>
    <w:rsid w:val="00BA4EE2"/>
    <w:rsid w:val="00BA5AB4"/>
    <w:rsid w:val="00BA5F59"/>
    <w:rsid w:val="00BA6273"/>
    <w:rsid w:val="00BC0C9D"/>
    <w:rsid w:val="00BC32DD"/>
    <w:rsid w:val="00BC3DB5"/>
    <w:rsid w:val="00BC4375"/>
    <w:rsid w:val="00BC7CD3"/>
    <w:rsid w:val="00BD049A"/>
    <w:rsid w:val="00BD1B4A"/>
    <w:rsid w:val="00BD218D"/>
    <w:rsid w:val="00BD565C"/>
    <w:rsid w:val="00BD6171"/>
    <w:rsid w:val="00BD741F"/>
    <w:rsid w:val="00BD7597"/>
    <w:rsid w:val="00BE05C2"/>
    <w:rsid w:val="00BE130B"/>
    <w:rsid w:val="00BE36A0"/>
    <w:rsid w:val="00BE5164"/>
    <w:rsid w:val="00BE6ACE"/>
    <w:rsid w:val="00BF0164"/>
    <w:rsid w:val="00BF25DB"/>
    <w:rsid w:val="00BF2C92"/>
    <w:rsid w:val="00BF312D"/>
    <w:rsid w:val="00BF7A3E"/>
    <w:rsid w:val="00BF7EDA"/>
    <w:rsid w:val="00C0109D"/>
    <w:rsid w:val="00C17236"/>
    <w:rsid w:val="00C1765E"/>
    <w:rsid w:val="00C178A5"/>
    <w:rsid w:val="00C214C0"/>
    <w:rsid w:val="00C2284B"/>
    <w:rsid w:val="00C23549"/>
    <w:rsid w:val="00C2382F"/>
    <w:rsid w:val="00C25BDE"/>
    <w:rsid w:val="00C26257"/>
    <w:rsid w:val="00C31088"/>
    <w:rsid w:val="00C3238F"/>
    <w:rsid w:val="00C3244F"/>
    <w:rsid w:val="00C366F0"/>
    <w:rsid w:val="00C37655"/>
    <w:rsid w:val="00C432B2"/>
    <w:rsid w:val="00C44137"/>
    <w:rsid w:val="00C469D3"/>
    <w:rsid w:val="00C51380"/>
    <w:rsid w:val="00C53F3D"/>
    <w:rsid w:val="00C548FE"/>
    <w:rsid w:val="00C54BF3"/>
    <w:rsid w:val="00C55055"/>
    <w:rsid w:val="00C553C7"/>
    <w:rsid w:val="00C56831"/>
    <w:rsid w:val="00C57FD6"/>
    <w:rsid w:val="00C614A7"/>
    <w:rsid w:val="00C61BC8"/>
    <w:rsid w:val="00C6261B"/>
    <w:rsid w:val="00C63810"/>
    <w:rsid w:val="00C65134"/>
    <w:rsid w:val="00C6758B"/>
    <w:rsid w:val="00C70CAA"/>
    <w:rsid w:val="00C7510F"/>
    <w:rsid w:val="00C754D1"/>
    <w:rsid w:val="00C75846"/>
    <w:rsid w:val="00C7600C"/>
    <w:rsid w:val="00C77282"/>
    <w:rsid w:val="00C836F1"/>
    <w:rsid w:val="00C83B78"/>
    <w:rsid w:val="00C85C0A"/>
    <w:rsid w:val="00C910D1"/>
    <w:rsid w:val="00C91F07"/>
    <w:rsid w:val="00C94805"/>
    <w:rsid w:val="00C962C4"/>
    <w:rsid w:val="00C968FA"/>
    <w:rsid w:val="00C96FE2"/>
    <w:rsid w:val="00C977DF"/>
    <w:rsid w:val="00CA10FA"/>
    <w:rsid w:val="00CA293B"/>
    <w:rsid w:val="00CA35D6"/>
    <w:rsid w:val="00CA6501"/>
    <w:rsid w:val="00CB1D7D"/>
    <w:rsid w:val="00CB612B"/>
    <w:rsid w:val="00CB676B"/>
    <w:rsid w:val="00CB6E11"/>
    <w:rsid w:val="00CB7688"/>
    <w:rsid w:val="00CC69F3"/>
    <w:rsid w:val="00CD06C4"/>
    <w:rsid w:val="00CD2236"/>
    <w:rsid w:val="00CD2240"/>
    <w:rsid w:val="00CD4116"/>
    <w:rsid w:val="00CD4F28"/>
    <w:rsid w:val="00CD60E2"/>
    <w:rsid w:val="00CE39C3"/>
    <w:rsid w:val="00CE3CBC"/>
    <w:rsid w:val="00CE498A"/>
    <w:rsid w:val="00CE564F"/>
    <w:rsid w:val="00CE61F5"/>
    <w:rsid w:val="00CF1D92"/>
    <w:rsid w:val="00CF3407"/>
    <w:rsid w:val="00CF4B0F"/>
    <w:rsid w:val="00CF58ED"/>
    <w:rsid w:val="00CF5C4E"/>
    <w:rsid w:val="00D064B7"/>
    <w:rsid w:val="00D06573"/>
    <w:rsid w:val="00D06A5F"/>
    <w:rsid w:val="00D11C47"/>
    <w:rsid w:val="00D11FC3"/>
    <w:rsid w:val="00D12685"/>
    <w:rsid w:val="00D13592"/>
    <w:rsid w:val="00D1576D"/>
    <w:rsid w:val="00D17263"/>
    <w:rsid w:val="00D203C6"/>
    <w:rsid w:val="00D204A7"/>
    <w:rsid w:val="00D22F15"/>
    <w:rsid w:val="00D23933"/>
    <w:rsid w:val="00D271CF"/>
    <w:rsid w:val="00D301ED"/>
    <w:rsid w:val="00D30AFD"/>
    <w:rsid w:val="00D32E07"/>
    <w:rsid w:val="00D34CA3"/>
    <w:rsid w:val="00D36BF1"/>
    <w:rsid w:val="00D37D44"/>
    <w:rsid w:val="00D40522"/>
    <w:rsid w:val="00D4197A"/>
    <w:rsid w:val="00D43864"/>
    <w:rsid w:val="00D45F32"/>
    <w:rsid w:val="00D461D2"/>
    <w:rsid w:val="00D47AE0"/>
    <w:rsid w:val="00D47B13"/>
    <w:rsid w:val="00D505E0"/>
    <w:rsid w:val="00D517D9"/>
    <w:rsid w:val="00D5304C"/>
    <w:rsid w:val="00D5409B"/>
    <w:rsid w:val="00D56087"/>
    <w:rsid w:val="00D56771"/>
    <w:rsid w:val="00D61F28"/>
    <w:rsid w:val="00D66D47"/>
    <w:rsid w:val="00D70F36"/>
    <w:rsid w:val="00D717BB"/>
    <w:rsid w:val="00D73539"/>
    <w:rsid w:val="00D81AC1"/>
    <w:rsid w:val="00D8482F"/>
    <w:rsid w:val="00D85A0D"/>
    <w:rsid w:val="00D87D15"/>
    <w:rsid w:val="00D90B01"/>
    <w:rsid w:val="00D9142B"/>
    <w:rsid w:val="00D939E3"/>
    <w:rsid w:val="00D93F67"/>
    <w:rsid w:val="00D956D7"/>
    <w:rsid w:val="00D973ED"/>
    <w:rsid w:val="00D97F06"/>
    <w:rsid w:val="00DA0570"/>
    <w:rsid w:val="00DA225B"/>
    <w:rsid w:val="00DA24E0"/>
    <w:rsid w:val="00DA405D"/>
    <w:rsid w:val="00DA6A96"/>
    <w:rsid w:val="00DA7FCB"/>
    <w:rsid w:val="00DB0214"/>
    <w:rsid w:val="00DB0917"/>
    <w:rsid w:val="00DB0A04"/>
    <w:rsid w:val="00DB3AC3"/>
    <w:rsid w:val="00DB48CA"/>
    <w:rsid w:val="00DB49A1"/>
    <w:rsid w:val="00DB4A55"/>
    <w:rsid w:val="00DB5169"/>
    <w:rsid w:val="00DB5284"/>
    <w:rsid w:val="00DB7506"/>
    <w:rsid w:val="00DB7AC4"/>
    <w:rsid w:val="00DC29B1"/>
    <w:rsid w:val="00DC32D5"/>
    <w:rsid w:val="00DC3B9C"/>
    <w:rsid w:val="00DC6152"/>
    <w:rsid w:val="00DC6513"/>
    <w:rsid w:val="00DC6DCD"/>
    <w:rsid w:val="00DC7A3A"/>
    <w:rsid w:val="00DD0984"/>
    <w:rsid w:val="00DD19A7"/>
    <w:rsid w:val="00DD23AA"/>
    <w:rsid w:val="00DD29A9"/>
    <w:rsid w:val="00DD41AE"/>
    <w:rsid w:val="00DD7595"/>
    <w:rsid w:val="00DD7980"/>
    <w:rsid w:val="00DE1164"/>
    <w:rsid w:val="00DE16C1"/>
    <w:rsid w:val="00DE23CE"/>
    <w:rsid w:val="00DE4C2E"/>
    <w:rsid w:val="00DE5E2E"/>
    <w:rsid w:val="00DE6B4A"/>
    <w:rsid w:val="00DE6C46"/>
    <w:rsid w:val="00DE6F1A"/>
    <w:rsid w:val="00DF0DF3"/>
    <w:rsid w:val="00DF2683"/>
    <w:rsid w:val="00DF326A"/>
    <w:rsid w:val="00DF4DE2"/>
    <w:rsid w:val="00DF5B0A"/>
    <w:rsid w:val="00DF5BDC"/>
    <w:rsid w:val="00DF5E94"/>
    <w:rsid w:val="00DF6A53"/>
    <w:rsid w:val="00E01B7C"/>
    <w:rsid w:val="00E03B5A"/>
    <w:rsid w:val="00E03C8B"/>
    <w:rsid w:val="00E03D60"/>
    <w:rsid w:val="00E04261"/>
    <w:rsid w:val="00E054C8"/>
    <w:rsid w:val="00E06A0F"/>
    <w:rsid w:val="00E1127F"/>
    <w:rsid w:val="00E127F8"/>
    <w:rsid w:val="00E13D26"/>
    <w:rsid w:val="00E13F0C"/>
    <w:rsid w:val="00E15EEB"/>
    <w:rsid w:val="00E1673D"/>
    <w:rsid w:val="00E169D4"/>
    <w:rsid w:val="00E16E47"/>
    <w:rsid w:val="00E24EC6"/>
    <w:rsid w:val="00E26667"/>
    <w:rsid w:val="00E26BED"/>
    <w:rsid w:val="00E313B5"/>
    <w:rsid w:val="00E31A96"/>
    <w:rsid w:val="00E31DCB"/>
    <w:rsid w:val="00E32048"/>
    <w:rsid w:val="00E33580"/>
    <w:rsid w:val="00E37834"/>
    <w:rsid w:val="00E37A42"/>
    <w:rsid w:val="00E4078F"/>
    <w:rsid w:val="00E408CF"/>
    <w:rsid w:val="00E4136D"/>
    <w:rsid w:val="00E457B9"/>
    <w:rsid w:val="00E467CE"/>
    <w:rsid w:val="00E500FC"/>
    <w:rsid w:val="00E50D46"/>
    <w:rsid w:val="00E524ED"/>
    <w:rsid w:val="00E54C05"/>
    <w:rsid w:val="00E55828"/>
    <w:rsid w:val="00E55D50"/>
    <w:rsid w:val="00E57628"/>
    <w:rsid w:val="00E60CD4"/>
    <w:rsid w:val="00E610FA"/>
    <w:rsid w:val="00E61EC6"/>
    <w:rsid w:val="00E6225A"/>
    <w:rsid w:val="00E6278A"/>
    <w:rsid w:val="00E63D1D"/>
    <w:rsid w:val="00E65193"/>
    <w:rsid w:val="00E6575B"/>
    <w:rsid w:val="00E67B26"/>
    <w:rsid w:val="00E67D5F"/>
    <w:rsid w:val="00E7342B"/>
    <w:rsid w:val="00E73ADB"/>
    <w:rsid w:val="00E743B7"/>
    <w:rsid w:val="00E766CE"/>
    <w:rsid w:val="00E76AF5"/>
    <w:rsid w:val="00E80EE4"/>
    <w:rsid w:val="00E81ECE"/>
    <w:rsid w:val="00E820FD"/>
    <w:rsid w:val="00E84A55"/>
    <w:rsid w:val="00E87426"/>
    <w:rsid w:val="00E903AC"/>
    <w:rsid w:val="00E91376"/>
    <w:rsid w:val="00E91D60"/>
    <w:rsid w:val="00E963F2"/>
    <w:rsid w:val="00E97646"/>
    <w:rsid w:val="00EA1461"/>
    <w:rsid w:val="00EA2C2F"/>
    <w:rsid w:val="00EA59C0"/>
    <w:rsid w:val="00EA74FD"/>
    <w:rsid w:val="00EB07C0"/>
    <w:rsid w:val="00EB1649"/>
    <w:rsid w:val="00EB31CD"/>
    <w:rsid w:val="00EC043C"/>
    <w:rsid w:val="00EC1359"/>
    <w:rsid w:val="00EC3EB4"/>
    <w:rsid w:val="00EE0358"/>
    <w:rsid w:val="00EE11B0"/>
    <w:rsid w:val="00EE43CA"/>
    <w:rsid w:val="00EE7469"/>
    <w:rsid w:val="00EF0BC7"/>
    <w:rsid w:val="00EF17EC"/>
    <w:rsid w:val="00EF2034"/>
    <w:rsid w:val="00EF208D"/>
    <w:rsid w:val="00EF390E"/>
    <w:rsid w:val="00EF7767"/>
    <w:rsid w:val="00F00D0A"/>
    <w:rsid w:val="00F04282"/>
    <w:rsid w:val="00F07484"/>
    <w:rsid w:val="00F075A2"/>
    <w:rsid w:val="00F075B1"/>
    <w:rsid w:val="00F1020B"/>
    <w:rsid w:val="00F11275"/>
    <w:rsid w:val="00F11527"/>
    <w:rsid w:val="00F116D6"/>
    <w:rsid w:val="00F2325A"/>
    <w:rsid w:val="00F2689F"/>
    <w:rsid w:val="00F269D9"/>
    <w:rsid w:val="00F27C2A"/>
    <w:rsid w:val="00F3046E"/>
    <w:rsid w:val="00F32C01"/>
    <w:rsid w:val="00F33801"/>
    <w:rsid w:val="00F33F37"/>
    <w:rsid w:val="00F40B3B"/>
    <w:rsid w:val="00F419CD"/>
    <w:rsid w:val="00F41F61"/>
    <w:rsid w:val="00F43762"/>
    <w:rsid w:val="00F4390D"/>
    <w:rsid w:val="00F521B3"/>
    <w:rsid w:val="00F550EB"/>
    <w:rsid w:val="00F551E0"/>
    <w:rsid w:val="00F570F3"/>
    <w:rsid w:val="00F631B8"/>
    <w:rsid w:val="00F65031"/>
    <w:rsid w:val="00F72348"/>
    <w:rsid w:val="00F767DD"/>
    <w:rsid w:val="00F77005"/>
    <w:rsid w:val="00F77860"/>
    <w:rsid w:val="00F7787C"/>
    <w:rsid w:val="00F80CF9"/>
    <w:rsid w:val="00F814FF"/>
    <w:rsid w:val="00F84C3D"/>
    <w:rsid w:val="00F85712"/>
    <w:rsid w:val="00F85BD3"/>
    <w:rsid w:val="00FA1994"/>
    <w:rsid w:val="00FB0223"/>
    <w:rsid w:val="00FB1DCD"/>
    <w:rsid w:val="00FB2DB4"/>
    <w:rsid w:val="00FB52D4"/>
    <w:rsid w:val="00FB784A"/>
    <w:rsid w:val="00FC4BE5"/>
    <w:rsid w:val="00FC566E"/>
    <w:rsid w:val="00FC578B"/>
    <w:rsid w:val="00FD06D9"/>
    <w:rsid w:val="00FD07D6"/>
    <w:rsid w:val="00FD0EE4"/>
    <w:rsid w:val="00FD1252"/>
    <w:rsid w:val="00FD1F90"/>
    <w:rsid w:val="00FD343E"/>
    <w:rsid w:val="00FD3FE7"/>
    <w:rsid w:val="00FD7888"/>
    <w:rsid w:val="00FE27B2"/>
    <w:rsid w:val="00FE33EC"/>
    <w:rsid w:val="00FE44C4"/>
    <w:rsid w:val="00FE4E0D"/>
    <w:rsid w:val="00FE6DE7"/>
    <w:rsid w:val="00FE7727"/>
    <w:rsid w:val="00FE7853"/>
    <w:rsid w:val="00FF08E2"/>
    <w:rsid w:val="00FF1FE0"/>
    <w:rsid w:val="00FF5C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E8DBCD"/>
  <w15:chartTrackingRefBased/>
  <w15:docId w15:val="{6CDDB5A2-509F-4E82-B690-1A70C4B0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C10"/>
    <w:rPr>
      <w:sz w:val="24"/>
      <w:szCs w:val="24"/>
      <w:lang w:eastAsia="en-US"/>
    </w:rPr>
  </w:style>
  <w:style w:type="paragraph" w:styleId="Heading1">
    <w:name w:val="heading 1"/>
    <w:basedOn w:val="Normal"/>
    <w:next w:val="Normal"/>
    <w:link w:val="Heading1Char"/>
    <w:qFormat/>
    <w:rsid w:val="00753597"/>
    <w:pPr>
      <w:numPr>
        <w:numId w:val="16"/>
      </w:numPr>
      <w:outlineLvl w:val="0"/>
    </w:pPr>
    <w:rPr>
      <w:b/>
    </w:rPr>
  </w:style>
  <w:style w:type="paragraph" w:styleId="Heading4">
    <w:name w:val="heading 4"/>
    <w:basedOn w:val="Normal"/>
    <w:link w:val="Heading4Char"/>
    <w:uiPriority w:val="9"/>
    <w:qFormat/>
    <w:rsid w:val="00C2284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44C10"/>
    <w:rPr>
      <w:color w:val="0000FF"/>
      <w:u w:val="single"/>
    </w:rPr>
  </w:style>
  <w:style w:type="table" w:styleId="TableGrid">
    <w:name w:val="Table Grid"/>
    <w:basedOn w:val="TableNormal"/>
    <w:rsid w:val="00437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461D2"/>
    <w:rPr>
      <w:sz w:val="16"/>
      <w:szCs w:val="16"/>
    </w:rPr>
  </w:style>
  <w:style w:type="paragraph" w:styleId="CommentText">
    <w:name w:val="annotation text"/>
    <w:basedOn w:val="Normal"/>
    <w:semiHidden/>
    <w:rsid w:val="00D461D2"/>
    <w:rPr>
      <w:sz w:val="20"/>
      <w:szCs w:val="20"/>
    </w:rPr>
  </w:style>
  <w:style w:type="paragraph" w:styleId="CommentSubject">
    <w:name w:val="annotation subject"/>
    <w:basedOn w:val="CommentText"/>
    <w:next w:val="CommentText"/>
    <w:semiHidden/>
    <w:rsid w:val="00D461D2"/>
    <w:rPr>
      <w:b/>
      <w:bCs/>
    </w:rPr>
  </w:style>
  <w:style w:type="paragraph" w:styleId="BalloonText">
    <w:name w:val="Balloon Text"/>
    <w:basedOn w:val="Normal"/>
    <w:semiHidden/>
    <w:rsid w:val="00D461D2"/>
    <w:rPr>
      <w:rFonts w:ascii="Tahoma" w:hAnsi="Tahoma" w:cs="Tahoma"/>
      <w:sz w:val="16"/>
      <w:szCs w:val="16"/>
    </w:rPr>
  </w:style>
  <w:style w:type="paragraph" w:styleId="NormalWeb">
    <w:name w:val="Normal (Web)"/>
    <w:basedOn w:val="Normal"/>
    <w:uiPriority w:val="99"/>
    <w:rsid w:val="00E1127F"/>
    <w:pPr>
      <w:spacing w:before="100" w:beforeAutospacing="1" w:after="100" w:afterAutospacing="1"/>
    </w:pPr>
  </w:style>
  <w:style w:type="paragraph" w:styleId="DocumentMap">
    <w:name w:val="Document Map"/>
    <w:basedOn w:val="Normal"/>
    <w:semiHidden/>
    <w:rsid w:val="00E55D50"/>
    <w:pPr>
      <w:shd w:val="clear" w:color="auto" w:fill="000080"/>
    </w:pPr>
    <w:rPr>
      <w:rFonts w:ascii="Tahoma" w:hAnsi="Tahoma" w:cs="Tahoma"/>
      <w:sz w:val="20"/>
      <w:szCs w:val="20"/>
    </w:rPr>
  </w:style>
  <w:style w:type="paragraph" w:styleId="Header">
    <w:name w:val="header"/>
    <w:basedOn w:val="Normal"/>
    <w:rsid w:val="00DC6152"/>
    <w:pPr>
      <w:tabs>
        <w:tab w:val="center" w:pos="4320"/>
        <w:tab w:val="right" w:pos="8640"/>
      </w:tabs>
    </w:pPr>
  </w:style>
  <w:style w:type="paragraph" w:styleId="Footer">
    <w:name w:val="footer"/>
    <w:basedOn w:val="Normal"/>
    <w:rsid w:val="00DC6152"/>
    <w:pPr>
      <w:tabs>
        <w:tab w:val="center" w:pos="4320"/>
        <w:tab w:val="right" w:pos="8640"/>
      </w:tabs>
    </w:pPr>
  </w:style>
  <w:style w:type="character" w:styleId="PageNumber">
    <w:name w:val="page number"/>
    <w:basedOn w:val="DefaultParagraphFont"/>
    <w:rsid w:val="00387F85"/>
  </w:style>
  <w:style w:type="character" w:styleId="FollowedHyperlink">
    <w:name w:val="FollowedHyperlink"/>
    <w:rsid w:val="00246B21"/>
    <w:rPr>
      <w:color w:val="800080"/>
      <w:u w:val="single"/>
    </w:rPr>
  </w:style>
  <w:style w:type="table" w:styleId="TableClassic1">
    <w:name w:val="Table Classic 1"/>
    <w:basedOn w:val="TableNormal"/>
    <w:rsid w:val="00A006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246FC3"/>
    <w:rPr>
      <w:rFonts w:ascii="Courier New" w:hAnsi="Courier New" w:cs="Courier New"/>
      <w:sz w:val="20"/>
      <w:szCs w:val="20"/>
    </w:rPr>
  </w:style>
  <w:style w:type="character" w:customStyle="1" w:styleId="A0">
    <w:name w:val="A0"/>
    <w:uiPriority w:val="99"/>
    <w:rsid w:val="00B13715"/>
    <w:rPr>
      <w:rFonts w:cs="Calibri"/>
      <w:color w:val="000000"/>
      <w:sz w:val="48"/>
      <w:szCs w:val="48"/>
    </w:rPr>
  </w:style>
  <w:style w:type="paragraph" w:customStyle="1" w:styleId="links">
    <w:name w:val="links"/>
    <w:basedOn w:val="Normal"/>
    <w:rsid w:val="00135263"/>
    <w:pPr>
      <w:spacing w:before="100" w:beforeAutospacing="1" w:after="100" w:afterAutospacing="1"/>
    </w:pPr>
  </w:style>
  <w:style w:type="paragraph" w:customStyle="1" w:styleId="Title1">
    <w:name w:val="Title1"/>
    <w:basedOn w:val="Normal"/>
    <w:rsid w:val="00135263"/>
    <w:pPr>
      <w:spacing w:before="100" w:beforeAutospacing="1" w:after="100" w:afterAutospacing="1"/>
    </w:pPr>
  </w:style>
  <w:style w:type="paragraph" w:customStyle="1" w:styleId="desc">
    <w:name w:val="desc"/>
    <w:basedOn w:val="Normal"/>
    <w:rsid w:val="00135263"/>
    <w:pPr>
      <w:spacing w:before="100" w:beforeAutospacing="1" w:after="100" w:afterAutospacing="1"/>
    </w:pPr>
  </w:style>
  <w:style w:type="paragraph" w:customStyle="1" w:styleId="details">
    <w:name w:val="details"/>
    <w:basedOn w:val="Normal"/>
    <w:rsid w:val="00135263"/>
    <w:pPr>
      <w:spacing w:before="100" w:beforeAutospacing="1" w:after="100" w:afterAutospacing="1"/>
    </w:pPr>
  </w:style>
  <w:style w:type="character" w:customStyle="1" w:styleId="jrnl">
    <w:name w:val="jrnl"/>
    <w:rsid w:val="00135263"/>
  </w:style>
  <w:style w:type="character" w:customStyle="1" w:styleId="cit-print-date">
    <w:name w:val="cit-print-date"/>
    <w:rsid w:val="005A38AD"/>
  </w:style>
  <w:style w:type="character" w:customStyle="1" w:styleId="cit-sep2">
    <w:name w:val="cit-sep2"/>
    <w:rsid w:val="005A38AD"/>
  </w:style>
  <w:style w:type="character" w:customStyle="1" w:styleId="cit-vol5">
    <w:name w:val="cit-vol5"/>
    <w:rsid w:val="005A38AD"/>
  </w:style>
  <w:style w:type="character" w:customStyle="1" w:styleId="cit-issue">
    <w:name w:val="cit-issue"/>
    <w:rsid w:val="005A38AD"/>
  </w:style>
  <w:style w:type="character" w:customStyle="1" w:styleId="cit-pages2">
    <w:name w:val="cit-pages2"/>
    <w:rsid w:val="005A38AD"/>
  </w:style>
  <w:style w:type="character" w:customStyle="1" w:styleId="cit-first-page">
    <w:name w:val="cit-first-page"/>
    <w:rsid w:val="005A38AD"/>
  </w:style>
  <w:style w:type="character" w:customStyle="1" w:styleId="cit-last-page2">
    <w:name w:val="cit-last-page2"/>
    <w:rsid w:val="005A38AD"/>
  </w:style>
  <w:style w:type="paragraph" w:styleId="ListParagraph">
    <w:name w:val="List Paragraph"/>
    <w:basedOn w:val="Normal"/>
    <w:uiPriority w:val="34"/>
    <w:qFormat/>
    <w:rsid w:val="00910E9B"/>
    <w:pPr>
      <w:ind w:left="720"/>
    </w:pPr>
    <w:rPr>
      <w:rFonts w:ascii="Calibri" w:eastAsia="Calibri" w:hAnsi="Calibri"/>
      <w:sz w:val="22"/>
      <w:szCs w:val="22"/>
    </w:rPr>
  </w:style>
  <w:style w:type="paragraph" w:customStyle="1" w:styleId="CM22">
    <w:name w:val="CM22"/>
    <w:basedOn w:val="Normal"/>
    <w:next w:val="Normal"/>
    <w:uiPriority w:val="99"/>
    <w:rsid w:val="00C553C7"/>
    <w:pPr>
      <w:autoSpaceDE w:val="0"/>
      <w:autoSpaceDN w:val="0"/>
      <w:adjustRightInd w:val="0"/>
    </w:pPr>
    <w:rPr>
      <w:rFonts w:ascii="EXBNUF+TimesNewRomanPSMT" w:hAnsi="EXBNUF+TimesNewRomanPSMT"/>
    </w:rPr>
  </w:style>
  <w:style w:type="character" w:styleId="Emphasis">
    <w:name w:val="Emphasis"/>
    <w:uiPriority w:val="20"/>
    <w:qFormat/>
    <w:rsid w:val="001F1BA2"/>
    <w:rPr>
      <w:rFonts w:ascii="Lato" w:hAnsi="Lato" w:hint="default"/>
      <w:i/>
      <w:iCs/>
    </w:rPr>
  </w:style>
  <w:style w:type="character" w:customStyle="1" w:styleId="tgc">
    <w:name w:val="_tgc"/>
    <w:rsid w:val="006E7EB2"/>
  </w:style>
  <w:style w:type="character" w:customStyle="1" w:styleId="cdc-decorated1">
    <w:name w:val="cdc-decorated1"/>
    <w:rsid w:val="00D8482F"/>
    <w:rPr>
      <w:vanish w:val="0"/>
      <w:webHidden w:val="0"/>
      <w:specVanish w:val="0"/>
    </w:rPr>
  </w:style>
  <w:style w:type="paragraph" w:styleId="Revision">
    <w:name w:val="Revision"/>
    <w:hidden/>
    <w:uiPriority w:val="99"/>
    <w:semiHidden/>
    <w:rsid w:val="00605ED9"/>
    <w:rPr>
      <w:sz w:val="24"/>
      <w:szCs w:val="24"/>
      <w:lang w:eastAsia="en-US"/>
    </w:rPr>
  </w:style>
  <w:style w:type="character" w:customStyle="1" w:styleId="A31">
    <w:name w:val="A3+1"/>
    <w:uiPriority w:val="99"/>
    <w:rsid w:val="00D1576D"/>
    <w:rPr>
      <w:color w:val="000000"/>
      <w:sz w:val="16"/>
      <w:szCs w:val="16"/>
    </w:rPr>
  </w:style>
  <w:style w:type="character" w:customStyle="1" w:styleId="PlainTextChar">
    <w:name w:val="Plain Text Char"/>
    <w:link w:val="PlainText"/>
    <w:uiPriority w:val="99"/>
    <w:rsid w:val="00550FF0"/>
    <w:rPr>
      <w:rFonts w:ascii="Courier New" w:hAnsi="Courier New" w:cs="Courier New"/>
    </w:rPr>
  </w:style>
  <w:style w:type="paragraph" w:styleId="NoSpacing">
    <w:name w:val="No Spacing"/>
    <w:basedOn w:val="Normal"/>
    <w:uiPriority w:val="1"/>
    <w:qFormat/>
    <w:rsid w:val="00550FF0"/>
    <w:rPr>
      <w:rFonts w:ascii="Calibri" w:eastAsia="Calibri" w:hAnsi="Calibri"/>
      <w:sz w:val="22"/>
      <w:szCs w:val="22"/>
    </w:rPr>
  </w:style>
  <w:style w:type="paragraph" w:customStyle="1" w:styleId="Default">
    <w:name w:val="Default"/>
    <w:basedOn w:val="Normal"/>
    <w:uiPriority w:val="99"/>
    <w:rsid w:val="00550FF0"/>
    <w:pPr>
      <w:autoSpaceDE w:val="0"/>
      <w:autoSpaceDN w:val="0"/>
    </w:pPr>
    <w:rPr>
      <w:rFonts w:eastAsia="Calibri"/>
      <w:color w:val="000000"/>
    </w:rPr>
  </w:style>
  <w:style w:type="character" w:customStyle="1" w:styleId="st1">
    <w:name w:val="st1"/>
    <w:rsid w:val="00550FF0"/>
  </w:style>
  <w:style w:type="character" w:customStyle="1" w:styleId="Heading4Char">
    <w:name w:val="Heading 4 Char"/>
    <w:link w:val="Heading4"/>
    <w:uiPriority w:val="9"/>
    <w:rsid w:val="00C2284B"/>
    <w:rPr>
      <w:b/>
      <w:bCs/>
      <w:sz w:val="24"/>
      <w:szCs w:val="24"/>
    </w:rPr>
  </w:style>
  <w:style w:type="character" w:customStyle="1" w:styleId="icon1">
    <w:name w:val="icon1"/>
    <w:rsid w:val="00C2284B"/>
    <w:rPr>
      <w:strike w:val="0"/>
      <w:dstrike w:val="0"/>
      <w:sz w:val="2"/>
      <w:szCs w:val="2"/>
      <w:u w:val="none"/>
      <w:effect w:val="none"/>
      <w:bdr w:val="none" w:sz="0" w:space="0" w:color="auto" w:frame="1"/>
    </w:rPr>
  </w:style>
  <w:style w:type="character" w:customStyle="1" w:styleId="baec5a81-e4d6-4674-97f3-e9220f0136c1">
    <w:name w:val="baec5a81-e4d6-4674-97f3-e9220f0136c1"/>
    <w:rsid w:val="00C2284B"/>
    <w:rPr>
      <w:sz w:val="24"/>
      <w:szCs w:val="24"/>
      <w:bdr w:val="none" w:sz="0" w:space="0" w:color="auto" w:frame="1"/>
      <w:vertAlign w:val="baseline"/>
    </w:rPr>
  </w:style>
  <w:style w:type="character" w:customStyle="1" w:styleId="Heading1Char">
    <w:name w:val="Heading 1 Char"/>
    <w:link w:val="Heading1"/>
    <w:rsid w:val="00753597"/>
    <w:rPr>
      <w:b/>
      <w:sz w:val="24"/>
      <w:szCs w:val="24"/>
    </w:rPr>
  </w:style>
  <w:style w:type="paragraph" w:styleId="TOCHeading">
    <w:name w:val="TOC Heading"/>
    <w:basedOn w:val="Heading1"/>
    <w:next w:val="Normal"/>
    <w:uiPriority w:val="39"/>
    <w:unhideWhenUsed/>
    <w:qFormat/>
    <w:rsid w:val="002D3685"/>
    <w:pPr>
      <w:keepNext/>
      <w:keepLines/>
      <w:numPr>
        <w:numId w:val="0"/>
      </w:numPr>
      <w:spacing w:before="240" w:line="259" w:lineRule="auto"/>
      <w:outlineLvl w:val="9"/>
    </w:pPr>
    <w:rPr>
      <w:rFonts w:ascii="Calibri Light" w:hAnsi="Calibri Light"/>
      <w:b w:val="0"/>
      <w:color w:val="2E74B5"/>
      <w:sz w:val="32"/>
      <w:szCs w:val="32"/>
    </w:rPr>
  </w:style>
  <w:style w:type="paragraph" w:styleId="TOC1">
    <w:name w:val="toc 1"/>
    <w:basedOn w:val="Normal"/>
    <w:next w:val="Normal"/>
    <w:autoRedefine/>
    <w:uiPriority w:val="39"/>
    <w:rsid w:val="002D3685"/>
  </w:style>
  <w:style w:type="character" w:customStyle="1" w:styleId="Date1">
    <w:name w:val="Date1"/>
    <w:basedOn w:val="DefaultParagraphFont"/>
    <w:rsid w:val="00494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88113">
      <w:bodyDiv w:val="1"/>
      <w:marLeft w:val="0"/>
      <w:marRight w:val="0"/>
      <w:marTop w:val="0"/>
      <w:marBottom w:val="0"/>
      <w:divBdr>
        <w:top w:val="none" w:sz="0" w:space="0" w:color="auto"/>
        <w:left w:val="none" w:sz="0" w:space="0" w:color="auto"/>
        <w:bottom w:val="none" w:sz="0" w:space="0" w:color="auto"/>
        <w:right w:val="none" w:sz="0" w:space="0" w:color="auto"/>
      </w:divBdr>
    </w:div>
    <w:div w:id="195894806">
      <w:bodyDiv w:val="1"/>
      <w:marLeft w:val="0"/>
      <w:marRight w:val="0"/>
      <w:marTop w:val="0"/>
      <w:marBottom w:val="0"/>
      <w:divBdr>
        <w:top w:val="none" w:sz="0" w:space="0" w:color="auto"/>
        <w:left w:val="none" w:sz="0" w:space="0" w:color="auto"/>
        <w:bottom w:val="none" w:sz="0" w:space="0" w:color="auto"/>
        <w:right w:val="none" w:sz="0" w:space="0" w:color="auto"/>
      </w:divBdr>
    </w:div>
    <w:div w:id="417019546">
      <w:bodyDiv w:val="1"/>
      <w:marLeft w:val="0"/>
      <w:marRight w:val="0"/>
      <w:marTop w:val="0"/>
      <w:marBottom w:val="0"/>
      <w:divBdr>
        <w:top w:val="none" w:sz="0" w:space="0" w:color="auto"/>
        <w:left w:val="none" w:sz="0" w:space="0" w:color="auto"/>
        <w:bottom w:val="none" w:sz="0" w:space="0" w:color="auto"/>
        <w:right w:val="none" w:sz="0" w:space="0" w:color="auto"/>
      </w:divBdr>
    </w:div>
    <w:div w:id="630018874">
      <w:bodyDiv w:val="1"/>
      <w:marLeft w:val="0"/>
      <w:marRight w:val="0"/>
      <w:marTop w:val="0"/>
      <w:marBottom w:val="0"/>
      <w:divBdr>
        <w:top w:val="none" w:sz="0" w:space="0" w:color="auto"/>
        <w:left w:val="none" w:sz="0" w:space="0" w:color="auto"/>
        <w:bottom w:val="none" w:sz="0" w:space="0" w:color="auto"/>
        <w:right w:val="none" w:sz="0" w:space="0" w:color="auto"/>
      </w:divBdr>
    </w:div>
    <w:div w:id="640115007">
      <w:bodyDiv w:val="1"/>
      <w:marLeft w:val="0"/>
      <w:marRight w:val="0"/>
      <w:marTop w:val="0"/>
      <w:marBottom w:val="0"/>
      <w:divBdr>
        <w:top w:val="none" w:sz="0" w:space="0" w:color="auto"/>
        <w:left w:val="none" w:sz="0" w:space="0" w:color="auto"/>
        <w:bottom w:val="none" w:sz="0" w:space="0" w:color="auto"/>
        <w:right w:val="none" w:sz="0" w:space="0" w:color="auto"/>
      </w:divBdr>
    </w:div>
    <w:div w:id="771515243">
      <w:bodyDiv w:val="1"/>
      <w:marLeft w:val="0"/>
      <w:marRight w:val="0"/>
      <w:marTop w:val="0"/>
      <w:marBottom w:val="0"/>
      <w:divBdr>
        <w:top w:val="none" w:sz="0" w:space="0" w:color="auto"/>
        <w:left w:val="none" w:sz="0" w:space="0" w:color="auto"/>
        <w:bottom w:val="none" w:sz="0" w:space="0" w:color="auto"/>
        <w:right w:val="none" w:sz="0" w:space="0" w:color="auto"/>
      </w:divBdr>
      <w:divsChild>
        <w:div w:id="1409300959">
          <w:marLeft w:val="0"/>
          <w:marRight w:val="0"/>
          <w:marTop w:val="0"/>
          <w:marBottom w:val="0"/>
          <w:divBdr>
            <w:top w:val="single" w:sz="2" w:space="0" w:color="2E2E2E"/>
            <w:left w:val="single" w:sz="2" w:space="0" w:color="2E2E2E"/>
            <w:bottom w:val="single" w:sz="2" w:space="0" w:color="2E2E2E"/>
            <w:right w:val="single" w:sz="2" w:space="0" w:color="2E2E2E"/>
          </w:divBdr>
          <w:divsChild>
            <w:div w:id="232590175">
              <w:marLeft w:val="0"/>
              <w:marRight w:val="0"/>
              <w:marTop w:val="0"/>
              <w:marBottom w:val="0"/>
              <w:divBdr>
                <w:top w:val="single" w:sz="24" w:space="0" w:color="C9C9C9"/>
                <w:left w:val="single" w:sz="24" w:space="0" w:color="C9C9C9"/>
                <w:bottom w:val="single" w:sz="24" w:space="0" w:color="C9C9C9"/>
                <w:right w:val="single" w:sz="24" w:space="0" w:color="C9C9C9"/>
              </w:divBdr>
              <w:divsChild>
                <w:div w:id="197282378">
                  <w:marLeft w:val="0"/>
                  <w:marRight w:val="0"/>
                  <w:marTop w:val="0"/>
                  <w:marBottom w:val="0"/>
                  <w:divBdr>
                    <w:top w:val="none" w:sz="0" w:space="0" w:color="auto"/>
                    <w:left w:val="single" w:sz="6" w:space="0" w:color="C9C9C9"/>
                    <w:bottom w:val="none" w:sz="0" w:space="0" w:color="auto"/>
                    <w:right w:val="none" w:sz="0" w:space="0" w:color="auto"/>
                  </w:divBdr>
                  <w:divsChild>
                    <w:div w:id="1674600552">
                      <w:marLeft w:val="0"/>
                      <w:marRight w:val="0"/>
                      <w:marTop w:val="0"/>
                      <w:marBottom w:val="0"/>
                      <w:divBdr>
                        <w:top w:val="none" w:sz="0" w:space="0" w:color="auto"/>
                        <w:left w:val="none" w:sz="0" w:space="0" w:color="auto"/>
                        <w:bottom w:val="none" w:sz="0" w:space="0" w:color="auto"/>
                        <w:right w:val="none" w:sz="0" w:space="0" w:color="auto"/>
                      </w:divBdr>
                      <w:divsChild>
                        <w:div w:id="319431431">
                          <w:marLeft w:val="0"/>
                          <w:marRight w:val="0"/>
                          <w:marTop w:val="0"/>
                          <w:marBottom w:val="0"/>
                          <w:divBdr>
                            <w:top w:val="none" w:sz="0" w:space="0" w:color="auto"/>
                            <w:left w:val="none" w:sz="0" w:space="0" w:color="auto"/>
                            <w:bottom w:val="none" w:sz="0" w:space="0" w:color="auto"/>
                            <w:right w:val="none" w:sz="0" w:space="0" w:color="auto"/>
                          </w:divBdr>
                          <w:divsChild>
                            <w:div w:id="19123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039377">
      <w:bodyDiv w:val="1"/>
      <w:marLeft w:val="0"/>
      <w:marRight w:val="0"/>
      <w:marTop w:val="0"/>
      <w:marBottom w:val="0"/>
      <w:divBdr>
        <w:top w:val="none" w:sz="0" w:space="0" w:color="auto"/>
        <w:left w:val="none" w:sz="0" w:space="0" w:color="auto"/>
        <w:bottom w:val="none" w:sz="0" w:space="0" w:color="auto"/>
        <w:right w:val="none" w:sz="0" w:space="0" w:color="auto"/>
      </w:divBdr>
      <w:divsChild>
        <w:div w:id="1485702983">
          <w:marLeft w:val="0"/>
          <w:marRight w:val="0"/>
          <w:marTop w:val="0"/>
          <w:marBottom w:val="0"/>
          <w:divBdr>
            <w:top w:val="none" w:sz="0" w:space="0" w:color="auto"/>
            <w:left w:val="none" w:sz="0" w:space="0" w:color="auto"/>
            <w:bottom w:val="none" w:sz="0" w:space="0" w:color="auto"/>
            <w:right w:val="none" w:sz="0" w:space="0" w:color="auto"/>
          </w:divBdr>
          <w:divsChild>
            <w:div w:id="210389346">
              <w:marLeft w:val="0"/>
              <w:marRight w:val="0"/>
              <w:marTop w:val="0"/>
              <w:marBottom w:val="0"/>
              <w:divBdr>
                <w:top w:val="none" w:sz="0" w:space="0" w:color="auto"/>
                <w:left w:val="none" w:sz="0" w:space="0" w:color="auto"/>
                <w:bottom w:val="none" w:sz="0" w:space="0" w:color="auto"/>
                <w:right w:val="none" w:sz="0" w:space="0" w:color="auto"/>
              </w:divBdr>
              <w:divsChild>
                <w:div w:id="1953660163">
                  <w:marLeft w:val="0"/>
                  <w:marRight w:val="0"/>
                  <w:marTop w:val="0"/>
                  <w:marBottom w:val="0"/>
                  <w:divBdr>
                    <w:top w:val="none" w:sz="0" w:space="0" w:color="auto"/>
                    <w:left w:val="none" w:sz="0" w:space="0" w:color="auto"/>
                    <w:bottom w:val="none" w:sz="0" w:space="0" w:color="auto"/>
                    <w:right w:val="none" w:sz="0" w:space="0" w:color="auto"/>
                  </w:divBdr>
                  <w:divsChild>
                    <w:div w:id="114057032">
                      <w:marLeft w:val="0"/>
                      <w:marRight w:val="0"/>
                      <w:marTop w:val="0"/>
                      <w:marBottom w:val="0"/>
                      <w:divBdr>
                        <w:top w:val="none" w:sz="0" w:space="0" w:color="auto"/>
                        <w:left w:val="none" w:sz="0" w:space="0" w:color="auto"/>
                        <w:bottom w:val="none" w:sz="0" w:space="0" w:color="auto"/>
                        <w:right w:val="none" w:sz="0" w:space="0" w:color="auto"/>
                      </w:divBdr>
                      <w:divsChild>
                        <w:div w:id="269287848">
                          <w:marLeft w:val="0"/>
                          <w:marRight w:val="0"/>
                          <w:marTop w:val="0"/>
                          <w:marBottom w:val="0"/>
                          <w:divBdr>
                            <w:top w:val="none" w:sz="0" w:space="0" w:color="auto"/>
                            <w:left w:val="none" w:sz="0" w:space="0" w:color="auto"/>
                            <w:bottom w:val="none" w:sz="0" w:space="0" w:color="auto"/>
                            <w:right w:val="none" w:sz="0" w:space="0" w:color="auto"/>
                          </w:divBdr>
                          <w:divsChild>
                            <w:div w:id="1085954795">
                              <w:marLeft w:val="0"/>
                              <w:marRight w:val="0"/>
                              <w:marTop w:val="0"/>
                              <w:marBottom w:val="0"/>
                              <w:divBdr>
                                <w:top w:val="none" w:sz="0" w:space="0" w:color="auto"/>
                                <w:left w:val="none" w:sz="0" w:space="0" w:color="auto"/>
                                <w:bottom w:val="none" w:sz="0" w:space="0" w:color="auto"/>
                                <w:right w:val="none" w:sz="0" w:space="0" w:color="auto"/>
                              </w:divBdr>
                              <w:divsChild>
                                <w:div w:id="1346980891">
                                  <w:marLeft w:val="0"/>
                                  <w:marRight w:val="0"/>
                                  <w:marTop w:val="0"/>
                                  <w:marBottom w:val="0"/>
                                  <w:divBdr>
                                    <w:top w:val="none" w:sz="0" w:space="0" w:color="auto"/>
                                    <w:left w:val="none" w:sz="0" w:space="0" w:color="auto"/>
                                    <w:bottom w:val="none" w:sz="0" w:space="0" w:color="auto"/>
                                    <w:right w:val="none" w:sz="0" w:space="0" w:color="auto"/>
                                  </w:divBdr>
                                  <w:divsChild>
                                    <w:div w:id="246623952">
                                      <w:marLeft w:val="0"/>
                                      <w:marRight w:val="0"/>
                                      <w:marTop w:val="0"/>
                                      <w:marBottom w:val="0"/>
                                      <w:divBdr>
                                        <w:top w:val="none" w:sz="0" w:space="0" w:color="auto"/>
                                        <w:left w:val="none" w:sz="0" w:space="0" w:color="auto"/>
                                        <w:bottom w:val="none" w:sz="0" w:space="0" w:color="auto"/>
                                        <w:right w:val="none" w:sz="0" w:space="0" w:color="auto"/>
                                      </w:divBdr>
                                    </w:div>
                                    <w:div w:id="1066223389">
                                      <w:marLeft w:val="0"/>
                                      <w:marRight w:val="0"/>
                                      <w:marTop w:val="0"/>
                                      <w:marBottom w:val="0"/>
                                      <w:divBdr>
                                        <w:top w:val="none" w:sz="0" w:space="0" w:color="auto"/>
                                        <w:left w:val="none" w:sz="0" w:space="0" w:color="auto"/>
                                        <w:bottom w:val="none" w:sz="0" w:space="0" w:color="auto"/>
                                        <w:right w:val="none" w:sz="0" w:space="0" w:color="auto"/>
                                      </w:divBdr>
                                      <w:divsChild>
                                        <w:div w:id="19735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45364">
                                  <w:marLeft w:val="0"/>
                                  <w:marRight w:val="0"/>
                                  <w:marTop w:val="0"/>
                                  <w:marBottom w:val="0"/>
                                  <w:divBdr>
                                    <w:top w:val="none" w:sz="0" w:space="0" w:color="auto"/>
                                    <w:left w:val="none" w:sz="0" w:space="0" w:color="auto"/>
                                    <w:bottom w:val="none" w:sz="0" w:space="0" w:color="auto"/>
                                    <w:right w:val="none" w:sz="0" w:space="0" w:color="auto"/>
                                  </w:divBdr>
                                  <w:divsChild>
                                    <w:div w:id="1222326322">
                                      <w:marLeft w:val="0"/>
                                      <w:marRight w:val="0"/>
                                      <w:marTop w:val="0"/>
                                      <w:marBottom w:val="0"/>
                                      <w:divBdr>
                                        <w:top w:val="none" w:sz="0" w:space="0" w:color="auto"/>
                                        <w:left w:val="none" w:sz="0" w:space="0" w:color="auto"/>
                                        <w:bottom w:val="none" w:sz="0" w:space="0" w:color="auto"/>
                                        <w:right w:val="none" w:sz="0" w:space="0" w:color="auto"/>
                                      </w:divBdr>
                                      <w:divsChild>
                                        <w:div w:id="15049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278405">
      <w:bodyDiv w:val="1"/>
      <w:marLeft w:val="0"/>
      <w:marRight w:val="0"/>
      <w:marTop w:val="0"/>
      <w:marBottom w:val="0"/>
      <w:divBdr>
        <w:top w:val="none" w:sz="0" w:space="0" w:color="auto"/>
        <w:left w:val="none" w:sz="0" w:space="0" w:color="auto"/>
        <w:bottom w:val="none" w:sz="0" w:space="0" w:color="auto"/>
        <w:right w:val="none" w:sz="0" w:space="0" w:color="auto"/>
      </w:divBdr>
    </w:div>
    <w:div w:id="1037780429">
      <w:bodyDiv w:val="1"/>
      <w:marLeft w:val="0"/>
      <w:marRight w:val="0"/>
      <w:marTop w:val="0"/>
      <w:marBottom w:val="0"/>
      <w:divBdr>
        <w:top w:val="none" w:sz="0" w:space="0" w:color="auto"/>
        <w:left w:val="none" w:sz="0" w:space="0" w:color="auto"/>
        <w:bottom w:val="none" w:sz="0" w:space="0" w:color="auto"/>
        <w:right w:val="none" w:sz="0" w:space="0" w:color="auto"/>
      </w:divBdr>
    </w:div>
    <w:div w:id="1073773215">
      <w:bodyDiv w:val="1"/>
      <w:marLeft w:val="0"/>
      <w:marRight w:val="0"/>
      <w:marTop w:val="0"/>
      <w:marBottom w:val="0"/>
      <w:divBdr>
        <w:top w:val="none" w:sz="0" w:space="0" w:color="auto"/>
        <w:left w:val="none" w:sz="0" w:space="0" w:color="auto"/>
        <w:bottom w:val="none" w:sz="0" w:space="0" w:color="auto"/>
        <w:right w:val="none" w:sz="0" w:space="0" w:color="auto"/>
      </w:divBdr>
    </w:div>
    <w:div w:id="1086151482">
      <w:bodyDiv w:val="1"/>
      <w:marLeft w:val="0"/>
      <w:marRight w:val="0"/>
      <w:marTop w:val="0"/>
      <w:marBottom w:val="0"/>
      <w:divBdr>
        <w:top w:val="none" w:sz="0" w:space="0" w:color="auto"/>
        <w:left w:val="none" w:sz="0" w:space="0" w:color="auto"/>
        <w:bottom w:val="none" w:sz="0" w:space="0" w:color="auto"/>
        <w:right w:val="none" w:sz="0" w:space="0" w:color="auto"/>
      </w:divBdr>
      <w:divsChild>
        <w:div w:id="1731883440">
          <w:marLeft w:val="0"/>
          <w:marRight w:val="0"/>
          <w:marTop w:val="0"/>
          <w:marBottom w:val="0"/>
          <w:divBdr>
            <w:top w:val="none" w:sz="0" w:space="0" w:color="auto"/>
            <w:left w:val="none" w:sz="0" w:space="0" w:color="auto"/>
            <w:bottom w:val="none" w:sz="0" w:space="0" w:color="auto"/>
            <w:right w:val="none" w:sz="0" w:space="0" w:color="auto"/>
          </w:divBdr>
        </w:div>
      </w:divsChild>
    </w:div>
    <w:div w:id="1086536783">
      <w:bodyDiv w:val="1"/>
      <w:marLeft w:val="0"/>
      <w:marRight w:val="0"/>
      <w:marTop w:val="0"/>
      <w:marBottom w:val="0"/>
      <w:divBdr>
        <w:top w:val="none" w:sz="0" w:space="0" w:color="auto"/>
        <w:left w:val="none" w:sz="0" w:space="0" w:color="auto"/>
        <w:bottom w:val="none" w:sz="0" w:space="0" w:color="auto"/>
        <w:right w:val="none" w:sz="0" w:space="0" w:color="auto"/>
      </w:divBdr>
    </w:div>
    <w:div w:id="1215041751">
      <w:bodyDiv w:val="1"/>
      <w:marLeft w:val="0"/>
      <w:marRight w:val="0"/>
      <w:marTop w:val="0"/>
      <w:marBottom w:val="0"/>
      <w:divBdr>
        <w:top w:val="none" w:sz="0" w:space="0" w:color="auto"/>
        <w:left w:val="none" w:sz="0" w:space="0" w:color="auto"/>
        <w:bottom w:val="none" w:sz="0" w:space="0" w:color="auto"/>
        <w:right w:val="none" w:sz="0" w:space="0" w:color="auto"/>
      </w:divBdr>
      <w:divsChild>
        <w:div w:id="374043147">
          <w:marLeft w:val="0"/>
          <w:marRight w:val="0"/>
          <w:marTop w:val="0"/>
          <w:marBottom w:val="0"/>
          <w:divBdr>
            <w:top w:val="none" w:sz="0" w:space="0" w:color="auto"/>
            <w:left w:val="none" w:sz="0" w:space="0" w:color="auto"/>
            <w:bottom w:val="none" w:sz="0" w:space="0" w:color="auto"/>
            <w:right w:val="none" w:sz="0" w:space="0" w:color="auto"/>
          </w:divBdr>
        </w:div>
        <w:div w:id="1013873219">
          <w:marLeft w:val="0"/>
          <w:marRight w:val="0"/>
          <w:marTop w:val="0"/>
          <w:marBottom w:val="0"/>
          <w:divBdr>
            <w:top w:val="none" w:sz="0" w:space="0" w:color="auto"/>
            <w:left w:val="none" w:sz="0" w:space="0" w:color="auto"/>
            <w:bottom w:val="none" w:sz="0" w:space="0" w:color="auto"/>
            <w:right w:val="none" w:sz="0" w:space="0" w:color="auto"/>
          </w:divBdr>
        </w:div>
      </w:divsChild>
    </w:div>
    <w:div w:id="1314873014">
      <w:bodyDiv w:val="1"/>
      <w:marLeft w:val="0"/>
      <w:marRight w:val="0"/>
      <w:marTop w:val="0"/>
      <w:marBottom w:val="0"/>
      <w:divBdr>
        <w:top w:val="none" w:sz="0" w:space="0" w:color="auto"/>
        <w:left w:val="none" w:sz="0" w:space="0" w:color="auto"/>
        <w:bottom w:val="none" w:sz="0" w:space="0" w:color="auto"/>
        <w:right w:val="none" w:sz="0" w:space="0" w:color="auto"/>
      </w:divBdr>
    </w:div>
    <w:div w:id="1482503161">
      <w:bodyDiv w:val="1"/>
      <w:marLeft w:val="0"/>
      <w:marRight w:val="0"/>
      <w:marTop w:val="0"/>
      <w:marBottom w:val="0"/>
      <w:divBdr>
        <w:top w:val="none" w:sz="0" w:space="0" w:color="auto"/>
        <w:left w:val="none" w:sz="0" w:space="0" w:color="auto"/>
        <w:bottom w:val="none" w:sz="0" w:space="0" w:color="auto"/>
        <w:right w:val="none" w:sz="0" w:space="0" w:color="auto"/>
      </w:divBdr>
      <w:divsChild>
        <w:div w:id="407459663">
          <w:marLeft w:val="0"/>
          <w:marRight w:val="0"/>
          <w:marTop w:val="0"/>
          <w:marBottom w:val="0"/>
          <w:divBdr>
            <w:top w:val="none" w:sz="0" w:space="0" w:color="auto"/>
            <w:left w:val="none" w:sz="0" w:space="0" w:color="auto"/>
            <w:bottom w:val="none" w:sz="0" w:space="0" w:color="auto"/>
            <w:right w:val="none" w:sz="0" w:space="0" w:color="auto"/>
          </w:divBdr>
        </w:div>
        <w:div w:id="418134486">
          <w:marLeft w:val="0"/>
          <w:marRight w:val="0"/>
          <w:marTop w:val="0"/>
          <w:marBottom w:val="0"/>
          <w:divBdr>
            <w:top w:val="none" w:sz="0" w:space="0" w:color="auto"/>
            <w:left w:val="none" w:sz="0" w:space="0" w:color="auto"/>
            <w:bottom w:val="none" w:sz="0" w:space="0" w:color="auto"/>
            <w:right w:val="none" w:sz="0" w:space="0" w:color="auto"/>
          </w:divBdr>
        </w:div>
      </w:divsChild>
    </w:div>
    <w:div w:id="1499148728">
      <w:bodyDiv w:val="1"/>
      <w:marLeft w:val="0"/>
      <w:marRight w:val="0"/>
      <w:marTop w:val="0"/>
      <w:marBottom w:val="0"/>
      <w:divBdr>
        <w:top w:val="none" w:sz="0" w:space="0" w:color="auto"/>
        <w:left w:val="none" w:sz="0" w:space="0" w:color="auto"/>
        <w:bottom w:val="none" w:sz="0" w:space="0" w:color="auto"/>
        <w:right w:val="none" w:sz="0" w:space="0" w:color="auto"/>
      </w:divBdr>
    </w:div>
    <w:div w:id="1539319298">
      <w:bodyDiv w:val="1"/>
      <w:marLeft w:val="0"/>
      <w:marRight w:val="0"/>
      <w:marTop w:val="0"/>
      <w:marBottom w:val="0"/>
      <w:divBdr>
        <w:top w:val="none" w:sz="0" w:space="0" w:color="auto"/>
        <w:left w:val="none" w:sz="0" w:space="0" w:color="auto"/>
        <w:bottom w:val="none" w:sz="0" w:space="0" w:color="auto"/>
        <w:right w:val="none" w:sz="0" w:space="0" w:color="auto"/>
      </w:divBdr>
      <w:divsChild>
        <w:div w:id="1121654718">
          <w:marLeft w:val="0"/>
          <w:marRight w:val="0"/>
          <w:marTop w:val="0"/>
          <w:marBottom w:val="0"/>
          <w:divBdr>
            <w:top w:val="none" w:sz="0" w:space="0" w:color="auto"/>
            <w:left w:val="none" w:sz="0" w:space="0" w:color="auto"/>
            <w:bottom w:val="none" w:sz="0" w:space="0" w:color="auto"/>
            <w:right w:val="none" w:sz="0" w:space="0" w:color="auto"/>
          </w:divBdr>
        </w:div>
      </w:divsChild>
    </w:div>
    <w:div w:id="1621759883">
      <w:bodyDiv w:val="1"/>
      <w:marLeft w:val="0"/>
      <w:marRight w:val="0"/>
      <w:marTop w:val="0"/>
      <w:marBottom w:val="0"/>
      <w:divBdr>
        <w:top w:val="none" w:sz="0" w:space="0" w:color="auto"/>
        <w:left w:val="none" w:sz="0" w:space="0" w:color="auto"/>
        <w:bottom w:val="none" w:sz="0" w:space="0" w:color="auto"/>
        <w:right w:val="none" w:sz="0" w:space="0" w:color="auto"/>
      </w:divBdr>
    </w:div>
    <w:div w:id="1707367575">
      <w:bodyDiv w:val="1"/>
      <w:marLeft w:val="0"/>
      <w:marRight w:val="0"/>
      <w:marTop w:val="0"/>
      <w:marBottom w:val="0"/>
      <w:divBdr>
        <w:top w:val="none" w:sz="0" w:space="0" w:color="auto"/>
        <w:left w:val="none" w:sz="0" w:space="0" w:color="auto"/>
        <w:bottom w:val="none" w:sz="0" w:space="0" w:color="auto"/>
        <w:right w:val="none" w:sz="0" w:space="0" w:color="auto"/>
      </w:divBdr>
    </w:div>
    <w:div w:id="1905288454">
      <w:bodyDiv w:val="1"/>
      <w:marLeft w:val="0"/>
      <w:marRight w:val="0"/>
      <w:marTop w:val="0"/>
      <w:marBottom w:val="0"/>
      <w:divBdr>
        <w:top w:val="none" w:sz="0" w:space="0" w:color="auto"/>
        <w:left w:val="none" w:sz="0" w:space="0" w:color="auto"/>
        <w:bottom w:val="none" w:sz="0" w:space="0" w:color="auto"/>
        <w:right w:val="none" w:sz="0" w:space="0" w:color="auto"/>
      </w:divBdr>
    </w:div>
    <w:div w:id="1990746258">
      <w:bodyDiv w:val="1"/>
      <w:marLeft w:val="0"/>
      <w:marRight w:val="0"/>
      <w:marTop w:val="0"/>
      <w:marBottom w:val="0"/>
      <w:divBdr>
        <w:top w:val="none" w:sz="0" w:space="0" w:color="auto"/>
        <w:left w:val="none" w:sz="0" w:space="0" w:color="auto"/>
        <w:bottom w:val="none" w:sz="0" w:space="0" w:color="auto"/>
        <w:right w:val="none" w:sz="0" w:space="0" w:color="auto"/>
      </w:divBdr>
    </w:div>
    <w:div w:id="2013297980">
      <w:bodyDiv w:val="1"/>
      <w:marLeft w:val="0"/>
      <w:marRight w:val="0"/>
      <w:marTop w:val="0"/>
      <w:marBottom w:val="0"/>
      <w:divBdr>
        <w:top w:val="none" w:sz="0" w:space="0" w:color="auto"/>
        <w:left w:val="none" w:sz="0" w:space="0" w:color="auto"/>
        <w:bottom w:val="none" w:sz="0" w:space="0" w:color="auto"/>
        <w:right w:val="none" w:sz="0" w:space="0" w:color="auto"/>
      </w:divBdr>
    </w:div>
    <w:div w:id="2103836690">
      <w:bodyDiv w:val="1"/>
      <w:marLeft w:val="0"/>
      <w:marRight w:val="0"/>
      <w:marTop w:val="0"/>
      <w:marBottom w:val="0"/>
      <w:divBdr>
        <w:top w:val="none" w:sz="0" w:space="0" w:color="auto"/>
        <w:left w:val="none" w:sz="0" w:space="0" w:color="auto"/>
        <w:bottom w:val="none" w:sz="0" w:space="0" w:color="auto"/>
        <w:right w:val="none" w:sz="0" w:space="0" w:color="auto"/>
      </w:divBdr>
    </w:div>
    <w:div w:id="2111005569">
      <w:bodyDiv w:val="1"/>
      <w:marLeft w:val="0"/>
      <w:marRight w:val="0"/>
      <w:marTop w:val="0"/>
      <w:marBottom w:val="0"/>
      <w:divBdr>
        <w:top w:val="none" w:sz="0" w:space="0" w:color="auto"/>
        <w:left w:val="none" w:sz="0" w:space="0" w:color="auto"/>
        <w:bottom w:val="none" w:sz="0" w:space="0" w:color="auto"/>
        <w:right w:val="none" w:sz="0" w:space="0" w:color="auto"/>
      </w:divBdr>
    </w:div>
    <w:div w:id="211859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oconnor@cdc.gov" TargetMode="External"/><Relationship Id="rId18" Type="http://schemas.openxmlformats.org/officeDocument/2006/relationships/hyperlink" Target="http://www.cdc.gov/mmwr/preview/mmwrhtml/mm6309a4.htm?s_cid=mm6309a4_w" TargetMode="External"/><Relationship Id="rId26" Type="http://schemas.openxmlformats.org/officeDocument/2006/relationships/hyperlink" Target="http://www.cdc.gov/nchs/nsltcp/about_nsltcp.htm" TargetMode="External"/><Relationship Id="rId39" Type="http://schemas.openxmlformats.org/officeDocument/2006/relationships/hyperlink" Target="http://www.hhs.gov/ophs/initiatives/hai/" TargetMode="External"/><Relationship Id="rId3" Type="http://schemas.openxmlformats.org/officeDocument/2006/relationships/customXml" Target="../customXml/item3.xml"/><Relationship Id="rId21" Type="http://schemas.openxmlformats.org/officeDocument/2006/relationships/hyperlink" Target="http://health.gov/hcq/pdfs/hai-action-plan-ltcf.pdf" TargetMode="External"/><Relationship Id="rId34" Type="http://schemas.openxmlformats.org/officeDocument/2006/relationships/hyperlink" Target="mailto:katrien.latour@wiv-isp.be" TargetMode="External"/><Relationship Id="rId42" Type="http://schemas.openxmlformats.org/officeDocument/2006/relationships/hyperlink" Target="http://www.bls.gov/oes/current/oes119111.htm" TargetMode="External"/><Relationship Id="rId47" Type="http://schemas.openxmlformats.org/officeDocument/2006/relationships/hyperlink" Target="http://www.ncbi.nlm.nih.gov/pubmed/?term=Strausbaugh%20LJ%5BAuthor%5D&amp;cauthor=true&amp;cauthor_uid=11083186" TargetMode="External"/><Relationship Id="rId50"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dc.gov/nhsn/ltc/index.html" TargetMode="External"/><Relationship Id="rId25" Type="http://schemas.openxmlformats.org/officeDocument/2006/relationships/hyperlink" Target="http://www.cdc.gov/nchs/nnhs.htm" TargetMode="External"/><Relationship Id="rId33" Type="http://schemas.openxmlformats.org/officeDocument/2006/relationships/hyperlink" Target="mailto:nsih@iph.fgov.be" TargetMode="External"/><Relationship Id="rId38" Type="http://schemas.openxmlformats.org/officeDocument/2006/relationships/hyperlink" Target="https://data.medicare.gov/data/nursing-home-compare" TargetMode="External"/><Relationship Id="rId46" Type="http://schemas.openxmlformats.org/officeDocument/2006/relationships/hyperlink" Target="http://www.bls.gov/oes/current/oes191041.htm" TargetMode="External"/><Relationship Id="rId2" Type="http://schemas.openxmlformats.org/officeDocument/2006/relationships/customXml" Target="../customXml/item2.xml"/><Relationship Id="rId16" Type="http://schemas.openxmlformats.org/officeDocument/2006/relationships/hyperlink" Target="http://www.cdc.gov/nhsn/" TargetMode="External"/><Relationship Id="rId20" Type="http://schemas.openxmlformats.org/officeDocument/2006/relationships/hyperlink" Target="http://www.cdc.gov/ncezid/dpei/eip/" TargetMode="External"/><Relationship Id="rId29" Type="http://schemas.openxmlformats.org/officeDocument/2006/relationships/hyperlink" Target="mailto:ghinwa_dumyati@urmc.rochester.edu" TargetMode="External"/><Relationship Id="rId41" Type="http://schemas.openxmlformats.org/officeDocument/2006/relationships/hyperlink" Target="http://www.bls.gov/oes/current/oes119111.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cdc.gov/nhsn/acute-care-hospital/aur/index.html" TargetMode="External"/><Relationship Id="rId32" Type="http://schemas.openxmlformats.org/officeDocument/2006/relationships/hyperlink" Target="mailto:bea.jans@wiv-isp.be" TargetMode="External"/><Relationship Id="rId37" Type="http://schemas.openxmlformats.org/officeDocument/2006/relationships/hyperlink" Target="mailto:fidelma.fitzpatrick@hse.ie" TargetMode="External"/><Relationship Id="rId40" Type="http://schemas.openxmlformats.org/officeDocument/2006/relationships/hyperlink" Target="http://www.hhs.gov/ash/carb/" TargetMode="External"/><Relationship Id="rId45" Type="http://schemas.openxmlformats.org/officeDocument/2006/relationships/hyperlink" Target="http://www.bls.gov/oes/current/oes151141.htm"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dc.gov/winnablebattles/healthcareassociatedinfections/index.html" TargetMode="External"/><Relationship Id="rId23" Type="http://schemas.openxmlformats.org/officeDocument/2006/relationships/hyperlink" Target="http://www.cdc.gov/nhsn/about.html" TargetMode="External"/><Relationship Id="rId28" Type="http://schemas.openxmlformats.org/officeDocument/2006/relationships/hyperlink" Target="mailto:richard.melchreit@ct.gov" TargetMode="External"/><Relationship Id="rId36" Type="http://schemas.openxmlformats.org/officeDocument/2006/relationships/hyperlink" Target="mailto:mlmoro@regione.emilia-romagna.it" TargetMode="External"/><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medicare.gov/NursingHomeCompare/About/Nursing-Home-Info.html" TargetMode="External"/><Relationship Id="rId31" Type="http://schemas.openxmlformats.org/officeDocument/2006/relationships/hyperlink" Target="mailto:lonamody@umich.edu" TargetMode="External"/><Relationship Id="rId44" Type="http://schemas.openxmlformats.org/officeDocument/2006/relationships/hyperlink" Target="http://www.bls.gov/oes/current/oes191041.htm" TargetMode="External"/><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hhs.gov/ash/initiatives/hai/" TargetMode="External"/><Relationship Id="rId22" Type="http://schemas.openxmlformats.org/officeDocument/2006/relationships/hyperlink" Target="http://ecdc.europa.eu/en/activities/diseaseprogrammes/TATFAR/Documents/210911_TATFAR_Report.pdf" TargetMode="External"/><Relationship Id="rId27" Type="http://schemas.openxmlformats.org/officeDocument/2006/relationships/hyperlink" Target="http://health.gov/hcq/pdfs/hai-action-plan-ltcf.pdf" TargetMode="External"/><Relationship Id="rId30" Type="http://schemas.openxmlformats.org/officeDocument/2006/relationships/hyperlink" Target="mailto:ruth.lynfield@.state.mn.us" TargetMode="External"/><Relationship Id="rId35" Type="http://schemas.openxmlformats.org/officeDocument/2006/relationships/hyperlink" Target="mailto:nsih@iph.fgov.be" TargetMode="External"/><Relationship Id="rId43" Type="http://schemas.openxmlformats.org/officeDocument/2006/relationships/hyperlink" Target="http://www.bls.gov/oes/current/oes292061.htm" TargetMode="External"/><Relationship Id="rId48" Type="http://schemas.openxmlformats.org/officeDocument/2006/relationships/hyperlink" Target="http://www.ncbi.nlm.nih.gov/pubmed/?term=Joseph%20CL%5BAuthor%5D&amp;cauthor=true&amp;cauthor_uid=11083186" TargetMode="External"/><Relationship Id="rId8" Type="http://schemas.openxmlformats.org/officeDocument/2006/relationships/styles" Target="styles.xml"/><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PFY6PPX2AYTS-2589-656</_dlc_DocId>
    <ydlv xmlns="d335559b-c20a-4874-978e-77d2be77e01f" xsi:nil="true"/>
    <_dlc_DocIdUrl xmlns="81daf041-c113-401c-bf82-107f5d396711">
      <Url>https://esp.cdc.gov/sites/ncezid/OD/policy/PRA/_layouts/15/DocIdRedir.aspx?ID=PFY6PPX2AYTS-2589-656</Url>
      <Description>PFY6PPX2AYTS-2589-656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A1EC2-A383-4873-AB7D-DBDB8C64BAAC}">
  <ds:schemaRefs>
    <ds:schemaRef ds:uri="http://schemas.microsoft.com/office/2006/metadata/longProperties"/>
  </ds:schemaRefs>
</ds:datastoreItem>
</file>

<file path=customXml/itemProps2.xml><?xml version="1.0" encoding="utf-8"?>
<ds:datastoreItem xmlns:ds="http://schemas.openxmlformats.org/officeDocument/2006/customXml" ds:itemID="{F43AD9EA-3063-44B0-BBDF-1F857080C802}">
  <ds:schemaRefs>
    <ds:schemaRef ds:uri="http://schemas.microsoft.com/sharepoint/v3/contenttype/forms"/>
  </ds:schemaRefs>
</ds:datastoreItem>
</file>

<file path=customXml/itemProps3.xml><?xml version="1.0" encoding="utf-8"?>
<ds:datastoreItem xmlns:ds="http://schemas.openxmlformats.org/officeDocument/2006/customXml" ds:itemID="{FC1628FF-042A-4EC3-8FA3-4D2983231CE7}">
  <ds:schemaRefs>
    <ds:schemaRef ds:uri="http://schemas.microsoft.com/sharepoint/events"/>
  </ds:schemaRefs>
</ds:datastoreItem>
</file>

<file path=customXml/itemProps4.xml><?xml version="1.0" encoding="utf-8"?>
<ds:datastoreItem xmlns:ds="http://schemas.openxmlformats.org/officeDocument/2006/customXml" ds:itemID="{F6D0509D-FA1E-4C26-AE87-9B16E59C0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F19A4D-0575-4B63-9E56-F03ECE8FFF6D}">
  <ds:schemaRefs>
    <ds:schemaRef ds:uri="http://www.w3.org/XML/1998/namespace"/>
    <ds:schemaRef ds:uri="http://schemas.microsoft.com/office/2006/metadata/properties"/>
    <ds:schemaRef ds:uri="d335559b-c20a-4874-978e-77d2be77e01f"/>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81daf041-c113-401c-bf82-107f5d396711"/>
  </ds:schemaRefs>
</ds:datastoreItem>
</file>

<file path=customXml/itemProps6.xml><?xml version="1.0" encoding="utf-8"?>
<ds:datastoreItem xmlns:ds="http://schemas.openxmlformats.org/officeDocument/2006/customXml" ds:itemID="{E2738510-0807-4EBF-801C-FBFBE55E9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8566</Words>
  <Characters>48831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OMB Package</vt:lpstr>
    </vt:vector>
  </TitlesOfParts>
  <Company>ITSO</Company>
  <LinksUpToDate>false</LinksUpToDate>
  <CharactersWithSpaces>57283</CharactersWithSpaces>
  <SharedDoc>false</SharedDoc>
  <HLinks>
    <vt:vector size="330" baseType="variant">
      <vt:variant>
        <vt:i4>5046370</vt:i4>
      </vt:variant>
      <vt:variant>
        <vt:i4>231</vt:i4>
      </vt:variant>
      <vt:variant>
        <vt:i4>0</vt:i4>
      </vt:variant>
      <vt:variant>
        <vt:i4>5</vt:i4>
      </vt:variant>
      <vt:variant>
        <vt:lpwstr>http://www.ncbi.nlm.nih.gov/pubmed/?term=Joseph%20CL%5BAuthor%5D&amp;cauthor=true&amp;cauthor_uid=11083186</vt:lpwstr>
      </vt:variant>
      <vt:variant>
        <vt:lpwstr/>
      </vt:variant>
      <vt:variant>
        <vt:i4>3014750</vt:i4>
      </vt:variant>
      <vt:variant>
        <vt:i4>228</vt:i4>
      </vt:variant>
      <vt:variant>
        <vt:i4>0</vt:i4>
      </vt:variant>
      <vt:variant>
        <vt:i4>5</vt:i4>
      </vt:variant>
      <vt:variant>
        <vt:lpwstr>http://www.ncbi.nlm.nih.gov/pubmed/?term=Strausbaugh%20LJ%5BAuthor%5D&amp;cauthor=true&amp;cauthor_uid=11083186</vt:lpwstr>
      </vt:variant>
      <vt:variant>
        <vt:lpwstr/>
      </vt:variant>
      <vt:variant>
        <vt:i4>1441877</vt:i4>
      </vt:variant>
      <vt:variant>
        <vt:i4>225</vt:i4>
      </vt:variant>
      <vt:variant>
        <vt:i4>0</vt:i4>
      </vt:variant>
      <vt:variant>
        <vt:i4>5</vt:i4>
      </vt:variant>
      <vt:variant>
        <vt:lpwstr>http://www.bls.gov/oes/current/oes191041.htm</vt:lpwstr>
      </vt:variant>
      <vt:variant>
        <vt:lpwstr/>
      </vt:variant>
      <vt:variant>
        <vt:i4>1769557</vt:i4>
      </vt:variant>
      <vt:variant>
        <vt:i4>222</vt:i4>
      </vt:variant>
      <vt:variant>
        <vt:i4>0</vt:i4>
      </vt:variant>
      <vt:variant>
        <vt:i4>5</vt:i4>
      </vt:variant>
      <vt:variant>
        <vt:lpwstr>http://www.bls.gov/oes/current/oes151141.htm</vt:lpwstr>
      </vt:variant>
      <vt:variant>
        <vt:lpwstr/>
      </vt:variant>
      <vt:variant>
        <vt:i4>1441877</vt:i4>
      </vt:variant>
      <vt:variant>
        <vt:i4>219</vt:i4>
      </vt:variant>
      <vt:variant>
        <vt:i4>0</vt:i4>
      </vt:variant>
      <vt:variant>
        <vt:i4>5</vt:i4>
      </vt:variant>
      <vt:variant>
        <vt:lpwstr>http://www.bls.gov/oes/current/oes191041.htm</vt:lpwstr>
      </vt:variant>
      <vt:variant>
        <vt:lpwstr/>
      </vt:variant>
      <vt:variant>
        <vt:i4>1441879</vt:i4>
      </vt:variant>
      <vt:variant>
        <vt:i4>216</vt:i4>
      </vt:variant>
      <vt:variant>
        <vt:i4>0</vt:i4>
      </vt:variant>
      <vt:variant>
        <vt:i4>5</vt:i4>
      </vt:variant>
      <vt:variant>
        <vt:lpwstr>http://www.bls.gov/oes/current/oes292061.htm</vt:lpwstr>
      </vt:variant>
      <vt:variant>
        <vt:lpwstr/>
      </vt:variant>
      <vt:variant>
        <vt:i4>2031704</vt:i4>
      </vt:variant>
      <vt:variant>
        <vt:i4>213</vt:i4>
      </vt:variant>
      <vt:variant>
        <vt:i4>0</vt:i4>
      </vt:variant>
      <vt:variant>
        <vt:i4>5</vt:i4>
      </vt:variant>
      <vt:variant>
        <vt:lpwstr>http://www.bls.gov/oes/current/oes119111.htm</vt:lpwstr>
      </vt:variant>
      <vt:variant>
        <vt:lpwstr/>
      </vt:variant>
      <vt:variant>
        <vt:i4>2031704</vt:i4>
      </vt:variant>
      <vt:variant>
        <vt:i4>210</vt:i4>
      </vt:variant>
      <vt:variant>
        <vt:i4>0</vt:i4>
      </vt:variant>
      <vt:variant>
        <vt:i4>5</vt:i4>
      </vt:variant>
      <vt:variant>
        <vt:lpwstr>http://www.bls.gov/oes/current/oes119111.htm</vt:lpwstr>
      </vt:variant>
      <vt:variant>
        <vt:lpwstr/>
      </vt:variant>
      <vt:variant>
        <vt:i4>1441801</vt:i4>
      </vt:variant>
      <vt:variant>
        <vt:i4>207</vt:i4>
      </vt:variant>
      <vt:variant>
        <vt:i4>0</vt:i4>
      </vt:variant>
      <vt:variant>
        <vt:i4>5</vt:i4>
      </vt:variant>
      <vt:variant>
        <vt:lpwstr>http://www.hhs.gov/ash/carb/</vt:lpwstr>
      </vt:variant>
      <vt:variant>
        <vt:lpwstr/>
      </vt:variant>
      <vt:variant>
        <vt:i4>2031692</vt:i4>
      </vt:variant>
      <vt:variant>
        <vt:i4>204</vt:i4>
      </vt:variant>
      <vt:variant>
        <vt:i4>0</vt:i4>
      </vt:variant>
      <vt:variant>
        <vt:i4>5</vt:i4>
      </vt:variant>
      <vt:variant>
        <vt:lpwstr>http://www.hhs.gov/ophs/initiatives/hai/</vt:lpwstr>
      </vt:variant>
      <vt:variant>
        <vt:lpwstr/>
      </vt:variant>
      <vt:variant>
        <vt:i4>3145848</vt:i4>
      </vt:variant>
      <vt:variant>
        <vt:i4>201</vt:i4>
      </vt:variant>
      <vt:variant>
        <vt:i4>0</vt:i4>
      </vt:variant>
      <vt:variant>
        <vt:i4>5</vt:i4>
      </vt:variant>
      <vt:variant>
        <vt:lpwstr>https://data.medicare.gov/data/nursing-home-compare</vt:lpwstr>
      </vt:variant>
      <vt:variant>
        <vt:lpwstr/>
      </vt:variant>
      <vt:variant>
        <vt:i4>1900667</vt:i4>
      </vt:variant>
      <vt:variant>
        <vt:i4>198</vt:i4>
      </vt:variant>
      <vt:variant>
        <vt:i4>0</vt:i4>
      </vt:variant>
      <vt:variant>
        <vt:i4>5</vt:i4>
      </vt:variant>
      <vt:variant>
        <vt:lpwstr>mailto:fidelma.fitzpatrick@hse.ie</vt:lpwstr>
      </vt:variant>
      <vt:variant>
        <vt:lpwstr/>
      </vt:variant>
      <vt:variant>
        <vt:i4>786495</vt:i4>
      </vt:variant>
      <vt:variant>
        <vt:i4>195</vt:i4>
      </vt:variant>
      <vt:variant>
        <vt:i4>0</vt:i4>
      </vt:variant>
      <vt:variant>
        <vt:i4>5</vt:i4>
      </vt:variant>
      <vt:variant>
        <vt:lpwstr>mailto:mlmoro@regione.emilia-romagna.it</vt:lpwstr>
      </vt:variant>
      <vt:variant>
        <vt:lpwstr/>
      </vt:variant>
      <vt:variant>
        <vt:i4>524407</vt:i4>
      </vt:variant>
      <vt:variant>
        <vt:i4>192</vt:i4>
      </vt:variant>
      <vt:variant>
        <vt:i4>0</vt:i4>
      </vt:variant>
      <vt:variant>
        <vt:i4>5</vt:i4>
      </vt:variant>
      <vt:variant>
        <vt:lpwstr>mailto:nsih@iph.fgov.be</vt:lpwstr>
      </vt:variant>
      <vt:variant>
        <vt:lpwstr/>
      </vt:variant>
      <vt:variant>
        <vt:i4>2818068</vt:i4>
      </vt:variant>
      <vt:variant>
        <vt:i4>189</vt:i4>
      </vt:variant>
      <vt:variant>
        <vt:i4>0</vt:i4>
      </vt:variant>
      <vt:variant>
        <vt:i4>5</vt:i4>
      </vt:variant>
      <vt:variant>
        <vt:lpwstr>mailto:katrien.latour@wiv-isp.be</vt:lpwstr>
      </vt:variant>
      <vt:variant>
        <vt:lpwstr/>
      </vt:variant>
      <vt:variant>
        <vt:i4>524407</vt:i4>
      </vt:variant>
      <vt:variant>
        <vt:i4>186</vt:i4>
      </vt:variant>
      <vt:variant>
        <vt:i4>0</vt:i4>
      </vt:variant>
      <vt:variant>
        <vt:i4>5</vt:i4>
      </vt:variant>
      <vt:variant>
        <vt:lpwstr>mailto:nsih@iph.fgov.be</vt:lpwstr>
      </vt:variant>
      <vt:variant>
        <vt:lpwstr/>
      </vt:variant>
      <vt:variant>
        <vt:i4>5832809</vt:i4>
      </vt:variant>
      <vt:variant>
        <vt:i4>183</vt:i4>
      </vt:variant>
      <vt:variant>
        <vt:i4>0</vt:i4>
      </vt:variant>
      <vt:variant>
        <vt:i4>5</vt:i4>
      </vt:variant>
      <vt:variant>
        <vt:lpwstr>mailto:bea.jans@wiv-isp.be</vt:lpwstr>
      </vt:variant>
      <vt:variant>
        <vt:lpwstr/>
      </vt:variant>
      <vt:variant>
        <vt:i4>7143491</vt:i4>
      </vt:variant>
      <vt:variant>
        <vt:i4>180</vt:i4>
      </vt:variant>
      <vt:variant>
        <vt:i4>0</vt:i4>
      </vt:variant>
      <vt:variant>
        <vt:i4>5</vt:i4>
      </vt:variant>
      <vt:variant>
        <vt:lpwstr>mailto:lonamody@umich.edu</vt:lpwstr>
      </vt:variant>
      <vt:variant>
        <vt:lpwstr/>
      </vt:variant>
      <vt:variant>
        <vt:i4>5177380</vt:i4>
      </vt:variant>
      <vt:variant>
        <vt:i4>177</vt:i4>
      </vt:variant>
      <vt:variant>
        <vt:i4>0</vt:i4>
      </vt:variant>
      <vt:variant>
        <vt:i4>5</vt:i4>
      </vt:variant>
      <vt:variant>
        <vt:lpwstr>mailto:ruth.lynfield@.state.mn.us</vt:lpwstr>
      </vt:variant>
      <vt:variant>
        <vt:lpwstr/>
      </vt:variant>
      <vt:variant>
        <vt:i4>983105</vt:i4>
      </vt:variant>
      <vt:variant>
        <vt:i4>174</vt:i4>
      </vt:variant>
      <vt:variant>
        <vt:i4>0</vt:i4>
      </vt:variant>
      <vt:variant>
        <vt:i4>5</vt:i4>
      </vt:variant>
      <vt:variant>
        <vt:lpwstr>mailto:ghinwa_dumyati@urmc.rochester.edu</vt:lpwstr>
      </vt:variant>
      <vt:variant>
        <vt:lpwstr/>
      </vt:variant>
      <vt:variant>
        <vt:i4>2883673</vt:i4>
      </vt:variant>
      <vt:variant>
        <vt:i4>171</vt:i4>
      </vt:variant>
      <vt:variant>
        <vt:i4>0</vt:i4>
      </vt:variant>
      <vt:variant>
        <vt:i4>5</vt:i4>
      </vt:variant>
      <vt:variant>
        <vt:lpwstr>mailto:richard.melchreit@ct.gov</vt:lpwstr>
      </vt:variant>
      <vt:variant>
        <vt:lpwstr/>
      </vt:variant>
      <vt:variant>
        <vt:i4>7471151</vt:i4>
      </vt:variant>
      <vt:variant>
        <vt:i4>165</vt:i4>
      </vt:variant>
      <vt:variant>
        <vt:i4>0</vt:i4>
      </vt:variant>
      <vt:variant>
        <vt:i4>5</vt:i4>
      </vt:variant>
      <vt:variant>
        <vt:lpwstr>http://health.gov/hcq/pdfs/hai-action-plan-ltcf.pdf</vt:lpwstr>
      </vt:variant>
      <vt:variant>
        <vt:lpwstr/>
      </vt:variant>
      <vt:variant>
        <vt:i4>2424915</vt:i4>
      </vt:variant>
      <vt:variant>
        <vt:i4>162</vt:i4>
      </vt:variant>
      <vt:variant>
        <vt:i4>0</vt:i4>
      </vt:variant>
      <vt:variant>
        <vt:i4>5</vt:i4>
      </vt:variant>
      <vt:variant>
        <vt:lpwstr>http://www.cdc.gov/nchs/nsltcp/about_nsltcp.htm</vt:lpwstr>
      </vt:variant>
      <vt:variant>
        <vt:lpwstr/>
      </vt:variant>
      <vt:variant>
        <vt:i4>720918</vt:i4>
      </vt:variant>
      <vt:variant>
        <vt:i4>159</vt:i4>
      </vt:variant>
      <vt:variant>
        <vt:i4>0</vt:i4>
      </vt:variant>
      <vt:variant>
        <vt:i4>5</vt:i4>
      </vt:variant>
      <vt:variant>
        <vt:lpwstr>http://www.cdc.gov/nchs/nnhs.htm</vt:lpwstr>
      </vt:variant>
      <vt:variant>
        <vt:lpwstr/>
      </vt:variant>
      <vt:variant>
        <vt:i4>7143541</vt:i4>
      </vt:variant>
      <vt:variant>
        <vt:i4>156</vt:i4>
      </vt:variant>
      <vt:variant>
        <vt:i4>0</vt:i4>
      </vt:variant>
      <vt:variant>
        <vt:i4>5</vt:i4>
      </vt:variant>
      <vt:variant>
        <vt:lpwstr>http://www.cdc.gov/nhsn/acute-care-hospital/aur/index.html</vt:lpwstr>
      </vt:variant>
      <vt:variant>
        <vt:lpwstr/>
      </vt:variant>
      <vt:variant>
        <vt:i4>2687011</vt:i4>
      </vt:variant>
      <vt:variant>
        <vt:i4>153</vt:i4>
      </vt:variant>
      <vt:variant>
        <vt:i4>0</vt:i4>
      </vt:variant>
      <vt:variant>
        <vt:i4>5</vt:i4>
      </vt:variant>
      <vt:variant>
        <vt:lpwstr>http://www.cdc.gov/nhsn/about.html</vt:lpwstr>
      </vt:variant>
      <vt:variant>
        <vt:lpwstr/>
      </vt:variant>
      <vt:variant>
        <vt:i4>1179676</vt:i4>
      </vt:variant>
      <vt:variant>
        <vt:i4>150</vt:i4>
      </vt:variant>
      <vt:variant>
        <vt:i4>0</vt:i4>
      </vt:variant>
      <vt:variant>
        <vt:i4>5</vt:i4>
      </vt:variant>
      <vt:variant>
        <vt:lpwstr>http://ecdc.europa.eu/en/activities/diseaseprogrammes/TATFAR/Documents/210911_TATFAR_Report.pdf</vt:lpwstr>
      </vt:variant>
      <vt:variant>
        <vt:lpwstr/>
      </vt:variant>
      <vt:variant>
        <vt:i4>7471151</vt:i4>
      </vt:variant>
      <vt:variant>
        <vt:i4>144</vt:i4>
      </vt:variant>
      <vt:variant>
        <vt:i4>0</vt:i4>
      </vt:variant>
      <vt:variant>
        <vt:i4>5</vt:i4>
      </vt:variant>
      <vt:variant>
        <vt:lpwstr>http://health.gov/hcq/pdfs/hai-action-plan-ltcf.pdf</vt:lpwstr>
      </vt:variant>
      <vt:variant>
        <vt:lpwstr/>
      </vt:variant>
      <vt:variant>
        <vt:i4>8061024</vt:i4>
      </vt:variant>
      <vt:variant>
        <vt:i4>141</vt:i4>
      </vt:variant>
      <vt:variant>
        <vt:i4>0</vt:i4>
      </vt:variant>
      <vt:variant>
        <vt:i4>5</vt:i4>
      </vt:variant>
      <vt:variant>
        <vt:lpwstr>http://www.cdc.gov/ncezid/dpei/eip/</vt:lpwstr>
      </vt:variant>
      <vt:variant>
        <vt:lpwstr/>
      </vt:variant>
      <vt:variant>
        <vt:i4>393225</vt:i4>
      </vt:variant>
      <vt:variant>
        <vt:i4>138</vt:i4>
      </vt:variant>
      <vt:variant>
        <vt:i4>0</vt:i4>
      </vt:variant>
      <vt:variant>
        <vt:i4>5</vt:i4>
      </vt:variant>
      <vt:variant>
        <vt:lpwstr>http://www.cdc.gov/mmwr/preview/mmwrhtml/mm6309a4.htm?s_cid=mm6309a4_w</vt:lpwstr>
      </vt:variant>
      <vt:variant>
        <vt:lpwstr/>
      </vt:variant>
      <vt:variant>
        <vt:i4>7208995</vt:i4>
      </vt:variant>
      <vt:variant>
        <vt:i4>135</vt:i4>
      </vt:variant>
      <vt:variant>
        <vt:i4>0</vt:i4>
      </vt:variant>
      <vt:variant>
        <vt:i4>5</vt:i4>
      </vt:variant>
      <vt:variant>
        <vt:lpwstr>http://www.cdc.gov/nhsn/ltc/index.html</vt:lpwstr>
      </vt:variant>
      <vt:variant>
        <vt:lpwstr/>
      </vt:variant>
      <vt:variant>
        <vt:i4>524380</vt:i4>
      </vt:variant>
      <vt:variant>
        <vt:i4>132</vt:i4>
      </vt:variant>
      <vt:variant>
        <vt:i4>0</vt:i4>
      </vt:variant>
      <vt:variant>
        <vt:i4>5</vt:i4>
      </vt:variant>
      <vt:variant>
        <vt:lpwstr>http://www.cdc.gov/nhsn/</vt:lpwstr>
      </vt:variant>
      <vt:variant>
        <vt:lpwstr/>
      </vt:variant>
      <vt:variant>
        <vt:i4>4653078</vt:i4>
      </vt:variant>
      <vt:variant>
        <vt:i4>129</vt:i4>
      </vt:variant>
      <vt:variant>
        <vt:i4>0</vt:i4>
      </vt:variant>
      <vt:variant>
        <vt:i4>5</vt:i4>
      </vt:variant>
      <vt:variant>
        <vt:lpwstr>http://www.cdc.gov/winnablebattles/healthcareassociatedinfections/index.html</vt:lpwstr>
      </vt:variant>
      <vt:variant>
        <vt:lpwstr/>
      </vt:variant>
      <vt:variant>
        <vt:i4>3211315</vt:i4>
      </vt:variant>
      <vt:variant>
        <vt:i4>126</vt:i4>
      </vt:variant>
      <vt:variant>
        <vt:i4>0</vt:i4>
      </vt:variant>
      <vt:variant>
        <vt:i4>5</vt:i4>
      </vt:variant>
      <vt:variant>
        <vt:lpwstr>http://www.hhs.gov/ash/initiatives/hai/</vt:lpwstr>
      </vt:variant>
      <vt:variant>
        <vt:lpwstr/>
      </vt:variant>
      <vt:variant>
        <vt:i4>1179700</vt:i4>
      </vt:variant>
      <vt:variant>
        <vt:i4>119</vt:i4>
      </vt:variant>
      <vt:variant>
        <vt:i4>0</vt:i4>
      </vt:variant>
      <vt:variant>
        <vt:i4>5</vt:i4>
      </vt:variant>
      <vt:variant>
        <vt:lpwstr/>
      </vt:variant>
      <vt:variant>
        <vt:lpwstr>_Toc444243009</vt:lpwstr>
      </vt:variant>
      <vt:variant>
        <vt:i4>1179700</vt:i4>
      </vt:variant>
      <vt:variant>
        <vt:i4>113</vt:i4>
      </vt:variant>
      <vt:variant>
        <vt:i4>0</vt:i4>
      </vt:variant>
      <vt:variant>
        <vt:i4>5</vt:i4>
      </vt:variant>
      <vt:variant>
        <vt:lpwstr/>
      </vt:variant>
      <vt:variant>
        <vt:lpwstr>_Toc444243008</vt:lpwstr>
      </vt:variant>
      <vt:variant>
        <vt:i4>1179700</vt:i4>
      </vt:variant>
      <vt:variant>
        <vt:i4>107</vt:i4>
      </vt:variant>
      <vt:variant>
        <vt:i4>0</vt:i4>
      </vt:variant>
      <vt:variant>
        <vt:i4>5</vt:i4>
      </vt:variant>
      <vt:variant>
        <vt:lpwstr/>
      </vt:variant>
      <vt:variant>
        <vt:lpwstr>_Toc444243007</vt:lpwstr>
      </vt:variant>
      <vt:variant>
        <vt:i4>1179700</vt:i4>
      </vt:variant>
      <vt:variant>
        <vt:i4>101</vt:i4>
      </vt:variant>
      <vt:variant>
        <vt:i4>0</vt:i4>
      </vt:variant>
      <vt:variant>
        <vt:i4>5</vt:i4>
      </vt:variant>
      <vt:variant>
        <vt:lpwstr/>
      </vt:variant>
      <vt:variant>
        <vt:lpwstr>_Toc444243006</vt:lpwstr>
      </vt:variant>
      <vt:variant>
        <vt:i4>1179700</vt:i4>
      </vt:variant>
      <vt:variant>
        <vt:i4>95</vt:i4>
      </vt:variant>
      <vt:variant>
        <vt:i4>0</vt:i4>
      </vt:variant>
      <vt:variant>
        <vt:i4>5</vt:i4>
      </vt:variant>
      <vt:variant>
        <vt:lpwstr/>
      </vt:variant>
      <vt:variant>
        <vt:lpwstr>_Toc444243003</vt:lpwstr>
      </vt:variant>
      <vt:variant>
        <vt:i4>1179700</vt:i4>
      </vt:variant>
      <vt:variant>
        <vt:i4>89</vt:i4>
      </vt:variant>
      <vt:variant>
        <vt:i4>0</vt:i4>
      </vt:variant>
      <vt:variant>
        <vt:i4>5</vt:i4>
      </vt:variant>
      <vt:variant>
        <vt:lpwstr/>
      </vt:variant>
      <vt:variant>
        <vt:lpwstr>_Toc444243002</vt:lpwstr>
      </vt:variant>
      <vt:variant>
        <vt:i4>1703997</vt:i4>
      </vt:variant>
      <vt:variant>
        <vt:i4>83</vt:i4>
      </vt:variant>
      <vt:variant>
        <vt:i4>0</vt:i4>
      </vt:variant>
      <vt:variant>
        <vt:i4>5</vt:i4>
      </vt:variant>
      <vt:variant>
        <vt:lpwstr/>
      </vt:variant>
      <vt:variant>
        <vt:lpwstr>_Toc444242999</vt:lpwstr>
      </vt:variant>
      <vt:variant>
        <vt:i4>1703997</vt:i4>
      </vt:variant>
      <vt:variant>
        <vt:i4>77</vt:i4>
      </vt:variant>
      <vt:variant>
        <vt:i4>0</vt:i4>
      </vt:variant>
      <vt:variant>
        <vt:i4>5</vt:i4>
      </vt:variant>
      <vt:variant>
        <vt:lpwstr/>
      </vt:variant>
      <vt:variant>
        <vt:lpwstr>_Toc444242998</vt:lpwstr>
      </vt:variant>
      <vt:variant>
        <vt:i4>1376317</vt:i4>
      </vt:variant>
      <vt:variant>
        <vt:i4>71</vt:i4>
      </vt:variant>
      <vt:variant>
        <vt:i4>0</vt:i4>
      </vt:variant>
      <vt:variant>
        <vt:i4>5</vt:i4>
      </vt:variant>
      <vt:variant>
        <vt:lpwstr/>
      </vt:variant>
      <vt:variant>
        <vt:lpwstr>_Toc444242969</vt:lpwstr>
      </vt:variant>
      <vt:variant>
        <vt:i4>1376317</vt:i4>
      </vt:variant>
      <vt:variant>
        <vt:i4>65</vt:i4>
      </vt:variant>
      <vt:variant>
        <vt:i4>0</vt:i4>
      </vt:variant>
      <vt:variant>
        <vt:i4>5</vt:i4>
      </vt:variant>
      <vt:variant>
        <vt:lpwstr/>
      </vt:variant>
      <vt:variant>
        <vt:lpwstr>_Toc444242968</vt:lpwstr>
      </vt:variant>
      <vt:variant>
        <vt:i4>1376317</vt:i4>
      </vt:variant>
      <vt:variant>
        <vt:i4>59</vt:i4>
      </vt:variant>
      <vt:variant>
        <vt:i4>0</vt:i4>
      </vt:variant>
      <vt:variant>
        <vt:i4>5</vt:i4>
      </vt:variant>
      <vt:variant>
        <vt:lpwstr/>
      </vt:variant>
      <vt:variant>
        <vt:lpwstr>_Toc444242967</vt:lpwstr>
      </vt:variant>
      <vt:variant>
        <vt:i4>1376317</vt:i4>
      </vt:variant>
      <vt:variant>
        <vt:i4>53</vt:i4>
      </vt:variant>
      <vt:variant>
        <vt:i4>0</vt:i4>
      </vt:variant>
      <vt:variant>
        <vt:i4>5</vt:i4>
      </vt:variant>
      <vt:variant>
        <vt:lpwstr/>
      </vt:variant>
      <vt:variant>
        <vt:lpwstr>_Toc444242965</vt:lpwstr>
      </vt:variant>
      <vt:variant>
        <vt:i4>1376317</vt:i4>
      </vt:variant>
      <vt:variant>
        <vt:i4>47</vt:i4>
      </vt:variant>
      <vt:variant>
        <vt:i4>0</vt:i4>
      </vt:variant>
      <vt:variant>
        <vt:i4>5</vt:i4>
      </vt:variant>
      <vt:variant>
        <vt:lpwstr/>
      </vt:variant>
      <vt:variant>
        <vt:lpwstr>_Toc444242964</vt:lpwstr>
      </vt:variant>
      <vt:variant>
        <vt:i4>1376317</vt:i4>
      </vt:variant>
      <vt:variant>
        <vt:i4>41</vt:i4>
      </vt:variant>
      <vt:variant>
        <vt:i4>0</vt:i4>
      </vt:variant>
      <vt:variant>
        <vt:i4>5</vt:i4>
      </vt:variant>
      <vt:variant>
        <vt:lpwstr/>
      </vt:variant>
      <vt:variant>
        <vt:lpwstr>_Toc444242963</vt:lpwstr>
      </vt:variant>
      <vt:variant>
        <vt:i4>1376317</vt:i4>
      </vt:variant>
      <vt:variant>
        <vt:i4>35</vt:i4>
      </vt:variant>
      <vt:variant>
        <vt:i4>0</vt:i4>
      </vt:variant>
      <vt:variant>
        <vt:i4>5</vt:i4>
      </vt:variant>
      <vt:variant>
        <vt:lpwstr/>
      </vt:variant>
      <vt:variant>
        <vt:lpwstr>_Toc444242962</vt:lpwstr>
      </vt:variant>
      <vt:variant>
        <vt:i4>1376317</vt:i4>
      </vt:variant>
      <vt:variant>
        <vt:i4>29</vt:i4>
      </vt:variant>
      <vt:variant>
        <vt:i4>0</vt:i4>
      </vt:variant>
      <vt:variant>
        <vt:i4>5</vt:i4>
      </vt:variant>
      <vt:variant>
        <vt:lpwstr/>
      </vt:variant>
      <vt:variant>
        <vt:lpwstr>_Toc444242961</vt:lpwstr>
      </vt:variant>
      <vt:variant>
        <vt:i4>1376317</vt:i4>
      </vt:variant>
      <vt:variant>
        <vt:i4>23</vt:i4>
      </vt:variant>
      <vt:variant>
        <vt:i4>0</vt:i4>
      </vt:variant>
      <vt:variant>
        <vt:i4>5</vt:i4>
      </vt:variant>
      <vt:variant>
        <vt:lpwstr/>
      </vt:variant>
      <vt:variant>
        <vt:lpwstr>_Toc444242960</vt:lpwstr>
      </vt:variant>
      <vt:variant>
        <vt:i4>1441853</vt:i4>
      </vt:variant>
      <vt:variant>
        <vt:i4>17</vt:i4>
      </vt:variant>
      <vt:variant>
        <vt:i4>0</vt:i4>
      </vt:variant>
      <vt:variant>
        <vt:i4>5</vt:i4>
      </vt:variant>
      <vt:variant>
        <vt:lpwstr/>
      </vt:variant>
      <vt:variant>
        <vt:lpwstr>_Toc444242959</vt:lpwstr>
      </vt:variant>
      <vt:variant>
        <vt:i4>1441853</vt:i4>
      </vt:variant>
      <vt:variant>
        <vt:i4>11</vt:i4>
      </vt:variant>
      <vt:variant>
        <vt:i4>0</vt:i4>
      </vt:variant>
      <vt:variant>
        <vt:i4>5</vt:i4>
      </vt:variant>
      <vt:variant>
        <vt:lpwstr/>
      </vt:variant>
      <vt:variant>
        <vt:lpwstr>_Toc444242958</vt:lpwstr>
      </vt:variant>
      <vt:variant>
        <vt:i4>1441853</vt:i4>
      </vt:variant>
      <vt:variant>
        <vt:i4>5</vt:i4>
      </vt:variant>
      <vt:variant>
        <vt:i4>0</vt:i4>
      </vt:variant>
      <vt:variant>
        <vt:i4>5</vt:i4>
      </vt:variant>
      <vt:variant>
        <vt:lpwstr/>
      </vt:variant>
      <vt:variant>
        <vt:lpwstr>_Toc444242957</vt:lpwstr>
      </vt:variant>
      <vt:variant>
        <vt:i4>262193</vt:i4>
      </vt:variant>
      <vt:variant>
        <vt:i4>0</vt:i4>
      </vt:variant>
      <vt:variant>
        <vt:i4>0</vt:i4>
      </vt:variant>
      <vt:variant>
        <vt:i4>5</vt:i4>
      </vt:variant>
      <vt:variant>
        <vt:lpwstr>mailto:aoconnor@cdc.gov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dc:title>
  <dc:subject/>
  <dc:creator>hgx8</dc:creator>
  <cp:keywords/>
  <cp:lastModifiedBy>Zirger, Jeffrey (CDC/OD/OADS)</cp:lastModifiedBy>
  <cp:revision>4</cp:revision>
  <cp:lastPrinted>2016-02-08T16:13:00Z</cp:lastPrinted>
  <dcterms:created xsi:type="dcterms:W3CDTF">2017-02-16T18:25:00Z</dcterms:created>
  <dcterms:modified xsi:type="dcterms:W3CDTF">2017-02-17T14:11:00Z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PFY6PPX2AYTS-2589-628</vt:lpwstr>
  </property>
  <property fmtid="{D5CDD505-2E9C-101B-9397-08002B2CF9AE}" pid="3" name="_dlc_DocIdItemGuid">
    <vt:lpwstr>414eae1f-810f-4bac-b48d-20cc8e4b36ec</vt:lpwstr>
  </property>
  <property fmtid="{D5CDD505-2E9C-101B-9397-08002B2CF9AE}" pid="4" name="_dlc_DocIdUrl">
    <vt:lpwstr>https://esp.cdc.gov/sites/ncezid/OD/policy/PRA/_layouts/15/DocIdRedir.aspx?ID=PFY6PPX2AYTS-2589-628, PFY6PPX2AYTS-2589-628</vt:lpwstr>
  </property>
  <property fmtid="{D5CDD505-2E9C-101B-9397-08002B2CF9AE}" pid="5" name="ydlv">
    <vt:lpwstr/>
  </property>
  <property fmtid="{D5CDD505-2E9C-101B-9397-08002B2CF9AE}" pid="6" name="ContentTypeId">
    <vt:lpwstr>0x01010008E1675BCD6DD14785997454A76BE123</vt:lpwstr>
  </property>
</Properties>
</file>