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5A5A9" w14:textId="77777777" w:rsidR="009218EE" w:rsidRDefault="009218EE" w:rsidP="00CB3286">
      <w:pPr>
        <w:ind w:left="1440" w:hanging="1440"/>
        <w:jc w:val="center"/>
        <w:outlineLvl w:val="0"/>
        <w:rPr>
          <w:b/>
        </w:rPr>
      </w:pPr>
    </w:p>
    <w:p w14:paraId="5CF13622" w14:textId="77777777" w:rsidR="009218EE" w:rsidRDefault="009218EE" w:rsidP="00CB3286">
      <w:pPr>
        <w:outlineLvl w:val="0"/>
        <w:rPr>
          <w:b/>
        </w:rPr>
      </w:pPr>
    </w:p>
    <w:p w14:paraId="2CB6AC5D" w14:textId="77777777" w:rsidR="009218EE" w:rsidRDefault="009218EE" w:rsidP="00CB3286">
      <w:pPr>
        <w:ind w:left="1440" w:hanging="1440"/>
        <w:jc w:val="center"/>
        <w:outlineLvl w:val="0"/>
        <w:rPr>
          <w:b/>
        </w:rPr>
      </w:pPr>
    </w:p>
    <w:p w14:paraId="76FF48D8" w14:textId="77777777" w:rsidR="009218EE" w:rsidRDefault="009218EE" w:rsidP="00CB3286">
      <w:pPr>
        <w:ind w:left="1440" w:hanging="1440"/>
        <w:jc w:val="center"/>
        <w:outlineLvl w:val="0"/>
        <w:rPr>
          <w:b/>
        </w:rPr>
      </w:pPr>
    </w:p>
    <w:p w14:paraId="3A9A773D" w14:textId="77777777" w:rsidR="009218EE" w:rsidRDefault="009218EE" w:rsidP="00CB3286">
      <w:pPr>
        <w:ind w:left="1440" w:hanging="1440"/>
        <w:jc w:val="center"/>
        <w:outlineLvl w:val="0"/>
        <w:rPr>
          <w:b/>
        </w:rPr>
      </w:pPr>
    </w:p>
    <w:p w14:paraId="6EE669B9" w14:textId="77777777" w:rsidR="00634A56" w:rsidRPr="00634A56" w:rsidRDefault="00634A56" w:rsidP="00634A56">
      <w:pPr>
        <w:ind w:left="1440" w:hanging="1440"/>
        <w:jc w:val="center"/>
        <w:outlineLvl w:val="0"/>
        <w:rPr>
          <w:b/>
        </w:rPr>
      </w:pPr>
      <w:r w:rsidRPr="00634A56">
        <w:rPr>
          <w:b/>
        </w:rPr>
        <w:t>Survey of Healthcare-Associated Infections and Antimicrobial Use in U.S.</w:t>
      </w:r>
    </w:p>
    <w:p w14:paraId="1E0A7750" w14:textId="1872D93E" w:rsidR="00F67650" w:rsidRDefault="00634A56" w:rsidP="00634A56">
      <w:pPr>
        <w:ind w:left="1440" w:hanging="1440"/>
        <w:jc w:val="center"/>
        <w:outlineLvl w:val="0"/>
        <w:rPr>
          <w:b/>
        </w:rPr>
      </w:pPr>
      <w:r w:rsidRPr="00634A56">
        <w:rPr>
          <w:b/>
        </w:rPr>
        <w:t>Nursing Homes for use in Exploring the Development of a National Prevalence Model</w:t>
      </w:r>
    </w:p>
    <w:p w14:paraId="7A248D26" w14:textId="77777777" w:rsidR="00D22385" w:rsidRDefault="00D22385" w:rsidP="00CB3286">
      <w:pPr>
        <w:ind w:left="1440" w:hanging="1440"/>
        <w:jc w:val="center"/>
        <w:rPr>
          <w:b/>
        </w:rPr>
      </w:pPr>
    </w:p>
    <w:p w14:paraId="128FF2E2" w14:textId="77777777" w:rsidR="00F67650" w:rsidRDefault="00F67650" w:rsidP="00CB3286">
      <w:pPr>
        <w:ind w:left="1440" w:hanging="1440"/>
        <w:jc w:val="center"/>
        <w:rPr>
          <w:b/>
        </w:rPr>
      </w:pPr>
      <w:r>
        <w:rPr>
          <w:b/>
        </w:rPr>
        <w:t xml:space="preserve">Request for </w:t>
      </w:r>
      <w:r w:rsidR="005B1B66">
        <w:rPr>
          <w:b/>
        </w:rPr>
        <w:t>New Data Collection</w:t>
      </w:r>
    </w:p>
    <w:p w14:paraId="37659222" w14:textId="77777777" w:rsidR="00F67650" w:rsidRDefault="00F67650" w:rsidP="00CB3286">
      <w:pPr>
        <w:rPr>
          <w:b/>
        </w:rPr>
      </w:pPr>
    </w:p>
    <w:p w14:paraId="4EA3E783" w14:textId="77777777" w:rsidR="00F67650" w:rsidRPr="00F67650" w:rsidRDefault="00F67650" w:rsidP="00CB3286">
      <w:pPr>
        <w:ind w:left="1440" w:hanging="1440"/>
        <w:jc w:val="center"/>
        <w:rPr>
          <w:b/>
        </w:rPr>
      </w:pPr>
      <w:r w:rsidRPr="00F67650">
        <w:rPr>
          <w:b/>
        </w:rPr>
        <w:t>Part B</w:t>
      </w:r>
    </w:p>
    <w:p w14:paraId="00F5592C" w14:textId="77777777" w:rsidR="00F67650" w:rsidRDefault="00F67650" w:rsidP="00CB3286">
      <w:pPr>
        <w:ind w:left="1440" w:hanging="1440"/>
        <w:jc w:val="center"/>
        <w:rPr>
          <w:b/>
        </w:rPr>
      </w:pPr>
    </w:p>
    <w:p w14:paraId="5F6A9286" w14:textId="6E8332D1" w:rsidR="00F67650" w:rsidRDefault="00F3716D" w:rsidP="00CB3286">
      <w:pPr>
        <w:ind w:left="1440" w:hanging="1440"/>
        <w:jc w:val="center"/>
        <w:rPr>
          <w:b/>
        </w:rPr>
      </w:pPr>
      <w:r>
        <w:rPr>
          <w:b/>
        </w:rPr>
        <w:t>February 15</w:t>
      </w:r>
      <w:r w:rsidR="00567D66">
        <w:rPr>
          <w:b/>
        </w:rPr>
        <w:t>, 2016</w:t>
      </w:r>
    </w:p>
    <w:p w14:paraId="1683F899" w14:textId="77777777" w:rsidR="00F67650" w:rsidRDefault="00F67650" w:rsidP="00CB3286">
      <w:pPr>
        <w:outlineLvl w:val="0"/>
        <w:rPr>
          <w:b/>
        </w:rPr>
      </w:pPr>
    </w:p>
    <w:p w14:paraId="5FE4C352" w14:textId="77777777" w:rsidR="00F67650" w:rsidRDefault="00F67650" w:rsidP="00CB3286">
      <w:pPr>
        <w:ind w:left="1440" w:hanging="1440"/>
        <w:outlineLvl w:val="0"/>
        <w:rPr>
          <w:b/>
        </w:rPr>
      </w:pPr>
    </w:p>
    <w:p w14:paraId="0901B46F" w14:textId="19ECC884" w:rsidR="00CB3286" w:rsidRDefault="00CB3286" w:rsidP="00CB3286">
      <w:pPr>
        <w:ind w:left="1440" w:hanging="1440"/>
        <w:outlineLvl w:val="0"/>
        <w:rPr>
          <w:b/>
        </w:rPr>
      </w:pPr>
    </w:p>
    <w:p w14:paraId="56F89804" w14:textId="77777777" w:rsidR="00CB3286" w:rsidRDefault="00CB3286" w:rsidP="00CB3286">
      <w:pPr>
        <w:ind w:left="1440" w:hanging="1440"/>
        <w:outlineLvl w:val="0"/>
        <w:rPr>
          <w:b/>
        </w:rPr>
      </w:pPr>
    </w:p>
    <w:p w14:paraId="335F6DD6" w14:textId="77777777" w:rsidR="00CB3286" w:rsidRDefault="00CB3286" w:rsidP="00CB3286">
      <w:pPr>
        <w:ind w:left="1440" w:hanging="1440"/>
        <w:outlineLvl w:val="0"/>
        <w:rPr>
          <w:b/>
        </w:rPr>
      </w:pPr>
    </w:p>
    <w:p w14:paraId="0B55D93B" w14:textId="77777777" w:rsidR="00CB3286" w:rsidRDefault="00CB3286" w:rsidP="00CB3286">
      <w:pPr>
        <w:ind w:left="1440" w:hanging="1440"/>
        <w:outlineLvl w:val="0"/>
        <w:rPr>
          <w:b/>
        </w:rPr>
      </w:pPr>
      <w:bookmarkStart w:id="0" w:name="_GoBack"/>
      <w:bookmarkEnd w:id="0"/>
    </w:p>
    <w:p w14:paraId="04992A06" w14:textId="77777777" w:rsidR="00CB3286" w:rsidRDefault="00CB3286" w:rsidP="00CB3286">
      <w:pPr>
        <w:ind w:left="1440" w:hanging="1440"/>
        <w:outlineLvl w:val="0"/>
        <w:rPr>
          <w:b/>
        </w:rPr>
      </w:pPr>
    </w:p>
    <w:p w14:paraId="6D4E0C6B" w14:textId="77777777" w:rsidR="00CB3286" w:rsidRDefault="00CB3286" w:rsidP="00CB3286">
      <w:pPr>
        <w:ind w:left="1440" w:hanging="1440"/>
        <w:outlineLvl w:val="0"/>
        <w:rPr>
          <w:b/>
        </w:rPr>
      </w:pPr>
    </w:p>
    <w:p w14:paraId="00A97AE6" w14:textId="77777777" w:rsidR="00CB3286" w:rsidRDefault="00CB3286" w:rsidP="00CB3286">
      <w:pPr>
        <w:ind w:left="1440" w:hanging="1440"/>
        <w:outlineLvl w:val="0"/>
        <w:rPr>
          <w:b/>
        </w:rPr>
      </w:pPr>
    </w:p>
    <w:p w14:paraId="1F99FCAE" w14:textId="77777777" w:rsidR="00CB3286" w:rsidRDefault="00CB3286" w:rsidP="00CB3286">
      <w:pPr>
        <w:ind w:left="1440" w:hanging="1440"/>
        <w:outlineLvl w:val="0"/>
        <w:rPr>
          <w:b/>
        </w:rPr>
      </w:pPr>
    </w:p>
    <w:p w14:paraId="00A4ED6A" w14:textId="77777777" w:rsidR="00CB3286" w:rsidRDefault="00CB3286" w:rsidP="00CB3286">
      <w:pPr>
        <w:ind w:left="1440" w:hanging="1440"/>
        <w:outlineLvl w:val="0"/>
        <w:rPr>
          <w:b/>
        </w:rPr>
      </w:pPr>
    </w:p>
    <w:p w14:paraId="6A88C02A" w14:textId="77777777" w:rsidR="00CB3286" w:rsidRDefault="00CB3286" w:rsidP="00CB3286">
      <w:pPr>
        <w:ind w:left="1440" w:hanging="1440"/>
        <w:outlineLvl w:val="0"/>
        <w:rPr>
          <w:b/>
        </w:rPr>
      </w:pPr>
    </w:p>
    <w:p w14:paraId="36557C4A" w14:textId="77777777" w:rsidR="00CB3286" w:rsidRDefault="00CB3286" w:rsidP="00CB3286">
      <w:pPr>
        <w:ind w:left="1440" w:hanging="1440"/>
        <w:outlineLvl w:val="0"/>
        <w:rPr>
          <w:b/>
        </w:rPr>
      </w:pPr>
    </w:p>
    <w:p w14:paraId="118BC27A" w14:textId="77777777" w:rsidR="00CB3286" w:rsidRDefault="00CB3286" w:rsidP="00CB3286">
      <w:pPr>
        <w:ind w:left="1440" w:hanging="1440"/>
        <w:outlineLvl w:val="0"/>
        <w:rPr>
          <w:b/>
        </w:rPr>
      </w:pPr>
    </w:p>
    <w:p w14:paraId="207F65DD" w14:textId="77777777" w:rsidR="00CB3286" w:rsidRDefault="00CB3286" w:rsidP="00CB3286">
      <w:pPr>
        <w:ind w:left="1440" w:hanging="1440"/>
        <w:outlineLvl w:val="0"/>
        <w:rPr>
          <w:b/>
        </w:rPr>
      </w:pPr>
    </w:p>
    <w:p w14:paraId="6AF017B6" w14:textId="77777777" w:rsidR="00CB3286" w:rsidRDefault="00CB3286" w:rsidP="00CB3286">
      <w:pPr>
        <w:ind w:left="1440" w:hanging="1440"/>
        <w:outlineLvl w:val="0"/>
        <w:rPr>
          <w:b/>
        </w:rPr>
      </w:pPr>
    </w:p>
    <w:p w14:paraId="0DFF1A5A" w14:textId="77777777" w:rsidR="00CB3286" w:rsidRDefault="00CB3286" w:rsidP="00CB3286">
      <w:pPr>
        <w:ind w:left="1440" w:hanging="1440"/>
        <w:outlineLvl w:val="0"/>
        <w:rPr>
          <w:b/>
        </w:rPr>
      </w:pPr>
    </w:p>
    <w:p w14:paraId="31B2B663" w14:textId="77777777" w:rsidR="00CB3286" w:rsidRDefault="00CB3286" w:rsidP="00CB3286">
      <w:pPr>
        <w:ind w:left="1440" w:hanging="1440"/>
        <w:outlineLvl w:val="0"/>
        <w:rPr>
          <w:b/>
        </w:rPr>
      </w:pPr>
    </w:p>
    <w:p w14:paraId="507CDC25" w14:textId="77777777" w:rsidR="00CB3286" w:rsidRDefault="00CB3286" w:rsidP="00CB3286">
      <w:pPr>
        <w:ind w:left="1440" w:hanging="1440"/>
        <w:outlineLvl w:val="0"/>
        <w:rPr>
          <w:b/>
        </w:rPr>
      </w:pPr>
    </w:p>
    <w:p w14:paraId="2A977161" w14:textId="77777777" w:rsidR="00CB3286" w:rsidRDefault="00CB3286" w:rsidP="00CB3286">
      <w:pPr>
        <w:ind w:left="1440" w:hanging="1440"/>
        <w:outlineLvl w:val="0"/>
        <w:rPr>
          <w:b/>
        </w:rPr>
      </w:pPr>
    </w:p>
    <w:p w14:paraId="5170B9E6" w14:textId="77777777" w:rsidR="00CB3286" w:rsidRDefault="00CB3286" w:rsidP="00CB3286">
      <w:pPr>
        <w:ind w:left="1440" w:hanging="1440"/>
        <w:outlineLvl w:val="0"/>
        <w:rPr>
          <w:b/>
        </w:rPr>
      </w:pPr>
    </w:p>
    <w:p w14:paraId="5263A652" w14:textId="77777777" w:rsidR="00CB3286" w:rsidRDefault="00CB3286" w:rsidP="00CB3286">
      <w:pPr>
        <w:ind w:left="1440" w:hanging="1440"/>
        <w:outlineLvl w:val="0"/>
        <w:rPr>
          <w:b/>
        </w:rPr>
      </w:pPr>
    </w:p>
    <w:p w14:paraId="66261467" w14:textId="77777777" w:rsidR="00F67650" w:rsidRDefault="00F67650" w:rsidP="00CB3286">
      <w:pPr>
        <w:outlineLvl w:val="0"/>
        <w:rPr>
          <w:b/>
        </w:rPr>
      </w:pPr>
    </w:p>
    <w:p w14:paraId="5DE997AC" w14:textId="77777777" w:rsidR="00F67650" w:rsidRDefault="00F67650" w:rsidP="00CB3286">
      <w:pPr>
        <w:ind w:left="1440" w:hanging="1440"/>
        <w:outlineLvl w:val="0"/>
        <w:rPr>
          <w:b/>
        </w:rPr>
      </w:pPr>
    </w:p>
    <w:p w14:paraId="656C7CAC" w14:textId="77777777" w:rsidR="00F67650" w:rsidRDefault="00F67650" w:rsidP="00CB3286">
      <w:pPr>
        <w:ind w:left="1440" w:hanging="1440"/>
        <w:outlineLvl w:val="0"/>
        <w:rPr>
          <w:b/>
        </w:rPr>
      </w:pPr>
      <w:r w:rsidRPr="003F70F9">
        <w:rPr>
          <w:b/>
        </w:rPr>
        <w:t>Contact:</w:t>
      </w:r>
    </w:p>
    <w:p w14:paraId="0DF7AE80" w14:textId="77777777" w:rsidR="00F67650" w:rsidRPr="00A23D0A" w:rsidRDefault="00F67650" w:rsidP="00CB3286">
      <w:pPr>
        <w:outlineLvl w:val="0"/>
        <w:rPr>
          <w:b/>
        </w:rPr>
      </w:pPr>
      <w:r w:rsidRPr="00A23D0A">
        <w:rPr>
          <w:b/>
        </w:rPr>
        <w:t>Amy McMillen</w:t>
      </w:r>
    </w:p>
    <w:p w14:paraId="71EE1A12" w14:textId="77777777" w:rsidR="00F67650" w:rsidRPr="00A23D0A" w:rsidRDefault="00F67650" w:rsidP="00CB3286">
      <w:pPr>
        <w:rPr>
          <w:b/>
          <w:color w:val="000000"/>
        </w:rPr>
      </w:pPr>
      <w:r w:rsidRPr="00A23D0A">
        <w:rPr>
          <w:b/>
          <w:color w:val="000000"/>
        </w:rPr>
        <w:t>Public Health Analyst</w:t>
      </w:r>
    </w:p>
    <w:p w14:paraId="566B1FDF" w14:textId="77777777" w:rsidR="00F67650" w:rsidRPr="00A23D0A" w:rsidRDefault="00F67650" w:rsidP="00CB3286">
      <w:pPr>
        <w:rPr>
          <w:b/>
          <w:color w:val="000000"/>
        </w:rPr>
      </w:pPr>
      <w:r w:rsidRPr="00A23D0A">
        <w:rPr>
          <w:b/>
          <w:color w:val="000000"/>
        </w:rPr>
        <w:t>National Center for Emerging and Zoonotic Infectious Diseases</w:t>
      </w:r>
    </w:p>
    <w:p w14:paraId="66B28740" w14:textId="77777777" w:rsidR="00F67650" w:rsidRPr="00A23D0A" w:rsidRDefault="00F67650" w:rsidP="00CB3286">
      <w:pPr>
        <w:rPr>
          <w:b/>
          <w:color w:val="000000"/>
        </w:rPr>
      </w:pPr>
      <w:r w:rsidRPr="00A23D0A">
        <w:rPr>
          <w:b/>
          <w:color w:val="000000"/>
        </w:rPr>
        <w:t>Centers for Disease Control and Prevention</w:t>
      </w:r>
    </w:p>
    <w:p w14:paraId="69FB88E6" w14:textId="77777777" w:rsidR="00F67650" w:rsidRDefault="00F67650" w:rsidP="00CB3286">
      <w:pPr>
        <w:outlineLvl w:val="0"/>
        <w:rPr>
          <w:b/>
        </w:rPr>
      </w:pPr>
      <w:r>
        <w:rPr>
          <w:b/>
        </w:rPr>
        <w:t>Phone: (404) 639-1045</w:t>
      </w:r>
    </w:p>
    <w:p w14:paraId="71BFD9E9" w14:textId="77777777" w:rsidR="00F67650" w:rsidRDefault="00F67650" w:rsidP="00CB3286">
      <w:pPr>
        <w:outlineLvl w:val="0"/>
        <w:rPr>
          <w:b/>
        </w:rPr>
      </w:pPr>
      <w:r>
        <w:rPr>
          <w:b/>
        </w:rPr>
        <w:t>Fax: (404) 639-7090</w:t>
      </w:r>
    </w:p>
    <w:p w14:paraId="6817B13C" w14:textId="77777777" w:rsidR="00F67650" w:rsidRDefault="00F67650" w:rsidP="00CB3286">
      <w:pPr>
        <w:outlineLvl w:val="0"/>
        <w:rPr>
          <w:b/>
        </w:rPr>
      </w:pPr>
      <w:r>
        <w:rPr>
          <w:b/>
        </w:rPr>
        <w:t xml:space="preserve">Email: </w:t>
      </w:r>
      <w:hyperlink r:id="rId12" w:history="1">
        <w:r>
          <w:rPr>
            <w:rStyle w:val="Hyperlink"/>
            <w:b/>
          </w:rPr>
          <w:t>auh1@cdc.gov</w:t>
        </w:r>
      </w:hyperlink>
    </w:p>
    <w:p w14:paraId="0904DCE5" w14:textId="77777777" w:rsidR="00634A56" w:rsidRDefault="00634A56" w:rsidP="00E10D72">
      <w:pPr>
        <w:jc w:val="center"/>
        <w:rPr>
          <w:sz w:val="28"/>
          <w:szCs w:val="28"/>
        </w:rPr>
      </w:pPr>
    </w:p>
    <w:p w14:paraId="1A9AE79A" w14:textId="77777777" w:rsidR="00634A56" w:rsidRDefault="00634A56" w:rsidP="00E10D72">
      <w:pPr>
        <w:jc w:val="center"/>
        <w:rPr>
          <w:sz w:val="28"/>
          <w:szCs w:val="28"/>
        </w:rPr>
      </w:pPr>
    </w:p>
    <w:p w14:paraId="6DD2C09D" w14:textId="0C660DD6" w:rsidR="005333DC" w:rsidRPr="00E10D72" w:rsidRDefault="005333DC" w:rsidP="00E10D72">
      <w:pPr>
        <w:jc w:val="center"/>
        <w:rPr>
          <w:sz w:val="28"/>
          <w:szCs w:val="28"/>
        </w:rPr>
      </w:pPr>
      <w:r w:rsidRPr="00E10D72">
        <w:rPr>
          <w:sz w:val="28"/>
          <w:szCs w:val="28"/>
        </w:rPr>
        <w:t>Table of Contents</w:t>
      </w:r>
    </w:p>
    <w:p w14:paraId="70F4D680" w14:textId="77777777" w:rsidR="002E5257" w:rsidRDefault="005333DC" w:rsidP="00CB3286">
      <w:pPr>
        <w:pStyle w:val="TOC1"/>
        <w:tabs>
          <w:tab w:val="right" w:leader="dot" w:pos="9350"/>
        </w:tabs>
        <w:rPr>
          <w:noProof/>
        </w:rPr>
      </w:pPr>
      <w:r w:rsidRPr="005333DC">
        <w:fldChar w:fldCharType="begin"/>
      </w:r>
      <w:r w:rsidRPr="005333DC">
        <w:instrText xml:space="preserve"> TOC \o "3-3" \h \z \u \t "Heading 2,1" </w:instrText>
      </w:r>
      <w:r w:rsidRPr="005333DC">
        <w:fldChar w:fldCharType="separate"/>
      </w:r>
    </w:p>
    <w:p w14:paraId="566B43CB" w14:textId="4199CAFD" w:rsidR="000B2CFF" w:rsidRPr="00CB3286" w:rsidRDefault="00F3716D" w:rsidP="00CB3286">
      <w:pPr>
        <w:pStyle w:val="TOC1"/>
        <w:tabs>
          <w:tab w:val="right" w:leader="dot" w:pos="9350"/>
        </w:tabs>
        <w:rPr>
          <w:noProof/>
        </w:rPr>
      </w:pPr>
      <w:hyperlink w:anchor="_Toc444081153" w:history="1">
        <w:r w:rsidR="002E5257" w:rsidRPr="00F2356D">
          <w:rPr>
            <w:rStyle w:val="Hyperlink"/>
            <w:noProof/>
            <w:color w:val="auto"/>
            <w:u w:val="none"/>
          </w:rPr>
          <w:t>1. Respondent Universe and Sampling Methods</w:t>
        </w:r>
        <w:r w:rsidR="002E5257" w:rsidRPr="000B2CFF">
          <w:rPr>
            <w:noProof/>
            <w:webHidden/>
          </w:rPr>
          <w:tab/>
        </w:r>
        <w:r w:rsidR="00CB3286">
          <w:rPr>
            <w:noProof/>
            <w:webHidden/>
          </w:rPr>
          <w:t>2</w:t>
        </w:r>
      </w:hyperlink>
    </w:p>
    <w:p w14:paraId="6E51F1F4" w14:textId="45462141" w:rsidR="000B2CFF" w:rsidRPr="00CB3286" w:rsidRDefault="00F3716D" w:rsidP="00CB3286">
      <w:pPr>
        <w:pStyle w:val="TOC1"/>
        <w:tabs>
          <w:tab w:val="right" w:leader="dot" w:pos="9350"/>
        </w:tabs>
        <w:rPr>
          <w:noProof/>
        </w:rPr>
      </w:pPr>
      <w:hyperlink w:anchor="_Toc444081154" w:history="1">
        <w:r w:rsidR="002E5257" w:rsidRPr="000B2CFF">
          <w:rPr>
            <w:rStyle w:val="Hyperlink"/>
            <w:noProof/>
            <w:color w:val="auto"/>
            <w:u w:val="none"/>
          </w:rPr>
          <w:t>2. Procedures for the Collection of Information</w:t>
        </w:r>
        <w:r w:rsidR="002E5257" w:rsidRPr="000B2CFF">
          <w:rPr>
            <w:noProof/>
            <w:webHidden/>
          </w:rPr>
          <w:tab/>
        </w:r>
        <w:r w:rsidR="00CB3286">
          <w:rPr>
            <w:noProof/>
            <w:webHidden/>
          </w:rPr>
          <w:t>3</w:t>
        </w:r>
      </w:hyperlink>
    </w:p>
    <w:p w14:paraId="42E04414" w14:textId="13F0D16C" w:rsidR="000B2CFF" w:rsidRPr="00CB3286" w:rsidRDefault="00F3716D" w:rsidP="00CB3286">
      <w:pPr>
        <w:pStyle w:val="TOC1"/>
        <w:tabs>
          <w:tab w:val="right" w:leader="dot" w:pos="9350"/>
        </w:tabs>
        <w:rPr>
          <w:noProof/>
        </w:rPr>
      </w:pPr>
      <w:hyperlink w:anchor="_Toc444081155" w:history="1">
        <w:r w:rsidR="002E5257" w:rsidRPr="000B2CFF">
          <w:rPr>
            <w:rStyle w:val="Hyperlink"/>
            <w:noProof/>
            <w:color w:val="auto"/>
            <w:u w:val="none"/>
          </w:rPr>
          <w:t>3. Methods to Maximize Response Rates and Deal with No Response</w:t>
        </w:r>
        <w:r w:rsidR="002E5257" w:rsidRPr="000B2CFF">
          <w:rPr>
            <w:noProof/>
            <w:webHidden/>
          </w:rPr>
          <w:tab/>
        </w:r>
        <w:r w:rsidR="00CB3286">
          <w:rPr>
            <w:noProof/>
            <w:webHidden/>
          </w:rPr>
          <w:t>4</w:t>
        </w:r>
      </w:hyperlink>
    </w:p>
    <w:p w14:paraId="1B6EA9AE" w14:textId="210EB9B8" w:rsidR="000B2CFF" w:rsidRPr="00CB3286" w:rsidRDefault="00F3716D" w:rsidP="00CB3286">
      <w:pPr>
        <w:pStyle w:val="TOC1"/>
        <w:tabs>
          <w:tab w:val="right" w:leader="dot" w:pos="9350"/>
        </w:tabs>
        <w:rPr>
          <w:noProof/>
        </w:rPr>
      </w:pPr>
      <w:hyperlink w:anchor="_Toc444081156" w:history="1">
        <w:r w:rsidR="002E5257" w:rsidRPr="000B2CFF">
          <w:rPr>
            <w:rStyle w:val="Hyperlink"/>
            <w:noProof/>
            <w:color w:val="auto"/>
            <w:u w:val="none"/>
          </w:rPr>
          <w:t>4. Tests of Procedures or Methods to be Undertaken</w:t>
        </w:r>
        <w:r w:rsidR="002E5257" w:rsidRPr="000B2CFF">
          <w:rPr>
            <w:noProof/>
            <w:webHidden/>
          </w:rPr>
          <w:tab/>
        </w:r>
        <w:r w:rsidR="00CB3286">
          <w:rPr>
            <w:noProof/>
            <w:webHidden/>
          </w:rPr>
          <w:t>4</w:t>
        </w:r>
      </w:hyperlink>
    </w:p>
    <w:p w14:paraId="17E56CF7" w14:textId="15509E8B" w:rsidR="00CB3286" w:rsidRDefault="00F3716D" w:rsidP="00CB3286">
      <w:pPr>
        <w:pStyle w:val="TOC1"/>
        <w:tabs>
          <w:tab w:val="right" w:leader="dot" w:pos="9350"/>
        </w:tabs>
      </w:pPr>
      <w:hyperlink w:anchor="_Toc444081157" w:history="1">
        <w:r w:rsidR="0092175F">
          <w:rPr>
            <w:rStyle w:val="Hyperlink"/>
            <w:noProof/>
            <w:color w:val="auto"/>
            <w:u w:val="none"/>
          </w:rPr>
          <w:t xml:space="preserve">5. </w:t>
        </w:r>
        <w:r w:rsidR="002E5257" w:rsidRPr="000B2CFF">
          <w:rPr>
            <w:rStyle w:val="Hyperlink"/>
            <w:noProof/>
            <w:color w:val="auto"/>
            <w:u w:val="none"/>
          </w:rPr>
          <w:t>Individuals Consulted on Statistical Aspects and Individuals Collecting and/or Analyzing Data</w:t>
        </w:r>
        <w:r w:rsidR="002E5257" w:rsidRPr="000B2CFF">
          <w:rPr>
            <w:noProof/>
            <w:webHidden/>
          </w:rPr>
          <w:tab/>
        </w:r>
        <w:r w:rsidR="00CB3286">
          <w:rPr>
            <w:noProof/>
            <w:webHidden/>
          </w:rPr>
          <w:t>5</w:t>
        </w:r>
      </w:hyperlink>
      <w:r w:rsidR="005333DC" w:rsidRPr="005333DC">
        <w:fldChar w:fldCharType="end"/>
      </w:r>
    </w:p>
    <w:p w14:paraId="3540A859" w14:textId="72B2E81C" w:rsidR="00C3696A" w:rsidRPr="00CB3286" w:rsidRDefault="00C3696A" w:rsidP="00CB3286">
      <w:pPr>
        <w:pStyle w:val="TOC1"/>
        <w:tabs>
          <w:tab w:val="right" w:leader="dot" w:pos="9350"/>
        </w:tabs>
        <w:rPr>
          <w:b/>
          <w:u w:val="single"/>
        </w:rPr>
      </w:pPr>
      <w:r w:rsidRPr="00CB3286">
        <w:rPr>
          <w:b/>
          <w:u w:val="single"/>
        </w:rPr>
        <w:t>B.  Collections of Information Employing Statistical Methods</w:t>
      </w:r>
    </w:p>
    <w:p w14:paraId="0C872A9D" w14:textId="77777777" w:rsidR="00734CC7" w:rsidRPr="00734CC7" w:rsidRDefault="00734CC7" w:rsidP="00CB3286">
      <w:pPr>
        <w:rPr>
          <w:lang w:eastAsia="ja-JP"/>
        </w:rPr>
      </w:pPr>
    </w:p>
    <w:p w14:paraId="387A7911" w14:textId="77777777" w:rsidR="00C3696A" w:rsidRPr="005333DC" w:rsidRDefault="00C3696A" w:rsidP="00CB3286">
      <w:pPr>
        <w:pStyle w:val="Heading2"/>
        <w:rPr>
          <w:rFonts w:ascii="Times New Roman" w:hAnsi="Times New Roman" w:cs="Times New Roman"/>
          <w:b/>
          <w:color w:val="auto"/>
          <w:sz w:val="24"/>
          <w:szCs w:val="24"/>
        </w:rPr>
      </w:pPr>
      <w:bookmarkStart w:id="1" w:name="_Toc444081153"/>
      <w:r w:rsidRPr="005333DC">
        <w:rPr>
          <w:rFonts w:ascii="Times New Roman" w:hAnsi="Times New Roman" w:cs="Times New Roman"/>
          <w:b/>
          <w:color w:val="auto"/>
          <w:sz w:val="24"/>
          <w:szCs w:val="24"/>
        </w:rPr>
        <w:t>1.  Respondent Universe and Sampling Methods</w:t>
      </w:r>
      <w:bookmarkEnd w:id="1"/>
    </w:p>
    <w:p w14:paraId="4D834536" w14:textId="77777777" w:rsidR="0015019C" w:rsidRPr="00686D3A" w:rsidRDefault="0015019C" w:rsidP="00CB3286"/>
    <w:p w14:paraId="4002FFC2" w14:textId="6EA36280" w:rsidR="00734CC7" w:rsidRDefault="00C3696A" w:rsidP="00CB3286">
      <w:r w:rsidRPr="00686D3A">
        <w:t xml:space="preserve">Respondents </w:t>
      </w:r>
      <w:r w:rsidR="007F43DF">
        <w:t xml:space="preserve">for the </w:t>
      </w:r>
      <w:r w:rsidR="00CF065E">
        <w:t xml:space="preserve">2017 </w:t>
      </w:r>
      <w:r w:rsidR="007F43DF">
        <w:t xml:space="preserve">data collection </w:t>
      </w:r>
      <w:r w:rsidRPr="00686D3A">
        <w:t xml:space="preserve">are </w:t>
      </w:r>
      <w:r w:rsidR="002D3E90">
        <w:t xml:space="preserve">nursing homes </w:t>
      </w:r>
      <w:r w:rsidR="00F2356D">
        <w:t xml:space="preserve">located in </w:t>
      </w:r>
      <w:r w:rsidR="00734CC7">
        <w:t xml:space="preserve">EIP </w:t>
      </w:r>
      <w:r w:rsidR="00AC6E6D">
        <w:t>sites</w:t>
      </w:r>
      <w:r w:rsidRPr="00686D3A">
        <w:t>.</w:t>
      </w:r>
      <w:r w:rsidR="0015019C" w:rsidRPr="00686D3A">
        <w:t xml:space="preserve"> </w:t>
      </w:r>
      <w:r w:rsidR="007629F3">
        <w:t xml:space="preserve">There </w:t>
      </w:r>
      <w:r w:rsidR="00734CC7">
        <w:t>are</w:t>
      </w:r>
      <w:r w:rsidR="00734CC7" w:rsidRPr="00686D3A">
        <w:t xml:space="preserve"> </w:t>
      </w:r>
      <w:r w:rsidRPr="00686D3A">
        <w:t xml:space="preserve">approximately </w:t>
      </w:r>
      <w:r w:rsidR="006732BD">
        <w:t>3,800</w:t>
      </w:r>
      <w:r w:rsidR="002D3E90" w:rsidRPr="00686D3A">
        <w:t xml:space="preserve"> </w:t>
      </w:r>
      <w:r w:rsidR="00CF065E">
        <w:t>nursing homes</w:t>
      </w:r>
      <w:r w:rsidR="00CF065E" w:rsidRPr="00686D3A">
        <w:t xml:space="preserve"> </w:t>
      </w:r>
      <w:r w:rsidRPr="00686D3A">
        <w:t xml:space="preserve">in the 10 EIP </w:t>
      </w:r>
      <w:r w:rsidR="00CF065E">
        <w:t>states</w:t>
      </w:r>
      <w:r w:rsidR="007629F3">
        <w:t xml:space="preserve"> </w:t>
      </w:r>
      <w:r w:rsidRPr="00686D3A">
        <w:t>(</w:t>
      </w:r>
      <w:r w:rsidR="006732BD">
        <w:t>Table 1</w:t>
      </w:r>
      <w:r w:rsidR="00182622" w:rsidRPr="00686D3A">
        <w:t xml:space="preserve">). </w:t>
      </w:r>
      <w:r w:rsidR="00F2356D">
        <w:t xml:space="preserve">For </w:t>
      </w:r>
      <w:r w:rsidR="00A46D5B">
        <w:t xml:space="preserve">some EIP sites, </w:t>
      </w:r>
      <w:r w:rsidR="002D3E90">
        <w:t xml:space="preserve">the </w:t>
      </w:r>
      <w:r w:rsidR="00A46D5B">
        <w:t>catchment area</w:t>
      </w:r>
      <w:r w:rsidR="002D3E90">
        <w:t xml:space="preserve"> will</w:t>
      </w:r>
      <w:r w:rsidR="00A46D5B">
        <w:t xml:space="preserve"> consist of a few counties within a particular region of the state</w:t>
      </w:r>
      <w:r w:rsidR="002D3E90">
        <w:t xml:space="preserve"> and in others</w:t>
      </w:r>
      <w:r w:rsidR="00A46D5B">
        <w:t xml:space="preserve">, </w:t>
      </w:r>
      <w:r w:rsidR="002D3E90">
        <w:t xml:space="preserve">the </w:t>
      </w:r>
      <w:r w:rsidR="00A46D5B">
        <w:t>catchment area</w:t>
      </w:r>
      <w:r w:rsidR="002D3E90">
        <w:t xml:space="preserve"> will </w:t>
      </w:r>
      <w:r w:rsidR="00D9584D">
        <w:t>be</w:t>
      </w:r>
      <w:r w:rsidR="00A46D5B">
        <w:t xml:space="preserve"> expanded to include the entire state. </w:t>
      </w:r>
      <w:r w:rsidR="002D3E90" w:rsidRPr="004D15D7">
        <w:t>The decision</w:t>
      </w:r>
      <w:r w:rsidR="002D3E90">
        <w:t xml:space="preserve"> </w:t>
      </w:r>
      <w:r w:rsidR="00817B2C">
        <w:t xml:space="preserve">on the catchment area size </w:t>
      </w:r>
      <w:r w:rsidR="00734CC7">
        <w:t>will be decided by</w:t>
      </w:r>
      <w:r w:rsidR="00817B2C">
        <w:t xml:space="preserve"> EIP site</w:t>
      </w:r>
      <w:r w:rsidR="00F2356D">
        <w:t xml:space="preserve"> personnel</w:t>
      </w:r>
      <w:r w:rsidR="00817B2C">
        <w:t xml:space="preserve">, and </w:t>
      </w:r>
      <w:r w:rsidR="002D3E90">
        <w:t>will be based on the number of nursing homes available for recruitment</w:t>
      </w:r>
      <w:r w:rsidR="00817B2C">
        <w:t xml:space="preserve">, feasibility, and </w:t>
      </w:r>
      <w:r w:rsidR="00F2356D">
        <w:t xml:space="preserve">available </w:t>
      </w:r>
      <w:r w:rsidR="00817B2C">
        <w:t>resource</w:t>
      </w:r>
      <w:r w:rsidR="00F2356D">
        <w:t>s</w:t>
      </w:r>
      <w:r w:rsidR="00817B2C">
        <w:t xml:space="preserve">. </w:t>
      </w:r>
      <w:r w:rsidR="002D3E90" w:rsidRPr="004D15D7">
        <w:t xml:space="preserve"> </w:t>
      </w:r>
      <w:r w:rsidR="00817B2C">
        <w:t xml:space="preserve">Nursing homes certified by the </w:t>
      </w:r>
      <w:r w:rsidR="00CF065E">
        <w:t>C</w:t>
      </w:r>
      <w:r w:rsidR="006732BD">
        <w:t>enters for Medicare &amp; Medicare S</w:t>
      </w:r>
      <w:r w:rsidR="00CF065E">
        <w:t>ervices</w:t>
      </w:r>
      <w:r w:rsidR="006732BD">
        <w:t xml:space="preserve"> (CMS)</w:t>
      </w:r>
      <w:r w:rsidR="00CF065E">
        <w:t xml:space="preserve"> in </w:t>
      </w:r>
      <w:r w:rsidR="00F2356D">
        <w:t xml:space="preserve">each EIP site </w:t>
      </w:r>
      <w:r w:rsidR="00817B2C">
        <w:t>catchment area</w:t>
      </w:r>
      <w:r w:rsidR="002B4BAA">
        <w:t xml:space="preserve"> are eligible for participation</w:t>
      </w:r>
      <w:r w:rsidR="00463BA0">
        <w:t xml:space="preserve">. </w:t>
      </w:r>
      <w:r w:rsidR="00AC6E6D">
        <w:t>The</w:t>
      </w:r>
      <w:r w:rsidR="00182622" w:rsidRPr="00686D3A">
        <w:t xml:space="preserve"> goal </w:t>
      </w:r>
      <w:r w:rsidR="00AC6E6D">
        <w:t>is to</w:t>
      </w:r>
      <w:r w:rsidR="00182622" w:rsidRPr="00686D3A">
        <w:t xml:space="preserve"> </w:t>
      </w:r>
      <w:r w:rsidR="00AC6E6D" w:rsidRPr="00686D3A">
        <w:t>recruit</w:t>
      </w:r>
      <w:r w:rsidR="00182622" w:rsidRPr="00686D3A">
        <w:t xml:space="preserve"> </w:t>
      </w:r>
      <w:r w:rsidR="00463BA0">
        <w:t xml:space="preserve">a random sample of </w:t>
      </w:r>
      <w:r w:rsidR="00755860">
        <w:t>20 nursing home</w:t>
      </w:r>
      <w:r w:rsidR="00CC1DF6">
        <w:t>s</w:t>
      </w:r>
      <w:r w:rsidR="00734CC7">
        <w:t xml:space="preserve"> </w:t>
      </w:r>
      <w:r w:rsidR="00F2356D">
        <w:t>at</w:t>
      </w:r>
      <w:r w:rsidR="00734CC7">
        <w:t xml:space="preserve"> each EIP site</w:t>
      </w:r>
      <w:r w:rsidR="00686D3A" w:rsidRPr="00686D3A">
        <w:t xml:space="preserve">. </w:t>
      </w:r>
      <w:r w:rsidR="00631C8E">
        <w:t>There is no precedent</w:t>
      </w:r>
      <w:r w:rsidR="000B49FB">
        <w:t xml:space="preserve"> for sample stratification in nursing home prevalence surveys (4,5,10-12), nor</w:t>
      </w:r>
      <w:r w:rsidR="00631C8E">
        <w:t xml:space="preserve"> data </w:t>
      </w:r>
      <w:r w:rsidR="000B49FB">
        <w:t xml:space="preserve">available </w:t>
      </w:r>
      <w:r w:rsidR="00631C8E">
        <w:t>to determine which nursing home char</w:t>
      </w:r>
      <w:r w:rsidR="000B49FB">
        <w:t>acteristics</w:t>
      </w:r>
      <w:r w:rsidR="00631C8E">
        <w:t xml:space="preserve"> would be appropriate </w:t>
      </w:r>
      <w:r w:rsidR="000B49FB">
        <w:t>to use as stratification c</w:t>
      </w:r>
      <w:r w:rsidR="00631C8E">
        <w:t xml:space="preserve">riteria. </w:t>
      </w:r>
      <w:r w:rsidR="00402385">
        <w:t>The</w:t>
      </w:r>
      <w:r w:rsidR="00631C8E">
        <w:t xml:space="preserve"> largest HAI prevalence survey with nursing homes, performed by the ECDC</w:t>
      </w:r>
      <w:r w:rsidR="00402385">
        <w:t xml:space="preserve"> in 2010</w:t>
      </w:r>
      <w:r w:rsidR="00631C8E">
        <w:t>, included a</w:t>
      </w:r>
      <w:r w:rsidR="000B49FB">
        <w:t xml:space="preserve"> non-stratified</w:t>
      </w:r>
      <w:r w:rsidR="00631C8E">
        <w:t xml:space="preserve"> convenience sample of </w:t>
      </w:r>
      <w:r w:rsidR="00402385">
        <w:t>722</w:t>
      </w:r>
      <w:r w:rsidR="00631C8E">
        <w:t xml:space="preserve"> facilities</w:t>
      </w:r>
      <w:r w:rsidR="00402385">
        <w:t xml:space="preserve"> from 28 countries (range 2-111 per country)</w:t>
      </w:r>
      <w:r w:rsidR="000B49FB">
        <w:t xml:space="preserve"> </w:t>
      </w:r>
      <w:r w:rsidR="00402385">
        <w:t>and 61,932 residents</w:t>
      </w:r>
      <w:r w:rsidR="000B49FB">
        <w:t xml:space="preserve"> (4)</w:t>
      </w:r>
      <w:r w:rsidR="00631C8E">
        <w:t xml:space="preserve">. </w:t>
      </w:r>
      <w:r w:rsidR="00402385">
        <w:t>For the</w:t>
      </w:r>
      <w:r w:rsidR="00631C8E">
        <w:t xml:space="preserve"> </w:t>
      </w:r>
      <w:r w:rsidR="00402385">
        <w:t>Department of Veterans Affairs</w:t>
      </w:r>
      <w:r w:rsidR="00631C8E">
        <w:t xml:space="preserve"> nursing home prevalence survey</w:t>
      </w:r>
      <w:r w:rsidR="00402385">
        <w:t xml:space="preserve">s conducted in 2003, 2005 and 2007 </w:t>
      </w:r>
      <w:r w:rsidR="00631C8E">
        <w:t xml:space="preserve">all </w:t>
      </w:r>
      <w:r w:rsidR="00402385">
        <w:t xml:space="preserve">of the 133 </w:t>
      </w:r>
      <w:r w:rsidR="000B49FB">
        <w:t>VA-</w:t>
      </w:r>
      <w:r w:rsidR="00402385">
        <w:t xml:space="preserve">owned and </w:t>
      </w:r>
      <w:r w:rsidR="000B49FB">
        <w:t xml:space="preserve">operated facilities </w:t>
      </w:r>
      <w:r w:rsidR="00402385">
        <w:t>were included</w:t>
      </w:r>
      <w:r w:rsidR="000B49FB">
        <w:t>.</w:t>
      </w:r>
      <w:r w:rsidR="00402385">
        <w:t xml:space="preserve"> They did not conduct an analysis of facility-level factors associated with HAI prevalence.</w:t>
      </w:r>
      <w:r w:rsidR="000B49FB">
        <w:t xml:space="preserve">  For this</w:t>
      </w:r>
      <w:r w:rsidR="00631C8E">
        <w:t xml:space="preserve"> CDC nursing home survey, there are approximately 3,800 nursing homes within the 10 EIP States</w:t>
      </w:r>
      <w:r w:rsidR="000B49FB">
        <w:t xml:space="preserve"> and</w:t>
      </w:r>
      <w:r w:rsidR="00631C8E">
        <w:t xml:space="preserve"> it would not feasible to include them all. </w:t>
      </w:r>
      <w:r w:rsidR="000B49FB">
        <w:t>Therefore, a sample of randomly selected nursing homes will be used.</w:t>
      </w:r>
      <w:r w:rsidR="00631C8E">
        <w:t xml:space="preserve">  </w:t>
      </w:r>
      <w:r w:rsidR="00463BA0">
        <w:t>Based on the long-standing relationships that EIP sites have with their healthcare facilities, we anticipate that we will meet our 2017 recruitment goals.</w:t>
      </w:r>
    </w:p>
    <w:p w14:paraId="1787B3D0" w14:textId="477549E8" w:rsidR="00AC6E6D" w:rsidRDefault="00AC6E6D" w:rsidP="00CB3286"/>
    <w:p w14:paraId="53415F7F" w14:textId="77777777" w:rsidR="000B49FB" w:rsidRDefault="000B49FB" w:rsidP="00CB3286"/>
    <w:p w14:paraId="0DF979BC" w14:textId="77777777" w:rsidR="000B49FB" w:rsidRDefault="000B49FB" w:rsidP="00CB3286"/>
    <w:p w14:paraId="36BFD8AB" w14:textId="77777777" w:rsidR="000B49FB" w:rsidRDefault="000B49FB" w:rsidP="00CB3286"/>
    <w:p w14:paraId="78E7FAE0" w14:textId="77777777" w:rsidR="000B49FB" w:rsidRDefault="000B49FB" w:rsidP="00CB3286"/>
    <w:p w14:paraId="76904CA5" w14:textId="77777777" w:rsidR="000B49FB" w:rsidRDefault="000B49FB" w:rsidP="00CB3286"/>
    <w:p w14:paraId="18D95E17" w14:textId="77777777" w:rsidR="000B49FB" w:rsidRDefault="000B49FB" w:rsidP="00CB3286"/>
    <w:p w14:paraId="65FB4D7A" w14:textId="77777777" w:rsidR="000B49FB" w:rsidRDefault="000B49FB" w:rsidP="00CB3286"/>
    <w:p w14:paraId="74D83934" w14:textId="77777777" w:rsidR="000B49FB" w:rsidRDefault="000B49FB" w:rsidP="00CB3286"/>
    <w:p w14:paraId="261771B5" w14:textId="77777777" w:rsidR="000B49FB" w:rsidRDefault="000B49FB" w:rsidP="00CB3286"/>
    <w:p w14:paraId="6C72034B" w14:textId="77777777" w:rsidR="000B49FB" w:rsidRDefault="000B49FB" w:rsidP="00CB3286"/>
    <w:p w14:paraId="6CF54C94" w14:textId="77777777" w:rsidR="000B49FB" w:rsidRDefault="000B49FB" w:rsidP="00CB3286"/>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350"/>
        <w:gridCol w:w="1800"/>
        <w:gridCol w:w="1440"/>
        <w:gridCol w:w="1440"/>
        <w:gridCol w:w="1890"/>
      </w:tblGrid>
      <w:tr w:rsidR="006732BD" w:rsidRPr="00C57234" w14:paraId="6D65F7AC" w14:textId="77777777" w:rsidTr="00321410">
        <w:trPr>
          <w:jc w:val="center"/>
        </w:trPr>
        <w:tc>
          <w:tcPr>
            <w:tcW w:w="9018" w:type="dxa"/>
            <w:gridSpan w:val="6"/>
            <w:tcBorders>
              <w:top w:val="nil"/>
              <w:left w:val="nil"/>
              <w:bottom w:val="single" w:sz="4" w:space="0" w:color="auto"/>
              <w:right w:val="nil"/>
            </w:tcBorders>
            <w:shd w:val="clear" w:color="auto" w:fill="auto"/>
          </w:tcPr>
          <w:p w14:paraId="4E1A98D5" w14:textId="7768B26C" w:rsidR="006732BD" w:rsidRPr="006732BD" w:rsidRDefault="006732BD" w:rsidP="00CB3286">
            <w:pPr>
              <w:rPr>
                <w:sz w:val="22"/>
                <w:szCs w:val="22"/>
              </w:rPr>
            </w:pPr>
            <w:r w:rsidRPr="006732BD">
              <w:rPr>
                <w:sz w:val="22"/>
                <w:szCs w:val="22"/>
              </w:rPr>
              <w:t xml:space="preserve">Table 1: Nursing homes, beds, and occupancy </w:t>
            </w:r>
            <w:r w:rsidR="002B4BAA" w:rsidRPr="006732BD">
              <w:rPr>
                <w:sz w:val="22"/>
                <w:szCs w:val="22"/>
              </w:rPr>
              <w:t xml:space="preserve">rates </w:t>
            </w:r>
            <w:r w:rsidR="002B4BAA">
              <w:rPr>
                <w:sz w:val="22"/>
                <w:szCs w:val="22"/>
              </w:rPr>
              <w:t xml:space="preserve">by </w:t>
            </w:r>
            <w:r w:rsidR="002B4BAA" w:rsidRPr="006732BD">
              <w:rPr>
                <w:sz w:val="22"/>
                <w:szCs w:val="22"/>
              </w:rPr>
              <w:t>EIP</w:t>
            </w:r>
            <w:r w:rsidRPr="006732BD">
              <w:rPr>
                <w:sz w:val="22"/>
                <w:szCs w:val="22"/>
              </w:rPr>
              <w:t xml:space="preserve"> state and </w:t>
            </w:r>
            <w:r w:rsidR="002B4BAA">
              <w:rPr>
                <w:sz w:val="22"/>
                <w:szCs w:val="22"/>
              </w:rPr>
              <w:t xml:space="preserve">for the </w:t>
            </w:r>
            <w:r w:rsidRPr="006732BD">
              <w:rPr>
                <w:sz w:val="22"/>
                <w:szCs w:val="22"/>
              </w:rPr>
              <w:t>US</w:t>
            </w:r>
            <w:r w:rsidR="002B4BAA">
              <w:rPr>
                <w:sz w:val="22"/>
                <w:szCs w:val="22"/>
              </w:rPr>
              <w:t>.</w:t>
            </w:r>
          </w:p>
        </w:tc>
      </w:tr>
      <w:tr w:rsidR="006732BD" w:rsidRPr="00C57234" w14:paraId="348B160F" w14:textId="77777777" w:rsidTr="00321410">
        <w:trPr>
          <w:jc w:val="center"/>
        </w:trPr>
        <w:tc>
          <w:tcPr>
            <w:tcW w:w="1098" w:type="dxa"/>
            <w:tcBorders>
              <w:top w:val="single" w:sz="4" w:space="0" w:color="auto"/>
              <w:left w:val="nil"/>
              <w:bottom w:val="single" w:sz="4" w:space="0" w:color="auto"/>
              <w:right w:val="nil"/>
            </w:tcBorders>
            <w:shd w:val="clear" w:color="auto" w:fill="auto"/>
          </w:tcPr>
          <w:p w14:paraId="7BDB6895" w14:textId="77777777" w:rsidR="006732BD" w:rsidRPr="002B4BAA" w:rsidRDefault="006732BD" w:rsidP="00CB3286">
            <w:pPr>
              <w:pStyle w:val="Caption"/>
              <w:jc w:val="center"/>
              <w:rPr>
                <w:b w:val="0"/>
                <w:sz w:val="22"/>
                <w:szCs w:val="22"/>
              </w:rPr>
            </w:pPr>
            <w:r w:rsidRPr="002B4BAA">
              <w:rPr>
                <w:b w:val="0"/>
                <w:sz w:val="22"/>
                <w:szCs w:val="22"/>
              </w:rPr>
              <w:t>EIP State</w:t>
            </w:r>
          </w:p>
        </w:tc>
        <w:tc>
          <w:tcPr>
            <w:tcW w:w="1350" w:type="dxa"/>
            <w:tcBorders>
              <w:top w:val="single" w:sz="4" w:space="0" w:color="auto"/>
              <w:left w:val="nil"/>
              <w:bottom w:val="single" w:sz="4" w:space="0" w:color="auto"/>
              <w:right w:val="nil"/>
            </w:tcBorders>
            <w:shd w:val="clear" w:color="auto" w:fill="auto"/>
          </w:tcPr>
          <w:p w14:paraId="2B4819EF" w14:textId="77777777" w:rsidR="006732BD" w:rsidRPr="002B4BAA" w:rsidRDefault="006732BD" w:rsidP="00CB3286">
            <w:pPr>
              <w:pStyle w:val="Caption"/>
              <w:jc w:val="center"/>
              <w:rPr>
                <w:b w:val="0"/>
                <w:sz w:val="22"/>
                <w:szCs w:val="22"/>
              </w:rPr>
            </w:pPr>
            <w:r w:rsidRPr="002B4BAA">
              <w:rPr>
                <w:b w:val="0"/>
                <w:sz w:val="22"/>
                <w:szCs w:val="22"/>
              </w:rPr>
              <w:t>No. nursing homes</w:t>
            </w:r>
          </w:p>
        </w:tc>
        <w:tc>
          <w:tcPr>
            <w:tcW w:w="1800" w:type="dxa"/>
            <w:tcBorders>
              <w:top w:val="single" w:sz="4" w:space="0" w:color="auto"/>
              <w:left w:val="nil"/>
              <w:bottom w:val="single" w:sz="4" w:space="0" w:color="auto"/>
              <w:right w:val="nil"/>
            </w:tcBorders>
            <w:shd w:val="clear" w:color="auto" w:fill="auto"/>
          </w:tcPr>
          <w:p w14:paraId="0817BEC5" w14:textId="77777777" w:rsidR="006732BD" w:rsidRPr="002B4BAA" w:rsidRDefault="006732BD" w:rsidP="00CB3286">
            <w:pPr>
              <w:pStyle w:val="Caption"/>
              <w:jc w:val="center"/>
              <w:rPr>
                <w:b w:val="0"/>
                <w:sz w:val="22"/>
                <w:szCs w:val="22"/>
              </w:rPr>
            </w:pPr>
            <w:r w:rsidRPr="002B4BAA">
              <w:rPr>
                <w:b w:val="0"/>
                <w:sz w:val="22"/>
                <w:szCs w:val="22"/>
              </w:rPr>
              <w:t>No. nursing home beds</w:t>
            </w:r>
          </w:p>
        </w:tc>
        <w:tc>
          <w:tcPr>
            <w:tcW w:w="1440" w:type="dxa"/>
            <w:tcBorders>
              <w:top w:val="single" w:sz="4" w:space="0" w:color="auto"/>
              <w:left w:val="nil"/>
              <w:bottom w:val="single" w:sz="4" w:space="0" w:color="auto"/>
              <w:right w:val="nil"/>
            </w:tcBorders>
            <w:shd w:val="clear" w:color="auto" w:fill="auto"/>
          </w:tcPr>
          <w:p w14:paraId="11FE2FFC" w14:textId="77777777" w:rsidR="006732BD" w:rsidRPr="002B4BAA" w:rsidRDefault="006732BD" w:rsidP="00CB3286">
            <w:pPr>
              <w:pStyle w:val="Caption"/>
              <w:jc w:val="center"/>
              <w:rPr>
                <w:b w:val="0"/>
                <w:sz w:val="22"/>
                <w:szCs w:val="22"/>
              </w:rPr>
            </w:pPr>
            <w:r w:rsidRPr="002B4BAA">
              <w:rPr>
                <w:b w:val="0"/>
                <w:sz w:val="22"/>
                <w:szCs w:val="22"/>
              </w:rPr>
              <w:t>Mean beds per facility</w:t>
            </w:r>
          </w:p>
        </w:tc>
        <w:tc>
          <w:tcPr>
            <w:tcW w:w="1440" w:type="dxa"/>
            <w:tcBorders>
              <w:top w:val="single" w:sz="4" w:space="0" w:color="auto"/>
              <w:left w:val="nil"/>
              <w:bottom w:val="single" w:sz="4" w:space="0" w:color="auto"/>
              <w:right w:val="nil"/>
            </w:tcBorders>
            <w:shd w:val="clear" w:color="auto" w:fill="auto"/>
          </w:tcPr>
          <w:p w14:paraId="5F8394A9" w14:textId="77777777" w:rsidR="006732BD" w:rsidRPr="002B4BAA" w:rsidRDefault="006732BD" w:rsidP="00CB3286">
            <w:pPr>
              <w:pStyle w:val="Caption"/>
              <w:jc w:val="center"/>
              <w:rPr>
                <w:b w:val="0"/>
                <w:sz w:val="22"/>
                <w:szCs w:val="22"/>
              </w:rPr>
            </w:pPr>
            <w:r w:rsidRPr="002B4BAA">
              <w:rPr>
                <w:b w:val="0"/>
                <w:sz w:val="22"/>
                <w:szCs w:val="22"/>
              </w:rPr>
              <w:t>Occupancy rate (%)</w:t>
            </w:r>
          </w:p>
        </w:tc>
        <w:tc>
          <w:tcPr>
            <w:tcW w:w="1890" w:type="dxa"/>
            <w:tcBorders>
              <w:top w:val="single" w:sz="4" w:space="0" w:color="auto"/>
              <w:left w:val="nil"/>
              <w:bottom w:val="single" w:sz="4" w:space="0" w:color="auto"/>
              <w:right w:val="nil"/>
            </w:tcBorders>
            <w:shd w:val="clear" w:color="auto" w:fill="auto"/>
          </w:tcPr>
          <w:p w14:paraId="55EB077C" w14:textId="77777777" w:rsidR="006732BD" w:rsidRPr="002B4BAA" w:rsidRDefault="006732BD" w:rsidP="00CB3286">
            <w:pPr>
              <w:pStyle w:val="Caption"/>
              <w:jc w:val="center"/>
              <w:rPr>
                <w:b w:val="0"/>
                <w:sz w:val="22"/>
                <w:szCs w:val="22"/>
              </w:rPr>
            </w:pPr>
            <w:r w:rsidRPr="002B4BAA">
              <w:rPr>
                <w:b w:val="0"/>
                <w:sz w:val="22"/>
                <w:szCs w:val="22"/>
              </w:rPr>
              <w:t>Estimated residents per day</w:t>
            </w:r>
          </w:p>
        </w:tc>
      </w:tr>
      <w:tr w:rsidR="006732BD" w:rsidRPr="00C57234" w14:paraId="17F9B51E" w14:textId="77777777" w:rsidTr="00321410">
        <w:trPr>
          <w:jc w:val="center"/>
        </w:trPr>
        <w:tc>
          <w:tcPr>
            <w:tcW w:w="1098" w:type="dxa"/>
            <w:tcBorders>
              <w:top w:val="single" w:sz="4" w:space="0" w:color="auto"/>
              <w:left w:val="nil"/>
              <w:bottom w:val="nil"/>
              <w:right w:val="nil"/>
            </w:tcBorders>
            <w:shd w:val="clear" w:color="auto" w:fill="auto"/>
          </w:tcPr>
          <w:p w14:paraId="56DA1A82" w14:textId="77777777" w:rsidR="006732BD" w:rsidRPr="00BB7428" w:rsidRDefault="006732BD" w:rsidP="00CB3286">
            <w:pPr>
              <w:rPr>
                <w:sz w:val="22"/>
                <w:szCs w:val="22"/>
              </w:rPr>
            </w:pPr>
            <w:r w:rsidRPr="00BB7428">
              <w:rPr>
                <w:sz w:val="22"/>
                <w:szCs w:val="22"/>
              </w:rPr>
              <w:t>CA</w:t>
            </w:r>
          </w:p>
        </w:tc>
        <w:tc>
          <w:tcPr>
            <w:tcW w:w="1350" w:type="dxa"/>
            <w:tcBorders>
              <w:top w:val="single" w:sz="4" w:space="0" w:color="auto"/>
              <w:left w:val="nil"/>
              <w:bottom w:val="nil"/>
              <w:right w:val="nil"/>
            </w:tcBorders>
            <w:shd w:val="clear" w:color="auto" w:fill="auto"/>
          </w:tcPr>
          <w:p w14:paraId="0837DDFF" w14:textId="77777777" w:rsidR="006732BD" w:rsidRPr="00BB7428" w:rsidRDefault="006732BD" w:rsidP="00CB3286">
            <w:pPr>
              <w:jc w:val="center"/>
              <w:rPr>
                <w:sz w:val="22"/>
                <w:szCs w:val="22"/>
              </w:rPr>
            </w:pPr>
            <w:r w:rsidRPr="00BB7428">
              <w:rPr>
                <w:sz w:val="22"/>
                <w:szCs w:val="22"/>
              </w:rPr>
              <w:t>1,226</w:t>
            </w:r>
          </w:p>
        </w:tc>
        <w:tc>
          <w:tcPr>
            <w:tcW w:w="1800" w:type="dxa"/>
            <w:tcBorders>
              <w:top w:val="single" w:sz="4" w:space="0" w:color="auto"/>
              <w:left w:val="nil"/>
              <w:bottom w:val="nil"/>
              <w:right w:val="nil"/>
            </w:tcBorders>
            <w:shd w:val="clear" w:color="auto" w:fill="auto"/>
          </w:tcPr>
          <w:p w14:paraId="624C4146" w14:textId="77777777" w:rsidR="006732BD" w:rsidRPr="00BB7428" w:rsidRDefault="006732BD" w:rsidP="00CB3286">
            <w:pPr>
              <w:jc w:val="center"/>
              <w:rPr>
                <w:sz w:val="22"/>
                <w:szCs w:val="22"/>
              </w:rPr>
            </w:pPr>
            <w:r w:rsidRPr="00BB7428">
              <w:rPr>
                <w:sz w:val="22"/>
                <w:szCs w:val="22"/>
              </w:rPr>
              <w:t>121,381</w:t>
            </w:r>
          </w:p>
        </w:tc>
        <w:tc>
          <w:tcPr>
            <w:tcW w:w="1440" w:type="dxa"/>
            <w:tcBorders>
              <w:top w:val="single" w:sz="4" w:space="0" w:color="auto"/>
              <w:left w:val="nil"/>
              <w:bottom w:val="nil"/>
              <w:right w:val="nil"/>
            </w:tcBorders>
            <w:shd w:val="clear" w:color="auto" w:fill="auto"/>
          </w:tcPr>
          <w:p w14:paraId="2270F8C4" w14:textId="77777777" w:rsidR="006732BD" w:rsidRPr="00BB7428" w:rsidRDefault="006732BD" w:rsidP="00CB3286">
            <w:pPr>
              <w:jc w:val="center"/>
              <w:rPr>
                <w:sz w:val="22"/>
                <w:szCs w:val="22"/>
              </w:rPr>
            </w:pPr>
            <w:r w:rsidRPr="00BB7428">
              <w:rPr>
                <w:sz w:val="22"/>
                <w:szCs w:val="22"/>
              </w:rPr>
              <w:t>99</w:t>
            </w:r>
          </w:p>
        </w:tc>
        <w:tc>
          <w:tcPr>
            <w:tcW w:w="1440" w:type="dxa"/>
            <w:tcBorders>
              <w:top w:val="single" w:sz="4" w:space="0" w:color="auto"/>
              <w:left w:val="nil"/>
              <w:bottom w:val="nil"/>
              <w:right w:val="nil"/>
            </w:tcBorders>
            <w:shd w:val="clear" w:color="auto" w:fill="auto"/>
          </w:tcPr>
          <w:p w14:paraId="630444FA" w14:textId="77777777" w:rsidR="006732BD" w:rsidRPr="00BB7428" w:rsidRDefault="006732BD" w:rsidP="00CB3286">
            <w:pPr>
              <w:jc w:val="center"/>
              <w:rPr>
                <w:sz w:val="22"/>
                <w:szCs w:val="22"/>
              </w:rPr>
            </w:pPr>
            <w:r w:rsidRPr="00BB7428">
              <w:rPr>
                <w:sz w:val="22"/>
                <w:szCs w:val="22"/>
              </w:rPr>
              <w:t>86</w:t>
            </w:r>
          </w:p>
        </w:tc>
        <w:tc>
          <w:tcPr>
            <w:tcW w:w="1890" w:type="dxa"/>
            <w:tcBorders>
              <w:top w:val="single" w:sz="4" w:space="0" w:color="auto"/>
              <w:left w:val="nil"/>
              <w:bottom w:val="nil"/>
              <w:right w:val="nil"/>
            </w:tcBorders>
            <w:shd w:val="clear" w:color="auto" w:fill="auto"/>
          </w:tcPr>
          <w:p w14:paraId="35D7197E" w14:textId="77777777" w:rsidR="006732BD" w:rsidRPr="00BB7428" w:rsidRDefault="006732BD" w:rsidP="00CB3286">
            <w:pPr>
              <w:jc w:val="center"/>
              <w:rPr>
                <w:sz w:val="22"/>
                <w:szCs w:val="22"/>
              </w:rPr>
            </w:pPr>
            <w:r w:rsidRPr="00BB7428">
              <w:rPr>
                <w:sz w:val="22"/>
                <w:szCs w:val="22"/>
              </w:rPr>
              <w:t>104,388</w:t>
            </w:r>
          </w:p>
        </w:tc>
      </w:tr>
      <w:tr w:rsidR="006732BD" w:rsidRPr="00C57234" w14:paraId="40D5D682" w14:textId="77777777" w:rsidTr="00321410">
        <w:trPr>
          <w:jc w:val="center"/>
        </w:trPr>
        <w:tc>
          <w:tcPr>
            <w:tcW w:w="1098" w:type="dxa"/>
            <w:tcBorders>
              <w:top w:val="nil"/>
              <w:left w:val="nil"/>
              <w:bottom w:val="nil"/>
              <w:right w:val="nil"/>
            </w:tcBorders>
            <w:shd w:val="clear" w:color="auto" w:fill="auto"/>
          </w:tcPr>
          <w:p w14:paraId="61A5F82B" w14:textId="77777777" w:rsidR="006732BD" w:rsidRPr="00BB7428" w:rsidRDefault="006732BD" w:rsidP="00CB3286">
            <w:pPr>
              <w:rPr>
                <w:sz w:val="22"/>
                <w:szCs w:val="22"/>
              </w:rPr>
            </w:pPr>
            <w:r w:rsidRPr="00BB7428">
              <w:rPr>
                <w:sz w:val="22"/>
                <w:szCs w:val="22"/>
              </w:rPr>
              <w:t>CO</w:t>
            </w:r>
          </w:p>
        </w:tc>
        <w:tc>
          <w:tcPr>
            <w:tcW w:w="1350" w:type="dxa"/>
            <w:tcBorders>
              <w:top w:val="nil"/>
              <w:left w:val="nil"/>
              <w:bottom w:val="nil"/>
              <w:right w:val="nil"/>
            </w:tcBorders>
            <w:shd w:val="clear" w:color="auto" w:fill="auto"/>
          </w:tcPr>
          <w:p w14:paraId="372E7345" w14:textId="77777777" w:rsidR="006732BD" w:rsidRPr="00BB7428" w:rsidRDefault="006732BD" w:rsidP="00CB3286">
            <w:pPr>
              <w:jc w:val="center"/>
              <w:rPr>
                <w:sz w:val="22"/>
                <w:szCs w:val="22"/>
              </w:rPr>
            </w:pPr>
            <w:r w:rsidRPr="00BB7428">
              <w:rPr>
                <w:sz w:val="22"/>
                <w:szCs w:val="22"/>
              </w:rPr>
              <w:t>211</w:t>
            </w:r>
          </w:p>
        </w:tc>
        <w:tc>
          <w:tcPr>
            <w:tcW w:w="1800" w:type="dxa"/>
            <w:tcBorders>
              <w:top w:val="nil"/>
              <w:left w:val="nil"/>
              <w:bottom w:val="nil"/>
              <w:right w:val="nil"/>
            </w:tcBorders>
            <w:shd w:val="clear" w:color="auto" w:fill="auto"/>
          </w:tcPr>
          <w:p w14:paraId="0C08FC41" w14:textId="77777777" w:rsidR="006732BD" w:rsidRPr="00BB7428" w:rsidRDefault="006732BD" w:rsidP="00CB3286">
            <w:pPr>
              <w:jc w:val="center"/>
              <w:rPr>
                <w:sz w:val="22"/>
                <w:szCs w:val="22"/>
              </w:rPr>
            </w:pPr>
            <w:r w:rsidRPr="00BB7428">
              <w:rPr>
                <w:sz w:val="22"/>
                <w:szCs w:val="22"/>
              </w:rPr>
              <w:t>20,371</w:t>
            </w:r>
          </w:p>
        </w:tc>
        <w:tc>
          <w:tcPr>
            <w:tcW w:w="1440" w:type="dxa"/>
            <w:tcBorders>
              <w:top w:val="nil"/>
              <w:left w:val="nil"/>
              <w:bottom w:val="nil"/>
              <w:right w:val="nil"/>
            </w:tcBorders>
            <w:shd w:val="clear" w:color="auto" w:fill="auto"/>
          </w:tcPr>
          <w:p w14:paraId="4FC20974" w14:textId="77777777" w:rsidR="006732BD" w:rsidRPr="00BB7428" w:rsidRDefault="006732BD" w:rsidP="00CB3286">
            <w:pPr>
              <w:jc w:val="center"/>
              <w:rPr>
                <w:sz w:val="22"/>
                <w:szCs w:val="22"/>
              </w:rPr>
            </w:pPr>
            <w:r w:rsidRPr="00BB7428">
              <w:rPr>
                <w:sz w:val="22"/>
                <w:szCs w:val="22"/>
              </w:rPr>
              <w:t>97</w:t>
            </w:r>
          </w:p>
        </w:tc>
        <w:tc>
          <w:tcPr>
            <w:tcW w:w="1440" w:type="dxa"/>
            <w:tcBorders>
              <w:top w:val="nil"/>
              <w:left w:val="nil"/>
              <w:bottom w:val="nil"/>
              <w:right w:val="nil"/>
            </w:tcBorders>
            <w:shd w:val="clear" w:color="auto" w:fill="auto"/>
          </w:tcPr>
          <w:p w14:paraId="61F177B0" w14:textId="77777777" w:rsidR="006732BD" w:rsidRPr="00BB7428" w:rsidRDefault="006732BD" w:rsidP="00CB3286">
            <w:pPr>
              <w:jc w:val="center"/>
              <w:rPr>
                <w:sz w:val="22"/>
                <w:szCs w:val="22"/>
              </w:rPr>
            </w:pPr>
            <w:r w:rsidRPr="00BB7428">
              <w:rPr>
                <w:sz w:val="22"/>
                <w:szCs w:val="22"/>
              </w:rPr>
              <w:t>79</w:t>
            </w:r>
          </w:p>
        </w:tc>
        <w:tc>
          <w:tcPr>
            <w:tcW w:w="1890" w:type="dxa"/>
            <w:tcBorders>
              <w:top w:val="nil"/>
              <w:left w:val="nil"/>
              <w:bottom w:val="nil"/>
              <w:right w:val="nil"/>
            </w:tcBorders>
            <w:shd w:val="clear" w:color="auto" w:fill="auto"/>
          </w:tcPr>
          <w:p w14:paraId="07897EE5" w14:textId="77777777" w:rsidR="006732BD" w:rsidRPr="00BB7428" w:rsidRDefault="006732BD" w:rsidP="00CB3286">
            <w:pPr>
              <w:jc w:val="center"/>
              <w:rPr>
                <w:sz w:val="22"/>
                <w:szCs w:val="22"/>
              </w:rPr>
            </w:pPr>
            <w:r w:rsidRPr="00BB7428">
              <w:rPr>
                <w:sz w:val="22"/>
                <w:szCs w:val="22"/>
              </w:rPr>
              <w:t>16,093</w:t>
            </w:r>
          </w:p>
        </w:tc>
      </w:tr>
      <w:tr w:rsidR="006732BD" w:rsidRPr="00C57234" w14:paraId="31314C49" w14:textId="77777777" w:rsidTr="00321410">
        <w:trPr>
          <w:jc w:val="center"/>
        </w:trPr>
        <w:tc>
          <w:tcPr>
            <w:tcW w:w="1098" w:type="dxa"/>
            <w:tcBorders>
              <w:top w:val="nil"/>
              <w:left w:val="nil"/>
              <w:bottom w:val="nil"/>
              <w:right w:val="nil"/>
            </w:tcBorders>
            <w:shd w:val="clear" w:color="auto" w:fill="auto"/>
          </w:tcPr>
          <w:p w14:paraId="6692FF5B" w14:textId="77777777" w:rsidR="006732BD" w:rsidRPr="00BB7428" w:rsidRDefault="006732BD" w:rsidP="00CB3286">
            <w:pPr>
              <w:rPr>
                <w:sz w:val="22"/>
                <w:szCs w:val="22"/>
              </w:rPr>
            </w:pPr>
            <w:r w:rsidRPr="00BB7428">
              <w:rPr>
                <w:sz w:val="22"/>
                <w:szCs w:val="22"/>
              </w:rPr>
              <w:t>CT</w:t>
            </w:r>
          </w:p>
        </w:tc>
        <w:tc>
          <w:tcPr>
            <w:tcW w:w="1350" w:type="dxa"/>
            <w:tcBorders>
              <w:top w:val="nil"/>
              <w:left w:val="nil"/>
              <w:bottom w:val="nil"/>
              <w:right w:val="nil"/>
            </w:tcBorders>
            <w:shd w:val="clear" w:color="auto" w:fill="auto"/>
          </w:tcPr>
          <w:p w14:paraId="305B46DD" w14:textId="77777777" w:rsidR="006732BD" w:rsidRPr="00BB7428" w:rsidRDefault="006732BD" w:rsidP="00CB3286">
            <w:pPr>
              <w:jc w:val="center"/>
              <w:rPr>
                <w:sz w:val="22"/>
                <w:szCs w:val="22"/>
              </w:rPr>
            </w:pPr>
            <w:r w:rsidRPr="00BB7428">
              <w:rPr>
                <w:sz w:val="22"/>
                <w:szCs w:val="22"/>
              </w:rPr>
              <w:t>231</w:t>
            </w:r>
          </w:p>
        </w:tc>
        <w:tc>
          <w:tcPr>
            <w:tcW w:w="1800" w:type="dxa"/>
            <w:tcBorders>
              <w:top w:val="nil"/>
              <w:left w:val="nil"/>
              <w:bottom w:val="nil"/>
              <w:right w:val="nil"/>
            </w:tcBorders>
            <w:shd w:val="clear" w:color="auto" w:fill="auto"/>
          </w:tcPr>
          <w:p w14:paraId="38BA48FA" w14:textId="77777777" w:rsidR="006732BD" w:rsidRPr="00BB7428" w:rsidRDefault="006732BD" w:rsidP="00CB3286">
            <w:pPr>
              <w:jc w:val="center"/>
              <w:rPr>
                <w:sz w:val="22"/>
                <w:szCs w:val="22"/>
              </w:rPr>
            </w:pPr>
            <w:r w:rsidRPr="00BB7428">
              <w:rPr>
                <w:sz w:val="22"/>
                <w:szCs w:val="22"/>
              </w:rPr>
              <w:t>27,841</w:t>
            </w:r>
          </w:p>
        </w:tc>
        <w:tc>
          <w:tcPr>
            <w:tcW w:w="1440" w:type="dxa"/>
            <w:tcBorders>
              <w:top w:val="nil"/>
              <w:left w:val="nil"/>
              <w:bottom w:val="nil"/>
              <w:right w:val="nil"/>
            </w:tcBorders>
            <w:shd w:val="clear" w:color="auto" w:fill="auto"/>
          </w:tcPr>
          <w:p w14:paraId="5D8E7D9A" w14:textId="77777777" w:rsidR="006732BD" w:rsidRPr="00BB7428" w:rsidRDefault="006732BD" w:rsidP="00CB3286">
            <w:pPr>
              <w:jc w:val="center"/>
              <w:rPr>
                <w:sz w:val="22"/>
                <w:szCs w:val="22"/>
              </w:rPr>
            </w:pPr>
            <w:r w:rsidRPr="00BB7428">
              <w:rPr>
                <w:sz w:val="22"/>
                <w:szCs w:val="22"/>
              </w:rPr>
              <w:t>121</w:t>
            </w:r>
          </w:p>
        </w:tc>
        <w:tc>
          <w:tcPr>
            <w:tcW w:w="1440" w:type="dxa"/>
            <w:tcBorders>
              <w:top w:val="nil"/>
              <w:left w:val="nil"/>
              <w:bottom w:val="nil"/>
              <w:right w:val="nil"/>
            </w:tcBorders>
            <w:shd w:val="clear" w:color="auto" w:fill="auto"/>
          </w:tcPr>
          <w:p w14:paraId="3E757488" w14:textId="77777777" w:rsidR="006732BD" w:rsidRPr="00BB7428" w:rsidRDefault="006732BD" w:rsidP="00CB3286">
            <w:pPr>
              <w:jc w:val="center"/>
              <w:rPr>
                <w:sz w:val="22"/>
                <w:szCs w:val="22"/>
              </w:rPr>
            </w:pPr>
            <w:r w:rsidRPr="00BB7428">
              <w:rPr>
                <w:sz w:val="22"/>
                <w:szCs w:val="22"/>
              </w:rPr>
              <w:t>90</w:t>
            </w:r>
          </w:p>
        </w:tc>
        <w:tc>
          <w:tcPr>
            <w:tcW w:w="1890" w:type="dxa"/>
            <w:tcBorders>
              <w:top w:val="nil"/>
              <w:left w:val="nil"/>
              <w:bottom w:val="nil"/>
              <w:right w:val="nil"/>
            </w:tcBorders>
            <w:shd w:val="clear" w:color="auto" w:fill="auto"/>
          </w:tcPr>
          <w:p w14:paraId="3B045B5A" w14:textId="77777777" w:rsidR="006732BD" w:rsidRPr="00BB7428" w:rsidRDefault="006732BD" w:rsidP="00CB3286">
            <w:pPr>
              <w:jc w:val="center"/>
              <w:rPr>
                <w:sz w:val="22"/>
                <w:szCs w:val="22"/>
              </w:rPr>
            </w:pPr>
            <w:r w:rsidRPr="00BB7428">
              <w:rPr>
                <w:sz w:val="22"/>
                <w:szCs w:val="22"/>
              </w:rPr>
              <w:t>25,057</w:t>
            </w:r>
          </w:p>
        </w:tc>
      </w:tr>
      <w:tr w:rsidR="006732BD" w:rsidRPr="00C57234" w14:paraId="07302590" w14:textId="77777777" w:rsidTr="00321410">
        <w:trPr>
          <w:jc w:val="center"/>
        </w:trPr>
        <w:tc>
          <w:tcPr>
            <w:tcW w:w="1098" w:type="dxa"/>
            <w:tcBorders>
              <w:top w:val="nil"/>
              <w:left w:val="nil"/>
              <w:bottom w:val="nil"/>
              <w:right w:val="nil"/>
            </w:tcBorders>
            <w:shd w:val="clear" w:color="auto" w:fill="auto"/>
          </w:tcPr>
          <w:p w14:paraId="4B485606" w14:textId="77777777" w:rsidR="006732BD" w:rsidRPr="00BB7428" w:rsidRDefault="006732BD" w:rsidP="00CB3286">
            <w:pPr>
              <w:rPr>
                <w:sz w:val="22"/>
                <w:szCs w:val="22"/>
              </w:rPr>
            </w:pPr>
            <w:r w:rsidRPr="00BB7428">
              <w:rPr>
                <w:sz w:val="22"/>
                <w:szCs w:val="22"/>
              </w:rPr>
              <w:t>GA</w:t>
            </w:r>
          </w:p>
        </w:tc>
        <w:tc>
          <w:tcPr>
            <w:tcW w:w="1350" w:type="dxa"/>
            <w:tcBorders>
              <w:top w:val="nil"/>
              <w:left w:val="nil"/>
              <w:bottom w:val="nil"/>
              <w:right w:val="nil"/>
            </w:tcBorders>
            <w:shd w:val="clear" w:color="auto" w:fill="auto"/>
          </w:tcPr>
          <w:p w14:paraId="3119054A" w14:textId="77777777" w:rsidR="006732BD" w:rsidRPr="00BB7428" w:rsidRDefault="006732BD" w:rsidP="00CB3286">
            <w:pPr>
              <w:jc w:val="center"/>
              <w:rPr>
                <w:sz w:val="22"/>
                <w:szCs w:val="22"/>
              </w:rPr>
            </w:pPr>
            <w:r w:rsidRPr="00BB7428">
              <w:rPr>
                <w:sz w:val="22"/>
                <w:szCs w:val="22"/>
              </w:rPr>
              <w:t>358</w:t>
            </w:r>
          </w:p>
        </w:tc>
        <w:tc>
          <w:tcPr>
            <w:tcW w:w="1800" w:type="dxa"/>
            <w:tcBorders>
              <w:top w:val="nil"/>
              <w:left w:val="nil"/>
              <w:bottom w:val="nil"/>
              <w:right w:val="nil"/>
            </w:tcBorders>
            <w:shd w:val="clear" w:color="auto" w:fill="auto"/>
          </w:tcPr>
          <w:p w14:paraId="27ECAAF2" w14:textId="77777777" w:rsidR="006732BD" w:rsidRPr="00BB7428" w:rsidRDefault="006732BD" w:rsidP="00CB3286">
            <w:pPr>
              <w:jc w:val="center"/>
              <w:rPr>
                <w:sz w:val="22"/>
                <w:szCs w:val="22"/>
              </w:rPr>
            </w:pPr>
            <w:r w:rsidRPr="00BB7428">
              <w:rPr>
                <w:sz w:val="22"/>
                <w:szCs w:val="22"/>
              </w:rPr>
              <w:t>38,883</w:t>
            </w:r>
          </w:p>
        </w:tc>
        <w:tc>
          <w:tcPr>
            <w:tcW w:w="1440" w:type="dxa"/>
            <w:tcBorders>
              <w:top w:val="nil"/>
              <w:left w:val="nil"/>
              <w:bottom w:val="nil"/>
              <w:right w:val="nil"/>
            </w:tcBorders>
            <w:shd w:val="clear" w:color="auto" w:fill="auto"/>
          </w:tcPr>
          <w:p w14:paraId="3D66CF32" w14:textId="77777777" w:rsidR="006732BD" w:rsidRPr="00BB7428" w:rsidRDefault="006732BD" w:rsidP="00CB3286">
            <w:pPr>
              <w:jc w:val="center"/>
              <w:rPr>
                <w:sz w:val="22"/>
                <w:szCs w:val="22"/>
              </w:rPr>
            </w:pPr>
            <w:r w:rsidRPr="00BB7428">
              <w:rPr>
                <w:sz w:val="22"/>
                <w:szCs w:val="22"/>
              </w:rPr>
              <w:t>109</w:t>
            </w:r>
          </w:p>
        </w:tc>
        <w:tc>
          <w:tcPr>
            <w:tcW w:w="1440" w:type="dxa"/>
            <w:tcBorders>
              <w:top w:val="nil"/>
              <w:left w:val="nil"/>
              <w:bottom w:val="nil"/>
              <w:right w:val="nil"/>
            </w:tcBorders>
            <w:shd w:val="clear" w:color="auto" w:fill="auto"/>
          </w:tcPr>
          <w:p w14:paraId="2C277D5E" w14:textId="77777777" w:rsidR="006732BD" w:rsidRPr="00BB7428" w:rsidRDefault="006732BD" w:rsidP="00CB3286">
            <w:pPr>
              <w:jc w:val="center"/>
              <w:rPr>
                <w:sz w:val="22"/>
                <w:szCs w:val="22"/>
              </w:rPr>
            </w:pPr>
            <w:r w:rsidRPr="00BB7428">
              <w:rPr>
                <w:sz w:val="22"/>
                <w:szCs w:val="22"/>
              </w:rPr>
              <w:t>86</w:t>
            </w:r>
          </w:p>
        </w:tc>
        <w:tc>
          <w:tcPr>
            <w:tcW w:w="1890" w:type="dxa"/>
            <w:tcBorders>
              <w:top w:val="nil"/>
              <w:left w:val="nil"/>
              <w:bottom w:val="nil"/>
              <w:right w:val="nil"/>
            </w:tcBorders>
            <w:shd w:val="clear" w:color="auto" w:fill="auto"/>
          </w:tcPr>
          <w:p w14:paraId="02014E94" w14:textId="77777777" w:rsidR="006732BD" w:rsidRPr="00BB7428" w:rsidRDefault="006732BD" w:rsidP="00CB3286">
            <w:pPr>
              <w:jc w:val="center"/>
              <w:rPr>
                <w:sz w:val="22"/>
                <w:szCs w:val="22"/>
              </w:rPr>
            </w:pPr>
            <w:r w:rsidRPr="00BB7428">
              <w:rPr>
                <w:sz w:val="22"/>
                <w:szCs w:val="22"/>
              </w:rPr>
              <w:t>33,439</w:t>
            </w:r>
          </w:p>
        </w:tc>
      </w:tr>
      <w:tr w:rsidR="006732BD" w:rsidRPr="00C57234" w14:paraId="339690CB" w14:textId="77777777" w:rsidTr="00321410">
        <w:trPr>
          <w:jc w:val="center"/>
        </w:trPr>
        <w:tc>
          <w:tcPr>
            <w:tcW w:w="1098" w:type="dxa"/>
            <w:tcBorders>
              <w:top w:val="nil"/>
              <w:left w:val="nil"/>
              <w:bottom w:val="nil"/>
              <w:right w:val="nil"/>
            </w:tcBorders>
            <w:shd w:val="clear" w:color="auto" w:fill="auto"/>
          </w:tcPr>
          <w:p w14:paraId="5D1DB5B8" w14:textId="77777777" w:rsidR="006732BD" w:rsidRPr="00BB7428" w:rsidRDefault="006732BD" w:rsidP="00CB3286">
            <w:pPr>
              <w:rPr>
                <w:sz w:val="22"/>
                <w:szCs w:val="22"/>
              </w:rPr>
            </w:pPr>
            <w:r w:rsidRPr="00BB7428">
              <w:rPr>
                <w:sz w:val="22"/>
                <w:szCs w:val="22"/>
              </w:rPr>
              <w:t>MD</w:t>
            </w:r>
          </w:p>
        </w:tc>
        <w:tc>
          <w:tcPr>
            <w:tcW w:w="1350" w:type="dxa"/>
            <w:tcBorders>
              <w:top w:val="nil"/>
              <w:left w:val="nil"/>
              <w:bottom w:val="nil"/>
              <w:right w:val="nil"/>
            </w:tcBorders>
            <w:shd w:val="clear" w:color="auto" w:fill="auto"/>
          </w:tcPr>
          <w:p w14:paraId="57D12B59" w14:textId="77777777" w:rsidR="006732BD" w:rsidRPr="00BB7428" w:rsidRDefault="006732BD" w:rsidP="00CB3286">
            <w:pPr>
              <w:jc w:val="center"/>
              <w:rPr>
                <w:sz w:val="22"/>
                <w:szCs w:val="22"/>
              </w:rPr>
            </w:pPr>
            <w:r w:rsidRPr="00BB7428">
              <w:rPr>
                <w:sz w:val="22"/>
                <w:szCs w:val="22"/>
              </w:rPr>
              <w:t>230</w:t>
            </w:r>
          </w:p>
        </w:tc>
        <w:tc>
          <w:tcPr>
            <w:tcW w:w="1800" w:type="dxa"/>
            <w:tcBorders>
              <w:top w:val="nil"/>
              <w:left w:val="nil"/>
              <w:bottom w:val="nil"/>
              <w:right w:val="nil"/>
            </w:tcBorders>
            <w:shd w:val="clear" w:color="auto" w:fill="auto"/>
          </w:tcPr>
          <w:p w14:paraId="0E78EC3F" w14:textId="77777777" w:rsidR="006732BD" w:rsidRPr="00BB7428" w:rsidRDefault="006732BD" w:rsidP="00CB3286">
            <w:pPr>
              <w:jc w:val="center"/>
              <w:rPr>
                <w:sz w:val="22"/>
                <w:szCs w:val="22"/>
              </w:rPr>
            </w:pPr>
            <w:r w:rsidRPr="00BB7428">
              <w:rPr>
                <w:sz w:val="22"/>
                <w:szCs w:val="22"/>
              </w:rPr>
              <w:t>28,487</w:t>
            </w:r>
          </w:p>
        </w:tc>
        <w:tc>
          <w:tcPr>
            <w:tcW w:w="1440" w:type="dxa"/>
            <w:tcBorders>
              <w:top w:val="nil"/>
              <w:left w:val="nil"/>
              <w:bottom w:val="nil"/>
              <w:right w:val="nil"/>
            </w:tcBorders>
            <w:shd w:val="clear" w:color="auto" w:fill="auto"/>
          </w:tcPr>
          <w:p w14:paraId="500BEA7A" w14:textId="77777777" w:rsidR="006732BD" w:rsidRPr="00BB7428" w:rsidRDefault="006732BD" w:rsidP="00CB3286">
            <w:pPr>
              <w:jc w:val="center"/>
              <w:rPr>
                <w:sz w:val="22"/>
                <w:szCs w:val="22"/>
              </w:rPr>
            </w:pPr>
            <w:r w:rsidRPr="00BB7428">
              <w:rPr>
                <w:sz w:val="22"/>
                <w:szCs w:val="22"/>
              </w:rPr>
              <w:t>124</w:t>
            </w:r>
          </w:p>
        </w:tc>
        <w:tc>
          <w:tcPr>
            <w:tcW w:w="1440" w:type="dxa"/>
            <w:tcBorders>
              <w:top w:val="nil"/>
              <w:left w:val="nil"/>
              <w:bottom w:val="nil"/>
              <w:right w:val="nil"/>
            </w:tcBorders>
            <w:shd w:val="clear" w:color="auto" w:fill="auto"/>
          </w:tcPr>
          <w:p w14:paraId="742F2FFF" w14:textId="77777777" w:rsidR="006732BD" w:rsidRPr="00BB7428" w:rsidRDefault="006732BD" w:rsidP="00CB3286">
            <w:pPr>
              <w:jc w:val="center"/>
              <w:rPr>
                <w:sz w:val="22"/>
                <w:szCs w:val="22"/>
              </w:rPr>
            </w:pPr>
            <w:r w:rsidRPr="00BB7428">
              <w:rPr>
                <w:sz w:val="22"/>
                <w:szCs w:val="22"/>
              </w:rPr>
              <w:t>86</w:t>
            </w:r>
          </w:p>
        </w:tc>
        <w:tc>
          <w:tcPr>
            <w:tcW w:w="1890" w:type="dxa"/>
            <w:tcBorders>
              <w:top w:val="nil"/>
              <w:left w:val="nil"/>
              <w:bottom w:val="nil"/>
              <w:right w:val="nil"/>
            </w:tcBorders>
            <w:shd w:val="clear" w:color="auto" w:fill="auto"/>
          </w:tcPr>
          <w:p w14:paraId="51513622" w14:textId="77777777" w:rsidR="006732BD" w:rsidRPr="00BB7428" w:rsidRDefault="006732BD" w:rsidP="00CB3286">
            <w:pPr>
              <w:jc w:val="center"/>
              <w:rPr>
                <w:sz w:val="22"/>
                <w:szCs w:val="22"/>
              </w:rPr>
            </w:pPr>
            <w:r w:rsidRPr="00BB7428">
              <w:rPr>
                <w:sz w:val="22"/>
                <w:szCs w:val="22"/>
              </w:rPr>
              <w:t>24,499</w:t>
            </w:r>
          </w:p>
        </w:tc>
      </w:tr>
      <w:tr w:rsidR="006732BD" w:rsidRPr="00C57234" w14:paraId="55C687CF" w14:textId="77777777" w:rsidTr="00321410">
        <w:trPr>
          <w:jc w:val="center"/>
        </w:trPr>
        <w:tc>
          <w:tcPr>
            <w:tcW w:w="1098" w:type="dxa"/>
            <w:tcBorders>
              <w:top w:val="nil"/>
              <w:left w:val="nil"/>
              <w:bottom w:val="nil"/>
              <w:right w:val="nil"/>
            </w:tcBorders>
            <w:shd w:val="clear" w:color="auto" w:fill="auto"/>
          </w:tcPr>
          <w:p w14:paraId="323D7870" w14:textId="77777777" w:rsidR="006732BD" w:rsidRPr="00BB7428" w:rsidRDefault="006732BD" w:rsidP="00CB3286">
            <w:pPr>
              <w:rPr>
                <w:sz w:val="22"/>
                <w:szCs w:val="22"/>
              </w:rPr>
            </w:pPr>
            <w:r w:rsidRPr="00BB7428">
              <w:rPr>
                <w:sz w:val="22"/>
                <w:szCs w:val="22"/>
              </w:rPr>
              <w:t>MN</w:t>
            </w:r>
          </w:p>
        </w:tc>
        <w:tc>
          <w:tcPr>
            <w:tcW w:w="1350" w:type="dxa"/>
            <w:tcBorders>
              <w:top w:val="nil"/>
              <w:left w:val="nil"/>
              <w:bottom w:val="nil"/>
              <w:right w:val="nil"/>
            </w:tcBorders>
            <w:shd w:val="clear" w:color="auto" w:fill="auto"/>
          </w:tcPr>
          <w:p w14:paraId="7B423F78" w14:textId="77777777" w:rsidR="006732BD" w:rsidRPr="00BB7428" w:rsidRDefault="006732BD" w:rsidP="00CB3286">
            <w:pPr>
              <w:jc w:val="center"/>
              <w:rPr>
                <w:sz w:val="22"/>
                <w:szCs w:val="22"/>
              </w:rPr>
            </w:pPr>
            <w:r w:rsidRPr="00BB7428">
              <w:rPr>
                <w:sz w:val="22"/>
                <w:szCs w:val="22"/>
              </w:rPr>
              <w:t>380</w:t>
            </w:r>
          </w:p>
        </w:tc>
        <w:tc>
          <w:tcPr>
            <w:tcW w:w="1800" w:type="dxa"/>
            <w:tcBorders>
              <w:top w:val="nil"/>
              <w:left w:val="nil"/>
              <w:bottom w:val="nil"/>
              <w:right w:val="nil"/>
            </w:tcBorders>
            <w:shd w:val="clear" w:color="auto" w:fill="auto"/>
          </w:tcPr>
          <w:p w14:paraId="3789D62E" w14:textId="77777777" w:rsidR="006732BD" w:rsidRPr="00BB7428" w:rsidRDefault="006732BD" w:rsidP="00CB3286">
            <w:pPr>
              <w:jc w:val="center"/>
              <w:rPr>
                <w:sz w:val="22"/>
                <w:szCs w:val="22"/>
              </w:rPr>
            </w:pPr>
            <w:r w:rsidRPr="00BB7428">
              <w:rPr>
                <w:sz w:val="22"/>
                <w:szCs w:val="22"/>
              </w:rPr>
              <w:t>30,405</w:t>
            </w:r>
          </w:p>
        </w:tc>
        <w:tc>
          <w:tcPr>
            <w:tcW w:w="1440" w:type="dxa"/>
            <w:tcBorders>
              <w:top w:val="nil"/>
              <w:left w:val="nil"/>
              <w:bottom w:val="nil"/>
              <w:right w:val="nil"/>
            </w:tcBorders>
            <w:shd w:val="clear" w:color="auto" w:fill="auto"/>
          </w:tcPr>
          <w:p w14:paraId="3DEA78A7" w14:textId="77777777" w:rsidR="006732BD" w:rsidRPr="00BB7428" w:rsidRDefault="006732BD" w:rsidP="00CB3286">
            <w:pPr>
              <w:jc w:val="center"/>
              <w:rPr>
                <w:sz w:val="22"/>
                <w:szCs w:val="22"/>
              </w:rPr>
            </w:pPr>
            <w:r w:rsidRPr="00BB7428">
              <w:rPr>
                <w:sz w:val="22"/>
                <w:szCs w:val="22"/>
              </w:rPr>
              <w:t>80</w:t>
            </w:r>
          </w:p>
        </w:tc>
        <w:tc>
          <w:tcPr>
            <w:tcW w:w="1440" w:type="dxa"/>
            <w:tcBorders>
              <w:top w:val="nil"/>
              <w:left w:val="nil"/>
              <w:bottom w:val="nil"/>
              <w:right w:val="nil"/>
            </w:tcBorders>
            <w:shd w:val="clear" w:color="auto" w:fill="auto"/>
          </w:tcPr>
          <w:p w14:paraId="6723859E" w14:textId="77777777" w:rsidR="006732BD" w:rsidRPr="00BB7428" w:rsidRDefault="006732BD" w:rsidP="00CB3286">
            <w:pPr>
              <w:jc w:val="center"/>
              <w:rPr>
                <w:sz w:val="22"/>
                <w:szCs w:val="22"/>
              </w:rPr>
            </w:pPr>
            <w:r w:rsidRPr="00BB7428">
              <w:rPr>
                <w:sz w:val="22"/>
                <w:szCs w:val="22"/>
              </w:rPr>
              <w:t>89</w:t>
            </w:r>
          </w:p>
        </w:tc>
        <w:tc>
          <w:tcPr>
            <w:tcW w:w="1890" w:type="dxa"/>
            <w:tcBorders>
              <w:top w:val="nil"/>
              <w:left w:val="nil"/>
              <w:bottom w:val="nil"/>
              <w:right w:val="nil"/>
            </w:tcBorders>
            <w:shd w:val="clear" w:color="auto" w:fill="auto"/>
          </w:tcPr>
          <w:p w14:paraId="58C9EE44" w14:textId="77777777" w:rsidR="006732BD" w:rsidRPr="00BB7428" w:rsidRDefault="006732BD" w:rsidP="00CB3286">
            <w:pPr>
              <w:jc w:val="center"/>
              <w:rPr>
                <w:sz w:val="22"/>
                <w:szCs w:val="22"/>
              </w:rPr>
            </w:pPr>
            <w:r w:rsidRPr="00BB7428">
              <w:rPr>
                <w:sz w:val="22"/>
                <w:szCs w:val="22"/>
              </w:rPr>
              <w:t>27,060</w:t>
            </w:r>
          </w:p>
        </w:tc>
      </w:tr>
      <w:tr w:rsidR="006732BD" w:rsidRPr="00C57234" w14:paraId="1E54235A" w14:textId="77777777" w:rsidTr="00321410">
        <w:trPr>
          <w:jc w:val="center"/>
        </w:trPr>
        <w:tc>
          <w:tcPr>
            <w:tcW w:w="1098" w:type="dxa"/>
            <w:tcBorders>
              <w:top w:val="nil"/>
              <w:left w:val="nil"/>
              <w:bottom w:val="nil"/>
              <w:right w:val="nil"/>
            </w:tcBorders>
            <w:shd w:val="clear" w:color="auto" w:fill="auto"/>
          </w:tcPr>
          <w:p w14:paraId="3C54F9A0" w14:textId="77777777" w:rsidR="006732BD" w:rsidRPr="00BB7428" w:rsidRDefault="006732BD" w:rsidP="00CB3286">
            <w:pPr>
              <w:rPr>
                <w:sz w:val="22"/>
                <w:szCs w:val="22"/>
              </w:rPr>
            </w:pPr>
            <w:r w:rsidRPr="00BB7428">
              <w:rPr>
                <w:sz w:val="22"/>
                <w:szCs w:val="22"/>
              </w:rPr>
              <w:t>NM</w:t>
            </w:r>
          </w:p>
        </w:tc>
        <w:tc>
          <w:tcPr>
            <w:tcW w:w="1350" w:type="dxa"/>
            <w:tcBorders>
              <w:top w:val="nil"/>
              <w:left w:val="nil"/>
              <w:bottom w:val="nil"/>
              <w:right w:val="nil"/>
            </w:tcBorders>
            <w:shd w:val="clear" w:color="auto" w:fill="auto"/>
          </w:tcPr>
          <w:p w14:paraId="22F93868" w14:textId="77777777" w:rsidR="006732BD" w:rsidRPr="00BB7428" w:rsidRDefault="006732BD" w:rsidP="00CB3286">
            <w:pPr>
              <w:jc w:val="center"/>
              <w:rPr>
                <w:sz w:val="22"/>
                <w:szCs w:val="22"/>
              </w:rPr>
            </w:pPr>
            <w:r w:rsidRPr="00BB7428">
              <w:rPr>
                <w:sz w:val="22"/>
                <w:szCs w:val="22"/>
              </w:rPr>
              <w:t>71</w:t>
            </w:r>
          </w:p>
        </w:tc>
        <w:tc>
          <w:tcPr>
            <w:tcW w:w="1800" w:type="dxa"/>
            <w:tcBorders>
              <w:top w:val="nil"/>
              <w:left w:val="nil"/>
              <w:bottom w:val="nil"/>
              <w:right w:val="nil"/>
            </w:tcBorders>
            <w:shd w:val="clear" w:color="auto" w:fill="auto"/>
          </w:tcPr>
          <w:p w14:paraId="4DF5B9FC" w14:textId="77777777" w:rsidR="006732BD" w:rsidRPr="00BB7428" w:rsidRDefault="006732BD" w:rsidP="00CB3286">
            <w:pPr>
              <w:jc w:val="center"/>
              <w:rPr>
                <w:sz w:val="22"/>
                <w:szCs w:val="22"/>
              </w:rPr>
            </w:pPr>
            <w:r w:rsidRPr="00BB7428">
              <w:rPr>
                <w:sz w:val="22"/>
                <w:szCs w:val="22"/>
              </w:rPr>
              <w:t>6,716</w:t>
            </w:r>
          </w:p>
        </w:tc>
        <w:tc>
          <w:tcPr>
            <w:tcW w:w="1440" w:type="dxa"/>
            <w:tcBorders>
              <w:top w:val="nil"/>
              <w:left w:val="nil"/>
              <w:bottom w:val="nil"/>
              <w:right w:val="nil"/>
            </w:tcBorders>
            <w:shd w:val="clear" w:color="auto" w:fill="auto"/>
          </w:tcPr>
          <w:p w14:paraId="66ECC7F8" w14:textId="77777777" w:rsidR="006732BD" w:rsidRPr="00BB7428" w:rsidRDefault="006732BD" w:rsidP="00CB3286">
            <w:pPr>
              <w:jc w:val="center"/>
              <w:rPr>
                <w:sz w:val="22"/>
                <w:szCs w:val="22"/>
              </w:rPr>
            </w:pPr>
            <w:r w:rsidRPr="00BB7428">
              <w:rPr>
                <w:sz w:val="22"/>
                <w:szCs w:val="22"/>
              </w:rPr>
              <w:t>95</w:t>
            </w:r>
          </w:p>
        </w:tc>
        <w:tc>
          <w:tcPr>
            <w:tcW w:w="1440" w:type="dxa"/>
            <w:tcBorders>
              <w:top w:val="nil"/>
              <w:left w:val="nil"/>
              <w:bottom w:val="nil"/>
              <w:right w:val="nil"/>
            </w:tcBorders>
            <w:shd w:val="clear" w:color="auto" w:fill="auto"/>
          </w:tcPr>
          <w:p w14:paraId="24C0639D" w14:textId="77777777" w:rsidR="006732BD" w:rsidRPr="00BB7428" w:rsidRDefault="006732BD" w:rsidP="00CB3286">
            <w:pPr>
              <w:jc w:val="center"/>
              <w:rPr>
                <w:sz w:val="22"/>
                <w:szCs w:val="22"/>
              </w:rPr>
            </w:pPr>
            <w:r w:rsidRPr="00BB7428">
              <w:rPr>
                <w:sz w:val="22"/>
                <w:szCs w:val="22"/>
              </w:rPr>
              <w:t>82</w:t>
            </w:r>
          </w:p>
        </w:tc>
        <w:tc>
          <w:tcPr>
            <w:tcW w:w="1890" w:type="dxa"/>
            <w:tcBorders>
              <w:top w:val="nil"/>
              <w:left w:val="nil"/>
              <w:bottom w:val="nil"/>
              <w:right w:val="nil"/>
            </w:tcBorders>
            <w:shd w:val="clear" w:color="auto" w:fill="auto"/>
          </w:tcPr>
          <w:p w14:paraId="03BA54CE" w14:textId="77777777" w:rsidR="006732BD" w:rsidRPr="00BB7428" w:rsidRDefault="006732BD" w:rsidP="00CB3286">
            <w:pPr>
              <w:jc w:val="center"/>
              <w:rPr>
                <w:sz w:val="22"/>
                <w:szCs w:val="22"/>
              </w:rPr>
            </w:pPr>
            <w:r w:rsidRPr="00BB7428">
              <w:rPr>
                <w:sz w:val="22"/>
                <w:szCs w:val="22"/>
              </w:rPr>
              <w:t>5,507</w:t>
            </w:r>
          </w:p>
        </w:tc>
      </w:tr>
      <w:tr w:rsidR="006732BD" w:rsidRPr="00C57234" w14:paraId="481976C6" w14:textId="77777777" w:rsidTr="00321410">
        <w:trPr>
          <w:jc w:val="center"/>
        </w:trPr>
        <w:tc>
          <w:tcPr>
            <w:tcW w:w="1098" w:type="dxa"/>
            <w:tcBorders>
              <w:top w:val="nil"/>
              <w:left w:val="nil"/>
              <w:bottom w:val="nil"/>
              <w:right w:val="nil"/>
            </w:tcBorders>
            <w:shd w:val="clear" w:color="auto" w:fill="auto"/>
          </w:tcPr>
          <w:p w14:paraId="1CDCF63C" w14:textId="77777777" w:rsidR="006732BD" w:rsidRPr="00BB7428" w:rsidRDefault="006732BD" w:rsidP="00CB3286">
            <w:pPr>
              <w:rPr>
                <w:sz w:val="22"/>
                <w:szCs w:val="22"/>
              </w:rPr>
            </w:pPr>
            <w:r w:rsidRPr="00BB7428">
              <w:rPr>
                <w:sz w:val="22"/>
                <w:szCs w:val="22"/>
              </w:rPr>
              <w:t>NY</w:t>
            </w:r>
          </w:p>
        </w:tc>
        <w:tc>
          <w:tcPr>
            <w:tcW w:w="1350" w:type="dxa"/>
            <w:tcBorders>
              <w:top w:val="nil"/>
              <w:left w:val="nil"/>
              <w:bottom w:val="nil"/>
              <w:right w:val="nil"/>
            </w:tcBorders>
            <w:shd w:val="clear" w:color="auto" w:fill="auto"/>
          </w:tcPr>
          <w:p w14:paraId="63DF1AA9" w14:textId="77777777" w:rsidR="006732BD" w:rsidRPr="00BB7428" w:rsidRDefault="006732BD" w:rsidP="00CB3286">
            <w:pPr>
              <w:jc w:val="center"/>
              <w:rPr>
                <w:sz w:val="22"/>
                <w:szCs w:val="22"/>
              </w:rPr>
            </w:pPr>
            <w:r w:rsidRPr="00BB7428">
              <w:rPr>
                <w:sz w:val="22"/>
                <w:szCs w:val="22"/>
              </w:rPr>
              <w:t>631</w:t>
            </w:r>
          </w:p>
        </w:tc>
        <w:tc>
          <w:tcPr>
            <w:tcW w:w="1800" w:type="dxa"/>
            <w:tcBorders>
              <w:top w:val="nil"/>
              <w:left w:val="nil"/>
              <w:bottom w:val="nil"/>
              <w:right w:val="nil"/>
            </w:tcBorders>
            <w:shd w:val="clear" w:color="auto" w:fill="auto"/>
          </w:tcPr>
          <w:p w14:paraId="010EAE73" w14:textId="77777777" w:rsidR="006732BD" w:rsidRPr="00BB7428" w:rsidRDefault="006732BD" w:rsidP="00CB3286">
            <w:pPr>
              <w:jc w:val="center"/>
              <w:rPr>
                <w:sz w:val="22"/>
                <w:szCs w:val="22"/>
              </w:rPr>
            </w:pPr>
            <w:r w:rsidRPr="00BB7428">
              <w:rPr>
                <w:sz w:val="22"/>
                <w:szCs w:val="22"/>
              </w:rPr>
              <w:t>116,448</w:t>
            </w:r>
          </w:p>
        </w:tc>
        <w:tc>
          <w:tcPr>
            <w:tcW w:w="1440" w:type="dxa"/>
            <w:tcBorders>
              <w:top w:val="nil"/>
              <w:left w:val="nil"/>
              <w:bottom w:val="nil"/>
              <w:right w:val="nil"/>
            </w:tcBorders>
            <w:shd w:val="clear" w:color="auto" w:fill="auto"/>
          </w:tcPr>
          <w:p w14:paraId="2B471838" w14:textId="77777777" w:rsidR="006732BD" w:rsidRPr="00BB7428" w:rsidRDefault="006732BD" w:rsidP="00CB3286">
            <w:pPr>
              <w:jc w:val="center"/>
              <w:rPr>
                <w:sz w:val="22"/>
                <w:szCs w:val="22"/>
              </w:rPr>
            </w:pPr>
            <w:r w:rsidRPr="00BB7428">
              <w:rPr>
                <w:sz w:val="22"/>
                <w:szCs w:val="22"/>
              </w:rPr>
              <w:t>185</w:t>
            </w:r>
          </w:p>
        </w:tc>
        <w:tc>
          <w:tcPr>
            <w:tcW w:w="1440" w:type="dxa"/>
            <w:tcBorders>
              <w:top w:val="nil"/>
              <w:left w:val="nil"/>
              <w:bottom w:val="nil"/>
              <w:right w:val="nil"/>
            </w:tcBorders>
            <w:shd w:val="clear" w:color="auto" w:fill="auto"/>
          </w:tcPr>
          <w:p w14:paraId="6178D6CA" w14:textId="77777777" w:rsidR="006732BD" w:rsidRPr="00BB7428" w:rsidRDefault="006732BD" w:rsidP="00CB3286">
            <w:pPr>
              <w:jc w:val="center"/>
              <w:rPr>
                <w:sz w:val="22"/>
                <w:szCs w:val="22"/>
              </w:rPr>
            </w:pPr>
            <w:r w:rsidRPr="00BB7428">
              <w:rPr>
                <w:sz w:val="22"/>
                <w:szCs w:val="22"/>
              </w:rPr>
              <w:t>92</w:t>
            </w:r>
          </w:p>
        </w:tc>
        <w:tc>
          <w:tcPr>
            <w:tcW w:w="1890" w:type="dxa"/>
            <w:tcBorders>
              <w:top w:val="nil"/>
              <w:left w:val="nil"/>
              <w:bottom w:val="nil"/>
              <w:right w:val="nil"/>
            </w:tcBorders>
            <w:shd w:val="clear" w:color="auto" w:fill="auto"/>
          </w:tcPr>
          <w:p w14:paraId="73D4DC6F" w14:textId="77777777" w:rsidR="006732BD" w:rsidRPr="00BB7428" w:rsidRDefault="006732BD" w:rsidP="00CB3286">
            <w:pPr>
              <w:jc w:val="center"/>
              <w:rPr>
                <w:sz w:val="22"/>
                <w:szCs w:val="22"/>
              </w:rPr>
            </w:pPr>
            <w:r w:rsidRPr="00BB7428">
              <w:rPr>
                <w:sz w:val="22"/>
                <w:szCs w:val="22"/>
              </w:rPr>
              <w:t>107,132</w:t>
            </w:r>
          </w:p>
        </w:tc>
      </w:tr>
      <w:tr w:rsidR="006732BD" w:rsidRPr="00C57234" w14:paraId="0D44E752" w14:textId="77777777" w:rsidTr="00321410">
        <w:trPr>
          <w:jc w:val="center"/>
        </w:trPr>
        <w:tc>
          <w:tcPr>
            <w:tcW w:w="1098" w:type="dxa"/>
            <w:tcBorders>
              <w:top w:val="nil"/>
              <w:left w:val="nil"/>
              <w:bottom w:val="nil"/>
              <w:right w:val="nil"/>
            </w:tcBorders>
            <w:shd w:val="clear" w:color="auto" w:fill="auto"/>
          </w:tcPr>
          <w:p w14:paraId="13EE6BDD" w14:textId="77777777" w:rsidR="006732BD" w:rsidRPr="00BB7428" w:rsidRDefault="006732BD" w:rsidP="00CB3286">
            <w:pPr>
              <w:rPr>
                <w:sz w:val="22"/>
                <w:szCs w:val="22"/>
              </w:rPr>
            </w:pPr>
            <w:r w:rsidRPr="00BB7428">
              <w:rPr>
                <w:sz w:val="22"/>
                <w:szCs w:val="22"/>
              </w:rPr>
              <w:t>OR</w:t>
            </w:r>
          </w:p>
        </w:tc>
        <w:tc>
          <w:tcPr>
            <w:tcW w:w="1350" w:type="dxa"/>
            <w:tcBorders>
              <w:top w:val="nil"/>
              <w:left w:val="nil"/>
              <w:bottom w:val="nil"/>
              <w:right w:val="nil"/>
            </w:tcBorders>
            <w:shd w:val="clear" w:color="auto" w:fill="auto"/>
          </w:tcPr>
          <w:p w14:paraId="3CACC046" w14:textId="77777777" w:rsidR="006732BD" w:rsidRPr="00BB7428" w:rsidRDefault="006732BD" w:rsidP="00CB3286">
            <w:pPr>
              <w:jc w:val="center"/>
              <w:rPr>
                <w:sz w:val="22"/>
                <w:szCs w:val="22"/>
              </w:rPr>
            </w:pPr>
            <w:r w:rsidRPr="00BB7428">
              <w:rPr>
                <w:sz w:val="22"/>
                <w:szCs w:val="22"/>
              </w:rPr>
              <w:t>138</w:t>
            </w:r>
          </w:p>
        </w:tc>
        <w:tc>
          <w:tcPr>
            <w:tcW w:w="1800" w:type="dxa"/>
            <w:tcBorders>
              <w:top w:val="nil"/>
              <w:left w:val="nil"/>
              <w:bottom w:val="nil"/>
              <w:right w:val="nil"/>
            </w:tcBorders>
            <w:shd w:val="clear" w:color="auto" w:fill="auto"/>
          </w:tcPr>
          <w:p w14:paraId="4A58FFBE" w14:textId="77777777" w:rsidR="006732BD" w:rsidRPr="00BB7428" w:rsidRDefault="006732BD" w:rsidP="00CB3286">
            <w:pPr>
              <w:jc w:val="center"/>
              <w:rPr>
                <w:sz w:val="22"/>
                <w:szCs w:val="22"/>
              </w:rPr>
            </w:pPr>
            <w:r w:rsidRPr="00BB7428">
              <w:rPr>
                <w:sz w:val="22"/>
                <w:szCs w:val="22"/>
              </w:rPr>
              <w:t>12,276</w:t>
            </w:r>
          </w:p>
        </w:tc>
        <w:tc>
          <w:tcPr>
            <w:tcW w:w="1440" w:type="dxa"/>
            <w:tcBorders>
              <w:top w:val="nil"/>
              <w:left w:val="nil"/>
              <w:bottom w:val="nil"/>
              <w:right w:val="nil"/>
            </w:tcBorders>
            <w:shd w:val="clear" w:color="auto" w:fill="auto"/>
          </w:tcPr>
          <w:p w14:paraId="5357EC59" w14:textId="77777777" w:rsidR="006732BD" w:rsidRPr="00BB7428" w:rsidRDefault="006732BD" w:rsidP="00CB3286">
            <w:pPr>
              <w:jc w:val="center"/>
              <w:rPr>
                <w:sz w:val="22"/>
                <w:szCs w:val="22"/>
              </w:rPr>
            </w:pPr>
            <w:r w:rsidRPr="00BB7428">
              <w:rPr>
                <w:sz w:val="22"/>
                <w:szCs w:val="22"/>
              </w:rPr>
              <w:t>89</w:t>
            </w:r>
          </w:p>
        </w:tc>
        <w:tc>
          <w:tcPr>
            <w:tcW w:w="1440" w:type="dxa"/>
            <w:tcBorders>
              <w:top w:val="nil"/>
              <w:left w:val="nil"/>
              <w:bottom w:val="nil"/>
              <w:right w:val="nil"/>
            </w:tcBorders>
            <w:shd w:val="clear" w:color="auto" w:fill="auto"/>
          </w:tcPr>
          <w:p w14:paraId="6F12E161" w14:textId="77777777" w:rsidR="006732BD" w:rsidRPr="00F2356D" w:rsidRDefault="006732BD" w:rsidP="00CB3286">
            <w:pPr>
              <w:jc w:val="center"/>
              <w:rPr>
                <w:sz w:val="22"/>
                <w:szCs w:val="22"/>
              </w:rPr>
            </w:pPr>
            <w:r w:rsidRPr="00F2356D">
              <w:rPr>
                <w:sz w:val="22"/>
                <w:szCs w:val="22"/>
              </w:rPr>
              <w:t>63</w:t>
            </w:r>
          </w:p>
        </w:tc>
        <w:tc>
          <w:tcPr>
            <w:tcW w:w="1890" w:type="dxa"/>
            <w:tcBorders>
              <w:top w:val="nil"/>
              <w:left w:val="nil"/>
              <w:bottom w:val="nil"/>
              <w:right w:val="nil"/>
            </w:tcBorders>
            <w:shd w:val="clear" w:color="auto" w:fill="auto"/>
          </w:tcPr>
          <w:p w14:paraId="425D3848" w14:textId="77777777" w:rsidR="006732BD" w:rsidRPr="00BB7428" w:rsidRDefault="006732BD" w:rsidP="00CB3286">
            <w:pPr>
              <w:jc w:val="center"/>
              <w:rPr>
                <w:sz w:val="22"/>
                <w:szCs w:val="22"/>
              </w:rPr>
            </w:pPr>
            <w:r w:rsidRPr="00BB7428">
              <w:rPr>
                <w:sz w:val="22"/>
                <w:szCs w:val="22"/>
              </w:rPr>
              <w:t>7,734</w:t>
            </w:r>
          </w:p>
        </w:tc>
      </w:tr>
      <w:tr w:rsidR="006732BD" w:rsidRPr="00C57234" w14:paraId="23FBDB4A" w14:textId="77777777" w:rsidTr="00321410">
        <w:trPr>
          <w:jc w:val="center"/>
        </w:trPr>
        <w:tc>
          <w:tcPr>
            <w:tcW w:w="1098" w:type="dxa"/>
            <w:tcBorders>
              <w:top w:val="nil"/>
              <w:left w:val="nil"/>
              <w:bottom w:val="single" w:sz="4" w:space="0" w:color="auto"/>
              <w:right w:val="nil"/>
            </w:tcBorders>
            <w:shd w:val="clear" w:color="auto" w:fill="auto"/>
          </w:tcPr>
          <w:p w14:paraId="276ADB01" w14:textId="77777777" w:rsidR="006732BD" w:rsidRPr="00BB7428" w:rsidRDefault="006732BD" w:rsidP="00CB3286">
            <w:pPr>
              <w:rPr>
                <w:sz w:val="22"/>
                <w:szCs w:val="22"/>
              </w:rPr>
            </w:pPr>
            <w:r w:rsidRPr="00BB7428">
              <w:rPr>
                <w:sz w:val="22"/>
                <w:szCs w:val="22"/>
              </w:rPr>
              <w:t>TN</w:t>
            </w:r>
          </w:p>
        </w:tc>
        <w:tc>
          <w:tcPr>
            <w:tcW w:w="1350" w:type="dxa"/>
            <w:tcBorders>
              <w:top w:val="nil"/>
              <w:left w:val="nil"/>
              <w:bottom w:val="single" w:sz="4" w:space="0" w:color="auto"/>
              <w:right w:val="nil"/>
            </w:tcBorders>
            <w:shd w:val="clear" w:color="auto" w:fill="auto"/>
          </w:tcPr>
          <w:p w14:paraId="49608144" w14:textId="77777777" w:rsidR="006732BD" w:rsidRPr="00BB7428" w:rsidRDefault="006732BD" w:rsidP="00CB3286">
            <w:pPr>
              <w:jc w:val="center"/>
              <w:rPr>
                <w:sz w:val="22"/>
                <w:szCs w:val="22"/>
              </w:rPr>
            </w:pPr>
            <w:r w:rsidRPr="00BB7428">
              <w:rPr>
                <w:sz w:val="22"/>
                <w:szCs w:val="22"/>
              </w:rPr>
              <w:t>320</w:t>
            </w:r>
          </w:p>
        </w:tc>
        <w:tc>
          <w:tcPr>
            <w:tcW w:w="1800" w:type="dxa"/>
            <w:tcBorders>
              <w:top w:val="nil"/>
              <w:left w:val="nil"/>
              <w:bottom w:val="single" w:sz="4" w:space="0" w:color="auto"/>
              <w:right w:val="nil"/>
            </w:tcBorders>
            <w:shd w:val="clear" w:color="auto" w:fill="auto"/>
          </w:tcPr>
          <w:p w14:paraId="164BE79F" w14:textId="77777777" w:rsidR="006732BD" w:rsidRPr="00BB7428" w:rsidRDefault="006732BD" w:rsidP="00CB3286">
            <w:pPr>
              <w:jc w:val="center"/>
              <w:rPr>
                <w:sz w:val="22"/>
                <w:szCs w:val="22"/>
              </w:rPr>
            </w:pPr>
            <w:r w:rsidRPr="00BB7428">
              <w:rPr>
                <w:sz w:val="22"/>
                <w:szCs w:val="22"/>
              </w:rPr>
              <w:t>37,104</w:t>
            </w:r>
          </w:p>
        </w:tc>
        <w:tc>
          <w:tcPr>
            <w:tcW w:w="1440" w:type="dxa"/>
            <w:tcBorders>
              <w:top w:val="nil"/>
              <w:left w:val="nil"/>
              <w:bottom w:val="single" w:sz="4" w:space="0" w:color="auto"/>
              <w:right w:val="nil"/>
            </w:tcBorders>
            <w:shd w:val="clear" w:color="auto" w:fill="auto"/>
          </w:tcPr>
          <w:p w14:paraId="79017109" w14:textId="77777777" w:rsidR="006732BD" w:rsidRPr="00BB7428" w:rsidRDefault="006732BD" w:rsidP="00CB3286">
            <w:pPr>
              <w:jc w:val="center"/>
              <w:rPr>
                <w:sz w:val="22"/>
                <w:szCs w:val="22"/>
              </w:rPr>
            </w:pPr>
            <w:r w:rsidRPr="00BB7428">
              <w:rPr>
                <w:sz w:val="22"/>
                <w:szCs w:val="22"/>
              </w:rPr>
              <w:t>116</w:t>
            </w:r>
          </w:p>
        </w:tc>
        <w:tc>
          <w:tcPr>
            <w:tcW w:w="1440" w:type="dxa"/>
            <w:tcBorders>
              <w:top w:val="nil"/>
              <w:left w:val="nil"/>
              <w:bottom w:val="single" w:sz="4" w:space="0" w:color="auto"/>
              <w:right w:val="nil"/>
            </w:tcBorders>
            <w:shd w:val="clear" w:color="auto" w:fill="auto"/>
          </w:tcPr>
          <w:p w14:paraId="475A61E7" w14:textId="77777777" w:rsidR="006732BD" w:rsidRPr="00BB7428" w:rsidRDefault="006732BD" w:rsidP="00CB3286">
            <w:pPr>
              <w:jc w:val="center"/>
              <w:rPr>
                <w:sz w:val="22"/>
                <w:szCs w:val="22"/>
              </w:rPr>
            </w:pPr>
            <w:r w:rsidRPr="00BB7428">
              <w:rPr>
                <w:sz w:val="22"/>
                <w:szCs w:val="22"/>
              </w:rPr>
              <w:t>84</w:t>
            </w:r>
          </w:p>
        </w:tc>
        <w:tc>
          <w:tcPr>
            <w:tcW w:w="1890" w:type="dxa"/>
            <w:tcBorders>
              <w:top w:val="nil"/>
              <w:left w:val="nil"/>
              <w:bottom w:val="single" w:sz="4" w:space="0" w:color="auto"/>
              <w:right w:val="nil"/>
            </w:tcBorders>
            <w:shd w:val="clear" w:color="auto" w:fill="auto"/>
          </w:tcPr>
          <w:p w14:paraId="716AA9AA" w14:textId="77777777" w:rsidR="006732BD" w:rsidRPr="00BB7428" w:rsidRDefault="006732BD" w:rsidP="00CB3286">
            <w:pPr>
              <w:jc w:val="center"/>
              <w:rPr>
                <w:sz w:val="22"/>
                <w:szCs w:val="22"/>
              </w:rPr>
            </w:pPr>
            <w:r w:rsidRPr="00BB7428">
              <w:rPr>
                <w:sz w:val="22"/>
                <w:szCs w:val="22"/>
              </w:rPr>
              <w:t>31,167</w:t>
            </w:r>
          </w:p>
        </w:tc>
      </w:tr>
      <w:tr w:rsidR="006732BD" w:rsidRPr="00C57234" w14:paraId="0090DFAB" w14:textId="77777777" w:rsidTr="00321410">
        <w:trPr>
          <w:jc w:val="center"/>
        </w:trPr>
        <w:tc>
          <w:tcPr>
            <w:tcW w:w="1098" w:type="dxa"/>
            <w:tcBorders>
              <w:top w:val="single" w:sz="4" w:space="0" w:color="auto"/>
              <w:left w:val="nil"/>
              <w:bottom w:val="single" w:sz="4" w:space="0" w:color="auto"/>
              <w:right w:val="nil"/>
            </w:tcBorders>
            <w:shd w:val="clear" w:color="auto" w:fill="auto"/>
          </w:tcPr>
          <w:p w14:paraId="10187B87" w14:textId="77777777" w:rsidR="006732BD" w:rsidRPr="00BB7428" w:rsidRDefault="006732BD" w:rsidP="00CB3286">
            <w:pPr>
              <w:rPr>
                <w:i/>
                <w:sz w:val="22"/>
                <w:szCs w:val="22"/>
              </w:rPr>
            </w:pPr>
            <w:r w:rsidRPr="00BB7428">
              <w:rPr>
                <w:i/>
                <w:sz w:val="22"/>
                <w:szCs w:val="22"/>
              </w:rPr>
              <w:t>EIP Total</w:t>
            </w:r>
          </w:p>
        </w:tc>
        <w:tc>
          <w:tcPr>
            <w:tcW w:w="1350" w:type="dxa"/>
            <w:tcBorders>
              <w:top w:val="single" w:sz="4" w:space="0" w:color="auto"/>
              <w:left w:val="nil"/>
              <w:bottom w:val="single" w:sz="4" w:space="0" w:color="auto"/>
              <w:right w:val="nil"/>
            </w:tcBorders>
            <w:shd w:val="clear" w:color="auto" w:fill="auto"/>
          </w:tcPr>
          <w:p w14:paraId="1647B520" w14:textId="77777777" w:rsidR="006732BD" w:rsidRPr="00BB7428" w:rsidRDefault="006732BD" w:rsidP="00CB3286">
            <w:pPr>
              <w:jc w:val="center"/>
              <w:rPr>
                <w:i/>
                <w:sz w:val="22"/>
                <w:szCs w:val="22"/>
              </w:rPr>
            </w:pPr>
            <w:r w:rsidRPr="00BB7428">
              <w:rPr>
                <w:i/>
                <w:sz w:val="22"/>
                <w:szCs w:val="22"/>
              </w:rPr>
              <w:t>3,796</w:t>
            </w:r>
          </w:p>
        </w:tc>
        <w:tc>
          <w:tcPr>
            <w:tcW w:w="1800" w:type="dxa"/>
            <w:tcBorders>
              <w:top w:val="single" w:sz="4" w:space="0" w:color="auto"/>
              <w:left w:val="nil"/>
              <w:bottom w:val="single" w:sz="4" w:space="0" w:color="auto"/>
              <w:right w:val="nil"/>
            </w:tcBorders>
            <w:shd w:val="clear" w:color="auto" w:fill="auto"/>
          </w:tcPr>
          <w:p w14:paraId="57FC4040" w14:textId="77777777" w:rsidR="006732BD" w:rsidRPr="00BB7428" w:rsidRDefault="006732BD" w:rsidP="00CB3286">
            <w:pPr>
              <w:jc w:val="center"/>
              <w:rPr>
                <w:i/>
                <w:sz w:val="22"/>
                <w:szCs w:val="22"/>
              </w:rPr>
            </w:pPr>
            <w:r w:rsidRPr="00BB7428">
              <w:rPr>
                <w:i/>
                <w:sz w:val="22"/>
                <w:szCs w:val="22"/>
              </w:rPr>
              <w:t>439,912</w:t>
            </w:r>
          </w:p>
        </w:tc>
        <w:tc>
          <w:tcPr>
            <w:tcW w:w="1440" w:type="dxa"/>
            <w:tcBorders>
              <w:top w:val="single" w:sz="4" w:space="0" w:color="auto"/>
              <w:left w:val="nil"/>
              <w:bottom w:val="single" w:sz="4" w:space="0" w:color="auto"/>
              <w:right w:val="nil"/>
            </w:tcBorders>
            <w:shd w:val="clear" w:color="auto" w:fill="auto"/>
          </w:tcPr>
          <w:p w14:paraId="0339B6DD" w14:textId="77777777" w:rsidR="006732BD" w:rsidRPr="00BB7428" w:rsidRDefault="006732BD" w:rsidP="00CB3286">
            <w:pPr>
              <w:jc w:val="center"/>
              <w:rPr>
                <w:i/>
                <w:sz w:val="22"/>
                <w:szCs w:val="22"/>
              </w:rPr>
            </w:pPr>
            <w:r w:rsidRPr="00BB7428">
              <w:rPr>
                <w:i/>
                <w:sz w:val="22"/>
                <w:szCs w:val="22"/>
              </w:rPr>
              <w:t>116</w:t>
            </w:r>
          </w:p>
        </w:tc>
        <w:tc>
          <w:tcPr>
            <w:tcW w:w="1440" w:type="dxa"/>
            <w:tcBorders>
              <w:top w:val="single" w:sz="4" w:space="0" w:color="auto"/>
              <w:left w:val="nil"/>
              <w:bottom w:val="single" w:sz="4" w:space="0" w:color="auto"/>
              <w:right w:val="nil"/>
            </w:tcBorders>
            <w:shd w:val="clear" w:color="auto" w:fill="auto"/>
          </w:tcPr>
          <w:p w14:paraId="5828E711" w14:textId="77777777" w:rsidR="006732BD" w:rsidRPr="00BB7428" w:rsidRDefault="006732BD" w:rsidP="00CB3286">
            <w:pPr>
              <w:jc w:val="center"/>
              <w:rPr>
                <w:b/>
                <w:i/>
                <w:sz w:val="22"/>
                <w:szCs w:val="22"/>
              </w:rPr>
            </w:pPr>
            <w:r w:rsidRPr="00BB7428">
              <w:rPr>
                <w:b/>
                <w:i/>
                <w:sz w:val="22"/>
                <w:szCs w:val="22"/>
              </w:rPr>
              <w:t>--</w:t>
            </w:r>
          </w:p>
        </w:tc>
        <w:tc>
          <w:tcPr>
            <w:tcW w:w="1890" w:type="dxa"/>
            <w:tcBorders>
              <w:top w:val="single" w:sz="4" w:space="0" w:color="auto"/>
              <w:left w:val="nil"/>
              <w:bottom w:val="single" w:sz="4" w:space="0" w:color="auto"/>
              <w:right w:val="nil"/>
            </w:tcBorders>
            <w:shd w:val="clear" w:color="auto" w:fill="auto"/>
          </w:tcPr>
          <w:p w14:paraId="34356C84" w14:textId="77777777" w:rsidR="006732BD" w:rsidRPr="00BB7428" w:rsidRDefault="006732BD" w:rsidP="00CB3286">
            <w:pPr>
              <w:jc w:val="center"/>
              <w:rPr>
                <w:i/>
                <w:sz w:val="22"/>
                <w:szCs w:val="22"/>
              </w:rPr>
            </w:pPr>
            <w:r w:rsidRPr="00BB7428">
              <w:rPr>
                <w:i/>
                <w:sz w:val="22"/>
                <w:szCs w:val="22"/>
              </w:rPr>
              <w:t>382,077</w:t>
            </w:r>
          </w:p>
        </w:tc>
      </w:tr>
      <w:tr w:rsidR="006732BD" w:rsidRPr="00C57234" w14:paraId="54053EFF" w14:textId="77777777" w:rsidTr="00321410">
        <w:trPr>
          <w:jc w:val="center"/>
        </w:trPr>
        <w:tc>
          <w:tcPr>
            <w:tcW w:w="1098" w:type="dxa"/>
            <w:tcBorders>
              <w:top w:val="single" w:sz="4" w:space="0" w:color="auto"/>
              <w:left w:val="nil"/>
              <w:bottom w:val="single" w:sz="4" w:space="0" w:color="auto"/>
              <w:right w:val="nil"/>
            </w:tcBorders>
            <w:shd w:val="clear" w:color="auto" w:fill="auto"/>
          </w:tcPr>
          <w:p w14:paraId="50E1632F" w14:textId="77777777" w:rsidR="006732BD" w:rsidRPr="00BB7428" w:rsidRDefault="006732BD" w:rsidP="00CB3286">
            <w:pPr>
              <w:rPr>
                <w:sz w:val="22"/>
                <w:szCs w:val="22"/>
              </w:rPr>
            </w:pPr>
            <w:r w:rsidRPr="00BB7428">
              <w:rPr>
                <w:sz w:val="22"/>
                <w:szCs w:val="22"/>
              </w:rPr>
              <w:t>US Total</w:t>
            </w:r>
          </w:p>
        </w:tc>
        <w:tc>
          <w:tcPr>
            <w:tcW w:w="1350" w:type="dxa"/>
            <w:tcBorders>
              <w:top w:val="single" w:sz="4" w:space="0" w:color="auto"/>
              <w:left w:val="nil"/>
              <w:bottom w:val="single" w:sz="4" w:space="0" w:color="auto"/>
              <w:right w:val="nil"/>
            </w:tcBorders>
            <w:shd w:val="clear" w:color="auto" w:fill="auto"/>
          </w:tcPr>
          <w:p w14:paraId="71A6E787" w14:textId="77777777" w:rsidR="006732BD" w:rsidRPr="00BB7428" w:rsidRDefault="006732BD" w:rsidP="00CB3286">
            <w:pPr>
              <w:jc w:val="center"/>
              <w:rPr>
                <w:sz w:val="22"/>
                <w:szCs w:val="22"/>
              </w:rPr>
            </w:pPr>
            <w:r w:rsidRPr="00BB7428">
              <w:rPr>
                <w:sz w:val="22"/>
                <w:szCs w:val="22"/>
              </w:rPr>
              <w:t>15,663</w:t>
            </w:r>
          </w:p>
        </w:tc>
        <w:tc>
          <w:tcPr>
            <w:tcW w:w="1800" w:type="dxa"/>
            <w:tcBorders>
              <w:top w:val="single" w:sz="4" w:space="0" w:color="auto"/>
              <w:left w:val="nil"/>
              <w:bottom w:val="single" w:sz="4" w:space="0" w:color="auto"/>
              <w:right w:val="nil"/>
            </w:tcBorders>
            <w:shd w:val="clear" w:color="auto" w:fill="auto"/>
          </w:tcPr>
          <w:p w14:paraId="2B0D091A" w14:textId="77777777" w:rsidR="006732BD" w:rsidRPr="00BB7428" w:rsidRDefault="006732BD" w:rsidP="00CB3286">
            <w:pPr>
              <w:jc w:val="center"/>
              <w:rPr>
                <w:sz w:val="22"/>
                <w:szCs w:val="22"/>
              </w:rPr>
            </w:pPr>
            <w:r w:rsidRPr="00BB7428">
              <w:rPr>
                <w:sz w:val="22"/>
                <w:szCs w:val="22"/>
              </w:rPr>
              <w:t>1,697,484</w:t>
            </w:r>
          </w:p>
        </w:tc>
        <w:tc>
          <w:tcPr>
            <w:tcW w:w="1440" w:type="dxa"/>
            <w:tcBorders>
              <w:top w:val="single" w:sz="4" w:space="0" w:color="auto"/>
              <w:left w:val="nil"/>
              <w:bottom w:val="single" w:sz="4" w:space="0" w:color="auto"/>
              <w:right w:val="nil"/>
            </w:tcBorders>
            <w:shd w:val="clear" w:color="auto" w:fill="auto"/>
          </w:tcPr>
          <w:p w14:paraId="2E22E305" w14:textId="77777777" w:rsidR="006732BD" w:rsidRPr="00BB7428" w:rsidRDefault="006732BD" w:rsidP="00CB3286">
            <w:pPr>
              <w:jc w:val="center"/>
              <w:rPr>
                <w:sz w:val="22"/>
                <w:szCs w:val="22"/>
              </w:rPr>
            </w:pPr>
            <w:r w:rsidRPr="00BB7428">
              <w:rPr>
                <w:sz w:val="22"/>
                <w:szCs w:val="22"/>
              </w:rPr>
              <w:t>108</w:t>
            </w:r>
          </w:p>
        </w:tc>
        <w:tc>
          <w:tcPr>
            <w:tcW w:w="1440" w:type="dxa"/>
            <w:tcBorders>
              <w:top w:val="single" w:sz="4" w:space="0" w:color="auto"/>
              <w:left w:val="nil"/>
              <w:bottom w:val="single" w:sz="4" w:space="0" w:color="auto"/>
              <w:right w:val="nil"/>
            </w:tcBorders>
            <w:shd w:val="clear" w:color="auto" w:fill="auto"/>
          </w:tcPr>
          <w:p w14:paraId="0B6BEF9E" w14:textId="77777777" w:rsidR="006732BD" w:rsidRPr="00BB7428" w:rsidRDefault="006732BD" w:rsidP="00CB3286">
            <w:pPr>
              <w:jc w:val="center"/>
              <w:rPr>
                <w:sz w:val="22"/>
                <w:szCs w:val="22"/>
              </w:rPr>
            </w:pPr>
            <w:r w:rsidRPr="00BB7428">
              <w:rPr>
                <w:sz w:val="22"/>
                <w:szCs w:val="22"/>
              </w:rPr>
              <w:t>83</w:t>
            </w:r>
          </w:p>
        </w:tc>
        <w:tc>
          <w:tcPr>
            <w:tcW w:w="1890" w:type="dxa"/>
            <w:tcBorders>
              <w:top w:val="single" w:sz="4" w:space="0" w:color="auto"/>
              <w:left w:val="nil"/>
              <w:bottom w:val="single" w:sz="4" w:space="0" w:color="auto"/>
              <w:right w:val="nil"/>
            </w:tcBorders>
            <w:shd w:val="clear" w:color="auto" w:fill="auto"/>
          </w:tcPr>
          <w:p w14:paraId="46D427BC" w14:textId="77777777" w:rsidR="006732BD" w:rsidRPr="00BB7428" w:rsidRDefault="006732BD" w:rsidP="00CB3286">
            <w:pPr>
              <w:jc w:val="center"/>
              <w:rPr>
                <w:color w:val="000000"/>
                <w:sz w:val="22"/>
                <w:szCs w:val="22"/>
              </w:rPr>
            </w:pPr>
            <w:r w:rsidRPr="00BB7428">
              <w:rPr>
                <w:color w:val="000000"/>
                <w:sz w:val="22"/>
                <w:szCs w:val="22"/>
              </w:rPr>
              <w:t>1,408,912</w:t>
            </w:r>
          </w:p>
        </w:tc>
      </w:tr>
      <w:tr w:rsidR="006732BD" w:rsidRPr="00C57234" w14:paraId="0EA97ECD" w14:textId="77777777" w:rsidTr="00321410">
        <w:trPr>
          <w:jc w:val="center"/>
        </w:trPr>
        <w:tc>
          <w:tcPr>
            <w:tcW w:w="9018" w:type="dxa"/>
            <w:gridSpan w:val="6"/>
            <w:tcBorders>
              <w:top w:val="single" w:sz="4" w:space="0" w:color="auto"/>
              <w:left w:val="nil"/>
              <w:bottom w:val="nil"/>
              <w:right w:val="nil"/>
            </w:tcBorders>
            <w:shd w:val="clear" w:color="auto" w:fill="auto"/>
          </w:tcPr>
          <w:p w14:paraId="684EA576" w14:textId="77777777" w:rsidR="006732BD" w:rsidRPr="00B81D0C" w:rsidRDefault="006732BD" w:rsidP="00CB3286">
            <w:pPr>
              <w:pStyle w:val="Caption"/>
              <w:rPr>
                <w:b w:val="0"/>
                <w:sz w:val="18"/>
                <w:szCs w:val="18"/>
              </w:rPr>
            </w:pPr>
            <w:r w:rsidRPr="00B81D0C">
              <w:rPr>
                <w:b w:val="0"/>
                <w:sz w:val="18"/>
                <w:szCs w:val="18"/>
              </w:rPr>
              <w:t xml:space="preserve">CMS Nursing Home data compendium, 2013. Available at  </w:t>
            </w:r>
            <w:hyperlink r:id="rId13" w:history="1">
              <w:r w:rsidRPr="00B81D0C">
                <w:rPr>
                  <w:rStyle w:val="Hyperlink"/>
                  <w:b w:val="0"/>
                  <w:sz w:val="18"/>
                  <w:szCs w:val="18"/>
                </w:rPr>
                <w:t>/www.cms.gov/Medicare/Provider-Enrollment-and Certification/CertificationandComplianc/downloads/nursinghomedatacompendium_508.pdf</w:t>
              </w:r>
            </w:hyperlink>
            <w:r w:rsidRPr="00B81D0C">
              <w:rPr>
                <w:b w:val="0"/>
                <w:sz w:val="18"/>
                <w:szCs w:val="18"/>
              </w:rPr>
              <w:t xml:space="preserve"> </w:t>
            </w:r>
          </w:p>
          <w:p w14:paraId="2C2E7E21" w14:textId="77777777" w:rsidR="006732BD" w:rsidRPr="006732BD" w:rsidRDefault="006732BD" w:rsidP="00CB3286">
            <w:pPr>
              <w:rPr>
                <w:sz w:val="22"/>
                <w:szCs w:val="22"/>
              </w:rPr>
            </w:pPr>
            <w:r w:rsidRPr="00B81D0C">
              <w:rPr>
                <w:sz w:val="18"/>
                <w:szCs w:val="18"/>
              </w:rPr>
              <w:t xml:space="preserve">National Center for Health Statistics. Health, United States, 2014: With Special Feature on Adults Aged 55–64. Hyattsville, MD. 2015. Available at: </w:t>
            </w:r>
            <w:hyperlink r:id="rId14" w:anchor="101" w:history="1">
              <w:r w:rsidRPr="00B81D0C">
                <w:rPr>
                  <w:rStyle w:val="Hyperlink"/>
                  <w:sz w:val="18"/>
                  <w:szCs w:val="18"/>
                </w:rPr>
                <w:t>www.cdc.gov/nchs/data/hus/hus14.pdf#101</w:t>
              </w:r>
            </w:hyperlink>
            <w:r w:rsidRPr="006732BD">
              <w:rPr>
                <w:sz w:val="22"/>
                <w:szCs w:val="22"/>
              </w:rPr>
              <w:t xml:space="preserve"> </w:t>
            </w:r>
          </w:p>
        </w:tc>
      </w:tr>
    </w:tbl>
    <w:p w14:paraId="24879EDA" w14:textId="77777777" w:rsidR="00463BA0" w:rsidRDefault="00463BA0" w:rsidP="00CB3286"/>
    <w:p w14:paraId="756F213C" w14:textId="3F25876B" w:rsidR="007C4035" w:rsidRDefault="00463BA0" w:rsidP="00CB3286">
      <w:r>
        <w:t>To generate a random sample of nursing home</w:t>
      </w:r>
      <w:r w:rsidR="00387E5C">
        <w:t>s</w:t>
      </w:r>
      <w:r>
        <w:t>, EIP staff will create a list of all CMS certified nursing homes in their catchment area, using information available from the CMS Nursing Home Compare website, to create a sampling frame.  The lists of nursing homes will be randomly sorted using a random number generator tool</w:t>
      </w:r>
      <w:r w:rsidR="00387E5C">
        <w:t>,</w:t>
      </w:r>
      <w:r>
        <w:t xml:space="preserve"> </w:t>
      </w:r>
      <w:r w:rsidR="00387E5C">
        <w:t xml:space="preserve">then </w:t>
      </w:r>
      <w:r>
        <w:t xml:space="preserve"> contacted</w:t>
      </w:r>
      <w:r w:rsidR="00387E5C">
        <w:t xml:space="preserve"> </w:t>
      </w:r>
      <w:r>
        <w:t xml:space="preserve">for participation in </w:t>
      </w:r>
      <w:r w:rsidR="00387E5C">
        <w:t xml:space="preserve">the random </w:t>
      </w:r>
      <w:r>
        <w:t xml:space="preserve">order until 20 participants are identified. </w:t>
      </w:r>
      <w:r w:rsidR="00711C01" w:rsidRPr="004D15D7">
        <w:t xml:space="preserve">EIP personnel will </w:t>
      </w:r>
      <w:r w:rsidR="001A42A1">
        <w:t xml:space="preserve">contact nursing home </w:t>
      </w:r>
      <w:r w:rsidR="00711C01">
        <w:t>to participate in the 201</w:t>
      </w:r>
      <w:r w:rsidR="00322CB2">
        <w:t>7</w:t>
      </w:r>
      <w:r w:rsidR="00711C01">
        <w:t xml:space="preserve"> data collection through</w:t>
      </w:r>
      <w:r w:rsidR="00387E5C">
        <w:t xml:space="preserve">, </w:t>
      </w:r>
      <w:r w:rsidR="00711C01">
        <w:t>email, telephone</w:t>
      </w:r>
      <w:r w:rsidR="002B4BAA">
        <w:t>,</w:t>
      </w:r>
      <w:r w:rsidR="00711C01">
        <w:t xml:space="preserve"> </w:t>
      </w:r>
      <w:r w:rsidR="00711C01" w:rsidRPr="004D15D7">
        <w:t>and in-person communications</w:t>
      </w:r>
      <w:r w:rsidR="00711C01">
        <w:t xml:space="preserve">. </w:t>
      </w:r>
      <w:r w:rsidR="00387E5C">
        <w:t>EIP site project staff will have up to four attempts to</w:t>
      </w:r>
      <w:r w:rsidR="002775C3">
        <w:t xml:space="preserve"> establish</w:t>
      </w:r>
      <w:r w:rsidR="00387E5C">
        <w:t xml:space="preserve"> contact with </w:t>
      </w:r>
      <w:r w:rsidR="002775C3">
        <w:t>a selected nursing home, a</w:t>
      </w:r>
      <w:r w:rsidR="00387E5C">
        <w:t xml:space="preserve">fter four attempts a nursing home will be </w:t>
      </w:r>
      <w:r w:rsidR="000B49FB">
        <w:t>considered</w:t>
      </w:r>
      <w:r w:rsidR="00387E5C">
        <w:t xml:space="preserve"> a non-responder, and the next nursing home on the list will be cont</w:t>
      </w:r>
      <w:r w:rsidR="001E5A72">
        <w:t>a</w:t>
      </w:r>
      <w:r w:rsidR="00387E5C">
        <w:t xml:space="preserve">cted. </w:t>
      </w:r>
      <w:r w:rsidR="00AC6E6D">
        <w:t>Nursing home p</w:t>
      </w:r>
      <w:r w:rsidR="00AC6E6D" w:rsidRPr="004D15D7">
        <w:t>articipati</w:t>
      </w:r>
      <w:r w:rsidR="00AC6E6D">
        <w:t xml:space="preserve">on in the 2017 survey is voluntary. </w:t>
      </w:r>
    </w:p>
    <w:p w14:paraId="435AF90D" w14:textId="77777777" w:rsidR="007C4035" w:rsidRDefault="007C4035" w:rsidP="00CB3286"/>
    <w:p w14:paraId="1411441D" w14:textId="00134AEA" w:rsidR="006B3587" w:rsidRDefault="003D75A5" w:rsidP="00CB3286">
      <w:r>
        <w:t>In the 201</w:t>
      </w:r>
      <w:r w:rsidR="00CB7881">
        <w:t>7</w:t>
      </w:r>
      <w:r>
        <w:t xml:space="preserve"> survey, d</w:t>
      </w:r>
      <w:r w:rsidR="00C3696A">
        <w:t xml:space="preserve">ata will be collected on </w:t>
      </w:r>
      <w:r w:rsidR="00CB7881">
        <w:t>all</w:t>
      </w:r>
      <w:r w:rsidR="00C3696A">
        <w:t xml:space="preserve"> eligible </w:t>
      </w:r>
      <w:r w:rsidR="00CB7881">
        <w:t>residents</w:t>
      </w:r>
      <w:r w:rsidR="00C3696A">
        <w:t xml:space="preserve"> in each participating </w:t>
      </w:r>
      <w:r w:rsidR="00CB7881">
        <w:t>nursing home</w:t>
      </w:r>
      <w:r w:rsidR="00C3696A">
        <w:t xml:space="preserve">. </w:t>
      </w:r>
      <w:r w:rsidR="00AC6E6D">
        <w:t>No sampling of nursing home residents will occur. Although, r</w:t>
      </w:r>
      <w:r w:rsidR="00CC1DF6">
        <w:t xml:space="preserve">esidents newly admitted to the nursing home (i.e., those who have not been residents for at least 24 hours) </w:t>
      </w:r>
      <w:r w:rsidR="00CC1DF6" w:rsidRPr="00286501">
        <w:t>will be excluded</w:t>
      </w:r>
      <w:r w:rsidR="00CC1DF6" w:rsidRPr="00246B21">
        <w:t>.</w:t>
      </w:r>
    </w:p>
    <w:p w14:paraId="34926738" w14:textId="77777777" w:rsidR="001C05B9" w:rsidRDefault="001C05B9" w:rsidP="00CB3286">
      <w:pPr>
        <w:ind w:left="720" w:hanging="720"/>
      </w:pPr>
    </w:p>
    <w:p w14:paraId="6F8EAA61" w14:textId="77777777" w:rsidR="00C3696A" w:rsidRPr="005333DC" w:rsidRDefault="00C3696A" w:rsidP="00CB3286">
      <w:pPr>
        <w:pStyle w:val="Heading2"/>
        <w:rPr>
          <w:rFonts w:ascii="Times New Roman" w:hAnsi="Times New Roman" w:cs="Times New Roman"/>
          <w:b/>
          <w:color w:val="auto"/>
          <w:sz w:val="24"/>
          <w:szCs w:val="24"/>
        </w:rPr>
      </w:pPr>
      <w:bookmarkStart w:id="2" w:name="_Toc444081154"/>
      <w:r w:rsidRPr="005333DC">
        <w:rPr>
          <w:rFonts w:ascii="Times New Roman" w:hAnsi="Times New Roman" w:cs="Times New Roman"/>
          <w:b/>
          <w:color w:val="auto"/>
          <w:sz w:val="24"/>
          <w:szCs w:val="24"/>
        </w:rPr>
        <w:t>2.   Procedures for the Collection of Information</w:t>
      </w:r>
      <w:bookmarkEnd w:id="2"/>
    </w:p>
    <w:p w14:paraId="4F2B3FAD" w14:textId="77777777" w:rsidR="0035332F" w:rsidRDefault="0035332F" w:rsidP="00CB3286">
      <w:pPr>
        <w:rPr>
          <w:b/>
        </w:rPr>
      </w:pPr>
    </w:p>
    <w:p w14:paraId="4936B42D" w14:textId="7F2DAD73" w:rsidR="006732BD" w:rsidRPr="006732BD" w:rsidRDefault="006732BD" w:rsidP="00CB3286">
      <w:r>
        <w:t xml:space="preserve">As described above, </w:t>
      </w:r>
      <w:r w:rsidR="007C4035">
        <w:t>nursing homes</w:t>
      </w:r>
      <w:r w:rsidR="00D43F10">
        <w:t xml:space="preserve"> will be selected </w:t>
      </w:r>
      <w:r w:rsidR="006911E3">
        <w:t>through a random sampling process</w:t>
      </w:r>
      <w:r w:rsidR="005A6206">
        <w:t xml:space="preserve">, and all </w:t>
      </w:r>
      <w:r w:rsidR="007C4035">
        <w:t>eligible</w:t>
      </w:r>
      <w:r>
        <w:t xml:space="preserve"> (i.e., </w:t>
      </w:r>
      <w:r w:rsidR="005A6206">
        <w:t>not newly admitted)</w:t>
      </w:r>
      <w:r w:rsidR="007C4035">
        <w:t xml:space="preserve"> residents </w:t>
      </w:r>
      <w:r w:rsidR="006911E3">
        <w:t xml:space="preserve">within participating facilities will be </w:t>
      </w:r>
      <w:r w:rsidR="007C4035">
        <w:t xml:space="preserve">included in </w:t>
      </w:r>
      <w:r w:rsidR="006911E3">
        <w:t xml:space="preserve">the survey. </w:t>
      </w:r>
      <w:r w:rsidR="003B5650">
        <w:t xml:space="preserve">  </w:t>
      </w:r>
      <w:r w:rsidRPr="006732BD">
        <w:t>The sample size formula for random samples can be used to estimate the number of residents targeted for inclusion in the survey across all EIP sites:</w:t>
      </w:r>
    </w:p>
    <w:p w14:paraId="52AB0481" w14:textId="77777777" w:rsidR="006732BD" w:rsidRPr="00C57234" w:rsidRDefault="003B5650" w:rsidP="00B81D0C">
      <w:pPr>
        <w:spacing w:line="360" w:lineRule="auto"/>
        <w:rPr>
          <w:rFonts w:ascii="Calibri" w:hAnsi="Calibri"/>
          <w:sz w:val="22"/>
          <w:szCs w:val="22"/>
        </w:rPr>
      </w:pPr>
      <w:r w:rsidRPr="006732BD">
        <w:rPr>
          <w:rFonts w:ascii="Calibri" w:hAnsi="Calibri"/>
          <w:b/>
          <w:noProof/>
          <w:sz w:val="22"/>
          <w:szCs w:val="22"/>
        </w:rPr>
        <mc:AlternateContent>
          <mc:Choice Requires="wps">
            <w:drawing>
              <wp:anchor distT="0" distB="0" distL="114300" distR="114300" simplePos="0" relativeHeight="251659264" behindDoc="0" locked="0" layoutInCell="1" allowOverlap="1" wp14:anchorId="4FD35884" wp14:editId="79F798AA">
                <wp:simplePos x="0" y="0"/>
                <wp:positionH relativeFrom="column">
                  <wp:posOffset>2535555</wp:posOffset>
                </wp:positionH>
                <wp:positionV relativeFrom="paragraph">
                  <wp:posOffset>239395</wp:posOffset>
                </wp:positionV>
                <wp:extent cx="333375" cy="571500"/>
                <wp:effectExtent l="0" t="0" r="28575" b="19050"/>
                <wp:wrapNone/>
                <wp:docPr id="25" name="Double Bracke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36A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5" o:spid="_x0000_s1026" type="#_x0000_t185" style="position:absolute;margin-left:199.65pt;margin-top:18.85pt;width:26.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"/>
            </w:pict>
          </mc:Fallback>
        </mc:AlternateContent>
      </w:r>
    </w:p>
    <w:p w14:paraId="05D8A0C2" w14:textId="77777777" w:rsidR="006732BD" w:rsidRPr="006732BD" w:rsidRDefault="006732BD" w:rsidP="00B81D0C">
      <w:pPr>
        <w:pStyle w:val="NoSpacing"/>
        <w:spacing w:line="360" w:lineRule="auto"/>
        <w:jc w:val="center"/>
      </w:pPr>
      <w:r w:rsidRPr="006732BD">
        <w:t xml:space="preserve">N ≥   </w:t>
      </w:r>
      <w:r w:rsidRPr="006732BD">
        <w:rPr>
          <w:u w:val="single"/>
        </w:rPr>
        <w:t>Zα/2</w:t>
      </w:r>
      <w:r w:rsidRPr="006732BD">
        <w:t xml:space="preserve">  </w:t>
      </w:r>
      <w:r w:rsidRPr="006732BD">
        <w:rPr>
          <w:vertAlign w:val="superscript"/>
        </w:rPr>
        <w:t>2</w:t>
      </w:r>
      <w:r w:rsidRPr="006732BD">
        <w:t xml:space="preserve">  x P x (1-P)</w:t>
      </w:r>
    </w:p>
    <w:p w14:paraId="629BE86C" w14:textId="77777777" w:rsidR="006732BD" w:rsidRPr="006732BD" w:rsidRDefault="003B5650" w:rsidP="00B81D0C">
      <w:pPr>
        <w:pStyle w:val="NoSpacing"/>
        <w:spacing w:line="360" w:lineRule="auto"/>
        <w:rPr>
          <w:i/>
        </w:rPr>
      </w:pPr>
      <w:r>
        <w:rPr>
          <w:i/>
        </w:rPr>
        <w:t xml:space="preserve">                                                                     </w:t>
      </w:r>
      <w:r w:rsidR="006732BD" w:rsidRPr="006732BD">
        <w:rPr>
          <w:i/>
        </w:rPr>
        <w:t>m</w:t>
      </w:r>
    </w:p>
    <w:p w14:paraId="12306F0C" w14:textId="77777777" w:rsidR="006732BD" w:rsidRPr="00C57234" w:rsidRDefault="006732BD" w:rsidP="00B81D0C">
      <w:pPr>
        <w:spacing w:line="360" w:lineRule="auto"/>
        <w:rPr>
          <w:rFonts w:ascii="Calibri" w:hAnsi="Calibri"/>
          <w:sz w:val="22"/>
          <w:szCs w:val="22"/>
        </w:rPr>
      </w:pPr>
    </w:p>
    <w:p w14:paraId="14D94039" w14:textId="77777777" w:rsidR="000B72BE" w:rsidRDefault="006732BD" w:rsidP="00CB3286">
      <w:r w:rsidRPr="003B5650">
        <w:lastRenderedPageBreak/>
        <w:t xml:space="preserve">where Zα/2 = 1.96, P = expected proportion of residents with HAIs (or </w:t>
      </w:r>
      <w:r w:rsidR="00AC6E6D">
        <w:t>receiving</w:t>
      </w:r>
      <w:r w:rsidRPr="003B5650">
        <w:t xml:space="preserve"> antimicrobials), and </w:t>
      </w:r>
      <w:r w:rsidRPr="003B5650">
        <w:rPr>
          <w:i/>
        </w:rPr>
        <w:t>m</w:t>
      </w:r>
      <w:r w:rsidRPr="003B5650">
        <w:t xml:space="preserve"> = precision of the estimate (half the width of the desired confidence interval). This </w:t>
      </w:r>
      <w:r w:rsidR="00AC6E6D">
        <w:t>sample size estimate is</w:t>
      </w:r>
      <w:r w:rsidR="00F2356D">
        <w:t xml:space="preserve"> based</w:t>
      </w:r>
      <w:r w:rsidRPr="003B5650">
        <w:t xml:space="preserve"> on the experience f</w:t>
      </w:r>
      <w:r w:rsidR="00F2356D">
        <w:t>rom the CDC</w:t>
      </w:r>
      <w:r w:rsidRPr="003B5650">
        <w:t xml:space="preserve"> nursing home prevalence pilot</w:t>
      </w:r>
      <w:r w:rsidR="00F2356D">
        <w:t xml:space="preserve">, </w:t>
      </w:r>
      <w:r w:rsidR="00AC6E6D">
        <w:t>and used an</w:t>
      </w:r>
      <w:r w:rsidRPr="003B5650">
        <w:t xml:space="preserve"> estimated HAI prevalence of 6%, an estimated AU prevalence of 11%, and a desired precision of +/- 0.5%. The number of residents necessary to achieve this precision was 8,614 for HAIs and 14,884 for AU. </w:t>
      </w:r>
      <w:r w:rsidR="00AC6E6D">
        <w:t>Therefore, t</w:t>
      </w:r>
      <w:r w:rsidRPr="003B5650">
        <w:t>he proposed minimum sample size for this survey is 15,000 eligible residents, giving us acceptable precision of the overall HAI prevalence and antimicrobial use prevalence estimates.</w:t>
      </w:r>
    </w:p>
    <w:p w14:paraId="2420D40D" w14:textId="77777777" w:rsidR="00912AAB" w:rsidRDefault="00912AAB" w:rsidP="00CB3286"/>
    <w:p w14:paraId="3D53822C" w14:textId="40BCBD68" w:rsidR="001C7B10" w:rsidRDefault="001C7B10" w:rsidP="00CB3286">
      <w:r>
        <w:t>The</w:t>
      </w:r>
      <w:r w:rsidR="0092550E">
        <w:t xml:space="preserve"> 201</w:t>
      </w:r>
      <w:r w:rsidR="00006DD3">
        <w:t>7</w:t>
      </w:r>
      <w:r w:rsidR="0092550E">
        <w:t xml:space="preserve"> survey</w:t>
      </w:r>
      <w:r>
        <w:t xml:space="preserve"> data will be collected by </w:t>
      </w:r>
      <w:r w:rsidR="00006DD3">
        <w:t>nursing home</w:t>
      </w:r>
      <w:r>
        <w:t xml:space="preserve"> staff</w:t>
      </w:r>
      <w:r w:rsidR="00734CC7">
        <w:t xml:space="preserve"> (</w:t>
      </w:r>
      <w:r w:rsidR="00AC6E6D">
        <w:t xml:space="preserve">the </w:t>
      </w:r>
      <w:r w:rsidR="00734CC7">
        <w:t>NH Team)</w:t>
      </w:r>
      <w:r>
        <w:t xml:space="preserve"> and by EIP personnel</w:t>
      </w:r>
      <w:r w:rsidR="00734CC7">
        <w:t xml:space="preserve"> (</w:t>
      </w:r>
      <w:r w:rsidR="00AC6E6D">
        <w:t xml:space="preserve">the </w:t>
      </w:r>
      <w:r w:rsidR="00734CC7">
        <w:t xml:space="preserve">EIP </w:t>
      </w:r>
      <w:r w:rsidR="00AC6E6D">
        <w:t>T</w:t>
      </w:r>
      <w:r w:rsidR="00734CC7">
        <w:t>eam)</w:t>
      </w:r>
      <w:r>
        <w:t xml:space="preserve">. </w:t>
      </w:r>
      <w:r w:rsidR="00441C03">
        <w:t xml:space="preserve">Data will be obtained from </w:t>
      </w:r>
      <w:r w:rsidR="005C5A47">
        <w:t xml:space="preserve">resident </w:t>
      </w:r>
      <w:r w:rsidR="00441C03">
        <w:t xml:space="preserve">medical records and other </w:t>
      </w:r>
      <w:r w:rsidR="00006DD3">
        <w:t xml:space="preserve">nursing home </w:t>
      </w:r>
      <w:r w:rsidR="00441C03">
        <w:t>information systems</w:t>
      </w:r>
      <w:r w:rsidR="005C5A47">
        <w:t xml:space="preserve"> (e.g., Medication Administration Records, Laboratory Information Systems)</w:t>
      </w:r>
      <w:r w:rsidR="00441C03">
        <w:t xml:space="preserve">. To obtain information about the presence of medical devices, such as central lines and urinary catheters and ventilators, data collectors may review medical records and/or consult with healthcare facility staff on inpatient units. </w:t>
      </w:r>
      <w:r w:rsidR="00006DD3">
        <w:t xml:space="preserve">Residents </w:t>
      </w:r>
      <w:r w:rsidR="00441C03">
        <w:t xml:space="preserve">are not interviewed. To obtain information needed to complete the </w:t>
      </w:r>
      <w:r w:rsidR="00A31D28">
        <w:t xml:space="preserve">healthcare facility </w:t>
      </w:r>
      <w:r w:rsidR="00441C03">
        <w:t xml:space="preserve">assessment, </w:t>
      </w:r>
      <w:r w:rsidR="00541279">
        <w:t xml:space="preserve">the </w:t>
      </w:r>
      <w:r w:rsidR="005C5A47">
        <w:t>nursing home staff</w:t>
      </w:r>
      <w:r w:rsidR="00541279">
        <w:t xml:space="preserve"> member completing the assessment </w:t>
      </w:r>
      <w:r w:rsidR="00F70F6A">
        <w:t xml:space="preserve">or EIP </w:t>
      </w:r>
      <w:r w:rsidR="005C5A47">
        <w:t xml:space="preserve">personnel </w:t>
      </w:r>
      <w:r w:rsidR="00F70F6A">
        <w:t>providing assistance</w:t>
      </w:r>
      <w:r w:rsidR="001A2296">
        <w:t>,</w:t>
      </w:r>
      <w:r w:rsidR="005C5A47">
        <w:t xml:space="preserve"> </w:t>
      </w:r>
      <w:r w:rsidR="00BB6043">
        <w:t>may need to consult with other</w:t>
      </w:r>
      <w:r w:rsidR="00F70F6A">
        <w:t xml:space="preserve"> </w:t>
      </w:r>
      <w:r w:rsidR="005C5A47">
        <w:t xml:space="preserve">nursing home staff </w:t>
      </w:r>
      <w:r w:rsidR="00541279">
        <w:t xml:space="preserve">within the facility. </w:t>
      </w:r>
    </w:p>
    <w:p w14:paraId="47B5A0E2" w14:textId="77777777" w:rsidR="00541279" w:rsidRDefault="00541279" w:rsidP="00CB3286"/>
    <w:p w14:paraId="1DE9E235" w14:textId="1FA25FA7" w:rsidR="00541279" w:rsidRDefault="000B72BE" w:rsidP="00CB3286">
      <w:r>
        <w:t>All d</w:t>
      </w:r>
      <w:r w:rsidR="00541279">
        <w:t>ata collectors will receive training in data collection procedures. This training will be developed and</w:t>
      </w:r>
      <w:r>
        <w:t xml:space="preserve"> conducted by CDC personnel </w:t>
      </w:r>
      <w:r w:rsidR="00541279">
        <w:t xml:space="preserve">or by EIP </w:t>
      </w:r>
      <w:r w:rsidR="001A2296">
        <w:t>team</w:t>
      </w:r>
      <w:r w:rsidR="005C5A47">
        <w:t xml:space="preserve"> members</w:t>
      </w:r>
      <w:r w:rsidR="00541279">
        <w:t xml:space="preserve">. In </w:t>
      </w:r>
      <w:r w:rsidR="00006DD3">
        <w:t xml:space="preserve">the pilot </w:t>
      </w:r>
      <w:r>
        <w:t xml:space="preserve">nursing home </w:t>
      </w:r>
      <w:r w:rsidR="00006DD3">
        <w:t>survey</w:t>
      </w:r>
      <w:r w:rsidR="00541279">
        <w:t xml:space="preserve">, webinar training was provided to data collectors </w:t>
      </w:r>
      <w:r>
        <w:t xml:space="preserve">prior to their survey date </w:t>
      </w:r>
      <w:r w:rsidR="005C5A47">
        <w:t>by</w:t>
      </w:r>
      <w:r w:rsidR="00006DD3">
        <w:t xml:space="preserve"> </w:t>
      </w:r>
      <w:r w:rsidR="005C5A47">
        <w:t>CDC personnel with assistance from EIP team members</w:t>
      </w:r>
      <w:r w:rsidR="00541279">
        <w:t xml:space="preserve">. </w:t>
      </w:r>
    </w:p>
    <w:p w14:paraId="3097D882" w14:textId="77777777" w:rsidR="00541279" w:rsidRDefault="00541279" w:rsidP="00CB3286"/>
    <w:p w14:paraId="4C59B11E" w14:textId="3AFBC0A5" w:rsidR="00541279" w:rsidRDefault="00541279" w:rsidP="00CB3286">
      <w:r>
        <w:t xml:space="preserve">Each </w:t>
      </w:r>
      <w:r w:rsidR="005C5A47">
        <w:t>participating nursing home, in collaboration with their EIP Team,</w:t>
      </w:r>
      <w:r>
        <w:t xml:space="preserve"> will </w:t>
      </w:r>
      <w:r w:rsidR="001A2296">
        <w:t xml:space="preserve">select </w:t>
      </w:r>
      <w:r w:rsidR="00194C1D">
        <w:t>in advance</w:t>
      </w:r>
      <w:r>
        <w:t xml:space="preserve"> the date on which the </w:t>
      </w:r>
      <w:r w:rsidR="003D75A5">
        <w:t>201</w:t>
      </w:r>
      <w:r w:rsidR="00006DD3">
        <w:t>7</w:t>
      </w:r>
      <w:r w:rsidR="003D75A5">
        <w:t xml:space="preserve"> </w:t>
      </w:r>
      <w:r>
        <w:t>survey will be conducted. A range of acceptable survey dates from which to choose will be provided</w:t>
      </w:r>
      <w:r w:rsidR="001A2296">
        <w:t>;</w:t>
      </w:r>
      <w:r w:rsidR="00006DD3">
        <w:t xml:space="preserve"> we anticipate they will be</w:t>
      </w:r>
      <w:r w:rsidR="005C5A47">
        <w:t xml:space="preserve"> </w:t>
      </w:r>
      <w:r w:rsidR="0017112F">
        <w:t xml:space="preserve">between </w:t>
      </w:r>
      <w:r w:rsidR="006732BD">
        <w:t>April</w:t>
      </w:r>
      <w:r>
        <w:t xml:space="preserve"> and September </w:t>
      </w:r>
      <w:r w:rsidR="0017112F">
        <w:t>2017</w:t>
      </w:r>
      <w:r>
        <w:t xml:space="preserve">. </w:t>
      </w:r>
    </w:p>
    <w:p w14:paraId="7EF5A94C" w14:textId="77777777" w:rsidR="00F3794E" w:rsidRDefault="00F3794E" w:rsidP="00CB3286"/>
    <w:p w14:paraId="316CC3F1" w14:textId="09D71CC1" w:rsidR="00910A75" w:rsidRDefault="00910A75" w:rsidP="00CB3286">
      <w:r>
        <w:t xml:space="preserve">The </w:t>
      </w:r>
      <w:r w:rsidR="0017112F">
        <w:t>CDC</w:t>
      </w:r>
      <w:r w:rsidR="001A2296">
        <w:t>-</w:t>
      </w:r>
      <w:r w:rsidR="0017112F">
        <w:t xml:space="preserve">developed </w:t>
      </w:r>
      <w:r>
        <w:t xml:space="preserve">data management system </w:t>
      </w:r>
      <w:r w:rsidR="0017112F">
        <w:t xml:space="preserve">will </w:t>
      </w:r>
      <w:r>
        <w:t xml:space="preserve">include multiple business rules that prevent erroneous data entry in a number of circumstances (e.g., entry of a </w:t>
      </w:r>
      <w:r w:rsidR="006732BD">
        <w:t xml:space="preserve">nursing home </w:t>
      </w:r>
      <w:r>
        <w:t xml:space="preserve">admission date that is after the survey date). In addition, </w:t>
      </w:r>
      <w:r w:rsidR="001A42A1">
        <w:t xml:space="preserve">during the data cleaning process </w:t>
      </w:r>
      <w:r>
        <w:t xml:space="preserve">CDC personnel </w:t>
      </w:r>
      <w:r w:rsidR="00894C5B">
        <w:t xml:space="preserve">will </w:t>
      </w:r>
      <w:r>
        <w:t xml:space="preserve">query the submitted data to identify unusual </w:t>
      </w:r>
      <w:r w:rsidR="00092735">
        <w:t xml:space="preserve">or outlier values </w:t>
      </w:r>
      <w:r>
        <w:t xml:space="preserve">to be </w:t>
      </w:r>
      <w:r w:rsidR="00894C5B">
        <w:t>verified</w:t>
      </w:r>
      <w:r>
        <w:t xml:space="preserve"> by sites</w:t>
      </w:r>
      <w:r w:rsidR="00894C5B">
        <w:t xml:space="preserve">. </w:t>
      </w:r>
    </w:p>
    <w:p w14:paraId="34A5CDCB" w14:textId="4E229E8E" w:rsidR="00441C03" w:rsidRPr="005333DC" w:rsidRDefault="00441C03" w:rsidP="00CB3286"/>
    <w:p w14:paraId="085F0326" w14:textId="1DC8E638" w:rsidR="00657961" w:rsidRPr="000F24CB" w:rsidRDefault="009E275F" w:rsidP="00CB3286">
      <w:pPr>
        <w:pStyle w:val="Heading2"/>
        <w:rPr>
          <w:rFonts w:ascii="Times New Roman" w:hAnsi="Times New Roman" w:cs="Times New Roman"/>
          <w:color w:val="auto"/>
          <w:sz w:val="24"/>
          <w:szCs w:val="24"/>
        </w:rPr>
      </w:pPr>
      <w:bookmarkStart w:id="3" w:name="_Toc444081155"/>
      <w:r w:rsidRPr="000F24CB">
        <w:rPr>
          <w:rFonts w:ascii="Times New Roman" w:hAnsi="Times New Roman" w:cs="Times New Roman"/>
          <w:color w:val="auto"/>
          <w:sz w:val="24"/>
          <w:szCs w:val="24"/>
        </w:rPr>
        <w:lastRenderedPageBreak/>
        <w:t>Data</w:t>
      </w:r>
      <w:r w:rsidR="006813BC" w:rsidRPr="000F24CB">
        <w:rPr>
          <w:rFonts w:ascii="Times New Roman" w:hAnsi="Times New Roman" w:cs="Times New Roman"/>
          <w:color w:val="auto"/>
          <w:sz w:val="24"/>
          <w:szCs w:val="24"/>
        </w:rPr>
        <w:t xml:space="preserve"> obtained from the </w:t>
      </w:r>
      <w:r w:rsidRPr="000F24CB">
        <w:rPr>
          <w:rFonts w:ascii="Times New Roman" w:hAnsi="Times New Roman" w:cs="Times New Roman"/>
          <w:color w:val="auto"/>
          <w:sz w:val="24"/>
          <w:szCs w:val="24"/>
        </w:rPr>
        <w:t xml:space="preserve">sample of </w:t>
      </w:r>
      <w:r w:rsidR="006813BC" w:rsidRPr="000F24CB">
        <w:rPr>
          <w:rFonts w:ascii="Times New Roman" w:hAnsi="Times New Roman" w:cs="Times New Roman"/>
          <w:color w:val="auto"/>
          <w:sz w:val="24"/>
          <w:szCs w:val="24"/>
        </w:rPr>
        <w:t xml:space="preserve">participating nursing homes will be used to estimate the national burden of HAIs in US nursing </w:t>
      </w:r>
      <w:r w:rsidR="00657961" w:rsidRPr="000F24CB">
        <w:rPr>
          <w:rFonts w:ascii="Times New Roman" w:hAnsi="Times New Roman" w:cs="Times New Roman"/>
          <w:color w:val="auto"/>
          <w:sz w:val="24"/>
          <w:szCs w:val="24"/>
        </w:rPr>
        <w:t>homes.  This will be achieve</w:t>
      </w:r>
      <w:r w:rsidRPr="000F24CB">
        <w:rPr>
          <w:rFonts w:ascii="Times New Roman" w:hAnsi="Times New Roman" w:cs="Times New Roman"/>
          <w:color w:val="auto"/>
          <w:sz w:val="24"/>
          <w:szCs w:val="24"/>
        </w:rPr>
        <w:t>d</w:t>
      </w:r>
      <w:r w:rsidR="00657961" w:rsidRPr="000F24CB">
        <w:rPr>
          <w:rFonts w:ascii="Times New Roman" w:hAnsi="Times New Roman" w:cs="Times New Roman"/>
          <w:color w:val="auto"/>
          <w:sz w:val="24"/>
          <w:szCs w:val="24"/>
        </w:rPr>
        <w:t xml:space="preserve"> using an approach similar to that used for nation burden estimation in the CDC’s hospital prevalence survey</w:t>
      </w:r>
      <w:r w:rsidR="00427D66" w:rsidRPr="000F24CB">
        <w:rPr>
          <w:rFonts w:ascii="Times New Roman" w:hAnsi="Times New Roman" w:cs="Times New Roman"/>
          <w:color w:val="auto"/>
          <w:sz w:val="24"/>
          <w:szCs w:val="24"/>
        </w:rPr>
        <w:t>;</w:t>
      </w:r>
      <w:r w:rsidR="00657961" w:rsidRPr="000F24CB">
        <w:rPr>
          <w:rFonts w:ascii="Times New Roman" w:hAnsi="Times New Roman" w:cs="Times New Roman"/>
          <w:color w:val="auto"/>
          <w:sz w:val="24"/>
          <w:szCs w:val="24"/>
        </w:rPr>
        <w:t xml:space="preserve"> however, </w:t>
      </w:r>
      <w:r w:rsidRPr="000F24CB">
        <w:rPr>
          <w:rFonts w:ascii="Times New Roman" w:hAnsi="Times New Roman" w:cs="Times New Roman"/>
          <w:color w:val="auto"/>
          <w:sz w:val="24"/>
          <w:szCs w:val="24"/>
        </w:rPr>
        <w:t xml:space="preserve">adjustments </w:t>
      </w:r>
      <w:r w:rsidR="002C38E1" w:rsidRPr="000F24CB">
        <w:rPr>
          <w:rFonts w:ascii="Times New Roman" w:hAnsi="Times New Roman" w:cs="Times New Roman"/>
          <w:color w:val="auto"/>
          <w:sz w:val="24"/>
          <w:szCs w:val="24"/>
        </w:rPr>
        <w:t>to the method</w:t>
      </w:r>
      <w:r w:rsidRPr="000F24CB">
        <w:rPr>
          <w:rFonts w:ascii="Times New Roman" w:hAnsi="Times New Roman" w:cs="Times New Roman"/>
          <w:color w:val="auto"/>
          <w:sz w:val="24"/>
          <w:szCs w:val="24"/>
        </w:rPr>
        <w:t>s</w:t>
      </w:r>
      <w:r w:rsidR="002C38E1" w:rsidRPr="000F24CB">
        <w:rPr>
          <w:rFonts w:ascii="Times New Roman" w:hAnsi="Times New Roman" w:cs="Times New Roman"/>
          <w:color w:val="auto"/>
          <w:sz w:val="24"/>
          <w:szCs w:val="24"/>
        </w:rPr>
        <w:t xml:space="preserve"> </w:t>
      </w:r>
      <w:r w:rsidRPr="000F24CB">
        <w:rPr>
          <w:rFonts w:ascii="Times New Roman" w:hAnsi="Times New Roman" w:cs="Times New Roman"/>
          <w:color w:val="auto"/>
          <w:sz w:val="24"/>
          <w:szCs w:val="24"/>
        </w:rPr>
        <w:t>are</w:t>
      </w:r>
      <w:r w:rsidR="002C38E1" w:rsidRPr="000F24CB">
        <w:rPr>
          <w:rFonts w:ascii="Times New Roman" w:hAnsi="Times New Roman" w:cs="Times New Roman"/>
          <w:color w:val="auto"/>
          <w:sz w:val="24"/>
          <w:szCs w:val="24"/>
        </w:rPr>
        <w:t xml:space="preserve"> necessary</w:t>
      </w:r>
      <w:r w:rsidR="00657961" w:rsidRPr="000F24CB">
        <w:rPr>
          <w:rFonts w:ascii="Times New Roman" w:hAnsi="Times New Roman" w:cs="Times New Roman"/>
          <w:color w:val="auto"/>
          <w:sz w:val="24"/>
          <w:szCs w:val="24"/>
        </w:rPr>
        <w:t xml:space="preserve">.  </w:t>
      </w:r>
    </w:p>
    <w:p w14:paraId="1EE59239" w14:textId="77777777" w:rsidR="00657961" w:rsidRPr="000F24CB" w:rsidRDefault="00657961" w:rsidP="00CB3286">
      <w:pPr>
        <w:pStyle w:val="Heading2"/>
        <w:rPr>
          <w:rFonts w:ascii="Times New Roman" w:hAnsi="Times New Roman" w:cs="Times New Roman"/>
          <w:color w:val="auto"/>
          <w:sz w:val="24"/>
          <w:szCs w:val="24"/>
        </w:rPr>
      </w:pPr>
    </w:p>
    <w:p w14:paraId="4DF2F98B" w14:textId="3F34BDB9" w:rsidR="00A57A94" w:rsidRPr="000F24CB" w:rsidRDefault="009E275F" w:rsidP="004F0326">
      <w:pPr>
        <w:pStyle w:val="Heading2"/>
        <w:rPr>
          <w:rFonts w:ascii="Times New Roman" w:hAnsi="Times New Roman" w:cs="Times New Roman"/>
          <w:color w:val="auto"/>
          <w:sz w:val="24"/>
          <w:szCs w:val="24"/>
        </w:rPr>
      </w:pPr>
      <w:r w:rsidRPr="000F24CB">
        <w:rPr>
          <w:rFonts w:ascii="Times New Roman" w:hAnsi="Times New Roman" w:cs="Times New Roman"/>
          <w:color w:val="auto"/>
          <w:sz w:val="24"/>
          <w:szCs w:val="24"/>
        </w:rPr>
        <w:t>For the</w:t>
      </w:r>
      <w:r w:rsidR="004F0326" w:rsidRPr="000F24CB">
        <w:rPr>
          <w:rFonts w:ascii="Times New Roman" w:hAnsi="Times New Roman" w:cs="Times New Roman"/>
          <w:color w:val="auto"/>
          <w:sz w:val="24"/>
          <w:szCs w:val="24"/>
        </w:rPr>
        <w:t xml:space="preserve"> hospital survey</w:t>
      </w:r>
      <w:r w:rsidR="00993BFD" w:rsidRPr="000F24CB">
        <w:rPr>
          <w:rFonts w:ascii="Times New Roman" w:hAnsi="Times New Roman" w:cs="Times New Roman"/>
          <w:color w:val="auto"/>
          <w:sz w:val="24"/>
          <w:szCs w:val="24"/>
        </w:rPr>
        <w:t>,</w:t>
      </w:r>
      <w:r w:rsidR="004F0326" w:rsidRPr="000F24CB">
        <w:rPr>
          <w:rFonts w:ascii="Times New Roman" w:hAnsi="Times New Roman" w:cs="Times New Roman"/>
          <w:color w:val="auto"/>
          <w:sz w:val="24"/>
          <w:szCs w:val="24"/>
        </w:rPr>
        <w:t xml:space="preserve"> the </w:t>
      </w:r>
      <w:r w:rsidRPr="000F24CB">
        <w:rPr>
          <w:rFonts w:ascii="Times New Roman" w:hAnsi="Times New Roman" w:cs="Times New Roman"/>
          <w:color w:val="auto"/>
          <w:sz w:val="24"/>
          <w:szCs w:val="24"/>
        </w:rPr>
        <w:t>established</w:t>
      </w:r>
      <w:r w:rsidR="00657961" w:rsidRPr="000F24CB">
        <w:rPr>
          <w:rFonts w:ascii="Times New Roman" w:hAnsi="Times New Roman" w:cs="Times New Roman"/>
          <w:color w:val="auto"/>
          <w:sz w:val="24"/>
          <w:szCs w:val="24"/>
        </w:rPr>
        <w:t xml:space="preserve"> </w:t>
      </w:r>
      <w:r w:rsidR="00657961" w:rsidRPr="000F24CB">
        <w:rPr>
          <w:rFonts w:ascii="Times New Roman" w:eastAsia="OTNEJMQuadraat" w:hAnsi="Times New Roman" w:cs="Times New Roman"/>
          <w:color w:val="auto"/>
          <w:sz w:val="24"/>
          <w:szCs w:val="24"/>
          <w:lang w:eastAsia="ja-JP"/>
        </w:rPr>
        <w:t xml:space="preserve">Rhame and Sudderth </w:t>
      </w:r>
      <w:r w:rsidR="00657961" w:rsidRPr="000F24CB">
        <w:rPr>
          <w:rFonts w:ascii="Times New Roman" w:hAnsi="Times New Roman" w:cs="Times New Roman"/>
          <w:color w:val="auto"/>
          <w:sz w:val="24"/>
          <w:szCs w:val="24"/>
        </w:rPr>
        <w:t>formula</w:t>
      </w:r>
      <w:r w:rsidR="004F0326" w:rsidRPr="000F24CB">
        <w:rPr>
          <w:rFonts w:ascii="Times New Roman" w:hAnsi="Times New Roman" w:cs="Times New Roman"/>
          <w:color w:val="auto"/>
          <w:sz w:val="24"/>
          <w:szCs w:val="24"/>
        </w:rPr>
        <w:t xml:space="preserve"> (</w:t>
      </w:r>
      <w:r w:rsidR="008F3BDC" w:rsidRPr="000F24CB">
        <w:rPr>
          <w:rFonts w:ascii="Times New Roman" w:hAnsi="Times New Roman" w:cs="Times New Roman"/>
          <w:color w:val="auto"/>
          <w:sz w:val="24"/>
          <w:szCs w:val="24"/>
        </w:rPr>
        <w:t>1</w:t>
      </w:r>
      <w:r w:rsidR="004F0326" w:rsidRPr="000F24CB">
        <w:rPr>
          <w:rFonts w:ascii="Times New Roman" w:hAnsi="Times New Roman" w:cs="Times New Roman"/>
          <w:color w:val="auto"/>
          <w:sz w:val="24"/>
          <w:szCs w:val="24"/>
        </w:rPr>
        <w:t>)</w:t>
      </w:r>
      <w:r w:rsidR="00657961" w:rsidRPr="000F24CB">
        <w:rPr>
          <w:rFonts w:ascii="Times New Roman" w:hAnsi="Times New Roman" w:cs="Times New Roman"/>
          <w:color w:val="auto"/>
          <w:sz w:val="24"/>
          <w:szCs w:val="24"/>
        </w:rPr>
        <w:t xml:space="preserve"> </w:t>
      </w:r>
      <w:r w:rsidRPr="000F24CB">
        <w:rPr>
          <w:rFonts w:ascii="Times New Roman" w:hAnsi="Times New Roman" w:cs="Times New Roman"/>
          <w:color w:val="auto"/>
          <w:sz w:val="24"/>
          <w:szCs w:val="24"/>
        </w:rPr>
        <w:t>was used to</w:t>
      </w:r>
      <w:r w:rsidR="00657961" w:rsidRPr="000F24CB">
        <w:rPr>
          <w:rFonts w:ascii="Times New Roman" w:hAnsi="Times New Roman" w:cs="Times New Roman"/>
          <w:color w:val="auto"/>
          <w:sz w:val="24"/>
          <w:szCs w:val="24"/>
        </w:rPr>
        <w:t xml:space="preserve"> convert </w:t>
      </w:r>
      <w:r w:rsidR="004F0326" w:rsidRPr="000F24CB">
        <w:rPr>
          <w:rFonts w:ascii="Times New Roman" w:hAnsi="Times New Roman" w:cs="Times New Roman"/>
          <w:color w:val="auto"/>
          <w:sz w:val="24"/>
          <w:szCs w:val="24"/>
        </w:rPr>
        <w:t>the measure of HAI</w:t>
      </w:r>
      <w:r w:rsidR="00657961" w:rsidRPr="000F24CB">
        <w:rPr>
          <w:rFonts w:ascii="Times New Roman" w:hAnsi="Times New Roman" w:cs="Times New Roman"/>
          <w:color w:val="auto"/>
          <w:sz w:val="24"/>
          <w:szCs w:val="24"/>
        </w:rPr>
        <w:t xml:space="preserve"> prevalence</w:t>
      </w:r>
      <w:r w:rsidRPr="000F24CB">
        <w:rPr>
          <w:rFonts w:ascii="Times New Roman" w:hAnsi="Times New Roman" w:cs="Times New Roman"/>
          <w:color w:val="auto"/>
          <w:sz w:val="24"/>
          <w:szCs w:val="24"/>
        </w:rPr>
        <w:t xml:space="preserve"> obtained from the </w:t>
      </w:r>
      <w:r w:rsidR="00427D66" w:rsidRPr="000F24CB">
        <w:rPr>
          <w:rFonts w:ascii="Times New Roman" w:hAnsi="Times New Roman" w:cs="Times New Roman"/>
          <w:color w:val="auto"/>
          <w:sz w:val="24"/>
          <w:szCs w:val="24"/>
        </w:rPr>
        <w:t>survey</w:t>
      </w:r>
      <w:r w:rsidRPr="000F24CB">
        <w:rPr>
          <w:rFonts w:ascii="Times New Roman" w:hAnsi="Times New Roman" w:cs="Times New Roman"/>
          <w:color w:val="auto"/>
          <w:sz w:val="24"/>
          <w:szCs w:val="24"/>
        </w:rPr>
        <w:t xml:space="preserve"> hospital</w:t>
      </w:r>
      <w:r w:rsidR="00427D66" w:rsidRPr="000F24CB">
        <w:rPr>
          <w:rFonts w:ascii="Times New Roman" w:hAnsi="Times New Roman" w:cs="Times New Roman"/>
          <w:color w:val="auto"/>
          <w:sz w:val="24"/>
          <w:szCs w:val="24"/>
        </w:rPr>
        <w:t xml:space="preserve"> sample</w:t>
      </w:r>
      <w:r w:rsidR="00657961" w:rsidRPr="000F24CB">
        <w:rPr>
          <w:rFonts w:ascii="Times New Roman" w:hAnsi="Times New Roman" w:cs="Times New Roman"/>
          <w:color w:val="auto"/>
          <w:sz w:val="24"/>
          <w:szCs w:val="24"/>
        </w:rPr>
        <w:t xml:space="preserve"> to </w:t>
      </w:r>
      <w:r w:rsidR="004F0326" w:rsidRPr="000F24CB">
        <w:rPr>
          <w:rFonts w:ascii="Times New Roman" w:hAnsi="Times New Roman" w:cs="Times New Roman"/>
          <w:color w:val="auto"/>
          <w:sz w:val="24"/>
          <w:szCs w:val="24"/>
        </w:rPr>
        <w:t>an estimate</w:t>
      </w:r>
      <w:r w:rsidR="00427D66" w:rsidRPr="000F24CB">
        <w:rPr>
          <w:rFonts w:ascii="Times New Roman" w:hAnsi="Times New Roman" w:cs="Times New Roman"/>
          <w:color w:val="auto"/>
          <w:sz w:val="24"/>
          <w:szCs w:val="24"/>
        </w:rPr>
        <w:t>d</w:t>
      </w:r>
      <w:r w:rsidR="004F0326" w:rsidRPr="000F24CB">
        <w:rPr>
          <w:rFonts w:ascii="Times New Roman" w:hAnsi="Times New Roman" w:cs="Times New Roman"/>
          <w:color w:val="auto"/>
          <w:sz w:val="24"/>
          <w:szCs w:val="24"/>
        </w:rPr>
        <w:t xml:space="preserve"> incidence.</w:t>
      </w:r>
      <w:r w:rsidR="00657961" w:rsidRPr="000F24CB">
        <w:rPr>
          <w:rFonts w:ascii="Times New Roman" w:hAnsi="Times New Roman" w:cs="Times New Roman"/>
          <w:color w:val="auto"/>
          <w:sz w:val="24"/>
          <w:szCs w:val="24"/>
        </w:rPr>
        <w:t xml:space="preserve"> </w:t>
      </w:r>
      <w:r w:rsidR="004F0326" w:rsidRPr="000F24CB">
        <w:rPr>
          <w:rFonts w:ascii="Times New Roman" w:hAnsi="Times New Roman" w:cs="Times New Roman"/>
          <w:color w:val="auto"/>
          <w:sz w:val="24"/>
          <w:szCs w:val="24"/>
        </w:rPr>
        <w:t>A</w:t>
      </w:r>
      <w:r w:rsidR="00657961" w:rsidRPr="000F24CB">
        <w:rPr>
          <w:rFonts w:ascii="Times New Roman" w:hAnsi="Times New Roman" w:cs="Times New Roman"/>
          <w:color w:val="auto"/>
          <w:sz w:val="24"/>
          <w:szCs w:val="24"/>
        </w:rPr>
        <w:t xml:space="preserve"> </w:t>
      </w:r>
      <w:r w:rsidRPr="000F24CB">
        <w:rPr>
          <w:rFonts w:ascii="Times New Roman" w:hAnsi="Times New Roman" w:cs="Times New Roman"/>
          <w:color w:val="auto"/>
          <w:sz w:val="24"/>
          <w:szCs w:val="24"/>
        </w:rPr>
        <w:t xml:space="preserve">key </w:t>
      </w:r>
      <w:r w:rsidR="00657961" w:rsidRPr="000F24CB">
        <w:rPr>
          <w:rFonts w:ascii="Times New Roman" w:hAnsi="Times New Roman" w:cs="Times New Roman"/>
          <w:color w:val="auto"/>
          <w:sz w:val="24"/>
          <w:szCs w:val="24"/>
        </w:rPr>
        <w:t xml:space="preserve">component of this formula </w:t>
      </w:r>
      <w:r w:rsidR="004F0326" w:rsidRPr="000F24CB">
        <w:rPr>
          <w:rFonts w:ascii="Times New Roman" w:hAnsi="Times New Roman" w:cs="Times New Roman"/>
          <w:color w:val="auto"/>
          <w:sz w:val="24"/>
          <w:szCs w:val="24"/>
        </w:rPr>
        <w:t xml:space="preserve">is </w:t>
      </w:r>
      <w:r w:rsidR="00657961" w:rsidRPr="000F24CB">
        <w:rPr>
          <w:rFonts w:ascii="Times New Roman" w:hAnsi="Times New Roman" w:cs="Times New Roman"/>
          <w:color w:val="auto"/>
          <w:sz w:val="24"/>
          <w:szCs w:val="24"/>
        </w:rPr>
        <w:t xml:space="preserve">length of </w:t>
      </w:r>
      <w:r w:rsidR="004F0326" w:rsidRPr="000F24CB">
        <w:rPr>
          <w:rFonts w:ascii="Times New Roman" w:hAnsi="Times New Roman" w:cs="Times New Roman"/>
          <w:color w:val="auto"/>
          <w:sz w:val="24"/>
          <w:szCs w:val="24"/>
        </w:rPr>
        <w:t xml:space="preserve">hospital </w:t>
      </w:r>
      <w:r w:rsidR="00657961" w:rsidRPr="000F24CB">
        <w:rPr>
          <w:rFonts w:ascii="Times New Roman" w:hAnsi="Times New Roman" w:cs="Times New Roman"/>
          <w:color w:val="auto"/>
          <w:sz w:val="24"/>
          <w:szCs w:val="24"/>
        </w:rPr>
        <w:t xml:space="preserve">stay </w:t>
      </w:r>
      <w:r w:rsidR="00427D66" w:rsidRPr="000F24CB">
        <w:rPr>
          <w:rFonts w:ascii="Times New Roman" w:hAnsi="Times New Roman" w:cs="Times New Roman"/>
          <w:color w:val="auto"/>
          <w:sz w:val="24"/>
          <w:szCs w:val="24"/>
        </w:rPr>
        <w:t xml:space="preserve">of patients, </w:t>
      </w:r>
      <w:r w:rsidR="004F0326" w:rsidRPr="000F24CB">
        <w:rPr>
          <w:rFonts w:ascii="Times New Roman" w:hAnsi="Times New Roman" w:cs="Times New Roman"/>
          <w:color w:val="auto"/>
          <w:sz w:val="24"/>
          <w:szCs w:val="24"/>
        </w:rPr>
        <w:t xml:space="preserve">measured </w:t>
      </w:r>
      <w:r w:rsidR="00657961" w:rsidRPr="000F24CB">
        <w:rPr>
          <w:rFonts w:ascii="Times New Roman" w:hAnsi="Times New Roman" w:cs="Times New Roman"/>
          <w:color w:val="auto"/>
          <w:sz w:val="24"/>
          <w:szCs w:val="24"/>
        </w:rPr>
        <w:t>in days</w:t>
      </w:r>
      <w:r w:rsidR="00A57A94" w:rsidRPr="000F24CB">
        <w:rPr>
          <w:rFonts w:ascii="Times New Roman" w:hAnsi="Times New Roman" w:cs="Times New Roman"/>
          <w:color w:val="auto"/>
          <w:sz w:val="24"/>
          <w:szCs w:val="24"/>
        </w:rPr>
        <w:t>. Hospital l</w:t>
      </w:r>
      <w:r w:rsidR="00A20F1C" w:rsidRPr="000F24CB">
        <w:rPr>
          <w:rFonts w:ascii="Times New Roman" w:hAnsi="Times New Roman" w:cs="Times New Roman"/>
          <w:color w:val="auto"/>
          <w:sz w:val="24"/>
          <w:szCs w:val="24"/>
        </w:rPr>
        <w:t>ength of stay in days</w:t>
      </w:r>
      <w:r w:rsidRPr="000F24CB">
        <w:rPr>
          <w:rFonts w:ascii="Times New Roman" w:hAnsi="Times New Roman" w:cs="Times New Roman"/>
          <w:color w:val="auto"/>
          <w:sz w:val="24"/>
          <w:szCs w:val="24"/>
        </w:rPr>
        <w:t xml:space="preserve"> </w:t>
      </w:r>
      <w:r w:rsidR="00427D66" w:rsidRPr="000F24CB">
        <w:rPr>
          <w:rFonts w:ascii="Times New Roman" w:hAnsi="Times New Roman" w:cs="Times New Roman"/>
          <w:color w:val="auto"/>
          <w:sz w:val="24"/>
          <w:szCs w:val="24"/>
        </w:rPr>
        <w:t xml:space="preserve">(or a proxy measure) </w:t>
      </w:r>
      <w:r w:rsidRPr="000F24CB">
        <w:rPr>
          <w:rFonts w:ascii="Times New Roman" w:hAnsi="Times New Roman" w:cs="Times New Roman"/>
          <w:color w:val="auto"/>
          <w:sz w:val="24"/>
          <w:szCs w:val="24"/>
        </w:rPr>
        <w:t xml:space="preserve">was collected </w:t>
      </w:r>
      <w:r w:rsidR="00A20F1C" w:rsidRPr="000F24CB">
        <w:rPr>
          <w:rFonts w:ascii="Times New Roman" w:hAnsi="Times New Roman" w:cs="Times New Roman"/>
          <w:color w:val="auto"/>
          <w:sz w:val="24"/>
          <w:szCs w:val="24"/>
        </w:rPr>
        <w:t xml:space="preserve">for patients </w:t>
      </w:r>
      <w:r w:rsidR="00A57A94" w:rsidRPr="000F24CB">
        <w:rPr>
          <w:rFonts w:ascii="Times New Roman" w:hAnsi="Times New Roman" w:cs="Times New Roman"/>
          <w:color w:val="auto"/>
          <w:sz w:val="24"/>
          <w:szCs w:val="24"/>
        </w:rPr>
        <w:t>from the</w:t>
      </w:r>
      <w:r w:rsidRPr="000F24CB">
        <w:rPr>
          <w:rFonts w:ascii="Times New Roman" w:hAnsi="Times New Roman" w:cs="Times New Roman"/>
          <w:color w:val="auto"/>
          <w:sz w:val="24"/>
          <w:szCs w:val="24"/>
        </w:rPr>
        <w:t xml:space="preserve"> sample of</w:t>
      </w:r>
      <w:r w:rsidR="00A20F1C" w:rsidRPr="000F24CB">
        <w:rPr>
          <w:rFonts w:ascii="Times New Roman" w:hAnsi="Times New Roman" w:cs="Times New Roman"/>
          <w:color w:val="auto"/>
          <w:sz w:val="24"/>
          <w:szCs w:val="24"/>
        </w:rPr>
        <w:t xml:space="preserve"> hospitals, and was also available in the National Inpatient Sample (NIS)</w:t>
      </w:r>
      <w:r w:rsidR="00A57A94" w:rsidRPr="000F24CB">
        <w:rPr>
          <w:rFonts w:ascii="Times New Roman" w:hAnsi="Times New Roman" w:cs="Times New Roman"/>
          <w:color w:val="auto"/>
          <w:sz w:val="24"/>
          <w:szCs w:val="24"/>
        </w:rPr>
        <w:t>, a national</w:t>
      </w:r>
      <w:r w:rsidR="00427D66" w:rsidRPr="000F24CB">
        <w:rPr>
          <w:rFonts w:ascii="Times New Roman" w:hAnsi="Times New Roman" w:cs="Times New Roman"/>
          <w:color w:val="auto"/>
          <w:sz w:val="24"/>
          <w:szCs w:val="24"/>
        </w:rPr>
        <w:t>ly</w:t>
      </w:r>
      <w:r w:rsidR="00A57A94" w:rsidRPr="000F24CB">
        <w:rPr>
          <w:rFonts w:ascii="Times New Roman" w:hAnsi="Times New Roman" w:cs="Times New Roman"/>
          <w:color w:val="auto"/>
          <w:sz w:val="24"/>
          <w:szCs w:val="24"/>
        </w:rPr>
        <w:t xml:space="preserve"> representative sample of community-based hospitals</w:t>
      </w:r>
      <w:r w:rsidR="009B4461" w:rsidRPr="000F24CB">
        <w:rPr>
          <w:rFonts w:ascii="Times New Roman" w:hAnsi="Times New Roman" w:cs="Times New Roman"/>
          <w:color w:val="auto"/>
          <w:sz w:val="24"/>
          <w:szCs w:val="24"/>
        </w:rPr>
        <w:t xml:space="preserve"> with sample weighting, which enabled national HAI burden estimation to be performed</w:t>
      </w:r>
      <w:r w:rsidR="008F3BDC" w:rsidRPr="000F24CB">
        <w:rPr>
          <w:rFonts w:ascii="Times New Roman" w:hAnsi="Times New Roman" w:cs="Times New Roman"/>
          <w:color w:val="auto"/>
          <w:sz w:val="24"/>
          <w:szCs w:val="24"/>
        </w:rPr>
        <w:t xml:space="preserve"> (2)</w:t>
      </w:r>
      <w:r w:rsidR="009B4461" w:rsidRPr="000F24CB">
        <w:rPr>
          <w:rFonts w:ascii="Times New Roman" w:hAnsi="Times New Roman" w:cs="Times New Roman"/>
          <w:color w:val="auto"/>
          <w:sz w:val="24"/>
          <w:szCs w:val="24"/>
        </w:rPr>
        <w:t>.</w:t>
      </w:r>
    </w:p>
    <w:p w14:paraId="6FE80012" w14:textId="77777777" w:rsidR="009B4461" w:rsidRPr="000F24CB" w:rsidRDefault="009B4461" w:rsidP="004F0326">
      <w:pPr>
        <w:pStyle w:val="Heading2"/>
        <w:rPr>
          <w:rFonts w:ascii="Times New Roman" w:hAnsi="Times New Roman" w:cs="Times New Roman"/>
          <w:color w:val="auto"/>
          <w:sz w:val="24"/>
          <w:szCs w:val="24"/>
        </w:rPr>
      </w:pPr>
    </w:p>
    <w:p w14:paraId="0E3BBBA6" w14:textId="53EE7962" w:rsidR="000E168D" w:rsidRPr="000F24CB" w:rsidRDefault="008B199C" w:rsidP="000E168D">
      <w:pPr>
        <w:pStyle w:val="Heading2"/>
        <w:rPr>
          <w:rFonts w:ascii="Times New Roman" w:hAnsi="Times New Roman" w:cs="Times New Roman"/>
          <w:color w:val="auto"/>
          <w:sz w:val="24"/>
          <w:szCs w:val="24"/>
        </w:rPr>
      </w:pPr>
      <w:r w:rsidRPr="000F24CB">
        <w:rPr>
          <w:rFonts w:ascii="Times New Roman" w:hAnsi="Times New Roman" w:cs="Times New Roman"/>
          <w:color w:val="auto"/>
          <w:sz w:val="24"/>
          <w:szCs w:val="24"/>
        </w:rPr>
        <w:t>I</w:t>
      </w:r>
      <w:r w:rsidR="004F0326" w:rsidRPr="000F24CB">
        <w:rPr>
          <w:rFonts w:ascii="Times New Roman" w:hAnsi="Times New Roman" w:cs="Times New Roman"/>
          <w:color w:val="auto"/>
          <w:sz w:val="24"/>
          <w:szCs w:val="24"/>
        </w:rPr>
        <w:t>n the nursing home setting</w:t>
      </w:r>
      <w:r w:rsidR="00427D66" w:rsidRPr="000F24CB">
        <w:rPr>
          <w:rFonts w:ascii="Times New Roman" w:hAnsi="Times New Roman" w:cs="Times New Roman"/>
          <w:color w:val="auto"/>
          <w:sz w:val="24"/>
          <w:szCs w:val="24"/>
        </w:rPr>
        <w:t>,</w:t>
      </w:r>
      <w:r w:rsidR="004F0326" w:rsidRPr="000F24CB">
        <w:rPr>
          <w:rFonts w:ascii="Times New Roman" w:hAnsi="Times New Roman" w:cs="Times New Roman"/>
          <w:color w:val="auto"/>
          <w:sz w:val="24"/>
          <w:szCs w:val="24"/>
        </w:rPr>
        <w:t xml:space="preserve"> </w:t>
      </w:r>
      <w:r w:rsidR="00AC788F" w:rsidRPr="000F24CB">
        <w:rPr>
          <w:rFonts w:ascii="Times New Roman" w:hAnsi="Times New Roman" w:cs="Times New Roman"/>
          <w:color w:val="auto"/>
          <w:sz w:val="24"/>
          <w:szCs w:val="24"/>
        </w:rPr>
        <w:t xml:space="preserve">use of </w:t>
      </w:r>
      <w:r w:rsidR="00427D66" w:rsidRPr="000F24CB">
        <w:rPr>
          <w:rFonts w:ascii="Times New Roman" w:hAnsi="Times New Roman" w:cs="Times New Roman"/>
          <w:color w:val="auto"/>
          <w:sz w:val="24"/>
          <w:szCs w:val="24"/>
        </w:rPr>
        <w:t xml:space="preserve">resident </w:t>
      </w:r>
      <w:r w:rsidR="004F0326" w:rsidRPr="000F24CB">
        <w:rPr>
          <w:rFonts w:ascii="Times New Roman" w:hAnsi="Times New Roman" w:cs="Times New Roman"/>
          <w:color w:val="auto"/>
          <w:sz w:val="24"/>
          <w:szCs w:val="24"/>
        </w:rPr>
        <w:t xml:space="preserve">length of stay </w:t>
      </w:r>
      <w:r w:rsidR="009B4461" w:rsidRPr="000F24CB">
        <w:rPr>
          <w:rFonts w:ascii="Times New Roman" w:hAnsi="Times New Roman" w:cs="Times New Roman"/>
          <w:color w:val="auto"/>
          <w:sz w:val="24"/>
          <w:szCs w:val="24"/>
        </w:rPr>
        <w:t xml:space="preserve">data </w:t>
      </w:r>
      <w:r w:rsidR="00AC788F" w:rsidRPr="000F24CB">
        <w:rPr>
          <w:rFonts w:ascii="Times New Roman" w:hAnsi="Times New Roman" w:cs="Times New Roman"/>
          <w:color w:val="auto"/>
          <w:sz w:val="24"/>
          <w:szCs w:val="24"/>
        </w:rPr>
        <w:t>is not an appropriate</w:t>
      </w:r>
      <w:r w:rsidR="009B4461" w:rsidRPr="000F24CB">
        <w:rPr>
          <w:rFonts w:ascii="Times New Roman" w:hAnsi="Times New Roman" w:cs="Times New Roman"/>
          <w:color w:val="auto"/>
          <w:sz w:val="24"/>
          <w:szCs w:val="24"/>
        </w:rPr>
        <w:t xml:space="preserve">.  First, </w:t>
      </w:r>
      <w:r w:rsidR="00AC788F" w:rsidRPr="000F24CB">
        <w:rPr>
          <w:rFonts w:ascii="Times New Roman" w:hAnsi="Times New Roman" w:cs="Times New Roman"/>
          <w:color w:val="auto"/>
          <w:sz w:val="24"/>
          <w:szCs w:val="24"/>
        </w:rPr>
        <w:t xml:space="preserve">for a majority of persons the nursing home represents their place of residence, </w:t>
      </w:r>
      <w:r w:rsidR="00427D66" w:rsidRPr="000F24CB">
        <w:rPr>
          <w:rFonts w:ascii="Times New Roman" w:hAnsi="Times New Roman" w:cs="Times New Roman"/>
          <w:color w:val="auto"/>
          <w:sz w:val="24"/>
          <w:szCs w:val="24"/>
        </w:rPr>
        <w:t xml:space="preserve">and they </w:t>
      </w:r>
      <w:r w:rsidR="00AC788F" w:rsidRPr="000F24CB">
        <w:rPr>
          <w:rFonts w:ascii="Times New Roman" w:hAnsi="Times New Roman" w:cs="Times New Roman"/>
          <w:color w:val="auto"/>
          <w:sz w:val="24"/>
          <w:szCs w:val="24"/>
        </w:rPr>
        <w:t>are therefore not “discharged” until end of life care is needed or death occurs. CMS</w:t>
      </w:r>
      <w:r w:rsidR="008F3BDC" w:rsidRPr="000F24CB">
        <w:rPr>
          <w:rFonts w:ascii="Times New Roman" w:hAnsi="Times New Roman" w:cs="Times New Roman"/>
          <w:color w:val="auto"/>
          <w:sz w:val="24"/>
          <w:szCs w:val="24"/>
        </w:rPr>
        <w:t xml:space="preserve"> data indicate</w:t>
      </w:r>
      <w:r w:rsidR="00AC788F" w:rsidRPr="000F24CB">
        <w:rPr>
          <w:rFonts w:ascii="Times New Roman" w:hAnsi="Times New Roman" w:cs="Times New Roman"/>
          <w:color w:val="auto"/>
          <w:sz w:val="24"/>
          <w:szCs w:val="24"/>
        </w:rPr>
        <w:t xml:space="preserve"> that on a given day</w:t>
      </w:r>
      <w:r w:rsidR="00427D66" w:rsidRPr="000F24CB">
        <w:rPr>
          <w:rFonts w:ascii="Times New Roman" w:hAnsi="Times New Roman" w:cs="Times New Roman"/>
          <w:color w:val="auto"/>
          <w:sz w:val="24"/>
          <w:szCs w:val="24"/>
        </w:rPr>
        <w:t>,</w:t>
      </w:r>
      <w:r w:rsidR="00AC788F" w:rsidRPr="000F24CB">
        <w:rPr>
          <w:rFonts w:ascii="Times New Roman" w:hAnsi="Times New Roman" w:cs="Times New Roman"/>
          <w:color w:val="auto"/>
          <w:sz w:val="24"/>
          <w:szCs w:val="24"/>
        </w:rPr>
        <w:t xml:space="preserve"> 86% of US nursing home residents are considered “long-stay” residents and their average length of nursing home stay is measured in years. </w:t>
      </w:r>
      <w:r w:rsidR="008F3BDC" w:rsidRPr="000F24CB">
        <w:rPr>
          <w:rFonts w:ascii="Times New Roman" w:hAnsi="Times New Roman" w:cs="Times New Roman"/>
          <w:color w:val="auto"/>
          <w:sz w:val="24"/>
          <w:szCs w:val="24"/>
        </w:rPr>
        <w:t xml:space="preserve">Second, </w:t>
      </w:r>
      <w:r w:rsidRPr="000F24CB">
        <w:rPr>
          <w:rFonts w:ascii="Times New Roman" w:hAnsi="Times New Roman" w:cs="Times New Roman"/>
          <w:color w:val="auto"/>
          <w:sz w:val="24"/>
          <w:szCs w:val="24"/>
        </w:rPr>
        <w:t>data on length o</w:t>
      </w:r>
      <w:r w:rsidR="00427D66" w:rsidRPr="000F24CB">
        <w:rPr>
          <w:rFonts w:ascii="Times New Roman" w:hAnsi="Times New Roman" w:cs="Times New Roman"/>
          <w:color w:val="auto"/>
          <w:sz w:val="24"/>
          <w:szCs w:val="24"/>
        </w:rPr>
        <w:t>f</w:t>
      </w:r>
      <w:r w:rsidRPr="000F24CB">
        <w:rPr>
          <w:rFonts w:ascii="Times New Roman" w:hAnsi="Times New Roman" w:cs="Times New Roman"/>
          <w:color w:val="auto"/>
          <w:sz w:val="24"/>
          <w:szCs w:val="24"/>
        </w:rPr>
        <w:t xml:space="preserve"> stay w</w:t>
      </w:r>
      <w:r w:rsidR="00E77291" w:rsidRPr="000F24CB">
        <w:rPr>
          <w:rFonts w:ascii="Times New Roman" w:hAnsi="Times New Roman" w:cs="Times New Roman"/>
          <w:color w:val="auto"/>
          <w:sz w:val="24"/>
          <w:szCs w:val="24"/>
        </w:rPr>
        <w:t>ould</w:t>
      </w:r>
      <w:r w:rsidRPr="000F24CB">
        <w:rPr>
          <w:rFonts w:ascii="Times New Roman" w:hAnsi="Times New Roman" w:cs="Times New Roman"/>
          <w:color w:val="auto"/>
          <w:sz w:val="24"/>
          <w:szCs w:val="24"/>
        </w:rPr>
        <w:t xml:space="preserve"> not </w:t>
      </w:r>
      <w:r w:rsidR="00427D66" w:rsidRPr="000F24CB">
        <w:rPr>
          <w:rFonts w:ascii="Times New Roman" w:hAnsi="Times New Roman" w:cs="Times New Roman"/>
          <w:color w:val="auto"/>
          <w:sz w:val="24"/>
          <w:szCs w:val="24"/>
        </w:rPr>
        <w:t xml:space="preserve">be </w:t>
      </w:r>
      <w:r w:rsidRPr="000F24CB">
        <w:rPr>
          <w:rFonts w:ascii="Times New Roman" w:hAnsi="Times New Roman" w:cs="Times New Roman"/>
          <w:color w:val="auto"/>
          <w:sz w:val="24"/>
          <w:szCs w:val="24"/>
        </w:rPr>
        <w:t>available for residents in the sample of nursing homes participating in the survey</w:t>
      </w:r>
      <w:r w:rsidR="00427D66" w:rsidRPr="000F24CB">
        <w:rPr>
          <w:rFonts w:ascii="Times New Roman" w:hAnsi="Times New Roman" w:cs="Times New Roman"/>
          <w:color w:val="auto"/>
          <w:sz w:val="24"/>
          <w:szCs w:val="24"/>
        </w:rPr>
        <w:t xml:space="preserve"> (since it is a point prevalence survey)</w:t>
      </w:r>
      <w:r w:rsidRPr="000F24CB">
        <w:rPr>
          <w:rFonts w:ascii="Times New Roman" w:hAnsi="Times New Roman" w:cs="Times New Roman"/>
          <w:color w:val="auto"/>
          <w:sz w:val="24"/>
          <w:szCs w:val="24"/>
        </w:rPr>
        <w:t xml:space="preserve">, and waiting for </w:t>
      </w:r>
      <w:r w:rsidR="00427D66" w:rsidRPr="000F24CB">
        <w:rPr>
          <w:rFonts w:ascii="Times New Roman" w:hAnsi="Times New Roman" w:cs="Times New Roman"/>
          <w:color w:val="auto"/>
          <w:sz w:val="24"/>
          <w:szCs w:val="24"/>
        </w:rPr>
        <w:t>these data</w:t>
      </w:r>
      <w:r w:rsidRPr="000F24CB">
        <w:rPr>
          <w:rFonts w:ascii="Times New Roman" w:hAnsi="Times New Roman" w:cs="Times New Roman"/>
          <w:color w:val="auto"/>
          <w:sz w:val="24"/>
          <w:szCs w:val="24"/>
        </w:rPr>
        <w:t xml:space="preserve"> to become available </w:t>
      </w:r>
      <w:r w:rsidR="00AC788F" w:rsidRPr="000F24CB">
        <w:rPr>
          <w:rFonts w:ascii="Times New Roman" w:hAnsi="Times New Roman" w:cs="Times New Roman"/>
          <w:color w:val="auto"/>
          <w:sz w:val="24"/>
          <w:szCs w:val="24"/>
        </w:rPr>
        <w:t xml:space="preserve">would </w:t>
      </w:r>
      <w:r w:rsidR="00427D66" w:rsidRPr="000F24CB">
        <w:rPr>
          <w:rFonts w:ascii="Times New Roman" w:hAnsi="Times New Roman" w:cs="Times New Roman"/>
          <w:color w:val="auto"/>
          <w:sz w:val="24"/>
          <w:szCs w:val="24"/>
        </w:rPr>
        <w:t xml:space="preserve">likely take many years, and </w:t>
      </w:r>
      <w:r w:rsidR="00AC788F" w:rsidRPr="000F24CB">
        <w:rPr>
          <w:rFonts w:ascii="Times New Roman" w:hAnsi="Times New Roman" w:cs="Times New Roman"/>
          <w:color w:val="auto"/>
          <w:sz w:val="24"/>
          <w:szCs w:val="24"/>
        </w:rPr>
        <w:t xml:space="preserve">be entirely impractical.  Finally, </w:t>
      </w:r>
      <w:r w:rsidR="009B4461" w:rsidRPr="000F24CB">
        <w:rPr>
          <w:rFonts w:ascii="Times New Roman" w:eastAsia="OTNEJMQuadraat" w:hAnsi="Times New Roman" w:cs="Times New Roman"/>
          <w:color w:val="auto"/>
          <w:sz w:val="24"/>
          <w:szCs w:val="24"/>
          <w:lang w:eastAsia="ja-JP"/>
        </w:rPr>
        <w:t>Rhame and Sudderth</w:t>
      </w:r>
      <w:r w:rsidR="004F0326" w:rsidRPr="000F24CB">
        <w:rPr>
          <w:rFonts w:ascii="Times New Roman" w:hAnsi="Times New Roman" w:cs="Times New Roman"/>
          <w:color w:val="auto"/>
          <w:sz w:val="24"/>
          <w:szCs w:val="24"/>
        </w:rPr>
        <w:t xml:space="preserve"> </w:t>
      </w:r>
      <w:r w:rsidR="009B4461" w:rsidRPr="000F24CB">
        <w:rPr>
          <w:rFonts w:ascii="Times New Roman" w:hAnsi="Times New Roman" w:cs="Times New Roman"/>
          <w:color w:val="auto"/>
          <w:sz w:val="24"/>
          <w:szCs w:val="24"/>
        </w:rPr>
        <w:t xml:space="preserve">state </w:t>
      </w:r>
      <w:r w:rsidR="00AC788F" w:rsidRPr="000F24CB">
        <w:rPr>
          <w:rFonts w:ascii="Times New Roman" w:hAnsi="Times New Roman" w:cs="Times New Roman"/>
          <w:color w:val="auto"/>
          <w:sz w:val="24"/>
          <w:szCs w:val="24"/>
        </w:rPr>
        <w:t xml:space="preserve">their formula is unreliable when </w:t>
      </w:r>
      <w:r w:rsidR="009B4461" w:rsidRPr="000F24CB">
        <w:rPr>
          <w:rFonts w:ascii="Times New Roman" w:hAnsi="Times New Roman" w:cs="Times New Roman"/>
          <w:color w:val="auto"/>
          <w:sz w:val="24"/>
          <w:szCs w:val="24"/>
        </w:rPr>
        <w:t>length of stay is long</w:t>
      </w:r>
      <w:r w:rsidR="008F3BDC" w:rsidRPr="000F24CB">
        <w:rPr>
          <w:rFonts w:ascii="Times New Roman" w:hAnsi="Times New Roman" w:cs="Times New Roman"/>
          <w:color w:val="auto"/>
          <w:sz w:val="24"/>
          <w:szCs w:val="24"/>
        </w:rPr>
        <w:t xml:space="preserve"> (1)</w:t>
      </w:r>
      <w:r w:rsidR="009B4461" w:rsidRPr="000F24CB">
        <w:rPr>
          <w:rFonts w:ascii="Times New Roman" w:hAnsi="Times New Roman" w:cs="Times New Roman"/>
          <w:color w:val="auto"/>
          <w:sz w:val="24"/>
          <w:szCs w:val="24"/>
        </w:rPr>
        <w:t>, “</w:t>
      </w:r>
      <w:r w:rsidR="009B4461" w:rsidRPr="000F24CB">
        <w:rPr>
          <w:rFonts w:ascii="Times New Roman" w:hAnsi="Times New Roman" w:cs="Times New Roman"/>
          <w:i/>
          <w:color w:val="auto"/>
          <w:sz w:val="24"/>
          <w:szCs w:val="24"/>
        </w:rPr>
        <w:t xml:space="preserve">For </w:t>
      </w:r>
      <w:r w:rsidR="00AC788F" w:rsidRPr="000F24CB">
        <w:rPr>
          <w:rFonts w:ascii="Times New Roman" w:hAnsi="Times New Roman" w:cs="Times New Roman"/>
          <w:i/>
          <w:color w:val="auto"/>
          <w:sz w:val="24"/>
          <w:szCs w:val="24"/>
        </w:rPr>
        <w:t>chronic</w:t>
      </w:r>
      <w:r w:rsidR="009B4461" w:rsidRPr="000F24CB">
        <w:rPr>
          <w:rFonts w:ascii="Times New Roman" w:hAnsi="Times New Roman" w:cs="Times New Roman"/>
          <w:i/>
          <w:color w:val="auto"/>
          <w:sz w:val="24"/>
          <w:szCs w:val="24"/>
        </w:rPr>
        <w:t xml:space="preserve"> care facilities and services with long duration of hospitalization, [the] </w:t>
      </w:r>
      <w:r w:rsidR="00AC788F" w:rsidRPr="000F24CB">
        <w:rPr>
          <w:rFonts w:ascii="Times New Roman" w:hAnsi="Times New Roman" w:cs="Times New Roman"/>
          <w:i/>
          <w:color w:val="auto"/>
          <w:sz w:val="24"/>
          <w:szCs w:val="24"/>
        </w:rPr>
        <w:t>equation</w:t>
      </w:r>
      <w:r w:rsidR="009B4461" w:rsidRPr="000F24CB">
        <w:rPr>
          <w:rFonts w:ascii="Times New Roman" w:hAnsi="Times New Roman" w:cs="Times New Roman"/>
          <w:i/>
          <w:color w:val="auto"/>
          <w:sz w:val="24"/>
          <w:szCs w:val="24"/>
        </w:rPr>
        <w:t xml:space="preserve"> produces high rates of infection even when few infections are occurring</w:t>
      </w:r>
      <w:r w:rsidR="008F3BDC" w:rsidRPr="000F24CB">
        <w:rPr>
          <w:rFonts w:ascii="Times New Roman" w:hAnsi="Times New Roman" w:cs="Times New Roman"/>
          <w:color w:val="auto"/>
          <w:sz w:val="24"/>
          <w:szCs w:val="24"/>
        </w:rPr>
        <w:t>”.</w:t>
      </w:r>
      <w:r w:rsidR="00AC788F" w:rsidRPr="000F24CB">
        <w:rPr>
          <w:rFonts w:ascii="Times New Roman" w:hAnsi="Times New Roman" w:cs="Times New Roman"/>
          <w:color w:val="auto"/>
          <w:sz w:val="24"/>
          <w:szCs w:val="24"/>
        </w:rPr>
        <w:t xml:space="preserve"> For these reason</w:t>
      </w:r>
      <w:r w:rsidRPr="000F24CB">
        <w:rPr>
          <w:rFonts w:ascii="Times New Roman" w:hAnsi="Times New Roman" w:cs="Times New Roman"/>
          <w:color w:val="auto"/>
          <w:sz w:val="24"/>
          <w:szCs w:val="24"/>
        </w:rPr>
        <w:t>s</w:t>
      </w:r>
      <w:r w:rsidR="00AC788F" w:rsidRPr="000F24CB">
        <w:rPr>
          <w:rFonts w:ascii="Times New Roman" w:hAnsi="Times New Roman" w:cs="Times New Roman"/>
          <w:color w:val="auto"/>
          <w:sz w:val="24"/>
          <w:szCs w:val="24"/>
        </w:rPr>
        <w:t>, investigators from the ECDC used an alternative approach to estimate the HAI burden in Europe</w:t>
      </w:r>
      <w:r w:rsidRPr="000F24CB">
        <w:rPr>
          <w:rFonts w:ascii="Times New Roman" w:hAnsi="Times New Roman" w:cs="Times New Roman"/>
          <w:color w:val="auto"/>
          <w:sz w:val="24"/>
          <w:szCs w:val="24"/>
        </w:rPr>
        <w:t xml:space="preserve"> (</w:t>
      </w:r>
      <w:r w:rsidR="008F3BDC" w:rsidRPr="000F24CB">
        <w:rPr>
          <w:rFonts w:ascii="Times New Roman" w:hAnsi="Times New Roman" w:cs="Times New Roman"/>
          <w:color w:val="auto"/>
          <w:sz w:val="24"/>
          <w:szCs w:val="24"/>
        </w:rPr>
        <w:t>3</w:t>
      </w:r>
      <w:r w:rsidRPr="000F24CB">
        <w:rPr>
          <w:rFonts w:ascii="Times New Roman" w:hAnsi="Times New Roman" w:cs="Times New Roman"/>
          <w:color w:val="auto"/>
          <w:sz w:val="24"/>
          <w:szCs w:val="24"/>
        </w:rPr>
        <w:t>)</w:t>
      </w:r>
      <w:r w:rsidR="00427D66" w:rsidRPr="000F24CB">
        <w:rPr>
          <w:rFonts w:ascii="Times New Roman" w:hAnsi="Times New Roman" w:cs="Times New Roman"/>
          <w:color w:val="auto"/>
          <w:sz w:val="24"/>
          <w:szCs w:val="24"/>
        </w:rPr>
        <w:t>: o</w:t>
      </w:r>
      <w:r w:rsidRPr="000F24CB">
        <w:rPr>
          <w:rFonts w:ascii="Times New Roman" w:hAnsi="Times New Roman" w:cs="Times New Roman"/>
          <w:color w:val="auto"/>
          <w:sz w:val="24"/>
          <w:szCs w:val="24"/>
        </w:rPr>
        <w:t xml:space="preserve">ne where HAI prevalence, </w:t>
      </w:r>
      <w:r w:rsidR="008F3BDC" w:rsidRPr="000F24CB">
        <w:rPr>
          <w:rFonts w:ascii="Times New Roman" w:hAnsi="Times New Roman" w:cs="Times New Roman"/>
          <w:color w:val="auto"/>
          <w:sz w:val="24"/>
          <w:szCs w:val="24"/>
        </w:rPr>
        <w:t>data on the number of nursing home residents in Europe (obtained from count</w:t>
      </w:r>
      <w:r w:rsidR="00427D66" w:rsidRPr="000F24CB">
        <w:rPr>
          <w:rFonts w:ascii="Times New Roman" w:hAnsi="Times New Roman" w:cs="Times New Roman"/>
          <w:color w:val="auto"/>
          <w:sz w:val="24"/>
          <w:szCs w:val="24"/>
        </w:rPr>
        <w:t>r</w:t>
      </w:r>
      <w:r w:rsidR="008F3BDC" w:rsidRPr="000F24CB">
        <w:rPr>
          <w:rFonts w:ascii="Times New Roman" w:hAnsi="Times New Roman" w:cs="Times New Roman"/>
          <w:color w:val="auto"/>
          <w:sz w:val="24"/>
          <w:szCs w:val="24"/>
        </w:rPr>
        <w:t xml:space="preserve">y-level administrative data), and data on the mean duration of an HAI, were used to estimate </w:t>
      </w:r>
      <w:r w:rsidR="00E77291" w:rsidRPr="000F24CB">
        <w:rPr>
          <w:rFonts w:ascii="Times New Roman" w:hAnsi="Times New Roman" w:cs="Times New Roman"/>
          <w:color w:val="auto"/>
          <w:sz w:val="24"/>
          <w:szCs w:val="24"/>
        </w:rPr>
        <w:t xml:space="preserve">the </w:t>
      </w:r>
      <w:r w:rsidR="008F3BDC" w:rsidRPr="000F24CB">
        <w:rPr>
          <w:rFonts w:ascii="Times New Roman" w:hAnsi="Times New Roman" w:cs="Times New Roman"/>
          <w:color w:val="auto"/>
          <w:sz w:val="24"/>
          <w:szCs w:val="24"/>
        </w:rPr>
        <w:t xml:space="preserve">HAI burden.  </w:t>
      </w:r>
    </w:p>
    <w:p w14:paraId="566A0665" w14:textId="77777777" w:rsidR="000E168D" w:rsidRPr="000F24CB" w:rsidRDefault="000E168D">
      <w:pPr>
        <w:pStyle w:val="Heading2"/>
        <w:rPr>
          <w:rFonts w:ascii="Times New Roman" w:hAnsi="Times New Roman" w:cs="Times New Roman"/>
          <w:color w:val="auto"/>
          <w:sz w:val="24"/>
          <w:szCs w:val="24"/>
        </w:rPr>
      </w:pPr>
    </w:p>
    <w:p w14:paraId="4EF087CA" w14:textId="781B00E4" w:rsidR="00A57A94" w:rsidRPr="000F24CB" w:rsidRDefault="00E77291">
      <w:pPr>
        <w:pStyle w:val="Heading2"/>
        <w:rPr>
          <w:color w:val="auto"/>
          <w:lang w:eastAsia="ja-JP"/>
        </w:rPr>
      </w:pPr>
      <w:r w:rsidRPr="000F24CB">
        <w:rPr>
          <w:rFonts w:ascii="Times New Roman" w:hAnsi="Times New Roman" w:cs="Times New Roman"/>
          <w:color w:val="auto"/>
          <w:sz w:val="24"/>
          <w:szCs w:val="24"/>
        </w:rPr>
        <w:t>The approach to national burden estimation for this CDC nursing home survey will be to</w:t>
      </w:r>
      <w:r w:rsidR="006813BC" w:rsidRPr="000F24CB">
        <w:rPr>
          <w:rFonts w:ascii="Times New Roman" w:hAnsi="Times New Roman" w:cs="Times New Roman"/>
          <w:color w:val="auto"/>
          <w:sz w:val="24"/>
          <w:szCs w:val="24"/>
        </w:rPr>
        <w:t xml:space="preserve"> </w:t>
      </w:r>
      <w:r w:rsidRPr="000F24CB">
        <w:rPr>
          <w:rFonts w:ascii="Times New Roman" w:hAnsi="Times New Roman" w:cs="Times New Roman"/>
          <w:color w:val="auto"/>
          <w:sz w:val="24"/>
          <w:szCs w:val="24"/>
        </w:rPr>
        <w:t>analyze the</w:t>
      </w:r>
      <w:r w:rsidR="006813BC" w:rsidRPr="000F24CB">
        <w:rPr>
          <w:rFonts w:ascii="Times New Roman" w:hAnsi="Times New Roman" w:cs="Times New Roman"/>
          <w:color w:val="auto"/>
          <w:sz w:val="24"/>
          <w:szCs w:val="24"/>
        </w:rPr>
        <w:t xml:space="preserve"> data </w:t>
      </w:r>
      <w:r w:rsidRPr="000F24CB">
        <w:rPr>
          <w:rFonts w:ascii="Times New Roman" w:hAnsi="Times New Roman" w:cs="Times New Roman"/>
          <w:color w:val="auto"/>
          <w:sz w:val="24"/>
          <w:szCs w:val="24"/>
        </w:rPr>
        <w:t xml:space="preserve">collected </w:t>
      </w:r>
      <w:r w:rsidR="006813BC" w:rsidRPr="000F24CB">
        <w:rPr>
          <w:rFonts w:ascii="Times New Roman" w:hAnsi="Times New Roman" w:cs="Times New Roman"/>
          <w:color w:val="auto"/>
          <w:sz w:val="24"/>
          <w:szCs w:val="24"/>
        </w:rPr>
        <w:t xml:space="preserve">from the sample of </w:t>
      </w:r>
      <w:r w:rsidRPr="000F24CB">
        <w:rPr>
          <w:rFonts w:ascii="Times New Roman" w:hAnsi="Times New Roman" w:cs="Times New Roman"/>
          <w:color w:val="auto"/>
          <w:sz w:val="24"/>
          <w:szCs w:val="24"/>
        </w:rPr>
        <w:t>nursing home participants to</w:t>
      </w:r>
      <w:r w:rsidR="006813BC" w:rsidRPr="000F24CB">
        <w:rPr>
          <w:rFonts w:ascii="Times New Roman" w:hAnsi="Times New Roman" w:cs="Times New Roman"/>
          <w:color w:val="auto"/>
          <w:sz w:val="24"/>
          <w:szCs w:val="24"/>
        </w:rPr>
        <w:t xml:space="preserve"> determi</w:t>
      </w:r>
      <w:r w:rsidRPr="000F24CB">
        <w:rPr>
          <w:rFonts w:ascii="Times New Roman" w:hAnsi="Times New Roman" w:cs="Times New Roman"/>
          <w:color w:val="auto"/>
          <w:sz w:val="24"/>
          <w:szCs w:val="24"/>
        </w:rPr>
        <w:t>ne the HAI prevalence</w:t>
      </w:r>
      <w:r w:rsidR="002775C3" w:rsidRPr="000F24CB">
        <w:rPr>
          <w:rFonts w:ascii="Times New Roman" w:hAnsi="Times New Roman" w:cs="Times New Roman"/>
          <w:color w:val="auto"/>
          <w:sz w:val="24"/>
          <w:szCs w:val="24"/>
        </w:rPr>
        <w:t>. Then</w:t>
      </w:r>
      <w:r w:rsidRPr="000F24CB">
        <w:rPr>
          <w:rFonts w:ascii="Times New Roman" w:hAnsi="Times New Roman" w:cs="Times New Roman"/>
          <w:color w:val="auto"/>
          <w:sz w:val="24"/>
          <w:szCs w:val="24"/>
        </w:rPr>
        <w:t xml:space="preserve"> </w:t>
      </w:r>
      <w:r w:rsidR="00427D66" w:rsidRPr="000F24CB">
        <w:rPr>
          <w:rFonts w:ascii="Times New Roman" w:hAnsi="Times New Roman" w:cs="Times New Roman"/>
          <w:color w:val="auto"/>
          <w:sz w:val="24"/>
          <w:szCs w:val="24"/>
        </w:rPr>
        <w:t xml:space="preserve">we plan to </w:t>
      </w:r>
      <w:r w:rsidRPr="000F24CB">
        <w:rPr>
          <w:rFonts w:ascii="Times New Roman" w:hAnsi="Times New Roman" w:cs="Times New Roman"/>
          <w:color w:val="auto"/>
          <w:sz w:val="24"/>
          <w:szCs w:val="24"/>
        </w:rPr>
        <w:t xml:space="preserve">perform log binomial (or other appropriate) modeling to </w:t>
      </w:r>
      <w:r w:rsidR="006813BC" w:rsidRPr="000F24CB">
        <w:rPr>
          <w:rFonts w:ascii="Times New Roman" w:hAnsi="Times New Roman" w:cs="Times New Roman"/>
          <w:color w:val="auto"/>
          <w:sz w:val="24"/>
          <w:szCs w:val="24"/>
        </w:rPr>
        <w:t xml:space="preserve">identify </w:t>
      </w:r>
      <w:r w:rsidRPr="000F24CB">
        <w:rPr>
          <w:rFonts w:ascii="Times New Roman" w:hAnsi="Times New Roman" w:cs="Times New Roman"/>
          <w:color w:val="auto"/>
          <w:sz w:val="24"/>
          <w:szCs w:val="24"/>
        </w:rPr>
        <w:t xml:space="preserve">factors significantly associated with HAI prevalence. </w:t>
      </w:r>
      <w:r w:rsidR="002775C3" w:rsidRPr="000F24CB">
        <w:rPr>
          <w:rFonts w:ascii="Times New Roman" w:hAnsi="Times New Roman" w:cs="Times New Roman"/>
          <w:color w:val="auto"/>
          <w:sz w:val="24"/>
          <w:szCs w:val="24"/>
        </w:rPr>
        <w:t xml:space="preserve"> The relevant factors</w:t>
      </w:r>
      <w:r w:rsidR="00427D66" w:rsidRPr="000F24CB">
        <w:rPr>
          <w:rFonts w:ascii="Times New Roman" w:hAnsi="Times New Roman" w:cs="Times New Roman"/>
          <w:color w:val="auto"/>
          <w:sz w:val="24"/>
          <w:szCs w:val="24"/>
        </w:rPr>
        <w:t xml:space="preserve"> </w:t>
      </w:r>
      <w:r w:rsidR="002775C3" w:rsidRPr="000F24CB">
        <w:rPr>
          <w:rFonts w:ascii="Times New Roman" w:hAnsi="Times New Roman" w:cs="Times New Roman"/>
          <w:color w:val="auto"/>
          <w:sz w:val="24"/>
          <w:szCs w:val="24"/>
        </w:rPr>
        <w:t xml:space="preserve">could include factors such as resident-type (short- or long-stay), indwelling urinary catheter use, diabetes, or presence of wounds/pressure ulcers. </w:t>
      </w:r>
      <w:r w:rsidRPr="000F24CB">
        <w:rPr>
          <w:rFonts w:ascii="Times New Roman" w:hAnsi="Times New Roman" w:cs="Times New Roman"/>
          <w:color w:val="auto"/>
          <w:sz w:val="24"/>
          <w:szCs w:val="24"/>
        </w:rPr>
        <w:t>The</w:t>
      </w:r>
      <w:r w:rsidR="000E168D" w:rsidRPr="000F24CB">
        <w:rPr>
          <w:rFonts w:ascii="Times New Roman" w:hAnsi="Times New Roman" w:cs="Times New Roman"/>
          <w:color w:val="auto"/>
          <w:sz w:val="24"/>
          <w:szCs w:val="24"/>
        </w:rPr>
        <w:t xml:space="preserve">n, </w:t>
      </w:r>
      <w:r w:rsidR="002775C3" w:rsidRPr="000F24CB">
        <w:rPr>
          <w:rFonts w:ascii="Times New Roman" w:hAnsi="Times New Roman" w:cs="Times New Roman"/>
          <w:color w:val="auto"/>
          <w:sz w:val="24"/>
          <w:szCs w:val="24"/>
        </w:rPr>
        <w:t xml:space="preserve">to </w:t>
      </w:r>
      <w:r w:rsidR="000E168D" w:rsidRPr="000F24CB">
        <w:rPr>
          <w:rFonts w:ascii="Times New Roman" w:hAnsi="Times New Roman" w:cs="Times New Roman"/>
          <w:color w:val="auto"/>
          <w:sz w:val="24"/>
          <w:szCs w:val="24"/>
        </w:rPr>
        <w:t>create an</w:t>
      </w:r>
      <w:r w:rsidRPr="000F24CB">
        <w:rPr>
          <w:rFonts w:ascii="Times New Roman" w:hAnsi="Times New Roman" w:cs="Times New Roman"/>
          <w:color w:val="auto"/>
          <w:sz w:val="24"/>
          <w:szCs w:val="24"/>
        </w:rPr>
        <w:t xml:space="preserve"> estimate of national HAI burden</w:t>
      </w:r>
      <w:r w:rsidR="000E168D" w:rsidRPr="000F24CB">
        <w:rPr>
          <w:rFonts w:ascii="Times New Roman" w:hAnsi="Times New Roman" w:cs="Times New Roman"/>
          <w:color w:val="auto"/>
          <w:sz w:val="24"/>
          <w:szCs w:val="24"/>
        </w:rPr>
        <w:t xml:space="preserve">, </w:t>
      </w:r>
      <w:r w:rsidRPr="000F24CB">
        <w:rPr>
          <w:rFonts w:ascii="Times New Roman" w:hAnsi="Times New Roman" w:cs="Times New Roman"/>
          <w:color w:val="auto"/>
          <w:sz w:val="24"/>
          <w:szCs w:val="24"/>
        </w:rPr>
        <w:t>adjusting for the relevant factors</w:t>
      </w:r>
      <w:r w:rsidR="000E168D" w:rsidRPr="000F24CB">
        <w:rPr>
          <w:rFonts w:ascii="Times New Roman" w:hAnsi="Times New Roman" w:cs="Times New Roman"/>
          <w:color w:val="auto"/>
          <w:sz w:val="24"/>
          <w:szCs w:val="24"/>
        </w:rPr>
        <w:t xml:space="preserve"> identified, </w:t>
      </w:r>
      <w:r w:rsidR="00427D66" w:rsidRPr="000F24CB">
        <w:rPr>
          <w:rFonts w:ascii="Times New Roman" w:hAnsi="Times New Roman" w:cs="Times New Roman"/>
          <w:color w:val="auto"/>
          <w:sz w:val="24"/>
          <w:szCs w:val="24"/>
        </w:rPr>
        <w:t>we will use</w:t>
      </w:r>
      <w:r w:rsidR="000E168D" w:rsidRPr="000F24CB">
        <w:rPr>
          <w:rFonts w:ascii="Times New Roman" w:hAnsi="Times New Roman" w:cs="Times New Roman"/>
          <w:color w:val="auto"/>
          <w:sz w:val="24"/>
          <w:szCs w:val="24"/>
        </w:rPr>
        <w:t xml:space="preserve"> data from</w:t>
      </w:r>
      <w:r w:rsidRPr="000F24CB">
        <w:rPr>
          <w:rFonts w:ascii="Times New Roman" w:hAnsi="Times New Roman" w:cs="Times New Roman"/>
          <w:color w:val="auto"/>
          <w:sz w:val="24"/>
          <w:szCs w:val="24"/>
        </w:rPr>
        <w:t xml:space="preserve"> N</w:t>
      </w:r>
      <w:r w:rsidR="000E168D" w:rsidRPr="000F24CB">
        <w:rPr>
          <w:rFonts w:ascii="Times New Roman" w:hAnsi="Times New Roman" w:cs="Times New Roman"/>
          <w:color w:val="auto"/>
          <w:sz w:val="24"/>
          <w:szCs w:val="24"/>
        </w:rPr>
        <w:t>ursing Home Compare, which includes data for every active nursing home in the United States (currently 15,691 facilities).</w:t>
      </w:r>
      <w:r w:rsidR="002775C3" w:rsidRPr="000F24CB">
        <w:rPr>
          <w:rFonts w:ascii="Times New Roman" w:hAnsi="Times New Roman" w:cs="Times New Roman"/>
          <w:color w:val="auto"/>
          <w:sz w:val="24"/>
          <w:szCs w:val="24"/>
        </w:rPr>
        <w:t xml:space="preserve"> Because the CMS Nursing Home Compare includes data for all U.S. nursing homes</w:t>
      </w:r>
      <w:r w:rsidR="00427D66" w:rsidRPr="000F24CB">
        <w:rPr>
          <w:rFonts w:ascii="Times New Roman" w:hAnsi="Times New Roman" w:cs="Times New Roman"/>
          <w:color w:val="auto"/>
          <w:sz w:val="24"/>
          <w:szCs w:val="24"/>
        </w:rPr>
        <w:t>,</w:t>
      </w:r>
      <w:r w:rsidR="002775C3" w:rsidRPr="000F24CB">
        <w:rPr>
          <w:rFonts w:ascii="Times New Roman" w:hAnsi="Times New Roman" w:cs="Times New Roman"/>
          <w:color w:val="auto"/>
          <w:sz w:val="24"/>
          <w:szCs w:val="24"/>
        </w:rPr>
        <w:t xml:space="preserve"> sample weights are not used.</w:t>
      </w:r>
    </w:p>
    <w:p w14:paraId="66F1C8B9" w14:textId="77777777" w:rsidR="00A57A94" w:rsidRPr="00EF4CAB" w:rsidRDefault="00A57A94" w:rsidP="00EF4CAB">
      <w:pPr>
        <w:rPr>
          <w:lang w:eastAsia="ja-JP"/>
        </w:rPr>
      </w:pPr>
    </w:p>
    <w:p w14:paraId="04FD4FE8" w14:textId="77777777" w:rsidR="00615E19" w:rsidRDefault="00615E19" w:rsidP="00CB3286">
      <w:pPr>
        <w:pStyle w:val="Heading2"/>
        <w:rPr>
          <w:rFonts w:ascii="Times New Roman" w:hAnsi="Times New Roman" w:cs="Times New Roman"/>
          <w:b/>
          <w:color w:val="auto"/>
          <w:sz w:val="24"/>
          <w:szCs w:val="24"/>
        </w:rPr>
      </w:pPr>
    </w:p>
    <w:p w14:paraId="57D4A509" w14:textId="4701610B" w:rsidR="00894C5B" w:rsidRPr="005333DC" w:rsidRDefault="00C3696A" w:rsidP="00CB3286">
      <w:pPr>
        <w:pStyle w:val="Heading2"/>
        <w:rPr>
          <w:rFonts w:ascii="Times New Roman" w:hAnsi="Times New Roman" w:cs="Times New Roman"/>
          <w:b/>
          <w:color w:val="auto"/>
          <w:sz w:val="24"/>
          <w:szCs w:val="24"/>
        </w:rPr>
      </w:pPr>
      <w:r w:rsidRPr="005333DC">
        <w:rPr>
          <w:rFonts w:ascii="Times New Roman" w:hAnsi="Times New Roman" w:cs="Times New Roman"/>
          <w:b/>
          <w:color w:val="auto"/>
          <w:sz w:val="24"/>
          <w:szCs w:val="24"/>
        </w:rPr>
        <w:t xml:space="preserve">3.  Methods to Maximize </w:t>
      </w:r>
      <w:r w:rsidR="002E5257">
        <w:rPr>
          <w:rFonts w:ascii="Times New Roman" w:hAnsi="Times New Roman" w:cs="Times New Roman"/>
          <w:b/>
          <w:color w:val="auto"/>
          <w:sz w:val="24"/>
          <w:szCs w:val="24"/>
        </w:rPr>
        <w:t>Response Rates and Deal with No</w:t>
      </w:r>
      <w:r w:rsidR="001639FA">
        <w:rPr>
          <w:rFonts w:ascii="Times New Roman" w:hAnsi="Times New Roman" w:cs="Times New Roman"/>
          <w:b/>
          <w:color w:val="auto"/>
          <w:sz w:val="24"/>
          <w:szCs w:val="24"/>
        </w:rPr>
        <w:t>n</w:t>
      </w:r>
      <w:r w:rsidR="002E5257">
        <w:rPr>
          <w:rFonts w:ascii="Times New Roman" w:hAnsi="Times New Roman" w:cs="Times New Roman"/>
          <w:b/>
          <w:color w:val="auto"/>
          <w:sz w:val="24"/>
          <w:szCs w:val="24"/>
        </w:rPr>
        <w:t xml:space="preserve"> R</w:t>
      </w:r>
      <w:r w:rsidRPr="005333DC">
        <w:rPr>
          <w:rFonts w:ascii="Times New Roman" w:hAnsi="Times New Roman" w:cs="Times New Roman"/>
          <w:b/>
          <w:color w:val="auto"/>
          <w:sz w:val="24"/>
          <w:szCs w:val="24"/>
        </w:rPr>
        <w:t>esponse</w:t>
      </w:r>
      <w:bookmarkEnd w:id="3"/>
      <w:r w:rsidR="001639FA">
        <w:rPr>
          <w:rFonts w:ascii="Times New Roman" w:hAnsi="Times New Roman" w:cs="Times New Roman"/>
          <w:b/>
          <w:color w:val="auto"/>
          <w:sz w:val="24"/>
          <w:szCs w:val="24"/>
        </w:rPr>
        <w:t xml:space="preserve"> Bias</w:t>
      </w:r>
    </w:p>
    <w:p w14:paraId="13CC1E44" w14:textId="77777777" w:rsidR="00894C5B" w:rsidRDefault="00894C5B" w:rsidP="00CB3286">
      <w:pPr>
        <w:ind w:left="720" w:hanging="720"/>
        <w:rPr>
          <w:b/>
        </w:rPr>
      </w:pPr>
    </w:p>
    <w:p w14:paraId="416517D5" w14:textId="5AEDC73F" w:rsidR="000B72BE" w:rsidRDefault="00C3696A" w:rsidP="00CB3286">
      <w:r>
        <w:t xml:space="preserve">This project is an assessment of HAI prevalence and antimicrobial use in U.S. </w:t>
      </w:r>
      <w:r w:rsidR="0025247D">
        <w:t>nursing homes</w:t>
      </w:r>
      <w:r w:rsidR="00EB644A">
        <w:t xml:space="preserve"> and is not a </w:t>
      </w:r>
      <w:r w:rsidR="001A2296">
        <w:t>traditional survey</w:t>
      </w:r>
      <w:r w:rsidR="00894C5B">
        <w:t xml:space="preserve">. </w:t>
      </w:r>
      <w:r>
        <w:t xml:space="preserve">Facilities will be identified for participation based on </w:t>
      </w:r>
      <w:r w:rsidR="00092735">
        <w:t xml:space="preserve">their </w:t>
      </w:r>
      <w:r>
        <w:t xml:space="preserve">location within </w:t>
      </w:r>
      <w:r w:rsidR="00092735">
        <w:t xml:space="preserve">an </w:t>
      </w:r>
      <w:r>
        <w:t xml:space="preserve">EIP catchment area.  </w:t>
      </w:r>
      <w:r w:rsidR="00092735">
        <w:t>Healthcare facilities</w:t>
      </w:r>
      <w:r w:rsidR="0025247D">
        <w:t xml:space="preserve">, including nursing homes, </w:t>
      </w:r>
      <w:r>
        <w:t xml:space="preserve">in EIP catchment areas </w:t>
      </w:r>
      <w:r w:rsidR="001A2296">
        <w:t>have existing</w:t>
      </w:r>
      <w:r>
        <w:t xml:space="preserve"> working relationships with EIP personnel</w:t>
      </w:r>
      <w:r w:rsidR="00D951B1">
        <w:t xml:space="preserve"> through their </w:t>
      </w:r>
      <w:r w:rsidR="00D951B1">
        <w:lastRenderedPageBreak/>
        <w:t>participation in on-going infection surveillance activities, including EIP staff routinely contacting healthcare facility to conduct medical chart reviews</w:t>
      </w:r>
      <w:r>
        <w:t xml:space="preserve">. </w:t>
      </w:r>
      <w:r w:rsidR="000B72BE">
        <w:t xml:space="preserve">EIP personnel will provide information about the 2017 survey to facilities in their catchment areas through email, telephone and in-person communications. </w:t>
      </w:r>
      <w:r w:rsidR="00FC4FFC">
        <w:t xml:space="preserve">An informational document describing project goals and participation requirements will be provided to facilities (Attachment H).  </w:t>
      </w:r>
    </w:p>
    <w:p w14:paraId="4D02ABE2" w14:textId="77777777" w:rsidR="000640FC" w:rsidRDefault="000640FC" w:rsidP="00CB3286"/>
    <w:p w14:paraId="7A88E759" w14:textId="5AF2846A" w:rsidR="000640FC" w:rsidRDefault="000640FC" w:rsidP="00CB3286">
      <w:r>
        <w:t>Based on discussions with lead investigators for the two European CDC prevalence surveys in long-term care facilities, and our own experiences conducting a small pilot, the 2017 survey has been designed to minimize the data collection burden on nursing home participants.  For the majority of participants, the only data collection they will be responsible for is the completions of the Healthcare Facility Assessment</w:t>
      </w:r>
      <w:r w:rsidR="00EC12BF">
        <w:t xml:space="preserve"> (Attachment C)</w:t>
      </w:r>
      <w:r>
        <w:t xml:space="preserve">. This is because, as for the CDC hospital prevalence survey, EIP site project staff </w:t>
      </w:r>
      <w:r w:rsidR="00EC12BF">
        <w:t>will be</w:t>
      </w:r>
      <w:r>
        <w:t xml:space="preserve"> able to perform all of the remaining data collection. We anticipate the limited data collection burden placed on nursing home staff will help to maximize participation in the survey.</w:t>
      </w:r>
    </w:p>
    <w:p w14:paraId="0924882E" w14:textId="77777777" w:rsidR="000B72BE" w:rsidRDefault="000B72BE" w:rsidP="00CB3286"/>
    <w:p w14:paraId="47336055" w14:textId="3EFE1813" w:rsidR="00FA0623" w:rsidRDefault="006813BC" w:rsidP="00CB3286">
      <w:r>
        <w:t>Furthermore</w:t>
      </w:r>
      <w:r w:rsidR="00C35671">
        <w:t>, w</w:t>
      </w:r>
      <w:r w:rsidR="00C3696A" w:rsidRPr="00245111">
        <w:t xml:space="preserve">e believe that </w:t>
      </w:r>
      <w:r w:rsidR="00730F52">
        <w:t xml:space="preserve">nursing homes </w:t>
      </w:r>
      <w:r w:rsidR="00C3696A" w:rsidRPr="00245111">
        <w:t xml:space="preserve">will have significant interest </w:t>
      </w:r>
      <w:r w:rsidR="00C3696A">
        <w:t xml:space="preserve">in </w:t>
      </w:r>
      <w:r w:rsidR="00E541ED">
        <w:t xml:space="preserve">the </w:t>
      </w:r>
      <w:r w:rsidR="00EC2055">
        <w:t xml:space="preserve">2017 </w:t>
      </w:r>
      <w:r w:rsidR="00C3696A">
        <w:t xml:space="preserve">survey as part of </w:t>
      </w:r>
      <w:r w:rsidR="00C3696A" w:rsidRPr="00245111">
        <w:t>national effort</w:t>
      </w:r>
      <w:r w:rsidR="00C3696A">
        <w:t>s</w:t>
      </w:r>
      <w:r w:rsidR="00C3696A" w:rsidRPr="00245111">
        <w:t xml:space="preserve"> to prevent HAIs</w:t>
      </w:r>
      <w:r w:rsidR="00E541ED">
        <w:t xml:space="preserve"> and improve antimicrobial use and reduce the emergence and spread of </w:t>
      </w:r>
      <w:r w:rsidR="00730F52">
        <w:t xml:space="preserve">HAIs and </w:t>
      </w:r>
      <w:r w:rsidR="00E541ED">
        <w:t>antimicrobial resistant pathogens</w:t>
      </w:r>
      <w:r w:rsidR="00FA0623">
        <w:t>.</w:t>
      </w:r>
      <w:r w:rsidR="000B72BE">
        <w:t xml:space="preserve"> </w:t>
      </w:r>
      <w:r w:rsidR="000B72BE" w:rsidRPr="000B72BE">
        <w:t xml:space="preserve">For example, </w:t>
      </w:r>
      <w:r w:rsidR="000B72BE">
        <w:t>the 2015 CDC</w:t>
      </w:r>
      <w:r w:rsidR="000B72BE">
        <w:rPr>
          <w:color w:val="333333"/>
        </w:rPr>
        <w:t xml:space="preserve"> Core Elements of Antibiotic Stewardship for Nursing Homes, recommending the i</w:t>
      </w:r>
      <w:r w:rsidR="00730F52">
        <w:rPr>
          <w:color w:val="333333"/>
        </w:rPr>
        <w:t xml:space="preserve">mplementation </w:t>
      </w:r>
      <w:r w:rsidR="000B72BE">
        <w:rPr>
          <w:color w:val="333333"/>
        </w:rPr>
        <w:t xml:space="preserve">of antibiotic stewardship activities in all nursing home </w:t>
      </w:r>
      <w:hyperlink r:id="rId15" w:history="1">
        <w:r w:rsidR="000B72BE" w:rsidRPr="00360349">
          <w:rPr>
            <w:rStyle w:val="Hyperlink"/>
          </w:rPr>
          <w:t>www.cdc.gov/longtermcare/prevention/antibiotic-stewardship.html</w:t>
        </w:r>
      </w:hyperlink>
      <w:r w:rsidR="000B72BE">
        <w:rPr>
          <w:color w:val="333333"/>
        </w:rPr>
        <w:t xml:space="preserve">, and </w:t>
      </w:r>
      <w:r w:rsidR="000B72BE">
        <w:t xml:space="preserve">the 2015 </w:t>
      </w:r>
      <w:r w:rsidR="000B72BE" w:rsidRPr="000B72BE">
        <w:rPr>
          <w:lang w:val="en"/>
        </w:rPr>
        <w:t>Presidential Advisory Council on Combating Antibiotic-Resistant Bacteria</w:t>
      </w:r>
      <w:r w:rsidR="000B72BE">
        <w:rPr>
          <w:lang w:val="en"/>
        </w:rPr>
        <w:t xml:space="preserve"> (CARB) initiative</w:t>
      </w:r>
      <w:r w:rsidR="000B72BE" w:rsidRPr="000B72BE">
        <w:rPr>
          <w:lang w:val="en"/>
        </w:rPr>
        <w:t xml:space="preserve"> </w:t>
      </w:r>
      <w:hyperlink r:id="rId16" w:history="1">
        <w:r w:rsidR="000B72BE" w:rsidRPr="00360349">
          <w:rPr>
            <w:rStyle w:val="Hyperlink"/>
          </w:rPr>
          <w:t>www.hhs.gov/ash/carb/</w:t>
        </w:r>
      </w:hyperlink>
      <w:r w:rsidR="000B72BE">
        <w:t xml:space="preserve">. </w:t>
      </w:r>
      <w:r w:rsidR="00B94255">
        <w:t xml:space="preserve">The CDC </w:t>
      </w:r>
      <w:r w:rsidR="000B72BE">
        <w:t xml:space="preserve">pilot </w:t>
      </w:r>
      <w:r w:rsidR="00B94255">
        <w:t>nursing home</w:t>
      </w:r>
      <w:r w:rsidR="00C3696A">
        <w:t xml:space="preserve"> </w:t>
      </w:r>
      <w:r w:rsidR="000B72BE">
        <w:t>survey</w:t>
      </w:r>
      <w:r w:rsidR="00C3696A">
        <w:t xml:space="preserve"> experience confirmed a high level of enthusiasm for this project among </w:t>
      </w:r>
      <w:r w:rsidR="001C05B9">
        <w:t>nursing home staff</w:t>
      </w:r>
      <w:r w:rsidR="00C3696A">
        <w:t xml:space="preserve">. </w:t>
      </w:r>
      <w:r w:rsidR="001A42A1">
        <w:t xml:space="preserve"> </w:t>
      </w:r>
      <w:r w:rsidR="00FA0623" w:rsidRPr="00B94255">
        <w:t xml:space="preserve">We may also work with key stakeholder professional organizations (e.g., </w:t>
      </w:r>
      <w:r w:rsidR="001A2296">
        <w:t>T</w:t>
      </w:r>
      <w:r w:rsidR="00FA0623" w:rsidRPr="00B94255">
        <w:t xml:space="preserve">he </w:t>
      </w:r>
      <w:r w:rsidR="00EC2055" w:rsidRPr="00B94255">
        <w:t>Society for Post-Acute and Long-Term Care</w:t>
      </w:r>
      <w:r w:rsidR="001A2296">
        <w:t xml:space="preserve"> Medicine</w:t>
      </w:r>
      <w:r w:rsidR="00EC2055" w:rsidRPr="00B94255">
        <w:t>,</w:t>
      </w:r>
      <w:r w:rsidR="00FA0623" w:rsidRPr="00B94255">
        <w:t xml:space="preserve"> </w:t>
      </w:r>
      <w:r w:rsidR="00B94255" w:rsidRPr="00B94255">
        <w:t xml:space="preserve">the </w:t>
      </w:r>
      <w:r w:rsidR="00B94255" w:rsidRPr="00B94255">
        <w:rPr>
          <w:rStyle w:val="st1"/>
          <w:lang w:val="en"/>
        </w:rPr>
        <w:t xml:space="preserve">National Association Directors of Nursing Administration/Long Term Care, </w:t>
      </w:r>
      <w:r w:rsidR="001A2296">
        <w:t>T</w:t>
      </w:r>
      <w:r w:rsidR="00FA0623" w:rsidRPr="00B94255">
        <w:t xml:space="preserve">he </w:t>
      </w:r>
      <w:r w:rsidR="00A50FEF" w:rsidRPr="00B94255">
        <w:t>Society for Healthcare Epidemiolog</w:t>
      </w:r>
      <w:r w:rsidR="001A2296">
        <w:t>y</w:t>
      </w:r>
      <w:r w:rsidR="00A50FEF" w:rsidRPr="00B94255">
        <w:t xml:space="preserve"> of America, and the </w:t>
      </w:r>
      <w:r w:rsidR="00FA0623" w:rsidRPr="00B94255">
        <w:t xml:space="preserve">Association </w:t>
      </w:r>
      <w:r w:rsidR="001A2296">
        <w:t>for</w:t>
      </w:r>
      <w:r w:rsidR="00FA0623" w:rsidRPr="00B94255">
        <w:t xml:space="preserve"> Professionals in Infection Control and Epidemiology) to disseminate information about the survey and encourage participation.</w:t>
      </w:r>
    </w:p>
    <w:p w14:paraId="69C84B4E" w14:textId="77777777" w:rsidR="000E168D" w:rsidRDefault="000E168D" w:rsidP="00A4261E">
      <w:pPr>
        <w:pStyle w:val="CM22"/>
        <w:spacing w:after="272" w:line="276" w:lineRule="atLeast"/>
        <w:ind w:right="87"/>
        <w:rPr>
          <w:rFonts w:ascii="Times New Roman" w:hAnsi="Times New Roman"/>
        </w:rPr>
      </w:pPr>
    </w:p>
    <w:p w14:paraId="7915FA71" w14:textId="5888C301" w:rsidR="00A4261E" w:rsidRPr="009C0417" w:rsidRDefault="00B70EA5" w:rsidP="00A4261E">
      <w:pPr>
        <w:pStyle w:val="CM22"/>
        <w:spacing w:after="272" w:line="276" w:lineRule="atLeast"/>
        <w:ind w:right="87"/>
        <w:rPr>
          <w:rFonts w:ascii="Times New Roman" w:hAnsi="Times New Roman"/>
          <w:color w:val="000000"/>
        </w:rPr>
      </w:pPr>
      <w:r>
        <w:rPr>
          <w:rFonts w:ascii="Times New Roman" w:hAnsi="Times New Roman"/>
        </w:rPr>
        <w:t>D</w:t>
      </w:r>
      <w:r w:rsidR="00A4261E">
        <w:rPr>
          <w:rFonts w:ascii="Times New Roman" w:hAnsi="Times New Roman"/>
        </w:rPr>
        <w:t>ata from the CMS Nursing Home Compare</w:t>
      </w:r>
      <w:r w:rsidR="00A4261E" w:rsidRPr="00D8482F">
        <w:rPr>
          <w:rFonts w:ascii="Times New Roman" w:hAnsi="Times New Roman"/>
          <w:color w:val="000000"/>
        </w:rPr>
        <w:t xml:space="preserve"> </w:t>
      </w:r>
      <w:r w:rsidR="00370494">
        <w:rPr>
          <w:rFonts w:ascii="Times New Roman" w:hAnsi="Times New Roman"/>
        </w:rPr>
        <w:t>will be used to</w:t>
      </w:r>
      <w:r w:rsidR="003B7BF8">
        <w:rPr>
          <w:rFonts w:ascii="Times New Roman" w:hAnsi="Times New Roman"/>
        </w:rPr>
        <w:t xml:space="preserve"> assess the impact of non-response bias</w:t>
      </w:r>
      <w:r w:rsidR="00370494">
        <w:rPr>
          <w:rFonts w:ascii="Times New Roman" w:hAnsi="Times New Roman"/>
        </w:rPr>
        <w:t xml:space="preserve"> on the prevalence of HAI and antimicrobial use.</w:t>
      </w:r>
      <w:r w:rsidR="00875588">
        <w:rPr>
          <w:rFonts w:ascii="Times New Roman" w:hAnsi="Times New Roman"/>
        </w:rPr>
        <w:t xml:space="preserve"> </w:t>
      </w:r>
      <w:r w:rsidR="003B7BF8">
        <w:rPr>
          <w:rFonts w:ascii="Times New Roman" w:hAnsi="Times New Roman"/>
        </w:rPr>
        <w:t xml:space="preserve">Because these datasets contain facility-level characteristics for all active nursing homes in the United States, we will be able to </w:t>
      </w:r>
      <w:r w:rsidR="00A4261E" w:rsidRPr="00D8482F">
        <w:rPr>
          <w:rFonts w:ascii="Times New Roman" w:hAnsi="Times New Roman"/>
        </w:rPr>
        <w:t xml:space="preserve">obtain </w:t>
      </w:r>
      <w:r>
        <w:rPr>
          <w:rFonts w:ascii="Times New Roman" w:hAnsi="Times New Roman"/>
        </w:rPr>
        <w:t xml:space="preserve">data </w:t>
      </w:r>
      <w:r w:rsidR="00A4261E">
        <w:rPr>
          <w:rFonts w:ascii="Times New Roman" w:hAnsi="Times New Roman"/>
        </w:rPr>
        <w:t>for nu</w:t>
      </w:r>
      <w:r>
        <w:rPr>
          <w:rFonts w:ascii="Times New Roman" w:hAnsi="Times New Roman"/>
        </w:rPr>
        <w:t>r</w:t>
      </w:r>
      <w:r w:rsidR="00A4261E">
        <w:rPr>
          <w:rFonts w:ascii="Times New Roman" w:hAnsi="Times New Roman"/>
        </w:rPr>
        <w:t xml:space="preserve">sing homes that are randomly selected for </w:t>
      </w:r>
      <w:r w:rsidR="007A47CC">
        <w:rPr>
          <w:rFonts w:ascii="Times New Roman" w:hAnsi="Times New Roman"/>
        </w:rPr>
        <w:t>participation</w:t>
      </w:r>
      <w:r w:rsidR="00A4261E">
        <w:rPr>
          <w:rFonts w:ascii="Times New Roman" w:hAnsi="Times New Roman"/>
        </w:rPr>
        <w:t xml:space="preserve"> in the survey, but decline participation or </w:t>
      </w:r>
      <w:r w:rsidR="003B7BF8">
        <w:rPr>
          <w:rFonts w:ascii="Times New Roman" w:hAnsi="Times New Roman"/>
        </w:rPr>
        <w:t>do not respond to EIP staff attempts to contact them</w:t>
      </w:r>
      <w:r w:rsidR="00A4261E">
        <w:rPr>
          <w:rFonts w:ascii="Times New Roman" w:hAnsi="Times New Roman"/>
        </w:rPr>
        <w:t xml:space="preserve">.  The CMS </w:t>
      </w:r>
      <w:r w:rsidR="003B7BF8">
        <w:rPr>
          <w:rFonts w:ascii="Times New Roman" w:hAnsi="Times New Roman"/>
        </w:rPr>
        <w:t>N</w:t>
      </w:r>
      <w:r w:rsidR="00A4261E">
        <w:rPr>
          <w:rFonts w:ascii="Times New Roman" w:hAnsi="Times New Roman"/>
        </w:rPr>
        <w:t xml:space="preserve">ursing </w:t>
      </w:r>
      <w:r w:rsidR="003B7BF8">
        <w:rPr>
          <w:rFonts w:ascii="Times New Roman" w:hAnsi="Times New Roman"/>
        </w:rPr>
        <w:t>Home C</w:t>
      </w:r>
      <w:r w:rsidR="00A4261E">
        <w:rPr>
          <w:rFonts w:ascii="Times New Roman" w:hAnsi="Times New Roman"/>
        </w:rPr>
        <w:t xml:space="preserve">ompare </w:t>
      </w:r>
      <w:r w:rsidR="003B7BF8">
        <w:rPr>
          <w:rFonts w:ascii="Times New Roman" w:hAnsi="Times New Roman"/>
        </w:rPr>
        <w:t>data for nursing homes that participate in the survey and non-respondents can be compared to determine if systemic differences between the two groups exists with respect to</w:t>
      </w:r>
      <w:r w:rsidR="00875588">
        <w:rPr>
          <w:rFonts w:ascii="Times New Roman" w:hAnsi="Times New Roman"/>
        </w:rPr>
        <w:t xml:space="preserve"> 1)</w:t>
      </w:r>
      <w:r w:rsidR="003B7BF8">
        <w:rPr>
          <w:rFonts w:ascii="Times New Roman" w:hAnsi="Times New Roman"/>
        </w:rPr>
        <w:t xml:space="preserve"> variables </w:t>
      </w:r>
      <w:r w:rsidR="007A47CC">
        <w:rPr>
          <w:rFonts w:ascii="Times New Roman" w:hAnsi="Times New Roman"/>
        </w:rPr>
        <w:t>commonly</w:t>
      </w:r>
      <w:r w:rsidR="003B7BF8">
        <w:rPr>
          <w:rFonts w:ascii="Times New Roman" w:hAnsi="Times New Roman"/>
        </w:rPr>
        <w:t xml:space="preserve"> used to describe nursing homes (</w:t>
      </w:r>
      <w:r w:rsidR="00875588">
        <w:rPr>
          <w:rFonts w:ascii="Times New Roman" w:hAnsi="Times New Roman"/>
        </w:rPr>
        <w:t>size, ownership, staffing-ratios</w:t>
      </w:r>
      <w:r w:rsidR="003B7BF8">
        <w:rPr>
          <w:rFonts w:ascii="Times New Roman" w:hAnsi="Times New Roman"/>
        </w:rPr>
        <w:t xml:space="preserve">, </w:t>
      </w:r>
      <w:r w:rsidR="007A47CC">
        <w:rPr>
          <w:rFonts w:ascii="Times New Roman" w:hAnsi="Times New Roman"/>
        </w:rPr>
        <w:t>CMS</w:t>
      </w:r>
      <w:r w:rsidR="003B7BF8">
        <w:rPr>
          <w:rFonts w:ascii="Times New Roman" w:hAnsi="Times New Roman"/>
        </w:rPr>
        <w:t xml:space="preserve"> quality measures)</w:t>
      </w:r>
      <w:r w:rsidR="007A47CC">
        <w:rPr>
          <w:rFonts w:ascii="Times New Roman" w:hAnsi="Times New Roman"/>
        </w:rPr>
        <w:t>, and 2) the</w:t>
      </w:r>
      <w:r w:rsidR="00875588">
        <w:rPr>
          <w:rFonts w:ascii="Times New Roman" w:hAnsi="Times New Roman"/>
        </w:rPr>
        <w:t xml:space="preserve"> variables that are found to be associated with HAI or antimicrobial use prevalence </w:t>
      </w:r>
      <w:r w:rsidR="007A47CC">
        <w:rPr>
          <w:rFonts w:ascii="Times New Roman" w:hAnsi="Times New Roman"/>
        </w:rPr>
        <w:t>during analysis of data for</w:t>
      </w:r>
      <w:r w:rsidR="00875588">
        <w:rPr>
          <w:rFonts w:ascii="Times New Roman" w:hAnsi="Times New Roman"/>
        </w:rPr>
        <w:t xml:space="preserve"> sample of participating nursing homes</w:t>
      </w:r>
      <w:r w:rsidR="003B7BF8">
        <w:rPr>
          <w:rFonts w:ascii="Times New Roman" w:hAnsi="Times New Roman"/>
        </w:rPr>
        <w:t xml:space="preserve">. Similarly, an assessment of how </w:t>
      </w:r>
      <w:r w:rsidR="003B7BF8" w:rsidRPr="00875588">
        <w:rPr>
          <w:rFonts w:ascii="Times New Roman" w:hAnsi="Times New Roman"/>
        </w:rPr>
        <w:t>the</w:t>
      </w:r>
      <w:r w:rsidR="003B7BF8" w:rsidRPr="00EF4CAB">
        <w:t xml:space="preserve"> sample of nursing homes</w:t>
      </w:r>
      <w:r w:rsidR="00875588" w:rsidRPr="00EF4CAB">
        <w:t xml:space="preserve"> participating in the</w:t>
      </w:r>
      <w:r w:rsidR="00A4261E" w:rsidRPr="00EF4CAB">
        <w:t xml:space="preserve"> survey </w:t>
      </w:r>
      <w:r w:rsidR="003B7BF8" w:rsidRPr="00EF4CAB">
        <w:t>can be compare to data for all nursing homes in the United States</w:t>
      </w:r>
      <w:r w:rsidR="00A4261E" w:rsidRPr="00EF4CAB">
        <w:t xml:space="preserve">.  </w:t>
      </w:r>
    </w:p>
    <w:p w14:paraId="0995B619" w14:textId="77777777" w:rsidR="00777E5F" w:rsidRDefault="00777E5F" w:rsidP="00CB3286"/>
    <w:p w14:paraId="19036EEE" w14:textId="77777777" w:rsidR="005333DC" w:rsidRDefault="005333DC" w:rsidP="00CB3286"/>
    <w:p w14:paraId="43FDD10B" w14:textId="77777777" w:rsidR="000E168D" w:rsidRPr="00B94255" w:rsidRDefault="000E168D" w:rsidP="00CB3286"/>
    <w:p w14:paraId="66DF96B6" w14:textId="77777777" w:rsidR="00FA0623" w:rsidRPr="005333DC" w:rsidRDefault="00C3696A" w:rsidP="00CB3286">
      <w:pPr>
        <w:pStyle w:val="Heading2"/>
        <w:rPr>
          <w:rFonts w:ascii="Times New Roman" w:hAnsi="Times New Roman" w:cs="Times New Roman"/>
          <w:b/>
          <w:color w:val="auto"/>
          <w:sz w:val="24"/>
          <w:szCs w:val="24"/>
        </w:rPr>
      </w:pPr>
      <w:bookmarkStart w:id="4" w:name="_Toc444081156"/>
      <w:r w:rsidRPr="005333DC">
        <w:rPr>
          <w:rFonts w:ascii="Times New Roman" w:hAnsi="Times New Roman" w:cs="Times New Roman"/>
          <w:b/>
          <w:color w:val="auto"/>
          <w:sz w:val="24"/>
          <w:szCs w:val="24"/>
        </w:rPr>
        <w:t>4.  Tests of Procedures or Methods to be Undertaken</w:t>
      </w:r>
      <w:bookmarkEnd w:id="4"/>
    </w:p>
    <w:p w14:paraId="2AA5B81C" w14:textId="77777777" w:rsidR="00FA0623" w:rsidRDefault="00FA0623" w:rsidP="00CB3286">
      <w:pPr>
        <w:ind w:left="720" w:hanging="720"/>
        <w:rPr>
          <w:b/>
        </w:rPr>
      </w:pPr>
    </w:p>
    <w:p w14:paraId="3294C48B" w14:textId="187A0A60" w:rsidR="00C3696A" w:rsidRDefault="00B94255" w:rsidP="00CB3286">
      <w:r>
        <w:t>T</w:t>
      </w:r>
      <w:r w:rsidR="00FB6445">
        <w:t>his survey was modeled on prior prevalence surveys performed in acute care hospitals</w:t>
      </w:r>
      <w:r w:rsidR="007D4780">
        <w:t xml:space="preserve"> </w:t>
      </w:r>
      <w:r>
        <w:t xml:space="preserve">by the CDC </w:t>
      </w:r>
      <w:r w:rsidR="007D4780">
        <w:t>(</w:t>
      </w:r>
      <w:r w:rsidR="00D9584D" w:rsidRPr="00D8482F">
        <w:t xml:space="preserve">2015 survey </w:t>
      </w:r>
      <w:r w:rsidR="001A2296">
        <w:t>[</w:t>
      </w:r>
      <w:r w:rsidR="00D9584D" w:rsidRPr="00D8482F">
        <w:t>OMB Control No. 0920-0852, expiration date 12/31/2016]</w:t>
      </w:r>
      <w:r w:rsidR="007D4780">
        <w:t>)</w:t>
      </w:r>
      <w:r w:rsidR="00FB6445">
        <w:t xml:space="preserve">, and </w:t>
      </w:r>
      <w:r>
        <w:t>in European long-term care facilities by the European CDC. S</w:t>
      </w:r>
      <w:r w:rsidR="00FB6445">
        <w:t xml:space="preserve">taff with expertise in </w:t>
      </w:r>
      <w:r>
        <w:t xml:space="preserve">designing and </w:t>
      </w:r>
      <w:r w:rsidR="00FB6445">
        <w:t xml:space="preserve">conducting </w:t>
      </w:r>
      <w:r>
        <w:t xml:space="preserve">these surveys were consulted during the design and development of this survey.  </w:t>
      </w:r>
      <w:r w:rsidR="007D4780">
        <w:t>Additionally</w:t>
      </w:r>
      <w:r w:rsidR="00FB6445">
        <w:t>,</w:t>
      </w:r>
      <w:r>
        <w:t xml:space="preserve"> we </w:t>
      </w:r>
      <w:r w:rsidR="00D9584D">
        <w:t>conducted</w:t>
      </w:r>
      <w:r w:rsidR="00FB6445">
        <w:t xml:space="preserve"> </w:t>
      </w:r>
      <w:r w:rsidR="000852A2">
        <w:t>a pilot</w:t>
      </w:r>
      <w:r w:rsidR="007D4780">
        <w:t xml:space="preserve"> </w:t>
      </w:r>
      <w:r>
        <w:t xml:space="preserve">HAI </w:t>
      </w:r>
      <w:r w:rsidR="007D4780">
        <w:t>and antimicrobial use</w:t>
      </w:r>
      <w:r w:rsidR="000852A2">
        <w:t xml:space="preserve"> </w:t>
      </w:r>
      <w:r>
        <w:t xml:space="preserve">prevalence </w:t>
      </w:r>
      <w:r w:rsidR="000852A2">
        <w:t>survey</w:t>
      </w:r>
      <w:r w:rsidR="00FB6445">
        <w:t xml:space="preserve"> in </w:t>
      </w:r>
      <w:r w:rsidR="00D9584D">
        <w:t xml:space="preserve">nine </w:t>
      </w:r>
      <w:r w:rsidR="00FB6445">
        <w:t>nursing homes</w:t>
      </w:r>
      <w:r w:rsidR="007D4780">
        <w:t xml:space="preserve"> in 4 EIP states (CT,</w:t>
      </w:r>
      <w:r w:rsidR="00F2356D">
        <w:t xml:space="preserve"> </w:t>
      </w:r>
      <w:r w:rsidR="007D4780">
        <w:t>NY, MN and NM)</w:t>
      </w:r>
      <w:r w:rsidR="00FB6445">
        <w:t xml:space="preserve"> </w:t>
      </w:r>
      <w:r w:rsidR="000852A2">
        <w:t>in 2013</w:t>
      </w:r>
      <w:r w:rsidR="001A42A1">
        <w:t>/14</w:t>
      </w:r>
      <w:r w:rsidR="000852A2">
        <w:t xml:space="preserve">. </w:t>
      </w:r>
      <w:r w:rsidR="002D3E90">
        <w:t>This</w:t>
      </w:r>
      <w:r>
        <w:t xml:space="preserve"> experience was instrumental </w:t>
      </w:r>
      <w:r w:rsidR="000B2CFF">
        <w:t xml:space="preserve">in </w:t>
      </w:r>
      <w:r>
        <w:t>inform</w:t>
      </w:r>
      <w:r w:rsidR="000B2CFF">
        <w:t>ing</w:t>
      </w:r>
      <w:r>
        <w:t xml:space="preserve"> plans for the 2017</w:t>
      </w:r>
      <w:r w:rsidR="000B2CFF">
        <w:t xml:space="preserve"> survey</w:t>
      </w:r>
      <w:r>
        <w:t xml:space="preserve">, including modifications to the data collection instruments and instructions, and delineating data collection roles and responsibilities </w:t>
      </w:r>
      <w:r w:rsidR="00D9584D">
        <w:t>among the NH</w:t>
      </w:r>
      <w:r>
        <w:t xml:space="preserve"> team and EIP Team.</w:t>
      </w:r>
      <w:r w:rsidR="000852A2">
        <w:t xml:space="preserve"> </w:t>
      </w:r>
    </w:p>
    <w:p w14:paraId="5DED683F" w14:textId="77777777" w:rsidR="0090561A" w:rsidRPr="00FA0623" w:rsidRDefault="0090561A" w:rsidP="00CB3286">
      <w:pPr>
        <w:rPr>
          <w:b/>
        </w:rPr>
      </w:pPr>
    </w:p>
    <w:p w14:paraId="3AC91027" w14:textId="77777777" w:rsidR="00C3696A" w:rsidRPr="005333DC" w:rsidRDefault="00C3696A" w:rsidP="00CB3286">
      <w:pPr>
        <w:pStyle w:val="Heading2"/>
        <w:rPr>
          <w:rFonts w:ascii="Times New Roman" w:hAnsi="Times New Roman" w:cs="Times New Roman"/>
          <w:b/>
          <w:color w:val="auto"/>
          <w:sz w:val="24"/>
          <w:szCs w:val="24"/>
        </w:rPr>
      </w:pPr>
      <w:bookmarkStart w:id="5" w:name="_Toc444081157"/>
      <w:r w:rsidRPr="005333DC">
        <w:rPr>
          <w:rFonts w:ascii="Times New Roman" w:hAnsi="Times New Roman" w:cs="Times New Roman"/>
          <w:b/>
          <w:color w:val="auto"/>
          <w:sz w:val="24"/>
          <w:szCs w:val="24"/>
        </w:rPr>
        <w:t>5.   Individuals Consulted on Statistical Aspects and Individuals Collecting and/or Analyzing Data</w:t>
      </w:r>
      <w:bookmarkEnd w:id="5"/>
    </w:p>
    <w:p w14:paraId="4E7D727F" w14:textId="77777777" w:rsidR="005A2FB9" w:rsidRDefault="005A2FB9" w:rsidP="00CB3286">
      <w:pPr>
        <w:rPr>
          <w:b/>
        </w:rPr>
      </w:pPr>
    </w:p>
    <w:p w14:paraId="3D9E532B" w14:textId="77777777" w:rsidR="00C3696A" w:rsidRDefault="00C3696A" w:rsidP="00CB3286">
      <w:r>
        <w:t>CDC statistician consulted for project design and data analysis:</w:t>
      </w:r>
    </w:p>
    <w:p w14:paraId="7DE97B13" w14:textId="77777777" w:rsidR="00C3696A" w:rsidRDefault="00C3696A" w:rsidP="00CB3286">
      <w:pPr>
        <w:outlineLvl w:val="0"/>
      </w:pPr>
      <w:r>
        <w:t xml:space="preserve">Jonathan R. Edwards, MStat </w:t>
      </w:r>
    </w:p>
    <w:p w14:paraId="01237BAC" w14:textId="77777777" w:rsidR="00C3696A" w:rsidRDefault="00C3696A" w:rsidP="00CB3286">
      <w:pPr>
        <w:outlineLvl w:val="0"/>
      </w:pPr>
      <w:r>
        <w:t>Leader, Statistics Team</w:t>
      </w:r>
    </w:p>
    <w:p w14:paraId="494C1B06" w14:textId="77777777" w:rsidR="00C3696A" w:rsidRDefault="00C3696A" w:rsidP="00CB3286">
      <w:r>
        <w:t>Surveillance Branch, Division of Healthcare Quality Promotion</w:t>
      </w:r>
    </w:p>
    <w:p w14:paraId="07B58F19" w14:textId="77777777" w:rsidR="00C3696A" w:rsidRDefault="00C3696A" w:rsidP="00CB3286">
      <w:r>
        <w:t>Centers for Disease Control and Prevention</w:t>
      </w:r>
    </w:p>
    <w:p w14:paraId="5B3F6FD2" w14:textId="77777777" w:rsidR="00C3696A" w:rsidRDefault="00C3696A" w:rsidP="00CB3286">
      <w:r>
        <w:t>1600 Clifton Rd, NE</w:t>
      </w:r>
    </w:p>
    <w:p w14:paraId="2BB1BEE8" w14:textId="77777777" w:rsidR="00C3696A" w:rsidRDefault="00C3696A" w:rsidP="00CB3286">
      <w:r>
        <w:t>Atlanta, GA 30333</w:t>
      </w:r>
    </w:p>
    <w:p w14:paraId="5CF5882C" w14:textId="77777777" w:rsidR="00C3696A" w:rsidRDefault="00C3696A" w:rsidP="00CB3286">
      <w:r>
        <w:t>(404) 639-4177</w:t>
      </w:r>
    </w:p>
    <w:p w14:paraId="5275DB2C" w14:textId="77777777" w:rsidR="00C3696A" w:rsidRDefault="00C3696A" w:rsidP="00CB3286">
      <w:r>
        <w:t xml:space="preserve">Email: </w:t>
      </w:r>
      <w:hyperlink r:id="rId17" w:history="1">
        <w:r w:rsidRPr="003433D5">
          <w:rPr>
            <w:rStyle w:val="Hyperlink"/>
          </w:rPr>
          <w:t>JREdwards@cdc.gov</w:t>
        </w:r>
      </w:hyperlink>
    </w:p>
    <w:p w14:paraId="0E660300" w14:textId="77777777" w:rsidR="00C3696A" w:rsidRDefault="00C3696A" w:rsidP="00CB3286">
      <w:pPr>
        <w:ind w:left="1440"/>
      </w:pPr>
    </w:p>
    <w:p w14:paraId="7A8DCC92" w14:textId="635061D1" w:rsidR="00F47C1C" w:rsidRDefault="00C3696A" w:rsidP="00CB3286">
      <w:r>
        <w:t>Data will be collected by EIP personnel and by local facility staff</w:t>
      </w:r>
      <w:r w:rsidR="000B2CFF">
        <w:t xml:space="preserve"> </w:t>
      </w:r>
      <w:r>
        <w:t>as described previously. Identification of the specific EIP surveillance officers and local facility staff members who will participate in training and data collection activities is at the discretion of the EIP site or the</w:t>
      </w:r>
      <w:r w:rsidR="00AE46C1">
        <w:t xml:space="preserve"> facility, respectively.</w:t>
      </w:r>
    </w:p>
    <w:p w14:paraId="6EF184A1" w14:textId="77777777" w:rsidR="008F3BDC" w:rsidRDefault="008F3BDC" w:rsidP="00CB3286"/>
    <w:p w14:paraId="427A0136" w14:textId="77777777" w:rsidR="008F3BDC" w:rsidRDefault="008F3BDC" w:rsidP="00CB3286"/>
    <w:p w14:paraId="5D8D3DAC" w14:textId="2C59E165" w:rsidR="008F3BDC" w:rsidRDefault="008F3BDC" w:rsidP="00CB3286">
      <w:r>
        <w:t>References:</w:t>
      </w:r>
    </w:p>
    <w:p w14:paraId="5F01F5A7" w14:textId="77777777" w:rsidR="008F3BDC" w:rsidRDefault="008F3BDC" w:rsidP="00CB3286"/>
    <w:p w14:paraId="312C8228" w14:textId="46BF9FD7" w:rsidR="008F3BDC" w:rsidRPr="000E168D" w:rsidRDefault="008F3BDC" w:rsidP="000E168D">
      <w:pPr>
        <w:pStyle w:val="ListParagraph"/>
        <w:numPr>
          <w:ilvl w:val="0"/>
          <w:numId w:val="7"/>
        </w:numPr>
        <w:autoSpaceDE w:val="0"/>
        <w:autoSpaceDN w:val="0"/>
        <w:adjustRightInd w:val="0"/>
        <w:spacing w:line="360" w:lineRule="auto"/>
        <w:rPr>
          <w:rFonts w:eastAsia="OTNEJMQuadraat"/>
        </w:rPr>
      </w:pPr>
      <w:r w:rsidRPr="008F3BDC">
        <w:rPr>
          <w:rFonts w:eastAsia="OTNEJMQuadraat"/>
        </w:rPr>
        <w:t>Rhame FS, Sudderth WD. Incidence and prevalence as used in the analysis of</w:t>
      </w:r>
      <w:r>
        <w:rPr>
          <w:rFonts w:eastAsia="OTNEJMQuadraat"/>
        </w:rPr>
        <w:t xml:space="preserve"> </w:t>
      </w:r>
      <w:r w:rsidRPr="000E168D">
        <w:rPr>
          <w:rFonts w:eastAsia="OTNEJMQuadraat"/>
        </w:rPr>
        <w:t>the occurrence of nosocomial infections. Am J Epidemiol 1981;113:1-11.</w:t>
      </w:r>
    </w:p>
    <w:p w14:paraId="114EF55B" w14:textId="77777777" w:rsidR="008F3BDC" w:rsidRPr="00502277" w:rsidRDefault="008F3BDC" w:rsidP="008F3BDC">
      <w:pPr>
        <w:pStyle w:val="ListParagraph"/>
        <w:numPr>
          <w:ilvl w:val="0"/>
          <w:numId w:val="7"/>
        </w:numPr>
        <w:spacing w:before="100" w:beforeAutospacing="1" w:after="100" w:afterAutospacing="1" w:line="360" w:lineRule="auto"/>
        <w:rPr>
          <w:lang w:val="en"/>
        </w:rPr>
      </w:pPr>
      <w:r w:rsidRPr="00502277">
        <w:rPr>
          <w:lang w:val="en"/>
        </w:rPr>
        <w:t xml:space="preserve">Magill SS, Edwards JR, Bamberg W, et al. </w:t>
      </w:r>
      <w:r w:rsidRPr="00502277">
        <w:rPr>
          <w:rStyle w:val="cdc-decorated1"/>
          <w:lang w:val="en"/>
          <w:specVanish w:val="0"/>
        </w:rPr>
        <w:t>Multistate Point-Prevalence Survey of Health Care–Associated Infections</w:t>
      </w:r>
      <w:r w:rsidRPr="00502277">
        <w:rPr>
          <w:noProof/>
        </w:rPr>
        <w:t xml:space="preserve">. </w:t>
      </w:r>
      <w:r w:rsidRPr="00D8482F">
        <w:rPr>
          <w:rStyle w:val="Emphasis"/>
          <w:lang w:val="en"/>
        </w:rPr>
        <w:t>N Engl J Med</w:t>
      </w:r>
      <w:r w:rsidRPr="00D8482F">
        <w:rPr>
          <w:lang w:val="en"/>
        </w:rPr>
        <w:t xml:space="preserve"> </w:t>
      </w:r>
      <w:r w:rsidRPr="00502277">
        <w:rPr>
          <w:lang w:val="en"/>
        </w:rPr>
        <w:t>2014;370:1198-208.</w:t>
      </w:r>
    </w:p>
    <w:p w14:paraId="6939E4A7" w14:textId="5D18F8C3" w:rsidR="008F3BDC" w:rsidRDefault="008F3BDC" w:rsidP="000F24CB">
      <w:pPr>
        <w:pStyle w:val="ListParagraph"/>
        <w:numPr>
          <w:ilvl w:val="0"/>
          <w:numId w:val="7"/>
        </w:numPr>
        <w:autoSpaceDE w:val="0"/>
        <w:autoSpaceDN w:val="0"/>
        <w:adjustRightInd w:val="0"/>
        <w:spacing w:line="360" w:lineRule="auto"/>
        <w:rPr>
          <w:lang w:eastAsia="ja-JP"/>
        </w:rPr>
      </w:pPr>
      <w:r w:rsidRPr="00494F19">
        <w:t>European Centre for Disease Prevention and Control. Point prevalence survey of healthcare associated infections and antimicrobial use in European long-term care facilities. April–May 2013. Stockholm: ECDC; 2014.</w:t>
      </w:r>
    </w:p>
    <w:sectPr w:rsidR="008F3BDC">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C8F43" w14:textId="77777777" w:rsidR="006E48B5" w:rsidRDefault="006E48B5">
      <w:r>
        <w:separator/>
      </w:r>
    </w:p>
  </w:endnote>
  <w:endnote w:type="continuationSeparator" w:id="0">
    <w:p w14:paraId="3C359FAA" w14:textId="77777777" w:rsidR="006E48B5" w:rsidRDefault="006E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XBNUF+TimesNewRomanPSMT">
    <w:altName w:val="Times New Roman PSMT"/>
    <w:panose1 w:val="00000000000000000000"/>
    <w:charset w:val="00"/>
    <w:family w:val="roman"/>
    <w:notTrueType/>
    <w:pitch w:val="default"/>
    <w:sig w:usb0="00000003" w:usb1="00000000" w:usb2="00000000" w:usb3="00000000" w:csb0="00000001" w:csb1="00000000"/>
  </w:font>
  <w:font w:name="Lato">
    <w:altName w:val="Times New Roman"/>
    <w:charset w:val="00"/>
    <w:family w:val="auto"/>
    <w:pitch w:val="default"/>
  </w:font>
  <w:font w:name="OTNEJMQuadraat">
    <w:altName w:val="Arial Unicode MS"/>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040B" w14:textId="77777777" w:rsidR="00321410" w:rsidRDefault="00321410" w:rsidP="00F676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AAF03D" w14:textId="77777777" w:rsidR="00321410" w:rsidRDefault="00321410" w:rsidP="00F676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92325" w14:textId="77777777" w:rsidR="00321410" w:rsidRPr="004F2001" w:rsidRDefault="00321410" w:rsidP="00F67650">
    <w:pPr>
      <w:pStyle w:val="Footer"/>
      <w:framePr w:wrap="around" w:vAnchor="text" w:hAnchor="margin" w:xAlign="right" w:y="1"/>
      <w:rPr>
        <w:rStyle w:val="PageNumber"/>
        <w:sz w:val="20"/>
        <w:szCs w:val="20"/>
      </w:rPr>
    </w:pPr>
    <w:r w:rsidRPr="004F2001">
      <w:rPr>
        <w:rStyle w:val="PageNumber"/>
        <w:sz w:val="20"/>
        <w:szCs w:val="20"/>
      </w:rPr>
      <w:fldChar w:fldCharType="begin"/>
    </w:r>
    <w:r w:rsidRPr="004F2001">
      <w:rPr>
        <w:rStyle w:val="PageNumber"/>
        <w:sz w:val="20"/>
        <w:szCs w:val="20"/>
      </w:rPr>
      <w:instrText xml:space="preserve">PAGE  </w:instrText>
    </w:r>
    <w:r w:rsidRPr="004F2001">
      <w:rPr>
        <w:rStyle w:val="PageNumber"/>
        <w:sz w:val="20"/>
        <w:szCs w:val="20"/>
      </w:rPr>
      <w:fldChar w:fldCharType="separate"/>
    </w:r>
    <w:r w:rsidR="00F3716D">
      <w:rPr>
        <w:rStyle w:val="PageNumber"/>
        <w:noProof/>
        <w:sz w:val="20"/>
        <w:szCs w:val="20"/>
      </w:rPr>
      <w:t>1</w:t>
    </w:r>
    <w:r w:rsidRPr="004F2001">
      <w:rPr>
        <w:rStyle w:val="PageNumber"/>
        <w:sz w:val="20"/>
        <w:szCs w:val="20"/>
      </w:rPr>
      <w:fldChar w:fldCharType="end"/>
    </w:r>
  </w:p>
  <w:p w14:paraId="1716250D" w14:textId="77777777" w:rsidR="00321410" w:rsidRPr="004F2001" w:rsidRDefault="00321410" w:rsidP="00F67650">
    <w:pPr>
      <w:pStyle w:val="Footer"/>
      <w:rPr>
        <w:sz w:val="20"/>
        <w:szCs w:val="20"/>
      </w:rPr>
    </w:pPr>
  </w:p>
  <w:p w14:paraId="479818B2" w14:textId="77777777" w:rsidR="00321410" w:rsidRDefault="00321410" w:rsidP="00F6765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B10B0" w14:textId="77777777" w:rsidR="006E48B5" w:rsidRDefault="006E48B5">
      <w:r>
        <w:separator/>
      </w:r>
    </w:p>
  </w:footnote>
  <w:footnote w:type="continuationSeparator" w:id="0">
    <w:p w14:paraId="5D47BFA7" w14:textId="77777777" w:rsidR="006E48B5" w:rsidRDefault="006E48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D2AB3"/>
    <w:multiLevelType w:val="hybridMultilevel"/>
    <w:tmpl w:val="9992EEF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826F5"/>
    <w:multiLevelType w:val="hybridMultilevel"/>
    <w:tmpl w:val="DFEAD5D4"/>
    <w:lvl w:ilvl="0" w:tplc="5742D1A2">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65180"/>
    <w:multiLevelType w:val="hybridMultilevel"/>
    <w:tmpl w:val="E8406E56"/>
    <w:lvl w:ilvl="0" w:tplc="BA68DD7E">
      <w:start w:val="1"/>
      <w:numFmt w:val="decimal"/>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93FA6"/>
    <w:multiLevelType w:val="hybridMultilevel"/>
    <w:tmpl w:val="B086B648"/>
    <w:lvl w:ilvl="0" w:tplc="5C5A6FE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31D13F9"/>
    <w:multiLevelType w:val="hybridMultilevel"/>
    <w:tmpl w:val="0A7C7730"/>
    <w:lvl w:ilvl="0" w:tplc="FE70CA4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3F5705"/>
    <w:multiLevelType w:val="hybridMultilevel"/>
    <w:tmpl w:val="2742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F11D8"/>
    <w:multiLevelType w:val="hybridMultilevel"/>
    <w:tmpl w:val="C61E1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6A"/>
    <w:rsid w:val="00006DD3"/>
    <w:rsid w:val="0002736C"/>
    <w:rsid w:val="000640FC"/>
    <w:rsid w:val="00064E02"/>
    <w:rsid w:val="000852A2"/>
    <w:rsid w:val="00092735"/>
    <w:rsid w:val="000B2CFF"/>
    <w:rsid w:val="000B49FB"/>
    <w:rsid w:val="000B72BE"/>
    <w:rsid w:val="000C28E1"/>
    <w:rsid w:val="000E168D"/>
    <w:rsid w:val="000F24CB"/>
    <w:rsid w:val="000F3E2F"/>
    <w:rsid w:val="0015019C"/>
    <w:rsid w:val="001639FA"/>
    <w:rsid w:val="00167FD5"/>
    <w:rsid w:val="0017112F"/>
    <w:rsid w:val="00172294"/>
    <w:rsid w:val="00182622"/>
    <w:rsid w:val="00194C1D"/>
    <w:rsid w:val="00194EF4"/>
    <w:rsid w:val="001A2296"/>
    <w:rsid w:val="001A42A1"/>
    <w:rsid w:val="001B2F97"/>
    <w:rsid w:val="001C05B9"/>
    <w:rsid w:val="001C7B10"/>
    <w:rsid w:val="001E06BE"/>
    <w:rsid w:val="001E5A72"/>
    <w:rsid w:val="00231F13"/>
    <w:rsid w:val="0025247D"/>
    <w:rsid w:val="0027549B"/>
    <w:rsid w:val="002775C3"/>
    <w:rsid w:val="002B32F4"/>
    <w:rsid w:val="002B4BAA"/>
    <w:rsid w:val="002C38E1"/>
    <w:rsid w:val="002D3E90"/>
    <w:rsid w:val="002E5257"/>
    <w:rsid w:val="002E547B"/>
    <w:rsid w:val="003053A6"/>
    <w:rsid w:val="00321410"/>
    <w:rsid w:val="00322CB2"/>
    <w:rsid w:val="003357AC"/>
    <w:rsid w:val="0035332F"/>
    <w:rsid w:val="00355330"/>
    <w:rsid w:val="00370494"/>
    <w:rsid w:val="00387E5C"/>
    <w:rsid w:val="003B5650"/>
    <w:rsid w:val="003B7BF8"/>
    <w:rsid w:val="003D1CC5"/>
    <w:rsid w:val="003D75A5"/>
    <w:rsid w:val="00402385"/>
    <w:rsid w:val="00426EEA"/>
    <w:rsid w:val="00427D66"/>
    <w:rsid w:val="00430539"/>
    <w:rsid w:val="00441C03"/>
    <w:rsid w:val="00463BA0"/>
    <w:rsid w:val="00465B0C"/>
    <w:rsid w:val="004B482A"/>
    <w:rsid w:val="004B6EA8"/>
    <w:rsid w:val="004F0326"/>
    <w:rsid w:val="00525059"/>
    <w:rsid w:val="00527962"/>
    <w:rsid w:val="005333DC"/>
    <w:rsid w:val="00541279"/>
    <w:rsid w:val="00567D66"/>
    <w:rsid w:val="005A2FB9"/>
    <w:rsid w:val="005A6206"/>
    <w:rsid w:val="005B1B66"/>
    <w:rsid w:val="005C0163"/>
    <w:rsid w:val="005C5A47"/>
    <w:rsid w:val="00615E19"/>
    <w:rsid w:val="00631C8E"/>
    <w:rsid w:val="00634A56"/>
    <w:rsid w:val="00657961"/>
    <w:rsid w:val="006732BD"/>
    <w:rsid w:val="006813BC"/>
    <w:rsid w:val="00686D3A"/>
    <w:rsid w:val="0069009D"/>
    <w:rsid w:val="006911E3"/>
    <w:rsid w:val="006935C9"/>
    <w:rsid w:val="006B3587"/>
    <w:rsid w:val="006C5294"/>
    <w:rsid w:val="006C55D1"/>
    <w:rsid w:val="006D04BB"/>
    <w:rsid w:val="006E48B5"/>
    <w:rsid w:val="0070515C"/>
    <w:rsid w:val="00707E33"/>
    <w:rsid w:val="00711C01"/>
    <w:rsid w:val="00730F52"/>
    <w:rsid w:val="007329E0"/>
    <w:rsid w:val="00734CC7"/>
    <w:rsid w:val="00740770"/>
    <w:rsid w:val="007409FE"/>
    <w:rsid w:val="007444F8"/>
    <w:rsid w:val="00755860"/>
    <w:rsid w:val="007629F3"/>
    <w:rsid w:val="00777E5F"/>
    <w:rsid w:val="00787486"/>
    <w:rsid w:val="007A47CC"/>
    <w:rsid w:val="007C4035"/>
    <w:rsid w:val="007D4780"/>
    <w:rsid w:val="007F43DF"/>
    <w:rsid w:val="00813D57"/>
    <w:rsid w:val="00817B2C"/>
    <w:rsid w:val="00830EC3"/>
    <w:rsid w:val="00845C26"/>
    <w:rsid w:val="00847BEA"/>
    <w:rsid w:val="00871E65"/>
    <w:rsid w:val="00875588"/>
    <w:rsid w:val="0088790C"/>
    <w:rsid w:val="00894C5B"/>
    <w:rsid w:val="008B199C"/>
    <w:rsid w:val="008F3BDC"/>
    <w:rsid w:val="0090561A"/>
    <w:rsid w:val="00910A75"/>
    <w:rsid w:val="00912AAB"/>
    <w:rsid w:val="0092175F"/>
    <w:rsid w:val="009218EE"/>
    <w:rsid w:val="0092550E"/>
    <w:rsid w:val="00927BBC"/>
    <w:rsid w:val="00945CCF"/>
    <w:rsid w:val="00993BFD"/>
    <w:rsid w:val="009B4461"/>
    <w:rsid w:val="009E275F"/>
    <w:rsid w:val="00A20F1C"/>
    <w:rsid w:val="00A31D28"/>
    <w:rsid w:val="00A4261E"/>
    <w:rsid w:val="00A46D5B"/>
    <w:rsid w:val="00A50FEF"/>
    <w:rsid w:val="00A52E57"/>
    <w:rsid w:val="00A57A94"/>
    <w:rsid w:val="00AC6AFD"/>
    <w:rsid w:val="00AC6E6D"/>
    <w:rsid w:val="00AC788F"/>
    <w:rsid w:val="00AE46C1"/>
    <w:rsid w:val="00AF787A"/>
    <w:rsid w:val="00B17602"/>
    <w:rsid w:val="00B70EA5"/>
    <w:rsid w:val="00B76833"/>
    <w:rsid w:val="00B81D0C"/>
    <w:rsid w:val="00B94255"/>
    <w:rsid w:val="00B974CE"/>
    <w:rsid w:val="00BA37FD"/>
    <w:rsid w:val="00BB6043"/>
    <w:rsid w:val="00BB7428"/>
    <w:rsid w:val="00C35671"/>
    <w:rsid w:val="00C3696A"/>
    <w:rsid w:val="00C42D70"/>
    <w:rsid w:val="00C87EA8"/>
    <w:rsid w:val="00CB3286"/>
    <w:rsid w:val="00CB7881"/>
    <w:rsid w:val="00CC1DF6"/>
    <w:rsid w:val="00CF065E"/>
    <w:rsid w:val="00D22385"/>
    <w:rsid w:val="00D43F10"/>
    <w:rsid w:val="00D951B1"/>
    <w:rsid w:val="00D9584D"/>
    <w:rsid w:val="00DB4D42"/>
    <w:rsid w:val="00DC6D40"/>
    <w:rsid w:val="00E10D72"/>
    <w:rsid w:val="00E34135"/>
    <w:rsid w:val="00E469EB"/>
    <w:rsid w:val="00E541ED"/>
    <w:rsid w:val="00E63FF6"/>
    <w:rsid w:val="00E660D1"/>
    <w:rsid w:val="00E77291"/>
    <w:rsid w:val="00EB2C75"/>
    <w:rsid w:val="00EB644A"/>
    <w:rsid w:val="00EB6A0F"/>
    <w:rsid w:val="00EC12BF"/>
    <w:rsid w:val="00EC2055"/>
    <w:rsid w:val="00EE7267"/>
    <w:rsid w:val="00EF476B"/>
    <w:rsid w:val="00EF4CAB"/>
    <w:rsid w:val="00F05C18"/>
    <w:rsid w:val="00F22B4A"/>
    <w:rsid w:val="00F2356D"/>
    <w:rsid w:val="00F24DE4"/>
    <w:rsid w:val="00F32B4F"/>
    <w:rsid w:val="00F3716D"/>
    <w:rsid w:val="00F3794E"/>
    <w:rsid w:val="00F47C1C"/>
    <w:rsid w:val="00F67650"/>
    <w:rsid w:val="00F70F6A"/>
    <w:rsid w:val="00FA0623"/>
    <w:rsid w:val="00FA6D74"/>
    <w:rsid w:val="00FB5A61"/>
    <w:rsid w:val="00FB6445"/>
    <w:rsid w:val="00FC2B20"/>
    <w:rsid w:val="00FC4FFC"/>
    <w:rsid w:val="00FD4BEE"/>
    <w:rsid w:val="00FE0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1D59"/>
  <w15:docId w15:val="{5F294EDE-7523-4077-A18C-26E1B6D7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9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7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33D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696A"/>
    <w:rPr>
      <w:color w:val="0000FF"/>
      <w:u w:val="single"/>
    </w:rPr>
  </w:style>
  <w:style w:type="paragraph" w:styleId="Footer">
    <w:name w:val="footer"/>
    <w:basedOn w:val="Normal"/>
    <w:link w:val="FooterChar"/>
    <w:uiPriority w:val="99"/>
    <w:rsid w:val="00C3696A"/>
    <w:pPr>
      <w:tabs>
        <w:tab w:val="center" w:pos="4320"/>
        <w:tab w:val="right" w:pos="8640"/>
      </w:tabs>
    </w:pPr>
  </w:style>
  <w:style w:type="character" w:customStyle="1" w:styleId="FooterChar">
    <w:name w:val="Footer Char"/>
    <w:basedOn w:val="DefaultParagraphFont"/>
    <w:link w:val="Footer"/>
    <w:uiPriority w:val="99"/>
    <w:rsid w:val="00C3696A"/>
    <w:rPr>
      <w:rFonts w:ascii="Times New Roman" w:eastAsia="Times New Roman" w:hAnsi="Times New Roman" w:cs="Times New Roman"/>
      <w:sz w:val="24"/>
      <w:szCs w:val="24"/>
    </w:rPr>
  </w:style>
  <w:style w:type="character" w:styleId="PageNumber">
    <w:name w:val="page number"/>
    <w:basedOn w:val="DefaultParagraphFont"/>
    <w:rsid w:val="00C3696A"/>
  </w:style>
  <w:style w:type="character" w:customStyle="1" w:styleId="Heading1Char">
    <w:name w:val="Heading 1 Char"/>
    <w:basedOn w:val="DefaultParagraphFont"/>
    <w:link w:val="Heading1"/>
    <w:uiPriority w:val="9"/>
    <w:rsid w:val="007407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40770"/>
    <w:pPr>
      <w:outlineLvl w:val="9"/>
    </w:pPr>
  </w:style>
  <w:style w:type="paragraph" w:styleId="BalloonText">
    <w:name w:val="Balloon Text"/>
    <w:basedOn w:val="Normal"/>
    <w:link w:val="BalloonTextChar"/>
    <w:uiPriority w:val="99"/>
    <w:semiHidden/>
    <w:unhideWhenUsed/>
    <w:rsid w:val="004B482A"/>
    <w:rPr>
      <w:rFonts w:ascii="Tahoma" w:hAnsi="Tahoma" w:cs="Tahoma"/>
      <w:sz w:val="16"/>
      <w:szCs w:val="16"/>
    </w:rPr>
  </w:style>
  <w:style w:type="character" w:customStyle="1" w:styleId="BalloonTextChar">
    <w:name w:val="Balloon Text Char"/>
    <w:basedOn w:val="DefaultParagraphFont"/>
    <w:link w:val="BalloonText"/>
    <w:uiPriority w:val="99"/>
    <w:semiHidden/>
    <w:rsid w:val="004B482A"/>
    <w:rPr>
      <w:rFonts w:ascii="Tahoma" w:eastAsia="Times New Roman" w:hAnsi="Tahoma" w:cs="Tahoma"/>
      <w:sz w:val="16"/>
      <w:szCs w:val="16"/>
    </w:rPr>
  </w:style>
  <w:style w:type="paragraph" w:styleId="ListParagraph">
    <w:name w:val="List Paragraph"/>
    <w:basedOn w:val="Normal"/>
    <w:uiPriority w:val="34"/>
    <w:qFormat/>
    <w:rsid w:val="004B482A"/>
    <w:pPr>
      <w:ind w:left="720"/>
      <w:contextualSpacing/>
    </w:pPr>
  </w:style>
  <w:style w:type="paragraph" w:styleId="Header">
    <w:name w:val="header"/>
    <w:basedOn w:val="Normal"/>
    <w:link w:val="HeaderChar"/>
    <w:uiPriority w:val="99"/>
    <w:unhideWhenUsed/>
    <w:rsid w:val="0015019C"/>
    <w:pPr>
      <w:tabs>
        <w:tab w:val="center" w:pos="4680"/>
        <w:tab w:val="right" w:pos="9360"/>
      </w:tabs>
    </w:pPr>
  </w:style>
  <w:style w:type="character" w:customStyle="1" w:styleId="HeaderChar">
    <w:name w:val="Header Char"/>
    <w:basedOn w:val="DefaultParagraphFont"/>
    <w:link w:val="Header"/>
    <w:uiPriority w:val="99"/>
    <w:rsid w:val="0015019C"/>
    <w:rPr>
      <w:rFonts w:ascii="Times New Roman" w:eastAsia="Times New Roman" w:hAnsi="Times New Roman" w:cs="Times New Roman"/>
      <w:sz w:val="24"/>
      <w:szCs w:val="24"/>
    </w:rPr>
  </w:style>
  <w:style w:type="paragraph" w:styleId="Caption">
    <w:name w:val="caption"/>
    <w:basedOn w:val="Normal"/>
    <w:next w:val="Normal"/>
    <w:qFormat/>
    <w:rsid w:val="006732BD"/>
    <w:rPr>
      <w:b/>
      <w:bCs/>
      <w:sz w:val="20"/>
      <w:szCs w:val="20"/>
    </w:rPr>
  </w:style>
  <w:style w:type="character" w:customStyle="1" w:styleId="st1">
    <w:name w:val="st1"/>
    <w:basedOn w:val="DefaultParagraphFont"/>
    <w:rsid w:val="00B94255"/>
  </w:style>
  <w:style w:type="paragraph" w:styleId="NoSpacing">
    <w:name w:val="No Spacing"/>
    <w:uiPriority w:val="1"/>
    <w:qFormat/>
    <w:rsid w:val="003B5650"/>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333DC"/>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5333DC"/>
    <w:pPr>
      <w:spacing w:after="100"/>
    </w:pPr>
  </w:style>
  <w:style w:type="paragraph" w:styleId="TOC2">
    <w:name w:val="toc 2"/>
    <w:basedOn w:val="Normal"/>
    <w:next w:val="Normal"/>
    <w:autoRedefine/>
    <w:uiPriority w:val="39"/>
    <w:unhideWhenUsed/>
    <w:rsid w:val="005333DC"/>
    <w:pPr>
      <w:spacing w:after="100"/>
      <w:ind w:left="240"/>
    </w:pPr>
  </w:style>
  <w:style w:type="character" w:styleId="CommentReference">
    <w:name w:val="annotation reference"/>
    <w:basedOn w:val="DefaultParagraphFont"/>
    <w:semiHidden/>
    <w:unhideWhenUsed/>
    <w:rsid w:val="00734CC7"/>
    <w:rPr>
      <w:sz w:val="16"/>
      <w:szCs w:val="16"/>
    </w:rPr>
  </w:style>
  <w:style w:type="paragraph" w:styleId="CommentText">
    <w:name w:val="annotation text"/>
    <w:basedOn w:val="Normal"/>
    <w:link w:val="CommentTextChar"/>
    <w:semiHidden/>
    <w:unhideWhenUsed/>
    <w:rsid w:val="00734CC7"/>
    <w:rPr>
      <w:sz w:val="20"/>
      <w:szCs w:val="20"/>
    </w:rPr>
  </w:style>
  <w:style w:type="character" w:customStyle="1" w:styleId="CommentTextChar">
    <w:name w:val="Comment Text Char"/>
    <w:basedOn w:val="DefaultParagraphFont"/>
    <w:link w:val="CommentText"/>
    <w:uiPriority w:val="99"/>
    <w:semiHidden/>
    <w:rsid w:val="00734C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4CC7"/>
    <w:rPr>
      <w:b/>
      <w:bCs/>
    </w:rPr>
  </w:style>
  <w:style w:type="character" w:customStyle="1" w:styleId="CommentSubjectChar">
    <w:name w:val="Comment Subject Char"/>
    <w:basedOn w:val="CommentTextChar"/>
    <w:link w:val="CommentSubject"/>
    <w:uiPriority w:val="99"/>
    <w:semiHidden/>
    <w:rsid w:val="00734CC7"/>
    <w:rPr>
      <w:rFonts w:ascii="Times New Roman" w:eastAsia="Times New Roman" w:hAnsi="Times New Roman" w:cs="Times New Roman"/>
      <w:b/>
      <w:bCs/>
      <w:sz w:val="20"/>
      <w:szCs w:val="20"/>
    </w:rPr>
  </w:style>
  <w:style w:type="paragraph" w:customStyle="1" w:styleId="CM22">
    <w:name w:val="CM22"/>
    <w:basedOn w:val="Normal"/>
    <w:next w:val="Normal"/>
    <w:uiPriority w:val="99"/>
    <w:rsid w:val="00A4261E"/>
    <w:pPr>
      <w:autoSpaceDE w:val="0"/>
      <w:autoSpaceDN w:val="0"/>
      <w:adjustRightInd w:val="0"/>
    </w:pPr>
    <w:rPr>
      <w:rFonts w:ascii="EXBNUF+TimesNewRomanPSMT" w:hAnsi="EXBNUF+TimesNewRomanPSMT"/>
    </w:rPr>
  </w:style>
  <w:style w:type="character" w:customStyle="1" w:styleId="A0">
    <w:name w:val="A0"/>
    <w:uiPriority w:val="99"/>
    <w:rsid w:val="00370494"/>
    <w:rPr>
      <w:rFonts w:cs="Calibri"/>
      <w:color w:val="000000"/>
      <w:sz w:val="48"/>
      <w:szCs w:val="48"/>
    </w:rPr>
  </w:style>
  <w:style w:type="character" w:styleId="Emphasis">
    <w:name w:val="Emphasis"/>
    <w:uiPriority w:val="20"/>
    <w:qFormat/>
    <w:rsid w:val="008F3BDC"/>
    <w:rPr>
      <w:rFonts w:ascii="Lato" w:hAnsi="Lato" w:hint="default"/>
      <w:i/>
      <w:iCs/>
    </w:rPr>
  </w:style>
  <w:style w:type="character" w:customStyle="1" w:styleId="cdc-decorated1">
    <w:name w:val="cdc-decorated1"/>
    <w:rsid w:val="008F3BDC"/>
    <w:rPr>
      <w:vanish w:val="0"/>
      <w:webHidden w:val="0"/>
      <w:specVanish w:val="0"/>
    </w:rPr>
  </w:style>
  <w:style w:type="paragraph" w:styleId="Revision">
    <w:name w:val="Revision"/>
    <w:hidden/>
    <w:uiPriority w:val="99"/>
    <w:semiHidden/>
    <w:rsid w:val="00427D6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ms.gov/Medicare/Provider-Enrollment-and%20Certification/CertificationandComplianc/downloads/nursinghomedatacompendium_508.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aoconnor@cdc.gov" TargetMode="External"/><Relationship Id="rId17" Type="http://schemas.openxmlformats.org/officeDocument/2006/relationships/hyperlink" Target="mailto:JREdwards@cdc.gov" TargetMode="External"/><Relationship Id="rId2" Type="http://schemas.openxmlformats.org/officeDocument/2006/relationships/customXml" Target="../customXml/item2.xml"/><Relationship Id="rId16" Type="http://schemas.openxmlformats.org/officeDocument/2006/relationships/hyperlink" Target="http://www.hhs.gov/ash/car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dc.gov/longtermcare/prevention/antibiotic-stewardship.htm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c.gov/nchs/data/hus/hus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PFY6PPX2AYTS-2589-627</_dlc_DocId>
    <_dlc_DocIdUrl xmlns="81daf041-c113-401c-bf82-107f5d396711">
      <Url>https://esp.cdc.gov/sites/ncezid/OD/policy/PRA/_layouts/15/DocIdRedir.aspx?ID=PFY6PPX2AYTS-2589-627</Url>
      <Description>PFY6PPX2AYTS-2589-627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B9DAE-9749-4B2E-92FD-B4E326BE9630}">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elements/1.1/"/>
    <ds:schemaRef ds:uri="http://purl.org/dc/terms/"/>
    <ds:schemaRef ds:uri="81daf041-c113-401c-bf82-107f5d396711"/>
    <ds:schemaRef ds:uri="d335559b-c20a-4874-978e-77d2be77e01f"/>
    <ds:schemaRef ds:uri="http://purl.org/dc/dcmitype/"/>
  </ds:schemaRefs>
</ds:datastoreItem>
</file>

<file path=customXml/itemProps2.xml><?xml version="1.0" encoding="utf-8"?>
<ds:datastoreItem xmlns:ds="http://schemas.openxmlformats.org/officeDocument/2006/customXml" ds:itemID="{2886136B-306C-4BC1-814F-BDD10E6C8F14}">
  <ds:schemaRefs>
    <ds:schemaRef ds:uri="http://schemas.microsoft.com/sharepoint/v3/contenttype/forms"/>
  </ds:schemaRefs>
</ds:datastoreItem>
</file>

<file path=customXml/itemProps3.xml><?xml version="1.0" encoding="utf-8"?>
<ds:datastoreItem xmlns:ds="http://schemas.openxmlformats.org/officeDocument/2006/customXml" ds:itemID="{8CF956D2-8AC0-41B2-9F28-3255E108B713}">
  <ds:schemaRefs>
    <ds:schemaRef ds:uri="http://schemas.microsoft.com/sharepoint/events"/>
  </ds:schemaRefs>
</ds:datastoreItem>
</file>

<file path=customXml/itemProps4.xml><?xml version="1.0" encoding="utf-8"?>
<ds:datastoreItem xmlns:ds="http://schemas.openxmlformats.org/officeDocument/2006/customXml" ds:itemID="{773D01EF-D36D-4BAE-866F-3AF32BB6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9B30F9-1C39-40ED-AF94-CD62B01FF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Zirger, Jeffrey (CDC/OD/OADS)</cp:lastModifiedBy>
  <cp:revision>9</cp:revision>
  <cp:lastPrinted>2012-12-04T17:41:00Z</cp:lastPrinted>
  <dcterms:created xsi:type="dcterms:W3CDTF">2017-01-13T16:26:00Z</dcterms:created>
  <dcterms:modified xsi:type="dcterms:W3CDTF">2017-02-17T14:11:00Z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ef0f5f7d-73e5-431c-9050-927ba8066637</vt:lpwstr>
  </property>
</Properties>
</file>