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D832CD" w14:textId="77777777" w:rsidR="00211558" w:rsidRPr="00691454" w:rsidRDefault="00211558" w:rsidP="00FB432B">
      <w:pPr>
        <w:autoSpaceDE w:val="0"/>
        <w:autoSpaceDN w:val="0"/>
        <w:adjustRightInd w:val="0"/>
        <w:ind w:left="720"/>
        <w:jc w:val="center"/>
        <w:rPr>
          <w:b/>
          <w:bCs/>
        </w:rPr>
      </w:pPr>
    </w:p>
    <w:p w14:paraId="58D832CE" w14:textId="06955DE3" w:rsidR="00384074" w:rsidRPr="00FB3B30" w:rsidRDefault="00384074" w:rsidP="00384074">
      <w:pPr>
        <w:keepNext/>
        <w:keepLines/>
        <w:jc w:val="center"/>
        <w:outlineLvl w:val="6"/>
        <w:rPr>
          <w:rFonts w:asciiTheme="majorHAnsi" w:eastAsiaTheme="majorEastAsia" w:hAnsiTheme="majorHAnsi" w:cstheme="majorBidi"/>
          <w:b/>
          <w:iCs/>
          <w:color w:val="404040" w:themeColor="text1" w:themeTint="BF"/>
          <w:sz w:val="28"/>
          <w:szCs w:val="28"/>
        </w:rPr>
      </w:pPr>
      <w:r w:rsidRPr="003C6948">
        <w:rPr>
          <w:rFonts w:eastAsiaTheme="majorEastAsia"/>
          <w:b/>
          <w:iCs/>
          <w:color w:val="404040" w:themeColor="text1" w:themeTint="BF"/>
          <w:sz w:val="28"/>
          <w:szCs w:val="28"/>
        </w:rPr>
        <w:t xml:space="preserve">SUPPORTING </w:t>
      </w:r>
      <w:r w:rsidR="00FB3B30" w:rsidRPr="003C6948">
        <w:rPr>
          <w:rFonts w:eastAsiaTheme="majorEastAsia"/>
          <w:b/>
          <w:iCs/>
          <w:color w:val="404040" w:themeColor="text1" w:themeTint="BF"/>
          <w:sz w:val="28"/>
          <w:szCs w:val="28"/>
        </w:rPr>
        <w:t>STATEMENT PART</w:t>
      </w:r>
      <w:r w:rsidRPr="00FB3B30">
        <w:rPr>
          <w:rFonts w:asciiTheme="majorHAnsi" w:eastAsiaTheme="majorEastAsia" w:hAnsiTheme="majorHAnsi" w:cstheme="majorBidi"/>
          <w:b/>
          <w:iCs/>
          <w:color w:val="404040" w:themeColor="text1" w:themeTint="BF"/>
          <w:sz w:val="28"/>
          <w:szCs w:val="28"/>
        </w:rPr>
        <w:t xml:space="preserve"> A</w:t>
      </w:r>
    </w:p>
    <w:p w14:paraId="58D832CF" w14:textId="77777777" w:rsidR="00972DEF" w:rsidRPr="00691454" w:rsidRDefault="00972DEF" w:rsidP="00FB432B">
      <w:pPr>
        <w:pStyle w:val="BalloonText"/>
        <w:jc w:val="center"/>
      </w:pPr>
    </w:p>
    <w:p w14:paraId="58D832D0" w14:textId="77777777" w:rsidR="00972DEF" w:rsidRPr="00691454" w:rsidRDefault="00972DEF" w:rsidP="00FB432B">
      <w:pPr>
        <w:autoSpaceDE w:val="0"/>
        <w:autoSpaceDN w:val="0"/>
        <w:adjustRightInd w:val="0"/>
        <w:jc w:val="center"/>
        <w:rPr>
          <w:b/>
          <w:bCs/>
        </w:rPr>
      </w:pPr>
    </w:p>
    <w:p w14:paraId="061000EA" w14:textId="71B085A3" w:rsidR="000556D1" w:rsidRPr="00691454" w:rsidRDefault="000556D1" w:rsidP="000556D1">
      <w:pPr>
        <w:jc w:val="center"/>
        <w:rPr>
          <w:b/>
        </w:rPr>
      </w:pPr>
      <w:r>
        <w:rPr>
          <w:b/>
        </w:rPr>
        <w:t>OMB</w:t>
      </w:r>
      <w:r w:rsidR="0012408F">
        <w:rPr>
          <w:b/>
        </w:rPr>
        <w:t xml:space="preserve"> No.</w:t>
      </w:r>
      <w:r>
        <w:rPr>
          <w:b/>
        </w:rPr>
        <w:t xml:space="preserve"> 0920-XXXX</w:t>
      </w:r>
    </w:p>
    <w:p w14:paraId="58D832D2" w14:textId="77777777" w:rsidR="00972DEF" w:rsidRPr="006C6DE5" w:rsidRDefault="00972DEF" w:rsidP="00FB432B">
      <w:pPr>
        <w:jc w:val="center"/>
        <w:rPr>
          <w:b/>
          <w:highlight w:val="yellow"/>
        </w:rPr>
      </w:pPr>
    </w:p>
    <w:p w14:paraId="58D832D3" w14:textId="77777777" w:rsidR="00972DEF" w:rsidRPr="006C6DE5" w:rsidRDefault="00972DEF" w:rsidP="00FB432B">
      <w:pPr>
        <w:jc w:val="center"/>
        <w:rPr>
          <w:highlight w:val="yellow"/>
        </w:rPr>
      </w:pPr>
    </w:p>
    <w:p w14:paraId="58D832D4" w14:textId="34533C91" w:rsidR="009901D4" w:rsidRPr="00691454" w:rsidRDefault="00D44624" w:rsidP="00FB432B">
      <w:pPr>
        <w:jc w:val="center"/>
        <w:rPr>
          <w:b/>
        </w:rPr>
      </w:pPr>
      <w:r>
        <w:rPr>
          <w:b/>
        </w:rPr>
        <w:t xml:space="preserve">Submitted </w:t>
      </w:r>
      <w:r w:rsidR="003C58E7">
        <w:rPr>
          <w:b/>
        </w:rPr>
        <w:t>05</w:t>
      </w:r>
      <w:r w:rsidR="00B12B5A">
        <w:rPr>
          <w:b/>
        </w:rPr>
        <w:t>/1</w:t>
      </w:r>
      <w:r w:rsidR="003C58E7">
        <w:rPr>
          <w:b/>
        </w:rPr>
        <w:t>6</w:t>
      </w:r>
      <w:r w:rsidR="00483F92">
        <w:rPr>
          <w:b/>
        </w:rPr>
        <w:t>/2016</w:t>
      </w:r>
    </w:p>
    <w:p w14:paraId="58D832D5" w14:textId="77777777" w:rsidR="009901D4" w:rsidRPr="00691454" w:rsidRDefault="009901D4" w:rsidP="00FB432B">
      <w:pPr>
        <w:jc w:val="center"/>
      </w:pPr>
    </w:p>
    <w:p w14:paraId="58D832D6" w14:textId="77777777" w:rsidR="009901D4" w:rsidRPr="00691454" w:rsidRDefault="009901D4" w:rsidP="00FB432B">
      <w:pPr>
        <w:jc w:val="center"/>
      </w:pPr>
    </w:p>
    <w:p w14:paraId="51E3308E" w14:textId="77777777" w:rsidR="00431563" w:rsidRPr="004074A2" w:rsidRDefault="00431563" w:rsidP="00431563">
      <w:pPr>
        <w:autoSpaceDE w:val="0"/>
        <w:autoSpaceDN w:val="0"/>
        <w:adjustRightInd w:val="0"/>
        <w:ind w:left="720"/>
        <w:jc w:val="center"/>
        <w:rPr>
          <w:rStyle w:val="BookTitle"/>
          <w:sz w:val="36"/>
        </w:rPr>
      </w:pPr>
      <w:r w:rsidRPr="004074A2">
        <w:rPr>
          <w:rStyle w:val="BookTitle"/>
          <w:sz w:val="36"/>
        </w:rPr>
        <w:t>Monitoring and Reporting System f</w:t>
      </w:r>
      <w:bookmarkStart w:id="0" w:name="_GoBack"/>
      <w:bookmarkEnd w:id="0"/>
      <w:r w:rsidRPr="004074A2">
        <w:rPr>
          <w:rStyle w:val="BookTitle"/>
          <w:sz w:val="36"/>
        </w:rPr>
        <w:t xml:space="preserve">or </w:t>
      </w:r>
    </w:p>
    <w:p w14:paraId="13CA9BFE" w14:textId="3FAE1F00" w:rsidR="00431563" w:rsidRPr="004074A2" w:rsidRDefault="00431563" w:rsidP="00431563">
      <w:pPr>
        <w:autoSpaceDE w:val="0"/>
        <w:autoSpaceDN w:val="0"/>
        <w:adjustRightInd w:val="0"/>
        <w:ind w:left="720"/>
        <w:jc w:val="center"/>
        <w:rPr>
          <w:rStyle w:val="BookTitle"/>
          <w:sz w:val="36"/>
        </w:rPr>
      </w:pPr>
      <w:r w:rsidRPr="004074A2">
        <w:rPr>
          <w:rStyle w:val="BookTitle"/>
          <w:sz w:val="36"/>
        </w:rPr>
        <w:t xml:space="preserve">Rape Prevention and Education (RPE) </w:t>
      </w:r>
      <w:r w:rsidR="00FF73BA" w:rsidRPr="004074A2">
        <w:rPr>
          <w:rStyle w:val="BookTitle"/>
          <w:sz w:val="36"/>
        </w:rPr>
        <w:t xml:space="preserve">Program </w:t>
      </w:r>
      <w:r w:rsidR="00D92150">
        <w:rPr>
          <w:rStyle w:val="BookTitle"/>
          <w:sz w:val="36"/>
        </w:rPr>
        <w:t>Awardees</w:t>
      </w:r>
    </w:p>
    <w:p w14:paraId="58D832D8" w14:textId="77777777" w:rsidR="00972DEF" w:rsidRDefault="00972DEF" w:rsidP="00FB432B">
      <w:pPr>
        <w:jc w:val="center"/>
      </w:pPr>
    </w:p>
    <w:p w14:paraId="30E1DF2B" w14:textId="77777777" w:rsidR="00F01BE4" w:rsidRDefault="00F01BE4" w:rsidP="00FB432B">
      <w:pPr>
        <w:jc w:val="center"/>
      </w:pPr>
    </w:p>
    <w:p w14:paraId="643B4C83" w14:textId="77777777" w:rsidR="00F01BE4" w:rsidRPr="00691454" w:rsidRDefault="00F01BE4" w:rsidP="00FB432B">
      <w:pPr>
        <w:jc w:val="center"/>
      </w:pPr>
    </w:p>
    <w:p w14:paraId="58D832DF" w14:textId="77777777" w:rsidR="00972DEF" w:rsidRPr="00691454" w:rsidRDefault="00972DEF" w:rsidP="00FB432B">
      <w:pPr>
        <w:jc w:val="center"/>
      </w:pPr>
    </w:p>
    <w:p w14:paraId="58D832E0" w14:textId="77777777" w:rsidR="00972DEF" w:rsidRPr="00691454" w:rsidRDefault="00972DEF" w:rsidP="00FB432B">
      <w:pPr>
        <w:jc w:val="center"/>
      </w:pPr>
    </w:p>
    <w:p w14:paraId="58D832E1" w14:textId="77777777" w:rsidR="00972DEF" w:rsidRPr="00691454" w:rsidRDefault="00972DEF" w:rsidP="00FB432B">
      <w:pPr>
        <w:jc w:val="center"/>
      </w:pPr>
    </w:p>
    <w:p w14:paraId="58D832E2" w14:textId="77777777" w:rsidR="00972DEF" w:rsidRPr="00691454" w:rsidRDefault="00972DEF" w:rsidP="00FB432B">
      <w:pPr>
        <w:jc w:val="center"/>
      </w:pPr>
    </w:p>
    <w:p w14:paraId="58D832E3" w14:textId="77777777" w:rsidR="00972DEF" w:rsidRPr="00691454" w:rsidRDefault="00972DEF" w:rsidP="00FB432B">
      <w:pPr>
        <w:jc w:val="center"/>
      </w:pPr>
    </w:p>
    <w:p w14:paraId="58D832E4" w14:textId="77777777" w:rsidR="00972DEF" w:rsidRPr="00691454" w:rsidRDefault="00972DEF" w:rsidP="00FB432B">
      <w:pPr>
        <w:jc w:val="center"/>
      </w:pPr>
    </w:p>
    <w:p w14:paraId="58F2F3BA" w14:textId="77777777" w:rsidR="00483F92" w:rsidRPr="00FB6B58" w:rsidRDefault="00483F92" w:rsidP="00483F92">
      <w:pPr>
        <w:jc w:val="center"/>
      </w:pPr>
      <w:r w:rsidRPr="00FB6B58">
        <w:t>Point of Contact:</w:t>
      </w:r>
    </w:p>
    <w:p w14:paraId="58D832E6" w14:textId="291DED1B" w:rsidR="00FB432B" w:rsidRDefault="00AC4C1E" w:rsidP="00FB432B">
      <w:pPr>
        <w:jc w:val="center"/>
      </w:pPr>
      <w:r>
        <w:t>Linda Vo-Green, MPH</w:t>
      </w:r>
    </w:p>
    <w:p w14:paraId="58D832E8"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58D832E9" w14:textId="77777777" w:rsidR="00972DEF" w:rsidRPr="00691454" w:rsidRDefault="00972DEF" w:rsidP="00FB432B">
      <w:pPr>
        <w:pStyle w:val="E-mailSignature"/>
        <w:jc w:val="center"/>
        <w:rPr>
          <w:noProof/>
        </w:rPr>
      </w:pPr>
      <w:r w:rsidRPr="00691454">
        <w:rPr>
          <w:noProof/>
        </w:rPr>
        <w:t>National Center for Injury Prevention and Control</w:t>
      </w:r>
    </w:p>
    <w:p w14:paraId="58D832EA" w14:textId="51F319E7" w:rsidR="00CF4520" w:rsidRPr="00691454" w:rsidRDefault="00CF4520" w:rsidP="00FB432B">
      <w:pPr>
        <w:pStyle w:val="E-mailSignature"/>
        <w:jc w:val="center"/>
        <w:rPr>
          <w:noProof/>
        </w:rPr>
      </w:pPr>
      <w:r w:rsidRPr="00691454">
        <w:rPr>
          <w:noProof/>
        </w:rPr>
        <w:t>4770 Buford Highway NE</w:t>
      </w:r>
      <w:r w:rsidR="00F01BE4">
        <w:rPr>
          <w:noProof/>
        </w:rPr>
        <w:t>,</w:t>
      </w:r>
      <w:r w:rsidRPr="00691454">
        <w:rPr>
          <w:noProof/>
        </w:rPr>
        <w:t xml:space="preserve">  MS F-64</w:t>
      </w:r>
    </w:p>
    <w:p w14:paraId="58D832EB"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8D832EC" w14:textId="25A7F903" w:rsidR="00972DEF" w:rsidRPr="00691454" w:rsidRDefault="00AC4C1E" w:rsidP="00FB432B">
      <w:pPr>
        <w:pStyle w:val="E-mailSignature"/>
        <w:jc w:val="center"/>
        <w:rPr>
          <w:noProof/>
        </w:rPr>
      </w:pPr>
      <w:r>
        <w:rPr>
          <w:noProof/>
        </w:rPr>
        <w:t>P</w:t>
      </w:r>
      <w:r w:rsidR="00CF4520" w:rsidRPr="00691454">
        <w:rPr>
          <w:noProof/>
        </w:rPr>
        <w:t>hone:</w:t>
      </w:r>
      <w:r w:rsidR="006C6DE5">
        <w:rPr>
          <w:noProof/>
        </w:rPr>
        <w:t xml:space="preserve"> (770) 488-</w:t>
      </w:r>
      <w:r>
        <w:rPr>
          <w:noProof/>
        </w:rPr>
        <w:t>0046</w:t>
      </w:r>
    </w:p>
    <w:p w14:paraId="58D832EE" w14:textId="658C170C" w:rsidR="00972DEF" w:rsidRPr="00691454" w:rsidRDefault="00AC4C1E" w:rsidP="00FB432B">
      <w:pPr>
        <w:pStyle w:val="E-mailSignature"/>
        <w:jc w:val="center"/>
        <w:rPr>
          <w:noProof/>
        </w:rPr>
      </w:pPr>
      <w:r>
        <w:rPr>
          <w:noProof/>
        </w:rPr>
        <w:t>E</w:t>
      </w:r>
      <w:r w:rsidR="008A02C8" w:rsidRPr="00691454">
        <w:rPr>
          <w:noProof/>
        </w:rPr>
        <w:t>mail:</w:t>
      </w:r>
      <w:r w:rsidR="006C6DE5">
        <w:rPr>
          <w:noProof/>
        </w:rPr>
        <w:t xml:space="preserve"> </w:t>
      </w:r>
      <w:r>
        <w:rPr>
          <w:noProof/>
        </w:rPr>
        <w:t>wuw9@cdc.gov</w:t>
      </w:r>
    </w:p>
    <w:bookmarkEnd w:id="1"/>
    <w:p w14:paraId="58D832EF" w14:textId="77777777" w:rsidR="00972DEF" w:rsidRPr="00691454" w:rsidRDefault="00972DEF" w:rsidP="00972DEF">
      <w:pPr>
        <w:jc w:val="center"/>
      </w:pPr>
    </w:p>
    <w:p w14:paraId="58D832F0" w14:textId="77777777" w:rsidR="00972DEF" w:rsidRPr="00691454" w:rsidRDefault="00972DEF" w:rsidP="00807B32"/>
    <w:p w14:paraId="58D832F1" w14:textId="77777777" w:rsidR="00972DEF" w:rsidRPr="00691454" w:rsidRDefault="00972DEF" w:rsidP="00972DEF">
      <w:pPr>
        <w:jc w:val="center"/>
      </w:pPr>
    </w:p>
    <w:p w14:paraId="58D832F2" w14:textId="77777777" w:rsidR="00F63E8B" w:rsidRPr="00691454" w:rsidRDefault="00F63E8B" w:rsidP="00F63E8B">
      <w:pPr>
        <w:jc w:val="center"/>
      </w:pPr>
    </w:p>
    <w:p w14:paraId="58D832F3" w14:textId="77777777" w:rsidR="00F63E8B" w:rsidRDefault="005068B0" w:rsidP="00F63E8B">
      <w:pPr>
        <w:jc w:val="center"/>
      </w:pPr>
      <w:r w:rsidRPr="00691454">
        <w:br w:type="page"/>
      </w:r>
    </w:p>
    <w:p w14:paraId="431FE34E" w14:textId="39600B84" w:rsidR="004D35FF" w:rsidRDefault="004D35FF" w:rsidP="00F63E8B">
      <w:pPr>
        <w:jc w:val="center"/>
        <w:rPr>
          <w:b/>
        </w:rPr>
      </w:pPr>
      <w:r w:rsidRPr="004D35FF">
        <w:rPr>
          <w:b/>
        </w:rPr>
        <w:lastRenderedPageBreak/>
        <w:t>TABLE OF CONTENTS</w:t>
      </w:r>
    </w:p>
    <w:p w14:paraId="2F3775E4" w14:textId="77777777" w:rsidR="00DA499C" w:rsidRDefault="00DA499C" w:rsidP="00F63E8B">
      <w:pPr>
        <w:jc w:val="center"/>
        <w:rPr>
          <w:b/>
        </w:rPr>
      </w:pPr>
    </w:p>
    <w:p w14:paraId="77B900E3" w14:textId="4E82C636" w:rsidR="004D35FF" w:rsidRPr="004D35FF" w:rsidRDefault="004D35FF" w:rsidP="00095E65">
      <w:pPr>
        <w:tabs>
          <w:tab w:val="right" w:pos="9360"/>
        </w:tabs>
        <w:rPr>
          <w:b/>
          <w:u w:val="single"/>
        </w:rPr>
      </w:pPr>
      <w:r w:rsidRPr="004D35FF">
        <w:rPr>
          <w:b/>
          <w:u w:val="single"/>
        </w:rPr>
        <w:t>Section</w:t>
      </w:r>
      <w:r w:rsidR="00095E65" w:rsidRPr="00095E65">
        <w:rPr>
          <w:b/>
        </w:rPr>
        <w:tab/>
      </w:r>
      <w:r w:rsidR="00095E65">
        <w:rPr>
          <w:b/>
          <w:u w:val="single"/>
        </w:rPr>
        <w:t>Page</w:t>
      </w:r>
    </w:p>
    <w:p w14:paraId="2978161C" w14:textId="77777777" w:rsidR="00CF4FF6" w:rsidRDefault="004D35FF">
      <w:pPr>
        <w:pStyle w:val="TOC1"/>
        <w:tabs>
          <w:tab w:val="right" w:leader="dot" w:pos="9350"/>
        </w:tabs>
        <w:rPr>
          <w:rFonts w:asciiTheme="minorHAnsi" w:eastAsiaTheme="minorEastAsia" w:hAnsiTheme="minorHAnsi" w:cstheme="minorBidi"/>
          <w:b w:val="0"/>
          <w:bCs w:val="0"/>
          <w:caps w:val="0"/>
          <w:noProof/>
          <w:sz w:val="22"/>
          <w:szCs w:val="22"/>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447176421" w:history="1">
        <w:r w:rsidR="00CF4FF6" w:rsidRPr="00314932">
          <w:rPr>
            <w:rStyle w:val="Hyperlink"/>
            <w:noProof/>
          </w:rPr>
          <w:t>A.  JUSTIFICATION</w:t>
        </w:r>
        <w:r w:rsidR="00CF4FF6">
          <w:rPr>
            <w:noProof/>
            <w:webHidden/>
          </w:rPr>
          <w:tab/>
        </w:r>
        <w:r w:rsidR="00CF4FF6">
          <w:rPr>
            <w:noProof/>
            <w:webHidden/>
          </w:rPr>
          <w:fldChar w:fldCharType="begin"/>
        </w:r>
        <w:r w:rsidR="00CF4FF6">
          <w:rPr>
            <w:noProof/>
            <w:webHidden/>
          </w:rPr>
          <w:instrText xml:space="preserve"> PAGEREF _Toc447176421 \h </w:instrText>
        </w:r>
        <w:r w:rsidR="00CF4FF6">
          <w:rPr>
            <w:noProof/>
            <w:webHidden/>
          </w:rPr>
        </w:r>
        <w:r w:rsidR="00CF4FF6">
          <w:rPr>
            <w:noProof/>
            <w:webHidden/>
          </w:rPr>
          <w:fldChar w:fldCharType="separate"/>
        </w:r>
        <w:r w:rsidR="004B72B8">
          <w:rPr>
            <w:noProof/>
            <w:webHidden/>
          </w:rPr>
          <w:t>3</w:t>
        </w:r>
        <w:r w:rsidR="00CF4FF6">
          <w:rPr>
            <w:noProof/>
            <w:webHidden/>
          </w:rPr>
          <w:fldChar w:fldCharType="end"/>
        </w:r>
      </w:hyperlink>
    </w:p>
    <w:p w14:paraId="7EF4EE36" w14:textId="77777777" w:rsidR="00CF4FF6" w:rsidRDefault="003C58E7">
      <w:pPr>
        <w:pStyle w:val="TOC2"/>
        <w:rPr>
          <w:rFonts w:asciiTheme="minorHAnsi" w:eastAsiaTheme="minorEastAsia" w:hAnsiTheme="minorHAnsi" w:cstheme="minorBidi"/>
          <w:noProof/>
          <w:sz w:val="22"/>
          <w:szCs w:val="22"/>
        </w:rPr>
      </w:pPr>
      <w:hyperlink w:anchor="_Toc447176422" w:history="1">
        <w:r w:rsidR="00CF4FF6" w:rsidRPr="00314932">
          <w:rPr>
            <w:rStyle w:val="Hyperlink"/>
            <w:noProof/>
          </w:rPr>
          <w:t>A.1.</w:t>
        </w:r>
        <w:r w:rsidR="00CF4FF6">
          <w:rPr>
            <w:rFonts w:asciiTheme="minorHAnsi" w:eastAsiaTheme="minorEastAsia" w:hAnsiTheme="minorHAnsi" w:cstheme="minorBidi"/>
            <w:noProof/>
            <w:sz w:val="22"/>
            <w:szCs w:val="22"/>
          </w:rPr>
          <w:tab/>
        </w:r>
        <w:r w:rsidR="00CF4FF6" w:rsidRPr="00314932">
          <w:rPr>
            <w:rStyle w:val="Hyperlink"/>
            <w:noProof/>
          </w:rPr>
          <w:t>Circumstances Making the Collection of Information Necessary</w:t>
        </w:r>
        <w:r w:rsidR="00CF4FF6">
          <w:rPr>
            <w:noProof/>
            <w:webHidden/>
          </w:rPr>
          <w:tab/>
        </w:r>
        <w:r w:rsidR="00CF4FF6">
          <w:rPr>
            <w:noProof/>
            <w:webHidden/>
          </w:rPr>
          <w:fldChar w:fldCharType="begin"/>
        </w:r>
        <w:r w:rsidR="00CF4FF6">
          <w:rPr>
            <w:noProof/>
            <w:webHidden/>
          </w:rPr>
          <w:instrText xml:space="preserve"> PAGEREF _Toc447176422 \h </w:instrText>
        </w:r>
        <w:r w:rsidR="00CF4FF6">
          <w:rPr>
            <w:noProof/>
            <w:webHidden/>
          </w:rPr>
        </w:r>
        <w:r w:rsidR="00CF4FF6">
          <w:rPr>
            <w:noProof/>
            <w:webHidden/>
          </w:rPr>
          <w:fldChar w:fldCharType="separate"/>
        </w:r>
        <w:r w:rsidR="004B72B8">
          <w:rPr>
            <w:noProof/>
            <w:webHidden/>
          </w:rPr>
          <w:t>3</w:t>
        </w:r>
        <w:r w:rsidR="00CF4FF6">
          <w:rPr>
            <w:noProof/>
            <w:webHidden/>
          </w:rPr>
          <w:fldChar w:fldCharType="end"/>
        </w:r>
      </w:hyperlink>
    </w:p>
    <w:p w14:paraId="156376BF" w14:textId="77777777" w:rsidR="00CF4FF6" w:rsidRDefault="003C58E7">
      <w:pPr>
        <w:pStyle w:val="TOC2"/>
        <w:rPr>
          <w:rFonts w:asciiTheme="minorHAnsi" w:eastAsiaTheme="minorEastAsia" w:hAnsiTheme="minorHAnsi" w:cstheme="minorBidi"/>
          <w:noProof/>
          <w:sz w:val="22"/>
          <w:szCs w:val="22"/>
        </w:rPr>
      </w:pPr>
      <w:hyperlink w:anchor="_Toc447176423" w:history="1">
        <w:r w:rsidR="00CF4FF6" w:rsidRPr="00314932">
          <w:rPr>
            <w:rStyle w:val="Hyperlink"/>
            <w:noProof/>
          </w:rPr>
          <w:t>A.2.</w:t>
        </w:r>
        <w:r w:rsidR="00CF4FF6">
          <w:rPr>
            <w:rFonts w:asciiTheme="minorHAnsi" w:eastAsiaTheme="minorEastAsia" w:hAnsiTheme="minorHAnsi" w:cstheme="minorBidi"/>
            <w:noProof/>
            <w:sz w:val="22"/>
            <w:szCs w:val="22"/>
          </w:rPr>
          <w:tab/>
        </w:r>
        <w:r w:rsidR="00CF4FF6" w:rsidRPr="00314932">
          <w:rPr>
            <w:rStyle w:val="Hyperlink"/>
            <w:noProof/>
          </w:rPr>
          <w:t>Purpose and Use of Information Collection</w:t>
        </w:r>
        <w:r w:rsidR="00CF4FF6">
          <w:rPr>
            <w:noProof/>
            <w:webHidden/>
          </w:rPr>
          <w:tab/>
        </w:r>
        <w:r w:rsidR="00CF4FF6">
          <w:rPr>
            <w:noProof/>
            <w:webHidden/>
          </w:rPr>
          <w:fldChar w:fldCharType="begin"/>
        </w:r>
        <w:r w:rsidR="00CF4FF6">
          <w:rPr>
            <w:noProof/>
            <w:webHidden/>
          </w:rPr>
          <w:instrText xml:space="preserve"> PAGEREF _Toc447176423 \h </w:instrText>
        </w:r>
        <w:r w:rsidR="00CF4FF6">
          <w:rPr>
            <w:noProof/>
            <w:webHidden/>
          </w:rPr>
        </w:r>
        <w:r w:rsidR="00CF4FF6">
          <w:rPr>
            <w:noProof/>
            <w:webHidden/>
          </w:rPr>
          <w:fldChar w:fldCharType="separate"/>
        </w:r>
        <w:r w:rsidR="004B72B8">
          <w:rPr>
            <w:noProof/>
            <w:webHidden/>
          </w:rPr>
          <w:t>5</w:t>
        </w:r>
        <w:r w:rsidR="00CF4FF6">
          <w:rPr>
            <w:noProof/>
            <w:webHidden/>
          </w:rPr>
          <w:fldChar w:fldCharType="end"/>
        </w:r>
      </w:hyperlink>
    </w:p>
    <w:p w14:paraId="23CF2ADF" w14:textId="77777777" w:rsidR="00CF4FF6" w:rsidRDefault="003C58E7">
      <w:pPr>
        <w:pStyle w:val="TOC2"/>
        <w:rPr>
          <w:rFonts w:asciiTheme="minorHAnsi" w:eastAsiaTheme="minorEastAsia" w:hAnsiTheme="minorHAnsi" w:cstheme="minorBidi"/>
          <w:noProof/>
          <w:sz w:val="22"/>
          <w:szCs w:val="22"/>
        </w:rPr>
      </w:pPr>
      <w:hyperlink w:anchor="_Toc447176424" w:history="1">
        <w:r w:rsidR="00CF4FF6" w:rsidRPr="00314932">
          <w:rPr>
            <w:rStyle w:val="Hyperlink"/>
            <w:noProof/>
          </w:rPr>
          <w:t>A.3.</w:t>
        </w:r>
        <w:r w:rsidR="00CF4FF6">
          <w:rPr>
            <w:rFonts w:asciiTheme="minorHAnsi" w:eastAsiaTheme="minorEastAsia" w:hAnsiTheme="minorHAnsi" w:cstheme="minorBidi"/>
            <w:noProof/>
            <w:sz w:val="22"/>
            <w:szCs w:val="22"/>
          </w:rPr>
          <w:tab/>
        </w:r>
        <w:r w:rsidR="00CF4FF6" w:rsidRPr="00314932">
          <w:rPr>
            <w:rStyle w:val="Hyperlink"/>
            <w:noProof/>
          </w:rPr>
          <w:t>Use of Improved Information Technology and Burden Reduction</w:t>
        </w:r>
        <w:r w:rsidR="00CF4FF6">
          <w:rPr>
            <w:noProof/>
            <w:webHidden/>
          </w:rPr>
          <w:tab/>
        </w:r>
        <w:r w:rsidR="00CF4FF6">
          <w:rPr>
            <w:noProof/>
            <w:webHidden/>
          </w:rPr>
          <w:fldChar w:fldCharType="begin"/>
        </w:r>
        <w:r w:rsidR="00CF4FF6">
          <w:rPr>
            <w:noProof/>
            <w:webHidden/>
          </w:rPr>
          <w:instrText xml:space="preserve"> PAGEREF _Toc447176424 \h </w:instrText>
        </w:r>
        <w:r w:rsidR="00CF4FF6">
          <w:rPr>
            <w:noProof/>
            <w:webHidden/>
          </w:rPr>
        </w:r>
        <w:r w:rsidR="00CF4FF6">
          <w:rPr>
            <w:noProof/>
            <w:webHidden/>
          </w:rPr>
          <w:fldChar w:fldCharType="separate"/>
        </w:r>
        <w:r w:rsidR="004B72B8">
          <w:rPr>
            <w:noProof/>
            <w:webHidden/>
          </w:rPr>
          <w:t>7</w:t>
        </w:r>
        <w:r w:rsidR="00CF4FF6">
          <w:rPr>
            <w:noProof/>
            <w:webHidden/>
          </w:rPr>
          <w:fldChar w:fldCharType="end"/>
        </w:r>
      </w:hyperlink>
    </w:p>
    <w:p w14:paraId="5DAC6A4D" w14:textId="77777777" w:rsidR="00CF4FF6" w:rsidRDefault="003C58E7">
      <w:pPr>
        <w:pStyle w:val="TOC2"/>
        <w:rPr>
          <w:rFonts w:asciiTheme="minorHAnsi" w:eastAsiaTheme="minorEastAsia" w:hAnsiTheme="minorHAnsi" w:cstheme="minorBidi"/>
          <w:noProof/>
          <w:sz w:val="22"/>
          <w:szCs w:val="22"/>
        </w:rPr>
      </w:pPr>
      <w:hyperlink w:anchor="_Toc447176425" w:history="1">
        <w:r w:rsidR="00CF4FF6" w:rsidRPr="00314932">
          <w:rPr>
            <w:rStyle w:val="Hyperlink"/>
            <w:noProof/>
          </w:rPr>
          <w:t xml:space="preserve">A.4. </w:t>
        </w:r>
        <w:r w:rsidR="00CF4FF6">
          <w:rPr>
            <w:rFonts w:asciiTheme="minorHAnsi" w:eastAsiaTheme="minorEastAsia" w:hAnsiTheme="minorHAnsi" w:cstheme="minorBidi"/>
            <w:noProof/>
            <w:sz w:val="22"/>
            <w:szCs w:val="22"/>
          </w:rPr>
          <w:tab/>
        </w:r>
        <w:r w:rsidR="00CF4FF6" w:rsidRPr="00314932">
          <w:rPr>
            <w:rStyle w:val="Hyperlink"/>
            <w:noProof/>
          </w:rPr>
          <w:t>Efforts to Identify Duplication and Use of Similar Information</w:t>
        </w:r>
        <w:r w:rsidR="00CF4FF6">
          <w:rPr>
            <w:noProof/>
            <w:webHidden/>
          </w:rPr>
          <w:tab/>
        </w:r>
        <w:r w:rsidR="00CF4FF6">
          <w:rPr>
            <w:noProof/>
            <w:webHidden/>
          </w:rPr>
          <w:fldChar w:fldCharType="begin"/>
        </w:r>
        <w:r w:rsidR="00CF4FF6">
          <w:rPr>
            <w:noProof/>
            <w:webHidden/>
          </w:rPr>
          <w:instrText xml:space="preserve"> PAGEREF _Toc447176425 \h </w:instrText>
        </w:r>
        <w:r w:rsidR="00CF4FF6">
          <w:rPr>
            <w:noProof/>
            <w:webHidden/>
          </w:rPr>
        </w:r>
        <w:r w:rsidR="00CF4FF6">
          <w:rPr>
            <w:noProof/>
            <w:webHidden/>
          </w:rPr>
          <w:fldChar w:fldCharType="separate"/>
        </w:r>
        <w:r w:rsidR="004B72B8">
          <w:rPr>
            <w:noProof/>
            <w:webHidden/>
          </w:rPr>
          <w:t>7</w:t>
        </w:r>
        <w:r w:rsidR="00CF4FF6">
          <w:rPr>
            <w:noProof/>
            <w:webHidden/>
          </w:rPr>
          <w:fldChar w:fldCharType="end"/>
        </w:r>
      </w:hyperlink>
    </w:p>
    <w:p w14:paraId="3A76FC24" w14:textId="77777777" w:rsidR="00CF4FF6" w:rsidRDefault="003C58E7">
      <w:pPr>
        <w:pStyle w:val="TOC2"/>
        <w:rPr>
          <w:rFonts w:asciiTheme="minorHAnsi" w:eastAsiaTheme="minorEastAsia" w:hAnsiTheme="minorHAnsi" w:cstheme="minorBidi"/>
          <w:noProof/>
          <w:sz w:val="22"/>
          <w:szCs w:val="22"/>
        </w:rPr>
      </w:pPr>
      <w:hyperlink w:anchor="_Toc447176426" w:history="1">
        <w:r w:rsidR="00CF4FF6" w:rsidRPr="00314932">
          <w:rPr>
            <w:rStyle w:val="Hyperlink"/>
            <w:noProof/>
          </w:rPr>
          <w:t xml:space="preserve">A.5. </w:t>
        </w:r>
        <w:r w:rsidR="00CF4FF6">
          <w:rPr>
            <w:rFonts w:asciiTheme="minorHAnsi" w:eastAsiaTheme="minorEastAsia" w:hAnsiTheme="minorHAnsi" w:cstheme="minorBidi"/>
            <w:noProof/>
            <w:sz w:val="22"/>
            <w:szCs w:val="22"/>
          </w:rPr>
          <w:tab/>
        </w:r>
        <w:r w:rsidR="00CF4FF6" w:rsidRPr="00314932">
          <w:rPr>
            <w:rStyle w:val="Hyperlink"/>
            <w:noProof/>
          </w:rPr>
          <w:t>Impact on Small Businesses or Other Small Entities</w:t>
        </w:r>
        <w:r w:rsidR="00CF4FF6">
          <w:rPr>
            <w:noProof/>
            <w:webHidden/>
          </w:rPr>
          <w:tab/>
        </w:r>
        <w:r w:rsidR="00CF4FF6">
          <w:rPr>
            <w:noProof/>
            <w:webHidden/>
          </w:rPr>
          <w:fldChar w:fldCharType="begin"/>
        </w:r>
        <w:r w:rsidR="00CF4FF6">
          <w:rPr>
            <w:noProof/>
            <w:webHidden/>
          </w:rPr>
          <w:instrText xml:space="preserve"> PAGEREF _Toc447176426 \h </w:instrText>
        </w:r>
        <w:r w:rsidR="00CF4FF6">
          <w:rPr>
            <w:noProof/>
            <w:webHidden/>
          </w:rPr>
        </w:r>
        <w:r w:rsidR="00CF4FF6">
          <w:rPr>
            <w:noProof/>
            <w:webHidden/>
          </w:rPr>
          <w:fldChar w:fldCharType="separate"/>
        </w:r>
        <w:r w:rsidR="004B72B8">
          <w:rPr>
            <w:noProof/>
            <w:webHidden/>
          </w:rPr>
          <w:t>8</w:t>
        </w:r>
        <w:r w:rsidR="00CF4FF6">
          <w:rPr>
            <w:noProof/>
            <w:webHidden/>
          </w:rPr>
          <w:fldChar w:fldCharType="end"/>
        </w:r>
      </w:hyperlink>
    </w:p>
    <w:p w14:paraId="01B3C7B3" w14:textId="77777777" w:rsidR="00CF4FF6" w:rsidRDefault="003C58E7">
      <w:pPr>
        <w:pStyle w:val="TOC2"/>
        <w:rPr>
          <w:rFonts w:asciiTheme="minorHAnsi" w:eastAsiaTheme="minorEastAsia" w:hAnsiTheme="minorHAnsi" w:cstheme="minorBidi"/>
          <w:noProof/>
          <w:sz w:val="22"/>
          <w:szCs w:val="22"/>
        </w:rPr>
      </w:pPr>
      <w:hyperlink w:anchor="_Toc447176427" w:history="1">
        <w:r w:rsidR="00CF4FF6" w:rsidRPr="00314932">
          <w:rPr>
            <w:rStyle w:val="Hyperlink"/>
            <w:noProof/>
          </w:rPr>
          <w:t>A.6.</w:t>
        </w:r>
        <w:r w:rsidR="00CF4FF6">
          <w:rPr>
            <w:rFonts w:asciiTheme="minorHAnsi" w:eastAsiaTheme="minorEastAsia" w:hAnsiTheme="minorHAnsi" w:cstheme="minorBidi"/>
            <w:noProof/>
            <w:sz w:val="22"/>
            <w:szCs w:val="22"/>
          </w:rPr>
          <w:tab/>
        </w:r>
        <w:r w:rsidR="00CF4FF6" w:rsidRPr="00314932">
          <w:rPr>
            <w:rStyle w:val="Hyperlink"/>
            <w:noProof/>
          </w:rPr>
          <w:t>Consequences of Collecting the Information Less Frequently</w:t>
        </w:r>
        <w:r w:rsidR="00CF4FF6">
          <w:rPr>
            <w:noProof/>
            <w:webHidden/>
          </w:rPr>
          <w:tab/>
        </w:r>
        <w:r w:rsidR="00CF4FF6">
          <w:rPr>
            <w:noProof/>
            <w:webHidden/>
          </w:rPr>
          <w:fldChar w:fldCharType="begin"/>
        </w:r>
        <w:r w:rsidR="00CF4FF6">
          <w:rPr>
            <w:noProof/>
            <w:webHidden/>
          </w:rPr>
          <w:instrText xml:space="preserve"> PAGEREF _Toc447176427 \h </w:instrText>
        </w:r>
        <w:r w:rsidR="00CF4FF6">
          <w:rPr>
            <w:noProof/>
            <w:webHidden/>
          </w:rPr>
        </w:r>
        <w:r w:rsidR="00CF4FF6">
          <w:rPr>
            <w:noProof/>
            <w:webHidden/>
          </w:rPr>
          <w:fldChar w:fldCharType="separate"/>
        </w:r>
        <w:r w:rsidR="004B72B8">
          <w:rPr>
            <w:noProof/>
            <w:webHidden/>
          </w:rPr>
          <w:t>8</w:t>
        </w:r>
        <w:r w:rsidR="00CF4FF6">
          <w:rPr>
            <w:noProof/>
            <w:webHidden/>
          </w:rPr>
          <w:fldChar w:fldCharType="end"/>
        </w:r>
      </w:hyperlink>
    </w:p>
    <w:p w14:paraId="6900D09A" w14:textId="77777777" w:rsidR="00CF4FF6" w:rsidRDefault="003C58E7">
      <w:pPr>
        <w:pStyle w:val="TOC2"/>
        <w:rPr>
          <w:rFonts w:asciiTheme="minorHAnsi" w:eastAsiaTheme="minorEastAsia" w:hAnsiTheme="minorHAnsi" w:cstheme="minorBidi"/>
          <w:noProof/>
          <w:sz w:val="22"/>
          <w:szCs w:val="22"/>
        </w:rPr>
      </w:pPr>
      <w:hyperlink w:anchor="_Toc447176428" w:history="1">
        <w:r w:rsidR="00CF4FF6" w:rsidRPr="00314932">
          <w:rPr>
            <w:rStyle w:val="Hyperlink"/>
            <w:noProof/>
          </w:rPr>
          <w:t>A.7.</w:t>
        </w:r>
        <w:r w:rsidR="00CF4FF6">
          <w:rPr>
            <w:rFonts w:asciiTheme="minorHAnsi" w:eastAsiaTheme="minorEastAsia" w:hAnsiTheme="minorHAnsi" w:cstheme="minorBidi"/>
            <w:noProof/>
            <w:sz w:val="22"/>
            <w:szCs w:val="22"/>
          </w:rPr>
          <w:tab/>
        </w:r>
        <w:r w:rsidR="00CF4FF6" w:rsidRPr="00314932">
          <w:rPr>
            <w:rStyle w:val="Hyperlink"/>
            <w:noProof/>
          </w:rPr>
          <w:t>Special Circumstances Relating to the Guidelines of 5 CFR 1320.5</w:t>
        </w:r>
        <w:r w:rsidR="00CF4FF6">
          <w:rPr>
            <w:noProof/>
            <w:webHidden/>
          </w:rPr>
          <w:tab/>
        </w:r>
        <w:r w:rsidR="00CF4FF6">
          <w:rPr>
            <w:noProof/>
            <w:webHidden/>
          </w:rPr>
          <w:fldChar w:fldCharType="begin"/>
        </w:r>
        <w:r w:rsidR="00CF4FF6">
          <w:rPr>
            <w:noProof/>
            <w:webHidden/>
          </w:rPr>
          <w:instrText xml:space="preserve"> PAGEREF _Toc447176428 \h </w:instrText>
        </w:r>
        <w:r w:rsidR="00CF4FF6">
          <w:rPr>
            <w:noProof/>
            <w:webHidden/>
          </w:rPr>
        </w:r>
        <w:r w:rsidR="00CF4FF6">
          <w:rPr>
            <w:noProof/>
            <w:webHidden/>
          </w:rPr>
          <w:fldChar w:fldCharType="separate"/>
        </w:r>
        <w:r w:rsidR="004B72B8">
          <w:rPr>
            <w:noProof/>
            <w:webHidden/>
          </w:rPr>
          <w:t>8</w:t>
        </w:r>
        <w:r w:rsidR="00CF4FF6">
          <w:rPr>
            <w:noProof/>
            <w:webHidden/>
          </w:rPr>
          <w:fldChar w:fldCharType="end"/>
        </w:r>
      </w:hyperlink>
    </w:p>
    <w:p w14:paraId="5F4F9516" w14:textId="77777777" w:rsidR="00CF4FF6" w:rsidRDefault="003C58E7">
      <w:pPr>
        <w:pStyle w:val="TOC2"/>
        <w:rPr>
          <w:rFonts w:asciiTheme="minorHAnsi" w:eastAsiaTheme="minorEastAsia" w:hAnsiTheme="minorHAnsi" w:cstheme="minorBidi"/>
          <w:noProof/>
          <w:sz w:val="22"/>
          <w:szCs w:val="22"/>
        </w:rPr>
      </w:pPr>
      <w:hyperlink w:anchor="_Toc447176429" w:history="1">
        <w:r w:rsidR="00CF4FF6" w:rsidRPr="00314932">
          <w:rPr>
            <w:rStyle w:val="Hyperlink"/>
            <w:noProof/>
          </w:rPr>
          <w:t xml:space="preserve">A.8. </w:t>
        </w:r>
        <w:r w:rsidR="00CF4FF6">
          <w:rPr>
            <w:rFonts w:asciiTheme="minorHAnsi" w:eastAsiaTheme="minorEastAsia" w:hAnsiTheme="minorHAnsi" w:cstheme="minorBidi"/>
            <w:noProof/>
            <w:sz w:val="22"/>
            <w:szCs w:val="22"/>
          </w:rPr>
          <w:tab/>
        </w:r>
        <w:r w:rsidR="00CF4FF6" w:rsidRPr="00314932">
          <w:rPr>
            <w:rStyle w:val="Hyperlink"/>
            <w:noProof/>
          </w:rPr>
          <w:t>Comments in Response to the Federal Register Notice and Efforts to Consult Outside the Agency</w:t>
        </w:r>
        <w:r w:rsidR="00CF4FF6">
          <w:rPr>
            <w:noProof/>
            <w:webHidden/>
          </w:rPr>
          <w:tab/>
        </w:r>
        <w:r w:rsidR="00CF4FF6">
          <w:rPr>
            <w:noProof/>
            <w:webHidden/>
          </w:rPr>
          <w:fldChar w:fldCharType="begin"/>
        </w:r>
        <w:r w:rsidR="00CF4FF6">
          <w:rPr>
            <w:noProof/>
            <w:webHidden/>
          </w:rPr>
          <w:instrText xml:space="preserve"> PAGEREF _Toc447176429 \h </w:instrText>
        </w:r>
        <w:r w:rsidR="00CF4FF6">
          <w:rPr>
            <w:noProof/>
            <w:webHidden/>
          </w:rPr>
        </w:r>
        <w:r w:rsidR="00CF4FF6">
          <w:rPr>
            <w:noProof/>
            <w:webHidden/>
          </w:rPr>
          <w:fldChar w:fldCharType="separate"/>
        </w:r>
        <w:r w:rsidR="004B72B8">
          <w:rPr>
            <w:noProof/>
            <w:webHidden/>
          </w:rPr>
          <w:t>8</w:t>
        </w:r>
        <w:r w:rsidR="00CF4FF6">
          <w:rPr>
            <w:noProof/>
            <w:webHidden/>
          </w:rPr>
          <w:fldChar w:fldCharType="end"/>
        </w:r>
      </w:hyperlink>
    </w:p>
    <w:p w14:paraId="0B17687A" w14:textId="77777777" w:rsidR="00CF4FF6" w:rsidRDefault="003C58E7">
      <w:pPr>
        <w:pStyle w:val="TOC2"/>
        <w:rPr>
          <w:rFonts w:asciiTheme="minorHAnsi" w:eastAsiaTheme="minorEastAsia" w:hAnsiTheme="minorHAnsi" w:cstheme="minorBidi"/>
          <w:noProof/>
          <w:sz w:val="22"/>
          <w:szCs w:val="22"/>
        </w:rPr>
      </w:pPr>
      <w:hyperlink w:anchor="_Toc447176430" w:history="1">
        <w:r w:rsidR="00CF4FF6" w:rsidRPr="00314932">
          <w:rPr>
            <w:rStyle w:val="Hyperlink"/>
            <w:noProof/>
          </w:rPr>
          <w:t>A.9.</w:t>
        </w:r>
        <w:r w:rsidR="00CF4FF6">
          <w:rPr>
            <w:rFonts w:asciiTheme="minorHAnsi" w:eastAsiaTheme="minorEastAsia" w:hAnsiTheme="minorHAnsi" w:cstheme="minorBidi"/>
            <w:noProof/>
            <w:sz w:val="22"/>
            <w:szCs w:val="22"/>
          </w:rPr>
          <w:tab/>
        </w:r>
        <w:r w:rsidR="00CF4FF6" w:rsidRPr="00314932">
          <w:rPr>
            <w:rStyle w:val="Hyperlink"/>
            <w:noProof/>
          </w:rPr>
          <w:t>Explanation of Any Payment or Gift to Respondents</w:t>
        </w:r>
        <w:r w:rsidR="00CF4FF6">
          <w:rPr>
            <w:noProof/>
            <w:webHidden/>
          </w:rPr>
          <w:tab/>
        </w:r>
        <w:r w:rsidR="00CF4FF6">
          <w:rPr>
            <w:noProof/>
            <w:webHidden/>
          </w:rPr>
          <w:fldChar w:fldCharType="begin"/>
        </w:r>
        <w:r w:rsidR="00CF4FF6">
          <w:rPr>
            <w:noProof/>
            <w:webHidden/>
          </w:rPr>
          <w:instrText xml:space="preserve"> PAGEREF _Toc447176430 \h </w:instrText>
        </w:r>
        <w:r w:rsidR="00CF4FF6">
          <w:rPr>
            <w:noProof/>
            <w:webHidden/>
          </w:rPr>
        </w:r>
        <w:r w:rsidR="00CF4FF6">
          <w:rPr>
            <w:noProof/>
            <w:webHidden/>
          </w:rPr>
          <w:fldChar w:fldCharType="separate"/>
        </w:r>
        <w:r w:rsidR="004B72B8">
          <w:rPr>
            <w:noProof/>
            <w:webHidden/>
          </w:rPr>
          <w:t>9</w:t>
        </w:r>
        <w:r w:rsidR="00CF4FF6">
          <w:rPr>
            <w:noProof/>
            <w:webHidden/>
          </w:rPr>
          <w:fldChar w:fldCharType="end"/>
        </w:r>
      </w:hyperlink>
    </w:p>
    <w:p w14:paraId="1C0FD0FC" w14:textId="778F3FD9" w:rsidR="00CF4FF6" w:rsidRDefault="003C58E7">
      <w:pPr>
        <w:pStyle w:val="TOC2"/>
        <w:rPr>
          <w:rFonts w:asciiTheme="minorHAnsi" w:eastAsiaTheme="minorEastAsia" w:hAnsiTheme="minorHAnsi" w:cstheme="minorBidi"/>
          <w:noProof/>
          <w:sz w:val="22"/>
          <w:szCs w:val="22"/>
        </w:rPr>
      </w:pPr>
      <w:hyperlink w:anchor="_Toc447176431" w:history="1">
        <w:r w:rsidR="00CF4FF6" w:rsidRPr="00314932">
          <w:rPr>
            <w:rStyle w:val="Hyperlink"/>
            <w:noProof/>
          </w:rPr>
          <w:t>A.10.</w:t>
        </w:r>
        <w:r w:rsidR="00CF4FF6">
          <w:rPr>
            <w:rFonts w:asciiTheme="minorHAnsi" w:eastAsiaTheme="minorEastAsia" w:hAnsiTheme="minorHAnsi" w:cstheme="minorBidi"/>
            <w:noProof/>
            <w:sz w:val="22"/>
            <w:szCs w:val="22"/>
          </w:rPr>
          <w:tab/>
        </w:r>
        <w:r w:rsidR="00285C7E">
          <w:rPr>
            <w:noProof/>
          </w:rPr>
          <w:t xml:space="preserve">Protection of the privacy and confidentiality of information provided to respondents </w:t>
        </w:r>
        <w:r w:rsidR="00CF4FF6">
          <w:rPr>
            <w:noProof/>
            <w:webHidden/>
          </w:rPr>
          <w:tab/>
        </w:r>
        <w:r w:rsidR="00CF4FF6">
          <w:rPr>
            <w:noProof/>
            <w:webHidden/>
          </w:rPr>
          <w:fldChar w:fldCharType="begin"/>
        </w:r>
        <w:r w:rsidR="00CF4FF6">
          <w:rPr>
            <w:noProof/>
            <w:webHidden/>
          </w:rPr>
          <w:instrText xml:space="preserve"> PAGEREF _Toc447176431 \h </w:instrText>
        </w:r>
        <w:r w:rsidR="00CF4FF6">
          <w:rPr>
            <w:noProof/>
            <w:webHidden/>
          </w:rPr>
        </w:r>
        <w:r w:rsidR="00CF4FF6">
          <w:rPr>
            <w:noProof/>
            <w:webHidden/>
          </w:rPr>
          <w:fldChar w:fldCharType="separate"/>
        </w:r>
        <w:r w:rsidR="004B72B8">
          <w:rPr>
            <w:noProof/>
            <w:webHidden/>
          </w:rPr>
          <w:t>9</w:t>
        </w:r>
        <w:r w:rsidR="00CF4FF6">
          <w:rPr>
            <w:noProof/>
            <w:webHidden/>
          </w:rPr>
          <w:fldChar w:fldCharType="end"/>
        </w:r>
      </w:hyperlink>
    </w:p>
    <w:p w14:paraId="25D12406" w14:textId="77777777" w:rsidR="00CF4FF6" w:rsidRDefault="003C58E7">
      <w:pPr>
        <w:pStyle w:val="TOC2"/>
        <w:rPr>
          <w:rFonts w:asciiTheme="minorHAnsi" w:eastAsiaTheme="minorEastAsia" w:hAnsiTheme="minorHAnsi" w:cstheme="minorBidi"/>
          <w:noProof/>
          <w:sz w:val="22"/>
          <w:szCs w:val="22"/>
        </w:rPr>
      </w:pPr>
      <w:hyperlink w:anchor="_Toc447176432" w:history="1">
        <w:r w:rsidR="00CF4FF6" w:rsidRPr="00314932">
          <w:rPr>
            <w:rStyle w:val="Hyperlink"/>
            <w:noProof/>
          </w:rPr>
          <w:t>A.11.</w:t>
        </w:r>
        <w:r w:rsidR="00CF4FF6">
          <w:rPr>
            <w:rFonts w:asciiTheme="minorHAnsi" w:eastAsiaTheme="minorEastAsia" w:hAnsiTheme="minorHAnsi" w:cstheme="minorBidi"/>
            <w:noProof/>
            <w:sz w:val="22"/>
            <w:szCs w:val="22"/>
          </w:rPr>
          <w:tab/>
        </w:r>
        <w:r w:rsidR="00CF4FF6" w:rsidRPr="00314932">
          <w:rPr>
            <w:rStyle w:val="Hyperlink"/>
            <w:noProof/>
          </w:rPr>
          <w:t>Institutional Review Board (IRB) and Justification for Sensitive Questions</w:t>
        </w:r>
        <w:r w:rsidR="00CF4FF6">
          <w:rPr>
            <w:noProof/>
            <w:webHidden/>
          </w:rPr>
          <w:tab/>
        </w:r>
        <w:r w:rsidR="00CF4FF6">
          <w:rPr>
            <w:noProof/>
            <w:webHidden/>
          </w:rPr>
          <w:fldChar w:fldCharType="begin"/>
        </w:r>
        <w:r w:rsidR="00CF4FF6">
          <w:rPr>
            <w:noProof/>
            <w:webHidden/>
          </w:rPr>
          <w:instrText xml:space="preserve"> PAGEREF _Toc447176432 \h </w:instrText>
        </w:r>
        <w:r w:rsidR="00CF4FF6">
          <w:rPr>
            <w:noProof/>
            <w:webHidden/>
          </w:rPr>
        </w:r>
        <w:r w:rsidR="00CF4FF6">
          <w:rPr>
            <w:noProof/>
            <w:webHidden/>
          </w:rPr>
          <w:fldChar w:fldCharType="separate"/>
        </w:r>
        <w:r w:rsidR="004B72B8">
          <w:rPr>
            <w:noProof/>
            <w:webHidden/>
          </w:rPr>
          <w:t>10</w:t>
        </w:r>
        <w:r w:rsidR="00CF4FF6">
          <w:rPr>
            <w:noProof/>
            <w:webHidden/>
          </w:rPr>
          <w:fldChar w:fldCharType="end"/>
        </w:r>
      </w:hyperlink>
    </w:p>
    <w:p w14:paraId="635FB0CD" w14:textId="77777777" w:rsidR="00CF4FF6" w:rsidRDefault="003C58E7">
      <w:pPr>
        <w:pStyle w:val="TOC3"/>
        <w:rPr>
          <w:rFonts w:asciiTheme="minorHAnsi" w:eastAsiaTheme="minorEastAsia" w:hAnsiTheme="minorHAnsi" w:cstheme="minorBidi"/>
          <w:iCs w:val="0"/>
          <w:noProof/>
          <w:sz w:val="22"/>
          <w:szCs w:val="22"/>
        </w:rPr>
      </w:pPr>
      <w:hyperlink w:anchor="_Toc447176433" w:history="1">
        <w:r w:rsidR="00CF4FF6" w:rsidRPr="00314932">
          <w:rPr>
            <w:rStyle w:val="Hyperlink"/>
            <w:noProof/>
          </w:rPr>
          <w:t>IRB Approval</w:t>
        </w:r>
        <w:r w:rsidR="00CF4FF6">
          <w:rPr>
            <w:noProof/>
            <w:webHidden/>
          </w:rPr>
          <w:tab/>
        </w:r>
        <w:r w:rsidR="00CF4FF6">
          <w:rPr>
            <w:noProof/>
            <w:webHidden/>
          </w:rPr>
          <w:fldChar w:fldCharType="begin"/>
        </w:r>
        <w:r w:rsidR="00CF4FF6">
          <w:rPr>
            <w:noProof/>
            <w:webHidden/>
          </w:rPr>
          <w:instrText xml:space="preserve"> PAGEREF _Toc447176433 \h </w:instrText>
        </w:r>
        <w:r w:rsidR="00CF4FF6">
          <w:rPr>
            <w:noProof/>
            <w:webHidden/>
          </w:rPr>
        </w:r>
        <w:r w:rsidR="00CF4FF6">
          <w:rPr>
            <w:noProof/>
            <w:webHidden/>
          </w:rPr>
          <w:fldChar w:fldCharType="separate"/>
        </w:r>
        <w:r w:rsidR="004B72B8">
          <w:rPr>
            <w:noProof/>
            <w:webHidden/>
          </w:rPr>
          <w:t>10</w:t>
        </w:r>
        <w:r w:rsidR="00CF4FF6">
          <w:rPr>
            <w:noProof/>
            <w:webHidden/>
          </w:rPr>
          <w:fldChar w:fldCharType="end"/>
        </w:r>
      </w:hyperlink>
    </w:p>
    <w:p w14:paraId="690E9245" w14:textId="77777777" w:rsidR="00CF4FF6" w:rsidRDefault="003C58E7">
      <w:pPr>
        <w:pStyle w:val="TOC3"/>
        <w:rPr>
          <w:rFonts w:asciiTheme="minorHAnsi" w:eastAsiaTheme="minorEastAsia" w:hAnsiTheme="minorHAnsi" w:cstheme="minorBidi"/>
          <w:iCs w:val="0"/>
          <w:noProof/>
          <w:sz w:val="22"/>
          <w:szCs w:val="22"/>
        </w:rPr>
      </w:pPr>
      <w:hyperlink w:anchor="_Toc447176434" w:history="1">
        <w:r w:rsidR="00CF4FF6" w:rsidRPr="00314932">
          <w:rPr>
            <w:rStyle w:val="Hyperlink"/>
            <w:noProof/>
          </w:rPr>
          <w:t>Sensitive Questions</w:t>
        </w:r>
        <w:r w:rsidR="00CF4FF6">
          <w:rPr>
            <w:noProof/>
            <w:webHidden/>
          </w:rPr>
          <w:tab/>
        </w:r>
        <w:r w:rsidR="00CF4FF6">
          <w:rPr>
            <w:noProof/>
            <w:webHidden/>
          </w:rPr>
          <w:fldChar w:fldCharType="begin"/>
        </w:r>
        <w:r w:rsidR="00CF4FF6">
          <w:rPr>
            <w:noProof/>
            <w:webHidden/>
          </w:rPr>
          <w:instrText xml:space="preserve"> PAGEREF _Toc447176434 \h </w:instrText>
        </w:r>
        <w:r w:rsidR="00CF4FF6">
          <w:rPr>
            <w:noProof/>
            <w:webHidden/>
          </w:rPr>
        </w:r>
        <w:r w:rsidR="00CF4FF6">
          <w:rPr>
            <w:noProof/>
            <w:webHidden/>
          </w:rPr>
          <w:fldChar w:fldCharType="separate"/>
        </w:r>
        <w:r w:rsidR="004B72B8">
          <w:rPr>
            <w:noProof/>
            <w:webHidden/>
          </w:rPr>
          <w:t>10</w:t>
        </w:r>
        <w:r w:rsidR="00CF4FF6">
          <w:rPr>
            <w:noProof/>
            <w:webHidden/>
          </w:rPr>
          <w:fldChar w:fldCharType="end"/>
        </w:r>
      </w:hyperlink>
    </w:p>
    <w:p w14:paraId="6F0E4D2F" w14:textId="77777777" w:rsidR="00CF4FF6" w:rsidRDefault="003C58E7">
      <w:pPr>
        <w:pStyle w:val="TOC2"/>
        <w:rPr>
          <w:rFonts w:asciiTheme="minorHAnsi" w:eastAsiaTheme="minorEastAsia" w:hAnsiTheme="minorHAnsi" w:cstheme="minorBidi"/>
          <w:noProof/>
          <w:sz w:val="22"/>
          <w:szCs w:val="22"/>
        </w:rPr>
      </w:pPr>
      <w:hyperlink w:anchor="_Toc447176435" w:history="1">
        <w:r w:rsidR="00CF4FF6" w:rsidRPr="00314932">
          <w:rPr>
            <w:rStyle w:val="Hyperlink"/>
            <w:noProof/>
          </w:rPr>
          <w:t>A.12.</w:t>
        </w:r>
        <w:r w:rsidR="00CF4FF6">
          <w:rPr>
            <w:rFonts w:asciiTheme="minorHAnsi" w:eastAsiaTheme="minorEastAsia" w:hAnsiTheme="minorHAnsi" w:cstheme="minorBidi"/>
            <w:noProof/>
            <w:sz w:val="22"/>
            <w:szCs w:val="22"/>
          </w:rPr>
          <w:tab/>
        </w:r>
        <w:r w:rsidR="00CF4FF6" w:rsidRPr="00314932">
          <w:rPr>
            <w:rStyle w:val="Hyperlink"/>
            <w:noProof/>
          </w:rPr>
          <w:t>Estimates of Annualized Burden Hours and Costs</w:t>
        </w:r>
        <w:r w:rsidR="00CF4FF6">
          <w:rPr>
            <w:noProof/>
            <w:webHidden/>
          </w:rPr>
          <w:tab/>
        </w:r>
        <w:r w:rsidR="00CF4FF6">
          <w:rPr>
            <w:noProof/>
            <w:webHidden/>
          </w:rPr>
          <w:fldChar w:fldCharType="begin"/>
        </w:r>
        <w:r w:rsidR="00CF4FF6">
          <w:rPr>
            <w:noProof/>
            <w:webHidden/>
          </w:rPr>
          <w:instrText xml:space="preserve"> PAGEREF _Toc447176435 \h </w:instrText>
        </w:r>
        <w:r w:rsidR="00CF4FF6">
          <w:rPr>
            <w:noProof/>
            <w:webHidden/>
          </w:rPr>
        </w:r>
        <w:r w:rsidR="00CF4FF6">
          <w:rPr>
            <w:noProof/>
            <w:webHidden/>
          </w:rPr>
          <w:fldChar w:fldCharType="separate"/>
        </w:r>
        <w:r w:rsidR="004B72B8">
          <w:rPr>
            <w:noProof/>
            <w:webHidden/>
          </w:rPr>
          <w:t>10</w:t>
        </w:r>
        <w:r w:rsidR="00CF4FF6">
          <w:rPr>
            <w:noProof/>
            <w:webHidden/>
          </w:rPr>
          <w:fldChar w:fldCharType="end"/>
        </w:r>
      </w:hyperlink>
    </w:p>
    <w:p w14:paraId="12B40867" w14:textId="77777777" w:rsidR="00CF4FF6" w:rsidRDefault="003C58E7">
      <w:pPr>
        <w:pStyle w:val="TOC3"/>
        <w:rPr>
          <w:rFonts w:asciiTheme="minorHAnsi" w:eastAsiaTheme="minorEastAsia" w:hAnsiTheme="minorHAnsi" w:cstheme="minorBidi"/>
          <w:iCs w:val="0"/>
          <w:noProof/>
          <w:sz w:val="22"/>
          <w:szCs w:val="22"/>
        </w:rPr>
      </w:pPr>
      <w:hyperlink w:anchor="_Toc447176436" w:history="1">
        <w:r w:rsidR="00CF4FF6" w:rsidRPr="00314932">
          <w:rPr>
            <w:rStyle w:val="Hyperlink"/>
            <w:noProof/>
          </w:rPr>
          <w:t>A.12.b)  Annual burden cost</w:t>
        </w:r>
        <w:r w:rsidR="00CF4FF6">
          <w:rPr>
            <w:noProof/>
            <w:webHidden/>
          </w:rPr>
          <w:tab/>
        </w:r>
        <w:r w:rsidR="00CF4FF6">
          <w:rPr>
            <w:noProof/>
            <w:webHidden/>
          </w:rPr>
          <w:fldChar w:fldCharType="begin"/>
        </w:r>
        <w:r w:rsidR="00CF4FF6">
          <w:rPr>
            <w:noProof/>
            <w:webHidden/>
          </w:rPr>
          <w:instrText xml:space="preserve"> PAGEREF _Toc447176436 \h </w:instrText>
        </w:r>
        <w:r w:rsidR="00CF4FF6">
          <w:rPr>
            <w:noProof/>
            <w:webHidden/>
          </w:rPr>
        </w:r>
        <w:r w:rsidR="00CF4FF6">
          <w:rPr>
            <w:noProof/>
            <w:webHidden/>
          </w:rPr>
          <w:fldChar w:fldCharType="separate"/>
        </w:r>
        <w:r w:rsidR="004B72B8">
          <w:rPr>
            <w:noProof/>
            <w:webHidden/>
          </w:rPr>
          <w:t>11</w:t>
        </w:r>
        <w:r w:rsidR="00CF4FF6">
          <w:rPr>
            <w:noProof/>
            <w:webHidden/>
          </w:rPr>
          <w:fldChar w:fldCharType="end"/>
        </w:r>
      </w:hyperlink>
    </w:p>
    <w:p w14:paraId="1FB30281" w14:textId="77777777" w:rsidR="00CF4FF6" w:rsidRDefault="003C58E7">
      <w:pPr>
        <w:pStyle w:val="TOC2"/>
        <w:rPr>
          <w:rFonts w:asciiTheme="minorHAnsi" w:eastAsiaTheme="minorEastAsia" w:hAnsiTheme="minorHAnsi" w:cstheme="minorBidi"/>
          <w:noProof/>
          <w:sz w:val="22"/>
          <w:szCs w:val="22"/>
        </w:rPr>
      </w:pPr>
      <w:hyperlink w:anchor="_Toc447176437" w:history="1">
        <w:r w:rsidR="00CF4FF6" w:rsidRPr="00314932">
          <w:rPr>
            <w:rStyle w:val="Hyperlink"/>
            <w:noProof/>
          </w:rPr>
          <w:t>A.13.</w:t>
        </w:r>
        <w:r w:rsidR="00CF4FF6">
          <w:rPr>
            <w:rFonts w:asciiTheme="minorHAnsi" w:eastAsiaTheme="minorEastAsia" w:hAnsiTheme="minorHAnsi" w:cstheme="minorBidi"/>
            <w:noProof/>
            <w:sz w:val="22"/>
            <w:szCs w:val="22"/>
          </w:rPr>
          <w:tab/>
        </w:r>
        <w:r w:rsidR="00CF4FF6" w:rsidRPr="00314932">
          <w:rPr>
            <w:rStyle w:val="Hyperlink"/>
            <w:noProof/>
          </w:rPr>
          <w:t>Estimates of Other Total Annual Cost Burden to Respondents or Record Keepers</w:t>
        </w:r>
        <w:r w:rsidR="00CF4FF6">
          <w:rPr>
            <w:noProof/>
            <w:webHidden/>
          </w:rPr>
          <w:tab/>
        </w:r>
        <w:r w:rsidR="00CF4FF6">
          <w:rPr>
            <w:noProof/>
            <w:webHidden/>
          </w:rPr>
          <w:fldChar w:fldCharType="begin"/>
        </w:r>
        <w:r w:rsidR="00CF4FF6">
          <w:rPr>
            <w:noProof/>
            <w:webHidden/>
          </w:rPr>
          <w:instrText xml:space="preserve"> PAGEREF _Toc447176437 \h </w:instrText>
        </w:r>
        <w:r w:rsidR="00CF4FF6">
          <w:rPr>
            <w:noProof/>
            <w:webHidden/>
          </w:rPr>
        </w:r>
        <w:r w:rsidR="00CF4FF6">
          <w:rPr>
            <w:noProof/>
            <w:webHidden/>
          </w:rPr>
          <w:fldChar w:fldCharType="separate"/>
        </w:r>
        <w:r w:rsidR="004B72B8">
          <w:rPr>
            <w:noProof/>
            <w:webHidden/>
          </w:rPr>
          <w:t>12</w:t>
        </w:r>
        <w:r w:rsidR="00CF4FF6">
          <w:rPr>
            <w:noProof/>
            <w:webHidden/>
          </w:rPr>
          <w:fldChar w:fldCharType="end"/>
        </w:r>
      </w:hyperlink>
    </w:p>
    <w:p w14:paraId="3173D359" w14:textId="77777777" w:rsidR="00CF4FF6" w:rsidRDefault="003C58E7">
      <w:pPr>
        <w:pStyle w:val="TOC2"/>
        <w:rPr>
          <w:rFonts w:asciiTheme="minorHAnsi" w:eastAsiaTheme="minorEastAsia" w:hAnsiTheme="minorHAnsi" w:cstheme="minorBidi"/>
          <w:noProof/>
          <w:sz w:val="22"/>
          <w:szCs w:val="22"/>
        </w:rPr>
      </w:pPr>
      <w:hyperlink w:anchor="_Toc447176438" w:history="1">
        <w:r w:rsidR="00CF4FF6" w:rsidRPr="00314932">
          <w:rPr>
            <w:rStyle w:val="Hyperlink"/>
            <w:noProof/>
          </w:rPr>
          <w:t>A.14.</w:t>
        </w:r>
        <w:r w:rsidR="00CF4FF6">
          <w:rPr>
            <w:rFonts w:asciiTheme="minorHAnsi" w:eastAsiaTheme="minorEastAsia" w:hAnsiTheme="minorHAnsi" w:cstheme="minorBidi"/>
            <w:noProof/>
            <w:sz w:val="22"/>
            <w:szCs w:val="22"/>
          </w:rPr>
          <w:tab/>
        </w:r>
        <w:r w:rsidR="00CF4FF6" w:rsidRPr="00314932">
          <w:rPr>
            <w:rStyle w:val="Hyperlink"/>
            <w:noProof/>
          </w:rPr>
          <w:t>Annualized Cost to the Government</w:t>
        </w:r>
        <w:r w:rsidR="00CF4FF6">
          <w:rPr>
            <w:noProof/>
            <w:webHidden/>
          </w:rPr>
          <w:tab/>
        </w:r>
        <w:r w:rsidR="00CF4FF6">
          <w:rPr>
            <w:noProof/>
            <w:webHidden/>
          </w:rPr>
          <w:fldChar w:fldCharType="begin"/>
        </w:r>
        <w:r w:rsidR="00CF4FF6">
          <w:rPr>
            <w:noProof/>
            <w:webHidden/>
          </w:rPr>
          <w:instrText xml:space="preserve"> PAGEREF _Toc447176438 \h </w:instrText>
        </w:r>
        <w:r w:rsidR="00CF4FF6">
          <w:rPr>
            <w:noProof/>
            <w:webHidden/>
          </w:rPr>
        </w:r>
        <w:r w:rsidR="00CF4FF6">
          <w:rPr>
            <w:noProof/>
            <w:webHidden/>
          </w:rPr>
          <w:fldChar w:fldCharType="separate"/>
        </w:r>
        <w:r w:rsidR="004B72B8">
          <w:rPr>
            <w:noProof/>
            <w:webHidden/>
          </w:rPr>
          <w:t>12</w:t>
        </w:r>
        <w:r w:rsidR="00CF4FF6">
          <w:rPr>
            <w:noProof/>
            <w:webHidden/>
          </w:rPr>
          <w:fldChar w:fldCharType="end"/>
        </w:r>
      </w:hyperlink>
    </w:p>
    <w:p w14:paraId="437FD7EC" w14:textId="4D915AC6" w:rsidR="00CF4FF6" w:rsidRDefault="003C58E7">
      <w:pPr>
        <w:pStyle w:val="TOC2"/>
        <w:rPr>
          <w:rFonts w:asciiTheme="minorHAnsi" w:eastAsiaTheme="minorEastAsia" w:hAnsiTheme="minorHAnsi" w:cstheme="minorBidi"/>
          <w:noProof/>
          <w:sz w:val="22"/>
          <w:szCs w:val="22"/>
        </w:rPr>
      </w:pPr>
      <w:hyperlink w:anchor="_Toc447176439" w:history="1">
        <w:r w:rsidR="00CF4FF6" w:rsidRPr="00314932">
          <w:rPr>
            <w:rStyle w:val="Hyperlink"/>
            <w:noProof/>
          </w:rPr>
          <w:t>A.15.</w:t>
        </w:r>
        <w:r w:rsidR="00CF4FF6">
          <w:rPr>
            <w:rFonts w:asciiTheme="minorHAnsi" w:eastAsiaTheme="minorEastAsia" w:hAnsiTheme="minorHAnsi" w:cstheme="minorBidi"/>
            <w:noProof/>
            <w:sz w:val="22"/>
            <w:szCs w:val="22"/>
          </w:rPr>
          <w:tab/>
        </w:r>
        <w:r w:rsidR="00CF4FF6" w:rsidRPr="00314932">
          <w:rPr>
            <w:rStyle w:val="Hyperlink"/>
            <w:noProof/>
          </w:rPr>
          <w:t>Explanation for Program Changes or Adjustments</w:t>
        </w:r>
        <w:r w:rsidR="00CF4FF6">
          <w:rPr>
            <w:noProof/>
            <w:webHidden/>
          </w:rPr>
          <w:tab/>
        </w:r>
        <w:r w:rsidR="00CF4FF6">
          <w:rPr>
            <w:noProof/>
            <w:webHidden/>
          </w:rPr>
          <w:fldChar w:fldCharType="begin"/>
        </w:r>
        <w:r w:rsidR="00CF4FF6">
          <w:rPr>
            <w:noProof/>
            <w:webHidden/>
          </w:rPr>
          <w:instrText xml:space="preserve"> PAGEREF _Toc447176439 \h </w:instrText>
        </w:r>
        <w:r w:rsidR="00CF4FF6">
          <w:rPr>
            <w:noProof/>
            <w:webHidden/>
          </w:rPr>
        </w:r>
        <w:r w:rsidR="00CF4FF6">
          <w:rPr>
            <w:noProof/>
            <w:webHidden/>
          </w:rPr>
          <w:fldChar w:fldCharType="separate"/>
        </w:r>
        <w:r w:rsidR="004B72B8">
          <w:rPr>
            <w:noProof/>
            <w:webHidden/>
          </w:rPr>
          <w:t>12</w:t>
        </w:r>
        <w:r w:rsidR="00CF4FF6">
          <w:rPr>
            <w:noProof/>
            <w:webHidden/>
          </w:rPr>
          <w:fldChar w:fldCharType="end"/>
        </w:r>
      </w:hyperlink>
    </w:p>
    <w:p w14:paraId="1A8B435E" w14:textId="5C5429FB" w:rsidR="00CF4FF6" w:rsidRDefault="003C58E7">
      <w:pPr>
        <w:pStyle w:val="TOC2"/>
        <w:rPr>
          <w:rFonts w:asciiTheme="minorHAnsi" w:eastAsiaTheme="minorEastAsia" w:hAnsiTheme="minorHAnsi" w:cstheme="minorBidi"/>
          <w:noProof/>
          <w:sz w:val="22"/>
          <w:szCs w:val="22"/>
        </w:rPr>
      </w:pPr>
      <w:hyperlink w:anchor="_Toc447176440" w:history="1">
        <w:r w:rsidR="00CF4FF6" w:rsidRPr="00314932">
          <w:rPr>
            <w:rStyle w:val="Hyperlink"/>
            <w:noProof/>
          </w:rPr>
          <w:t>A.16.</w:t>
        </w:r>
        <w:r w:rsidR="00CF4FF6">
          <w:rPr>
            <w:rFonts w:asciiTheme="minorHAnsi" w:eastAsiaTheme="minorEastAsia" w:hAnsiTheme="minorHAnsi" w:cstheme="minorBidi"/>
            <w:noProof/>
            <w:sz w:val="22"/>
            <w:szCs w:val="22"/>
          </w:rPr>
          <w:tab/>
        </w:r>
        <w:r w:rsidR="00CF4FF6" w:rsidRPr="00314932">
          <w:rPr>
            <w:rStyle w:val="Hyperlink"/>
            <w:noProof/>
          </w:rPr>
          <w:t>Plans for Tabulation and Publication, and Project Time Schedule</w:t>
        </w:r>
        <w:r w:rsidR="00CF4FF6">
          <w:rPr>
            <w:noProof/>
            <w:webHidden/>
          </w:rPr>
          <w:tab/>
        </w:r>
        <w:r w:rsidR="00CF4FF6">
          <w:rPr>
            <w:noProof/>
            <w:webHidden/>
          </w:rPr>
          <w:fldChar w:fldCharType="begin"/>
        </w:r>
        <w:r w:rsidR="00CF4FF6">
          <w:rPr>
            <w:noProof/>
            <w:webHidden/>
          </w:rPr>
          <w:instrText xml:space="preserve"> PAGEREF _Toc447176440 \h </w:instrText>
        </w:r>
        <w:r w:rsidR="00CF4FF6">
          <w:rPr>
            <w:noProof/>
            <w:webHidden/>
          </w:rPr>
        </w:r>
        <w:r w:rsidR="00CF4FF6">
          <w:rPr>
            <w:noProof/>
            <w:webHidden/>
          </w:rPr>
          <w:fldChar w:fldCharType="separate"/>
        </w:r>
        <w:r w:rsidR="004B72B8">
          <w:rPr>
            <w:noProof/>
            <w:webHidden/>
          </w:rPr>
          <w:t>12</w:t>
        </w:r>
        <w:r w:rsidR="00CF4FF6">
          <w:rPr>
            <w:noProof/>
            <w:webHidden/>
          </w:rPr>
          <w:fldChar w:fldCharType="end"/>
        </w:r>
      </w:hyperlink>
    </w:p>
    <w:p w14:paraId="6BA41D53" w14:textId="23DB6A09" w:rsidR="00CF4FF6" w:rsidRDefault="003C58E7">
      <w:pPr>
        <w:pStyle w:val="TOC2"/>
        <w:rPr>
          <w:rFonts w:asciiTheme="minorHAnsi" w:eastAsiaTheme="minorEastAsia" w:hAnsiTheme="minorHAnsi" w:cstheme="minorBidi"/>
          <w:noProof/>
          <w:sz w:val="22"/>
          <w:szCs w:val="22"/>
        </w:rPr>
      </w:pPr>
      <w:hyperlink w:anchor="_Toc447176441" w:history="1">
        <w:r w:rsidR="00CF4FF6" w:rsidRPr="00314932">
          <w:rPr>
            <w:rStyle w:val="Hyperlink"/>
            <w:noProof/>
          </w:rPr>
          <w:t>A.17.</w:t>
        </w:r>
        <w:r w:rsidR="00CF4FF6">
          <w:rPr>
            <w:rFonts w:asciiTheme="minorHAnsi" w:eastAsiaTheme="minorEastAsia" w:hAnsiTheme="minorHAnsi" w:cstheme="minorBidi"/>
            <w:noProof/>
            <w:sz w:val="22"/>
            <w:szCs w:val="22"/>
          </w:rPr>
          <w:tab/>
        </w:r>
        <w:r w:rsidR="00CF4FF6" w:rsidRPr="00314932">
          <w:rPr>
            <w:rStyle w:val="Hyperlink"/>
            <w:noProof/>
          </w:rPr>
          <w:t>Reason(s) Display of OMB Expiration Date is Inappropriate</w:t>
        </w:r>
        <w:r w:rsidR="00CF4FF6">
          <w:rPr>
            <w:noProof/>
            <w:webHidden/>
          </w:rPr>
          <w:tab/>
        </w:r>
        <w:r w:rsidR="00CF4FF6">
          <w:rPr>
            <w:noProof/>
            <w:webHidden/>
          </w:rPr>
          <w:fldChar w:fldCharType="begin"/>
        </w:r>
        <w:r w:rsidR="00CF4FF6">
          <w:rPr>
            <w:noProof/>
            <w:webHidden/>
          </w:rPr>
          <w:instrText xml:space="preserve"> PAGEREF _Toc447176441 \h </w:instrText>
        </w:r>
        <w:r w:rsidR="00CF4FF6">
          <w:rPr>
            <w:noProof/>
            <w:webHidden/>
          </w:rPr>
        </w:r>
        <w:r w:rsidR="00CF4FF6">
          <w:rPr>
            <w:noProof/>
            <w:webHidden/>
          </w:rPr>
          <w:fldChar w:fldCharType="separate"/>
        </w:r>
        <w:r w:rsidR="004B72B8">
          <w:rPr>
            <w:noProof/>
            <w:webHidden/>
          </w:rPr>
          <w:t>13</w:t>
        </w:r>
        <w:r w:rsidR="00CF4FF6">
          <w:rPr>
            <w:noProof/>
            <w:webHidden/>
          </w:rPr>
          <w:fldChar w:fldCharType="end"/>
        </w:r>
      </w:hyperlink>
    </w:p>
    <w:p w14:paraId="1205F17E" w14:textId="337FABAB" w:rsidR="00CF4FF6" w:rsidRDefault="003C58E7">
      <w:pPr>
        <w:pStyle w:val="TOC2"/>
        <w:rPr>
          <w:rFonts w:asciiTheme="minorHAnsi" w:eastAsiaTheme="minorEastAsia" w:hAnsiTheme="minorHAnsi" w:cstheme="minorBidi"/>
          <w:noProof/>
          <w:sz w:val="22"/>
          <w:szCs w:val="22"/>
        </w:rPr>
      </w:pPr>
      <w:hyperlink w:anchor="_Toc447176442" w:history="1">
        <w:r w:rsidR="00CF4FF6" w:rsidRPr="00314932">
          <w:rPr>
            <w:rStyle w:val="Hyperlink"/>
            <w:noProof/>
          </w:rPr>
          <w:t>A.18.</w:t>
        </w:r>
        <w:r w:rsidR="00CF4FF6">
          <w:rPr>
            <w:rFonts w:asciiTheme="minorHAnsi" w:eastAsiaTheme="minorEastAsia" w:hAnsiTheme="minorHAnsi" w:cstheme="minorBidi"/>
            <w:noProof/>
            <w:sz w:val="22"/>
            <w:szCs w:val="22"/>
          </w:rPr>
          <w:tab/>
        </w:r>
        <w:r w:rsidR="00CF4FF6" w:rsidRPr="00314932">
          <w:rPr>
            <w:rStyle w:val="Hyperlink"/>
            <w:noProof/>
          </w:rPr>
          <w:t>Exceptions to Certification for Paperwork Reduction Act Submissions</w:t>
        </w:r>
        <w:r w:rsidR="00CF4FF6">
          <w:rPr>
            <w:noProof/>
            <w:webHidden/>
          </w:rPr>
          <w:tab/>
        </w:r>
        <w:r w:rsidR="00CF4FF6">
          <w:rPr>
            <w:noProof/>
            <w:webHidden/>
          </w:rPr>
          <w:fldChar w:fldCharType="begin"/>
        </w:r>
        <w:r w:rsidR="00CF4FF6">
          <w:rPr>
            <w:noProof/>
            <w:webHidden/>
          </w:rPr>
          <w:instrText xml:space="preserve"> PAGEREF _Toc447176442 \h </w:instrText>
        </w:r>
        <w:r w:rsidR="00CF4FF6">
          <w:rPr>
            <w:noProof/>
            <w:webHidden/>
          </w:rPr>
        </w:r>
        <w:r w:rsidR="00CF4FF6">
          <w:rPr>
            <w:noProof/>
            <w:webHidden/>
          </w:rPr>
          <w:fldChar w:fldCharType="separate"/>
        </w:r>
        <w:r w:rsidR="004B72B8">
          <w:rPr>
            <w:noProof/>
            <w:webHidden/>
          </w:rPr>
          <w:t>13</w:t>
        </w:r>
        <w:r w:rsidR="00CF4FF6">
          <w:rPr>
            <w:noProof/>
            <w:webHidden/>
          </w:rPr>
          <w:fldChar w:fldCharType="end"/>
        </w:r>
      </w:hyperlink>
    </w:p>
    <w:p w14:paraId="090E1777" w14:textId="43E99524" w:rsidR="00CF4FF6" w:rsidRDefault="003C58E7">
      <w:pPr>
        <w:pStyle w:val="TOC1"/>
        <w:tabs>
          <w:tab w:val="right" w:leader="dot" w:pos="9350"/>
        </w:tabs>
        <w:rPr>
          <w:rFonts w:asciiTheme="minorHAnsi" w:eastAsiaTheme="minorEastAsia" w:hAnsiTheme="minorHAnsi" w:cstheme="minorBidi"/>
          <w:b w:val="0"/>
          <w:bCs w:val="0"/>
          <w:caps w:val="0"/>
          <w:noProof/>
          <w:sz w:val="22"/>
          <w:szCs w:val="22"/>
        </w:rPr>
      </w:pPr>
      <w:hyperlink w:anchor="_Toc447176443" w:history="1">
        <w:r w:rsidR="00CF4FF6" w:rsidRPr="00314932">
          <w:rPr>
            <w:rStyle w:val="Hyperlink"/>
            <w:noProof/>
          </w:rPr>
          <w:t>REFERENCES</w:t>
        </w:r>
        <w:r w:rsidR="00CF4FF6">
          <w:rPr>
            <w:noProof/>
            <w:webHidden/>
          </w:rPr>
          <w:tab/>
        </w:r>
        <w:r w:rsidR="00CF4FF6">
          <w:rPr>
            <w:noProof/>
            <w:webHidden/>
          </w:rPr>
          <w:fldChar w:fldCharType="begin"/>
        </w:r>
        <w:r w:rsidR="00CF4FF6">
          <w:rPr>
            <w:noProof/>
            <w:webHidden/>
          </w:rPr>
          <w:instrText xml:space="preserve"> PAGEREF _Toc447176443 \h </w:instrText>
        </w:r>
        <w:r w:rsidR="00CF4FF6">
          <w:rPr>
            <w:noProof/>
            <w:webHidden/>
          </w:rPr>
        </w:r>
        <w:r w:rsidR="00CF4FF6">
          <w:rPr>
            <w:noProof/>
            <w:webHidden/>
          </w:rPr>
          <w:fldChar w:fldCharType="separate"/>
        </w:r>
        <w:r w:rsidR="004B72B8">
          <w:rPr>
            <w:noProof/>
            <w:webHidden/>
          </w:rPr>
          <w:t>13</w:t>
        </w:r>
        <w:r w:rsidR="00CF4FF6">
          <w:rPr>
            <w:noProof/>
            <w:webHidden/>
          </w:rPr>
          <w:fldChar w:fldCharType="end"/>
        </w:r>
      </w:hyperlink>
    </w:p>
    <w:p w14:paraId="58D832F4" w14:textId="64B37125" w:rsidR="00972DEF" w:rsidRPr="00691454" w:rsidRDefault="004D35FF" w:rsidP="00095E65">
      <w:r>
        <w:rPr>
          <w:b/>
          <w:bCs/>
          <w:caps/>
          <w:szCs w:val="20"/>
        </w:rPr>
        <w:fldChar w:fldCharType="end"/>
      </w:r>
    </w:p>
    <w:p w14:paraId="58D83315" w14:textId="77777777" w:rsidR="00233FB1" w:rsidRPr="00095E65" w:rsidRDefault="00233FB1" w:rsidP="00095E65">
      <w:pPr>
        <w:pStyle w:val="C2-CtrSglSp"/>
        <w:spacing w:line="240" w:lineRule="auto"/>
        <w:jc w:val="left"/>
        <w:rPr>
          <w:b/>
          <w:u w:val="single"/>
        </w:rPr>
      </w:pPr>
      <w:r w:rsidRPr="00095E65">
        <w:rPr>
          <w:b/>
          <w:u w:val="single"/>
        </w:rPr>
        <w:t>Attachments</w:t>
      </w:r>
    </w:p>
    <w:p w14:paraId="787B95E4" w14:textId="7033B327" w:rsidR="00F92D6B" w:rsidRPr="00767916" w:rsidRDefault="00131426" w:rsidP="00FC6FBE">
      <w:pPr>
        <w:tabs>
          <w:tab w:val="left" w:pos="900"/>
        </w:tabs>
        <w:spacing w:after="60"/>
      </w:pPr>
      <w:r>
        <w:t>Att. 1</w:t>
      </w:r>
      <w:r w:rsidR="003002B8">
        <w:t>a</w:t>
      </w:r>
      <w:r>
        <w:tab/>
      </w:r>
      <w:r w:rsidR="00F92D6B" w:rsidRPr="00691454">
        <w:t>Authorizing Legislation: Public Health Service Act</w:t>
      </w:r>
      <w:r w:rsidR="00F92D6B">
        <w:t xml:space="preserve"> (</w:t>
      </w:r>
      <w:r w:rsidR="00F92D6B" w:rsidRPr="00131426">
        <w:t>42 U.S.C. Section 247b)</w:t>
      </w:r>
    </w:p>
    <w:p w14:paraId="38323BB2" w14:textId="095D3234" w:rsidR="00F92D6B" w:rsidRPr="00767916" w:rsidRDefault="003002B8" w:rsidP="00FC6FBE">
      <w:pPr>
        <w:tabs>
          <w:tab w:val="left" w:pos="900"/>
        </w:tabs>
        <w:spacing w:after="60"/>
      </w:pPr>
      <w:r>
        <w:t>Att. 1b</w:t>
      </w:r>
      <w:r w:rsidR="00131426">
        <w:tab/>
      </w:r>
      <w:r w:rsidRPr="00691454">
        <w:t>Authorizing Legislation:</w:t>
      </w:r>
      <w:r>
        <w:t xml:space="preserve"> </w:t>
      </w:r>
      <w:r w:rsidR="00F92D6B" w:rsidRPr="00691454">
        <w:t>Public Health Service Act</w:t>
      </w:r>
      <w:r w:rsidR="00F92D6B">
        <w:t xml:space="preserve"> (</w:t>
      </w:r>
      <w:r w:rsidR="00F92D6B" w:rsidRPr="00131426">
        <w:t>42 U.S.C. Section 280b-1b)</w:t>
      </w:r>
    </w:p>
    <w:p w14:paraId="7A28FCD8" w14:textId="2ED264B4" w:rsidR="00F92D6B" w:rsidRDefault="00131426" w:rsidP="00FC6FBE">
      <w:pPr>
        <w:tabs>
          <w:tab w:val="left" w:pos="900"/>
        </w:tabs>
        <w:spacing w:after="60"/>
      </w:pPr>
      <w:r>
        <w:t xml:space="preserve">Att. </w:t>
      </w:r>
      <w:r w:rsidR="003002B8">
        <w:t>1c</w:t>
      </w:r>
      <w:r>
        <w:tab/>
      </w:r>
      <w:r w:rsidR="003002B8" w:rsidRPr="00691454">
        <w:t>Authorizing Legislation:</w:t>
      </w:r>
      <w:r w:rsidR="003002B8">
        <w:t xml:space="preserve"> </w:t>
      </w:r>
      <w:r w:rsidR="00F92D6B">
        <w:t>Violence against Women Act</w:t>
      </w:r>
      <w:r w:rsidR="00FE5B2C">
        <w:t xml:space="preserve"> of 1994</w:t>
      </w:r>
    </w:p>
    <w:p w14:paraId="7FD0F696" w14:textId="6BEF42EE" w:rsidR="00F92D6B" w:rsidRDefault="00131426" w:rsidP="00FC6FBE">
      <w:pPr>
        <w:tabs>
          <w:tab w:val="left" w:pos="900"/>
        </w:tabs>
        <w:spacing w:after="60"/>
      </w:pPr>
      <w:r>
        <w:t xml:space="preserve">Att. </w:t>
      </w:r>
      <w:r w:rsidR="008B576C">
        <w:t>2</w:t>
      </w:r>
      <w:r>
        <w:tab/>
      </w:r>
      <w:r w:rsidR="00F92D6B" w:rsidRPr="00691454">
        <w:t>Published 60-Day Federal Register Notice</w:t>
      </w:r>
    </w:p>
    <w:p w14:paraId="5E4CABFB" w14:textId="3F28491C" w:rsidR="00767916" w:rsidRDefault="00131426" w:rsidP="00FC6FBE">
      <w:pPr>
        <w:tabs>
          <w:tab w:val="left" w:pos="900"/>
        </w:tabs>
        <w:spacing w:after="60"/>
      </w:pPr>
      <w:r>
        <w:t xml:space="preserve">Att. </w:t>
      </w:r>
      <w:r w:rsidR="00AA3D04">
        <w:t>3a</w:t>
      </w:r>
      <w:r>
        <w:tab/>
      </w:r>
      <w:r w:rsidR="00767916">
        <w:t xml:space="preserve">Instrument: </w:t>
      </w:r>
      <w:r w:rsidR="002D6121">
        <w:t xml:space="preserve">Work Plan Tool </w:t>
      </w:r>
    </w:p>
    <w:p w14:paraId="37E468D8" w14:textId="7AA9D236" w:rsidR="00AA3D04" w:rsidRDefault="00AA3D04" w:rsidP="00AA3D04">
      <w:pPr>
        <w:tabs>
          <w:tab w:val="left" w:pos="900"/>
        </w:tabs>
        <w:spacing w:after="60"/>
      </w:pPr>
      <w:r>
        <w:t>Att. 3</w:t>
      </w:r>
      <w:r w:rsidR="007363E1">
        <w:t>b</w:t>
      </w:r>
      <w:r>
        <w:tab/>
        <w:t xml:space="preserve">Instrument: </w:t>
      </w:r>
      <w:r w:rsidR="00317406">
        <w:t xml:space="preserve">Fillable </w:t>
      </w:r>
      <w:r w:rsidR="002D6121">
        <w:t>Work Plan Tool Screen</w:t>
      </w:r>
      <w:r w:rsidR="007F3675">
        <w:t>s</w:t>
      </w:r>
      <w:r w:rsidR="002D6121">
        <w:t>hots</w:t>
      </w:r>
    </w:p>
    <w:p w14:paraId="3E98EA19" w14:textId="07899835" w:rsidR="00AA3D04" w:rsidRDefault="00AA3D04" w:rsidP="00AA3D04">
      <w:pPr>
        <w:tabs>
          <w:tab w:val="left" w:pos="900"/>
        </w:tabs>
        <w:spacing w:after="60"/>
      </w:pPr>
      <w:r>
        <w:t xml:space="preserve">Att. </w:t>
      </w:r>
      <w:r w:rsidR="007363E1">
        <w:t>4a</w:t>
      </w:r>
      <w:r>
        <w:tab/>
        <w:t xml:space="preserve">Instrument: </w:t>
      </w:r>
      <w:r w:rsidR="002D6121">
        <w:t>Program Report Tool</w:t>
      </w:r>
    </w:p>
    <w:p w14:paraId="633EA246" w14:textId="5FF253BB" w:rsidR="00767916" w:rsidRDefault="00131426" w:rsidP="00FC6FBE">
      <w:pPr>
        <w:tabs>
          <w:tab w:val="left" w:pos="900"/>
        </w:tabs>
        <w:spacing w:after="60"/>
      </w:pPr>
      <w:r>
        <w:t xml:space="preserve">Att. </w:t>
      </w:r>
      <w:r w:rsidR="007363E1">
        <w:t>4b</w:t>
      </w:r>
      <w:r>
        <w:tab/>
      </w:r>
      <w:r w:rsidR="00767916">
        <w:t xml:space="preserve">Instrument: </w:t>
      </w:r>
      <w:r w:rsidR="00317406">
        <w:t xml:space="preserve">Fillable </w:t>
      </w:r>
      <w:r w:rsidR="002D6121">
        <w:t>Program Report Tool</w:t>
      </w:r>
      <w:r w:rsidR="002D6121" w:rsidRPr="00691454">
        <w:t xml:space="preserve"> </w:t>
      </w:r>
      <w:r w:rsidR="002D6121">
        <w:t>Screen</w:t>
      </w:r>
      <w:r w:rsidR="007F3675">
        <w:t>s</w:t>
      </w:r>
      <w:r w:rsidR="002D6121">
        <w:t xml:space="preserve">hots </w:t>
      </w:r>
    </w:p>
    <w:p w14:paraId="202E81AB" w14:textId="09F8E57D" w:rsidR="00783327" w:rsidRDefault="00131426" w:rsidP="00AA3D04">
      <w:pPr>
        <w:tabs>
          <w:tab w:val="left" w:pos="900"/>
        </w:tabs>
        <w:spacing w:after="60"/>
      </w:pPr>
      <w:r>
        <w:t xml:space="preserve">Att. </w:t>
      </w:r>
      <w:r w:rsidR="007363E1">
        <w:t>5</w:t>
      </w:r>
      <w:r>
        <w:tab/>
      </w:r>
      <w:r w:rsidR="002F4E6F">
        <w:t xml:space="preserve">Institutional Review Board (IRB) </w:t>
      </w:r>
      <w:r w:rsidR="009A4635">
        <w:t>Determination</w:t>
      </w:r>
      <w:r w:rsidR="00D80044" w:rsidRPr="00691454">
        <w:tab/>
      </w:r>
      <w:r w:rsidR="00284D49">
        <w:t xml:space="preserve"> </w:t>
      </w:r>
    </w:p>
    <w:p w14:paraId="58D8331A" w14:textId="0EC03B21" w:rsidR="00C6270C" w:rsidRDefault="00C6270C" w:rsidP="00AA3D04">
      <w:pPr>
        <w:tabs>
          <w:tab w:val="left" w:pos="900"/>
        </w:tabs>
        <w:spacing w:after="60"/>
      </w:pPr>
    </w:p>
    <w:tbl>
      <w:tblPr>
        <w:tblStyle w:val="TableGrid"/>
        <w:tblW w:w="0" w:type="auto"/>
        <w:tblLook w:val="04A0" w:firstRow="1" w:lastRow="0" w:firstColumn="1" w:lastColumn="0" w:noHBand="0" w:noVBand="1"/>
      </w:tblPr>
      <w:tblGrid>
        <w:gridCol w:w="9350"/>
      </w:tblGrid>
      <w:tr w:rsidR="006C6FD7" w14:paraId="439F482E" w14:textId="77777777" w:rsidTr="006C6FD7">
        <w:tc>
          <w:tcPr>
            <w:tcW w:w="9350" w:type="dxa"/>
          </w:tcPr>
          <w:p w14:paraId="5F1E2FD3" w14:textId="77777777" w:rsidR="00425A89" w:rsidRPr="00425A89" w:rsidRDefault="00425A89" w:rsidP="00425A89"/>
          <w:p w14:paraId="62585826" w14:textId="7F8AA7FB" w:rsidR="00597C53" w:rsidRPr="00E61D20" w:rsidRDefault="006C6FD7" w:rsidP="00A15565">
            <w:pPr>
              <w:pStyle w:val="ListParagraph"/>
              <w:numPr>
                <w:ilvl w:val="0"/>
                <w:numId w:val="5"/>
              </w:numPr>
            </w:pPr>
            <w:r w:rsidRPr="00E61D20">
              <w:rPr>
                <w:b/>
              </w:rPr>
              <w:t>Goal</w:t>
            </w:r>
            <w:r w:rsidRPr="00425A89">
              <w:t xml:space="preserve">: </w:t>
            </w:r>
            <w:r w:rsidRPr="00E61D20">
              <w:rPr>
                <w:color w:val="000000" w:themeColor="text1"/>
              </w:rPr>
              <w:t>The goal of this ICR is to collect information</w:t>
            </w:r>
            <w:r w:rsidR="00E61D20" w:rsidRPr="00E61D20">
              <w:rPr>
                <w:color w:val="000000" w:themeColor="text1"/>
              </w:rPr>
              <w:t xml:space="preserve"> </w:t>
            </w:r>
            <w:r w:rsidR="00B11A11">
              <w:rPr>
                <w:color w:val="000000" w:themeColor="text1"/>
              </w:rPr>
              <w:t xml:space="preserve">from </w:t>
            </w:r>
            <w:r w:rsidR="00E61D20" w:rsidRPr="00E61D20">
              <w:rPr>
                <w:color w:val="000000" w:themeColor="text1"/>
              </w:rPr>
              <w:t>Rape Prevention and Education (RPE) Program awardee</w:t>
            </w:r>
            <w:r w:rsidR="007B0059">
              <w:rPr>
                <w:color w:val="000000" w:themeColor="text1"/>
              </w:rPr>
              <w:t>s</w:t>
            </w:r>
            <w:r w:rsidR="00E61D20" w:rsidRPr="00E61D20">
              <w:rPr>
                <w:color w:val="000000" w:themeColor="text1"/>
              </w:rPr>
              <w:t xml:space="preserve"> related to implementation and performance monitoring</w:t>
            </w:r>
            <w:r w:rsidR="00DE6C80">
              <w:rPr>
                <w:color w:val="000000" w:themeColor="text1"/>
              </w:rPr>
              <w:t xml:space="preserve"> of the cooperative agreement</w:t>
            </w:r>
            <w:r w:rsidR="00CF4FF6" w:rsidRPr="00E61D20">
              <w:rPr>
                <w:color w:val="000000" w:themeColor="text1"/>
              </w:rPr>
              <w:t xml:space="preserve">. </w:t>
            </w:r>
          </w:p>
          <w:p w14:paraId="63A72DD2" w14:textId="77777777" w:rsidR="00E61D20" w:rsidRPr="00425A89" w:rsidRDefault="00E61D20" w:rsidP="00E61D20"/>
          <w:p w14:paraId="47CD9FFD" w14:textId="0E14E0CF" w:rsidR="006C6FD7" w:rsidRDefault="006C6FD7" w:rsidP="00425A89">
            <w:pPr>
              <w:pStyle w:val="ListParagraph"/>
              <w:numPr>
                <w:ilvl w:val="0"/>
                <w:numId w:val="5"/>
              </w:numPr>
              <w:rPr>
                <w:color w:val="000000" w:themeColor="text1"/>
              </w:rPr>
            </w:pPr>
            <w:r w:rsidRPr="00425A89">
              <w:rPr>
                <w:b/>
              </w:rPr>
              <w:t>Intended use of the resulting data</w:t>
            </w:r>
            <w:r w:rsidRPr="00425A89">
              <w:t xml:space="preserve">: </w:t>
            </w:r>
            <w:r w:rsidRPr="00425A89">
              <w:rPr>
                <w:color w:val="000000" w:themeColor="text1"/>
              </w:rPr>
              <w:t>Information to be collected will provide crucial data for performance monitoring</w:t>
            </w:r>
            <w:r w:rsidR="008442A7">
              <w:rPr>
                <w:color w:val="000000" w:themeColor="text1"/>
              </w:rPr>
              <w:t>, implementation of prevention strateg</w:t>
            </w:r>
            <w:r w:rsidR="00A15565">
              <w:rPr>
                <w:color w:val="000000" w:themeColor="text1"/>
              </w:rPr>
              <w:t>ies</w:t>
            </w:r>
            <w:r w:rsidR="008442A7">
              <w:rPr>
                <w:color w:val="000000" w:themeColor="text1"/>
              </w:rPr>
              <w:t>,</w:t>
            </w:r>
            <w:r w:rsidRPr="00425A89">
              <w:rPr>
                <w:color w:val="000000" w:themeColor="text1"/>
              </w:rPr>
              <w:t xml:space="preserve"> and budget tracking</w:t>
            </w:r>
            <w:r w:rsidR="008442A7">
              <w:rPr>
                <w:color w:val="000000" w:themeColor="text1"/>
              </w:rPr>
              <w:t>;</w:t>
            </w:r>
            <w:r w:rsidRPr="00425A89">
              <w:rPr>
                <w:color w:val="000000" w:themeColor="text1"/>
              </w:rPr>
              <w:t xml:space="preserve"> and provide CDC with the capacity to respond in a timely manner to requests for information about the program from the Department of Health and Human Services (HHS), the White House, Congress, and other sources.</w:t>
            </w:r>
          </w:p>
          <w:p w14:paraId="3E0905FD" w14:textId="77777777" w:rsidR="00597C53" w:rsidRPr="00597C53" w:rsidRDefault="00597C53" w:rsidP="00597C53">
            <w:pPr>
              <w:rPr>
                <w:color w:val="000000" w:themeColor="text1"/>
              </w:rPr>
            </w:pPr>
          </w:p>
          <w:p w14:paraId="367F8FD1" w14:textId="226AA283" w:rsidR="006C6FD7" w:rsidRDefault="006C6FD7" w:rsidP="00EC08E0">
            <w:pPr>
              <w:pStyle w:val="ListParagraph"/>
              <w:numPr>
                <w:ilvl w:val="0"/>
                <w:numId w:val="5"/>
              </w:numPr>
            </w:pPr>
            <w:r w:rsidRPr="00425A89">
              <w:rPr>
                <w:b/>
              </w:rPr>
              <w:t>Methods to be used to collect</w:t>
            </w:r>
            <w:r w:rsidRPr="00425A89">
              <w:t xml:space="preserve">: </w:t>
            </w:r>
            <w:r w:rsidRPr="00425A89">
              <w:rPr>
                <w:color w:val="000000" w:themeColor="text1"/>
              </w:rPr>
              <w:t xml:space="preserve">Awardees will </w:t>
            </w:r>
            <w:r w:rsidR="00EC08E0" w:rsidRPr="00EC08E0">
              <w:rPr>
                <w:color w:val="000000" w:themeColor="text1"/>
              </w:rPr>
              <w:t>monitor and report progress on their goals, objectives, and activities</w:t>
            </w:r>
            <w:r w:rsidR="00EC08E0">
              <w:rPr>
                <w:color w:val="000000" w:themeColor="text1"/>
              </w:rPr>
              <w:t xml:space="preserve"> as well as </w:t>
            </w:r>
            <w:r w:rsidR="00EC08E0" w:rsidRPr="00EC08E0">
              <w:rPr>
                <w:color w:val="000000" w:themeColor="text1"/>
              </w:rPr>
              <w:t>relevant information on the implementation of their prevention strategies</w:t>
            </w:r>
            <w:r w:rsidR="00EC08E0">
              <w:rPr>
                <w:color w:val="000000" w:themeColor="text1"/>
              </w:rPr>
              <w:t xml:space="preserve"> annually using </w:t>
            </w:r>
            <w:r w:rsidRPr="00425A89">
              <w:rPr>
                <w:color w:val="000000" w:themeColor="text1"/>
              </w:rPr>
              <w:t xml:space="preserve">Excel-based </w:t>
            </w:r>
            <w:r w:rsidRPr="00425A89">
              <w:t xml:space="preserve">fillable electronic </w:t>
            </w:r>
            <w:r w:rsidR="00EC08E0">
              <w:t>tools</w:t>
            </w:r>
            <w:r w:rsidRPr="00425A89">
              <w:t xml:space="preserve">.  No research design or human subjects </w:t>
            </w:r>
            <w:r w:rsidR="00A15565">
              <w:t xml:space="preserve">are </w:t>
            </w:r>
            <w:r w:rsidRPr="00425A89">
              <w:t>involved.</w:t>
            </w:r>
          </w:p>
          <w:p w14:paraId="033D0C38" w14:textId="77777777" w:rsidR="00597C53" w:rsidRPr="00425A89" w:rsidRDefault="00597C53" w:rsidP="00597C53"/>
          <w:p w14:paraId="56BD15C6" w14:textId="2A2293F5" w:rsidR="006C6FD7" w:rsidRDefault="006C6FD7" w:rsidP="00425A89">
            <w:pPr>
              <w:pStyle w:val="ListParagraph"/>
              <w:numPr>
                <w:ilvl w:val="0"/>
                <w:numId w:val="5"/>
              </w:numPr>
            </w:pPr>
            <w:r w:rsidRPr="00425A89">
              <w:rPr>
                <w:b/>
              </w:rPr>
              <w:t>The subpopulation to be studied</w:t>
            </w:r>
            <w:r w:rsidRPr="00425A89">
              <w:t xml:space="preserve">: </w:t>
            </w:r>
            <w:r w:rsidR="003A6D08">
              <w:t>No sampling. A</w:t>
            </w:r>
            <w:r w:rsidRPr="00425A89">
              <w:t xml:space="preserve">wardees of the RPE program </w:t>
            </w:r>
            <w:r w:rsidRPr="00425A89">
              <w:rPr>
                <w:color w:val="000000"/>
              </w:rPr>
              <w:t>or designated personnel</w:t>
            </w:r>
            <w:r w:rsidR="003A6D08">
              <w:rPr>
                <w:color w:val="000000"/>
              </w:rPr>
              <w:t xml:space="preserve"> will submit completed tools</w:t>
            </w:r>
            <w:r w:rsidR="003A6D08">
              <w:t xml:space="preserve"> annually with their non-competing continuation application. </w:t>
            </w:r>
          </w:p>
          <w:p w14:paraId="4CE14A8B" w14:textId="77777777" w:rsidR="00597C53" w:rsidRPr="00425A89" w:rsidRDefault="00597C53" w:rsidP="00597C53"/>
          <w:p w14:paraId="6917D1CE" w14:textId="1D5F8892" w:rsidR="00C77029" w:rsidRDefault="006C6FD7" w:rsidP="00A43DB4">
            <w:pPr>
              <w:pStyle w:val="ListParagraph"/>
              <w:numPr>
                <w:ilvl w:val="0"/>
                <w:numId w:val="5"/>
              </w:numPr>
            </w:pPr>
            <w:r w:rsidRPr="00C77029">
              <w:rPr>
                <w:b/>
              </w:rPr>
              <w:t>How data will be analyzed</w:t>
            </w:r>
            <w:r w:rsidRPr="00425A89">
              <w:t>: The data will be analyzed using descriptive and summary statistics as well as qualitative summaries.</w:t>
            </w:r>
          </w:p>
          <w:p w14:paraId="5BDCE08C" w14:textId="74B73C7D" w:rsidR="00425A89" w:rsidRPr="006C6FD7" w:rsidRDefault="00425A89" w:rsidP="00425A89"/>
        </w:tc>
      </w:tr>
    </w:tbl>
    <w:p w14:paraId="6CFC897E" w14:textId="77777777" w:rsidR="00AF756B" w:rsidRDefault="00AF756B" w:rsidP="00812EDE">
      <w:pPr>
        <w:rPr>
          <w:b/>
          <w:bCs/>
        </w:rPr>
      </w:pPr>
    </w:p>
    <w:p w14:paraId="30C95748" w14:textId="77777777" w:rsidR="00220407" w:rsidRDefault="00220407" w:rsidP="00812EDE">
      <w:pPr>
        <w:rPr>
          <w:b/>
          <w:bCs/>
        </w:rPr>
      </w:pPr>
    </w:p>
    <w:p w14:paraId="58D8332B" w14:textId="6BAE07E3" w:rsidR="00972DEF" w:rsidRPr="006C6FD7" w:rsidRDefault="00972DEF" w:rsidP="006C6FD7">
      <w:pPr>
        <w:pStyle w:val="Heading1"/>
      </w:pPr>
      <w:bookmarkStart w:id="2" w:name="_Toc447176421"/>
      <w:r w:rsidRPr="006C6FD7">
        <w:t>A.  JUSTIFICATION</w:t>
      </w:r>
      <w:bookmarkEnd w:id="2"/>
      <w:r w:rsidRPr="006C6FD7">
        <w:t xml:space="preserve"> </w:t>
      </w:r>
    </w:p>
    <w:p w14:paraId="58D8332C" w14:textId="77777777" w:rsidR="00660ED8" w:rsidRPr="00691454" w:rsidRDefault="00660ED8" w:rsidP="00972DEF">
      <w:pPr>
        <w:autoSpaceDE w:val="0"/>
        <w:autoSpaceDN w:val="0"/>
        <w:adjustRightInd w:val="0"/>
        <w:rPr>
          <w:b/>
          <w:bCs/>
        </w:rPr>
      </w:pPr>
    </w:p>
    <w:p w14:paraId="58D8332D" w14:textId="7D994DA0" w:rsidR="00972DEF" w:rsidRPr="00B54DC4" w:rsidRDefault="00972DEF" w:rsidP="003E336A">
      <w:pPr>
        <w:pStyle w:val="Heading2"/>
      </w:pPr>
      <w:bookmarkStart w:id="3" w:name="_Toc447176422"/>
      <w:r w:rsidRPr="00B54DC4">
        <w:t>A.1.</w:t>
      </w:r>
      <w:r w:rsidR="00F9218C">
        <w:tab/>
      </w:r>
      <w:r w:rsidRPr="00B54DC4">
        <w:t>Circumstances Making the Collection of Information Necessary</w:t>
      </w:r>
      <w:bookmarkEnd w:id="3"/>
    </w:p>
    <w:p w14:paraId="58D8332E" w14:textId="77777777" w:rsidR="00972DEF" w:rsidRPr="00691454" w:rsidRDefault="00972DEF" w:rsidP="00972DEF"/>
    <w:p w14:paraId="1C18BF27" w14:textId="04FFD400" w:rsidR="004B5CF3" w:rsidRDefault="003B3713" w:rsidP="00587B18">
      <w:r w:rsidRPr="0085100A">
        <w:t>Sexual violence</w:t>
      </w:r>
      <w:r>
        <w:t xml:space="preserve"> </w:t>
      </w:r>
      <w:r w:rsidR="003E5B19">
        <w:t>(</w:t>
      </w:r>
      <w:r>
        <w:t>SV)</w:t>
      </w:r>
      <w:r w:rsidRPr="0085100A">
        <w:t xml:space="preserve"> is a major public health problem, but it is preventable. </w:t>
      </w:r>
      <w:r w:rsidR="00685A1F">
        <w:rPr>
          <w:rFonts w:cs="Arial"/>
        </w:rPr>
        <w:t xml:space="preserve">According to </w:t>
      </w:r>
      <w:r w:rsidR="00222A8A" w:rsidRPr="00EF7DDA">
        <w:rPr>
          <w:rFonts w:cs="Arial"/>
          <w:bCs/>
        </w:rPr>
        <w:t>CDC’s National Intimate Partner and Sexual Violence Survey</w:t>
      </w:r>
      <w:r w:rsidR="00FA3D80">
        <w:rPr>
          <w:rFonts w:cs="Arial"/>
          <w:bCs/>
        </w:rPr>
        <w:t xml:space="preserve"> (NISVS)</w:t>
      </w:r>
      <w:r w:rsidR="00A2018F">
        <w:rPr>
          <w:rFonts w:cs="Arial"/>
          <w:bCs/>
        </w:rPr>
        <w:t xml:space="preserve">, </w:t>
      </w:r>
      <w:r w:rsidR="00222A8A" w:rsidRPr="00EF7DDA">
        <w:rPr>
          <w:rFonts w:cs="Arial"/>
          <w:bCs/>
        </w:rPr>
        <w:t>nearly 1 in 5 women and 1 in 7</w:t>
      </w:r>
      <w:r w:rsidR="006B5501">
        <w:rPr>
          <w:rFonts w:cs="Arial"/>
          <w:bCs/>
        </w:rPr>
        <w:t>1</w:t>
      </w:r>
      <w:r w:rsidR="00222A8A" w:rsidRPr="00EF7DDA">
        <w:rPr>
          <w:rFonts w:cs="Arial"/>
          <w:bCs/>
        </w:rPr>
        <w:t xml:space="preserve"> men in the U.S. have been raped during their lifetime, and nearly 1 in 2 women and 1 in 5 men have experience</w:t>
      </w:r>
      <w:r w:rsidR="00222A8A">
        <w:rPr>
          <w:rFonts w:cs="Arial"/>
          <w:bCs/>
        </w:rPr>
        <w:t>d</w:t>
      </w:r>
      <w:r w:rsidR="00222A8A" w:rsidRPr="00EF7DDA">
        <w:rPr>
          <w:rFonts w:cs="Arial"/>
          <w:bCs/>
        </w:rPr>
        <w:t xml:space="preserve"> </w:t>
      </w:r>
      <w:r w:rsidR="00222A8A">
        <w:rPr>
          <w:rFonts w:cs="Arial"/>
          <w:bCs/>
        </w:rPr>
        <w:t xml:space="preserve">severe </w:t>
      </w:r>
      <w:r w:rsidR="00222A8A" w:rsidRPr="00EF7DDA">
        <w:rPr>
          <w:rFonts w:cs="Arial"/>
          <w:bCs/>
        </w:rPr>
        <w:t xml:space="preserve">SV victimization </w:t>
      </w:r>
      <w:r w:rsidR="00222A8A">
        <w:rPr>
          <w:rFonts w:cs="Arial"/>
          <w:bCs/>
        </w:rPr>
        <w:t>other than rape at some point in their lives</w:t>
      </w:r>
      <w:r w:rsidR="00222A8A" w:rsidRPr="00EF7DDA">
        <w:rPr>
          <w:rFonts w:cs="Arial"/>
          <w:bCs/>
        </w:rPr>
        <w:t>.</w:t>
      </w:r>
      <w:r w:rsidR="00C00543">
        <w:rPr>
          <w:vertAlign w:val="superscript"/>
        </w:rPr>
        <w:t>1,2</w:t>
      </w:r>
      <w:r w:rsidR="00222A8A" w:rsidRPr="00EF7DDA">
        <w:rPr>
          <w:rFonts w:cs="Arial"/>
          <w:bCs/>
        </w:rPr>
        <w:t xml:space="preserve"> </w:t>
      </w:r>
      <w:r w:rsidR="005D0942" w:rsidRPr="0085100A">
        <w:t>The majority of victimization starts early in life with approximately 80% of female victims experiencing their first rape before the age of 25</w:t>
      </w:r>
      <w:r w:rsidR="006653C0">
        <w:t>,</w:t>
      </w:r>
      <w:r w:rsidR="005D0942" w:rsidRPr="0085100A">
        <w:t xml:space="preserve"> and almost half experiencing their first rape before </w:t>
      </w:r>
      <w:r w:rsidR="00A26DFE">
        <w:t xml:space="preserve">the </w:t>
      </w:r>
      <w:r w:rsidR="005D0942" w:rsidRPr="0085100A">
        <w:t xml:space="preserve">age </w:t>
      </w:r>
      <w:r w:rsidR="00C82D16">
        <w:t xml:space="preserve">of </w:t>
      </w:r>
      <w:r w:rsidR="005D0942" w:rsidRPr="0085100A">
        <w:t>18.</w:t>
      </w:r>
      <w:r w:rsidR="00C00543">
        <w:rPr>
          <w:vertAlign w:val="superscript"/>
        </w:rPr>
        <w:t>1,2</w:t>
      </w:r>
      <w:r w:rsidR="00587B18">
        <w:t xml:space="preserve"> </w:t>
      </w:r>
    </w:p>
    <w:p w14:paraId="09A6E294" w14:textId="77777777" w:rsidR="004B5CF3" w:rsidRDefault="004B5CF3" w:rsidP="00587B18"/>
    <w:p w14:paraId="41F3ED63" w14:textId="6CB0CEC3" w:rsidR="008359FF" w:rsidRDefault="00587B18" w:rsidP="008359FF">
      <w:r w:rsidRPr="0085100A">
        <w:t xml:space="preserve">CDC's </w:t>
      </w:r>
      <w:r w:rsidR="00562274">
        <w:t>Rape Prevention and Education (</w:t>
      </w:r>
      <w:r w:rsidR="00706BF3">
        <w:t>RPE</w:t>
      </w:r>
      <w:r w:rsidR="00562274">
        <w:t>)</w:t>
      </w:r>
      <w:r>
        <w:t xml:space="preserve"> </w:t>
      </w:r>
      <w:r w:rsidR="00706BF3">
        <w:t>Program</w:t>
      </w:r>
      <w:r w:rsidR="00173966">
        <w:t xml:space="preserve"> </w:t>
      </w:r>
      <w:r w:rsidRPr="0085100A">
        <w:t xml:space="preserve">is a national </w:t>
      </w:r>
      <w:r w:rsidR="00706BF3">
        <w:t xml:space="preserve">initiative </w:t>
      </w:r>
      <w:r w:rsidR="00A03B1A">
        <w:t xml:space="preserve">that addresses SV through </w:t>
      </w:r>
      <w:r w:rsidRPr="0085100A">
        <w:t>cooperative agreement</w:t>
      </w:r>
      <w:r w:rsidR="00A03B1A">
        <w:t xml:space="preserve"> funding and technical assistance to </w:t>
      </w:r>
      <w:r w:rsidRPr="0085100A">
        <w:t>health departments</w:t>
      </w:r>
      <w:r w:rsidR="0084449E">
        <w:t xml:space="preserve"> in all 50 states</w:t>
      </w:r>
      <w:r w:rsidRPr="0085100A">
        <w:t xml:space="preserve">, the District of Columbia, and </w:t>
      </w:r>
      <w:r>
        <w:t xml:space="preserve">four </w:t>
      </w:r>
      <w:r w:rsidRPr="0085100A">
        <w:t>territories (e.g., Guam, Puerto Rico, U.S. Virgin Islands, and the Commonwealth of Northern Mariana Islands) to conduct state-</w:t>
      </w:r>
      <w:r w:rsidR="0084449E">
        <w:t>, district-,</w:t>
      </w:r>
      <w:r w:rsidRPr="0085100A">
        <w:t xml:space="preserve"> and territorial-wide </w:t>
      </w:r>
      <w:r w:rsidR="00F33AE8">
        <w:t>SV</w:t>
      </w:r>
      <w:r w:rsidRPr="0085100A">
        <w:t xml:space="preserve"> prevention activities. </w:t>
      </w:r>
      <w:r w:rsidR="00F260B3">
        <w:t xml:space="preserve"> </w:t>
      </w:r>
      <w:r w:rsidR="00173966">
        <w:t xml:space="preserve">The </w:t>
      </w:r>
      <w:r w:rsidR="00173966" w:rsidRPr="00A03B1A">
        <w:t xml:space="preserve">Violence against Women Act of </w:t>
      </w:r>
      <w:r w:rsidR="00173966">
        <w:t>1994 (VAWA) and as amended in the Violence Against Women Reauthorization Act of 201</w:t>
      </w:r>
      <w:r w:rsidR="00821ACC">
        <w:t>3</w:t>
      </w:r>
      <w:r w:rsidR="00173966">
        <w:t xml:space="preserve"> authorize the RPE program and </w:t>
      </w:r>
      <w:r w:rsidR="00AC0281">
        <w:t xml:space="preserve">legislatively states that </w:t>
      </w:r>
      <w:r w:rsidR="00AA5A44">
        <w:t xml:space="preserve">awardees will allot </w:t>
      </w:r>
      <w:r w:rsidR="00AC0281">
        <w:t xml:space="preserve">RPE funds </w:t>
      </w:r>
      <w:r w:rsidR="000E400E">
        <w:t xml:space="preserve">for prevention activities conducted by </w:t>
      </w:r>
      <w:r w:rsidR="00CB42F1">
        <w:t xml:space="preserve">local </w:t>
      </w:r>
      <w:r w:rsidR="008359FF">
        <w:t>organizations (i.e., RPE sub-awardees)</w:t>
      </w:r>
      <w:r w:rsidR="00F2469E">
        <w:t>, which include</w:t>
      </w:r>
      <w:r w:rsidR="0047248F">
        <w:t xml:space="preserve"> </w:t>
      </w:r>
      <w:r w:rsidR="008359FF">
        <w:t>rape</w:t>
      </w:r>
      <w:r w:rsidR="008359FF" w:rsidRPr="00A03B1A">
        <w:t xml:space="preserve"> crisis centers</w:t>
      </w:r>
      <w:r w:rsidR="00173966">
        <w:t>;</w:t>
      </w:r>
      <w:r w:rsidR="008359FF" w:rsidRPr="00A03B1A">
        <w:t xml:space="preserve"> </w:t>
      </w:r>
      <w:r w:rsidR="008E2111">
        <w:t>S</w:t>
      </w:r>
      <w:r w:rsidR="008359FF" w:rsidRPr="00A03B1A">
        <w:t>tate</w:t>
      </w:r>
      <w:r w:rsidR="00173966">
        <w:t xml:space="preserve">, </w:t>
      </w:r>
      <w:r w:rsidR="008359FF" w:rsidRPr="00A03B1A">
        <w:t>territorial</w:t>
      </w:r>
      <w:r w:rsidR="00173966">
        <w:t>, or tribal</w:t>
      </w:r>
      <w:r w:rsidR="008359FF" w:rsidRPr="00A03B1A">
        <w:t xml:space="preserve"> sexual assault coalitions</w:t>
      </w:r>
      <w:r w:rsidR="00173966">
        <w:t>;</w:t>
      </w:r>
      <w:r w:rsidR="008359FF" w:rsidRPr="00A03B1A">
        <w:t xml:space="preserve"> </w:t>
      </w:r>
      <w:r w:rsidR="008E2111">
        <w:t xml:space="preserve">and other public and private nonprofit entities (e.g., </w:t>
      </w:r>
      <w:r w:rsidR="008359FF" w:rsidRPr="00A03B1A">
        <w:t>community-based organizations</w:t>
      </w:r>
      <w:r w:rsidR="00287899">
        <w:t xml:space="preserve">, nongovernmental organizations, </w:t>
      </w:r>
      <w:r w:rsidR="00916ABC">
        <w:t xml:space="preserve">and </w:t>
      </w:r>
      <w:r w:rsidR="008E2111">
        <w:t>academic institutions)</w:t>
      </w:r>
      <w:r w:rsidR="008F78CF">
        <w:t xml:space="preserve"> </w:t>
      </w:r>
      <w:r w:rsidR="00AE2C58">
        <w:t>for the following seven permitted use of funds:</w:t>
      </w:r>
    </w:p>
    <w:p w14:paraId="69109523" w14:textId="77777777" w:rsidR="00AE2C58" w:rsidRDefault="00AE2C58" w:rsidP="008359FF"/>
    <w:p w14:paraId="07C668B3" w14:textId="1072E4D1" w:rsidR="00AE2C58" w:rsidRDefault="00CB72BA" w:rsidP="00AE2C58">
      <w:pPr>
        <w:pStyle w:val="ListParagraph"/>
        <w:numPr>
          <w:ilvl w:val="0"/>
          <w:numId w:val="12"/>
        </w:numPr>
      </w:pPr>
      <w:r>
        <w:t>E</w:t>
      </w:r>
      <w:r w:rsidR="00D932B7">
        <w:t xml:space="preserve">ducational seminars, </w:t>
      </w:r>
    </w:p>
    <w:p w14:paraId="060EC419" w14:textId="5A784090" w:rsidR="00AE2C58" w:rsidRDefault="00CB72BA" w:rsidP="00AE2C58">
      <w:pPr>
        <w:pStyle w:val="ListParagraph"/>
        <w:numPr>
          <w:ilvl w:val="0"/>
          <w:numId w:val="12"/>
        </w:numPr>
      </w:pPr>
      <w:r>
        <w:t>O</w:t>
      </w:r>
      <w:r w:rsidR="00D932B7">
        <w:t xml:space="preserve">peration of hotlines, </w:t>
      </w:r>
    </w:p>
    <w:p w14:paraId="4384C271" w14:textId="26899231" w:rsidR="00AE2C58" w:rsidRDefault="00CB72BA" w:rsidP="00AE2C58">
      <w:pPr>
        <w:pStyle w:val="ListParagraph"/>
        <w:numPr>
          <w:ilvl w:val="0"/>
          <w:numId w:val="12"/>
        </w:numPr>
      </w:pPr>
      <w:r>
        <w:t>T</w:t>
      </w:r>
      <w:r w:rsidR="00D932B7">
        <w:t xml:space="preserve">raining programs for professionals, </w:t>
      </w:r>
    </w:p>
    <w:p w14:paraId="26CAA39F" w14:textId="2C33B1F1" w:rsidR="00AE2C58" w:rsidRDefault="00CB72BA" w:rsidP="00AE2C58">
      <w:pPr>
        <w:pStyle w:val="ListParagraph"/>
        <w:numPr>
          <w:ilvl w:val="0"/>
          <w:numId w:val="12"/>
        </w:numPr>
      </w:pPr>
      <w:r>
        <w:t>P</w:t>
      </w:r>
      <w:r w:rsidR="00D932B7">
        <w:t xml:space="preserve">reparation of informational materials, </w:t>
      </w:r>
    </w:p>
    <w:p w14:paraId="757EA4E1" w14:textId="29631516" w:rsidR="00AE2C58" w:rsidRDefault="00CB72BA" w:rsidP="00AE2C58">
      <w:pPr>
        <w:pStyle w:val="ListParagraph"/>
        <w:numPr>
          <w:ilvl w:val="0"/>
          <w:numId w:val="12"/>
        </w:numPr>
      </w:pPr>
      <w:r>
        <w:t>E</w:t>
      </w:r>
      <w:r w:rsidR="00AE2C58">
        <w:t xml:space="preserve">ducation and </w:t>
      </w:r>
      <w:r w:rsidR="00D932B7">
        <w:t xml:space="preserve">training programs for students and campus personnel designed to reduce the incidence of sexual assault at colleges and universities, </w:t>
      </w:r>
    </w:p>
    <w:p w14:paraId="04B0FB7E" w14:textId="227EF176" w:rsidR="00AE2C58" w:rsidRDefault="00CB72BA" w:rsidP="00AE2C58">
      <w:pPr>
        <w:pStyle w:val="ListParagraph"/>
        <w:numPr>
          <w:ilvl w:val="0"/>
          <w:numId w:val="12"/>
        </w:numPr>
      </w:pPr>
      <w:r>
        <w:t>E</w:t>
      </w:r>
      <w:r w:rsidR="00D932B7">
        <w:t xml:space="preserve">ducation to increase the awareness about drugs and alcohol used to facilitate rapes or sexual assault, and </w:t>
      </w:r>
    </w:p>
    <w:p w14:paraId="68E9CDD5" w14:textId="7211848B" w:rsidR="00D932B7" w:rsidRDefault="00CB72BA" w:rsidP="00AE2C58">
      <w:pPr>
        <w:pStyle w:val="ListParagraph"/>
        <w:numPr>
          <w:ilvl w:val="0"/>
          <w:numId w:val="12"/>
        </w:numPr>
      </w:pPr>
      <w:r>
        <w:t>O</w:t>
      </w:r>
      <w:r w:rsidR="00D932B7">
        <w:t>ther efforts to increase awareness of the facts about, or to help prevent, sexual assault including efforts to increase awareness in underserved communities and awareness among individuals with disabilities as defined in Section 3 of the Americans with Disabilities Act of 1990 (42 U.S.C. Section 12102).</w:t>
      </w:r>
      <w:r w:rsidR="001E0B9B">
        <w:t xml:space="preserve"> </w:t>
      </w:r>
    </w:p>
    <w:p w14:paraId="77740422" w14:textId="77777777" w:rsidR="001E0B9B" w:rsidRDefault="001E0B9B" w:rsidP="00D932B7"/>
    <w:p w14:paraId="49F633E7" w14:textId="63CF2C27" w:rsidR="000D18C8" w:rsidRDefault="006C6DE5" w:rsidP="006C6DE5">
      <w:pPr>
        <w:rPr>
          <w:bCs/>
        </w:rPr>
      </w:pPr>
      <w:r w:rsidRPr="0085100A">
        <w:t xml:space="preserve">The current </w:t>
      </w:r>
      <w:r w:rsidR="00C47020">
        <w:t>RPE</w:t>
      </w:r>
      <w:r w:rsidRPr="0085100A">
        <w:t xml:space="preserve"> </w:t>
      </w:r>
      <w:r w:rsidR="00C47020">
        <w:t>c</w:t>
      </w:r>
      <w:r w:rsidRPr="0085100A">
        <w:t xml:space="preserve">ooperative </w:t>
      </w:r>
      <w:r w:rsidR="00C47020">
        <w:t>a</w:t>
      </w:r>
      <w:r w:rsidRPr="0085100A">
        <w:t xml:space="preserve">greement </w:t>
      </w:r>
      <w:r w:rsidR="00C47020">
        <w:t>(</w:t>
      </w:r>
      <w:r w:rsidR="00C47020">
        <w:rPr>
          <w:color w:val="000000" w:themeColor="text1"/>
        </w:rPr>
        <w:t>CDC-RFA</w:t>
      </w:r>
      <w:r w:rsidR="00C47020">
        <w:t xml:space="preserve">-CE14-1401) </w:t>
      </w:r>
      <w:r w:rsidRPr="0085100A">
        <w:t xml:space="preserve">builds on a </w:t>
      </w:r>
      <w:r w:rsidR="00ED4C2D">
        <w:t>decade of</w:t>
      </w:r>
      <w:r w:rsidRPr="0085100A">
        <w:t xml:space="preserve"> </w:t>
      </w:r>
      <w:r w:rsidRPr="0085100A">
        <w:rPr>
          <w:rFonts w:eastAsia="MS Mincho"/>
          <w:bCs/>
        </w:rPr>
        <w:t>investment</w:t>
      </w:r>
      <w:r w:rsidR="00027004">
        <w:rPr>
          <w:rFonts w:eastAsia="MS Mincho"/>
          <w:bCs/>
        </w:rPr>
        <w:t>s</w:t>
      </w:r>
      <w:r w:rsidRPr="0085100A">
        <w:rPr>
          <w:rFonts w:eastAsia="MS Mincho"/>
          <w:bCs/>
        </w:rPr>
        <w:t xml:space="preserve"> </w:t>
      </w:r>
      <w:r w:rsidR="00ED4C2D" w:rsidRPr="0085100A">
        <w:t>(2002</w:t>
      </w:r>
      <w:r w:rsidR="00ED4C2D">
        <w:rPr>
          <w:rFonts w:eastAsia="MS Mincho"/>
          <w:bCs/>
        </w:rPr>
        <w:t>–</w:t>
      </w:r>
      <w:r w:rsidR="00ED4C2D" w:rsidRPr="0085100A">
        <w:rPr>
          <w:rFonts w:eastAsia="MS Mincho"/>
          <w:bCs/>
        </w:rPr>
        <w:t xml:space="preserve">2012) </w:t>
      </w:r>
      <w:r w:rsidRPr="0085100A">
        <w:rPr>
          <w:rFonts w:eastAsia="MS Mincho"/>
          <w:bCs/>
        </w:rPr>
        <w:t xml:space="preserve">in the infrastructure and capacity </w:t>
      </w:r>
      <w:r w:rsidR="009B4911">
        <w:rPr>
          <w:rFonts w:eastAsia="MS Mincho"/>
          <w:bCs/>
        </w:rPr>
        <w:t xml:space="preserve">to </w:t>
      </w:r>
      <w:r w:rsidR="001D49C9">
        <w:rPr>
          <w:rFonts w:eastAsia="MS Mincho"/>
          <w:bCs/>
        </w:rPr>
        <w:t xml:space="preserve">implement and </w:t>
      </w:r>
      <w:r w:rsidR="009B4911">
        <w:rPr>
          <w:rFonts w:eastAsia="MS Mincho"/>
          <w:bCs/>
        </w:rPr>
        <w:t xml:space="preserve">advance SV </w:t>
      </w:r>
      <w:r w:rsidR="000D18C8" w:rsidRPr="0085100A">
        <w:rPr>
          <w:bCs/>
        </w:rPr>
        <w:t xml:space="preserve">prevention activities </w:t>
      </w:r>
      <w:r w:rsidR="00E66FD3">
        <w:rPr>
          <w:bCs/>
        </w:rPr>
        <w:t>through</w:t>
      </w:r>
      <w:r w:rsidR="000D18C8" w:rsidRPr="0085100A">
        <w:rPr>
          <w:bCs/>
        </w:rPr>
        <w:t xml:space="preserve"> three component</w:t>
      </w:r>
      <w:r w:rsidR="00B95EE9">
        <w:rPr>
          <w:bCs/>
        </w:rPr>
        <w:t>s</w:t>
      </w:r>
      <w:r w:rsidR="000D18C8" w:rsidRPr="0085100A">
        <w:rPr>
          <w:bCs/>
        </w:rPr>
        <w:t>:</w:t>
      </w:r>
    </w:p>
    <w:p w14:paraId="6388A77F" w14:textId="77777777" w:rsidR="00A536AE" w:rsidRPr="0085100A" w:rsidRDefault="00A536AE" w:rsidP="006C6DE5">
      <w:pPr>
        <w:rPr>
          <w:bCs/>
        </w:rPr>
      </w:pPr>
    </w:p>
    <w:p w14:paraId="3E4930D9" w14:textId="193661A1" w:rsidR="000D18C8" w:rsidRPr="0085100A" w:rsidRDefault="000D18C8" w:rsidP="00767916">
      <w:pPr>
        <w:pStyle w:val="ListParagraph"/>
        <w:numPr>
          <w:ilvl w:val="0"/>
          <w:numId w:val="7"/>
        </w:numPr>
      </w:pPr>
      <w:r w:rsidRPr="0085100A">
        <w:t>Implementation and program evaluation of SV prevention strategies using a public health approach</w:t>
      </w:r>
      <w:r w:rsidR="007949FC">
        <w:t xml:space="preserve"> and effective prevention principles</w:t>
      </w:r>
    </w:p>
    <w:p w14:paraId="7AAA870A" w14:textId="12E08A24" w:rsidR="000D18C8" w:rsidRPr="0085100A" w:rsidRDefault="000D18C8" w:rsidP="00767916">
      <w:pPr>
        <w:pStyle w:val="ListParagraph"/>
        <w:numPr>
          <w:ilvl w:val="0"/>
          <w:numId w:val="7"/>
        </w:numPr>
      </w:pPr>
      <w:r w:rsidRPr="0085100A">
        <w:t>Provision of training and technical assistance (TA) to RPE-funded organizations on the implementation of SV prevention strategies</w:t>
      </w:r>
    </w:p>
    <w:p w14:paraId="667F355F" w14:textId="5F4403C1" w:rsidR="000D18C8" w:rsidRPr="0085100A" w:rsidRDefault="000D18C8" w:rsidP="00767916">
      <w:pPr>
        <w:pStyle w:val="ListParagraph"/>
        <w:numPr>
          <w:ilvl w:val="0"/>
          <w:numId w:val="7"/>
        </w:numPr>
      </w:pPr>
      <w:r w:rsidRPr="0085100A">
        <w:t xml:space="preserve">Participation in RPE </w:t>
      </w:r>
      <w:r w:rsidR="00D66AA4">
        <w:t>P</w:t>
      </w:r>
      <w:r w:rsidRPr="0085100A">
        <w:t>rogram support activities</w:t>
      </w:r>
    </w:p>
    <w:p w14:paraId="6B8858D1" w14:textId="77777777" w:rsidR="000D18C8" w:rsidRDefault="000D18C8" w:rsidP="006C6DE5"/>
    <w:p w14:paraId="58714433" w14:textId="483A76AA" w:rsidR="00690FE7" w:rsidRDefault="005F2A70" w:rsidP="00FF1B09">
      <w:r>
        <w:t>A</w:t>
      </w:r>
      <w:r w:rsidR="008768FC">
        <w:t>wardees are required to adhere to general pri</w:t>
      </w:r>
      <w:r w:rsidR="00690FE7">
        <w:t xml:space="preserve">nciples of effective prevention, which include </w:t>
      </w:r>
      <w:r w:rsidR="00690FE7" w:rsidRPr="002D350B">
        <w:t xml:space="preserve">addressing modifiable risk and protective factors for perpetration and victimization, addressing multiple levels of the social </w:t>
      </w:r>
      <w:r w:rsidR="00FF1B09">
        <w:t>ecological model</w:t>
      </w:r>
      <w:r w:rsidR="00690FE7" w:rsidRPr="002D350B">
        <w:t xml:space="preserve">, emphasizing primary prevention, having sufficient dosage or intensity, being culturally relevant, </w:t>
      </w:r>
      <w:r w:rsidR="00FF1B09">
        <w:t xml:space="preserve">and </w:t>
      </w:r>
      <w:r w:rsidR="00690FE7" w:rsidRPr="002D350B">
        <w:t xml:space="preserve">being developed and implemented </w:t>
      </w:r>
      <w:r w:rsidR="00A43DB4">
        <w:t xml:space="preserve">in collaboration </w:t>
      </w:r>
      <w:r w:rsidR="00690FE7" w:rsidRPr="002D350B">
        <w:t>with stakeholders and based on best available</w:t>
      </w:r>
      <w:r w:rsidR="00FF1B09">
        <w:t xml:space="preserve"> evidence. </w:t>
      </w:r>
      <w:r w:rsidR="0087576D">
        <w:t>In</w:t>
      </w:r>
      <w:r w:rsidR="0087576D" w:rsidRPr="00B51C24">
        <w:t>dividual</w:t>
      </w:r>
      <w:r w:rsidR="0087576D">
        <w:t>-</w:t>
      </w:r>
      <w:r w:rsidR="0087576D" w:rsidRPr="00B51C24">
        <w:t xml:space="preserve">level </w:t>
      </w:r>
      <w:r w:rsidR="0087576D">
        <w:t xml:space="preserve">strategies </w:t>
      </w:r>
      <w:r w:rsidR="0087576D" w:rsidRPr="00B51C24">
        <w:t>alone will have limited reach and sustainability</w:t>
      </w:r>
      <w:r w:rsidR="0087576D">
        <w:t xml:space="preserve">; community-level </w:t>
      </w:r>
      <w:r w:rsidR="0087576D" w:rsidRPr="00B51C24">
        <w:t>strategies will more likely lead to population</w:t>
      </w:r>
      <w:r w:rsidR="0087576D">
        <w:t>-</w:t>
      </w:r>
      <w:r w:rsidR="0087576D" w:rsidRPr="00B51C24">
        <w:t xml:space="preserve">level changes in </w:t>
      </w:r>
      <w:r w:rsidR="0087576D">
        <w:t xml:space="preserve">SV outcomes </w:t>
      </w:r>
      <w:r w:rsidR="0087576D" w:rsidRPr="00B51C24">
        <w:t xml:space="preserve">and related risk and protective factors.  </w:t>
      </w:r>
      <w:r w:rsidR="00FF1B09">
        <w:t>Therefore, a</w:t>
      </w:r>
      <w:r w:rsidR="00690FE7" w:rsidRPr="00B51C24">
        <w:t xml:space="preserve">wardees are highly encouraged to implement community change strategies </w:t>
      </w:r>
      <w:r w:rsidR="00690FE7">
        <w:t xml:space="preserve">(e.g., community mobilization, coalition building, policy activities and social norms change) that complement and support the legislatively approved prevention strategies. </w:t>
      </w:r>
    </w:p>
    <w:p w14:paraId="2D5841EE" w14:textId="77777777" w:rsidR="00C01502" w:rsidRDefault="00C01502" w:rsidP="001D49C9"/>
    <w:p w14:paraId="296F584F" w14:textId="4FB739A1" w:rsidR="00881606" w:rsidRDefault="003C0020" w:rsidP="00767916">
      <w:pPr>
        <w:rPr>
          <w:bCs/>
        </w:rPr>
      </w:pPr>
      <w:r>
        <w:t xml:space="preserve">RPE programmatic efforts are situated in different organizational areas (e.g., </w:t>
      </w:r>
      <w:r w:rsidRPr="00A03B1A">
        <w:t>maternal and child health, injury prevention, emergency manag</w:t>
      </w:r>
      <w:r>
        <w:t xml:space="preserve">ement, trauma, women’s health) of health departments. Moreover, the programs in the health departments and the local organizations (sub-awardees) they fund have variable levels of capacity and infrastructure to implement primary prevention efforts, </w:t>
      </w:r>
      <w:r w:rsidRPr="00B45D75">
        <w:t>engage in program improvement</w:t>
      </w:r>
      <w:r>
        <w:t>,</w:t>
      </w:r>
      <w:r w:rsidRPr="00B45D75">
        <w:t xml:space="preserve"> and systematically collect data about</w:t>
      </w:r>
      <w:r>
        <w:t xml:space="preserve"> implementation and outcomes of their efforts.</w:t>
      </w:r>
      <w:r w:rsidR="00FA46DF">
        <w:t xml:space="preserve"> Using a public health approach and primary prevention principles are newer concepts for these organizations </w:t>
      </w:r>
      <w:r w:rsidR="00ED2FD5">
        <w:t>as efforts in SV were primarily focused on victim services</w:t>
      </w:r>
      <w:r w:rsidR="00FA46DF">
        <w:t xml:space="preserve">. </w:t>
      </w:r>
      <w:r w:rsidR="000C7F93">
        <w:t xml:space="preserve">Through the current cooperative agreement, CDC is </w:t>
      </w:r>
      <w:r w:rsidR="00FA46DF">
        <w:t xml:space="preserve">evaluating the extent </w:t>
      </w:r>
      <w:r w:rsidR="00E86378">
        <w:t xml:space="preserve">awardees </w:t>
      </w:r>
      <w:r w:rsidR="00FA46DF">
        <w:t xml:space="preserve">use a public health approach and principles of effective </w:t>
      </w:r>
      <w:r w:rsidR="004C7776">
        <w:t>prevention to implement and evaluat</w:t>
      </w:r>
      <w:r w:rsidR="00AA26E8">
        <w:t>e their prevention strategies</w:t>
      </w:r>
      <w:r w:rsidR="008C2D12">
        <w:t xml:space="preserve"> </w:t>
      </w:r>
      <w:r w:rsidR="008C2D12" w:rsidRPr="008C2D12">
        <w:rPr>
          <w:color w:val="000000" w:themeColor="text1"/>
        </w:rPr>
        <w:t xml:space="preserve"> </w:t>
      </w:r>
      <w:r w:rsidR="008C2D12">
        <w:rPr>
          <w:color w:val="000000" w:themeColor="text1"/>
        </w:rPr>
        <w:t xml:space="preserve">through the Monitoring and Reporting System (MRS), which consists of two reporting tools, </w:t>
      </w:r>
      <w:r w:rsidR="008C2D12" w:rsidRPr="0085100A">
        <w:rPr>
          <w:b/>
          <w:i/>
          <w:color w:val="000000" w:themeColor="text1"/>
        </w:rPr>
        <w:t>Work Plan Tool</w:t>
      </w:r>
      <w:r w:rsidR="008C2D12">
        <w:rPr>
          <w:color w:val="000000" w:themeColor="text1"/>
        </w:rPr>
        <w:t xml:space="preserve"> </w:t>
      </w:r>
      <w:r w:rsidR="008C2D12" w:rsidRPr="0085100A">
        <w:rPr>
          <w:color w:val="000000" w:themeColor="text1"/>
        </w:rPr>
        <w:t xml:space="preserve">(Attachment </w:t>
      </w:r>
      <w:r w:rsidR="008C2D12">
        <w:rPr>
          <w:color w:val="000000" w:themeColor="text1"/>
        </w:rPr>
        <w:t>3a–3b</w:t>
      </w:r>
      <w:r w:rsidR="008C2D12" w:rsidRPr="0085100A">
        <w:rPr>
          <w:color w:val="000000" w:themeColor="text1"/>
        </w:rPr>
        <w:t>)</w:t>
      </w:r>
      <w:r w:rsidR="008C2D12">
        <w:rPr>
          <w:color w:val="000000" w:themeColor="text1"/>
        </w:rPr>
        <w:t xml:space="preserve"> and </w:t>
      </w:r>
      <w:r w:rsidR="008C2D12" w:rsidRPr="0085100A">
        <w:rPr>
          <w:b/>
          <w:i/>
          <w:color w:val="000000" w:themeColor="text1"/>
        </w:rPr>
        <w:t>Program Report Tool</w:t>
      </w:r>
      <w:r w:rsidR="008C2D12" w:rsidRPr="0085100A">
        <w:rPr>
          <w:color w:val="000000" w:themeColor="text1"/>
        </w:rPr>
        <w:t xml:space="preserve"> (Attachment </w:t>
      </w:r>
      <w:r w:rsidR="008C2D12">
        <w:rPr>
          <w:color w:val="000000" w:themeColor="text1"/>
        </w:rPr>
        <w:t>4a–4b</w:t>
      </w:r>
      <w:r w:rsidR="008C2D12" w:rsidRPr="0085100A">
        <w:rPr>
          <w:color w:val="000000" w:themeColor="text1"/>
        </w:rPr>
        <w:t>)</w:t>
      </w:r>
      <w:r w:rsidR="008C2D12">
        <w:rPr>
          <w:color w:val="000000" w:themeColor="text1"/>
        </w:rPr>
        <w:t>.</w:t>
      </w:r>
      <w:r w:rsidR="00AA26E8">
        <w:t xml:space="preserve"> </w:t>
      </w:r>
      <w:r w:rsidR="00AC1DE6">
        <w:rPr>
          <w:bCs/>
        </w:rPr>
        <w:t xml:space="preserve">As required by the </w:t>
      </w:r>
      <w:r w:rsidR="006D40B6">
        <w:rPr>
          <w:bCs/>
        </w:rPr>
        <w:t xml:space="preserve">current </w:t>
      </w:r>
      <w:r w:rsidR="00AC1DE6">
        <w:rPr>
          <w:bCs/>
        </w:rPr>
        <w:t>RPE cooperative agreement, a</w:t>
      </w:r>
      <w:r w:rsidR="00767916" w:rsidRPr="0085100A">
        <w:rPr>
          <w:bCs/>
        </w:rPr>
        <w:t xml:space="preserve">wardees </w:t>
      </w:r>
      <w:r w:rsidR="00AC1DE6">
        <w:rPr>
          <w:bCs/>
        </w:rPr>
        <w:t xml:space="preserve">monitor and </w:t>
      </w:r>
      <w:r w:rsidR="00767916" w:rsidRPr="0085100A">
        <w:rPr>
          <w:bCs/>
        </w:rPr>
        <w:t xml:space="preserve">report </w:t>
      </w:r>
      <w:r w:rsidR="00AC1DE6" w:rsidRPr="0085100A">
        <w:rPr>
          <w:bCs/>
        </w:rPr>
        <w:t>progress on their goals, objectives, and activities</w:t>
      </w:r>
      <w:r w:rsidR="00AC1DE6">
        <w:rPr>
          <w:bCs/>
        </w:rPr>
        <w:t xml:space="preserve"> using the Work Plan Tool.</w:t>
      </w:r>
      <w:r w:rsidR="006D40B6">
        <w:rPr>
          <w:bCs/>
        </w:rPr>
        <w:t xml:space="preserve"> Using </w:t>
      </w:r>
      <w:r w:rsidR="00AC1DE6">
        <w:rPr>
          <w:bCs/>
        </w:rPr>
        <w:t>the Program Report Tool</w:t>
      </w:r>
      <w:r w:rsidR="006D40B6">
        <w:rPr>
          <w:bCs/>
        </w:rPr>
        <w:t>, awardees will report</w:t>
      </w:r>
      <w:r w:rsidR="00AC1DE6">
        <w:rPr>
          <w:bCs/>
        </w:rPr>
        <w:t xml:space="preserve"> </w:t>
      </w:r>
      <w:r w:rsidR="00767916" w:rsidRPr="0085100A">
        <w:rPr>
          <w:bCs/>
        </w:rPr>
        <w:t xml:space="preserve">relevant information on </w:t>
      </w:r>
      <w:r w:rsidR="00AC1DE6">
        <w:rPr>
          <w:bCs/>
        </w:rPr>
        <w:t xml:space="preserve">the </w:t>
      </w:r>
      <w:r w:rsidR="00767916" w:rsidRPr="0085100A">
        <w:rPr>
          <w:bCs/>
        </w:rPr>
        <w:t xml:space="preserve">implementation </w:t>
      </w:r>
      <w:r w:rsidR="00AC1DE6">
        <w:rPr>
          <w:bCs/>
        </w:rPr>
        <w:t xml:space="preserve">of their prevention </w:t>
      </w:r>
      <w:r w:rsidR="00767916" w:rsidRPr="0085100A">
        <w:rPr>
          <w:bCs/>
        </w:rPr>
        <w:t>strategies</w:t>
      </w:r>
      <w:r w:rsidR="00AC1DE6">
        <w:rPr>
          <w:bCs/>
        </w:rPr>
        <w:t>.</w:t>
      </w:r>
      <w:r w:rsidR="00767916" w:rsidRPr="0085100A">
        <w:rPr>
          <w:bCs/>
        </w:rPr>
        <w:t xml:space="preserve"> </w:t>
      </w:r>
      <w:r w:rsidR="00F5349D">
        <w:rPr>
          <w:bCs/>
        </w:rPr>
        <w:t xml:space="preserve">These data will be submitted at the time of their annual non-competing </w:t>
      </w:r>
      <w:r w:rsidR="00F3359B">
        <w:rPr>
          <w:bCs/>
        </w:rPr>
        <w:t xml:space="preserve">continuation application </w:t>
      </w:r>
      <w:r w:rsidR="00767916" w:rsidRPr="0085100A">
        <w:rPr>
          <w:bCs/>
        </w:rPr>
        <w:t>electronically</w:t>
      </w:r>
      <w:r w:rsidR="00F3359B">
        <w:rPr>
          <w:bCs/>
        </w:rPr>
        <w:t xml:space="preserve">. </w:t>
      </w:r>
      <w:r w:rsidR="009E0043">
        <w:rPr>
          <w:bCs/>
        </w:rPr>
        <w:t xml:space="preserve">Due to the diversity of awardees’ infrastructure, capacity, and funding strategy for sub-awardees, the tools have been designed with great considerations for those </w:t>
      </w:r>
      <w:r w:rsidR="002A3B5B">
        <w:rPr>
          <w:bCs/>
        </w:rPr>
        <w:t>variabilities.</w:t>
      </w:r>
    </w:p>
    <w:p w14:paraId="7FEB7B54" w14:textId="77777777" w:rsidR="00881606" w:rsidRDefault="00881606" w:rsidP="00767916">
      <w:pPr>
        <w:rPr>
          <w:bCs/>
        </w:rPr>
      </w:pPr>
    </w:p>
    <w:p w14:paraId="28622B08" w14:textId="49C495D1" w:rsidR="00987BC3" w:rsidRDefault="006C6DE5" w:rsidP="00987BC3">
      <w:r w:rsidRPr="0085100A">
        <w:t xml:space="preserve">This information collection is necessary to assure that programs are </w:t>
      </w:r>
      <w:r w:rsidR="002539D4" w:rsidRPr="0085100A">
        <w:t>moving toward achievement of</w:t>
      </w:r>
      <w:r w:rsidRPr="0085100A">
        <w:t xml:space="preserve"> their stated goals</w:t>
      </w:r>
      <w:r w:rsidR="002539D4" w:rsidRPr="0085100A">
        <w:t xml:space="preserve"> and objectives</w:t>
      </w:r>
      <w:r w:rsidR="00AC6521" w:rsidRPr="0085100A">
        <w:t xml:space="preserve"> and that they are consistently d</w:t>
      </w:r>
      <w:r w:rsidRPr="0085100A">
        <w:t>emonstrating efficient and appropriate use of federal funds</w:t>
      </w:r>
      <w:r w:rsidR="00BF2E76">
        <w:t xml:space="preserve"> to implement evidence-based/-informed strategies</w:t>
      </w:r>
      <w:r w:rsidRPr="0085100A">
        <w:t>.</w:t>
      </w:r>
      <w:r w:rsidR="00AC6521" w:rsidRPr="0085100A">
        <w:t xml:space="preserve"> </w:t>
      </w:r>
      <w:r w:rsidR="00B47AE4">
        <w:rPr>
          <w:bCs/>
        </w:rPr>
        <w:t xml:space="preserve">This is the first time CDC </w:t>
      </w:r>
      <w:r w:rsidR="00E86378">
        <w:rPr>
          <w:bCs/>
        </w:rPr>
        <w:t xml:space="preserve">will </w:t>
      </w:r>
      <w:r w:rsidR="00B47AE4">
        <w:rPr>
          <w:bCs/>
        </w:rPr>
        <w:t>systematically collect information about the RPE cooperative agreement, and information to be collected will be used to inform technical assistance</w:t>
      </w:r>
      <w:r w:rsidR="006A5FA3">
        <w:rPr>
          <w:bCs/>
        </w:rPr>
        <w:t xml:space="preserve"> (TA)</w:t>
      </w:r>
      <w:r w:rsidR="00B47AE4">
        <w:rPr>
          <w:bCs/>
        </w:rPr>
        <w:t>, program improvement, and capacity building to assess RPE Program’s impact on SV outcomes over time.</w:t>
      </w:r>
      <w:r w:rsidR="006476C2">
        <w:t xml:space="preserve"> </w:t>
      </w:r>
      <w:r w:rsidR="00987BC3" w:rsidRPr="0085100A">
        <w:rPr>
          <w:color w:val="000000" w:themeColor="text1"/>
        </w:rPr>
        <w:t xml:space="preserve">Information to be collected will provide crucial data for program performance monitoring and provide CDC with the capacity to respond in a timely manner to requests for information about the program from the </w:t>
      </w:r>
      <w:r w:rsidR="00987BC3">
        <w:rPr>
          <w:color w:val="000000" w:themeColor="text1"/>
        </w:rPr>
        <w:t xml:space="preserve">U.S. </w:t>
      </w:r>
      <w:r w:rsidR="00987BC3" w:rsidRPr="0085100A">
        <w:rPr>
          <w:color w:val="000000" w:themeColor="text1"/>
        </w:rPr>
        <w:t xml:space="preserve">Department of Health and Human Services (HHS), the White House, Congress, and other sources. </w:t>
      </w:r>
      <w:r w:rsidR="00987BC3">
        <w:rPr>
          <w:color w:val="000000" w:themeColor="text1"/>
        </w:rPr>
        <w:t>The MRS</w:t>
      </w:r>
      <w:r w:rsidR="00987BC3" w:rsidRPr="0085100A">
        <w:rPr>
          <w:color w:val="000000" w:themeColor="text1"/>
        </w:rPr>
        <w:t xml:space="preserve"> will improve real-time communications</w:t>
      </w:r>
      <w:r w:rsidR="00987BC3">
        <w:rPr>
          <w:color w:val="000000" w:themeColor="text1"/>
        </w:rPr>
        <w:t xml:space="preserve"> between CDC and RPE awardees</w:t>
      </w:r>
      <w:r w:rsidR="00987BC3" w:rsidRPr="0085100A">
        <w:rPr>
          <w:color w:val="000000" w:themeColor="text1"/>
        </w:rPr>
        <w:t xml:space="preserve">, and strengthen CDC’s ability to monitor </w:t>
      </w:r>
      <w:r w:rsidR="00987BC3">
        <w:rPr>
          <w:color w:val="000000" w:themeColor="text1"/>
        </w:rPr>
        <w:t xml:space="preserve">and evaluate </w:t>
      </w:r>
      <w:r w:rsidR="00987BC3" w:rsidRPr="0085100A">
        <w:rPr>
          <w:color w:val="000000" w:themeColor="text1"/>
        </w:rPr>
        <w:t>awardee</w:t>
      </w:r>
      <w:r w:rsidR="00987BC3">
        <w:rPr>
          <w:color w:val="000000" w:themeColor="text1"/>
        </w:rPr>
        <w:t>s’</w:t>
      </w:r>
      <w:r w:rsidR="00987BC3" w:rsidRPr="0085100A">
        <w:rPr>
          <w:color w:val="000000" w:themeColor="text1"/>
        </w:rPr>
        <w:t xml:space="preserve"> progress</w:t>
      </w:r>
      <w:r w:rsidR="00987BC3">
        <w:rPr>
          <w:color w:val="000000" w:themeColor="text1"/>
        </w:rPr>
        <w:t xml:space="preserve"> and performance</w:t>
      </w:r>
      <w:r w:rsidR="00987BC3" w:rsidRPr="0085100A">
        <w:rPr>
          <w:color w:val="000000" w:themeColor="text1"/>
        </w:rPr>
        <w:t xml:space="preserve">.  </w:t>
      </w:r>
    </w:p>
    <w:p w14:paraId="038072E7" w14:textId="77777777" w:rsidR="00767916" w:rsidRPr="0085100A" w:rsidRDefault="00767916" w:rsidP="0076791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5C8BF13E" w14:textId="4C61EB46" w:rsidR="005B457C" w:rsidRDefault="00A73B99" w:rsidP="000D18C8">
      <w:pPr>
        <w:rPr>
          <w:rFonts w:eastAsia="MS Mincho"/>
          <w:bCs/>
        </w:rPr>
      </w:pPr>
      <w:r>
        <w:rPr>
          <w:rFonts w:eastAsia="MS Mincho"/>
          <w:bCs/>
        </w:rPr>
        <w:t xml:space="preserve">The statutory authorities of </w:t>
      </w:r>
      <w:r w:rsidR="001D7D77">
        <w:rPr>
          <w:rFonts w:eastAsia="MS Mincho"/>
          <w:bCs/>
        </w:rPr>
        <w:t xml:space="preserve">the Public Health Service Act </w:t>
      </w:r>
      <w:r w:rsidR="00C141D4" w:rsidRPr="0085100A">
        <w:rPr>
          <w:rFonts w:eastAsia="MS Mincho"/>
          <w:bCs/>
        </w:rPr>
        <w:t xml:space="preserve">42 U.S.C. Section 247b </w:t>
      </w:r>
      <w:r w:rsidR="001D7D77">
        <w:rPr>
          <w:rFonts w:eastAsia="MS Mincho"/>
          <w:bCs/>
        </w:rPr>
        <w:t xml:space="preserve">(Attachment 1a) and U.S.C Section </w:t>
      </w:r>
      <w:r w:rsidR="00C141D4" w:rsidRPr="0085100A">
        <w:rPr>
          <w:rFonts w:eastAsia="MS Mincho"/>
          <w:bCs/>
        </w:rPr>
        <w:t>280b</w:t>
      </w:r>
      <w:r w:rsidR="001D7D77">
        <w:rPr>
          <w:rFonts w:eastAsia="MS Mincho"/>
          <w:bCs/>
        </w:rPr>
        <w:t xml:space="preserve"> (Attachment 1b)</w:t>
      </w:r>
      <w:r w:rsidR="00E60FA3">
        <w:rPr>
          <w:rFonts w:eastAsia="MS Mincho"/>
          <w:bCs/>
        </w:rPr>
        <w:t>, and</w:t>
      </w:r>
      <w:r w:rsidR="00C141D4" w:rsidRPr="0085100A">
        <w:rPr>
          <w:rFonts w:eastAsia="MS Mincho"/>
          <w:bCs/>
        </w:rPr>
        <w:t xml:space="preserve"> as amended H.R. 4970 (</w:t>
      </w:r>
      <w:r w:rsidR="00C141D4" w:rsidRPr="0085100A">
        <w:t>P.L. 113-4)</w:t>
      </w:r>
      <w:r w:rsidR="009D0301">
        <w:t>,</w:t>
      </w:r>
      <w:r w:rsidR="00C141D4" w:rsidRPr="0085100A">
        <w:rPr>
          <w:rFonts w:eastAsia="MS Mincho"/>
          <w:bCs/>
        </w:rPr>
        <w:t xml:space="preserve"> the </w:t>
      </w:r>
      <w:r w:rsidR="00E60FA3">
        <w:rPr>
          <w:rFonts w:eastAsia="MS Mincho"/>
          <w:bCs/>
        </w:rPr>
        <w:t xml:space="preserve">Violence Against Women Reauthorization Act of 2013 </w:t>
      </w:r>
      <w:r w:rsidR="00C141D4" w:rsidRPr="0085100A">
        <w:rPr>
          <w:rFonts w:eastAsia="MS Mincho"/>
          <w:bCs/>
        </w:rPr>
        <w:t>(Attachment</w:t>
      </w:r>
      <w:r w:rsidR="001D7D77">
        <w:rPr>
          <w:rFonts w:eastAsia="MS Mincho"/>
          <w:bCs/>
        </w:rPr>
        <w:t xml:space="preserve"> </w:t>
      </w:r>
      <w:r w:rsidR="00C141D4">
        <w:rPr>
          <w:rFonts w:eastAsia="MS Mincho"/>
          <w:bCs/>
        </w:rPr>
        <w:t>1</w:t>
      </w:r>
      <w:r w:rsidR="00C141D4" w:rsidRPr="0085100A">
        <w:rPr>
          <w:rFonts w:eastAsia="MS Mincho"/>
          <w:bCs/>
        </w:rPr>
        <w:t>c)</w:t>
      </w:r>
      <w:r w:rsidR="00C141D4">
        <w:rPr>
          <w:rFonts w:eastAsia="MS Mincho"/>
          <w:bCs/>
        </w:rPr>
        <w:t xml:space="preserve"> </w:t>
      </w:r>
      <w:r>
        <w:rPr>
          <w:rFonts w:eastAsia="MS Mincho"/>
          <w:bCs/>
        </w:rPr>
        <w:t xml:space="preserve">authorize the </w:t>
      </w:r>
      <w:r w:rsidR="00607F6E">
        <w:rPr>
          <w:rFonts w:eastAsia="MS Mincho"/>
          <w:bCs/>
        </w:rPr>
        <w:t xml:space="preserve">CDC’s </w:t>
      </w:r>
      <w:r>
        <w:rPr>
          <w:rFonts w:eastAsia="MS Mincho"/>
          <w:bCs/>
        </w:rPr>
        <w:t xml:space="preserve">RPE Program and efforts </w:t>
      </w:r>
      <w:r w:rsidR="00103318">
        <w:rPr>
          <w:rFonts w:eastAsia="MS Mincho"/>
          <w:bCs/>
        </w:rPr>
        <w:t xml:space="preserve">to collect, prepare, analyze, and disseminate information and statistics relating to the incidence and prevention of </w:t>
      </w:r>
      <w:r w:rsidR="00AD508B">
        <w:rPr>
          <w:rFonts w:eastAsia="MS Mincho"/>
          <w:bCs/>
        </w:rPr>
        <w:t>sexual assault</w:t>
      </w:r>
      <w:r w:rsidR="00103318">
        <w:rPr>
          <w:rFonts w:eastAsia="MS Mincho"/>
          <w:bCs/>
        </w:rPr>
        <w:t xml:space="preserve">. </w:t>
      </w:r>
    </w:p>
    <w:p w14:paraId="638BB405" w14:textId="77777777" w:rsidR="00CF4FF6" w:rsidRDefault="00CF4FF6" w:rsidP="000D18C8">
      <w:pPr>
        <w:rPr>
          <w:rFonts w:eastAsia="MS Mincho"/>
          <w:bCs/>
        </w:rPr>
      </w:pPr>
    </w:p>
    <w:p w14:paraId="58D83332" w14:textId="18A5D59D" w:rsidR="00972DEF" w:rsidRPr="0085100A" w:rsidRDefault="00972DEF" w:rsidP="003E336A">
      <w:pPr>
        <w:pStyle w:val="Heading2"/>
      </w:pPr>
      <w:bookmarkStart w:id="4" w:name="_Toc447176423"/>
      <w:r w:rsidRPr="0085100A">
        <w:t>A.2.</w:t>
      </w:r>
      <w:r w:rsidR="00F9218C">
        <w:tab/>
      </w:r>
      <w:r w:rsidRPr="0085100A">
        <w:t>Purpose and Use of Information Collection</w:t>
      </w:r>
      <w:bookmarkEnd w:id="4"/>
      <w:r w:rsidRPr="0085100A">
        <w:t xml:space="preserve"> </w:t>
      </w:r>
    </w:p>
    <w:p w14:paraId="58D83333" w14:textId="77777777" w:rsidR="00972DEF" w:rsidRPr="0085100A" w:rsidRDefault="00972DEF" w:rsidP="00972DEF">
      <w:pPr>
        <w:autoSpaceDE w:val="0"/>
        <w:autoSpaceDN w:val="0"/>
        <w:adjustRightInd w:val="0"/>
      </w:pPr>
    </w:p>
    <w:p w14:paraId="5B5BA915" w14:textId="73FF0002" w:rsidR="00976365" w:rsidRPr="0085100A" w:rsidRDefault="00440555" w:rsidP="00976365">
      <w:r w:rsidRPr="0085100A">
        <w:rPr>
          <w:rFonts w:eastAsia="MS Mincho"/>
          <w:bCs/>
        </w:rPr>
        <w:t xml:space="preserve">The </w:t>
      </w:r>
      <w:r w:rsidR="00F46B42">
        <w:rPr>
          <w:rFonts w:eastAsia="MS Mincho"/>
          <w:bCs/>
        </w:rPr>
        <w:t>purpose of</w:t>
      </w:r>
      <w:r w:rsidR="00F46B42" w:rsidRPr="0085100A">
        <w:rPr>
          <w:rFonts w:eastAsia="MS Mincho"/>
          <w:bCs/>
        </w:rPr>
        <w:t xml:space="preserve"> </w:t>
      </w:r>
      <w:r w:rsidR="00F46B42">
        <w:rPr>
          <w:rFonts w:eastAsia="MS Mincho"/>
          <w:bCs/>
        </w:rPr>
        <w:t xml:space="preserve">the MRS is to </w:t>
      </w:r>
      <w:r>
        <w:rPr>
          <w:rFonts w:eastAsia="MS Mincho"/>
          <w:bCs/>
        </w:rPr>
        <w:t xml:space="preserve">collect </w:t>
      </w:r>
      <w:r w:rsidRPr="0085100A">
        <w:rPr>
          <w:rFonts w:eastAsia="MS Mincho"/>
          <w:bCs/>
        </w:rPr>
        <w:t>data related to implementation</w:t>
      </w:r>
      <w:r w:rsidR="00F46B42">
        <w:rPr>
          <w:rFonts w:eastAsia="MS Mincho"/>
          <w:bCs/>
        </w:rPr>
        <w:t xml:space="preserve"> of prevention strategies</w:t>
      </w:r>
      <w:r w:rsidRPr="0085100A">
        <w:rPr>
          <w:rFonts w:eastAsia="MS Mincho"/>
          <w:bCs/>
        </w:rPr>
        <w:t xml:space="preserve"> </w:t>
      </w:r>
      <w:r w:rsidR="00F46B42">
        <w:rPr>
          <w:rFonts w:eastAsia="MS Mincho"/>
          <w:bCs/>
        </w:rPr>
        <w:t xml:space="preserve">(e.g., use of data, target population, level of evidence, reach) </w:t>
      </w:r>
      <w:r w:rsidR="00FC6CB6">
        <w:rPr>
          <w:rFonts w:eastAsia="MS Mincho"/>
          <w:bCs/>
        </w:rPr>
        <w:t xml:space="preserve">using the Program Report Tool </w:t>
      </w:r>
      <w:r w:rsidRPr="0085100A">
        <w:rPr>
          <w:rFonts w:eastAsia="MS Mincho"/>
          <w:bCs/>
        </w:rPr>
        <w:t xml:space="preserve">and </w:t>
      </w:r>
      <w:r w:rsidR="00F46B42">
        <w:rPr>
          <w:rFonts w:eastAsia="MS Mincho"/>
          <w:bCs/>
        </w:rPr>
        <w:t>progress towards goals and objectives</w:t>
      </w:r>
      <w:r w:rsidR="00FC6CB6">
        <w:rPr>
          <w:rFonts w:eastAsia="MS Mincho"/>
          <w:bCs/>
        </w:rPr>
        <w:t xml:space="preserve"> using the Work Plan Tool</w:t>
      </w:r>
      <w:r w:rsidR="00F46B42">
        <w:rPr>
          <w:rFonts w:eastAsia="MS Mincho"/>
          <w:bCs/>
        </w:rPr>
        <w:t xml:space="preserve"> </w:t>
      </w:r>
      <w:r w:rsidR="006C06D9">
        <w:rPr>
          <w:rFonts w:eastAsia="MS Mincho"/>
          <w:bCs/>
        </w:rPr>
        <w:t>from RPE Program awardees</w:t>
      </w:r>
      <w:r w:rsidR="00FC6CB6">
        <w:rPr>
          <w:rFonts w:eastAsia="MS Mincho"/>
          <w:bCs/>
        </w:rPr>
        <w:t xml:space="preserve"> or designees</w:t>
      </w:r>
      <w:r w:rsidR="006C06D9">
        <w:rPr>
          <w:rFonts w:eastAsia="MS Mincho"/>
          <w:bCs/>
        </w:rPr>
        <w:t xml:space="preserve">. </w:t>
      </w:r>
      <w:r w:rsidRPr="0085100A">
        <w:rPr>
          <w:rFonts w:eastAsia="MS Mincho"/>
          <w:bCs/>
        </w:rPr>
        <w:t xml:space="preserve"> </w:t>
      </w:r>
      <w:r w:rsidR="00976365" w:rsidRPr="0085100A">
        <w:t>This</w:t>
      </w:r>
      <w:r w:rsidR="006A5FA3">
        <w:t xml:space="preserve"> systematic</w:t>
      </w:r>
      <w:r w:rsidR="00976365" w:rsidRPr="0085100A">
        <w:t xml:space="preserve"> information collection will enable the accurate, reliable, uniform, and timely submission to CDC of each awardee’s work plan and progress reports, including strategies and performance measure</w:t>
      </w:r>
      <w:r w:rsidR="00715258" w:rsidRPr="0085100A">
        <w:t>s.</w:t>
      </w:r>
      <w:r w:rsidR="00976365" w:rsidRPr="0085100A">
        <w:t xml:space="preserve"> The information collection and reporting requirements have been carefully designed to align with and support the specific goals and outcomes outlined in the </w:t>
      </w:r>
      <w:r w:rsidR="00715258" w:rsidRPr="0085100A">
        <w:t>RPE</w:t>
      </w:r>
      <w:r w:rsidR="00976365" w:rsidRPr="0085100A">
        <w:t xml:space="preserve"> cooperative agreement</w:t>
      </w:r>
      <w:proofErr w:type="gramStart"/>
      <w:r w:rsidR="00976365" w:rsidRPr="0085100A">
        <w:t>..</w:t>
      </w:r>
      <w:proofErr w:type="gramEnd"/>
      <w:r w:rsidR="00976365" w:rsidRPr="0085100A">
        <w:t xml:space="preserve"> </w:t>
      </w:r>
      <w:r w:rsidR="00BC23AF" w:rsidRPr="0085100A">
        <w:t>A</w:t>
      </w:r>
      <w:r w:rsidR="00976365" w:rsidRPr="0085100A">
        <w:t>wardee</w:t>
      </w:r>
      <w:r w:rsidR="00BC23AF" w:rsidRPr="0085100A">
        <w:t>s</w:t>
      </w:r>
      <w:r w:rsidR="00976365" w:rsidRPr="0085100A">
        <w:t xml:space="preserve"> </w:t>
      </w:r>
      <w:r w:rsidR="00BC23AF" w:rsidRPr="0085100A">
        <w:t xml:space="preserve">will be able </w:t>
      </w:r>
      <w:r w:rsidR="00976365" w:rsidRPr="0085100A">
        <w:t xml:space="preserve">to </w:t>
      </w:r>
      <w:r w:rsidR="00BC23AF" w:rsidRPr="0085100A">
        <w:t xml:space="preserve">generate reports that </w:t>
      </w:r>
      <w:r w:rsidR="00976365" w:rsidRPr="0085100A">
        <w:t xml:space="preserve">summarize </w:t>
      </w:r>
      <w:r w:rsidR="00BC23AF" w:rsidRPr="0085100A">
        <w:t xml:space="preserve">their </w:t>
      </w:r>
      <w:r w:rsidR="00976365" w:rsidRPr="0085100A">
        <w:t>activities and progress towards meeting work plan strategies and performance measure targets.</w:t>
      </w:r>
      <w:r w:rsidR="001F76EF">
        <w:t xml:space="preserve"> The tools provide a way for awardees to track their own activities and funding to local organizations as required by legislation. </w:t>
      </w:r>
      <w:r w:rsidR="00157CD6">
        <w:t>Some awardees may delegate a designee such as their sub-awardee to complete aspects of the tools</w:t>
      </w:r>
      <w:r w:rsidR="006F7807">
        <w:t xml:space="preserve"> to provide the awardees with a complete picture of their efforts</w:t>
      </w:r>
      <w:r w:rsidR="00157CD6">
        <w:t>.</w:t>
      </w:r>
      <w:r w:rsidR="00976365" w:rsidRPr="0085100A">
        <w:t xml:space="preserve">  </w:t>
      </w:r>
    </w:p>
    <w:p w14:paraId="66726EE2" w14:textId="77777777" w:rsidR="00976365" w:rsidRPr="0085100A" w:rsidRDefault="00976365" w:rsidP="00976365"/>
    <w:p w14:paraId="4F14AF4A" w14:textId="77777777" w:rsidR="00976365" w:rsidRDefault="00976365" w:rsidP="00A536AE">
      <w:r w:rsidRPr="0085100A">
        <w:t>There are significant advantages to collecting information with these reporting tools:</w:t>
      </w:r>
    </w:p>
    <w:p w14:paraId="0C8E9AC4" w14:textId="77777777" w:rsidR="00A536AE" w:rsidRPr="0085100A" w:rsidRDefault="00A536AE" w:rsidP="00A536AE"/>
    <w:p w14:paraId="679585E5" w14:textId="557C6360" w:rsidR="00976365" w:rsidRPr="0085100A" w:rsidRDefault="00976365" w:rsidP="00976365">
      <w:pPr>
        <w:pStyle w:val="ListParagraph"/>
        <w:numPr>
          <w:ilvl w:val="0"/>
          <w:numId w:val="9"/>
        </w:numPr>
        <w:spacing w:after="120"/>
      </w:pPr>
      <w:r w:rsidRPr="0085100A">
        <w:t>The data structure will help awardees formulate performance measures that are specific, measurable, achievable, relevant, and time-framed (SMART).  This formulation is intended to facilitate successful achievement of performance measures and is integral to CDC’s program evaluation strategy for the program.</w:t>
      </w:r>
    </w:p>
    <w:p w14:paraId="6E3E7E20" w14:textId="4A3C9BAD" w:rsidR="00976365" w:rsidRDefault="00976365" w:rsidP="00976365">
      <w:pPr>
        <w:pStyle w:val="ListParagraph"/>
        <w:numPr>
          <w:ilvl w:val="0"/>
          <w:numId w:val="9"/>
        </w:numPr>
        <w:spacing w:after="120"/>
      </w:pPr>
      <w:r w:rsidRPr="0085100A">
        <w:t xml:space="preserve">The information being collected provides crucial information about each awardee’s work plan, activities, partnerships, and progress over the </w:t>
      </w:r>
      <w:r w:rsidR="003E4996">
        <w:t>project</w:t>
      </w:r>
      <w:r w:rsidRPr="0085100A">
        <w:t xml:space="preserve"> period.  </w:t>
      </w:r>
    </w:p>
    <w:p w14:paraId="2A003D77" w14:textId="4F827F7B" w:rsidR="00440555" w:rsidRPr="0085100A" w:rsidRDefault="00440555" w:rsidP="00976365">
      <w:pPr>
        <w:pStyle w:val="ListParagraph"/>
        <w:numPr>
          <w:ilvl w:val="0"/>
          <w:numId w:val="9"/>
        </w:numPr>
        <w:spacing w:after="120"/>
      </w:pPr>
      <w:r>
        <w:t xml:space="preserve">The tools are dynamic in the sense that additional items can be added so that awardees can report crucial information in a format that matches their structure. </w:t>
      </w:r>
    </w:p>
    <w:p w14:paraId="6E798CF4" w14:textId="77777777" w:rsidR="00976365" w:rsidRPr="0085100A" w:rsidRDefault="00976365" w:rsidP="00976365">
      <w:pPr>
        <w:pStyle w:val="ListParagraph"/>
        <w:numPr>
          <w:ilvl w:val="0"/>
          <w:numId w:val="9"/>
        </w:numPr>
        <w:spacing w:after="120"/>
      </w:pPr>
      <w:r w:rsidRPr="0085100A">
        <w:t>Capturing the required information uniformly will allow CDC to formulate ad hoc analyses and reports.</w:t>
      </w:r>
    </w:p>
    <w:p w14:paraId="48216C3E" w14:textId="77777777" w:rsidR="00976365" w:rsidRPr="0085100A" w:rsidRDefault="00976365" w:rsidP="00976365">
      <w:pPr>
        <w:pStyle w:val="ListParagraph"/>
        <w:spacing w:after="120"/>
      </w:pPr>
    </w:p>
    <w:p w14:paraId="45426D40" w14:textId="5F1EC9B3" w:rsidR="00976365" w:rsidRPr="0085100A" w:rsidRDefault="00976365" w:rsidP="00976365">
      <w:r w:rsidRPr="0085100A">
        <w:t>CDC will use the information collected to monitor each awardee’s progress and to identify facilitators and barriers to program implementati</w:t>
      </w:r>
      <w:r w:rsidR="00020C8E" w:rsidRPr="0085100A">
        <w:t>on and achievement of outcomes.</w:t>
      </w:r>
      <w:r w:rsidRPr="0085100A">
        <w:t xml:space="preserve"> Monitoring allows CDC to determine whether an awardee is meeting performance and budget goals and to make adjustments in the type and level of </w:t>
      </w:r>
      <w:r w:rsidR="00F33AE8">
        <w:t>TA</w:t>
      </w:r>
      <w:r w:rsidRPr="0085100A">
        <w:t xml:space="preserve"> provided to them, as needed, to support attainment </w:t>
      </w:r>
      <w:r w:rsidR="00020C8E" w:rsidRPr="0085100A">
        <w:t xml:space="preserve">of their performance measures. </w:t>
      </w:r>
      <w:r w:rsidRPr="0085100A">
        <w:t>Program monitoring and evaluation activities also allow CDC to identify and disseminate information about successful prevention strateg</w:t>
      </w:r>
      <w:r w:rsidR="00020C8E" w:rsidRPr="0085100A">
        <w:t>ies implemented by awardees.</w:t>
      </w:r>
      <w:r w:rsidRPr="0085100A">
        <w:t xml:space="preserve"> These functions are central to the NCIPC’s broad mission of protecting Americans fr</w:t>
      </w:r>
      <w:r w:rsidR="00020C8E" w:rsidRPr="0085100A">
        <w:t>om violence and injury threats.</w:t>
      </w:r>
      <w:r w:rsidRPr="0085100A">
        <w:t xml:space="preserve"> The information collection will allow CDC to monitor the increased emphasis on strategies that affect health outcomes and impact, and is expected to reduce duplication of effort, enhance program impact and maximize the use of federal funds.</w:t>
      </w:r>
      <w:r w:rsidR="003C1EDD">
        <w:t xml:space="preserve"> Moreover, </w:t>
      </w:r>
      <w:r w:rsidR="003C1EDD">
        <w:rPr>
          <w:bCs/>
        </w:rPr>
        <w:t xml:space="preserve">it </w:t>
      </w:r>
      <w:r w:rsidR="003C1EDD" w:rsidRPr="0085100A">
        <w:rPr>
          <w:color w:val="000000" w:themeColor="text1"/>
        </w:rPr>
        <w:t>provide</w:t>
      </w:r>
      <w:r w:rsidR="003C1EDD">
        <w:rPr>
          <w:color w:val="000000" w:themeColor="text1"/>
        </w:rPr>
        <w:t>s</w:t>
      </w:r>
      <w:r w:rsidR="003C1EDD" w:rsidRPr="0085100A">
        <w:rPr>
          <w:color w:val="000000" w:themeColor="text1"/>
        </w:rPr>
        <w:t xml:space="preserve"> CDC with the capacity to respond in a timely manner to </w:t>
      </w:r>
      <w:r w:rsidR="003C1EDD">
        <w:rPr>
          <w:color w:val="000000" w:themeColor="text1"/>
        </w:rPr>
        <w:t xml:space="preserve">inquiries and </w:t>
      </w:r>
      <w:r w:rsidR="003C1EDD" w:rsidRPr="0085100A">
        <w:rPr>
          <w:color w:val="000000" w:themeColor="text1"/>
        </w:rPr>
        <w:t xml:space="preserve">requests for information about the program. </w:t>
      </w:r>
    </w:p>
    <w:p w14:paraId="20660B37" w14:textId="77777777" w:rsidR="00976365" w:rsidRPr="0085100A" w:rsidRDefault="00976365" w:rsidP="00976365"/>
    <w:p w14:paraId="05C90417" w14:textId="7110032F" w:rsidR="00976365" w:rsidRPr="0085100A" w:rsidRDefault="00976365" w:rsidP="00976365">
      <w:r w:rsidRPr="0085100A">
        <w:t xml:space="preserve">Working with CDC staff, awardees will use the information collected to manage and coordinate their activities and to improve their efforts to prevent </w:t>
      </w:r>
      <w:r w:rsidR="00F33AE8">
        <w:t>SV</w:t>
      </w:r>
      <w:r w:rsidR="00020C8E" w:rsidRPr="0085100A">
        <w:t xml:space="preserve"> perpetration and victimization.</w:t>
      </w:r>
      <w:r w:rsidRPr="0085100A">
        <w:t xml:space="preserve"> The tools will allow awardees to fulfill their annual reporting obligations under the funding opportunity announcement in an efficient manner by employing user-friendly instruments to collect necessary information for both progress reports and continuation applications</w:t>
      </w:r>
      <w:r w:rsidR="00A529E9" w:rsidRPr="0085100A">
        <w:t>.</w:t>
      </w:r>
      <w:r w:rsidRPr="0085100A">
        <w:t xml:space="preserve"> This approach, which enables awardees to save pertinent information from one reporting period to the next, will reduce the administrative burden on the yearly continuation application a</w:t>
      </w:r>
      <w:r w:rsidR="00A529E9" w:rsidRPr="0085100A">
        <w:t>nd the progress review process.</w:t>
      </w:r>
      <w:r w:rsidRPr="0085100A">
        <w:t xml:space="preserve"> Awardee program staff will be able to review the completeness of data needed to generate required reports, enter basic summary data for reports at least annually, and finalize and save required reports for upload into other reporting systems as required. </w:t>
      </w:r>
    </w:p>
    <w:p w14:paraId="0BAEA84C" w14:textId="77777777" w:rsidR="00976365" w:rsidRPr="0085100A" w:rsidRDefault="00976365" w:rsidP="00976365"/>
    <w:p w14:paraId="467B1917" w14:textId="66698453" w:rsidR="00976365" w:rsidRPr="0085100A" w:rsidRDefault="00976365" w:rsidP="00976365">
      <w:r w:rsidRPr="0085100A">
        <w:t>Although program evaluation is an essential public health function</w:t>
      </w:r>
      <w:r w:rsidR="00BC23AF" w:rsidRPr="0085100A">
        <w:t xml:space="preserve"> and important for performance monitoring</w:t>
      </w:r>
      <w:r w:rsidRPr="0085100A">
        <w:t xml:space="preserve">, limitations of this type of data collection are the generalizability of results and the certainty of causation. The conclusions drawn from </w:t>
      </w:r>
      <w:r w:rsidR="00A529E9" w:rsidRPr="0085100A">
        <w:t>these data</w:t>
      </w:r>
      <w:r w:rsidRPr="0085100A">
        <w:t xml:space="preserve"> may not generalize to the entire country due to differences in </w:t>
      </w:r>
      <w:r w:rsidR="00A529E9" w:rsidRPr="0085100A">
        <w:t>the demographics of targeted populations</w:t>
      </w:r>
      <w:r w:rsidRPr="0085100A">
        <w:t xml:space="preserve">, policies, and implementing agencies. In addition, because this is not a research cooperative agreement, states are not required to implement rigorous research designs that have strong internal validity and produce generalizable knowledge. As such, the information </w:t>
      </w:r>
      <w:r w:rsidR="00BC23AF" w:rsidRPr="0085100A">
        <w:t xml:space="preserve">CDC collects </w:t>
      </w:r>
      <w:r w:rsidRPr="0085100A">
        <w:t xml:space="preserve">may make a strong inference of correlation, but causation cannot be inferred. </w:t>
      </w:r>
    </w:p>
    <w:p w14:paraId="3D93A6D6" w14:textId="77777777" w:rsidR="00976365" w:rsidRPr="0085100A" w:rsidRDefault="00976365" w:rsidP="00195C3A"/>
    <w:p w14:paraId="647443D8" w14:textId="0A86749E" w:rsidR="00976365" w:rsidRPr="0085100A" w:rsidRDefault="00976365" w:rsidP="00195C3A"/>
    <w:p w14:paraId="58D83334" w14:textId="2176A466" w:rsidR="00972DEF" w:rsidRPr="0085100A" w:rsidRDefault="00972DEF" w:rsidP="003E336A">
      <w:pPr>
        <w:pStyle w:val="Heading2"/>
      </w:pPr>
      <w:bookmarkStart w:id="5" w:name="_Toc447176424"/>
      <w:r w:rsidRPr="0085100A">
        <w:t>A.3.</w:t>
      </w:r>
      <w:r w:rsidR="00E338C8">
        <w:tab/>
      </w:r>
      <w:r w:rsidRPr="0085100A">
        <w:t>Use of Improved Information Technology and Burden Reduction</w:t>
      </w:r>
      <w:bookmarkEnd w:id="5"/>
    </w:p>
    <w:p w14:paraId="58D83335" w14:textId="77777777" w:rsidR="00972DEF" w:rsidRPr="0085100A" w:rsidRDefault="00972DEF" w:rsidP="00972DEF"/>
    <w:p w14:paraId="2E4F15DC" w14:textId="3FFF2AE2" w:rsidR="00201B2B" w:rsidRPr="0085100A" w:rsidRDefault="00201B2B" w:rsidP="00201B2B">
      <w:r w:rsidRPr="0085100A">
        <w:t xml:space="preserve">The CDC </w:t>
      </w:r>
      <w:r w:rsidR="00E15553" w:rsidRPr="0085100A">
        <w:t>contractor, has</w:t>
      </w:r>
      <w:r w:rsidRPr="0085100A">
        <w:t xml:space="preserve"> developed the Program Report Tool and the Work Plan Tool using the Microsoft Excel platform. Si</w:t>
      </w:r>
      <w:r w:rsidR="00B61EFE" w:rsidRPr="0085100A">
        <w:t xml:space="preserve">nce the use of Excel </w:t>
      </w:r>
      <w:r w:rsidRPr="0085100A">
        <w:t>is</w:t>
      </w:r>
      <w:r w:rsidR="00B61EFE" w:rsidRPr="0085100A">
        <w:t xml:space="preserve"> relatively</w:t>
      </w:r>
      <w:r w:rsidRPr="0085100A">
        <w:t xml:space="preserve"> common, </w:t>
      </w:r>
      <w:r w:rsidR="00B61EFE" w:rsidRPr="0085100A">
        <w:t>this</w:t>
      </w:r>
      <w:r w:rsidRPr="0085100A">
        <w:t xml:space="preserve"> user-friendly interface will </w:t>
      </w:r>
      <w:r w:rsidR="00B61EFE" w:rsidRPr="0085100A">
        <w:t xml:space="preserve">require very little training and will </w:t>
      </w:r>
      <w:r w:rsidRPr="0085100A">
        <w:t>be easier and more intuitive for awardees to use than spec</w:t>
      </w:r>
      <w:r w:rsidR="00B61EFE" w:rsidRPr="0085100A">
        <w:t>ial-purpose</w:t>
      </w:r>
      <w:r w:rsidR="0024031D">
        <w:t>d</w:t>
      </w:r>
      <w:r w:rsidR="00B61EFE" w:rsidRPr="0085100A">
        <w:t xml:space="preserve"> tools or software. A</w:t>
      </w:r>
      <w:r w:rsidRPr="0085100A">
        <w:t>wardees will use the tools provided to record and update coo</w:t>
      </w:r>
      <w:r w:rsidR="00B61EFE" w:rsidRPr="0085100A">
        <w:t xml:space="preserve">perative agreement information and </w:t>
      </w:r>
      <w:r w:rsidRPr="0085100A">
        <w:t xml:space="preserve">will upload completed </w:t>
      </w:r>
      <w:r w:rsidR="00BA0106">
        <w:t xml:space="preserve">tools with their non-competing continuation applications </w:t>
      </w:r>
      <w:r w:rsidRPr="0085100A">
        <w:t xml:space="preserve">to Grant Solutions website to satisfy </w:t>
      </w:r>
      <w:r w:rsidR="00BA0106">
        <w:t xml:space="preserve">funding annual performance </w:t>
      </w:r>
      <w:r w:rsidRPr="0085100A">
        <w:t xml:space="preserve">reporting </w:t>
      </w:r>
      <w:r w:rsidR="00272294">
        <w:t xml:space="preserve">(APR) </w:t>
      </w:r>
      <w:r w:rsidRPr="0085100A">
        <w:t xml:space="preserve">requirements. Awardees </w:t>
      </w:r>
      <w:r w:rsidR="0074438E">
        <w:t>may</w:t>
      </w:r>
      <w:r w:rsidRPr="0085100A">
        <w:t xml:space="preserve"> also send </w:t>
      </w:r>
      <w:r w:rsidR="00BA0106">
        <w:t xml:space="preserve">a courtesy </w:t>
      </w:r>
      <w:r w:rsidR="00272294">
        <w:t xml:space="preserve">copy </w:t>
      </w:r>
      <w:r w:rsidRPr="0085100A">
        <w:t>to their assigned Project Officer for technical review</w:t>
      </w:r>
      <w:r w:rsidR="0074438E">
        <w:t xml:space="preserve"> and feedback</w:t>
      </w:r>
      <w:r w:rsidRPr="0085100A">
        <w:t xml:space="preserve">. </w:t>
      </w:r>
      <w:r w:rsidR="00272294">
        <w:t>Upon completion</w:t>
      </w:r>
      <w:r w:rsidRPr="0085100A">
        <w:t xml:space="preserve">, the Project Officer will send the </w:t>
      </w:r>
      <w:r w:rsidR="00272294">
        <w:t xml:space="preserve">completed tools to be integrated into the MRS </w:t>
      </w:r>
      <w:r w:rsidRPr="0085100A">
        <w:t xml:space="preserve">database for </w:t>
      </w:r>
      <w:r w:rsidR="00272294">
        <w:t xml:space="preserve">analysis </w:t>
      </w:r>
      <w:r w:rsidRPr="0085100A">
        <w:t>and reporting.</w:t>
      </w:r>
    </w:p>
    <w:p w14:paraId="2B065C49" w14:textId="77777777" w:rsidR="00201B2B" w:rsidRPr="0085100A" w:rsidRDefault="00201B2B" w:rsidP="00201B2B"/>
    <w:p w14:paraId="2E0F1B50" w14:textId="7B7FBB4D" w:rsidR="00201B2B" w:rsidRPr="0085100A" w:rsidRDefault="00201B2B" w:rsidP="00201B2B">
      <w:pPr>
        <w:tabs>
          <w:tab w:val="num" w:pos="720"/>
        </w:tabs>
      </w:pPr>
      <w:r w:rsidRPr="0085100A">
        <w:t xml:space="preserve">These tools improve information quality by minimizing errors and redundancy.  Having </w:t>
      </w:r>
      <w:r w:rsidR="00BC23AF" w:rsidRPr="0085100A">
        <w:t>awa</w:t>
      </w:r>
      <w:r w:rsidR="001418B2" w:rsidRPr="0085100A">
        <w:t xml:space="preserve">rdees report </w:t>
      </w:r>
      <w:r w:rsidRPr="0085100A">
        <w:t xml:space="preserve">information in the same </w:t>
      </w:r>
      <w:r w:rsidR="001418B2" w:rsidRPr="0085100A">
        <w:t xml:space="preserve">tools </w:t>
      </w:r>
      <w:r w:rsidRPr="0085100A">
        <w:t>in the same manner will reduce the level of burden attributable to redundancy and reduce the workload t</w:t>
      </w:r>
      <w:r w:rsidR="00341921" w:rsidRPr="0085100A">
        <w:t xml:space="preserve">o enter and maintain the data. </w:t>
      </w:r>
      <w:r w:rsidRPr="0085100A">
        <w:t xml:space="preserve">Programs will have data </w:t>
      </w:r>
      <w:r w:rsidR="00341921" w:rsidRPr="0085100A">
        <w:t>transferred</w:t>
      </w:r>
      <w:r w:rsidRPr="0085100A">
        <w:t xml:space="preserve"> from one year to another</w:t>
      </w:r>
      <w:r w:rsidR="000F0613">
        <w:t xml:space="preserve"> and only modify information instead of reentry</w:t>
      </w:r>
      <w:r w:rsidRPr="0085100A">
        <w:t>, which minimizes data re-entry</w:t>
      </w:r>
      <w:r w:rsidR="000F0613">
        <w:t>, burden, and potential errors.</w:t>
      </w:r>
      <w:r w:rsidR="00333BBF">
        <w:t xml:space="preserve"> Moreover, the tools have been designed in such a way that is flexible for awardees’ program context and structure; they are able to use and print the tools for their use</w:t>
      </w:r>
      <w:r w:rsidR="004F7754">
        <w:t xml:space="preserve"> in a manner that fit their use</w:t>
      </w:r>
      <w:r w:rsidR="00333BBF">
        <w:t xml:space="preserve">. </w:t>
      </w:r>
    </w:p>
    <w:p w14:paraId="149787C9" w14:textId="77777777" w:rsidR="00201B2B" w:rsidRPr="0085100A" w:rsidRDefault="00201B2B" w:rsidP="00201B2B">
      <w:pPr>
        <w:tabs>
          <w:tab w:val="num" w:pos="720"/>
        </w:tabs>
      </w:pPr>
    </w:p>
    <w:p w14:paraId="1440D495" w14:textId="44A7A404" w:rsidR="00201B2B" w:rsidRPr="0085100A" w:rsidRDefault="00201B2B" w:rsidP="00201B2B">
      <w:r w:rsidRPr="0085100A">
        <w:t xml:space="preserve">With the </w:t>
      </w:r>
      <w:r w:rsidR="000417EF">
        <w:t>MRS</w:t>
      </w:r>
      <w:r w:rsidRPr="0085100A">
        <w:t>, the use of a standard set of data elements, definitions and specifications at all levels will help to improve the quality and comparability of performance information that is received by CDC for multiple awardee</w:t>
      </w:r>
      <w:r w:rsidR="00341921" w:rsidRPr="0085100A">
        <w:t xml:space="preserve">s. </w:t>
      </w:r>
      <w:r w:rsidRPr="0085100A">
        <w:t>Further, standardization will enhance the consistency of plans and reports, enable examination of cross-program performance and strategies, and will facilitate a higher degree of reliability by ensuring that the same information is collected on all strategies and performance measures with slightly different areas of emphasis, depending on strategies chosen by the awardee. Finally, the report generation capabilities of the system will reduce the respondent burden associated with paper-based reports</w:t>
      </w:r>
      <w:r w:rsidR="007F1DE2">
        <w:t xml:space="preserve"> by </w:t>
      </w:r>
      <w:r w:rsidR="007F1DE2" w:rsidRPr="0085100A">
        <w:t>enabl</w:t>
      </w:r>
      <w:r w:rsidR="007F1DE2">
        <w:t>ing</w:t>
      </w:r>
      <w:r w:rsidR="007F1DE2" w:rsidRPr="0085100A">
        <w:t xml:space="preserve"> collection and reporting of the information in an efficient, standardized, and user-friendly manner that will generate a variety of routine and customizable reports</w:t>
      </w:r>
      <w:r w:rsidRPr="0085100A">
        <w:t xml:space="preserve">.  Without the reporting tools and the integrated approach to information collection and reporting, </w:t>
      </w:r>
      <w:r w:rsidR="00553243">
        <w:t xml:space="preserve">both </w:t>
      </w:r>
      <w:r w:rsidRPr="0085100A">
        <w:t>awardees and CDC would need to continue to use time consuming, labor intensive procedures for information collection and reporting.</w:t>
      </w:r>
      <w:r w:rsidR="00553243">
        <w:t xml:space="preserve"> </w:t>
      </w:r>
    </w:p>
    <w:p w14:paraId="0121488E" w14:textId="77777777" w:rsidR="00201B2B" w:rsidRPr="0085100A" w:rsidRDefault="00201B2B" w:rsidP="006244BA">
      <w:pPr>
        <w:tabs>
          <w:tab w:val="num" w:pos="720"/>
        </w:tabs>
      </w:pPr>
    </w:p>
    <w:p w14:paraId="74E91ECA" w14:textId="77777777" w:rsidR="00201B2B" w:rsidRPr="0085100A" w:rsidRDefault="00201B2B" w:rsidP="006244BA">
      <w:pPr>
        <w:tabs>
          <w:tab w:val="num" w:pos="720"/>
        </w:tabs>
      </w:pPr>
    </w:p>
    <w:p w14:paraId="58D83337" w14:textId="70A8D19F" w:rsidR="00972DEF" w:rsidRPr="0085100A" w:rsidRDefault="00972DEF" w:rsidP="003E336A">
      <w:pPr>
        <w:pStyle w:val="Heading2"/>
      </w:pPr>
      <w:bookmarkStart w:id="6" w:name="_Toc447176425"/>
      <w:r w:rsidRPr="0085100A">
        <w:t>A.4.</w:t>
      </w:r>
      <w:r w:rsidR="00F76BF9" w:rsidRPr="0085100A">
        <w:t xml:space="preserve"> </w:t>
      </w:r>
      <w:r w:rsidR="00F76BF9">
        <w:tab/>
      </w:r>
      <w:r w:rsidRPr="0085100A">
        <w:t>Efforts to Identify Duplication and Use of Similar Information</w:t>
      </w:r>
      <w:bookmarkEnd w:id="6"/>
    </w:p>
    <w:p w14:paraId="39C9B4B4" w14:textId="77777777" w:rsidR="00CD1646" w:rsidRPr="0085100A" w:rsidRDefault="00CD1646" w:rsidP="00CD1646"/>
    <w:p w14:paraId="5BFAA646" w14:textId="3C705035" w:rsidR="00CD1646" w:rsidRPr="0085100A" w:rsidRDefault="00D94845" w:rsidP="00CD1646">
      <w:r w:rsidRPr="0085100A">
        <w:t xml:space="preserve">Since CDC is the only federal agency providing funding for state and territorial health departments to conduct </w:t>
      </w:r>
      <w:r w:rsidR="00F33AE8">
        <w:t xml:space="preserve">SV </w:t>
      </w:r>
      <w:r w:rsidRPr="0085100A">
        <w:t>prevention work by emphasizing prevention of first time rape perpetration, the information collected from RPE awardees is not available from other sources.</w:t>
      </w:r>
      <w:r w:rsidR="00747FB7" w:rsidRPr="0085100A">
        <w:t xml:space="preserve"> This information is specific to the RPE Program. The collection of this information is part of a federal reporting requirement for funds received by awardees. The tools will consolidate information necessary for both continuation applications and progress reports so that information entered once can be used to generate multiple types of reports without having to duplicate efforts.  As CDC’s primary </w:t>
      </w:r>
      <w:r w:rsidR="00F33AE8">
        <w:t>SV</w:t>
      </w:r>
      <w:r w:rsidR="00747FB7" w:rsidRPr="0085100A">
        <w:t xml:space="preserve"> prevention initiative, RPE occupies a unique niche within the larger scope of HHS violence prevention initiatives. </w:t>
      </w:r>
      <w:r w:rsidR="00CD1646" w:rsidRPr="0085100A">
        <w:t xml:space="preserve">The U.S. Department of Justice, Office of Violence against Women (OVW) makes funding available to territorial domestic and </w:t>
      </w:r>
      <w:r w:rsidR="00F33AE8">
        <w:t>SV</w:t>
      </w:r>
      <w:r w:rsidR="00CD1646" w:rsidRPr="0085100A">
        <w:t xml:space="preserve"> coalitions to focus on victim service provision for individuals. The CDC </w:t>
      </w:r>
      <w:r w:rsidRPr="0085100A">
        <w:t>RPE</w:t>
      </w:r>
      <w:r w:rsidR="00CD1646" w:rsidRPr="0085100A">
        <w:t xml:space="preserve"> cooperative agreement, however, can</w:t>
      </w:r>
      <w:r w:rsidR="001418B2" w:rsidRPr="0085100A">
        <w:t xml:space="preserve"> only be used for prevention and can</w:t>
      </w:r>
      <w:r w:rsidR="00CD1646" w:rsidRPr="0085100A">
        <w:t xml:space="preserve">not be used to fund victim services; therefore, information collected from RPE awardees will not duplicate information collected from OVW awardees. </w:t>
      </w:r>
    </w:p>
    <w:p w14:paraId="58D83339" w14:textId="77777777" w:rsidR="003E1523" w:rsidRPr="0085100A" w:rsidRDefault="003E1523" w:rsidP="00E90D0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8D8333A" w14:textId="147FFEB5" w:rsidR="00972DEF" w:rsidRPr="0085100A" w:rsidRDefault="00972DEF" w:rsidP="003E336A">
      <w:pPr>
        <w:pStyle w:val="Heading2"/>
      </w:pPr>
      <w:bookmarkStart w:id="7" w:name="_Toc447176426"/>
      <w:r w:rsidRPr="0085100A">
        <w:t>A.5.</w:t>
      </w:r>
      <w:r w:rsidR="00F76BF9" w:rsidRPr="0085100A">
        <w:t xml:space="preserve"> </w:t>
      </w:r>
      <w:r w:rsidR="00F76BF9">
        <w:tab/>
      </w:r>
      <w:r w:rsidRPr="0085100A">
        <w:t>Impact on Small Businesses or Other Small Entities</w:t>
      </w:r>
      <w:bookmarkEnd w:id="7"/>
      <w:r w:rsidRPr="0085100A">
        <w:t xml:space="preserve"> </w:t>
      </w:r>
    </w:p>
    <w:p w14:paraId="58D8333B" w14:textId="77777777" w:rsidR="00972DEF" w:rsidRPr="0085100A" w:rsidRDefault="00972DEF" w:rsidP="00972DEF">
      <w:pPr>
        <w:autoSpaceDE w:val="0"/>
        <w:autoSpaceDN w:val="0"/>
        <w:adjustRightInd w:val="0"/>
        <w:rPr>
          <w:b/>
          <w:bCs/>
        </w:rPr>
      </w:pPr>
    </w:p>
    <w:p w14:paraId="58D8333C" w14:textId="77777777" w:rsidR="0027700E" w:rsidRDefault="0027700E" w:rsidP="00972DEF">
      <w:pPr>
        <w:autoSpaceDE w:val="0"/>
        <w:autoSpaceDN w:val="0"/>
        <w:adjustRightInd w:val="0"/>
      </w:pPr>
      <w:r w:rsidRPr="0085100A">
        <w:t>No small businesses will be involved in this data collection.</w:t>
      </w:r>
    </w:p>
    <w:p w14:paraId="55D40CB2" w14:textId="77777777" w:rsidR="00A536AE" w:rsidRPr="0085100A" w:rsidRDefault="00A536AE" w:rsidP="00972DEF">
      <w:pPr>
        <w:autoSpaceDE w:val="0"/>
        <w:autoSpaceDN w:val="0"/>
        <w:adjustRightInd w:val="0"/>
      </w:pPr>
    </w:p>
    <w:p w14:paraId="58D8333D" w14:textId="77777777" w:rsidR="00972DEF" w:rsidRPr="0085100A" w:rsidRDefault="00972DEF" w:rsidP="00972DEF">
      <w:pPr>
        <w:autoSpaceDE w:val="0"/>
        <w:autoSpaceDN w:val="0"/>
        <w:adjustRightInd w:val="0"/>
        <w:rPr>
          <w:i/>
          <w:iCs/>
        </w:rPr>
      </w:pPr>
    </w:p>
    <w:p w14:paraId="58D8333E" w14:textId="7D0FE6F1" w:rsidR="00972DEF" w:rsidRPr="0085100A" w:rsidRDefault="00972DEF" w:rsidP="003E336A">
      <w:pPr>
        <w:pStyle w:val="Heading2"/>
      </w:pPr>
      <w:bookmarkStart w:id="8" w:name="_Toc447176427"/>
      <w:r w:rsidRPr="0085100A">
        <w:t>A.6.</w:t>
      </w:r>
      <w:r w:rsidR="006277F4">
        <w:tab/>
      </w:r>
      <w:r w:rsidRPr="0085100A">
        <w:t>Consequences of Collecting the Information Less Frequently</w:t>
      </w:r>
      <w:bookmarkEnd w:id="8"/>
      <w:r w:rsidRPr="0085100A">
        <w:t xml:space="preserve"> </w:t>
      </w:r>
    </w:p>
    <w:p w14:paraId="08004D32" w14:textId="77777777" w:rsidR="00CD1646" w:rsidRPr="0085100A" w:rsidRDefault="00CD1646" w:rsidP="00972DEF">
      <w:pPr>
        <w:autoSpaceDE w:val="0"/>
        <w:autoSpaceDN w:val="0"/>
        <w:adjustRightInd w:val="0"/>
        <w:rPr>
          <w:color w:val="000000"/>
        </w:rPr>
      </w:pPr>
    </w:p>
    <w:p w14:paraId="05A09553" w14:textId="77777777" w:rsidR="00D94845" w:rsidRDefault="00D94845" w:rsidP="00D94845">
      <w:pPr>
        <w:rPr>
          <w:color w:val="000000" w:themeColor="text1"/>
        </w:rPr>
      </w:pPr>
      <w:r w:rsidRPr="0085100A">
        <w:rPr>
          <w:color w:val="000000" w:themeColor="text1"/>
        </w:rPr>
        <w:t>Reports will be collected annually. The annual progress report is due 120 days before the end of the budget period and serves as a non-competing continuation application. Less frequent reporting would undermine accountability efforts at all levels and negatively impact monitoring awardee progress. The annual reporting schedule ensures that CDC responses to inquiries from HHS, the White House, Congress and other stakeholders are based on timely and up-to-date information.</w:t>
      </w:r>
    </w:p>
    <w:p w14:paraId="42F7EB0C" w14:textId="77777777" w:rsidR="00A536AE" w:rsidRPr="0085100A" w:rsidRDefault="00A536AE" w:rsidP="00D94845">
      <w:pPr>
        <w:rPr>
          <w:color w:val="000000" w:themeColor="text1"/>
        </w:rPr>
      </w:pPr>
    </w:p>
    <w:p w14:paraId="58D83340" w14:textId="77777777" w:rsidR="00972DEF" w:rsidRPr="0085100A" w:rsidRDefault="00972DEF" w:rsidP="00972DEF">
      <w:pPr>
        <w:autoSpaceDE w:val="0"/>
        <w:autoSpaceDN w:val="0"/>
        <w:adjustRightInd w:val="0"/>
      </w:pPr>
    </w:p>
    <w:p w14:paraId="58D83341" w14:textId="3CB9AFA4" w:rsidR="00972DEF" w:rsidRPr="0085100A" w:rsidRDefault="00972DEF" w:rsidP="003E336A">
      <w:pPr>
        <w:pStyle w:val="Heading2"/>
      </w:pPr>
      <w:bookmarkStart w:id="9" w:name="_Toc447176428"/>
      <w:r w:rsidRPr="0085100A">
        <w:t>A.7.</w:t>
      </w:r>
      <w:r w:rsidR="002B062E">
        <w:tab/>
      </w:r>
      <w:r w:rsidRPr="0085100A">
        <w:t>Special Circumstances Relating to the Guidelines of 5 CFR 1320.5</w:t>
      </w:r>
      <w:bookmarkEnd w:id="9"/>
    </w:p>
    <w:p w14:paraId="58D83342" w14:textId="77777777" w:rsidR="00972DEF" w:rsidRPr="0085100A" w:rsidRDefault="00972DEF" w:rsidP="00972DEF">
      <w:pPr>
        <w:autoSpaceDE w:val="0"/>
        <w:autoSpaceDN w:val="0"/>
        <w:adjustRightInd w:val="0"/>
      </w:pPr>
    </w:p>
    <w:p w14:paraId="58D83343" w14:textId="77777777" w:rsidR="00972DEF" w:rsidRDefault="00972DEF" w:rsidP="00972DEF">
      <w:pPr>
        <w:pStyle w:val="SL-FlLftSgl"/>
      </w:pPr>
      <w:r w:rsidRPr="0085100A">
        <w:t xml:space="preserve">The request fully complies with the regulation 5 CFR 1320.5. </w:t>
      </w:r>
    </w:p>
    <w:p w14:paraId="3C00F1CB" w14:textId="77777777" w:rsidR="00A536AE" w:rsidRPr="0085100A" w:rsidRDefault="00A536AE" w:rsidP="00972DEF">
      <w:pPr>
        <w:pStyle w:val="SL-FlLftSgl"/>
      </w:pPr>
    </w:p>
    <w:p w14:paraId="58D83344" w14:textId="77777777" w:rsidR="00972DEF" w:rsidRPr="0085100A" w:rsidRDefault="00972DEF" w:rsidP="00972DEF">
      <w:pPr>
        <w:autoSpaceDE w:val="0"/>
        <w:autoSpaceDN w:val="0"/>
        <w:adjustRightInd w:val="0"/>
      </w:pPr>
    </w:p>
    <w:p w14:paraId="58D83345" w14:textId="3E446685" w:rsidR="00972DEF" w:rsidRPr="0085100A" w:rsidRDefault="00972DEF" w:rsidP="003E336A">
      <w:pPr>
        <w:pStyle w:val="Heading2"/>
      </w:pPr>
      <w:bookmarkStart w:id="10" w:name="_Toc447176429"/>
      <w:r w:rsidRPr="0085100A">
        <w:t>A.8.</w:t>
      </w:r>
      <w:r w:rsidR="00951E8B">
        <w:t xml:space="preserve"> </w:t>
      </w:r>
      <w:r w:rsidR="00951E8B">
        <w:tab/>
      </w:r>
      <w:r w:rsidRPr="0085100A">
        <w:t>Comments in Response to the Federal Register Notice and Efforts to Consult</w:t>
      </w:r>
      <w:r w:rsidR="00951E8B">
        <w:t xml:space="preserve"> </w:t>
      </w:r>
      <w:r w:rsidRPr="0085100A">
        <w:t>Outside the Agency</w:t>
      </w:r>
      <w:bookmarkEnd w:id="10"/>
      <w:r w:rsidRPr="0085100A">
        <w:t xml:space="preserve"> </w:t>
      </w:r>
    </w:p>
    <w:p w14:paraId="58D83346" w14:textId="77777777" w:rsidR="00972DEF" w:rsidRPr="0085100A" w:rsidRDefault="00972DEF" w:rsidP="00972DEF">
      <w:pPr>
        <w:autoSpaceDE w:val="0"/>
        <w:autoSpaceDN w:val="0"/>
        <w:adjustRightInd w:val="0"/>
      </w:pPr>
    </w:p>
    <w:p w14:paraId="58D83347" w14:textId="77777777" w:rsidR="00405CC1" w:rsidRPr="00785199" w:rsidRDefault="00972DEF" w:rsidP="00CD1646">
      <w:pPr>
        <w:ind w:left="720"/>
        <w:rPr>
          <w:noProof/>
        </w:rPr>
      </w:pPr>
      <w:r w:rsidRPr="00785199">
        <w:t>A.8.a)</w:t>
      </w:r>
      <w:r w:rsidRPr="00785199">
        <w:tab/>
      </w:r>
      <w:r w:rsidR="0049057C" w:rsidRPr="00785199">
        <w:rPr>
          <w:noProof/>
        </w:rPr>
        <w:t>Federal Register Notice</w:t>
      </w:r>
    </w:p>
    <w:p w14:paraId="1CB3D353" w14:textId="77777777" w:rsidR="00CD1646" w:rsidRPr="0085100A" w:rsidRDefault="00CD1646" w:rsidP="00CD1646">
      <w:pPr>
        <w:ind w:left="720"/>
      </w:pPr>
    </w:p>
    <w:p w14:paraId="6E1AFEF4" w14:textId="5F9D79BD" w:rsidR="00CD1646" w:rsidRPr="0085100A" w:rsidRDefault="00474989" w:rsidP="00CD1646">
      <w:pPr>
        <w:ind w:left="720"/>
      </w:pPr>
      <w:r w:rsidRPr="0085100A">
        <w:rPr>
          <w:szCs w:val="23"/>
        </w:rPr>
        <w:t xml:space="preserve">A 60-day Federal Register Notice </w:t>
      </w:r>
      <w:r w:rsidR="00850A74">
        <w:rPr>
          <w:szCs w:val="23"/>
        </w:rPr>
        <w:t xml:space="preserve">(FRN) </w:t>
      </w:r>
      <w:r w:rsidRPr="0085100A">
        <w:rPr>
          <w:szCs w:val="23"/>
        </w:rPr>
        <w:t xml:space="preserve">was published in the Federal Register on </w:t>
      </w:r>
      <w:r w:rsidR="00B779D7">
        <w:rPr>
          <w:szCs w:val="23"/>
        </w:rPr>
        <w:t>November</w:t>
      </w:r>
      <w:r w:rsidRPr="0085100A">
        <w:rPr>
          <w:szCs w:val="23"/>
        </w:rPr>
        <w:t xml:space="preserve">, </w:t>
      </w:r>
      <w:r w:rsidR="00B779D7">
        <w:rPr>
          <w:szCs w:val="23"/>
        </w:rPr>
        <w:t>27</w:t>
      </w:r>
      <w:r w:rsidRPr="0085100A">
        <w:rPr>
          <w:szCs w:val="23"/>
        </w:rPr>
        <w:t xml:space="preserve">, </w:t>
      </w:r>
      <w:r w:rsidR="00CE505E">
        <w:rPr>
          <w:szCs w:val="23"/>
        </w:rPr>
        <w:t>2015</w:t>
      </w:r>
      <w:r w:rsidRPr="0085100A">
        <w:rPr>
          <w:szCs w:val="23"/>
        </w:rPr>
        <w:t xml:space="preserve">, vol. </w:t>
      </w:r>
      <w:r w:rsidR="00CE505E">
        <w:rPr>
          <w:szCs w:val="23"/>
        </w:rPr>
        <w:t>80</w:t>
      </w:r>
      <w:r w:rsidRPr="0085100A">
        <w:rPr>
          <w:szCs w:val="23"/>
        </w:rPr>
        <w:t xml:space="preserve"> No. </w:t>
      </w:r>
      <w:r w:rsidR="00CE505E">
        <w:rPr>
          <w:szCs w:val="23"/>
        </w:rPr>
        <w:t>228</w:t>
      </w:r>
      <w:r w:rsidRPr="0085100A">
        <w:rPr>
          <w:szCs w:val="23"/>
        </w:rPr>
        <w:t xml:space="preserve">, </w:t>
      </w:r>
      <w:r w:rsidR="00D91D7C" w:rsidRPr="0085100A">
        <w:rPr>
          <w:szCs w:val="23"/>
        </w:rPr>
        <w:t>and pp.74108</w:t>
      </w:r>
      <w:r w:rsidR="008356AD">
        <w:rPr>
          <w:szCs w:val="23"/>
        </w:rPr>
        <w:t>–</w:t>
      </w:r>
      <w:r w:rsidR="00CE505E">
        <w:rPr>
          <w:szCs w:val="23"/>
        </w:rPr>
        <w:t>74109</w:t>
      </w:r>
      <w:r w:rsidRPr="0085100A">
        <w:rPr>
          <w:szCs w:val="23"/>
        </w:rPr>
        <w:t xml:space="preserve"> </w:t>
      </w:r>
      <w:r w:rsidR="00CD1646" w:rsidRPr="0085100A">
        <w:t xml:space="preserve">(Attachment </w:t>
      </w:r>
      <w:r w:rsidR="00B43025">
        <w:t>2)</w:t>
      </w:r>
      <w:r w:rsidR="00566A63">
        <w:t xml:space="preserve">. </w:t>
      </w:r>
      <w:r w:rsidR="00CD1646" w:rsidRPr="0085100A">
        <w:t xml:space="preserve">There were no comments to the 60-day </w:t>
      </w:r>
      <w:r w:rsidR="00850A74">
        <w:t>FRN</w:t>
      </w:r>
      <w:r w:rsidR="00CD1646" w:rsidRPr="0085100A">
        <w:t>.</w:t>
      </w:r>
    </w:p>
    <w:p w14:paraId="101AC598" w14:textId="77777777" w:rsidR="00CD1646" w:rsidRPr="0085100A" w:rsidRDefault="00CD1646" w:rsidP="00FB1045"/>
    <w:p w14:paraId="58D83349" w14:textId="77777777" w:rsidR="00405CC1" w:rsidRPr="0085100A" w:rsidRDefault="00405CC1" w:rsidP="00972DEF"/>
    <w:p w14:paraId="58D8334A" w14:textId="77777777" w:rsidR="00972DEF" w:rsidRDefault="00972DEF" w:rsidP="00CD1646">
      <w:pPr>
        <w:ind w:left="720"/>
        <w:rPr>
          <w:noProof/>
        </w:rPr>
      </w:pPr>
      <w:r w:rsidRPr="00785199">
        <w:t xml:space="preserve">A.8.b) </w:t>
      </w:r>
      <w:r w:rsidR="0049057C" w:rsidRPr="00785199">
        <w:rPr>
          <w:noProof/>
        </w:rPr>
        <w:t>Efforts to Consult Outside the Agency</w:t>
      </w:r>
    </w:p>
    <w:p w14:paraId="6C273672" w14:textId="77777777" w:rsidR="00597C53" w:rsidRPr="00785199" w:rsidRDefault="00597C53" w:rsidP="00CD1646">
      <w:pPr>
        <w:ind w:left="720"/>
        <w:rPr>
          <w:noProof/>
        </w:rPr>
      </w:pPr>
    </w:p>
    <w:p w14:paraId="4F270E1B" w14:textId="128EF477" w:rsidR="000A7ED7" w:rsidRDefault="000A7ED7" w:rsidP="000A7ED7">
      <w:pPr>
        <w:ind w:left="720"/>
      </w:pPr>
      <w:r w:rsidRPr="0085100A">
        <w:t xml:space="preserve">CDC and </w:t>
      </w:r>
      <w:r w:rsidR="00F1051F">
        <w:t xml:space="preserve">contracting agency, </w:t>
      </w:r>
      <w:r w:rsidRPr="0085100A">
        <w:t>Deloitte</w:t>
      </w:r>
      <w:r w:rsidR="00F1051F">
        <w:t>, who have been designing these data systems throughout CDC</w:t>
      </w:r>
      <w:r w:rsidR="009F0A22">
        <w:t xml:space="preserve">, have been collaboratively designing the MRS since 2014. </w:t>
      </w:r>
      <w:r w:rsidRPr="0085100A">
        <w:t xml:space="preserve">Consultation </w:t>
      </w:r>
      <w:r w:rsidR="00F1051F">
        <w:t xml:space="preserve">with Deloitte </w:t>
      </w:r>
      <w:r w:rsidRPr="0085100A">
        <w:t xml:space="preserve">will continue throughout the implementation </w:t>
      </w:r>
      <w:r w:rsidR="00B32AF8">
        <w:t>of the MRS</w:t>
      </w:r>
      <w:r w:rsidR="00F1051F">
        <w:t xml:space="preserve">. </w:t>
      </w:r>
    </w:p>
    <w:p w14:paraId="30B5BC22" w14:textId="77777777" w:rsidR="00653CEB" w:rsidRDefault="00653CEB" w:rsidP="00653CEB">
      <w:pPr>
        <w:ind w:left="720"/>
      </w:pPr>
    </w:p>
    <w:p w14:paraId="4BDE9FD5" w14:textId="5FD16D37" w:rsidR="00653CEB" w:rsidRPr="00372ED4" w:rsidRDefault="00653CEB" w:rsidP="00653CEB">
      <w:pPr>
        <w:ind w:left="720"/>
      </w:pPr>
      <w:r w:rsidRPr="00B217F7">
        <w:t xml:space="preserve">Pilot testing of the </w:t>
      </w:r>
      <w:r>
        <w:t xml:space="preserve">Work Plan </w:t>
      </w:r>
      <w:r w:rsidR="00B32AF8">
        <w:t xml:space="preserve">and Program Report Tools </w:t>
      </w:r>
      <w:r>
        <w:t xml:space="preserve">with </w:t>
      </w:r>
      <w:r w:rsidR="00FD6437">
        <w:t>nine</w:t>
      </w:r>
      <w:r w:rsidRPr="00B217F7">
        <w:t xml:space="preserve"> awardees from select states and CDC program staff </w:t>
      </w:r>
      <w:r w:rsidR="00B32AF8">
        <w:t xml:space="preserve">was completed. The tools were sent with instructions to provide </w:t>
      </w:r>
      <w:r w:rsidR="0012343D">
        <w:t>feedback</w:t>
      </w:r>
      <w:r w:rsidR="00B32AF8">
        <w:t xml:space="preserve"> about content, design, relevance, and usability of the tools. </w:t>
      </w:r>
      <w:r w:rsidR="00FD6437">
        <w:t xml:space="preserve">Comments were extracted and information inputted were reviewed. Follow up interviews were conducted with eight of the nine awardees to clarify feedback and obtain suggestions to improve the tools. </w:t>
      </w:r>
      <w:r w:rsidR="00D12DFA">
        <w:t xml:space="preserve">A thematic analysis </w:t>
      </w:r>
      <w:r w:rsidR="0074438E">
        <w:t xml:space="preserve">was </w:t>
      </w:r>
      <w:r w:rsidR="00D12DFA">
        <w:t xml:space="preserve">conducted across all feedback and the findings were used to modify order of question items, reword questions, modify instructions to be clearer, and modify design to allow flexibility for respondents to add additional items. The tools were revised to accommodate the wide variety in which awardees structure and track RPE funding and activities. </w:t>
      </w:r>
      <w:r w:rsidR="00BA6508">
        <w:t xml:space="preserve">Awardees also documented the amount of time it took them to complete the tools.  </w:t>
      </w:r>
      <w:r w:rsidR="00372ED4">
        <w:t xml:space="preserve">The revised tools allow for adding additional objectives to accommodate awardees in larger state and those with larger range. The </w:t>
      </w:r>
      <w:r w:rsidR="00532865">
        <w:t>revisions</w:t>
      </w:r>
      <w:r w:rsidR="00372ED4">
        <w:t xml:space="preserve"> also</w:t>
      </w:r>
      <w:r w:rsidR="00D54424">
        <w:t xml:space="preserve"> </w:t>
      </w:r>
      <w:r w:rsidR="00532865">
        <w:t xml:space="preserve">reduce duplication of information for the same prevention strategies implemented in different settings. </w:t>
      </w:r>
    </w:p>
    <w:p w14:paraId="0B48C8B3" w14:textId="77777777" w:rsidR="00A536AE" w:rsidRPr="00B217F7" w:rsidRDefault="00A536AE" w:rsidP="00653CEB">
      <w:pPr>
        <w:ind w:left="720"/>
      </w:pPr>
    </w:p>
    <w:p w14:paraId="24B4EC6C" w14:textId="77777777" w:rsidR="00653CEB" w:rsidRPr="0085100A" w:rsidRDefault="00653CEB" w:rsidP="000A7ED7">
      <w:pPr>
        <w:ind w:left="720"/>
      </w:pPr>
    </w:p>
    <w:p w14:paraId="58D8334C" w14:textId="682872B1" w:rsidR="00972DEF" w:rsidRPr="0085100A" w:rsidRDefault="00972DEF" w:rsidP="003E336A">
      <w:pPr>
        <w:pStyle w:val="Heading2"/>
      </w:pPr>
      <w:bookmarkStart w:id="11" w:name="_Toc447176430"/>
      <w:r w:rsidRPr="0085100A">
        <w:t>A.9.</w:t>
      </w:r>
      <w:r w:rsidR="00951E8B">
        <w:tab/>
      </w:r>
      <w:r w:rsidRPr="0085100A">
        <w:t>Explanation of Any Payment or Gift to Respondents</w:t>
      </w:r>
      <w:bookmarkEnd w:id="11"/>
      <w:r w:rsidRPr="0085100A">
        <w:t xml:space="preserve"> </w:t>
      </w:r>
    </w:p>
    <w:p w14:paraId="58D8334D" w14:textId="77777777" w:rsidR="00972DEF" w:rsidRPr="0085100A" w:rsidRDefault="00972DEF" w:rsidP="00972DEF">
      <w:pPr>
        <w:autoSpaceDE w:val="0"/>
        <w:autoSpaceDN w:val="0"/>
        <w:adjustRightInd w:val="0"/>
        <w:rPr>
          <w:b/>
          <w:bCs/>
        </w:rPr>
      </w:pPr>
    </w:p>
    <w:p w14:paraId="514ACF4B" w14:textId="77777777" w:rsidR="00CD1646" w:rsidRDefault="00CD1646" w:rsidP="00CD1646">
      <w:r w:rsidRPr="0085100A">
        <w:t xml:space="preserve">Respondents will not receive payments or gifts for providing information.  </w:t>
      </w:r>
    </w:p>
    <w:p w14:paraId="0248273D" w14:textId="77777777" w:rsidR="00A536AE" w:rsidRDefault="00A536AE" w:rsidP="00CD1646"/>
    <w:p w14:paraId="63E88849" w14:textId="77777777" w:rsidR="00EB460D" w:rsidRPr="0085100A" w:rsidRDefault="00EB460D" w:rsidP="00CD1646"/>
    <w:p w14:paraId="75EB5EA3" w14:textId="77777777" w:rsidR="00CB626A" w:rsidRDefault="00972DEF" w:rsidP="00CB626A">
      <w:pPr>
        <w:pStyle w:val="Heading2"/>
      </w:pPr>
      <w:bookmarkStart w:id="12" w:name="_Toc447176431"/>
      <w:r w:rsidRPr="0085100A">
        <w:t>A.10.</w:t>
      </w:r>
      <w:r w:rsidR="00951E8B">
        <w:tab/>
      </w:r>
      <w:r w:rsidR="00CB626A">
        <w:t>Protection of the privacy and confidentiality of information provided to respondents</w:t>
      </w:r>
    </w:p>
    <w:bookmarkEnd w:id="12"/>
    <w:p w14:paraId="58D83350" w14:textId="77777777" w:rsidR="008A1A86" w:rsidRPr="0085100A" w:rsidRDefault="008A1A86" w:rsidP="00CB626A">
      <w:pPr>
        <w:pStyle w:val="Heading2"/>
      </w:pPr>
    </w:p>
    <w:p w14:paraId="0CE0FA73" w14:textId="5853DC25" w:rsidR="008E45C5" w:rsidRDefault="00FF0474" w:rsidP="000A7ED7">
      <w:r w:rsidRPr="005D202F">
        <w:t xml:space="preserve">The CDC Office of the Chief Information Officer </w:t>
      </w:r>
      <w:r w:rsidR="000A7ED7" w:rsidRPr="0085100A">
        <w:t xml:space="preserve">has determined that the Privacy Act does not apply </w:t>
      </w:r>
      <w:r w:rsidR="001418B2" w:rsidRPr="0085100A">
        <w:t>to</w:t>
      </w:r>
      <w:r w:rsidR="000A7ED7" w:rsidRPr="0085100A">
        <w:t xml:space="preserve"> this information collection request. Respondents are </w:t>
      </w:r>
      <w:r w:rsidR="004D2986">
        <w:t xml:space="preserve">RPE </w:t>
      </w:r>
      <w:r w:rsidR="000A7ED7" w:rsidRPr="0085100A">
        <w:t>cooperative agreement awardees</w:t>
      </w:r>
      <w:r w:rsidR="001418B2" w:rsidRPr="0085100A">
        <w:t xml:space="preserve"> (i.e., state and territorial health departments)</w:t>
      </w:r>
      <w:r w:rsidR="00C232F0">
        <w:t xml:space="preserve"> or their designated personnel.</w:t>
      </w:r>
      <w:r w:rsidR="000A7ED7" w:rsidRPr="0085100A">
        <w:t xml:space="preserve">  No </w:t>
      </w:r>
      <w:r w:rsidR="008E45C5" w:rsidRPr="008E45C5">
        <w:t>sensitive information</w:t>
      </w:r>
      <w:r w:rsidR="008E45C5" w:rsidRPr="0085100A">
        <w:t xml:space="preserve"> </w:t>
      </w:r>
      <w:r w:rsidR="008E45C5">
        <w:t xml:space="preserve">or </w:t>
      </w:r>
      <w:r w:rsidR="000A7ED7" w:rsidRPr="0085100A">
        <w:t>personal contact information will be collected</w:t>
      </w:r>
      <w:r w:rsidR="008E45C5" w:rsidRPr="008E45C5">
        <w:t xml:space="preserve">. </w:t>
      </w:r>
      <w:r w:rsidR="008E45C5">
        <w:t>O</w:t>
      </w:r>
      <w:r w:rsidR="008E45C5" w:rsidRPr="008E45C5">
        <w:t xml:space="preserve">nly names of the organizations for whom the RPE awardees provide sub-awards will be collected. </w:t>
      </w:r>
    </w:p>
    <w:p w14:paraId="6E211073" w14:textId="77777777" w:rsidR="002D28D8" w:rsidRDefault="002D28D8" w:rsidP="000A7ED7"/>
    <w:p w14:paraId="10B7FF2C" w14:textId="74F5DB92" w:rsidR="003833F5" w:rsidRDefault="00A96792" w:rsidP="003833F5">
      <w:r w:rsidRPr="006365A6">
        <w:rPr>
          <w:color w:val="000000"/>
        </w:rPr>
        <w:t>Data will be kept through the end of the RPE funding period January 2019 plus two additional years for analysis purposes. All data will be discarded in January 2021.</w:t>
      </w:r>
      <w:r>
        <w:rPr>
          <w:color w:val="000000"/>
        </w:rPr>
        <w:t xml:space="preserve"> </w:t>
      </w:r>
      <w:r w:rsidR="004B573C">
        <w:t>D</w:t>
      </w:r>
      <w:r w:rsidR="000A7ED7" w:rsidRPr="0085100A">
        <w:t xml:space="preserve">ata </w:t>
      </w:r>
      <w:r w:rsidR="004B573C">
        <w:t xml:space="preserve">will be </w:t>
      </w:r>
      <w:r w:rsidR="000A7ED7" w:rsidRPr="0085100A">
        <w:t>maintained in a secure, password protected system, and information will be reported in aggregate form</w:t>
      </w:r>
      <w:r w:rsidR="004B573C">
        <w:t xml:space="preserve">. </w:t>
      </w:r>
      <w:r w:rsidR="003833F5" w:rsidRPr="0085100A">
        <w:t xml:space="preserve">All data will be reported in aggregate form, with no identifying information included.  </w:t>
      </w:r>
      <w:r w:rsidR="004B573C">
        <w:t xml:space="preserve">Awardees or their </w:t>
      </w:r>
      <w:r w:rsidR="00F65688">
        <w:t xml:space="preserve">designee </w:t>
      </w:r>
      <w:r w:rsidR="000A7ED7" w:rsidRPr="0085100A">
        <w:t xml:space="preserve">will provide </w:t>
      </w:r>
      <w:r w:rsidR="00F65688">
        <w:t xml:space="preserve">programmatic </w:t>
      </w:r>
      <w:r w:rsidR="000A7ED7" w:rsidRPr="0085100A">
        <w:t>information</w:t>
      </w:r>
      <w:r w:rsidR="00153EB1">
        <w:t xml:space="preserve">. </w:t>
      </w:r>
      <w:r w:rsidR="000A7ED7" w:rsidRPr="0085100A">
        <w:t xml:space="preserve"> The information collection does not require consent from individuals. All procedures have been developed, in accordance with federal, state, and local guidelines, to ensure that the rights and privacy of key awardees’ program staff (e.g. program director) will be protected and maintained</w:t>
      </w:r>
      <w:r w:rsidR="00E15041">
        <w:t>.</w:t>
      </w:r>
      <w:r w:rsidR="00CD75C2">
        <w:t xml:space="preserve"> </w:t>
      </w:r>
      <w:r w:rsidR="000A7ED7" w:rsidRPr="0085100A">
        <w:t xml:space="preserve">While consent is not required to report aggregate data, awardee approval will be obtained if specific data </w:t>
      </w:r>
      <w:r w:rsidR="00191015" w:rsidRPr="0085100A">
        <w:t>are</w:t>
      </w:r>
      <w:r w:rsidR="000A7ED7" w:rsidRPr="0085100A">
        <w:t xml:space="preserve"> used for publications, reports, or other publicly disseminated information.</w:t>
      </w:r>
      <w:r w:rsidR="003833F5">
        <w:t xml:space="preserve"> </w:t>
      </w:r>
    </w:p>
    <w:p w14:paraId="0AD12A71" w14:textId="77777777" w:rsidR="003833F5" w:rsidRDefault="003833F5" w:rsidP="000A7ED7">
      <w:pPr>
        <w:tabs>
          <w:tab w:val="left" w:pos="810"/>
        </w:tabs>
      </w:pPr>
    </w:p>
    <w:p w14:paraId="0E200249" w14:textId="20959021" w:rsidR="000A7ED7" w:rsidRPr="0085100A" w:rsidRDefault="000A7ED7" w:rsidP="003833F5">
      <w:pPr>
        <w:tabs>
          <w:tab w:val="left" w:pos="810"/>
        </w:tabs>
      </w:pPr>
      <w:r w:rsidRPr="0085100A">
        <w:t xml:space="preserve">No system of records will be created under the Privacy Act. Submission and access to data will be controlled by a password-protected login to the secure site. </w:t>
      </w:r>
      <w:r w:rsidR="003833F5" w:rsidRPr="002D28D8">
        <w:t xml:space="preserve">Access to data will be controlled by a password-protected Microsoft Access database. Access levels vary from read-only to read-write, based on the user’s role and needs. Each awardee will have access to viewing its own information in pre-determined reports, which they can share with designated program staff </w:t>
      </w:r>
      <w:r w:rsidR="003833F5">
        <w:t>and designees</w:t>
      </w:r>
      <w:r w:rsidR="003833F5" w:rsidRPr="002D28D8">
        <w:t xml:space="preserve">. The extent to which local partners may access an awardee’s information will be decided by that awardee. CDC will have varying levels of access to the system with role-appropriate security training, based on the requirements of their position(s).  </w:t>
      </w:r>
      <w:r w:rsidRPr="0085100A">
        <w:t xml:space="preserve">Aggregated information will be stored on an internal CDC Access server subject to CDC’s information security guidelines.  </w:t>
      </w:r>
    </w:p>
    <w:p w14:paraId="6110E763" w14:textId="77777777" w:rsidR="000A7ED7" w:rsidRPr="0085100A" w:rsidRDefault="000A7ED7" w:rsidP="00CD1646"/>
    <w:p w14:paraId="6089BB2C" w14:textId="77777777" w:rsidR="000A7ED7" w:rsidRPr="0085100A" w:rsidRDefault="000A7ED7" w:rsidP="00CD1646"/>
    <w:p w14:paraId="2A7EC463" w14:textId="5A1F30F1" w:rsidR="002F4E6F" w:rsidRPr="003E336A" w:rsidRDefault="002F4E6F" w:rsidP="003E336A">
      <w:pPr>
        <w:pStyle w:val="Heading2"/>
      </w:pPr>
      <w:bookmarkStart w:id="13" w:name="_Toc447176432"/>
      <w:r w:rsidRPr="003E336A">
        <w:t>A.11.</w:t>
      </w:r>
      <w:r w:rsidR="003E336A" w:rsidRPr="003E336A">
        <w:tab/>
      </w:r>
      <w:r w:rsidRPr="003E336A">
        <w:t>Institutional Review Board (IRB) and Justification for Sensitive Questions</w:t>
      </w:r>
      <w:bookmarkEnd w:id="13"/>
      <w:r w:rsidRPr="003E336A">
        <w:t xml:space="preserve"> </w:t>
      </w:r>
    </w:p>
    <w:p w14:paraId="5C40D39E" w14:textId="77777777" w:rsidR="002F4E6F" w:rsidRPr="0085100A" w:rsidRDefault="002F4E6F" w:rsidP="002F4E6F">
      <w:pPr>
        <w:rPr>
          <w:b/>
          <w:bCs/>
        </w:rPr>
      </w:pPr>
    </w:p>
    <w:p w14:paraId="491BD13E" w14:textId="0044A7C0" w:rsidR="002F4E6F" w:rsidRPr="003E336A" w:rsidRDefault="002F4E6F" w:rsidP="00425A89">
      <w:pPr>
        <w:pStyle w:val="Heading3"/>
      </w:pPr>
      <w:bookmarkStart w:id="14" w:name="_Toc447176433"/>
      <w:r w:rsidRPr="003E336A">
        <w:t>IRB Approval</w:t>
      </w:r>
      <w:bookmarkEnd w:id="14"/>
    </w:p>
    <w:p w14:paraId="4B37042D" w14:textId="77777777" w:rsidR="002F4E6F" w:rsidRPr="0085100A" w:rsidRDefault="002F4E6F" w:rsidP="002F4E6F">
      <w:pPr>
        <w:rPr>
          <w:u w:val="single"/>
        </w:rPr>
      </w:pPr>
    </w:p>
    <w:p w14:paraId="18A80539" w14:textId="35E9E277" w:rsidR="002F4E6F" w:rsidRPr="0085100A" w:rsidRDefault="002F4E6F" w:rsidP="002F4E6F">
      <w:r w:rsidRPr="0085100A">
        <w:t xml:space="preserve">The CDC National Center for Injury Prevention and Control’s OMB and human subject </w:t>
      </w:r>
      <w:r w:rsidR="009C60B0">
        <w:t xml:space="preserve">research officer </w:t>
      </w:r>
      <w:r w:rsidRPr="0085100A">
        <w:t>has determined that IRB approval is not</w:t>
      </w:r>
      <w:r w:rsidR="00FF0474">
        <w:t xml:space="preserve"> </w:t>
      </w:r>
      <w:r w:rsidRPr="0085100A">
        <w:t>needed</w:t>
      </w:r>
      <w:r w:rsidR="009C60B0">
        <w:t xml:space="preserve"> </w:t>
      </w:r>
      <w:r w:rsidRPr="0085100A">
        <w:t>(Att</w:t>
      </w:r>
      <w:r w:rsidR="009D6181">
        <w:t>achment</w:t>
      </w:r>
      <w:r w:rsidRPr="0085100A">
        <w:t xml:space="preserve"> </w:t>
      </w:r>
      <w:r w:rsidR="00E15041">
        <w:t>5</w:t>
      </w:r>
      <w:r w:rsidRPr="0085100A">
        <w:t>)</w:t>
      </w:r>
      <w:r w:rsidR="00613960">
        <w:t>.</w:t>
      </w:r>
    </w:p>
    <w:p w14:paraId="00DD0B24" w14:textId="77777777" w:rsidR="002F4E6F" w:rsidRDefault="002F4E6F" w:rsidP="002F4E6F"/>
    <w:p w14:paraId="33A56514" w14:textId="77777777" w:rsidR="00FA3F78" w:rsidRPr="0085100A" w:rsidRDefault="00FA3F78" w:rsidP="002F4E6F"/>
    <w:p w14:paraId="3B0116BB" w14:textId="33CDA34E" w:rsidR="002F4E6F" w:rsidRPr="0085100A" w:rsidRDefault="002F4E6F" w:rsidP="003E336A">
      <w:pPr>
        <w:pStyle w:val="Heading3"/>
      </w:pPr>
      <w:bookmarkStart w:id="15" w:name="_Toc447176434"/>
      <w:r w:rsidRPr="0085100A">
        <w:t>Sensitive Questions</w:t>
      </w:r>
      <w:bookmarkEnd w:id="15"/>
      <w:r w:rsidRPr="0085100A">
        <w:tab/>
      </w:r>
    </w:p>
    <w:p w14:paraId="33D1D5AF" w14:textId="77777777" w:rsidR="002F4E6F" w:rsidRPr="0085100A" w:rsidRDefault="002F4E6F" w:rsidP="002F4E6F">
      <w:pPr>
        <w:rPr>
          <w:bCs/>
        </w:rPr>
      </w:pPr>
    </w:p>
    <w:p w14:paraId="49918117" w14:textId="77777777" w:rsidR="00EB460D" w:rsidRDefault="002F4E6F" w:rsidP="00EB460D">
      <w:pPr>
        <w:rPr>
          <w:b/>
          <w:bCs/>
        </w:rPr>
      </w:pPr>
      <w:r w:rsidRPr="0085100A">
        <w:rPr>
          <w:bCs/>
        </w:rPr>
        <w:t xml:space="preserve">The proposed tools do not collect sensitive information. </w:t>
      </w:r>
    </w:p>
    <w:p w14:paraId="48D1BFB3" w14:textId="77777777" w:rsidR="00EB460D" w:rsidRDefault="00EB460D" w:rsidP="00EB460D">
      <w:pPr>
        <w:rPr>
          <w:b/>
          <w:bCs/>
        </w:rPr>
      </w:pPr>
    </w:p>
    <w:p w14:paraId="31B41078" w14:textId="77777777" w:rsidR="00EB460D" w:rsidRDefault="00EB460D" w:rsidP="00EB460D">
      <w:pPr>
        <w:rPr>
          <w:b/>
          <w:bCs/>
        </w:rPr>
      </w:pPr>
    </w:p>
    <w:p w14:paraId="58D83369" w14:textId="13ABFAB5" w:rsidR="00972DEF" w:rsidRPr="0085100A" w:rsidRDefault="00972DEF" w:rsidP="003E336A">
      <w:pPr>
        <w:pStyle w:val="Heading2"/>
      </w:pPr>
      <w:bookmarkStart w:id="16" w:name="_Toc447176435"/>
      <w:r w:rsidRPr="0085100A">
        <w:t>A.12.</w:t>
      </w:r>
      <w:r w:rsidR="003E336A">
        <w:tab/>
      </w:r>
      <w:r w:rsidRPr="0085100A">
        <w:t>Estimates of Annualized Burden Hours and Costs</w:t>
      </w:r>
      <w:bookmarkEnd w:id="16"/>
      <w:r w:rsidRPr="0085100A">
        <w:t xml:space="preserve"> </w:t>
      </w:r>
    </w:p>
    <w:p w14:paraId="4114A231" w14:textId="77777777" w:rsidR="002B359E" w:rsidRPr="0085100A" w:rsidRDefault="002B359E" w:rsidP="002B359E"/>
    <w:p w14:paraId="3F027485" w14:textId="418F3F5A" w:rsidR="0009462C" w:rsidRDefault="0009462C" w:rsidP="0009462C">
      <w:r w:rsidRPr="0085100A">
        <w:t xml:space="preserve">Respondents will be the </w:t>
      </w:r>
      <w:r w:rsidR="004A1EEC" w:rsidRPr="0085100A">
        <w:t>55</w:t>
      </w:r>
      <w:r w:rsidRPr="0085100A">
        <w:t xml:space="preserve"> awardees </w:t>
      </w:r>
      <w:r w:rsidR="00FD66C4">
        <w:t>(State</w:t>
      </w:r>
      <w:r w:rsidR="00FD66C4" w:rsidRPr="00FD66C4">
        <w:t xml:space="preserve">, District of Columbia, and Territorial Health </w:t>
      </w:r>
      <w:r w:rsidR="00FD66C4">
        <w:t xml:space="preserve">department) </w:t>
      </w:r>
      <w:r w:rsidR="00647D43">
        <w:t xml:space="preserve">or their designees </w:t>
      </w:r>
      <w:r w:rsidR="00A27947">
        <w:t>of</w:t>
      </w:r>
      <w:r w:rsidRPr="0085100A">
        <w:t xml:space="preserve"> the </w:t>
      </w:r>
      <w:r w:rsidR="004A1EEC" w:rsidRPr="0085100A">
        <w:t xml:space="preserve">RPE </w:t>
      </w:r>
      <w:r w:rsidR="00A27947">
        <w:t xml:space="preserve">Program </w:t>
      </w:r>
      <w:r w:rsidRPr="0085100A">
        <w:t>cooperative agreement.</w:t>
      </w:r>
      <w:r w:rsidR="00FD66C4">
        <w:t xml:space="preserve"> </w:t>
      </w:r>
      <w:r w:rsidRPr="0085100A">
        <w:t xml:space="preserve">Respondents will report information to CDC about their </w:t>
      </w:r>
      <w:r w:rsidR="00075AA8">
        <w:t xml:space="preserve">progress, </w:t>
      </w:r>
      <w:r w:rsidR="00075AA8" w:rsidRPr="00075AA8">
        <w:t>implementation</w:t>
      </w:r>
      <w:r w:rsidR="00075AA8">
        <w:t>,</w:t>
      </w:r>
      <w:r w:rsidR="00075AA8" w:rsidRPr="00075AA8">
        <w:t xml:space="preserve"> and performance</w:t>
      </w:r>
      <w:r w:rsidR="00913DCF">
        <w:t xml:space="preserve"> using the MRS</w:t>
      </w:r>
      <w:r w:rsidR="00647D43">
        <w:t xml:space="preserve"> tools</w:t>
      </w:r>
      <w:r w:rsidR="00D94C4A">
        <w:t xml:space="preserve"> once per year (or annually)</w:t>
      </w:r>
      <w:r w:rsidR="004A1EEC" w:rsidRPr="0085100A">
        <w:t>.</w:t>
      </w:r>
      <w:r w:rsidR="00702447">
        <w:t xml:space="preserve"> Due to varying structures of their programs, some awardees may delegate a designee to complete information on their behalf. </w:t>
      </w:r>
      <w:r w:rsidR="00913DCF" w:rsidRPr="0085100A">
        <w:t>Two Excel-based information collection tools</w:t>
      </w:r>
      <w:r w:rsidR="00913DCF">
        <w:t xml:space="preserve"> will be used: </w:t>
      </w:r>
      <w:r w:rsidR="00FD1DE0" w:rsidRPr="0085100A">
        <w:rPr>
          <w:b/>
          <w:i/>
          <w:color w:val="000000" w:themeColor="text1"/>
        </w:rPr>
        <w:t>Work Plan Tool</w:t>
      </w:r>
      <w:r w:rsidR="00FD1DE0">
        <w:rPr>
          <w:color w:val="000000" w:themeColor="text1"/>
        </w:rPr>
        <w:t xml:space="preserve"> </w:t>
      </w:r>
      <w:r w:rsidR="00FD1DE0" w:rsidRPr="0085100A">
        <w:rPr>
          <w:color w:val="000000" w:themeColor="text1"/>
        </w:rPr>
        <w:t xml:space="preserve">(Attachment </w:t>
      </w:r>
      <w:r w:rsidR="00FD1DE0">
        <w:rPr>
          <w:color w:val="000000" w:themeColor="text1"/>
        </w:rPr>
        <w:t>3a–3b</w:t>
      </w:r>
      <w:r w:rsidR="00FD1DE0" w:rsidRPr="0085100A">
        <w:rPr>
          <w:color w:val="000000" w:themeColor="text1"/>
        </w:rPr>
        <w:t>)</w:t>
      </w:r>
      <w:r w:rsidR="00FD1DE0">
        <w:rPr>
          <w:color w:val="000000" w:themeColor="text1"/>
        </w:rPr>
        <w:t xml:space="preserve"> and </w:t>
      </w:r>
      <w:r w:rsidR="00FD1DE0" w:rsidRPr="0085100A">
        <w:rPr>
          <w:b/>
          <w:i/>
          <w:color w:val="000000" w:themeColor="text1"/>
        </w:rPr>
        <w:t>Program Report Tool</w:t>
      </w:r>
      <w:r w:rsidR="00FD1DE0" w:rsidRPr="0085100A">
        <w:rPr>
          <w:color w:val="000000" w:themeColor="text1"/>
        </w:rPr>
        <w:t xml:space="preserve"> (Attachment </w:t>
      </w:r>
      <w:r w:rsidR="00FD1DE0">
        <w:rPr>
          <w:color w:val="000000" w:themeColor="text1"/>
        </w:rPr>
        <w:t>4a–4b</w:t>
      </w:r>
      <w:r w:rsidR="00FD1DE0" w:rsidRPr="0085100A">
        <w:rPr>
          <w:color w:val="000000" w:themeColor="text1"/>
        </w:rPr>
        <w:t>)</w:t>
      </w:r>
      <w:r w:rsidR="00913DCF">
        <w:rPr>
          <w:color w:val="000000" w:themeColor="text1"/>
        </w:rPr>
        <w:t xml:space="preserve">. </w:t>
      </w:r>
      <w:r w:rsidRPr="0085100A">
        <w:t>The same instruments will be used for all</w:t>
      </w:r>
      <w:r w:rsidR="009254D7">
        <w:t xml:space="preserve"> annual</w:t>
      </w:r>
      <w:r w:rsidRPr="0085100A">
        <w:t xml:space="preserve"> information collection and reporting.  </w:t>
      </w:r>
      <w:r w:rsidR="009254D7">
        <w:t>Because awardees do not need to reenter information for subsequent year and only need t</w:t>
      </w:r>
      <w:r w:rsidR="005A2729">
        <w:t xml:space="preserve">o modify or update their information, the burden estimates for each information collection tool vary for initial and subsequent years. </w:t>
      </w:r>
      <w:r w:rsidR="009E37E2">
        <w:t xml:space="preserve"> </w:t>
      </w:r>
      <w:r w:rsidRPr="0085100A">
        <w:t xml:space="preserve">The time commitments for data collection, entry, and training will be greatest during the </w:t>
      </w:r>
      <w:r w:rsidR="00707C2C" w:rsidRPr="0085100A">
        <w:t xml:space="preserve">initial </w:t>
      </w:r>
      <w:r w:rsidR="009E37E2">
        <w:t>reporting</w:t>
      </w:r>
      <w:r w:rsidR="00647D43">
        <w:t xml:space="preserve">. </w:t>
      </w:r>
      <w:r w:rsidR="009E37E2">
        <w:t>I</w:t>
      </w:r>
      <w:r w:rsidRPr="0085100A">
        <w:t xml:space="preserve">n subsequent reporting years, burden is limited to entering changes, </w:t>
      </w:r>
      <w:r w:rsidR="009E37E2">
        <w:t xml:space="preserve">providing </w:t>
      </w:r>
      <w:r w:rsidRPr="0085100A">
        <w:t xml:space="preserve">progress information, and </w:t>
      </w:r>
      <w:r w:rsidR="009E37E2">
        <w:t xml:space="preserve">adding </w:t>
      </w:r>
      <w:r w:rsidRPr="0085100A">
        <w:t>new activities</w:t>
      </w:r>
      <w:r w:rsidR="00647D43">
        <w:t xml:space="preserve"> as th</w:t>
      </w:r>
      <w:r w:rsidR="009E37E2">
        <w:t xml:space="preserve">ey would not have to reenter information.  </w:t>
      </w:r>
    </w:p>
    <w:p w14:paraId="5C3CE795" w14:textId="77777777" w:rsidR="0009462C" w:rsidRPr="0085100A" w:rsidRDefault="0009462C" w:rsidP="0009462C"/>
    <w:p w14:paraId="4B4B5313" w14:textId="45139D41" w:rsidR="00F66020" w:rsidRDefault="00C06F04" w:rsidP="0009462C">
      <w:r>
        <w:t>The initial population of the tools occur only during the first</w:t>
      </w:r>
      <w:r w:rsidR="00F66020">
        <w:t xml:space="preserve"> year of information collection for all 55 awardees. </w:t>
      </w:r>
      <w:r w:rsidR="00F66020">
        <w:t xml:space="preserve">Estimated burden for the one-time </w:t>
      </w:r>
      <w:r w:rsidR="00F66020">
        <w:t xml:space="preserve">initial </w:t>
      </w:r>
      <w:r w:rsidR="00F66020">
        <w:t xml:space="preserve">population of </w:t>
      </w:r>
      <w:r w:rsidR="00F66020">
        <w:t xml:space="preserve">the Work Plan Tool is ten hours, </w:t>
      </w:r>
      <w:r w:rsidR="00F66020">
        <w:t xml:space="preserve">and will be annualized over the 3-year clearance period.  Estimated burden for the one-time initial population of the </w:t>
      </w:r>
      <w:r w:rsidR="00F66020">
        <w:t xml:space="preserve">Program Report </w:t>
      </w:r>
      <w:r w:rsidR="00F66020">
        <w:t xml:space="preserve">Tool is </w:t>
      </w:r>
      <w:r w:rsidR="00F66020">
        <w:t>eight</w:t>
      </w:r>
      <w:r w:rsidR="00F66020">
        <w:t xml:space="preserve"> hours, and will be annualized over the 3-year clearance period.  </w:t>
      </w:r>
      <w:r w:rsidR="00F66020">
        <w:t>These estimate is based on the pilot test and includes the time it took to becoming familiar with, interfacing with and entering information into the system.</w:t>
      </w:r>
    </w:p>
    <w:p w14:paraId="68FF5457" w14:textId="77777777" w:rsidR="00F66020" w:rsidRDefault="00F66020" w:rsidP="0009462C"/>
    <w:p w14:paraId="6A04E4B0" w14:textId="0C27EC6A" w:rsidR="0009462C" w:rsidRPr="0085100A" w:rsidRDefault="00EC087D" w:rsidP="0009462C">
      <w:r>
        <w:t xml:space="preserve">For the </w:t>
      </w:r>
      <w:r w:rsidR="007E21DE">
        <w:t>annual reporting after initial population</w:t>
      </w:r>
      <w:r>
        <w:t>, the burden estimates are lower and</w:t>
      </w:r>
      <w:r w:rsidR="00C863C1">
        <w:t xml:space="preserve"> </w:t>
      </w:r>
      <w:r w:rsidR="00422B47">
        <w:t>are the</w:t>
      </w:r>
      <w:r>
        <w:t xml:space="preserve"> </w:t>
      </w:r>
      <w:r w:rsidR="00422B47">
        <w:t>three hours for each response for each tool</w:t>
      </w:r>
      <w:r>
        <w:t xml:space="preserve">. </w:t>
      </w:r>
      <w:r w:rsidR="00A341D6">
        <w:t xml:space="preserve"> </w:t>
      </w:r>
      <w:r w:rsidR="00EB4AAE">
        <w:t>T</w:t>
      </w:r>
      <w:r w:rsidR="0009462C" w:rsidRPr="0085100A">
        <w:t xml:space="preserve">he </w:t>
      </w:r>
      <w:r w:rsidR="00183A15">
        <w:t xml:space="preserve">total </w:t>
      </w:r>
      <w:r w:rsidR="00FD66C4" w:rsidRPr="0085100A">
        <w:t xml:space="preserve">estimated </w:t>
      </w:r>
      <w:r w:rsidR="00FD66C4">
        <w:t>annualized</w:t>
      </w:r>
      <w:r w:rsidR="00FD66C4" w:rsidRPr="0085100A">
        <w:t xml:space="preserve"> </w:t>
      </w:r>
      <w:r w:rsidR="0009462C" w:rsidRPr="0085100A">
        <w:t xml:space="preserve">burden </w:t>
      </w:r>
      <w:r w:rsidR="00FD66C4">
        <w:t xml:space="preserve">hours </w:t>
      </w:r>
      <w:r w:rsidR="0009462C" w:rsidRPr="0085100A">
        <w:t xml:space="preserve">is </w:t>
      </w:r>
      <w:r w:rsidR="00EC0F51">
        <w:t>654</w:t>
      </w:r>
      <w:r w:rsidR="00651F62">
        <w:t xml:space="preserve"> </w:t>
      </w:r>
      <w:r w:rsidR="008F1D2A">
        <w:t>hours per year</w:t>
      </w:r>
      <w:r w:rsidR="0009462C" w:rsidRPr="0085100A">
        <w:t>, as summarized in Table A.12-A.</w:t>
      </w:r>
    </w:p>
    <w:p w14:paraId="52C0567C" w14:textId="77777777" w:rsidR="00074E7A" w:rsidRDefault="00074E7A"/>
    <w:p w14:paraId="37C2BCFF" w14:textId="77777777" w:rsidR="00074E7A" w:rsidRDefault="00074E7A"/>
    <w:p w14:paraId="1A740C55" w14:textId="77777777" w:rsidR="00823664" w:rsidRDefault="00823664"/>
    <w:p w14:paraId="6E596B89" w14:textId="72A56696" w:rsidR="002B359E" w:rsidRPr="0085100A" w:rsidRDefault="002B359E" w:rsidP="002B359E">
      <w:r w:rsidRPr="0085100A">
        <w:t>Table</w:t>
      </w:r>
      <w:r w:rsidR="00C71389" w:rsidRPr="0085100A">
        <w:t xml:space="preserve"> A.12-A</w:t>
      </w:r>
      <w:r w:rsidR="0029410B" w:rsidRPr="0085100A">
        <w:t>.</w:t>
      </w:r>
      <w:r w:rsidRPr="0085100A">
        <w:t xml:space="preserve">  Estimated Annualized Burden </w:t>
      </w:r>
      <w:r w:rsidR="0029410B" w:rsidRPr="0085100A">
        <w:t>Hours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6"/>
        <w:gridCol w:w="2323"/>
        <w:gridCol w:w="1363"/>
        <w:gridCol w:w="1578"/>
        <w:gridCol w:w="1359"/>
        <w:gridCol w:w="1021"/>
      </w:tblGrid>
      <w:tr w:rsidR="0029410B" w:rsidRPr="0085100A" w14:paraId="7B5259FF" w14:textId="77777777" w:rsidTr="00992745">
        <w:trPr>
          <w:trHeight w:val="1116"/>
        </w:trPr>
        <w:tc>
          <w:tcPr>
            <w:tcW w:w="912" w:type="pct"/>
            <w:shd w:val="clear" w:color="auto" w:fill="auto"/>
          </w:tcPr>
          <w:p w14:paraId="777F6B51" w14:textId="77777777" w:rsidR="002B359E" w:rsidRPr="0085100A" w:rsidRDefault="002B359E" w:rsidP="00726D01">
            <w:pPr>
              <w:jc w:val="center"/>
            </w:pPr>
            <w:r w:rsidRPr="0085100A">
              <w:t>Type of respondents</w:t>
            </w:r>
          </w:p>
        </w:tc>
        <w:tc>
          <w:tcPr>
            <w:tcW w:w="1242" w:type="pct"/>
            <w:shd w:val="clear" w:color="auto" w:fill="auto"/>
          </w:tcPr>
          <w:p w14:paraId="6E44E8B3" w14:textId="77777777" w:rsidR="002B359E" w:rsidRPr="0085100A" w:rsidRDefault="002B359E" w:rsidP="00976365">
            <w:pPr>
              <w:jc w:val="center"/>
            </w:pPr>
            <w:r w:rsidRPr="0085100A">
              <w:t>Form Name</w:t>
            </w:r>
          </w:p>
        </w:tc>
        <w:tc>
          <w:tcPr>
            <w:tcW w:w="729" w:type="pct"/>
            <w:shd w:val="clear" w:color="auto" w:fill="auto"/>
          </w:tcPr>
          <w:p w14:paraId="64A018FB" w14:textId="77777777" w:rsidR="002B359E" w:rsidRPr="0085100A" w:rsidRDefault="002B359E" w:rsidP="00976365">
            <w:pPr>
              <w:jc w:val="center"/>
            </w:pPr>
            <w:r w:rsidRPr="0085100A">
              <w:t>Number of respondents</w:t>
            </w:r>
          </w:p>
        </w:tc>
        <w:tc>
          <w:tcPr>
            <w:tcW w:w="844" w:type="pct"/>
            <w:shd w:val="clear" w:color="auto" w:fill="auto"/>
          </w:tcPr>
          <w:p w14:paraId="6CEB3C0F" w14:textId="77777777" w:rsidR="002B359E" w:rsidRPr="0085100A" w:rsidRDefault="002B359E" w:rsidP="00976365">
            <w:pPr>
              <w:jc w:val="center"/>
            </w:pPr>
            <w:r w:rsidRPr="0085100A">
              <w:t>Number of responses per respondent</w:t>
            </w:r>
          </w:p>
        </w:tc>
        <w:tc>
          <w:tcPr>
            <w:tcW w:w="727" w:type="pct"/>
            <w:shd w:val="clear" w:color="auto" w:fill="auto"/>
          </w:tcPr>
          <w:p w14:paraId="176BF45A" w14:textId="77777777" w:rsidR="002B359E" w:rsidRPr="0085100A" w:rsidRDefault="002B359E" w:rsidP="00976365">
            <w:pPr>
              <w:jc w:val="center"/>
            </w:pPr>
            <w:r w:rsidRPr="0085100A">
              <w:t>Average burden per response (in hours)</w:t>
            </w:r>
          </w:p>
        </w:tc>
        <w:tc>
          <w:tcPr>
            <w:tcW w:w="546" w:type="pct"/>
            <w:shd w:val="clear" w:color="auto" w:fill="auto"/>
          </w:tcPr>
          <w:p w14:paraId="2389DF90" w14:textId="36B04816" w:rsidR="002B359E" w:rsidRPr="0085100A" w:rsidRDefault="00831807" w:rsidP="00976365">
            <w:pPr>
              <w:jc w:val="center"/>
            </w:pPr>
            <w:r>
              <w:t xml:space="preserve">Total burden </w:t>
            </w:r>
            <w:r w:rsidR="002B359E" w:rsidRPr="0085100A">
              <w:t>(in hours)</w:t>
            </w:r>
          </w:p>
        </w:tc>
      </w:tr>
      <w:tr w:rsidR="009B58BE" w:rsidRPr="0085100A" w14:paraId="69990846" w14:textId="77777777" w:rsidTr="00992745">
        <w:trPr>
          <w:trHeight w:val="935"/>
        </w:trPr>
        <w:tc>
          <w:tcPr>
            <w:tcW w:w="912" w:type="pct"/>
            <w:vMerge w:val="restart"/>
            <w:shd w:val="clear" w:color="auto" w:fill="auto"/>
            <w:vAlign w:val="center"/>
          </w:tcPr>
          <w:p w14:paraId="6B987C38" w14:textId="646F82F4" w:rsidR="00DB66F6" w:rsidRDefault="00DB66F6" w:rsidP="00DB66F6">
            <w:pPr>
              <w:jc w:val="center"/>
            </w:pPr>
            <w:r>
              <w:t xml:space="preserve">RPE Program Awardees </w:t>
            </w:r>
          </w:p>
          <w:p w14:paraId="21537ECE" w14:textId="4E5D7EA7" w:rsidR="009B58BE" w:rsidRPr="0085100A" w:rsidRDefault="00DB66F6" w:rsidP="00B44DCA">
            <w:pPr>
              <w:jc w:val="center"/>
              <w:rPr>
                <w:color w:val="000000"/>
              </w:rPr>
            </w:pPr>
            <w:r>
              <w:t>(</w:t>
            </w:r>
            <w:r w:rsidR="009B58BE" w:rsidRPr="0085100A">
              <w:t>State</w:t>
            </w:r>
            <w:r w:rsidR="00BA54DD">
              <w:t>, District</w:t>
            </w:r>
            <w:r w:rsidR="00043124">
              <w:t xml:space="preserve"> of Columbia</w:t>
            </w:r>
            <w:r w:rsidR="006C4DCA">
              <w:t xml:space="preserve">, </w:t>
            </w:r>
            <w:r w:rsidR="009B58BE" w:rsidRPr="0085100A">
              <w:t xml:space="preserve"> and Territorial Health Departments</w:t>
            </w:r>
            <w:r w:rsidR="00A41A62">
              <w:t>)</w:t>
            </w:r>
            <w:r w:rsidR="009B58BE" w:rsidRPr="0085100A">
              <w:t xml:space="preserve"> </w:t>
            </w:r>
            <w:r w:rsidR="00A41A62">
              <w:t xml:space="preserve">or </w:t>
            </w:r>
            <w:r>
              <w:t>Designees</w:t>
            </w:r>
          </w:p>
        </w:tc>
        <w:tc>
          <w:tcPr>
            <w:tcW w:w="1242" w:type="pct"/>
            <w:shd w:val="clear" w:color="auto" w:fill="auto"/>
            <w:vAlign w:val="center"/>
          </w:tcPr>
          <w:p w14:paraId="5B17A80B" w14:textId="77777777" w:rsidR="00C63EAA" w:rsidRDefault="009B58BE" w:rsidP="00987BC3">
            <w:pPr>
              <w:jc w:val="center"/>
              <w:rPr>
                <w:color w:val="000000"/>
              </w:rPr>
            </w:pPr>
            <w:r w:rsidRPr="0085100A">
              <w:t>Work Plan Tool</w:t>
            </w:r>
            <w:r w:rsidRPr="0085100A">
              <w:rPr>
                <w:color w:val="000000"/>
              </w:rPr>
              <w:t xml:space="preserve"> </w:t>
            </w:r>
            <w:r w:rsidR="00C00052">
              <w:rPr>
                <w:color w:val="000000"/>
              </w:rPr>
              <w:t>(</w:t>
            </w:r>
            <w:r w:rsidRPr="0085100A">
              <w:rPr>
                <w:color w:val="000000"/>
              </w:rPr>
              <w:t xml:space="preserve">Attachment </w:t>
            </w:r>
            <w:r>
              <w:rPr>
                <w:color w:val="000000"/>
              </w:rPr>
              <w:t>3</w:t>
            </w:r>
            <w:r w:rsidR="0081001B">
              <w:rPr>
                <w:color w:val="000000"/>
              </w:rPr>
              <w:t xml:space="preserve"> </w:t>
            </w:r>
            <w:r w:rsidR="00C00052">
              <w:rPr>
                <w:color w:val="000000"/>
              </w:rPr>
              <w:t>)</w:t>
            </w:r>
          </w:p>
          <w:p w14:paraId="1B345F5C" w14:textId="7EF7435E" w:rsidR="00823664" w:rsidRPr="0085100A" w:rsidRDefault="00823664" w:rsidP="00823664">
            <w:pPr>
              <w:jc w:val="center"/>
              <w:rPr>
                <w:color w:val="000000"/>
              </w:rPr>
            </w:pPr>
            <w:r>
              <w:rPr>
                <w:color w:val="000000"/>
              </w:rPr>
              <w:t xml:space="preserve">Initial Population </w:t>
            </w:r>
          </w:p>
        </w:tc>
        <w:tc>
          <w:tcPr>
            <w:tcW w:w="729" w:type="pct"/>
            <w:shd w:val="clear" w:color="auto" w:fill="auto"/>
            <w:vAlign w:val="center"/>
          </w:tcPr>
          <w:p w14:paraId="433AFA94" w14:textId="73D0B7BD" w:rsidR="009B58BE" w:rsidRPr="0085100A" w:rsidRDefault="00ED2623" w:rsidP="009B58BE">
            <w:pPr>
              <w:jc w:val="center"/>
              <w:rPr>
                <w:color w:val="000000"/>
              </w:rPr>
            </w:pPr>
            <w:r>
              <w:rPr>
                <w:color w:val="000000"/>
              </w:rPr>
              <w:t>18</w:t>
            </w:r>
          </w:p>
        </w:tc>
        <w:tc>
          <w:tcPr>
            <w:tcW w:w="844" w:type="pct"/>
            <w:shd w:val="clear" w:color="auto" w:fill="auto"/>
            <w:vAlign w:val="center"/>
          </w:tcPr>
          <w:p w14:paraId="48ABD569" w14:textId="48594A8C" w:rsidR="009B58BE" w:rsidRPr="0085100A" w:rsidRDefault="009B58BE" w:rsidP="009B58BE">
            <w:pPr>
              <w:jc w:val="center"/>
              <w:rPr>
                <w:color w:val="000000"/>
              </w:rPr>
            </w:pPr>
            <w:r w:rsidRPr="0085100A">
              <w:rPr>
                <w:color w:val="000000"/>
              </w:rPr>
              <w:t>1</w:t>
            </w:r>
          </w:p>
        </w:tc>
        <w:tc>
          <w:tcPr>
            <w:tcW w:w="727" w:type="pct"/>
            <w:shd w:val="clear" w:color="auto" w:fill="auto"/>
            <w:vAlign w:val="center"/>
          </w:tcPr>
          <w:p w14:paraId="0326E83A" w14:textId="27D665CC" w:rsidR="009B58BE" w:rsidRPr="0085100A" w:rsidRDefault="00ED2623" w:rsidP="009B58BE">
            <w:pPr>
              <w:jc w:val="center"/>
              <w:rPr>
                <w:color w:val="000000"/>
              </w:rPr>
            </w:pPr>
            <w:r>
              <w:t>10</w:t>
            </w:r>
          </w:p>
        </w:tc>
        <w:tc>
          <w:tcPr>
            <w:tcW w:w="546" w:type="pct"/>
            <w:shd w:val="clear" w:color="auto" w:fill="auto"/>
            <w:vAlign w:val="center"/>
          </w:tcPr>
          <w:p w14:paraId="06A7ACB3" w14:textId="0A09AFD7" w:rsidR="009B58BE" w:rsidRPr="0085100A" w:rsidRDefault="00EC0F51">
            <w:pPr>
              <w:jc w:val="center"/>
              <w:rPr>
                <w:color w:val="000000"/>
              </w:rPr>
            </w:pPr>
            <w:r>
              <w:rPr>
                <w:color w:val="000000"/>
              </w:rPr>
              <w:t>180</w:t>
            </w:r>
            <w:r w:rsidR="004F13C9">
              <w:rPr>
                <w:color w:val="000000"/>
              </w:rPr>
              <w:t xml:space="preserve"> </w:t>
            </w:r>
          </w:p>
        </w:tc>
      </w:tr>
      <w:tr w:rsidR="009B58BE" w:rsidRPr="0085100A" w14:paraId="0E0952FD" w14:textId="77777777" w:rsidTr="00992745">
        <w:trPr>
          <w:trHeight w:val="890"/>
        </w:trPr>
        <w:tc>
          <w:tcPr>
            <w:tcW w:w="912" w:type="pct"/>
            <w:vMerge/>
            <w:shd w:val="clear" w:color="auto" w:fill="auto"/>
            <w:vAlign w:val="center"/>
          </w:tcPr>
          <w:p w14:paraId="413625F5" w14:textId="77777777" w:rsidR="009B58BE" w:rsidRPr="0085100A" w:rsidRDefault="009B58BE" w:rsidP="009B58BE">
            <w:pPr>
              <w:jc w:val="center"/>
              <w:rPr>
                <w:color w:val="000000"/>
              </w:rPr>
            </w:pPr>
          </w:p>
        </w:tc>
        <w:tc>
          <w:tcPr>
            <w:tcW w:w="1242" w:type="pct"/>
            <w:shd w:val="clear" w:color="auto" w:fill="auto"/>
            <w:vAlign w:val="center"/>
          </w:tcPr>
          <w:p w14:paraId="424E1880" w14:textId="77777777" w:rsidR="00C63EAA" w:rsidRDefault="009B58BE" w:rsidP="00987BC3">
            <w:pPr>
              <w:jc w:val="center"/>
              <w:rPr>
                <w:color w:val="000000"/>
              </w:rPr>
            </w:pPr>
            <w:r w:rsidRPr="0085100A">
              <w:t xml:space="preserve">Program Report Tool </w:t>
            </w:r>
            <w:r w:rsidR="00C00052">
              <w:t>(</w:t>
            </w:r>
            <w:r w:rsidRPr="0085100A">
              <w:rPr>
                <w:color w:val="000000"/>
              </w:rPr>
              <w:t xml:space="preserve">Attachment </w:t>
            </w:r>
            <w:r>
              <w:rPr>
                <w:color w:val="000000"/>
              </w:rPr>
              <w:t>4</w:t>
            </w:r>
            <w:r w:rsidR="00C00052">
              <w:rPr>
                <w:color w:val="000000"/>
              </w:rPr>
              <w:t>)</w:t>
            </w:r>
            <w:r w:rsidR="0081001B">
              <w:rPr>
                <w:color w:val="000000"/>
              </w:rPr>
              <w:t xml:space="preserve"> </w:t>
            </w:r>
          </w:p>
          <w:p w14:paraId="555AF9D3" w14:textId="6508B113" w:rsidR="005965F4" w:rsidRPr="0085100A" w:rsidRDefault="005965F4" w:rsidP="00987BC3">
            <w:pPr>
              <w:jc w:val="center"/>
            </w:pPr>
            <w:r>
              <w:rPr>
                <w:color w:val="000000"/>
              </w:rPr>
              <w:t>Initial Population</w:t>
            </w:r>
          </w:p>
        </w:tc>
        <w:tc>
          <w:tcPr>
            <w:tcW w:w="729" w:type="pct"/>
            <w:shd w:val="clear" w:color="auto" w:fill="auto"/>
            <w:vAlign w:val="center"/>
          </w:tcPr>
          <w:p w14:paraId="1E2EFAFB" w14:textId="30AB8E78" w:rsidR="009B58BE" w:rsidRPr="0085100A" w:rsidRDefault="00ED2623" w:rsidP="009B58BE">
            <w:pPr>
              <w:jc w:val="center"/>
              <w:rPr>
                <w:color w:val="000000"/>
              </w:rPr>
            </w:pPr>
            <w:r>
              <w:rPr>
                <w:color w:val="000000"/>
              </w:rPr>
              <w:t>18</w:t>
            </w:r>
          </w:p>
        </w:tc>
        <w:tc>
          <w:tcPr>
            <w:tcW w:w="844" w:type="pct"/>
            <w:shd w:val="clear" w:color="auto" w:fill="auto"/>
            <w:vAlign w:val="center"/>
          </w:tcPr>
          <w:p w14:paraId="0B5F352C" w14:textId="145FAFD5" w:rsidR="009B58BE" w:rsidRPr="0085100A" w:rsidRDefault="009B58BE" w:rsidP="009B58BE">
            <w:pPr>
              <w:jc w:val="center"/>
              <w:rPr>
                <w:color w:val="000000"/>
              </w:rPr>
            </w:pPr>
            <w:r w:rsidRPr="0085100A">
              <w:rPr>
                <w:color w:val="000000"/>
              </w:rPr>
              <w:t>1</w:t>
            </w:r>
          </w:p>
        </w:tc>
        <w:tc>
          <w:tcPr>
            <w:tcW w:w="727" w:type="pct"/>
            <w:shd w:val="clear" w:color="auto" w:fill="auto"/>
            <w:vAlign w:val="center"/>
          </w:tcPr>
          <w:p w14:paraId="5E877F1F" w14:textId="5569A1AF" w:rsidR="009B58BE" w:rsidRPr="0085100A" w:rsidRDefault="00ED2623" w:rsidP="009B58BE">
            <w:pPr>
              <w:jc w:val="center"/>
              <w:rPr>
                <w:color w:val="000000"/>
              </w:rPr>
            </w:pPr>
            <w:r>
              <w:t>8</w:t>
            </w:r>
          </w:p>
        </w:tc>
        <w:tc>
          <w:tcPr>
            <w:tcW w:w="546" w:type="pct"/>
            <w:shd w:val="clear" w:color="auto" w:fill="auto"/>
            <w:vAlign w:val="center"/>
          </w:tcPr>
          <w:p w14:paraId="0F24B390" w14:textId="6E96F391" w:rsidR="009B58BE" w:rsidRPr="0085100A" w:rsidRDefault="00EC0F51" w:rsidP="00EC0F51">
            <w:pPr>
              <w:jc w:val="center"/>
              <w:rPr>
                <w:color w:val="000000"/>
              </w:rPr>
            </w:pPr>
            <w:r>
              <w:rPr>
                <w:color w:val="000000"/>
              </w:rPr>
              <w:t>144</w:t>
            </w:r>
          </w:p>
        </w:tc>
      </w:tr>
      <w:tr w:rsidR="005965F4" w:rsidRPr="0085100A" w14:paraId="06780ABA" w14:textId="77777777" w:rsidTr="00992745">
        <w:trPr>
          <w:trHeight w:val="710"/>
        </w:trPr>
        <w:tc>
          <w:tcPr>
            <w:tcW w:w="912" w:type="pct"/>
            <w:vMerge/>
            <w:shd w:val="clear" w:color="auto" w:fill="auto"/>
            <w:vAlign w:val="center"/>
          </w:tcPr>
          <w:p w14:paraId="305B492C" w14:textId="77777777" w:rsidR="005965F4" w:rsidRPr="0085100A" w:rsidRDefault="005965F4" w:rsidP="005965F4">
            <w:pPr>
              <w:jc w:val="center"/>
              <w:rPr>
                <w:color w:val="000000"/>
              </w:rPr>
            </w:pPr>
          </w:p>
        </w:tc>
        <w:tc>
          <w:tcPr>
            <w:tcW w:w="1242" w:type="pct"/>
            <w:shd w:val="clear" w:color="auto" w:fill="auto"/>
            <w:vAlign w:val="center"/>
          </w:tcPr>
          <w:p w14:paraId="2380BF2F" w14:textId="77777777" w:rsidR="005965F4" w:rsidRDefault="005965F4" w:rsidP="005965F4">
            <w:pPr>
              <w:jc w:val="center"/>
              <w:rPr>
                <w:color w:val="000000"/>
              </w:rPr>
            </w:pPr>
            <w:r w:rsidRPr="0085100A">
              <w:t>Work Plan Tool</w:t>
            </w:r>
            <w:r w:rsidRPr="0085100A">
              <w:rPr>
                <w:color w:val="000000"/>
              </w:rPr>
              <w:t xml:space="preserve"> </w:t>
            </w:r>
            <w:r>
              <w:rPr>
                <w:color w:val="000000"/>
              </w:rPr>
              <w:t>(</w:t>
            </w:r>
            <w:r w:rsidRPr="0085100A">
              <w:rPr>
                <w:color w:val="000000"/>
              </w:rPr>
              <w:t xml:space="preserve">Attachment </w:t>
            </w:r>
            <w:r>
              <w:rPr>
                <w:color w:val="000000"/>
              </w:rPr>
              <w:t>3 )</w:t>
            </w:r>
          </w:p>
          <w:p w14:paraId="3912EC1C" w14:textId="3704E96E" w:rsidR="005965F4" w:rsidRPr="0085100A" w:rsidRDefault="005965F4" w:rsidP="005965F4">
            <w:pPr>
              <w:jc w:val="center"/>
            </w:pPr>
            <w:r>
              <w:rPr>
                <w:color w:val="000000"/>
              </w:rPr>
              <w:t xml:space="preserve">Annual Reporting </w:t>
            </w:r>
          </w:p>
        </w:tc>
        <w:tc>
          <w:tcPr>
            <w:tcW w:w="729" w:type="pct"/>
            <w:shd w:val="clear" w:color="auto" w:fill="auto"/>
            <w:vAlign w:val="center"/>
          </w:tcPr>
          <w:p w14:paraId="25F8C0D2" w14:textId="1E2B62E0" w:rsidR="005965F4" w:rsidRPr="0085100A" w:rsidRDefault="005965F4" w:rsidP="005965F4">
            <w:pPr>
              <w:jc w:val="center"/>
              <w:rPr>
                <w:color w:val="000000"/>
              </w:rPr>
            </w:pPr>
            <w:r w:rsidRPr="0085100A">
              <w:rPr>
                <w:color w:val="000000"/>
              </w:rPr>
              <w:t>55</w:t>
            </w:r>
          </w:p>
        </w:tc>
        <w:tc>
          <w:tcPr>
            <w:tcW w:w="844" w:type="pct"/>
            <w:shd w:val="clear" w:color="auto" w:fill="auto"/>
            <w:vAlign w:val="center"/>
          </w:tcPr>
          <w:p w14:paraId="5309F92D" w14:textId="5A777B98" w:rsidR="005965F4" w:rsidRPr="0085100A" w:rsidRDefault="005965F4" w:rsidP="005965F4">
            <w:pPr>
              <w:jc w:val="center"/>
              <w:rPr>
                <w:color w:val="000000"/>
              </w:rPr>
            </w:pPr>
            <w:r w:rsidRPr="0085100A">
              <w:rPr>
                <w:color w:val="000000"/>
              </w:rPr>
              <w:t>1</w:t>
            </w:r>
          </w:p>
        </w:tc>
        <w:tc>
          <w:tcPr>
            <w:tcW w:w="727" w:type="pct"/>
            <w:shd w:val="clear" w:color="auto" w:fill="auto"/>
            <w:vAlign w:val="center"/>
          </w:tcPr>
          <w:p w14:paraId="40A918BA" w14:textId="43F0B523" w:rsidR="005965F4" w:rsidRDefault="00ED2623" w:rsidP="005965F4">
            <w:pPr>
              <w:jc w:val="center"/>
            </w:pPr>
            <w:r>
              <w:t>3</w:t>
            </w:r>
          </w:p>
        </w:tc>
        <w:tc>
          <w:tcPr>
            <w:tcW w:w="546" w:type="pct"/>
            <w:shd w:val="clear" w:color="auto" w:fill="auto"/>
            <w:vAlign w:val="center"/>
          </w:tcPr>
          <w:p w14:paraId="32266832" w14:textId="4721824A" w:rsidR="005965F4" w:rsidRDefault="0036183C" w:rsidP="00EC0F51">
            <w:pPr>
              <w:jc w:val="center"/>
              <w:rPr>
                <w:color w:val="000000"/>
              </w:rPr>
            </w:pPr>
            <w:r>
              <w:rPr>
                <w:color w:val="000000"/>
              </w:rPr>
              <w:t>1</w:t>
            </w:r>
            <w:r w:rsidR="00EC0F51">
              <w:rPr>
                <w:color w:val="000000"/>
              </w:rPr>
              <w:t>65</w:t>
            </w:r>
          </w:p>
        </w:tc>
      </w:tr>
      <w:tr w:rsidR="005965F4" w:rsidRPr="0085100A" w14:paraId="0111CC87" w14:textId="77777777" w:rsidTr="00992745">
        <w:trPr>
          <w:trHeight w:val="773"/>
        </w:trPr>
        <w:tc>
          <w:tcPr>
            <w:tcW w:w="912" w:type="pct"/>
            <w:vMerge/>
            <w:shd w:val="clear" w:color="auto" w:fill="auto"/>
            <w:vAlign w:val="center"/>
          </w:tcPr>
          <w:p w14:paraId="7E22E642" w14:textId="77777777" w:rsidR="005965F4" w:rsidRPr="0085100A" w:rsidRDefault="005965F4" w:rsidP="005965F4">
            <w:pPr>
              <w:jc w:val="center"/>
              <w:rPr>
                <w:color w:val="000000"/>
              </w:rPr>
            </w:pPr>
          </w:p>
        </w:tc>
        <w:tc>
          <w:tcPr>
            <w:tcW w:w="1242" w:type="pct"/>
            <w:shd w:val="clear" w:color="auto" w:fill="auto"/>
            <w:vAlign w:val="center"/>
          </w:tcPr>
          <w:p w14:paraId="5163A450" w14:textId="77777777" w:rsidR="005965F4" w:rsidRDefault="005965F4" w:rsidP="005965F4">
            <w:pPr>
              <w:jc w:val="center"/>
              <w:rPr>
                <w:color w:val="000000"/>
              </w:rPr>
            </w:pPr>
            <w:r w:rsidRPr="0085100A">
              <w:t xml:space="preserve">Program Report Tool </w:t>
            </w:r>
            <w:r>
              <w:t>(</w:t>
            </w:r>
            <w:r w:rsidRPr="0085100A">
              <w:rPr>
                <w:color w:val="000000"/>
              </w:rPr>
              <w:t xml:space="preserve">Attachment </w:t>
            </w:r>
            <w:r>
              <w:rPr>
                <w:color w:val="000000"/>
              </w:rPr>
              <w:t xml:space="preserve">4) </w:t>
            </w:r>
          </w:p>
          <w:p w14:paraId="1BE85C01" w14:textId="6BEFD5C9" w:rsidR="005965F4" w:rsidRPr="0085100A" w:rsidRDefault="005965F4" w:rsidP="005965F4">
            <w:pPr>
              <w:jc w:val="center"/>
            </w:pPr>
            <w:r>
              <w:rPr>
                <w:color w:val="000000"/>
              </w:rPr>
              <w:t>Annual Reporting</w:t>
            </w:r>
          </w:p>
        </w:tc>
        <w:tc>
          <w:tcPr>
            <w:tcW w:w="729" w:type="pct"/>
            <w:shd w:val="clear" w:color="auto" w:fill="auto"/>
            <w:vAlign w:val="center"/>
          </w:tcPr>
          <w:p w14:paraId="3C1E46BD" w14:textId="017CF94E" w:rsidR="005965F4" w:rsidRPr="0085100A" w:rsidRDefault="005965F4" w:rsidP="005965F4">
            <w:pPr>
              <w:jc w:val="center"/>
              <w:rPr>
                <w:color w:val="000000"/>
              </w:rPr>
            </w:pPr>
            <w:r w:rsidRPr="0085100A">
              <w:rPr>
                <w:color w:val="000000"/>
              </w:rPr>
              <w:t>55</w:t>
            </w:r>
          </w:p>
        </w:tc>
        <w:tc>
          <w:tcPr>
            <w:tcW w:w="844" w:type="pct"/>
            <w:shd w:val="clear" w:color="auto" w:fill="auto"/>
            <w:vAlign w:val="center"/>
          </w:tcPr>
          <w:p w14:paraId="708C9939" w14:textId="34CD56F4" w:rsidR="005965F4" w:rsidRPr="0085100A" w:rsidRDefault="005965F4" w:rsidP="005965F4">
            <w:pPr>
              <w:jc w:val="center"/>
              <w:rPr>
                <w:color w:val="000000"/>
              </w:rPr>
            </w:pPr>
            <w:r w:rsidRPr="0085100A">
              <w:rPr>
                <w:color w:val="000000"/>
              </w:rPr>
              <w:t>1</w:t>
            </w:r>
          </w:p>
        </w:tc>
        <w:tc>
          <w:tcPr>
            <w:tcW w:w="727" w:type="pct"/>
            <w:shd w:val="clear" w:color="auto" w:fill="auto"/>
            <w:vAlign w:val="center"/>
          </w:tcPr>
          <w:p w14:paraId="5CDF145E" w14:textId="399BE5FB" w:rsidR="005965F4" w:rsidRDefault="00ED2623" w:rsidP="005965F4">
            <w:pPr>
              <w:jc w:val="center"/>
            </w:pPr>
            <w:r>
              <w:t>3</w:t>
            </w:r>
          </w:p>
        </w:tc>
        <w:tc>
          <w:tcPr>
            <w:tcW w:w="546" w:type="pct"/>
            <w:shd w:val="clear" w:color="auto" w:fill="auto"/>
            <w:vAlign w:val="center"/>
          </w:tcPr>
          <w:p w14:paraId="751D534E" w14:textId="5A29F687" w:rsidR="005965F4" w:rsidRDefault="00EC0F51" w:rsidP="005965F4">
            <w:pPr>
              <w:jc w:val="center"/>
              <w:rPr>
                <w:color w:val="000000"/>
              </w:rPr>
            </w:pPr>
            <w:r>
              <w:rPr>
                <w:color w:val="000000"/>
              </w:rPr>
              <w:t>165</w:t>
            </w:r>
          </w:p>
        </w:tc>
      </w:tr>
      <w:tr w:rsidR="005965F4" w:rsidRPr="0085100A" w14:paraId="20314D82" w14:textId="77777777" w:rsidTr="00992745">
        <w:trPr>
          <w:trHeight w:val="386"/>
        </w:trPr>
        <w:tc>
          <w:tcPr>
            <w:tcW w:w="912" w:type="pct"/>
            <w:vMerge/>
            <w:shd w:val="clear" w:color="auto" w:fill="auto"/>
          </w:tcPr>
          <w:p w14:paraId="5F6EEFB4" w14:textId="77777777" w:rsidR="005965F4" w:rsidRPr="0085100A" w:rsidRDefault="005965F4" w:rsidP="005965F4">
            <w:pPr>
              <w:rPr>
                <w:color w:val="000000"/>
              </w:rPr>
            </w:pPr>
          </w:p>
        </w:tc>
        <w:tc>
          <w:tcPr>
            <w:tcW w:w="3542" w:type="pct"/>
            <w:gridSpan w:val="4"/>
            <w:shd w:val="clear" w:color="auto" w:fill="auto"/>
          </w:tcPr>
          <w:p w14:paraId="3DEEBCA2" w14:textId="77777777" w:rsidR="005965F4" w:rsidRPr="0085100A" w:rsidRDefault="005965F4" w:rsidP="005965F4">
            <w:pPr>
              <w:jc w:val="right"/>
              <w:rPr>
                <w:color w:val="000000"/>
              </w:rPr>
            </w:pPr>
            <w:r w:rsidRPr="0085100A">
              <w:rPr>
                <w:color w:val="000000"/>
              </w:rPr>
              <w:t>Total</w:t>
            </w:r>
          </w:p>
        </w:tc>
        <w:tc>
          <w:tcPr>
            <w:tcW w:w="546" w:type="pct"/>
            <w:shd w:val="clear" w:color="auto" w:fill="auto"/>
          </w:tcPr>
          <w:p w14:paraId="0AC77071" w14:textId="300AF91D" w:rsidR="005965F4" w:rsidRPr="0085100A" w:rsidRDefault="00EC0F51" w:rsidP="005965F4">
            <w:pPr>
              <w:jc w:val="center"/>
              <w:rPr>
                <w:color w:val="000000"/>
              </w:rPr>
            </w:pPr>
            <w:r>
              <w:rPr>
                <w:color w:val="000000"/>
              </w:rPr>
              <w:t>654</w:t>
            </w:r>
          </w:p>
        </w:tc>
      </w:tr>
    </w:tbl>
    <w:p w14:paraId="1E773F62" w14:textId="77777777" w:rsidR="002B359E" w:rsidRDefault="002B359E" w:rsidP="002B359E"/>
    <w:p w14:paraId="7B6C5A67" w14:textId="6834BB86" w:rsidR="00C71389" w:rsidRPr="0085100A" w:rsidRDefault="00C71389" w:rsidP="000B487F">
      <w:pPr>
        <w:pStyle w:val="Heading3"/>
      </w:pPr>
      <w:bookmarkStart w:id="17" w:name="_Toc447176436"/>
      <w:r w:rsidRPr="0085100A">
        <w:t>A.12.b)  Annual burden cost</w:t>
      </w:r>
      <w:bookmarkEnd w:id="17"/>
      <w:r w:rsidRPr="0085100A">
        <w:t xml:space="preserve"> </w:t>
      </w:r>
    </w:p>
    <w:p w14:paraId="06D51590" w14:textId="77777777" w:rsidR="00C71389" w:rsidRPr="0085100A" w:rsidRDefault="00C71389" w:rsidP="00C71389">
      <w:pPr>
        <w:pStyle w:val="SL-FlLftSgl"/>
      </w:pPr>
    </w:p>
    <w:p w14:paraId="58C93826" w14:textId="55C78E5A" w:rsidR="00137B89" w:rsidRDefault="00137B89">
      <w:r w:rsidRPr="0085100A">
        <w:t xml:space="preserve">For each of the 55 RPE </w:t>
      </w:r>
      <w:r w:rsidR="00B30AB8">
        <w:t>Program awardee</w:t>
      </w:r>
      <w:r w:rsidRPr="0085100A">
        <w:t xml:space="preserve">, a program manager </w:t>
      </w:r>
      <w:r w:rsidR="00B30AB8">
        <w:t xml:space="preserve">or designee </w:t>
      </w:r>
      <w:r w:rsidRPr="0085100A">
        <w:t xml:space="preserve">will </w:t>
      </w:r>
      <w:r w:rsidR="00B30AB8">
        <w:t>complete the tools</w:t>
      </w:r>
      <w:r w:rsidRPr="0085100A">
        <w:t xml:space="preserve">. </w:t>
      </w:r>
      <w:r w:rsidR="00C00052" w:rsidRPr="00C00052">
        <w:t>Estimates for the average hourly wage for respondents are based on the Department of Labor (DOL) Bureau of Labor Statistics for occupational employment for medical and health services managers http://www.bls.gov/oes/current/oes_nat.htm.  Based on DOL data, an av</w:t>
      </w:r>
      <w:r w:rsidR="00C00052">
        <w:t>erage hourly wage of $50.99 is used</w:t>
      </w:r>
      <w:r w:rsidRPr="0085100A">
        <w:t xml:space="preserve">.  </w:t>
      </w:r>
      <w:r w:rsidR="00C00052">
        <w:t xml:space="preserve">The estimated annualized burden costs is </w:t>
      </w:r>
      <w:r w:rsidR="00C00052" w:rsidRPr="0085100A">
        <w:rPr>
          <w:color w:val="000000"/>
        </w:rPr>
        <w:t>$</w:t>
      </w:r>
      <w:r w:rsidR="00727A50">
        <w:rPr>
          <w:color w:val="000000"/>
        </w:rPr>
        <w:t>33</w:t>
      </w:r>
      <w:r w:rsidR="00727A50" w:rsidRPr="0085100A">
        <w:rPr>
          <w:color w:val="000000"/>
        </w:rPr>
        <w:t>,</w:t>
      </w:r>
      <w:r w:rsidR="00727A50">
        <w:rPr>
          <w:color w:val="000000"/>
        </w:rPr>
        <w:t>347</w:t>
      </w:r>
      <w:r w:rsidR="00727A50" w:rsidRPr="0085100A">
        <w:rPr>
          <w:color w:val="000000"/>
        </w:rPr>
        <w:t>.5</w:t>
      </w:r>
      <w:r w:rsidR="00727A50">
        <w:rPr>
          <w:color w:val="000000"/>
        </w:rPr>
        <w:t>0</w:t>
      </w:r>
      <w:r w:rsidR="005D4C16" w:rsidRPr="0085100A">
        <w:t xml:space="preserve">, </w:t>
      </w:r>
      <w:r w:rsidRPr="0085100A">
        <w:t>as summarized in Table A.12-B.</w:t>
      </w:r>
    </w:p>
    <w:p w14:paraId="321306D4" w14:textId="56C04798" w:rsidR="0034185B" w:rsidRDefault="0034185B">
      <w:pPr>
        <w:rPr>
          <w:bCs/>
        </w:rPr>
      </w:pPr>
    </w:p>
    <w:p w14:paraId="6E367ED7" w14:textId="5B965A4C" w:rsidR="00C71389" w:rsidRPr="0085100A" w:rsidRDefault="00C71389" w:rsidP="00C71389">
      <w:r w:rsidRPr="0085100A">
        <w:rPr>
          <w:bCs/>
        </w:rPr>
        <w:t>Table A.12-B.</w:t>
      </w:r>
      <w:r w:rsidRPr="0085100A">
        <w:t xml:space="preserve"> Estimated Annualized Burden Costs </w:t>
      </w:r>
    </w:p>
    <w:tbl>
      <w:tblPr>
        <w:tblW w:w="46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4"/>
        <w:gridCol w:w="1299"/>
        <w:gridCol w:w="1491"/>
        <w:gridCol w:w="1298"/>
        <w:gridCol w:w="1298"/>
        <w:gridCol w:w="1360"/>
      </w:tblGrid>
      <w:tr w:rsidR="00152DA6" w:rsidRPr="0085100A" w14:paraId="056DACBD" w14:textId="77777777" w:rsidTr="00992745">
        <w:trPr>
          <w:trHeight w:val="890"/>
        </w:trPr>
        <w:tc>
          <w:tcPr>
            <w:tcW w:w="1132" w:type="pct"/>
            <w:shd w:val="clear" w:color="auto" w:fill="auto"/>
            <w:vAlign w:val="center"/>
          </w:tcPr>
          <w:p w14:paraId="21D30821" w14:textId="77777777" w:rsidR="00152DA6" w:rsidRPr="0085100A" w:rsidRDefault="00152DA6" w:rsidP="00152DA6">
            <w:pPr>
              <w:jc w:val="center"/>
            </w:pPr>
            <w:r w:rsidRPr="0085100A">
              <w:t>Type of respondents</w:t>
            </w:r>
          </w:p>
        </w:tc>
        <w:tc>
          <w:tcPr>
            <w:tcW w:w="1600" w:type="pct"/>
            <w:gridSpan w:val="2"/>
            <w:shd w:val="clear" w:color="auto" w:fill="auto"/>
            <w:vAlign w:val="center"/>
          </w:tcPr>
          <w:p w14:paraId="37EB987B" w14:textId="77777777" w:rsidR="00152DA6" w:rsidRPr="0085100A" w:rsidRDefault="00152DA6" w:rsidP="00152DA6">
            <w:pPr>
              <w:jc w:val="center"/>
            </w:pPr>
            <w:r w:rsidRPr="0085100A">
              <w:t>Form Name</w:t>
            </w:r>
          </w:p>
        </w:tc>
        <w:tc>
          <w:tcPr>
            <w:tcW w:w="744" w:type="pct"/>
            <w:vAlign w:val="center"/>
          </w:tcPr>
          <w:p w14:paraId="28E0D8D6" w14:textId="4BF2A426" w:rsidR="00152DA6" w:rsidRPr="0085100A" w:rsidRDefault="00152DA6" w:rsidP="0034185B">
            <w:pPr>
              <w:jc w:val="center"/>
            </w:pPr>
            <w:r>
              <w:t xml:space="preserve">Total burden </w:t>
            </w:r>
            <w:r w:rsidRPr="0085100A">
              <w:t>(in hours)</w:t>
            </w:r>
          </w:p>
        </w:tc>
        <w:tc>
          <w:tcPr>
            <w:tcW w:w="744" w:type="pct"/>
            <w:shd w:val="clear" w:color="auto" w:fill="auto"/>
            <w:vAlign w:val="center"/>
          </w:tcPr>
          <w:p w14:paraId="0EEBBB6C" w14:textId="5EA9885A" w:rsidR="00152DA6" w:rsidRPr="0085100A" w:rsidRDefault="00152DA6" w:rsidP="0034185B">
            <w:pPr>
              <w:jc w:val="center"/>
            </w:pPr>
            <w:r w:rsidRPr="0085100A">
              <w:t>Hourly wage Rate</w:t>
            </w:r>
          </w:p>
        </w:tc>
        <w:tc>
          <w:tcPr>
            <w:tcW w:w="780" w:type="pct"/>
            <w:shd w:val="clear" w:color="auto" w:fill="auto"/>
            <w:vAlign w:val="center"/>
          </w:tcPr>
          <w:p w14:paraId="0481DFA7" w14:textId="77777777" w:rsidR="00152DA6" w:rsidRPr="0085100A" w:rsidRDefault="00152DA6" w:rsidP="0034185B">
            <w:pPr>
              <w:jc w:val="center"/>
            </w:pPr>
            <w:r w:rsidRPr="0085100A">
              <w:t>Total Respondent  cost</w:t>
            </w:r>
          </w:p>
        </w:tc>
      </w:tr>
      <w:tr w:rsidR="00EC20B6" w:rsidRPr="0085100A" w14:paraId="65DD8F8E" w14:textId="77777777" w:rsidTr="00992745">
        <w:trPr>
          <w:trHeight w:val="620"/>
        </w:trPr>
        <w:tc>
          <w:tcPr>
            <w:tcW w:w="1132" w:type="pct"/>
            <w:vMerge w:val="restart"/>
            <w:shd w:val="clear" w:color="auto" w:fill="auto"/>
            <w:vAlign w:val="center"/>
          </w:tcPr>
          <w:p w14:paraId="511B13C2" w14:textId="77777777" w:rsidR="00EC20B6" w:rsidRDefault="00EC20B6" w:rsidP="00EC20B6">
            <w:pPr>
              <w:jc w:val="center"/>
            </w:pPr>
            <w:r>
              <w:t xml:space="preserve">RPE Program Awardees </w:t>
            </w:r>
          </w:p>
          <w:p w14:paraId="5B88826F" w14:textId="1657C9A7" w:rsidR="00EC20B6" w:rsidRPr="0085100A" w:rsidRDefault="00EC20B6" w:rsidP="00EC20B6">
            <w:pPr>
              <w:jc w:val="center"/>
              <w:rPr>
                <w:color w:val="000000"/>
              </w:rPr>
            </w:pPr>
            <w:r>
              <w:t>(</w:t>
            </w:r>
            <w:r w:rsidRPr="0085100A">
              <w:t>State</w:t>
            </w:r>
            <w:r>
              <w:t>, District</w:t>
            </w:r>
            <w:r w:rsidRPr="0085100A">
              <w:t xml:space="preserve"> and Territorial Health Departments</w:t>
            </w:r>
            <w:r>
              <w:t>)</w:t>
            </w:r>
            <w:r w:rsidRPr="0085100A">
              <w:t xml:space="preserve"> </w:t>
            </w:r>
            <w:r>
              <w:t>or Designees</w:t>
            </w:r>
          </w:p>
        </w:tc>
        <w:tc>
          <w:tcPr>
            <w:tcW w:w="1600" w:type="pct"/>
            <w:gridSpan w:val="2"/>
            <w:shd w:val="clear" w:color="auto" w:fill="auto"/>
            <w:vAlign w:val="center"/>
          </w:tcPr>
          <w:p w14:paraId="15FD0D49" w14:textId="77777777" w:rsidR="00EC20B6" w:rsidRDefault="00EC20B6" w:rsidP="00EC20B6">
            <w:pPr>
              <w:jc w:val="center"/>
              <w:rPr>
                <w:color w:val="000000"/>
              </w:rPr>
            </w:pPr>
            <w:r w:rsidRPr="0085100A">
              <w:t>Work Plan Tool</w:t>
            </w:r>
            <w:r w:rsidRPr="0085100A">
              <w:rPr>
                <w:color w:val="000000"/>
              </w:rPr>
              <w:t xml:space="preserve"> </w:t>
            </w:r>
            <w:r>
              <w:rPr>
                <w:color w:val="000000"/>
              </w:rPr>
              <w:t>(</w:t>
            </w:r>
            <w:r w:rsidRPr="0085100A">
              <w:rPr>
                <w:color w:val="000000"/>
              </w:rPr>
              <w:t xml:space="preserve">Attachment </w:t>
            </w:r>
            <w:r>
              <w:rPr>
                <w:color w:val="000000"/>
              </w:rPr>
              <w:t>3 )</w:t>
            </w:r>
          </w:p>
          <w:p w14:paraId="1F00C9DF" w14:textId="4A63DA98" w:rsidR="00EC20B6" w:rsidRPr="0085100A" w:rsidRDefault="00EC20B6" w:rsidP="00EC20B6">
            <w:pPr>
              <w:jc w:val="center"/>
              <w:rPr>
                <w:color w:val="000000"/>
              </w:rPr>
            </w:pPr>
            <w:r>
              <w:rPr>
                <w:color w:val="000000"/>
              </w:rPr>
              <w:t xml:space="preserve">Initial Population </w:t>
            </w:r>
          </w:p>
        </w:tc>
        <w:tc>
          <w:tcPr>
            <w:tcW w:w="744" w:type="pct"/>
            <w:vAlign w:val="center"/>
          </w:tcPr>
          <w:p w14:paraId="646F4746" w14:textId="5376FF94" w:rsidR="00EC20B6" w:rsidRDefault="00EC20B6" w:rsidP="00EC20B6">
            <w:pPr>
              <w:jc w:val="center"/>
            </w:pPr>
            <w:r>
              <w:rPr>
                <w:color w:val="000000"/>
              </w:rPr>
              <w:t xml:space="preserve">180 </w:t>
            </w:r>
          </w:p>
        </w:tc>
        <w:tc>
          <w:tcPr>
            <w:tcW w:w="744" w:type="pct"/>
            <w:shd w:val="clear" w:color="auto" w:fill="auto"/>
            <w:vAlign w:val="center"/>
          </w:tcPr>
          <w:p w14:paraId="72662E6E" w14:textId="54EB5D83" w:rsidR="00EC20B6" w:rsidRPr="0085100A" w:rsidRDefault="00EC20B6" w:rsidP="00EC20B6">
            <w:pPr>
              <w:jc w:val="center"/>
              <w:rPr>
                <w:color w:val="000000"/>
              </w:rPr>
            </w:pPr>
            <w:r>
              <w:t>$50.99</w:t>
            </w:r>
          </w:p>
        </w:tc>
        <w:tc>
          <w:tcPr>
            <w:tcW w:w="780" w:type="pct"/>
            <w:shd w:val="clear" w:color="auto" w:fill="auto"/>
            <w:vAlign w:val="center"/>
          </w:tcPr>
          <w:p w14:paraId="55101AB6" w14:textId="533B293A" w:rsidR="00EC20B6" w:rsidRPr="0085100A" w:rsidRDefault="00EC20B6" w:rsidP="004B72B8">
            <w:pPr>
              <w:jc w:val="center"/>
              <w:rPr>
                <w:color w:val="000000"/>
              </w:rPr>
            </w:pPr>
            <w:r>
              <w:rPr>
                <w:color w:val="000000"/>
              </w:rPr>
              <w:t>$9,178.20</w:t>
            </w:r>
          </w:p>
        </w:tc>
      </w:tr>
      <w:tr w:rsidR="00EC20B6" w:rsidRPr="0085100A" w14:paraId="43DA423F" w14:textId="77777777" w:rsidTr="00992745">
        <w:trPr>
          <w:trHeight w:val="323"/>
        </w:trPr>
        <w:tc>
          <w:tcPr>
            <w:tcW w:w="1132" w:type="pct"/>
            <w:vMerge/>
            <w:shd w:val="clear" w:color="auto" w:fill="auto"/>
            <w:vAlign w:val="center"/>
          </w:tcPr>
          <w:p w14:paraId="7FD939D0" w14:textId="77777777" w:rsidR="00EC20B6" w:rsidRPr="0085100A" w:rsidRDefault="00EC20B6" w:rsidP="00EC20B6">
            <w:pPr>
              <w:jc w:val="center"/>
              <w:rPr>
                <w:color w:val="000000"/>
              </w:rPr>
            </w:pPr>
          </w:p>
        </w:tc>
        <w:tc>
          <w:tcPr>
            <w:tcW w:w="1600" w:type="pct"/>
            <w:gridSpan w:val="2"/>
            <w:shd w:val="clear" w:color="auto" w:fill="auto"/>
            <w:vAlign w:val="center"/>
          </w:tcPr>
          <w:p w14:paraId="5429912D" w14:textId="77777777" w:rsidR="00EC20B6" w:rsidRDefault="00EC20B6" w:rsidP="00EC20B6">
            <w:pPr>
              <w:jc w:val="center"/>
              <w:rPr>
                <w:color w:val="000000"/>
              </w:rPr>
            </w:pPr>
            <w:r w:rsidRPr="0085100A">
              <w:t xml:space="preserve">Program Report Tool </w:t>
            </w:r>
            <w:r>
              <w:t>(</w:t>
            </w:r>
            <w:r w:rsidRPr="0085100A">
              <w:rPr>
                <w:color w:val="000000"/>
              </w:rPr>
              <w:t xml:space="preserve">Attachment </w:t>
            </w:r>
            <w:r>
              <w:rPr>
                <w:color w:val="000000"/>
              </w:rPr>
              <w:t xml:space="preserve">4) </w:t>
            </w:r>
          </w:p>
          <w:p w14:paraId="4B8BCABC" w14:textId="1367E9F1" w:rsidR="00EC20B6" w:rsidRPr="0085100A" w:rsidRDefault="00EC20B6" w:rsidP="00EC20B6">
            <w:pPr>
              <w:jc w:val="center"/>
              <w:rPr>
                <w:color w:val="000000"/>
              </w:rPr>
            </w:pPr>
            <w:r>
              <w:rPr>
                <w:color w:val="000000"/>
              </w:rPr>
              <w:t>Initial Population</w:t>
            </w:r>
          </w:p>
        </w:tc>
        <w:tc>
          <w:tcPr>
            <w:tcW w:w="744" w:type="pct"/>
            <w:vAlign w:val="center"/>
          </w:tcPr>
          <w:p w14:paraId="693C3516" w14:textId="4E6204ED" w:rsidR="00EC20B6" w:rsidRDefault="00EC20B6" w:rsidP="00EC20B6">
            <w:pPr>
              <w:jc w:val="center"/>
            </w:pPr>
            <w:r>
              <w:rPr>
                <w:color w:val="000000"/>
              </w:rPr>
              <w:t>144</w:t>
            </w:r>
          </w:p>
        </w:tc>
        <w:tc>
          <w:tcPr>
            <w:tcW w:w="744" w:type="pct"/>
            <w:shd w:val="clear" w:color="auto" w:fill="auto"/>
            <w:vAlign w:val="center"/>
          </w:tcPr>
          <w:p w14:paraId="7152FB55" w14:textId="1C0E3CB9" w:rsidR="00EC20B6" w:rsidRPr="0085100A" w:rsidRDefault="00EC20B6" w:rsidP="00EC20B6">
            <w:pPr>
              <w:jc w:val="center"/>
              <w:rPr>
                <w:color w:val="000000"/>
              </w:rPr>
            </w:pPr>
            <w:r>
              <w:t>$50.99</w:t>
            </w:r>
          </w:p>
        </w:tc>
        <w:tc>
          <w:tcPr>
            <w:tcW w:w="780" w:type="pct"/>
            <w:shd w:val="clear" w:color="auto" w:fill="auto"/>
            <w:vAlign w:val="center"/>
          </w:tcPr>
          <w:p w14:paraId="1780D0E3" w14:textId="169E1192" w:rsidR="00EC20B6" w:rsidRPr="0085100A" w:rsidRDefault="00EC20B6" w:rsidP="004B72B8">
            <w:pPr>
              <w:jc w:val="center"/>
              <w:rPr>
                <w:color w:val="000000"/>
              </w:rPr>
            </w:pPr>
            <w:r>
              <w:rPr>
                <w:color w:val="000000"/>
              </w:rPr>
              <w:t>$7,342</w:t>
            </w:r>
            <w:r w:rsidRPr="0085100A">
              <w:rPr>
                <w:color w:val="000000"/>
              </w:rPr>
              <w:t>.</w:t>
            </w:r>
            <w:r>
              <w:rPr>
                <w:color w:val="000000"/>
              </w:rPr>
              <w:t>60</w:t>
            </w:r>
          </w:p>
        </w:tc>
      </w:tr>
      <w:tr w:rsidR="00EC20B6" w:rsidRPr="0085100A" w14:paraId="38412DE7" w14:textId="77777777" w:rsidTr="00992745">
        <w:trPr>
          <w:trHeight w:val="440"/>
        </w:trPr>
        <w:tc>
          <w:tcPr>
            <w:tcW w:w="1132" w:type="pct"/>
            <w:vMerge/>
            <w:shd w:val="clear" w:color="auto" w:fill="auto"/>
            <w:vAlign w:val="center"/>
          </w:tcPr>
          <w:p w14:paraId="78CDB851" w14:textId="77777777" w:rsidR="00EC20B6" w:rsidRPr="0085100A" w:rsidRDefault="00EC20B6" w:rsidP="00EC20B6">
            <w:pPr>
              <w:jc w:val="center"/>
              <w:rPr>
                <w:color w:val="000000"/>
              </w:rPr>
            </w:pPr>
          </w:p>
        </w:tc>
        <w:tc>
          <w:tcPr>
            <w:tcW w:w="1600" w:type="pct"/>
            <w:gridSpan w:val="2"/>
            <w:shd w:val="clear" w:color="auto" w:fill="auto"/>
            <w:vAlign w:val="center"/>
          </w:tcPr>
          <w:p w14:paraId="4C837ED8" w14:textId="77777777" w:rsidR="00EC20B6" w:rsidRDefault="00EC20B6" w:rsidP="00EC20B6">
            <w:pPr>
              <w:jc w:val="center"/>
              <w:rPr>
                <w:color w:val="000000"/>
              </w:rPr>
            </w:pPr>
            <w:r w:rsidRPr="0085100A">
              <w:t>Work Plan Tool</w:t>
            </w:r>
            <w:r w:rsidRPr="0085100A">
              <w:rPr>
                <w:color w:val="000000"/>
              </w:rPr>
              <w:t xml:space="preserve"> </w:t>
            </w:r>
            <w:r>
              <w:rPr>
                <w:color w:val="000000"/>
              </w:rPr>
              <w:t>(</w:t>
            </w:r>
            <w:r w:rsidRPr="0085100A">
              <w:rPr>
                <w:color w:val="000000"/>
              </w:rPr>
              <w:t xml:space="preserve">Attachment </w:t>
            </w:r>
            <w:r>
              <w:rPr>
                <w:color w:val="000000"/>
              </w:rPr>
              <w:t>3 )</w:t>
            </w:r>
          </w:p>
          <w:p w14:paraId="0724EA53" w14:textId="6BA5FAA2" w:rsidR="00EC20B6" w:rsidRPr="0085100A" w:rsidRDefault="00EC20B6" w:rsidP="00EC20B6">
            <w:pPr>
              <w:jc w:val="center"/>
            </w:pPr>
            <w:r>
              <w:rPr>
                <w:color w:val="000000"/>
              </w:rPr>
              <w:t xml:space="preserve">Annual Reporting </w:t>
            </w:r>
          </w:p>
        </w:tc>
        <w:tc>
          <w:tcPr>
            <w:tcW w:w="744" w:type="pct"/>
            <w:vAlign w:val="center"/>
          </w:tcPr>
          <w:p w14:paraId="2E3E1F09" w14:textId="102B96D3" w:rsidR="00EC20B6" w:rsidRDefault="00EC20B6" w:rsidP="00EC20B6">
            <w:pPr>
              <w:jc w:val="center"/>
            </w:pPr>
            <w:r>
              <w:rPr>
                <w:color w:val="000000"/>
              </w:rPr>
              <w:t>165</w:t>
            </w:r>
          </w:p>
        </w:tc>
        <w:tc>
          <w:tcPr>
            <w:tcW w:w="744" w:type="pct"/>
            <w:shd w:val="clear" w:color="auto" w:fill="auto"/>
            <w:vAlign w:val="center"/>
          </w:tcPr>
          <w:p w14:paraId="20396E8B" w14:textId="1839DBFC" w:rsidR="00EC20B6" w:rsidRDefault="00EC20B6" w:rsidP="00EC20B6">
            <w:pPr>
              <w:jc w:val="center"/>
            </w:pPr>
            <w:r>
              <w:t>$50.99</w:t>
            </w:r>
          </w:p>
        </w:tc>
        <w:tc>
          <w:tcPr>
            <w:tcW w:w="780" w:type="pct"/>
            <w:shd w:val="clear" w:color="auto" w:fill="auto"/>
            <w:vAlign w:val="center"/>
          </w:tcPr>
          <w:p w14:paraId="56528EE8" w14:textId="4D8CA114" w:rsidR="00EC20B6" w:rsidRDefault="00EC20B6" w:rsidP="004B72B8">
            <w:pPr>
              <w:jc w:val="center"/>
              <w:rPr>
                <w:color w:val="000000"/>
              </w:rPr>
            </w:pPr>
            <w:r>
              <w:rPr>
                <w:color w:val="000000"/>
              </w:rPr>
              <w:t>$8413.40</w:t>
            </w:r>
          </w:p>
        </w:tc>
      </w:tr>
      <w:tr w:rsidR="00EC20B6" w:rsidRPr="0085100A" w14:paraId="6C06F88A" w14:textId="77777777" w:rsidTr="00992745">
        <w:trPr>
          <w:trHeight w:val="80"/>
        </w:trPr>
        <w:tc>
          <w:tcPr>
            <w:tcW w:w="1132" w:type="pct"/>
            <w:vMerge/>
            <w:shd w:val="clear" w:color="auto" w:fill="auto"/>
            <w:vAlign w:val="center"/>
          </w:tcPr>
          <w:p w14:paraId="6F8A37A0" w14:textId="77777777" w:rsidR="00EC20B6" w:rsidRPr="0085100A" w:rsidRDefault="00EC20B6" w:rsidP="00EC20B6">
            <w:pPr>
              <w:jc w:val="center"/>
              <w:rPr>
                <w:color w:val="000000"/>
              </w:rPr>
            </w:pPr>
          </w:p>
        </w:tc>
        <w:tc>
          <w:tcPr>
            <w:tcW w:w="1600" w:type="pct"/>
            <w:gridSpan w:val="2"/>
            <w:shd w:val="clear" w:color="auto" w:fill="auto"/>
            <w:vAlign w:val="center"/>
          </w:tcPr>
          <w:p w14:paraId="598D14B5" w14:textId="77777777" w:rsidR="00EC20B6" w:rsidRDefault="00EC20B6" w:rsidP="00EC20B6">
            <w:pPr>
              <w:jc w:val="center"/>
              <w:rPr>
                <w:color w:val="000000"/>
              </w:rPr>
            </w:pPr>
            <w:r w:rsidRPr="0085100A">
              <w:t xml:space="preserve">Program Report Tool </w:t>
            </w:r>
            <w:r>
              <w:t>(</w:t>
            </w:r>
            <w:r w:rsidRPr="0085100A">
              <w:rPr>
                <w:color w:val="000000"/>
              </w:rPr>
              <w:t xml:space="preserve">Attachment </w:t>
            </w:r>
            <w:r>
              <w:rPr>
                <w:color w:val="000000"/>
              </w:rPr>
              <w:t xml:space="preserve">4) </w:t>
            </w:r>
          </w:p>
          <w:p w14:paraId="2484E1D9" w14:textId="4E137444" w:rsidR="00EC20B6" w:rsidRPr="0085100A" w:rsidRDefault="00EC20B6" w:rsidP="00EC20B6">
            <w:pPr>
              <w:jc w:val="center"/>
            </w:pPr>
            <w:r>
              <w:rPr>
                <w:color w:val="000000"/>
              </w:rPr>
              <w:t>Annual Reporting50.99</w:t>
            </w:r>
          </w:p>
        </w:tc>
        <w:tc>
          <w:tcPr>
            <w:tcW w:w="744" w:type="pct"/>
            <w:vAlign w:val="center"/>
          </w:tcPr>
          <w:p w14:paraId="18D90AE4" w14:textId="597F05F3" w:rsidR="00EC20B6" w:rsidRDefault="00EC20B6" w:rsidP="00EC20B6">
            <w:pPr>
              <w:jc w:val="center"/>
            </w:pPr>
            <w:r>
              <w:rPr>
                <w:color w:val="000000"/>
              </w:rPr>
              <w:t>165</w:t>
            </w:r>
          </w:p>
        </w:tc>
        <w:tc>
          <w:tcPr>
            <w:tcW w:w="744" w:type="pct"/>
            <w:shd w:val="clear" w:color="auto" w:fill="auto"/>
            <w:vAlign w:val="center"/>
          </w:tcPr>
          <w:p w14:paraId="59838420" w14:textId="7EB91B13" w:rsidR="00EC20B6" w:rsidRDefault="00EC20B6" w:rsidP="00EC20B6">
            <w:pPr>
              <w:jc w:val="center"/>
            </w:pPr>
            <w:r>
              <w:t>$50.99</w:t>
            </w:r>
          </w:p>
        </w:tc>
        <w:tc>
          <w:tcPr>
            <w:tcW w:w="780" w:type="pct"/>
            <w:shd w:val="clear" w:color="auto" w:fill="auto"/>
            <w:vAlign w:val="center"/>
          </w:tcPr>
          <w:p w14:paraId="25709B6A" w14:textId="7E4932B7" w:rsidR="00EC20B6" w:rsidRDefault="00EC20B6" w:rsidP="004B72B8">
            <w:pPr>
              <w:jc w:val="center"/>
              <w:rPr>
                <w:color w:val="000000"/>
              </w:rPr>
            </w:pPr>
            <w:r>
              <w:rPr>
                <w:color w:val="000000"/>
              </w:rPr>
              <w:t>$8413.40</w:t>
            </w:r>
          </w:p>
        </w:tc>
      </w:tr>
      <w:tr w:rsidR="00152DA6" w:rsidRPr="0085100A" w14:paraId="13B7AE3B" w14:textId="58804060" w:rsidTr="00992745">
        <w:trPr>
          <w:trHeight w:val="70"/>
        </w:trPr>
        <w:tc>
          <w:tcPr>
            <w:tcW w:w="1132" w:type="pct"/>
            <w:vMerge/>
            <w:shd w:val="clear" w:color="auto" w:fill="auto"/>
            <w:vAlign w:val="center"/>
          </w:tcPr>
          <w:p w14:paraId="272C440E" w14:textId="77777777" w:rsidR="00152DA6" w:rsidRPr="0085100A" w:rsidRDefault="00152DA6" w:rsidP="0029410B">
            <w:pPr>
              <w:jc w:val="center"/>
              <w:rPr>
                <w:color w:val="000000"/>
              </w:rPr>
            </w:pPr>
          </w:p>
        </w:tc>
        <w:tc>
          <w:tcPr>
            <w:tcW w:w="745" w:type="pct"/>
          </w:tcPr>
          <w:p w14:paraId="74536685" w14:textId="77777777" w:rsidR="00152DA6" w:rsidRDefault="00152DA6" w:rsidP="0084644A">
            <w:pPr>
              <w:jc w:val="right"/>
              <w:rPr>
                <w:color w:val="000000"/>
              </w:rPr>
            </w:pPr>
          </w:p>
        </w:tc>
        <w:tc>
          <w:tcPr>
            <w:tcW w:w="3123" w:type="pct"/>
            <w:gridSpan w:val="4"/>
            <w:shd w:val="clear" w:color="auto" w:fill="auto"/>
            <w:vAlign w:val="center"/>
          </w:tcPr>
          <w:p w14:paraId="4B32919E" w14:textId="3E619ED4" w:rsidR="00152DA6" w:rsidRPr="0085100A" w:rsidRDefault="00152DA6" w:rsidP="004B72B8">
            <w:pPr>
              <w:jc w:val="right"/>
              <w:rPr>
                <w:color w:val="000000"/>
              </w:rPr>
            </w:pPr>
            <w:r>
              <w:rPr>
                <w:color w:val="000000"/>
              </w:rPr>
              <w:t xml:space="preserve">Total                                      </w:t>
            </w:r>
            <w:r w:rsidRPr="0085100A">
              <w:rPr>
                <w:color w:val="000000"/>
              </w:rPr>
              <w:t>$</w:t>
            </w:r>
            <w:r w:rsidR="00884882">
              <w:rPr>
                <w:color w:val="000000"/>
              </w:rPr>
              <w:t>33</w:t>
            </w:r>
            <w:r w:rsidRPr="0085100A">
              <w:rPr>
                <w:color w:val="000000"/>
              </w:rPr>
              <w:t>,</w:t>
            </w:r>
            <w:r w:rsidR="00884882">
              <w:rPr>
                <w:color w:val="000000"/>
              </w:rPr>
              <w:t>347</w:t>
            </w:r>
            <w:r w:rsidRPr="0085100A">
              <w:rPr>
                <w:color w:val="000000"/>
              </w:rPr>
              <w:t>.5</w:t>
            </w:r>
            <w:r>
              <w:rPr>
                <w:color w:val="000000"/>
              </w:rPr>
              <w:t>0</w:t>
            </w:r>
          </w:p>
        </w:tc>
      </w:tr>
    </w:tbl>
    <w:p w14:paraId="4C9ADA1C" w14:textId="77777777" w:rsidR="0029410B" w:rsidRPr="0085100A" w:rsidRDefault="0029410B" w:rsidP="002B359E"/>
    <w:p w14:paraId="58D8339F" w14:textId="1F226835" w:rsidR="00972DEF" w:rsidRPr="0085100A" w:rsidRDefault="000B487F" w:rsidP="000B487F">
      <w:pPr>
        <w:pStyle w:val="Heading2"/>
      </w:pPr>
      <w:bookmarkStart w:id="18" w:name="_Toc447176437"/>
      <w:r>
        <w:t>A.13.</w:t>
      </w:r>
      <w:r>
        <w:tab/>
      </w:r>
      <w:r w:rsidR="00972DEF" w:rsidRPr="0085100A">
        <w:t>Estimates of Other Total Annual Cost Burden to Respondents or Record Keepers</w:t>
      </w:r>
      <w:bookmarkEnd w:id="18"/>
    </w:p>
    <w:p w14:paraId="1171AFD4" w14:textId="77777777" w:rsidR="009A75DD" w:rsidRPr="0085100A" w:rsidRDefault="009A75DD" w:rsidP="009A75DD"/>
    <w:p w14:paraId="6A530918" w14:textId="62E42357" w:rsidR="00946FE0" w:rsidRDefault="00946FE0" w:rsidP="00946FE0">
      <w:r w:rsidRPr="0085100A">
        <w:t>No capital or maintenance costs are expected. Additionally, there are no start-up, hardware, or software costs.</w:t>
      </w:r>
    </w:p>
    <w:p w14:paraId="7C10B9FF" w14:textId="77777777" w:rsidR="00496128" w:rsidRPr="0085100A" w:rsidRDefault="00496128" w:rsidP="00946FE0"/>
    <w:p w14:paraId="58D833A0" w14:textId="77777777" w:rsidR="00E704DE" w:rsidRPr="0085100A" w:rsidRDefault="00E704DE" w:rsidP="00E704DE">
      <w:pPr>
        <w:rPr>
          <w:b/>
        </w:rPr>
      </w:pPr>
    </w:p>
    <w:p w14:paraId="58D833A1" w14:textId="46036A1A" w:rsidR="00972DEF" w:rsidRPr="0085100A" w:rsidRDefault="00972DEF" w:rsidP="000B487F">
      <w:pPr>
        <w:pStyle w:val="Heading2"/>
      </w:pPr>
      <w:bookmarkStart w:id="19" w:name="_Toc447176438"/>
      <w:r w:rsidRPr="0085100A">
        <w:t>A.14.</w:t>
      </w:r>
      <w:r w:rsidR="000B487F">
        <w:tab/>
      </w:r>
      <w:r w:rsidRPr="0085100A">
        <w:t>Annualized Cost to the Government</w:t>
      </w:r>
      <w:bookmarkEnd w:id="19"/>
      <w:r w:rsidRPr="0085100A">
        <w:t xml:space="preserve"> </w:t>
      </w:r>
    </w:p>
    <w:p w14:paraId="7C279C5A" w14:textId="77777777" w:rsidR="009A75DD" w:rsidRPr="0085100A" w:rsidRDefault="009A75DD" w:rsidP="009A75DD"/>
    <w:p w14:paraId="64E6E5C6" w14:textId="59DA0099" w:rsidR="009A75DD" w:rsidRPr="0085100A" w:rsidRDefault="009A75DD" w:rsidP="009A75DD">
      <w:r w:rsidRPr="0085100A">
        <w:t>The average annualized cost to the federal government is $</w:t>
      </w:r>
      <w:r w:rsidR="00986691">
        <w:t>84,</w:t>
      </w:r>
      <w:r w:rsidR="006B0F63">
        <w:t>2</w:t>
      </w:r>
      <w:r w:rsidR="00986691">
        <w:t>00</w:t>
      </w:r>
      <w:r w:rsidRPr="0085100A">
        <w:t>, as summarized in T</w:t>
      </w:r>
      <w:r w:rsidR="002B7EEC" w:rsidRPr="0085100A">
        <w:t>able A.14</w:t>
      </w:r>
      <w:r w:rsidRPr="0085100A">
        <w:t xml:space="preserve">.  Major cost factors for the </w:t>
      </w:r>
      <w:r w:rsidRPr="0085100A">
        <w:rPr>
          <w:color w:val="000000"/>
        </w:rPr>
        <w:t xml:space="preserve">electronic information collection system </w:t>
      </w:r>
      <w:r w:rsidRPr="0085100A">
        <w:t xml:space="preserve">include design and development costs </w:t>
      </w:r>
      <w:r w:rsidR="002E79A9" w:rsidRPr="0085100A">
        <w:t>as well as</w:t>
      </w:r>
      <w:r w:rsidRPr="0085100A">
        <w:t xml:space="preserve"> data analysis and reporting costs. </w:t>
      </w:r>
    </w:p>
    <w:p w14:paraId="5B9FC238" w14:textId="418C6090" w:rsidR="0034185B" w:rsidRDefault="0034185B"/>
    <w:p w14:paraId="4F21599C" w14:textId="26992150" w:rsidR="009A75DD" w:rsidRPr="0085100A" w:rsidRDefault="002B7EEC" w:rsidP="009A75DD">
      <w:pPr>
        <w:pStyle w:val="SL-FlLftSgl"/>
      </w:pPr>
      <w:r w:rsidRPr="0085100A">
        <w:t>Table A.14.</w:t>
      </w:r>
      <w:r w:rsidR="009A75DD" w:rsidRPr="0085100A">
        <w:t xml:space="preserve"> Estimated Annualized Cost to the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3"/>
        <w:gridCol w:w="3093"/>
        <w:gridCol w:w="3164"/>
      </w:tblGrid>
      <w:tr w:rsidR="00013F0A" w:rsidRPr="00F17BB3" w14:paraId="58D833A8" w14:textId="77777777" w:rsidTr="00E1224B">
        <w:tc>
          <w:tcPr>
            <w:tcW w:w="1654" w:type="pct"/>
          </w:tcPr>
          <w:p w14:paraId="58D833A5" w14:textId="77777777" w:rsidR="00013F0A" w:rsidRPr="00F17BB3" w:rsidRDefault="00013F0A" w:rsidP="00013F0A">
            <w:pPr>
              <w:rPr>
                <w:b/>
              </w:rPr>
            </w:pPr>
            <w:r w:rsidRPr="00F17BB3">
              <w:rPr>
                <w:b/>
              </w:rPr>
              <w:t>Type of Cost</w:t>
            </w:r>
          </w:p>
        </w:tc>
        <w:tc>
          <w:tcPr>
            <w:tcW w:w="1654" w:type="pct"/>
          </w:tcPr>
          <w:p w14:paraId="58D833A6" w14:textId="77777777" w:rsidR="00013F0A" w:rsidRPr="00F17BB3" w:rsidRDefault="00013F0A" w:rsidP="00013F0A">
            <w:pPr>
              <w:rPr>
                <w:b/>
              </w:rPr>
            </w:pPr>
            <w:r w:rsidRPr="00F17BB3">
              <w:rPr>
                <w:b/>
              </w:rPr>
              <w:t>Description of Services</w:t>
            </w:r>
          </w:p>
        </w:tc>
        <w:tc>
          <w:tcPr>
            <w:tcW w:w="1692" w:type="pct"/>
          </w:tcPr>
          <w:p w14:paraId="58D833A7" w14:textId="77777777" w:rsidR="00013F0A" w:rsidRPr="00F17BB3" w:rsidRDefault="00013F0A" w:rsidP="00013F0A">
            <w:pPr>
              <w:rPr>
                <w:b/>
              </w:rPr>
            </w:pPr>
            <w:r w:rsidRPr="00F17BB3">
              <w:rPr>
                <w:b/>
              </w:rPr>
              <w:t>Annual Cost</w:t>
            </w:r>
          </w:p>
        </w:tc>
      </w:tr>
      <w:tr w:rsidR="00013F0A" w:rsidRPr="0085100A" w14:paraId="58D833AC" w14:textId="77777777" w:rsidTr="00E1224B">
        <w:tc>
          <w:tcPr>
            <w:tcW w:w="1654" w:type="pct"/>
          </w:tcPr>
          <w:p w14:paraId="56A7D96D" w14:textId="77777777" w:rsidR="009A75DD" w:rsidRPr="0085100A" w:rsidRDefault="009A75DD" w:rsidP="009A75DD">
            <w:r w:rsidRPr="0085100A">
              <w:t>CDC Personnel</w:t>
            </w:r>
          </w:p>
          <w:p w14:paraId="58D833A9" w14:textId="77777777" w:rsidR="00013F0A" w:rsidRPr="0085100A" w:rsidRDefault="00013F0A" w:rsidP="00013F0A">
            <w:pPr>
              <w:rPr>
                <w:vertAlign w:val="superscript"/>
              </w:rPr>
            </w:pPr>
          </w:p>
        </w:tc>
        <w:tc>
          <w:tcPr>
            <w:tcW w:w="1654" w:type="pct"/>
          </w:tcPr>
          <w:p w14:paraId="1A92ABCE" w14:textId="6ECA342A" w:rsidR="009A75DD" w:rsidRPr="0085100A" w:rsidRDefault="006B0F63" w:rsidP="002E79A9">
            <w:pPr>
              <w:contextualSpacing/>
            </w:pPr>
            <w:r>
              <w:t>40</w:t>
            </w:r>
            <w:r w:rsidR="009A75DD" w:rsidRPr="0085100A">
              <w:t xml:space="preserve">% </w:t>
            </w:r>
            <w:r w:rsidR="002E79A9" w:rsidRPr="0085100A">
              <w:t xml:space="preserve">salary (assuming </w:t>
            </w:r>
            <w:r w:rsidR="009A75DD" w:rsidRPr="0085100A">
              <w:t>GS-13</w:t>
            </w:r>
            <w:r w:rsidR="002E79A9" w:rsidRPr="0085100A">
              <w:t xml:space="preserve"> at </w:t>
            </w:r>
            <w:r w:rsidR="009A75DD" w:rsidRPr="0085100A">
              <w:t>$85,500/year</w:t>
            </w:r>
            <w:r w:rsidR="002E79A9" w:rsidRPr="0085100A">
              <w:t xml:space="preserve">) </w:t>
            </w:r>
            <w:r w:rsidR="009A75DD" w:rsidRPr="0085100A">
              <w:t>= $</w:t>
            </w:r>
            <w:r>
              <w:t>34</w:t>
            </w:r>
            <w:r w:rsidR="009A75DD" w:rsidRPr="0085100A">
              <w:t>,</w:t>
            </w:r>
            <w:r>
              <w:t>2</w:t>
            </w:r>
            <w:r w:rsidR="009A75DD" w:rsidRPr="0085100A">
              <w:t>00</w:t>
            </w:r>
          </w:p>
          <w:p w14:paraId="07D5B6B6" w14:textId="77777777" w:rsidR="009A75DD" w:rsidRPr="0085100A" w:rsidRDefault="009A75DD" w:rsidP="009A75DD">
            <w:pPr>
              <w:jc w:val="right"/>
            </w:pPr>
          </w:p>
          <w:p w14:paraId="58D833AA" w14:textId="2CCF126D" w:rsidR="00013F0A" w:rsidRPr="0085100A" w:rsidRDefault="009A75DD" w:rsidP="009A75DD">
            <w:r w:rsidRPr="0085100A">
              <w:t>Subtotal, CDC Personnel</w:t>
            </w:r>
          </w:p>
        </w:tc>
        <w:tc>
          <w:tcPr>
            <w:tcW w:w="1692" w:type="pct"/>
            <w:vAlign w:val="center"/>
          </w:tcPr>
          <w:p w14:paraId="1609E60D" w14:textId="77777777" w:rsidR="002E79A9" w:rsidRPr="0085100A" w:rsidRDefault="002E79A9" w:rsidP="001F3081">
            <w:pPr>
              <w:jc w:val="right"/>
            </w:pPr>
          </w:p>
          <w:p w14:paraId="14CB4C7A" w14:textId="77777777" w:rsidR="002E79A9" w:rsidRPr="0085100A" w:rsidRDefault="002E79A9" w:rsidP="001F3081">
            <w:pPr>
              <w:jc w:val="right"/>
            </w:pPr>
          </w:p>
          <w:p w14:paraId="5641B04C" w14:textId="77777777" w:rsidR="002E79A9" w:rsidRPr="0085100A" w:rsidRDefault="002E79A9" w:rsidP="001F3081">
            <w:pPr>
              <w:jc w:val="right"/>
            </w:pPr>
          </w:p>
          <w:p w14:paraId="58D833AB" w14:textId="5EA05CAA" w:rsidR="00013F0A" w:rsidRPr="0085100A" w:rsidRDefault="006B0F63" w:rsidP="006B0F63">
            <w:pPr>
              <w:jc w:val="right"/>
            </w:pPr>
            <w:r>
              <w:t>$</w:t>
            </w:r>
            <w:r w:rsidR="002E79A9" w:rsidRPr="0085100A">
              <w:t>34,</w:t>
            </w:r>
            <w:r>
              <w:t>2</w:t>
            </w:r>
            <w:r w:rsidR="002E79A9" w:rsidRPr="0085100A">
              <w:t>00</w:t>
            </w:r>
          </w:p>
        </w:tc>
      </w:tr>
      <w:tr w:rsidR="009A75DD" w:rsidRPr="0085100A" w14:paraId="71FD0934" w14:textId="77777777" w:rsidTr="00E46D9D">
        <w:trPr>
          <w:trHeight w:val="296"/>
        </w:trPr>
        <w:tc>
          <w:tcPr>
            <w:tcW w:w="1654" w:type="pct"/>
          </w:tcPr>
          <w:p w14:paraId="03A148C0" w14:textId="50C4E329" w:rsidR="009A75DD" w:rsidRPr="0085100A" w:rsidRDefault="009A75DD" w:rsidP="009A75DD">
            <w:r w:rsidRPr="0085100A">
              <w:t xml:space="preserve">Contractor </w:t>
            </w:r>
          </w:p>
        </w:tc>
        <w:tc>
          <w:tcPr>
            <w:tcW w:w="1654" w:type="pct"/>
          </w:tcPr>
          <w:p w14:paraId="5D709D41" w14:textId="61847A8B" w:rsidR="009A75DD" w:rsidRPr="0085100A" w:rsidRDefault="0034185B" w:rsidP="002E79A9">
            <w:pPr>
              <w:contextualSpacing/>
            </w:pPr>
            <w:r>
              <w:t>Data System</w:t>
            </w:r>
            <w:r w:rsidR="002B7EEC" w:rsidRPr="0085100A">
              <w:t xml:space="preserve"> Contractor</w:t>
            </w:r>
          </w:p>
        </w:tc>
        <w:tc>
          <w:tcPr>
            <w:tcW w:w="1692" w:type="pct"/>
            <w:vAlign w:val="center"/>
          </w:tcPr>
          <w:p w14:paraId="444DA699" w14:textId="09142D8C" w:rsidR="009A75DD" w:rsidRPr="0085100A" w:rsidRDefault="006B0F63" w:rsidP="001F3081">
            <w:pPr>
              <w:jc w:val="right"/>
            </w:pPr>
            <w:r>
              <w:t>$</w:t>
            </w:r>
            <w:r w:rsidR="00986691">
              <w:t>50,000</w:t>
            </w:r>
          </w:p>
        </w:tc>
      </w:tr>
      <w:tr w:rsidR="00013F0A" w:rsidRPr="0085100A" w14:paraId="58D833AF" w14:textId="77777777" w:rsidTr="00E46D9D">
        <w:trPr>
          <w:trHeight w:val="350"/>
        </w:trPr>
        <w:tc>
          <w:tcPr>
            <w:tcW w:w="3308" w:type="pct"/>
            <w:gridSpan w:val="2"/>
          </w:tcPr>
          <w:p w14:paraId="58D833AD" w14:textId="77777777" w:rsidR="00013F0A" w:rsidRPr="0085100A" w:rsidRDefault="00013F0A" w:rsidP="00013F0A">
            <w:pPr>
              <w:jc w:val="right"/>
              <w:rPr>
                <w:bCs/>
              </w:rPr>
            </w:pPr>
            <w:r w:rsidRPr="0085100A">
              <w:rPr>
                <w:bCs/>
              </w:rPr>
              <w:t>Total Annual Estimated Costs</w:t>
            </w:r>
          </w:p>
        </w:tc>
        <w:tc>
          <w:tcPr>
            <w:tcW w:w="1692" w:type="pct"/>
          </w:tcPr>
          <w:p w14:paraId="58D833AE" w14:textId="002CD49B" w:rsidR="00013F0A" w:rsidRPr="0085100A" w:rsidRDefault="006B0F63" w:rsidP="006B0F63">
            <w:pPr>
              <w:jc w:val="right"/>
              <w:rPr>
                <w:b/>
                <w:bCs/>
              </w:rPr>
            </w:pPr>
            <w:r>
              <w:rPr>
                <w:b/>
                <w:bCs/>
              </w:rPr>
              <w:t>$</w:t>
            </w:r>
            <w:r w:rsidR="00986691">
              <w:rPr>
                <w:b/>
                <w:bCs/>
              </w:rPr>
              <w:t>84,</w:t>
            </w:r>
            <w:r>
              <w:rPr>
                <w:b/>
                <w:bCs/>
              </w:rPr>
              <w:t>2</w:t>
            </w:r>
            <w:r w:rsidR="00986691">
              <w:rPr>
                <w:b/>
                <w:bCs/>
              </w:rPr>
              <w:t>00</w:t>
            </w:r>
          </w:p>
        </w:tc>
      </w:tr>
    </w:tbl>
    <w:p w14:paraId="58D833B0" w14:textId="77777777" w:rsidR="0069469E" w:rsidRDefault="0069469E" w:rsidP="00BE2065">
      <w:pPr>
        <w:autoSpaceDE w:val="0"/>
        <w:autoSpaceDN w:val="0"/>
        <w:adjustRightInd w:val="0"/>
        <w:rPr>
          <w:rFonts w:ascii="TimesNewRomanPSMT" w:hAnsi="TimesNewRomanPSMT" w:cs="TimesNewRomanPSMT"/>
        </w:rPr>
      </w:pPr>
    </w:p>
    <w:p w14:paraId="58D833B1" w14:textId="24CC2024" w:rsidR="00972DEF" w:rsidRPr="0085100A" w:rsidRDefault="00972DEF" w:rsidP="000B487F">
      <w:pPr>
        <w:pStyle w:val="Heading2"/>
      </w:pPr>
      <w:bookmarkStart w:id="20" w:name="_Toc447176439"/>
      <w:r w:rsidRPr="0085100A">
        <w:t>A.15.</w:t>
      </w:r>
      <w:r w:rsidR="000B487F">
        <w:tab/>
      </w:r>
      <w:r w:rsidRPr="0085100A">
        <w:t>Explanation for Program Changes or Adjustments</w:t>
      </w:r>
      <w:bookmarkEnd w:id="20"/>
      <w:r w:rsidRPr="0085100A">
        <w:t xml:space="preserve"> </w:t>
      </w:r>
    </w:p>
    <w:p w14:paraId="3CEE889D" w14:textId="77777777" w:rsidR="009A75DD" w:rsidRPr="0085100A" w:rsidRDefault="009A75DD" w:rsidP="009A75DD">
      <w:pPr>
        <w:tabs>
          <w:tab w:val="left" w:pos="0"/>
        </w:tabs>
        <w:ind w:hanging="90"/>
      </w:pPr>
      <w:r w:rsidRPr="0085100A">
        <w:tab/>
      </w:r>
    </w:p>
    <w:p w14:paraId="674AD587" w14:textId="25FBD072" w:rsidR="009A75DD" w:rsidRDefault="009A75DD" w:rsidP="009A75DD">
      <w:pPr>
        <w:tabs>
          <w:tab w:val="left" w:pos="0"/>
        </w:tabs>
        <w:ind w:hanging="90"/>
      </w:pPr>
      <w:r w:rsidRPr="0085100A">
        <w:t xml:space="preserve">This is a new collection.  </w:t>
      </w:r>
    </w:p>
    <w:p w14:paraId="58D833B2" w14:textId="77777777" w:rsidR="00C55DD2" w:rsidRDefault="00C55DD2" w:rsidP="00972DEF">
      <w:pPr>
        <w:autoSpaceDE w:val="0"/>
        <w:autoSpaceDN w:val="0"/>
        <w:adjustRightInd w:val="0"/>
        <w:rPr>
          <w:b/>
          <w:bCs/>
        </w:rPr>
      </w:pPr>
    </w:p>
    <w:p w14:paraId="6A2C2AF8" w14:textId="77777777" w:rsidR="005A354B" w:rsidRPr="0085100A" w:rsidRDefault="005A354B" w:rsidP="00972DEF">
      <w:pPr>
        <w:autoSpaceDE w:val="0"/>
        <w:autoSpaceDN w:val="0"/>
        <w:adjustRightInd w:val="0"/>
        <w:rPr>
          <w:b/>
          <w:bCs/>
        </w:rPr>
      </w:pPr>
    </w:p>
    <w:p w14:paraId="58D833B3" w14:textId="3F434203" w:rsidR="00972DEF" w:rsidRPr="0085100A" w:rsidRDefault="00972DEF" w:rsidP="000B487F">
      <w:pPr>
        <w:pStyle w:val="Heading2"/>
      </w:pPr>
      <w:bookmarkStart w:id="21" w:name="_Toc447176440"/>
      <w:r w:rsidRPr="0085100A">
        <w:t>A.16.</w:t>
      </w:r>
      <w:r w:rsidR="000B487F">
        <w:tab/>
      </w:r>
      <w:r w:rsidRPr="0085100A">
        <w:t>Plans for Tabulation</w:t>
      </w:r>
      <w:r w:rsidR="00203955" w:rsidRPr="0085100A">
        <w:t xml:space="preserve"> and </w:t>
      </w:r>
      <w:r w:rsidRPr="0085100A">
        <w:t>Publication, and Project Time Schedule</w:t>
      </w:r>
      <w:bookmarkEnd w:id="21"/>
      <w:r w:rsidRPr="0085100A">
        <w:t xml:space="preserve"> </w:t>
      </w:r>
    </w:p>
    <w:p w14:paraId="334CF1E1" w14:textId="77777777" w:rsidR="009A75DD" w:rsidRPr="0085100A" w:rsidRDefault="009A75DD" w:rsidP="009A75DD"/>
    <w:p w14:paraId="0766F5CC" w14:textId="77777777" w:rsidR="002B7EEC" w:rsidRPr="0085100A" w:rsidRDefault="002B7EEC" w:rsidP="002B7EEC">
      <w:pPr>
        <w:autoSpaceDE w:val="0"/>
        <w:autoSpaceDN w:val="0"/>
        <w:adjustRightInd w:val="0"/>
        <w:rPr>
          <w:bCs/>
        </w:rPr>
      </w:pPr>
      <w:r w:rsidRPr="0085100A">
        <w:rPr>
          <w:bCs/>
        </w:rPr>
        <w:t xml:space="preserve">A. </w:t>
      </w:r>
      <w:r w:rsidRPr="0085100A">
        <w:rPr>
          <w:bCs/>
          <w:u w:val="single"/>
        </w:rPr>
        <w:t>Time schedule for the entire project</w:t>
      </w:r>
    </w:p>
    <w:p w14:paraId="13F05559" w14:textId="5E649494" w:rsidR="002B7EEC" w:rsidRPr="0085100A" w:rsidRDefault="002B7EEC" w:rsidP="002B7EEC">
      <w:pPr>
        <w:autoSpaceDE w:val="0"/>
        <w:autoSpaceDN w:val="0"/>
        <w:adjustRightInd w:val="0"/>
        <w:rPr>
          <w:bCs/>
        </w:rPr>
      </w:pPr>
      <w:r w:rsidRPr="0085100A">
        <w:rPr>
          <w:bCs/>
        </w:rPr>
        <w:t xml:space="preserve">The cooperative agreement cycle is </w:t>
      </w:r>
      <w:r w:rsidR="007D2758" w:rsidRPr="0085100A">
        <w:rPr>
          <w:bCs/>
        </w:rPr>
        <w:t>five</w:t>
      </w:r>
      <w:r w:rsidRPr="0085100A">
        <w:rPr>
          <w:bCs/>
        </w:rPr>
        <w:t xml:space="preserve"> years. OMB approval is being requested for </w:t>
      </w:r>
      <w:r w:rsidR="00FA1A40">
        <w:rPr>
          <w:bCs/>
        </w:rPr>
        <w:t>three years</w:t>
      </w:r>
      <w:r w:rsidRPr="0085100A">
        <w:rPr>
          <w:bCs/>
        </w:rPr>
        <w:t>. Reports will be generated by the awardees per the FOA requirements once a year due 120 days before the end of the</w:t>
      </w:r>
      <w:r w:rsidR="007D2758" w:rsidRPr="0085100A">
        <w:rPr>
          <w:bCs/>
        </w:rPr>
        <w:t xml:space="preserve"> budget period.</w:t>
      </w:r>
      <w:r w:rsidRPr="0085100A">
        <w:rPr>
          <w:bCs/>
        </w:rPr>
        <w:t xml:space="preserve"> </w:t>
      </w:r>
    </w:p>
    <w:p w14:paraId="060700B1" w14:textId="77777777" w:rsidR="002B7EEC" w:rsidRPr="0085100A" w:rsidRDefault="002B7EEC" w:rsidP="002B7EEC">
      <w:pPr>
        <w:autoSpaceDE w:val="0"/>
        <w:autoSpaceDN w:val="0"/>
        <w:adjustRightInd w:val="0"/>
        <w:rPr>
          <w:bCs/>
        </w:rPr>
      </w:pPr>
    </w:p>
    <w:p w14:paraId="55B2331B" w14:textId="77777777" w:rsidR="002B7EEC" w:rsidRPr="0085100A" w:rsidRDefault="002B7EEC" w:rsidP="002B7EEC">
      <w:pPr>
        <w:autoSpaceDE w:val="0"/>
        <w:autoSpaceDN w:val="0"/>
        <w:adjustRightInd w:val="0"/>
        <w:rPr>
          <w:bCs/>
        </w:rPr>
      </w:pPr>
      <w:r w:rsidRPr="0085100A">
        <w:rPr>
          <w:bCs/>
        </w:rPr>
        <w:t xml:space="preserve">B. </w:t>
      </w:r>
      <w:r w:rsidRPr="0085100A">
        <w:rPr>
          <w:bCs/>
          <w:u w:val="single"/>
        </w:rPr>
        <w:t>Publication plan</w:t>
      </w:r>
    </w:p>
    <w:p w14:paraId="5B6A04D9" w14:textId="1036C329" w:rsidR="002B7EEC" w:rsidRDefault="00AA0F8B" w:rsidP="002B7EEC">
      <w:pPr>
        <w:autoSpaceDE w:val="0"/>
        <w:autoSpaceDN w:val="0"/>
        <w:adjustRightInd w:val="0"/>
      </w:pPr>
      <w:r>
        <w:rPr>
          <w:bCs/>
        </w:rPr>
        <w:t>I</w:t>
      </w:r>
      <w:r w:rsidRPr="0085100A">
        <w:rPr>
          <w:bCs/>
        </w:rPr>
        <w:t xml:space="preserve">nformation collected by the awardees will be reported </w:t>
      </w:r>
      <w:r>
        <w:rPr>
          <w:bCs/>
        </w:rPr>
        <w:t xml:space="preserve">to CDC leadership </w:t>
      </w:r>
      <w:r w:rsidRPr="0085100A">
        <w:rPr>
          <w:bCs/>
        </w:rPr>
        <w:t xml:space="preserve">and shared </w:t>
      </w:r>
      <w:r>
        <w:rPr>
          <w:bCs/>
        </w:rPr>
        <w:t>back with awardees</w:t>
      </w:r>
      <w:r w:rsidRPr="0085100A">
        <w:rPr>
          <w:bCs/>
        </w:rPr>
        <w:t>.</w:t>
      </w:r>
      <w:r w:rsidRPr="00B83F16">
        <w:t xml:space="preserve"> </w:t>
      </w:r>
      <w:r w:rsidRPr="0085100A">
        <w:t>CDC will also generate reports that describe activities across multiple awardees</w:t>
      </w:r>
      <w:r>
        <w:t xml:space="preserve"> and able to provide this information back to awardees or </w:t>
      </w:r>
      <w:r w:rsidRPr="0085100A">
        <w:t xml:space="preserve">to respond to inquiries from HHS, the White House, Congress and other stakeholders about </w:t>
      </w:r>
      <w:r>
        <w:t>the national RPE Program</w:t>
      </w:r>
      <w:r w:rsidRPr="0085100A">
        <w:t xml:space="preserve"> activities and their impact</w:t>
      </w:r>
      <w:r>
        <w:t xml:space="preserve">. </w:t>
      </w:r>
      <w:r w:rsidR="00A634DF">
        <w:t xml:space="preserve">CDC will also report data to other external audiences, as needed, to describe the state of sexual violence prevention activities across the nation. </w:t>
      </w:r>
      <w:r>
        <w:t>Information will be analyzed and synthesized for specific reporting purpose and response to inquiries. Such reports will be used inform RPE Program impact as well as TA and planning of programmatic efforts.</w:t>
      </w:r>
      <w:r w:rsidR="00004B80">
        <w:t xml:space="preserve">  </w:t>
      </w:r>
    </w:p>
    <w:p w14:paraId="4F6AD47B" w14:textId="77777777" w:rsidR="00FA3F78" w:rsidRDefault="00FA3F78" w:rsidP="002B7EEC">
      <w:pPr>
        <w:autoSpaceDE w:val="0"/>
        <w:autoSpaceDN w:val="0"/>
        <w:adjustRightInd w:val="0"/>
        <w:rPr>
          <w:bCs/>
        </w:rPr>
      </w:pPr>
    </w:p>
    <w:p w14:paraId="3B7953A5" w14:textId="77777777" w:rsidR="005A354B" w:rsidRPr="0085100A" w:rsidRDefault="005A354B" w:rsidP="002B7EEC">
      <w:pPr>
        <w:autoSpaceDE w:val="0"/>
        <w:autoSpaceDN w:val="0"/>
        <w:adjustRightInd w:val="0"/>
        <w:rPr>
          <w:bCs/>
        </w:rPr>
      </w:pPr>
    </w:p>
    <w:p w14:paraId="0D48F272" w14:textId="77777777" w:rsidR="002B7EEC" w:rsidRPr="0085100A" w:rsidRDefault="002B7EEC" w:rsidP="002B7EEC">
      <w:pPr>
        <w:autoSpaceDE w:val="0"/>
        <w:autoSpaceDN w:val="0"/>
        <w:adjustRightInd w:val="0"/>
        <w:rPr>
          <w:bCs/>
        </w:rPr>
      </w:pPr>
      <w:r w:rsidRPr="0085100A">
        <w:rPr>
          <w:bCs/>
        </w:rPr>
        <w:t xml:space="preserve">C. </w:t>
      </w:r>
      <w:r w:rsidRPr="0085100A">
        <w:rPr>
          <w:bCs/>
          <w:u w:val="single"/>
        </w:rPr>
        <w:t>Analysis plan</w:t>
      </w:r>
    </w:p>
    <w:p w14:paraId="4289AB52" w14:textId="28F5D008" w:rsidR="002B7EEC" w:rsidRPr="0085100A" w:rsidRDefault="002B7EEC" w:rsidP="002B7EEC">
      <w:pPr>
        <w:autoSpaceDE w:val="0"/>
        <w:autoSpaceDN w:val="0"/>
        <w:adjustRightInd w:val="0"/>
        <w:rPr>
          <w:bCs/>
        </w:rPr>
      </w:pPr>
      <w:r w:rsidRPr="0085100A">
        <w:rPr>
          <w:bCs/>
        </w:rPr>
        <w:t>CDC will not use complex statistical methods for analyzing information. Most statistical analyses will be descriptive</w:t>
      </w:r>
      <w:r w:rsidR="001418B2" w:rsidRPr="0085100A">
        <w:rPr>
          <w:bCs/>
        </w:rPr>
        <w:t xml:space="preserve"> (i.e., frequencies and crosstabs)</w:t>
      </w:r>
      <w:r w:rsidR="00A21CEF">
        <w:rPr>
          <w:bCs/>
        </w:rPr>
        <w:t xml:space="preserve"> and content analysis</w:t>
      </w:r>
      <w:r w:rsidRPr="0085100A">
        <w:rPr>
          <w:bCs/>
        </w:rPr>
        <w:t xml:space="preserve">. </w:t>
      </w:r>
      <w:r w:rsidR="0051742C">
        <w:rPr>
          <w:bCs/>
        </w:rPr>
        <w:t>For example</w:t>
      </w:r>
      <w:r w:rsidRPr="0085100A">
        <w:rPr>
          <w:bCs/>
        </w:rPr>
        <w:t>, the percent of objective</w:t>
      </w:r>
      <w:r w:rsidR="0051742C">
        <w:rPr>
          <w:bCs/>
        </w:rPr>
        <w:t>s</w:t>
      </w:r>
      <w:r w:rsidRPr="0085100A">
        <w:rPr>
          <w:bCs/>
        </w:rPr>
        <w:t xml:space="preserve"> met versus proposed will also be documented and analyzed. Furthermore, the information in the work plan will allow for CDC staff to monitor program activities and implementation and provide </w:t>
      </w:r>
      <w:r w:rsidR="007167B3">
        <w:rPr>
          <w:bCs/>
        </w:rPr>
        <w:t xml:space="preserve">TA </w:t>
      </w:r>
      <w:r w:rsidRPr="0085100A">
        <w:rPr>
          <w:bCs/>
        </w:rPr>
        <w:t xml:space="preserve">to awardees after </w:t>
      </w:r>
      <w:r w:rsidR="007167B3">
        <w:rPr>
          <w:bCs/>
        </w:rPr>
        <w:t xml:space="preserve">a </w:t>
      </w:r>
      <w:r w:rsidRPr="0085100A">
        <w:rPr>
          <w:bCs/>
        </w:rPr>
        <w:t xml:space="preserve">review has been completed. </w:t>
      </w:r>
    </w:p>
    <w:p w14:paraId="221A0BD8" w14:textId="77777777" w:rsidR="007E3D8B" w:rsidRPr="0085100A" w:rsidRDefault="007E3D8B" w:rsidP="007E3D8B">
      <w:pPr>
        <w:autoSpaceDE w:val="0"/>
        <w:autoSpaceDN w:val="0"/>
        <w:adjustRightInd w:val="0"/>
        <w:rPr>
          <w:b/>
          <w:bCs/>
        </w:rPr>
      </w:pPr>
    </w:p>
    <w:p w14:paraId="3CD0F8C1" w14:textId="02B0F05E" w:rsidR="007E3D8B" w:rsidRPr="0085100A" w:rsidRDefault="007E3D8B" w:rsidP="007E3D8B">
      <w:pPr>
        <w:autoSpaceDE w:val="0"/>
        <w:autoSpaceDN w:val="0"/>
        <w:adjustRightInd w:val="0"/>
        <w:rPr>
          <w:bCs/>
        </w:rPr>
      </w:pPr>
      <w:r w:rsidRPr="0085100A">
        <w:rPr>
          <w:bCs/>
        </w:rPr>
        <w:t>Table 4. Project Time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677"/>
      </w:tblGrid>
      <w:tr w:rsidR="007E3D8B" w:rsidRPr="0085100A" w14:paraId="5E9F031D" w14:textId="77777777" w:rsidTr="00E1224B">
        <w:tc>
          <w:tcPr>
            <w:tcW w:w="2499" w:type="pct"/>
            <w:shd w:val="clear" w:color="auto" w:fill="auto"/>
          </w:tcPr>
          <w:p w14:paraId="38543304" w14:textId="70973E2D" w:rsidR="007E3D8B" w:rsidRPr="0085100A" w:rsidRDefault="00AF62C0" w:rsidP="00AF62C0">
            <w:pPr>
              <w:autoSpaceDE w:val="0"/>
              <w:autoSpaceDN w:val="0"/>
              <w:adjustRightInd w:val="0"/>
              <w:rPr>
                <w:b/>
                <w:bCs/>
              </w:rPr>
            </w:pPr>
            <w:r>
              <w:rPr>
                <w:b/>
                <w:bCs/>
              </w:rPr>
              <w:t>Activities</w:t>
            </w:r>
          </w:p>
        </w:tc>
        <w:tc>
          <w:tcPr>
            <w:tcW w:w="2501" w:type="pct"/>
            <w:shd w:val="clear" w:color="auto" w:fill="auto"/>
          </w:tcPr>
          <w:p w14:paraId="1135F906" w14:textId="29F6F1D9" w:rsidR="007E3D8B" w:rsidRPr="0085100A" w:rsidRDefault="00AF62C0" w:rsidP="00976365">
            <w:pPr>
              <w:rPr>
                <w:b/>
              </w:rPr>
            </w:pPr>
            <w:r>
              <w:rPr>
                <w:b/>
              </w:rPr>
              <w:t>Timeline</w:t>
            </w:r>
          </w:p>
        </w:tc>
      </w:tr>
      <w:tr w:rsidR="007E3D8B" w:rsidRPr="0085100A" w14:paraId="6B4B85A7" w14:textId="77777777" w:rsidTr="00E1224B">
        <w:tc>
          <w:tcPr>
            <w:tcW w:w="2499" w:type="pct"/>
            <w:shd w:val="clear" w:color="auto" w:fill="auto"/>
          </w:tcPr>
          <w:p w14:paraId="1547689F" w14:textId="15BE6364" w:rsidR="007E3D8B" w:rsidRPr="0085100A" w:rsidRDefault="007E3D8B" w:rsidP="0014232C">
            <w:r w:rsidRPr="0085100A">
              <w:t>Notification of Tool Availability</w:t>
            </w:r>
          </w:p>
        </w:tc>
        <w:tc>
          <w:tcPr>
            <w:tcW w:w="2501" w:type="pct"/>
            <w:shd w:val="clear" w:color="auto" w:fill="auto"/>
          </w:tcPr>
          <w:p w14:paraId="6F85639E" w14:textId="77777777" w:rsidR="007E3D8B" w:rsidRPr="0085100A" w:rsidRDefault="007E3D8B" w:rsidP="00976365">
            <w:r w:rsidRPr="0085100A">
              <w:t>Immediately upon OMB approval</w:t>
            </w:r>
          </w:p>
        </w:tc>
      </w:tr>
      <w:tr w:rsidR="007E3D8B" w:rsidRPr="0085100A" w14:paraId="74A01284" w14:textId="77777777" w:rsidTr="00E1224B">
        <w:tc>
          <w:tcPr>
            <w:tcW w:w="2499" w:type="pct"/>
            <w:shd w:val="clear" w:color="auto" w:fill="auto"/>
          </w:tcPr>
          <w:p w14:paraId="4B534F2E" w14:textId="77777777" w:rsidR="007E3D8B" w:rsidRPr="0085100A" w:rsidRDefault="007E3D8B" w:rsidP="00976365">
            <w:r w:rsidRPr="0085100A">
              <w:t>User Training</w:t>
            </w:r>
          </w:p>
        </w:tc>
        <w:tc>
          <w:tcPr>
            <w:tcW w:w="2501" w:type="pct"/>
            <w:shd w:val="clear" w:color="auto" w:fill="auto"/>
          </w:tcPr>
          <w:p w14:paraId="561166C2" w14:textId="77777777" w:rsidR="007E3D8B" w:rsidRPr="0085100A" w:rsidRDefault="007E3D8B" w:rsidP="00976365">
            <w:r w:rsidRPr="0085100A">
              <w:t>Immediately upon OMB approval and ongoing through expiration date</w:t>
            </w:r>
          </w:p>
        </w:tc>
      </w:tr>
      <w:tr w:rsidR="007E3D8B" w:rsidRPr="0085100A" w14:paraId="5EEB788B" w14:textId="77777777" w:rsidTr="00E1224B">
        <w:tc>
          <w:tcPr>
            <w:tcW w:w="2499" w:type="pct"/>
            <w:shd w:val="clear" w:color="auto" w:fill="auto"/>
          </w:tcPr>
          <w:p w14:paraId="3BF33D53" w14:textId="3C6DD4C8" w:rsidR="007E3D8B" w:rsidRPr="0085100A" w:rsidRDefault="007E3D8B" w:rsidP="00976365">
            <w:r w:rsidRPr="0085100A">
              <w:t>Data Collection</w:t>
            </w:r>
            <w:r w:rsidR="00847CE2">
              <w:t xml:space="preserve"> for ending funding year and upcoming funding year</w:t>
            </w:r>
          </w:p>
        </w:tc>
        <w:tc>
          <w:tcPr>
            <w:tcW w:w="2501" w:type="pct"/>
            <w:shd w:val="clear" w:color="auto" w:fill="auto"/>
          </w:tcPr>
          <w:p w14:paraId="7D847E3A" w14:textId="745CE41B" w:rsidR="007E3D8B" w:rsidRPr="0085100A" w:rsidRDefault="007E3D8B" w:rsidP="007E3D8B">
            <w:r w:rsidRPr="0085100A">
              <w:t>1</w:t>
            </w:r>
            <w:r w:rsidR="008356AD">
              <w:t>–</w:t>
            </w:r>
            <w:r w:rsidRPr="0085100A">
              <w:t>6 months after OMB approval</w:t>
            </w:r>
          </w:p>
        </w:tc>
      </w:tr>
      <w:tr w:rsidR="007E3D8B" w:rsidRPr="0085100A" w14:paraId="74B89369" w14:textId="77777777" w:rsidTr="00E1224B">
        <w:tc>
          <w:tcPr>
            <w:tcW w:w="2499" w:type="pct"/>
            <w:shd w:val="clear" w:color="auto" w:fill="auto"/>
          </w:tcPr>
          <w:p w14:paraId="0A7C67E8" w14:textId="77777777" w:rsidR="007E3D8B" w:rsidRPr="0085100A" w:rsidRDefault="007E3D8B" w:rsidP="00976365">
            <w:r w:rsidRPr="0085100A">
              <w:t>Data Publication</w:t>
            </w:r>
          </w:p>
        </w:tc>
        <w:tc>
          <w:tcPr>
            <w:tcW w:w="2501" w:type="pct"/>
            <w:shd w:val="clear" w:color="auto" w:fill="auto"/>
          </w:tcPr>
          <w:p w14:paraId="61AAE8F9" w14:textId="77777777" w:rsidR="007E3D8B" w:rsidRPr="0085100A" w:rsidRDefault="007E3D8B" w:rsidP="00976365">
            <w:r w:rsidRPr="0085100A">
              <w:t xml:space="preserve">Annually </w:t>
            </w:r>
          </w:p>
        </w:tc>
      </w:tr>
      <w:tr w:rsidR="007E3D8B" w:rsidRPr="0085100A" w14:paraId="2D7950B5" w14:textId="77777777" w:rsidTr="00E1224B">
        <w:tc>
          <w:tcPr>
            <w:tcW w:w="2499" w:type="pct"/>
            <w:shd w:val="clear" w:color="auto" w:fill="auto"/>
          </w:tcPr>
          <w:p w14:paraId="67FC261E" w14:textId="77777777" w:rsidR="007E3D8B" w:rsidRPr="0085100A" w:rsidRDefault="007E3D8B" w:rsidP="00976365">
            <w:r w:rsidRPr="0085100A">
              <w:t>Data Analysis</w:t>
            </w:r>
          </w:p>
        </w:tc>
        <w:tc>
          <w:tcPr>
            <w:tcW w:w="2501" w:type="pct"/>
            <w:shd w:val="clear" w:color="auto" w:fill="auto"/>
          </w:tcPr>
          <w:p w14:paraId="4F4F3A38" w14:textId="03529B66" w:rsidR="007E3D8B" w:rsidRPr="0085100A" w:rsidRDefault="007E3D8B" w:rsidP="00976365">
            <w:r w:rsidRPr="0085100A">
              <w:t>1</w:t>
            </w:r>
            <w:r w:rsidR="008356AD">
              <w:t>–</w:t>
            </w:r>
            <w:r w:rsidRPr="0085100A">
              <w:t>36 months after OMB approval</w:t>
            </w:r>
          </w:p>
        </w:tc>
      </w:tr>
    </w:tbl>
    <w:p w14:paraId="68D8C083" w14:textId="77777777" w:rsidR="004D7F0D" w:rsidRPr="0085100A" w:rsidRDefault="004D7F0D" w:rsidP="00972DEF">
      <w:pPr>
        <w:autoSpaceDE w:val="0"/>
        <w:autoSpaceDN w:val="0"/>
        <w:adjustRightInd w:val="0"/>
        <w:rPr>
          <w:bCs/>
        </w:rPr>
      </w:pPr>
    </w:p>
    <w:p w14:paraId="58D833B5" w14:textId="13F8F84C" w:rsidR="00972DEF" w:rsidRPr="0085100A" w:rsidRDefault="00972DEF" w:rsidP="000B487F">
      <w:pPr>
        <w:pStyle w:val="Heading2"/>
      </w:pPr>
      <w:bookmarkStart w:id="22" w:name="_Toc447176441"/>
      <w:r w:rsidRPr="0085100A">
        <w:t>A.17.</w:t>
      </w:r>
      <w:r w:rsidR="000B487F">
        <w:tab/>
      </w:r>
      <w:r w:rsidRPr="0085100A">
        <w:t>Reason(s) Display of OMB Expiration Date is Inappropriate</w:t>
      </w:r>
      <w:bookmarkEnd w:id="22"/>
      <w:r w:rsidRPr="0085100A">
        <w:t xml:space="preserve"> </w:t>
      </w:r>
    </w:p>
    <w:p w14:paraId="58D833B6" w14:textId="77777777" w:rsidR="00972DEF" w:rsidRPr="0085100A" w:rsidRDefault="00972DEF" w:rsidP="00972DEF">
      <w:pPr>
        <w:autoSpaceDE w:val="0"/>
        <w:autoSpaceDN w:val="0"/>
        <w:adjustRightInd w:val="0"/>
        <w:rPr>
          <w:b/>
          <w:bCs/>
        </w:rPr>
      </w:pPr>
    </w:p>
    <w:p w14:paraId="58D833B7" w14:textId="77777777" w:rsidR="00972DEF" w:rsidRDefault="008429DD" w:rsidP="00972DEF">
      <w:pPr>
        <w:autoSpaceDE w:val="0"/>
        <w:autoSpaceDN w:val="0"/>
        <w:adjustRightInd w:val="0"/>
      </w:pPr>
      <w:r w:rsidRPr="0085100A">
        <w:t>The display of the OMB expiration date is not inappropriate</w:t>
      </w:r>
      <w:r w:rsidR="00D11EEB" w:rsidRPr="0085100A">
        <w:t>.</w:t>
      </w:r>
    </w:p>
    <w:p w14:paraId="229A5A57" w14:textId="77777777" w:rsidR="00B67D27" w:rsidRPr="0085100A" w:rsidRDefault="00B67D27" w:rsidP="00972DEF">
      <w:pPr>
        <w:autoSpaceDE w:val="0"/>
        <w:autoSpaceDN w:val="0"/>
        <w:adjustRightInd w:val="0"/>
      </w:pPr>
    </w:p>
    <w:p w14:paraId="58D833B8" w14:textId="77777777" w:rsidR="00972DEF" w:rsidRPr="0085100A" w:rsidRDefault="00972DEF" w:rsidP="00972DEF">
      <w:pPr>
        <w:autoSpaceDE w:val="0"/>
        <w:autoSpaceDN w:val="0"/>
        <w:adjustRightInd w:val="0"/>
      </w:pPr>
    </w:p>
    <w:p w14:paraId="58D833B9" w14:textId="4CA4FAE0" w:rsidR="00972DEF" w:rsidRPr="0085100A" w:rsidRDefault="00972DEF" w:rsidP="000B487F">
      <w:pPr>
        <w:pStyle w:val="Heading2"/>
      </w:pPr>
      <w:bookmarkStart w:id="23" w:name="_Toc447176442"/>
      <w:r w:rsidRPr="0085100A">
        <w:t>A.18.</w:t>
      </w:r>
      <w:r w:rsidR="000B487F">
        <w:tab/>
      </w:r>
      <w:r w:rsidRPr="0085100A">
        <w:t>Exceptions to Certification for Paperwork Reduction Act Submissions</w:t>
      </w:r>
      <w:bookmarkEnd w:id="23"/>
      <w:r w:rsidRPr="0085100A">
        <w:t xml:space="preserve"> </w:t>
      </w:r>
    </w:p>
    <w:p w14:paraId="58D833BA" w14:textId="77777777" w:rsidR="00972DEF" w:rsidRPr="0085100A" w:rsidRDefault="00972DEF" w:rsidP="00972DEF">
      <w:pPr>
        <w:autoSpaceDE w:val="0"/>
        <w:autoSpaceDN w:val="0"/>
        <w:adjustRightInd w:val="0"/>
        <w:rPr>
          <w:b/>
          <w:bCs/>
        </w:rPr>
      </w:pPr>
    </w:p>
    <w:p w14:paraId="58D833BB" w14:textId="77777777" w:rsidR="00972DEF" w:rsidRPr="0085100A" w:rsidRDefault="00972DEF" w:rsidP="00972DEF">
      <w:pPr>
        <w:autoSpaceDE w:val="0"/>
        <w:autoSpaceDN w:val="0"/>
        <w:adjustRightInd w:val="0"/>
      </w:pPr>
      <w:r w:rsidRPr="0085100A">
        <w:t>There are no exceptions to the certification.</w:t>
      </w:r>
    </w:p>
    <w:p w14:paraId="58D833BC" w14:textId="77777777" w:rsidR="00972DEF" w:rsidRPr="0085100A" w:rsidRDefault="00420226" w:rsidP="00420226">
      <w:pPr>
        <w:autoSpaceDE w:val="0"/>
        <w:autoSpaceDN w:val="0"/>
        <w:adjustRightInd w:val="0"/>
      </w:pPr>
      <w:r w:rsidRPr="0085100A">
        <w:t xml:space="preserve"> </w:t>
      </w:r>
    </w:p>
    <w:p w14:paraId="58D833BD" w14:textId="77777777" w:rsidR="00E14B37" w:rsidRPr="0085100A" w:rsidRDefault="00E14B37" w:rsidP="00420226">
      <w:pPr>
        <w:autoSpaceDE w:val="0"/>
        <w:autoSpaceDN w:val="0"/>
        <w:adjustRightInd w:val="0"/>
      </w:pPr>
    </w:p>
    <w:p w14:paraId="58D833BE" w14:textId="3FD66106" w:rsidR="00742897" w:rsidRPr="0085100A" w:rsidRDefault="00742897" w:rsidP="00AE4B16">
      <w:pPr>
        <w:pStyle w:val="Heading1"/>
      </w:pPr>
      <w:bookmarkStart w:id="24" w:name="_Toc447176443"/>
      <w:r w:rsidRPr="0085100A">
        <w:t>REFERENCES</w:t>
      </w:r>
      <w:bookmarkEnd w:id="24"/>
    </w:p>
    <w:p w14:paraId="182E1F2F" w14:textId="77777777" w:rsidR="00B41F15" w:rsidRPr="0085100A" w:rsidRDefault="00B41F15" w:rsidP="00742897">
      <w:pPr>
        <w:rPr>
          <w:b/>
          <w:bCs/>
        </w:rPr>
      </w:pPr>
    </w:p>
    <w:p w14:paraId="2D3C4C25" w14:textId="191D6811" w:rsidR="00B41F15" w:rsidRDefault="00B41F15" w:rsidP="00B41F15">
      <w:pPr>
        <w:pStyle w:val="ListParagraph"/>
        <w:numPr>
          <w:ilvl w:val="0"/>
          <w:numId w:val="11"/>
        </w:numPr>
        <w:rPr>
          <w:bCs/>
        </w:rPr>
      </w:pPr>
      <w:r w:rsidRPr="0085100A">
        <w:rPr>
          <w:bCs/>
        </w:rPr>
        <w:t xml:space="preserve">National Center for Injury Prevention and Control (NCIPC). National Intimate Partner and Sexual Violence (NISVS) Survey: Fact Sheet. Retrieved July 2015 from: </w:t>
      </w:r>
      <w:hyperlink r:id="rId12" w:history="1">
        <w:r w:rsidRPr="0085100A">
          <w:rPr>
            <w:rStyle w:val="Hyperlink"/>
            <w:bCs/>
          </w:rPr>
          <w:t>http://www.cdc.gov/ViolencePrevention/pdf/NISVS_FactSheet-a.pdf</w:t>
        </w:r>
      </w:hyperlink>
      <w:r w:rsidRPr="0085100A">
        <w:rPr>
          <w:bCs/>
        </w:rPr>
        <w:t xml:space="preserve"> </w:t>
      </w:r>
    </w:p>
    <w:p w14:paraId="32B7D06A" w14:textId="14D339FB" w:rsidR="00B9073F" w:rsidRPr="00E1224B" w:rsidRDefault="00B9073F" w:rsidP="00A43DB4">
      <w:pPr>
        <w:pStyle w:val="ListParagraph"/>
        <w:numPr>
          <w:ilvl w:val="0"/>
          <w:numId w:val="11"/>
        </w:numPr>
        <w:rPr>
          <w:bCs/>
        </w:rPr>
      </w:pPr>
      <w:r w:rsidRPr="00E1224B">
        <w:rPr>
          <w:bCs/>
        </w:rPr>
        <w:t xml:space="preserve">Breiding MJ, Smith SG, Basile KC, Walters ML, Chen J, Merrick MT. Prevalence and characteristics of sexual violence, stalking, and intimate partner violence victimization—national intimate partner and sexual violence survey, United States, 2011. MMWR </w:t>
      </w:r>
      <w:proofErr w:type="spellStart"/>
      <w:r w:rsidRPr="00E1224B">
        <w:rPr>
          <w:bCs/>
        </w:rPr>
        <w:t>Surveill</w:t>
      </w:r>
      <w:proofErr w:type="spellEnd"/>
      <w:r w:rsidRPr="00E1224B">
        <w:rPr>
          <w:bCs/>
        </w:rPr>
        <w:t xml:space="preserve"> </w:t>
      </w:r>
      <w:proofErr w:type="spellStart"/>
      <w:r w:rsidRPr="00E1224B">
        <w:rPr>
          <w:bCs/>
        </w:rPr>
        <w:t>Summ</w:t>
      </w:r>
      <w:proofErr w:type="spellEnd"/>
      <w:r w:rsidRPr="00E1224B">
        <w:rPr>
          <w:bCs/>
        </w:rPr>
        <w:t xml:space="preserve">. 2014; 63(8):1-18. </w:t>
      </w:r>
    </w:p>
    <w:sectPr w:rsidR="00B9073F" w:rsidRPr="00E1224B" w:rsidSect="001A0A8C">
      <w:footerReference w:type="even" r:id="rId13"/>
      <w:footerReference w:type="default" r:id="rId14"/>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833C3" w14:textId="77777777" w:rsidR="00004B80" w:rsidRDefault="00004B80">
      <w:r>
        <w:separator/>
      </w:r>
    </w:p>
  </w:endnote>
  <w:endnote w:type="continuationSeparator" w:id="0">
    <w:p w14:paraId="58D833C4" w14:textId="77777777" w:rsidR="00004B80" w:rsidRDefault="00004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33C5" w14:textId="77777777" w:rsidR="00004B80" w:rsidRDefault="00004B8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D833C6" w14:textId="77777777" w:rsidR="00004B80" w:rsidRDefault="00004B80"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833C7" w14:textId="77777777" w:rsidR="00004B80" w:rsidRDefault="00004B80"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C58E7">
      <w:rPr>
        <w:rStyle w:val="PageNumber"/>
        <w:noProof/>
      </w:rPr>
      <w:t>13</w:t>
    </w:r>
    <w:r>
      <w:rPr>
        <w:rStyle w:val="PageNumber"/>
      </w:rPr>
      <w:fldChar w:fldCharType="end"/>
    </w:r>
  </w:p>
  <w:p w14:paraId="58D833C8" w14:textId="77777777" w:rsidR="00004B80" w:rsidRPr="00BB4559" w:rsidRDefault="00004B80"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D833C1" w14:textId="77777777" w:rsidR="00004B80" w:rsidRDefault="00004B80">
      <w:r>
        <w:separator/>
      </w:r>
    </w:p>
  </w:footnote>
  <w:footnote w:type="continuationSeparator" w:id="0">
    <w:p w14:paraId="58D833C2" w14:textId="77777777" w:rsidR="00004B80" w:rsidRDefault="00004B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71B1CFE"/>
    <w:multiLevelType w:val="hybridMultilevel"/>
    <w:tmpl w:val="F42E21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317FD3"/>
    <w:multiLevelType w:val="hybridMultilevel"/>
    <w:tmpl w:val="D8A48E9C"/>
    <w:lvl w:ilvl="0" w:tplc="8436ACC6">
      <w:start w:val="1"/>
      <w:numFmt w:val="bullet"/>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4"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EAF3879"/>
    <w:multiLevelType w:val="hybridMultilevel"/>
    <w:tmpl w:val="1A581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CB87439"/>
    <w:multiLevelType w:val="hybridMultilevel"/>
    <w:tmpl w:val="9DF09AEE"/>
    <w:lvl w:ilvl="0" w:tplc="7EC489DE">
      <w:start w:val="1"/>
      <w:numFmt w:val="decimal"/>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87A4D55"/>
    <w:multiLevelType w:val="hybridMultilevel"/>
    <w:tmpl w:val="1BAE3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9" w15:restartNumberingAfterBreak="0">
    <w:nsid w:val="7B6C1F74"/>
    <w:multiLevelType w:val="hybridMultilevel"/>
    <w:tmpl w:val="B9A8D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40668A"/>
    <w:multiLevelType w:val="hybridMultilevel"/>
    <w:tmpl w:val="2EAAB8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4"/>
  </w:num>
  <w:num w:numId="5">
    <w:abstractNumId w:val="5"/>
  </w:num>
  <w:num w:numId="6">
    <w:abstractNumId w:val="9"/>
  </w:num>
  <w:num w:numId="7">
    <w:abstractNumId w:val="1"/>
  </w:num>
  <w:num w:numId="8">
    <w:abstractNumId w:val="6"/>
  </w:num>
  <w:num w:numId="9">
    <w:abstractNumId w:val="11"/>
  </w:num>
  <w:num w:numId="10">
    <w:abstractNumId w:val="2"/>
  </w:num>
  <w:num w:numId="11">
    <w:abstractNumId w:val="10"/>
  </w:num>
  <w:num w:numId="12">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151E"/>
    <w:rsid w:val="00001AE6"/>
    <w:rsid w:val="00002669"/>
    <w:rsid w:val="00002CB2"/>
    <w:rsid w:val="00003893"/>
    <w:rsid w:val="00003D0C"/>
    <w:rsid w:val="00004B80"/>
    <w:rsid w:val="000068D5"/>
    <w:rsid w:val="00006CD4"/>
    <w:rsid w:val="00012596"/>
    <w:rsid w:val="00013F0A"/>
    <w:rsid w:val="00014066"/>
    <w:rsid w:val="0001452F"/>
    <w:rsid w:val="00014C5D"/>
    <w:rsid w:val="000151A9"/>
    <w:rsid w:val="0001727B"/>
    <w:rsid w:val="00020C8E"/>
    <w:rsid w:val="000227AE"/>
    <w:rsid w:val="00022FA5"/>
    <w:rsid w:val="000236D9"/>
    <w:rsid w:val="00024097"/>
    <w:rsid w:val="00026C55"/>
    <w:rsid w:val="00027004"/>
    <w:rsid w:val="00030B06"/>
    <w:rsid w:val="00031F18"/>
    <w:rsid w:val="00032EAB"/>
    <w:rsid w:val="00034D66"/>
    <w:rsid w:val="00035615"/>
    <w:rsid w:val="000367E7"/>
    <w:rsid w:val="00037139"/>
    <w:rsid w:val="00040551"/>
    <w:rsid w:val="00040871"/>
    <w:rsid w:val="000417EF"/>
    <w:rsid w:val="00043124"/>
    <w:rsid w:val="000433DD"/>
    <w:rsid w:val="00043C49"/>
    <w:rsid w:val="000462CE"/>
    <w:rsid w:val="00046631"/>
    <w:rsid w:val="00046D69"/>
    <w:rsid w:val="00047243"/>
    <w:rsid w:val="00050500"/>
    <w:rsid w:val="00050FD2"/>
    <w:rsid w:val="000523C9"/>
    <w:rsid w:val="0005319C"/>
    <w:rsid w:val="00054F7E"/>
    <w:rsid w:val="0005567A"/>
    <w:rsid w:val="000556D1"/>
    <w:rsid w:val="000630F3"/>
    <w:rsid w:val="00063B71"/>
    <w:rsid w:val="00063EA6"/>
    <w:rsid w:val="000642F2"/>
    <w:rsid w:val="00064951"/>
    <w:rsid w:val="000663CC"/>
    <w:rsid w:val="000711CD"/>
    <w:rsid w:val="00071FAD"/>
    <w:rsid w:val="00074E7A"/>
    <w:rsid w:val="00075AA8"/>
    <w:rsid w:val="00080E9F"/>
    <w:rsid w:val="00082E05"/>
    <w:rsid w:val="00082FB9"/>
    <w:rsid w:val="0008319C"/>
    <w:rsid w:val="000847B7"/>
    <w:rsid w:val="00084F1E"/>
    <w:rsid w:val="00085277"/>
    <w:rsid w:val="000858FA"/>
    <w:rsid w:val="0009080F"/>
    <w:rsid w:val="00092573"/>
    <w:rsid w:val="000925D2"/>
    <w:rsid w:val="00092717"/>
    <w:rsid w:val="00093851"/>
    <w:rsid w:val="0009462C"/>
    <w:rsid w:val="00094BF2"/>
    <w:rsid w:val="00094C24"/>
    <w:rsid w:val="00095AF9"/>
    <w:rsid w:val="00095E65"/>
    <w:rsid w:val="00096849"/>
    <w:rsid w:val="000A0F71"/>
    <w:rsid w:val="000A14C5"/>
    <w:rsid w:val="000A293B"/>
    <w:rsid w:val="000A624D"/>
    <w:rsid w:val="000A7ED7"/>
    <w:rsid w:val="000B0D54"/>
    <w:rsid w:val="000B24F9"/>
    <w:rsid w:val="000B32C4"/>
    <w:rsid w:val="000B382B"/>
    <w:rsid w:val="000B487F"/>
    <w:rsid w:val="000B7303"/>
    <w:rsid w:val="000C274B"/>
    <w:rsid w:val="000C2EFC"/>
    <w:rsid w:val="000C3B79"/>
    <w:rsid w:val="000C4150"/>
    <w:rsid w:val="000C4CAF"/>
    <w:rsid w:val="000C66B5"/>
    <w:rsid w:val="000C7F93"/>
    <w:rsid w:val="000D05A0"/>
    <w:rsid w:val="000D0892"/>
    <w:rsid w:val="000D18C8"/>
    <w:rsid w:val="000D31C0"/>
    <w:rsid w:val="000D4D34"/>
    <w:rsid w:val="000E3608"/>
    <w:rsid w:val="000E367F"/>
    <w:rsid w:val="000E3BC9"/>
    <w:rsid w:val="000E400E"/>
    <w:rsid w:val="000E447D"/>
    <w:rsid w:val="000F0094"/>
    <w:rsid w:val="000F0613"/>
    <w:rsid w:val="000F0EE6"/>
    <w:rsid w:val="000F1766"/>
    <w:rsid w:val="000F19A7"/>
    <w:rsid w:val="000F50B9"/>
    <w:rsid w:val="000F55B5"/>
    <w:rsid w:val="00100302"/>
    <w:rsid w:val="00100D30"/>
    <w:rsid w:val="00102734"/>
    <w:rsid w:val="00103318"/>
    <w:rsid w:val="00103D59"/>
    <w:rsid w:val="00105183"/>
    <w:rsid w:val="00113141"/>
    <w:rsid w:val="001134E9"/>
    <w:rsid w:val="00113543"/>
    <w:rsid w:val="00115552"/>
    <w:rsid w:val="00115D62"/>
    <w:rsid w:val="00116B15"/>
    <w:rsid w:val="00117092"/>
    <w:rsid w:val="001204A1"/>
    <w:rsid w:val="00120EE2"/>
    <w:rsid w:val="00121FD2"/>
    <w:rsid w:val="00122751"/>
    <w:rsid w:val="00122B78"/>
    <w:rsid w:val="0012343D"/>
    <w:rsid w:val="0012408F"/>
    <w:rsid w:val="001245D1"/>
    <w:rsid w:val="00124EB1"/>
    <w:rsid w:val="00124F7A"/>
    <w:rsid w:val="0012575C"/>
    <w:rsid w:val="00125D25"/>
    <w:rsid w:val="001272F0"/>
    <w:rsid w:val="00131426"/>
    <w:rsid w:val="0013185D"/>
    <w:rsid w:val="00133154"/>
    <w:rsid w:val="00133289"/>
    <w:rsid w:val="001355B4"/>
    <w:rsid w:val="00135823"/>
    <w:rsid w:val="00137B89"/>
    <w:rsid w:val="00140AD2"/>
    <w:rsid w:val="001418B2"/>
    <w:rsid w:val="00141F78"/>
    <w:rsid w:val="0014232C"/>
    <w:rsid w:val="00143326"/>
    <w:rsid w:val="00143A97"/>
    <w:rsid w:val="00143BF1"/>
    <w:rsid w:val="001440C5"/>
    <w:rsid w:val="00144640"/>
    <w:rsid w:val="00147660"/>
    <w:rsid w:val="00147F0D"/>
    <w:rsid w:val="0015182B"/>
    <w:rsid w:val="00151E03"/>
    <w:rsid w:val="00152324"/>
    <w:rsid w:val="001528DE"/>
    <w:rsid w:val="00152DA6"/>
    <w:rsid w:val="001535D6"/>
    <w:rsid w:val="00153B43"/>
    <w:rsid w:val="00153EB1"/>
    <w:rsid w:val="001543AF"/>
    <w:rsid w:val="001553BF"/>
    <w:rsid w:val="001564E9"/>
    <w:rsid w:val="00157CD6"/>
    <w:rsid w:val="001617E4"/>
    <w:rsid w:val="00162CE1"/>
    <w:rsid w:val="0016565B"/>
    <w:rsid w:val="00166105"/>
    <w:rsid w:val="001668C4"/>
    <w:rsid w:val="00170514"/>
    <w:rsid w:val="00173966"/>
    <w:rsid w:val="001751AC"/>
    <w:rsid w:val="00180188"/>
    <w:rsid w:val="00182D21"/>
    <w:rsid w:val="0018364C"/>
    <w:rsid w:val="00183655"/>
    <w:rsid w:val="001838E3"/>
    <w:rsid w:val="00183A15"/>
    <w:rsid w:val="00190B66"/>
    <w:rsid w:val="00190E6C"/>
    <w:rsid w:val="00191015"/>
    <w:rsid w:val="00191682"/>
    <w:rsid w:val="0019427F"/>
    <w:rsid w:val="00195C2D"/>
    <w:rsid w:val="00195C3A"/>
    <w:rsid w:val="0019616B"/>
    <w:rsid w:val="001A05F9"/>
    <w:rsid w:val="001A0A8C"/>
    <w:rsid w:val="001A15A4"/>
    <w:rsid w:val="001A25A8"/>
    <w:rsid w:val="001A4E71"/>
    <w:rsid w:val="001A569A"/>
    <w:rsid w:val="001A5E9F"/>
    <w:rsid w:val="001A6157"/>
    <w:rsid w:val="001A77D0"/>
    <w:rsid w:val="001A7C5C"/>
    <w:rsid w:val="001B13FF"/>
    <w:rsid w:val="001B218A"/>
    <w:rsid w:val="001B2979"/>
    <w:rsid w:val="001B43C7"/>
    <w:rsid w:val="001B495A"/>
    <w:rsid w:val="001C03CC"/>
    <w:rsid w:val="001C0C72"/>
    <w:rsid w:val="001C0E4A"/>
    <w:rsid w:val="001C260E"/>
    <w:rsid w:val="001C374A"/>
    <w:rsid w:val="001C4616"/>
    <w:rsid w:val="001C4949"/>
    <w:rsid w:val="001C4D29"/>
    <w:rsid w:val="001C7212"/>
    <w:rsid w:val="001C7245"/>
    <w:rsid w:val="001C79EF"/>
    <w:rsid w:val="001D0C9D"/>
    <w:rsid w:val="001D0FDA"/>
    <w:rsid w:val="001D230B"/>
    <w:rsid w:val="001D3733"/>
    <w:rsid w:val="001D3CE3"/>
    <w:rsid w:val="001D49C9"/>
    <w:rsid w:val="001D55A6"/>
    <w:rsid w:val="001D7D77"/>
    <w:rsid w:val="001E07EB"/>
    <w:rsid w:val="001E0B9B"/>
    <w:rsid w:val="001E14E2"/>
    <w:rsid w:val="001E1A5D"/>
    <w:rsid w:val="001E7051"/>
    <w:rsid w:val="001F1FDA"/>
    <w:rsid w:val="001F2730"/>
    <w:rsid w:val="001F2E0D"/>
    <w:rsid w:val="001F3081"/>
    <w:rsid w:val="001F4E47"/>
    <w:rsid w:val="001F644D"/>
    <w:rsid w:val="001F6EB7"/>
    <w:rsid w:val="001F761E"/>
    <w:rsid w:val="001F76EF"/>
    <w:rsid w:val="00200EF9"/>
    <w:rsid w:val="0020133D"/>
    <w:rsid w:val="0020149B"/>
    <w:rsid w:val="00201B2B"/>
    <w:rsid w:val="00202616"/>
    <w:rsid w:val="00203779"/>
    <w:rsid w:val="00203955"/>
    <w:rsid w:val="00205D79"/>
    <w:rsid w:val="00205E92"/>
    <w:rsid w:val="0021106A"/>
    <w:rsid w:val="00211543"/>
    <w:rsid w:val="00211558"/>
    <w:rsid w:val="002121A0"/>
    <w:rsid w:val="00212621"/>
    <w:rsid w:val="00212983"/>
    <w:rsid w:val="00215ED9"/>
    <w:rsid w:val="002174E2"/>
    <w:rsid w:val="00220407"/>
    <w:rsid w:val="00220898"/>
    <w:rsid w:val="00222A8A"/>
    <w:rsid w:val="00222B5F"/>
    <w:rsid w:val="00222E65"/>
    <w:rsid w:val="00223004"/>
    <w:rsid w:val="00224E04"/>
    <w:rsid w:val="002254E6"/>
    <w:rsid w:val="00227662"/>
    <w:rsid w:val="002305A1"/>
    <w:rsid w:val="002339B2"/>
    <w:rsid w:val="00233FB1"/>
    <w:rsid w:val="00234AED"/>
    <w:rsid w:val="00234FD5"/>
    <w:rsid w:val="00236E15"/>
    <w:rsid w:val="00237911"/>
    <w:rsid w:val="0024031D"/>
    <w:rsid w:val="002420E6"/>
    <w:rsid w:val="00242B38"/>
    <w:rsid w:val="00244909"/>
    <w:rsid w:val="002461F3"/>
    <w:rsid w:val="002475B4"/>
    <w:rsid w:val="002539D4"/>
    <w:rsid w:val="0025574D"/>
    <w:rsid w:val="00263928"/>
    <w:rsid w:val="0026518B"/>
    <w:rsid w:val="00265796"/>
    <w:rsid w:val="00267068"/>
    <w:rsid w:val="00267102"/>
    <w:rsid w:val="00267A44"/>
    <w:rsid w:val="0027160A"/>
    <w:rsid w:val="00271E8F"/>
    <w:rsid w:val="00272294"/>
    <w:rsid w:val="00273509"/>
    <w:rsid w:val="00274D73"/>
    <w:rsid w:val="0027700E"/>
    <w:rsid w:val="0027701C"/>
    <w:rsid w:val="00277131"/>
    <w:rsid w:val="00281970"/>
    <w:rsid w:val="00281BA9"/>
    <w:rsid w:val="00282E91"/>
    <w:rsid w:val="00284D49"/>
    <w:rsid w:val="00285C7E"/>
    <w:rsid w:val="002868D1"/>
    <w:rsid w:val="00286B9B"/>
    <w:rsid w:val="00287302"/>
    <w:rsid w:val="0028778D"/>
    <w:rsid w:val="00287899"/>
    <w:rsid w:val="002879F5"/>
    <w:rsid w:val="00287B54"/>
    <w:rsid w:val="00292536"/>
    <w:rsid w:val="00293622"/>
    <w:rsid w:val="0029410B"/>
    <w:rsid w:val="00295BB7"/>
    <w:rsid w:val="002963A8"/>
    <w:rsid w:val="0029651F"/>
    <w:rsid w:val="00297CF8"/>
    <w:rsid w:val="002A25C6"/>
    <w:rsid w:val="002A3B5B"/>
    <w:rsid w:val="002A68F4"/>
    <w:rsid w:val="002A6C59"/>
    <w:rsid w:val="002A71C6"/>
    <w:rsid w:val="002A7BE0"/>
    <w:rsid w:val="002B062E"/>
    <w:rsid w:val="002B1F00"/>
    <w:rsid w:val="002B1FD3"/>
    <w:rsid w:val="002B2A27"/>
    <w:rsid w:val="002B359E"/>
    <w:rsid w:val="002B4943"/>
    <w:rsid w:val="002B4DAA"/>
    <w:rsid w:val="002B686F"/>
    <w:rsid w:val="002B6A5F"/>
    <w:rsid w:val="002B7441"/>
    <w:rsid w:val="002B7EEC"/>
    <w:rsid w:val="002B7F79"/>
    <w:rsid w:val="002C0813"/>
    <w:rsid w:val="002C38F5"/>
    <w:rsid w:val="002C3BEA"/>
    <w:rsid w:val="002C4B1C"/>
    <w:rsid w:val="002C5DEA"/>
    <w:rsid w:val="002C6797"/>
    <w:rsid w:val="002C6E8E"/>
    <w:rsid w:val="002C7CDA"/>
    <w:rsid w:val="002D01AF"/>
    <w:rsid w:val="002D1314"/>
    <w:rsid w:val="002D1936"/>
    <w:rsid w:val="002D20DF"/>
    <w:rsid w:val="002D2491"/>
    <w:rsid w:val="002D26EA"/>
    <w:rsid w:val="002D28D8"/>
    <w:rsid w:val="002D4851"/>
    <w:rsid w:val="002D5113"/>
    <w:rsid w:val="002D6121"/>
    <w:rsid w:val="002D626B"/>
    <w:rsid w:val="002E250F"/>
    <w:rsid w:val="002E2B98"/>
    <w:rsid w:val="002E3A2A"/>
    <w:rsid w:val="002E447A"/>
    <w:rsid w:val="002E45B2"/>
    <w:rsid w:val="002E6593"/>
    <w:rsid w:val="002E7084"/>
    <w:rsid w:val="002E79A9"/>
    <w:rsid w:val="002F0D3D"/>
    <w:rsid w:val="002F4E6F"/>
    <w:rsid w:val="002F51B5"/>
    <w:rsid w:val="002F55BA"/>
    <w:rsid w:val="002F658C"/>
    <w:rsid w:val="002F7686"/>
    <w:rsid w:val="002F76B8"/>
    <w:rsid w:val="002F7C31"/>
    <w:rsid w:val="003002B8"/>
    <w:rsid w:val="0030062F"/>
    <w:rsid w:val="00300922"/>
    <w:rsid w:val="00303D69"/>
    <w:rsid w:val="00305166"/>
    <w:rsid w:val="003056EB"/>
    <w:rsid w:val="00305748"/>
    <w:rsid w:val="00305806"/>
    <w:rsid w:val="0030782C"/>
    <w:rsid w:val="00307CE5"/>
    <w:rsid w:val="00307DC2"/>
    <w:rsid w:val="00311986"/>
    <w:rsid w:val="00311A01"/>
    <w:rsid w:val="00312E8C"/>
    <w:rsid w:val="00313C77"/>
    <w:rsid w:val="00317406"/>
    <w:rsid w:val="00317A2B"/>
    <w:rsid w:val="00317FF8"/>
    <w:rsid w:val="00321103"/>
    <w:rsid w:val="003213FB"/>
    <w:rsid w:val="0032281D"/>
    <w:rsid w:val="00322A75"/>
    <w:rsid w:val="00323247"/>
    <w:rsid w:val="0032357F"/>
    <w:rsid w:val="003245AD"/>
    <w:rsid w:val="00326F38"/>
    <w:rsid w:val="00327ED5"/>
    <w:rsid w:val="00330867"/>
    <w:rsid w:val="00330C43"/>
    <w:rsid w:val="0033194D"/>
    <w:rsid w:val="00332535"/>
    <w:rsid w:val="00333BBF"/>
    <w:rsid w:val="00334B07"/>
    <w:rsid w:val="00334B4D"/>
    <w:rsid w:val="00335D3D"/>
    <w:rsid w:val="00336388"/>
    <w:rsid w:val="003369F1"/>
    <w:rsid w:val="003379A2"/>
    <w:rsid w:val="00337C4A"/>
    <w:rsid w:val="00337E44"/>
    <w:rsid w:val="00337FCD"/>
    <w:rsid w:val="0034159D"/>
    <w:rsid w:val="0034185B"/>
    <w:rsid w:val="00341921"/>
    <w:rsid w:val="00342151"/>
    <w:rsid w:val="003467B9"/>
    <w:rsid w:val="003474F1"/>
    <w:rsid w:val="0035053A"/>
    <w:rsid w:val="00351B4A"/>
    <w:rsid w:val="00352533"/>
    <w:rsid w:val="00352DA4"/>
    <w:rsid w:val="003544B9"/>
    <w:rsid w:val="003553D5"/>
    <w:rsid w:val="00360C3E"/>
    <w:rsid w:val="00360F81"/>
    <w:rsid w:val="00361659"/>
    <w:rsid w:val="0036183C"/>
    <w:rsid w:val="00362CAD"/>
    <w:rsid w:val="003650A0"/>
    <w:rsid w:val="003676A0"/>
    <w:rsid w:val="0037022F"/>
    <w:rsid w:val="00370521"/>
    <w:rsid w:val="00370F61"/>
    <w:rsid w:val="00371780"/>
    <w:rsid w:val="00372ED4"/>
    <w:rsid w:val="00373237"/>
    <w:rsid w:val="00373A01"/>
    <w:rsid w:val="003761A1"/>
    <w:rsid w:val="00377B8E"/>
    <w:rsid w:val="0038124B"/>
    <w:rsid w:val="00382642"/>
    <w:rsid w:val="003833F5"/>
    <w:rsid w:val="0038374C"/>
    <w:rsid w:val="00384074"/>
    <w:rsid w:val="00386D2B"/>
    <w:rsid w:val="00386DC7"/>
    <w:rsid w:val="003901C4"/>
    <w:rsid w:val="00390B26"/>
    <w:rsid w:val="00390B3E"/>
    <w:rsid w:val="0039296A"/>
    <w:rsid w:val="00392A36"/>
    <w:rsid w:val="00393820"/>
    <w:rsid w:val="00395139"/>
    <w:rsid w:val="00396F65"/>
    <w:rsid w:val="0039709E"/>
    <w:rsid w:val="003A083B"/>
    <w:rsid w:val="003A236F"/>
    <w:rsid w:val="003A517B"/>
    <w:rsid w:val="003A5968"/>
    <w:rsid w:val="003A6381"/>
    <w:rsid w:val="003A6B54"/>
    <w:rsid w:val="003A6D08"/>
    <w:rsid w:val="003B1062"/>
    <w:rsid w:val="003B14A4"/>
    <w:rsid w:val="003B1FC1"/>
    <w:rsid w:val="003B3713"/>
    <w:rsid w:val="003B3C8F"/>
    <w:rsid w:val="003B4D2D"/>
    <w:rsid w:val="003B54A2"/>
    <w:rsid w:val="003B62E6"/>
    <w:rsid w:val="003B6AB5"/>
    <w:rsid w:val="003B6E8E"/>
    <w:rsid w:val="003C0020"/>
    <w:rsid w:val="003C1EDD"/>
    <w:rsid w:val="003C2F65"/>
    <w:rsid w:val="003C31F1"/>
    <w:rsid w:val="003C5105"/>
    <w:rsid w:val="003C5758"/>
    <w:rsid w:val="003C58E7"/>
    <w:rsid w:val="003C6134"/>
    <w:rsid w:val="003C61ED"/>
    <w:rsid w:val="003C657F"/>
    <w:rsid w:val="003C6948"/>
    <w:rsid w:val="003D01BA"/>
    <w:rsid w:val="003D053A"/>
    <w:rsid w:val="003D0E3E"/>
    <w:rsid w:val="003D29AA"/>
    <w:rsid w:val="003E1523"/>
    <w:rsid w:val="003E336A"/>
    <w:rsid w:val="003E4996"/>
    <w:rsid w:val="003E5613"/>
    <w:rsid w:val="003E5B19"/>
    <w:rsid w:val="003F2103"/>
    <w:rsid w:val="003F24FB"/>
    <w:rsid w:val="003F2567"/>
    <w:rsid w:val="003F39D3"/>
    <w:rsid w:val="003F4612"/>
    <w:rsid w:val="003F4EDC"/>
    <w:rsid w:val="003F647A"/>
    <w:rsid w:val="003F6774"/>
    <w:rsid w:val="003F73F7"/>
    <w:rsid w:val="003F77E5"/>
    <w:rsid w:val="004004F4"/>
    <w:rsid w:val="00400A54"/>
    <w:rsid w:val="004016E1"/>
    <w:rsid w:val="00401926"/>
    <w:rsid w:val="0040417C"/>
    <w:rsid w:val="004055ED"/>
    <w:rsid w:val="00405CC1"/>
    <w:rsid w:val="004074A2"/>
    <w:rsid w:val="00410DE1"/>
    <w:rsid w:val="00412629"/>
    <w:rsid w:val="00413799"/>
    <w:rsid w:val="00414129"/>
    <w:rsid w:val="004142EA"/>
    <w:rsid w:val="00414F4D"/>
    <w:rsid w:val="00420226"/>
    <w:rsid w:val="004208A0"/>
    <w:rsid w:val="00422B47"/>
    <w:rsid w:val="0042305E"/>
    <w:rsid w:val="00424036"/>
    <w:rsid w:val="0042586D"/>
    <w:rsid w:val="00425A89"/>
    <w:rsid w:val="00426EB4"/>
    <w:rsid w:val="004270FA"/>
    <w:rsid w:val="004308C9"/>
    <w:rsid w:val="0043129A"/>
    <w:rsid w:val="00431563"/>
    <w:rsid w:val="0043245D"/>
    <w:rsid w:val="00432677"/>
    <w:rsid w:val="00434AC6"/>
    <w:rsid w:val="00435F41"/>
    <w:rsid w:val="00440555"/>
    <w:rsid w:val="00440CAA"/>
    <w:rsid w:val="00444062"/>
    <w:rsid w:val="004463FB"/>
    <w:rsid w:val="004467D7"/>
    <w:rsid w:val="00447B2A"/>
    <w:rsid w:val="0045133E"/>
    <w:rsid w:val="0045156A"/>
    <w:rsid w:val="004524AF"/>
    <w:rsid w:val="00452529"/>
    <w:rsid w:val="00452D20"/>
    <w:rsid w:val="004557D8"/>
    <w:rsid w:val="00460D8E"/>
    <w:rsid w:val="004629C8"/>
    <w:rsid w:val="00462A10"/>
    <w:rsid w:val="00462C2C"/>
    <w:rsid w:val="00463909"/>
    <w:rsid w:val="00464371"/>
    <w:rsid w:val="0046461B"/>
    <w:rsid w:val="004652C6"/>
    <w:rsid w:val="004654E0"/>
    <w:rsid w:val="00465E5A"/>
    <w:rsid w:val="00466B57"/>
    <w:rsid w:val="00466E9D"/>
    <w:rsid w:val="00467698"/>
    <w:rsid w:val="00467DF4"/>
    <w:rsid w:val="004711E7"/>
    <w:rsid w:val="004712A2"/>
    <w:rsid w:val="0047248F"/>
    <w:rsid w:val="0047487F"/>
    <w:rsid w:val="00474989"/>
    <w:rsid w:val="0047522A"/>
    <w:rsid w:val="00475603"/>
    <w:rsid w:val="0047702E"/>
    <w:rsid w:val="00477041"/>
    <w:rsid w:val="00480879"/>
    <w:rsid w:val="00480944"/>
    <w:rsid w:val="00483754"/>
    <w:rsid w:val="00483ACE"/>
    <w:rsid w:val="00483F92"/>
    <w:rsid w:val="00486B82"/>
    <w:rsid w:val="00486BF8"/>
    <w:rsid w:val="0049057C"/>
    <w:rsid w:val="00490F99"/>
    <w:rsid w:val="00492BA0"/>
    <w:rsid w:val="004930E9"/>
    <w:rsid w:val="004941DD"/>
    <w:rsid w:val="0049582C"/>
    <w:rsid w:val="00495DF8"/>
    <w:rsid w:val="00496128"/>
    <w:rsid w:val="004964BB"/>
    <w:rsid w:val="004966A9"/>
    <w:rsid w:val="004970E0"/>
    <w:rsid w:val="004A080C"/>
    <w:rsid w:val="004A1EEC"/>
    <w:rsid w:val="004A2FD7"/>
    <w:rsid w:val="004A33B3"/>
    <w:rsid w:val="004A3A24"/>
    <w:rsid w:val="004A4436"/>
    <w:rsid w:val="004A5382"/>
    <w:rsid w:val="004B1AD2"/>
    <w:rsid w:val="004B43E5"/>
    <w:rsid w:val="004B564B"/>
    <w:rsid w:val="004B573C"/>
    <w:rsid w:val="004B5B6A"/>
    <w:rsid w:val="004B5CF3"/>
    <w:rsid w:val="004B65A1"/>
    <w:rsid w:val="004B72B8"/>
    <w:rsid w:val="004B7EBB"/>
    <w:rsid w:val="004C1458"/>
    <w:rsid w:val="004C382C"/>
    <w:rsid w:val="004C3842"/>
    <w:rsid w:val="004C45EC"/>
    <w:rsid w:val="004C4BBD"/>
    <w:rsid w:val="004C7230"/>
    <w:rsid w:val="004C7776"/>
    <w:rsid w:val="004D01B3"/>
    <w:rsid w:val="004D0582"/>
    <w:rsid w:val="004D098F"/>
    <w:rsid w:val="004D15BB"/>
    <w:rsid w:val="004D2567"/>
    <w:rsid w:val="004D2986"/>
    <w:rsid w:val="004D3458"/>
    <w:rsid w:val="004D35FF"/>
    <w:rsid w:val="004D5948"/>
    <w:rsid w:val="004D6211"/>
    <w:rsid w:val="004D6379"/>
    <w:rsid w:val="004D709D"/>
    <w:rsid w:val="004D7884"/>
    <w:rsid w:val="004D7F0D"/>
    <w:rsid w:val="004E334C"/>
    <w:rsid w:val="004E35BD"/>
    <w:rsid w:val="004E3D74"/>
    <w:rsid w:val="004E4A64"/>
    <w:rsid w:val="004E6F95"/>
    <w:rsid w:val="004F0F79"/>
    <w:rsid w:val="004F13C9"/>
    <w:rsid w:val="004F1B4B"/>
    <w:rsid w:val="004F2F1A"/>
    <w:rsid w:val="004F39CA"/>
    <w:rsid w:val="004F55E0"/>
    <w:rsid w:val="004F5AAA"/>
    <w:rsid w:val="004F7754"/>
    <w:rsid w:val="004F7D4D"/>
    <w:rsid w:val="00501904"/>
    <w:rsid w:val="0050202A"/>
    <w:rsid w:val="00502A59"/>
    <w:rsid w:val="005031BF"/>
    <w:rsid w:val="005040E3"/>
    <w:rsid w:val="00506507"/>
    <w:rsid w:val="00506812"/>
    <w:rsid w:val="005068B0"/>
    <w:rsid w:val="00510566"/>
    <w:rsid w:val="00511650"/>
    <w:rsid w:val="00514122"/>
    <w:rsid w:val="00514539"/>
    <w:rsid w:val="00514E0A"/>
    <w:rsid w:val="00516C0A"/>
    <w:rsid w:val="00516C4D"/>
    <w:rsid w:val="005170B6"/>
    <w:rsid w:val="0051742C"/>
    <w:rsid w:val="005217DA"/>
    <w:rsid w:val="005228D2"/>
    <w:rsid w:val="00522BAB"/>
    <w:rsid w:val="00527146"/>
    <w:rsid w:val="0052776C"/>
    <w:rsid w:val="00530866"/>
    <w:rsid w:val="00530A86"/>
    <w:rsid w:val="00531DBE"/>
    <w:rsid w:val="00532865"/>
    <w:rsid w:val="00532988"/>
    <w:rsid w:val="00532DEA"/>
    <w:rsid w:val="00534D79"/>
    <w:rsid w:val="00537652"/>
    <w:rsid w:val="00537F19"/>
    <w:rsid w:val="00540C4D"/>
    <w:rsid w:val="00541831"/>
    <w:rsid w:val="00541B70"/>
    <w:rsid w:val="00541D30"/>
    <w:rsid w:val="00543913"/>
    <w:rsid w:val="00543BA7"/>
    <w:rsid w:val="005441D4"/>
    <w:rsid w:val="00546310"/>
    <w:rsid w:val="00546EDE"/>
    <w:rsid w:val="00550417"/>
    <w:rsid w:val="00551816"/>
    <w:rsid w:val="0055218E"/>
    <w:rsid w:val="00553243"/>
    <w:rsid w:val="005538DB"/>
    <w:rsid w:val="00553C3C"/>
    <w:rsid w:val="00556FB7"/>
    <w:rsid w:val="00557028"/>
    <w:rsid w:val="0056038E"/>
    <w:rsid w:val="00560AD0"/>
    <w:rsid w:val="00560DD5"/>
    <w:rsid w:val="0056138E"/>
    <w:rsid w:val="00561CB3"/>
    <w:rsid w:val="00561F46"/>
    <w:rsid w:val="00562274"/>
    <w:rsid w:val="00562428"/>
    <w:rsid w:val="00562BC1"/>
    <w:rsid w:val="005637C4"/>
    <w:rsid w:val="005657B2"/>
    <w:rsid w:val="00566A63"/>
    <w:rsid w:val="0057192D"/>
    <w:rsid w:val="00571B88"/>
    <w:rsid w:val="00572127"/>
    <w:rsid w:val="00572D0A"/>
    <w:rsid w:val="00573855"/>
    <w:rsid w:val="005745B3"/>
    <w:rsid w:val="00575DCB"/>
    <w:rsid w:val="00576DC3"/>
    <w:rsid w:val="00577541"/>
    <w:rsid w:val="005802E6"/>
    <w:rsid w:val="005826C4"/>
    <w:rsid w:val="00584D31"/>
    <w:rsid w:val="00587B18"/>
    <w:rsid w:val="005901DE"/>
    <w:rsid w:val="00590221"/>
    <w:rsid w:val="00590679"/>
    <w:rsid w:val="00590795"/>
    <w:rsid w:val="00590EAA"/>
    <w:rsid w:val="005937DA"/>
    <w:rsid w:val="00593962"/>
    <w:rsid w:val="0059448A"/>
    <w:rsid w:val="00595BDF"/>
    <w:rsid w:val="005965F4"/>
    <w:rsid w:val="00596733"/>
    <w:rsid w:val="00596A46"/>
    <w:rsid w:val="00596ED4"/>
    <w:rsid w:val="00597261"/>
    <w:rsid w:val="00597AFE"/>
    <w:rsid w:val="00597C53"/>
    <w:rsid w:val="005A2729"/>
    <w:rsid w:val="005A354B"/>
    <w:rsid w:val="005A406C"/>
    <w:rsid w:val="005A4E67"/>
    <w:rsid w:val="005A511A"/>
    <w:rsid w:val="005A53E2"/>
    <w:rsid w:val="005A58AE"/>
    <w:rsid w:val="005B1431"/>
    <w:rsid w:val="005B2ABC"/>
    <w:rsid w:val="005B39C9"/>
    <w:rsid w:val="005B457C"/>
    <w:rsid w:val="005B511F"/>
    <w:rsid w:val="005C0B15"/>
    <w:rsid w:val="005C10CD"/>
    <w:rsid w:val="005C20AE"/>
    <w:rsid w:val="005C2B52"/>
    <w:rsid w:val="005C420B"/>
    <w:rsid w:val="005C4801"/>
    <w:rsid w:val="005C53C4"/>
    <w:rsid w:val="005C5B05"/>
    <w:rsid w:val="005C6A4D"/>
    <w:rsid w:val="005D0004"/>
    <w:rsid w:val="005D017B"/>
    <w:rsid w:val="005D0942"/>
    <w:rsid w:val="005D4291"/>
    <w:rsid w:val="005D4786"/>
    <w:rsid w:val="005D4C16"/>
    <w:rsid w:val="005D5E45"/>
    <w:rsid w:val="005E012C"/>
    <w:rsid w:val="005E0216"/>
    <w:rsid w:val="005E4C8D"/>
    <w:rsid w:val="005E72AB"/>
    <w:rsid w:val="005F2A70"/>
    <w:rsid w:val="005F3EAD"/>
    <w:rsid w:val="005F3F4E"/>
    <w:rsid w:val="005F4116"/>
    <w:rsid w:val="006045B1"/>
    <w:rsid w:val="00606950"/>
    <w:rsid w:val="00607F6E"/>
    <w:rsid w:val="00613960"/>
    <w:rsid w:val="00615884"/>
    <w:rsid w:val="00615F2A"/>
    <w:rsid w:val="006160AD"/>
    <w:rsid w:val="006164A2"/>
    <w:rsid w:val="006167A0"/>
    <w:rsid w:val="00620CE6"/>
    <w:rsid w:val="0062245E"/>
    <w:rsid w:val="00624338"/>
    <w:rsid w:val="006244BA"/>
    <w:rsid w:val="00624B5D"/>
    <w:rsid w:val="006260B2"/>
    <w:rsid w:val="006274BE"/>
    <w:rsid w:val="006277F4"/>
    <w:rsid w:val="006304DB"/>
    <w:rsid w:val="00630F84"/>
    <w:rsid w:val="00631B18"/>
    <w:rsid w:val="00631F91"/>
    <w:rsid w:val="0063274B"/>
    <w:rsid w:val="00633591"/>
    <w:rsid w:val="006340BB"/>
    <w:rsid w:val="006351B8"/>
    <w:rsid w:val="00635389"/>
    <w:rsid w:val="00637802"/>
    <w:rsid w:val="00637B29"/>
    <w:rsid w:val="00637CDB"/>
    <w:rsid w:val="00637FBE"/>
    <w:rsid w:val="006405DA"/>
    <w:rsid w:val="00642BB7"/>
    <w:rsid w:val="006476C2"/>
    <w:rsid w:val="00647D43"/>
    <w:rsid w:val="00651F62"/>
    <w:rsid w:val="00651F6F"/>
    <w:rsid w:val="006536FC"/>
    <w:rsid w:val="00653CEB"/>
    <w:rsid w:val="006604C6"/>
    <w:rsid w:val="00660600"/>
    <w:rsid w:val="00660ED8"/>
    <w:rsid w:val="00661B1D"/>
    <w:rsid w:val="00664077"/>
    <w:rsid w:val="006653C0"/>
    <w:rsid w:val="006700B5"/>
    <w:rsid w:val="00671D93"/>
    <w:rsid w:val="00672741"/>
    <w:rsid w:val="00674BA2"/>
    <w:rsid w:val="00674F65"/>
    <w:rsid w:val="006774A0"/>
    <w:rsid w:val="00677BBC"/>
    <w:rsid w:val="00680642"/>
    <w:rsid w:val="0068093F"/>
    <w:rsid w:val="0068260E"/>
    <w:rsid w:val="006846BF"/>
    <w:rsid w:val="00685A1F"/>
    <w:rsid w:val="00686CCB"/>
    <w:rsid w:val="00690CAD"/>
    <w:rsid w:val="00690FE7"/>
    <w:rsid w:val="00691454"/>
    <w:rsid w:val="0069204F"/>
    <w:rsid w:val="00692540"/>
    <w:rsid w:val="0069426C"/>
    <w:rsid w:val="0069469E"/>
    <w:rsid w:val="00694A0F"/>
    <w:rsid w:val="00694C3F"/>
    <w:rsid w:val="006A0ACE"/>
    <w:rsid w:val="006A10F2"/>
    <w:rsid w:val="006A1BF5"/>
    <w:rsid w:val="006A3D91"/>
    <w:rsid w:val="006A43AB"/>
    <w:rsid w:val="006A4D7F"/>
    <w:rsid w:val="006A4DC2"/>
    <w:rsid w:val="006A52E7"/>
    <w:rsid w:val="006A5FA3"/>
    <w:rsid w:val="006B0F63"/>
    <w:rsid w:val="006B1164"/>
    <w:rsid w:val="006B204A"/>
    <w:rsid w:val="006B3C55"/>
    <w:rsid w:val="006B54AF"/>
    <w:rsid w:val="006B5501"/>
    <w:rsid w:val="006B71C5"/>
    <w:rsid w:val="006C06D9"/>
    <w:rsid w:val="006C0D2F"/>
    <w:rsid w:val="006C1464"/>
    <w:rsid w:val="006C152E"/>
    <w:rsid w:val="006C279D"/>
    <w:rsid w:val="006C41DB"/>
    <w:rsid w:val="006C4DCA"/>
    <w:rsid w:val="006C6DE5"/>
    <w:rsid w:val="006C6E10"/>
    <w:rsid w:val="006C6FD7"/>
    <w:rsid w:val="006D375D"/>
    <w:rsid w:val="006D40B6"/>
    <w:rsid w:val="006D5759"/>
    <w:rsid w:val="006D6008"/>
    <w:rsid w:val="006D7764"/>
    <w:rsid w:val="006D7A23"/>
    <w:rsid w:val="006D7CBF"/>
    <w:rsid w:val="006E01C6"/>
    <w:rsid w:val="006E22AC"/>
    <w:rsid w:val="006E25AF"/>
    <w:rsid w:val="006E52A2"/>
    <w:rsid w:val="006E54B7"/>
    <w:rsid w:val="006F0679"/>
    <w:rsid w:val="006F1928"/>
    <w:rsid w:val="006F1DA6"/>
    <w:rsid w:val="006F20DA"/>
    <w:rsid w:val="006F2DDC"/>
    <w:rsid w:val="006F3E77"/>
    <w:rsid w:val="006F49BF"/>
    <w:rsid w:val="006F4D8C"/>
    <w:rsid w:val="006F5154"/>
    <w:rsid w:val="006F66A9"/>
    <w:rsid w:val="006F6950"/>
    <w:rsid w:val="006F6C70"/>
    <w:rsid w:val="006F76AB"/>
    <w:rsid w:val="006F7807"/>
    <w:rsid w:val="007018C5"/>
    <w:rsid w:val="007020C7"/>
    <w:rsid w:val="00702447"/>
    <w:rsid w:val="00702CD6"/>
    <w:rsid w:val="00703113"/>
    <w:rsid w:val="00704C1A"/>
    <w:rsid w:val="00704CC1"/>
    <w:rsid w:val="007050DD"/>
    <w:rsid w:val="00706BF3"/>
    <w:rsid w:val="00707C2C"/>
    <w:rsid w:val="00710E59"/>
    <w:rsid w:val="0071238E"/>
    <w:rsid w:val="00713376"/>
    <w:rsid w:val="00714750"/>
    <w:rsid w:val="00715258"/>
    <w:rsid w:val="007167B3"/>
    <w:rsid w:val="00716A0C"/>
    <w:rsid w:val="0072256A"/>
    <w:rsid w:val="00723EE4"/>
    <w:rsid w:val="007245ED"/>
    <w:rsid w:val="00726978"/>
    <w:rsid w:val="00726CE9"/>
    <w:rsid w:val="00726D01"/>
    <w:rsid w:val="007274B4"/>
    <w:rsid w:val="00727A50"/>
    <w:rsid w:val="00727F68"/>
    <w:rsid w:val="007306D6"/>
    <w:rsid w:val="007310C0"/>
    <w:rsid w:val="0073244F"/>
    <w:rsid w:val="00733808"/>
    <w:rsid w:val="007346CC"/>
    <w:rsid w:val="00734D2F"/>
    <w:rsid w:val="007363E1"/>
    <w:rsid w:val="00736BB3"/>
    <w:rsid w:val="00740734"/>
    <w:rsid w:val="007409E7"/>
    <w:rsid w:val="0074187A"/>
    <w:rsid w:val="00742897"/>
    <w:rsid w:val="00743AEB"/>
    <w:rsid w:val="00743E43"/>
    <w:rsid w:val="00743F0A"/>
    <w:rsid w:val="0074438E"/>
    <w:rsid w:val="00745DE6"/>
    <w:rsid w:val="00747468"/>
    <w:rsid w:val="007475AC"/>
    <w:rsid w:val="007478DD"/>
    <w:rsid w:val="00747954"/>
    <w:rsid w:val="007479AD"/>
    <w:rsid w:val="00747FB7"/>
    <w:rsid w:val="00753C4E"/>
    <w:rsid w:val="00754B26"/>
    <w:rsid w:val="0075673C"/>
    <w:rsid w:val="00756792"/>
    <w:rsid w:val="00760067"/>
    <w:rsid w:val="00760946"/>
    <w:rsid w:val="00760CBB"/>
    <w:rsid w:val="00761805"/>
    <w:rsid w:val="00762A56"/>
    <w:rsid w:val="00763766"/>
    <w:rsid w:val="00764618"/>
    <w:rsid w:val="00765642"/>
    <w:rsid w:val="00765EEB"/>
    <w:rsid w:val="007672DF"/>
    <w:rsid w:val="00767916"/>
    <w:rsid w:val="00770A7D"/>
    <w:rsid w:val="00771B3A"/>
    <w:rsid w:val="007722EB"/>
    <w:rsid w:val="007733AE"/>
    <w:rsid w:val="007740B4"/>
    <w:rsid w:val="00774116"/>
    <w:rsid w:val="00774741"/>
    <w:rsid w:val="007800FF"/>
    <w:rsid w:val="007813F5"/>
    <w:rsid w:val="00781D75"/>
    <w:rsid w:val="00783327"/>
    <w:rsid w:val="00785199"/>
    <w:rsid w:val="007879D5"/>
    <w:rsid w:val="0079212E"/>
    <w:rsid w:val="007932AC"/>
    <w:rsid w:val="0079357C"/>
    <w:rsid w:val="0079382B"/>
    <w:rsid w:val="00794719"/>
    <w:rsid w:val="007949FC"/>
    <w:rsid w:val="00796094"/>
    <w:rsid w:val="0079760C"/>
    <w:rsid w:val="007A1B80"/>
    <w:rsid w:val="007A2C77"/>
    <w:rsid w:val="007B0059"/>
    <w:rsid w:val="007B046D"/>
    <w:rsid w:val="007B074D"/>
    <w:rsid w:val="007B0D9F"/>
    <w:rsid w:val="007B2E53"/>
    <w:rsid w:val="007B2F29"/>
    <w:rsid w:val="007B3A6F"/>
    <w:rsid w:val="007B5F29"/>
    <w:rsid w:val="007B6550"/>
    <w:rsid w:val="007B6DE7"/>
    <w:rsid w:val="007B6F11"/>
    <w:rsid w:val="007B6FF1"/>
    <w:rsid w:val="007C20CD"/>
    <w:rsid w:val="007C42E4"/>
    <w:rsid w:val="007C5FF4"/>
    <w:rsid w:val="007C6876"/>
    <w:rsid w:val="007C72B9"/>
    <w:rsid w:val="007C742D"/>
    <w:rsid w:val="007D2420"/>
    <w:rsid w:val="007D2758"/>
    <w:rsid w:val="007D3E7F"/>
    <w:rsid w:val="007D5A01"/>
    <w:rsid w:val="007D5AE0"/>
    <w:rsid w:val="007D65EF"/>
    <w:rsid w:val="007E077E"/>
    <w:rsid w:val="007E1F3E"/>
    <w:rsid w:val="007E21DE"/>
    <w:rsid w:val="007E3D8B"/>
    <w:rsid w:val="007E4E6B"/>
    <w:rsid w:val="007E5D14"/>
    <w:rsid w:val="007E73B7"/>
    <w:rsid w:val="007E749D"/>
    <w:rsid w:val="007E7C28"/>
    <w:rsid w:val="007E7ECC"/>
    <w:rsid w:val="007F1DE2"/>
    <w:rsid w:val="007F2343"/>
    <w:rsid w:val="007F327B"/>
    <w:rsid w:val="007F3675"/>
    <w:rsid w:val="007F5BED"/>
    <w:rsid w:val="007F6E43"/>
    <w:rsid w:val="00800DEB"/>
    <w:rsid w:val="0080270A"/>
    <w:rsid w:val="00804239"/>
    <w:rsid w:val="00805556"/>
    <w:rsid w:val="00807160"/>
    <w:rsid w:val="008079C6"/>
    <w:rsid w:val="00807B32"/>
    <w:rsid w:val="00807E7F"/>
    <w:rsid w:val="0081001B"/>
    <w:rsid w:val="008106F1"/>
    <w:rsid w:val="00810DF9"/>
    <w:rsid w:val="00812EDE"/>
    <w:rsid w:val="00813278"/>
    <w:rsid w:val="00815B51"/>
    <w:rsid w:val="008211F0"/>
    <w:rsid w:val="00821ACC"/>
    <w:rsid w:val="00822164"/>
    <w:rsid w:val="008228DF"/>
    <w:rsid w:val="00823664"/>
    <w:rsid w:val="00823DD1"/>
    <w:rsid w:val="0082457E"/>
    <w:rsid w:val="008245FB"/>
    <w:rsid w:val="008256F6"/>
    <w:rsid w:val="00827763"/>
    <w:rsid w:val="008309D9"/>
    <w:rsid w:val="00831807"/>
    <w:rsid w:val="0083236C"/>
    <w:rsid w:val="00833CB3"/>
    <w:rsid w:val="00834F55"/>
    <w:rsid w:val="00835140"/>
    <w:rsid w:val="008356AD"/>
    <w:rsid w:val="008359FF"/>
    <w:rsid w:val="00837ABA"/>
    <w:rsid w:val="00840427"/>
    <w:rsid w:val="008429DD"/>
    <w:rsid w:val="00843107"/>
    <w:rsid w:val="00843F9D"/>
    <w:rsid w:val="008442A7"/>
    <w:rsid w:val="0084449E"/>
    <w:rsid w:val="0084469A"/>
    <w:rsid w:val="0084644A"/>
    <w:rsid w:val="008478B1"/>
    <w:rsid w:val="00847CE2"/>
    <w:rsid w:val="00850889"/>
    <w:rsid w:val="00850A74"/>
    <w:rsid w:val="0085100A"/>
    <w:rsid w:val="00852BB7"/>
    <w:rsid w:val="00854468"/>
    <w:rsid w:val="008547AA"/>
    <w:rsid w:val="00855014"/>
    <w:rsid w:val="00855324"/>
    <w:rsid w:val="0086059F"/>
    <w:rsid w:val="00860D56"/>
    <w:rsid w:val="00860DFC"/>
    <w:rsid w:val="008615EB"/>
    <w:rsid w:val="00865E81"/>
    <w:rsid w:val="0086721B"/>
    <w:rsid w:val="00867F51"/>
    <w:rsid w:val="00870F16"/>
    <w:rsid w:val="0087371B"/>
    <w:rsid w:val="00873CA2"/>
    <w:rsid w:val="00875095"/>
    <w:rsid w:val="0087576D"/>
    <w:rsid w:val="0087595C"/>
    <w:rsid w:val="00875C9D"/>
    <w:rsid w:val="00876473"/>
    <w:rsid w:val="008768FC"/>
    <w:rsid w:val="0087710A"/>
    <w:rsid w:val="00877201"/>
    <w:rsid w:val="00881606"/>
    <w:rsid w:val="00881B0F"/>
    <w:rsid w:val="00884882"/>
    <w:rsid w:val="0088523A"/>
    <w:rsid w:val="00885A4B"/>
    <w:rsid w:val="00885DCD"/>
    <w:rsid w:val="0089138D"/>
    <w:rsid w:val="00895DB5"/>
    <w:rsid w:val="008A02C8"/>
    <w:rsid w:val="008A1866"/>
    <w:rsid w:val="008A1A86"/>
    <w:rsid w:val="008A1E86"/>
    <w:rsid w:val="008A27C2"/>
    <w:rsid w:val="008A663C"/>
    <w:rsid w:val="008A7362"/>
    <w:rsid w:val="008B0908"/>
    <w:rsid w:val="008B0B23"/>
    <w:rsid w:val="008B3EB0"/>
    <w:rsid w:val="008B4A4D"/>
    <w:rsid w:val="008B576C"/>
    <w:rsid w:val="008B6133"/>
    <w:rsid w:val="008B6E27"/>
    <w:rsid w:val="008C26EC"/>
    <w:rsid w:val="008C2D12"/>
    <w:rsid w:val="008C4045"/>
    <w:rsid w:val="008C54DC"/>
    <w:rsid w:val="008C59AD"/>
    <w:rsid w:val="008D0B72"/>
    <w:rsid w:val="008D1EBA"/>
    <w:rsid w:val="008D2085"/>
    <w:rsid w:val="008D2CE4"/>
    <w:rsid w:val="008D2E86"/>
    <w:rsid w:val="008D48F1"/>
    <w:rsid w:val="008D62EB"/>
    <w:rsid w:val="008D6E6F"/>
    <w:rsid w:val="008E0680"/>
    <w:rsid w:val="008E0EFA"/>
    <w:rsid w:val="008E2111"/>
    <w:rsid w:val="008E3293"/>
    <w:rsid w:val="008E402E"/>
    <w:rsid w:val="008E45C5"/>
    <w:rsid w:val="008E4BC7"/>
    <w:rsid w:val="008E50D4"/>
    <w:rsid w:val="008E556D"/>
    <w:rsid w:val="008E6212"/>
    <w:rsid w:val="008E6E95"/>
    <w:rsid w:val="008E75D8"/>
    <w:rsid w:val="008E766D"/>
    <w:rsid w:val="008E78B9"/>
    <w:rsid w:val="008E7B62"/>
    <w:rsid w:val="008F1D2A"/>
    <w:rsid w:val="008F25C5"/>
    <w:rsid w:val="008F2E8D"/>
    <w:rsid w:val="008F4441"/>
    <w:rsid w:val="008F78CF"/>
    <w:rsid w:val="00901C5D"/>
    <w:rsid w:val="00902C24"/>
    <w:rsid w:val="00904484"/>
    <w:rsid w:val="00905AEB"/>
    <w:rsid w:val="0090736A"/>
    <w:rsid w:val="00907658"/>
    <w:rsid w:val="00907E75"/>
    <w:rsid w:val="00910583"/>
    <w:rsid w:val="009112DF"/>
    <w:rsid w:val="00913DCF"/>
    <w:rsid w:val="00913EDB"/>
    <w:rsid w:val="00913F8A"/>
    <w:rsid w:val="00915AD4"/>
    <w:rsid w:val="0091648D"/>
    <w:rsid w:val="00916ABC"/>
    <w:rsid w:val="00917806"/>
    <w:rsid w:val="0092167B"/>
    <w:rsid w:val="009253F9"/>
    <w:rsid w:val="009254D7"/>
    <w:rsid w:val="009259B3"/>
    <w:rsid w:val="00926756"/>
    <w:rsid w:val="0092793E"/>
    <w:rsid w:val="00931CA6"/>
    <w:rsid w:val="00932DFA"/>
    <w:rsid w:val="00934709"/>
    <w:rsid w:val="0093547E"/>
    <w:rsid w:val="00935A8F"/>
    <w:rsid w:val="0093739D"/>
    <w:rsid w:val="00941290"/>
    <w:rsid w:val="00941B66"/>
    <w:rsid w:val="00945730"/>
    <w:rsid w:val="00945F58"/>
    <w:rsid w:val="00946BB2"/>
    <w:rsid w:val="00946FE0"/>
    <w:rsid w:val="00950A3B"/>
    <w:rsid w:val="00951E8B"/>
    <w:rsid w:val="009523DC"/>
    <w:rsid w:val="0095295F"/>
    <w:rsid w:val="00953BD9"/>
    <w:rsid w:val="00953D4F"/>
    <w:rsid w:val="009557F6"/>
    <w:rsid w:val="009559E8"/>
    <w:rsid w:val="00956D43"/>
    <w:rsid w:val="00957059"/>
    <w:rsid w:val="009609B3"/>
    <w:rsid w:val="009622A8"/>
    <w:rsid w:val="00962D2D"/>
    <w:rsid w:val="009704AE"/>
    <w:rsid w:val="00971CA9"/>
    <w:rsid w:val="009721F9"/>
    <w:rsid w:val="00972DEF"/>
    <w:rsid w:val="00973363"/>
    <w:rsid w:val="009743C5"/>
    <w:rsid w:val="00974FB7"/>
    <w:rsid w:val="00976365"/>
    <w:rsid w:val="0097678A"/>
    <w:rsid w:val="00976FEE"/>
    <w:rsid w:val="00977034"/>
    <w:rsid w:val="00981F16"/>
    <w:rsid w:val="00982808"/>
    <w:rsid w:val="0098322F"/>
    <w:rsid w:val="00985407"/>
    <w:rsid w:val="009854E8"/>
    <w:rsid w:val="0098565D"/>
    <w:rsid w:val="00985817"/>
    <w:rsid w:val="00986691"/>
    <w:rsid w:val="00987BC3"/>
    <w:rsid w:val="009901D4"/>
    <w:rsid w:val="009926F2"/>
    <w:rsid w:val="00992745"/>
    <w:rsid w:val="00994215"/>
    <w:rsid w:val="009942F1"/>
    <w:rsid w:val="00994431"/>
    <w:rsid w:val="00996A51"/>
    <w:rsid w:val="009971A3"/>
    <w:rsid w:val="009A1445"/>
    <w:rsid w:val="009A1588"/>
    <w:rsid w:val="009A275B"/>
    <w:rsid w:val="009A2D3C"/>
    <w:rsid w:val="009A3A64"/>
    <w:rsid w:val="009A41BA"/>
    <w:rsid w:val="009A4635"/>
    <w:rsid w:val="009A48D5"/>
    <w:rsid w:val="009A6445"/>
    <w:rsid w:val="009A6E42"/>
    <w:rsid w:val="009A71AB"/>
    <w:rsid w:val="009A75DD"/>
    <w:rsid w:val="009B1429"/>
    <w:rsid w:val="009B2DB4"/>
    <w:rsid w:val="009B4439"/>
    <w:rsid w:val="009B4911"/>
    <w:rsid w:val="009B4AA0"/>
    <w:rsid w:val="009B4AF7"/>
    <w:rsid w:val="009B58BE"/>
    <w:rsid w:val="009B6981"/>
    <w:rsid w:val="009B7199"/>
    <w:rsid w:val="009C0C82"/>
    <w:rsid w:val="009C60B0"/>
    <w:rsid w:val="009C68CB"/>
    <w:rsid w:val="009D0301"/>
    <w:rsid w:val="009D0BC4"/>
    <w:rsid w:val="009D2C2C"/>
    <w:rsid w:val="009D47A8"/>
    <w:rsid w:val="009D6181"/>
    <w:rsid w:val="009E0043"/>
    <w:rsid w:val="009E056D"/>
    <w:rsid w:val="009E37E2"/>
    <w:rsid w:val="009E4871"/>
    <w:rsid w:val="009E5E02"/>
    <w:rsid w:val="009E631C"/>
    <w:rsid w:val="009F0040"/>
    <w:rsid w:val="009F0A22"/>
    <w:rsid w:val="009F0B8B"/>
    <w:rsid w:val="009F0B98"/>
    <w:rsid w:val="009F22FB"/>
    <w:rsid w:val="009F2FD7"/>
    <w:rsid w:val="009F418D"/>
    <w:rsid w:val="009F50C7"/>
    <w:rsid w:val="00A005AD"/>
    <w:rsid w:val="00A01353"/>
    <w:rsid w:val="00A02695"/>
    <w:rsid w:val="00A03B1A"/>
    <w:rsid w:val="00A11861"/>
    <w:rsid w:val="00A1201A"/>
    <w:rsid w:val="00A12251"/>
    <w:rsid w:val="00A1346B"/>
    <w:rsid w:val="00A1379C"/>
    <w:rsid w:val="00A13FC9"/>
    <w:rsid w:val="00A14032"/>
    <w:rsid w:val="00A1421C"/>
    <w:rsid w:val="00A14583"/>
    <w:rsid w:val="00A14E3F"/>
    <w:rsid w:val="00A15565"/>
    <w:rsid w:val="00A160CB"/>
    <w:rsid w:val="00A17697"/>
    <w:rsid w:val="00A2018F"/>
    <w:rsid w:val="00A203A1"/>
    <w:rsid w:val="00A21B94"/>
    <w:rsid w:val="00A21CEF"/>
    <w:rsid w:val="00A21E6D"/>
    <w:rsid w:val="00A257E4"/>
    <w:rsid w:val="00A2627E"/>
    <w:rsid w:val="00A26B90"/>
    <w:rsid w:val="00A26DFE"/>
    <w:rsid w:val="00A2748B"/>
    <w:rsid w:val="00A27947"/>
    <w:rsid w:val="00A316A8"/>
    <w:rsid w:val="00A318DF"/>
    <w:rsid w:val="00A324BA"/>
    <w:rsid w:val="00A330B5"/>
    <w:rsid w:val="00A33DC6"/>
    <w:rsid w:val="00A341D6"/>
    <w:rsid w:val="00A34DE3"/>
    <w:rsid w:val="00A35B34"/>
    <w:rsid w:val="00A365A1"/>
    <w:rsid w:val="00A36AE1"/>
    <w:rsid w:val="00A37553"/>
    <w:rsid w:val="00A37EB7"/>
    <w:rsid w:val="00A40C98"/>
    <w:rsid w:val="00A41A62"/>
    <w:rsid w:val="00A42F11"/>
    <w:rsid w:val="00A43960"/>
    <w:rsid w:val="00A43DB4"/>
    <w:rsid w:val="00A44267"/>
    <w:rsid w:val="00A4439E"/>
    <w:rsid w:val="00A44630"/>
    <w:rsid w:val="00A4542E"/>
    <w:rsid w:val="00A4616C"/>
    <w:rsid w:val="00A50E9E"/>
    <w:rsid w:val="00A529E9"/>
    <w:rsid w:val="00A536AE"/>
    <w:rsid w:val="00A539ED"/>
    <w:rsid w:val="00A56213"/>
    <w:rsid w:val="00A5757E"/>
    <w:rsid w:val="00A6099B"/>
    <w:rsid w:val="00A6200C"/>
    <w:rsid w:val="00A62F9F"/>
    <w:rsid w:val="00A634DF"/>
    <w:rsid w:val="00A65CA1"/>
    <w:rsid w:val="00A67304"/>
    <w:rsid w:val="00A707DC"/>
    <w:rsid w:val="00A72024"/>
    <w:rsid w:val="00A7248A"/>
    <w:rsid w:val="00A73B99"/>
    <w:rsid w:val="00A753EB"/>
    <w:rsid w:val="00A75982"/>
    <w:rsid w:val="00A779A2"/>
    <w:rsid w:val="00A8069C"/>
    <w:rsid w:val="00A80A92"/>
    <w:rsid w:val="00A80F16"/>
    <w:rsid w:val="00A818BC"/>
    <w:rsid w:val="00A818C7"/>
    <w:rsid w:val="00A82BB6"/>
    <w:rsid w:val="00A82C8B"/>
    <w:rsid w:val="00A834FD"/>
    <w:rsid w:val="00A90D95"/>
    <w:rsid w:val="00A90E1C"/>
    <w:rsid w:val="00A926A9"/>
    <w:rsid w:val="00A92A25"/>
    <w:rsid w:val="00A92ACD"/>
    <w:rsid w:val="00A954B6"/>
    <w:rsid w:val="00A959DF"/>
    <w:rsid w:val="00A95B61"/>
    <w:rsid w:val="00A96792"/>
    <w:rsid w:val="00AA0F8B"/>
    <w:rsid w:val="00AA0FEF"/>
    <w:rsid w:val="00AA20AA"/>
    <w:rsid w:val="00AA22EF"/>
    <w:rsid w:val="00AA26E8"/>
    <w:rsid w:val="00AA3D04"/>
    <w:rsid w:val="00AA4DCB"/>
    <w:rsid w:val="00AA56AA"/>
    <w:rsid w:val="00AA5A44"/>
    <w:rsid w:val="00AA5E12"/>
    <w:rsid w:val="00AB0B57"/>
    <w:rsid w:val="00AB21A7"/>
    <w:rsid w:val="00AB2A94"/>
    <w:rsid w:val="00AB3C6E"/>
    <w:rsid w:val="00AB4552"/>
    <w:rsid w:val="00AB466D"/>
    <w:rsid w:val="00AB4895"/>
    <w:rsid w:val="00AB4CD3"/>
    <w:rsid w:val="00AB5AB4"/>
    <w:rsid w:val="00AB7D32"/>
    <w:rsid w:val="00AC0281"/>
    <w:rsid w:val="00AC0910"/>
    <w:rsid w:val="00AC0D98"/>
    <w:rsid w:val="00AC1D1F"/>
    <w:rsid w:val="00AC1DE6"/>
    <w:rsid w:val="00AC2254"/>
    <w:rsid w:val="00AC33DF"/>
    <w:rsid w:val="00AC4434"/>
    <w:rsid w:val="00AC448C"/>
    <w:rsid w:val="00AC4C1E"/>
    <w:rsid w:val="00AC513E"/>
    <w:rsid w:val="00AC6521"/>
    <w:rsid w:val="00AC6B44"/>
    <w:rsid w:val="00AC6E42"/>
    <w:rsid w:val="00AC6FA8"/>
    <w:rsid w:val="00AD0BB8"/>
    <w:rsid w:val="00AD508B"/>
    <w:rsid w:val="00AD5367"/>
    <w:rsid w:val="00AD5EF2"/>
    <w:rsid w:val="00AD7D38"/>
    <w:rsid w:val="00AE00DD"/>
    <w:rsid w:val="00AE16FD"/>
    <w:rsid w:val="00AE2C58"/>
    <w:rsid w:val="00AE3644"/>
    <w:rsid w:val="00AE4B16"/>
    <w:rsid w:val="00AE4DB7"/>
    <w:rsid w:val="00AE535D"/>
    <w:rsid w:val="00AE7E24"/>
    <w:rsid w:val="00AF0404"/>
    <w:rsid w:val="00AF0DAD"/>
    <w:rsid w:val="00AF152B"/>
    <w:rsid w:val="00AF1D25"/>
    <w:rsid w:val="00AF2AE4"/>
    <w:rsid w:val="00AF39E7"/>
    <w:rsid w:val="00AF3DA4"/>
    <w:rsid w:val="00AF4655"/>
    <w:rsid w:val="00AF62C0"/>
    <w:rsid w:val="00AF63D0"/>
    <w:rsid w:val="00AF67EE"/>
    <w:rsid w:val="00AF756B"/>
    <w:rsid w:val="00B016AC"/>
    <w:rsid w:val="00B02772"/>
    <w:rsid w:val="00B027F4"/>
    <w:rsid w:val="00B03004"/>
    <w:rsid w:val="00B05574"/>
    <w:rsid w:val="00B062EC"/>
    <w:rsid w:val="00B10335"/>
    <w:rsid w:val="00B11A11"/>
    <w:rsid w:val="00B12635"/>
    <w:rsid w:val="00B12B5A"/>
    <w:rsid w:val="00B17729"/>
    <w:rsid w:val="00B216C1"/>
    <w:rsid w:val="00B21A66"/>
    <w:rsid w:val="00B2281B"/>
    <w:rsid w:val="00B22BB7"/>
    <w:rsid w:val="00B24E98"/>
    <w:rsid w:val="00B2733B"/>
    <w:rsid w:val="00B27D1D"/>
    <w:rsid w:val="00B3035E"/>
    <w:rsid w:val="00B30AB8"/>
    <w:rsid w:val="00B32AF8"/>
    <w:rsid w:val="00B33817"/>
    <w:rsid w:val="00B34A58"/>
    <w:rsid w:val="00B3578A"/>
    <w:rsid w:val="00B35F0D"/>
    <w:rsid w:val="00B371D2"/>
    <w:rsid w:val="00B37FED"/>
    <w:rsid w:val="00B41B57"/>
    <w:rsid w:val="00B41F15"/>
    <w:rsid w:val="00B42744"/>
    <w:rsid w:val="00B43025"/>
    <w:rsid w:val="00B43061"/>
    <w:rsid w:val="00B44DCA"/>
    <w:rsid w:val="00B45969"/>
    <w:rsid w:val="00B47AE4"/>
    <w:rsid w:val="00B508ED"/>
    <w:rsid w:val="00B51C24"/>
    <w:rsid w:val="00B51CB3"/>
    <w:rsid w:val="00B53019"/>
    <w:rsid w:val="00B54182"/>
    <w:rsid w:val="00B54DC4"/>
    <w:rsid w:val="00B566C2"/>
    <w:rsid w:val="00B566C6"/>
    <w:rsid w:val="00B56D28"/>
    <w:rsid w:val="00B6005C"/>
    <w:rsid w:val="00B6065C"/>
    <w:rsid w:val="00B61EFE"/>
    <w:rsid w:val="00B6349B"/>
    <w:rsid w:val="00B63808"/>
    <w:rsid w:val="00B65413"/>
    <w:rsid w:val="00B67D27"/>
    <w:rsid w:val="00B70FA9"/>
    <w:rsid w:val="00B7145E"/>
    <w:rsid w:val="00B71834"/>
    <w:rsid w:val="00B747E9"/>
    <w:rsid w:val="00B75A46"/>
    <w:rsid w:val="00B76922"/>
    <w:rsid w:val="00B779D7"/>
    <w:rsid w:val="00B80EA1"/>
    <w:rsid w:val="00B8190C"/>
    <w:rsid w:val="00B81C3E"/>
    <w:rsid w:val="00B820F5"/>
    <w:rsid w:val="00B823F2"/>
    <w:rsid w:val="00B83935"/>
    <w:rsid w:val="00B83F16"/>
    <w:rsid w:val="00B85804"/>
    <w:rsid w:val="00B86381"/>
    <w:rsid w:val="00B87B74"/>
    <w:rsid w:val="00B9073F"/>
    <w:rsid w:val="00B91F61"/>
    <w:rsid w:val="00B92677"/>
    <w:rsid w:val="00B93FC0"/>
    <w:rsid w:val="00B944AE"/>
    <w:rsid w:val="00B95EE9"/>
    <w:rsid w:val="00B95FE7"/>
    <w:rsid w:val="00B9616A"/>
    <w:rsid w:val="00BA0106"/>
    <w:rsid w:val="00BA0A8C"/>
    <w:rsid w:val="00BA0A94"/>
    <w:rsid w:val="00BA234F"/>
    <w:rsid w:val="00BA4EDA"/>
    <w:rsid w:val="00BA54DD"/>
    <w:rsid w:val="00BA6508"/>
    <w:rsid w:val="00BA6705"/>
    <w:rsid w:val="00BA751C"/>
    <w:rsid w:val="00BB127E"/>
    <w:rsid w:val="00BB1F82"/>
    <w:rsid w:val="00BB22CD"/>
    <w:rsid w:val="00BB25A1"/>
    <w:rsid w:val="00BB3299"/>
    <w:rsid w:val="00BB32A6"/>
    <w:rsid w:val="00BB745C"/>
    <w:rsid w:val="00BC04D3"/>
    <w:rsid w:val="00BC08D2"/>
    <w:rsid w:val="00BC140B"/>
    <w:rsid w:val="00BC1721"/>
    <w:rsid w:val="00BC1D56"/>
    <w:rsid w:val="00BC23AF"/>
    <w:rsid w:val="00BC3B20"/>
    <w:rsid w:val="00BC68CC"/>
    <w:rsid w:val="00BD0D8B"/>
    <w:rsid w:val="00BD1896"/>
    <w:rsid w:val="00BD2281"/>
    <w:rsid w:val="00BD267E"/>
    <w:rsid w:val="00BD42F2"/>
    <w:rsid w:val="00BD599B"/>
    <w:rsid w:val="00BD65BE"/>
    <w:rsid w:val="00BD7C4E"/>
    <w:rsid w:val="00BE1D00"/>
    <w:rsid w:val="00BE2065"/>
    <w:rsid w:val="00BE2319"/>
    <w:rsid w:val="00BE36C9"/>
    <w:rsid w:val="00BE49E1"/>
    <w:rsid w:val="00BF069C"/>
    <w:rsid w:val="00BF189E"/>
    <w:rsid w:val="00BF18F4"/>
    <w:rsid w:val="00BF2E76"/>
    <w:rsid w:val="00BF44C7"/>
    <w:rsid w:val="00BF55E6"/>
    <w:rsid w:val="00BF6279"/>
    <w:rsid w:val="00BF6F40"/>
    <w:rsid w:val="00C00052"/>
    <w:rsid w:val="00C00543"/>
    <w:rsid w:val="00C008A2"/>
    <w:rsid w:val="00C00E0A"/>
    <w:rsid w:val="00C01502"/>
    <w:rsid w:val="00C019B7"/>
    <w:rsid w:val="00C03960"/>
    <w:rsid w:val="00C03FF8"/>
    <w:rsid w:val="00C057BC"/>
    <w:rsid w:val="00C05D78"/>
    <w:rsid w:val="00C06097"/>
    <w:rsid w:val="00C06F04"/>
    <w:rsid w:val="00C11DBB"/>
    <w:rsid w:val="00C13E40"/>
    <w:rsid w:val="00C141D4"/>
    <w:rsid w:val="00C159CF"/>
    <w:rsid w:val="00C1738D"/>
    <w:rsid w:val="00C174AE"/>
    <w:rsid w:val="00C21240"/>
    <w:rsid w:val="00C229C0"/>
    <w:rsid w:val="00C232F0"/>
    <w:rsid w:val="00C23C55"/>
    <w:rsid w:val="00C23DD0"/>
    <w:rsid w:val="00C2474B"/>
    <w:rsid w:val="00C26947"/>
    <w:rsid w:val="00C278D1"/>
    <w:rsid w:val="00C31430"/>
    <w:rsid w:val="00C322EF"/>
    <w:rsid w:val="00C32CEA"/>
    <w:rsid w:val="00C3389F"/>
    <w:rsid w:val="00C347A3"/>
    <w:rsid w:val="00C35C82"/>
    <w:rsid w:val="00C361DF"/>
    <w:rsid w:val="00C37846"/>
    <w:rsid w:val="00C425A9"/>
    <w:rsid w:val="00C43FE6"/>
    <w:rsid w:val="00C45252"/>
    <w:rsid w:val="00C45646"/>
    <w:rsid w:val="00C47020"/>
    <w:rsid w:val="00C47423"/>
    <w:rsid w:val="00C50317"/>
    <w:rsid w:val="00C50992"/>
    <w:rsid w:val="00C533F9"/>
    <w:rsid w:val="00C55DD2"/>
    <w:rsid w:val="00C56D34"/>
    <w:rsid w:val="00C57CF8"/>
    <w:rsid w:val="00C60005"/>
    <w:rsid w:val="00C621FB"/>
    <w:rsid w:val="00C6270C"/>
    <w:rsid w:val="00C63172"/>
    <w:rsid w:val="00C634FC"/>
    <w:rsid w:val="00C63EAA"/>
    <w:rsid w:val="00C6606D"/>
    <w:rsid w:val="00C6649E"/>
    <w:rsid w:val="00C668E8"/>
    <w:rsid w:val="00C67DE9"/>
    <w:rsid w:val="00C71389"/>
    <w:rsid w:val="00C719E2"/>
    <w:rsid w:val="00C722B8"/>
    <w:rsid w:val="00C7327F"/>
    <w:rsid w:val="00C73634"/>
    <w:rsid w:val="00C73F1A"/>
    <w:rsid w:val="00C751CD"/>
    <w:rsid w:val="00C77029"/>
    <w:rsid w:val="00C778EC"/>
    <w:rsid w:val="00C816F0"/>
    <w:rsid w:val="00C81ECE"/>
    <w:rsid w:val="00C82D16"/>
    <w:rsid w:val="00C831F1"/>
    <w:rsid w:val="00C8445B"/>
    <w:rsid w:val="00C863C1"/>
    <w:rsid w:val="00C870A2"/>
    <w:rsid w:val="00C90187"/>
    <w:rsid w:val="00C909BE"/>
    <w:rsid w:val="00C90B6C"/>
    <w:rsid w:val="00C91433"/>
    <w:rsid w:val="00C923DB"/>
    <w:rsid w:val="00C92A5C"/>
    <w:rsid w:val="00C94885"/>
    <w:rsid w:val="00C9591D"/>
    <w:rsid w:val="00C95B1E"/>
    <w:rsid w:val="00C963F0"/>
    <w:rsid w:val="00C96496"/>
    <w:rsid w:val="00C97AAA"/>
    <w:rsid w:val="00C97B6C"/>
    <w:rsid w:val="00C97E8B"/>
    <w:rsid w:val="00CA0176"/>
    <w:rsid w:val="00CA143D"/>
    <w:rsid w:val="00CA1CEB"/>
    <w:rsid w:val="00CA3F4B"/>
    <w:rsid w:val="00CA462A"/>
    <w:rsid w:val="00CA5A00"/>
    <w:rsid w:val="00CA6C66"/>
    <w:rsid w:val="00CA774D"/>
    <w:rsid w:val="00CA7A60"/>
    <w:rsid w:val="00CB41C1"/>
    <w:rsid w:val="00CB42F1"/>
    <w:rsid w:val="00CB545E"/>
    <w:rsid w:val="00CB626A"/>
    <w:rsid w:val="00CB72BA"/>
    <w:rsid w:val="00CB7C9E"/>
    <w:rsid w:val="00CC0E79"/>
    <w:rsid w:val="00CC2A7D"/>
    <w:rsid w:val="00CC3D0F"/>
    <w:rsid w:val="00CC6BDA"/>
    <w:rsid w:val="00CC6CB6"/>
    <w:rsid w:val="00CD0ED5"/>
    <w:rsid w:val="00CD1646"/>
    <w:rsid w:val="00CD395F"/>
    <w:rsid w:val="00CD3E1C"/>
    <w:rsid w:val="00CD425C"/>
    <w:rsid w:val="00CD4DD4"/>
    <w:rsid w:val="00CD722B"/>
    <w:rsid w:val="00CD75C2"/>
    <w:rsid w:val="00CE0733"/>
    <w:rsid w:val="00CE08B4"/>
    <w:rsid w:val="00CE3C7B"/>
    <w:rsid w:val="00CE3DC4"/>
    <w:rsid w:val="00CE505E"/>
    <w:rsid w:val="00CE71A2"/>
    <w:rsid w:val="00CF1009"/>
    <w:rsid w:val="00CF14B9"/>
    <w:rsid w:val="00CF18B0"/>
    <w:rsid w:val="00CF324A"/>
    <w:rsid w:val="00CF397D"/>
    <w:rsid w:val="00CF4520"/>
    <w:rsid w:val="00CF4FF6"/>
    <w:rsid w:val="00CF50F0"/>
    <w:rsid w:val="00CF780C"/>
    <w:rsid w:val="00D0038D"/>
    <w:rsid w:val="00D02902"/>
    <w:rsid w:val="00D041FC"/>
    <w:rsid w:val="00D04B6B"/>
    <w:rsid w:val="00D066D7"/>
    <w:rsid w:val="00D07554"/>
    <w:rsid w:val="00D07A64"/>
    <w:rsid w:val="00D11EEB"/>
    <w:rsid w:val="00D12DE4"/>
    <w:rsid w:val="00D12DFA"/>
    <w:rsid w:val="00D13387"/>
    <w:rsid w:val="00D14840"/>
    <w:rsid w:val="00D14990"/>
    <w:rsid w:val="00D16005"/>
    <w:rsid w:val="00D16425"/>
    <w:rsid w:val="00D16D40"/>
    <w:rsid w:val="00D20F53"/>
    <w:rsid w:val="00D2336B"/>
    <w:rsid w:val="00D2504B"/>
    <w:rsid w:val="00D26171"/>
    <w:rsid w:val="00D265DD"/>
    <w:rsid w:val="00D323FA"/>
    <w:rsid w:val="00D343C7"/>
    <w:rsid w:val="00D356CB"/>
    <w:rsid w:val="00D36B60"/>
    <w:rsid w:val="00D36C82"/>
    <w:rsid w:val="00D375A3"/>
    <w:rsid w:val="00D40475"/>
    <w:rsid w:val="00D44442"/>
    <w:rsid w:val="00D44624"/>
    <w:rsid w:val="00D44A75"/>
    <w:rsid w:val="00D44EB9"/>
    <w:rsid w:val="00D4728E"/>
    <w:rsid w:val="00D477DB"/>
    <w:rsid w:val="00D505A4"/>
    <w:rsid w:val="00D5108F"/>
    <w:rsid w:val="00D51DE7"/>
    <w:rsid w:val="00D5287D"/>
    <w:rsid w:val="00D54424"/>
    <w:rsid w:val="00D54862"/>
    <w:rsid w:val="00D57DBE"/>
    <w:rsid w:val="00D62343"/>
    <w:rsid w:val="00D629FE"/>
    <w:rsid w:val="00D641FA"/>
    <w:rsid w:val="00D64AC1"/>
    <w:rsid w:val="00D64BF3"/>
    <w:rsid w:val="00D66AA4"/>
    <w:rsid w:val="00D672EB"/>
    <w:rsid w:val="00D67EB6"/>
    <w:rsid w:val="00D701BA"/>
    <w:rsid w:val="00D70D84"/>
    <w:rsid w:val="00D7593E"/>
    <w:rsid w:val="00D80044"/>
    <w:rsid w:val="00D80137"/>
    <w:rsid w:val="00D821F4"/>
    <w:rsid w:val="00D82ACE"/>
    <w:rsid w:val="00D83D56"/>
    <w:rsid w:val="00D84AA0"/>
    <w:rsid w:val="00D86D58"/>
    <w:rsid w:val="00D87C3E"/>
    <w:rsid w:val="00D91D7C"/>
    <w:rsid w:val="00D92150"/>
    <w:rsid w:val="00D92665"/>
    <w:rsid w:val="00D927C5"/>
    <w:rsid w:val="00D9326F"/>
    <w:rsid w:val="00D932B7"/>
    <w:rsid w:val="00D9465E"/>
    <w:rsid w:val="00D94845"/>
    <w:rsid w:val="00D94C4A"/>
    <w:rsid w:val="00D95286"/>
    <w:rsid w:val="00D96033"/>
    <w:rsid w:val="00D968E6"/>
    <w:rsid w:val="00DA0A73"/>
    <w:rsid w:val="00DA3C59"/>
    <w:rsid w:val="00DA4076"/>
    <w:rsid w:val="00DA499C"/>
    <w:rsid w:val="00DA5359"/>
    <w:rsid w:val="00DB209D"/>
    <w:rsid w:val="00DB30B3"/>
    <w:rsid w:val="00DB3481"/>
    <w:rsid w:val="00DB434F"/>
    <w:rsid w:val="00DB66F6"/>
    <w:rsid w:val="00DB678B"/>
    <w:rsid w:val="00DC283E"/>
    <w:rsid w:val="00DC34EE"/>
    <w:rsid w:val="00DC3BBA"/>
    <w:rsid w:val="00DC3C0C"/>
    <w:rsid w:val="00DC47D3"/>
    <w:rsid w:val="00DC5094"/>
    <w:rsid w:val="00DC673F"/>
    <w:rsid w:val="00DC7EA3"/>
    <w:rsid w:val="00DD163C"/>
    <w:rsid w:val="00DD1855"/>
    <w:rsid w:val="00DD4FC1"/>
    <w:rsid w:val="00DD5DAF"/>
    <w:rsid w:val="00DD639C"/>
    <w:rsid w:val="00DD7775"/>
    <w:rsid w:val="00DE0088"/>
    <w:rsid w:val="00DE2126"/>
    <w:rsid w:val="00DE521C"/>
    <w:rsid w:val="00DE540A"/>
    <w:rsid w:val="00DE59A9"/>
    <w:rsid w:val="00DE6B0F"/>
    <w:rsid w:val="00DE6C80"/>
    <w:rsid w:val="00DE7CB0"/>
    <w:rsid w:val="00DE7DF3"/>
    <w:rsid w:val="00DF16CB"/>
    <w:rsid w:val="00DF1B64"/>
    <w:rsid w:val="00DF42AA"/>
    <w:rsid w:val="00DF6608"/>
    <w:rsid w:val="00DF676A"/>
    <w:rsid w:val="00DF73BE"/>
    <w:rsid w:val="00E00033"/>
    <w:rsid w:val="00E046DE"/>
    <w:rsid w:val="00E04BF4"/>
    <w:rsid w:val="00E05835"/>
    <w:rsid w:val="00E1224B"/>
    <w:rsid w:val="00E13469"/>
    <w:rsid w:val="00E13645"/>
    <w:rsid w:val="00E14B37"/>
    <w:rsid w:val="00E15041"/>
    <w:rsid w:val="00E15081"/>
    <w:rsid w:val="00E150BD"/>
    <w:rsid w:val="00E15553"/>
    <w:rsid w:val="00E17F14"/>
    <w:rsid w:val="00E20963"/>
    <w:rsid w:val="00E21D29"/>
    <w:rsid w:val="00E22065"/>
    <w:rsid w:val="00E254B8"/>
    <w:rsid w:val="00E25CF4"/>
    <w:rsid w:val="00E272BA"/>
    <w:rsid w:val="00E275FE"/>
    <w:rsid w:val="00E27E98"/>
    <w:rsid w:val="00E27F7B"/>
    <w:rsid w:val="00E305D2"/>
    <w:rsid w:val="00E33603"/>
    <w:rsid w:val="00E3382B"/>
    <w:rsid w:val="00E338C8"/>
    <w:rsid w:val="00E401B3"/>
    <w:rsid w:val="00E4307E"/>
    <w:rsid w:val="00E44B36"/>
    <w:rsid w:val="00E46D9D"/>
    <w:rsid w:val="00E52AA2"/>
    <w:rsid w:val="00E5312C"/>
    <w:rsid w:val="00E538D8"/>
    <w:rsid w:val="00E54144"/>
    <w:rsid w:val="00E54EC7"/>
    <w:rsid w:val="00E60FA3"/>
    <w:rsid w:val="00E6106F"/>
    <w:rsid w:val="00E61D20"/>
    <w:rsid w:val="00E62DE5"/>
    <w:rsid w:val="00E630C3"/>
    <w:rsid w:val="00E63E38"/>
    <w:rsid w:val="00E64F39"/>
    <w:rsid w:val="00E65825"/>
    <w:rsid w:val="00E66FD3"/>
    <w:rsid w:val="00E6740E"/>
    <w:rsid w:val="00E704DE"/>
    <w:rsid w:val="00E70823"/>
    <w:rsid w:val="00E727D2"/>
    <w:rsid w:val="00E73253"/>
    <w:rsid w:val="00E73B77"/>
    <w:rsid w:val="00E757BB"/>
    <w:rsid w:val="00E75EC8"/>
    <w:rsid w:val="00E767A0"/>
    <w:rsid w:val="00E769A5"/>
    <w:rsid w:val="00E7712D"/>
    <w:rsid w:val="00E812B1"/>
    <w:rsid w:val="00E81E34"/>
    <w:rsid w:val="00E821B0"/>
    <w:rsid w:val="00E829BC"/>
    <w:rsid w:val="00E841FF"/>
    <w:rsid w:val="00E86378"/>
    <w:rsid w:val="00E87727"/>
    <w:rsid w:val="00E903BC"/>
    <w:rsid w:val="00E90D02"/>
    <w:rsid w:val="00E911E5"/>
    <w:rsid w:val="00E929DE"/>
    <w:rsid w:val="00E93875"/>
    <w:rsid w:val="00EA04B8"/>
    <w:rsid w:val="00EA05DC"/>
    <w:rsid w:val="00EA1845"/>
    <w:rsid w:val="00EA204C"/>
    <w:rsid w:val="00EA2681"/>
    <w:rsid w:val="00EA3700"/>
    <w:rsid w:val="00EA3B42"/>
    <w:rsid w:val="00EA3EC1"/>
    <w:rsid w:val="00EA5D57"/>
    <w:rsid w:val="00EB00D9"/>
    <w:rsid w:val="00EB0C84"/>
    <w:rsid w:val="00EB29DC"/>
    <w:rsid w:val="00EB2F39"/>
    <w:rsid w:val="00EB356F"/>
    <w:rsid w:val="00EB39C1"/>
    <w:rsid w:val="00EB4376"/>
    <w:rsid w:val="00EB460D"/>
    <w:rsid w:val="00EB48CA"/>
    <w:rsid w:val="00EB4AAE"/>
    <w:rsid w:val="00EB6736"/>
    <w:rsid w:val="00EB7ED6"/>
    <w:rsid w:val="00EC087D"/>
    <w:rsid w:val="00EC089E"/>
    <w:rsid w:val="00EC08E0"/>
    <w:rsid w:val="00EC0F51"/>
    <w:rsid w:val="00EC18B4"/>
    <w:rsid w:val="00EC20B6"/>
    <w:rsid w:val="00EC214B"/>
    <w:rsid w:val="00EC3431"/>
    <w:rsid w:val="00EC6258"/>
    <w:rsid w:val="00EC7FC5"/>
    <w:rsid w:val="00ED01D9"/>
    <w:rsid w:val="00ED0839"/>
    <w:rsid w:val="00ED0EC5"/>
    <w:rsid w:val="00ED2623"/>
    <w:rsid w:val="00ED2FD5"/>
    <w:rsid w:val="00ED4C2D"/>
    <w:rsid w:val="00ED7F5B"/>
    <w:rsid w:val="00EE1CD8"/>
    <w:rsid w:val="00EE3987"/>
    <w:rsid w:val="00EE40C4"/>
    <w:rsid w:val="00EE5316"/>
    <w:rsid w:val="00EE57D6"/>
    <w:rsid w:val="00EE5C86"/>
    <w:rsid w:val="00EF2F61"/>
    <w:rsid w:val="00EF579A"/>
    <w:rsid w:val="00EF6CD8"/>
    <w:rsid w:val="00F01BE4"/>
    <w:rsid w:val="00F02D91"/>
    <w:rsid w:val="00F04959"/>
    <w:rsid w:val="00F05BBF"/>
    <w:rsid w:val="00F077CB"/>
    <w:rsid w:val="00F1051F"/>
    <w:rsid w:val="00F11D8A"/>
    <w:rsid w:val="00F14D34"/>
    <w:rsid w:val="00F156A7"/>
    <w:rsid w:val="00F15D5D"/>
    <w:rsid w:val="00F16BBB"/>
    <w:rsid w:val="00F16E29"/>
    <w:rsid w:val="00F16F32"/>
    <w:rsid w:val="00F17BB3"/>
    <w:rsid w:val="00F17FE9"/>
    <w:rsid w:val="00F20EAE"/>
    <w:rsid w:val="00F217F5"/>
    <w:rsid w:val="00F21DFA"/>
    <w:rsid w:val="00F220DE"/>
    <w:rsid w:val="00F235C3"/>
    <w:rsid w:val="00F23EE2"/>
    <w:rsid w:val="00F2469E"/>
    <w:rsid w:val="00F2484F"/>
    <w:rsid w:val="00F24B0F"/>
    <w:rsid w:val="00F24B5D"/>
    <w:rsid w:val="00F260B3"/>
    <w:rsid w:val="00F27D0E"/>
    <w:rsid w:val="00F30D8D"/>
    <w:rsid w:val="00F31437"/>
    <w:rsid w:val="00F31B74"/>
    <w:rsid w:val="00F3359B"/>
    <w:rsid w:val="00F33AE8"/>
    <w:rsid w:val="00F344AA"/>
    <w:rsid w:val="00F34F02"/>
    <w:rsid w:val="00F356A6"/>
    <w:rsid w:val="00F35BE5"/>
    <w:rsid w:val="00F365B6"/>
    <w:rsid w:val="00F36FAE"/>
    <w:rsid w:val="00F42619"/>
    <w:rsid w:val="00F429D1"/>
    <w:rsid w:val="00F42AB1"/>
    <w:rsid w:val="00F438C4"/>
    <w:rsid w:val="00F43D9A"/>
    <w:rsid w:val="00F446D8"/>
    <w:rsid w:val="00F449A5"/>
    <w:rsid w:val="00F45522"/>
    <w:rsid w:val="00F46B42"/>
    <w:rsid w:val="00F5349D"/>
    <w:rsid w:val="00F535D8"/>
    <w:rsid w:val="00F54F16"/>
    <w:rsid w:val="00F574C1"/>
    <w:rsid w:val="00F578CB"/>
    <w:rsid w:val="00F6243C"/>
    <w:rsid w:val="00F6319C"/>
    <w:rsid w:val="00F63E8B"/>
    <w:rsid w:val="00F65688"/>
    <w:rsid w:val="00F66020"/>
    <w:rsid w:val="00F66B81"/>
    <w:rsid w:val="00F67B03"/>
    <w:rsid w:val="00F7286B"/>
    <w:rsid w:val="00F736C8"/>
    <w:rsid w:val="00F7425D"/>
    <w:rsid w:val="00F76502"/>
    <w:rsid w:val="00F76BF9"/>
    <w:rsid w:val="00F816E7"/>
    <w:rsid w:val="00F819F3"/>
    <w:rsid w:val="00F81B3E"/>
    <w:rsid w:val="00F820FE"/>
    <w:rsid w:val="00F823D6"/>
    <w:rsid w:val="00F82FA3"/>
    <w:rsid w:val="00F84BA7"/>
    <w:rsid w:val="00F854C6"/>
    <w:rsid w:val="00F860BF"/>
    <w:rsid w:val="00F87933"/>
    <w:rsid w:val="00F90C18"/>
    <w:rsid w:val="00F91F55"/>
    <w:rsid w:val="00F9218C"/>
    <w:rsid w:val="00F92D6B"/>
    <w:rsid w:val="00F97375"/>
    <w:rsid w:val="00F97935"/>
    <w:rsid w:val="00FA1A40"/>
    <w:rsid w:val="00FA3D80"/>
    <w:rsid w:val="00FA3F78"/>
    <w:rsid w:val="00FA45CB"/>
    <w:rsid w:val="00FA46DF"/>
    <w:rsid w:val="00FA4A29"/>
    <w:rsid w:val="00FA5530"/>
    <w:rsid w:val="00FA6D33"/>
    <w:rsid w:val="00FA7664"/>
    <w:rsid w:val="00FB0DC0"/>
    <w:rsid w:val="00FB1045"/>
    <w:rsid w:val="00FB17A6"/>
    <w:rsid w:val="00FB37C8"/>
    <w:rsid w:val="00FB39D9"/>
    <w:rsid w:val="00FB39F3"/>
    <w:rsid w:val="00FB3B30"/>
    <w:rsid w:val="00FB432B"/>
    <w:rsid w:val="00FB4D21"/>
    <w:rsid w:val="00FB4DFD"/>
    <w:rsid w:val="00FB6EE8"/>
    <w:rsid w:val="00FC16D4"/>
    <w:rsid w:val="00FC41C9"/>
    <w:rsid w:val="00FC6CB6"/>
    <w:rsid w:val="00FC6FBE"/>
    <w:rsid w:val="00FD0BF2"/>
    <w:rsid w:val="00FD1DE0"/>
    <w:rsid w:val="00FD34B3"/>
    <w:rsid w:val="00FD3AFD"/>
    <w:rsid w:val="00FD3B17"/>
    <w:rsid w:val="00FD3C23"/>
    <w:rsid w:val="00FD40C5"/>
    <w:rsid w:val="00FD6437"/>
    <w:rsid w:val="00FD66C4"/>
    <w:rsid w:val="00FE1444"/>
    <w:rsid w:val="00FE17BA"/>
    <w:rsid w:val="00FE41B7"/>
    <w:rsid w:val="00FE5B2C"/>
    <w:rsid w:val="00FE5E19"/>
    <w:rsid w:val="00FF0474"/>
    <w:rsid w:val="00FF1B09"/>
    <w:rsid w:val="00FF33CE"/>
    <w:rsid w:val="00FF383C"/>
    <w:rsid w:val="00FF3F11"/>
    <w:rsid w:val="00FF49E3"/>
    <w:rsid w:val="00FF5377"/>
    <w:rsid w:val="00FF555B"/>
    <w:rsid w:val="00FF68DA"/>
    <w:rsid w:val="00FF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832C8"/>
  <w15:docId w15:val="{78EF7273-2B25-4FF8-AC43-AE05F12A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543"/>
    <w:rPr>
      <w:sz w:val="24"/>
      <w:szCs w:val="24"/>
    </w:rPr>
  </w:style>
  <w:style w:type="paragraph" w:styleId="Heading1">
    <w:name w:val="heading 1"/>
    <w:aliases w:val="H1-Sec.Head"/>
    <w:basedOn w:val="Normal"/>
    <w:next w:val="Normal"/>
    <w:link w:val="Heading1Char"/>
    <w:qFormat/>
    <w:rsid w:val="006C6FD7"/>
    <w:pPr>
      <w:outlineLvl w:val="0"/>
    </w:pPr>
    <w:rPr>
      <w:b/>
      <w:bCs/>
      <w:caps/>
    </w:rPr>
  </w:style>
  <w:style w:type="paragraph" w:styleId="Heading2">
    <w:name w:val="heading 2"/>
    <w:basedOn w:val="Normal"/>
    <w:next w:val="Normal"/>
    <w:link w:val="Heading2Char"/>
    <w:qFormat/>
    <w:rsid w:val="003E336A"/>
    <w:pPr>
      <w:tabs>
        <w:tab w:val="left" w:pos="720"/>
      </w:tabs>
      <w:autoSpaceDE w:val="0"/>
      <w:autoSpaceDN w:val="0"/>
      <w:adjustRightInd w:val="0"/>
      <w:ind w:left="720" w:hanging="720"/>
      <w:outlineLvl w:val="1"/>
    </w:pPr>
    <w:rPr>
      <w:b/>
      <w:bCs/>
      <w:sz w:val="26"/>
      <w:szCs w:val="26"/>
    </w:rPr>
  </w:style>
  <w:style w:type="paragraph" w:styleId="Heading3">
    <w:name w:val="heading 3"/>
    <w:basedOn w:val="Heading2"/>
    <w:next w:val="BodyText1"/>
    <w:link w:val="Heading3Char"/>
    <w:qFormat/>
    <w:rsid w:val="003E336A"/>
    <w:pPr>
      <w:outlineLvl w:val="2"/>
    </w:pPr>
    <w:rPr>
      <w:sz w:val="24"/>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6C6FD7"/>
    <w:rPr>
      <w:b/>
      <w:bCs/>
      <w:caps/>
      <w:sz w:val="24"/>
      <w:szCs w:val="24"/>
    </w:rPr>
  </w:style>
  <w:style w:type="character" w:customStyle="1" w:styleId="Heading2Char">
    <w:name w:val="Heading 2 Char"/>
    <w:link w:val="Heading2"/>
    <w:rsid w:val="003E336A"/>
    <w:rPr>
      <w:b/>
      <w:bCs/>
      <w:sz w:val="26"/>
      <w:szCs w:val="26"/>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3E336A"/>
    <w:rPr>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4D35FF"/>
    <w:pPr>
      <w:spacing w:before="120" w:after="120"/>
    </w:pPr>
    <w:rPr>
      <w:b/>
      <w:bCs/>
      <w:caps/>
      <w:szCs w:val="20"/>
    </w:rPr>
  </w:style>
  <w:style w:type="paragraph" w:styleId="TOC2">
    <w:name w:val="toc 2"/>
    <w:basedOn w:val="Normal"/>
    <w:autoRedefine/>
    <w:uiPriority w:val="39"/>
    <w:rsid w:val="005C2B52"/>
    <w:pPr>
      <w:tabs>
        <w:tab w:val="left" w:pos="990"/>
        <w:tab w:val="right" w:leader="dot" w:pos="9350"/>
      </w:tabs>
      <w:spacing w:after="60"/>
      <w:ind w:left="990" w:hanging="630"/>
    </w:pPr>
    <w:rPr>
      <w:szCs w:val="20"/>
    </w:rPr>
  </w:style>
  <w:style w:type="paragraph" w:styleId="TOC5">
    <w:name w:val="toc 5"/>
    <w:basedOn w:val="TOC1"/>
    <w:autoRedefine/>
    <w:semiHidden/>
    <w:rsid w:val="006F1DA6"/>
    <w:pPr>
      <w:spacing w:before="0" w:after="0"/>
      <w:ind w:left="960"/>
    </w:pPr>
    <w:rPr>
      <w:b w:val="0"/>
      <w:bCs w:val="0"/>
      <w:caps w:val="0"/>
      <w:sz w:val="18"/>
      <w:szCs w:val="18"/>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2E79A9"/>
    <w:rPr>
      <w:b/>
      <w:bCs/>
      <w:szCs w:val="22"/>
    </w:r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3"/>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4"/>
      </w:numPr>
    </w:pPr>
    <w:rPr>
      <w:rFonts w:eastAsia="SimSun"/>
    </w:rPr>
  </w:style>
  <w:style w:type="paragraph" w:customStyle="1" w:styleId="a2colbul">
    <w:name w:val="a2col_bul"/>
    <w:basedOn w:val="Normal"/>
    <w:rsid w:val="00972DEF"/>
    <w:pPr>
      <w:numPr>
        <w:ilvl w:val="1"/>
        <w:numId w:val="4"/>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styleId="BookTitle">
    <w:name w:val="Book Title"/>
    <w:uiPriority w:val="33"/>
    <w:qFormat/>
    <w:rsid w:val="003C6948"/>
    <w:rPr>
      <w:b/>
      <w:bCs/>
      <w:smallCaps/>
      <w:spacing w:val="5"/>
      <w:sz w:val="40"/>
      <w:szCs w:val="28"/>
    </w:rPr>
  </w:style>
  <w:style w:type="table" w:styleId="TableGrid">
    <w:name w:val="Table Grid"/>
    <w:basedOn w:val="TableNormal"/>
    <w:rsid w:val="006C6F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D35FF"/>
    <w:pPr>
      <w:tabs>
        <w:tab w:val="right" w:leader="dot" w:pos="9350"/>
      </w:tabs>
      <w:ind w:left="1170"/>
    </w:pPr>
    <w:rPr>
      <w:iCs/>
      <w:szCs w:val="20"/>
    </w:rPr>
  </w:style>
  <w:style w:type="paragraph" w:styleId="TOC4">
    <w:name w:val="toc 4"/>
    <w:basedOn w:val="Normal"/>
    <w:next w:val="Normal"/>
    <w:autoRedefine/>
    <w:unhideWhenUsed/>
    <w:rsid w:val="004D35FF"/>
    <w:pPr>
      <w:ind w:left="720"/>
    </w:pPr>
    <w:rPr>
      <w:rFonts w:asciiTheme="minorHAnsi" w:hAnsiTheme="minorHAnsi"/>
      <w:sz w:val="18"/>
      <w:szCs w:val="18"/>
    </w:rPr>
  </w:style>
  <w:style w:type="paragraph" w:styleId="TOC6">
    <w:name w:val="toc 6"/>
    <w:basedOn w:val="Normal"/>
    <w:next w:val="Normal"/>
    <w:autoRedefine/>
    <w:unhideWhenUsed/>
    <w:rsid w:val="004D35FF"/>
    <w:pPr>
      <w:ind w:left="1200"/>
    </w:pPr>
    <w:rPr>
      <w:rFonts w:asciiTheme="minorHAnsi" w:hAnsiTheme="minorHAnsi"/>
      <w:sz w:val="18"/>
      <w:szCs w:val="18"/>
    </w:rPr>
  </w:style>
  <w:style w:type="paragraph" w:styleId="TOC7">
    <w:name w:val="toc 7"/>
    <w:basedOn w:val="Normal"/>
    <w:next w:val="Normal"/>
    <w:autoRedefine/>
    <w:unhideWhenUsed/>
    <w:rsid w:val="004D35FF"/>
    <w:pPr>
      <w:ind w:left="1440"/>
    </w:pPr>
    <w:rPr>
      <w:rFonts w:asciiTheme="minorHAnsi" w:hAnsiTheme="minorHAnsi"/>
      <w:sz w:val="18"/>
      <w:szCs w:val="18"/>
    </w:rPr>
  </w:style>
  <w:style w:type="paragraph" w:styleId="TOC8">
    <w:name w:val="toc 8"/>
    <w:basedOn w:val="Normal"/>
    <w:next w:val="Normal"/>
    <w:autoRedefine/>
    <w:unhideWhenUsed/>
    <w:rsid w:val="004D35FF"/>
    <w:pPr>
      <w:ind w:left="1680"/>
    </w:pPr>
    <w:rPr>
      <w:rFonts w:asciiTheme="minorHAnsi" w:hAnsiTheme="minorHAnsi"/>
      <w:sz w:val="18"/>
      <w:szCs w:val="18"/>
    </w:rPr>
  </w:style>
  <w:style w:type="paragraph" w:styleId="TOC9">
    <w:name w:val="toc 9"/>
    <w:basedOn w:val="Normal"/>
    <w:next w:val="Normal"/>
    <w:autoRedefine/>
    <w:unhideWhenUsed/>
    <w:rsid w:val="004D35FF"/>
    <w:pPr>
      <w:ind w:left="1920"/>
    </w:pPr>
    <w:rPr>
      <w:rFonts w:asciiTheme="minorHAnsi" w:hAnsiTheme="minorHAnsi"/>
      <w:sz w:val="18"/>
      <w:szCs w:val="18"/>
    </w:rPr>
  </w:style>
  <w:style w:type="paragraph" w:customStyle="1" w:styleId="text">
    <w:name w:val="text"/>
    <w:basedOn w:val="Normal"/>
    <w:rsid w:val="00173966"/>
    <w:pPr>
      <w:spacing w:before="100" w:beforeAutospacing="1" w:after="100" w:afterAutospacing="1"/>
    </w:pPr>
  </w:style>
  <w:style w:type="character" w:styleId="HTMLDefinition">
    <w:name w:val="HTML Definition"/>
    <w:basedOn w:val="DefaultParagraphFont"/>
    <w:uiPriority w:val="99"/>
    <w:semiHidden/>
    <w:unhideWhenUsed/>
    <w:rsid w:val="00173966"/>
    <w:rPr>
      <w:i/>
      <w:iCs/>
    </w:rPr>
  </w:style>
  <w:style w:type="character" w:customStyle="1" w:styleId="entity-ref">
    <w:name w:val="entity-ref"/>
    <w:basedOn w:val="DefaultParagraphFont"/>
    <w:rsid w:val="00173966"/>
  </w:style>
  <w:style w:type="paragraph" w:customStyle="1" w:styleId="Header1">
    <w:name w:val="Header1"/>
    <w:basedOn w:val="Normal"/>
    <w:rsid w:val="00173966"/>
    <w:pPr>
      <w:spacing w:before="100" w:beforeAutospacing="1" w:after="100" w:afterAutospacing="1"/>
    </w:pPr>
  </w:style>
  <w:style w:type="character" w:customStyle="1" w:styleId="enum">
    <w:name w:val="enum"/>
    <w:basedOn w:val="DefaultParagraphFont"/>
    <w:rsid w:val="00173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980767112">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410156261">
      <w:bodyDiv w:val="1"/>
      <w:marLeft w:val="0"/>
      <w:marRight w:val="0"/>
      <w:marTop w:val="0"/>
      <w:marBottom w:val="0"/>
      <w:divBdr>
        <w:top w:val="none" w:sz="0" w:space="0" w:color="auto"/>
        <w:left w:val="none" w:sz="0" w:space="0" w:color="auto"/>
        <w:bottom w:val="none" w:sz="0" w:space="0" w:color="auto"/>
        <w:right w:val="none" w:sz="0" w:space="0" w:color="auto"/>
      </w:divBdr>
    </w:div>
    <w:div w:id="1429232084">
      <w:bodyDiv w:val="1"/>
      <w:marLeft w:val="0"/>
      <w:marRight w:val="0"/>
      <w:marTop w:val="0"/>
      <w:marBottom w:val="0"/>
      <w:divBdr>
        <w:top w:val="none" w:sz="0" w:space="0" w:color="auto"/>
        <w:left w:val="none" w:sz="0" w:space="0" w:color="auto"/>
        <w:bottom w:val="none" w:sz="0" w:space="0" w:color="auto"/>
        <w:right w:val="none" w:sz="0" w:space="0" w:color="auto"/>
      </w:divBdr>
    </w:div>
    <w:div w:id="1630092818">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690982566">
      <w:bodyDiv w:val="1"/>
      <w:marLeft w:val="0"/>
      <w:marRight w:val="0"/>
      <w:marTop w:val="0"/>
      <w:marBottom w:val="0"/>
      <w:divBdr>
        <w:top w:val="none" w:sz="0" w:space="0" w:color="auto"/>
        <w:left w:val="none" w:sz="0" w:space="0" w:color="auto"/>
        <w:bottom w:val="none" w:sz="0" w:space="0" w:color="auto"/>
        <w:right w:val="none" w:sz="0" w:space="0" w:color="auto"/>
      </w:divBdr>
    </w:div>
    <w:div w:id="1820613074">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083093776">
      <w:bodyDiv w:val="1"/>
      <w:marLeft w:val="0"/>
      <w:marRight w:val="0"/>
      <w:marTop w:val="0"/>
      <w:marBottom w:val="0"/>
      <w:divBdr>
        <w:top w:val="none" w:sz="0" w:space="0" w:color="auto"/>
        <w:left w:val="none" w:sz="0" w:space="0" w:color="auto"/>
        <w:bottom w:val="none" w:sz="0" w:space="0" w:color="auto"/>
        <w:right w:val="none" w:sz="0" w:space="0" w:color="auto"/>
      </w:divBdr>
    </w:div>
    <w:div w:id="2110194856">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ViolencePrevention/pdf/NISVS_FactSheet-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2.xml><?xml version="1.0" encoding="utf-8"?>
<ds:datastoreItem xmlns:ds="http://schemas.openxmlformats.org/officeDocument/2006/customXml" ds:itemID="{C38579D9-C4D2-45FC-AE2D-715980804CC3}">
  <ds:schemaRef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http://purl.org/dc/dcmitype/"/>
    <ds:schemaRef ds:uri="http://purl.org/dc/terms/"/>
    <ds:schemaRef ds:uri="004a172f-e16f-4887-a47b-3990e8128e1e"/>
    <ds:schemaRef ds:uri="http://www.w3.org/XML/1998/namespace"/>
    <ds:schemaRef ds:uri="http://purl.org/dc/elements/1.1/"/>
  </ds:schemaRefs>
</ds:datastoreItem>
</file>

<file path=customXml/itemProps3.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4.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D46D08-F7BB-40E6-B50B-08B1F28CD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4634</Words>
  <Characters>28747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33315</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subject/>
  <dc:creator>mcl2</dc:creator>
  <cp:keywords/>
  <dc:description/>
  <cp:lastModifiedBy>Linda Vo</cp:lastModifiedBy>
  <cp:revision>4</cp:revision>
  <cp:lastPrinted>2014-10-08T15:28:00Z</cp:lastPrinted>
  <dcterms:created xsi:type="dcterms:W3CDTF">2016-05-16T18:09:00Z</dcterms:created>
  <dcterms:modified xsi:type="dcterms:W3CDTF">2016-05-16T18:10:00Z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