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FE" w:rsidRDefault="00CD51FE" w:rsidP="00CD51FE">
      <w:pPr>
        <w:widowControl/>
        <w:tabs>
          <w:tab w:val="left" w:pos="-1440"/>
          <w:tab w:val="left" w:pos="-720"/>
        </w:tabs>
        <w:rPr>
          <w:rFonts w:ascii="Arial" w:hAnsi="Arial" w:cs="Arial"/>
          <w:sz w:val="20"/>
          <w:szCs w:val="20"/>
        </w:rPr>
      </w:pPr>
    </w:p>
    <w:p w:rsidR="00CD51FE" w:rsidRPr="00F56B61" w:rsidRDefault="00CD51FE" w:rsidP="00CD51FE">
      <w:pPr>
        <w:widowControl/>
        <w:tabs>
          <w:tab w:val="left" w:pos="-1440"/>
          <w:tab w:val="left" w:pos="-720"/>
        </w:tabs>
        <w:rPr>
          <w:rFonts w:ascii="Arial" w:hAnsi="Arial" w:cs="Arial"/>
          <w:sz w:val="20"/>
          <w:szCs w:val="20"/>
        </w:rPr>
      </w:pPr>
    </w:p>
    <w:p w:rsidR="00CD51FE" w:rsidRPr="001E4D62" w:rsidRDefault="00CD51FE" w:rsidP="001E4D62">
      <w:pPr>
        <w:spacing w:line="480" w:lineRule="auto"/>
        <w:rPr>
          <w:rFonts w:cs="Courier New"/>
          <w:b/>
        </w:rPr>
      </w:pPr>
      <w:r w:rsidRPr="001E4D62">
        <w:rPr>
          <w:rFonts w:cs="Courier New"/>
          <w:b/>
        </w:rPr>
        <w:t xml:space="preserve">BILLING CODE: 4163-18-P </w:t>
      </w:r>
    </w:p>
    <w:p w:rsidR="00CD51FE" w:rsidRPr="001E4D62" w:rsidRDefault="00CD51FE" w:rsidP="001E4D62">
      <w:pPr>
        <w:spacing w:line="480" w:lineRule="auto"/>
        <w:rPr>
          <w:rFonts w:cs="Courier New"/>
          <w:b/>
        </w:rPr>
      </w:pPr>
    </w:p>
    <w:p w:rsidR="00CD51FE" w:rsidRPr="001E4D62" w:rsidRDefault="00CD51FE" w:rsidP="001E4D62">
      <w:pPr>
        <w:spacing w:line="480" w:lineRule="auto"/>
        <w:rPr>
          <w:rFonts w:cs="Courier New"/>
          <w:b/>
        </w:rPr>
      </w:pPr>
      <w:r w:rsidRPr="001E4D62">
        <w:rPr>
          <w:rFonts w:cs="Courier New"/>
          <w:b/>
        </w:rPr>
        <w:t>DEPARTMENT OF HEALTH AND HUMAN SERVICES</w:t>
      </w:r>
    </w:p>
    <w:p w:rsidR="00CD51FE" w:rsidRPr="001E4D62" w:rsidRDefault="00CD51FE" w:rsidP="001E4D62">
      <w:pPr>
        <w:spacing w:line="480" w:lineRule="auto"/>
        <w:rPr>
          <w:rFonts w:cs="Courier New"/>
          <w:b/>
        </w:rPr>
      </w:pPr>
      <w:r w:rsidRPr="001E4D62">
        <w:rPr>
          <w:rFonts w:cs="Courier New"/>
          <w:b/>
        </w:rPr>
        <w:t>Centers for Disease Control and Prevention</w:t>
      </w:r>
    </w:p>
    <w:p w:rsidR="00CD51FE" w:rsidRPr="001E4D62" w:rsidRDefault="00CD51FE" w:rsidP="001E4D62">
      <w:pPr>
        <w:spacing w:line="480" w:lineRule="auto"/>
        <w:rPr>
          <w:rFonts w:cs="Courier New"/>
          <w:b/>
        </w:rPr>
      </w:pPr>
      <w:r w:rsidRPr="001E4D62">
        <w:rPr>
          <w:rFonts w:cs="Courier New"/>
          <w:b/>
        </w:rPr>
        <w:t>[60Day-</w:t>
      </w:r>
      <w:r w:rsidRPr="001E4D62">
        <w:rPr>
          <w:rFonts w:cs="Courier New"/>
          <w:b/>
          <w:highlight w:val="yellow"/>
        </w:rPr>
        <w:t>FY-xxxx</w:t>
      </w:r>
      <w:r w:rsidRPr="001E4D62">
        <w:rPr>
          <w:rFonts w:cs="Courier New"/>
          <w:b/>
        </w:rPr>
        <w:t>]</w:t>
      </w:r>
    </w:p>
    <w:p w:rsidR="00CD51FE" w:rsidRPr="001E4D62" w:rsidRDefault="00CD51FE" w:rsidP="001E4D62">
      <w:pPr>
        <w:spacing w:line="480" w:lineRule="auto"/>
        <w:rPr>
          <w:rFonts w:cs="Courier New"/>
          <w:b/>
        </w:rPr>
      </w:pPr>
      <w:r w:rsidRPr="001E4D62">
        <w:rPr>
          <w:rFonts w:cs="Courier New"/>
          <w:b/>
        </w:rPr>
        <w:t>[Docket No. CDC-</w:t>
      </w:r>
      <w:r w:rsidRPr="001E4D62">
        <w:rPr>
          <w:rFonts w:cs="Courier New"/>
          <w:b/>
          <w:highlight w:val="yellow"/>
        </w:rPr>
        <w:t>201x-xxxx</w:t>
      </w:r>
      <w:r w:rsidRPr="001E4D62">
        <w:rPr>
          <w:rFonts w:cs="Courier New"/>
          <w:b/>
        </w:rPr>
        <w:t>]</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b/>
        </w:rPr>
      </w:pPr>
      <w:r w:rsidRPr="001E4D62">
        <w:rPr>
          <w:rFonts w:cs="Courier New"/>
          <w:b/>
        </w:rPr>
        <w:t>Proposed Data Collection Submitted for Public Comment and Recommendations</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b/>
        </w:rPr>
        <w:t>AGENCY</w:t>
      </w:r>
      <w:r w:rsidRPr="001E4D62">
        <w:rPr>
          <w:rFonts w:cs="Courier New"/>
        </w:rPr>
        <w:t>: Centers for Disease Control and Prevention (CDC), Department of Health and Human Services (HHS)</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b/>
        </w:rPr>
        <w:t>ACTION</w:t>
      </w:r>
      <w:r w:rsidRPr="001E4D62">
        <w:rPr>
          <w:rFonts w:cs="Courier New"/>
        </w:rPr>
        <w:t>: Notice with comment period</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b/>
        </w:rPr>
        <w:t>SUMMARY:</w:t>
      </w:r>
      <w:r w:rsidRPr="001E4D62">
        <w:rPr>
          <w:rFonts w:cs="Courier New"/>
        </w:rPr>
        <w:t xml:space="preserve"> The Centers for Disease Control and Prevention (CDC), as part of its continuing efforts to reduce public burden and maximize the utility of government information, invites the general public and other Federal agencies to take this opportunity to comment on proposed and/or continuing information collections, as required by the Paperwork Reduction Act of 1995.  This notice invites comment on </w:t>
      </w:r>
      <w:r w:rsidRPr="001E4D62">
        <w:rPr>
          <w:rFonts w:cs="Courier New"/>
          <w:highlight w:val="yellow"/>
        </w:rPr>
        <w:t>[</w:t>
      </w:r>
      <w:r w:rsidR="00430DFF">
        <w:rPr>
          <w:rFonts w:cs="Courier New"/>
          <w:highlight w:val="yellow"/>
        </w:rPr>
        <w:t xml:space="preserve">Mining Industry Surveillance System. </w:t>
      </w:r>
      <w:r w:rsidR="0021019C">
        <w:rPr>
          <w:rFonts w:cs="Courier New"/>
          <w:highlight w:val="yellow"/>
        </w:rPr>
        <w:t xml:space="preserve">In Phase 1 of the project, data will be collected for a </w:t>
      </w:r>
      <w:r w:rsidR="0021019C">
        <w:rPr>
          <w:rFonts w:cs="Courier New"/>
          <w:highlight w:val="yellow"/>
        </w:rPr>
        <w:lastRenderedPageBreak/>
        <w:t>sample of U.S. mines and their employees in the stone/sand and gravel sector (year 1), the metal/nonmetal sector (year 2), and the coal sector (year 3)</w:t>
      </w:r>
      <w:r w:rsidRPr="001E4D62">
        <w:rPr>
          <w:rFonts w:cs="Courier New"/>
          <w:highlight w:val="yellow"/>
        </w:rPr>
        <w:t>]</w:t>
      </w:r>
      <w:r w:rsidRPr="001E4D62">
        <w:rPr>
          <w:rFonts w:cs="Courier New"/>
        </w:rPr>
        <w:t>.</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rPr>
        <w:t xml:space="preserve">DATES: Written comments must be received on or before </w:t>
      </w:r>
      <w:r w:rsidRPr="001E4D62">
        <w:rPr>
          <w:rFonts w:cs="Courier New"/>
          <w:highlight w:val="yellow"/>
        </w:rPr>
        <w:t>[INSERT DATE 60 DAYS AFTER PUBLICATION DATE IN THE FEDERAL REGISTER]</w:t>
      </w:r>
      <w:r w:rsidRPr="001E4D62">
        <w:rPr>
          <w:rFonts w:cs="Courier New"/>
        </w:rPr>
        <w:t xml:space="preserve">.  </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rPr>
        <w:t>ADDRESSES:  You may submit comments, identified by Docket No. CDC-</w:t>
      </w:r>
      <w:r w:rsidRPr="001E4D62">
        <w:rPr>
          <w:rFonts w:cs="Courier New"/>
          <w:highlight w:val="yellow"/>
        </w:rPr>
        <w:t>201x-xxxx</w:t>
      </w:r>
      <w:r w:rsidRPr="001E4D62">
        <w:rPr>
          <w:rFonts w:cs="Courier New"/>
        </w:rPr>
        <w:t xml:space="preserve"> by any of the following methods:</w:t>
      </w:r>
    </w:p>
    <w:p w:rsidR="00CD51FE" w:rsidRPr="001E4D62" w:rsidRDefault="00CD51FE" w:rsidP="001E4D62">
      <w:pPr>
        <w:spacing w:line="480" w:lineRule="auto"/>
        <w:rPr>
          <w:rFonts w:cs="Courier New"/>
        </w:rPr>
      </w:pPr>
      <w:r w:rsidRPr="001E4D62">
        <w:rPr>
          <w:rFonts w:cs="Courier New"/>
        </w:rPr>
        <w:t xml:space="preserve">Federal eRulemaking Portal: </w:t>
      </w:r>
      <w:hyperlink r:id="rId7" w:history="1">
        <w:r w:rsidRPr="001E4D62">
          <w:rPr>
            <w:rStyle w:val="Hyperlink"/>
            <w:rFonts w:cs="Courier New"/>
          </w:rPr>
          <w:t>Regulation.gov</w:t>
        </w:r>
      </w:hyperlink>
      <w:r w:rsidRPr="001E4D62">
        <w:rPr>
          <w:rFonts w:cs="Courier New"/>
        </w:rPr>
        <w:t>.  Follow the instructions for submitting comments.</w:t>
      </w:r>
    </w:p>
    <w:p w:rsidR="00CD51FE" w:rsidRPr="001E4D62" w:rsidRDefault="00CD51FE" w:rsidP="001E4D62">
      <w:pPr>
        <w:spacing w:line="480" w:lineRule="auto"/>
        <w:rPr>
          <w:rFonts w:cs="Courier New"/>
        </w:rPr>
      </w:pPr>
      <w:r w:rsidRPr="001E4D62">
        <w:rPr>
          <w:rFonts w:cs="Courier New"/>
        </w:rPr>
        <w:t>Mail: Leroy A. Richardson, Information Collection Review Office, Centers for Disease Control and Prevention, 1600 Clifton Road, N.E., MS-D74, Atlanta, Georgia 30329.</w:t>
      </w:r>
    </w:p>
    <w:p w:rsidR="00CD51FE" w:rsidRPr="001E4D62" w:rsidRDefault="00CD51FE" w:rsidP="001E4D62">
      <w:pPr>
        <w:spacing w:line="480" w:lineRule="auto"/>
        <w:rPr>
          <w:rFonts w:cs="Courier New"/>
        </w:rPr>
      </w:pPr>
      <w:r w:rsidRPr="001E4D62">
        <w:rPr>
          <w:rFonts w:cs="Courier New"/>
          <w:i/>
        </w:rPr>
        <w:t xml:space="preserve">Instructions: </w:t>
      </w:r>
      <w:r w:rsidRPr="001E4D62">
        <w:rPr>
          <w:rFonts w:cs="Courier New"/>
        </w:rPr>
        <w:t xml:space="preserve">All submissions received must include the agency name and Docket Number.  All relevant comments received will be posted without change to </w:t>
      </w:r>
      <w:hyperlink r:id="rId8" w:history="1">
        <w:r w:rsidRPr="001E4D62">
          <w:rPr>
            <w:rStyle w:val="Hyperlink"/>
            <w:rFonts w:cs="Courier New"/>
          </w:rPr>
          <w:t>Regulations.gov</w:t>
        </w:r>
      </w:hyperlink>
      <w:r w:rsidRPr="001E4D62">
        <w:rPr>
          <w:rFonts w:cs="Courier New"/>
        </w:rPr>
        <w:t xml:space="preserve">, including any personal information provided.  For access to the docket to read background documents or comments received, go to </w:t>
      </w:r>
      <w:hyperlink r:id="rId9" w:history="1">
        <w:r w:rsidRPr="001E4D62">
          <w:rPr>
            <w:rStyle w:val="Hyperlink"/>
            <w:rFonts w:cs="Courier New"/>
          </w:rPr>
          <w:t>Regulations.gov</w:t>
        </w:r>
      </w:hyperlink>
      <w:r w:rsidRPr="001E4D62">
        <w:rPr>
          <w:rFonts w:cs="Courier New"/>
        </w:rPr>
        <w:t>.</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u w:val="single"/>
        </w:rPr>
        <w:t>Please note: All public comment should be submitted through the Federal eRulemaking portal (</w:t>
      </w:r>
      <w:hyperlink r:id="rId10" w:history="1">
        <w:r w:rsidRPr="001E4D62">
          <w:rPr>
            <w:rStyle w:val="Hyperlink"/>
            <w:rFonts w:cs="Courier New"/>
          </w:rPr>
          <w:t>Regulations.gov</w:t>
        </w:r>
      </w:hyperlink>
      <w:r w:rsidRPr="001E4D62">
        <w:rPr>
          <w:rFonts w:cs="Courier New"/>
          <w:u w:val="single"/>
        </w:rPr>
        <w:t>) or by U.S. mail to the address listed above.</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rPr>
        <w:t xml:space="preserve">FOR FURTHER INFORMATION CONTACT: </w:t>
      </w:r>
      <w:r w:rsidR="007213EB" w:rsidRPr="001E4D62">
        <w:rPr>
          <w:rFonts w:cs="Courier New"/>
        </w:rPr>
        <w:t xml:space="preserve">To request more information on the proposed project or to obtain a copy of the information collection plan and instruments, contact the </w:t>
      </w:r>
      <w:r w:rsidRPr="001E4D62">
        <w:rPr>
          <w:rFonts w:cs="Courier New"/>
        </w:rPr>
        <w:t xml:space="preserve">Information Collection Review Office, Centers for Disease Control and Prevention, 1600 Clifton Road, N.E., MS-D74, Atlanta, Georgia 30329; phone: 404-639-7570; E-mail: </w:t>
      </w:r>
      <w:hyperlink r:id="rId11" w:history="1">
        <w:r w:rsidRPr="001E4D62">
          <w:rPr>
            <w:rStyle w:val="Hyperlink"/>
            <w:rFonts w:cs="Courier New"/>
          </w:rPr>
          <w:t>omb@cdc.gov</w:t>
        </w:r>
      </w:hyperlink>
      <w:r w:rsidRPr="001E4D62">
        <w:rPr>
          <w:rStyle w:val="Hyperlink"/>
          <w:rFonts w:cs="Courier New"/>
          <w:u w:val="none"/>
        </w:rPr>
        <w:t>.</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rPr>
        <w:t>SUPPLEMENTARY INFORMATION:</w:t>
      </w:r>
    </w:p>
    <w:p w:rsidR="00CD51FE" w:rsidRPr="001E4D62" w:rsidRDefault="00CD51FE" w:rsidP="001E4D62">
      <w:pPr>
        <w:spacing w:line="480" w:lineRule="auto"/>
        <w:rPr>
          <w:rFonts w:cs="Courier New"/>
        </w:rPr>
      </w:pPr>
      <w:r w:rsidRPr="001E4D62">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sidRPr="001E4D62">
        <w:rPr>
          <w:rFonts w:cs="Courier New"/>
          <w:u w:val="single"/>
        </w:rPr>
        <w:t>Federal Register</w:t>
      </w:r>
      <w:r w:rsidRPr="001E4D62">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rsidR="00CD51FE" w:rsidRPr="001E4D62" w:rsidRDefault="00CD51FE" w:rsidP="001E4D62">
      <w:pPr>
        <w:spacing w:line="480" w:lineRule="auto"/>
        <w:rPr>
          <w:rFonts w:cs="Courier New"/>
        </w:rPr>
      </w:pPr>
      <w:r w:rsidRPr="001E4D62">
        <w:rPr>
          <w:rFonts w:cs="Courier New"/>
        </w:rPr>
        <w:t xml:space="preserve">Comments are invited on: (a) Whether the proposed collection of information is necessary for the proper performance of the functions of the agency, including whether the information shall </w:t>
      </w:r>
      <w:r w:rsidRPr="001E4D62">
        <w:rPr>
          <w:rFonts w:cs="Courier New"/>
        </w:rPr>
        <w:lastRenderedPageBreak/>
        <w:t xml:space="preserve">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1E4D62">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sidRPr="001E4D62">
        <w:rPr>
          <w:rFonts w:cs="Courier New"/>
        </w:rPr>
        <w:t xml:space="preserve"> </w:t>
      </w:r>
    </w:p>
    <w:p w:rsidR="00CD51FE" w:rsidRPr="001E4D62" w:rsidRDefault="00CD51FE" w:rsidP="001E4D62">
      <w:pPr>
        <w:spacing w:line="480" w:lineRule="auto"/>
        <w:rPr>
          <w:rFonts w:cs="Courier New"/>
        </w:rPr>
      </w:pPr>
    </w:p>
    <w:p w:rsidR="00CD51FE" w:rsidRPr="001E4D62" w:rsidRDefault="00CD51FE" w:rsidP="001E4D62">
      <w:pPr>
        <w:spacing w:line="480" w:lineRule="auto"/>
        <w:rPr>
          <w:rFonts w:cs="Courier New"/>
        </w:rPr>
      </w:pPr>
      <w:r w:rsidRPr="001E4D62">
        <w:rPr>
          <w:rFonts w:cs="Courier New"/>
        </w:rPr>
        <w:t>Proposed Project</w:t>
      </w:r>
    </w:p>
    <w:p w:rsidR="00CD51FE" w:rsidRPr="001E4D62" w:rsidRDefault="00CD51FE" w:rsidP="001E4D62">
      <w:pPr>
        <w:spacing w:line="480" w:lineRule="auto"/>
        <w:rPr>
          <w:rFonts w:cs="Courier New"/>
        </w:rPr>
      </w:pPr>
    </w:p>
    <w:p w:rsidR="00CD51FE" w:rsidRPr="001E4D62" w:rsidRDefault="0021019C" w:rsidP="001E4D62">
      <w:pPr>
        <w:spacing w:line="480" w:lineRule="auto"/>
        <w:rPr>
          <w:rFonts w:cs="Courier New"/>
        </w:rPr>
      </w:pPr>
      <w:r>
        <w:rPr>
          <w:rFonts w:cs="Courier New"/>
        </w:rPr>
        <w:t>Mining Industry Surveillance System</w:t>
      </w:r>
      <w:r w:rsidR="00C26278">
        <w:rPr>
          <w:rFonts w:cs="Courier New"/>
        </w:rPr>
        <w:t xml:space="preserve"> – New</w:t>
      </w:r>
      <w:r w:rsidR="00CD51FE" w:rsidRPr="001E4D62">
        <w:rPr>
          <w:rFonts w:cs="Courier New"/>
        </w:rPr>
        <w:t xml:space="preserve"> – </w:t>
      </w:r>
      <w:r>
        <w:rPr>
          <w:rFonts w:cs="Courier New"/>
        </w:rPr>
        <w:t xml:space="preserve">National Institute </w:t>
      </w:r>
      <w:r>
        <w:rPr>
          <w:rFonts w:cs="Courier New"/>
        </w:rPr>
        <w:lastRenderedPageBreak/>
        <w:t>for Occupational Safety and Health (NIOSH)</w:t>
      </w:r>
      <w:r w:rsidR="00CD51FE" w:rsidRPr="001E4D62">
        <w:rPr>
          <w:rFonts w:cs="Courier New"/>
        </w:rPr>
        <w:t>, Centers for Disease Control and Prevention (CDC).</w:t>
      </w:r>
    </w:p>
    <w:p w:rsidR="00CD51FE" w:rsidRPr="001E4D62" w:rsidRDefault="00CD51FE" w:rsidP="001E4D62">
      <w:pPr>
        <w:spacing w:line="480" w:lineRule="auto"/>
        <w:rPr>
          <w:rFonts w:cs="Courier New"/>
        </w:rPr>
      </w:pPr>
    </w:p>
    <w:p w:rsidR="00CD51FE" w:rsidRDefault="00CD51FE" w:rsidP="001E4D62">
      <w:pPr>
        <w:spacing w:line="480" w:lineRule="auto"/>
        <w:rPr>
          <w:rFonts w:cs="Courier New"/>
          <w:u w:val="single"/>
        </w:rPr>
      </w:pPr>
      <w:r w:rsidRPr="001E4D62">
        <w:rPr>
          <w:rFonts w:cs="Courier New"/>
          <w:u w:val="single"/>
        </w:rPr>
        <w:t>Background and Brief Description</w:t>
      </w:r>
    </w:p>
    <w:p w:rsidR="00220D14" w:rsidRDefault="00080F37" w:rsidP="001E4D62">
      <w:pPr>
        <w:spacing w:line="480" w:lineRule="auto"/>
        <w:rPr>
          <w:rFonts w:cs="Courier New"/>
        </w:rPr>
      </w:pPr>
      <w:r w:rsidRPr="00080F37">
        <w:rPr>
          <w:rFonts w:cs="Courier New"/>
        </w:rPr>
        <w:t>Surveillance of occupational injuries, illnesses, and exposures has been an integral part of the work of the National Institute for Occupational Safety and H</w:t>
      </w:r>
      <w:r>
        <w:rPr>
          <w:rFonts w:cs="Courier New"/>
        </w:rPr>
        <w:t>ealth (NIOSH) since its creation by the Occupational Safety and Health Act in 1970.  Surveillance activities at the Office of Mine Safety and Health Research (OMSHR), a division of NIOSH, are focused on the nation’s mining workforce.  To improve its surveillance capability related to the occupational risks in mining, OMSHR is planning to develop the Mining Industry Surveillance System, a unique source of longitudinal information on U.S. mines and their employees.  Its purpose will be to: (1) track changes and emerging trends over time; (2) provide current data to guide research and trainin</w:t>
      </w:r>
      <w:r w:rsidR="00220D14">
        <w:rPr>
          <w:rFonts w:cs="Courier New"/>
        </w:rPr>
        <w:t>g activities; (3) provide updated demographic and occupational data for the mining workforce; and (4) provide denominator data to help understand the risk of work-related injuries, disease, and fatalities in specific demographic and occupational subgroups.</w:t>
      </w:r>
    </w:p>
    <w:p w:rsidR="00AB4203" w:rsidRPr="00AB4203" w:rsidRDefault="00BB660C" w:rsidP="001E4D62">
      <w:pPr>
        <w:spacing w:line="480" w:lineRule="auto"/>
        <w:rPr>
          <w:rFonts w:cs="Courier New"/>
        </w:rPr>
      </w:pPr>
      <w:r>
        <w:rPr>
          <w:rFonts w:cs="Courier New"/>
        </w:rPr>
        <w:t>NIOSH is planning to use the Mining Industry and Wo</w:t>
      </w:r>
      <w:r w:rsidR="00C26278">
        <w:rPr>
          <w:rFonts w:cs="Courier New"/>
        </w:rPr>
        <w:t>rkforce Survey (MIWS) to collect</w:t>
      </w:r>
      <w:r>
        <w:rPr>
          <w:rFonts w:cs="Courier New"/>
        </w:rPr>
        <w:t xml:space="preserve"> data for the Mining Industry Surveillance System.  Data will be collected through surveys </w:t>
      </w:r>
      <w:r>
        <w:rPr>
          <w:rFonts w:cs="Courier New"/>
        </w:rPr>
        <w:lastRenderedPageBreak/>
        <w:t xml:space="preserve">conducted on a rotating basis in mining sectors aligned with national mining association.  </w:t>
      </w:r>
      <w:r w:rsidR="00C9329F">
        <w:rPr>
          <w:rFonts w:cs="Courier New"/>
        </w:rPr>
        <w:t>In Phase 1 of</w:t>
      </w:r>
      <w:r>
        <w:rPr>
          <w:rFonts w:cs="Courier New"/>
        </w:rPr>
        <w:t xml:space="preserve"> the project</w:t>
      </w:r>
      <w:r w:rsidR="00C9329F">
        <w:rPr>
          <w:rFonts w:cs="Courier New"/>
        </w:rPr>
        <w:t>, t</w:t>
      </w:r>
      <w:r w:rsidR="00C26278">
        <w:rPr>
          <w:rFonts w:cs="Courier New"/>
        </w:rPr>
        <w:t>he MIWS</w:t>
      </w:r>
      <w:r>
        <w:rPr>
          <w:rFonts w:cs="Courier New"/>
        </w:rPr>
        <w:t xml:space="preserve"> will be conducted in the stone/sand and gravel mining sector in year 1, the metal/nonmetal mining sector in year 2, and the coal</w:t>
      </w:r>
      <w:r w:rsidR="00C9329F">
        <w:rPr>
          <w:rFonts w:cs="Courier New"/>
        </w:rPr>
        <w:t xml:space="preserve"> mining sector in year 3.  Data from this survey will provide denominator data so that accident, injury, and illness reports can be evaluated in relation to the popula</w:t>
      </w:r>
      <w:r w:rsidR="00C26278">
        <w:rPr>
          <w:rFonts w:cs="Courier New"/>
        </w:rPr>
        <w:t xml:space="preserve">tion at risk.  Additionally, </w:t>
      </w:r>
      <w:r w:rsidR="00C9329F">
        <w:rPr>
          <w:rFonts w:cs="Courier New"/>
        </w:rPr>
        <w:t xml:space="preserve">NIOSH cannot </w:t>
      </w:r>
      <w:r w:rsidR="00C26278">
        <w:rPr>
          <w:rFonts w:cs="Courier New"/>
        </w:rPr>
        <w:t xml:space="preserve">separately </w:t>
      </w:r>
      <w:r w:rsidR="00C9329F">
        <w:rPr>
          <w:rFonts w:cs="Courier New"/>
        </w:rPr>
        <w:t>determine the number of contract</w:t>
      </w:r>
      <w:r w:rsidR="00C26278">
        <w:rPr>
          <w:rFonts w:cs="Courier New"/>
        </w:rPr>
        <w:t xml:space="preserve">or employees working </w:t>
      </w:r>
      <w:r w:rsidR="00C9329F">
        <w:rPr>
          <w:rFonts w:cs="Courier New"/>
        </w:rPr>
        <w:t>in metal, nonmetal, stone, or sand and gravel mines.  The survey will collect mine-level data on contractor employees to allow NIOSH to determine the quantity of contract labor that mine operator</w:t>
      </w:r>
      <w:r w:rsidR="00C26278">
        <w:rPr>
          <w:rFonts w:cs="Courier New"/>
        </w:rPr>
        <w:t xml:space="preserve">s use and the type of work these employees </w:t>
      </w:r>
      <w:r w:rsidR="00C9329F">
        <w:rPr>
          <w:rFonts w:cs="Courier New"/>
        </w:rPr>
        <w:t>perform.  NIOSH will also use the MIWS to collect mine-level data that will provid</w:t>
      </w:r>
      <w:r w:rsidR="00C26278">
        <w:rPr>
          <w:rFonts w:cs="Courier New"/>
        </w:rPr>
        <w:t>e a valuable picture of the current</w:t>
      </w:r>
      <w:r w:rsidR="00C9329F">
        <w:rPr>
          <w:rFonts w:cs="Courier New"/>
        </w:rPr>
        <w:t xml:space="preserve"> working environment (work schedules and </w:t>
      </w:r>
      <w:r w:rsidR="00C26278">
        <w:rPr>
          <w:rFonts w:cs="Courier New"/>
        </w:rPr>
        <w:t>shift work practices) used in</w:t>
      </w:r>
      <w:r w:rsidR="00C9329F">
        <w:rPr>
          <w:rFonts w:cs="Courier New"/>
        </w:rPr>
        <w:t xml:space="preserve"> the U.S. mining industry.</w:t>
      </w:r>
    </w:p>
    <w:p w:rsidR="00AB4203" w:rsidRPr="001E4D62" w:rsidRDefault="00AB4203" w:rsidP="001E4D62">
      <w:pPr>
        <w:spacing w:line="480" w:lineRule="auto"/>
        <w:rPr>
          <w:rFonts w:cs="Courier New"/>
          <w:u w:val="single"/>
        </w:rPr>
      </w:pPr>
    </w:p>
    <w:p w:rsidR="00CD51FE" w:rsidRPr="001E4D62" w:rsidRDefault="00CD51FE" w:rsidP="001E4D62">
      <w:pPr>
        <w:spacing w:line="480" w:lineRule="auto"/>
        <w:rPr>
          <w:rFonts w:cs="Courier New"/>
          <w:color w:val="000000"/>
        </w:rPr>
      </w:pPr>
      <w:r w:rsidRPr="001E4D62">
        <w:rPr>
          <w:rFonts w:cs="Courier New"/>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692"/>
        <w:gridCol w:w="1692"/>
        <w:gridCol w:w="1558"/>
        <w:gridCol w:w="1290"/>
        <w:gridCol w:w="1022"/>
      </w:tblGrid>
      <w:tr w:rsidR="00CD51FE" w:rsidRPr="001E4D62" w:rsidTr="0008461D">
        <w:tc>
          <w:tcPr>
            <w:tcW w:w="1801" w:type="dxa"/>
            <w:shd w:val="clear" w:color="auto" w:fill="auto"/>
          </w:tcPr>
          <w:p w:rsidR="00CD51FE" w:rsidRPr="001E4D62" w:rsidRDefault="00CD51FE" w:rsidP="001E4D62">
            <w:pPr>
              <w:spacing w:line="480" w:lineRule="auto"/>
              <w:rPr>
                <w:rFonts w:cs="Courier New"/>
                <w:color w:val="000000"/>
              </w:rPr>
            </w:pPr>
            <w:r w:rsidRPr="001E4D62">
              <w:rPr>
                <w:rFonts w:cs="Courier New"/>
                <w:color w:val="000000"/>
              </w:rPr>
              <w:t>Type of Respondents</w:t>
            </w:r>
          </w:p>
        </w:tc>
        <w:tc>
          <w:tcPr>
            <w:tcW w:w="997" w:type="dxa"/>
            <w:shd w:val="clear" w:color="auto" w:fill="auto"/>
          </w:tcPr>
          <w:p w:rsidR="00CD51FE" w:rsidRPr="001E4D62" w:rsidRDefault="00CD51FE" w:rsidP="001E4D62">
            <w:pPr>
              <w:spacing w:line="480" w:lineRule="auto"/>
              <w:rPr>
                <w:rFonts w:cs="Courier New"/>
                <w:color w:val="000000"/>
              </w:rPr>
            </w:pPr>
            <w:r w:rsidRPr="001E4D62">
              <w:rPr>
                <w:rFonts w:cs="Courier New"/>
                <w:color w:val="000000"/>
              </w:rPr>
              <w:t>Form Name</w:t>
            </w:r>
          </w:p>
        </w:tc>
        <w:tc>
          <w:tcPr>
            <w:tcW w:w="1801" w:type="dxa"/>
            <w:shd w:val="clear" w:color="auto" w:fill="auto"/>
          </w:tcPr>
          <w:p w:rsidR="00CD51FE" w:rsidRPr="001E4D62" w:rsidRDefault="00CD51FE" w:rsidP="001E4D62">
            <w:pPr>
              <w:spacing w:line="480" w:lineRule="auto"/>
              <w:rPr>
                <w:rFonts w:cs="Courier New"/>
                <w:color w:val="000000"/>
              </w:rPr>
            </w:pPr>
            <w:r w:rsidRPr="001E4D62">
              <w:rPr>
                <w:rFonts w:cs="Courier New"/>
                <w:color w:val="000000"/>
              </w:rPr>
              <w:t>No. of Respondents</w:t>
            </w:r>
          </w:p>
        </w:tc>
        <w:tc>
          <w:tcPr>
            <w:tcW w:w="1657" w:type="dxa"/>
            <w:shd w:val="clear" w:color="auto" w:fill="auto"/>
          </w:tcPr>
          <w:p w:rsidR="00CD51FE" w:rsidRPr="001E4D62" w:rsidRDefault="00CD51FE" w:rsidP="001E4D62">
            <w:pPr>
              <w:spacing w:line="480" w:lineRule="auto"/>
              <w:rPr>
                <w:rFonts w:cs="Courier New"/>
                <w:color w:val="000000"/>
              </w:rPr>
            </w:pPr>
            <w:r w:rsidRPr="001E4D62">
              <w:rPr>
                <w:rFonts w:cs="Courier New"/>
                <w:color w:val="000000"/>
              </w:rPr>
              <w:t>No. of Responses per Respondent</w:t>
            </w:r>
          </w:p>
        </w:tc>
        <w:tc>
          <w:tcPr>
            <w:tcW w:w="1401" w:type="dxa"/>
            <w:shd w:val="clear" w:color="auto" w:fill="auto"/>
          </w:tcPr>
          <w:p w:rsidR="00CD51FE" w:rsidRPr="001E4D62" w:rsidRDefault="00CD51FE" w:rsidP="001E4D62">
            <w:pPr>
              <w:spacing w:line="480" w:lineRule="auto"/>
              <w:rPr>
                <w:rFonts w:cs="Courier New"/>
                <w:color w:val="000000"/>
              </w:rPr>
            </w:pPr>
            <w:r w:rsidRPr="001E4D62">
              <w:rPr>
                <w:rFonts w:cs="Courier New"/>
                <w:color w:val="000000"/>
              </w:rPr>
              <w:t xml:space="preserve">Avg. Burden per Response (in </w:t>
            </w:r>
            <w:r w:rsidRPr="001E4D62">
              <w:rPr>
                <w:rFonts w:cs="Courier New"/>
                <w:color w:val="000000"/>
              </w:rPr>
              <w:lastRenderedPageBreak/>
              <w:t>hrs.)</w:t>
            </w:r>
          </w:p>
        </w:tc>
        <w:tc>
          <w:tcPr>
            <w:tcW w:w="1199" w:type="dxa"/>
            <w:shd w:val="clear" w:color="auto" w:fill="auto"/>
          </w:tcPr>
          <w:p w:rsidR="00CD51FE" w:rsidRPr="001E4D62" w:rsidRDefault="00CD51FE" w:rsidP="001E4D62">
            <w:pPr>
              <w:spacing w:line="480" w:lineRule="auto"/>
              <w:rPr>
                <w:rFonts w:cs="Courier New"/>
                <w:color w:val="000000"/>
              </w:rPr>
            </w:pPr>
            <w:r w:rsidRPr="001E4D62">
              <w:rPr>
                <w:rFonts w:cs="Courier New"/>
                <w:color w:val="000000"/>
              </w:rPr>
              <w:lastRenderedPageBreak/>
              <w:t>Total Burden (in hrs.)</w:t>
            </w:r>
          </w:p>
        </w:tc>
      </w:tr>
      <w:tr w:rsidR="00CD51FE" w:rsidRPr="001E4D62" w:rsidTr="0008461D">
        <w:tc>
          <w:tcPr>
            <w:tcW w:w="1801" w:type="dxa"/>
            <w:shd w:val="clear" w:color="auto" w:fill="auto"/>
          </w:tcPr>
          <w:p w:rsidR="00CD51FE" w:rsidRPr="001E4D62" w:rsidRDefault="00C26278" w:rsidP="001E4D62">
            <w:pPr>
              <w:spacing w:line="480" w:lineRule="auto"/>
              <w:rPr>
                <w:rFonts w:cs="Courier New"/>
                <w:color w:val="000000"/>
              </w:rPr>
            </w:pPr>
            <w:r>
              <w:rPr>
                <w:rFonts w:cs="Courier New"/>
                <w:color w:val="000000"/>
              </w:rPr>
              <w:lastRenderedPageBreak/>
              <w:t>Responding Stone/</w:t>
            </w:r>
            <w:r w:rsidR="00AB4203">
              <w:rPr>
                <w:rFonts w:cs="Courier New"/>
                <w:color w:val="000000"/>
              </w:rPr>
              <w:t>Sand &amp; Gravel Mines</w:t>
            </w:r>
          </w:p>
        </w:tc>
        <w:tc>
          <w:tcPr>
            <w:tcW w:w="997" w:type="dxa"/>
            <w:shd w:val="clear" w:color="auto" w:fill="auto"/>
          </w:tcPr>
          <w:p w:rsidR="00CD51FE" w:rsidRPr="001E4D62" w:rsidRDefault="00AB4203" w:rsidP="001E4D62">
            <w:pPr>
              <w:spacing w:line="480" w:lineRule="auto"/>
              <w:rPr>
                <w:rFonts w:cs="Courier New"/>
                <w:color w:val="000000"/>
              </w:rPr>
            </w:pPr>
            <w:r>
              <w:rPr>
                <w:rFonts w:cs="Courier New"/>
                <w:color w:val="000000"/>
              </w:rPr>
              <w:t>Mining Industry &amp; Workforce Survey</w:t>
            </w:r>
          </w:p>
        </w:tc>
        <w:tc>
          <w:tcPr>
            <w:tcW w:w="1801" w:type="dxa"/>
            <w:shd w:val="clear" w:color="auto" w:fill="auto"/>
          </w:tcPr>
          <w:p w:rsidR="00CD51FE" w:rsidRPr="001E4D62" w:rsidRDefault="00AB4203" w:rsidP="001E4D62">
            <w:pPr>
              <w:spacing w:line="480" w:lineRule="auto"/>
              <w:rPr>
                <w:rFonts w:cs="Courier New"/>
                <w:color w:val="000000"/>
              </w:rPr>
            </w:pPr>
            <w:r>
              <w:rPr>
                <w:rFonts w:cs="Courier New"/>
                <w:color w:val="000000"/>
              </w:rPr>
              <w:t>526</w:t>
            </w:r>
          </w:p>
        </w:tc>
        <w:tc>
          <w:tcPr>
            <w:tcW w:w="1657" w:type="dxa"/>
            <w:shd w:val="clear" w:color="auto" w:fill="auto"/>
          </w:tcPr>
          <w:p w:rsidR="00CD51FE" w:rsidRPr="001E4D62" w:rsidRDefault="00AB4203" w:rsidP="001E4D62">
            <w:pPr>
              <w:spacing w:line="480" w:lineRule="auto"/>
              <w:rPr>
                <w:rFonts w:cs="Courier New"/>
                <w:color w:val="000000"/>
              </w:rPr>
            </w:pPr>
            <w:r>
              <w:rPr>
                <w:rFonts w:cs="Courier New"/>
                <w:color w:val="000000"/>
              </w:rPr>
              <w:t>1</w:t>
            </w:r>
          </w:p>
        </w:tc>
        <w:tc>
          <w:tcPr>
            <w:tcW w:w="1401" w:type="dxa"/>
            <w:shd w:val="clear" w:color="auto" w:fill="auto"/>
          </w:tcPr>
          <w:p w:rsidR="00CD51FE" w:rsidRPr="001E4D62" w:rsidRDefault="00AB4203" w:rsidP="001E4D62">
            <w:pPr>
              <w:spacing w:line="480" w:lineRule="auto"/>
              <w:rPr>
                <w:rFonts w:cs="Courier New"/>
                <w:color w:val="000000"/>
              </w:rPr>
            </w:pPr>
            <w:r>
              <w:rPr>
                <w:rFonts w:cs="Courier New"/>
                <w:color w:val="000000"/>
              </w:rPr>
              <w:t>1</w:t>
            </w:r>
          </w:p>
        </w:tc>
        <w:tc>
          <w:tcPr>
            <w:tcW w:w="1199" w:type="dxa"/>
            <w:shd w:val="clear" w:color="auto" w:fill="auto"/>
          </w:tcPr>
          <w:p w:rsidR="00CD51FE" w:rsidRPr="001E4D62" w:rsidRDefault="00AB4203" w:rsidP="001E4D62">
            <w:pPr>
              <w:spacing w:line="480" w:lineRule="auto"/>
              <w:rPr>
                <w:rFonts w:cs="Courier New"/>
                <w:color w:val="000000"/>
              </w:rPr>
            </w:pPr>
            <w:r>
              <w:rPr>
                <w:rFonts w:cs="Courier New"/>
                <w:color w:val="000000"/>
              </w:rPr>
              <w:t>526</w:t>
            </w:r>
          </w:p>
        </w:tc>
      </w:tr>
      <w:tr w:rsidR="00AB4203" w:rsidRPr="001E4D62" w:rsidTr="0008461D">
        <w:tc>
          <w:tcPr>
            <w:tcW w:w="1801" w:type="dxa"/>
            <w:shd w:val="clear" w:color="auto" w:fill="auto"/>
          </w:tcPr>
          <w:p w:rsidR="00AB4203" w:rsidRDefault="00C26278" w:rsidP="001E4D62">
            <w:pPr>
              <w:spacing w:line="480" w:lineRule="auto"/>
              <w:rPr>
                <w:rFonts w:cs="Courier New"/>
                <w:color w:val="000000"/>
              </w:rPr>
            </w:pPr>
            <w:r>
              <w:rPr>
                <w:rFonts w:cs="Courier New"/>
                <w:color w:val="000000"/>
              </w:rPr>
              <w:t>Nonresponding Stone/</w:t>
            </w:r>
            <w:r w:rsidR="00AB4203">
              <w:rPr>
                <w:rFonts w:cs="Courier New"/>
                <w:color w:val="000000"/>
              </w:rPr>
              <w:t>Sand &amp; Gravel Mines</w:t>
            </w:r>
          </w:p>
        </w:tc>
        <w:tc>
          <w:tcPr>
            <w:tcW w:w="997" w:type="dxa"/>
            <w:shd w:val="clear" w:color="auto" w:fill="auto"/>
          </w:tcPr>
          <w:p w:rsidR="00AB4203" w:rsidRDefault="00AB4203" w:rsidP="001E4D62">
            <w:pPr>
              <w:spacing w:line="480" w:lineRule="auto"/>
              <w:rPr>
                <w:rFonts w:cs="Courier New"/>
                <w:color w:val="000000"/>
              </w:rPr>
            </w:pPr>
            <w:r>
              <w:rPr>
                <w:rFonts w:cs="Courier New"/>
                <w:color w:val="000000"/>
              </w:rPr>
              <w:t>Nonresponse Survey</w:t>
            </w:r>
          </w:p>
        </w:tc>
        <w:tc>
          <w:tcPr>
            <w:tcW w:w="1801" w:type="dxa"/>
            <w:shd w:val="clear" w:color="auto" w:fill="auto"/>
          </w:tcPr>
          <w:p w:rsidR="00AB4203" w:rsidRDefault="00AB4203" w:rsidP="001E4D62">
            <w:pPr>
              <w:spacing w:line="480" w:lineRule="auto"/>
              <w:rPr>
                <w:rFonts w:cs="Courier New"/>
                <w:color w:val="000000"/>
              </w:rPr>
            </w:pPr>
            <w:r>
              <w:rPr>
                <w:rFonts w:cs="Courier New"/>
                <w:color w:val="000000"/>
              </w:rPr>
              <w:t>350</w:t>
            </w:r>
          </w:p>
        </w:tc>
        <w:tc>
          <w:tcPr>
            <w:tcW w:w="1657" w:type="dxa"/>
            <w:shd w:val="clear" w:color="auto" w:fill="auto"/>
          </w:tcPr>
          <w:p w:rsidR="00AB4203" w:rsidRDefault="00AB4203" w:rsidP="001E4D62">
            <w:pPr>
              <w:spacing w:line="480" w:lineRule="auto"/>
              <w:rPr>
                <w:rFonts w:cs="Courier New"/>
                <w:color w:val="000000"/>
              </w:rPr>
            </w:pPr>
            <w:r>
              <w:rPr>
                <w:rFonts w:cs="Courier New"/>
                <w:color w:val="000000"/>
              </w:rPr>
              <w:t>1</w:t>
            </w:r>
          </w:p>
        </w:tc>
        <w:tc>
          <w:tcPr>
            <w:tcW w:w="1401" w:type="dxa"/>
            <w:shd w:val="clear" w:color="auto" w:fill="auto"/>
          </w:tcPr>
          <w:p w:rsidR="00AB4203" w:rsidRDefault="00AB4203" w:rsidP="001E4D62">
            <w:pPr>
              <w:spacing w:line="480" w:lineRule="auto"/>
              <w:rPr>
                <w:rFonts w:cs="Courier New"/>
                <w:color w:val="000000"/>
              </w:rPr>
            </w:pPr>
            <w:r>
              <w:rPr>
                <w:rFonts w:cs="Courier New"/>
                <w:color w:val="000000"/>
              </w:rPr>
              <w:t>10/60</w:t>
            </w:r>
          </w:p>
        </w:tc>
        <w:tc>
          <w:tcPr>
            <w:tcW w:w="1199" w:type="dxa"/>
            <w:shd w:val="clear" w:color="auto" w:fill="auto"/>
          </w:tcPr>
          <w:p w:rsidR="00AB4203" w:rsidRDefault="00AB4203" w:rsidP="001E4D62">
            <w:pPr>
              <w:spacing w:line="480" w:lineRule="auto"/>
              <w:rPr>
                <w:rFonts w:cs="Courier New"/>
                <w:color w:val="000000"/>
              </w:rPr>
            </w:pPr>
            <w:r>
              <w:rPr>
                <w:rFonts w:cs="Courier New"/>
                <w:color w:val="000000"/>
              </w:rPr>
              <w:t>58</w:t>
            </w:r>
          </w:p>
        </w:tc>
      </w:tr>
      <w:tr w:rsidR="00AB4203" w:rsidRPr="001E4D62" w:rsidTr="0008461D">
        <w:tc>
          <w:tcPr>
            <w:tcW w:w="1801" w:type="dxa"/>
            <w:shd w:val="clear" w:color="auto" w:fill="auto"/>
          </w:tcPr>
          <w:p w:rsidR="00AB4203" w:rsidRDefault="00F02066" w:rsidP="001E4D62">
            <w:pPr>
              <w:spacing w:line="480" w:lineRule="auto"/>
              <w:rPr>
                <w:rFonts w:cs="Courier New"/>
                <w:color w:val="000000"/>
              </w:rPr>
            </w:pPr>
            <w:r>
              <w:rPr>
                <w:rFonts w:cs="Courier New"/>
                <w:color w:val="000000"/>
              </w:rPr>
              <w:t>Responding Metal/</w:t>
            </w:r>
            <w:r w:rsidR="00AB4203">
              <w:rPr>
                <w:rFonts w:cs="Courier New"/>
                <w:color w:val="000000"/>
              </w:rPr>
              <w:t>Nonmetal Mines</w:t>
            </w:r>
          </w:p>
        </w:tc>
        <w:tc>
          <w:tcPr>
            <w:tcW w:w="997" w:type="dxa"/>
            <w:shd w:val="clear" w:color="auto" w:fill="auto"/>
          </w:tcPr>
          <w:p w:rsidR="00AB4203" w:rsidRDefault="00AB4203" w:rsidP="001E4D62">
            <w:pPr>
              <w:spacing w:line="480" w:lineRule="auto"/>
              <w:rPr>
                <w:rFonts w:cs="Courier New"/>
                <w:color w:val="000000"/>
              </w:rPr>
            </w:pPr>
            <w:r>
              <w:rPr>
                <w:rFonts w:cs="Courier New"/>
                <w:color w:val="000000"/>
              </w:rPr>
              <w:t>Mining Industry &amp; Workforce Survey</w:t>
            </w:r>
          </w:p>
        </w:tc>
        <w:tc>
          <w:tcPr>
            <w:tcW w:w="1801" w:type="dxa"/>
            <w:shd w:val="clear" w:color="auto" w:fill="auto"/>
          </w:tcPr>
          <w:p w:rsidR="00AB4203" w:rsidRDefault="00AB4203" w:rsidP="001E4D62">
            <w:pPr>
              <w:spacing w:line="480" w:lineRule="auto"/>
              <w:rPr>
                <w:rFonts w:cs="Courier New"/>
                <w:color w:val="000000"/>
              </w:rPr>
            </w:pPr>
            <w:r>
              <w:rPr>
                <w:rFonts w:cs="Courier New"/>
                <w:color w:val="000000"/>
              </w:rPr>
              <w:t>369</w:t>
            </w:r>
          </w:p>
        </w:tc>
        <w:tc>
          <w:tcPr>
            <w:tcW w:w="1657" w:type="dxa"/>
            <w:shd w:val="clear" w:color="auto" w:fill="auto"/>
          </w:tcPr>
          <w:p w:rsidR="00AB4203" w:rsidRDefault="00AB4203" w:rsidP="001E4D62">
            <w:pPr>
              <w:spacing w:line="480" w:lineRule="auto"/>
              <w:rPr>
                <w:rFonts w:cs="Courier New"/>
                <w:color w:val="000000"/>
              </w:rPr>
            </w:pPr>
            <w:r>
              <w:rPr>
                <w:rFonts w:cs="Courier New"/>
                <w:color w:val="000000"/>
              </w:rPr>
              <w:t>1</w:t>
            </w:r>
          </w:p>
        </w:tc>
        <w:tc>
          <w:tcPr>
            <w:tcW w:w="1401" w:type="dxa"/>
            <w:shd w:val="clear" w:color="auto" w:fill="auto"/>
          </w:tcPr>
          <w:p w:rsidR="00AB4203" w:rsidRDefault="00AB4203" w:rsidP="001E4D62">
            <w:pPr>
              <w:spacing w:line="480" w:lineRule="auto"/>
              <w:rPr>
                <w:rFonts w:cs="Courier New"/>
                <w:color w:val="000000"/>
              </w:rPr>
            </w:pPr>
            <w:r>
              <w:rPr>
                <w:rFonts w:cs="Courier New"/>
                <w:color w:val="000000"/>
              </w:rPr>
              <w:t>1</w:t>
            </w:r>
          </w:p>
        </w:tc>
        <w:tc>
          <w:tcPr>
            <w:tcW w:w="1199" w:type="dxa"/>
            <w:shd w:val="clear" w:color="auto" w:fill="auto"/>
          </w:tcPr>
          <w:p w:rsidR="00AB4203" w:rsidRDefault="00AB4203" w:rsidP="001E4D62">
            <w:pPr>
              <w:spacing w:line="480" w:lineRule="auto"/>
              <w:rPr>
                <w:rFonts w:cs="Courier New"/>
                <w:color w:val="000000"/>
              </w:rPr>
            </w:pPr>
            <w:r>
              <w:rPr>
                <w:rFonts w:cs="Courier New"/>
                <w:color w:val="000000"/>
              </w:rPr>
              <w:t>369</w:t>
            </w:r>
          </w:p>
        </w:tc>
      </w:tr>
      <w:tr w:rsidR="00AB4203" w:rsidRPr="001E4D62" w:rsidTr="0008461D">
        <w:tc>
          <w:tcPr>
            <w:tcW w:w="1801" w:type="dxa"/>
            <w:shd w:val="clear" w:color="auto" w:fill="auto"/>
          </w:tcPr>
          <w:p w:rsidR="00AB4203" w:rsidRDefault="00F02066" w:rsidP="001E4D62">
            <w:pPr>
              <w:spacing w:line="480" w:lineRule="auto"/>
              <w:rPr>
                <w:rFonts w:cs="Courier New"/>
                <w:color w:val="000000"/>
              </w:rPr>
            </w:pPr>
            <w:r>
              <w:rPr>
                <w:rFonts w:cs="Courier New"/>
                <w:color w:val="000000"/>
              </w:rPr>
              <w:t>Nonresponding Metal/</w:t>
            </w:r>
            <w:bookmarkStart w:id="0" w:name="_GoBack"/>
            <w:bookmarkEnd w:id="0"/>
            <w:r w:rsidR="00AB4203">
              <w:rPr>
                <w:rFonts w:cs="Courier New"/>
                <w:color w:val="000000"/>
              </w:rPr>
              <w:t>Nonmetal Mines</w:t>
            </w:r>
          </w:p>
        </w:tc>
        <w:tc>
          <w:tcPr>
            <w:tcW w:w="997" w:type="dxa"/>
            <w:shd w:val="clear" w:color="auto" w:fill="auto"/>
          </w:tcPr>
          <w:p w:rsidR="00AB4203" w:rsidRDefault="00AB4203" w:rsidP="001E4D62">
            <w:pPr>
              <w:spacing w:line="480" w:lineRule="auto"/>
              <w:rPr>
                <w:rFonts w:cs="Courier New"/>
                <w:color w:val="000000"/>
              </w:rPr>
            </w:pPr>
            <w:r>
              <w:rPr>
                <w:rFonts w:cs="Courier New"/>
                <w:color w:val="000000"/>
              </w:rPr>
              <w:t>Nonresponse Survey</w:t>
            </w:r>
          </w:p>
        </w:tc>
        <w:tc>
          <w:tcPr>
            <w:tcW w:w="1801" w:type="dxa"/>
            <w:shd w:val="clear" w:color="auto" w:fill="auto"/>
          </w:tcPr>
          <w:p w:rsidR="00AB4203" w:rsidRDefault="002409C7" w:rsidP="001E4D62">
            <w:pPr>
              <w:spacing w:line="480" w:lineRule="auto"/>
              <w:rPr>
                <w:rFonts w:cs="Courier New"/>
                <w:color w:val="000000"/>
              </w:rPr>
            </w:pPr>
            <w:r>
              <w:rPr>
                <w:rFonts w:cs="Courier New"/>
                <w:color w:val="000000"/>
              </w:rPr>
              <w:t>246</w:t>
            </w:r>
          </w:p>
        </w:tc>
        <w:tc>
          <w:tcPr>
            <w:tcW w:w="1657" w:type="dxa"/>
            <w:shd w:val="clear" w:color="auto" w:fill="auto"/>
          </w:tcPr>
          <w:p w:rsidR="00AB4203" w:rsidRDefault="002409C7" w:rsidP="001E4D62">
            <w:pPr>
              <w:spacing w:line="480" w:lineRule="auto"/>
              <w:rPr>
                <w:rFonts w:cs="Courier New"/>
                <w:color w:val="000000"/>
              </w:rPr>
            </w:pPr>
            <w:r>
              <w:rPr>
                <w:rFonts w:cs="Courier New"/>
                <w:color w:val="000000"/>
              </w:rPr>
              <w:t>1</w:t>
            </w:r>
          </w:p>
        </w:tc>
        <w:tc>
          <w:tcPr>
            <w:tcW w:w="1401" w:type="dxa"/>
            <w:shd w:val="clear" w:color="auto" w:fill="auto"/>
          </w:tcPr>
          <w:p w:rsidR="00AB4203" w:rsidRDefault="002409C7" w:rsidP="001E4D62">
            <w:pPr>
              <w:spacing w:line="480" w:lineRule="auto"/>
              <w:rPr>
                <w:rFonts w:cs="Courier New"/>
                <w:color w:val="000000"/>
              </w:rPr>
            </w:pPr>
            <w:r>
              <w:rPr>
                <w:rFonts w:cs="Courier New"/>
                <w:color w:val="000000"/>
              </w:rPr>
              <w:t>10/60</w:t>
            </w:r>
          </w:p>
        </w:tc>
        <w:tc>
          <w:tcPr>
            <w:tcW w:w="1199" w:type="dxa"/>
            <w:shd w:val="clear" w:color="auto" w:fill="auto"/>
          </w:tcPr>
          <w:p w:rsidR="00AB4203" w:rsidRDefault="002409C7" w:rsidP="001E4D62">
            <w:pPr>
              <w:spacing w:line="480" w:lineRule="auto"/>
              <w:rPr>
                <w:rFonts w:cs="Courier New"/>
                <w:color w:val="000000"/>
              </w:rPr>
            </w:pPr>
            <w:r>
              <w:rPr>
                <w:rFonts w:cs="Courier New"/>
                <w:color w:val="000000"/>
              </w:rPr>
              <w:t>41</w:t>
            </w:r>
          </w:p>
        </w:tc>
      </w:tr>
      <w:tr w:rsidR="002409C7" w:rsidRPr="001E4D62" w:rsidTr="0008461D">
        <w:tc>
          <w:tcPr>
            <w:tcW w:w="1801" w:type="dxa"/>
            <w:shd w:val="clear" w:color="auto" w:fill="auto"/>
          </w:tcPr>
          <w:p w:rsidR="002409C7" w:rsidRDefault="002409C7" w:rsidP="001E4D62">
            <w:pPr>
              <w:spacing w:line="480" w:lineRule="auto"/>
              <w:rPr>
                <w:rFonts w:cs="Courier New"/>
                <w:color w:val="000000"/>
              </w:rPr>
            </w:pPr>
            <w:r>
              <w:rPr>
                <w:rFonts w:cs="Courier New"/>
                <w:color w:val="000000"/>
              </w:rPr>
              <w:t>Responding Coal Mines</w:t>
            </w:r>
          </w:p>
        </w:tc>
        <w:tc>
          <w:tcPr>
            <w:tcW w:w="997" w:type="dxa"/>
            <w:shd w:val="clear" w:color="auto" w:fill="auto"/>
          </w:tcPr>
          <w:p w:rsidR="002409C7" w:rsidRDefault="002409C7" w:rsidP="001E4D62">
            <w:pPr>
              <w:spacing w:line="480" w:lineRule="auto"/>
              <w:rPr>
                <w:rFonts w:cs="Courier New"/>
                <w:color w:val="000000"/>
              </w:rPr>
            </w:pPr>
            <w:r>
              <w:rPr>
                <w:rFonts w:cs="Courier New"/>
                <w:color w:val="000000"/>
              </w:rPr>
              <w:t>Mining Industry &amp; Workforce Survey</w:t>
            </w:r>
          </w:p>
        </w:tc>
        <w:tc>
          <w:tcPr>
            <w:tcW w:w="1801" w:type="dxa"/>
            <w:shd w:val="clear" w:color="auto" w:fill="auto"/>
          </w:tcPr>
          <w:p w:rsidR="002409C7" w:rsidRDefault="002409C7" w:rsidP="001E4D62">
            <w:pPr>
              <w:spacing w:line="480" w:lineRule="auto"/>
              <w:rPr>
                <w:rFonts w:cs="Courier New"/>
                <w:color w:val="000000"/>
              </w:rPr>
            </w:pPr>
            <w:r>
              <w:rPr>
                <w:rFonts w:cs="Courier New"/>
                <w:color w:val="000000"/>
              </w:rPr>
              <w:t>363</w:t>
            </w:r>
          </w:p>
        </w:tc>
        <w:tc>
          <w:tcPr>
            <w:tcW w:w="1657" w:type="dxa"/>
            <w:shd w:val="clear" w:color="auto" w:fill="auto"/>
          </w:tcPr>
          <w:p w:rsidR="002409C7" w:rsidRDefault="002409C7" w:rsidP="001E4D62">
            <w:pPr>
              <w:spacing w:line="480" w:lineRule="auto"/>
              <w:rPr>
                <w:rFonts w:cs="Courier New"/>
                <w:color w:val="000000"/>
              </w:rPr>
            </w:pPr>
            <w:r>
              <w:rPr>
                <w:rFonts w:cs="Courier New"/>
                <w:color w:val="000000"/>
              </w:rPr>
              <w:t>1</w:t>
            </w:r>
          </w:p>
        </w:tc>
        <w:tc>
          <w:tcPr>
            <w:tcW w:w="1401" w:type="dxa"/>
            <w:shd w:val="clear" w:color="auto" w:fill="auto"/>
          </w:tcPr>
          <w:p w:rsidR="002409C7" w:rsidRDefault="002409C7" w:rsidP="001E4D62">
            <w:pPr>
              <w:spacing w:line="480" w:lineRule="auto"/>
              <w:rPr>
                <w:rFonts w:cs="Courier New"/>
                <w:color w:val="000000"/>
              </w:rPr>
            </w:pPr>
            <w:r>
              <w:rPr>
                <w:rFonts w:cs="Courier New"/>
                <w:color w:val="000000"/>
              </w:rPr>
              <w:t>1</w:t>
            </w:r>
          </w:p>
        </w:tc>
        <w:tc>
          <w:tcPr>
            <w:tcW w:w="1199" w:type="dxa"/>
            <w:shd w:val="clear" w:color="auto" w:fill="auto"/>
          </w:tcPr>
          <w:p w:rsidR="002409C7" w:rsidRDefault="002409C7" w:rsidP="001E4D62">
            <w:pPr>
              <w:spacing w:line="480" w:lineRule="auto"/>
              <w:rPr>
                <w:rFonts w:cs="Courier New"/>
                <w:color w:val="000000"/>
              </w:rPr>
            </w:pPr>
            <w:r>
              <w:rPr>
                <w:rFonts w:cs="Courier New"/>
                <w:color w:val="000000"/>
              </w:rPr>
              <w:t>363</w:t>
            </w:r>
          </w:p>
        </w:tc>
      </w:tr>
      <w:tr w:rsidR="00450CFE" w:rsidRPr="001E4D62" w:rsidTr="0008461D">
        <w:tc>
          <w:tcPr>
            <w:tcW w:w="1801" w:type="dxa"/>
            <w:shd w:val="clear" w:color="auto" w:fill="auto"/>
          </w:tcPr>
          <w:p w:rsidR="00450CFE" w:rsidRDefault="00450CFE" w:rsidP="001E4D62">
            <w:pPr>
              <w:spacing w:line="480" w:lineRule="auto"/>
              <w:rPr>
                <w:rFonts w:cs="Courier New"/>
                <w:color w:val="000000"/>
              </w:rPr>
            </w:pPr>
            <w:r>
              <w:rPr>
                <w:rFonts w:cs="Courier New"/>
                <w:color w:val="000000"/>
              </w:rPr>
              <w:t>Nonresponding Coal Mines</w:t>
            </w:r>
          </w:p>
        </w:tc>
        <w:tc>
          <w:tcPr>
            <w:tcW w:w="997" w:type="dxa"/>
            <w:shd w:val="clear" w:color="auto" w:fill="auto"/>
          </w:tcPr>
          <w:p w:rsidR="00450CFE" w:rsidRDefault="00450CFE" w:rsidP="001E4D62">
            <w:pPr>
              <w:spacing w:line="480" w:lineRule="auto"/>
              <w:rPr>
                <w:rFonts w:cs="Courier New"/>
                <w:color w:val="000000"/>
              </w:rPr>
            </w:pPr>
            <w:r>
              <w:rPr>
                <w:rFonts w:cs="Courier New"/>
                <w:color w:val="000000"/>
              </w:rPr>
              <w:t>Nonresponse Survey</w:t>
            </w:r>
          </w:p>
        </w:tc>
        <w:tc>
          <w:tcPr>
            <w:tcW w:w="1801" w:type="dxa"/>
            <w:shd w:val="clear" w:color="auto" w:fill="auto"/>
          </w:tcPr>
          <w:p w:rsidR="00450CFE" w:rsidRDefault="00450CFE" w:rsidP="001E4D62">
            <w:pPr>
              <w:spacing w:line="480" w:lineRule="auto"/>
              <w:rPr>
                <w:rFonts w:cs="Courier New"/>
                <w:color w:val="000000"/>
              </w:rPr>
            </w:pPr>
            <w:r>
              <w:rPr>
                <w:rFonts w:cs="Courier New"/>
                <w:color w:val="000000"/>
              </w:rPr>
              <w:t>242</w:t>
            </w:r>
          </w:p>
        </w:tc>
        <w:tc>
          <w:tcPr>
            <w:tcW w:w="1657" w:type="dxa"/>
            <w:shd w:val="clear" w:color="auto" w:fill="auto"/>
          </w:tcPr>
          <w:p w:rsidR="00450CFE" w:rsidRDefault="00450CFE" w:rsidP="001E4D62">
            <w:pPr>
              <w:spacing w:line="480" w:lineRule="auto"/>
              <w:rPr>
                <w:rFonts w:cs="Courier New"/>
                <w:color w:val="000000"/>
              </w:rPr>
            </w:pPr>
            <w:r>
              <w:rPr>
                <w:rFonts w:cs="Courier New"/>
                <w:color w:val="000000"/>
              </w:rPr>
              <w:t>1</w:t>
            </w:r>
          </w:p>
        </w:tc>
        <w:tc>
          <w:tcPr>
            <w:tcW w:w="1401" w:type="dxa"/>
            <w:shd w:val="clear" w:color="auto" w:fill="auto"/>
          </w:tcPr>
          <w:p w:rsidR="00450CFE" w:rsidRDefault="00450CFE" w:rsidP="001E4D62">
            <w:pPr>
              <w:spacing w:line="480" w:lineRule="auto"/>
              <w:rPr>
                <w:rFonts w:cs="Courier New"/>
                <w:color w:val="000000"/>
              </w:rPr>
            </w:pPr>
            <w:r>
              <w:rPr>
                <w:rFonts w:cs="Courier New"/>
                <w:color w:val="000000"/>
              </w:rPr>
              <w:t>10/60</w:t>
            </w:r>
          </w:p>
        </w:tc>
        <w:tc>
          <w:tcPr>
            <w:tcW w:w="1199" w:type="dxa"/>
            <w:shd w:val="clear" w:color="auto" w:fill="auto"/>
          </w:tcPr>
          <w:p w:rsidR="00450CFE" w:rsidRDefault="00450CFE" w:rsidP="001E4D62">
            <w:pPr>
              <w:spacing w:line="480" w:lineRule="auto"/>
              <w:rPr>
                <w:rFonts w:cs="Courier New"/>
                <w:color w:val="000000"/>
              </w:rPr>
            </w:pPr>
            <w:r>
              <w:rPr>
                <w:rFonts w:cs="Courier New"/>
                <w:color w:val="000000"/>
              </w:rPr>
              <w:t>40</w:t>
            </w:r>
          </w:p>
        </w:tc>
      </w:tr>
      <w:tr w:rsidR="00CD51FE" w:rsidRPr="001E4D62" w:rsidTr="0008461D">
        <w:tc>
          <w:tcPr>
            <w:tcW w:w="1801" w:type="dxa"/>
            <w:shd w:val="clear" w:color="auto" w:fill="auto"/>
          </w:tcPr>
          <w:p w:rsidR="00CD51FE" w:rsidRPr="001E4D62" w:rsidRDefault="007213EB" w:rsidP="001E4D62">
            <w:pPr>
              <w:spacing w:line="480" w:lineRule="auto"/>
              <w:rPr>
                <w:rFonts w:cs="Courier New"/>
                <w:color w:val="000000"/>
              </w:rPr>
            </w:pPr>
            <w:r w:rsidRPr="001E4D62">
              <w:rPr>
                <w:rFonts w:cs="Courier New"/>
                <w:color w:val="000000"/>
              </w:rPr>
              <w:t>Total</w:t>
            </w:r>
          </w:p>
        </w:tc>
        <w:tc>
          <w:tcPr>
            <w:tcW w:w="5856" w:type="dxa"/>
            <w:gridSpan w:val="4"/>
            <w:shd w:val="clear" w:color="auto" w:fill="auto"/>
          </w:tcPr>
          <w:p w:rsidR="00CD51FE" w:rsidRPr="001E4D62" w:rsidRDefault="00CD51FE" w:rsidP="001E4D62">
            <w:pPr>
              <w:spacing w:line="480" w:lineRule="auto"/>
              <w:rPr>
                <w:rFonts w:cs="Courier New"/>
                <w:color w:val="000000"/>
              </w:rPr>
            </w:pPr>
          </w:p>
        </w:tc>
        <w:tc>
          <w:tcPr>
            <w:tcW w:w="1199" w:type="dxa"/>
            <w:shd w:val="clear" w:color="auto" w:fill="auto"/>
          </w:tcPr>
          <w:p w:rsidR="00CD51FE" w:rsidRPr="001E4D62" w:rsidRDefault="00450CFE" w:rsidP="001E4D62">
            <w:pPr>
              <w:spacing w:line="480" w:lineRule="auto"/>
              <w:rPr>
                <w:rFonts w:cs="Courier New"/>
                <w:color w:val="000000"/>
              </w:rPr>
            </w:pPr>
            <w:r>
              <w:rPr>
                <w:rFonts w:cs="Courier New"/>
                <w:color w:val="000000"/>
              </w:rPr>
              <w:t>1,397</w:t>
            </w:r>
          </w:p>
        </w:tc>
      </w:tr>
    </w:tbl>
    <w:p w:rsidR="00CD51FE" w:rsidRPr="001E4D62" w:rsidRDefault="00CD51FE" w:rsidP="001E4D62">
      <w:pPr>
        <w:spacing w:line="480" w:lineRule="auto"/>
        <w:rPr>
          <w:rFonts w:cs="Courier New"/>
          <w:color w:val="000000"/>
        </w:rPr>
      </w:pPr>
    </w:p>
    <w:p w:rsidR="00CD51FE" w:rsidRPr="001E4D62" w:rsidRDefault="00CD51FE" w:rsidP="001E4D62">
      <w:pPr>
        <w:spacing w:line="480" w:lineRule="auto"/>
        <w:rPr>
          <w:rFonts w:cs="Courier New"/>
        </w:rPr>
      </w:pPr>
      <w:r w:rsidRPr="001E4D62">
        <w:rPr>
          <w:rFonts w:cs="Courier New"/>
        </w:rPr>
        <w:t>Dated:</w:t>
      </w:r>
    </w:p>
    <w:p w:rsidR="00CD51FE" w:rsidRPr="001E4D62" w:rsidRDefault="00CD51FE" w:rsidP="001E4D62">
      <w:pPr>
        <w:spacing w:line="480" w:lineRule="auto"/>
        <w:rPr>
          <w:rFonts w:cs="Courier New"/>
        </w:rPr>
      </w:pPr>
    </w:p>
    <w:p w:rsidR="00CD51FE" w:rsidRPr="001E4D62" w:rsidRDefault="001E4D62" w:rsidP="001E4D62">
      <w:pPr>
        <w:spacing w:line="480" w:lineRule="auto"/>
        <w:rPr>
          <w:rFonts w:cs="Courier New"/>
        </w:rPr>
      </w:pPr>
      <w:r w:rsidRPr="001E4D62">
        <w:rPr>
          <w:rFonts w:cs="Courier New"/>
        </w:rPr>
        <w:tab/>
      </w:r>
      <w:r w:rsidRPr="001E4D62">
        <w:rPr>
          <w:rFonts w:cs="Courier New"/>
        </w:rPr>
        <w:tab/>
      </w:r>
      <w:r w:rsidRPr="001E4D62">
        <w:rPr>
          <w:rFonts w:cs="Courier New"/>
        </w:rPr>
        <w:tab/>
      </w:r>
      <w:r w:rsidRPr="001E4D62">
        <w:rPr>
          <w:rFonts w:cs="Courier New"/>
        </w:rPr>
        <w:tab/>
      </w:r>
      <w:r w:rsidR="00CD51FE" w:rsidRPr="001E4D62">
        <w:rPr>
          <w:rFonts w:cs="Courier New"/>
        </w:rPr>
        <w:t>__________________________________</w:t>
      </w:r>
    </w:p>
    <w:p w:rsidR="00CD51FE" w:rsidRPr="001E4D62" w:rsidRDefault="00CD51FE" w:rsidP="001E4D62">
      <w:pPr>
        <w:rPr>
          <w:rFonts w:cs="Courier New"/>
          <w:color w:val="000000"/>
        </w:rPr>
      </w:pPr>
      <w:r w:rsidRPr="001E4D62">
        <w:rPr>
          <w:rFonts w:cs="Courier New"/>
          <w:color w:val="000000"/>
        </w:rPr>
        <w:tab/>
      </w:r>
      <w:r w:rsidRPr="001E4D62">
        <w:rPr>
          <w:rFonts w:cs="Courier New"/>
          <w:color w:val="000000"/>
        </w:rPr>
        <w:tab/>
      </w:r>
      <w:r w:rsidRPr="001E4D62">
        <w:rPr>
          <w:rFonts w:cs="Courier New"/>
          <w:color w:val="000000"/>
        </w:rPr>
        <w:tab/>
      </w:r>
      <w:r w:rsidRPr="001E4D62">
        <w:rPr>
          <w:rFonts w:cs="Courier New"/>
          <w:color w:val="000000"/>
        </w:rPr>
        <w:tab/>
        <w:t>Leroy A. Richardson</w:t>
      </w:r>
    </w:p>
    <w:p w:rsidR="00CD51FE" w:rsidRPr="001E4D62" w:rsidRDefault="00CD51FE" w:rsidP="001E4D62">
      <w:pPr>
        <w:rPr>
          <w:rFonts w:cs="Courier New"/>
          <w:color w:val="000000"/>
        </w:rPr>
      </w:pPr>
      <w:r w:rsidRPr="001E4D62">
        <w:rPr>
          <w:rFonts w:cs="Courier New"/>
          <w:color w:val="000000"/>
        </w:rPr>
        <w:tab/>
      </w:r>
      <w:r w:rsidRPr="001E4D62">
        <w:rPr>
          <w:rFonts w:cs="Courier New"/>
          <w:color w:val="000000"/>
        </w:rPr>
        <w:tab/>
      </w:r>
      <w:r w:rsidRPr="001E4D62">
        <w:rPr>
          <w:rFonts w:cs="Courier New"/>
          <w:color w:val="000000"/>
        </w:rPr>
        <w:tab/>
      </w:r>
      <w:r w:rsidRPr="001E4D62">
        <w:rPr>
          <w:rFonts w:cs="Courier New"/>
          <w:color w:val="000000"/>
        </w:rPr>
        <w:tab/>
        <w:t xml:space="preserve">Chief, Information Collection Review Office </w:t>
      </w:r>
      <w:r w:rsidRPr="001E4D62">
        <w:rPr>
          <w:rFonts w:cs="Courier New"/>
          <w:color w:val="000000"/>
        </w:rPr>
        <w:tab/>
      </w:r>
    </w:p>
    <w:p w:rsidR="00CD51FE" w:rsidRPr="001E4D62" w:rsidRDefault="00CD51FE" w:rsidP="001E4D62">
      <w:pPr>
        <w:rPr>
          <w:rFonts w:cs="Courier New"/>
          <w:color w:val="000000"/>
        </w:rPr>
      </w:pPr>
      <w:r w:rsidRPr="001E4D62">
        <w:rPr>
          <w:rFonts w:cs="Courier New"/>
          <w:color w:val="000000"/>
        </w:rPr>
        <w:tab/>
      </w:r>
      <w:r w:rsidRPr="001E4D62">
        <w:rPr>
          <w:rFonts w:cs="Courier New"/>
          <w:color w:val="000000"/>
        </w:rPr>
        <w:tab/>
      </w:r>
      <w:r w:rsidRPr="001E4D62">
        <w:rPr>
          <w:rFonts w:cs="Courier New"/>
          <w:color w:val="000000"/>
        </w:rPr>
        <w:tab/>
      </w:r>
      <w:r w:rsidRPr="001E4D62">
        <w:rPr>
          <w:rFonts w:cs="Courier New"/>
          <w:color w:val="000000"/>
        </w:rPr>
        <w:tab/>
        <w:t>Office of Scientific Integrity</w:t>
      </w:r>
    </w:p>
    <w:p w:rsidR="00CD51FE" w:rsidRPr="001E4D62" w:rsidRDefault="00CD51FE" w:rsidP="001E4D62">
      <w:pPr>
        <w:rPr>
          <w:rFonts w:cs="Courier New"/>
          <w:color w:val="000000"/>
        </w:rPr>
      </w:pPr>
      <w:r w:rsidRPr="001E4D62">
        <w:rPr>
          <w:rFonts w:cs="Courier New"/>
          <w:color w:val="000000"/>
        </w:rPr>
        <w:tab/>
      </w:r>
      <w:r w:rsidRPr="001E4D62">
        <w:rPr>
          <w:rFonts w:cs="Courier New"/>
          <w:color w:val="000000"/>
        </w:rPr>
        <w:tab/>
      </w:r>
      <w:r w:rsidRPr="001E4D62">
        <w:rPr>
          <w:rFonts w:cs="Courier New"/>
          <w:color w:val="000000"/>
        </w:rPr>
        <w:tab/>
      </w:r>
      <w:r w:rsidRPr="001E4D62">
        <w:rPr>
          <w:rFonts w:cs="Courier New"/>
          <w:color w:val="000000"/>
        </w:rPr>
        <w:tab/>
        <w:t>Office of the Associate Director for Science</w:t>
      </w:r>
    </w:p>
    <w:p w:rsidR="00CD51FE" w:rsidRPr="001E4D62" w:rsidRDefault="00CD51FE" w:rsidP="001E4D62">
      <w:pPr>
        <w:rPr>
          <w:rFonts w:cs="Courier New"/>
          <w:color w:val="000000"/>
        </w:rPr>
      </w:pPr>
      <w:r w:rsidRPr="001E4D62">
        <w:rPr>
          <w:rFonts w:cs="Courier New"/>
          <w:color w:val="000000"/>
        </w:rPr>
        <w:tab/>
      </w:r>
      <w:r w:rsidRPr="001E4D62">
        <w:rPr>
          <w:rFonts w:cs="Courier New"/>
          <w:color w:val="000000"/>
        </w:rPr>
        <w:tab/>
      </w:r>
      <w:r w:rsidRPr="001E4D62">
        <w:rPr>
          <w:rFonts w:cs="Courier New"/>
          <w:color w:val="000000"/>
        </w:rPr>
        <w:tab/>
      </w:r>
      <w:r w:rsidRPr="001E4D62">
        <w:rPr>
          <w:rFonts w:cs="Courier New"/>
          <w:color w:val="000000"/>
        </w:rPr>
        <w:tab/>
        <w:t>Office of the Director</w:t>
      </w:r>
    </w:p>
    <w:p w:rsidR="00CD51FE" w:rsidRPr="001E4D62" w:rsidRDefault="001E4D62" w:rsidP="001E4D62">
      <w:pPr>
        <w:rPr>
          <w:rFonts w:cs="Courier New"/>
        </w:rPr>
      </w:pPr>
      <w:r w:rsidRPr="001E4D62">
        <w:rPr>
          <w:rFonts w:cs="Courier New"/>
          <w:color w:val="000000"/>
        </w:rPr>
        <w:tab/>
      </w:r>
      <w:r w:rsidRPr="001E4D62">
        <w:rPr>
          <w:rFonts w:cs="Courier New"/>
          <w:color w:val="000000"/>
        </w:rPr>
        <w:tab/>
      </w:r>
      <w:r w:rsidRPr="001E4D62">
        <w:rPr>
          <w:rFonts w:cs="Courier New"/>
          <w:color w:val="000000"/>
        </w:rPr>
        <w:tab/>
      </w:r>
      <w:r w:rsidRPr="001E4D62">
        <w:rPr>
          <w:rFonts w:cs="Courier New"/>
          <w:color w:val="000000"/>
        </w:rPr>
        <w:tab/>
      </w:r>
      <w:r w:rsidR="00CD51FE" w:rsidRPr="001E4D62">
        <w:rPr>
          <w:rFonts w:cs="Courier New"/>
          <w:color w:val="000000"/>
        </w:rPr>
        <w:t>Centers for Disease Control and Prevention</w:t>
      </w:r>
    </w:p>
    <w:p w:rsidR="00E31AA3" w:rsidRPr="001E4D62" w:rsidRDefault="00E31AA3" w:rsidP="001E4D62">
      <w:pPr>
        <w:spacing w:line="480" w:lineRule="auto"/>
        <w:rPr>
          <w:rFonts w:cs="Courier New"/>
        </w:rPr>
      </w:pPr>
    </w:p>
    <w:sectPr w:rsidR="00E31AA3" w:rsidRPr="001E4D62" w:rsidSect="00CD51F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67A" w:rsidRDefault="0014467A" w:rsidP="00CD51FE">
      <w:r>
        <w:separator/>
      </w:r>
    </w:p>
  </w:endnote>
  <w:endnote w:type="continuationSeparator" w:id="0">
    <w:p w:rsidR="0014467A" w:rsidRDefault="0014467A"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rsidR="00CD51FE" w:rsidRDefault="00CD51FE">
        <w:pPr>
          <w:pStyle w:val="Footer"/>
          <w:jc w:val="center"/>
        </w:pPr>
        <w:r>
          <w:fldChar w:fldCharType="begin"/>
        </w:r>
        <w:r>
          <w:instrText xml:space="preserve"> PAGE   \* MERGEFORMAT </w:instrText>
        </w:r>
        <w:r>
          <w:fldChar w:fldCharType="separate"/>
        </w:r>
        <w:r w:rsidR="00F02066">
          <w:rPr>
            <w:noProof/>
          </w:rPr>
          <w:t>8</w:t>
        </w:r>
        <w:r>
          <w:rPr>
            <w:noProof/>
          </w:rPr>
          <w:fldChar w:fldCharType="end"/>
        </w:r>
      </w:p>
    </w:sdtContent>
  </w:sdt>
  <w:p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67A" w:rsidRDefault="0014467A" w:rsidP="00CD51FE">
      <w:r>
        <w:separator/>
      </w:r>
    </w:p>
  </w:footnote>
  <w:footnote w:type="continuationSeparator" w:id="0">
    <w:p w:rsidR="0014467A" w:rsidRDefault="0014467A"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E"/>
    <w:rsid w:val="00080F37"/>
    <w:rsid w:val="0014467A"/>
    <w:rsid w:val="001E4D62"/>
    <w:rsid w:val="0021019C"/>
    <w:rsid w:val="00220D14"/>
    <w:rsid w:val="002409C7"/>
    <w:rsid w:val="00273A1C"/>
    <w:rsid w:val="00307753"/>
    <w:rsid w:val="00430DFF"/>
    <w:rsid w:val="00450CFE"/>
    <w:rsid w:val="007213EB"/>
    <w:rsid w:val="00A372DC"/>
    <w:rsid w:val="00AB4203"/>
    <w:rsid w:val="00BB660C"/>
    <w:rsid w:val="00C26278"/>
    <w:rsid w:val="00C9329F"/>
    <w:rsid w:val="00CD51FE"/>
    <w:rsid w:val="00E01652"/>
    <w:rsid w:val="00E31AA3"/>
    <w:rsid w:val="00F0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189E3-3CFA-45D7-8956-54A4F37F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mb@cdc.gov" TargetMode="Externa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McWilliams, Linda J. (CDC/NIOSH/OMSHR)</cp:lastModifiedBy>
  <cp:revision>2</cp:revision>
  <dcterms:created xsi:type="dcterms:W3CDTF">2015-12-01T16:01:00Z</dcterms:created>
  <dcterms:modified xsi:type="dcterms:W3CDTF">2015-12-01T16:01:00Z</dcterms:modified>
</cp:coreProperties>
</file>