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F30C"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10C7BA41"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5940FE22"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2D624797"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2E6136EF"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628548D0" w14:textId="77777777" w:rsidR="003716E1" w:rsidRPr="003716E1" w:rsidRDefault="003716E1" w:rsidP="003716E1">
      <w:pPr>
        <w:autoSpaceDE w:val="0"/>
        <w:autoSpaceDN w:val="0"/>
        <w:adjustRightInd w:val="0"/>
        <w:spacing w:after="0" w:line="240" w:lineRule="auto"/>
        <w:jc w:val="center"/>
        <w:rPr>
          <w:rFonts w:ascii="Times New Roman" w:eastAsia="Times New Roman" w:hAnsi="Times New Roman" w:cs="Times New Roman"/>
          <w:sz w:val="24"/>
          <w:szCs w:val="24"/>
          <w:lang w:val="en-CA"/>
        </w:rPr>
      </w:pPr>
    </w:p>
    <w:p w14:paraId="2E47332C" w14:textId="577EB0AA" w:rsidR="003716E1" w:rsidRPr="003716E1" w:rsidRDefault="003716E1" w:rsidP="003716E1">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b/>
          <w:sz w:val="24"/>
          <w:szCs w:val="24"/>
          <w:lang w:val="en-CA"/>
        </w:rPr>
        <w:fldChar w:fldCharType="begin"/>
      </w:r>
      <w:r w:rsidRPr="003716E1">
        <w:rPr>
          <w:rFonts w:ascii="Calibri" w:eastAsia="Times New Roman" w:hAnsi="Calibri" w:cs="Times New Roman"/>
          <w:b/>
          <w:sz w:val="24"/>
          <w:szCs w:val="24"/>
          <w:lang w:val="en-CA"/>
        </w:rPr>
        <w:instrText xml:space="preserve"> SEQ CHAPTER \h \r 1</w:instrText>
      </w:r>
      <w:r w:rsidRPr="003716E1">
        <w:rPr>
          <w:rFonts w:ascii="Calibri" w:eastAsia="Times New Roman" w:hAnsi="Calibri" w:cs="Times New Roman"/>
          <w:b/>
          <w:sz w:val="24"/>
          <w:szCs w:val="24"/>
          <w:lang w:val="en-CA"/>
        </w:rPr>
        <w:fldChar w:fldCharType="end"/>
      </w:r>
      <w:r w:rsidRPr="003716E1">
        <w:rPr>
          <w:rFonts w:ascii="Calibri" w:eastAsia="Times New Roman" w:hAnsi="Calibri" w:cs="Times New Roman"/>
          <w:b/>
          <w:sz w:val="24"/>
          <w:szCs w:val="24"/>
        </w:rPr>
        <w:t>Mining Industry</w:t>
      </w:r>
      <w:r w:rsidR="00A078F3">
        <w:rPr>
          <w:rFonts w:ascii="Calibri" w:eastAsia="Times New Roman" w:hAnsi="Calibri" w:cs="Times New Roman"/>
          <w:b/>
          <w:sz w:val="24"/>
          <w:szCs w:val="24"/>
        </w:rPr>
        <w:t xml:space="preserve"> and Workforce Survey</w:t>
      </w:r>
      <w:r w:rsidR="00FF008A">
        <w:rPr>
          <w:rFonts w:ascii="Calibri" w:eastAsia="Times New Roman" w:hAnsi="Calibri" w:cs="Times New Roman"/>
          <w:b/>
          <w:sz w:val="24"/>
          <w:szCs w:val="24"/>
        </w:rPr>
        <w:t xml:space="preserve"> (MIWS)</w:t>
      </w:r>
    </w:p>
    <w:p w14:paraId="7C82F021" w14:textId="77777777" w:rsidR="003716E1" w:rsidRPr="003716E1" w:rsidRDefault="003716E1" w:rsidP="00EA7E4F">
      <w:pPr>
        <w:autoSpaceDE w:val="0"/>
        <w:autoSpaceDN w:val="0"/>
        <w:adjustRightInd w:val="0"/>
        <w:spacing w:after="0" w:line="240" w:lineRule="auto"/>
        <w:rPr>
          <w:rFonts w:ascii="Calibri" w:eastAsia="Times New Roman" w:hAnsi="Calibri" w:cs="Times New Roman"/>
          <w:sz w:val="24"/>
          <w:szCs w:val="24"/>
        </w:rPr>
      </w:pPr>
    </w:p>
    <w:p w14:paraId="46431753"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Request for Office of Management and Budget (OMB) Review and Approval</w:t>
      </w:r>
    </w:p>
    <w:p w14:paraId="16E2B661"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127B57F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Information Collection Request</w:t>
      </w:r>
      <w:r w:rsidR="00EA7E4F">
        <w:rPr>
          <w:rFonts w:ascii="Calibri" w:eastAsia="Times New Roman" w:hAnsi="Calibri" w:cs="Times New Roman"/>
          <w:sz w:val="24"/>
          <w:szCs w:val="24"/>
        </w:rPr>
        <w:t xml:space="preserve"> (ICR)</w:t>
      </w:r>
    </w:p>
    <w:p w14:paraId="20E994F1"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3C03939A"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Section A</w:t>
      </w:r>
    </w:p>
    <w:p w14:paraId="704261AB"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3DA9DE73"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38C7A90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5EAC8E24"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1CD5ED0C"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55F3A366"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7ED0692D"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C5FDD7C"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24C09486"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0B0E8E2F"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487148B6"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3CFF4B54"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28F9ADDC"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0D8F8A52"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56BA248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Linda J. McWilliams, M.S.</w:t>
      </w:r>
    </w:p>
    <w:p w14:paraId="3E177C53"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Project Officer</w:t>
      </w:r>
    </w:p>
    <w:p w14:paraId="2609419D"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Lead Statistician</w:t>
      </w:r>
    </w:p>
    <w:p w14:paraId="4C26E61F" w14:textId="77777777" w:rsidR="003716E1" w:rsidRPr="003716E1" w:rsidRDefault="003B338F" w:rsidP="003716E1">
      <w:pPr>
        <w:autoSpaceDE w:val="0"/>
        <w:autoSpaceDN w:val="0"/>
        <w:adjustRightInd w:val="0"/>
        <w:spacing w:after="0" w:line="240" w:lineRule="auto"/>
        <w:jc w:val="center"/>
        <w:rPr>
          <w:rFonts w:ascii="Calibri" w:eastAsia="Times New Roman" w:hAnsi="Calibri" w:cs="Times New Roman"/>
          <w:sz w:val="24"/>
          <w:szCs w:val="24"/>
        </w:rPr>
      </w:pPr>
      <w:hyperlink r:id="rId8" w:history="1">
        <w:r w:rsidR="003716E1" w:rsidRPr="003716E1">
          <w:rPr>
            <w:rFonts w:ascii="Calibri" w:eastAsia="Times New Roman" w:hAnsi="Calibri" w:cs="Times New Roman"/>
            <w:color w:val="000099"/>
            <w:sz w:val="24"/>
            <w:szCs w:val="24"/>
            <w:u w:val="single"/>
          </w:rPr>
          <w:t>LMcWilliams@cdc.gov</w:t>
        </w:r>
      </w:hyperlink>
    </w:p>
    <w:p w14:paraId="0B57150C"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26CF226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National Institute for Occupational Safety and Health</w:t>
      </w:r>
    </w:p>
    <w:p w14:paraId="7367E0B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Office of Mine Safety and Health Research</w:t>
      </w:r>
    </w:p>
    <w:p w14:paraId="7324029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Pittsburgh Mining Research Division</w:t>
      </w:r>
    </w:p>
    <w:p w14:paraId="4784A430"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626 Cochrans Mill Rd.</w:t>
      </w:r>
    </w:p>
    <w:p w14:paraId="469BA1F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Pittsburgh, PA 15236-0070</w:t>
      </w:r>
    </w:p>
    <w:p w14:paraId="5BA1B3CF" w14:textId="77777777" w:rsidR="003716E1" w:rsidRPr="003716E1" w:rsidRDefault="003716E1" w:rsidP="00EA7E4F">
      <w:pPr>
        <w:autoSpaceDE w:val="0"/>
        <w:autoSpaceDN w:val="0"/>
        <w:adjustRightInd w:val="0"/>
        <w:spacing w:after="0" w:line="240" w:lineRule="auto"/>
        <w:rPr>
          <w:rFonts w:ascii="Calibri" w:eastAsia="Times New Roman" w:hAnsi="Calibri" w:cs="Times New Roman"/>
          <w:sz w:val="24"/>
          <w:szCs w:val="24"/>
        </w:rPr>
      </w:pPr>
    </w:p>
    <w:p w14:paraId="657BEAAF"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412-386-6116</w:t>
      </w:r>
      <w:r w:rsidRPr="003716E1">
        <w:rPr>
          <w:rFonts w:ascii="Calibri" w:eastAsia="Times New Roman" w:hAnsi="Calibri" w:cs="Times New Roman"/>
          <w:sz w:val="24"/>
          <w:szCs w:val="24"/>
        </w:rPr>
        <w:tab/>
        <w:t>(tel)</w:t>
      </w:r>
    </w:p>
    <w:p w14:paraId="5DE7174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412-386-6780 (fax)</w:t>
      </w:r>
    </w:p>
    <w:p w14:paraId="057531F3"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p w14:paraId="7C09F65D" w14:textId="34410460" w:rsidR="003716E1" w:rsidRDefault="003B338F" w:rsidP="00EA7E4F">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March 17</w:t>
      </w:r>
      <w:r w:rsidR="00BB2135">
        <w:rPr>
          <w:rFonts w:ascii="Calibri" w:eastAsia="Times New Roman" w:hAnsi="Calibri" w:cs="Times New Roman"/>
          <w:sz w:val="24"/>
          <w:szCs w:val="24"/>
        </w:rPr>
        <w:t>, 201</w:t>
      </w:r>
      <w:r w:rsidR="005A3E03">
        <w:rPr>
          <w:rFonts w:ascii="Calibri" w:eastAsia="Times New Roman" w:hAnsi="Calibri" w:cs="Times New Roman"/>
          <w:sz w:val="24"/>
          <w:szCs w:val="24"/>
        </w:rPr>
        <w:t>7</w:t>
      </w:r>
    </w:p>
    <w:p w14:paraId="253D4BBE" w14:textId="77777777" w:rsidR="00EA7E4F" w:rsidRPr="00EA7E4F" w:rsidRDefault="00EA7E4F" w:rsidP="00EA7E4F">
      <w:pPr>
        <w:autoSpaceDE w:val="0"/>
        <w:autoSpaceDN w:val="0"/>
        <w:adjustRightInd w:val="0"/>
        <w:spacing w:after="0" w:line="240" w:lineRule="auto"/>
        <w:jc w:val="center"/>
        <w:rPr>
          <w:rFonts w:ascii="Calibri" w:eastAsia="Times New Roman" w:hAnsi="Calibri" w:cs="Times New Roman"/>
          <w:sz w:val="24"/>
          <w:szCs w:val="24"/>
        </w:rPr>
      </w:pPr>
    </w:p>
    <w:p w14:paraId="3B8F788A"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i/>
          <w:sz w:val="24"/>
          <w:szCs w:val="24"/>
        </w:rPr>
      </w:pPr>
    </w:p>
    <w:p w14:paraId="0A1008AC" w14:textId="77777777" w:rsidR="00160F8A" w:rsidRPr="00160F8A" w:rsidRDefault="00160F8A" w:rsidP="003716E1">
      <w:pPr>
        <w:autoSpaceDE w:val="0"/>
        <w:autoSpaceDN w:val="0"/>
        <w:adjustRightInd w:val="0"/>
        <w:spacing w:after="0" w:line="240" w:lineRule="auto"/>
        <w:jc w:val="center"/>
        <w:rPr>
          <w:rFonts w:ascii="Calibri" w:eastAsia="Times New Roman" w:hAnsi="Calibri" w:cs="Times New Roman"/>
          <w:sz w:val="24"/>
          <w:szCs w:val="24"/>
        </w:rPr>
      </w:pPr>
    </w:p>
    <w:p w14:paraId="24296D5A" w14:textId="77777777" w:rsidR="003716E1" w:rsidRPr="00EF5F9D" w:rsidRDefault="00EB1F46" w:rsidP="00EF5F9D">
      <w:pPr>
        <w:autoSpaceDE w:val="0"/>
        <w:autoSpaceDN w:val="0"/>
        <w:adjustRightInd w:val="0"/>
        <w:spacing w:after="0" w:line="240" w:lineRule="auto"/>
        <w:rPr>
          <w:rFonts w:ascii="Calibri" w:eastAsia="Times New Roman" w:hAnsi="Calibri" w:cs="Times New Roman"/>
          <w:sz w:val="24"/>
          <w:szCs w:val="24"/>
        </w:rPr>
      </w:pPr>
      <w:r w:rsidRPr="00160F8A">
        <w:rPr>
          <w:rFonts w:ascii="Calibri" w:eastAsia="Times New Roman" w:hAnsi="Calibri" w:cs="Times New Roman"/>
          <w:noProof/>
          <w:sz w:val="24"/>
          <w:szCs w:val="24"/>
        </w:rPr>
        <mc:AlternateContent>
          <mc:Choice Requires="wps">
            <w:drawing>
              <wp:anchor distT="45720" distB="45720" distL="114300" distR="114300" simplePos="0" relativeHeight="251659264" behindDoc="0" locked="0" layoutInCell="1" allowOverlap="1" wp14:anchorId="21C00F96" wp14:editId="266C14AF">
                <wp:simplePos x="0" y="0"/>
                <wp:positionH relativeFrom="margin">
                  <wp:posOffset>-525780</wp:posOffset>
                </wp:positionH>
                <wp:positionV relativeFrom="margin">
                  <wp:posOffset>1846580</wp:posOffset>
                </wp:positionV>
                <wp:extent cx="6967855" cy="40671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4067175"/>
                        </a:xfrm>
                        <a:prstGeom prst="rect">
                          <a:avLst/>
                        </a:prstGeom>
                        <a:solidFill>
                          <a:srgbClr val="FFFFFF"/>
                        </a:solidFill>
                        <a:ln w="9525">
                          <a:solidFill>
                            <a:srgbClr val="000000"/>
                          </a:solidFill>
                          <a:miter lim="800000"/>
                          <a:headEnd/>
                          <a:tailEnd/>
                        </a:ln>
                      </wps:spPr>
                      <wps:txbx>
                        <w:txbxContent>
                          <w:p w14:paraId="3611BF04" w14:textId="575856D8"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EF5F9D">
                              <w:rPr>
                                <w:sz w:val="24"/>
                                <w:szCs w:val="24"/>
                              </w:rPr>
                              <w:t>he National Institute for Occupational Safety and Health (NIOSH) Office of Mine Safety and Health Research (OMSHR)</w:t>
                            </w:r>
                            <w:r>
                              <w:rPr>
                                <w:sz w:val="24"/>
                                <w:szCs w:val="24"/>
                              </w:rPr>
                              <w:t xml:space="preserve"> Pittsburgh Mining Research Division (PMRD)</w:t>
                            </w:r>
                            <w:r w:rsidRPr="00EF5F9D">
                              <w:rPr>
                                <w:sz w:val="24"/>
                                <w:szCs w:val="24"/>
                              </w:rPr>
                              <w:t xml:space="preserve"> is planning to</w:t>
                            </w:r>
                            <w:r>
                              <w:rPr>
                                <w:sz w:val="24"/>
                                <w:szCs w:val="24"/>
                              </w:rPr>
                              <w:t xml:space="preserve"> conduct the Mining Industry and Workforce Survey (MIWS). </w:t>
                            </w:r>
                            <w:r w:rsidRPr="00EF5F9D">
                              <w:rPr>
                                <w:sz w:val="24"/>
                                <w:szCs w:val="24"/>
                              </w:rPr>
                              <w:t>The major o</w:t>
                            </w:r>
                            <w:r>
                              <w:rPr>
                                <w:sz w:val="24"/>
                                <w:szCs w:val="24"/>
                              </w:rPr>
                              <w:t xml:space="preserve">bjectives of the survey—to be conducted in the </w:t>
                            </w:r>
                            <w:r w:rsidRPr="003716E1">
                              <w:rPr>
                                <w:rFonts w:eastAsia="Times New Roman"/>
                                <w:sz w:val="24"/>
                                <w:szCs w:val="24"/>
                              </w:rPr>
                              <w:t>stone/sand a</w:t>
                            </w:r>
                            <w:r>
                              <w:rPr>
                                <w:rFonts w:eastAsia="Times New Roman"/>
                                <w:sz w:val="24"/>
                                <w:szCs w:val="24"/>
                              </w:rPr>
                              <w:t>nd gravel mining sector</w:t>
                            </w:r>
                            <w:r w:rsidRPr="003716E1">
                              <w:rPr>
                                <w:rFonts w:eastAsia="Times New Roman"/>
                                <w:sz w:val="24"/>
                                <w:szCs w:val="24"/>
                              </w:rPr>
                              <w:t>, the metal</w:t>
                            </w:r>
                            <w:r>
                              <w:rPr>
                                <w:rFonts w:eastAsia="Times New Roman"/>
                                <w:sz w:val="24"/>
                                <w:szCs w:val="24"/>
                              </w:rPr>
                              <w:t>/nonmetal mining sector</w:t>
                            </w:r>
                            <w:r w:rsidRPr="003716E1">
                              <w:rPr>
                                <w:rFonts w:eastAsia="Times New Roman"/>
                                <w:sz w:val="24"/>
                                <w:szCs w:val="24"/>
                              </w:rPr>
                              <w:t>,</w:t>
                            </w:r>
                            <w:r>
                              <w:rPr>
                                <w:rFonts w:eastAsia="Times New Roman"/>
                                <w:sz w:val="24"/>
                                <w:szCs w:val="24"/>
                              </w:rPr>
                              <w:t xml:space="preserve"> and the coal mining sector</w:t>
                            </w:r>
                            <w:r>
                              <w:rPr>
                                <w:sz w:val="24"/>
                                <w:szCs w:val="24"/>
                              </w:rPr>
                              <w:t xml:space="preserve">—will be to utilize and complement existing data sources by collecting updated estimates and by filling existing data gaps to inform worker safety recommendations. NIOSH will </w:t>
                            </w:r>
                            <w:r w:rsidRPr="00EF5F9D">
                              <w:rPr>
                                <w:sz w:val="24"/>
                                <w:szCs w:val="24"/>
                              </w:rPr>
                              <w:t>collect bas</w:t>
                            </w:r>
                            <w:r>
                              <w:rPr>
                                <w:sz w:val="24"/>
                                <w:szCs w:val="24"/>
                              </w:rPr>
                              <w:t xml:space="preserve">ic information about mines; </w:t>
                            </w:r>
                            <w:r w:rsidRPr="00EF5F9D">
                              <w:rPr>
                                <w:sz w:val="24"/>
                                <w:szCs w:val="24"/>
                              </w:rPr>
                              <w:t>establish the demographic and occupational c</w:t>
                            </w:r>
                            <w:r>
                              <w:rPr>
                                <w:sz w:val="24"/>
                                <w:szCs w:val="24"/>
                              </w:rPr>
                              <w:t xml:space="preserve">haracteristics of mine </w:t>
                            </w:r>
                            <w:r w:rsidRPr="00EF5F9D">
                              <w:rPr>
                                <w:sz w:val="24"/>
                                <w:szCs w:val="24"/>
                              </w:rPr>
                              <w:t>employ</w:t>
                            </w:r>
                            <w:r>
                              <w:rPr>
                                <w:sz w:val="24"/>
                                <w:szCs w:val="24"/>
                              </w:rPr>
                              <w:t xml:space="preserve">ees; and </w:t>
                            </w:r>
                            <w:r w:rsidRPr="00EF5F9D">
                              <w:rPr>
                                <w:sz w:val="24"/>
                                <w:szCs w:val="24"/>
                              </w:rPr>
                              <w:t>estimate the number and occupational characteristics of independent co</w:t>
                            </w:r>
                            <w:r>
                              <w:rPr>
                                <w:sz w:val="24"/>
                                <w:szCs w:val="24"/>
                              </w:rPr>
                              <w:t>ntractor employees</w:t>
                            </w:r>
                            <w:r w:rsidRPr="00EF5F9D">
                              <w:rPr>
                                <w:sz w:val="24"/>
                                <w:szCs w:val="24"/>
                              </w:rPr>
                              <w:t>.</w:t>
                            </w:r>
                          </w:p>
                          <w:p w14:paraId="61D9D2EB" w14:textId="6DF5AB86" w:rsidR="003B338F" w:rsidRPr="009249A1" w:rsidRDefault="003B338F" w:rsidP="00447766">
                            <w:pPr>
                              <w:pStyle w:val="ListParagraph"/>
                              <w:numPr>
                                <w:ilvl w:val="0"/>
                                <w:numId w:val="37"/>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intended use</w:t>
                            </w:r>
                            <w:r w:rsidRPr="009249A1">
                              <w:rPr>
                                <w:sz w:val="24"/>
                                <w:szCs w:val="24"/>
                              </w:rPr>
                              <w:t xml:space="preserve"> </w:t>
                            </w:r>
                            <w:r>
                              <w:rPr>
                                <w:sz w:val="24"/>
                                <w:szCs w:val="24"/>
                              </w:rPr>
                              <w:t xml:space="preserve">of the data will be to: monitor </w:t>
                            </w:r>
                            <w:r w:rsidRPr="009249A1">
                              <w:rPr>
                                <w:sz w:val="24"/>
                                <w:szCs w:val="24"/>
                              </w:rPr>
                              <w:t>changes a</w:t>
                            </w:r>
                            <w:r>
                              <w:rPr>
                                <w:sz w:val="24"/>
                                <w:szCs w:val="24"/>
                              </w:rPr>
                              <w:t xml:space="preserve">nd emerging trends; </w:t>
                            </w:r>
                            <w:r w:rsidRPr="009249A1">
                              <w:rPr>
                                <w:sz w:val="24"/>
                                <w:szCs w:val="24"/>
                              </w:rPr>
                              <w:t>prov</w:t>
                            </w:r>
                            <w:r>
                              <w:rPr>
                                <w:sz w:val="24"/>
                                <w:szCs w:val="24"/>
                              </w:rPr>
                              <w:t xml:space="preserve">ide current data to guide </w:t>
                            </w:r>
                            <w:r w:rsidRPr="009249A1">
                              <w:rPr>
                                <w:sz w:val="24"/>
                                <w:szCs w:val="24"/>
                              </w:rPr>
                              <w:t>resea</w:t>
                            </w:r>
                            <w:r>
                              <w:rPr>
                                <w:sz w:val="24"/>
                                <w:szCs w:val="24"/>
                              </w:rPr>
                              <w:t>rch and training activities;</w:t>
                            </w:r>
                            <w:r w:rsidRPr="009249A1">
                              <w:rPr>
                                <w:sz w:val="24"/>
                                <w:szCs w:val="24"/>
                              </w:rPr>
                              <w:t xml:space="preserve"> provide updated demographic and occupational data fo</w:t>
                            </w:r>
                            <w:r>
                              <w:rPr>
                                <w:sz w:val="24"/>
                                <w:szCs w:val="24"/>
                              </w:rPr>
                              <w:t xml:space="preserve">r the mining workforce; and </w:t>
                            </w:r>
                            <w:r w:rsidRPr="009249A1">
                              <w:rPr>
                                <w:sz w:val="24"/>
                                <w:szCs w:val="24"/>
                              </w:rPr>
                              <w:t xml:space="preserve">provide denominator data to help </w:t>
                            </w:r>
                            <w:r>
                              <w:rPr>
                                <w:sz w:val="24"/>
                                <w:szCs w:val="24"/>
                              </w:rPr>
                              <w:t xml:space="preserve">NIOSH </w:t>
                            </w:r>
                            <w:r w:rsidRPr="009249A1">
                              <w:rPr>
                                <w:sz w:val="24"/>
                                <w:szCs w:val="24"/>
                              </w:rPr>
                              <w:t>understand the risk of work-related injuries, disease, and fata</w:t>
                            </w:r>
                            <w:r>
                              <w:rPr>
                                <w:sz w:val="24"/>
                                <w:szCs w:val="24"/>
                              </w:rPr>
                              <w:t>lities</w:t>
                            </w:r>
                            <w:r w:rsidRPr="009249A1">
                              <w:rPr>
                                <w:sz w:val="24"/>
                                <w:szCs w:val="24"/>
                              </w:rPr>
                              <w:t>.</w:t>
                            </w:r>
                            <w:r>
                              <w:rPr>
                                <w:sz w:val="24"/>
                                <w:szCs w:val="24"/>
                              </w:rPr>
                              <w:t xml:space="preserve"> This information is </w:t>
                            </w:r>
                            <w:r>
                              <w:rPr>
                                <w:rFonts w:eastAsia="Times New Roman"/>
                                <w:sz w:val="24"/>
                                <w:szCs w:val="24"/>
                              </w:rPr>
                              <w:t>vital to the NIOSH</w:t>
                            </w:r>
                            <w:r w:rsidRPr="003716E1">
                              <w:rPr>
                                <w:rFonts w:eastAsia="Times New Roman"/>
                                <w:sz w:val="24"/>
                                <w:szCs w:val="24"/>
                              </w:rPr>
                              <w:t xml:space="preserve"> mission to protect the safety and health</w:t>
                            </w:r>
                            <w:r>
                              <w:rPr>
                                <w:rFonts w:eastAsia="Times New Roman"/>
                                <w:sz w:val="24"/>
                                <w:szCs w:val="24"/>
                              </w:rPr>
                              <w:t xml:space="preserve"> of the mining workforce.</w:t>
                            </w:r>
                          </w:p>
                          <w:p w14:paraId="7C7D72BC" w14:textId="6F89C04E"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Data will be collected using a probability survey where mines will be stratified by the number of employees. Mines within the same stratum will have an equal probability of selection.</w:t>
                            </w:r>
                          </w:p>
                          <w:p w14:paraId="73A78FAE" w14:textId="77777777"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population to be surveyed will be U.S. mines and their employees.</w:t>
                            </w:r>
                          </w:p>
                          <w:p w14:paraId="7E3FE9F0" w14:textId="29644735" w:rsidR="003B338F" w:rsidRPr="00447766"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data will be analyzed </w:t>
                            </w:r>
                            <w:r w:rsidRPr="000627C6">
                              <w:rPr>
                                <w:sz w:val="24"/>
                                <w:szCs w:val="24"/>
                              </w:rPr>
                              <w:t>using a statistical package that supports the analysis of data from complex sa</w:t>
                            </w:r>
                            <w:r>
                              <w:rPr>
                                <w:sz w:val="24"/>
                                <w:szCs w:val="24"/>
                              </w:rPr>
                              <w:t>mple surveys</w:t>
                            </w:r>
                            <w:r w:rsidRPr="000627C6">
                              <w:rPr>
                                <w:sz w:val="24"/>
                                <w:szCs w:val="24"/>
                              </w:rPr>
                              <w:t>.</w:t>
                            </w:r>
                            <w:r>
                              <w:rPr>
                                <w:sz w:val="24"/>
                                <w:szCs w:val="24"/>
                              </w:rPr>
                              <w:t xml:space="preserve"> </w:t>
                            </w:r>
                            <w:r w:rsidRPr="0070617A">
                              <w:rPr>
                                <w:sz w:val="24"/>
                                <w:szCs w:val="24"/>
                              </w:rPr>
                              <w:t xml:space="preserve">The survey </w:t>
                            </w:r>
                            <w:r>
                              <w:rPr>
                                <w:sz w:val="24"/>
                                <w:szCs w:val="24"/>
                              </w:rPr>
                              <w:t xml:space="preserve">data will </w:t>
                            </w:r>
                            <w:r w:rsidRPr="0070617A">
                              <w:rPr>
                                <w:sz w:val="24"/>
                                <w:szCs w:val="24"/>
                              </w:rPr>
                              <w:t xml:space="preserve">be used to </w:t>
                            </w:r>
                            <w:r>
                              <w:rPr>
                                <w:sz w:val="24"/>
                                <w:szCs w:val="24"/>
                              </w:rPr>
                              <w:t xml:space="preserve">generate frequencies, percentages, and </w:t>
                            </w:r>
                            <w:r w:rsidRPr="0070617A">
                              <w:rPr>
                                <w:sz w:val="24"/>
                                <w:szCs w:val="24"/>
                              </w:rPr>
                              <w:t>denominator</w:t>
                            </w:r>
                            <w:r>
                              <w:rPr>
                                <w:sz w:val="24"/>
                                <w:szCs w:val="24"/>
                              </w:rPr>
                              <w:t xml:space="preserve"> data. Generalized estimating equations (GEE) procedures will be used for linear and logistic regression models.</w:t>
                            </w:r>
                          </w:p>
                          <w:p w14:paraId="74FE9365" w14:textId="77777777" w:rsidR="003B338F" w:rsidRDefault="003B338F" w:rsidP="00447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C00F96" id="_x0000_t202" coordsize="21600,21600" o:spt="202" path="m,l,21600r21600,l21600,xe">
                <v:stroke joinstyle="miter"/>
                <v:path gradientshapeok="t" o:connecttype="rect"/>
              </v:shapetype>
              <v:shape id="Text Box 2" o:spid="_x0000_s1026" type="#_x0000_t202" style="position:absolute;margin-left:-41.4pt;margin-top:145.4pt;width:548.65pt;height:32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">
                <v:textbox>
                  <w:txbxContent>
                    <w:p w14:paraId="3611BF04" w14:textId="575856D8"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Pr="00EF5F9D">
                        <w:rPr>
                          <w:sz w:val="24"/>
                          <w:szCs w:val="24"/>
                        </w:rPr>
                        <w:t>he National Institute for Occupational Safety and Health (NIOSH) Office of Mine Safety and Health Research (OMSHR)</w:t>
                      </w:r>
                      <w:r>
                        <w:rPr>
                          <w:sz w:val="24"/>
                          <w:szCs w:val="24"/>
                        </w:rPr>
                        <w:t xml:space="preserve"> Pittsburgh Mining Research Division (PMRD)</w:t>
                      </w:r>
                      <w:r w:rsidRPr="00EF5F9D">
                        <w:rPr>
                          <w:sz w:val="24"/>
                          <w:szCs w:val="24"/>
                        </w:rPr>
                        <w:t xml:space="preserve"> is planning to</w:t>
                      </w:r>
                      <w:r>
                        <w:rPr>
                          <w:sz w:val="24"/>
                          <w:szCs w:val="24"/>
                        </w:rPr>
                        <w:t xml:space="preserve"> conduct the Mining Industry and Workforce Survey (MIWS). </w:t>
                      </w:r>
                      <w:r w:rsidRPr="00EF5F9D">
                        <w:rPr>
                          <w:sz w:val="24"/>
                          <w:szCs w:val="24"/>
                        </w:rPr>
                        <w:t>The major o</w:t>
                      </w:r>
                      <w:r>
                        <w:rPr>
                          <w:sz w:val="24"/>
                          <w:szCs w:val="24"/>
                        </w:rPr>
                        <w:t xml:space="preserve">bjectives of the survey—to be conducted in the </w:t>
                      </w:r>
                      <w:r w:rsidRPr="003716E1">
                        <w:rPr>
                          <w:rFonts w:eastAsia="Times New Roman"/>
                          <w:sz w:val="24"/>
                          <w:szCs w:val="24"/>
                        </w:rPr>
                        <w:t>stone/sand a</w:t>
                      </w:r>
                      <w:r>
                        <w:rPr>
                          <w:rFonts w:eastAsia="Times New Roman"/>
                          <w:sz w:val="24"/>
                          <w:szCs w:val="24"/>
                        </w:rPr>
                        <w:t>nd gravel mining sector</w:t>
                      </w:r>
                      <w:r w:rsidRPr="003716E1">
                        <w:rPr>
                          <w:rFonts w:eastAsia="Times New Roman"/>
                          <w:sz w:val="24"/>
                          <w:szCs w:val="24"/>
                        </w:rPr>
                        <w:t>, the metal</w:t>
                      </w:r>
                      <w:r>
                        <w:rPr>
                          <w:rFonts w:eastAsia="Times New Roman"/>
                          <w:sz w:val="24"/>
                          <w:szCs w:val="24"/>
                        </w:rPr>
                        <w:t>/nonmetal mining sector</w:t>
                      </w:r>
                      <w:r w:rsidRPr="003716E1">
                        <w:rPr>
                          <w:rFonts w:eastAsia="Times New Roman"/>
                          <w:sz w:val="24"/>
                          <w:szCs w:val="24"/>
                        </w:rPr>
                        <w:t>,</w:t>
                      </w:r>
                      <w:r>
                        <w:rPr>
                          <w:rFonts w:eastAsia="Times New Roman"/>
                          <w:sz w:val="24"/>
                          <w:szCs w:val="24"/>
                        </w:rPr>
                        <w:t xml:space="preserve"> and the coal mining sector</w:t>
                      </w:r>
                      <w:r>
                        <w:rPr>
                          <w:sz w:val="24"/>
                          <w:szCs w:val="24"/>
                        </w:rPr>
                        <w:t xml:space="preserve">—will be to utilize and complement existing data sources by collecting updated estimates and by filling existing data gaps to inform worker safety recommendations. NIOSH will </w:t>
                      </w:r>
                      <w:r w:rsidRPr="00EF5F9D">
                        <w:rPr>
                          <w:sz w:val="24"/>
                          <w:szCs w:val="24"/>
                        </w:rPr>
                        <w:t>collect bas</w:t>
                      </w:r>
                      <w:r>
                        <w:rPr>
                          <w:sz w:val="24"/>
                          <w:szCs w:val="24"/>
                        </w:rPr>
                        <w:t xml:space="preserve">ic information about mines; </w:t>
                      </w:r>
                      <w:r w:rsidRPr="00EF5F9D">
                        <w:rPr>
                          <w:sz w:val="24"/>
                          <w:szCs w:val="24"/>
                        </w:rPr>
                        <w:t>establish the demographic and occupational c</w:t>
                      </w:r>
                      <w:r>
                        <w:rPr>
                          <w:sz w:val="24"/>
                          <w:szCs w:val="24"/>
                        </w:rPr>
                        <w:t xml:space="preserve">haracteristics of mine </w:t>
                      </w:r>
                      <w:r w:rsidRPr="00EF5F9D">
                        <w:rPr>
                          <w:sz w:val="24"/>
                          <w:szCs w:val="24"/>
                        </w:rPr>
                        <w:t>employ</w:t>
                      </w:r>
                      <w:r>
                        <w:rPr>
                          <w:sz w:val="24"/>
                          <w:szCs w:val="24"/>
                        </w:rPr>
                        <w:t xml:space="preserve">ees; and </w:t>
                      </w:r>
                      <w:r w:rsidRPr="00EF5F9D">
                        <w:rPr>
                          <w:sz w:val="24"/>
                          <w:szCs w:val="24"/>
                        </w:rPr>
                        <w:t>estimate the number and occupational characteristics of independent co</w:t>
                      </w:r>
                      <w:r>
                        <w:rPr>
                          <w:sz w:val="24"/>
                          <w:szCs w:val="24"/>
                        </w:rPr>
                        <w:t>ntractor employees</w:t>
                      </w:r>
                      <w:r w:rsidRPr="00EF5F9D">
                        <w:rPr>
                          <w:sz w:val="24"/>
                          <w:szCs w:val="24"/>
                        </w:rPr>
                        <w:t>.</w:t>
                      </w:r>
                    </w:p>
                    <w:p w14:paraId="61D9D2EB" w14:textId="6DF5AB86" w:rsidR="003B338F" w:rsidRPr="009249A1" w:rsidRDefault="003B338F" w:rsidP="00447766">
                      <w:pPr>
                        <w:pStyle w:val="ListParagraph"/>
                        <w:numPr>
                          <w:ilvl w:val="0"/>
                          <w:numId w:val="37"/>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intended use</w:t>
                      </w:r>
                      <w:r w:rsidRPr="009249A1">
                        <w:rPr>
                          <w:sz w:val="24"/>
                          <w:szCs w:val="24"/>
                        </w:rPr>
                        <w:t xml:space="preserve"> </w:t>
                      </w:r>
                      <w:r>
                        <w:rPr>
                          <w:sz w:val="24"/>
                          <w:szCs w:val="24"/>
                        </w:rPr>
                        <w:t xml:space="preserve">of the data will be to: monitor </w:t>
                      </w:r>
                      <w:r w:rsidRPr="009249A1">
                        <w:rPr>
                          <w:sz w:val="24"/>
                          <w:szCs w:val="24"/>
                        </w:rPr>
                        <w:t>changes a</w:t>
                      </w:r>
                      <w:r>
                        <w:rPr>
                          <w:sz w:val="24"/>
                          <w:szCs w:val="24"/>
                        </w:rPr>
                        <w:t xml:space="preserve">nd emerging trends; </w:t>
                      </w:r>
                      <w:r w:rsidRPr="009249A1">
                        <w:rPr>
                          <w:sz w:val="24"/>
                          <w:szCs w:val="24"/>
                        </w:rPr>
                        <w:t>prov</w:t>
                      </w:r>
                      <w:r>
                        <w:rPr>
                          <w:sz w:val="24"/>
                          <w:szCs w:val="24"/>
                        </w:rPr>
                        <w:t xml:space="preserve">ide current data to guide </w:t>
                      </w:r>
                      <w:r w:rsidRPr="009249A1">
                        <w:rPr>
                          <w:sz w:val="24"/>
                          <w:szCs w:val="24"/>
                        </w:rPr>
                        <w:t>resea</w:t>
                      </w:r>
                      <w:r>
                        <w:rPr>
                          <w:sz w:val="24"/>
                          <w:szCs w:val="24"/>
                        </w:rPr>
                        <w:t>rch and training activities;</w:t>
                      </w:r>
                      <w:r w:rsidRPr="009249A1">
                        <w:rPr>
                          <w:sz w:val="24"/>
                          <w:szCs w:val="24"/>
                        </w:rPr>
                        <w:t xml:space="preserve"> provide updated demographic and occupational data fo</w:t>
                      </w:r>
                      <w:r>
                        <w:rPr>
                          <w:sz w:val="24"/>
                          <w:szCs w:val="24"/>
                        </w:rPr>
                        <w:t xml:space="preserve">r the mining workforce; and </w:t>
                      </w:r>
                      <w:r w:rsidRPr="009249A1">
                        <w:rPr>
                          <w:sz w:val="24"/>
                          <w:szCs w:val="24"/>
                        </w:rPr>
                        <w:t xml:space="preserve">provide denominator data to help </w:t>
                      </w:r>
                      <w:r>
                        <w:rPr>
                          <w:sz w:val="24"/>
                          <w:szCs w:val="24"/>
                        </w:rPr>
                        <w:t xml:space="preserve">NIOSH </w:t>
                      </w:r>
                      <w:r w:rsidRPr="009249A1">
                        <w:rPr>
                          <w:sz w:val="24"/>
                          <w:szCs w:val="24"/>
                        </w:rPr>
                        <w:t>understand the risk of work-related injuries, disease, and fata</w:t>
                      </w:r>
                      <w:r>
                        <w:rPr>
                          <w:sz w:val="24"/>
                          <w:szCs w:val="24"/>
                        </w:rPr>
                        <w:t>lities</w:t>
                      </w:r>
                      <w:r w:rsidRPr="009249A1">
                        <w:rPr>
                          <w:sz w:val="24"/>
                          <w:szCs w:val="24"/>
                        </w:rPr>
                        <w:t>.</w:t>
                      </w:r>
                      <w:r>
                        <w:rPr>
                          <w:sz w:val="24"/>
                          <w:szCs w:val="24"/>
                        </w:rPr>
                        <w:t xml:space="preserve"> This information is </w:t>
                      </w:r>
                      <w:r>
                        <w:rPr>
                          <w:rFonts w:eastAsia="Times New Roman"/>
                          <w:sz w:val="24"/>
                          <w:szCs w:val="24"/>
                        </w:rPr>
                        <w:t>vital to the NIOSH</w:t>
                      </w:r>
                      <w:r w:rsidRPr="003716E1">
                        <w:rPr>
                          <w:rFonts w:eastAsia="Times New Roman"/>
                          <w:sz w:val="24"/>
                          <w:szCs w:val="24"/>
                        </w:rPr>
                        <w:t xml:space="preserve"> mission to protect the safety and health</w:t>
                      </w:r>
                      <w:r>
                        <w:rPr>
                          <w:rFonts w:eastAsia="Times New Roman"/>
                          <w:sz w:val="24"/>
                          <w:szCs w:val="24"/>
                        </w:rPr>
                        <w:t xml:space="preserve"> of the mining workforce.</w:t>
                      </w:r>
                    </w:p>
                    <w:p w14:paraId="7C7D72BC" w14:textId="6F89C04E"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Data will be collected using a probability survey where mines will be stratified by the number of employees. Mines within the same stratum will have an equal probability of selection.</w:t>
                      </w:r>
                    </w:p>
                    <w:p w14:paraId="73A78FAE" w14:textId="77777777" w:rsidR="003B338F"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population to be surveyed will be U.S. mines and their employees.</w:t>
                      </w:r>
                    </w:p>
                    <w:p w14:paraId="7E3FE9F0" w14:textId="29644735" w:rsidR="003B338F" w:rsidRPr="00447766" w:rsidRDefault="003B338F" w:rsidP="00447766">
                      <w:pPr>
                        <w:pStyle w:val="ListParagraph"/>
                        <w:numPr>
                          <w:ilvl w:val="0"/>
                          <w:numId w:val="37"/>
                        </w:num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data will be analyzed </w:t>
                      </w:r>
                      <w:r w:rsidRPr="000627C6">
                        <w:rPr>
                          <w:sz w:val="24"/>
                          <w:szCs w:val="24"/>
                        </w:rPr>
                        <w:t>using a statistical package that supports the analysis of data from complex sa</w:t>
                      </w:r>
                      <w:r>
                        <w:rPr>
                          <w:sz w:val="24"/>
                          <w:szCs w:val="24"/>
                        </w:rPr>
                        <w:t>mple surveys</w:t>
                      </w:r>
                      <w:r w:rsidRPr="000627C6">
                        <w:rPr>
                          <w:sz w:val="24"/>
                          <w:szCs w:val="24"/>
                        </w:rPr>
                        <w:t>.</w:t>
                      </w:r>
                      <w:r>
                        <w:rPr>
                          <w:sz w:val="24"/>
                          <w:szCs w:val="24"/>
                        </w:rPr>
                        <w:t xml:space="preserve"> </w:t>
                      </w:r>
                      <w:r w:rsidRPr="0070617A">
                        <w:rPr>
                          <w:sz w:val="24"/>
                          <w:szCs w:val="24"/>
                        </w:rPr>
                        <w:t xml:space="preserve">The survey </w:t>
                      </w:r>
                      <w:r>
                        <w:rPr>
                          <w:sz w:val="24"/>
                          <w:szCs w:val="24"/>
                        </w:rPr>
                        <w:t xml:space="preserve">data will </w:t>
                      </w:r>
                      <w:r w:rsidRPr="0070617A">
                        <w:rPr>
                          <w:sz w:val="24"/>
                          <w:szCs w:val="24"/>
                        </w:rPr>
                        <w:t xml:space="preserve">be used to </w:t>
                      </w:r>
                      <w:r>
                        <w:rPr>
                          <w:sz w:val="24"/>
                          <w:szCs w:val="24"/>
                        </w:rPr>
                        <w:t xml:space="preserve">generate frequencies, percentages, and </w:t>
                      </w:r>
                      <w:r w:rsidRPr="0070617A">
                        <w:rPr>
                          <w:sz w:val="24"/>
                          <w:szCs w:val="24"/>
                        </w:rPr>
                        <w:t>denominator</w:t>
                      </w:r>
                      <w:r>
                        <w:rPr>
                          <w:sz w:val="24"/>
                          <w:szCs w:val="24"/>
                        </w:rPr>
                        <w:t xml:space="preserve"> data. Generalized estimating equations (GEE) procedures will be used for linear and logistic regression models.</w:t>
                      </w:r>
                    </w:p>
                    <w:p w14:paraId="74FE9365" w14:textId="77777777" w:rsidR="003B338F" w:rsidRDefault="003B338F" w:rsidP="00447766"/>
                  </w:txbxContent>
                </v:textbox>
                <w10:wrap type="square" anchorx="margin" anchory="margin"/>
              </v:shape>
            </w:pict>
          </mc:Fallback>
        </mc:AlternateContent>
      </w:r>
      <w:r w:rsidR="003716E1" w:rsidRPr="003716E1">
        <w:rPr>
          <w:rFonts w:ascii="Calibri" w:eastAsia="Times New Roman" w:hAnsi="Calibri" w:cs="Times New Roman"/>
          <w:sz w:val="24"/>
          <w:szCs w:val="24"/>
        </w:rPr>
        <w:br w:type="page"/>
      </w:r>
    </w:p>
    <w:p w14:paraId="6454D861" w14:textId="77777777" w:rsidR="003716E1" w:rsidRPr="003716E1" w:rsidRDefault="003716E1" w:rsidP="003716E1">
      <w:pPr>
        <w:spacing w:after="0" w:line="240" w:lineRule="auto"/>
        <w:rPr>
          <w:rFonts w:ascii="Calibri" w:eastAsia="Times New Roman" w:hAnsi="Calibri" w:cs="Times New Roman"/>
          <w:sz w:val="24"/>
          <w:szCs w:val="24"/>
        </w:rPr>
      </w:pPr>
    </w:p>
    <w:p w14:paraId="25FDF468" w14:textId="77777777" w:rsidR="003716E1" w:rsidRPr="00FB1B29" w:rsidRDefault="003716E1" w:rsidP="003716E1">
      <w:pPr>
        <w:autoSpaceDE w:val="0"/>
        <w:autoSpaceDN w:val="0"/>
        <w:adjustRightInd w:val="0"/>
        <w:spacing w:after="0" w:line="240" w:lineRule="auto"/>
        <w:jc w:val="center"/>
        <w:rPr>
          <w:rFonts w:eastAsia="Times New Roman" w:cs="Times New Roman"/>
          <w:sz w:val="24"/>
          <w:szCs w:val="24"/>
        </w:rPr>
      </w:pPr>
      <w:r w:rsidRPr="00FB1B29">
        <w:rPr>
          <w:rFonts w:eastAsia="Times New Roman" w:cs="Times New Roman"/>
          <w:sz w:val="24"/>
          <w:szCs w:val="24"/>
          <w:lang w:val="en-CA"/>
        </w:rPr>
        <w:fldChar w:fldCharType="begin"/>
      </w:r>
      <w:r w:rsidRPr="00FB1B29">
        <w:rPr>
          <w:rFonts w:eastAsia="Times New Roman" w:cs="Times New Roman"/>
          <w:sz w:val="24"/>
          <w:szCs w:val="24"/>
          <w:lang w:val="en-CA"/>
        </w:rPr>
        <w:instrText xml:space="preserve"> SEQ CHAPTER \h \r 1</w:instrText>
      </w:r>
      <w:r w:rsidRPr="00FB1B29">
        <w:rPr>
          <w:rFonts w:eastAsia="Times New Roman" w:cs="Times New Roman"/>
          <w:sz w:val="24"/>
          <w:szCs w:val="24"/>
          <w:lang w:val="en-CA"/>
        </w:rPr>
        <w:fldChar w:fldCharType="end"/>
      </w:r>
      <w:r w:rsidRPr="00FB1B29">
        <w:rPr>
          <w:rFonts w:eastAsia="Times New Roman" w:cs="Times New Roman"/>
          <w:b/>
          <w:bCs/>
          <w:sz w:val="24"/>
          <w:szCs w:val="24"/>
        </w:rPr>
        <w:t>Table of Contents</w:t>
      </w:r>
      <w:r w:rsidRPr="00FB1B29">
        <w:rPr>
          <w:rFonts w:eastAsia="Times New Roman" w:cs="Times New Roman"/>
          <w:sz w:val="24"/>
          <w:szCs w:val="24"/>
          <w:lang w:val="en-CA"/>
        </w:rPr>
        <w:fldChar w:fldCharType="begin"/>
      </w:r>
      <w:r w:rsidRPr="00FB1B29">
        <w:rPr>
          <w:rFonts w:eastAsia="Times New Roman" w:cs="Times New Roman"/>
          <w:sz w:val="24"/>
          <w:szCs w:val="24"/>
          <w:lang w:val="en-CA"/>
        </w:rPr>
        <w:instrText xml:space="preserve"> SEQ CHAPTER \h \r 1</w:instrText>
      </w:r>
      <w:r w:rsidRPr="00FB1B29">
        <w:rPr>
          <w:rFonts w:eastAsia="Times New Roman" w:cs="Times New Roman"/>
          <w:sz w:val="24"/>
          <w:szCs w:val="24"/>
          <w:lang w:val="en-CA"/>
        </w:rPr>
        <w:fldChar w:fldCharType="end"/>
      </w:r>
    </w:p>
    <w:p w14:paraId="1A95F43A" w14:textId="77777777" w:rsidR="003716E1" w:rsidRPr="00FB1B29" w:rsidRDefault="003716E1" w:rsidP="003716E1">
      <w:pPr>
        <w:autoSpaceDE w:val="0"/>
        <w:autoSpaceDN w:val="0"/>
        <w:adjustRightInd w:val="0"/>
        <w:spacing w:after="0" w:line="240" w:lineRule="auto"/>
        <w:rPr>
          <w:rFonts w:eastAsia="Times New Roman" w:cs="Times New Roman"/>
          <w:b/>
          <w:bCs/>
          <w:sz w:val="24"/>
          <w:szCs w:val="24"/>
        </w:rPr>
      </w:pPr>
    </w:p>
    <w:p w14:paraId="05C722A0" w14:textId="77777777" w:rsidR="006452C2" w:rsidRPr="006452C2" w:rsidRDefault="003716E1">
      <w:pPr>
        <w:pStyle w:val="TOC1"/>
        <w:rPr>
          <w:rFonts w:asciiTheme="minorHAnsi" w:eastAsiaTheme="minorEastAsia" w:hAnsiTheme="minorHAnsi" w:cstheme="minorBidi"/>
          <w:b w:val="0"/>
          <w:sz w:val="24"/>
          <w:szCs w:val="24"/>
        </w:rPr>
      </w:pPr>
      <w:r w:rsidRPr="006452C2">
        <w:rPr>
          <w:rFonts w:asciiTheme="minorHAnsi" w:hAnsiTheme="minorHAnsi"/>
          <w:sz w:val="24"/>
          <w:szCs w:val="24"/>
        </w:rPr>
        <w:fldChar w:fldCharType="begin"/>
      </w:r>
      <w:r w:rsidRPr="006452C2">
        <w:rPr>
          <w:rFonts w:asciiTheme="minorHAnsi" w:hAnsiTheme="minorHAnsi"/>
          <w:sz w:val="24"/>
          <w:szCs w:val="24"/>
        </w:rPr>
        <w:instrText xml:space="preserve"> TOC \o "1-3" \h \z \u </w:instrText>
      </w:r>
      <w:r w:rsidRPr="006452C2">
        <w:rPr>
          <w:rFonts w:asciiTheme="minorHAnsi" w:hAnsiTheme="minorHAnsi"/>
          <w:sz w:val="24"/>
          <w:szCs w:val="24"/>
        </w:rPr>
        <w:fldChar w:fldCharType="separate"/>
      </w:r>
      <w:hyperlink w:anchor="_Toc435798889" w:history="1">
        <w:r w:rsidR="006452C2" w:rsidRPr="006452C2">
          <w:rPr>
            <w:rStyle w:val="Hyperlink"/>
            <w:rFonts w:eastAsia="Times New Roman"/>
            <w:bCs/>
            <w:kern w:val="32"/>
            <w:sz w:val="24"/>
            <w:szCs w:val="24"/>
          </w:rPr>
          <w:t>A.  Justification</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_Toc435798889 \h </w:instrText>
        </w:r>
        <w:r w:rsidR="006452C2" w:rsidRPr="006452C2">
          <w:rPr>
            <w:webHidden/>
            <w:sz w:val="24"/>
            <w:szCs w:val="24"/>
          </w:rPr>
        </w:r>
        <w:r w:rsidR="006452C2" w:rsidRPr="006452C2">
          <w:rPr>
            <w:webHidden/>
            <w:sz w:val="24"/>
            <w:szCs w:val="24"/>
          </w:rPr>
          <w:fldChar w:fldCharType="separate"/>
        </w:r>
        <w:r w:rsidR="00D90BFB">
          <w:rPr>
            <w:webHidden/>
            <w:sz w:val="24"/>
            <w:szCs w:val="24"/>
          </w:rPr>
          <w:t>1</w:t>
        </w:r>
        <w:r w:rsidR="006452C2" w:rsidRPr="006452C2">
          <w:rPr>
            <w:webHidden/>
            <w:sz w:val="24"/>
            <w:szCs w:val="24"/>
          </w:rPr>
          <w:fldChar w:fldCharType="end"/>
        </w:r>
      </w:hyperlink>
    </w:p>
    <w:p w14:paraId="43880787" w14:textId="77777777" w:rsidR="006452C2" w:rsidRPr="006452C2" w:rsidRDefault="003B338F">
      <w:pPr>
        <w:pStyle w:val="TOC1"/>
        <w:rPr>
          <w:rFonts w:asciiTheme="minorHAnsi" w:eastAsiaTheme="minorEastAsia" w:hAnsiTheme="minorHAnsi" w:cstheme="minorBidi"/>
          <w:b w:val="0"/>
          <w:sz w:val="24"/>
          <w:szCs w:val="24"/>
        </w:rPr>
      </w:pPr>
      <w:hyperlink w:anchor="_Toc435798890" w:history="1">
        <w:r w:rsidR="006452C2" w:rsidRPr="006452C2">
          <w:rPr>
            <w:rStyle w:val="Hyperlink"/>
            <w:rFonts w:eastAsia="Times New Roman"/>
            <w:bCs/>
            <w:kern w:val="32"/>
            <w:sz w:val="24"/>
            <w:szCs w:val="24"/>
          </w:rPr>
          <w:t>A.1</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Circumstances Making the Collection of Information Necessary</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_Toc435798890 \h </w:instrText>
        </w:r>
        <w:r w:rsidR="006452C2" w:rsidRPr="006452C2">
          <w:rPr>
            <w:webHidden/>
            <w:sz w:val="24"/>
            <w:szCs w:val="24"/>
          </w:rPr>
        </w:r>
        <w:r w:rsidR="006452C2" w:rsidRPr="006452C2">
          <w:rPr>
            <w:webHidden/>
            <w:sz w:val="24"/>
            <w:szCs w:val="24"/>
          </w:rPr>
          <w:fldChar w:fldCharType="separate"/>
        </w:r>
        <w:r w:rsidR="00D90BFB">
          <w:rPr>
            <w:webHidden/>
            <w:sz w:val="24"/>
            <w:szCs w:val="24"/>
          </w:rPr>
          <w:t>1</w:t>
        </w:r>
        <w:r w:rsidR="006452C2" w:rsidRPr="006452C2">
          <w:rPr>
            <w:webHidden/>
            <w:sz w:val="24"/>
            <w:szCs w:val="24"/>
          </w:rPr>
          <w:fldChar w:fldCharType="end"/>
        </w:r>
      </w:hyperlink>
    </w:p>
    <w:p w14:paraId="549590BF" w14:textId="7AAE442F" w:rsidR="006452C2" w:rsidRPr="006452C2" w:rsidRDefault="003B338F">
      <w:pPr>
        <w:pStyle w:val="TOC1"/>
        <w:rPr>
          <w:rFonts w:asciiTheme="minorHAnsi" w:eastAsiaTheme="minorEastAsia" w:hAnsiTheme="minorHAnsi" w:cstheme="minorBidi"/>
          <w:b w:val="0"/>
          <w:sz w:val="24"/>
          <w:szCs w:val="24"/>
        </w:rPr>
      </w:pPr>
      <w:hyperlink w:anchor="_Toc435798891" w:history="1">
        <w:r w:rsidR="006452C2" w:rsidRPr="006452C2">
          <w:rPr>
            <w:rStyle w:val="Hyperlink"/>
            <w:rFonts w:eastAsia="Times New Roman"/>
            <w:bCs/>
            <w:kern w:val="32"/>
            <w:sz w:val="24"/>
            <w:szCs w:val="24"/>
          </w:rPr>
          <w:t>A.2</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Purpose and Use of Information Collection</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_Toc435798891 \h </w:instrText>
        </w:r>
        <w:r w:rsidR="006452C2" w:rsidRPr="006452C2">
          <w:rPr>
            <w:webHidden/>
            <w:sz w:val="24"/>
            <w:szCs w:val="24"/>
          </w:rPr>
        </w:r>
        <w:r w:rsidR="006452C2" w:rsidRPr="006452C2">
          <w:rPr>
            <w:webHidden/>
            <w:sz w:val="24"/>
            <w:szCs w:val="24"/>
          </w:rPr>
          <w:fldChar w:fldCharType="separate"/>
        </w:r>
        <w:r w:rsidR="00D90BFB">
          <w:rPr>
            <w:webHidden/>
            <w:sz w:val="24"/>
            <w:szCs w:val="24"/>
          </w:rPr>
          <w:t>2</w:t>
        </w:r>
        <w:r w:rsidR="006452C2" w:rsidRPr="006452C2">
          <w:rPr>
            <w:webHidden/>
            <w:sz w:val="24"/>
            <w:szCs w:val="24"/>
          </w:rPr>
          <w:fldChar w:fldCharType="end"/>
        </w:r>
      </w:hyperlink>
    </w:p>
    <w:p w14:paraId="08DECCE7" w14:textId="5E607F80" w:rsidR="006452C2" w:rsidRPr="006452C2" w:rsidRDefault="003B338F">
      <w:pPr>
        <w:pStyle w:val="TOC1"/>
        <w:rPr>
          <w:rFonts w:asciiTheme="minorHAnsi" w:eastAsiaTheme="minorEastAsia" w:hAnsiTheme="minorHAnsi" w:cstheme="minorBidi"/>
          <w:b w:val="0"/>
          <w:sz w:val="24"/>
          <w:szCs w:val="24"/>
        </w:rPr>
      </w:pPr>
      <w:hyperlink w:anchor="_Toc435798892" w:history="1">
        <w:r w:rsidR="006452C2" w:rsidRPr="006452C2">
          <w:rPr>
            <w:rStyle w:val="Hyperlink"/>
            <w:rFonts w:eastAsia="Times New Roman"/>
            <w:bCs/>
            <w:kern w:val="32"/>
            <w:sz w:val="24"/>
            <w:szCs w:val="24"/>
          </w:rPr>
          <w:t>A.3</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Use of Improved Information Technology and Burden Reduction</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_Toc435798892 \h </w:instrText>
        </w:r>
        <w:r w:rsidR="006452C2" w:rsidRPr="006452C2">
          <w:rPr>
            <w:webHidden/>
            <w:sz w:val="24"/>
            <w:szCs w:val="24"/>
          </w:rPr>
        </w:r>
        <w:r w:rsidR="006452C2" w:rsidRPr="006452C2">
          <w:rPr>
            <w:webHidden/>
            <w:sz w:val="24"/>
            <w:szCs w:val="24"/>
          </w:rPr>
          <w:fldChar w:fldCharType="separate"/>
        </w:r>
        <w:r w:rsidR="00D90BFB">
          <w:rPr>
            <w:webHidden/>
            <w:sz w:val="24"/>
            <w:szCs w:val="24"/>
          </w:rPr>
          <w:t>6</w:t>
        </w:r>
        <w:r w:rsidR="006452C2" w:rsidRPr="006452C2">
          <w:rPr>
            <w:webHidden/>
            <w:sz w:val="24"/>
            <w:szCs w:val="24"/>
          </w:rPr>
          <w:fldChar w:fldCharType="end"/>
        </w:r>
      </w:hyperlink>
    </w:p>
    <w:p w14:paraId="66676167" w14:textId="370843EB" w:rsidR="006452C2" w:rsidRPr="006452C2" w:rsidRDefault="003B338F">
      <w:pPr>
        <w:pStyle w:val="TOC1"/>
        <w:rPr>
          <w:rFonts w:asciiTheme="minorHAnsi" w:eastAsiaTheme="minorEastAsia" w:hAnsiTheme="minorHAnsi" w:cstheme="minorBidi"/>
          <w:b w:val="0"/>
          <w:sz w:val="24"/>
          <w:szCs w:val="24"/>
        </w:rPr>
      </w:pPr>
      <w:hyperlink w:anchor="_Toc435798893" w:history="1">
        <w:r w:rsidR="006452C2" w:rsidRPr="006452C2">
          <w:rPr>
            <w:rStyle w:val="Hyperlink"/>
            <w:rFonts w:eastAsia="Times New Roman"/>
            <w:bCs/>
            <w:kern w:val="32"/>
            <w:sz w:val="24"/>
            <w:szCs w:val="24"/>
          </w:rPr>
          <w:t>A.4</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Efforts to Identify Duplication and Use of Similar Information</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_Toc435798893 \h </w:instrText>
        </w:r>
        <w:r w:rsidR="006452C2" w:rsidRPr="006452C2">
          <w:rPr>
            <w:webHidden/>
            <w:sz w:val="24"/>
            <w:szCs w:val="24"/>
          </w:rPr>
        </w:r>
        <w:r w:rsidR="006452C2" w:rsidRPr="006452C2">
          <w:rPr>
            <w:webHidden/>
            <w:sz w:val="24"/>
            <w:szCs w:val="24"/>
          </w:rPr>
          <w:fldChar w:fldCharType="separate"/>
        </w:r>
        <w:r w:rsidR="00D90BFB">
          <w:rPr>
            <w:webHidden/>
            <w:sz w:val="24"/>
            <w:szCs w:val="24"/>
          </w:rPr>
          <w:t>7</w:t>
        </w:r>
        <w:r w:rsidR="006452C2" w:rsidRPr="006452C2">
          <w:rPr>
            <w:webHidden/>
            <w:sz w:val="24"/>
            <w:szCs w:val="24"/>
          </w:rPr>
          <w:fldChar w:fldCharType="end"/>
        </w:r>
      </w:hyperlink>
    </w:p>
    <w:p w14:paraId="2710A20F" w14:textId="77777777" w:rsidR="006452C2" w:rsidRPr="006452C2" w:rsidRDefault="003B338F">
      <w:pPr>
        <w:pStyle w:val="TOC1"/>
        <w:rPr>
          <w:rFonts w:asciiTheme="minorHAnsi" w:eastAsiaTheme="minorEastAsia" w:hAnsiTheme="minorHAnsi" w:cstheme="minorBidi"/>
          <w:b w:val="0"/>
          <w:sz w:val="24"/>
          <w:szCs w:val="24"/>
        </w:rPr>
      </w:pPr>
      <w:hyperlink w:anchor="_Toc435798894" w:history="1">
        <w:r w:rsidR="006452C2" w:rsidRPr="006452C2">
          <w:rPr>
            <w:rStyle w:val="Hyperlink"/>
            <w:rFonts w:eastAsia="Times New Roman"/>
            <w:bCs/>
            <w:kern w:val="32"/>
            <w:sz w:val="24"/>
            <w:szCs w:val="24"/>
            <w:lang w:val="en-CA"/>
          </w:rPr>
          <w:t>A.5</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Impact on Small Businesses or Other Small Entities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_Toc435798894 \h </w:instrText>
        </w:r>
        <w:r w:rsidR="006452C2" w:rsidRPr="006452C2">
          <w:rPr>
            <w:webHidden/>
            <w:sz w:val="24"/>
            <w:szCs w:val="24"/>
          </w:rPr>
        </w:r>
        <w:r w:rsidR="006452C2" w:rsidRPr="006452C2">
          <w:rPr>
            <w:webHidden/>
            <w:sz w:val="24"/>
            <w:szCs w:val="24"/>
          </w:rPr>
          <w:fldChar w:fldCharType="separate"/>
        </w:r>
        <w:r w:rsidR="00D90BFB">
          <w:rPr>
            <w:webHidden/>
            <w:sz w:val="24"/>
            <w:szCs w:val="24"/>
          </w:rPr>
          <w:t>8</w:t>
        </w:r>
        <w:r w:rsidR="006452C2" w:rsidRPr="006452C2">
          <w:rPr>
            <w:webHidden/>
            <w:sz w:val="24"/>
            <w:szCs w:val="24"/>
          </w:rPr>
          <w:fldChar w:fldCharType="end"/>
        </w:r>
      </w:hyperlink>
    </w:p>
    <w:p w14:paraId="4425D3AB" w14:textId="53224FDC" w:rsidR="006452C2" w:rsidRPr="006452C2" w:rsidRDefault="003B338F">
      <w:pPr>
        <w:pStyle w:val="TOC1"/>
        <w:rPr>
          <w:rFonts w:asciiTheme="minorHAnsi" w:eastAsiaTheme="minorEastAsia" w:hAnsiTheme="minorHAnsi" w:cstheme="minorBidi"/>
          <w:b w:val="0"/>
          <w:sz w:val="24"/>
          <w:szCs w:val="24"/>
        </w:rPr>
      </w:pPr>
      <w:hyperlink w:anchor="_Toc435798895"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.6</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Consequences of Collecting the Information Less Frequently</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_Toc435798895 \h </w:instrText>
        </w:r>
        <w:r w:rsidR="006452C2" w:rsidRPr="006452C2">
          <w:rPr>
            <w:webHidden/>
            <w:sz w:val="24"/>
            <w:szCs w:val="24"/>
          </w:rPr>
        </w:r>
        <w:r w:rsidR="006452C2" w:rsidRPr="006452C2">
          <w:rPr>
            <w:webHidden/>
            <w:sz w:val="24"/>
            <w:szCs w:val="24"/>
          </w:rPr>
          <w:fldChar w:fldCharType="separate"/>
        </w:r>
        <w:r w:rsidR="00D90BFB">
          <w:rPr>
            <w:webHidden/>
            <w:sz w:val="24"/>
            <w:szCs w:val="24"/>
          </w:rPr>
          <w:t>8</w:t>
        </w:r>
        <w:r w:rsidR="006452C2" w:rsidRPr="006452C2">
          <w:rPr>
            <w:webHidden/>
            <w:sz w:val="24"/>
            <w:szCs w:val="24"/>
          </w:rPr>
          <w:fldChar w:fldCharType="end"/>
        </w:r>
      </w:hyperlink>
    </w:p>
    <w:p w14:paraId="7A362620" w14:textId="665E7B51" w:rsidR="006452C2" w:rsidRPr="006452C2" w:rsidRDefault="003B338F">
      <w:pPr>
        <w:pStyle w:val="TOC1"/>
        <w:rPr>
          <w:rFonts w:asciiTheme="minorHAnsi" w:eastAsiaTheme="minorEastAsia" w:hAnsiTheme="minorHAnsi" w:cstheme="minorBidi"/>
          <w:b w:val="0"/>
          <w:sz w:val="24"/>
          <w:szCs w:val="24"/>
        </w:rPr>
      </w:pPr>
      <w:hyperlink w:anchor="_Toc435798896" w:history="1">
        <w:r w:rsidR="006452C2" w:rsidRPr="006452C2">
          <w:rPr>
            <w:rStyle w:val="Hyperlink"/>
            <w:rFonts w:eastAsia="Times New Roman"/>
            <w:bCs/>
            <w:kern w:val="32"/>
            <w:sz w:val="24"/>
            <w:szCs w:val="24"/>
          </w:rPr>
          <w:t>A.7</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Special Circumstances Relating to the Guidelines of 5 CFR 1320.5</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_Toc435798896 \h </w:instrText>
        </w:r>
        <w:r w:rsidR="006452C2" w:rsidRPr="006452C2">
          <w:rPr>
            <w:webHidden/>
            <w:sz w:val="24"/>
            <w:szCs w:val="24"/>
          </w:rPr>
        </w:r>
        <w:r w:rsidR="006452C2" w:rsidRPr="006452C2">
          <w:rPr>
            <w:webHidden/>
            <w:sz w:val="24"/>
            <w:szCs w:val="24"/>
          </w:rPr>
          <w:fldChar w:fldCharType="separate"/>
        </w:r>
        <w:r w:rsidR="00D90BFB">
          <w:rPr>
            <w:webHidden/>
            <w:sz w:val="24"/>
            <w:szCs w:val="24"/>
          </w:rPr>
          <w:t>9</w:t>
        </w:r>
        <w:r w:rsidR="006452C2" w:rsidRPr="006452C2">
          <w:rPr>
            <w:webHidden/>
            <w:sz w:val="24"/>
            <w:szCs w:val="24"/>
          </w:rPr>
          <w:fldChar w:fldCharType="end"/>
        </w:r>
      </w:hyperlink>
    </w:p>
    <w:p w14:paraId="0A61A61F" w14:textId="51ADCECE" w:rsidR="006452C2" w:rsidRPr="006452C2" w:rsidRDefault="003B338F">
      <w:pPr>
        <w:pStyle w:val="TOC1"/>
        <w:rPr>
          <w:rFonts w:asciiTheme="minorHAnsi" w:eastAsiaTheme="minorEastAsia" w:hAnsiTheme="minorHAnsi" w:cstheme="minorBidi"/>
          <w:b w:val="0"/>
          <w:sz w:val="24"/>
          <w:szCs w:val="24"/>
        </w:rPr>
      </w:pPr>
      <w:hyperlink w:anchor="_Toc435798897"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.8</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Comments in Response to the Federal Register Notice and Efforts to Consult Outside the Agency</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_Toc435798897 \h </w:instrText>
        </w:r>
        <w:r w:rsidR="006452C2" w:rsidRPr="006452C2">
          <w:rPr>
            <w:webHidden/>
            <w:sz w:val="24"/>
            <w:szCs w:val="24"/>
          </w:rPr>
        </w:r>
        <w:r w:rsidR="006452C2" w:rsidRPr="006452C2">
          <w:rPr>
            <w:webHidden/>
            <w:sz w:val="24"/>
            <w:szCs w:val="24"/>
          </w:rPr>
          <w:fldChar w:fldCharType="separate"/>
        </w:r>
        <w:r w:rsidR="00D90BFB">
          <w:rPr>
            <w:webHidden/>
            <w:sz w:val="24"/>
            <w:szCs w:val="24"/>
          </w:rPr>
          <w:t>9</w:t>
        </w:r>
        <w:r w:rsidR="006452C2" w:rsidRPr="006452C2">
          <w:rPr>
            <w:webHidden/>
            <w:sz w:val="24"/>
            <w:szCs w:val="24"/>
          </w:rPr>
          <w:fldChar w:fldCharType="end"/>
        </w:r>
      </w:hyperlink>
    </w:p>
    <w:p w14:paraId="5F2E968D" w14:textId="17886097" w:rsidR="006452C2" w:rsidRPr="006452C2" w:rsidRDefault="003B338F">
      <w:pPr>
        <w:pStyle w:val="TOC1"/>
        <w:rPr>
          <w:rFonts w:asciiTheme="minorHAnsi" w:eastAsiaTheme="minorEastAsia" w:hAnsiTheme="minorHAnsi" w:cstheme="minorBidi"/>
          <w:b w:val="0"/>
          <w:sz w:val="24"/>
          <w:szCs w:val="24"/>
        </w:rPr>
      </w:pPr>
      <w:hyperlink w:anchor="_Toc435798898"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.9</w:t>
        </w:r>
        <w:r w:rsidR="006452C2" w:rsidRPr="006452C2">
          <w:rPr>
            <w:rFonts w:asciiTheme="minorHAnsi" w:eastAsiaTheme="minorEastAsia" w:hAnsiTheme="minorHAnsi" w:cstheme="minorBidi"/>
            <w:b w:val="0"/>
            <w:sz w:val="24"/>
            <w:szCs w:val="24"/>
          </w:rPr>
          <w:tab/>
        </w:r>
        <w:r w:rsidR="006452C2" w:rsidRPr="006452C2">
          <w:rPr>
            <w:rStyle w:val="Hyperlink"/>
            <w:rFonts w:eastAsia="Times New Roman"/>
            <w:bCs/>
            <w:kern w:val="32"/>
            <w:sz w:val="24"/>
            <w:szCs w:val="24"/>
          </w:rPr>
          <w:t>Explanation of Any Payment or Gift</w:t>
        </w:r>
        <w:r w:rsidR="00BB2135">
          <w:rPr>
            <w:rStyle w:val="Hyperlink"/>
            <w:rFonts w:eastAsia="Times New Roman"/>
            <w:bCs/>
            <w:kern w:val="32"/>
            <w:sz w:val="24"/>
            <w:szCs w:val="24"/>
          </w:rPr>
          <w:t>s</w:t>
        </w:r>
        <w:r w:rsidR="006452C2" w:rsidRPr="006452C2">
          <w:rPr>
            <w:rStyle w:val="Hyperlink"/>
            <w:rFonts w:eastAsia="Times New Roman"/>
            <w:bCs/>
            <w:kern w:val="32"/>
            <w:sz w:val="24"/>
            <w:szCs w:val="24"/>
          </w:rPr>
          <w:t xml:space="preserve"> to Respondents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_Toc435798898 \h </w:instrText>
        </w:r>
        <w:r w:rsidR="006452C2" w:rsidRPr="006452C2">
          <w:rPr>
            <w:webHidden/>
            <w:sz w:val="24"/>
            <w:szCs w:val="24"/>
          </w:rPr>
        </w:r>
        <w:r w:rsidR="006452C2" w:rsidRPr="006452C2">
          <w:rPr>
            <w:webHidden/>
            <w:sz w:val="24"/>
            <w:szCs w:val="24"/>
          </w:rPr>
          <w:fldChar w:fldCharType="separate"/>
        </w:r>
        <w:r w:rsidR="00D90BFB">
          <w:rPr>
            <w:webHidden/>
            <w:sz w:val="24"/>
            <w:szCs w:val="24"/>
          </w:rPr>
          <w:t>11</w:t>
        </w:r>
        <w:r w:rsidR="006452C2" w:rsidRPr="006452C2">
          <w:rPr>
            <w:webHidden/>
            <w:sz w:val="24"/>
            <w:szCs w:val="24"/>
          </w:rPr>
          <w:fldChar w:fldCharType="end"/>
        </w:r>
      </w:hyperlink>
    </w:p>
    <w:p w14:paraId="19528E45" w14:textId="65EE4E41" w:rsidR="006452C2" w:rsidRPr="006452C2" w:rsidRDefault="003B338F">
      <w:pPr>
        <w:pStyle w:val="TOC1"/>
        <w:rPr>
          <w:rFonts w:asciiTheme="minorHAnsi" w:eastAsiaTheme="minorEastAsia" w:hAnsiTheme="minorHAnsi" w:cstheme="minorBidi"/>
          <w:b w:val="0"/>
          <w:sz w:val="24"/>
          <w:szCs w:val="24"/>
        </w:rPr>
      </w:pPr>
      <w:hyperlink w:anchor="_Toc435798899" w:history="1">
        <w:r w:rsidR="006452C2" w:rsidRPr="006452C2">
          <w:rPr>
            <w:rStyle w:val="Hyperlink"/>
            <w:rFonts w:eastAsia="Times New Roman"/>
            <w:bCs/>
            <w:kern w:val="32"/>
            <w:sz w:val="24"/>
            <w:szCs w:val="24"/>
          </w:rPr>
          <w:t>A.10</w:t>
        </w:r>
        <w:r w:rsidR="006452C2">
          <w:rPr>
            <w:rFonts w:asciiTheme="minorHAnsi" w:eastAsiaTheme="minorEastAsia" w:hAnsiTheme="minorHAnsi" w:cstheme="minorBidi"/>
            <w:b w:val="0"/>
            <w:sz w:val="24"/>
            <w:szCs w:val="24"/>
          </w:rPr>
          <w:t xml:space="preserve"> </w:t>
        </w:r>
        <w:r w:rsidR="00BB2135">
          <w:rPr>
            <w:rStyle w:val="Hyperlink"/>
            <w:rFonts w:eastAsia="Times New Roman"/>
            <w:bCs/>
            <w:kern w:val="32"/>
            <w:sz w:val="24"/>
            <w:szCs w:val="24"/>
          </w:rPr>
          <w:t>Protection of the Privacy and Confidentiality of Information Provided by Respondents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_Toc435798899 \h </w:instrText>
        </w:r>
        <w:r w:rsidR="006452C2" w:rsidRPr="006452C2">
          <w:rPr>
            <w:webHidden/>
            <w:sz w:val="24"/>
            <w:szCs w:val="24"/>
          </w:rPr>
        </w:r>
        <w:r w:rsidR="006452C2" w:rsidRPr="006452C2">
          <w:rPr>
            <w:webHidden/>
            <w:sz w:val="24"/>
            <w:szCs w:val="24"/>
          </w:rPr>
          <w:fldChar w:fldCharType="separate"/>
        </w:r>
        <w:r w:rsidR="00D90BFB">
          <w:rPr>
            <w:webHidden/>
            <w:sz w:val="24"/>
            <w:szCs w:val="24"/>
          </w:rPr>
          <w:t>11</w:t>
        </w:r>
        <w:r w:rsidR="006452C2" w:rsidRPr="006452C2">
          <w:rPr>
            <w:webHidden/>
            <w:sz w:val="24"/>
            <w:szCs w:val="24"/>
          </w:rPr>
          <w:fldChar w:fldCharType="end"/>
        </w:r>
      </w:hyperlink>
    </w:p>
    <w:p w14:paraId="0F28A7E3" w14:textId="13E3A2C2" w:rsidR="006452C2" w:rsidRPr="006452C2" w:rsidRDefault="003B338F">
      <w:pPr>
        <w:pStyle w:val="TOC1"/>
        <w:rPr>
          <w:rFonts w:asciiTheme="minorHAnsi" w:eastAsiaTheme="minorEastAsia" w:hAnsiTheme="minorHAnsi" w:cstheme="minorBidi"/>
          <w:b w:val="0"/>
          <w:sz w:val="24"/>
          <w:szCs w:val="24"/>
        </w:rPr>
      </w:pPr>
      <w:hyperlink w:anchor="_Toc435798900"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.11</w:t>
        </w:r>
        <w:r w:rsidR="006452C2">
          <w:rPr>
            <w:rFonts w:asciiTheme="minorHAnsi" w:eastAsiaTheme="minorEastAsia" w:hAnsiTheme="minorHAnsi" w:cstheme="minorBidi"/>
            <w:b w:val="0"/>
            <w:sz w:val="24"/>
            <w:szCs w:val="24"/>
          </w:rPr>
          <w:t xml:space="preserve"> </w:t>
        </w:r>
        <w:r w:rsidR="006452C2" w:rsidRPr="006452C2">
          <w:rPr>
            <w:rStyle w:val="Hyperlink"/>
            <w:rFonts w:eastAsia="Times New Roman"/>
            <w:bCs/>
            <w:kern w:val="32"/>
            <w:sz w:val="24"/>
            <w:szCs w:val="24"/>
          </w:rPr>
          <w:t>I</w:t>
        </w:r>
        <w:r w:rsidR="00BB2135">
          <w:rPr>
            <w:rStyle w:val="Hyperlink"/>
            <w:rFonts w:eastAsia="Times New Roman"/>
            <w:bCs/>
            <w:kern w:val="32"/>
            <w:sz w:val="24"/>
            <w:szCs w:val="24"/>
          </w:rPr>
          <w:t xml:space="preserve">nstitutional Review Board </w:t>
        </w:r>
        <w:r w:rsidR="006452C2" w:rsidRPr="006452C2">
          <w:rPr>
            <w:rStyle w:val="Hyperlink"/>
            <w:rFonts w:eastAsia="Times New Roman"/>
            <w:bCs/>
            <w:kern w:val="32"/>
            <w:sz w:val="24"/>
            <w:szCs w:val="24"/>
          </w:rPr>
          <w:t>and Justification for Sensitive Questions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_Toc435798900 \h </w:instrText>
        </w:r>
        <w:r w:rsidR="006452C2" w:rsidRPr="006452C2">
          <w:rPr>
            <w:webHidden/>
            <w:sz w:val="24"/>
            <w:szCs w:val="24"/>
          </w:rPr>
        </w:r>
        <w:r w:rsidR="006452C2" w:rsidRPr="006452C2">
          <w:rPr>
            <w:webHidden/>
            <w:sz w:val="24"/>
            <w:szCs w:val="24"/>
          </w:rPr>
          <w:fldChar w:fldCharType="separate"/>
        </w:r>
        <w:r w:rsidR="00D90BFB">
          <w:rPr>
            <w:webHidden/>
            <w:sz w:val="24"/>
            <w:szCs w:val="24"/>
          </w:rPr>
          <w:t>13</w:t>
        </w:r>
        <w:r w:rsidR="006452C2" w:rsidRPr="006452C2">
          <w:rPr>
            <w:webHidden/>
            <w:sz w:val="24"/>
            <w:szCs w:val="24"/>
          </w:rPr>
          <w:fldChar w:fldCharType="end"/>
        </w:r>
      </w:hyperlink>
    </w:p>
    <w:p w14:paraId="25BD797F" w14:textId="7A1482C7" w:rsidR="006452C2" w:rsidRPr="006452C2" w:rsidRDefault="003B338F">
      <w:pPr>
        <w:pStyle w:val="TOC1"/>
        <w:rPr>
          <w:rFonts w:asciiTheme="minorHAnsi" w:eastAsiaTheme="minorEastAsia" w:hAnsiTheme="minorHAnsi" w:cstheme="minorBidi"/>
          <w:b w:val="0"/>
          <w:sz w:val="24"/>
          <w:szCs w:val="24"/>
        </w:rPr>
      </w:pPr>
      <w:hyperlink w:anchor="_Toc435798901"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.12</w:t>
        </w:r>
        <w:r w:rsidR="006452C2">
          <w:rPr>
            <w:rFonts w:asciiTheme="minorHAnsi" w:eastAsiaTheme="minorEastAsia" w:hAnsiTheme="minorHAnsi" w:cstheme="minorBidi"/>
            <w:b w:val="0"/>
            <w:sz w:val="24"/>
            <w:szCs w:val="24"/>
          </w:rPr>
          <w:t xml:space="preserve"> </w:t>
        </w:r>
        <w:r w:rsidR="006452C2" w:rsidRPr="006452C2">
          <w:rPr>
            <w:rStyle w:val="Hyperlink"/>
            <w:rFonts w:eastAsia="Times New Roman"/>
            <w:bCs/>
            <w:kern w:val="32"/>
            <w:sz w:val="24"/>
            <w:szCs w:val="24"/>
          </w:rPr>
          <w:t>Estimates of Annualized Burden Hours and Costs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_Toc435798901 \h </w:instrText>
        </w:r>
        <w:r w:rsidR="006452C2" w:rsidRPr="006452C2">
          <w:rPr>
            <w:webHidden/>
            <w:sz w:val="24"/>
            <w:szCs w:val="24"/>
          </w:rPr>
        </w:r>
        <w:r w:rsidR="006452C2" w:rsidRPr="006452C2">
          <w:rPr>
            <w:webHidden/>
            <w:sz w:val="24"/>
            <w:szCs w:val="24"/>
          </w:rPr>
          <w:fldChar w:fldCharType="separate"/>
        </w:r>
        <w:r w:rsidR="00D90BFB">
          <w:rPr>
            <w:webHidden/>
            <w:sz w:val="24"/>
            <w:szCs w:val="24"/>
          </w:rPr>
          <w:t>13</w:t>
        </w:r>
        <w:r w:rsidR="006452C2" w:rsidRPr="006452C2">
          <w:rPr>
            <w:webHidden/>
            <w:sz w:val="24"/>
            <w:szCs w:val="24"/>
          </w:rPr>
          <w:fldChar w:fldCharType="end"/>
        </w:r>
      </w:hyperlink>
    </w:p>
    <w:p w14:paraId="70EAC24B" w14:textId="1EE7B1DD" w:rsidR="006452C2" w:rsidRPr="006452C2" w:rsidRDefault="003B338F">
      <w:pPr>
        <w:pStyle w:val="TOC1"/>
        <w:rPr>
          <w:rFonts w:asciiTheme="minorHAnsi" w:eastAsiaTheme="minorEastAsia" w:hAnsiTheme="minorHAnsi" w:cstheme="minorBidi"/>
          <w:b w:val="0"/>
          <w:sz w:val="24"/>
          <w:szCs w:val="24"/>
        </w:rPr>
      </w:pPr>
      <w:hyperlink w:anchor="_Toc435798902" w:history="1">
        <w:r w:rsidR="006452C2" w:rsidRPr="006452C2">
          <w:rPr>
            <w:rStyle w:val="Hyperlink"/>
            <w:rFonts w:eastAsia="Times New Roman"/>
            <w:bCs/>
            <w:kern w:val="32"/>
            <w:sz w:val="24"/>
            <w:szCs w:val="24"/>
            <w:lang w:val="en-CA"/>
          </w:rPr>
          <w:t>A.13</w:t>
        </w:r>
        <w:r w:rsidR="006452C2">
          <w:rPr>
            <w:rFonts w:asciiTheme="minorHAnsi" w:eastAsiaTheme="minorEastAsia" w:hAnsiTheme="minorHAnsi" w:cstheme="minorBidi"/>
            <w:b w:val="0"/>
            <w:sz w:val="24"/>
            <w:szCs w:val="24"/>
          </w:rPr>
          <w:t xml:space="preserve"> </w:t>
        </w:r>
        <w:r w:rsidR="006452C2" w:rsidRPr="006452C2">
          <w:rPr>
            <w:rStyle w:val="Hyperlink"/>
            <w:rFonts w:eastAsia="Times New Roman"/>
            <w:bCs/>
            <w:kern w:val="32"/>
            <w:sz w:val="24"/>
            <w:szCs w:val="24"/>
          </w:rPr>
          <w:t>Estimates of Other Total Annual Cost Burden to Respondents or Record Keepers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_Toc435798902 \h </w:instrText>
        </w:r>
        <w:r w:rsidR="006452C2" w:rsidRPr="006452C2">
          <w:rPr>
            <w:webHidden/>
            <w:sz w:val="24"/>
            <w:szCs w:val="24"/>
          </w:rPr>
        </w:r>
        <w:r w:rsidR="006452C2" w:rsidRPr="006452C2">
          <w:rPr>
            <w:webHidden/>
            <w:sz w:val="24"/>
            <w:szCs w:val="24"/>
          </w:rPr>
          <w:fldChar w:fldCharType="separate"/>
        </w:r>
        <w:r w:rsidR="00D90BFB">
          <w:rPr>
            <w:webHidden/>
            <w:sz w:val="24"/>
            <w:szCs w:val="24"/>
          </w:rPr>
          <w:t>15</w:t>
        </w:r>
        <w:r w:rsidR="006452C2" w:rsidRPr="006452C2">
          <w:rPr>
            <w:webHidden/>
            <w:sz w:val="24"/>
            <w:szCs w:val="24"/>
          </w:rPr>
          <w:fldChar w:fldCharType="end"/>
        </w:r>
      </w:hyperlink>
    </w:p>
    <w:p w14:paraId="792CAA2F" w14:textId="399F2668" w:rsidR="006452C2" w:rsidRPr="006452C2" w:rsidRDefault="003B338F">
      <w:pPr>
        <w:pStyle w:val="TOC1"/>
        <w:rPr>
          <w:rFonts w:asciiTheme="minorHAnsi" w:eastAsiaTheme="minorEastAsia" w:hAnsiTheme="minorHAnsi" w:cstheme="minorBidi"/>
          <w:b w:val="0"/>
          <w:sz w:val="24"/>
          <w:szCs w:val="24"/>
        </w:rPr>
      </w:pPr>
      <w:hyperlink w:anchor="_Toc435798903" w:history="1">
        <w:r w:rsidR="006452C2" w:rsidRPr="006452C2">
          <w:rPr>
            <w:rStyle w:val="Hyperlink"/>
            <w:sz w:val="24"/>
            <w:szCs w:val="24"/>
          </w:rPr>
          <w:t>A.14</w:t>
        </w:r>
        <w:r w:rsidR="006452C2">
          <w:rPr>
            <w:rFonts w:asciiTheme="minorHAnsi" w:eastAsiaTheme="minorEastAsia" w:hAnsiTheme="minorHAnsi" w:cstheme="minorBidi"/>
            <w:b w:val="0"/>
            <w:sz w:val="24"/>
            <w:szCs w:val="24"/>
          </w:rPr>
          <w:t xml:space="preserve"> </w:t>
        </w:r>
        <w:r w:rsidR="006452C2" w:rsidRPr="006452C2">
          <w:rPr>
            <w:rStyle w:val="Hyperlink"/>
            <w:sz w:val="24"/>
            <w:szCs w:val="24"/>
          </w:rPr>
          <w:t>Annualized Cost to the Government</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_Toc435798903 \h </w:instrText>
        </w:r>
        <w:r w:rsidR="006452C2" w:rsidRPr="006452C2">
          <w:rPr>
            <w:webHidden/>
            <w:sz w:val="24"/>
            <w:szCs w:val="24"/>
          </w:rPr>
        </w:r>
        <w:r w:rsidR="006452C2" w:rsidRPr="006452C2">
          <w:rPr>
            <w:webHidden/>
            <w:sz w:val="24"/>
            <w:szCs w:val="24"/>
          </w:rPr>
          <w:fldChar w:fldCharType="separate"/>
        </w:r>
        <w:r w:rsidR="00D90BFB">
          <w:rPr>
            <w:webHidden/>
            <w:sz w:val="24"/>
            <w:szCs w:val="24"/>
          </w:rPr>
          <w:t>15</w:t>
        </w:r>
        <w:r w:rsidR="006452C2" w:rsidRPr="006452C2">
          <w:rPr>
            <w:webHidden/>
            <w:sz w:val="24"/>
            <w:szCs w:val="24"/>
          </w:rPr>
          <w:fldChar w:fldCharType="end"/>
        </w:r>
      </w:hyperlink>
    </w:p>
    <w:p w14:paraId="4189BF7D" w14:textId="29912352" w:rsidR="006452C2" w:rsidRPr="006452C2" w:rsidRDefault="003B338F">
      <w:pPr>
        <w:pStyle w:val="TOC1"/>
        <w:rPr>
          <w:rFonts w:asciiTheme="minorHAnsi" w:eastAsiaTheme="minorEastAsia" w:hAnsiTheme="minorHAnsi" w:cstheme="minorBidi"/>
          <w:b w:val="0"/>
          <w:sz w:val="24"/>
          <w:szCs w:val="24"/>
        </w:rPr>
      </w:pPr>
      <w:hyperlink w:anchor="_Toc435798904" w:history="1">
        <w:r w:rsidR="006452C2" w:rsidRPr="006452C2">
          <w:rPr>
            <w:rStyle w:val="Hyperlink"/>
            <w:rFonts w:eastAsia="Times New Roman"/>
            <w:bCs/>
            <w:kern w:val="32"/>
            <w:sz w:val="24"/>
            <w:szCs w:val="24"/>
            <w:lang w:val="en-CA"/>
          </w:rPr>
          <w:t>A</w:t>
        </w:r>
        <w:r w:rsidR="006452C2" w:rsidRPr="006452C2">
          <w:rPr>
            <w:rStyle w:val="Hyperlink"/>
            <w:rFonts w:eastAsia="Times New Roman"/>
            <w:bCs/>
            <w:kern w:val="32"/>
            <w:sz w:val="24"/>
            <w:szCs w:val="24"/>
          </w:rPr>
          <w:t>.15</w:t>
        </w:r>
        <w:r w:rsidR="006452C2">
          <w:rPr>
            <w:rFonts w:asciiTheme="minorHAnsi" w:eastAsiaTheme="minorEastAsia" w:hAnsiTheme="minorHAnsi" w:cstheme="minorBidi"/>
            <w:b w:val="0"/>
            <w:sz w:val="24"/>
            <w:szCs w:val="24"/>
          </w:rPr>
          <w:t xml:space="preserve"> </w:t>
        </w:r>
        <w:r w:rsidR="006452C2" w:rsidRPr="006452C2">
          <w:rPr>
            <w:rStyle w:val="Hyperlink"/>
            <w:rFonts w:eastAsia="Times New Roman"/>
            <w:bCs/>
            <w:kern w:val="32"/>
            <w:sz w:val="24"/>
            <w:szCs w:val="24"/>
          </w:rPr>
          <w:t>Explanation for Program Changes or Adjustments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_Toc435798904 \h </w:instrText>
        </w:r>
        <w:r w:rsidR="006452C2" w:rsidRPr="006452C2">
          <w:rPr>
            <w:webHidden/>
            <w:sz w:val="24"/>
            <w:szCs w:val="24"/>
          </w:rPr>
        </w:r>
        <w:r w:rsidR="006452C2" w:rsidRPr="006452C2">
          <w:rPr>
            <w:webHidden/>
            <w:sz w:val="24"/>
            <w:szCs w:val="24"/>
          </w:rPr>
          <w:fldChar w:fldCharType="separate"/>
        </w:r>
        <w:r w:rsidR="00D90BFB">
          <w:rPr>
            <w:webHidden/>
            <w:sz w:val="24"/>
            <w:szCs w:val="24"/>
          </w:rPr>
          <w:t>16</w:t>
        </w:r>
        <w:r w:rsidR="006452C2" w:rsidRPr="006452C2">
          <w:rPr>
            <w:webHidden/>
            <w:sz w:val="24"/>
            <w:szCs w:val="24"/>
          </w:rPr>
          <w:fldChar w:fldCharType="end"/>
        </w:r>
      </w:hyperlink>
    </w:p>
    <w:p w14:paraId="5C840656" w14:textId="4004DBD4" w:rsidR="006452C2" w:rsidRPr="006452C2" w:rsidRDefault="003B338F" w:rsidP="006452C2">
      <w:pPr>
        <w:pStyle w:val="TOC2"/>
        <w:tabs>
          <w:tab w:val="left" w:pos="880"/>
          <w:tab w:val="right" w:leader="dot" w:pos="9350"/>
        </w:tabs>
        <w:ind w:left="0"/>
        <w:rPr>
          <w:rFonts w:eastAsiaTheme="minorEastAsia"/>
          <w:noProof/>
          <w:sz w:val="24"/>
          <w:szCs w:val="24"/>
        </w:rPr>
      </w:pPr>
      <w:hyperlink w:anchor="_Toc435798905" w:history="1">
        <w:r w:rsidR="006452C2" w:rsidRPr="006452C2">
          <w:rPr>
            <w:rStyle w:val="Hyperlink"/>
            <w:rFonts w:ascii="Calibri" w:hAnsi="Calibri" w:cs="Aparajita"/>
            <w:b/>
            <w:noProof/>
            <w:sz w:val="24"/>
            <w:szCs w:val="24"/>
          </w:rPr>
          <w:t>A.16</w:t>
        </w:r>
        <w:r w:rsidR="006452C2" w:rsidRPr="006452C2">
          <w:rPr>
            <w:rFonts w:eastAsiaTheme="minorEastAsia"/>
            <w:noProof/>
            <w:sz w:val="24"/>
            <w:szCs w:val="24"/>
          </w:rPr>
          <w:t xml:space="preserve"> </w:t>
        </w:r>
        <w:r w:rsidR="006452C2" w:rsidRPr="006452C2">
          <w:rPr>
            <w:rStyle w:val="Hyperlink"/>
            <w:rFonts w:ascii="Calibri" w:hAnsi="Calibri" w:cs="Aparajita"/>
            <w:b/>
            <w:noProof/>
            <w:sz w:val="24"/>
            <w:szCs w:val="24"/>
          </w:rPr>
          <w:t>Plans for Tabulation and Publication and Project Time Schedule</w:t>
        </w:r>
        <w:r w:rsidR="006452C2" w:rsidRPr="006452C2">
          <w:rPr>
            <w:noProof/>
            <w:webHidden/>
            <w:sz w:val="24"/>
            <w:szCs w:val="24"/>
          </w:rPr>
          <w:tab/>
        </w:r>
        <w:r w:rsidR="006452C2" w:rsidRPr="006452C2">
          <w:rPr>
            <w:noProof/>
            <w:webHidden/>
            <w:sz w:val="24"/>
            <w:szCs w:val="24"/>
          </w:rPr>
          <w:fldChar w:fldCharType="begin"/>
        </w:r>
        <w:r w:rsidR="006452C2" w:rsidRPr="006452C2">
          <w:rPr>
            <w:noProof/>
            <w:webHidden/>
            <w:sz w:val="24"/>
            <w:szCs w:val="24"/>
          </w:rPr>
          <w:instrText xml:space="preserve"> PAGEREF _Toc435798905 \h </w:instrText>
        </w:r>
        <w:r w:rsidR="006452C2" w:rsidRPr="006452C2">
          <w:rPr>
            <w:noProof/>
            <w:webHidden/>
            <w:sz w:val="24"/>
            <w:szCs w:val="24"/>
          </w:rPr>
        </w:r>
        <w:r w:rsidR="006452C2" w:rsidRPr="006452C2">
          <w:rPr>
            <w:noProof/>
            <w:webHidden/>
            <w:sz w:val="24"/>
            <w:szCs w:val="24"/>
          </w:rPr>
          <w:fldChar w:fldCharType="separate"/>
        </w:r>
        <w:r w:rsidR="00D90BFB">
          <w:rPr>
            <w:noProof/>
            <w:webHidden/>
            <w:sz w:val="24"/>
            <w:szCs w:val="24"/>
          </w:rPr>
          <w:t>16</w:t>
        </w:r>
        <w:r w:rsidR="006452C2" w:rsidRPr="006452C2">
          <w:rPr>
            <w:noProof/>
            <w:webHidden/>
            <w:sz w:val="24"/>
            <w:szCs w:val="24"/>
          </w:rPr>
          <w:fldChar w:fldCharType="end"/>
        </w:r>
      </w:hyperlink>
    </w:p>
    <w:p w14:paraId="4FF3E89C" w14:textId="15722218" w:rsidR="006452C2" w:rsidRPr="006452C2" w:rsidRDefault="003B338F">
      <w:pPr>
        <w:pStyle w:val="TOC1"/>
        <w:rPr>
          <w:rFonts w:asciiTheme="minorHAnsi" w:eastAsiaTheme="minorEastAsia" w:hAnsiTheme="minorHAnsi" w:cstheme="minorBidi"/>
          <w:b w:val="0"/>
          <w:sz w:val="24"/>
          <w:szCs w:val="24"/>
        </w:rPr>
      </w:pPr>
      <w:hyperlink w:anchor="_Toc435798906" w:history="1">
        <w:r w:rsidR="006452C2" w:rsidRPr="006452C2">
          <w:rPr>
            <w:rStyle w:val="Hyperlink"/>
            <w:rFonts w:eastAsia="Times New Roman"/>
            <w:bCs/>
            <w:kern w:val="32"/>
            <w:sz w:val="24"/>
            <w:szCs w:val="24"/>
            <w:lang w:val="en-CA"/>
          </w:rPr>
          <w:t>A</w:t>
        </w:r>
        <w:r w:rsidR="006452C2">
          <w:rPr>
            <w:rStyle w:val="Hyperlink"/>
            <w:rFonts w:eastAsia="Times New Roman"/>
            <w:bCs/>
            <w:kern w:val="32"/>
            <w:sz w:val="24"/>
            <w:szCs w:val="24"/>
          </w:rPr>
          <w:t xml:space="preserve">.17 </w:t>
        </w:r>
        <w:r w:rsidR="006452C2" w:rsidRPr="006452C2">
          <w:rPr>
            <w:rStyle w:val="Hyperlink"/>
            <w:rFonts w:eastAsia="Times New Roman"/>
            <w:bCs/>
            <w:kern w:val="32"/>
            <w:sz w:val="24"/>
            <w:szCs w:val="24"/>
          </w:rPr>
          <w:t>Reason(s) Display of OMB Expiration Date is Inappropriate</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_Toc435798906 \h </w:instrText>
        </w:r>
        <w:r w:rsidR="006452C2" w:rsidRPr="006452C2">
          <w:rPr>
            <w:webHidden/>
            <w:sz w:val="24"/>
            <w:szCs w:val="24"/>
          </w:rPr>
        </w:r>
        <w:r w:rsidR="006452C2" w:rsidRPr="006452C2">
          <w:rPr>
            <w:webHidden/>
            <w:sz w:val="24"/>
            <w:szCs w:val="24"/>
          </w:rPr>
          <w:fldChar w:fldCharType="separate"/>
        </w:r>
        <w:r w:rsidR="00D90BFB">
          <w:rPr>
            <w:webHidden/>
            <w:sz w:val="24"/>
            <w:szCs w:val="24"/>
          </w:rPr>
          <w:t>17</w:t>
        </w:r>
        <w:r w:rsidR="006452C2" w:rsidRPr="006452C2">
          <w:rPr>
            <w:webHidden/>
            <w:sz w:val="24"/>
            <w:szCs w:val="24"/>
          </w:rPr>
          <w:fldChar w:fldCharType="end"/>
        </w:r>
      </w:hyperlink>
    </w:p>
    <w:p w14:paraId="5B2F7A91" w14:textId="5692B089" w:rsidR="006452C2" w:rsidRPr="006452C2" w:rsidRDefault="003B338F">
      <w:pPr>
        <w:pStyle w:val="TOC1"/>
        <w:rPr>
          <w:rFonts w:asciiTheme="minorHAnsi" w:eastAsiaTheme="minorEastAsia" w:hAnsiTheme="minorHAnsi" w:cstheme="minorBidi"/>
          <w:b w:val="0"/>
          <w:sz w:val="24"/>
          <w:szCs w:val="24"/>
        </w:rPr>
      </w:pPr>
      <w:hyperlink w:anchor="_Toc435798907" w:history="1">
        <w:r w:rsidR="006452C2">
          <w:rPr>
            <w:rStyle w:val="Hyperlink"/>
            <w:rFonts w:eastAsia="Times New Roman"/>
            <w:bCs/>
            <w:kern w:val="32"/>
            <w:sz w:val="24"/>
            <w:szCs w:val="24"/>
          </w:rPr>
          <w:t xml:space="preserve">A.18 </w:t>
        </w:r>
        <w:r w:rsidR="006452C2" w:rsidRPr="006452C2">
          <w:rPr>
            <w:rStyle w:val="Hyperlink"/>
            <w:rFonts w:eastAsia="Times New Roman"/>
            <w:bCs/>
            <w:kern w:val="32"/>
            <w:sz w:val="24"/>
            <w:szCs w:val="24"/>
          </w:rPr>
          <w:t>Exceptions to Certification for Paperwork Reduction Act Submissions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_Toc435798907 \h </w:instrText>
        </w:r>
        <w:r w:rsidR="006452C2" w:rsidRPr="006452C2">
          <w:rPr>
            <w:webHidden/>
            <w:sz w:val="24"/>
            <w:szCs w:val="24"/>
          </w:rPr>
        </w:r>
        <w:r w:rsidR="006452C2" w:rsidRPr="006452C2">
          <w:rPr>
            <w:webHidden/>
            <w:sz w:val="24"/>
            <w:szCs w:val="24"/>
          </w:rPr>
          <w:fldChar w:fldCharType="separate"/>
        </w:r>
        <w:r w:rsidR="00D90BFB">
          <w:rPr>
            <w:webHidden/>
            <w:sz w:val="24"/>
            <w:szCs w:val="24"/>
          </w:rPr>
          <w:t>18</w:t>
        </w:r>
        <w:r w:rsidR="006452C2" w:rsidRPr="006452C2">
          <w:rPr>
            <w:webHidden/>
            <w:sz w:val="24"/>
            <w:szCs w:val="24"/>
          </w:rPr>
          <w:fldChar w:fldCharType="end"/>
        </w:r>
      </w:hyperlink>
    </w:p>
    <w:p w14:paraId="477DFAF8" w14:textId="548B4BFD" w:rsidR="006452C2" w:rsidRPr="006452C2" w:rsidRDefault="003B338F">
      <w:pPr>
        <w:pStyle w:val="TOC1"/>
        <w:rPr>
          <w:rFonts w:asciiTheme="minorHAnsi" w:eastAsiaTheme="minorEastAsia" w:hAnsiTheme="minorHAnsi" w:cstheme="minorBidi"/>
          <w:b w:val="0"/>
          <w:sz w:val="24"/>
          <w:szCs w:val="24"/>
        </w:rPr>
      </w:pPr>
      <w:hyperlink w:anchor="_Toc435798908" w:history="1">
        <w:r w:rsidR="006452C2" w:rsidRPr="006452C2">
          <w:rPr>
            <w:rStyle w:val="Hyperlink"/>
            <w:rFonts w:eastAsia="Times New Roman"/>
            <w:bCs/>
            <w:kern w:val="32"/>
            <w:sz w:val="24"/>
            <w:szCs w:val="24"/>
          </w:rPr>
          <w:t>References</w:t>
        </w:r>
        <w:r w:rsidR="006452C2" w:rsidRPr="006452C2">
          <w:rPr>
            <w:webHidden/>
            <w:sz w:val="24"/>
            <w:szCs w:val="24"/>
          </w:rPr>
          <w:tab/>
        </w:r>
        <w:r w:rsidR="006452C2" w:rsidRPr="006452C2">
          <w:rPr>
            <w:webHidden/>
            <w:sz w:val="24"/>
            <w:szCs w:val="24"/>
          </w:rPr>
          <w:fldChar w:fldCharType="begin"/>
        </w:r>
        <w:r w:rsidR="006452C2" w:rsidRPr="006452C2">
          <w:rPr>
            <w:webHidden/>
            <w:sz w:val="24"/>
            <w:szCs w:val="24"/>
          </w:rPr>
          <w:instrText xml:space="preserve"> PAGEREF _Toc435798908 \h </w:instrText>
        </w:r>
        <w:r w:rsidR="006452C2" w:rsidRPr="006452C2">
          <w:rPr>
            <w:webHidden/>
            <w:sz w:val="24"/>
            <w:szCs w:val="24"/>
          </w:rPr>
        </w:r>
        <w:r w:rsidR="006452C2" w:rsidRPr="006452C2">
          <w:rPr>
            <w:webHidden/>
            <w:sz w:val="24"/>
            <w:szCs w:val="24"/>
          </w:rPr>
          <w:fldChar w:fldCharType="separate"/>
        </w:r>
        <w:r w:rsidR="00D90BFB">
          <w:rPr>
            <w:webHidden/>
            <w:sz w:val="24"/>
            <w:szCs w:val="24"/>
          </w:rPr>
          <w:t>19</w:t>
        </w:r>
        <w:r w:rsidR="006452C2" w:rsidRPr="006452C2">
          <w:rPr>
            <w:webHidden/>
            <w:sz w:val="24"/>
            <w:szCs w:val="24"/>
          </w:rPr>
          <w:fldChar w:fldCharType="end"/>
        </w:r>
      </w:hyperlink>
    </w:p>
    <w:p w14:paraId="4711E452" w14:textId="2FC130C8" w:rsidR="008210B2" w:rsidRPr="00CC46A6" w:rsidRDefault="003716E1" w:rsidP="003716E1">
      <w:pPr>
        <w:autoSpaceDE w:val="0"/>
        <w:autoSpaceDN w:val="0"/>
        <w:adjustRightInd w:val="0"/>
        <w:spacing w:after="0" w:line="240" w:lineRule="auto"/>
        <w:rPr>
          <w:b/>
          <w:sz w:val="24"/>
        </w:rPr>
      </w:pPr>
      <w:r w:rsidRPr="006452C2">
        <w:rPr>
          <w:rFonts w:eastAsia="Times New Roman" w:cs="Times New Roman"/>
          <w:bCs/>
          <w:noProof/>
          <w:sz w:val="24"/>
          <w:szCs w:val="24"/>
        </w:rPr>
        <w:fldChar w:fldCharType="end"/>
      </w:r>
    </w:p>
    <w:p w14:paraId="2179444C" w14:textId="77777777" w:rsidR="008210B2" w:rsidRDefault="008210B2">
      <w:pPr>
        <w:rPr>
          <w:rFonts w:eastAsia="Times New Roman" w:cs="Times New Roman"/>
          <w:b/>
          <w:bCs/>
          <w:sz w:val="24"/>
          <w:szCs w:val="24"/>
        </w:rPr>
      </w:pPr>
      <w:r>
        <w:rPr>
          <w:rFonts w:eastAsia="Times New Roman" w:cs="Times New Roman"/>
          <w:b/>
          <w:bCs/>
          <w:sz w:val="24"/>
          <w:szCs w:val="24"/>
        </w:rPr>
        <w:br w:type="page"/>
      </w:r>
    </w:p>
    <w:p w14:paraId="29E24833" w14:textId="77777777" w:rsidR="003716E1" w:rsidRPr="006452C2" w:rsidRDefault="003716E1" w:rsidP="003716E1">
      <w:pPr>
        <w:autoSpaceDE w:val="0"/>
        <w:autoSpaceDN w:val="0"/>
        <w:adjustRightInd w:val="0"/>
        <w:spacing w:after="0" w:line="240" w:lineRule="auto"/>
        <w:rPr>
          <w:rFonts w:eastAsia="Times New Roman" w:cs="Times New Roman"/>
          <w:b/>
          <w:bCs/>
          <w:sz w:val="24"/>
          <w:szCs w:val="24"/>
        </w:rPr>
      </w:pPr>
      <w:r w:rsidRPr="006452C2">
        <w:rPr>
          <w:rFonts w:eastAsia="Times New Roman" w:cs="Times New Roman"/>
          <w:b/>
          <w:bCs/>
          <w:sz w:val="24"/>
          <w:szCs w:val="24"/>
        </w:rPr>
        <w:lastRenderedPageBreak/>
        <w:t>Attachments</w:t>
      </w:r>
    </w:p>
    <w:p w14:paraId="68F8A6AA" w14:textId="77777777" w:rsidR="003716E1" w:rsidRPr="006452C2" w:rsidRDefault="003716E1" w:rsidP="003716E1">
      <w:pPr>
        <w:autoSpaceDE w:val="0"/>
        <w:autoSpaceDN w:val="0"/>
        <w:adjustRightInd w:val="0"/>
        <w:spacing w:after="0" w:line="240" w:lineRule="auto"/>
        <w:rPr>
          <w:rFonts w:eastAsia="Times New Roman" w:cs="Times New Roman"/>
          <w:sz w:val="24"/>
          <w:szCs w:val="24"/>
        </w:rPr>
      </w:pPr>
    </w:p>
    <w:p w14:paraId="261EB54E" w14:textId="77777777"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A</w:t>
      </w:r>
      <w:r w:rsidRPr="006452C2">
        <w:rPr>
          <w:rFonts w:eastAsia="Times New Roman" w:cs="Times New Roman"/>
          <w:sz w:val="24"/>
          <w:szCs w:val="24"/>
        </w:rPr>
        <w:tab/>
        <w:t>Federal Mine Safety and Health Act of 1977 - Section 501</w:t>
      </w:r>
    </w:p>
    <w:p w14:paraId="031E3A3F" w14:textId="77777777"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 xml:space="preserve">Attachment B </w:t>
      </w:r>
      <w:r w:rsidRPr="006452C2">
        <w:rPr>
          <w:rFonts w:eastAsia="Times New Roman" w:cs="Times New Roman"/>
          <w:sz w:val="24"/>
          <w:szCs w:val="24"/>
        </w:rPr>
        <w:tab/>
        <w:t>60-day Federal Register Notice</w:t>
      </w:r>
    </w:p>
    <w:p w14:paraId="39AD2C3F" w14:textId="77777777"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C</w:t>
      </w:r>
      <w:r w:rsidRPr="006452C2">
        <w:rPr>
          <w:rFonts w:eastAsia="Times New Roman" w:cs="Times New Roman"/>
          <w:sz w:val="24"/>
          <w:szCs w:val="24"/>
        </w:rPr>
        <w:tab/>
        <w:t>MSHA Form 7000-2 (Quarterly Mine Employment and Coal Production Report)</w:t>
      </w:r>
    </w:p>
    <w:p w14:paraId="438750EB" w14:textId="04B440A6"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D</w:t>
      </w:r>
      <w:r w:rsidRPr="006452C2">
        <w:rPr>
          <w:rFonts w:eastAsia="Times New Roman" w:cs="Times New Roman"/>
          <w:sz w:val="24"/>
          <w:szCs w:val="24"/>
        </w:rPr>
        <w:tab/>
      </w:r>
      <w:r w:rsidR="00106237">
        <w:rPr>
          <w:rFonts w:eastAsia="Times New Roman" w:cs="Times New Roman"/>
          <w:sz w:val="24"/>
          <w:szCs w:val="24"/>
        </w:rPr>
        <w:t>Mining Industry and Workforce Survey</w:t>
      </w:r>
    </w:p>
    <w:p w14:paraId="393824A8" w14:textId="0C6F249D" w:rsidR="003716E1" w:rsidRPr="006452C2" w:rsidRDefault="00106237"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Pr>
          <w:rFonts w:eastAsia="Times New Roman" w:cs="Times New Roman"/>
          <w:sz w:val="24"/>
          <w:szCs w:val="24"/>
        </w:rPr>
        <w:tab/>
        <w:t>Attachment E</w:t>
      </w:r>
      <w:r>
        <w:rPr>
          <w:rFonts w:eastAsia="Times New Roman" w:cs="Times New Roman"/>
          <w:sz w:val="24"/>
          <w:szCs w:val="24"/>
        </w:rPr>
        <w:tab/>
      </w:r>
      <w:r w:rsidRPr="006452C2">
        <w:rPr>
          <w:rFonts w:eastAsia="Times New Roman" w:cs="Times New Roman"/>
          <w:sz w:val="24"/>
          <w:szCs w:val="24"/>
        </w:rPr>
        <w:t>MSHA Form 7000-1 (Mine Accident, Injury and Illness Report)</w:t>
      </w:r>
    </w:p>
    <w:p w14:paraId="39E32057" w14:textId="1E6EC5BE"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b/>
          <w:bCs/>
          <w:sz w:val="24"/>
          <w:szCs w:val="24"/>
        </w:rPr>
      </w:pPr>
      <w:r w:rsidRPr="006452C2">
        <w:rPr>
          <w:rFonts w:eastAsia="Times New Roman" w:cs="Times New Roman"/>
          <w:sz w:val="24"/>
          <w:szCs w:val="24"/>
        </w:rPr>
        <w:tab/>
        <w:t>Attachment F</w:t>
      </w:r>
      <w:r w:rsidRPr="006452C2">
        <w:rPr>
          <w:rFonts w:eastAsia="Times New Roman" w:cs="Times New Roman"/>
          <w:sz w:val="24"/>
          <w:szCs w:val="24"/>
        </w:rPr>
        <w:tab/>
        <w:t>Web Survey Screen Shots</w:t>
      </w:r>
    </w:p>
    <w:p w14:paraId="595C853E" w14:textId="2853F503" w:rsidR="003716E1" w:rsidRPr="006452C2" w:rsidRDefault="003716E1"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w:t>
      </w:r>
      <w:r w:rsidR="00584AC2">
        <w:rPr>
          <w:rFonts w:eastAsia="Times New Roman" w:cs="Times New Roman"/>
          <w:sz w:val="24"/>
          <w:szCs w:val="24"/>
        </w:rPr>
        <w:t>ment G</w:t>
      </w:r>
      <w:r w:rsidR="00584AC2">
        <w:rPr>
          <w:rFonts w:eastAsia="Times New Roman" w:cs="Times New Roman"/>
          <w:sz w:val="24"/>
          <w:szCs w:val="24"/>
        </w:rPr>
        <w:tab/>
      </w:r>
      <w:r w:rsidR="00650A45">
        <w:rPr>
          <w:rFonts w:eastAsia="Times New Roman" w:cs="Times New Roman"/>
          <w:sz w:val="24"/>
          <w:szCs w:val="24"/>
        </w:rPr>
        <w:t>Mining Sector-Specific Sampling Plans</w:t>
      </w:r>
    </w:p>
    <w:p w14:paraId="4D707AFB" w14:textId="7035D752" w:rsidR="00F22890" w:rsidRPr="000273E7" w:rsidRDefault="003716E1" w:rsidP="000273E7">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r w:rsidRPr="006452C2">
        <w:rPr>
          <w:rFonts w:eastAsia="Times New Roman" w:cs="Times New Roman"/>
          <w:sz w:val="24"/>
          <w:szCs w:val="24"/>
        </w:rPr>
        <w:tab/>
        <w:t>Attachment H</w:t>
      </w:r>
      <w:r w:rsidRPr="006452C2">
        <w:rPr>
          <w:rFonts w:eastAsia="Times New Roman" w:cs="Times New Roman"/>
          <w:sz w:val="24"/>
          <w:szCs w:val="24"/>
        </w:rPr>
        <w:tab/>
      </w:r>
      <w:r w:rsidR="00D04884">
        <w:rPr>
          <w:rFonts w:eastAsia="Times New Roman" w:cs="Times New Roman"/>
          <w:sz w:val="24"/>
          <w:szCs w:val="24"/>
        </w:rPr>
        <w:t>Contractor Confidentiality Agreement</w:t>
      </w:r>
    </w:p>
    <w:p w14:paraId="6F2AD8C1" w14:textId="3A83F8B8" w:rsidR="00F22890" w:rsidRPr="00EE78CB" w:rsidRDefault="000273E7" w:rsidP="00F22890">
      <w:pPr>
        <w:spacing w:after="0" w:line="240" w:lineRule="auto"/>
        <w:ind w:firstLine="720"/>
        <w:rPr>
          <w:sz w:val="24"/>
          <w:szCs w:val="24"/>
        </w:rPr>
      </w:pPr>
      <w:r>
        <w:rPr>
          <w:sz w:val="24"/>
          <w:szCs w:val="24"/>
        </w:rPr>
        <w:t>Attachment I</w:t>
      </w:r>
      <w:r w:rsidR="00D04884">
        <w:rPr>
          <w:sz w:val="24"/>
          <w:szCs w:val="24"/>
        </w:rPr>
        <w:tab/>
      </w:r>
      <w:r w:rsidR="009A515E" w:rsidRPr="006452C2">
        <w:rPr>
          <w:rFonts w:eastAsia="Times New Roman" w:cs="Times New Roman"/>
          <w:sz w:val="24"/>
          <w:szCs w:val="24"/>
        </w:rPr>
        <w:t>NIOSH IRB Research/Non-Research Determination</w:t>
      </w:r>
    </w:p>
    <w:p w14:paraId="59CA61B1" w14:textId="56A152D0" w:rsidR="00F22890" w:rsidRPr="00EE78CB" w:rsidRDefault="000273E7" w:rsidP="00F22890">
      <w:pPr>
        <w:spacing w:after="0" w:line="240" w:lineRule="auto"/>
        <w:ind w:firstLine="720"/>
        <w:rPr>
          <w:sz w:val="24"/>
          <w:szCs w:val="24"/>
        </w:rPr>
      </w:pPr>
      <w:r>
        <w:rPr>
          <w:sz w:val="24"/>
          <w:szCs w:val="24"/>
        </w:rPr>
        <w:t>Attachment J</w:t>
      </w:r>
      <w:r w:rsidR="00F22890">
        <w:rPr>
          <w:sz w:val="24"/>
          <w:szCs w:val="24"/>
        </w:rPr>
        <w:tab/>
      </w:r>
      <w:r w:rsidR="00A837EE">
        <w:rPr>
          <w:sz w:val="24"/>
          <w:szCs w:val="24"/>
        </w:rPr>
        <w:t>Telephone / Refusal Conversion Scripts</w:t>
      </w:r>
      <w:r w:rsidR="00F22890" w:rsidRPr="00EE78CB">
        <w:rPr>
          <w:sz w:val="24"/>
          <w:szCs w:val="24"/>
        </w:rPr>
        <w:t xml:space="preserve">  </w:t>
      </w:r>
    </w:p>
    <w:p w14:paraId="4412ADA0" w14:textId="7B5369E3" w:rsidR="00F22890" w:rsidRDefault="000273E7" w:rsidP="00F22890">
      <w:pPr>
        <w:spacing w:after="0" w:line="240" w:lineRule="auto"/>
        <w:ind w:firstLine="720"/>
        <w:rPr>
          <w:sz w:val="24"/>
          <w:szCs w:val="24"/>
        </w:rPr>
      </w:pPr>
      <w:r>
        <w:rPr>
          <w:sz w:val="24"/>
          <w:szCs w:val="24"/>
        </w:rPr>
        <w:t>Attachment K</w:t>
      </w:r>
      <w:r w:rsidR="00F22890">
        <w:rPr>
          <w:sz w:val="24"/>
          <w:szCs w:val="24"/>
        </w:rPr>
        <w:tab/>
      </w:r>
      <w:r w:rsidR="00A837EE">
        <w:rPr>
          <w:sz w:val="24"/>
          <w:szCs w:val="24"/>
        </w:rPr>
        <w:t>Nonresponse Survey</w:t>
      </w:r>
      <w:r w:rsidR="00F22890" w:rsidRPr="00EE78CB">
        <w:rPr>
          <w:sz w:val="24"/>
          <w:szCs w:val="24"/>
        </w:rPr>
        <w:t xml:space="preserve"> </w:t>
      </w:r>
    </w:p>
    <w:p w14:paraId="1B9BA34D" w14:textId="32C820D7" w:rsidR="00F22890" w:rsidRPr="00745500" w:rsidRDefault="000273E7" w:rsidP="00F22890">
      <w:pPr>
        <w:spacing w:after="0" w:line="240" w:lineRule="auto"/>
        <w:ind w:firstLine="720"/>
        <w:rPr>
          <w:sz w:val="24"/>
          <w:szCs w:val="24"/>
        </w:rPr>
      </w:pPr>
      <w:r w:rsidRPr="00745500">
        <w:rPr>
          <w:sz w:val="24"/>
          <w:szCs w:val="24"/>
        </w:rPr>
        <w:t>Attachment L</w:t>
      </w:r>
      <w:r w:rsidR="00F22890" w:rsidRPr="00745500">
        <w:rPr>
          <w:sz w:val="24"/>
          <w:szCs w:val="24"/>
        </w:rPr>
        <w:tab/>
      </w:r>
      <w:r w:rsidR="007148EA" w:rsidRPr="00745500">
        <w:rPr>
          <w:sz w:val="24"/>
          <w:szCs w:val="24"/>
        </w:rPr>
        <w:t>Pre-Survey Notification Letter</w:t>
      </w:r>
    </w:p>
    <w:p w14:paraId="3CD48216" w14:textId="260BCE4D" w:rsidR="00F22890" w:rsidRPr="00745500" w:rsidRDefault="000273E7" w:rsidP="00F22890">
      <w:pPr>
        <w:spacing w:after="0" w:line="240" w:lineRule="auto"/>
        <w:ind w:firstLine="720"/>
        <w:rPr>
          <w:sz w:val="24"/>
          <w:szCs w:val="24"/>
        </w:rPr>
      </w:pPr>
      <w:r w:rsidRPr="00745500">
        <w:rPr>
          <w:sz w:val="24"/>
          <w:szCs w:val="24"/>
        </w:rPr>
        <w:t>Attachment M</w:t>
      </w:r>
      <w:r w:rsidR="00F22890" w:rsidRPr="00745500">
        <w:rPr>
          <w:sz w:val="24"/>
          <w:szCs w:val="24"/>
        </w:rPr>
        <w:tab/>
      </w:r>
      <w:r w:rsidR="001E4B03" w:rsidRPr="00745500">
        <w:rPr>
          <w:sz w:val="24"/>
          <w:szCs w:val="24"/>
        </w:rPr>
        <w:t>Cover Letter</w:t>
      </w:r>
    </w:p>
    <w:p w14:paraId="3F8F59EA" w14:textId="2DF61ED7" w:rsidR="00F22890" w:rsidRPr="00745500" w:rsidRDefault="000273E7" w:rsidP="00F22890">
      <w:pPr>
        <w:spacing w:after="0" w:line="240" w:lineRule="auto"/>
        <w:ind w:firstLine="720"/>
        <w:rPr>
          <w:sz w:val="24"/>
          <w:szCs w:val="24"/>
        </w:rPr>
      </w:pPr>
      <w:r w:rsidRPr="00745500">
        <w:rPr>
          <w:sz w:val="24"/>
          <w:szCs w:val="24"/>
        </w:rPr>
        <w:t xml:space="preserve">Attachment N </w:t>
      </w:r>
      <w:r w:rsidR="001E4B03" w:rsidRPr="00745500">
        <w:rPr>
          <w:sz w:val="24"/>
          <w:szCs w:val="24"/>
        </w:rPr>
        <w:t>Directions for Accessing Internet Survey</w:t>
      </w:r>
    </w:p>
    <w:p w14:paraId="79792A44" w14:textId="5609E0CA" w:rsidR="00F22890" w:rsidRPr="00745500" w:rsidRDefault="000273E7" w:rsidP="00F22890">
      <w:pPr>
        <w:spacing w:after="0" w:line="240" w:lineRule="auto"/>
        <w:ind w:firstLine="720"/>
        <w:rPr>
          <w:sz w:val="24"/>
          <w:szCs w:val="24"/>
        </w:rPr>
      </w:pPr>
      <w:r w:rsidRPr="00745500">
        <w:rPr>
          <w:sz w:val="24"/>
          <w:szCs w:val="24"/>
        </w:rPr>
        <w:t>Attachment O</w:t>
      </w:r>
      <w:r w:rsidR="00F22890" w:rsidRPr="00745500">
        <w:rPr>
          <w:sz w:val="24"/>
          <w:szCs w:val="24"/>
        </w:rPr>
        <w:tab/>
      </w:r>
      <w:r w:rsidR="001E4B03" w:rsidRPr="00745500">
        <w:rPr>
          <w:sz w:val="24"/>
          <w:szCs w:val="24"/>
        </w:rPr>
        <w:t>Questions &amp; Answers Brochure</w:t>
      </w:r>
    </w:p>
    <w:p w14:paraId="38575EC0" w14:textId="5401988C" w:rsidR="00F22890" w:rsidRPr="00745500" w:rsidRDefault="000273E7" w:rsidP="00F22890">
      <w:pPr>
        <w:spacing w:after="0" w:line="240" w:lineRule="auto"/>
        <w:ind w:firstLine="720"/>
        <w:rPr>
          <w:sz w:val="24"/>
          <w:szCs w:val="24"/>
        </w:rPr>
      </w:pPr>
      <w:r w:rsidRPr="00745500">
        <w:rPr>
          <w:sz w:val="24"/>
          <w:szCs w:val="24"/>
        </w:rPr>
        <w:t>Attachment P</w:t>
      </w:r>
      <w:r w:rsidR="00F22890" w:rsidRPr="00745500">
        <w:rPr>
          <w:sz w:val="24"/>
          <w:szCs w:val="24"/>
        </w:rPr>
        <w:tab/>
      </w:r>
      <w:r w:rsidR="001E4B03" w:rsidRPr="00745500">
        <w:rPr>
          <w:sz w:val="24"/>
          <w:szCs w:val="24"/>
        </w:rPr>
        <w:t>Thank You / Reminder Postcard</w:t>
      </w:r>
    </w:p>
    <w:p w14:paraId="0ADAC2E5" w14:textId="076D54AD" w:rsidR="00F22890" w:rsidRPr="00745500" w:rsidRDefault="000273E7" w:rsidP="00F22890">
      <w:pPr>
        <w:spacing w:after="0" w:line="240" w:lineRule="auto"/>
        <w:ind w:firstLine="720"/>
        <w:rPr>
          <w:sz w:val="24"/>
          <w:szCs w:val="24"/>
        </w:rPr>
      </w:pPr>
      <w:r w:rsidRPr="00745500">
        <w:rPr>
          <w:sz w:val="24"/>
          <w:szCs w:val="24"/>
        </w:rPr>
        <w:t>Attachment Q</w:t>
      </w:r>
      <w:r w:rsidR="00F22890" w:rsidRPr="00745500">
        <w:rPr>
          <w:sz w:val="24"/>
          <w:szCs w:val="24"/>
        </w:rPr>
        <w:tab/>
      </w:r>
      <w:r w:rsidR="001E4B03" w:rsidRPr="00745500">
        <w:rPr>
          <w:sz w:val="24"/>
          <w:szCs w:val="24"/>
        </w:rPr>
        <w:t xml:space="preserve">Thank You </w:t>
      </w:r>
      <w:r w:rsidR="00A837EE" w:rsidRPr="00745500">
        <w:rPr>
          <w:sz w:val="24"/>
          <w:szCs w:val="24"/>
        </w:rPr>
        <w:t>Letter</w:t>
      </w:r>
    </w:p>
    <w:p w14:paraId="05738830" w14:textId="08562441" w:rsidR="00F22890" w:rsidRPr="00745500" w:rsidRDefault="000273E7" w:rsidP="00F22890">
      <w:pPr>
        <w:spacing w:after="0" w:line="240" w:lineRule="auto"/>
        <w:ind w:firstLine="720"/>
        <w:rPr>
          <w:sz w:val="24"/>
          <w:szCs w:val="24"/>
        </w:rPr>
      </w:pPr>
      <w:r w:rsidRPr="00745500">
        <w:rPr>
          <w:sz w:val="24"/>
          <w:szCs w:val="24"/>
        </w:rPr>
        <w:t>Attachment R</w:t>
      </w:r>
      <w:r w:rsidR="00F22890" w:rsidRPr="00745500">
        <w:rPr>
          <w:sz w:val="24"/>
          <w:szCs w:val="24"/>
        </w:rPr>
        <w:tab/>
      </w:r>
      <w:r w:rsidR="001E4B03" w:rsidRPr="00745500">
        <w:rPr>
          <w:sz w:val="24"/>
          <w:szCs w:val="24"/>
        </w:rPr>
        <w:t>Certificate of Appreciation</w:t>
      </w:r>
    </w:p>
    <w:p w14:paraId="78FC9214" w14:textId="1D597905" w:rsidR="001811FC" w:rsidRPr="00EE78CB" w:rsidRDefault="000273E7" w:rsidP="00745500">
      <w:pPr>
        <w:spacing w:after="0" w:line="240" w:lineRule="auto"/>
        <w:ind w:firstLine="720"/>
        <w:rPr>
          <w:sz w:val="24"/>
          <w:szCs w:val="24"/>
        </w:rPr>
      </w:pPr>
      <w:r w:rsidRPr="00745500">
        <w:rPr>
          <w:sz w:val="24"/>
          <w:szCs w:val="24"/>
        </w:rPr>
        <w:t>Attachment S</w:t>
      </w:r>
      <w:r w:rsidR="00F22890" w:rsidRPr="00745500">
        <w:rPr>
          <w:sz w:val="24"/>
          <w:szCs w:val="24"/>
        </w:rPr>
        <w:tab/>
      </w:r>
      <w:r w:rsidR="001E4B03" w:rsidRPr="00745500">
        <w:rPr>
          <w:sz w:val="24"/>
          <w:szCs w:val="24"/>
        </w:rPr>
        <w:t>Letter to Explain for Non-Response Survey</w:t>
      </w:r>
    </w:p>
    <w:p w14:paraId="6F8AC83F" w14:textId="77777777" w:rsidR="00F22890" w:rsidRPr="006452C2" w:rsidRDefault="00F22890" w:rsidP="003716E1">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4"/>
          <w:szCs w:val="24"/>
        </w:rPr>
      </w:pPr>
    </w:p>
    <w:p w14:paraId="3A3116B1" w14:textId="77777777" w:rsidR="003716E1" w:rsidRPr="006452C2" w:rsidRDefault="003716E1" w:rsidP="00BA05BC">
      <w:pPr>
        <w:tabs>
          <w:tab w:val="left" w:pos="720"/>
          <w:tab w:val="left" w:pos="1440"/>
          <w:tab w:val="left" w:pos="2160"/>
        </w:tabs>
        <w:autoSpaceDE w:val="0"/>
        <w:autoSpaceDN w:val="0"/>
        <w:adjustRightInd w:val="0"/>
        <w:spacing w:after="0" w:line="240" w:lineRule="auto"/>
        <w:ind w:left="2160" w:hanging="2160"/>
        <w:rPr>
          <w:rFonts w:eastAsia="Times New Roman" w:cs="Times New Roman"/>
          <w:sz w:val="20"/>
          <w:szCs w:val="20"/>
          <w:lang w:val="en-CA"/>
        </w:rPr>
        <w:sectPr w:rsidR="003716E1" w:rsidRPr="006452C2" w:rsidSect="003716E1">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440" w:left="1440" w:header="1440" w:footer="806" w:gutter="0"/>
          <w:pgNumType w:fmt="lowerRoman" w:start="1"/>
          <w:cols w:space="720"/>
        </w:sectPr>
      </w:pPr>
    </w:p>
    <w:p w14:paraId="2845DE4E" w14:textId="21659955" w:rsidR="003716E1" w:rsidRPr="00761C44" w:rsidRDefault="003716E1" w:rsidP="00761C44">
      <w:pPr>
        <w:keepNext/>
        <w:autoSpaceDE w:val="0"/>
        <w:autoSpaceDN w:val="0"/>
        <w:adjustRightInd w:val="0"/>
        <w:spacing w:after="0" w:line="240" w:lineRule="auto"/>
        <w:outlineLvl w:val="0"/>
        <w:rPr>
          <w:rFonts w:ascii="Calibri" w:eastAsia="Times New Roman" w:hAnsi="Calibri" w:cs="Times New Roman"/>
          <w:b/>
          <w:bCs/>
          <w:kern w:val="32"/>
          <w:sz w:val="24"/>
          <w:szCs w:val="32"/>
        </w:rPr>
      </w:pPr>
      <w:r w:rsidRPr="003716E1">
        <w:rPr>
          <w:rFonts w:ascii="Calibri" w:eastAsia="Times New Roman" w:hAnsi="Calibri" w:cs="Times New Roman"/>
          <w:b/>
          <w:bCs/>
          <w:kern w:val="32"/>
          <w:sz w:val="24"/>
          <w:szCs w:val="32"/>
        </w:rPr>
        <w:fldChar w:fldCharType="begin"/>
      </w:r>
      <w:r w:rsidRPr="003716E1">
        <w:rPr>
          <w:rFonts w:ascii="Calibri" w:eastAsia="Times New Roman" w:hAnsi="Calibri" w:cs="Times New Roman"/>
          <w:b/>
          <w:bCs/>
          <w:kern w:val="32"/>
          <w:sz w:val="24"/>
          <w:szCs w:val="32"/>
        </w:rPr>
        <w:instrText xml:space="preserve"> SEQ CHAPTER \h \r 1</w:instrText>
      </w:r>
      <w:r w:rsidRPr="003716E1">
        <w:rPr>
          <w:rFonts w:ascii="Calibri" w:eastAsia="Times New Roman" w:hAnsi="Calibri" w:cs="Times New Roman"/>
          <w:b/>
          <w:bCs/>
          <w:kern w:val="32"/>
          <w:sz w:val="24"/>
          <w:szCs w:val="32"/>
        </w:rPr>
        <w:fldChar w:fldCharType="end"/>
      </w:r>
      <w:r w:rsidRPr="003716E1">
        <w:rPr>
          <w:rFonts w:ascii="Calibri" w:eastAsia="Times New Roman" w:hAnsi="Calibri" w:cs="Times New Roman"/>
          <w:b/>
          <w:bCs/>
          <w:kern w:val="32"/>
          <w:sz w:val="24"/>
          <w:szCs w:val="32"/>
        </w:rPr>
        <w:fldChar w:fldCharType="begin"/>
      </w:r>
      <w:r w:rsidRPr="003716E1">
        <w:rPr>
          <w:rFonts w:ascii="Calibri" w:eastAsia="Times New Roman" w:hAnsi="Calibri" w:cs="Times New Roman"/>
          <w:b/>
          <w:bCs/>
          <w:kern w:val="32"/>
          <w:sz w:val="24"/>
          <w:szCs w:val="32"/>
        </w:rPr>
        <w:instrText xml:space="preserve"> SEQ CHAPTER \h \r 1</w:instrText>
      </w:r>
      <w:r w:rsidRPr="003716E1">
        <w:rPr>
          <w:rFonts w:ascii="Calibri" w:eastAsia="Times New Roman" w:hAnsi="Calibri" w:cs="Times New Roman"/>
          <w:b/>
          <w:bCs/>
          <w:kern w:val="32"/>
          <w:sz w:val="24"/>
          <w:szCs w:val="32"/>
        </w:rPr>
        <w:fldChar w:fldCharType="end"/>
      </w:r>
      <w:bookmarkStart w:id="0" w:name="_Toc435798889"/>
      <w:r w:rsidRPr="003716E1">
        <w:rPr>
          <w:rFonts w:ascii="Calibri" w:eastAsia="Times New Roman" w:hAnsi="Calibri" w:cs="Times New Roman"/>
          <w:b/>
          <w:bCs/>
          <w:kern w:val="32"/>
          <w:sz w:val="24"/>
          <w:szCs w:val="32"/>
        </w:rPr>
        <w:t xml:space="preserve">A.  </w:t>
      </w:r>
      <w:r w:rsidRPr="003716E1">
        <w:rPr>
          <w:rFonts w:ascii="Calibri" w:eastAsia="Times New Roman" w:hAnsi="Calibri" w:cs="Times New Roman"/>
          <w:b/>
          <w:bCs/>
          <w:kern w:val="32"/>
          <w:sz w:val="24"/>
          <w:szCs w:val="32"/>
          <w:u w:val="single"/>
        </w:rPr>
        <w:t>Justification</w:t>
      </w:r>
      <w:bookmarkEnd w:id="0"/>
    </w:p>
    <w:p w14:paraId="1B6E1474"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u w:val="single"/>
        </w:rPr>
      </w:pPr>
    </w:p>
    <w:p w14:paraId="69136FDE"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1" w:name="_Toc435798890"/>
      <w:r w:rsidRPr="003716E1">
        <w:rPr>
          <w:rFonts w:ascii="Calibri" w:eastAsia="Times New Roman" w:hAnsi="Calibri" w:cs="Times New Roman"/>
          <w:b/>
          <w:bCs/>
          <w:kern w:val="32"/>
          <w:sz w:val="24"/>
          <w:szCs w:val="32"/>
        </w:rPr>
        <w:t>A.1</w:t>
      </w:r>
      <w:r w:rsidRPr="003716E1">
        <w:rPr>
          <w:rFonts w:ascii="Calibri" w:eastAsia="Times New Roman" w:hAnsi="Calibri" w:cs="Times New Roman"/>
          <w:b/>
          <w:bCs/>
          <w:kern w:val="32"/>
          <w:sz w:val="24"/>
          <w:szCs w:val="32"/>
        </w:rPr>
        <w:tab/>
        <w:t>Circumstances Making the Collection of Information Necessary</w:t>
      </w:r>
      <w:bookmarkEnd w:id="1"/>
      <w:r w:rsidRPr="003716E1">
        <w:rPr>
          <w:rFonts w:ascii="Calibri" w:eastAsia="Times New Roman" w:hAnsi="Calibri" w:cs="Times New Roman"/>
          <w:b/>
          <w:bCs/>
          <w:kern w:val="32"/>
          <w:sz w:val="24"/>
          <w:szCs w:val="32"/>
        </w:rPr>
        <w:t xml:space="preserve"> </w:t>
      </w:r>
    </w:p>
    <w:p w14:paraId="29B78DAA" w14:textId="77777777" w:rsidR="003716E1" w:rsidRPr="003716E1" w:rsidRDefault="003716E1" w:rsidP="003716E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631EEF7B" w14:textId="6C3E4215" w:rsidR="00932638" w:rsidRDefault="003716E1" w:rsidP="003716E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This is a New Information Collection Request (ICR). The requested approval</w:t>
      </w:r>
      <w:r w:rsidR="00C00733">
        <w:rPr>
          <w:rFonts w:ascii="Calibri" w:eastAsia="Times New Roman" w:hAnsi="Calibri" w:cs="Times New Roman"/>
          <w:sz w:val="24"/>
          <w:szCs w:val="24"/>
        </w:rPr>
        <w:t xml:space="preserve"> time is three years. </w:t>
      </w:r>
      <w:r w:rsidR="00E009C0">
        <w:rPr>
          <w:rFonts w:ascii="Calibri" w:eastAsia="Times New Roman" w:hAnsi="Calibri" w:cs="Times New Roman"/>
          <w:sz w:val="24"/>
          <w:szCs w:val="24"/>
        </w:rPr>
        <w:t xml:space="preserve">For </w:t>
      </w:r>
      <w:r w:rsidRPr="003716E1">
        <w:rPr>
          <w:rFonts w:ascii="Calibri" w:eastAsia="Times New Roman" w:hAnsi="Calibri" w:cs="Times New Roman"/>
          <w:sz w:val="24"/>
          <w:szCs w:val="24"/>
        </w:rPr>
        <w:t>the Mini</w:t>
      </w:r>
      <w:r w:rsidR="00602430">
        <w:rPr>
          <w:rFonts w:ascii="Calibri" w:eastAsia="Times New Roman" w:hAnsi="Calibri" w:cs="Times New Roman"/>
          <w:sz w:val="24"/>
          <w:szCs w:val="24"/>
        </w:rPr>
        <w:t>ng Industry and Workforce Survey</w:t>
      </w:r>
      <w:r w:rsidR="00AA7253">
        <w:rPr>
          <w:rFonts w:ascii="Calibri" w:eastAsia="Times New Roman" w:hAnsi="Calibri" w:cs="Times New Roman"/>
          <w:sz w:val="24"/>
          <w:szCs w:val="24"/>
        </w:rPr>
        <w:t xml:space="preserve"> (MIWS)</w:t>
      </w:r>
      <w:r w:rsidRPr="003716E1">
        <w:rPr>
          <w:rFonts w:ascii="Calibri" w:eastAsia="Times New Roman" w:hAnsi="Calibri" w:cs="Times New Roman"/>
          <w:sz w:val="24"/>
          <w:szCs w:val="24"/>
        </w:rPr>
        <w:t>, data will be collected</w:t>
      </w:r>
      <w:r w:rsidR="00632969" w:rsidRPr="003716E1">
        <w:rPr>
          <w:rFonts w:ascii="Calibri" w:eastAsia="Times New Roman" w:hAnsi="Calibri" w:cs="Times New Roman"/>
          <w:sz w:val="24"/>
          <w:szCs w:val="24"/>
        </w:rPr>
        <w:t xml:space="preserve"> through s</w:t>
      </w:r>
      <w:r w:rsidR="00632969">
        <w:rPr>
          <w:rFonts w:ascii="Calibri" w:eastAsia="Times New Roman" w:hAnsi="Calibri" w:cs="Times New Roman"/>
          <w:sz w:val="24"/>
          <w:szCs w:val="24"/>
        </w:rPr>
        <w:t xml:space="preserve">urveys conducted in </w:t>
      </w:r>
      <w:r w:rsidR="00D96D1A">
        <w:rPr>
          <w:rFonts w:ascii="Calibri" w:eastAsia="Times New Roman" w:hAnsi="Calibri" w:cs="Times New Roman"/>
          <w:sz w:val="24"/>
          <w:szCs w:val="24"/>
        </w:rPr>
        <w:t>consultation</w:t>
      </w:r>
      <w:r w:rsidR="00632969" w:rsidRPr="003716E1">
        <w:rPr>
          <w:rFonts w:ascii="Calibri" w:eastAsia="Times New Roman" w:hAnsi="Calibri" w:cs="Times New Roman"/>
          <w:sz w:val="24"/>
          <w:szCs w:val="24"/>
        </w:rPr>
        <w:t xml:space="preserve"> wi</w:t>
      </w:r>
      <w:r w:rsidR="00632969">
        <w:rPr>
          <w:rFonts w:ascii="Calibri" w:eastAsia="Times New Roman" w:hAnsi="Calibri" w:cs="Times New Roman"/>
          <w:sz w:val="24"/>
          <w:szCs w:val="24"/>
        </w:rPr>
        <w:t>th national min</w:t>
      </w:r>
      <w:r w:rsidR="00ED6053">
        <w:rPr>
          <w:rFonts w:ascii="Calibri" w:eastAsia="Times New Roman" w:hAnsi="Calibri" w:cs="Times New Roman"/>
          <w:sz w:val="24"/>
          <w:szCs w:val="24"/>
        </w:rPr>
        <w:t>ing associations in</w:t>
      </w:r>
      <w:r w:rsidR="00632969">
        <w:rPr>
          <w:rFonts w:ascii="Calibri" w:eastAsia="Times New Roman" w:hAnsi="Calibri" w:cs="Times New Roman"/>
          <w:sz w:val="24"/>
          <w:szCs w:val="24"/>
        </w:rPr>
        <w:t xml:space="preserve"> the following mining sectors:</w:t>
      </w:r>
      <w:r w:rsidRPr="003716E1">
        <w:rPr>
          <w:rFonts w:ascii="Calibri" w:eastAsia="Times New Roman" w:hAnsi="Calibri" w:cs="Times New Roman"/>
          <w:sz w:val="24"/>
          <w:szCs w:val="24"/>
        </w:rPr>
        <w:t xml:space="preserve"> the stone/sand and gravel mining sector, the metal/nonmetal mining sector, and the coal mining sector.</w:t>
      </w:r>
      <w:r w:rsidR="00602430">
        <w:rPr>
          <w:rFonts w:ascii="Calibri" w:eastAsia="Times New Roman" w:hAnsi="Calibri" w:cs="Times New Roman"/>
          <w:sz w:val="24"/>
          <w:szCs w:val="24"/>
        </w:rPr>
        <w:t xml:space="preserve"> </w:t>
      </w:r>
      <w:r w:rsidR="00B26AA5">
        <w:rPr>
          <w:rFonts w:ascii="Calibri" w:eastAsia="Times New Roman" w:hAnsi="Calibri" w:cs="Times New Roman"/>
          <w:sz w:val="24"/>
          <w:szCs w:val="24"/>
        </w:rPr>
        <w:t>Each sector will be survey</w:t>
      </w:r>
      <w:r w:rsidR="005460B9">
        <w:rPr>
          <w:rFonts w:ascii="Calibri" w:eastAsia="Times New Roman" w:hAnsi="Calibri" w:cs="Times New Roman"/>
          <w:sz w:val="24"/>
          <w:szCs w:val="24"/>
        </w:rPr>
        <w:t>ed</w:t>
      </w:r>
      <w:r w:rsidR="00B26AA5">
        <w:rPr>
          <w:rFonts w:ascii="Calibri" w:eastAsia="Times New Roman" w:hAnsi="Calibri" w:cs="Times New Roman"/>
          <w:sz w:val="24"/>
          <w:szCs w:val="24"/>
        </w:rPr>
        <w:t xml:space="preserve"> only one time during the three year data collection period. </w:t>
      </w:r>
      <w:r w:rsidR="00FC0E9E" w:rsidRPr="00C00B84">
        <w:rPr>
          <w:rFonts w:ascii="Calibri" w:eastAsia="Times New Roman" w:hAnsi="Calibri" w:cs="Times New Roman"/>
          <w:sz w:val="24"/>
          <w:szCs w:val="24"/>
        </w:rPr>
        <w:t>Th</w:t>
      </w:r>
      <w:r w:rsidR="00FC0E9E">
        <w:rPr>
          <w:rFonts w:ascii="Calibri" w:eastAsia="Times New Roman" w:hAnsi="Calibri" w:cs="Times New Roman"/>
          <w:sz w:val="24"/>
          <w:szCs w:val="24"/>
        </w:rPr>
        <w:t>is</w:t>
      </w:r>
      <w:r w:rsidR="00FC0E9E" w:rsidRPr="003716E1">
        <w:rPr>
          <w:rFonts w:ascii="Calibri" w:eastAsia="Times New Roman" w:hAnsi="Calibri" w:cs="Times New Roman"/>
          <w:sz w:val="24"/>
          <w:szCs w:val="24"/>
        </w:rPr>
        <w:t xml:space="preserve"> M</w:t>
      </w:r>
      <w:r w:rsidR="00FC0E9E">
        <w:rPr>
          <w:rFonts w:ascii="Calibri" w:eastAsia="Times New Roman" w:hAnsi="Calibri" w:cs="Times New Roman"/>
          <w:sz w:val="24"/>
          <w:szCs w:val="24"/>
        </w:rPr>
        <w:t>IWS</w:t>
      </w:r>
      <w:r w:rsidR="00FC0E9E" w:rsidRPr="003716E1">
        <w:rPr>
          <w:rFonts w:ascii="Calibri" w:eastAsia="Times New Roman" w:hAnsi="Calibri" w:cs="Times New Roman"/>
          <w:sz w:val="24"/>
          <w:szCs w:val="24"/>
        </w:rPr>
        <w:t xml:space="preserve"> </w:t>
      </w:r>
      <w:r w:rsidR="00FC0E9E">
        <w:rPr>
          <w:rFonts w:ascii="Calibri" w:eastAsia="Times New Roman" w:hAnsi="Calibri" w:cs="Times New Roman"/>
          <w:sz w:val="24"/>
          <w:szCs w:val="24"/>
        </w:rPr>
        <w:t xml:space="preserve">request would become </w:t>
      </w:r>
      <w:r w:rsidR="00FC0E9E" w:rsidRPr="003716E1">
        <w:rPr>
          <w:rFonts w:ascii="Calibri" w:eastAsia="Times New Roman" w:hAnsi="Calibri" w:cs="Times New Roman"/>
          <w:sz w:val="24"/>
          <w:szCs w:val="24"/>
        </w:rPr>
        <w:t xml:space="preserve">the third in a series of </w:t>
      </w:r>
      <w:r w:rsidR="00FC0E9E">
        <w:rPr>
          <w:rFonts w:ascii="Calibri" w:eastAsia="Times New Roman" w:hAnsi="Calibri" w:cs="Times New Roman"/>
          <w:sz w:val="24"/>
          <w:szCs w:val="24"/>
        </w:rPr>
        <w:t xml:space="preserve">past </w:t>
      </w:r>
      <w:r w:rsidR="00FC0E9E" w:rsidRPr="003716E1">
        <w:rPr>
          <w:rFonts w:ascii="Calibri" w:eastAsia="Times New Roman" w:hAnsi="Calibri" w:cs="Times New Roman"/>
          <w:sz w:val="24"/>
          <w:szCs w:val="24"/>
        </w:rPr>
        <w:t>surveys of the mining industry</w:t>
      </w:r>
      <w:r w:rsidR="00FC0E9E">
        <w:rPr>
          <w:rFonts w:ascii="Calibri" w:eastAsia="Times New Roman" w:hAnsi="Calibri" w:cs="Times New Roman"/>
          <w:sz w:val="24"/>
          <w:szCs w:val="24"/>
        </w:rPr>
        <w:t xml:space="preserve"> (the most recent was conducted in 2008</w:t>
      </w:r>
      <w:r w:rsidR="00B26AA5">
        <w:rPr>
          <w:rFonts w:ascii="Calibri" w:eastAsia="Times New Roman" w:hAnsi="Calibri" w:cs="Times New Roman"/>
          <w:sz w:val="24"/>
          <w:szCs w:val="24"/>
        </w:rPr>
        <w:t xml:space="preserve"> – OMB Control No. 0920</w:t>
      </w:r>
      <w:r w:rsidR="00662494">
        <w:rPr>
          <w:rFonts w:ascii="Calibri" w:eastAsia="Times New Roman" w:hAnsi="Calibri" w:cs="Times New Roman"/>
          <w:sz w:val="24"/>
          <w:szCs w:val="24"/>
        </w:rPr>
        <w:t>-0754</w:t>
      </w:r>
      <w:r w:rsidR="00FC0E9E">
        <w:rPr>
          <w:rFonts w:ascii="Calibri" w:eastAsia="Times New Roman" w:hAnsi="Calibri" w:cs="Times New Roman"/>
          <w:sz w:val="24"/>
          <w:szCs w:val="24"/>
        </w:rPr>
        <w:t>)</w:t>
      </w:r>
      <w:r w:rsidR="00FC0E9E" w:rsidRPr="003716E1">
        <w:rPr>
          <w:rFonts w:ascii="Calibri" w:eastAsia="Times New Roman" w:hAnsi="Calibri" w:cs="Times New Roman"/>
          <w:sz w:val="24"/>
          <w:szCs w:val="24"/>
        </w:rPr>
        <w:t>.</w:t>
      </w:r>
    </w:p>
    <w:p w14:paraId="58CD308B" w14:textId="77777777" w:rsidR="00932638" w:rsidRDefault="00932638" w:rsidP="003716E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3588E749" w14:textId="544AF5FD" w:rsidR="003716E1" w:rsidRDefault="003716E1" w:rsidP="003716E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Surveillance of occupational injuries, illnesses, and exposures has been an integral part of the work of NIOSH since its creation by the Occupational Safety and Health Act in 1970. Surveillance activities at the</w:t>
      </w:r>
      <w:r w:rsidR="002A71BA">
        <w:rPr>
          <w:rFonts w:ascii="Calibri" w:eastAsia="Times New Roman" w:hAnsi="Calibri" w:cs="Times New Roman"/>
          <w:sz w:val="24"/>
          <w:szCs w:val="24"/>
        </w:rPr>
        <w:t xml:space="preserve"> </w:t>
      </w:r>
      <w:r w:rsidRPr="003716E1">
        <w:rPr>
          <w:rFonts w:ascii="Calibri" w:eastAsia="Times New Roman" w:hAnsi="Calibri" w:cs="Times New Roman"/>
          <w:sz w:val="24"/>
          <w:szCs w:val="24"/>
        </w:rPr>
        <w:t>Office of Mine Safety and Health Research (OMSHR) in Pittsburgh, Pennsylvania, a division of NIOSH, are focused on the nation’s mining workforce. The Federal Mine Safety &amp; Health Act of 1977, Section 501, enables NIOSH to carry out research relevant to the health and safety o</w:t>
      </w:r>
      <w:r w:rsidR="00A9183D">
        <w:rPr>
          <w:rFonts w:ascii="Calibri" w:eastAsia="Times New Roman" w:hAnsi="Calibri" w:cs="Times New Roman"/>
          <w:sz w:val="24"/>
          <w:szCs w:val="24"/>
        </w:rPr>
        <w:t>f workers in the mining industry</w:t>
      </w:r>
      <w:r w:rsidR="00871AC1" w:rsidRPr="00871AC1">
        <w:rPr>
          <w:rFonts w:ascii="Calibri" w:eastAsia="Times New Roman" w:hAnsi="Calibri" w:cs="Times New Roman"/>
          <w:b/>
          <w:sz w:val="24"/>
          <w:szCs w:val="24"/>
        </w:rPr>
        <w:t xml:space="preserve"> </w:t>
      </w:r>
      <w:r w:rsidRPr="003716E1">
        <w:rPr>
          <w:rFonts w:ascii="Calibri" w:eastAsia="Times New Roman" w:hAnsi="Calibri" w:cs="Times New Roman"/>
          <w:b/>
          <w:sz w:val="24"/>
          <w:szCs w:val="24"/>
        </w:rPr>
        <w:t>(Attachment A)</w:t>
      </w:r>
      <w:r w:rsidRPr="003716E1">
        <w:rPr>
          <w:rFonts w:ascii="Calibri" w:eastAsia="Times New Roman" w:hAnsi="Calibri" w:cs="Times New Roman"/>
          <w:sz w:val="24"/>
          <w:szCs w:val="24"/>
        </w:rPr>
        <w:t>.</w:t>
      </w:r>
      <w:r w:rsidR="00E009C0">
        <w:rPr>
          <w:rFonts w:ascii="Calibri" w:eastAsia="Times New Roman" w:hAnsi="Calibri" w:cs="Times New Roman"/>
          <w:sz w:val="24"/>
          <w:szCs w:val="24"/>
        </w:rPr>
        <w:t xml:space="preserve"> The 60-day Federal Registe</w:t>
      </w:r>
      <w:r w:rsidR="00A9183D">
        <w:rPr>
          <w:rFonts w:ascii="Calibri" w:eastAsia="Times New Roman" w:hAnsi="Calibri" w:cs="Times New Roman"/>
          <w:sz w:val="24"/>
          <w:szCs w:val="24"/>
        </w:rPr>
        <w:t>r Notice was published on December 17, 2015</w:t>
      </w:r>
      <w:r w:rsidR="00E009C0">
        <w:rPr>
          <w:rFonts w:ascii="Calibri" w:eastAsia="Times New Roman" w:hAnsi="Calibri" w:cs="Times New Roman"/>
          <w:sz w:val="24"/>
          <w:szCs w:val="24"/>
        </w:rPr>
        <w:t xml:space="preserve"> (</w:t>
      </w:r>
      <w:r w:rsidR="00E009C0">
        <w:rPr>
          <w:rFonts w:ascii="Calibri" w:eastAsia="Times New Roman" w:hAnsi="Calibri" w:cs="Times New Roman"/>
          <w:b/>
          <w:sz w:val="24"/>
          <w:szCs w:val="24"/>
        </w:rPr>
        <w:t>Attachment B</w:t>
      </w:r>
      <w:r w:rsidR="00E009C0" w:rsidRPr="00CA2955">
        <w:rPr>
          <w:rFonts w:ascii="Calibri" w:hAnsi="Calibri"/>
          <w:sz w:val="24"/>
        </w:rPr>
        <w:t>)</w:t>
      </w:r>
      <w:r w:rsidR="00E009C0">
        <w:rPr>
          <w:rFonts w:ascii="Calibri" w:eastAsia="Times New Roman" w:hAnsi="Calibri" w:cs="Times New Roman"/>
          <w:sz w:val="24"/>
          <w:szCs w:val="24"/>
        </w:rPr>
        <w:t>.</w:t>
      </w:r>
    </w:p>
    <w:p w14:paraId="7C90B173" w14:textId="77777777" w:rsidR="00592EF4" w:rsidRPr="003716E1" w:rsidRDefault="00592EF4" w:rsidP="00CA295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034DABA1" w14:textId="3A1584C0" w:rsidR="008E6528" w:rsidRDefault="00D90BFB" w:rsidP="00070FD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 reviewing the</w:t>
      </w:r>
      <w:r w:rsidR="002D4FF3">
        <w:rPr>
          <w:rFonts w:ascii="Calibri" w:eastAsia="Times New Roman" w:hAnsi="Calibri" w:cs="Times New Roman"/>
          <w:sz w:val="24"/>
          <w:szCs w:val="24"/>
        </w:rPr>
        <w:t xml:space="preserve"> available data, </w:t>
      </w:r>
      <w:r w:rsidR="00592EF4" w:rsidRPr="003716E1">
        <w:rPr>
          <w:rFonts w:ascii="Calibri" w:eastAsia="Times New Roman" w:hAnsi="Calibri" w:cs="Times New Roman"/>
          <w:sz w:val="24"/>
          <w:szCs w:val="24"/>
        </w:rPr>
        <w:t>NIOSH</w:t>
      </w:r>
      <w:r w:rsidR="002D4FF3">
        <w:rPr>
          <w:rFonts w:ascii="Calibri" w:eastAsia="Times New Roman" w:hAnsi="Calibri" w:cs="Times New Roman"/>
          <w:sz w:val="24"/>
          <w:szCs w:val="24"/>
        </w:rPr>
        <w:t xml:space="preserve"> has determined that more </w:t>
      </w:r>
      <w:r w:rsidR="002D4FF3" w:rsidRPr="003716E1">
        <w:rPr>
          <w:rFonts w:ascii="Calibri" w:eastAsia="Times New Roman" w:hAnsi="Calibri" w:cs="Times New Roman"/>
          <w:sz w:val="24"/>
          <w:szCs w:val="24"/>
        </w:rPr>
        <w:t>current surveillance data on mines and mine</w:t>
      </w:r>
      <w:r w:rsidR="002D4FF3">
        <w:rPr>
          <w:rFonts w:ascii="Calibri" w:eastAsia="Times New Roman" w:hAnsi="Calibri" w:cs="Times New Roman"/>
          <w:sz w:val="24"/>
          <w:szCs w:val="24"/>
        </w:rPr>
        <w:t xml:space="preserve"> employees</w:t>
      </w:r>
      <w:r w:rsidR="00592EF4" w:rsidRPr="003716E1">
        <w:rPr>
          <w:rFonts w:ascii="Calibri" w:eastAsia="Times New Roman" w:hAnsi="Calibri" w:cs="Times New Roman"/>
          <w:sz w:val="24"/>
          <w:szCs w:val="24"/>
        </w:rPr>
        <w:t xml:space="preserve"> is vital to its mission to protect the safety and health</w:t>
      </w:r>
      <w:r w:rsidR="002D4FF3">
        <w:rPr>
          <w:rFonts w:ascii="Calibri" w:eastAsia="Times New Roman" w:hAnsi="Calibri" w:cs="Times New Roman"/>
          <w:sz w:val="24"/>
          <w:szCs w:val="24"/>
        </w:rPr>
        <w:t xml:space="preserve"> of the mining workforce.</w:t>
      </w:r>
      <w:r w:rsidR="00592EF4" w:rsidRPr="003716E1">
        <w:rPr>
          <w:rFonts w:ascii="Calibri" w:eastAsia="Times New Roman" w:hAnsi="Calibri" w:cs="Times New Roman"/>
          <w:sz w:val="24"/>
          <w:szCs w:val="24"/>
        </w:rPr>
        <w:t xml:space="preserve"> </w:t>
      </w:r>
      <w:r w:rsidR="00592EF4">
        <w:rPr>
          <w:rFonts w:ascii="Calibri" w:eastAsia="Times New Roman" w:hAnsi="Calibri" w:cs="Times New Roman"/>
          <w:sz w:val="24"/>
          <w:szCs w:val="24"/>
        </w:rPr>
        <w:t xml:space="preserve">The MIWS </w:t>
      </w:r>
      <w:r w:rsidR="00592EF4" w:rsidRPr="003716E1">
        <w:rPr>
          <w:rFonts w:ascii="Calibri" w:eastAsia="Times New Roman" w:hAnsi="Calibri" w:cs="Times New Roman"/>
          <w:sz w:val="24"/>
          <w:szCs w:val="24"/>
        </w:rPr>
        <w:t xml:space="preserve">will be a </w:t>
      </w:r>
      <w:r w:rsidR="00592EF4" w:rsidRPr="005570A5">
        <w:rPr>
          <w:rFonts w:ascii="Calibri" w:hAnsi="Calibri"/>
          <w:sz w:val="24"/>
        </w:rPr>
        <w:t xml:space="preserve">unique </w:t>
      </w:r>
      <w:r w:rsidR="00D90CD2">
        <w:rPr>
          <w:rFonts w:ascii="Calibri" w:hAnsi="Calibri"/>
          <w:sz w:val="24"/>
        </w:rPr>
        <w:t xml:space="preserve">and complementary </w:t>
      </w:r>
      <w:r w:rsidR="00592EF4" w:rsidRPr="005570A5">
        <w:rPr>
          <w:rFonts w:ascii="Calibri" w:hAnsi="Calibri"/>
          <w:sz w:val="24"/>
        </w:rPr>
        <w:t>source of information on U.S. mines and their employees. Its purpose will be to: (1) track changes and emerging trends</w:t>
      </w:r>
      <w:r w:rsidR="004E5D91">
        <w:rPr>
          <w:rFonts w:ascii="Calibri" w:hAnsi="Calibri"/>
          <w:sz w:val="24"/>
        </w:rPr>
        <w:t xml:space="preserve"> by comparing with prior surveys</w:t>
      </w:r>
      <w:r w:rsidR="00592EF4" w:rsidRPr="005570A5">
        <w:rPr>
          <w:rFonts w:ascii="Calibri" w:hAnsi="Calibri"/>
          <w:sz w:val="24"/>
        </w:rPr>
        <w:t>; (2) provide current data to guide OMSHR research</w:t>
      </w:r>
      <w:r w:rsidR="00D81EEA">
        <w:rPr>
          <w:rFonts w:ascii="Calibri" w:hAnsi="Calibri"/>
          <w:sz w:val="24"/>
        </w:rPr>
        <w:t xml:space="preserve"> on reducing risk through hazard control interventions and improved miner training</w:t>
      </w:r>
      <w:r w:rsidR="00592EF4" w:rsidRPr="005570A5">
        <w:rPr>
          <w:rFonts w:ascii="Calibri" w:hAnsi="Calibri"/>
          <w:sz w:val="24"/>
        </w:rPr>
        <w:t>; (3) provide updated demographic and occupational data for the min</w:t>
      </w:r>
      <w:r w:rsidR="00D21874">
        <w:rPr>
          <w:rFonts w:ascii="Calibri" w:hAnsi="Calibri"/>
          <w:sz w:val="24"/>
        </w:rPr>
        <w:t>ing workforce; and (4) provide estimates of d</w:t>
      </w:r>
      <w:r w:rsidR="00592EF4" w:rsidRPr="005570A5">
        <w:rPr>
          <w:rFonts w:ascii="Calibri" w:hAnsi="Calibri"/>
          <w:sz w:val="24"/>
        </w:rPr>
        <w:t xml:space="preserve">enominator data to help </w:t>
      </w:r>
      <w:r w:rsidR="004B4069">
        <w:rPr>
          <w:rFonts w:ascii="Calibri" w:hAnsi="Calibri"/>
          <w:sz w:val="24"/>
        </w:rPr>
        <w:t xml:space="preserve">NIOSH </w:t>
      </w:r>
      <w:r w:rsidR="00592EF4" w:rsidRPr="005570A5">
        <w:rPr>
          <w:rFonts w:ascii="Calibri" w:hAnsi="Calibri"/>
          <w:sz w:val="24"/>
        </w:rPr>
        <w:t>understand the risk of work-related injuries, disease, and fatalities in specific demogra</w:t>
      </w:r>
      <w:r w:rsidR="00632969">
        <w:rPr>
          <w:rFonts w:ascii="Calibri" w:hAnsi="Calibri"/>
          <w:sz w:val="24"/>
        </w:rPr>
        <w:t>phic and occupational subgroups</w:t>
      </w:r>
      <w:r w:rsidR="009873B8">
        <w:rPr>
          <w:rFonts w:ascii="Calibri" w:eastAsia="Times New Roman" w:hAnsi="Calibri" w:cs="Times New Roman"/>
          <w:sz w:val="24"/>
          <w:szCs w:val="24"/>
        </w:rPr>
        <w:t xml:space="preserve"> (described further below).</w:t>
      </w:r>
      <w:r w:rsidR="008A7E06">
        <w:rPr>
          <w:rFonts w:ascii="Calibri" w:eastAsia="Times New Roman" w:hAnsi="Calibri" w:cs="Times New Roman"/>
          <w:sz w:val="24"/>
          <w:szCs w:val="24"/>
        </w:rPr>
        <w:t xml:space="preserve"> The MIWS is des</w:t>
      </w:r>
      <w:r w:rsidR="00871AC1">
        <w:rPr>
          <w:rFonts w:ascii="Calibri" w:eastAsia="Times New Roman" w:hAnsi="Calibri" w:cs="Times New Roman"/>
          <w:sz w:val="24"/>
          <w:szCs w:val="24"/>
        </w:rPr>
        <w:t>igned to prov</w:t>
      </w:r>
      <w:r w:rsidR="00004240">
        <w:rPr>
          <w:rFonts w:ascii="Calibri" w:eastAsia="Times New Roman" w:hAnsi="Calibri" w:cs="Times New Roman"/>
          <w:sz w:val="24"/>
          <w:szCs w:val="24"/>
        </w:rPr>
        <w:t>ide such estimates, and the MIWS</w:t>
      </w:r>
      <w:r w:rsidR="00871AC1">
        <w:rPr>
          <w:rFonts w:ascii="Calibri" w:eastAsia="Times New Roman" w:hAnsi="Calibri" w:cs="Times New Roman"/>
          <w:sz w:val="24"/>
          <w:szCs w:val="24"/>
        </w:rPr>
        <w:t xml:space="preserve"> data will maximize the utility of records already required under </w:t>
      </w:r>
      <w:r w:rsidR="00F25DA7">
        <w:rPr>
          <w:rFonts w:ascii="Calibri" w:eastAsia="Times New Roman" w:hAnsi="Calibri" w:cs="Times New Roman"/>
          <w:sz w:val="24"/>
          <w:szCs w:val="24"/>
        </w:rPr>
        <w:t>30 CFR Part 50. This part requires mine operators to file reports to the Mine Safety and Health Administration (MSHA) pertaining to accidents, occupational injuries, and occupational illnesses as well as employment and coal production.</w:t>
      </w:r>
      <w:r w:rsidR="00D65768">
        <w:rPr>
          <w:rFonts w:ascii="Calibri" w:eastAsia="Times New Roman" w:hAnsi="Calibri" w:cs="Times New Roman"/>
          <w:sz w:val="24"/>
          <w:szCs w:val="24"/>
        </w:rPr>
        <w:t xml:space="preserve"> </w:t>
      </w:r>
    </w:p>
    <w:p w14:paraId="74B9CCE8" w14:textId="77777777" w:rsidR="008E6528" w:rsidRDefault="008E6528" w:rsidP="00070FD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26F76955" w14:textId="516C33B7" w:rsidR="00592EF4" w:rsidRPr="00070FD2" w:rsidRDefault="00276D43" w:rsidP="00070FD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imes New Roman"/>
          <w:sz w:val="24"/>
          <w:szCs w:val="24"/>
        </w:rPr>
      </w:pPr>
      <w:r w:rsidRPr="00F75F44">
        <w:rPr>
          <w:sz w:val="24"/>
          <w:szCs w:val="24"/>
        </w:rPr>
        <w:t>D</w:t>
      </w:r>
      <w:r w:rsidR="00F25DA7">
        <w:rPr>
          <w:sz w:val="24"/>
          <w:szCs w:val="24"/>
        </w:rPr>
        <w:t xml:space="preserve">ue to </w:t>
      </w:r>
      <w:r w:rsidRPr="00F75F44">
        <w:rPr>
          <w:sz w:val="24"/>
          <w:szCs w:val="24"/>
        </w:rPr>
        <w:t>MSHA reporting requirements for contractors</w:t>
      </w:r>
      <w:r w:rsidR="000D0D9D">
        <w:rPr>
          <w:sz w:val="24"/>
          <w:szCs w:val="24"/>
        </w:rPr>
        <w:t xml:space="preserve"> (more fully described below)</w:t>
      </w:r>
      <w:r w:rsidRPr="00F75F44">
        <w:rPr>
          <w:sz w:val="24"/>
          <w:szCs w:val="24"/>
        </w:rPr>
        <w:t xml:space="preserve">, it is </w:t>
      </w:r>
      <w:r>
        <w:rPr>
          <w:sz w:val="24"/>
          <w:szCs w:val="24"/>
        </w:rPr>
        <w:t xml:space="preserve">currently </w:t>
      </w:r>
      <w:r w:rsidRPr="00F75F44">
        <w:rPr>
          <w:sz w:val="24"/>
          <w:szCs w:val="24"/>
        </w:rPr>
        <w:t xml:space="preserve">not possible to assign contractor hours to the individual mining operations where they worked. NIOSH </w:t>
      </w:r>
      <w:r w:rsidR="007E2F73">
        <w:rPr>
          <w:sz w:val="24"/>
          <w:szCs w:val="24"/>
        </w:rPr>
        <w:t>needs</w:t>
      </w:r>
      <w:r w:rsidRPr="00F75F44">
        <w:rPr>
          <w:sz w:val="24"/>
          <w:szCs w:val="24"/>
        </w:rPr>
        <w:t xml:space="preserve"> a better understanding of the safety record of this </w:t>
      </w:r>
      <w:r w:rsidR="007E2F73">
        <w:rPr>
          <w:sz w:val="24"/>
          <w:szCs w:val="24"/>
        </w:rPr>
        <w:t xml:space="preserve">important </w:t>
      </w:r>
      <w:r w:rsidRPr="00F75F44">
        <w:rPr>
          <w:sz w:val="24"/>
          <w:szCs w:val="24"/>
        </w:rPr>
        <w:t>segment of the mining industry</w:t>
      </w:r>
      <w:r w:rsidR="007E2F73">
        <w:rPr>
          <w:sz w:val="24"/>
          <w:szCs w:val="24"/>
        </w:rPr>
        <w:t xml:space="preserve"> in order to </w:t>
      </w:r>
      <w:r w:rsidR="001E4B03">
        <w:rPr>
          <w:sz w:val="24"/>
          <w:szCs w:val="24"/>
        </w:rPr>
        <w:t>determine whether contractors</w:t>
      </w:r>
      <w:r w:rsidR="00C04109">
        <w:rPr>
          <w:sz w:val="24"/>
          <w:szCs w:val="24"/>
        </w:rPr>
        <w:t xml:space="preserve"> are more at risk of injuries in individual mines than are mine operator employees</w:t>
      </w:r>
      <w:r w:rsidRPr="00F75F44">
        <w:rPr>
          <w:sz w:val="24"/>
          <w:szCs w:val="24"/>
        </w:rPr>
        <w:t>. The data collected with the MIWS will be a first step</w:t>
      </w:r>
      <w:r>
        <w:rPr>
          <w:sz w:val="24"/>
          <w:szCs w:val="24"/>
        </w:rPr>
        <w:t xml:space="preserve"> to</w:t>
      </w:r>
      <w:r w:rsidR="00592EF4" w:rsidRPr="00070FD2">
        <w:rPr>
          <w:rFonts w:eastAsia="Times New Roman" w:cs="Times New Roman"/>
          <w:sz w:val="24"/>
          <w:szCs w:val="24"/>
        </w:rPr>
        <w:t xml:space="preserve"> determine the </w:t>
      </w:r>
      <w:r w:rsidR="00004240">
        <w:rPr>
          <w:rFonts w:eastAsia="Times New Roman" w:cs="Times New Roman"/>
          <w:sz w:val="24"/>
          <w:szCs w:val="24"/>
        </w:rPr>
        <w:t xml:space="preserve">current </w:t>
      </w:r>
      <w:r w:rsidR="00592EF4" w:rsidRPr="00070FD2">
        <w:rPr>
          <w:rFonts w:eastAsia="Times New Roman" w:cs="Times New Roman"/>
          <w:sz w:val="24"/>
          <w:szCs w:val="24"/>
        </w:rPr>
        <w:t>number of contractor employees working in metal, nonmetal, stone, or s</w:t>
      </w:r>
      <w:r w:rsidR="008E6528" w:rsidRPr="00070FD2">
        <w:rPr>
          <w:rFonts w:eastAsia="Times New Roman" w:cs="Times New Roman"/>
          <w:sz w:val="24"/>
          <w:szCs w:val="24"/>
        </w:rPr>
        <w:t>and and gravel mines</w:t>
      </w:r>
      <w:r>
        <w:rPr>
          <w:rFonts w:eastAsia="Times New Roman" w:cs="Times New Roman"/>
          <w:sz w:val="24"/>
          <w:szCs w:val="24"/>
        </w:rPr>
        <w:t>, a</w:t>
      </w:r>
      <w:r w:rsidR="00592EF4" w:rsidRPr="00070FD2">
        <w:rPr>
          <w:rFonts w:eastAsia="Times New Roman" w:cs="Times New Roman"/>
          <w:sz w:val="24"/>
          <w:szCs w:val="24"/>
        </w:rPr>
        <w:t>nd the type of work they perform.</w:t>
      </w:r>
      <w:r>
        <w:rPr>
          <w:rFonts w:eastAsia="Times New Roman" w:cs="Times New Roman"/>
          <w:sz w:val="24"/>
          <w:szCs w:val="24"/>
        </w:rPr>
        <w:t xml:space="preserve"> </w:t>
      </w:r>
      <w:r w:rsidR="008E6528" w:rsidRPr="00070FD2">
        <w:rPr>
          <w:sz w:val="24"/>
          <w:szCs w:val="24"/>
        </w:rPr>
        <w:t xml:space="preserve">This new information may lead to a decision to prepare a </w:t>
      </w:r>
      <w:r w:rsidR="00004240">
        <w:rPr>
          <w:sz w:val="24"/>
          <w:szCs w:val="24"/>
        </w:rPr>
        <w:t xml:space="preserve">future </w:t>
      </w:r>
      <w:r w:rsidR="008E6528" w:rsidRPr="00070FD2">
        <w:rPr>
          <w:sz w:val="24"/>
          <w:szCs w:val="24"/>
        </w:rPr>
        <w:t>survey of the mine contractor industry.</w:t>
      </w:r>
    </w:p>
    <w:p w14:paraId="121CD769" w14:textId="77777777" w:rsidR="00592EF4" w:rsidRPr="00070FD2" w:rsidRDefault="00592EF4" w:rsidP="00070FD2">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imes New Roman"/>
          <w:sz w:val="24"/>
          <w:szCs w:val="24"/>
        </w:rPr>
      </w:pPr>
    </w:p>
    <w:p w14:paraId="63D557D9" w14:textId="5ACBC56C" w:rsidR="00592EF4" w:rsidRDefault="00592EF4" w:rsidP="003716E1">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070FD2">
        <w:rPr>
          <w:rFonts w:eastAsia="Times New Roman" w:cs="Times New Roman"/>
          <w:sz w:val="24"/>
          <w:szCs w:val="24"/>
        </w:rPr>
        <w:t>The MI</w:t>
      </w:r>
      <w:r w:rsidR="00E85A77" w:rsidRPr="00070FD2">
        <w:rPr>
          <w:rFonts w:eastAsia="Times New Roman" w:cs="Times New Roman"/>
          <w:sz w:val="24"/>
          <w:szCs w:val="24"/>
        </w:rPr>
        <w:t>WS</w:t>
      </w:r>
      <w:r w:rsidR="002F7EE5" w:rsidRPr="002F7EE5">
        <w:rPr>
          <w:rFonts w:eastAsia="Times New Roman" w:cs="Times New Roman"/>
          <w:sz w:val="24"/>
          <w:szCs w:val="24"/>
        </w:rPr>
        <w:t xml:space="preserve"> is </w:t>
      </w:r>
      <w:r w:rsidR="00AB49B8">
        <w:rPr>
          <w:rFonts w:eastAsia="Times New Roman" w:cs="Times New Roman"/>
          <w:sz w:val="24"/>
          <w:szCs w:val="24"/>
        </w:rPr>
        <w:t xml:space="preserve">also </w:t>
      </w:r>
      <w:r w:rsidR="004E5D91">
        <w:rPr>
          <w:rFonts w:eastAsia="Times New Roman" w:cs="Times New Roman"/>
          <w:sz w:val="24"/>
          <w:szCs w:val="24"/>
        </w:rPr>
        <w:t>desirable</w:t>
      </w:r>
      <w:r w:rsidR="002F7EE5" w:rsidRPr="002F7EE5">
        <w:rPr>
          <w:rFonts w:eastAsia="Times New Roman" w:cs="Times New Roman"/>
          <w:sz w:val="24"/>
          <w:szCs w:val="24"/>
        </w:rPr>
        <w:t xml:space="preserve"> because </w:t>
      </w:r>
      <w:r w:rsidR="00E85A77" w:rsidRPr="00070FD2">
        <w:rPr>
          <w:rFonts w:eastAsia="Times New Roman" w:cs="Times New Roman"/>
          <w:sz w:val="24"/>
          <w:szCs w:val="24"/>
        </w:rPr>
        <w:t>available</w:t>
      </w:r>
      <w:r w:rsidRPr="00070FD2">
        <w:rPr>
          <w:rFonts w:eastAsia="Times New Roman" w:cs="Times New Roman"/>
          <w:sz w:val="24"/>
          <w:szCs w:val="24"/>
        </w:rPr>
        <w:t xml:space="preserve"> </w:t>
      </w:r>
      <w:r w:rsidR="00E85A77" w:rsidRPr="00070FD2">
        <w:rPr>
          <w:rFonts w:eastAsia="Times New Roman" w:cs="Times New Roman"/>
          <w:sz w:val="24"/>
          <w:szCs w:val="24"/>
        </w:rPr>
        <w:t xml:space="preserve">sources of information </w:t>
      </w:r>
      <w:r w:rsidR="002F7EE5" w:rsidRPr="00C27667">
        <w:rPr>
          <w:rFonts w:eastAsia="Times New Roman" w:cs="Times New Roman"/>
          <w:sz w:val="24"/>
          <w:szCs w:val="24"/>
        </w:rPr>
        <w:t>are out of date or incomplete</w:t>
      </w:r>
      <w:r w:rsidR="00907967">
        <w:rPr>
          <w:rFonts w:eastAsia="Times New Roman" w:cs="Times New Roman"/>
          <w:sz w:val="24"/>
          <w:szCs w:val="24"/>
        </w:rPr>
        <w:t xml:space="preserve"> for</w:t>
      </w:r>
      <w:r w:rsidR="00650E92">
        <w:rPr>
          <w:rFonts w:eastAsia="Times New Roman" w:cs="Times New Roman"/>
          <w:sz w:val="24"/>
          <w:szCs w:val="24"/>
        </w:rPr>
        <w:t xml:space="preserve"> each of the proposed mining sectors</w:t>
      </w:r>
      <w:r w:rsidR="00E85A77" w:rsidRPr="00070FD2">
        <w:rPr>
          <w:rFonts w:eastAsia="Times New Roman" w:cs="Times New Roman"/>
          <w:sz w:val="24"/>
          <w:szCs w:val="24"/>
        </w:rPr>
        <w:t xml:space="preserve">. </w:t>
      </w:r>
      <w:r w:rsidR="00063B83">
        <w:rPr>
          <w:rFonts w:eastAsia="Times New Roman" w:cs="Times New Roman"/>
          <w:sz w:val="24"/>
          <w:szCs w:val="24"/>
        </w:rPr>
        <w:t>As a strength</w:t>
      </w:r>
      <w:r w:rsidR="00AB49B8">
        <w:rPr>
          <w:rFonts w:eastAsia="Times New Roman" w:cs="Times New Roman"/>
          <w:sz w:val="24"/>
          <w:szCs w:val="24"/>
        </w:rPr>
        <w:t xml:space="preserve">, the </w:t>
      </w:r>
      <w:r w:rsidR="0039603D">
        <w:rPr>
          <w:rFonts w:eastAsia="Times New Roman" w:cs="Times New Roman"/>
          <w:sz w:val="24"/>
          <w:szCs w:val="24"/>
        </w:rPr>
        <w:t xml:space="preserve">MIWS </w:t>
      </w:r>
      <w:r w:rsidR="00AB49B8">
        <w:rPr>
          <w:rFonts w:eastAsia="Times New Roman" w:cs="Times New Roman"/>
          <w:sz w:val="24"/>
          <w:szCs w:val="24"/>
        </w:rPr>
        <w:t>will</w:t>
      </w:r>
      <w:r w:rsidR="00907967">
        <w:rPr>
          <w:rFonts w:eastAsia="Times New Roman" w:cs="Times New Roman"/>
          <w:sz w:val="24"/>
          <w:szCs w:val="24"/>
        </w:rPr>
        <w:t xml:space="preserve"> sample and survey</w:t>
      </w:r>
      <w:r w:rsidR="0039603D">
        <w:rPr>
          <w:rFonts w:eastAsia="Times New Roman" w:cs="Times New Roman"/>
          <w:sz w:val="24"/>
          <w:szCs w:val="24"/>
        </w:rPr>
        <w:t xml:space="preserve"> </w:t>
      </w:r>
      <w:r w:rsidR="00AC1434">
        <w:rPr>
          <w:rFonts w:eastAsia="Times New Roman" w:cs="Times New Roman"/>
          <w:sz w:val="24"/>
          <w:szCs w:val="24"/>
        </w:rPr>
        <w:t xml:space="preserve">each </w:t>
      </w:r>
      <w:r w:rsidR="008E40A5">
        <w:rPr>
          <w:rFonts w:eastAsia="Times New Roman" w:cs="Times New Roman"/>
          <w:sz w:val="24"/>
          <w:szCs w:val="24"/>
        </w:rPr>
        <w:t xml:space="preserve">of the three </w:t>
      </w:r>
      <w:r w:rsidR="00907967">
        <w:rPr>
          <w:rFonts w:eastAsia="Times New Roman" w:cs="Times New Roman"/>
          <w:sz w:val="24"/>
          <w:szCs w:val="24"/>
        </w:rPr>
        <w:t>mining sector</w:t>
      </w:r>
      <w:r w:rsidR="008E40A5">
        <w:rPr>
          <w:rFonts w:eastAsia="Times New Roman" w:cs="Times New Roman"/>
          <w:sz w:val="24"/>
          <w:szCs w:val="24"/>
        </w:rPr>
        <w:t>s</w:t>
      </w:r>
      <w:r w:rsidR="005E3DFE">
        <w:rPr>
          <w:rFonts w:eastAsia="Times New Roman" w:cs="Times New Roman"/>
          <w:sz w:val="24"/>
          <w:szCs w:val="24"/>
        </w:rPr>
        <w:t xml:space="preserve"> as a unit of analysis</w:t>
      </w:r>
      <w:r w:rsidR="008B66BE">
        <w:rPr>
          <w:rFonts w:eastAsia="Times New Roman" w:cs="Times New Roman"/>
          <w:sz w:val="24"/>
          <w:szCs w:val="24"/>
        </w:rPr>
        <w:t xml:space="preserve"> </w:t>
      </w:r>
      <w:r w:rsidR="00B465FC">
        <w:rPr>
          <w:rFonts w:eastAsia="Times New Roman" w:cs="Times New Roman"/>
          <w:sz w:val="24"/>
          <w:szCs w:val="24"/>
        </w:rPr>
        <w:t>to arrive at sector-</w:t>
      </w:r>
      <w:r w:rsidR="00907967">
        <w:rPr>
          <w:rFonts w:eastAsia="Times New Roman" w:cs="Times New Roman"/>
          <w:sz w:val="24"/>
          <w:szCs w:val="24"/>
        </w:rPr>
        <w:t>specific estimates</w:t>
      </w:r>
      <w:r w:rsidR="00AC1434">
        <w:rPr>
          <w:rFonts w:eastAsia="Times New Roman" w:cs="Times New Roman"/>
          <w:sz w:val="24"/>
          <w:szCs w:val="24"/>
        </w:rPr>
        <w:t xml:space="preserve">. </w:t>
      </w:r>
      <w:r w:rsidR="00E85A77" w:rsidRPr="00070FD2">
        <w:rPr>
          <w:rFonts w:eastAsia="Times New Roman" w:cs="Times New Roman"/>
          <w:sz w:val="24"/>
          <w:szCs w:val="24"/>
        </w:rPr>
        <w:t xml:space="preserve">A description of the existing data and information gaps </w:t>
      </w:r>
      <w:r w:rsidR="008E6528">
        <w:rPr>
          <w:rFonts w:eastAsia="Times New Roman" w:cs="Times New Roman"/>
          <w:sz w:val="24"/>
          <w:szCs w:val="24"/>
        </w:rPr>
        <w:t xml:space="preserve">addressed by the </w:t>
      </w:r>
      <w:r w:rsidR="00731BC7">
        <w:rPr>
          <w:rFonts w:eastAsia="Times New Roman" w:cs="Times New Roman"/>
          <w:sz w:val="24"/>
          <w:szCs w:val="24"/>
        </w:rPr>
        <w:t>MIWS</w:t>
      </w:r>
      <w:r w:rsidR="008E6528">
        <w:rPr>
          <w:rFonts w:eastAsia="Times New Roman" w:cs="Times New Roman"/>
          <w:sz w:val="24"/>
          <w:szCs w:val="24"/>
        </w:rPr>
        <w:t xml:space="preserve"> </w:t>
      </w:r>
      <w:r w:rsidR="00E85A77" w:rsidRPr="00070FD2">
        <w:rPr>
          <w:rFonts w:eastAsia="Times New Roman" w:cs="Times New Roman"/>
          <w:sz w:val="24"/>
          <w:szCs w:val="24"/>
        </w:rPr>
        <w:t>follows.</w:t>
      </w:r>
    </w:p>
    <w:p w14:paraId="0A98019E" w14:textId="77777777" w:rsidR="00592EF4" w:rsidRPr="003716E1" w:rsidRDefault="00592EF4" w:rsidP="003716E1">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5F59E01F" w14:textId="62F17E10" w:rsidR="003716E1" w:rsidRPr="003716E1" w:rsidRDefault="000D487C" w:rsidP="00CA2955">
      <w:pPr>
        <w:rPr>
          <w:rFonts w:ascii="Calibri" w:eastAsia="Times New Roman" w:hAnsi="Calibri" w:cs="Times New Roman"/>
          <w:b/>
          <w:bCs/>
          <w:kern w:val="32"/>
          <w:sz w:val="24"/>
          <w:szCs w:val="32"/>
        </w:rPr>
      </w:pPr>
      <w:r w:rsidRPr="00CA2955">
        <w:rPr>
          <w:rFonts w:ascii="Calibri" w:hAnsi="Calibri"/>
          <w:b/>
          <w:sz w:val="24"/>
        </w:rPr>
        <w:t>A</w:t>
      </w:r>
      <w:bookmarkStart w:id="2" w:name="_Toc435798891"/>
      <w:r w:rsidR="003716E1" w:rsidRPr="003716E1">
        <w:rPr>
          <w:rFonts w:ascii="Calibri" w:eastAsia="Times New Roman" w:hAnsi="Calibri" w:cs="Times New Roman"/>
          <w:b/>
          <w:bCs/>
          <w:kern w:val="32"/>
          <w:sz w:val="24"/>
          <w:szCs w:val="32"/>
        </w:rPr>
        <w:t>.2</w:t>
      </w:r>
      <w:r w:rsidR="003716E1" w:rsidRPr="003716E1">
        <w:rPr>
          <w:rFonts w:ascii="Calibri" w:eastAsia="Times New Roman" w:hAnsi="Calibri" w:cs="Times New Roman"/>
          <w:b/>
          <w:bCs/>
          <w:kern w:val="32"/>
          <w:sz w:val="24"/>
          <w:szCs w:val="32"/>
        </w:rPr>
        <w:tab/>
        <w:t>Purpose and Use of Information Collection</w:t>
      </w:r>
      <w:bookmarkEnd w:id="2"/>
    </w:p>
    <w:p w14:paraId="35E86C82" w14:textId="77777777" w:rsidR="00F4376E" w:rsidRDefault="008210B2" w:rsidP="008210B2">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There has been a renewed focus on mine safety and training issues in response to </w:t>
      </w:r>
      <w:r w:rsidR="009748F0">
        <w:rPr>
          <w:rFonts w:ascii="Calibri" w:eastAsia="Times New Roman" w:hAnsi="Calibri" w:cs="Times New Roman"/>
          <w:sz w:val="24"/>
          <w:szCs w:val="24"/>
        </w:rPr>
        <w:t xml:space="preserve">disasters at </w:t>
      </w:r>
      <w:r w:rsidRPr="003716E1">
        <w:rPr>
          <w:rFonts w:ascii="Calibri" w:eastAsia="Times New Roman" w:hAnsi="Calibri" w:cs="Times New Roman"/>
          <w:sz w:val="24"/>
          <w:szCs w:val="24"/>
        </w:rPr>
        <w:t>the Sago Mine (January 2006), the Darby Mine No. 1 (June 2006), the Crandall Canyon Mine (August 2007) and, more recently, the Upper Big Branch Mine-South (April 2010).</w:t>
      </w:r>
    </w:p>
    <w:p w14:paraId="7693D2F7" w14:textId="77777777" w:rsidR="008210B2" w:rsidRPr="00CA2955" w:rsidRDefault="008210B2" w:rsidP="008210B2">
      <w:pPr>
        <w:autoSpaceDE w:val="0"/>
        <w:autoSpaceDN w:val="0"/>
        <w:adjustRightInd w:val="0"/>
        <w:spacing w:after="0" w:line="240" w:lineRule="auto"/>
        <w:rPr>
          <w:rFonts w:ascii="Calibri" w:hAnsi="Calibri"/>
          <w:sz w:val="24"/>
        </w:rPr>
      </w:pPr>
    </w:p>
    <w:p w14:paraId="6E691FB6" w14:textId="2375039B" w:rsidR="00FD69C2" w:rsidRDefault="00E23350" w:rsidP="00070FD2">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high rates of fatalities, injuries, and illnesses in the mining industry call for solutions guided by a surveillance program that identifies the greatest hazards and tracks impact on reducing the hazards. </w:t>
      </w:r>
      <w:r w:rsidR="00F4376E">
        <w:rPr>
          <w:rFonts w:ascii="Calibri" w:eastAsia="Times New Roman" w:hAnsi="Calibri" w:cs="Times New Roman"/>
          <w:sz w:val="24"/>
          <w:szCs w:val="24"/>
        </w:rPr>
        <w:t xml:space="preserve">NIOSH will use the MIWS to provide timely information to an industry where workers are at high risk. </w:t>
      </w:r>
      <w:r w:rsidR="008210B2">
        <w:rPr>
          <w:rFonts w:ascii="Calibri" w:eastAsia="Times New Roman" w:hAnsi="Calibri" w:cs="Times New Roman"/>
          <w:sz w:val="24"/>
          <w:szCs w:val="24"/>
        </w:rPr>
        <w:t>T</w:t>
      </w:r>
      <w:r w:rsidR="008210B2" w:rsidRPr="00F75F44">
        <w:rPr>
          <w:rFonts w:ascii="Calibri" w:hAnsi="Calibri"/>
          <w:sz w:val="24"/>
        </w:rPr>
        <w:t xml:space="preserve">he most important objective of the </w:t>
      </w:r>
      <w:r w:rsidR="008210B2">
        <w:rPr>
          <w:rFonts w:ascii="Calibri" w:hAnsi="Calibri"/>
          <w:sz w:val="24"/>
        </w:rPr>
        <w:t>MIWS</w:t>
      </w:r>
      <w:r w:rsidR="008210B2" w:rsidRPr="00F75F44">
        <w:rPr>
          <w:rFonts w:ascii="Calibri" w:hAnsi="Calibri"/>
          <w:sz w:val="24"/>
        </w:rPr>
        <w:t xml:space="preserve"> will be to </w:t>
      </w:r>
      <w:r w:rsidR="008210B2">
        <w:rPr>
          <w:rFonts w:ascii="Calibri" w:hAnsi="Calibri"/>
          <w:sz w:val="24"/>
        </w:rPr>
        <w:t xml:space="preserve">estimate </w:t>
      </w:r>
      <w:r w:rsidR="008210B2" w:rsidRPr="00F75F44">
        <w:rPr>
          <w:rFonts w:ascii="Calibri" w:hAnsi="Calibri"/>
          <w:sz w:val="24"/>
        </w:rPr>
        <w:t xml:space="preserve">denominator data so that </w:t>
      </w:r>
      <w:r w:rsidR="008210B2">
        <w:rPr>
          <w:rFonts w:ascii="Calibri" w:hAnsi="Calibri"/>
          <w:sz w:val="24"/>
        </w:rPr>
        <w:t xml:space="preserve">existing health and safety reports </w:t>
      </w:r>
      <w:r w:rsidR="008210B2" w:rsidRPr="00F75F44">
        <w:rPr>
          <w:rFonts w:ascii="Calibri" w:hAnsi="Calibri"/>
          <w:sz w:val="24"/>
        </w:rPr>
        <w:t>can be evaluated in relation to the population</w:t>
      </w:r>
      <w:r w:rsidR="00FD69C2">
        <w:rPr>
          <w:rFonts w:ascii="Calibri" w:hAnsi="Calibri"/>
          <w:sz w:val="24"/>
        </w:rPr>
        <w:t xml:space="preserve"> and specific subpopulations</w:t>
      </w:r>
      <w:r w:rsidR="008210B2" w:rsidRPr="00F75F44">
        <w:rPr>
          <w:rFonts w:ascii="Calibri" w:hAnsi="Calibri"/>
          <w:sz w:val="24"/>
        </w:rPr>
        <w:t xml:space="preserve"> at risk</w:t>
      </w:r>
      <w:r w:rsidR="008210B2" w:rsidRPr="000A3698">
        <w:rPr>
          <w:rFonts w:ascii="Calibri" w:eastAsia="Times New Roman" w:hAnsi="Calibri" w:cs="Times New Roman"/>
          <w:sz w:val="24"/>
          <w:szCs w:val="24"/>
        </w:rPr>
        <w:t>.</w:t>
      </w:r>
      <w:r w:rsidR="00D90BFB">
        <w:rPr>
          <w:rFonts w:ascii="Calibri" w:eastAsia="Times New Roman" w:hAnsi="Calibri" w:cs="Times New Roman"/>
          <w:sz w:val="24"/>
          <w:szCs w:val="24"/>
        </w:rPr>
        <w:t xml:space="preserve"> Incidence</w:t>
      </w:r>
      <w:r>
        <w:rPr>
          <w:rFonts w:ascii="Calibri" w:eastAsia="Times New Roman" w:hAnsi="Calibri" w:cs="Times New Roman"/>
          <w:sz w:val="24"/>
          <w:szCs w:val="24"/>
        </w:rPr>
        <w:t xml:space="preserve"> rate data of this type is currently not available</w:t>
      </w:r>
      <w:r w:rsidR="00D90BFB">
        <w:rPr>
          <w:rFonts w:ascii="Calibri" w:eastAsia="Times New Roman" w:hAnsi="Calibri" w:cs="Times New Roman"/>
          <w:sz w:val="24"/>
          <w:szCs w:val="24"/>
        </w:rPr>
        <w:t xml:space="preserve"> from existing reporting systems</w:t>
      </w:r>
      <w:r>
        <w:rPr>
          <w:rFonts w:ascii="Calibri" w:eastAsia="Times New Roman" w:hAnsi="Calibri" w:cs="Times New Roman"/>
          <w:sz w:val="24"/>
          <w:szCs w:val="24"/>
        </w:rPr>
        <w:t>.</w:t>
      </w:r>
    </w:p>
    <w:p w14:paraId="5F153159" w14:textId="77777777" w:rsidR="00FD69C2" w:rsidRDefault="00FD69C2" w:rsidP="00070FD2">
      <w:pPr>
        <w:autoSpaceDE w:val="0"/>
        <w:autoSpaceDN w:val="0"/>
        <w:adjustRightInd w:val="0"/>
        <w:spacing w:after="0" w:line="240" w:lineRule="auto"/>
        <w:rPr>
          <w:rFonts w:ascii="Calibri" w:eastAsia="Times New Roman" w:hAnsi="Calibri" w:cs="Times New Roman"/>
          <w:sz w:val="24"/>
          <w:szCs w:val="24"/>
        </w:rPr>
      </w:pPr>
    </w:p>
    <w:p w14:paraId="5355061C" w14:textId="318F2B2C" w:rsidR="00072C4F" w:rsidRDefault="00FD69C2" w:rsidP="00070FD2">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w:t>
      </w:r>
      <w:r w:rsidR="009748F0">
        <w:rPr>
          <w:rFonts w:ascii="Calibri" w:eastAsia="Times New Roman" w:hAnsi="Calibri" w:cs="Times New Roman"/>
          <w:sz w:val="24"/>
          <w:szCs w:val="24"/>
        </w:rPr>
        <w:t>he survey will</w:t>
      </w:r>
      <w:r w:rsidR="00C70D6A" w:rsidRPr="003716E1">
        <w:rPr>
          <w:rFonts w:ascii="Calibri" w:eastAsia="Times New Roman" w:hAnsi="Calibri" w:cs="Times New Roman"/>
          <w:sz w:val="24"/>
          <w:szCs w:val="24"/>
        </w:rPr>
        <w:t xml:space="preserve"> </w:t>
      </w:r>
      <w:r>
        <w:rPr>
          <w:rFonts w:ascii="Calibri" w:eastAsia="Times New Roman" w:hAnsi="Calibri" w:cs="Times New Roman"/>
          <w:sz w:val="24"/>
          <w:szCs w:val="24"/>
        </w:rPr>
        <w:t xml:space="preserve">also </w:t>
      </w:r>
      <w:r w:rsidR="00C70D6A" w:rsidRPr="003716E1">
        <w:rPr>
          <w:rFonts w:ascii="Calibri" w:eastAsia="Times New Roman" w:hAnsi="Calibri" w:cs="Times New Roman"/>
          <w:sz w:val="24"/>
          <w:szCs w:val="24"/>
        </w:rPr>
        <w:t>determine the quantity of contract labor that mine operators use (overall and by major mining sector) and the type of work performed.</w:t>
      </w:r>
      <w:r w:rsidR="00C70D6A">
        <w:rPr>
          <w:rFonts w:ascii="Calibri" w:eastAsia="Times New Roman" w:hAnsi="Calibri" w:cs="Times New Roman"/>
          <w:sz w:val="24"/>
          <w:szCs w:val="24"/>
        </w:rPr>
        <w:t xml:space="preserve"> </w:t>
      </w:r>
      <w:r w:rsidR="00A51191" w:rsidRPr="003716E1">
        <w:rPr>
          <w:rFonts w:ascii="Calibri" w:eastAsia="Times New Roman" w:hAnsi="Calibri" w:cs="Times New Roman"/>
          <w:sz w:val="24"/>
          <w:szCs w:val="24"/>
        </w:rPr>
        <w:t xml:space="preserve">Since 1986, the use of contract laborers has become commonplace in mines. These laborers may be specialists in a particular field or they may be temporary workers brought in to supplement the existing labor force. Contractors are required to report </w:t>
      </w:r>
      <w:r w:rsidR="009D0467">
        <w:rPr>
          <w:rFonts w:ascii="Calibri" w:eastAsia="Times New Roman" w:hAnsi="Calibri" w:cs="Times New Roman"/>
          <w:sz w:val="24"/>
          <w:szCs w:val="24"/>
        </w:rPr>
        <w:t xml:space="preserve">aggregate </w:t>
      </w:r>
      <w:r w:rsidR="00A51191" w:rsidRPr="003716E1">
        <w:rPr>
          <w:rFonts w:ascii="Calibri" w:eastAsia="Times New Roman" w:hAnsi="Calibri" w:cs="Times New Roman"/>
          <w:sz w:val="24"/>
          <w:szCs w:val="24"/>
        </w:rPr>
        <w:t xml:space="preserve">employment </w:t>
      </w:r>
      <w:r w:rsidR="009D0467">
        <w:rPr>
          <w:rFonts w:ascii="Calibri" w:eastAsia="Times New Roman" w:hAnsi="Calibri" w:cs="Times New Roman"/>
          <w:sz w:val="24"/>
          <w:szCs w:val="24"/>
        </w:rPr>
        <w:t xml:space="preserve">data </w:t>
      </w:r>
      <w:r w:rsidR="00A51191" w:rsidRPr="003716E1">
        <w:rPr>
          <w:rFonts w:ascii="Calibri" w:eastAsia="Times New Roman" w:hAnsi="Calibri" w:cs="Times New Roman"/>
          <w:sz w:val="24"/>
          <w:szCs w:val="24"/>
        </w:rPr>
        <w:t xml:space="preserve">under two categories (all coal locations, and all metal, nonmetal, stone, and sand and gravel locations), rather than for the individual mines where their employees worked during a particular quarter. </w:t>
      </w:r>
    </w:p>
    <w:p w14:paraId="21D23579" w14:textId="77777777" w:rsidR="00072C4F" w:rsidRDefault="00072C4F" w:rsidP="00070FD2">
      <w:pPr>
        <w:autoSpaceDE w:val="0"/>
        <w:autoSpaceDN w:val="0"/>
        <w:adjustRightInd w:val="0"/>
        <w:spacing w:after="0" w:line="240" w:lineRule="auto"/>
        <w:rPr>
          <w:rFonts w:ascii="Calibri" w:eastAsia="Times New Roman" w:hAnsi="Calibri" w:cs="Times New Roman"/>
          <w:sz w:val="24"/>
          <w:szCs w:val="24"/>
        </w:rPr>
      </w:pPr>
    </w:p>
    <w:p w14:paraId="4A841082" w14:textId="50E2BA16" w:rsidR="008003C6" w:rsidRDefault="00072C4F" w:rsidP="008003C6">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following discussion of prior surveys and ongoing required reporting from mining sectors will explain the purpose and the utility of the MIWS to fill data gaps a</w:t>
      </w:r>
      <w:r w:rsidR="00D409BD">
        <w:rPr>
          <w:rFonts w:ascii="Calibri" w:eastAsia="Times New Roman" w:hAnsi="Calibri" w:cs="Times New Roman"/>
          <w:sz w:val="24"/>
          <w:szCs w:val="24"/>
        </w:rPr>
        <w:t>nd to update necessary data</w:t>
      </w:r>
      <w:r w:rsidR="00727CBE">
        <w:rPr>
          <w:rFonts w:ascii="Calibri" w:eastAsia="Times New Roman" w:hAnsi="Calibri" w:cs="Times New Roman"/>
          <w:sz w:val="24"/>
          <w:szCs w:val="24"/>
        </w:rPr>
        <w:t>. This collection will allow NIOSH to complement the data on hand to</w:t>
      </w:r>
      <w:r w:rsidR="00DC673E">
        <w:rPr>
          <w:rFonts w:ascii="Calibri" w:eastAsia="Times New Roman" w:hAnsi="Calibri" w:cs="Times New Roman"/>
          <w:sz w:val="24"/>
          <w:szCs w:val="24"/>
        </w:rPr>
        <w:t xml:space="preserve"> inform </w:t>
      </w:r>
      <w:r w:rsidR="00727CBE">
        <w:rPr>
          <w:rFonts w:ascii="Calibri" w:eastAsia="Times New Roman" w:hAnsi="Calibri" w:cs="Times New Roman"/>
          <w:sz w:val="24"/>
          <w:szCs w:val="24"/>
        </w:rPr>
        <w:t xml:space="preserve">mining </w:t>
      </w:r>
      <w:r w:rsidR="00DC673E">
        <w:rPr>
          <w:rFonts w:ascii="Calibri" w:eastAsia="Times New Roman" w:hAnsi="Calibri" w:cs="Times New Roman"/>
          <w:sz w:val="24"/>
          <w:szCs w:val="24"/>
        </w:rPr>
        <w:t>health and safety recommendations</w:t>
      </w:r>
      <w:r w:rsidR="008003C6">
        <w:rPr>
          <w:rFonts w:ascii="Calibri" w:eastAsia="Times New Roman" w:hAnsi="Calibri" w:cs="Times New Roman"/>
          <w:sz w:val="24"/>
          <w:szCs w:val="24"/>
        </w:rPr>
        <w:t xml:space="preserve"> and recommend ways to reduce health and safety risks within specific mining sectors. </w:t>
      </w:r>
      <w:r w:rsidR="008003C6" w:rsidRPr="002F1586">
        <w:rPr>
          <w:rFonts w:ascii="Calibri" w:eastAsia="Times New Roman" w:hAnsi="Calibri" w:cs="Times New Roman"/>
          <w:sz w:val="24"/>
          <w:szCs w:val="24"/>
        </w:rPr>
        <w:t xml:space="preserve">The MIWS is designed to </w:t>
      </w:r>
      <w:r w:rsidR="008003C6">
        <w:rPr>
          <w:rFonts w:ascii="Calibri" w:eastAsia="Times New Roman" w:hAnsi="Calibri" w:cs="Times New Roman"/>
          <w:sz w:val="24"/>
          <w:szCs w:val="24"/>
        </w:rPr>
        <w:t>adapt this required data reporting to estimate risks.</w:t>
      </w:r>
      <w:r w:rsidR="008003C6" w:rsidRPr="002F1586">
        <w:rPr>
          <w:rFonts w:ascii="Calibri" w:eastAsia="Times New Roman" w:hAnsi="Calibri" w:cs="Times New Roman"/>
          <w:sz w:val="24"/>
          <w:szCs w:val="24"/>
        </w:rPr>
        <w:t xml:space="preserve"> </w:t>
      </w:r>
    </w:p>
    <w:p w14:paraId="7E6A598F" w14:textId="77777777"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664633A9" w14:textId="2E38C82A" w:rsidR="008003C6" w:rsidRPr="007148EA" w:rsidRDefault="008003C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b/>
          <w:sz w:val="24"/>
          <w:szCs w:val="24"/>
        </w:rPr>
      </w:pPr>
      <w:r w:rsidRPr="007148EA">
        <w:rPr>
          <w:rFonts w:ascii="Calibri" w:eastAsia="Times New Roman" w:hAnsi="Calibri" w:cs="Times New Roman"/>
          <w:b/>
          <w:sz w:val="24"/>
          <w:szCs w:val="24"/>
        </w:rPr>
        <w:t>Background on Prior Surveys</w:t>
      </w:r>
    </w:p>
    <w:p w14:paraId="6CE3D595" w14:textId="7B85B507" w:rsidR="00AA2A41" w:rsidRPr="007148EA" w:rsidRDefault="00AA2A41"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i/>
          <w:sz w:val="24"/>
          <w:szCs w:val="24"/>
          <w:u w:val="single"/>
        </w:rPr>
      </w:pPr>
      <w:r w:rsidRPr="007148EA">
        <w:rPr>
          <w:rFonts w:ascii="Calibri" w:hAnsi="Calibri"/>
          <w:i/>
          <w:sz w:val="24"/>
        </w:rPr>
        <w:t>Mining Industry Population Survey (MIPS)</w:t>
      </w:r>
    </w:p>
    <w:p w14:paraId="50FABF7B" w14:textId="3BCEF6B5"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5570A5">
        <w:rPr>
          <w:rFonts w:ascii="Calibri" w:hAnsi="Calibri"/>
          <w:sz w:val="24"/>
        </w:rPr>
        <w:t>In 1986, the Bureau of Mines, U.S. Department of the Interior, conducted the Mining Industry Population Survey (MIPS)</w:t>
      </w:r>
      <w:r w:rsidR="001C07FA">
        <w:rPr>
          <w:rFonts w:ascii="Calibri" w:hAnsi="Calibri"/>
          <w:sz w:val="24"/>
        </w:rPr>
        <w:t xml:space="preserve"> (OMB Control No. 1219-0096, Expiration Date 09/30/1986)</w:t>
      </w:r>
      <w:r w:rsidRPr="005570A5">
        <w:rPr>
          <w:rFonts w:ascii="Calibri" w:hAnsi="Calibri"/>
          <w:sz w:val="24"/>
        </w:rPr>
        <w:t xml:space="preserve">, the first survey collecting </w:t>
      </w:r>
      <w:r>
        <w:rPr>
          <w:rFonts w:ascii="Calibri" w:hAnsi="Calibri"/>
          <w:sz w:val="24"/>
        </w:rPr>
        <w:t xml:space="preserve">mine-level </w:t>
      </w:r>
      <w:r w:rsidRPr="005570A5">
        <w:rPr>
          <w:rFonts w:ascii="Calibri" w:hAnsi="Calibri"/>
          <w:sz w:val="24"/>
        </w:rPr>
        <w:t>information about the characteristics of mine workers</w:t>
      </w:r>
      <w:r w:rsidR="00C04109">
        <w:rPr>
          <w:rFonts w:ascii="Calibri" w:hAnsi="Calibri"/>
          <w:sz w:val="24"/>
        </w:rPr>
        <w:t xml:space="preserve"> [Butani and Bartholomew 1988a 1988b]. B</w:t>
      </w:r>
      <w:r w:rsidRPr="003716E1">
        <w:rPr>
          <w:rFonts w:ascii="Calibri" w:eastAsia="Times New Roman" w:hAnsi="Calibri" w:cs="Times New Roman"/>
          <w:sz w:val="24"/>
          <w:szCs w:val="24"/>
        </w:rPr>
        <w:t>y the 2000s, demographic changes in the mining workforce and the ever increasing use of independent contractors made the 1986 MIPS too outdated for anyt</w:t>
      </w:r>
      <w:r>
        <w:rPr>
          <w:rFonts w:ascii="Calibri" w:eastAsia="Times New Roman" w:hAnsi="Calibri" w:cs="Times New Roman"/>
          <w:sz w:val="24"/>
          <w:szCs w:val="24"/>
        </w:rPr>
        <w:t xml:space="preserve">hing other than historical use. </w:t>
      </w:r>
    </w:p>
    <w:p w14:paraId="3E90A754" w14:textId="77777777"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079B3737" w14:textId="368F5BC9" w:rsidR="00AA2A41" w:rsidRPr="007148EA" w:rsidRDefault="00AA2A41"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i/>
          <w:sz w:val="24"/>
          <w:szCs w:val="24"/>
        </w:rPr>
      </w:pPr>
      <w:r w:rsidRPr="007148EA">
        <w:rPr>
          <w:rFonts w:ascii="Calibri" w:eastAsia="Times New Roman" w:hAnsi="Calibri" w:cs="Times New Roman"/>
          <w:i/>
          <w:sz w:val="24"/>
          <w:szCs w:val="24"/>
        </w:rPr>
        <w:t>National Survey of the Mining Population</w:t>
      </w:r>
      <w:r>
        <w:rPr>
          <w:rFonts w:ascii="Calibri" w:eastAsia="Times New Roman" w:hAnsi="Calibri" w:cs="Times New Roman"/>
          <w:i/>
          <w:sz w:val="24"/>
          <w:szCs w:val="24"/>
        </w:rPr>
        <w:t xml:space="preserve"> (NS</w:t>
      </w:r>
      <w:r w:rsidR="00C04109">
        <w:rPr>
          <w:rFonts w:ascii="Calibri" w:eastAsia="Times New Roman" w:hAnsi="Calibri" w:cs="Times New Roman"/>
          <w:i/>
          <w:sz w:val="24"/>
          <w:szCs w:val="24"/>
        </w:rPr>
        <w:t>MP</w:t>
      </w:r>
      <w:r>
        <w:rPr>
          <w:rFonts w:ascii="Calibri" w:eastAsia="Times New Roman" w:hAnsi="Calibri" w:cs="Times New Roman"/>
          <w:i/>
          <w:sz w:val="24"/>
          <w:szCs w:val="24"/>
        </w:rPr>
        <w:t>)</w:t>
      </w:r>
    </w:p>
    <w:p w14:paraId="4E700C98" w14:textId="7ED86CB8" w:rsidR="002F1586" w:rsidRPr="00F75F44" w:rsidRDefault="002F1586" w:rsidP="002F158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u w:val="single"/>
        </w:rPr>
      </w:pPr>
      <w:r w:rsidRPr="00C00B84">
        <w:rPr>
          <w:rFonts w:ascii="Calibri" w:eastAsia="Times New Roman" w:hAnsi="Calibri" w:cs="Times New Roman"/>
          <w:sz w:val="24"/>
          <w:szCs w:val="24"/>
        </w:rPr>
        <w:t>In</w:t>
      </w:r>
      <w:r w:rsidRPr="003716E1">
        <w:rPr>
          <w:rFonts w:ascii="Calibri" w:eastAsia="Times New Roman" w:hAnsi="Calibri" w:cs="Times New Roman"/>
          <w:sz w:val="24"/>
          <w:szCs w:val="24"/>
        </w:rPr>
        <w:t xml:space="preserve"> 2008, NIOSH conducted the National Survey of the Mining Population (OMB Control No. 0920-0754, Expiration </w:t>
      </w:r>
      <w:r w:rsidR="00B42FB8">
        <w:rPr>
          <w:rFonts w:ascii="Calibri" w:eastAsia="Times New Roman" w:hAnsi="Calibri" w:cs="Times New Roman"/>
          <w:sz w:val="24"/>
          <w:szCs w:val="24"/>
        </w:rPr>
        <w:t>Date 10/31/2010</w:t>
      </w:r>
      <w:r w:rsidRPr="003716E1">
        <w:rPr>
          <w:rFonts w:ascii="Calibri" w:eastAsia="Times New Roman" w:hAnsi="Calibri" w:cs="Times New Roman"/>
          <w:sz w:val="24"/>
          <w:szCs w:val="24"/>
        </w:rPr>
        <w:t>)</w:t>
      </w:r>
      <w:r w:rsidR="00C04109">
        <w:rPr>
          <w:rFonts w:ascii="Calibri" w:eastAsia="Times New Roman" w:hAnsi="Calibri" w:cs="Times New Roman"/>
          <w:sz w:val="24"/>
          <w:szCs w:val="24"/>
        </w:rPr>
        <w:t xml:space="preserve"> [McWilliams</w:t>
      </w:r>
      <w:r w:rsidRPr="003716E1">
        <w:rPr>
          <w:rFonts w:ascii="Calibri" w:eastAsia="Times New Roman" w:hAnsi="Calibri" w:cs="Times New Roman"/>
          <w:sz w:val="24"/>
          <w:szCs w:val="24"/>
        </w:rPr>
        <w:t>,</w:t>
      </w:r>
      <w:r w:rsidR="00C04109">
        <w:rPr>
          <w:rFonts w:ascii="Calibri" w:eastAsia="Times New Roman" w:hAnsi="Calibri" w:cs="Times New Roman"/>
          <w:sz w:val="24"/>
          <w:szCs w:val="24"/>
        </w:rPr>
        <w:t xml:space="preserve"> Lenart, Lancaster and Zeiner 2012a 2012b],</w:t>
      </w:r>
      <w:r w:rsidRPr="003716E1">
        <w:rPr>
          <w:rFonts w:ascii="Calibri" w:eastAsia="Times New Roman" w:hAnsi="Calibri" w:cs="Times New Roman"/>
          <w:sz w:val="24"/>
          <w:szCs w:val="24"/>
        </w:rPr>
        <w:t xml:space="preserve"> the first comprehensive survey of the U.S. mining industry in more than 20 years. Unlike the MIPS, the NSMP was designed to collect data at the mine</w:t>
      </w:r>
      <w:r w:rsidR="00C80DCE">
        <w:rPr>
          <w:rFonts w:ascii="Calibri" w:eastAsia="Times New Roman" w:hAnsi="Calibri" w:cs="Times New Roman"/>
          <w:sz w:val="24"/>
          <w:szCs w:val="24"/>
        </w:rPr>
        <w:t xml:space="preserve"> </w:t>
      </w:r>
      <w:r w:rsidRPr="003716E1">
        <w:rPr>
          <w:rFonts w:ascii="Calibri" w:eastAsia="Times New Roman" w:hAnsi="Calibri" w:cs="Times New Roman"/>
          <w:sz w:val="24"/>
          <w:szCs w:val="24"/>
        </w:rPr>
        <w:t>level, as well as at the employee</w:t>
      </w:r>
      <w:r w:rsidR="00C80DCE">
        <w:rPr>
          <w:rFonts w:ascii="Calibri" w:eastAsia="Times New Roman" w:hAnsi="Calibri" w:cs="Times New Roman"/>
          <w:sz w:val="24"/>
          <w:szCs w:val="24"/>
        </w:rPr>
        <w:t xml:space="preserve"> </w:t>
      </w:r>
      <w:r w:rsidRPr="003716E1">
        <w:rPr>
          <w:rFonts w:ascii="Calibri" w:eastAsia="Times New Roman" w:hAnsi="Calibri" w:cs="Times New Roman"/>
          <w:sz w:val="24"/>
          <w:szCs w:val="24"/>
        </w:rPr>
        <w:t>level.</w:t>
      </w:r>
      <w:r>
        <w:rPr>
          <w:rFonts w:ascii="Calibri" w:eastAsia="Times New Roman" w:hAnsi="Calibri" w:cs="Times New Roman"/>
          <w:sz w:val="24"/>
          <w:szCs w:val="24"/>
        </w:rPr>
        <w:t xml:space="preserve"> </w:t>
      </w:r>
      <w:r w:rsidRPr="003716E1">
        <w:rPr>
          <w:rFonts w:ascii="Calibri" w:eastAsia="Times New Roman" w:hAnsi="Calibri" w:cs="Times New Roman"/>
          <w:sz w:val="24"/>
          <w:szCs w:val="24"/>
        </w:rPr>
        <w:t>Randomly selected mining operations in all of the major mining sectors (coal, metal, nonmetal, stone, and sand and gravel) received the survey and had the option of completing a paper or web-based questionnaire. The data from this survey has allowed OMSHR to obtain valuable information about mining operations (e.g., miner training, work schedules, safety and rescue measures)</w:t>
      </w:r>
      <w:r w:rsidR="00C80DCE">
        <w:rPr>
          <w:rFonts w:ascii="Calibri" w:eastAsia="Times New Roman" w:hAnsi="Calibri" w:cs="Times New Roman"/>
          <w:sz w:val="24"/>
          <w:szCs w:val="24"/>
        </w:rPr>
        <w:t>;</w:t>
      </w:r>
      <w:r w:rsidRPr="003716E1">
        <w:rPr>
          <w:rFonts w:ascii="Calibri" w:eastAsia="Times New Roman" w:hAnsi="Calibri" w:cs="Times New Roman"/>
          <w:sz w:val="24"/>
          <w:szCs w:val="24"/>
        </w:rPr>
        <w:t xml:space="preserve"> </w:t>
      </w:r>
      <w:r>
        <w:rPr>
          <w:rFonts w:ascii="Calibri" w:eastAsia="Times New Roman" w:hAnsi="Calibri" w:cs="Times New Roman"/>
          <w:sz w:val="24"/>
          <w:szCs w:val="24"/>
        </w:rPr>
        <w:t xml:space="preserve">to </w:t>
      </w:r>
      <w:r w:rsidRPr="003716E1">
        <w:rPr>
          <w:rFonts w:ascii="Calibri" w:eastAsia="Times New Roman" w:hAnsi="Calibri" w:cs="Times New Roman"/>
          <w:sz w:val="24"/>
          <w:szCs w:val="24"/>
        </w:rPr>
        <w:t>establish demographic and occupational characteristics of mine operator employees</w:t>
      </w:r>
      <w:r w:rsidR="00C80DCE">
        <w:rPr>
          <w:rFonts w:ascii="Calibri" w:eastAsia="Times New Roman" w:hAnsi="Calibri" w:cs="Times New Roman"/>
          <w:sz w:val="24"/>
          <w:szCs w:val="24"/>
        </w:rPr>
        <w:t>;</w:t>
      </w:r>
      <w:r w:rsidRPr="003716E1">
        <w:rPr>
          <w:rFonts w:ascii="Calibri" w:eastAsia="Times New Roman" w:hAnsi="Calibri" w:cs="Times New Roman"/>
          <w:sz w:val="24"/>
          <w:szCs w:val="24"/>
        </w:rPr>
        <w:t xml:space="preserve"> </w:t>
      </w:r>
      <w:r>
        <w:rPr>
          <w:rFonts w:ascii="Calibri" w:eastAsia="Times New Roman" w:hAnsi="Calibri" w:cs="Times New Roman"/>
          <w:sz w:val="24"/>
          <w:szCs w:val="24"/>
        </w:rPr>
        <w:t xml:space="preserve">to </w:t>
      </w:r>
      <w:r w:rsidRPr="003716E1">
        <w:rPr>
          <w:rFonts w:ascii="Calibri" w:eastAsia="Times New Roman" w:hAnsi="Calibri" w:cs="Times New Roman"/>
          <w:sz w:val="24"/>
          <w:szCs w:val="24"/>
        </w:rPr>
        <w:t>estimate the number and type of independent contractor employees used by mining operations</w:t>
      </w:r>
      <w:r w:rsidR="00C80DCE">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w:t>
      </w:r>
      <w:r>
        <w:rPr>
          <w:rFonts w:ascii="Calibri" w:eastAsia="Times New Roman" w:hAnsi="Calibri" w:cs="Times New Roman"/>
          <w:sz w:val="24"/>
          <w:szCs w:val="24"/>
        </w:rPr>
        <w:t xml:space="preserve">to </w:t>
      </w:r>
      <w:r w:rsidRPr="003716E1">
        <w:rPr>
          <w:rFonts w:ascii="Calibri" w:eastAsia="Times New Roman" w:hAnsi="Calibri" w:cs="Times New Roman"/>
          <w:sz w:val="24"/>
          <w:szCs w:val="24"/>
        </w:rPr>
        <w:t>produce denominator data to calculate injury rates for various demographic and occupational subgroups.</w:t>
      </w:r>
      <w:r w:rsidR="00EB641B">
        <w:rPr>
          <w:rFonts w:ascii="Calibri" w:eastAsia="Times New Roman" w:hAnsi="Calibri" w:cs="Times New Roman"/>
          <w:sz w:val="24"/>
          <w:szCs w:val="24"/>
        </w:rPr>
        <w:t xml:space="preserve"> For example, OMSHR knows the number of electricians reported as injured in mine accidents, but prior to the NSMP there was no information regarding the total number of electricians employed in the mining industry. Consequently, injury rates for electricians could not be computed. The calculation of rates provides a way to standardize the injury data to allow comparisons among occupational</w:t>
      </w:r>
      <w:r w:rsidR="00C22474">
        <w:rPr>
          <w:rFonts w:ascii="Calibri" w:eastAsia="Times New Roman" w:hAnsi="Calibri" w:cs="Times New Roman"/>
          <w:sz w:val="24"/>
          <w:szCs w:val="24"/>
        </w:rPr>
        <w:t xml:space="preserve"> and demographic</w:t>
      </w:r>
      <w:r w:rsidR="00EB641B">
        <w:rPr>
          <w:rFonts w:ascii="Calibri" w:eastAsia="Times New Roman" w:hAnsi="Calibri" w:cs="Times New Roman"/>
          <w:sz w:val="24"/>
          <w:szCs w:val="24"/>
        </w:rPr>
        <w:t xml:space="preserve"> groups</w:t>
      </w:r>
      <w:r w:rsidR="00C22474">
        <w:rPr>
          <w:rFonts w:ascii="Calibri" w:eastAsia="Times New Roman" w:hAnsi="Calibri" w:cs="Times New Roman"/>
          <w:sz w:val="24"/>
          <w:szCs w:val="24"/>
        </w:rPr>
        <w:t xml:space="preserve"> so that the impact of future research priorities and interventions are evidence-based and meaningful</w:t>
      </w:r>
      <w:r w:rsidR="00EB641B">
        <w:rPr>
          <w:rFonts w:ascii="Calibri" w:eastAsia="Times New Roman" w:hAnsi="Calibri" w:cs="Times New Roman"/>
          <w:sz w:val="24"/>
          <w:szCs w:val="24"/>
        </w:rPr>
        <w:t>.</w:t>
      </w:r>
    </w:p>
    <w:p w14:paraId="3B9FFD35" w14:textId="77777777" w:rsidR="002F1586" w:rsidRDefault="002F1586" w:rsidP="002F158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03C1B9DE" w14:textId="747DC120" w:rsidR="002F1586" w:rsidRDefault="002F1586" w:rsidP="002F158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NSMP made clear the importance of having surveys to capture the current data </w:t>
      </w:r>
      <w:r w:rsidR="00C80DCE">
        <w:rPr>
          <w:rFonts w:ascii="Calibri" w:eastAsia="Times New Roman" w:hAnsi="Calibri" w:cs="Times New Roman"/>
          <w:sz w:val="24"/>
          <w:szCs w:val="24"/>
        </w:rPr>
        <w:t xml:space="preserve">that </w:t>
      </w:r>
      <w:r>
        <w:rPr>
          <w:rFonts w:ascii="Calibri" w:eastAsia="Times New Roman" w:hAnsi="Calibri" w:cs="Times New Roman"/>
          <w:sz w:val="24"/>
          <w:szCs w:val="24"/>
        </w:rPr>
        <w:t xml:space="preserve">NIOSH needs </w:t>
      </w:r>
      <w:r w:rsidR="00C80DCE">
        <w:rPr>
          <w:rFonts w:ascii="Calibri" w:eastAsia="Times New Roman" w:hAnsi="Calibri" w:cs="Times New Roman"/>
          <w:sz w:val="24"/>
          <w:szCs w:val="24"/>
        </w:rPr>
        <w:t xml:space="preserve">to monitor </w:t>
      </w:r>
      <w:r w:rsidR="00AF73D6">
        <w:rPr>
          <w:rFonts w:ascii="Calibri" w:eastAsia="Times New Roman" w:hAnsi="Calibri" w:cs="Times New Roman"/>
          <w:sz w:val="24"/>
          <w:szCs w:val="24"/>
        </w:rPr>
        <w:t xml:space="preserve">safety and health </w:t>
      </w:r>
      <w:r>
        <w:rPr>
          <w:rFonts w:ascii="Calibri" w:eastAsia="Times New Roman" w:hAnsi="Calibri" w:cs="Times New Roman"/>
          <w:sz w:val="24"/>
          <w:szCs w:val="24"/>
        </w:rPr>
        <w:t xml:space="preserve">issues for the nation’s mines and </w:t>
      </w:r>
      <w:r w:rsidR="00C80DCE">
        <w:rPr>
          <w:rFonts w:ascii="Calibri" w:eastAsia="Times New Roman" w:hAnsi="Calibri" w:cs="Times New Roman"/>
          <w:sz w:val="24"/>
          <w:szCs w:val="24"/>
        </w:rPr>
        <w:t xml:space="preserve">to respond effectively </w:t>
      </w:r>
      <w:r>
        <w:rPr>
          <w:rFonts w:ascii="Calibri" w:eastAsia="Times New Roman" w:hAnsi="Calibri" w:cs="Times New Roman"/>
          <w:sz w:val="24"/>
          <w:szCs w:val="24"/>
        </w:rPr>
        <w:t>to changes in mining practices and workforce composition. The MIWS is proposed to update and fill this information need.</w:t>
      </w:r>
    </w:p>
    <w:p w14:paraId="3A2A408D" w14:textId="77777777" w:rsidR="007F291A" w:rsidRDefault="007F291A" w:rsidP="002F1586">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34D046B1" w14:textId="3313E734" w:rsidR="008003C6" w:rsidRPr="007148EA" w:rsidRDefault="008003C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b/>
          <w:sz w:val="24"/>
          <w:szCs w:val="24"/>
        </w:rPr>
      </w:pPr>
      <w:r w:rsidRPr="007148EA">
        <w:rPr>
          <w:rFonts w:ascii="Calibri" w:eastAsia="Times New Roman" w:hAnsi="Calibri" w:cs="Times New Roman"/>
          <w:b/>
          <w:sz w:val="24"/>
          <w:szCs w:val="24"/>
        </w:rPr>
        <w:t>Existing Sources of Current Industry Information</w:t>
      </w:r>
      <w:r w:rsidR="00AA2A41">
        <w:rPr>
          <w:rFonts w:ascii="Calibri" w:eastAsia="Times New Roman" w:hAnsi="Calibri" w:cs="Times New Roman"/>
          <w:b/>
          <w:sz w:val="24"/>
          <w:szCs w:val="24"/>
        </w:rPr>
        <w:t xml:space="preserve"> and Their Limitations</w:t>
      </w:r>
    </w:p>
    <w:p w14:paraId="6E4EC5B4" w14:textId="3CF20C89"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NIOSH Mining Program</w:t>
      </w:r>
      <w:r w:rsidRPr="003716E1">
        <w:rPr>
          <w:rFonts w:ascii="Calibri" w:eastAsia="Times New Roman" w:hAnsi="Calibri" w:cs="Times New Roman"/>
          <w:sz w:val="24"/>
          <w:szCs w:val="24"/>
        </w:rPr>
        <w:t xml:space="preserve"> maintains mining surveillance activities </w:t>
      </w:r>
      <w:r w:rsidR="00C80DCE">
        <w:rPr>
          <w:rFonts w:ascii="Calibri" w:eastAsia="Times New Roman" w:hAnsi="Calibri" w:cs="Times New Roman"/>
          <w:sz w:val="24"/>
          <w:szCs w:val="24"/>
        </w:rPr>
        <w:t>that</w:t>
      </w:r>
      <w:r w:rsidR="00C80DCE"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rPr>
        <w:t>make extensive use of data from a number of different national databases. Even though these databases are currently being used for surveillance of the mining population, they are not fully able to meet the surveillance requirements for the mining industry.</w:t>
      </w:r>
      <w:r>
        <w:rPr>
          <w:rFonts w:ascii="Calibri" w:eastAsia="Times New Roman" w:hAnsi="Calibri" w:cs="Times New Roman"/>
          <w:sz w:val="24"/>
          <w:szCs w:val="24"/>
        </w:rPr>
        <w:t xml:space="preserve"> </w:t>
      </w:r>
    </w:p>
    <w:p w14:paraId="5F036F05" w14:textId="77777777"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766B3406" w14:textId="4FCFD9AF" w:rsidR="008003C6" w:rsidRDefault="002F1586"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 xml:space="preserve">The most frequently used databases are those maintained by MSHA. </w:t>
      </w:r>
      <w:r w:rsidR="00A77B84" w:rsidRPr="005B72EE">
        <w:rPr>
          <w:rFonts w:ascii="Calibri" w:eastAsia="Times New Roman" w:hAnsi="Calibri" w:cs="Times New Roman"/>
          <w:sz w:val="24"/>
          <w:szCs w:val="24"/>
        </w:rPr>
        <w:t>Both</w:t>
      </w:r>
      <w:r w:rsidR="00A77B84" w:rsidRPr="003716E1">
        <w:rPr>
          <w:rFonts w:ascii="Calibri" w:eastAsia="Times New Roman" w:hAnsi="Calibri" w:cs="Times New Roman"/>
          <w:sz w:val="24"/>
          <w:szCs w:val="24"/>
        </w:rPr>
        <w:t xml:space="preserve"> mine operator and contractor information is released to the public a</w:t>
      </w:r>
      <w:r w:rsidR="00A77B84">
        <w:rPr>
          <w:rFonts w:ascii="Calibri" w:eastAsia="Times New Roman" w:hAnsi="Calibri" w:cs="Times New Roman"/>
          <w:sz w:val="24"/>
          <w:szCs w:val="24"/>
        </w:rPr>
        <w:t>s preliminary</w:t>
      </w:r>
      <w:r w:rsidR="00A77B84" w:rsidRPr="003716E1">
        <w:rPr>
          <w:rFonts w:ascii="Calibri" w:eastAsia="Times New Roman" w:hAnsi="Calibri" w:cs="Times New Roman"/>
          <w:sz w:val="24"/>
          <w:szCs w:val="24"/>
        </w:rPr>
        <w:t xml:space="preserve"> quarterly and </w:t>
      </w:r>
      <w:r w:rsidR="00A77B84">
        <w:rPr>
          <w:rFonts w:ascii="Calibri" w:eastAsia="Times New Roman" w:hAnsi="Calibri" w:cs="Times New Roman"/>
          <w:sz w:val="24"/>
          <w:szCs w:val="24"/>
        </w:rPr>
        <w:t xml:space="preserve">final </w:t>
      </w:r>
      <w:r w:rsidR="00A77B84" w:rsidRPr="003716E1">
        <w:rPr>
          <w:rFonts w:ascii="Calibri" w:eastAsia="Times New Roman" w:hAnsi="Calibri" w:cs="Times New Roman"/>
          <w:sz w:val="24"/>
          <w:szCs w:val="24"/>
        </w:rPr>
        <w:t>annual basis data, and is available for downloading on the M</w:t>
      </w:r>
      <w:r w:rsidR="00A77B84">
        <w:rPr>
          <w:rFonts w:ascii="Calibri" w:eastAsia="Times New Roman" w:hAnsi="Calibri" w:cs="Times New Roman"/>
          <w:sz w:val="24"/>
          <w:szCs w:val="24"/>
        </w:rPr>
        <w:t>SHA</w:t>
      </w:r>
      <w:r w:rsidR="00A77B84" w:rsidRPr="003716E1">
        <w:rPr>
          <w:rFonts w:ascii="Calibri" w:eastAsia="Times New Roman" w:hAnsi="Calibri" w:cs="Times New Roman"/>
          <w:sz w:val="24"/>
          <w:szCs w:val="24"/>
        </w:rPr>
        <w:t xml:space="preserve"> website (</w:t>
      </w:r>
      <w:hyperlink r:id="rId15" w:history="1">
        <w:r w:rsidR="00A77B84" w:rsidRPr="003716E1">
          <w:rPr>
            <w:rFonts w:ascii="Calibri" w:eastAsia="Times New Roman" w:hAnsi="Calibri" w:cs="Times New Roman"/>
            <w:color w:val="000099"/>
            <w:sz w:val="24"/>
            <w:szCs w:val="24"/>
            <w:u w:val="single"/>
          </w:rPr>
          <w:t>http://www.msha.gov/</w:t>
        </w:r>
      </w:hyperlink>
      <w:r w:rsidR="00A77B84" w:rsidRPr="003716E1">
        <w:rPr>
          <w:rFonts w:ascii="Calibri" w:eastAsia="Times New Roman" w:hAnsi="Calibri" w:cs="Times New Roman"/>
          <w:sz w:val="24"/>
          <w:szCs w:val="24"/>
        </w:rPr>
        <w:t>).</w:t>
      </w:r>
      <w:r w:rsidR="00C80DCE">
        <w:rPr>
          <w:rFonts w:ascii="Calibri" w:eastAsia="Times New Roman" w:hAnsi="Calibri" w:cs="Times New Roman"/>
          <w:sz w:val="24"/>
          <w:szCs w:val="24"/>
        </w:rPr>
        <w:t xml:space="preserve"> </w:t>
      </w:r>
      <w:r w:rsidRPr="003716E1">
        <w:rPr>
          <w:rFonts w:ascii="Calibri" w:eastAsia="Times New Roman" w:hAnsi="Calibri" w:cs="Times New Roman"/>
          <w:sz w:val="24"/>
          <w:szCs w:val="24"/>
        </w:rPr>
        <w:t>MSHA collects information about</w:t>
      </w:r>
      <w:r>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maintains several </w:t>
      </w:r>
      <w:r>
        <w:rPr>
          <w:rFonts w:ascii="Calibri" w:eastAsia="Times New Roman" w:hAnsi="Calibri" w:cs="Times New Roman"/>
          <w:sz w:val="24"/>
          <w:szCs w:val="24"/>
        </w:rPr>
        <w:t xml:space="preserve">mining safety and health </w:t>
      </w:r>
      <w:r w:rsidRPr="003716E1">
        <w:rPr>
          <w:rFonts w:ascii="Calibri" w:eastAsia="Times New Roman" w:hAnsi="Calibri" w:cs="Times New Roman"/>
          <w:sz w:val="24"/>
          <w:szCs w:val="24"/>
        </w:rPr>
        <w:t>databases</w:t>
      </w:r>
      <w:r>
        <w:rPr>
          <w:rFonts w:ascii="Calibri" w:eastAsia="Times New Roman" w:hAnsi="Calibri" w:cs="Times New Roman"/>
          <w:sz w:val="24"/>
          <w:szCs w:val="24"/>
        </w:rPr>
        <w:t xml:space="preserve"> on</w:t>
      </w:r>
      <w:r w:rsidRPr="003716E1">
        <w:rPr>
          <w:rFonts w:ascii="Calibri" w:eastAsia="Times New Roman" w:hAnsi="Calibri" w:cs="Times New Roman"/>
          <w:sz w:val="24"/>
          <w:szCs w:val="24"/>
        </w:rPr>
        <w:t xml:space="preserve"> reported employment, accidents/injuries/illnesses, hazardous exposures, coal production, mine inspections, violations and citations, etc. Two of the most commonly used databases are the mine operator and contractor address/employment files and the file listing reports of accidents, injuries, and illnesses.</w:t>
      </w:r>
    </w:p>
    <w:p w14:paraId="6B6B9CE1" w14:textId="77777777" w:rsidR="008003C6" w:rsidRDefault="008003C6"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7FB0B776" w14:textId="61DBBC7D" w:rsidR="00B20D65" w:rsidRDefault="00B20D65"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Analysis of data from the existing MSHA employment and accident/injury/illness databases has been able to meet some, but not all, of the NIOSH surveillance needs. </w:t>
      </w:r>
      <w:r w:rsidR="00C80DCE">
        <w:rPr>
          <w:rFonts w:ascii="Calibri" w:eastAsia="Times New Roman" w:hAnsi="Calibri" w:cs="Times New Roman"/>
          <w:sz w:val="24"/>
          <w:szCs w:val="24"/>
        </w:rPr>
        <w:t>As one</w:t>
      </w:r>
      <w:r w:rsidR="00C80DCE"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rPr>
        <w:t xml:space="preserve">example, to identify subpopulations in each mining sector or type of mine at risk of adverse health and safety outcomes, NIOSH needs the capability to calculate demographic and occupation-specific rates of injury, fatalities, and disease. The ability to do so on an ongoing basis, however, does not currently exist because MSHA data on age, gender, and occupation are available </w:t>
      </w:r>
      <w:r w:rsidR="0063637A">
        <w:rPr>
          <w:rFonts w:ascii="Calibri" w:eastAsia="Times New Roman" w:hAnsi="Calibri" w:cs="Times New Roman"/>
          <w:sz w:val="24"/>
          <w:szCs w:val="24"/>
        </w:rPr>
        <w:t xml:space="preserve">only </w:t>
      </w:r>
      <w:r w:rsidRPr="003716E1">
        <w:rPr>
          <w:rFonts w:ascii="Calibri" w:eastAsia="Times New Roman" w:hAnsi="Calibri" w:cs="Times New Roman"/>
          <w:sz w:val="24"/>
          <w:szCs w:val="24"/>
        </w:rPr>
        <w:t>for injured or ill workers but not for the entire mining workforce.</w:t>
      </w:r>
      <w:r w:rsidR="0063637A">
        <w:rPr>
          <w:rFonts w:ascii="Calibri" w:eastAsia="Times New Roman" w:hAnsi="Calibri" w:cs="Times New Roman"/>
          <w:sz w:val="24"/>
          <w:szCs w:val="24"/>
        </w:rPr>
        <w:t xml:space="preserve"> The MIWS is proposed to fill this data need.</w:t>
      </w:r>
    </w:p>
    <w:p w14:paraId="25B14871" w14:textId="77777777" w:rsidR="009C2E40" w:rsidRDefault="009C2E40"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1D9997C0" w14:textId="77777777" w:rsidR="00AA2A41" w:rsidRPr="007148EA" w:rsidRDefault="009C2E40"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i/>
          <w:sz w:val="24"/>
          <w:szCs w:val="24"/>
        </w:rPr>
      </w:pPr>
      <w:r w:rsidRPr="007148EA">
        <w:rPr>
          <w:rFonts w:ascii="Calibri" w:eastAsia="Times New Roman" w:hAnsi="Calibri" w:cs="Times New Roman"/>
          <w:i/>
          <w:sz w:val="24"/>
          <w:szCs w:val="24"/>
        </w:rPr>
        <w:t xml:space="preserve">MSHA </w:t>
      </w:r>
      <w:r w:rsidRPr="007148EA">
        <w:rPr>
          <w:rFonts w:ascii="Calibri" w:eastAsia="Times New Roman" w:hAnsi="Calibri" w:cs="Times New Roman"/>
          <w:i/>
          <w:iCs/>
          <w:sz w:val="24"/>
          <w:szCs w:val="24"/>
        </w:rPr>
        <w:t>Quarterly Mine Employment and Coal Production Report</w:t>
      </w:r>
    </w:p>
    <w:p w14:paraId="1D34DDDC" w14:textId="409FE7A4" w:rsidR="009C2E40" w:rsidRDefault="009C2E40" w:rsidP="00CA2955">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Under 30 CFR Part 50, mine operators and independent contractors (whose employees perform certain types of work on mine property) are required to file a </w:t>
      </w:r>
      <w:r w:rsidRPr="003716E1">
        <w:rPr>
          <w:rFonts w:ascii="Calibri" w:eastAsia="Times New Roman" w:hAnsi="Calibri" w:cs="Times New Roman"/>
          <w:i/>
          <w:iCs/>
          <w:sz w:val="24"/>
          <w:szCs w:val="24"/>
        </w:rPr>
        <w:t xml:space="preserve">Quarterly Mine Employment and Coal Production Report (MSHA Form 7000-2; </w:t>
      </w:r>
      <w:r w:rsidRPr="003716E1">
        <w:rPr>
          <w:rFonts w:ascii="Calibri" w:eastAsia="Times New Roman" w:hAnsi="Calibri" w:cs="Times New Roman"/>
          <w:iCs/>
          <w:sz w:val="24"/>
          <w:szCs w:val="24"/>
        </w:rPr>
        <w:t>OMB Control Number 1219-0007; Approval Expires September 30, 2017</w:t>
      </w:r>
      <w:r w:rsidRPr="003716E1">
        <w:rPr>
          <w:rFonts w:ascii="Calibri" w:eastAsia="Times New Roman" w:hAnsi="Calibri" w:cs="Times New Roman"/>
          <w:i/>
          <w:iCs/>
          <w:sz w:val="24"/>
          <w:szCs w:val="24"/>
        </w:rPr>
        <w:t xml:space="preserve">) </w:t>
      </w:r>
      <w:r w:rsidRPr="007F291A">
        <w:rPr>
          <w:rFonts w:ascii="Calibri" w:eastAsia="Times New Roman" w:hAnsi="Calibri" w:cs="Times New Roman"/>
          <w:b/>
          <w:sz w:val="24"/>
          <w:szCs w:val="24"/>
        </w:rPr>
        <w:t>(</w:t>
      </w:r>
      <w:r w:rsidRPr="007F291A">
        <w:rPr>
          <w:rFonts w:ascii="Calibri" w:hAnsi="Calibri"/>
          <w:b/>
          <w:sz w:val="24"/>
        </w:rPr>
        <w:t>Attachment C</w:t>
      </w:r>
      <w:r w:rsidRPr="007F291A">
        <w:rPr>
          <w:rFonts w:ascii="Calibri" w:eastAsia="Times New Roman" w:hAnsi="Calibri" w:cs="Times New Roman"/>
          <w:b/>
          <w:sz w:val="24"/>
          <w:szCs w:val="24"/>
        </w:rPr>
        <w:t>)</w:t>
      </w:r>
      <w:r w:rsidRPr="003716E1">
        <w:rPr>
          <w:rFonts w:ascii="Calibri" w:eastAsia="Times New Roman" w:hAnsi="Calibri" w:cs="Times New Roman"/>
          <w:sz w:val="24"/>
          <w:szCs w:val="24"/>
        </w:rPr>
        <w:t>. In addition to the number of clean tons of coal produced (coal mines only), this report requests both the total number of employee hours worked and the average number of employees working within each valid operational subunit</w:t>
      </w:r>
      <w:r w:rsidRPr="003716E1">
        <w:rPr>
          <w:rFonts w:ascii="Calibri" w:eastAsia="Times New Roman" w:hAnsi="Calibri" w:cs="Times New Roman"/>
          <w:sz w:val="24"/>
          <w:szCs w:val="24"/>
          <w:vertAlign w:val="superscript"/>
        </w:rPr>
        <w:footnoteReference w:id="2"/>
      </w:r>
      <w:r w:rsidRPr="003716E1">
        <w:rPr>
          <w:rFonts w:ascii="Calibri" w:eastAsia="Times New Roman" w:hAnsi="Calibri" w:cs="Times New Roman"/>
          <w:sz w:val="24"/>
          <w:szCs w:val="24"/>
        </w:rPr>
        <w:t xml:space="preserve"> associated with the mining establishment. Each mining establishment is uniquely identified by i</w:t>
      </w:r>
      <w:r w:rsidR="00AF73D6">
        <w:rPr>
          <w:rFonts w:ascii="Calibri" w:eastAsia="Times New Roman" w:hAnsi="Calibri" w:cs="Times New Roman"/>
          <w:sz w:val="24"/>
          <w:szCs w:val="24"/>
        </w:rPr>
        <w:t xml:space="preserve">ts MSHA-assigned Mine ID number. </w:t>
      </w:r>
      <w:r w:rsidRPr="003716E1">
        <w:rPr>
          <w:rFonts w:eastAsia="Times New Roman"/>
          <w:sz w:val="24"/>
          <w:szCs w:val="24"/>
        </w:rPr>
        <w:t xml:space="preserve">Quarterly </w:t>
      </w:r>
      <w:r w:rsidR="00A77B84">
        <w:rPr>
          <w:rFonts w:eastAsia="Times New Roman"/>
          <w:sz w:val="24"/>
          <w:szCs w:val="24"/>
        </w:rPr>
        <w:t xml:space="preserve">mine employment is collected </w:t>
      </w:r>
      <w:r w:rsidRPr="003716E1">
        <w:rPr>
          <w:rFonts w:eastAsia="Times New Roman"/>
          <w:sz w:val="24"/>
          <w:szCs w:val="24"/>
        </w:rPr>
        <w:t>for each subunit of the mine</w:t>
      </w:r>
      <w:r w:rsidR="00C80DCE">
        <w:rPr>
          <w:rFonts w:eastAsia="Times New Roman"/>
          <w:sz w:val="24"/>
          <w:szCs w:val="24"/>
        </w:rPr>
        <w:t xml:space="preserve">, which allows for </w:t>
      </w:r>
      <w:r w:rsidRPr="003716E1">
        <w:rPr>
          <w:rFonts w:ascii="Calibri" w:eastAsia="Times New Roman" w:hAnsi="Calibri" w:cs="Times New Roman"/>
          <w:sz w:val="24"/>
          <w:szCs w:val="24"/>
        </w:rPr>
        <w:t xml:space="preserve">accident rates </w:t>
      </w:r>
      <w:r w:rsidR="00C80DCE">
        <w:rPr>
          <w:rFonts w:ascii="Calibri" w:eastAsia="Times New Roman" w:hAnsi="Calibri" w:cs="Times New Roman"/>
          <w:sz w:val="24"/>
          <w:szCs w:val="24"/>
        </w:rPr>
        <w:t>to</w:t>
      </w:r>
      <w:r w:rsidR="00C80DCE"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rPr>
        <w:t>be computed by mine or by work location within the mine and for aggregates of these two variables.</w:t>
      </w:r>
    </w:p>
    <w:p w14:paraId="7A125533" w14:textId="77777777" w:rsidR="002F1586" w:rsidRDefault="002F1586" w:rsidP="002F1586">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Times New Roman"/>
          <w:sz w:val="24"/>
          <w:szCs w:val="24"/>
        </w:rPr>
      </w:pPr>
    </w:p>
    <w:p w14:paraId="2C5B8D86" w14:textId="02003962" w:rsidR="002F1586" w:rsidRDefault="002F1586" w:rsidP="002F1586">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In addition to the quarterly employment information reported</w:t>
      </w:r>
      <w:r w:rsidR="00271D0C">
        <w:rPr>
          <w:rFonts w:ascii="Calibri" w:eastAsia="Times New Roman" w:hAnsi="Calibri" w:cs="Times New Roman"/>
          <w:sz w:val="24"/>
          <w:szCs w:val="24"/>
        </w:rPr>
        <w:t>—</w:t>
      </w:r>
      <w:r w:rsidRPr="003716E1">
        <w:rPr>
          <w:rFonts w:ascii="Calibri" w:eastAsia="Times New Roman" w:hAnsi="Calibri" w:cs="Times New Roman"/>
          <w:sz w:val="24"/>
          <w:szCs w:val="24"/>
        </w:rPr>
        <w:t>i.e., total hours worked, average number of workers, and short tons of clean coal produced</w:t>
      </w:r>
      <w:r w:rsidR="00271D0C">
        <w:rPr>
          <w:rFonts w:ascii="Calibri" w:eastAsia="Times New Roman" w:hAnsi="Calibri" w:cs="Times New Roman"/>
          <w:sz w:val="24"/>
          <w:szCs w:val="24"/>
        </w:rPr>
        <w:t>—the following</w:t>
      </w:r>
      <w:r w:rsidR="005460B9">
        <w:rPr>
          <w:rFonts w:ascii="Calibri" w:eastAsia="Times New Roman" w:hAnsi="Calibri" w:cs="Times New Roman"/>
          <w:sz w:val="24"/>
          <w:szCs w:val="24"/>
        </w:rPr>
        <w:t xml:space="preserve"> outlines</w:t>
      </w:r>
      <w:r w:rsidR="00271D0C">
        <w:rPr>
          <w:rFonts w:ascii="Calibri" w:eastAsia="Times New Roman" w:hAnsi="Calibri" w:cs="Times New Roman"/>
          <w:sz w:val="24"/>
          <w:szCs w:val="24"/>
        </w:rPr>
        <w:t xml:space="preserve"> information from the MSHA reports</w:t>
      </w:r>
      <w:r>
        <w:rPr>
          <w:rFonts w:ascii="Calibri" w:eastAsia="Times New Roman" w:hAnsi="Calibri" w:cs="Times New Roman"/>
          <w:sz w:val="24"/>
          <w:szCs w:val="24"/>
        </w:rPr>
        <w:t>:</w:t>
      </w:r>
    </w:p>
    <w:p w14:paraId="4F5126C5" w14:textId="77777777" w:rsidR="002F1586" w:rsidRDefault="002F1586" w:rsidP="002F1586">
      <w:pPr>
        <w:autoSpaceDE w:val="0"/>
        <w:autoSpaceDN w:val="0"/>
        <w:adjustRightInd w:val="0"/>
        <w:spacing w:after="0" w:line="240" w:lineRule="auto"/>
        <w:rPr>
          <w:rFonts w:ascii="Calibri" w:eastAsia="Times New Roman" w:hAnsi="Calibri" w:cs="Times New Roman"/>
          <w:sz w:val="24"/>
          <w:szCs w:val="24"/>
        </w:rPr>
      </w:pPr>
    </w:p>
    <w:p w14:paraId="65AFD669" w14:textId="4BD6F46D" w:rsidR="00991751" w:rsidRDefault="002F1586" w:rsidP="00070FD2">
      <w:pPr>
        <w:pStyle w:val="ListParagraph"/>
        <w:numPr>
          <w:ilvl w:val="0"/>
          <w:numId w:val="43"/>
        </w:numPr>
        <w:ind w:left="1080"/>
        <w:contextualSpacing w:val="0"/>
        <w:rPr>
          <w:rFonts w:eastAsia="Times New Roman"/>
          <w:sz w:val="24"/>
          <w:szCs w:val="24"/>
        </w:rPr>
      </w:pPr>
      <w:r w:rsidRPr="00F75F44">
        <w:rPr>
          <w:rFonts w:eastAsia="Times New Roman"/>
          <w:sz w:val="24"/>
          <w:szCs w:val="24"/>
        </w:rPr>
        <w:t xml:space="preserve">The </w:t>
      </w:r>
      <w:r w:rsidRPr="00B8212C">
        <w:rPr>
          <w:rFonts w:eastAsia="Times New Roman"/>
          <w:sz w:val="24"/>
          <w:szCs w:val="24"/>
        </w:rPr>
        <w:t>address/employment</w:t>
      </w:r>
      <w:r w:rsidRPr="00F75F44">
        <w:rPr>
          <w:rFonts w:eastAsia="Times New Roman"/>
          <w:sz w:val="24"/>
          <w:szCs w:val="24"/>
        </w:rPr>
        <w:t xml:space="preserve"> file for mine operators includes location and descriptive information, including the controlling company (owner), mine operator, mine name, state and county locations, operational status, mailing address, and Standard Industrial Classification (SIC) code of the establishment. </w:t>
      </w:r>
    </w:p>
    <w:p w14:paraId="0A03DF92" w14:textId="77777777" w:rsidR="00991751" w:rsidRDefault="00991751" w:rsidP="00070FD2">
      <w:pPr>
        <w:pStyle w:val="ListParagraph"/>
        <w:ind w:left="1080"/>
        <w:contextualSpacing w:val="0"/>
        <w:rPr>
          <w:rFonts w:eastAsia="Times New Roman"/>
          <w:sz w:val="24"/>
          <w:szCs w:val="24"/>
        </w:rPr>
      </w:pPr>
    </w:p>
    <w:p w14:paraId="09A8F609" w14:textId="0BC9BE06" w:rsidR="00991751" w:rsidRPr="00070FD2" w:rsidRDefault="002F1586" w:rsidP="00745500">
      <w:pPr>
        <w:pStyle w:val="ListParagraph"/>
        <w:numPr>
          <w:ilvl w:val="0"/>
          <w:numId w:val="43"/>
        </w:numPr>
        <w:ind w:left="1080"/>
        <w:contextualSpacing w:val="0"/>
        <w:rPr>
          <w:rFonts w:eastAsia="Times New Roman"/>
          <w:sz w:val="24"/>
          <w:szCs w:val="24"/>
        </w:rPr>
      </w:pPr>
      <w:r w:rsidRPr="00070FD2">
        <w:rPr>
          <w:rFonts w:asciiTheme="minorHAnsi" w:eastAsia="Times New Roman" w:hAnsiTheme="minorHAnsi"/>
          <w:sz w:val="24"/>
          <w:szCs w:val="24"/>
        </w:rPr>
        <w:t>The additional information provided by contractor companies is limited to the contractor company name, operational status (active or inactive), mailing address, and whether the reported employment is for coal or metal/nonmetal</w:t>
      </w:r>
      <w:r w:rsidRPr="00F75F44">
        <w:rPr>
          <w:vertAlign w:val="superscript"/>
        </w:rPr>
        <w:footnoteReference w:id="3"/>
      </w:r>
      <w:r w:rsidRPr="00070FD2">
        <w:rPr>
          <w:rFonts w:asciiTheme="minorHAnsi" w:eastAsia="Times New Roman" w:hAnsiTheme="minorHAnsi"/>
          <w:sz w:val="24"/>
          <w:szCs w:val="24"/>
        </w:rPr>
        <w:t xml:space="preserve"> (MNM) mines. </w:t>
      </w:r>
    </w:p>
    <w:p w14:paraId="0AD48034" w14:textId="214EEECC" w:rsidR="00991751" w:rsidRPr="00070FD2" w:rsidRDefault="002F1586" w:rsidP="00745500">
      <w:pPr>
        <w:pStyle w:val="ListParagraph"/>
        <w:numPr>
          <w:ilvl w:val="1"/>
          <w:numId w:val="43"/>
        </w:numPr>
        <w:ind w:left="1440"/>
        <w:contextualSpacing w:val="0"/>
        <w:rPr>
          <w:rFonts w:eastAsia="Times New Roman"/>
          <w:sz w:val="24"/>
          <w:szCs w:val="24"/>
        </w:rPr>
      </w:pPr>
      <w:r w:rsidRPr="00B8212C">
        <w:rPr>
          <w:rFonts w:asciiTheme="minorHAnsi" w:hAnsiTheme="minorHAnsi"/>
          <w:sz w:val="24"/>
          <w:szCs w:val="24"/>
          <w:lang w:val="en-CA"/>
        </w:rPr>
        <w:fldChar w:fldCharType="begin"/>
      </w:r>
      <w:r w:rsidRPr="00B8212C">
        <w:rPr>
          <w:rFonts w:asciiTheme="minorHAnsi" w:hAnsiTheme="minorHAnsi"/>
          <w:sz w:val="24"/>
          <w:szCs w:val="24"/>
          <w:lang w:val="en-CA"/>
        </w:rPr>
        <w:instrText xml:space="preserve"> SEQ CHAPTER \h \r 1</w:instrText>
      </w:r>
      <w:r w:rsidRPr="00B8212C">
        <w:rPr>
          <w:rFonts w:asciiTheme="minorHAnsi" w:hAnsiTheme="minorHAnsi"/>
          <w:sz w:val="24"/>
          <w:szCs w:val="24"/>
          <w:lang w:val="en-CA"/>
        </w:rPr>
        <w:fldChar w:fldCharType="end"/>
      </w:r>
      <w:r w:rsidRPr="00B8212C">
        <w:rPr>
          <w:rFonts w:asciiTheme="minorHAnsi" w:hAnsiTheme="minorHAnsi"/>
          <w:sz w:val="24"/>
          <w:szCs w:val="24"/>
        </w:rPr>
        <w:t>In the case of contractor companies, employment is also reported for</w:t>
      </w:r>
      <w:r w:rsidRPr="00070FD2">
        <w:rPr>
          <w:rFonts w:asciiTheme="minorHAnsi" w:hAnsiTheme="minorHAnsi"/>
          <w:sz w:val="24"/>
          <w:szCs w:val="24"/>
        </w:rPr>
        <w:t xml:space="preserve"> each operational subunit for which employees worked. </w:t>
      </w:r>
      <w:r w:rsidRPr="00CA2955">
        <w:rPr>
          <w:rFonts w:asciiTheme="minorHAnsi" w:hAnsiTheme="minorHAnsi"/>
          <w:sz w:val="24"/>
        </w:rPr>
        <w:t>However, this employment may have occurred at multiple mining establishments and thus it is not possible to determine the number of contractor employees working at each specific mine.</w:t>
      </w:r>
    </w:p>
    <w:p w14:paraId="4D2F7F61" w14:textId="1546EFE8" w:rsidR="00F86CA9" w:rsidRPr="00B21388" w:rsidRDefault="002F1586" w:rsidP="00CA2955">
      <w:pPr>
        <w:pStyle w:val="ListParagraph"/>
        <w:numPr>
          <w:ilvl w:val="1"/>
          <w:numId w:val="43"/>
        </w:numPr>
        <w:ind w:left="1440"/>
        <w:contextualSpacing w:val="0"/>
        <w:rPr>
          <w:sz w:val="24"/>
        </w:rPr>
      </w:pPr>
      <w:r w:rsidRPr="00070FD2">
        <w:rPr>
          <w:rFonts w:asciiTheme="minorHAnsi" w:hAnsiTheme="minorHAnsi"/>
          <w:sz w:val="24"/>
          <w:szCs w:val="24"/>
        </w:rPr>
        <w:t>Independent contractor companies are required to file a maximum of two reports for each quarter, one for employment across coal mines and another for employment across MNM operations.</w:t>
      </w:r>
      <w:r w:rsidRPr="00CA2955">
        <w:rPr>
          <w:rFonts w:asciiTheme="minorHAnsi" w:hAnsiTheme="minorHAnsi"/>
          <w:sz w:val="24"/>
        </w:rPr>
        <w:t xml:space="preserve"> These independent contractor companies are uniquely identified by an MSHA-assigned Contractor ID number.</w:t>
      </w:r>
    </w:p>
    <w:p w14:paraId="64FFD2B3" w14:textId="77777777" w:rsidR="00F86CA9" w:rsidRPr="00CA2955" w:rsidRDefault="00F86CA9" w:rsidP="00CA2955">
      <w:pPr>
        <w:pStyle w:val="ListParagraph"/>
        <w:rPr>
          <w:sz w:val="24"/>
          <w:highlight w:val="yellow"/>
        </w:rPr>
      </w:pPr>
    </w:p>
    <w:p w14:paraId="6B4E2A4A" w14:textId="389F3F47" w:rsidR="002F1586" w:rsidRDefault="00F86CA9" w:rsidP="00745500">
      <w:pPr>
        <w:spacing w:after="0" w:line="240" w:lineRule="auto"/>
        <w:rPr>
          <w:rFonts w:eastAsia="Times New Roman"/>
          <w:b/>
          <w:sz w:val="24"/>
          <w:szCs w:val="24"/>
        </w:rPr>
      </w:pPr>
      <w:r w:rsidRPr="009B680C">
        <w:rPr>
          <w:rFonts w:eastAsia="Times New Roman"/>
          <w:sz w:val="24"/>
          <w:szCs w:val="24"/>
        </w:rPr>
        <w:t>The MIWS</w:t>
      </w:r>
      <w:r w:rsidR="00FC0E9E">
        <w:rPr>
          <w:rFonts w:eastAsia="Times New Roman"/>
          <w:sz w:val="24"/>
          <w:szCs w:val="24"/>
        </w:rPr>
        <w:t xml:space="preserve"> is designed to</w:t>
      </w:r>
      <w:r w:rsidRPr="009B680C">
        <w:rPr>
          <w:rFonts w:eastAsia="Times New Roman"/>
          <w:sz w:val="24"/>
          <w:szCs w:val="24"/>
        </w:rPr>
        <w:t xml:space="preserve"> provide estimates on </w:t>
      </w:r>
      <w:r w:rsidR="009B680C">
        <w:rPr>
          <w:rFonts w:eastAsia="Times New Roman"/>
          <w:sz w:val="24"/>
          <w:szCs w:val="24"/>
        </w:rPr>
        <w:t xml:space="preserve">work schedules and shift work for </w:t>
      </w:r>
      <w:r w:rsidR="00AF73D6">
        <w:rPr>
          <w:rFonts w:eastAsia="Times New Roman"/>
          <w:sz w:val="24"/>
          <w:szCs w:val="24"/>
        </w:rPr>
        <w:t>mine operator employees</w:t>
      </w:r>
      <w:r w:rsidR="00271D0C">
        <w:rPr>
          <w:rFonts w:eastAsia="Times New Roman"/>
          <w:sz w:val="24"/>
          <w:szCs w:val="24"/>
        </w:rPr>
        <w:t xml:space="preserve">, including </w:t>
      </w:r>
      <w:r w:rsidR="00A77B84">
        <w:rPr>
          <w:rFonts w:eastAsia="Times New Roman"/>
          <w:sz w:val="24"/>
          <w:szCs w:val="24"/>
        </w:rPr>
        <w:t>production</w:t>
      </w:r>
      <w:r w:rsidR="00AF73D6">
        <w:rPr>
          <w:rFonts w:eastAsia="Times New Roman"/>
          <w:sz w:val="24"/>
          <w:szCs w:val="24"/>
        </w:rPr>
        <w:t xml:space="preserve"> workers</w:t>
      </w:r>
      <w:r w:rsidR="00A77B84">
        <w:rPr>
          <w:rFonts w:eastAsia="Times New Roman"/>
          <w:sz w:val="24"/>
          <w:szCs w:val="24"/>
        </w:rPr>
        <w:t>, production support</w:t>
      </w:r>
      <w:r w:rsidR="00AF73D6">
        <w:rPr>
          <w:rFonts w:eastAsia="Times New Roman"/>
          <w:sz w:val="24"/>
          <w:szCs w:val="24"/>
        </w:rPr>
        <w:t xml:space="preserve"> workers</w:t>
      </w:r>
      <w:r w:rsidR="00A77B84">
        <w:rPr>
          <w:rFonts w:eastAsia="Times New Roman"/>
          <w:sz w:val="24"/>
          <w:szCs w:val="24"/>
        </w:rPr>
        <w:t>, and prep plant/mill</w:t>
      </w:r>
      <w:r w:rsidR="00AF73D6">
        <w:rPr>
          <w:rFonts w:eastAsia="Times New Roman"/>
          <w:sz w:val="24"/>
          <w:szCs w:val="24"/>
        </w:rPr>
        <w:t xml:space="preserve"> workers</w:t>
      </w:r>
      <w:r w:rsidR="009B680C">
        <w:rPr>
          <w:rFonts w:eastAsia="Times New Roman"/>
          <w:sz w:val="24"/>
          <w:szCs w:val="24"/>
        </w:rPr>
        <w:t xml:space="preserve">. </w:t>
      </w:r>
      <w:r w:rsidR="00271D0C">
        <w:rPr>
          <w:rFonts w:eastAsia="Times New Roman"/>
          <w:sz w:val="24"/>
          <w:szCs w:val="24"/>
        </w:rPr>
        <w:t xml:space="preserve">Importantly, this </w:t>
      </w:r>
      <w:r w:rsidR="009B680C">
        <w:rPr>
          <w:rFonts w:eastAsia="Times New Roman"/>
          <w:sz w:val="24"/>
          <w:szCs w:val="24"/>
        </w:rPr>
        <w:t xml:space="preserve">information is not currently collected by MSHA. </w:t>
      </w:r>
      <w:r w:rsidR="00A77B84">
        <w:rPr>
          <w:rFonts w:eastAsia="Times New Roman"/>
          <w:sz w:val="24"/>
          <w:szCs w:val="24"/>
        </w:rPr>
        <w:t>Estimates of the extent of the total hours per shift and the use of rotating shifts (</w:t>
      </w:r>
      <w:r w:rsidR="001D02E3">
        <w:rPr>
          <w:rFonts w:eastAsia="Times New Roman"/>
          <w:sz w:val="24"/>
          <w:szCs w:val="24"/>
        </w:rPr>
        <w:t>clockwise, counterclockwise) is vital to the NIOSH mission to protect the safety and health of mine workers.</w:t>
      </w:r>
      <w:r w:rsidR="00116820">
        <w:rPr>
          <w:rFonts w:eastAsia="Times New Roman"/>
          <w:sz w:val="24"/>
          <w:szCs w:val="24"/>
        </w:rPr>
        <w:t xml:space="preserve"> </w:t>
      </w:r>
      <w:r w:rsidR="00FB3F1B">
        <w:rPr>
          <w:rFonts w:eastAsia="Times New Roman"/>
          <w:sz w:val="24"/>
          <w:szCs w:val="24"/>
        </w:rPr>
        <w:t xml:space="preserve">In addition, the MIWS will fill another data gap with regard to </w:t>
      </w:r>
      <w:r w:rsidR="001D02E3">
        <w:rPr>
          <w:rFonts w:eastAsia="Times New Roman"/>
          <w:sz w:val="24"/>
          <w:szCs w:val="24"/>
        </w:rPr>
        <w:t xml:space="preserve">mine </w:t>
      </w:r>
      <w:r w:rsidR="00FB3F1B">
        <w:rPr>
          <w:rFonts w:eastAsia="Times New Roman"/>
          <w:sz w:val="24"/>
          <w:szCs w:val="24"/>
        </w:rPr>
        <w:t>contractor employees. Information will be collected on the use of contract labor, the type of work performed, the mining subunit where this work is performed (e.g., underground, surface), and estimates of the number of contr</w:t>
      </w:r>
      <w:r w:rsidR="00106237">
        <w:rPr>
          <w:rFonts w:eastAsia="Times New Roman"/>
          <w:sz w:val="24"/>
          <w:szCs w:val="24"/>
        </w:rPr>
        <w:t xml:space="preserve">actor employees and their hours </w:t>
      </w:r>
      <w:r w:rsidR="00106237">
        <w:rPr>
          <w:rFonts w:eastAsia="Times New Roman"/>
          <w:b/>
          <w:sz w:val="24"/>
          <w:szCs w:val="24"/>
        </w:rPr>
        <w:t>(Attachment D).</w:t>
      </w:r>
      <w:r w:rsidR="00FB3F1B">
        <w:rPr>
          <w:rFonts w:eastAsia="Times New Roman"/>
          <w:sz w:val="24"/>
          <w:szCs w:val="24"/>
        </w:rPr>
        <w:t xml:space="preserve"> This informati</w:t>
      </w:r>
      <w:r w:rsidR="00B84993">
        <w:rPr>
          <w:rFonts w:eastAsia="Times New Roman"/>
          <w:sz w:val="24"/>
          <w:szCs w:val="24"/>
        </w:rPr>
        <w:t>on is currently unavailable i</w:t>
      </w:r>
      <w:r w:rsidR="00116820">
        <w:rPr>
          <w:rFonts w:eastAsia="Times New Roman"/>
          <w:sz w:val="24"/>
          <w:szCs w:val="24"/>
        </w:rPr>
        <w:t>n a form that is broken down by</w:t>
      </w:r>
      <w:r w:rsidR="00B84993">
        <w:rPr>
          <w:rFonts w:eastAsia="Times New Roman"/>
          <w:sz w:val="24"/>
          <w:szCs w:val="24"/>
        </w:rPr>
        <w:t xml:space="preserve"> metal, nonmetal, stone, and sand and gravel mines.</w:t>
      </w:r>
      <w:r w:rsidR="00116820">
        <w:rPr>
          <w:rFonts w:eastAsia="Times New Roman"/>
          <w:sz w:val="24"/>
          <w:szCs w:val="24"/>
        </w:rPr>
        <w:t xml:space="preserve"> NIOSH wi</w:t>
      </w:r>
      <w:r w:rsidR="001D02E3">
        <w:rPr>
          <w:rFonts w:eastAsia="Times New Roman"/>
          <w:sz w:val="24"/>
          <w:szCs w:val="24"/>
        </w:rPr>
        <w:t>ll use these data as part of its</w:t>
      </w:r>
      <w:r w:rsidR="00116820">
        <w:rPr>
          <w:rFonts w:eastAsia="Times New Roman"/>
          <w:sz w:val="24"/>
          <w:szCs w:val="24"/>
        </w:rPr>
        <w:t xml:space="preserve"> effort to monitor the safety and health of mine contractor employees</w:t>
      </w:r>
      <w:r w:rsidR="00116820">
        <w:rPr>
          <w:rFonts w:eastAsia="Times New Roman"/>
          <w:b/>
          <w:sz w:val="24"/>
          <w:szCs w:val="24"/>
        </w:rPr>
        <w:t>.</w:t>
      </w:r>
    </w:p>
    <w:p w14:paraId="16430110" w14:textId="77777777" w:rsidR="009462FF" w:rsidRPr="00116820" w:rsidRDefault="009462FF" w:rsidP="00745500">
      <w:pPr>
        <w:spacing w:after="0" w:line="240" w:lineRule="auto"/>
        <w:rPr>
          <w:rFonts w:eastAsia="Times New Roman"/>
          <w:b/>
          <w:sz w:val="24"/>
          <w:szCs w:val="24"/>
        </w:rPr>
      </w:pPr>
    </w:p>
    <w:p w14:paraId="6D76B7FF" w14:textId="77777777" w:rsidR="00AA2A41" w:rsidRPr="007148EA" w:rsidRDefault="002F1586" w:rsidP="002F1586">
      <w:pPr>
        <w:autoSpaceDE w:val="0"/>
        <w:autoSpaceDN w:val="0"/>
        <w:adjustRightInd w:val="0"/>
        <w:spacing w:after="0" w:line="240" w:lineRule="auto"/>
        <w:rPr>
          <w:rFonts w:ascii="Calibri" w:eastAsia="Times New Roman" w:hAnsi="Calibri" w:cs="Times New Roman"/>
          <w:i/>
          <w:sz w:val="24"/>
          <w:szCs w:val="24"/>
        </w:rPr>
      </w:pPr>
      <w:r w:rsidRPr="007148EA">
        <w:rPr>
          <w:rFonts w:ascii="Calibri" w:eastAsia="Times New Roman" w:hAnsi="Calibri" w:cs="Times New Roman"/>
          <w:i/>
          <w:iCs/>
          <w:sz w:val="24"/>
          <w:szCs w:val="24"/>
        </w:rPr>
        <w:t>MSHA Mine Accident, Injury, and Illness Report</w:t>
      </w:r>
    </w:p>
    <w:p w14:paraId="4EDFB027" w14:textId="58999C69" w:rsidR="00B20D65" w:rsidRDefault="00D44F45" w:rsidP="002F1586">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U</w:t>
      </w:r>
      <w:r w:rsidR="002F1586" w:rsidRPr="003716E1">
        <w:rPr>
          <w:rFonts w:ascii="Calibri" w:eastAsia="Times New Roman" w:hAnsi="Calibri" w:cs="Times New Roman"/>
          <w:sz w:val="24"/>
          <w:szCs w:val="24"/>
        </w:rPr>
        <w:t xml:space="preserve">nder 30 CFR Part 50, mine operators and independent contractors whose employees perform certain types of work on mine property are required to file a </w:t>
      </w:r>
      <w:r w:rsidR="002F1586" w:rsidRPr="003716E1">
        <w:rPr>
          <w:rFonts w:ascii="Calibri" w:eastAsia="Times New Roman" w:hAnsi="Calibri" w:cs="Times New Roman"/>
          <w:i/>
          <w:iCs/>
          <w:sz w:val="24"/>
          <w:szCs w:val="24"/>
        </w:rPr>
        <w:t xml:space="preserve">Mine Accident, Injury, and Illness Report (MSHA Form 7000-1; </w:t>
      </w:r>
      <w:r w:rsidR="002F1586" w:rsidRPr="003716E1">
        <w:rPr>
          <w:rFonts w:ascii="Calibri" w:eastAsia="Times New Roman" w:hAnsi="Calibri" w:cs="Times New Roman"/>
          <w:iCs/>
          <w:sz w:val="24"/>
          <w:szCs w:val="24"/>
        </w:rPr>
        <w:t>OMB Control Number 1219-0007; Approval Expires September 30, 2017</w:t>
      </w:r>
      <w:r w:rsidR="002F1586" w:rsidRPr="003716E1">
        <w:rPr>
          <w:rFonts w:ascii="Calibri" w:eastAsia="Times New Roman" w:hAnsi="Calibri" w:cs="Times New Roman"/>
          <w:i/>
          <w:iCs/>
          <w:sz w:val="24"/>
          <w:szCs w:val="24"/>
        </w:rPr>
        <w:t>)</w:t>
      </w:r>
      <w:r w:rsidR="002F1586" w:rsidRPr="003716E1">
        <w:rPr>
          <w:rFonts w:ascii="Calibri" w:eastAsia="Times New Roman" w:hAnsi="Calibri" w:cs="Times New Roman"/>
          <w:sz w:val="24"/>
          <w:szCs w:val="24"/>
        </w:rPr>
        <w:t xml:space="preserve"> </w:t>
      </w:r>
      <w:r w:rsidR="00106237">
        <w:rPr>
          <w:rFonts w:ascii="Calibri" w:eastAsia="Times New Roman" w:hAnsi="Calibri" w:cs="Times New Roman"/>
          <w:b/>
          <w:sz w:val="24"/>
          <w:szCs w:val="24"/>
        </w:rPr>
        <w:t>(Attachment E</w:t>
      </w:r>
      <w:r w:rsidR="002F1586" w:rsidRPr="003716E1">
        <w:rPr>
          <w:rFonts w:ascii="Calibri" w:eastAsia="Times New Roman" w:hAnsi="Calibri" w:cs="Times New Roman"/>
          <w:b/>
          <w:sz w:val="24"/>
          <w:szCs w:val="24"/>
        </w:rPr>
        <w:t>)</w:t>
      </w:r>
      <w:r w:rsidR="002F1586" w:rsidRPr="003716E1">
        <w:rPr>
          <w:rFonts w:ascii="Calibri" w:eastAsia="Times New Roman" w:hAnsi="Calibri" w:cs="Times New Roman"/>
          <w:color w:val="FF0000"/>
          <w:sz w:val="24"/>
          <w:szCs w:val="24"/>
        </w:rPr>
        <w:t xml:space="preserve"> </w:t>
      </w:r>
      <w:r w:rsidR="002F1586" w:rsidRPr="003716E1">
        <w:rPr>
          <w:rFonts w:ascii="Calibri" w:eastAsia="Times New Roman" w:hAnsi="Calibri" w:cs="Times New Roman"/>
          <w:sz w:val="24"/>
          <w:szCs w:val="24"/>
        </w:rPr>
        <w:t>which reports data for injured and ill miners.</w:t>
      </w:r>
      <w:r w:rsidR="002F1586">
        <w:rPr>
          <w:rStyle w:val="FootnoteReference"/>
          <w:rFonts w:ascii="Calibri" w:eastAsia="Times New Roman" w:hAnsi="Calibri" w:cs="Times New Roman"/>
          <w:sz w:val="24"/>
          <w:szCs w:val="24"/>
        </w:rPr>
        <w:footnoteReference w:id="4"/>
      </w:r>
      <w:r w:rsidR="002F1586" w:rsidRPr="003716E1">
        <w:rPr>
          <w:rFonts w:ascii="Calibri" w:eastAsia="Times New Roman" w:hAnsi="Calibri" w:cs="Times New Roman"/>
          <w:sz w:val="24"/>
          <w:szCs w:val="24"/>
        </w:rPr>
        <w:t xml:space="preserve"> </w:t>
      </w:r>
    </w:p>
    <w:p w14:paraId="218099E7" w14:textId="77777777" w:rsidR="00B20D65" w:rsidRDefault="00B20D65" w:rsidP="002F1586">
      <w:pPr>
        <w:autoSpaceDE w:val="0"/>
        <w:autoSpaceDN w:val="0"/>
        <w:adjustRightInd w:val="0"/>
        <w:spacing w:after="0" w:line="240" w:lineRule="auto"/>
        <w:rPr>
          <w:rFonts w:ascii="Calibri" w:eastAsia="Times New Roman" w:hAnsi="Calibri" w:cs="Times New Roman"/>
          <w:sz w:val="24"/>
          <w:szCs w:val="24"/>
        </w:rPr>
      </w:pPr>
    </w:p>
    <w:p w14:paraId="5D6FE8A3" w14:textId="5DA6226A" w:rsidR="00F86CA9" w:rsidRDefault="002F1586" w:rsidP="004430A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Information requested on </w:t>
      </w:r>
      <w:r w:rsidRPr="00F75F44">
        <w:rPr>
          <w:rFonts w:ascii="Calibri" w:eastAsia="Times New Roman" w:hAnsi="Calibri" w:cs="Times New Roman"/>
          <w:i/>
          <w:sz w:val="24"/>
          <w:szCs w:val="24"/>
        </w:rPr>
        <w:t>MSHA Form 7000-1</w:t>
      </w:r>
      <w:r w:rsidRPr="003716E1">
        <w:rPr>
          <w:rFonts w:ascii="Calibri" w:eastAsia="Times New Roman" w:hAnsi="Calibri" w:cs="Times New Roman"/>
          <w:sz w:val="24"/>
          <w:szCs w:val="24"/>
        </w:rPr>
        <w:t xml:space="preserve"> includes the Mine ID </w:t>
      </w:r>
      <w:r w:rsidR="00FA1976">
        <w:rPr>
          <w:rFonts w:ascii="Calibri" w:eastAsia="Times New Roman" w:hAnsi="Calibri" w:cs="Times New Roman"/>
          <w:sz w:val="24"/>
          <w:szCs w:val="24"/>
        </w:rPr>
        <w:t xml:space="preserve">and the operational subunit </w:t>
      </w:r>
      <w:r w:rsidRPr="003716E1">
        <w:rPr>
          <w:rFonts w:ascii="Calibri" w:eastAsia="Times New Roman" w:hAnsi="Calibri" w:cs="Times New Roman"/>
          <w:sz w:val="24"/>
          <w:szCs w:val="24"/>
        </w:rPr>
        <w:t xml:space="preserve">where the incident occurred </w:t>
      </w:r>
      <w:r w:rsidR="004430A1" w:rsidRPr="003716E1">
        <w:rPr>
          <w:rFonts w:ascii="Calibri" w:eastAsia="Times New Roman" w:hAnsi="Calibri" w:cs="Times New Roman"/>
          <w:sz w:val="24"/>
          <w:szCs w:val="24"/>
        </w:rPr>
        <w:t>(underground, surface, plant/mill)</w:t>
      </w:r>
      <w:r w:rsidR="004430A1">
        <w:rPr>
          <w:rFonts w:ascii="Calibri" w:eastAsia="Times New Roman" w:hAnsi="Calibri" w:cs="Times New Roman"/>
          <w:sz w:val="24"/>
          <w:szCs w:val="24"/>
        </w:rPr>
        <w:t xml:space="preserve">. </w:t>
      </w:r>
      <w:r w:rsidR="004430A1" w:rsidRPr="003716E1">
        <w:rPr>
          <w:rFonts w:ascii="Calibri" w:eastAsia="Times New Roman" w:hAnsi="Calibri" w:cs="Times New Roman"/>
          <w:sz w:val="24"/>
          <w:szCs w:val="24"/>
        </w:rPr>
        <w:t>The form also documents whether the affected employee is a regular emp</w:t>
      </w:r>
      <w:r w:rsidR="004430A1">
        <w:rPr>
          <w:rFonts w:ascii="Calibri" w:eastAsia="Times New Roman" w:hAnsi="Calibri" w:cs="Times New Roman"/>
          <w:sz w:val="24"/>
          <w:szCs w:val="24"/>
        </w:rPr>
        <w:t xml:space="preserve">loyee or a contractor employee, </w:t>
      </w:r>
      <w:r w:rsidRPr="003716E1">
        <w:rPr>
          <w:rFonts w:ascii="Calibri" w:eastAsia="Times New Roman" w:hAnsi="Calibri" w:cs="Times New Roman"/>
          <w:sz w:val="24"/>
          <w:szCs w:val="24"/>
        </w:rPr>
        <w:t>and the Contractor ID if the incident involved an independent contractor worker. Also requested is information about the individual involved in the incident such as the injured worker’s birth date, gender, job</w:t>
      </w:r>
      <w:r w:rsidR="003F21CE">
        <w:rPr>
          <w:rFonts w:ascii="Calibri" w:eastAsia="Times New Roman" w:hAnsi="Calibri" w:cs="Times New Roman"/>
          <w:sz w:val="24"/>
          <w:szCs w:val="24"/>
        </w:rPr>
        <w:t xml:space="preserve"> title, years of experience in</w:t>
      </w:r>
      <w:r w:rsidRPr="003716E1">
        <w:rPr>
          <w:rFonts w:ascii="Calibri" w:eastAsia="Times New Roman" w:hAnsi="Calibri" w:cs="Times New Roman"/>
          <w:sz w:val="24"/>
          <w:szCs w:val="24"/>
        </w:rPr>
        <w:t xml:space="preserve"> the current </w:t>
      </w:r>
      <w:r w:rsidR="00FA1976">
        <w:rPr>
          <w:rFonts w:ascii="Calibri" w:eastAsia="Times New Roman" w:hAnsi="Calibri" w:cs="Times New Roman"/>
          <w:sz w:val="24"/>
          <w:szCs w:val="24"/>
        </w:rPr>
        <w:t>job title</w:t>
      </w:r>
      <w:r w:rsidRPr="003716E1">
        <w:rPr>
          <w:rFonts w:ascii="Calibri" w:eastAsia="Times New Roman" w:hAnsi="Calibri" w:cs="Times New Roman"/>
          <w:sz w:val="24"/>
          <w:szCs w:val="24"/>
        </w:rPr>
        <w:t xml:space="preserve">, </w:t>
      </w:r>
      <w:r w:rsidR="00FA1976" w:rsidRPr="003716E1">
        <w:rPr>
          <w:rFonts w:ascii="Calibri" w:eastAsia="Times New Roman" w:hAnsi="Calibri" w:cs="Times New Roman"/>
          <w:sz w:val="24"/>
          <w:szCs w:val="24"/>
        </w:rPr>
        <w:t>at that mine</w:t>
      </w:r>
      <w:r w:rsidR="00FA1976">
        <w:rPr>
          <w:rFonts w:ascii="Calibri" w:eastAsia="Times New Roman" w:hAnsi="Calibri" w:cs="Times New Roman"/>
          <w:sz w:val="24"/>
          <w:szCs w:val="24"/>
        </w:rPr>
        <w:t>,</w:t>
      </w:r>
      <w:r w:rsidR="00FA1976" w:rsidRPr="003716E1">
        <w:rPr>
          <w:rFonts w:ascii="Calibri" w:eastAsia="Times New Roman" w:hAnsi="Calibri" w:cs="Times New Roman"/>
          <w:sz w:val="24"/>
          <w:szCs w:val="24"/>
        </w:rPr>
        <w:t xml:space="preserve"> and overall</w:t>
      </w:r>
      <w:r w:rsidR="005460B9">
        <w:rPr>
          <w:rFonts w:ascii="Calibri" w:eastAsia="Times New Roman" w:hAnsi="Calibri" w:cs="Times New Roman"/>
          <w:sz w:val="24"/>
          <w:szCs w:val="24"/>
        </w:rPr>
        <w:t>,</w:t>
      </w:r>
      <w:r w:rsidR="00FA1976" w:rsidRPr="003716E1">
        <w:rPr>
          <w:rFonts w:ascii="Calibri" w:eastAsia="Times New Roman" w:hAnsi="Calibri" w:cs="Times New Roman"/>
          <w:sz w:val="24"/>
          <w:szCs w:val="24"/>
        </w:rPr>
        <w:t xml:space="preserve"> other mine</w:t>
      </w:r>
      <w:r w:rsidR="00FA1976">
        <w:rPr>
          <w:rFonts w:ascii="Calibri" w:eastAsia="Times New Roman" w:hAnsi="Calibri" w:cs="Times New Roman"/>
          <w:sz w:val="24"/>
          <w:szCs w:val="24"/>
        </w:rPr>
        <w:t>s where the victim was employed,</w:t>
      </w:r>
      <w:r w:rsidR="00FA1976"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rPr>
        <w:t>resultant days away from work and/or days of restricted work activity, the source of the injury, body part(s) injured, and a narrative description of the incident.</w:t>
      </w:r>
    </w:p>
    <w:p w14:paraId="600F409F" w14:textId="77777777" w:rsidR="007F291A" w:rsidRDefault="007F291A" w:rsidP="004430A1">
      <w:pPr>
        <w:autoSpaceDE w:val="0"/>
        <w:autoSpaceDN w:val="0"/>
        <w:adjustRightInd w:val="0"/>
        <w:spacing w:after="0" w:line="240" w:lineRule="auto"/>
        <w:rPr>
          <w:rFonts w:ascii="Calibri" w:eastAsia="Times New Roman" w:hAnsi="Calibri" w:cs="Times New Roman"/>
          <w:sz w:val="24"/>
          <w:szCs w:val="24"/>
        </w:rPr>
      </w:pPr>
    </w:p>
    <w:p w14:paraId="5C46261A" w14:textId="397C7A91" w:rsidR="007F291A" w:rsidRPr="003716E1" w:rsidRDefault="00271D0C" w:rsidP="007F291A">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Despite this documentation</w:t>
      </w:r>
      <w:r w:rsidR="00D843EC">
        <w:rPr>
          <w:rFonts w:ascii="Calibri" w:eastAsia="Times New Roman" w:hAnsi="Calibri" w:cs="Times New Roman"/>
          <w:sz w:val="24"/>
          <w:szCs w:val="24"/>
        </w:rPr>
        <w:t xml:space="preserve"> on </w:t>
      </w:r>
      <w:r w:rsidR="00D843EC" w:rsidRPr="003716E1">
        <w:rPr>
          <w:rFonts w:ascii="Calibri" w:eastAsia="Times New Roman" w:hAnsi="Calibri" w:cs="Times New Roman"/>
          <w:sz w:val="24"/>
          <w:szCs w:val="24"/>
        </w:rPr>
        <w:t>injured and ill miners</w:t>
      </w:r>
      <w:r w:rsidR="007F291A" w:rsidRPr="003716E1">
        <w:rPr>
          <w:rFonts w:ascii="Calibri" w:eastAsia="Times New Roman" w:hAnsi="Calibri" w:cs="Times New Roman"/>
          <w:sz w:val="24"/>
          <w:szCs w:val="24"/>
        </w:rPr>
        <w:t xml:space="preserve">, data on all mine employees by age, </w:t>
      </w:r>
      <w:r>
        <w:rPr>
          <w:rFonts w:ascii="Calibri" w:eastAsia="Times New Roman" w:hAnsi="Calibri" w:cs="Times New Roman"/>
          <w:sz w:val="24"/>
          <w:szCs w:val="24"/>
        </w:rPr>
        <w:t>gender</w:t>
      </w:r>
      <w:r w:rsidR="007F291A" w:rsidRPr="003716E1">
        <w:rPr>
          <w:rFonts w:ascii="Calibri" w:eastAsia="Times New Roman" w:hAnsi="Calibri" w:cs="Times New Roman"/>
          <w:sz w:val="24"/>
          <w:szCs w:val="24"/>
        </w:rPr>
        <w:t xml:space="preserve">, job title, and experience are not collected. Consequently, the accident data cannot be fully exploited to study the employee-level correlates of mining accidents. The </w:t>
      </w:r>
      <w:r w:rsidR="007F291A">
        <w:rPr>
          <w:rFonts w:ascii="Calibri" w:eastAsia="Times New Roman" w:hAnsi="Calibri" w:cs="Times New Roman"/>
          <w:sz w:val="24"/>
          <w:szCs w:val="24"/>
        </w:rPr>
        <w:t>MIWS</w:t>
      </w:r>
      <w:r w:rsidR="007F291A" w:rsidRPr="003716E1">
        <w:rPr>
          <w:rFonts w:ascii="Calibri" w:eastAsia="Times New Roman" w:hAnsi="Calibri" w:cs="Times New Roman"/>
          <w:sz w:val="24"/>
          <w:szCs w:val="24"/>
        </w:rPr>
        <w:t xml:space="preserve"> will collect employee-level </w:t>
      </w:r>
      <w:r w:rsidR="007F291A">
        <w:rPr>
          <w:rFonts w:ascii="Calibri" w:eastAsia="Times New Roman" w:hAnsi="Calibri" w:cs="Times New Roman"/>
          <w:sz w:val="24"/>
          <w:szCs w:val="24"/>
        </w:rPr>
        <w:t xml:space="preserve">demographic </w:t>
      </w:r>
      <w:r w:rsidR="007F291A" w:rsidRPr="003716E1">
        <w:rPr>
          <w:rFonts w:ascii="Calibri" w:eastAsia="Times New Roman" w:hAnsi="Calibri" w:cs="Times New Roman"/>
          <w:sz w:val="24"/>
          <w:szCs w:val="24"/>
        </w:rPr>
        <w:t>data</w:t>
      </w:r>
      <w:r w:rsidR="00D843EC">
        <w:rPr>
          <w:rFonts w:ascii="Calibri" w:eastAsia="Times New Roman" w:hAnsi="Calibri" w:cs="Times New Roman"/>
          <w:sz w:val="24"/>
          <w:szCs w:val="24"/>
        </w:rPr>
        <w:t>. These data</w:t>
      </w:r>
      <w:r w:rsidR="00ED3618">
        <w:rPr>
          <w:rFonts w:ascii="Calibri" w:eastAsia="Times New Roman" w:hAnsi="Calibri" w:cs="Times New Roman"/>
          <w:sz w:val="24"/>
          <w:szCs w:val="24"/>
        </w:rPr>
        <w:t xml:space="preserve"> will</w:t>
      </w:r>
      <w:r w:rsidR="007F291A" w:rsidRPr="003716E1">
        <w:rPr>
          <w:rFonts w:ascii="Calibri" w:eastAsia="Times New Roman" w:hAnsi="Calibri" w:cs="Times New Roman"/>
          <w:sz w:val="24"/>
          <w:szCs w:val="24"/>
        </w:rPr>
        <w:t xml:space="preserve"> be used by NIOSH to create the </w:t>
      </w:r>
      <w:r w:rsidR="00ED3618">
        <w:rPr>
          <w:rFonts w:ascii="Calibri" w:eastAsia="Times New Roman" w:hAnsi="Calibri" w:cs="Times New Roman"/>
          <w:sz w:val="24"/>
          <w:szCs w:val="24"/>
        </w:rPr>
        <w:t xml:space="preserve">estimated </w:t>
      </w:r>
      <w:r w:rsidR="007F291A" w:rsidRPr="003716E1">
        <w:rPr>
          <w:rFonts w:ascii="Calibri" w:eastAsia="Times New Roman" w:hAnsi="Calibri" w:cs="Times New Roman"/>
          <w:sz w:val="24"/>
          <w:szCs w:val="24"/>
        </w:rPr>
        <w:t xml:space="preserve">denominator data needed to construct accident rates for various demographic </w:t>
      </w:r>
      <w:r w:rsidR="003F0D95">
        <w:rPr>
          <w:rFonts w:ascii="Calibri" w:eastAsia="Times New Roman" w:hAnsi="Calibri" w:cs="Times New Roman"/>
          <w:sz w:val="24"/>
          <w:szCs w:val="24"/>
        </w:rPr>
        <w:t xml:space="preserve">and occupational </w:t>
      </w:r>
      <w:r w:rsidR="007F291A" w:rsidRPr="003716E1">
        <w:rPr>
          <w:rFonts w:ascii="Calibri" w:eastAsia="Times New Roman" w:hAnsi="Calibri" w:cs="Times New Roman"/>
          <w:sz w:val="24"/>
          <w:szCs w:val="24"/>
        </w:rPr>
        <w:t>groups</w:t>
      </w:r>
      <w:r w:rsidR="00ED3618">
        <w:rPr>
          <w:rFonts w:ascii="Calibri" w:eastAsia="Times New Roman" w:hAnsi="Calibri" w:cs="Times New Roman"/>
          <w:sz w:val="24"/>
          <w:szCs w:val="24"/>
        </w:rPr>
        <w:t xml:space="preserve"> </w:t>
      </w:r>
      <w:r w:rsidR="007F291A" w:rsidRPr="003716E1">
        <w:rPr>
          <w:rFonts w:ascii="Calibri" w:eastAsia="Times New Roman" w:hAnsi="Calibri" w:cs="Times New Roman"/>
          <w:sz w:val="24"/>
          <w:szCs w:val="24"/>
        </w:rPr>
        <w:t>that reflect the population at risk</w:t>
      </w:r>
      <w:r w:rsidR="00106237">
        <w:rPr>
          <w:rFonts w:ascii="Calibri" w:eastAsia="Times New Roman" w:hAnsi="Calibri" w:cs="Times New Roman"/>
          <w:sz w:val="24"/>
          <w:szCs w:val="24"/>
        </w:rPr>
        <w:t xml:space="preserve"> </w:t>
      </w:r>
      <w:r w:rsidR="00106237">
        <w:rPr>
          <w:rFonts w:ascii="Calibri" w:eastAsia="Times New Roman" w:hAnsi="Calibri" w:cs="Times New Roman"/>
          <w:b/>
          <w:sz w:val="24"/>
          <w:szCs w:val="24"/>
        </w:rPr>
        <w:t>(Attachment D)</w:t>
      </w:r>
      <w:r w:rsidR="00D843EC">
        <w:rPr>
          <w:rFonts w:ascii="Calibri" w:eastAsia="Times New Roman" w:hAnsi="Calibri" w:cs="Times New Roman"/>
          <w:sz w:val="24"/>
          <w:szCs w:val="24"/>
        </w:rPr>
        <w:t>, including mining occupation, mining experience, primary work location, gender, and age.</w:t>
      </w:r>
      <w:r w:rsidR="00ED3618">
        <w:rPr>
          <w:rFonts w:ascii="Calibri" w:eastAsia="Times New Roman" w:hAnsi="Calibri" w:cs="Times New Roman"/>
          <w:sz w:val="24"/>
          <w:szCs w:val="24"/>
        </w:rPr>
        <w:t xml:space="preserve"> This vital information will allow NIOSH to target research efforts to subgroups of the mining workforce most </w:t>
      </w:r>
      <w:r w:rsidR="00D843EC">
        <w:rPr>
          <w:rFonts w:ascii="Calibri" w:eastAsia="Times New Roman" w:hAnsi="Calibri" w:cs="Times New Roman"/>
          <w:sz w:val="24"/>
          <w:szCs w:val="24"/>
        </w:rPr>
        <w:t>a</w:t>
      </w:r>
      <w:r w:rsidR="00ED3618">
        <w:rPr>
          <w:rFonts w:ascii="Calibri" w:eastAsia="Times New Roman" w:hAnsi="Calibri" w:cs="Times New Roman"/>
          <w:sz w:val="24"/>
          <w:szCs w:val="24"/>
        </w:rPr>
        <w:t xml:space="preserve">ffected by safety and health challenges. </w:t>
      </w:r>
    </w:p>
    <w:p w14:paraId="3F7905D6" w14:textId="77777777" w:rsidR="00A90045" w:rsidRDefault="00A90045" w:rsidP="003716E1">
      <w:pPr>
        <w:autoSpaceDE w:val="0"/>
        <w:autoSpaceDN w:val="0"/>
        <w:adjustRightInd w:val="0"/>
        <w:spacing w:after="0" w:line="240" w:lineRule="auto"/>
        <w:rPr>
          <w:rFonts w:ascii="Calibri" w:eastAsia="Times New Roman" w:hAnsi="Calibri" w:cs="Times New Roman"/>
          <w:sz w:val="24"/>
          <w:szCs w:val="24"/>
        </w:rPr>
      </w:pPr>
    </w:p>
    <w:p w14:paraId="1A6E5C3A" w14:textId="504B479B" w:rsidR="008003C6" w:rsidRPr="007148EA" w:rsidRDefault="008003C6" w:rsidP="003716E1">
      <w:pPr>
        <w:autoSpaceDE w:val="0"/>
        <w:autoSpaceDN w:val="0"/>
        <w:adjustRightInd w:val="0"/>
        <w:spacing w:after="0" w:line="240" w:lineRule="auto"/>
        <w:rPr>
          <w:rFonts w:ascii="Calibri" w:eastAsia="Times New Roman" w:hAnsi="Calibri" w:cs="Times New Roman"/>
          <w:b/>
          <w:sz w:val="24"/>
          <w:szCs w:val="24"/>
        </w:rPr>
      </w:pPr>
      <w:r w:rsidRPr="007148EA">
        <w:rPr>
          <w:rFonts w:ascii="Calibri" w:eastAsia="Times New Roman" w:hAnsi="Calibri" w:cs="Times New Roman"/>
          <w:b/>
          <w:sz w:val="24"/>
          <w:szCs w:val="24"/>
        </w:rPr>
        <w:t xml:space="preserve">Summary of the </w:t>
      </w:r>
      <w:r w:rsidR="00FC0E9E">
        <w:rPr>
          <w:rFonts w:ascii="Calibri" w:eastAsia="Times New Roman" w:hAnsi="Calibri" w:cs="Times New Roman"/>
          <w:b/>
          <w:sz w:val="24"/>
          <w:szCs w:val="24"/>
        </w:rPr>
        <w:t xml:space="preserve">Value in </w:t>
      </w:r>
      <w:r w:rsidRPr="007148EA">
        <w:rPr>
          <w:rFonts w:ascii="Calibri" w:eastAsia="Times New Roman" w:hAnsi="Calibri" w:cs="Times New Roman"/>
          <w:b/>
          <w:sz w:val="24"/>
          <w:szCs w:val="24"/>
        </w:rPr>
        <w:t>Conduct</w:t>
      </w:r>
      <w:r w:rsidR="00FC0E9E">
        <w:rPr>
          <w:rFonts w:ascii="Calibri" w:eastAsia="Times New Roman" w:hAnsi="Calibri" w:cs="Times New Roman"/>
          <w:b/>
          <w:sz w:val="24"/>
          <w:szCs w:val="24"/>
        </w:rPr>
        <w:t>ing</w:t>
      </w:r>
      <w:r w:rsidRPr="007148EA">
        <w:rPr>
          <w:rFonts w:ascii="Calibri" w:eastAsia="Times New Roman" w:hAnsi="Calibri" w:cs="Times New Roman"/>
          <w:b/>
          <w:sz w:val="24"/>
          <w:szCs w:val="24"/>
        </w:rPr>
        <w:t xml:space="preserve"> an Updated Survey</w:t>
      </w:r>
    </w:p>
    <w:p w14:paraId="20E1B1F2" w14:textId="14D2135A" w:rsidR="003716E1" w:rsidRPr="003716E1" w:rsidRDefault="00AA70FF"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 summary, b</w:t>
      </w:r>
      <w:r w:rsidR="00A90045">
        <w:rPr>
          <w:rFonts w:ascii="Calibri" w:eastAsia="Times New Roman" w:hAnsi="Calibri" w:cs="Times New Roman"/>
          <w:sz w:val="24"/>
          <w:szCs w:val="24"/>
        </w:rPr>
        <w:t xml:space="preserve">ecause the </w:t>
      </w:r>
      <w:r w:rsidR="003716E1" w:rsidRPr="003716E1">
        <w:rPr>
          <w:rFonts w:ascii="Calibri" w:eastAsia="Times New Roman" w:hAnsi="Calibri" w:cs="Times New Roman"/>
          <w:sz w:val="24"/>
          <w:szCs w:val="24"/>
        </w:rPr>
        <w:t xml:space="preserve">mining industry continues to experience many changes in its workforce, </w:t>
      </w:r>
      <w:r w:rsidR="00D843EC">
        <w:rPr>
          <w:rFonts w:ascii="Calibri" w:eastAsia="Times New Roman" w:hAnsi="Calibri" w:cs="Times New Roman"/>
          <w:sz w:val="24"/>
          <w:szCs w:val="24"/>
        </w:rPr>
        <w:t xml:space="preserve">work </w:t>
      </w:r>
      <w:r w:rsidR="003716E1" w:rsidRPr="003716E1">
        <w:rPr>
          <w:rFonts w:ascii="Calibri" w:eastAsia="Times New Roman" w:hAnsi="Calibri" w:cs="Times New Roman"/>
          <w:sz w:val="24"/>
          <w:szCs w:val="24"/>
        </w:rPr>
        <w:t>p</w:t>
      </w:r>
      <w:r w:rsidR="00ED3618">
        <w:rPr>
          <w:rFonts w:ascii="Calibri" w:eastAsia="Times New Roman" w:hAnsi="Calibri" w:cs="Times New Roman"/>
          <w:sz w:val="24"/>
          <w:szCs w:val="24"/>
        </w:rPr>
        <w:t>ractices</w:t>
      </w:r>
      <w:r w:rsidR="00D843EC">
        <w:rPr>
          <w:rFonts w:ascii="Calibri" w:eastAsia="Times New Roman" w:hAnsi="Calibri" w:cs="Times New Roman"/>
          <w:sz w:val="24"/>
          <w:szCs w:val="24"/>
        </w:rPr>
        <w:t>,</w:t>
      </w:r>
      <w:r w:rsidR="00ED3618">
        <w:rPr>
          <w:rFonts w:ascii="Calibri" w:eastAsia="Times New Roman" w:hAnsi="Calibri" w:cs="Times New Roman"/>
          <w:sz w:val="24"/>
          <w:szCs w:val="24"/>
        </w:rPr>
        <w:t xml:space="preserve"> and </w:t>
      </w:r>
      <w:r w:rsidR="00D843EC">
        <w:rPr>
          <w:rFonts w:ascii="Calibri" w:eastAsia="Times New Roman" w:hAnsi="Calibri" w:cs="Times New Roman"/>
          <w:sz w:val="24"/>
          <w:szCs w:val="24"/>
        </w:rPr>
        <w:t xml:space="preserve">the </w:t>
      </w:r>
      <w:r w:rsidR="00ED3618">
        <w:rPr>
          <w:rFonts w:ascii="Calibri" w:eastAsia="Times New Roman" w:hAnsi="Calibri" w:cs="Times New Roman"/>
          <w:sz w:val="24"/>
          <w:szCs w:val="24"/>
        </w:rPr>
        <w:t>use of contract labor</w:t>
      </w:r>
      <w:r w:rsidR="00A90045">
        <w:rPr>
          <w:rFonts w:ascii="Calibri" w:eastAsia="Times New Roman" w:hAnsi="Calibri" w:cs="Times New Roman"/>
          <w:sz w:val="24"/>
          <w:szCs w:val="24"/>
        </w:rPr>
        <w:t xml:space="preserve">, there is a need to </w:t>
      </w:r>
      <w:r w:rsidR="00C27272">
        <w:rPr>
          <w:rFonts w:ascii="Calibri" w:eastAsia="Times New Roman" w:hAnsi="Calibri" w:cs="Times New Roman"/>
          <w:sz w:val="24"/>
          <w:szCs w:val="24"/>
        </w:rPr>
        <w:t>conduct an updated survey. T</w:t>
      </w:r>
      <w:r w:rsidR="00A90045">
        <w:rPr>
          <w:rFonts w:ascii="Calibri" w:eastAsia="Times New Roman" w:hAnsi="Calibri" w:cs="Times New Roman"/>
          <w:sz w:val="24"/>
          <w:szCs w:val="24"/>
        </w:rPr>
        <w:t xml:space="preserve">he </w:t>
      </w:r>
      <w:r w:rsidR="003716E1" w:rsidRPr="003716E1">
        <w:rPr>
          <w:rFonts w:ascii="Calibri" w:eastAsia="Times New Roman" w:hAnsi="Calibri" w:cs="Times New Roman"/>
          <w:sz w:val="24"/>
          <w:szCs w:val="24"/>
        </w:rPr>
        <w:t>M</w:t>
      </w:r>
      <w:r w:rsidR="00731BC7">
        <w:rPr>
          <w:rFonts w:ascii="Calibri" w:eastAsia="Times New Roman" w:hAnsi="Calibri" w:cs="Times New Roman"/>
          <w:sz w:val="24"/>
          <w:szCs w:val="24"/>
        </w:rPr>
        <w:t>IWS</w:t>
      </w:r>
      <w:r w:rsidR="00A90045">
        <w:rPr>
          <w:rFonts w:ascii="Calibri" w:eastAsia="Times New Roman" w:hAnsi="Calibri" w:cs="Times New Roman"/>
          <w:sz w:val="24"/>
          <w:szCs w:val="24"/>
        </w:rPr>
        <w:t xml:space="preserve"> in the</w:t>
      </w:r>
      <w:r w:rsidR="009438F8">
        <w:rPr>
          <w:rFonts w:ascii="Calibri" w:eastAsia="Times New Roman" w:hAnsi="Calibri" w:cs="Times New Roman"/>
          <w:sz w:val="24"/>
          <w:szCs w:val="24"/>
        </w:rPr>
        <w:t xml:space="preserve"> three mining sectors that align with categories used by national mining associations</w:t>
      </w:r>
      <w:r w:rsidR="00261A6E">
        <w:rPr>
          <w:rFonts w:ascii="Calibri" w:eastAsia="Times New Roman" w:hAnsi="Calibri" w:cs="Times New Roman"/>
          <w:sz w:val="24"/>
          <w:szCs w:val="24"/>
        </w:rPr>
        <w:t xml:space="preserve">: (1) stone and </w:t>
      </w:r>
      <w:r w:rsidR="00A90045">
        <w:rPr>
          <w:rFonts w:ascii="Calibri" w:eastAsia="Times New Roman" w:hAnsi="Calibri" w:cs="Times New Roman"/>
          <w:sz w:val="24"/>
          <w:szCs w:val="24"/>
        </w:rPr>
        <w:t>sand and gravel</w:t>
      </w:r>
      <w:r w:rsidR="00261A6E">
        <w:rPr>
          <w:rFonts w:ascii="Calibri" w:eastAsia="Times New Roman" w:hAnsi="Calibri" w:cs="Times New Roman"/>
          <w:sz w:val="24"/>
          <w:szCs w:val="24"/>
        </w:rPr>
        <w:t xml:space="preserve"> mines</w:t>
      </w:r>
      <w:r w:rsidR="00A90045">
        <w:rPr>
          <w:rFonts w:ascii="Calibri" w:eastAsia="Times New Roman" w:hAnsi="Calibri" w:cs="Times New Roman"/>
          <w:sz w:val="24"/>
          <w:szCs w:val="24"/>
        </w:rPr>
        <w:t>,</w:t>
      </w:r>
      <w:r w:rsidR="00261A6E">
        <w:rPr>
          <w:rFonts w:ascii="Calibri" w:eastAsia="Times New Roman" w:hAnsi="Calibri" w:cs="Times New Roman"/>
          <w:sz w:val="24"/>
          <w:szCs w:val="24"/>
        </w:rPr>
        <w:t xml:space="preserve"> (2) metal and </w:t>
      </w:r>
      <w:r w:rsidR="00A90045">
        <w:rPr>
          <w:rFonts w:ascii="Calibri" w:eastAsia="Times New Roman" w:hAnsi="Calibri" w:cs="Times New Roman"/>
          <w:sz w:val="24"/>
          <w:szCs w:val="24"/>
        </w:rPr>
        <w:t>nonmetal</w:t>
      </w:r>
      <w:r w:rsidR="00261A6E">
        <w:rPr>
          <w:rFonts w:ascii="Calibri" w:eastAsia="Times New Roman" w:hAnsi="Calibri" w:cs="Times New Roman"/>
          <w:sz w:val="24"/>
          <w:szCs w:val="24"/>
        </w:rPr>
        <w:t xml:space="preserve"> mines</w:t>
      </w:r>
      <w:r w:rsidR="00A90045">
        <w:rPr>
          <w:rFonts w:ascii="Calibri" w:eastAsia="Times New Roman" w:hAnsi="Calibri" w:cs="Times New Roman"/>
          <w:sz w:val="24"/>
          <w:szCs w:val="24"/>
        </w:rPr>
        <w:t xml:space="preserve">, and </w:t>
      </w:r>
      <w:r w:rsidR="00261A6E">
        <w:rPr>
          <w:rFonts w:ascii="Calibri" w:eastAsia="Times New Roman" w:hAnsi="Calibri" w:cs="Times New Roman"/>
          <w:sz w:val="24"/>
          <w:szCs w:val="24"/>
        </w:rPr>
        <w:t>(3) coal mines</w:t>
      </w:r>
      <w:r w:rsidR="00A90045">
        <w:rPr>
          <w:rFonts w:ascii="Calibri" w:eastAsia="Times New Roman" w:hAnsi="Calibri" w:cs="Times New Roman"/>
          <w:sz w:val="24"/>
          <w:szCs w:val="24"/>
        </w:rPr>
        <w:t xml:space="preserve"> </w:t>
      </w:r>
      <w:r w:rsidR="00C27272">
        <w:rPr>
          <w:rFonts w:ascii="Calibri" w:eastAsia="Times New Roman" w:hAnsi="Calibri" w:cs="Times New Roman"/>
          <w:sz w:val="24"/>
          <w:szCs w:val="24"/>
        </w:rPr>
        <w:t>will</w:t>
      </w:r>
      <w:r w:rsidR="003716E1" w:rsidRPr="003716E1">
        <w:rPr>
          <w:rFonts w:ascii="Calibri" w:eastAsia="Times New Roman" w:hAnsi="Calibri" w:cs="Times New Roman"/>
          <w:sz w:val="24"/>
          <w:szCs w:val="24"/>
        </w:rPr>
        <w:t xml:space="preserve"> obtain up-to-date, appropriate, and accurate demographic and other job-related characteristics of the U.S. mining workforce. The proposed survey will collect data at both the mine and emplo</w:t>
      </w:r>
      <w:r w:rsidR="00A90045">
        <w:rPr>
          <w:rFonts w:ascii="Calibri" w:eastAsia="Times New Roman" w:hAnsi="Calibri" w:cs="Times New Roman"/>
          <w:sz w:val="24"/>
          <w:szCs w:val="24"/>
        </w:rPr>
        <w:t>yee levels</w:t>
      </w:r>
      <w:r w:rsidR="003716E1" w:rsidRPr="003716E1">
        <w:rPr>
          <w:rFonts w:ascii="Calibri" w:eastAsia="Times New Roman" w:hAnsi="Calibri" w:cs="Times New Roman"/>
          <w:sz w:val="24"/>
          <w:szCs w:val="24"/>
        </w:rPr>
        <w:t>.</w:t>
      </w:r>
      <w:r w:rsidR="00AA2A41">
        <w:rPr>
          <w:rFonts w:ascii="Calibri" w:eastAsia="Times New Roman" w:hAnsi="Calibri" w:cs="Times New Roman"/>
          <w:sz w:val="24"/>
          <w:szCs w:val="24"/>
        </w:rPr>
        <w:t xml:space="preserve"> Also, the</w:t>
      </w:r>
      <w:r w:rsidR="00AA2A41" w:rsidRPr="002F1586">
        <w:rPr>
          <w:rFonts w:ascii="Calibri" w:eastAsia="Times New Roman" w:hAnsi="Calibri" w:cs="Times New Roman"/>
          <w:sz w:val="24"/>
          <w:szCs w:val="24"/>
        </w:rPr>
        <w:t xml:space="preserve"> MIWS is designed to </w:t>
      </w:r>
      <w:r w:rsidR="00AA2A41">
        <w:rPr>
          <w:rFonts w:ascii="Calibri" w:eastAsia="Times New Roman" w:hAnsi="Calibri" w:cs="Times New Roman"/>
          <w:sz w:val="24"/>
          <w:szCs w:val="24"/>
        </w:rPr>
        <w:t>adapt required data reported to MSHA to estimate risks.</w:t>
      </w:r>
    </w:p>
    <w:p w14:paraId="6E61DA4E" w14:textId="77777777" w:rsidR="003716E1" w:rsidRPr="00CA2955" w:rsidRDefault="003716E1" w:rsidP="003716E1">
      <w:pPr>
        <w:autoSpaceDE w:val="0"/>
        <w:autoSpaceDN w:val="0"/>
        <w:adjustRightInd w:val="0"/>
        <w:spacing w:after="0" w:line="240" w:lineRule="auto"/>
        <w:rPr>
          <w:rFonts w:ascii="Times New Roman" w:hAnsi="Times New Roman"/>
          <w:sz w:val="24"/>
        </w:rPr>
      </w:pPr>
    </w:p>
    <w:p w14:paraId="3B00CCCF" w14:textId="1A0FD293"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24"/>
        </w:rPr>
      </w:pPr>
      <w:bookmarkStart w:id="3" w:name="_Toc435798892"/>
      <w:r w:rsidRPr="003716E1">
        <w:rPr>
          <w:rFonts w:ascii="Calibri" w:eastAsia="Times New Roman" w:hAnsi="Calibri" w:cs="Times New Roman"/>
          <w:b/>
          <w:bCs/>
          <w:kern w:val="32"/>
          <w:sz w:val="24"/>
          <w:szCs w:val="24"/>
        </w:rPr>
        <w:t>A.3</w:t>
      </w:r>
      <w:r w:rsidRPr="003716E1">
        <w:rPr>
          <w:rFonts w:ascii="Calibri" w:eastAsia="Times New Roman" w:hAnsi="Calibri" w:cs="Times New Roman"/>
          <w:b/>
          <w:bCs/>
          <w:kern w:val="32"/>
          <w:sz w:val="24"/>
          <w:szCs w:val="24"/>
        </w:rPr>
        <w:tab/>
        <w:t>Use of Improved Information Technology and Burden Reduction</w:t>
      </w:r>
      <w:bookmarkEnd w:id="3"/>
    </w:p>
    <w:p w14:paraId="28BDFF63"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6C9418C7" w14:textId="66C4EF0D" w:rsidR="00F803A5"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NIOSH conducted a pilot study (OMB Control No. 0920-0633, Expiration March 31, 2005) to evaluate the recruitment materials, questionnaire, and survey procedures developed for the NSMP. In 2008, NIOSH conducted the NSMP main survey. Both NSMP data collections provided input into the </w:t>
      </w:r>
      <w:r w:rsidR="00F24569">
        <w:rPr>
          <w:rFonts w:ascii="Calibri" w:eastAsia="Times New Roman" w:hAnsi="Calibri" w:cs="Times New Roman"/>
          <w:sz w:val="24"/>
          <w:szCs w:val="24"/>
        </w:rPr>
        <w:t>MIWS</w:t>
      </w:r>
      <w:r w:rsidR="00F803A5">
        <w:rPr>
          <w:rFonts w:ascii="Calibri" w:eastAsia="Times New Roman" w:hAnsi="Calibri" w:cs="Times New Roman"/>
          <w:sz w:val="24"/>
          <w:szCs w:val="24"/>
        </w:rPr>
        <w:t>. This allowed</w:t>
      </w:r>
      <w:r w:rsidRPr="003716E1">
        <w:rPr>
          <w:rFonts w:ascii="Calibri" w:eastAsia="Times New Roman" w:hAnsi="Calibri" w:cs="Times New Roman"/>
          <w:sz w:val="24"/>
          <w:szCs w:val="24"/>
        </w:rPr>
        <w:t xml:space="preserve"> NIOSH to explore the feasibility of reducing respondent burden associated with completing the paper version of the questionnaire, providing telephone and on-line support for the survey </w:t>
      </w:r>
      <w:r w:rsidR="00F803A5">
        <w:rPr>
          <w:rFonts w:ascii="Calibri" w:eastAsia="Times New Roman" w:hAnsi="Calibri" w:cs="Times New Roman"/>
          <w:sz w:val="24"/>
          <w:szCs w:val="24"/>
        </w:rPr>
        <w:t>(</w:t>
      </w:r>
      <w:r w:rsidRPr="003716E1">
        <w:rPr>
          <w:rFonts w:ascii="Calibri" w:eastAsia="Times New Roman" w:hAnsi="Calibri" w:cs="Times New Roman"/>
          <w:sz w:val="24"/>
          <w:szCs w:val="24"/>
        </w:rPr>
        <w:t>especially the employee sampling task</w:t>
      </w:r>
      <w:r w:rsidR="00F803A5">
        <w:rPr>
          <w:rFonts w:ascii="Calibri" w:eastAsia="Times New Roman" w:hAnsi="Calibri" w:cs="Times New Roman"/>
          <w:sz w:val="24"/>
          <w:szCs w:val="24"/>
        </w:rPr>
        <w:t>)</w:t>
      </w:r>
      <w:r w:rsidR="00111FBB">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further developing a web-based version of the questionnaire.</w:t>
      </w:r>
    </w:p>
    <w:p w14:paraId="51DC0743" w14:textId="77777777" w:rsidR="00F803A5" w:rsidRDefault="00F803A5" w:rsidP="003716E1">
      <w:pPr>
        <w:autoSpaceDE w:val="0"/>
        <w:autoSpaceDN w:val="0"/>
        <w:adjustRightInd w:val="0"/>
        <w:spacing w:after="0" w:line="240" w:lineRule="auto"/>
        <w:rPr>
          <w:rFonts w:ascii="Calibri" w:eastAsia="Times New Roman" w:hAnsi="Calibri" w:cs="Times New Roman"/>
          <w:sz w:val="24"/>
          <w:szCs w:val="24"/>
        </w:rPr>
      </w:pPr>
    </w:p>
    <w:p w14:paraId="1BFB38CE" w14:textId="78DC148B"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The majority of respondents </w:t>
      </w:r>
      <w:r w:rsidR="00F803A5">
        <w:rPr>
          <w:rFonts w:ascii="Calibri" w:eastAsia="Times New Roman" w:hAnsi="Calibri" w:cs="Times New Roman"/>
          <w:sz w:val="24"/>
          <w:szCs w:val="24"/>
        </w:rPr>
        <w:t xml:space="preserve">to the NSMP </w:t>
      </w:r>
      <w:r w:rsidRPr="003716E1">
        <w:rPr>
          <w:rFonts w:ascii="Calibri" w:eastAsia="Times New Roman" w:hAnsi="Calibri" w:cs="Times New Roman"/>
          <w:sz w:val="24"/>
          <w:szCs w:val="24"/>
        </w:rPr>
        <w:t xml:space="preserve">indicated that an </w:t>
      </w:r>
      <w:r w:rsidR="00F803A5">
        <w:rPr>
          <w:rFonts w:ascii="Calibri" w:eastAsia="Times New Roman" w:hAnsi="Calibri" w:cs="Times New Roman"/>
          <w:sz w:val="24"/>
          <w:szCs w:val="24"/>
        </w:rPr>
        <w:t>i</w:t>
      </w:r>
      <w:r w:rsidRPr="003716E1">
        <w:rPr>
          <w:rFonts w:ascii="Calibri" w:eastAsia="Times New Roman" w:hAnsi="Calibri" w:cs="Times New Roman"/>
          <w:sz w:val="24"/>
          <w:szCs w:val="24"/>
        </w:rPr>
        <w:t>nternet connection was available</w:t>
      </w:r>
      <w:r w:rsidR="003F0D95">
        <w:rPr>
          <w:rFonts w:ascii="Calibri" w:eastAsia="Times New Roman" w:hAnsi="Calibri" w:cs="Times New Roman"/>
          <w:sz w:val="24"/>
          <w:szCs w:val="24"/>
        </w:rPr>
        <w:t xml:space="preserve"> at their mine and more than 50</w:t>
      </w:r>
      <w:r w:rsidR="00E5007F">
        <w:rPr>
          <w:rFonts w:ascii="Calibri" w:eastAsia="Times New Roman" w:hAnsi="Calibri" w:cs="Times New Roman"/>
          <w:sz w:val="24"/>
          <w:szCs w:val="24"/>
        </w:rPr>
        <w:t>%</w:t>
      </w:r>
      <w:r w:rsidRPr="003716E1">
        <w:rPr>
          <w:rFonts w:ascii="Calibri" w:eastAsia="Times New Roman" w:hAnsi="Calibri" w:cs="Times New Roman"/>
          <w:sz w:val="24"/>
          <w:szCs w:val="24"/>
        </w:rPr>
        <w:t xml:space="preserve"> reported preferring an electronic response option. Thus, for the </w:t>
      </w:r>
      <w:r w:rsidR="00F24569">
        <w:rPr>
          <w:rFonts w:ascii="Calibri" w:eastAsia="Times New Roman" w:hAnsi="Calibri" w:cs="Times New Roman"/>
          <w:sz w:val="24"/>
          <w:szCs w:val="24"/>
        </w:rPr>
        <w:t>MIWS</w:t>
      </w:r>
      <w:r w:rsidRPr="003716E1">
        <w:rPr>
          <w:rFonts w:ascii="Calibri" w:eastAsia="Times New Roman" w:hAnsi="Calibri" w:cs="Times New Roman"/>
          <w:sz w:val="24"/>
          <w:szCs w:val="24"/>
        </w:rPr>
        <w:t>, a web-based survey (</w:t>
      </w:r>
      <w:r w:rsidRPr="003716E1">
        <w:rPr>
          <w:rFonts w:ascii="Calibri" w:eastAsia="Times New Roman" w:hAnsi="Calibri" w:cs="Times New Roman"/>
          <w:b/>
          <w:sz w:val="24"/>
          <w:szCs w:val="24"/>
        </w:rPr>
        <w:t>Attachment F</w:t>
      </w:r>
      <w:r w:rsidR="00687277">
        <w:rPr>
          <w:rFonts w:ascii="Calibri" w:eastAsia="Times New Roman" w:hAnsi="Calibri" w:cs="Times New Roman"/>
          <w:sz w:val="24"/>
          <w:szCs w:val="24"/>
        </w:rPr>
        <w:t>) will be available.</w:t>
      </w:r>
      <w:r w:rsidRPr="003716E1">
        <w:rPr>
          <w:rFonts w:ascii="Calibri" w:eastAsia="Times New Roman" w:hAnsi="Calibri" w:cs="Times New Roman"/>
          <w:sz w:val="24"/>
          <w:szCs w:val="24"/>
        </w:rPr>
        <w:t xml:space="preserve"> </w:t>
      </w:r>
      <w:r w:rsidRPr="00CA2955">
        <w:rPr>
          <w:rFonts w:ascii="Calibri" w:hAnsi="Calibri"/>
          <w:sz w:val="24"/>
        </w:rPr>
        <w:t xml:space="preserve">Additional changes to reduce burden based on prior NSMP experience are: 1) fewer mines </w:t>
      </w:r>
      <w:r w:rsidR="00F803A5">
        <w:rPr>
          <w:rFonts w:ascii="Calibri" w:hAnsi="Calibri"/>
          <w:sz w:val="24"/>
        </w:rPr>
        <w:t xml:space="preserve">being </w:t>
      </w:r>
      <w:r w:rsidRPr="00CA2955">
        <w:rPr>
          <w:rFonts w:ascii="Calibri" w:hAnsi="Calibri"/>
          <w:sz w:val="24"/>
        </w:rPr>
        <w:t>selected from companies with multiple mines, 2) an abbreviated mine-level questionnaire, 3) simplified employee sampling instructions, 4) sampling support by telephone and on-line, 5) fewer employees sampled, and 6) employee demographic questions that can be answered from one data system (e.g., payroll).</w:t>
      </w:r>
      <w:r w:rsidR="00FC2DE9">
        <w:rPr>
          <w:rFonts w:ascii="Calibri" w:hAnsi="Calibri"/>
          <w:sz w:val="24"/>
        </w:rPr>
        <w:t xml:space="preserve"> The estimated time burden attributed to electronic reporting is </w:t>
      </w:r>
      <w:r w:rsidR="00261A6E">
        <w:rPr>
          <w:rFonts w:ascii="Calibri" w:hAnsi="Calibri"/>
          <w:sz w:val="24"/>
        </w:rPr>
        <w:t>75%</w:t>
      </w:r>
      <w:r w:rsidR="00A639F7">
        <w:rPr>
          <w:rFonts w:ascii="Calibri" w:hAnsi="Calibri"/>
          <w:sz w:val="24"/>
        </w:rPr>
        <w:t xml:space="preserve"> </w:t>
      </w:r>
      <w:r w:rsidR="00FC2DE9">
        <w:rPr>
          <w:rFonts w:ascii="Calibri" w:hAnsi="Calibri"/>
          <w:sz w:val="24"/>
        </w:rPr>
        <w:t xml:space="preserve">of the total time burden for </w:t>
      </w:r>
      <w:r w:rsidR="00E5007F">
        <w:rPr>
          <w:rFonts w:ascii="Calibri" w:hAnsi="Calibri"/>
          <w:sz w:val="24"/>
        </w:rPr>
        <w:t>50%</w:t>
      </w:r>
      <w:r w:rsidR="00A639F7">
        <w:rPr>
          <w:rFonts w:ascii="Calibri" w:hAnsi="Calibri"/>
          <w:sz w:val="24"/>
        </w:rPr>
        <w:t xml:space="preserve"> </w:t>
      </w:r>
      <w:r w:rsidR="00FC2DE9">
        <w:rPr>
          <w:rFonts w:ascii="Calibri" w:hAnsi="Calibri"/>
          <w:sz w:val="24"/>
        </w:rPr>
        <w:t>of the total number of respondents per year.</w:t>
      </w:r>
    </w:p>
    <w:p w14:paraId="0FBF0763" w14:textId="77777777" w:rsidR="0028350F" w:rsidRDefault="0028350F" w:rsidP="003716E1">
      <w:pPr>
        <w:autoSpaceDE w:val="0"/>
        <w:autoSpaceDN w:val="0"/>
        <w:adjustRightInd w:val="0"/>
        <w:spacing w:after="0" w:line="240" w:lineRule="auto"/>
        <w:rPr>
          <w:rFonts w:ascii="Calibri" w:eastAsia="Times New Roman" w:hAnsi="Calibri" w:cs="Times New Roman"/>
          <w:sz w:val="24"/>
          <w:szCs w:val="24"/>
          <w:lang w:val="en-CA"/>
        </w:rPr>
      </w:pPr>
    </w:p>
    <w:p w14:paraId="145EE992" w14:textId="18787D24" w:rsidR="0083341E" w:rsidRDefault="00FF008A"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lang w:val="en-CA"/>
        </w:rPr>
        <w:t xml:space="preserve">In the case of the </w:t>
      </w:r>
      <w:r>
        <w:rPr>
          <w:rFonts w:ascii="Calibri" w:eastAsia="Times New Roman" w:hAnsi="Calibri" w:cs="Times New Roman"/>
          <w:sz w:val="24"/>
          <w:szCs w:val="24"/>
        </w:rPr>
        <w:t>MIWS,</w:t>
      </w:r>
      <w:r>
        <w:rPr>
          <w:rFonts w:ascii="Calibri" w:eastAsia="Times New Roman" w:hAnsi="Calibri" w:cs="Times New Roman"/>
          <w:sz w:val="24"/>
          <w:szCs w:val="24"/>
          <w:lang w:val="en-CA"/>
        </w:rPr>
        <w:t xml:space="preserve"> a</w:t>
      </w:r>
      <w:r w:rsidR="00F803A5">
        <w:rPr>
          <w:rFonts w:ascii="Calibri" w:eastAsia="Times New Roman" w:hAnsi="Calibri" w:cs="Times New Roman"/>
          <w:sz w:val="24"/>
          <w:szCs w:val="24"/>
          <w:lang w:val="en-CA"/>
        </w:rPr>
        <w:t>n important component to reducing burden</w:t>
      </w:r>
      <w:r w:rsidR="00C06905">
        <w:rPr>
          <w:rFonts w:ascii="Calibri" w:eastAsia="Times New Roman" w:hAnsi="Calibri" w:cs="Times New Roman"/>
          <w:sz w:val="24"/>
          <w:szCs w:val="24"/>
          <w:lang w:val="en-CA"/>
        </w:rPr>
        <w:t xml:space="preserve"> is restricting sample size.</w:t>
      </w:r>
      <w:r w:rsidR="00F803A5">
        <w:rPr>
          <w:rFonts w:ascii="Calibri" w:eastAsia="Times New Roman" w:hAnsi="Calibri" w:cs="Times New Roman"/>
          <w:sz w:val="24"/>
          <w:szCs w:val="24"/>
          <w:lang w:val="en-CA"/>
        </w:rPr>
        <w:t xml:space="preserve"> </w:t>
      </w:r>
      <w:r w:rsidR="00847AC7" w:rsidRPr="003F0D95">
        <w:rPr>
          <w:rFonts w:ascii="Calibri" w:eastAsia="Times New Roman" w:hAnsi="Calibri" w:cs="Times New Roman"/>
          <w:sz w:val="24"/>
          <w:szCs w:val="24"/>
          <w:lang w:val="en-CA"/>
        </w:rPr>
        <w:t xml:space="preserve">It should be noted that one respondent, the mine </w:t>
      </w:r>
      <w:r w:rsidR="00C170C7" w:rsidRPr="003F0D95">
        <w:rPr>
          <w:rFonts w:ascii="Calibri" w:eastAsia="Times New Roman" w:hAnsi="Calibri" w:cs="Times New Roman"/>
          <w:sz w:val="24"/>
          <w:szCs w:val="24"/>
          <w:lang w:val="en-CA"/>
        </w:rPr>
        <w:t>representative</w:t>
      </w:r>
      <w:r w:rsidR="00847AC7" w:rsidRPr="003F0D95">
        <w:rPr>
          <w:rFonts w:ascii="Calibri" w:eastAsia="Times New Roman" w:hAnsi="Calibri" w:cs="Times New Roman"/>
          <w:sz w:val="24"/>
          <w:szCs w:val="24"/>
          <w:lang w:val="en-CA"/>
        </w:rPr>
        <w:t>, will complete and report both the mine-level and the employee-level data.</w:t>
      </w:r>
      <w:r w:rsidR="00F803A5" w:rsidRPr="007148EA">
        <w:rPr>
          <w:rFonts w:ascii="Calibri" w:eastAsia="Times New Roman" w:hAnsi="Calibri" w:cs="Times New Roman"/>
          <w:sz w:val="24"/>
          <w:szCs w:val="24"/>
          <w:lang w:val="en-CA"/>
        </w:rPr>
        <w:t xml:space="preserve"> </w:t>
      </w:r>
      <w:r w:rsidR="003716E1" w:rsidRPr="00615319">
        <w:rPr>
          <w:rFonts w:ascii="Calibri" w:eastAsia="Times New Roman" w:hAnsi="Calibri" w:cs="Times New Roman"/>
          <w:sz w:val="24"/>
          <w:szCs w:val="24"/>
          <w:highlight w:val="yellow"/>
          <w:lang w:val="en-CA"/>
        </w:rPr>
        <w:fldChar w:fldCharType="begin"/>
      </w:r>
      <w:r w:rsidR="003716E1" w:rsidRPr="00615319">
        <w:rPr>
          <w:rFonts w:ascii="Calibri" w:eastAsia="Times New Roman" w:hAnsi="Calibri" w:cs="Times New Roman"/>
          <w:sz w:val="24"/>
          <w:szCs w:val="24"/>
          <w:highlight w:val="yellow"/>
          <w:lang w:val="en-CA"/>
        </w:rPr>
        <w:instrText xml:space="preserve"> SEQ CHAPTER \h \r 1</w:instrText>
      </w:r>
      <w:r w:rsidR="003716E1" w:rsidRPr="00615319">
        <w:rPr>
          <w:rFonts w:ascii="Calibri" w:eastAsia="Times New Roman" w:hAnsi="Calibri" w:cs="Times New Roman"/>
          <w:sz w:val="24"/>
          <w:szCs w:val="24"/>
          <w:highlight w:val="yellow"/>
          <w:lang w:val="en-CA"/>
        </w:rPr>
        <w:fldChar w:fldCharType="end"/>
      </w:r>
      <w:r w:rsidR="004A15D9">
        <w:rPr>
          <w:rFonts w:ascii="Calibri" w:eastAsia="Times New Roman" w:hAnsi="Calibri" w:cs="Times New Roman"/>
          <w:sz w:val="24"/>
          <w:szCs w:val="24"/>
        </w:rPr>
        <w:t xml:space="preserve">The number of </w:t>
      </w:r>
      <w:r w:rsidR="00074CCD">
        <w:rPr>
          <w:rFonts w:ascii="Calibri" w:hAnsi="Calibri"/>
          <w:sz w:val="24"/>
        </w:rPr>
        <w:t>mines</w:t>
      </w:r>
      <w:r w:rsidR="004A15D9" w:rsidRPr="00070FD2">
        <w:rPr>
          <w:rFonts w:ascii="Calibri" w:hAnsi="Calibri"/>
          <w:sz w:val="24"/>
        </w:rPr>
        <w:t xml:space="preserve"> sampled </w:t>
      </w:r>
      <w:r w:rsidR="004A15D9">
        <w:rPr>
          <w:rFonts w:ascii="Calibri" w:eastAsia="Times New Roman" w:hAnsi="Calibri" w:cs="Times New Roman"/>
          <w:sz w:val="24"/>
          <w:szCs w:val="24"/>
        </w:rPr>
        <w:t>per min</w:t>
      </w:r>
      <w:r w:rsidR="00074CCD">
        <w:rPr>
          <w:rFonts w:ascii="Calibri" w:eastAsia="Times New Roman" w:hAnsi="Calibri" w:cs="Times New Roman"/>
          <w:sz w:val="24"/>
          <w:szCs w:val="24"/>
        </w:rPr>
        <w:t>ing</w:t>
      </w:r>
      <w:r w:rsidR="00847AC7">
        <w:rPr>
          <w:rFonts w:ascii="Calibri" w:eastAsia="Times New Roman" w:hAnsi="Calibri" w:cs="Times New Roman"/>
          <w:sz w:val="24"/>
          <w:szCs w:val="24"/>
        </w:rPr>
        <w:t xml:space="preserve"> sector</w:t>
      </w:r>
      <w:r w:rsidR="004A15D9">
        <w:rPr>
          <w:rFonts w:ascii="Calibri" w:eastAsia="Times New Roman" w:hAnsi="Calibri" w:cs="Times New Roman"/>
          <w:sz w:val="24"/>
          <w:szCs w:val="24"/>
        </w:rPr>
        <w:t xml:space="preserve"> is variable, but the sample size</w:t>
      </w:r>
      <w:r w:rsidR="00074CCD">
        <w:rPr>
          <w:rFonts w:ascii="Calibri" w:eastAsia="Times New Roman" w:hAnsi="Calibri" w:cs="Times New Roman"/>
          <w:sz w:val="24"/>
          <w:szCs w:val="24"/>
        </w:rPr>
        <w:t xml:space="preserve"> </w:t>
      </w:r>
      <w:r w:rsidR="00AA4E45">
        <w:rPr>
          <w:rFonts w:ascii="Calibri" w:eastAsia="Times New Roman" w:hAnsi="Calibri" w:cs="Times New Roman"/>
          <w:sz w:val="24"/>
          <w:szCs w:val="24"/>
        </w:rPr>
        <w:t xml:space="preserve">of employee records </w:t>
      </w:r>
      <w:r w:rsidR="00074CCD">
        <w:rPr>
          <w:rFonts w:ascii="Calibri" w:eastAsia="Times New Roman" w:hAnsi="Calibri" w:cs="Times New Roman"/>
          <w:sz w:val="24"/>
          <w:szCs w:val="24"/>
        </w:rPr>
        <w:t>per mine</w:t>
      </w:r>
      <w:r w:rsidR="004A15D9">
        <w:rPr>
          <w:rFonts w:ascii="Calibri" w:eastAsia="Times New Roman" w:hAnsi="Calibri" w:cs="Times New Roman"/>
          <w:sz w:val="24"/>
          <w:szCs w:val="24"/>
        </w:rPr>
        <w:t xml:space="preserve"> is restricted to no more than 10 </w:t>
      </w:r>
      <w:r w:rsidR="004A15D9" w:rsidRPr="00070FD2">
        <w:rPr>
          <w:rFonts w:ascii="Calibri" w:hAnsi="Calibri"/>
          <w:sz w:val="24"/>
        </w:rPr>
        <w:t>employees</w:t>
      </w:r>
      <w:r w:rsidR="003F0D95">
        <w:rPr>
          <w:rFonts w:ascii="Calibri" w:hAnsi="Calibri"/>
          <w:sz w:val="24"/>
        </w:rPr>
        <w:t xml:space="preserve"> for mines with less than 50 employees</w:t>
      </w:r>
      <w:r w:rsidR="004A15D9">
        <w:rPr>
          <w:rFonts w:ascii="Calibri" w:eastAsia="Times New Roman" w:hAnsi="Calibri" w:cs="Times New Roman"/>
          <w:sz w:val="24"/>
          <w:szCs w:val="24"/>
        </w:rPr>
        <w:t>.</w:t>
      </w:r>
      <w:r w:rsidR="003F0D95">
        <w:rPr>
          <w:rFonts w:ascii="Calibri" w:eastAsia="Times New Roman" w:hAnsi="Calibri" w:cs="Times New Roman"/>
          <w:sz w:val="24"/>
          <w:szCs w:val="24"/>
        </w:rPr>
        <w:t xml:space="preserve"> For mines with 50 or more employees</w:t>
      </w:r>
      <w:r w:rsidR="00F803A5">
        <w:rPr>
          <w:rFonts w:ascii="Calibri" w:eastAsia="Times New Roman" w:hAnsi="Calibri" w:cs="Times New Roman"/>
          <w:sz w:val="24"/>
          <w:szCs w:val="24"/>
        </w:rPr>
        <w:t>,</w:t>
      </w:r>
      <w:r w:rsidR="003F0D95">
        <w:rPr>
          <w:rFonts w:ascii="Calibri" w:eastAsia="Times New Roman" w:hAnsi="Calibri" w:cs="Times New Roman"/>
          <w:sz w:val="24"/>
          <w:szCs w:val="24"/>
        </w:rPr>
        <w:t xml:space="preserve"> the sample size per mine is restricted to no more than 15 employees.</w:t>
      </w:r>
      <w:r w:rsidR="004A15D9">
        <w:rPr>
          <w:rFonts w:ascii="Calibri" w:eastAsia="Times New Roman" w:hAnsi="Calibri" w:cs="Times New Roman"/>
          <w:sz w:val="24"/>
          <w:szCs w:val="24"/>
        </w:rPr>
        <w:t xml:space="preserve"> </w:t>
      </w:r>
      <w:r w:rsidR="0083341E">
        <w:rPr>
          <w:rFonts w:ascii="Calibri" w:eastAsia="Times New Roman" w:hAnsi="Calibri" w:cs="Times New Roman"/>
          <w:sz w:val="24"/>
          <w:szCs w:val="24"/>
        </w:rPr>
        <w:t xml:space="preserve">Based on NIOSH experience in </w:t>
      </w:r>
      <w:r w:rsidR="004A15D9">
        <w:rPr>
          <w:rFonts w:ascii="Calibri" w:eastAsia="Times New Roman" w:hAnsi="Calibri" w:cs="Times New Roman"/>
          <w:sz w:val="24"/>
          <w:szCs w:val="24"/>
        </w:rPr>
        <w:t xml:space="preserve">the 2008 NSMP, about 25 employees were sampled per mine which increased the burden on the mine </w:t>
      </w:r>
      <w:r w:rsidR="00F10CC1">
        <w:rPr>
          <w:rFonts w:ascii="Calibri" w:eastAsia="Times New Roman" w:hAnsi="Calibri" w:cs="Times New Roman"/>
          <w:sz w:val="24"/>
          <w:szCs w:val="24"/>
        </w:rPr>
        <w:t>representative</w:t>
      </w:r>
      <w:r w:rsidR="004A15D9">
        <w:rPr>
          <w:rFonts w:ascii="Calibri" w:eastAsia="Times New Roman" w:hAnsi="Calibri" w:cs="Times New Roman"/>
          <w:sz w:val="24"/>
          <w:szCs w:val="24"/>
        </w:rPr>
        <w:t xml:space="preserve"> and led to lower response rates</w:t>
      </w:r>
      <w:r w:rsidR="0083341E">
        <w:rPr>
          <w:rFonts w:ascii="Calibri" w:eastAsia="Times New Roman" w:hAnsi="Calibri" w:cs="Times New Roman"/>
          <w:sz w:val="24"/>
          <w:szCs w:val="24"/>
        </w:rPr>
        <w:t xml:space="preserve">; therefore, 10 </w:t>
      </w:r>
      <w:r w:rsidR="00650A45">
        <w:rPr>
          <w:rFonts w:ascii="Calibri" w:eastAsia="Times New Roman" w:hAnsi="Calibri" w:cs="Times New Roman"/>
          <w:sz w:val="24"/>
          <w:szCs w:val="24"/>
        </w:rPr>
        <w:t xml:space="preserve">and sometimes 15 </w:t>
      </w:r>
      <w:r w:rsidR="0083341E">
        <w:rPr>
          <w:rFonts w:ascii="Calibri" w:eastAsia="Times New Roman" w:hAnsi="Calibri" w:cs="Times New Roman"/>
          <w:sz w:val="24"/>
          <w:szCs w:val="24"/>
        </w:rPr>
        <w:t>employee</w:t>
      </w:r>
      <w:r w:rsidR="00F10CC1">
        <w:rPr>
          <w:rFonts w:ascii="Calibri" w:eastAsia="Times New Roman" w:hAnsi="Calibri" w:cs="Times New Roman"/>
          <w:sz w:val="24"/>
          <w:szCs w:val="24"/>
        </w:rPr>
        <w:t>-</w:t>
      </w:r>
      <w:r w:rsidR="0083341E">
        <w:rPr>
          <w:rFonts w:ascii="Calibri" w:eastAsia="Times New Roman" w:hAnsi="Calibri" w:cs="Times New Roman"/>
          <w:sz w:val="24"/>
          <w:szCs w:val="24"/>
        </w:rPr>
        <w:t xml:space="preserve">level </w:t>
      </w:r>
      <w:r w:rsidR="00F10CC1">
        <w:rPr>
          <w:rFonts w:ascii="Calibri" w:eastAsia="Times New Roman" w:hAnsi="Calibri" w:cs="Times New Roman"/>
          <w:sz w:val="24"/>
          <w:szCs w:val="24"/>
        </w:rPr>
        <w:t>record</w:t>
      </w:r>
      <w:r w:rsidR="0083341E">
        <w:rPr>
          <w:rFonts w:ascii="Calibri" w:eastAsia="Times New Roman" w:hAnsi="Calibri" w:cs="Times New Roman"/>
          <w:sz w:val="24"/>
          <w:szCs w:val="24"/>
        </w:rPr>
        <w:t>s are proposed per mine for the MIWS</w:t>
      </w:r>
      <w:r w:rsidR="006B2AAF">
        <w:rPr>
          <w:rFonts w:ascii="Calibri" w:eastAsia="Times New Roman" w:hAnsi="Calibri" w:cs="Times New Roman"/>
          <w:sz w:val="24"/>
          <w:szCs w:val="24"/>
        </w:rPr>
        <w:t xml:space="preserve"> to </w:t>
      </w:r>
      <w:r w:rsidR="006022BE">
        <w:rPr>
          <w:rFonts w:ascii="Calibri" w:eastAsia="Times New Roman" w:hAnsi="Calibri" w:cs="Times New Roman"/>
          <w:sz w:val="24"/>
          <w:szCs w:val="24"/>
        </w:rPr>
        <w:t xml:space="preserve">increase the </w:t>
      </w:r>
      <w:r w:rsidR="006022BE" w:rsidRPr="00F66175">
        <w:rPr>
          <w:rFonts w:ascii="Calibri" w:eastAsia="Times New Roman" w:hAnsi="Calibri" w:cs="Times New Roman"/>
          <w:sz w:val="24"/>
          <w:szCs w:val="24"/>
        </w:rPr>
        <w:t xml:space="preserve">likelihood of </w:t>
      </w:r>
      <w:r w:rsidR="006B2AAF" w:rsidRPr="00F66175">
        <w:rPr>
          <w:rFonts w:ascii="Calibri" w:eastAsia="Times New Roman" w:hAnsi="Calibri" w:cs="Times New Roman"/>
          <w:sz w:val="24"/>
          <w:szCs w:val="24"/>
        </w:rPr>
        <w:t>improve</w:t>
      </w:r>
      <w:r w:rsidR="006022BE" w:rsidRPr="00F66175">
        <w:rPr>
          <w:rFonts w:ascii="Calibri" w:eastAsia="Times New Roman" w:hAnsi="Calibri" w:cs="Times New Roman"/>
          <w:sz w:val="24"/>
          <w:szCs w:val="24"/>
        </w:rPr>
        <w:t>d</w:t>
      </w:r>
      <w:r w:rsidR="006B2AAF" w:rsidRPr="00F66175">
        <w:rPr>
          <w:rFonts w:ascii="Calibri" w:eastAsia="Times New Roman" w:hAnsi="Calibri" w:cs="Times New Roman"/>
          <w:sz w:val="24"/>
          <w:szCs w:val="24"/>
        </w:rPr>
        <w:t xml:space="preserve"> response rates</w:t>
      </w:r>
      <w:r w:rsidR="006022BE" w:rsidRPr="00F66175">
        <w:rPr>
          <w:rFonts w:ascii="Calibri" w:eastAsia="Times New Roman" w:hAnsi="Calibri" w:cs="Times New Roman"/>
          <w:sz w:val="24"/>
          <w:szCs w:val="24"/>
        </w:rPr>
        <w:t xml:space="preserve"> while reducing the time burde</w:t>
      </w:r>
      <w:r w:rsidR="00650A45">
        <w:rPr>
          <w:rFonts w:ascii="Calibri" w:eastAsia="Times New Roman" w:hAnsi="Calibri" w:cs="Times New Roman"/>
          <w:sz w:val="24"/>
          <w:szCs w:val="24"/>
        </w:rPr>
        <w:t xml:space="preserve">n per mine. </w:t>
      </w:r>
      <w:r w:rsidR="00F66175" w:rsidRPr="0070589A">
        <w:rPr>
          <w:sz w:val="24"/>
          <w:szCs w:val="24"/>
        </w:rPr>
        <w:t xml:space="preserve">Reducing the number to 10 </w:t>
      </w:r>
      <w:r w:rsidR="00650A45">
        <w:rPr>
          <w:sz w:val="24"/>
          <w:szCs w:val="24"/>
        </w:rPr>
        <w:t>or at most 15 employees drives the</w:t>
      </w:r>
      <w:r w:rsidR="00F803A5">
        <w:rPr>
          <w:sz w:val="24"/>
          <w:szCs w:val="24"/>
        </w:rPr>
        <w:t xml:space="preserve"> desired</w:t>
      </w:r>
      <w:r w:rsidR="00650A45">
        <w:rPr>
          <w:sz w:val="24"/>
          <w:szCs w:val="24"/>
        </w:rPr>
        <w:t xml:space="preserve"> 4</w:t>
      </w:r>
      <w:r w:rsidR="00F66175" w:rsidRPr="0070589A">
        <w:rPr>
          <w:sz w:val="24"/>
          <w:szCs w:val="24"/>
        </w:rPr>
        <w:t xml:space="preserve">0% response rate. More detail on design effects can be found in the tables in </w:t>
      </w:r>
      <w:r w:rsidR="00650A45">
        <w:rPr>
          <w:b/>
          <w:sz w:val="24"/>
          <w:szCs w:val="24"/>
        </w:rPr>
        <w:t>Attachment G</w:t>
      </w:r>
      <w:r w:rsidR="00F66175" w:rsidRPr="0070589A">
        <w:rPr>
          <w:sz w:val="24"/>
          <w:szCs w:val="24"/>
        </w:rPr>
        <w:t>.</w:t>
      </w:r>
    </w:p>
    <w:p w14:paraId="2A94585C" w14:textId="77777777" w:rsidR="009D13D1" w:rsidRDefault="009D13D1" w:rsidP="003716E1">
      <w:pPr>
        <w:autoSpaceDE w:val="0"/>
        <w:autoSpaceDN w:val="0"/>
        <w:adjustRightInd w:val="0"/>
        <w:spacing w:after="0" w:line="240" w:lineRule="auto"/>
        <w:rPr>
          <w:rFonts w:ascii="Calibri" w:eastAsia="Times New Roman" w:hAnsi="Calibri" w:cs="Times New Roman"/>
          <w:sz w:val="24"/>
          <w:szCs w:val="24"/>
        </w:rPr>
      </w:pPr>
    </w:p>
    <w:p w14:paraId="48F1696B" w14:textId="04AB1C1E" w:rsidR="00F02B02" w:rsidRDefault="006B2AAF" w:rsidP="003716E1">
      <w:pPr>
        <w:autoSpaceDE w:val="0"/>
        <w:autoSpaceDN w:val="0"/>
        <w:adjustRightInd w:val="0"/>
        <w:spacing w:after="0" w:line="240" w:lineRule="auto"/>
        <w:rPr>
          <w:rFonts w:ascii="Calibri" w:eastAsia="Times New Roman" w:hAnsi="Calibri" w:cs="Times New Roman"/>
          <w:sz w:val="24"/>
          <w:szCs w:val="24"/>
        </w:rPr>
      </w:pPr>
      <w:r w:rsidRPr="00B233EC">
        <w:rPr>
          <w:rFonts w:ascii="Calibri" w:eastAsia="Times New Roman" w:hAnsi="Calibri" w:cs="Times New Roman"/>
          <w:bCs/>
          <w:sz w:val="24"/>
          <w:szCs w:val="24"/>
        </w:rPr>
        <w:t>The 2008 NSMP was conducted in March through August of 2008</w:t>
      </w:r>
      <w:r w:rsidR="00C06905">
        <w:rPr>
          <w:rFonts w:ascii="Calibri" w:eastAsia="Times New Roman" w:hAnsi="Calibri" w:cs="Times New Roman"/>
          <w:bCs/>
          <w:sz w:val="24"/>
          <w:szCs w:val="24"/>
        </w:rPr>
        <w:t>,</w:t>
      </w:r>
      <w:r w:rsidRPr="00B233EC">
        <w:rPr>
          <w:rFonts w:ascii="Calibri" w:eastAsia="Times New Roman" w:hAnsi="Calibri" w:cs="Times New Roman"/>
          <w:bCs/>
          <w:sz w:val="24"/>
          <w:szCs w:val="24"/>
        </w:rPr>
        <w:t xml:space="preserve"> with 737 mines completing the questionnaires and reporting data for 9,008 employees. </w:t>
      </w:r>
      <w:r w:rsidRPr="00B233EC">
        <w:rPr>
          <w:rFonts w:ascii="Calibri" w:eastAsia="Times New Roman" w:hAnsi="Calibri" w:cs="Times New Roman"/>
          <w:sz w:val="24"/>
          <w:szCs w:val="24"/>
        </w:rPr>
        <w:t xml:space="preserve">The overall weighted response rate for this survey </w:t>
      </w:r>
      <w:r w:rsidRPr="00070FD2">
        <w:rPr>
          <w:rFonts w:ascii="Calibri" w:hAnsi="Calibri"/>
          <w:sz w:val="24"/>
        </w:rPr>
        <w:t>was 36.7%</w:t>
      </w:r>
      <w:r w:rsidRPr="00B233EC">
        <w:rPr>
          <w:rFonts w:ascii="Calibri" w:eastAsia="Times New Roman" w:hAnsi="Calibri" w:cs="Times New Roman"/>
          <w:sz w:val="24"/>
          <w:szCs w:val="24"/>
        </w:rPr>
        <w:t xml:space="preserve"> with the lowest response rate for coal mines (25.8%) and the highest for nonmetal mines (48.8%). </w:t>
      </w:r>
      <w:r w:rsidR="009D13D1">
        <w:rPr>
          <w:rFonts w:ascii="Calibri" w:eastAsia="Times New Roman" w:hAnsi="Calibri" w:cs="Times New Roman"/>
          <w:sz w:val="24"/>
          <w:szCs w:val="24"/>
        </w:rPr>
        <w:t>For the MIWS, a</w:t>
      </w:r>
      <w:r w:rsidR="009D13D1" w:rsidRPr="00B233EC">
        <w:rPr>
          <w:rFonts w:ascii="Calibri" w:eastAsia="Times New Roman" w:hAnsi="Calibri" w:cs="Times New Roman"/>
          <w:sz w:val="24"/>
          <w:szCs w:val="24"/>
        </w:rPr>
        <w:t xml:space="preserve">pproximately </w:t>
      </w:r>
      <w:r w:rsidR="00E5007F" w:rsidRPr="00E5007F">
        <w:rPr>
          <w:rFonts w:ascii="Calibri" w:eastAsia="Times New Roman" w:hAnsi="Calibri" w:cs="Times New Roman"/>
          <w:sz w:val="24"/>
          <w:szCs w:val="24"/>
        </w:rPr>
        <w:t>1,075</w:t>
      </w:r>
      <w:r w:rsidR="00BF1825" w:rsidRPr="00E5007F">
        <w:rPr>
          <w:rFonts w:ascii="Calibri" w:eastAsia="Times New Roman" w:hAnsi="Calibri" w:cs="Times New Roman"/>
          <w:sz w:val="24"/>
          <w:szCs w:val="24"/>
        </w:rPr>
        <w:t xml:space="preserve"> stone,</w:t>
      </w:r>
      <w:r w:rsidR="009D13D1" w:rsidRPr="00E5007F">
        <w:rPr>
          <w:rFonts w:ascii="Calibri" w:eastAsia="Times New Roman" w:hAnsi="Calibri" w:cs="Times New Roman"/>
          <w:sz w:val="24"/>
          <w:szCs w:val="24"/>
        </w:rPr>
        <w:t xml:space="preserve"> sand</w:t>
      </w:r>
      <w:r w:rsidR="0057330F" w:rsidRPr="00E5007F">
        <w:rPr>
          <w:rFonts w:ascii="Calibri" w:eastAsia="Times New Roman" w:hAnsi="Calibri" w:cs="Times New Roman"/>
          <w:sz w:val="24"/>
          <w:szCs w:val="24"/>
        </w:rPr>
        <w:t xml:space="preserve"> </w:t>
      </w:r>
      <w:r w:rsidR="009D13D1" w:rsidRPr="00E5007F">
        <w:rPr>
          <w:rFonts w:ascii="Calibri" w:eastAsia="Times New Roman" w:hAnsi="Calibri" w:cs="Times New Roman"/>
          <w:sz w:val="24"/>
          <w:szCs w:val="24"/>
        </w:rPr>
        <w:t>and gravel mines</w:t>
      </w:r>
      <w:r w:rsidR="00A05435" w:rsidRPr="00E5007F">
        <w:rPr>
          <w:rFonts w:ascii="Calibri" w:eastAsia="Times New Roman" w:hAnsi="Calibri" w:cs="Times New Roman"/>
          <w:sz w:val="24"/>
          <w:szCs w:val="24"/>
        </w:rPr>
        <w:t>;</w:t>
      </w:r>
      <w:r w:rsidR="00E5007F" w:rsidRPr="00E5007F">
        <w:rPr>
          <w:rFonts w:ascii="Calibri" w:eastAsia="Times New Roman" w:hAnsi="Calibri" w:cs="Times New Roman"/>
          <w:sz w:val="24"/>
          <w:szCs w:val="24"/>
        </w:rPr>
        <w:t xml:space="preserve"> 697</w:t>
      </w:r>
      <w:r w:rsidR="006022BE" w:rsidRPr="00E5007F">
        <w:rPr>
          <w:rFonts w:ascii="Calibri" w:eastAsia="Times New Roman" w:hAnsi="Calibri" w:cs="Times New Roman"/>
          <w:sz w:val="24"/>
          <w:szCs w:val="24"/>
        </w:rPr>
        <w:t xml:space="preserve"> </w:t>
      </w:r>
      <w:r w:rsidR="0057330F" w:rsidRPr="00E5007F">
        <w:rPr>
          <w:rFonts w:ascii="Calibri" w:eastAsia="Times New Roman" w:hAnsi="Calibri" w:cs="Times New Roman"/>
          <w:sz w:val="24"/>
          <w:szCs w:val="24"/>
        </w:rPr>
        <w:t xml:space="preserve">metal and nonmetal </w:t>
      </w:r>
      <w:r w:rsidR="006022BE" w:rsidRPr="00E5007F">
        <w:rPr>
          <w:rFonts w:ascii="Calibri" w:eastAsia="Times New Roman" w:hAnsi="Calibri" w:cs="Times New Roman"/>
          <w:sz w:val="24"/>
          <w:szCs w:val="24"/>
        </w:rPr>
        <w:t>mines</w:t>
      </w:r>
      <w:r w:rsidR="00A05435" w:rsidRPr="00E5007F">
        <w:rPr>
          <w:rFonts w:ascii="Calibri" w:eastAsia="Times New Roman" w:hAnsi="Calibri" w:cs="Times New Roman"/>
          <w:sz w:val="24"/>
          <w:szCs w:val="24"/>
        </w:rPr>
        <w:t>;</w:t>
      </w:r>
      <w:r w:rsidR="00E5007F" w:rsidRPr="00E5007F">
        <w:rPr>
          <w:rFonts w:ascii="Calibri" w:eastAsia="Times New Roman" w:hAnsi="Calibri" w:cs="Times New Roman"/>
          <w:sz w:val="24"/>
          <w:szCs w:val="24"/>
        </w:rPr>
        <w:t xml:space="preserve"> and 644</w:t>
      </w:r>
      <w:r w:rsidR="009D13D1" w:rsidRPr="00E5007F">
        <w:rPr>
          <w:rFonts w:ascii="Calibri" w:eastAsia="Times New Roman" w:hAnsi="Calibri" w:cs="Times New Roman"/>
          <w:sz w:val="24"/>
          <w:szCs w:val="24"/>
        </w:rPr>
        <w:t xml:space="preserve"> coal mines</w:t>
      </w:r>
      <w:r w:rsidR="009D13D1" w:rsidRPr="00E5007F" w:rsidDel="00CC3B9C">
        <w:rPr>
          <w:rFonts w:ascii="Calibri" w:eastAsia="Times New Roman" w:hAnsi="Calibri" w:cs="Times New Roman"/>
          <w:sz w:val="24"/>
          <w:szCs w:val="24"/>
        </w:rPr>
        <w:t xml:space="preserve"> </w:t>
      </w:r>
      <w:r w:rsidR="009D13D1" w:rsidRPr="00E5007F">
        <w:rPr>
          <w:rFonts w:ascii="Calibri" w:eastAsia="Times New Roman" w:hAnsi="Calibri" w:cs="Times New Roman"/>
          <w:sz w:val="24"/>
          <w:szCs w:val="24"/>
        </w:rPr>
        <w:t>will be sent a survey packet.</w:t>
      </w:r>
      <w:r w:rsidR="00A639F7">
        <w:rPr>
          <w:rFonts w:ascii="Calibri" w:eastAsia="Times New Roman" w:hAnsi="Calibri" w:cs="Times New Roman"/>
          <w:sz w:val="24"/>
          <w:szCs w:val="24"/>
        </w:rPr>
        <w:t xml:space="preserve"> Based on the response rate achieved in the NSMP, NIOSH is anticipating an overall minimum 40</w:t>
      </w:r>
      <w:r w:rsidR="00E5007F">
        <w:rPr>
          <w:rFonts w:ascii="Calibri" w:eastAsia="Times New Roman" w:hAnsi="Calibri" w:cs="Times New Roman"/>
          <w:sz w:val="24"/>
          <w:szCs w:val="24"/>
        </w:rPr>
        <w:t>%</w:t>
      </w:r>
      <w:r w:rsidR="009D13D1">
        <w:rPr>
          <w:rFonts w:ascii="Calibri" w:eastAsia="Times New Roman" w:hAnsi="Calibri" w:cs="Times New Roman"/>
          <w:sz w:val="24"/>
          <w:szCs w:val="24"/>
        </w:rPr>
        <w:t xml:space="preserve"> response rate</w:t>
      </w:r>
      <w:r w:rsidR="00A639F7">
        <w:rPr>
          <w:rFonts w:ascii="Calibri" w:eastAsia="Times New Roman" w:hAnsi="Calibri" w:cs="Times New Roman"/>
          <w:sz w:val="24"/>
          <w:szCs w:val="24"/>
        </w:rPr>
        <w:t xml:space="preserve"> for the MIWS.</w:t>
      </w:r>
    </w:p>
    <w:p w14:paraId="2A201344"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b/>
          <w:bCs/>
          <w:sz w:val="24"/>
          <w:szCs w:val="24"/>
        </w:rPr>
      </w:pPr>
    </w:p>
    <w:p w14:paraId="2B8FDDD6"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4" w:name="_Toc435798893"/>
      <w:r w:rsidRPr="003716E1">
        <w:rPr>
          <w:rFonts w:ascii="Calibri" w:eastAsia="Times New Roman" w:hAnsi="Calibri" w:cs="Times New Roman"/>
          <w:b/>
          <w:bCs/>
          <w:kern w:val="32"/>
          <w:sz w:val="24"/>
          <w:szCs w:val="32"/>
        </w:rPr>
        <w:t>A.4</w:t>
      </w:r>
      <w:r w:rsidRPr="003716E1">
        <w:rPr>
          <w:rFonts w:ascii="Calibri" w:eastAsia="Times New Roman" w:hAnsi="Calibri" w:cs="Times New Roman"/>
          <w:b/>
          <w:bCs/>
          <w:kern w:val="32"/>
          <w:sz w:val="24"/>
          <w:szCs w:val="32"/>
        </w:rPr>
        <w:tab/>
        <w:t>Efforts to Identify Duplication and Use of Similar Information</w:t>
      </w:r>
      <w:bookmarkEnd w:id="4"/>
    </w:p>
    <w:p w14:paraId="493E352E"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Cs/>
          <w:sz w:val="24"/>
          <w:szCs w:val="24"/>
        </w:rPr>
      </w:pPr>
    </w:p>
    <w:p w14:paraId="728B08C3" w14:textId="3A6584C7" w:rsidR="003716E1" w:rsidRPr="003716E1" w:rsidRDefault="00C06905"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w:t>
      </w:r>
      <w:r w:rsidR="003716E1" w:rsidRPr="003716E1">
        <w:rPr>
          <w:rFonts w:ascii="Calibri" w:eastAsia="Times New Roman" w:hAnsi="Calibri" w:cs="Times New Roman"/>
          <w:sz w:val="24"/>
          <w:szCs w:val="24"/>
        </w:rPr>
        <w:t xml:space="preserve"> two previous surveys of the mining population are too old to be of use today except for historical comparisons. </w:t>
      </w:r>
      <w:r w:rsidR="003716E1" w:rsidRPr="003716E1">
        <w:rPr>
          <w:rFonts w:ascii="Calibri" w:eastAsia="Times New Roman" w:hAnsi="Calibri" w:cs="Times New Roman"/>
          <w:sz w:val="24"/>
          <w:szCs w:val="24"/>
          <w:lang w:val="en-CA"/>
        </w:rPr>
        <w:fldChar w:fldCharType="begin"/>
      </w:r>
      <w:r w:rsidR="003716E1" w:rsidRPr="003716E1">
        <w:rPr>
          <w:rFonts w:ascii="Calibri" w:eastAsia="Times New Roman" w:hAnsi="Calibri" w:cs="Times New Roman"/>
          <w:sz w:val="24"/>
          <w:szCs w:val="24"/>
          <w:lang w:val="en-CA"/>
        </w:rPr>
        <w:instrText xml:space="preserve"> SEQ CHAPTER \h \r 1</w:instrText>
      </w:r>
      <w:r w:rsidR="003716E1" w:rsidRPr="003716E1">
        <w:rPr>
          <w:rFonts w:ascii="Calibri" w:eastAsia="Times New Roman" w:hAnsi="Calibri" w:cs="Times New Roman"/>
          <w:sz w:val="24"/>
          <w:szCs w:val="24"/>
          <w:lang w:val="en-CA"/>
        </w:rPr>
        <w:fldChar w:fldCharType="end"/>
      </w:r>
      <w:r w:rsidR="003716E1" w:rsidRPr="003716E1">
        <w:rPr>
          <w:rFonts w:ascii="Calibri" w:eastAsia="Times New Roman" w:hAnsi="Calibri" w:cs="Times New Roman"/>
          <w:sz w:val="24"/>
          <w:szCs w:val="24"/>
        </w:rPr>
        <w:t xml:space="preserve">The purpose of the </w:t>
      </w:r>
      <w:r>
        <w:rPr>
          <w:rFonts w:ascii="Calibri" w:eastAsia="Times New Roman" w:hAnsi="Calibri" w:cs="Times New Roman"/>
          <w:sz w:val="24"/>
          <w:szCs w:val="24"/>
        </w:rPr>
        <w:t xml:space="preserve">first survey, the </w:t>
      </w:r>
      <w:r w:rsidRPr="003716E1">
        <w:rPr>
          <w:rFonts w:ascii="Calibri" w:eastAsia="Times New Roman" w:hAnsi="Calibri" w:cs="Times New Roman"/>
          <w:sz w:val="24"/>
          <w:szCs w:val="24"/>
        </w:rPr>
        <w:t>Mining Industry Population Survey</w:t>
      </w:r>
      <w:r>
        <w:rPr>
          <w:rFonts w:ascii="Calibri" w:eastAsia="Times New Roman" w:hAnsi="Calibri" w:cs="Times New Roman"/>
          <w:sz w:val="24"/>
          <w:szCs w:val="24"/>
        </w:rPr>
        <w:t xml:space="preserve"> in 1986,</w:t>
      </w:r>
      <w:r w:rsidRPr="003716E1">
        <w:rPr>
          <w:rFonts w:ascii="Calibri" w:eastAsia="Times New Roman" w:hAnsi="Calibri" w:cs="Times New Roman"/>
          <w:sz w:val="24"/>
          <w:szCs w:val="24"/>
        </w:rPr>
        <w:t xml:space="preserve"> </w:t>
      </w:r>
      <w:r w:rsidR="003716E1" w:rsidRPr="003716E1">
        <w:rPr>
          <w:rFonts w:ascii="Calibri" w:eastAsia="Times New Roman" w:hAnsi="Calibri" w:cs="Times New Roman"/>
          <w:sz w:val="24"/>
          <w:szCs w:val="24"/>
        </w:rPr>
        <w:t>was to collect information about the entire mining workforce to identify high</w:t>
      </w:r>
      <w:r>
        <w:rPr>
          <w:rFonts w:ascii="Calibri" w:eastAsia="Times New Roman" w:hAnsi="Calibri" w:cs="Times New Roman"/>
          <w:sz w:val="24"/>
          <w:szCs w:val="24"/>
        </w:rPr>
        <w:t>-</w:t>
      </w:r>
      <w:r w:rsidR="003716E1" w:rsidRPr="003716E1">
        <w:rPr>
          <w:rFonts w:ascii="Calibri" w:eastAsia="Times New Roman" w:hAnsi="Calibri" w:cs="Times New Roman"/>
          <w:sz w:val="24"/>
          <w:szCs w:val="24"/>
        </w:rPr>
        <w:t>risk groups of workers and determine mine employee characteristics.</w:t>
      </w:r>
      <w:r w:rsidR="00687277">
        <w:rPr>
          <w:rFonts w:ascii="Calibri" w:eastAsia="Times New Roman" w:hAnsi="Calibri" w:cs="Times New Roman"/>
          <w:sz w:val="24"/>
          <w:szCs w:val="24"/>
        </w:rPr>
        <w:t xml:space="preserve"> </w:t>
      </w:r>
      <w:r w:rsidR="003716E1" w:rsidRPr="003716E1">
        <w:rPr>
          <w:rFonts w:ascii="Calibri" w:eastAsia="Times New Roman" w:hAnsi="Calibri" w:cs="Times New Roman"/>
          <w:sz w:val="24"/>
          <w:szCs w:val="24"/>
        </w:rPr>
        <w:t>The mining industry has experienced many changes in the last 29 years; consequently, the MIPS data are no longer representative of the current mining industry labor force. For instance, independent contractor employees were not covered by the MIPS.</w:t>
      </w:r>
    </w:p>
    <w:p w14:paraId="5ADC25FC"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4AAA2C35" w14:textId="781FA19E" w:rsidR="003716E1" w:rsidRPr="003716E1" w:rsidRDefault="00C06905"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purpose of</w:t>
      </w:r>
      <w:r w:rsidR="003716E1" w:rsidRPr="003716E1">
        <w:rPr>
          <w:rFonts w:ascii="Calibri" w:eastAsia="Times New Roman" w:hAnsi="Calibri" w:cs="Times New Roman"/>
          <w:sz w:val="24"/>
          <w:szCs w:val="24"/>
        </w:rPr>
        <w:t xml:space="preserve"> the 2008 National Survey of the Mining Population </w:t>
      </w:r>
      <w:r>
        <w:rPr>
          <w:rFonts w:ascii="Calibri" w:eastAsia="Times New Roman" w:hAnsi="Calibri" w:cs="Times New Roman"/>
          <w:sz w:val="24"/>
          <w:szCs w:val="24"/>
        </w:rPr>
        <w:t xml:space="preserve">was </w:t>
      </w:r>
      <w:r w:rsidR="003716E1" w:rsidRPr="003716E1">
        <w:rPr>
          <w:rFonts w:ascii="Calibri" w:eastAsia="Times New Roman" w:hAnsi="Calibri" w:cs="Times New Roman"/>
          <w:sz w:val="24"/>
          <w:szCs w:val="24"/>
        </w:rPr>
        <w:t xml:space="preserve">to provide updated demographic and occupational information on the mining workforce. The survey collected information from each of the five </w:t>
      </w:r>
      <w:r w:rsidR="00FB1B29">
        <w:rPr>
          <w:rFonts w:ascii="Calibri" w:eastAsia="Times New Roman" w:hAnsi="Calibri" w:cs="Times New Roman"/>
          <w:sz w:val="24"/>
          <w:szCs w:val="24"/>
        </w:rPr>
        <w:t xml:space="preserve">major </w:t>
      </w:r>
      <w:r w:rsidR="003716E1" w:rsidRPr="003716E1">
        <w:rPr>
          <w:rFonts w:ascii="Calibri" w:eastAsia="Times New Roman" w:hAnsi="Calibri" w:cs="Times New Roman"/>
          <w:sz w:val="24"/>
          <w:szCs w:val="24"/>
        </w:rPr>
        <w:t>mining sectors (</w:t>
      </w:r>
      <w:r w:rsidR="00FB1B29">
        <w:rPr>
          <w:rFonts w:ascii="Calibri" w:eastAsia="Times New Roman" w:hAnsi="Calibri" w:cs="Times New Roman"/>
          <w:sz w:val="24"/>
          <w:szCs w:val="24"/>
        </w:rPr>
        <w:t xml:space="preserve">i.e., </w:t>
      </w:r>
      <w:r w:rsidR="003716E1" w:rsidRPr="003716E1">
        <w:rPr>
          <w:rFonts w:ascii="Calibri" w:eastAsia="Times New Roman" w:hAnsi="Calibri" w:cs="Times New Roman"/>
          <w:sz w:val="24"/>
          <w:szCs w:val="24"/>
        </w:rPr>
        <w:t>coal, metal, nonmetal, stone, and sand and gravel). The su</w:t>
      </w:r>
      <w:r w:rsidR="00687277">
        <w:rPr>
          <w:rFonts w:ascii="Calibri" w:eastAsia="Times New Roman" w:hAnsi="Calibri" w:cs="Times New Roman"/>
          <w:sz w:val="24"/>
          <w:szCs w:val="24"/>
        </w:rPr>
        <w:t xml:space="preserve">rvey’s main objectives were to: </w:t>
      </w:r>
      <w:r w:rsidR="003716E1" w:rsidRPr="003716E1">
        <w:rPr>
          <w:rFonts w:ascii="Calibri" w:eastAsia="Times New Roman" w:hAnsi="Calibri" w:cs="Times New Roman"/>
          <w:sz w:val="24"/>
          <w:szCs w:val="24"/>
        </w:rPr>
        <w:t>collect basic information about mines</w:t>
      </w:r>
      <w:r w:rsidR="00687277">
        <w:rPr>
          <w:rFonts w:ascii="Calibri" w:eastAsia="Times New Roman" w:hAnsi="Calibri" w:cs="Times New Roman"/>
          <w:sz w:val="24"/>
          <w:szCs w:val="24"/>
        </w:rPr>
        <w:t xml:space="preserve">; </w:t>
      </w:r>
      <w:r w:rsidR="003716E1" w:rsidRPr="003716E1">
        <w:rPr>
          <w:rFonts w:ascii="Calibri" w:eastAsia="Times New Roman" w:hAnsi="Calibri" w:cs="Times New Roman"/>
          <w:sz w:val="24"/>
          <w:szCs w:val="24"/>
        </w:rPr>
        <w:t xml:space="preserve">establish the demographic and occupational characteristics </w:t>
      </w:r>
      <w:r w:rsidR="00687277">
        <w:rPr>
          <w:rFonts w:ascii="Calibri" w:eastAsia="Times New Roman" w:hAnsi="Calibri" w:cs="Times New Roman"/>
          <w:sz w:val="24"/>
          <w:szCs w:val="24"/>
        </w:rPr>
        <w:t xml:space="preserve">of mine operator employees; and </w:t>
      </w:r>
      <w:r w:rsidR="003716E1" w:rsidRPr="003716E1">
        <w:rPr>
          <w:rFonts w:ascii="Calibri" w:eastAsia="Times New Roman" w:hAnsi="Calibri" w:cs="Times New Roman"/>
          <w:sz w:val="24"/>
          <w:szCs w:val="24"/>
        </w:rPr>
        <w:t>estimate the number of independent cont</w:t>
      </w:r>
      <w:r w:rsidR="00687277">
        <w:rPr>
          <w:rFonts w:ascii="Calibri" w:eastAsia="Times New Roman" w:hAnsi="Calibri" w:cs="Times New Roman"/>
          <w:sz w:val="24"/>
          <w:szCs w:val="24"/>
        </w:rPr>
        <w:t xml:space="preserve">ractor employees used by mines. </w:t>
      </w:r>
      <w:r w:rsidR="003716E1" w:rsidRPr="003716E1">
        <w:rPr>
          <w:rFonts w:ascii="Calibri" w:eastAsia="Times New Roman" w:hAnsi="Calibri" w:cs="Times New Roman"/>
          <w:sz w:val="24"/>
          <w:szCs w:val="24"/>
        </w:rPr>
        <w:t xml:space="preserve">The mine questions included items such as training, work schedules, shift work, communication and safety systems, and the mine’s use of independent contractor employees. The employee questions included demographic and occupational questions about individual employees. The survey’s employee-level data were used by OMSHR to determine the accident rates for various demographic and occupational categories as well as to provide information used to improve the safety and health of miners. </w:t>
      </w:r>
      <w:r>
        <w:rPr>
          <w:rFonts w:ascii="Calibri" w:eastAsia="Times New Roman" w:hAnsi="Calibri" w:cs="Times New Roman"/>
          <w:sz w:val="24"/>
          <w:szCs w:val="24"/>
        </w:rPr>
        <w:t xml:space="preserve">Although these data proved to be useful, they </w:t>
      </w:r>
      <w:r w:rsidR="003716E1" w:rsidRPr="003716E1">
        <w:rPr>
          <w:rFonts w:ascii="Calibri" w:eastAsia="Times New Roman" w:hAnsi="Calibri" w:cs="Times New Roman"/>
          <w:sz w:val="24"/>
          <w:szCs w:val="24"/>
        </w:rPr>
        <w:t>have become seriously dated given the amount of change in the industry</w:t>
      </w:r>
      <w:r>
        <w:rPr>
          <w:rFonts w:ascii="Calibri" w:eastAsia="Times New Roman" w:hAnsi="Calibri" w:cs="Times New Roman"/>
          <w:sz w:val="24"/>
          <w:szCs w:val="24"/>
        </w:rPr>
        <w:t xml:space="preserve">, including the </w:t>
      </w:r>
      <w:r w:rsidR="003716E1" w:rsidRPr="003716E1">
        <w:rPr>
          <w:rFonts w:ascii="Calibri" w:eastAsia="Times New Roman" w:hAnsi="Calibri" w:cs="Times New Roman"/>
          <w:sz w:val="24"/>
          <w:szCs w:val="24"/>
        </w:rPr>
        <w:t xml:space="preserve">aging population, inexperience </w:t>
      </w:r>
      <w:r>
        <w:rPr>
          <w:rFonts w:ascii="Calibri" w:eastAsia="Times New Roman" w:hAnsi="Calibri" w:cs="Times New Roman"/>
          <w:sz w:val="24"/>
          <w:szCs w:val="24"/>
        </w:rPr>
        <w:t xml:space="preserve">of </w:t>
      </w:r>
      <w:r w:rsidR="003716E1" w:rsidRPr="003716E1">
        <w:rPr>
          <w:rFonts w:ascii="Calibri" w:eastAsia="Times New Roman" w:hAnsi="Calibri" w:cs="Times New Roman"/>
          <w:sz w:val="24"/>
          <w:szCs w:val="24"/>
        </w:rPr>
        <w:t>replacements, increased use of contractors</w:t>
      </w:r>
      <w:r>
        <w:rPr>
          <w:rFonts w:ascii="Calibri" w:eastAsia="Times New Roman" w:hAnsi="Calibri" w:cs="Times New Roman"/>
          <w:sz w:val="24"/>
          <w:szCs w:val="24"/>
        </w:rPr>
        <w:t>,</w:t>
      </w:r>
      <w:r w:rsidR="003716E1" w:rsidRPr="003716E1">
        <w:rPr>
          <w:rFonts w:ascii="Calibri" w:eastAsia="Times New Roman" w:hAnsi="Calibri" w:cs="Times New Roman"/>
          <w:sz w:val="24"/>
          <w:szCs w:val="24"/>
        </w:rPr>
        <w:t xml:space="preserve"> and more sophisticated safety tools and equipment.</w:t>
      </w:r>
    </w:p>
    <w:p w14:paraId="7D6ECA29"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008F373E" w14:textId="77777777" w:rsidR="000669C7" w:rsidRDefault="003716E1" w:rsidP="000669C7">
      <w:pPr>
        <w:autoSpaceDE w:val="0"/>
        <w:autoSpaceDN w:val="0"/>
        <w:adjustRightInd w:val="0"/>
        <w:spacing w:after="0" w:line="240" w:lineRule="auto"/>
        <w:rPr>
          <w:rFonts w:ascii="Calibri" w:eastAsia="Times New Roman" w:hAnsi="Calibri" w:cs="Times New Roman"/>
          <w:sz w:val="24"/>
          <w:szCs w:val="24"/>
          <w:lang w:val="en-CA"/>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The Current Population Survey (CPS) is a stratified sample survey of the civilian non-institutional population, age 16 and older. The CPS is administered by the Bureau of Labor Statistics (BLS), United States Department of Labor. The final monthly sample size is approximately 50,000 households. This survey is the primary source of information on the labor force characteristics of the U.S. popu</w:t>
      </w:r>
      <w:r w:rsidR="00687277">
        <w:rPr>
          <w:rFonts w:ascii="Calibri" w:eastAsia="Times New Roman" w:hAnsi="Calibri" w:cs="Times New Roman"/>
          <w:sz w:val="24"/>
          <w:szCs w:val="24"/>
        </w:rPr>
        <w:t xml:space="preserve">lation. </w:t>
      </w:r>
      <w:r w:rsidR="00C06905">
        <w:rPr>
          <w:rFonts w:ascii="Calibri" w:eastAsia="Times New Roman" w:hAnsi="Calibri" w:cs="Times New Roman"/>
          <w:sz w:val="24"/>
          <w:szCs w:val="24"/>
        </w:rPr>
        <w:t xml:space="preserve">Importantly, the </w:t>
      </w:r>
      <w:r w:rsidR="004A15D9">
        <w:rPr>
          <w:rFonts w:ascii="Calibri" w:eastAsia="Times New Roman" w:hAnsi="Calibri" w:cs="Times New Roman"/>
          <w:sz w:val="24"/>
          <w:szCs w:val="24"/>
        </w:rPr>
        <w:t xml:space="preserve">CPS is a general labor force survey and is not designed to provide a representative sample of mine workers. In addition, NIOSH </w:t>
      </w:r>
      <w:r w:rsidR="00C06905">
        <w:rPr>
          <w:rFonts w:ascii="Calibri" w:eastAsia="Times New Roman" w:hAnsi="Calibri" w:cs="Times New Roman"/>
          <w:sz w:val="24"/>
          <w:szCs w:val="24"/>
        </w:rPr>
        <w:t xml:space="preserve">requires </w:t>
      </w:r>
      <w:r w:rsidR="004A15D9">
        <w:rPr>
          <w:rFonts w:ascii="Calibri" w:eastAsia="Times New Roman" w:hAnsi="Calibri" w:cs="Times New Roman"/>
          <w:sz w:val="24"/>
          <w:szCs w:val="24"/>
        </w:rPr>
        <w:t>information about the miner’s work location, job title, and mining experience</w:t>
      </w:r>
      <w:r w:rsidR="00C06905">
        <w:rPr>
          <w:rFonts w:ascii="Calibri" w:eastAsia="Times New Roman" w:hAnsi="Calibri" w:cs="Times New Roman"/>
          <w:sz w:val="24"/>
          <w:szCs w:val="24"/>
        </w:rPr>
        <w:t xml:space="preserve"> for effective data collection</w:t>
      </w:r>
      <w:r w:rsidR="00A105C5">
        <w:rPr>
          <w:rFonts w:ascii="Calibri" w:eastAsia="Times New Roman" w:hAnsi="Calibri" w:cs="Times New Roman"/>
          <w:sz w:val="24"/>
          <w:szCs w:val="24"/>
        </w:rPr>
        <w:t xml:space="preserve">. </w:t>
      </w:r>
      <w:r w:rsidR="00C06905">
        <w:rPr>
          <w:rFonts w:ascii="Calibri" w:eastAsia="Times New Roman" w:hAnsi="Calibri" w:cs="Times New Roman"/>
          <w:sz w:val="24"/>
          <w:szCs w:val="24"/>
        </w:rPr>
        <w:t>Further, the</w:t>
      </w:r>
      <w:r w:rsidR="00C06905"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rPr>
        <w:t>coding of the CPS data does not allow for the differentiation of underground versus surface workers, nor can one differentiate mine operator employees from independent contractor employees working on mine property. Under NAICS</w:t>
      </w:r>
      <w:r w:rsidR="00C37FF9">
        <w:rPr>
          <w:rFonts w:ascii="Calibri" w:eastAsia="Times New Roman" w:hAnsi="Calibri" w:cs="Times New Roman"/>
          <w:sz w:val="24"/>
          <w:szCs w:val="24"/>
        </w:rPr>
        <w:t>,</w:t>
      </w:r>
      <w:r w:rsidRPr="003716E1">
        <w:rPr>
          <w:rFonts w:ascii="Calibri" w:eastAsia="Times New Roman" w:hAnsi="Calibri" w:cs="Times New Roman"/>
          <w:sz w:val="24"/>
          <w:szCs w:val="24"/>
        </w:rPr>
        <w:t xml:space="preserve"> these workers will still be captured under Transportation and Manufacturing. </w:t>
      </w:r>
      <w:r w:rsidR="00A105C5">
        <w:rPr>
          <w:rFonts w:ascii="Calibri" w:eastAsia="Times New Roman" w:hAnsi="Calibri" w:cs="Times New Roman"/>
          <w:sz w:val="24"/>
          <w:szCs w:val="24"/>
        </w:rPr>
        <w:t>In another national survey, Census 2010, o</w:t>
      </w:r>
      <w:r w:rsidRPr="003716E1">
        <w:rPr>
          <w:rFonts w:ascii="Calibri" w:eastAsia="Times New Roman" w:hAnsi="Calibri" w:cs="Times New Roman"/>
          <w:sz w:val="24"/>
          <w:szCs w:val="24"/>
        </w:rPr>
        <w:t>ccupation is coded using the Standard Occupational Classification (SOC) scheme</w:t>
      </w:r>
      <w:r w:rsidR="00C37FF9">
        <w:rPr>
          <w:rFonts w:ascii="Calibri" w:eastAsia="Times New Roman" w:hAnsi="Calibri" w:cs="Times New Roman"/>
          <w:sz w:val="24"/>
          <w:szCs w:val="24"/>
        </w:rPr>
        <w:t>,</w:t>
      </w:r>
      <w:r w:rsidRPr="003716E1">
        <w:rPr>
          <w:rFonts w:ascii="Calibri" w:eastAsia="Times New Roman" w:hAnsi="Calibri" w:cs="Times New Roman"/>
          <w:sz w:val="24"/>
          <w:szCs w:val="24"/>
        </w:rPr>
        <w:t xml:space="preserve"> which is limited in terms of its specificity for mining occupations.</w:t>
      </w:r>
      <w:r w:rsidR="000669C7" w:rsidRPr="000669C7">
        <w:rPr>
          <w:rFonts w:ascii="Calibri" w:eastAsia="Times New Roman" w:hAnsi="Calibri" w:cs="Times New Roman"/>
          <w:sz w:val="24"/>
          <w:szCs w:val="24"/>
          <w:lang w:val="en-CA"/>
        </w:rPr>
        <w:t xml:space="preserve"> </w:t>
      </w:r>
    </w:p>
    <w:p w14:paraId="6CAE30F2" w14:textId="77777777" w:rsidR="000669C7" w:rsidRDefault="000669C7" w:rsidP="000669C7">
      <w:pPr>
        <w:autoSpaceDE w:val="0"/>
        <w:autoSpaceDN w:val="0"/>
        <w:adjustRightInd w:val="0"/>
        <w:spacing w:after="0" w:line="240" w:lineRule="auto"/>
        <w:rPr>
          <w:rFonts w:ascii="Calibri" w:eastAsia="Times New Roman" w:hAnsi="Calibri" w:cs="Times New Roman"/>
          <w:sz w:val="24"/>
          <w:szCs w:val="24"/>
          <w:lang w:val="en-CA"/>
        </w:rPr>
      </w:pPr>
    </w:p>
    <w:p w14:paraId="235A1E2D" w14:textId="22E1278B" w:rsidR="000669C7" w:rsidRDefault="000669C7" w:rsidP="000669C7">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NIOSH will consult </w:t>
      </w:r>
      <w:r w:rsidR="002E6AA6">
        <w:rPr>
          <w:rFonts w:ascii="Calibri" w:eastAsia="Times New Roman" w:hAnsi="Calibri" w:cs="Times New Roman"/>
          <w:sz w:val="24"/>
          <w:szCs w:val="24"/>
        </w:rPr>
        <w:t xml:space="preserve">with OSHA, and then approach the Census Bureau and </w:t>
      </w:r>
      <w:r>
        <w:rPr>
          <w:rFonts w:ascii="Calibri" w:eastAsia="Times New Roman" w:hAnsi="Calibri" w:cs="Times New Roman"/>
          <w:sz w:val="24"/>
          <w:szCs w:val="24"/>
        </w:rPr>
        <w:t>BLS to seek ways to leverage the CPS to better address</w:t>
      </w:r>
      <w:r w:rsidR="002E6AA6">
        <w:rPr>
          <w:rFonts w:ascii="Calibri" w:eastAsia="Times New Roman" w:hAnsi="Calibri" w:cs="Times New Roman"/>
          <w:sz w:val="24"/>
          <w:szCs w:val="24"/>
        </w:rPr>
        <w:t xml:space="preserve"> combined OSHA and</w:t>
      </w:r>
      <w:r>
        <w:rPr>
          <w:rFonts w:ascii="Calibri" w:eastAsia="Times New Roman" w:hAnsi="Calibri" w:cs="Times New Roman"/>
          <w:sz w:val="24"/>
          <w:szCs w:val="24"/>
        </w:rPr>
        <w:t xml:space="preserve"> NIOSH data needs, including miner’s work location, job title, and mining experience, </w:t>
      </w:r>
      <w:r w:rsidRPr="003716E1">
        <w:rPr>
          <w:rFonts w:ascii="Calibri" w:eastAsia="Times New Roman" w:hAnsi="Calibri" w:cs="Times New Roman"/>
          <w:sz w:val="24"/>
          <w:szCs w:val="24"/>
        </w:rPr>
        <w:t>differentiation of underground ver</w:t>
      </w:r>
      <w:r>
        <w:rPr>
          <w:rFonts w:ascii="Calibri" w:eastAsia="Times New Roman" w:hAnsi="Calibri" w:cs="Times New Roman"/>
          <w:sz w:val="24"/>
          <w:szCs w:val="24"/>
        </w:rPr>
        <w:t>sus surface workers, differentiation of</w:t>
      </w:r>
      <w:r w:rsidRPr="003716E1">
        <w:rPr>
          <w:rFonts w:ascii="Calibri" w:eastAsia="Times New Roman" w:hAnsi="Calibri" w:cs="Times New Roman"/>
          <w:sz w:val="24"/>
          <w:szCs w:val="24"/>
        </w:rPr>
        <w:t xml:space="preserve"> mine operator employees from independent contractor em</w:t>
      </w:r>
      <w:r>
        <w:rPr>
          <w:rFonts w:ascii="Calibri" w:eastAsia="Times New Roman" w:hAnsi="Calibri" w:cs="Times New Roman"/>
          <w:sz w:val="24"/>
          <w:szCs w:val="24"/>
        </w:rPr>
        <w:t>ployees, and inclusion of non-miners such as administrative staff in the CPS mining category. In consultation, BLS</w:t>
      </w:r>
      <w:r w:rsidRPr="003716E1">
        <w:rPr>
          <w:rFonts w:ascii="Calibri" w:eastAsia="Times New Roman" w:hAnsi="Calibri" w:cs="Times New Roman"/>
          <w:sz w:val="24"/>
          <w:szCs w:val="24"/>
        </w:rPr>
        <w:t xml:space="preserve"> </w:t>
      </w:r>
      <w:r>
        <w:rPr>
          <w:rFonts w:ascii="Calibri" w:eastAsia="Times New Roman" w:hAnsi="Calibri" w:cs="Times New Roman"/>
          <w:sz w:val="24"/>
          <w:szCs w:val="24"/>
        </w:rPr>
        <w:t xml:space="preserve">will be able to compare how NIOSH </w:t>
      </w:r>
      <w:r w:rsidRPr="003716E1">
        <w:rPr>
          <w:rFonts w:ascii="Calibri" w:eastAsia="Times New Roman" w:hAnsi="Calibri" w:cs="Times New Roman"/>
          <w:sz w:val="24"/>
          <w:szCs w:val="24"/>
        </w:rPr>
        <w:t>captures many workers excluded from mining under CPS, including workers in haulage and processing facilities.</w:t>
      </w:r>
      <w:r w:rsidR="002E6AA6">
        <w:rPr>
          <w:rFonts w:ascii="Calibri" w:eastAsia="Times New Roman" w:hAnsi="Calibri" w:cs="Times New Roman"/>
          <w:sz w:val="24"/>
          <w:szCs w:val="24"/>
        </w:rPr>
        <w:t xml:space="preserve"> </w:t>
      </w:r>
    </w:p>
    <w:p w14:paraId="53446E9A" w14:textId="77777777" w:rsidR="000669C7" w:rsidRDefault="000669C7" w:rsidP="000669C7">
      <w:pPr>
        <w:autoSpaceDE w:val="0"/>
        <w:autoSpaceDN w:val="0"/>
        <w:adjustRightInd w:val="0"/>
        <w:spacing w:after="0" w:line="240" w:lineRule="auto"/>
        <w:rPr>
          <w:rFonts w:ascii="Calibri" w:eastAsia="Times New Roman" w:hAnsi="Calibri" w:cs="Times New Roman"/>
          <w:sz w:val="24"/>
          <w:szCs w:val="24"/>
        </w:rPr>
      </w:pPr>
    </w:p>
    <w:p w14:paraId="1427A67D" w14:textId="32B6BE5D" w:rsidR="002E6AA6" w:rsidRDefault="000669C7" w:rsidP="002E6AA6">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NIOSH will also seek consultation with SOC and NAICS staff to better align U.S. Census estimates of certain mining sectors relative to MHSA methods using the Standard Industry Classification (SIC). A notable example of differences in industry coding methodology are for personnel in m</w:t>
      </w:r>
      <w:r w:rsidRPr="003716E1">
        <w:rPr>
          <w:rFonts w:ascii="Calibri" w:eastAsia="Times New Roman" w:hAnsi="Calibri" w:cs="Times New Roman"/>
          <w:sz w:val="24"/>
          <w:szCs w:val="24"/>
        </w:rPr>
        <w:t>ine haulage or working in processing facilities. Under NA</w:t>
      </w:r>
      <w:r>
        <w:rPr>
          <w:rFonts w:ascii="Calibri" w:eastAsia="Times New Roman" w:hAnsi="Calibri" w:cs="Times New Roman"/>
          <w:sz w:val="24"/>
          <w:szCs w:val="24"/>
        </w:rPr>
        <w:t xml:space="preserve">ICS, these workers are </w:t>
      </w:r>
      <w:r w:rsidRPr="003716E1">
        <w:rPr>
          <w:rFonts w:ascii="Calibri" w:eastAsia="Times New Roman" w:hAnsi="Calibri" w:cs="Times New Roman"/>
          <w:sz w:val="24"/>
          <w:szCs w:val="24"/>
        </w:rPr>
        <w:t>captured under T</w:t>
      </w:r>
      <w:r>
        <w:rPr>
          <w:rFonts w:ascii="Calibri" w:eastAsia="Times New Roman" w:hAnsi="Calibri" w:cs="Times New Roman"/>
          <w:sz w:val="24"/>
          <w:szCs w:val="24"/>
        </w:rPr>
        <w:t>ransportation and Manufacturing while the U.S. Census uses the SOC</w:t>
      </w:r>
      <w:r w:rsidRPr="003716E1">
        <w:rPr>
          <w:rFonts w:ascii="Calibri" w:eastAsia="Times New Roman" w:hAnsi="Calibri" w:cs="Times New Roman"/>
          <w:sz w:val="24"/>
          <w:szCs w:val="24"/>
        </w:rPr>
        <w:t xml:space="preserve"> scheme w</w:t>
      </w:r>
      <w:r>
        <w:rPr>
          <w:rFonts w:ascii="Calibri" w:eastAsia="Times New Roman" w:hAnsi="Calibri" w:cs="Times New Roman"/>
          <w:sz w:val="24"/>
          <w:szCs w:val="24"/>
        </w:rPr>
        <w:t>hich is non-specific</w:t>
      </w:r>
      <w:r w:rsidRPr="003716E1">
        <w:rPr>
          <w:rFonts w:ascii="Calibri" w:eastAsia="Times New Roman" w:hAnsi="Calibri" w:cs="Times New Roman"/>
          <w:sz w:val="24"/>
          <w:szCs w:val="24"/>
        </w:rPr>
        <w:t xml:space="preserve"> for min</w:t>
      </w:r>
      <w:r>
        <w:rPr>
          <w:rFonts w:ascii="Calibri" w:eastAsia="Times New Roman" w:hAnsi="Calibri" w:cs="Times New Roman"/>
          <w:sz w:val="24"/>
          <w:szCs w:val="24"/>
        </w:rPr>
        <w:t>ing occupations.</w:t>
      </w:r>
      <w:r w:rsidR="002E6AA6" w:rsidRPr="002E6AA6">
        <w:rPr>
          <w:rFonts w:ascii="Calibri" w:eastAsia="Times New Roman" w:hAnsi="Calibri" w:cs="Times New Roman"/>
          <w:sz w:val="24"/>
          <w:szCs w:val="24"/>
        </w:rPr>
        <w:t xml:space="preserve"> </w:t>
      </w:r>
      <w:r w:rsidR="002E6AA6">
        <w:rPr>
          <w:rFonts w:ascii="Calibri" w:eastAsia="Times New Roman" w:hAnsi="Calibri" w:cs="Times New Roman"/>
          <w:sz w:val="24"/>
          <w:szCs w:val="24"/>
        </w:rPr>
        <w:t>These conversations will include OSHA so that unified requests can be developed.</w:t>
      </w:r>
    </w:p>
    <w:p w14:paraId="0353E403" w14:textId="3DFDF69E" w:rsidR="000669C7" w:rsidRDefault="000669C7" w:rsidP="000669C7">
      <w:pPr>
        <w:autoSpaceDE w:val="0"/>
        <w:autoSpaceDN w:val="0"/>
        <w:adjustRightInd w:val="0"/>
        <w:spacing w:after="0" w:line="240" w:lineRule="auto"/>
        <w:rPr>
          <w:rFonts w:ascii="Calibri" w:eastAsia="Times New Roman" w:hAnsi="Calibri" w:cs="Times New Roman"/>
          <w:sz w:val="24"/>
          <w:szCs w:val="24"/>
        </w:rPr>
      </w:pPr>
    </w:p>
    <w:p w14:paraId="46E86950" w14:textId="341BE149" w:rsidR="003716E1" w:rsidRPr="003716E1" w:rsidRDefault="00C4058F" w:rsidP="003716E1">
      <w:pPr>
        <w:keepNext/>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Improving estimates </w:t>
      </w:r>
      <w:r w:rsidR="002E6AA6">
        <w:rPr>
          <w:rFonts w:ascii="Calibri" w:eastAsia="Times New Roman" w:hAnsi="Calibri" w:cs="Times New Roman"/>
          <w:sz w:val="24"/>
          <w:szCs w:val="24"/>
        </w:rPr>
        <w:t>from CPS and other Census products should</w:t>
      </w:r>
      <w:r>
        <w:rPr>
          <w:rFonts w:ascii="Calibri" w:eastAsia="Times New Roman" w:hAnsi="Calibri" w:cs="Times New Roman"/>
          <w:sz w:val="24"/>
          <w:szCs w:val="24"/>
        </w:rPr>
        <w:t xml:space="preserve"> reduce the need to conduct future surveys</w:t>
      </w:r>
      <w:r w:rsidR="002E6AA6">
        <w:rPr>
          <w:rFonts w:ascii="Calibri" w:eastAsia="Times New Roman" w:hAnsi="Calibri" w:cs="Times New Roman"/>
          <w:sz w:val="24"/>
          <w:szCs w:val="24"/>
        </w:rPr>
        <w:t>, thus reducing burden on industry and increasing the quality of data</w:t>
      </w:r>
      <w:r>
        <w:rPr>
          <w:rFonts w:ascii="Calibri" w:eastAsia="Times New Roman" w:hAnsi="Calibri" w:cs="Times New Roman"/>
          <w:sz w:val="24"/>
          <w:szCs w:val="24"/>
        </w:rPr>
        <w:t xml:space="preserve">. </w:t>
      </w:r>
    </w:p>
    <w:p w14:paraId="5D1CED97" w14:textId="77777777" w:rsidR="003716E1" w:rsidRPr="003716E1" w:rsidRDefault="003716E1" w:rsidP="003716E1">
      <w:pPr>
        <w:widowControl w:val="0"/>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In summary, the 1986 MIPS and the 2008 NSMP are now too outdated to be considered useful for surveillance on the current mining workforce. Neither the CPS nor the Census 2010 differentiates between underground and surface workers, and only a limited number of mining occupations are specifically coded. The use of CPS employment estimates for the mining industry provides different coverage, compared to the data collected by MSHA, for certain specific sectors, work locations, and work activities. Due to the lack of up-to-date, appropriate, and accurate information for mine operator and independent contractor employees, it is important that a well-designed national survey be undertaken that will provide demographic and occupational information for the mining population consistent with the population reported to MSHA.</w:t>
      </w:r>
    </w:p>
    <w:p w14:paraId="39D3974B" w14:textId="77777777" w:rsidR="003716E1" w:rsidRPr="003716E1" w:rsidRDefault="003716E1" w:rsidP="003716E1">
      <w:pPr>
        <w:widowControl w:val="0"/>
        <w:autoSpaceDE w:val="0"/>
        <w:autoSpaceDN w:val="0"/>
        <w:adjustRightInd w:val="0"/>
        <w:spacing w:after="0" w:line="240" w:lineRule="auto"/>
        <w:rPr>
          <w:rFonts w:ascii="Times New Roman" w:eastAsia="Times New Roman" w:hAnsi="Times New Roman" w:cs="Times New Roman"/>
          <w:sz w:val="24"/>
          <w:szCs w:val="24"/>
          <w:lang w:val="en-CA"/>
        </w:rPr>
      </w:pPr>
    </w:p>
    <w:p w14:paraId="49FFC862"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24"/>
        </w:rPr>
      </w:pPr>
      <w:bookmarkStart w:id="5" w:name="_Toc435798894"/>
      <w:r w:rsidRPr="003716E1">
        <w:rPr>
          <w:rFonts w:ascii="Calibri" w:eastAsia="Times New Roman" w:hAnsi="Calibri" w:cs="Times New Roman"/>
          <w:b/>
          <w:bCs/>
          <w:kern w:val="32"/>
          <w:sz w:val="24"/>
          <w:szCs w:val="24"/>
          <w:lang w:val="en-CA"/>
        </w:rPr>
        <w:t>A.5</w:t>
      </w:r>
      <w:r w:rsidRPr="003716E1">
        <w:rPr>
          <w:rFonts w:ascii="Calibri" w:eastAsia="Times New Roman" w:hAnsi="Calibri" w:cs="Times New Roman"/>
          <w:b/>
          <w:bCs/>
          <w:kern w:val="32"/>
          <w:sz w:val="24"/>
          <w:szCs w:val="24"/>
          <w:lang w:val="en-CA"/>
        </w:rPr>
        <w:tab/>
      </w:r>
      <w:r w:rsidRPr="003716E1">
        <w:rPr>
          <w:rFonts w:ascii="Calibri" w:eastAsia="Times New Roman" w:hAnsi="Calibri" w:cs="Times New Roman"/>
          <w:b/>
          <w:bCs/>
          <w:kern w:val="32"/>
          <w:sz w:val="24"/>
          <w:szCs w:val="24"/>
        </w:rPr>
        <w:t>Impact on Small Businesses or Other Small Entities</w:t>
      </w:r>
      <w:bookmarkEnd w:id="5"/>
    </w:p>
    <w:p w14:paraId="74B737CE" w14:textId="77777777" w:rsidR="003716E1" w:rsidRPr="003716E1" w:rsidRDefault="003716E1" w:rsidP="003716E1">
      <w:pPr>
        <w:keepNext/>
        <w:keepLines/>
        <w:autoSpaceDE w:val="0"/>
        <w:autoSpaceDN w:val="0"/>
        <w:adjustRightInd w:val="0"/>
        <w:spacing w:after="0" w:line="240" w:lineRule="auto"/>
        <w:rPr>
          <w:rFonts w:ascii="Calibri" w:eastAsia="Times New Roman" w:hAnsi="Calibri" w:cs="Times New Roman"/>
          <w:sz w:val="24"/>
          <w:szCs w:val="24"/>
        </w:rPr>
      </w:pPr>
    </w:p>
    <w:p w14:paraId="33E4E2BB" w14:textId="1F017DBB" w:rsidR="003716E1" w:rsidRPr="003716E1" w:rsidRDefault="003716E1" w:rsidP="003716E1">
      <w:pPr>
        <w:keepLines/>
        <w:widowControl w:val="0"/>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Small mines will be included in the </w:t>
      </w:r>
      <w:r w:rsidR="00F24569">
        <w:rPr>
          <w:rFonts w:ascii="Calibri" w:eastAsia="Times New Roman" w:hAnsi="Calibri" w:cs="Times New Roman"/>
          <w:sz w:val="24"/>
          <w:szCs w:val="24"/>
        </w:rPr>
        <w:t>MIWS</w:t>
      </w:r>
      <w:r w:rsidRPr="003716E1">
        <w:rPr>
          <w:rFonts w:ascii="Calibri" w:eastAsia="Times New Roman" w:hAnsi="Calibri" w:cs="Times New Roman"/>
          <w:sz w:val="24"/>
          <w:szCs w:val="24"/>
        </w:rPr>
        <w:t xml:space="preserve">. As shown in Table </w:t>
      </w:r>
      <w:r w:rsidR="00761C44">
        <w:rPr>
          <w:rFonts w:ascii="Calibri" w:eastAsia="Times New Roman" w:hAnsi="Calibri" w:cs="Times New Roman"/>
          <w:sz w:val="24"/>
          <w:szCs w:val="24"/>
        </w:rPr>
        <w:t>A.5.</w:t>
      </w:r>
      <w:r w:rsidRPr="003716E1">
        <w:rPr>
          <w:rFonts w:ascii="Calibri" w:eastAsia="Times New Roman" w:hAnsi="Calibri" w:cs="Times New Roman"/>
          <w:sz w:val="24"/>
          <w:szCs w:val="24"/>
        </w:rPr>
        <w:t>1, sand and gravel mines tend to be the smallest with an average mine size of five employees. Small mines will be asked to complete the mine-level and employee-level portions of the questionnaire</w:t>
      </w:r>
      <w:r w:rsidR="00C37FF9">
        <w:rPr>
          <w:rFonts w:ascii="Calibri" w:eastAsia="Times New Roman" w:hAnsi="Calibri" w:cs="Times New Roman"/>
          <w:sz w:val="24"/>
          <w:szCs w:val="24"/>
        </w:rPr>
        <w:t xml:space="preserve">. However, </w:t>
      </w:r>
      <w:r w:rsidRPr="003716E1">
        <w:rPr>
          <w:rFonts w:ascii="Calibri" w:eastAsia="Times New Roman" w:hAnsi="Calibri" w:cs="Times New Roman"/>
          <w:sz w:val="24"/>
          <w:szCs w:val="24"/>
        </w:rPr>
        <w:t>the burden will be minimized for small mines because they will report data for fewer employees than the survey average of 10 employees per mine</w:t>
      </w:r>
      <w:r w:rsidR="00C37FF9">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will not have to sample from their employee roster.</w:t>
      </w:r>
    </w:p>
    <w:p w14:paraId="6EDAF460"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bCs/>
          <w:sz w:val="24"/>
          <w:szCs w:val="24"/>
        </w:rPr>
      </w:pPr>
    </w:p>
    <w:tbl>
      <w:tblPr>
        <w:tblW w:w="9360" w:type="dxa"/>
        <w:tblInd w:w="9" w:type="dxa"/>
        <w:tblLayout w:type="fixed"/>
        <w:tblCellMar>
          <w:left w:w="9" w:type="dxa"/>
          <w:right w:w="9" w:type="dxa"/>
        </w:tblCellMar>
        <w:tblLook w:val="0000" w:firstRow="0" w:lastRow="0" w:firstColumn="0" w:lastColumn="0" w:noHBand="0" w:noVBand="0"/>
      </w:tblPr>
      <w:tblGrid>
        <w:gridCol w:w="1800"/>
        <w:gridCol w:w="1260"/>
        <w:gridCol w:w="1260"/>
        <w:gridCol w:w="1260"/>
        <w:gridCol w:w="1260"/>
        <w:gridCol w:w="1260"/>
        <w:gridCol w:w="1260"/>
      </w:tblGrid>
      <w:tr w:rsidR="003716E1" w:rsidRPr="003716E1" w14:paraId="4C57FD9C" w14:textId="77777777" w:rsidTr="00775A26">
        <w:trPr>
          <w:cantSplit/>
        </w:trPr>
        <w:tc>
          <w:tcPr>
            <w:tcW w:w="9360" w:type="dxa"/>
            <w:gridSpan w:val="7"/>
            <w:tcBorders>
              <w:bottom w:val="nil"/>
            </w:tcBorders>
            <w:vAlign w:val="bottom"/>
          </w:tcPr>
          <w:p w14:paraId="60DDFBE9" w14:textId="77777777" w:rsidR="00FB1B29" w:rsidRDefault="00FB1B29" w:rsidP="003716E1">
            <w:pPr>
              <w:autoSpaceDE w:val="0"/>
              <w:autoSpaceDN w:val="0"/>
              <w:adjustRightInd w:val="0"/>
              <w:spacing w:after="60" w:line="240" w:lineRule="auto"/>
              <w:jc w:val="center"/>
              <w:rPr>
                <w:rFonts w:ascii="Calibri" w:eastAsia="Times New Roman" w:hAnsi="Calibri" w:cs="Times New Roman"/>
                <w:sz w:val="24"/>
                <w:szCs w:val="24"/>
                <w:lang w:val="en-CA"/>
              </w:rPr>
            </w:pPr>
          </w:p>
          <w:p w14:paraId="3F160F5B" w14:textId="0C5EEB79" w:rsidR="003716E1" w:rsidRPr="003716E1" w:rsidRDefault="003716E1" w:rsidP="003716E1">
            <w:pPr>
              <w:autoSpaceDE w:val="0"/>
              <w:autoSpaceDN w:val="0"/>
              <w:adjustRightInd w:val="0"/>
              <w:spacing w:after="60" w:line="240" w:lineRule="auto"/>
              <w:jc w:val="center"/>
              <w:rPr>
                <w:rFonts w:ascii="Calibri" w:eastAsia="Times New Roman" w:hAnsi="Calibri" w:cs="Times New Roman"/>
                <w:b/>
                <w:bCs/>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b/>
                <w:bCs/>
                <w:sz w:val="24"/>
                <w:szCs w:val="24"/>
              </w:rPr>
              <w:t xml:space="preserve">Table </w:t>
            </w:r>
            <w:r w:rsidR="009D13D1">
              <w:rPr>
                <w:rFonts w:ascii="Calibri" w:eastAsia="Times New Roman" w:hAnsi="Calibri" w:cs="Times New Roman"/>
                <w:b/>
                <w:bCs/>
                <w:sz w:val="24"/>
                <w:szCs w:val="24"/>
              </w:rPr>
              <w:t>A.5.</w:t>
            </w:r>
            <w:r w:rsidRPr="003716E1">
              <w:rPr>
                <w:rFonts w:ascii="Calibri" w:eastAsia="Times New Roman" w:hAnsi="Calibri" w:cs="Times New Roman"/>
                <w:b/>
                <w:bCs/>
                <w:sz w:val="24"/>
                <w:szCs w:val="24"/>
              </w:rPr>
              <w:t>1.  Summary of mine-level characteristics by sector (Source: MSHA 2014)</w:t>
            </w:r>
          </w:p>
        </w:tc>
      </w:tr>
      <w:tr w:rsidR="003716E1" w:rsidRPr="003716E1" w14:paraId="125EA801" w14:textId="77777777" w:rsidTr="00775A26">
        <w:trPr>
          <w:cantSplit/>
        </w:trPr>
        <w:tc>
          <w:tcPr>
            <w:tcW w:w="1800" w:type="dxa"/>
            <w:vMerge w:val="restart"/>
            <w:tcBorders>
              <w:top w:val="single" w:sz="6" w:space="0" w:color="000000"/>
              <w:left w:val="single" w:sz="6" w:space="0" w:color="000000"/>
              <w:bottom w:val="nil"/>
              <w:right w:val="nil"/>
            </w:tcBorders>
            <w:shd w:val="clear" w:color="auto" w:fill="D9D9D9"/>
            <w:vAlign w:val="bottom"/>
          </w:tcPr>
          <w:p w14:paraId="66A9248F"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Mine-level characteristics</w:t>
            </w:r>
          </w:p>
        </w:tc>
        <w:tc>
          <w:tcPr>
            <w:tcW w:w="6300" w:type="dxa"/>
            <w:gridSpan w:val="5"/>
            <w:tcBorders>
              <w:top w:val="single" w:sz="6" w:space="0" w:color="000000"/>
              <w:left w:val="single" w:sz="6" w:space="0" w:color="000000"/>
              <w:bottom w:val="nil"/>
              <w:right w:val="nil"/>
            </w:tcBorders>
            <w:shd w:val="clear" w:color="auto" w:fill="D9D9D9"/>
            <w:vAlign w:val="bottom"/>
          </w:tcPr>
          <w:p w14:paraId="01EC6875"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Sector</w:t>
            </w:r>
          </w:p>
        </w:tc>
        <w:tc>
          <w:tcPr>
            <w:tcW w:w="1260" w:type="dxa"/>
            <w:vMerge w:val="restart"/>
            <w:tcBorders>
              <w:top w:val="single" w:sz="6" w:space="0" w:color="000000"/>
              <w:left w:val="single" w:sz="6" w:space="0" w:color="000000"/>
              <w:bottom w:val="nil"/>
              <w:right w:val="single" w:sz="6" w:space="0" w:color="000000"/>
            </w:tcBorders>
            <w:shd w:val="clear" w:color="auto" w:fill="D9D9D9"/>
            <w:vAlign w:val="bottom"/>
          </w:tcPr>
          <w:p w14:paraId="656FF03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Total</w:t>
            </w:r>
          </w:p>
        </w:tc>
      </w:tr>
      <w:tr w:rsidR="003716E1" w:rsidRPr="003716E1" w14:paraId="5CE5CF0F" w14:textId="77777777" w:rsidTr="00775A26">
        <w:trPr>
          <w:cantSplit/>
        </w:trPr>
        <w:tc>
          <w:tcPr>
            <w:tcW w:w="1800" w:type="dxa"/>
            <w:vMerge/>
            <w:tcBorders>
              <w:top w:val="single" w:sz="6" w:space="0" w:color="000000"/>
              <w:left w:val="single" w:sz="6" w:space="0" w:color="000000"/>
              <w:bottom w:val="nil"/>
              <w:right w:val="nil"/>
            </w:tcBorders>
            <w:shd w:val="clear" w:color="auto" w:fill="D9D9D9"/>
          </w:tcPr>
          <w:p w14:paraId="545FDFD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tc>
        <w:tc>
          <w:tcPr>
            <w:tcW w:w="1260" w:type="dxa"/>
            <w:tcBorders>
              <w:top w:val="single" w:sz="6" w:space="0" w:color="000000"/>
              <w:left w:val="single" w:sz="6" w:space="0" w:color="000000"/>
              <w:bottom w:val="nil"/>
              <w:right w:val="nil"/>
            </w:tcBorders>
            <w:shd w:val="clear" w:color="auto" w:fill="D9D9D9"/>
            <w:vAlign w:val="bottom"/>
          </w:tcPr>
          <w:p w14:paraId="7D1A2A44"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Coal</w:t>
            </w:r>
          </w:p>
        </w:tc>
        <w:tc>
          <w:tcPr>
            <w:tcW w:w="1260" w:type="dxa"/>
            <w:tcBorders>
              <w:top w:val="single" w:sz="6" w:space="0" w:color="000000"/>
              <w:left w:val="single" w:sz="6" w:space="0" w:color="000000"/>
              <w:bottom w:val="nil"/>
              <w:right w:val="nil"/>
            </w:tcBorders>
            <w:shd w:val="clear" w:color="auto" w:fill="D9D9D9"/>
            <w:vAlign w:val="bottom"/>
          </w:tcPr>
          <w:p w14:paraId="6FD46EA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Metal</w:t>
            </w:r>
          </w:p>
        </w:tc>
        <w:tc>
          <w:tcPr>
            <w:tcW w:w="1260" w:type="dxa"/>
            <w:tcBorders>
              <w:top w:val="single" w:sz="6" w:space="0" w:color="000000"/>
              <w:left w:val="single" w:sz="6" w:space="0" w:color="000000"/>
              <w:bottom w:val="nil"/>
              <w:right w:val="nil"/>
            </w:tcBorders>
            <w:shd w:val="clear" w:color="auto" w:fill="D9D9D9"/>
            <w:vAlign w:val="bottom"/>
          </w:tcPr>
          <w:p w14:paraId="43A5277A"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Nonmetal</w:t>
            </w:r>
          </w:p>
        </w:tc>
        <w:tc>
          <w:tcPr>
            <w:tcW w:w="1260" w:type="dxa"/>
            <w:tcBorders>
              <w:top w:val="single" w:sz="6" w:space="0" w:color="000000"/>
              <w:left w:val="single" w:sz="6" w:space="0" w:color="000000"/>
              <w:bottom w:val="nil"/>
              <w:right w:val="nil"/>
            </w:tcBorders>
            <w:shd w:val="clear" w:color="auto" w:fill="D9D9D9"/>
            <w:vAlign w:val="bottom"/>
          </w:tcPr>
          <w:p w14:paraId="31E83914"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Stone</w:t>
            </w:r>
          </w:p>
        </w:tc>
        <w:tc>
          <w:tcPr>
            <w:tcW w:w="1260" w:type="dxa"/>
            <w:tcBorders>
              <w:top w:val="single" w:sz="6" w:space="0" w:color="000000"/>
              <w:left w:val="single" w:sz="6" w:space="0" w:color="000000"/>
              <w:bottom w:val="nil"/>
              <w:right w:val="nil"/>
            </w:tcBorders>
            <w:shd w:val="clear" w:color="auto" w:fill="D9D9D9"/>
            <w:vAlign w:val="bottom"/>
          </w:tcPr>
          <w:p w14:paraId="34E2923A"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Sand and Gravel</w:t>
            </w:r>
          </w:p>
        </w:tc>
        <w:tc>
          <w:tcPr>
            <w:tcW w:w="1260" w:type="dxa"/>
            <w:vMerge/>
            <w:tcBorders>
              <w:top w:val="single" w:sz="6" w:space="0" w:color="000000"/>
              <w:left w:val="single" w:sz="6" w:space="0" w:color="000000"/>
              <w:bottom w:val="nil"/>
              <w:right w:val="single" w:sz="6" w:space="0" w:color="000000"/>
            </w:tcBorders>
            <w:shd w:val="clear" w:color="auto" w:fill="D9D9D9"/>
          </w:tcPr>
          <w:p w14:paraId="73108C5D"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p>
        </w:tc>
      </w:tr>
      <w:tr w:rsidR="003716E1" w:rsidRPr="003716E1" w14:paraId="444FDA10" w14:textId="77777777" w:rsidTr="00775A26">
        <w:trPr>
          <w:cantSplit/>
        </w:trPr>
        <w:tc>
          <w:tcPr>
            <w:tcW w:w="1800" w:type="dxa"/>
            <w:tcBorders>
              <w:top w:val="single" w:sz="6" w:space="0" w:color="000000"/>
              <w:left w:val="single" w:sz="6" w:space="0" w:color="000000"/>
              <w:bottom w:val="nil"/>
              <w:right w:val="nil"/>
            </w:tcBorders>
          </w:tcPr>
          <w:p w14:paraId="77455547"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Number of mines</w:t>
            </w:r>
          </w:p>
        </w:tc>
        <w:tc>
          <w:tcPr>
            <w:tcW w:w="1260" w:type="dxa"/>
            <w:tcBorders>
              <w:top w:val="single" w:sz="6" w:space="0" w:color="000000"/>
              <w:left w:val="single" w:sz="6" w:space="0" w:color="000000"/>
              <w:bottom w:val="nil"/>
              <w:right w:val="nil"/>
            </w:tcBorders>
          </w:tcPr>
          <w:p w14:paraId="39E5750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1,632</w:t>
            </w:r>
          </w:p>
        </w:tc>
        <w:tc>
          <w:tcPr>
            <w:tcW w:w="1260" w:type="dxa"/>
            <w:tcBorders>
              <w:top w:val="single" w:sz="6" w:space="0" w:color="000000"/>
              <w:left w:val="single" w:sz="6" w:space="0" w:color="000000"/>
              <w:bottom w:val="nil"/>
              <w:right w:val="nil"/>
            </w:tcBorders>
          </w:tcPr>
          <w:p w14:paraId="32C7B80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345</w:t>
            </w:r>
          </w:p>
        </w:tc>
        <w:tc>
          <w:tcPr>
            <w:tcW w:w="1260" w:type="dxa"/>
            <w:tcBorders>
              <w:top w:val="single" w:sz="6" w:space="0" w:color="000000"/>
              <w:left w:val="single" w:sz="6" w:space="0" w:color="000000"/>
              <w:bottom w:val="nil"/>
              <w:right w:val="nil"/>
            </w:tcBorders>
          </w:tcPr>
          <w:p w14:paraId="32EAE11F"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911</w:t>
            </w:r>
          </w:p>
        </w:tc>
        <w:tc>
          <w:tcPr>
            <w:tcW w:w="1260" w:type="dxa"/>
            <w:tcBorders>
              <w:top w:val="single" w:sz="6" w:space="0" w:color="000000"/>
              <w:left w:val="single" w:sz="6" w:space="0" w:color="000000"/>
              <w:bottom w:val="nil"/>
              <w:right w:val="nil"/>
            </w:tcBorders>
          </w:tcPr>
          <w:p w14:paraId="77CB252B"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4,350</w:t>
            </w:r>
          </w:p>
        </w:tc>
        <w:tc>
          <w:tcPr>
            <w:tcW w:w="1260" w:type="dxa"/>
            <w:tcBorders>
              <w:top w:val="single" w:sz="6" w:space="0" w:color="000000"/>
              <w:left w:val="single" w:sz="6" w:space="0" w:color="000000"/>
              <w:bottom w:val="nil"/>
              <w:right w:val="nil"/>
            </w:tcBorders>
          </w:tcPr>
          <w:p w14:paraId="475DEAB1"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6,366</w:t>
            </w:r>
          </w:p>
        </w:tc>
        <w:tc>
          <w:tcPr>
            <w:tcW w:w="1260" w:type="dxa"/>
            <w:tcBorders>
              <w:top w:val="single" w:sz="6" w:space="0" w:color="000000"/>
              <w:left w:val="single" w:sz="6" w:space="0" w:color="000000"/>
              <w:bottom w:val="nil"/>
              <w:right w:val="single" w:sz="6" w:space="0" w:color="000000"/>
            </w:tcBorders>
          </w:tcPr>
          <w:p w14:paraId="79015CBE"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13,604</w:t>
            </w:r>
          </w:p>
        </w:tc>
      </w:tr>
      <w:tr w:rsidR="003716E1" w:rsidRPr="003716E1" w14:paraId="738B4F63" w14:textId="77777777" w:rsidTr="00775A26">
        <w:trPr>
          <w:cantSplit/>
        </w:trPr>
        <w:tc>
          <w:tcPr>
            <w:tcW w:w="1800" w:type="dxa"/>
            <w:tcBorders>
              <w:top w:val="single" w:sz="6" w:space="0" w:color="000000"/>
              <w:left w:val="single" w:sz="6" w:space="0" w:color="000000"/>
              <w:bottom w:val="nil"/>
              <w:right w:val="nil"/>
            </w:tcBorders>
          </w:tcPr>
          <w:p w14:paraId="466D6729"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Number of employees</w:t>
            </w:r>
          </w:p>
        </w:tc>
        <w:tc>
          <w:tcPr>
            <w:tcW w:w="1260" w:type="dxa"/>
            <w:tcBorders>
              <w:top w:val="single" w:sz="6" w:space="0" w:color="000000"/>
              <w:left w:val="single" w:sz="6" w:space="0" w:color="000000"/>
              <w:bottom w:val="nil"/>
              <w:right w:val="nil"/>
            </w:tcBorders>
          </w:tcPr>
          <w:p w14:paraId="6E1B7771"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77,462</w:t>
            </w:r>
          </w:p>
        </w:tc>
        <w:tc>
          <w:tcPr>
            <w:tcW w:w="1260" w:type="dxa"/>
            <w:tcBorders>
              <w:top w:val="single" w:sz="6" w:space="0" w:color="000000"/>
              <w:left w:val="single" w:sz="6" w:space="0" w:color="000000"/>
              <w:bottom w:val="nil"/>
              <w:right w:val="nil"/>
            </w:tcBorders>
          </w:tcPr>
          <w:p w14:paraId="2EC22B4E"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44,838</w:t>
            </w:r>
          </w:p>
        </w:tc>
        <w:tc>
          <w:tcPr>
            <w:tcW w:w="1260" w:type="dxa"/>
            <w:tcBorders>
              <w:top w:val="single" w:sz="6" w:space="0" w:color="000000"/>
              <w:left w:val="single" w:sz="6" w:space="0" w:color="000000"/>
              <w:bottom w:val="nil"/>
              <w:right w:val="nil"/>
            </w:tcBorders>
          </w:tcPr>
          <w:p w14:paraId="6A040F8C"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26,356</w:t>
            </w:r>
          </w:p>
        </w:tc>
        <w:tc>
          <w:tcPr>
            <w:tcW w:w="1260" w:type="dxa"/>
            <w:tcBorders>
              <w:top w:val="single" w:sz="6" w:space="0" w:color="000000"/>
              <w:left w:val="single" w:sz="6" w:space="0" w:color="000000"/>
              <w:bottom w:val="nil"/>
              <w:right w:val="nil"/>
            </w:tcBorders>
          </w:tcPr>
          <w:p w14:paraId="38D56140"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65,682</w:t>
            </w:r>
          </w:p>
        </w:tc>
        <w:tc>
          <w:tcPr>
            <w:tcW w:w="1260" w:type="dxa"/>
            <w:tcBorders>
              <w:top w:val="single" w:sz="6" w:space="0" w:color="000000"/>
              <w:left w:val="single" w:sz="6" w:space="0" w:color="000000"/>
              <w:bottom w:val="nil"/>
              <w:right w:val="nil"/>
            </w:tcBorders>
          </w:tcPr>
          <w:p w14:paraId="6D00A399"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34,361</w:t>
            </w:r>
          </w:p>
        </w:tc>
        <w:tc>
          <w:tcPr>
            <w:tcW w:w="1260" w:type="dxa"/>
            <w:tcBorders>
              <w:top w:val="single" w:sz="6" w:space="0" w:color="000000"/>
              <w:left w:val="single" w:sz="6" w:space="0" w:color="000000"/>
              <w:bottom w:val="nil"/>
              <w:right w:val="single" w:sz="6" w:space="0" w:color="000000"/>
            </w:tcBorders>
          </w:tcPr>
          <w:p w14:paraId="4C910C2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248,699</w:t>
            </w:r>
          </w:p>
        </w:tc>
      </w:tr>
      <w:tr w:rsidR="003716E1" w:rsidRPr="003716E1" w14:paraId="3CA12651" w14:textId="77777777" w:rsidTr="00775A26">
        <w:trPr>
          <w:cantSplit/>
        </w:trPr>
        <w:tc>
          <w:tcPr>
            <w:tcW w:w="1800" w:type="dxa"/>
            <w:tcBorders>
              <w:top w:val="single" w:sz="6" w:space="0" w:color="000000"/>
              <w:left w:val="single" w:sz="6" w:space="0" w:color="000000"/>
              <w:bottom w:val="single" w:sz="6" w:space="0" w:color="000000"/>
              <w:right w:val="nil"/>
            </w:tcBorders>
          </w:tcPr>
          <w:p w14:paraId="42717D67"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Average employment size</w:t>
            </w:r>
          </w:p>
        </w:tc>
        <w:tc>
          <w:tcPr>
            <w:tcW w:w="1260" w:type="dxa"/>
            <w:tcBorders>
              <w:top w:val="single" w:sz="6" w:space="0" w:color="000000"/>
              <w:left w:val="single" w:sz="6" w:space="0" w:color="000000"/>
              <w:bottom w:val="single" w:sz="6" w:space="0" w:color="000000"/>
              <w:right w:val="nil"/>
            </w:tcBorders>
          </w:tcPr>
          <w:p w14:paraId="16E4BCC0" w14:textId="45A23649"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48</w:t>
            </w:r>
          </w:p>
        </w:tc>
        <w:tc>
          <w:tcPr>
            <w:tcW w:w="1260" w:type="dxa"/>
            <w:tcBorders>
              <w:top w:val="single" w:sz="6" w:space="0" w:color="000000"/>
              <w:left w:val="single" w:sz="6" w:space="0" w:color="000000"/>
              <w:bottom w:val="single" w:sz="6" w:space="0" w:color="000000"/>
              <w:right w:val="nil"/>
            </w:tcBorders>
          </w:tcPr>
          <w:p w14:paraId="6029CD8B" w14:textId="34E98C98"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130</w:t>
            </w:r>
          </w:p>
        </w:tc>
        <w:tc>
          <w:tcPr>
            <w:tcW w:w="1260" w:type="dxa"/>
            <w:tcBorders>
              <w:top w:val="single" w:sz="6" w:space="0" w:color="000000"/>
              <w:left w:val="single" w:sz="6" w:space="0" w:color="000000"/>
              <w:bottom w:val="single" w:sz="6" w:space="0" w:color="000000"/>
              <w:right w:val="nil"/>
            </w:tcBorders>
          </w:tcPr>
          <w:p w14:paraId="3EBF2563" w14:textId="2896A8AE"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29</w:t>
            </w:r>
          </w:p>
        </w:tc>
        <w:tc>
          <w:tcPr>
            <w:tcW w:w="1260" w:type="dxa"/>
            <w:tcBorders>
              <w:top w:val="single" w:sz="6" w:space="0" w:color="000000"/>
              <w:left w:val="single" w:sz="6" w:space="0" w:color="000000"/>
              <w:bottom w:val="single" w:sz="6" w:space="0" w:color="000000"/>
              <w:right w:val="nil"/>
            </w:tcBorders>
          </w:tcPr>
          <w:p w14:paraId="460A2347" w14:textId="2DC45BA4"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15</w:t>
            </w:r>
          </w:p>
        </w:tc>
        <w:tc>
          <w:tcPr>
            <w:tcW w:w="1260" w:type="dxa"/>
            <w:tcBorders>
              <w:top w:val="single" w:sz="6" w:space="0" w:color="000000"/>
              <w:left w:val="single" w:sz="6" w:space="0" w:color="000000"/>
              <w:bottom w:val="single" w:sz="6" w:space="0" w:color="000000"/>
              <w:right w:val="nil"/>
            </w:tcBorders>
          </w:tcPr>
          <w:p w14:paraId="0DF82C3E" w14:textId="4E2A49FA"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5</w:t>
            </w:r>
          </w:p>
        </w:tc>
        <w:tc>
          <w:tcPr>
            <w:tcW w:w="1260" w:type="dxa"/>
            <w:tcBorders>
              <w:top w:val="single" w:sz="6" w:space="0" w:color="000000"/>
              <w:left w:val="single" w:sz="6" w:space="0" w:color="000000"/>
              <w:bottom w:val="single" w:sz="6" w:space="0" w:color="000000"/>
              <w:right w:val="single" w:sz="6" w:space="0" w:color="000000"/>
            </w:tcBorders>
          </w:tcPr>
          <w:p w14:paraId="04C60B03" w14:textId="04D26A23" w:rsidR="003716E1" w:rsidRPr="003716E1" w:rsidRDefault="00A83EED" w:rsidP="003716E1">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18</w:t>
            </w:r>
          </w:p>
        </w:tc>
      </w:tr>
    </w:tbl>
    <w:p w14:paraId="70ACC14E"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9F60B60" w14:textId="2A2ADB9C"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6" w:name="_Toc435798895"/>
      <w:r w:rsidRPr="003716E1">
        <w:rPr>
          <w:rFonts w:ascii="Calibri" w:eastAsia="Times New Roman" w:hAnsi="Calibri" w:cs="Times New Roman"/>
          <w:b/>
          <w:bCs/>
          <w:kern w:val="32"/>
          <w:sz w:val="24"/>
          <w:szCs w:val="32"/>
          <w:lang w:val="en-CA"/>
        </w:rPr>
        <w:t>A</w:t>
      </w:r>
      <w:r w:rsidRPr="003716E1">
        <w:rPr>
          <w:rFonts w:ascii="Calibri" w:eastAsia="Times New Roman" w:hAnsi="Calibri" w:cs="Times New Roman"/>
          <w:b/>
          <w:bCs/>
          <w:kern w:val="32"/>
          <w:sz w:val="24"/>
          <w:szCs w:val="32"/>
          <w:lang w:val="en-CA"/>
        </w:rPr>
        <w:fldChar w:fldCharType="begin"/>
      </w:r>
      <w:r w:rsidRPr="003716E1">
        <w:rPr>
          <w:rFonts w:ascii="Calibri" w:eastAsia="Times New Roman" w:hAnsi="Calibri" w:cs="Times New Roman"/>
          <w:b/>
          <w:bCs/>
          <w:kern w:val="32"/>
          <w:sz w:val="24"/>
          <w:szCs w:val="32"/>
          <w:lang w:val="en-CA"/>
        </w:rPr>
        <w:instrText xml:space="preserve"> SEQ CHAPTER \h \r 1</w:instrText>
      </w:r>
      <w:r w:rsidRPr="003716E1">
        <w:rPr>
          <w:rFonts w:ascii="Calibri" w:eastAsia="Times New Roman" w:hAnsi="Calibri" w:cs="Times New Roman"/>
          <w:b/>
          <w:bCs/>
          <w:kern w:val="32"/>
          <w:sz w:val="24"/>
          <w:szCs w:val="32"/>
          <w:lang w:val="en-CA"/>
        </w:rPr>
        <w:fldChar w:fldCharType="end"/>
      </w:r>
      <w:r w:rsidRPr="003716E1">
        <w:rPr>
          <w:rFonts w:ascii="Calibri" w:eastAsia="Times New Roman" w:hAnsi="Calibri" w:cs="Times New Roman"/>
          <w:b/>
          <w:bCs/>
          <w:kern w:val="32"/>
          <w:sz w:val="24"/>
          <w:szCs w:val="32"/>
        </w:rPr>
        <w:t>.6</w:t>
      </w:r>
      <w:r w:rsidRPr="003716E1">
        <w:rPr>
          <w:rFonts w:ascii="Calibri" w:eastAsia="Times New Roman" w:hAnsi="Calibri" w:cs="Times New Roman"/>
          <w:b/>
          <w:bCs/>
          <w:kern w:val="32"/>
          <w:sz w:val="24"/>
          <w:szCs w:val="32"/>
        </w:rPr>
        <w:tab/>
        <w:t>Consequences of Collecting the Information Less Frequently</w:t>
      </w:r>
      <w:bookmarkEnd w:id="6"/>
    </w:p>
    <w:p w14:paraId="0F1F14FB"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00F1B5E3" w14:textId="383F002E" w:rsidR="00F01E27" w:rsidRPr="00801B03" w:rsidRDefault="003716E1" w:rsidP="00CA2955">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NIOSH plans to partition mines into </w:t>
      </w:r>
      <w:r w:rsidR="00C37FF9">
        <w:rPr>
          <w:rFonts w:ascii="Calibri" w:eastAsia="Times New Roman" w:hAnsi="Calibri" w:cs="Times New Roman"/>
          <w:sz w:val="24"/>
          <w:szCs w:val="24"/>
        </w:rPr>
        <w:t>three</w:t>
      </w:r>
      <w:r w:rsidRPr="003716E1">
        <w:rPr>
          <w:rFonts w:ascii="Calibri" w:eastAsia="Times New Roman" w:hAnsi="Calibri" w:cs="Times New Roman"/>
          <w:sz w:val="24"/>
          <w:szCs w:val="24"/>
        </w:rPr>
        <w:t xml:space="preserve"> subgroups with stone, sand and gravel</w:t>
      </w:r>
      <w:r w:rsidR="00BD409F">
        <w:rPr>
          <w:rFonts w:ascii="Calibri" w:eastAsia="Times New Roman" w:hAnsi="Calibri" w:cs="Times New Roman"/>
          <w:sz w:val="24"/>
          <w:szCs w:val="24"/>
        </w:rPr>
        <w:t>; metal and nonmetal;</w:t>
      </w:r>
      <w:r w:rsidR="00761C44">
        <w:rPr>
          <w:rFonts w:ascii="Calibri" w:eastAsia="Times New Roman" w:hAnsi="Calibri" w:cs="Times New Roman"/>
          <w:sz w:val="24"/>
          <w:szCs w:val="24"/>
        </w:rPr>
        <w:t xml:space="preserve"> and coal </w:t>
      </w:r>
      <w:r w:rsidR="00BD409F">
        <w:rPr>
          <w:rFonts w:ascii="Calibri" w:eastAsia="Times New Roman" w:hAnsi="Calibri" w:cs="Times New Roman"/>
          <w:sz w:val="24"/>
          <w:szCs w:val="24"/>
        </w:rPr>
        <w:t>mines</w:t>
      </w:r>
      <w:r w:rsidRPr="003716E1">
        <w:rPr>
          <w:rFonts w:ascii="Calibri" w:eastAsia="Times New Roman" w:hAnsi="Calibri" w:cs="Times New Roman"/>
          <w:sz w:val="24"/>
          <w:szCs w:val="24"/>
        </w:rPr>
        <w:t xml:space="preserve"> surveyed </w:t>
      </w:r>
      <w:r w:rsidR="00BD409F">
        <w:rPr>
          <w:rFonts w:ascii="Calibri" w:eastAsia="Times New Roman" w:hAnsi="Calibri" w:cs="Times New Roman"/>
          <w:sz w:val="24"/>
          <w:szCs w:val="24"/>
        </w:rPr>
        <w:t xml:space="preserve">only one time. </w:t>
      </w:r>
      <w:r w:rsidR="00F01E27" w:rsidRPr="0032155E">
        <w:rPr>
          <w:sz w:val="24"/>
          <w:szCs w:val="24"/>
        </w:rPr>
        <w:t xml:space="preserve">Because the U.S. mining industry and its workforce can undergo changes from </w:t>
      </w:r>
      <w:r w:rsidR="00761C44">
        <w:rPr>
          <w:sz w:val="24"/>
          <w:szCs w:val="24"/>
        </w:rPr>
        <w:t>year</w:t>
      </w:r>
      <w:r w:rsidR="00C37FF9">
        <w:rPr>
          <w:sz w:val="24"/>
          <w:szCs w:val="24"/>
        </w:rPr>
        <w:t xml:space="preserve"> </w:t>
      </w:r>
      <w:r w:rsidR="00761C44">
        <w:rPr>
          <w:sz w:val="24"/>
          <w:szCs w:val="24"/>
        </w:rPr>
        <w:t>to</w:t>
      </w:r>
      <w:r w:rsidR="00C37FF9">
        <w:rPr>
          <w:sz w:val="24"/>
          <w:szCs w:val="24"/>
        </w:rPr>
        <w:t xml:space="preserve"> </w:t>
      </w:r>
      <w:r w:rsidR="00761C44">
        <w:rPr>
          <w:sz w:val="24"/>
          <w:szCs w:val="24"/>
        </w:rPr>
        <w:t xml:space="preserve">year (e.g., the </w:t>
      </w:r>
      <w:r w:rsidR="00F01E27" w:rsidRPr="0032155E">
        <w:rPr>
          <w:sz w:val="24"/>
          <w:szCs w:val="24"/>
        </w:rPr>
        <w:t>closure of coal mines due to</w:t>
      </w:r>
      <w:r w:rsidR="00F01E27">
        <w:rPr>
          <w:sz w:val="24"/>
          <w:szCs w:val="24"/>
        </w:rPr>
        <w:t xml:space="preserve"> market conditions)</w:t>
      </w:r>
      <w:r w:rsidR="00C37FF9">
        <w:rPr>
          <w:sz w:val="24"/>
          <w:szCs w:val="24"/>
        </w:rPr>
        <w:t>,</w:t>
      </w:r>
      <w:r w:rsidR="00F01E27">
        <w:rPr>
          <w:sz w:val="24"/>
          <w:szCs w:val="24"/>
        </w:rPr>
        <w:t xml:space="preserve"> it is </w:t>
      </w:r>
      <w:r w:rsidR="00604FFC">
        <w:rPr>
          <w:rFonts w:ascii="Calibri" w:eastAsia="Times New Roman" w:hAnsi="Calibri" w:cs="Times New Roman"/>
          <w:sz w:val="24"/>
          <w:szCs w:val="24"/>
        </w:rPr>
        <w:t xml:space="preserve">important of have a current </w:t>
      </w:r>
      <w:r w:rsidR="00F01E27">
        <w:rPr>
          <w:rFonts w:ascii="Calibri" w:eastAsia="Times New Roman" w:hAnsi="Calibri" w:cs="Times New Roman"/>
          <w:sz w:val="24"/>
          <w:szCs w:val="24"/>
        </w:rPr>
        <w:t xml:space="preserve">survey to capture data </w:t>
      </w:r>
      <w:r w:rsidR="00C37FF9">
        <w:rPr>
          <w:rFonts w:ascii="Calibri" w:eastAsia="Times New Roman" w:hAnsi="Calibri" w:cs="Times New Roman"/>
          <w:sz w:val="24"/>
          <w:szCs w:val="24"/>
        </w:rPr>
        <w:t xml:space="preserve">that </w:t>
      </w:r>
      <w:r w:rsidR="00F01E27">
        <w:rPr>
          <w:rFonts w:ascii="Calibri" w:eastAsia="Times New Roman" w:hAnsi="Calibri" w:cs="Times New Roman"/>
          <w:sz w:val="24"/>
          <w:szCs w:val="24"/>
        </w:rPr>
        <w:t>NIOSH needs for monitoring health and safety issues for the nation’s mines</w:t>
      </w:r>
      <w:r w:rsidR="00C37FF9">
        <w:rPr>
          <w:rFonts w:ascii="Calibri" w:eastAsia="Times New Roman" w:hAnsi="Calibri" w:cs="Times New Roman"/>
          <w:sz w:val="24"/>
          <w:szCs w:val="24"/>
        </w:rPr>
        <w:t>,</w:t>
      </w:r>
      <w:r w:rsidR="00F01E27">
        <w:rPr>
          <w:rFonts w:ascii="Calibri" w:eastAsia="Times New Roman" w:hAnsi="Calibri" w:cs="Times New Roman"/>
          <w:sz w:val="24"/>
          <w:szCs w:val="24"/>
        </w:rPr>
        <w:t xml:space="preserve"> and for responding to changes in mining practices and workforce composition.</w:t>
      </w:r>
    </w:p>
    <w:p w14:paraId="2B276559"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b/>
          <w:bCs/>
          <w:sz w:val="24"/>
          <w:szCs w:val="24"/>
        </w:rPr>
      </w:pPr>
    </w:p>
    <w:p w14:paraId="2167BE55" w14:textId="6E77B93D"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7" w:name="_Toc435798896"/>
      <w:r w:rsidRPr="003716E1">
        <w:rPr>
          <w:rFonts w:ascii="Calibri" w:eastAsia="Times New Roman" w:hAnsi="Calibri" w:cs="Times New Roman"/>
          <w:b/>
          <w:bCs/>
          <w:kern w:val="32"/>
          <w:sz w:val="24"/>
          <w:szCs w:val="32"/>
        </w:rPr>
        <w:t>A.7</w:t>
      </w:r>
      <w:r w:rsidRPr="003716E1">
        <w:rPr>
          <w:rFonts w:ascii="Calibri" w:eastAsia="Times New Roman" w:hAnsi="Calibri" w:cs="Times New Roman"/>
          <w:b/>
          <w:bCs/>
          <w:kern w:val="32"/>
          <w:sz w:val="24"/>
          <w:szCs w:val="32"/>
        </w:rPr>
        <w:tab/>
        <w:t>Special Circumstances Relating to the Guidelines of 5 CFR 1320.5</w:t>
      </w:r>
      <w:bookmarkEnd w:id="7"/>
      <w:r w:rsidRPr="003716E1">
        <w:rPr>
          <w:rFonts w:ascii="Calibri" w:eastAsia="Times New Roman" w:hAnsi="Calibri" w:cs="Times New Roman"/>
          <w:b/>
          <w:bCs/>
          <w:kern w:val="32"/>
          <w:sz w:val="24"/>
          <w:szCs w:val="32"/>
        </w:rPr>
        <w:t xml:space="preserve"> </w:t>
      </w:r>
    </w:p>
    <w:p w14:paraId="23FD82CB"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bCs/>
          <w:sz w:val="24"/>
          <w:szCs w:val="24"/>
        </w:rPr>
      </w:pPr>
    </w:p>
    <w:p w14:paraId="4F8F7D43" w14:textId="23C1F5AF" w:rsidR="003716E1" w:rsidRPr="003716E1" w:rsidRDefault="007E1EF2"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w:t>
      </w:r>
      <w:r w:rsidR="00604FFC">
        <w:rPr>
          <w:rFonts w:ascii="Calibri" w:eastAsia="Times New Roman" w:hAnsi="Calibri" w:cs="Times New Roman"/>
          <w:sz w:val="24"/>
          <w:szCs w:val="24"/>
        </w:rPr>
        <w:t xml:space="preserve">o </w:t>
      </w:r>
      <w:r>
        <w:rPr>
          <w:rFonts w:ascii="Calibri" w:eastAsia="Times New Roman" w:hAnsi="Calibri" w:cs="Times New Roman"/>
          <w:sz w:val="24"/>
          <w:szCs w:val="24"/>
        </w:rPr>
        <w:t>special circumstances</w:t>
      </w:r>
      <w:r w:rsidR="00604FFC">
        <w:rPr>
          <w:rFonts w:ascii="Calibri" w:eastAsia="Times New Roman" w:hAnsi="Calibri" w:cs="Times New Roman"/>
          <w:sz w:val="24"/>
          <w:szCs w:val="24"/>
        </w:rPr>
        <w:t xml:space="preserve"> </w:t>
      </w:r>
      <w:r w:rsidR="00BD409F">
        <w:rPr>
          <w:rFonts w:ascii="Calibri" w:eastAsia="Times New Roman" w:hAnsi="Calibri" w:cs="Times New Roman"/>
          <w:sz w:val="24"/>
          <w:szCs w:val="24"/>
        </w:rPr>
        <w:t xml:space="preserve">from </w:t>
      </w:r>
      <w:r w:rsidR="00604FFC">
        <w:rPr>
          <w:rFonts w:ascii="Calibri" w:eastAsia="Times New Roman" w:hAnsi="Calibri" w:cs="Times New Roman"/>
          <w:sz w:val="24"/>
          <w:szCs w:val="24"/>
        </w:rPr>
        <w:t>the 5 CFR 1320.5 guidelines apply to this survey</w:t>
      </w:r>
      <w:r w:rsidR="003716E1" w:rsidRPr="003716E1">
        <w:rPr>
          <w:rFonts w:ascii="Calibri" w:eastAsia="Times New Roman" w:hAnsi="Calibri" w:cs="Times New Roman"/>
          <w:sz w:val="24"/>
          <w:szCs w:val="24"/>
        </w:rPr>
        <w:t>.</w:t>
      </w:r>
      <w:r w:rsidR="002941F5">
        <w:rPr>
          <w:rFonts w:ascii="Calibri" w:eastAsia="Times New Roman" w:hAnsi="Calibri" w:cs="Times New Roman"/>
          <w:sz w:val="24"/>
          <w:szCs w:val="24"/>
        </w:rPr>
        <w:t xml:space="preserve"> Responding mines will be asked to participate in this survey once over the three-year approval period.</w:t>
      </w:r>
    </w:p>
    <w:p w14:paraId="0314A50A" w14:textId="77777777" w:rsidR="003716E1" w:rsidRPr="003716E1" w:rsidRDefault="003716E1" w:rsidP="003716E1">
      <w:pPr>
        <w:keepLines/>
        <w:widowControl w:val="0"/>
        <w:autoSpaceDE w:val="0"/>
        <w:autoSpaceDN w:val="0"/>
        <w:adjustRightInd w:val="0"/>
        <w:spacing w:after="0" w:line="240" w:lineRule="auto"/>
        <w:rPr>
          <w:rFonts w:ascii="Times New Roman" w:eastAsia="Times New Roman" w:hAnsi="Times New Roman" w:cs="Times New Roman"/>
          <w:sz w:val="24"/>
          <w:szCs w:val="24"/>
          <w:vertAlign w:val="superscript"/>
        </w:rPr>
      </w:pPr>
    </w:p>
    <w:p w14:paraId="4A0C333E" w14:textId="77777777" w:rsidR="003716E1" w:rsidRPr="003716E1" w:rsidRDefault="003716E1" w:rsidP="003716E1">
      <w:pPr>
        <w:keepNext/>
        <w:autoSpaceDE w:val="0"/>
        <w:autoSpaceDN w:val="0"/>
        <w:adjustRightInd w:val="0"/>
        <w:spacing w:after="0" w:line="240" w:lineRule="auto"/>
        <w:ind w:left="720" w:hanging="720"/>
        <w:outlineLvl w:val="0"/>
        <w:rPr>
          <w:rFonts w:ascii="Calibri" w:eastAsia="Times New Roman" w:hAnsi="Calibri" w:cs="Times New Roman"/>
          <w:b/>
          <w:bCs/>
          <w:kern w:val="32"/>
          <w:sz w:val="24"/>
          <w:szCs w:val="24"/>
        </w:rPr>
      </w:pPr>
      <w:bookmarkStart w:id="8" w:name="_Toc435798897"/>
      <w:r w:rsidRPr="003716E1">
        <w:rPr>
          <w:rFonts w:ascii="Calibri" w:eastAsia="Times New Roman" w:hAnsi="Calibri" w:cs="Times New Roman"/>
          <w:b/>
          <w:bCs/>
          <w:kern w:val="32"/>
          <w:sz w:val="24"/>
          <w:szCs w:val="24"/>
          <w:lang w:val="en-CA"/>
        </w:rPr>
        <w:t>A</w:t>
      </w:r>
      <w:r w:rsidRPr="003716E1">
        <w:rPr>
          <w:rFonts w:ascii="Calibri" w:eastAsia="Times New Roman" w:hAnsi="Calibri" w:cs="Times New Roman"/>
          <w:b/>
          <w:bCs/>
          <w:kern w:val="32"/>
          <w:sz w:val="24"/>
          <w:szCs w:val="24"/>
          <w:lang w:val="en-CA"/>
        </w:rPr>
        <w:fldChar w:fldCharType="begin"/>
      </w:r>
      <w:r w:rsidRPr="003716E1">
        <w:rPr>
          <w:rFonts w:ascii="Calibri" w:eastAsia="Times New Roman" w:hAnsi="Calibri" w:cs="Times New Roman"/>
          <w:b/>
          <w:bCs/>
          <w:kern w:val="32"/>
          <w:sz w:val="24"/>
          <w:szCs w:val="24"/>
          <w:lang w:val="en-CA"/>
        </w:rPr>
        <w:instrText xml:space="preserve"> SEQ CHAPTER \h \r 1</w:instrText>
      </w:r>
      <w:r w:rsidRPr="003716E1">
        <w:rPr>
          <w:rFonts w:ascii="Calibri" w:eastAsia="Times New Roman" w:hAnsi="Calibri" w:cs="Times New Roman"/>
          <w:b/>
          <w:bCs/>
          <w:kern w:val="32"/>
          <w:sz w:val="24"/>
          <w:szCs w:val="24"/>
          <w:lang w:val="en-CA"/>
        </w:rPr>
        <w:fldChar w:fldCharType="end"/>
      </w:r>
      <w:r w:rsidRPr="003716E1">
        <w:rPr>
          <w:rFonts w:ascii="Calibri" w:eastAsia="Times New Roman" w:hAnsi="Calibri" w:cs="Times New Roman"/>
          <w:b/>
          <w:bCs/>
          <w:kern w:val="32"/>
          <w:sz w:val="24"/>
          <w:szCs w:val="24"/>
        </w:rPr>
        <w:t>.8</w:t>
      </w:r>
      <w:r w:rsidRPr="003716E1">
        <w:rPr>
          <w:rFonts w:ascii="Calibri" w:eastAsia="Times New Roman" w:hAnsi="Calibri" w:cs="Times New Roman"/>
          <w:b/>
          <w:bCs/>
          <w:kern w:val="32"/>
          <w:sz w:val="24"/>
          <w:szCs w:val="24"/>
        </w:rPr>
        <w:tab/>
        <w:t>Comments in Response to the Federal Register Notice and Efforts to Consult Outside the Agency</w:t>
      </w:r>
      <w:bookmarkEnd w:id="8"/>
    </w:p>
    <w:p w14:paraId="5116BDB9" w14:textId="77777777" w:rsidR="003716E1" w:rsidRPr="003716E1" w:rsidRDefault="003716E1" w:rsidP="003716E1">
      <w:pPr>
        <w:keepLines/>
        <w:widowControl w:val="0"/>
        <w:autoSpaceDE w:val="0"/>
        <w:autoSpaceDN w:val="0"/>
        <w:adjustRightInd w:val="0"/>
        <w:spacing w:after="0" w:line="240" w:lineRule="auto"/>
        <w:rPr>
          <w:rFonts w:ascii="Calibri" w:eastAsia="Times New Roman" w:hAnsi="Calibri" w:cs="Times New Roman"/>
          <w:sz w:val="24"/>
          <w:szCs w:val="24"/>
        </w:rPr>
      </w:pPr>
    </w:p>
    <w:p w14:paraId="707937C6" w14:textId="77777777" w:rsidR="003716E1" w:rsidRPr="003716E1" w:rsidRDefault="003716E1" w:rsidP="003716E1">
      <w:pPr>
        <w:tabs>
          <w:tab w:val="left" w:pos="720"/>
        </w:tabs>
        <w:autoSpaceDE w:val="0"/>
        <w:autoSpaceDN w:val="0"/>
        <w:adjustRightInd w:val="0"/>
        <w:spacing w:after="0" w:line="240" w:lineRule="auto"/>
        <w:ind w:left="1080" w:hanging="1080"/>
        <w:rPr>
          <w:rFonts w:ascii="Calibri" w:eastAsia="Times New Roman" w:hAnsi="Calibri" w:cs="Times New Roman"/>
          <w:b/>
          <w:bCs/>
          <w:sz w:val="24"/>
          <w:szCs w:val="24"/>
        </w:rPr>
      </w:pPr>
      <w:r w:rsidRPr="003716E1">
        <w:rPr>
          <w:rFonts w:ascii="Calibri" w:eastAsia="Times New Roman" w:hAnsi="Calibri" w:cs="Times New Roman"/>
          <w:sz w:val="24"/>
          <w:szCs w:val="24"/>
        </w:rPr>
        <w:tab/>
      </w:r>
      <w:r w:rsidRPr="003716E1">
        <w:rPr>
          <w:rFonts w:ascii="Calibri" w:eastAsia="Times New Roman" w:hAnsi="Calibri" w:cs="Times New Roman"/>
          <w:b/>
          <w:sz w:val="24"/>
          <w:szCs w:val="24"/>
        </w:rPr>
        <w:t>A</w:t>
      </w:r>
      <w:r w:rsidRPr="003716E1">
        <w:rPr>
          <w:rFonts w:ascii="Calibri" w:eastAsia="Times New Roman" w:hAnsi="Calibri" w:cs="Times New Roman"/>
          <w:b/>
          <w:bCs/>
          <w:sz w:val="24"/>
          <w:szCs w:val="24"/>
        </w:rPr>
        <w:t>.</w:t>
      </w:r>
      <w:r w:rsidRPr="003716E1">
        <w:rPr>
          <w:rFonts w:ascii="Calibri" w:eastAsia="Times New Roman" w:hAnsi="Calibri" w:cs="Times New Roman"/>
          <w:b/>
          <w:bCs/>
          <w:sz w:val="24"/>
          <w:szCs w:val="24"/>
        </w:rPr>
        <w:tab/>
        <w:t>Federal Register Notice</w:t>
      </w:r>
    </w:p>
    <w:p w14:paraId="755D9166" w14:textId="77777777" w:rsidR="003716E1" w:rsidRPr="003716E1" w:rsidRDefault="003716E1" w:rsidP="003716E1">
      <w:pPr>
        <w:tabs>
          <w:tab w:val="left" w:pos="720"/>
        </w:tabs>
        <w:autoSpaceDE w:val="0"/>
        <w:autoSpaceDN w:val="0"/>
        <w:adjustRightInd w:val="0"/>
        <w:spacing w:after="0" w:line="240" w:lineRule="auto"/>
        <w:ind w:left="1080" w:hanging="1080"/>
        <w:rPr>
          <w:rFonts w:ascii="Calibri" w:eastAsia="Times New Roman" w:hAnsi="Calibri" w:cs="Times New Roman"/>
          <w:sz w:val="24"/>
          <w:szCs w:val="24"/>
        </w:rPr>
      </w:pPr>
    </w:p>
    <w:p w14:paraId="219FFA9B" w14:textId="5B080487" w:rsid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In accordance with 5 CFR 1320.8(d)</w:t>
      </w:r>
      <w:r w:rsidR="00C37FF9">
        <w:rPr>
          <w:rFonts w:ascii="Calibri" w:eastAsia="Times New Roman" w:hAnsi="Calibri" w:cs="Times New Roman"/>
          <w:sz w:val="24"/>
          <w:szCs w:val="24"/>
        </w:rPr>
        <w:t>,</w:t>
      </w:r>
      <w:r w:rsidRPr="003716E1">
        <w:rPr>
          <w:rFonts w:ascii="Calibri" w:eastAsia="Times New Roman" w:hAnsi="Calibri" w:cs="Times New Roman"/>
          <w:sz w:val="24"/>
          <w:szCs w:val="24"/>
        </w:rPr>
        <w:t xml:space="preserve"> a review of the proposed study was sought through a 60-day publication period in the </w:t>
      </w:r>
      <w:r w:rsidRPr="003716E1">
        <w:rPr>
          <w:rFonts w:ascii="Calibri" w:eastAsia="Times New Roman" w:hAnsi="Calibri" w:cs="Times New Roman"/>
          <w:i/>
          <w:iCs/>
          <w:sz w:val="24"/>
          <w:szCs w:val="24"/>
        </w:rPr>
        <w:t>Federal Register</w:t>
      </w:r>
      <w:r w:rsidR="00932758">
        <w:rPr>
          <w:rFonts w:ascii="Calibri" w:eastAsia="Times New Roman" w:hAnsi="Calibri" w:cs="Times New Roman"/>
          <w:sz w:val="24"/>
          <w:szCs w:val="24"/>
        </w:rPr>
        <w:t xml:space="preserve"> (12/17/2015, Vol. 80</w:t>
      </w:r>
      <w:r w:rsidRPr="003716E1">
        <w:rPr>
          <w:rFonts w:ascii="Calibri" w:eastAsia="Times New Roman" w:hAnsi="Calibri" w:cs="Times New Roman"/>
          <w:sz w:val="24"/>
          <w:szCs w:val="24"/>
        </w:rPr>
        <w:t>, N</w:t>
      </w:r>
      <w:r w:rsidR="00932758">
        <w:rPr>
          <w:rFonts w:ascii="Calibri" w:eastAsia="Times New Roman" w:hAnsi="Calibri" w:cs="Times New Roman"/>
          <w:sz w:val="24"/>
          <w:szCs w:val="24"/>
        </w:rPr>
        <w:t>o. 242</w:t>
      </w:r>
      <w:r w:rsidRPr="003716E1">
        <w:rPr>
          <w:rFonts w:ascii="Calibri" w:eastAsia="Times New Roman" w:hAnsi="Calibri" w:cs="Times New Roman"/>
          <w:sz w:val="24"/>
          <w:szCs w:val="24"/>
        </w:rPr>
        <w:t xml:space="preserve">, pages </w:t>
      </w:r>
      <w:r w:rsidR="00932758">
        <w:rPr>
          <w:rFonts w:ascii="Calibri" w:eastAsia="Times New Roman" w:hAnsi="Calibri" w:cs="Times New Roman"/>
          <w:sz w:val="24"/>
          <w:szCs w:val="24"/>
        </w:rPr>
        <w:t>78736</w:t>
      </w:r>
      <w:r w:rsidRPr="003716E1">
        <w:rPr>
          <w:rFonts w:ascii="Calibri" w:eastAsia="Times New Roman" w:hAnsi="Calibri" w:cs="Times New Roman"/>
          <w:sz w:val="24"/>
          <w:szCs w:val="24"/>
        </w:rPr>
        <w:t>-</w:t>
      </w:r>
      <w:r w:rsidR="00932758">
        <w:rPr>
          <w:rFonts w:ascii="Calibri" w:eastAsia="Times New Roman" w:hAnsi="Calibri" w:cs="Times New Roman"/>
          <w:sz w:val="24"/>
          <w:szCs w:val="24"/>
        </w:rPr>
        <w:t>78737</w:t>
      </w:r>
      <w:r w:rsidRPr="003716E1">
        <w:rPr>
          <w:rFonts w:ascii="Calibri" w:eastAsia="Times New Roman" w:hAnsi="Calibri" w:cs="Times New Roman"/>
          <w:sz w:val="24"/>
          <w:szCs w:val="24"/>
        </w:rPr>
        <w:t xml:space="preserve">) </w:t>
      </w:r>
      <w:r w:rsidRPr="003716E1">
        <w:rPr>
          <w:rFonts w:ascii="Calibri" w:eastAsia="Times New Roman" w:hAnsi="Calibri" w:cs="Times New Roman"/>
          <w:b/>
          <w:sz w:val="24"/>
          <w:szCs w:val="24"/>
        </w:rPr>
        <w:t>(Attachment B)</w:t>
      </w:r>
      <w:r w:rsidR="00932758">
        <w:rPr>
          <w:rFonts w:ascii="Calibri" w:eastAsia="Times New Roman" w:hAnsi="Calibri" w:cs="Times New Roman"/>
          <w:sz w:val="24"/>
          <w:szCs w:val="24"/>
        </w:rPr>
        <w:t>. Public comments were not received in response to the 60-day Federal Register Notice.</w:t>
      </w:r>
    </w:p>
    <w:p w14:paraId="56707E39" w14:textId="77777777" w:rsidR="00932758" w:rsidRPr="00932758" w:rsidRDefault="00932758" w:rsidP="003716E1">
      <w:pPr>
        <w:autoSpaceDE w:val="0"/>
        <w:autoSpaceDN w:val="0"/>
        <w:adjustRightInd w:val="0"/>
        <w:spacing w:after="0" w:line="240" w:lineRule="auto"/>
        <w:rPr>
          <w:rFonts w:ascii="Calibri" w:eastAsia="Times New Roman" w:hAnsi="Calibri" w:cs="Times New Roman"/>
          <w:sz w:val="24"/>
          <w:szCs w:val="24"/>
        </w:rPr>
      </w:pPr>
    </w:p>
    <w:p w14:paraId="34A7308B" w14:textId="77777777" w:rsidR="003716E1" w:rsidRPr="003716E1" w:rsidRDefault="003716E1" w:rsidP="003716E1">
      <w:pPr>
        <w:tabs>
          <w:tab w:val="left" w:pos="0"/>
          <w:tab w:val="left" w:pos="741"/>
          <w:tab w:val="left" w:pos="1140"/>
          <w:tab w:val="left" w:pos="2876"/>
          <w:tab w:val="left" w:pos="3835"/>
          <w:tab w:val="left" w:pos="4794"/>
          <w:tab w:val="left" w:pos="5754"/>
          <w:tab w:val="left" w:pos="6712"/>
          <w:tab w:val="left" w:pos="7671"/>
          <w:tab w:val="left" w:pos="8630"/>
        </w:tabs>
        <w:autoSpaceDE w:val="0"/>
        <w:autoSpaceDN w:val="0"/>
        <w:adjustRightInd w:val="0"/>
        <w:spacing w:after="0" w:line="240" w:lineRule="auto"/>
        <w:ind w:left="1915" w:hanging="1915"/>
        <w:rPr>
          <w:rFonts w:ascii="Calibri" w:eastAsia="Times New Roman" w:hAnsi="Calibri" w:cs="Times New Roman"/>
          <w:b/>
          <w:bCs/>
          <w:sz w:val="24"/>
          <w:szCs w:val="24"/>
        </w:rPr>
      </w:pPr>
      <w:r w:rsidRPr="003716E1">
        <w:rPr>
          <w:rFonts w:ascii="Calibri" w:eastAsia="Times New Roman" w:hAnsi="Calibri" w:cs="Times New Roman"/>
          <w:sz w:val="24"/>
          <w:szCs w:val="24"/>
        </w:rPr>
        <w:tab/>
      </w:r>
      <w:r w:rsidRPr="003716E1">
        <w:rPr>
          <w:rFonts w:ascii="Calibri" w:eastAsia="Times New Roman" w:hAnsi="Calibri" w:cs="Times New Roman"/>
          <w:b/>
          <w:sz w:val="24"/>
          <w:szCs w:val="24"/>
        </w:rPr>
        <w:t>B</w:t>
      </w:r>
      <w:r w:rsidRPr="003716E1">
        <w:rPr>
          <w:rFonts w:ascii="Calibri" w:eastAsia="Times New Roman" w:hAnsi="Calibri" w:cs="Times New Roman"/>
          <w:b/>
          <w:bCs/>
          <w:sz w:val="24"/>
          <w:szCs w:val="24"/>
        </w:rPr>
        <w:t>.</w:t>
      </w:r>
      <w:r w:rsidRPr="003716E1">
        <w:rPr>
          <w:rFonts w:ascii="Calibri" w:eastAsia="Times New Roman" w:hAnsi="Calibri" w:cs="Times New Roman"/>
          <w:b/>
          <w:bCs/>
          <w:sz w:val="24"/>
          <w:szCs w:val="24"/>
        </w:rPr>
        <w:tab/>
        <w:t>Consultation Inside/Outside the Agency</w:t>
      </w:r>
    </w:p>
    <w:p w14:paraId="0CFE0430" w14:textId="77777777" w:rsidR="003716E1" w:rsidRPr="003716E1" w:rsidRDefault="003716E1" w:rsidP="003716E1">
      <w:pPr>
        <w:tabs>
          <w:tab w:val="left" w:pos="0"/>
          <w:tab w:val="left" w:pos="958"/>
          <w:tab w:val="left" w:pos="1917"/>
          <w:tab w:val="left" w:pos="2876"/>
          <w:tab w:val="left" w:pos="3835"/>
          <w:tab w:val="left" w:pos="4794"/>
          <w:tab w:val="left" w:pos="5754"/>
          <w:tab w:val="left" w:pos="6712"/>
          <w:tab w:val="left" w:pos="7671"/>
          <w:tab w:val="left" w:pos="8630"/>
        </w:tabs>
        <w:autoSpaceDE w:val="0"/>
        <w:autoSpaceDN w:val="0"/>
        <w:adjustRightInd w:val="0"/>
        <w:spacing w:after="0" w:line="240" w:lineRule="auto"/>
        <w:ind w:left="1915" w:hanging="1915"/>
        <w:rPr>
          <w:rFonts w:ascii="Calibri" w:eastAsia="Times New Roman" w:hAnsi="Calibri" w:cs="Times New Roman"/>
          <w:sz w:val="24"/>
          <w:szCs w:val="24"/>
        </w:rPr>
      </w:pPr>
    </w:p>
    <w:p w14:paraId="07F3680D" w14:textId="655BC94F" w:rsidR="003716E1" w:rsidRPr="003716E1" w:rsidRDefault="003716E1" w:rsidP="003716E1">
      <w:pPr>
        <w:tabs>
          <w:tab w:val="left" w:pos="0"/>
          <w:tab w:val="left" w:pos="958"/>
          <w:tab w:val="left" w:pos="1917"/>
          <w:tab w:val="left" w:pos="2876"/>
          <w:tab w:val="left" w:pos="3835"/>
          <w:tab w:val="left" w:pos="4794"/>
          <w:tab w:val="left" w:pos="5754"/>
          <w:tab w:val="left" w:pos="6712"/>
          <w:tab w:val="left" w:pos="7671"/>
          <w:tab w:val="left" w:pos="863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NIOSH conducted meetings with stakeholders and obtained feedback which has been used as input in the development of the M</w:t>
      </w:r>
      <w:r w:rsidR="00AA59C9">
        <w:rPr>
          <w:rFonts w:ascii="Calibri" w:eastAsia="Times New Roman" w:hAnsi="Calibri" w:cs="Times New Roman"/>
          <w:sz w:val="24"/>
          <w:szCs w:val="24"/>
        </w:rPr>
        <w:t>IWS.</w:t>
      </w:r>
      <w:r w:rsidRPr="003716E1">
        <w:rPr>
          <w:rFonts w:ascii="Calibri" w:eastAsia="Times New Roman" w:hAnsi="Calibri" w:cs="Times New Roman"/>
          <w:sz w:val="24"/>
          <w:szCs w:val="24"/>
        </w:rPr>
        <w:t xml:space="preserve"> These meetings were conducted over the course of several months in person or via telephone. The stakeholder meetings were held to collect information on the needs for statistical data on the mining population and operational issues that might be encountered during its collection. Prior to conducting the meetings, several items were characterized as discussion points. These included a listing of potential employee and mine</w:t>
      </w:r>
      <w:r w:rsidR="00C37FF9">
        <w:rPr>
          <w:rFonts w:ascii="Calibri" w:eastAsia="Times New Roman" w:hAnsi="Calibri" w:cs="Times New Roman"/>
          <w:sz w:val="24"/>
          <w:szCs w:val="24"/>
        </w:rPr>
        <w:t>-</w:t>
      </w:r>
      <w:r w:rsidRPr="003716E1">
        <w:rPr>
          <w:rFonts w:ascii="Calibri" w:eastAsia="Times New Roman" w:hAnsi="Calibri" w:cs="Times New Roman"/>
          <w:sz w:val="24"/>
          <w:szCs w:val="24"/>
        </w:rPr>
        <w:t>level variables, phases of survey implementation, and stratification categories. With respect to survey variables, stakeholders were asked about the utility of the variables and the feasibility of their collection. Ultimately, it became clear that the stakeholders’ data needs required collection of data for two distinct units</w:t>
      </w:r>
      <w:r w:rsidR="00693172">
        <w:rPr>
          <w:rFonts w:ascii="Calibri" w:eastAsia="Times New Roman" w:hAnsi="Calibri" w:cs="Times New Roman"/>
          <w:sz w:val="24"/>
          <w:szCs w:val="24"/>
        </w:rPr>
        <w:t>—</w:t>
      </w:r>
      <w:r w:rsidRPr="003716E1">
        <w:rPr>
          <w:rFonts w:ascii="Calibri" w:eastAsia="Times New Roman" w:hAnsi="Calibri" w:cs="Times New Roman"/>
          <w:sz w:val="24"/>
          <w:szCs w:val="24"/>
        </w:rPr>
        <w:t>mines</w:t>
      </w:r>
      <w:r w:rsidR="00595774">
        <w:rPr>
          <w:rFonts w:ascii="Calibri" w:eastAsia="Times New Roman" w:hAnsi="Calibri" w:cs="Times New Roman"/>
          <w:sz w:val="24"/>
          <w:szCs w:val="24"/>
        </w:rPr>
        <w:t xml:space="preserve"> (e.g., work schedules and safety training)</w:t>
      </w:r>
      <w:r w:rsidRPr="003716E1">
        <w:rPr>
          <w:rFonts w:ascii="Calibri" w:eastAsia="Times New Roman" w:hAnsi="Calibri" w:cs="Times New Roman"/>
          <w:sz w:val="24"/>
          <w:szCs w:val="24"/>
        </w:rPr>
        <w:t xml:space="preserve"> and </w:t>
      </w:r>
      <w:r w:rsidR="00693172">
        <w:rPr>
          <w:rFonts w:ascii="Calibri" w:eastAsia="Times New Roman" w:hAnsi="Calibri" w:cs="Times New Roman"/>
          <w:sz w:val="24"/>
          <w:szCs w:val="24"/>
        </w:rPr>
        <w:t xml:space="preserve">mine </w:t>
      </w:r>
      <w:r w:rsidRPr="003716E1">
        <w:rPr>
          <w:rFonts w:ascii="Calibri" w:eastAsia="Times New Roman" w:hAnsi="Calibri" w:cs="Times New Roman"/>
          <w:sz w:val="24"/>
          <w:szCs w:val="24"/>
        </w:rPr>
        <w:t>employees</w:t>
      </w:r>
      <w:r w:rsidR="00595774">
        <w:rPr>
          <w:rFonts w:ascii="Calibri" w:eastAsia="Times New Roman" w:hAnsi="Calibri" w:cs="Times New Roman"/>
          <w:sz w:val="24"/>
          <w:szCs w:val="24"/>
        </w:rPr>
        <w:t xml:space="preserve"> (e.g., demographic and occupational variables</w:t>
      </w:r>
      <w:r w:rsidR="00693172">
        <w:rPr>
          <w:rFonts w:ascii="Calibri" w:eastAsia="Times New Roman" w:hAnsi="Calibri" w:cs="Times New Roman"/>
          <w:sz w:val="24"/>
          <w:szCs w:val="24"/>
        </w:rPr>
        <w:t>).</w:t>
      </w:r>
      <w:r w:rsidR="00595774">
        <w:rPr>
          <w:rFonts w:ascii="Calibri" w:eastAsia="Times New Roman" w:hAnsi="Calibri" w:cs="Times New Roman"/>
          <w:sz w:val="24"/>
          <w:szCs w:val="24"/>
        </w:rPr>
        <w:t xml:space="preserve"> </w:t>
      </w:r>
      <w:r w:rsidR="00693172">
        <w:rPr>
          <w:rFonts w:ascii="Calibri" w:eastAsia="Times New Roman" w:hAnsi="Calibri" w:cs="Times New Roman"/>
          <w:sz w:val="24"/>
          <w:szCs w:val="24"/>
        </w:rPr>
        <w:t>This approach allows for</w:t>
      </w:r>
      <w:r w:rsidR="00595774">
        <w:rPr>
          <w:rFonts w:ascii="Calibri" w:eastAsia="Times New Roman" w:hAnsi="Calibri" w:cs="Times New Roman"/>
          <w:sz w:val="24"/>
          <w:szCs w:val="24"/>
        </w:rPr>
        <w:t xml:space="preserve"> the calculation of injury and illness rates for various subgroups</w:t>
      </w:r>
      <w:r w:rsidRPr="003716E1">
        <w:rPr>
          <w:rFonts w:ascii="Calibri" w:eastAsia="Times New Roman" w:hAnsi="Calibri" w:cs="Times New Roman"/>
          <w:sz w:val="24"/>
          <w:szCs w:val="24"/>
        </w:rPr>
        <w:t>.</w:t>
      </w:r>
      <w:r w:rsidR="00595774">
        <w:rPr>
          <w:rFonts w:ascii="Calibri" w:eastAsia="Times New Roman" w:hAnsi="Calibri" w:cs="Times New Roman"/>
          <w:sz w:val="24"/>
          <w:szCs w:val="24"/>
        </w:rPr>
        <w:t xml:space="preserve">  </w:t>
      </w:r>
    </w:p>
    <w:p w14:paraId="1FEB808F" w14:textId="77777777" w:rsidR="003716E1" w:rsidRPr="003716E1" w:rsidRDefault="003716E1" w:rsidP="003716E1">
      <w:pPr>
        <w:tabs>
          <w:tab w:val="left" w:pos="0"/>
          <w:tab w:val="left" w:pos="958"/>
          <w:tab w:val="left" w:pos="1917"/>
          <w:tab w:val="left" w:pos="2876"/>
          <w:tab w:val="left" w:pos="3835"/>
          <w:tab w:val="left" w:pos="4794"/>
          <w:tab w:val="left" w:pos="5754"/>
          <w:tab w:val="left" w:pos="6712"/>
          <w:tab w:val="left" w:pos="7671"/>
          <w:tab w:val="left" w:pos="8630"/>
        </w:tabs>
        <w:autoSpaceDE w:val="0"/>
        <w:autoSpaceDN w:val="0"/>
        <w:adjustRightInd w:val="0"/>
        <w:spacing w:after="0" w:line="240" w:lineRule="auto"/>
        <w:rPr>
          <w:rFonts w:ascii="Calibri" w:eastAsia="Times New Roman" w:hAnsi="Calibri" w:cs="Times New Roman"/>
          <w:sz w:val="24"/>
          <w:szCs w:val="24"/>
        </w:rPr>
      </w:pPr>
    </w:p>
    <w:p w14:paraId="28AFAC84" w14:textId="7D8CC7B2" w:rsidR="003716E1" w:rsidRPr="003716E1" w:rsidRDefault="003716E1" w:rsidP="003716E1">
      <w:pPr>
        <w:tabs>
          <w:tab w:val="left" w:pos="0"/>
          <w:tab w:val="left" w:pos="958"/>
          <w:tab w:val="left" w:pos="1917"/>
          <w:tab w:val="left" w:pos="2876"/>
          <w:tab w:val="left" w:pos="3835"/>
          <w:tab w:val="left" w:pos="4794"/>
          <w:tab w:val="left" w:pos="5754"/>
          <w:tab w:val="left" w:pos="6712"/>
          <w:tab w:val="left" w:pos="7671"/>
          <w:tab w:val="left" w:pos="863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 following individuals and organizations participated in the stakeholder meetings and consultations:</w:t>
      </w:r>
    </w:p>
    <w:p w14:paraId="767A1120" w14:textId="18292DEF" w:rsidR="003716E1" w:rsidRDefault="003716E1" w:rsidP="00CA2955">
      <w:pPr>
        <w:autoSpaceDE w:val="0"/>
        <w:autoSpaceDN w:val="0"/>
        <w:adjustRightInd w:val="0"/>
        <w:spacing w:after="0" w:line="240" w:lineRule="auto"/>
        <w:rPr>
          <w:rFonts w:ascii="Calibri" w:eastAsia="Times New Roman" w:hAnsi="Calibri" w:cs="Times New Roman"/>
          <w:sz w:val="24"/>
          <w:szCs w:val="24"/>
          <w:lang w:val="en-CA"/>
        </w:rPr>
      </w:pPr>
    </w:p>
    <w:p w14:paraId="7B4B0440" w14:textId="77777777" w:rsidR="005C79E0" w:rsidRPr="003716E1" w:rsidRDefault="005C79E0" w:rsidP="00CA2955">
      <w:pPr>
        <w:rPr>
          <w:rFonts w:ascii="Calibri" w:eastAsia="Times New Roman" w:hAnsi="Calibri" w:cs="Times New Roman"/>
          <w:sz w:val="24"/>
          <w:szCs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4050"/>
        <w:gridCol w:w="2340"/>
      </w:tblGrid>
      <w:tr w:rsidR="003716E1" w:rsidRPr="00070FD2" w14:paraId="3D0EC307" w14:textId="77777777" w:rsidTr="00CA2955">
        <w:tc>
          <w:tcPr>
            <w:tcW w:w="2875" w:type="dxa"/>
            <w:shd w:val="clear" w:color="auto" w:fill="D9D9D9"/>
            <w:vAlign w:val="bottom"/>
          </w:tcPr>
          <w:p w14:paraId="68ADE8D0"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Agency/Organization</w:t>
            </w:r>
          </w:p>
        </w:tc>
        <w:tc>
          <w:tcPr>
            <w:tcW w:w="4050" w:type="dxa"/>
            <w:shd w:val="clear" w:color="auto" w:fill="D9D9D9"/>
            <w:vAlign w:val="bottom"/>
          </w:tcPr>
          <w:p w14:paraId="72C9562A"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Contact Name</w:t>
            </w:r>
          </w:p>
        </w:tc>
        <w:tc>
          <w:tcPr>
            <w:tcW w:w="2340" w:type="dxa"/>
            <w:shd w:val="clear" w:color="auto" w:fill="D9D9D9"/>
            <w:vAlign w:val="bottom"/>
          </w:tcPr>
          <w:p w14:paraId="30FB8AF6"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Location/Date of Meeting</w:t>
            </w:r>
          </w:p>
        </w:tc>
      </w:tr>
      <w:tr w:rsidR="003716E1" w:rsidRPr="00070FD2" w14:paraId="7A9870E7" w14:textId="77777777" w:rsidTr="00CA2955">
        <w:tc>
          <w:tcPr>
            <w:tcW w:w="2875" w:type="dxa"/>
            <w:shd w:val="clear" w:color="auto" w:fill="auto"/>
          </w:tcPr>
          <w:p w14:paraId="7A5CBE34" w14:textId="77777777" w:rsidR="003716E1" w:rsidRPr="00CA2955" w:rsidRDefault="003716E1" w:rsidP="003716E1">
            <w:pPr>
              <w:autoSpaceDE w:val="0"/>
              <w:autoSpaceDN w:val="0"/>
              <w:adjustRightInd w:val="0"/>
              <w:spacing w:after="0" w:line="240" w:lineRule="auto"/>
              <w:jc w:val="center"/>
              <w:rPr>
                <w:sz w:val="24"/>
              </w:rPr>
            </w:pPr>
            <w:r w:rsidRPr="00CA2955">
              <w:rPr>
                <w:sz w:val="24"/>
              </w:rPr>
              <w:t>NIOSH/Office of Mine Safety and Health Research (OMSHR)</w:t>
            </w:r>
          </w:p>
        </w:tc>
        <w:tc>
          <w:tcPr>
            <w:tcW w:w="4050" w:type="dxa"/>
            <w:shd w:val="clear" w:color="auto" w:fill="auto"/>
          </w:tcPr>
          <w:p w14:paraId="52F9C8DA"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Jeffery Kohler</w:t>
            </w:r>
          </w:p>
          <w:p w14:paraId="539B25B1" w14:textId="77777777" w:rsidR="003716E1" w:rsidRPr="00CA2955" w:rsidRDefault="003716E1" w:rsidP="003716E1">
            <w:pPr>
              <w:autoSpaceDE w:val="0"/>
              <w:autoSpaceDN w:val="0"/>
              <w:adjustRightInd w:val="0"/>
              <w:spacing w:after="0" w:line="240" w:lineRule="auto"/>
              <w:jc w:val="center"/>
              <w:rPr>
                <w:sz w:val="24"/>
              </w:rPr>
            </w:pPr>
            <w:r w:rsidRPr="00CA2955">
              <w:rPr>
                <w:sz w:val="24"/>
              </w:rPr>
              <w:t>Former NIOSH Associate Director for Mining</w:t>
            </w:r>
          </w:p>
        </w:tc>
        <w:tc>
          <w:tcPr>
            <w:tcW w:w="2340" w:type="dxa"/>
            <w:shd w:val="clear" w:color="auto" w:fill="auto"/>
          </w:tcPr>
          <w:p w14:paraId="0201D09F" w14:textId="77777777" w:rsidR="003716E1" w:rsidRPr="00CA2955" w:rsidRDefault="003716E1" w:rsidP="003716E1">
            <w:pPr>
              <w:autoSpaceDE w:val="0"/>
              <w:autoSpaceDN w:val="0"/>
              <w:adjustRightInd w:val="0"/>
              <w:spacing w:after="0" w:line="240" w:lineRule="auto"/>
              <w:jc w:val="center"/>
              <w:rPr>
                <w:sz w:val="24"/>
              </w:rPr>
            </w:pPr>
            <w:r w:rsidRPr="00CA2955">
              <w:rPr>
                <w:sz w:val="24"/>
              </w:rPr>
              <w:t>Pittsburgh, PA</w:t>
            </w:r>
          </w:p>
          <w:p w14:paraId="1AAD04A8" w14:textId="77777777" w:rsidR="003716E1" w:rsidRPr="00CA2955" w:rsidRDefault="003716E1" w:rsidP="003716E1">
            <w:pPr>
              <w:autoSpaceDE w:val="0"/>
              <w:autoSpaceDN w:val="0"/>
              <w:adjustRightInd w:val="0"/>
              <w:spacing w:after="0" w:line="240" w:lineRule="auto"/>
              <w:jc w:val="center"/>
              <w:rPr>
                <w:sz w:val="24"/>
              </w:rPr>
            </w:pPr>
            <w:r w:rsidRPr="00CA2955">
              <w:rPr>
                <w:sz w:val="24"/>
              </w:rPr>
              <w:t>June 2014</w:t>
            </w:r>
          </w:p>
        </w:tc>
      </w:tr>
      <w:tr w:rsidR="003716E1" w:rsidRPr="00070FD2" w14:paraId="43AC2F1A" w14:textId="77777777" w:rsidTr="00CA2955">
        <w:tc>
          <w:tcPr>
            <w:tcW w:w="2875" w:type="dxa"/>
            <w:shd w:val="clear" w:color="auto" w:fill="auto"/>
          </w:tcPr>
          <w:p w14:paraId="453056E3" w14:textId="77777777" w:rsidR="003716E1" w:rsidRPr="00CA2955" w:rsidRDefault="003716E1" w:rsidP="003716E1">
            <w:pPr>
              <w:autoSpaceDE w:val="0"/>
              <w:autoSpaceDN w:val="0"/>
              <w:adjustRightInd w:val="0"/>
              <w:spacing w:after="0" w:line="240" w:lineRule="auto"/>
              <w:jc w:val="center"/>
              <w:rPr>
                <w:sz w:val="24"/>
              </w:rPr>
            </w:pPr>
            <w:r w:rsidRPr="00CA2955">
              <w:rPr>
                <w:sz w:val="24"/>
              </w:rPr>
              <w:t>NIOSH/Office of Mine Safety and Health Research (OMSHR)</w:t>
            </w:r>
          </w:p>
        </w:tc>
        <w:tc>
          <w:tcPr>
            <w:tcW w:w="4050" w:type="dxa"/>
            <w:shd w:val="clear" w:color="auto" w:fill="auto"/>
          </w:tcPr>
          <w:p w14:paraId="6A821DCD"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Susan Moore</w:t>
            </w:r>
          </w:p>
          <w:p w14:paraId="1CBE2B6C" w14:textId="62FB0D38" w:rsidR="003716E1" w:rsidRPr="00CA2955" w:rsidRDefault="00BD409F" w:rsidP="003716E1">
            <w:pPr>
              <w:autoSpaceDE w:val="0"/>
              <w:autoSpaceDN w:val="0"/>
              <w:adjustRightInd w:val="0"/>
              <w:spacing w:after="0" w:line="240" w:lineRule="auto"/>
              <w:jc w:val="center"/>
              <w:rPr>
                <w:sz w:val="24"/>
              </w:rPr>
            </w:pPr>
            <w:r>
              <w:rPr>
                <w:sz w:val="24"/>
              </w:rPr>
              <w:t xml:space="preserve">Former </w:t>
            </w:r>
            <w:r w:rsidR="003716E1" w:rsidRPr="00CA2955">
              <w:rPr>
                <w:sz w:val="24"/>
              </w:rPr>
              <w:t>Director, OMSHR Division of Mining Science and Technology</w:t>
            </w:r>
          </w:p>
          <w:p w14:paraId="4694A1EE" w14:textId="77777777" w:rsidR="003716E1" w:rsidRPr="00CA2955" w:rsidRDefault="003716E1" w:rsidP="003716E1">
            <w:pPr>
              <w:autoSpaceDE w:val="0"/>
              <w:autoSpaceDN w:val="0"/>
              <w:adjustRightInd w:val="0"/>
              <w:spacing w:after="0" w:line="240" w:lineRule="auto"/>
              <w:jc w:val="center"/>
              <w:rPr>
                <w:sz w:val="24"/>
              </w:rPr>
            </w:pPr>
            <w:r w:rsidRPr="00CA2955">
              <w:rPr>
                <w:sz w:val="24"/>
              </w:rPr>
              <w:t>412-386-6613</w:t>
            </w:r>
          </w:p>
          <w:p w14:paraId="4F14FD2E" w14:textId="77777777" w:rsidR="003716E1" w:rsidRPr="00CA2955" w:rsidRDefault="003716E1" w:rsidP="003716E1">
            <w:pPr>
              <w:autoSpaceDE w:val="0"/>
              <w:autoSpaceDN w:val="0"/>
              <w:adjustRightInd w:val="0"/>
              <w:spacing w:after="0" w:line="240" w:lineRule="auto"/>
              <w:jc w:val="center"/>
              <w:rPr>
                <w:sz w:val="24"/>
              </w:rPr>
            </w:pPr>
            <w:r w:rsidRPr="00CA2955">
              <w:rPr>
                <w:sz w:val="24"/>
              </w:rPr>
              <w:t>SMMoore@cdc.gov</w:t>
            </w:r>
          </w:p>
        </w:tc>
        <w:tc>
          <w:tcPr>
            <w:tcW w:w="2340" w:type="dxa"/>
            <w:shd w:val="clear" w:color="auto" w:fill="auto"/>
          </w:tcPr>
          <w:p w14:paraId="73419FC1" w14:textId="77777777" w:rsidR="003716E1" w:rsidRPr="00CA2955" w:rsidRDefault="003716E1" w:rsidP="003716E1">
            <w:pPr>
              <w:autoSpaceDE w:val="0"/>
              <w:autoSpaceDN w:val="0"/>
              <w:adjustRightInd w:val="0"/>
              <w:spacing w:after="0" w:line="240" w:lineRule="auto"/>
              <w:jc w:val="center"/>
              <w:rPr>
                <w:sz w:val="24"/>
              </w:rPr>
            </w:pPr>
            <w:r w:rsidRPr="00CA2955">
              <w:rPr>
                <w:sz w:val="24"/>
              </w:rPr>
              <w:t>Pittsburgh, PA</w:t>
            </w:r>
          </w:p>
          <w:p w14:paraId="379AAB58" w14:textId="77777777" w:rsidR="003716E1" w:rsidRPr="00CA2955" w:rsidRDefault="003716E1" w:rsidP="003716E1">
            <w:pPr>
              <w:autoSpaceDE w:val="0"/>
              <w:autoSpaceDN w:val="0"/>
              <w:adjustRightInd w:val="0"/>
              <w:spacing w:after="0" w:line="240" w:lineRule="auto"/>
              <w:jc w:val="center"/>
              <w:rPr>
                <w:sz w:val="24"/>
              </w:rPr>
            </w:pPr>
            <w:r w:rsidRPr="00CA2955">
              <w:rPr>
                <w:sz w:val="24"/>
              </w:rPr>
              <w:t>June 2014</w:t>
            </w:r>
          </w:p>
        </w:tc>
      </w:tr>
      <w:tr w:rsidR="003716E1" w:rsidRPr="00070FD2" w14:paraId="374C2501" w14:textId="77777777" w:rsidTr="00CA2955">
        <w:tc>
          <w:tcPr>
            <w:tcW w:w="2875" w:type="dxa"/>
            <w:shd w:val="clear" w:color="auto" w:fill="auto"/>
          </w:tcPr>
          <w:p w14:paraId="3F97D402" w14:textId="77777777" w:rsidR="003716E1" w:rsidRPr="00CA2955" w:rsidRDefault="003716E1" w:rsidP="003716E1">
            <w:pPr>
              <w:autoSpaceDE w:val="0"/>
              <w:autoSpaceDN w:val="0"/>
              <w:adjustRightInd w:val="0"/>
              <w:spacing w:after="0" w:line="240" w:lineRule="auto"/>
              <w:jc w:val="center"/>
              <w:rPr>
                <w:sz w:val="24"/>
              </w:rPr>
            </w:pPr>
            <w:r w:rsidRPr="00CA2955">
              <w:rPr>
                <w:sz w:val="24"/>
              </w:rPr>
              <w:t>Mine Safety and Health Research Advisory Committee (MSHRAC)</w:t>
            </w:r>
          </w:p>
        </w:tc>
        <w:tc>
          <w:tcPr>
            <w:tcW w:w="4050" w:type="dxa"/>
            <w:shd w:val="clear" w:color="auto" w:fill="auto"/>
          </w:tcPr>
          <w:p w14:paraId="3EAD2938"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Marie Chovanec</w:t>
            </w:r>
          </w:p>
          <w:p w14:paraId="141310AE" w14:textId="77777777" w:rsidR="003716E1" w:rsidRPr="00CA2955" w:rsidRDefault="003716E1" w:rsidP="003716E1">
            <w:pPr>
              <w:autoSpaceDE w:val="0"/>
              <w:autoSpaceDN w:val="0"/>
              <w:adjustRightInd w:val="0"/>
              <w:spacing w:after="0" w:line="240" w:lineRule="auto"/>
              <w:jc w:val="center"/>
              <w:rPr>
                <w:sz w:val="24"/>
              </w:rPr>
            </w:pPr>
            <w:r w:rsidRPr="00CA2955">
              <w:rPr>
                <w:sz w:val="24"/>
              </w:rPr>
              <w:t>Interface between OMSHR and MSHRAC members</w:t>
            </w:r>
          </w:p>
          <w:p w14:paraId="3A7393B1" w14:textId="77777777" w:rsidR="003716E1" w:rsidRPr="00CA2955" w:rsidRDefault="003716E1" w:rsidP="003716E1">
            <w:pPr>
              <w:autoSpaceDE w:val="0"/>
              <w:autoSpaceDN w:val="0"/>
              <w:adjustRightInd w:val="0"/>
              <w:spacing w:after="0" w:line="240" w:lineRule="auto"/>
              <w:jc w:val="center"/>
              <w:rPr>
                <w:sz w:val="24"/>
              </w:rPr>
            </w:pPr>
            <w:r w:rsidRPr="00CA2955">
              <w:rPr>
                <w:sz w:val="24"/>
              </w:rPr>
              <w:t>412-386-5302</w:t>
            </w:r>
          </w:p>
          <w:p w14:paraId="7EF5B4C7" w14:textId="77777777" w:rsidR="003716E1" w:rsidRPr="00CA2955" w:rsidRDefault="003716E1" w:rsidP="003716E1">
            <w:pPr>
              <w:autoSpaceDE w:val="0"/>
              <w:autoSpaceDN w:val="0"/>
              <w:adjustRightInd w:val="0"/>
              <w:spacing w:after="0" w:line="240" w:lineRule="auto"/>
              <w:jc w:val="center"/>
              <w:rPr>
                <w:sz w:val="24"/>
              </w:rPr>
            </w:pPr>
            <w:r w:rsidRPr="00CA2955">
              <w:rPr>
                <w:sz w:val="24"/>
              </w:rPr>
              <w:t>MChovanec@cdc.gov</w:t>
            </w:r>
          </w:p>
        </w:tc>
        <w:tc>
          <w:tcPr>
            <w:tcW w:w="2340" w:type="dxa"/>
            <w:shd w:val="clear" w:color="auto" w:fill="auto"/>
          </w:tcPr>
          <w:p w14:paraId="33254170" w14:textId="77777777" w:rsidR="003716E1" w:rsidRPr="00CA2955" w:rsidRDefault="003716E1" w:rsidP="003716E1">
            <w:pPr>
              <w:autoSpaceDE w:val="0"/>
              <w:autoSpaceDN w:val="0"/>
              <w:adjustRightInd w:val="0"/>
              <w:spacing w:after="0" w:line="240" w:lineRule="auto"/>
              <w:jc w:val="center"/>
              <w:rPr>
                <w:sz w:val="24"/>
              </w:rPr>
            </w:pPr>
            <w:r w:rsidRPr="00CA2955">
              <w:rPr>
                <w:sz w:val="24"/>
              </w:rPr>
              <w:t>Pittsburgh, PA                           June 8, 2015</w:t>
            </w:r>
          </w:p>
        </w:tc>
      </w:tr>
      <w:tr w:rsidR="003716E1" w:rsidRPr="00070FD2" w14:paraId="083FC513" w14:textId="77777777" w:rsidTr="00CA2955">
        <w:tc>
          <w:tcPr>
            <w:tcW w:w="2875" w:type="dxa"/>
            <w:shd w:val="clear" w:color="auto" w:fill="auto"/>
          </w:tcPr>
          <w:p w14:paraId="7F345D7E" w14:textId="77777777" w:rsidR="003716E1" w:rsidRPr="00CA2955" w:rsidRDefault="003716E1" w:rsidP="003716E1">
            <w:pPr>
              <w:autoSpaceDE w:val="0"/>
              <w:autoSpaceDN w:val="0"/>
              <w:adjustRightInd w:val="0"/>
              <w:spacing w:after="0" w:line="240" w:lineRule="auto"/>
              <w:jc w:val="center"/>
              <w:rPr>
                <w:sz w:val="24"/>
              </w:rPr>
            </w:pPr>
            <w:r w:rsidRPr="00CA2955">
              <w:rPr>
                <w:sz w:val="24"/>
              </w:rPr>
              <w:t>National Stone, Sand and Gravel Association (NSSGA)</w:t>
            </w:r>
          </w:p>
        </w:tc>
        <w:tc>
          <w:tcPr>
            <w:tcW w:w="4050" w:type="dxa"/>
            <w:shd w:val="clear" w:color="auto" w:fill="auto"/>
          </w:tcPr>
          <w:p w14:paraId="16F3AB94"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Joseph Casper</w:t>
            </w:r>
          </w:p>
          <w:p w14:paraId="1D0A0989" w14:textId="77777777" w:rsidR="003716E1" w:rsidRPr="00CA2955" w:rsidRDefault="003716E1" w:rsidP="003716E1">
            <w:pPr>
              <w:autoSpaceDE w:val="0"/>
              <w:autoSpaceDN w:val="0"/>
              <w:adjustRightInd w:val="0"/>
              <w:spacing w:after="0" w:line="240" w:lineRule="auto"/>
              <w:jc w:val="center"/>
              <w:rPr>
                <w:sz w:val="24"/>
              </w:rPr>
            </w:pPr>
            <w:r w:rsidRPr="00CA2955">
              <w:rPr>
                <w:sz w:val="24"/>
              </w:rPr>
              <w:t>Vice President, Safety Services, NSSGA</w:t>
            </w:r>
          </w:p>
          <w:p w14:paraId="251C8C29" w14:textId="77777777" w:rsidR="003716E1" w:rsidRPr="00CA2955" w:rsidRDefault="003716E1" w:rsidP="003716E1">
            <w:pPr>
              <w:autoSpaceDE w:val="0"/>
              <w:autoSpaceDN w:val="0"/>
              <w:adjustRightInd w:val="0"/>
              <w:spacing w:after="0" w:line="240" w:lineRule="auto"/>
              <w:jc w:val="center"/>
              <w:rPr>
                <w:sz w:val="24"/>
              </w:rPr>
            </w:pPr>
            <w:r w:rsidRPr="00CA2955">
              <w:rPr>
                <w:sz w:val="24"/>
              </w:rPr>
              <w:t>703-526-1074</w:t>
            </w:r>
          </w:p>
          <w:p w14:paraId="5339CDFF" w14:textId="3F9731A8" w:rsidR="003716E1" w:rsidRPr="00CA2955" w:rsidRDefault="003B338F" w:rsidP="003716E1">
            <w:pPr>
              <w:autoSpaceDE w:val="0"/>
              <w:autoSpaceDN w:val="0"/>
              <w:adjustRightInd w:val="0"/>
              <w:spacing w:after="0" w:line="240" w:lineRule="auto"/>
              <w:jc w:val="center"/>
              <w:rPr>
                <w:sz w:val="24"/>
              </w:rPr>
            </w:pPr>
            <w:hyperlink r:id="rId16" w:history="1">
              <w:r w:rsidR="002F191C" w:rsidRPr="00CA2955">
                <w:rPr>
                  <w:rStyle w:val="Hyperlink"/>
                  <w:sz w:val="24"/>
                </w:rPr>
                <w:t>www.nssga.org</w:t>
              </w:r>
            </w:hyperlink>
          </w:p>
        </w:tc>
        <w:tc>
          <w:tcPr>
            <w:tcW w:w="2340" w:type="dxa"/>
            <w:shd w:val="clear" w:color="auto" w:fill="auto"/>
          </w:tcPr>
          <w:p w14:paraId="6BA085F4" w14:textId="77777777" w:rsidR="003716E1" w:rsidRPr="00CA2955" w:rsidRDefault="003716E1" w:rsidP="003716E1">
            <w:pPr>
              <w:autoSpaceDE w:val="0"/>
              <w:autoSpaceDN w:val="0"/>
              <w:adjustRightInd w:val="0"/>
              <w:spacing w:after="0" w:line="240" w:lineRule="auto"/>
              <w:jc w:val="center"/>
              <w:rPr>
                <w:sz w:val="24"/>
              </w:rPr>
            </w:pPr>
            <w:r w:rsidRPr="00CA2955">
              <w:rPr>
                <w:sz w:val="24"/>
              </w:rPr>
              <w:t>Telephone conferences in July 2015</w:t>
            </w:r>
          </w:p>
        </w:tc>
      </w:tr>
      <w:tr w:rsidR="003716E1" w:rsidRPr="00070FD2" w14:paraId="709507D3" w14:textId="77777777" w:rsidTr="00CA2955">
        <w:tc>
          <w:tcPr>
            <w:tcW w:w="2875" w:type="dxa"/>
            <w:shd w:val="clear" w:color="auto" w:fill="auto"/>
          </w:tcPr>
          <w:p w14:paraId="11781EE1" w14:textId="77777777" w:rsidR="003716E1" w:rsidRPr="00CA2955" w:rsidRDefault="003716E1" w:rsidP="003716E1">
            <w:pPr>
              <w:autoSpaceDE w:val="0"/>
              <w:autoSpaceDN w:val="0"/>
              <w:adjustRightInd w:val="0"/>
              <w:spacing w:after="0" w:line="240" w:lineRule="auto"/>
              <w:jc w:val="center"/>
              <w:rPr>
                <w:sz w:val="24"/>
              </w:rPr>
            </w:pPr>
            <w:r w:rsidRPr="00CA2955">
              <w:rPr>
                <w:sz w:val="24"/>
              </w:rPr>
              <w:t>National Stone, Sand and Gravel Association (NSSGA) Safety and Health Committee</w:t>
            </w:r>
          </w:p>
          <w:p w14:paraId="48456153" w14:textId="77777777" w:rsidR="003716E1" w:rsidRPr="00CA2955" w:rsidRDefault="003716E1" w:rsidP="003716E1">
            <w:pPr>
              <w:autoSpaceDE w:val="0"/>
              <w:autoSpaceDN w:val="0"/>
              <w:adjustRightInd w:val="0"/>
              <w:spacing w:after="0" w:line="240" w:lineRule="auto"/>
              <w:jc w:val="center"/>
              <w:rPr>
                <w:sz w:val="24"/>
              </w:rPr>
            </w:pPr>
          </w:p>
        </w:tc>
        <w:tc>
          <w:tcPr>
            <w:tcW w:w="4050" w:type="dxa"/>
            <w:shd w:val="clear" w:color="auto" w:fill="auto"/>
          </w:tcPr>
          <w:p w14:paraId="28B380D9" w14:textId="77777777" w:rsidR="003716E1" w:rsidRPr="00CA2955" w:rsidRDefault="003716E1" w:rsidP="003716E1">
            <w:pPr>
              <w:autoSpaceDE w:val="0"/>
              <w:autoSpaceDN w:val="0"/>
              <w:adjustRightInd w:val="0"/>
              <w:spacing w:after="0" w:line="240" w:lineRule="auto"/>
              <w:jc w:val="center"/>
              <w:rPr>
                <w:b/>
                <w:sz w:val="24"/>
              </w:rPr>
            </w:pPr>
            <w:r w:rsidRPr="00CA2955">
              <w:rPr>
                <w:b/>
                <w:sz w:val="24"/>
              </w:rPr>
              <w:t>Joseph Casper</w:t>
            </w:r>
          </w:p>
          <w:p w14:paraId="0962DA8E" w14:textId="77777777" w:rsidR="003716E1" w:rsidRPr="00CA2955" w:rsidRDefault="003716E1" w:rsidP="003716E1">
            <w:pPr>
              <w:autoSpaceDE w:val="0"/>
              <w:autoSpaceDN w:val="0"/>
              <w:adjustRightInd w:val="0"/>
              <w:spacing w:after="0" w:line="240" w:lineRule="auto"/>
              <w:jc w:val="center"/>
              <w:rPr>
                <w:sz w:val="24"/>
              </w:rPr>
            </w:pPr>
            <w:r w:rsidRPr="00CA2955">
              <w:rPr>
                <w:sz w:val="24"/>
              </w:rPr>
              <w:t>Contact for NSSGA Safety and Health Committee</w:t>
            </w:r>
          </w:p>
          <w:p w14:paraId="30672545" w14:textId="77777777" w:rsidR="003716E1" w:rsidRPr="00CA2955" w:rsidRDefault="003716E1" w:rsidP="003716E1">
            <w:pPr>
              <w:autoSpaceDE w:val="0"/>
              <w:autoSpaceDN w:val="0"/>
              <w:adjustRightInd w:val="0"/>
              <w:spacing w:after="0" w:line="240" w:lineRule="auto"/>
              <w:jc w:val="center"/>
              <w:rPr>
                <w:sz w:val="24"/>
              </w:rPr>
            </w:pPr>
            <w:r w:rsidRPr="00CA2955">
              <w:rPr>
                <w:sz w:val="24"/>
              </w:rPr>
              <w:t>703-526-1074</w:t>
            </w:r>
          </w:p>
          <w:p w14:paraId="000D9DF0" w14:textId="70E2043A" w:rsidR="003716E1" w:rsidRPr="00CA2955" w:rsidRDefault="003B338F" w:rsidP="003716E1">
            <w:pPr>
              <w:autoSpaceDE w:val="0"/>
              <w:autoSpaceDN w:val="0"/>
              <w:adjustRightInd w:val="0"/>
              <w:spacing w:after="0" w:line="240" w:lineRule="auto"/>
              <w:jc w:val="center"/>
              <w:rPr>
                <w:sz w:val="24"/>
              </w:rPr>
            </w:pPr>
            <w:hyperlink r:id="rId17" w:history="1">
              <w:r w:rsidR="002F191C" w:rsidRPr="00CA2955">
                <w:rPr>
                  <w:rStyle w:val="Hyperlink"/>
                  <w:sz w:val="24"/>
                </w:rPr>
                <w:t>www.nssga.org</w:t>
              </w:r>
            </w:hyperlink>
          </w:p>
        </w:tc>
        <w:tc>
          <w:tcPr>
            <w:tcW w:w="2340" w:type="dxa"/>
            <w:shd w:val="clear" w:color="auto" w:fill="auto"/>
          </w:tcPr>
          <w:p w14:paraId="2570B9CF" w14:textId="77777777" w:rsidR="003716E1" w:rsidRPr="00CA2955" w:rsidRDefault="003716E1" w:rsidP="003716E1">
            <w:pPr>
              <w:autoSpaceDE w:val="0"/>
              <w:autoSpaceDN w:val="0"/>
              <w:adjustRightInd w:val="0"/>
              <w:spacing w:after="0" w:line="240" w:lineRule="auto"/>
              <w:jc w:val="center"/>
              <w:rPr>
                <w:sz w:val="24"/>
              </w:rPr>
            </w:pPr>
            <w:r w:rsidRPr="00CA2955">
              <w:rPr>
                <w:sz w:val="24"/>
              </w:rPr>
              <w:t>Washington, DC              September 15, 2015</w:t>
            </w:r>
          </w:p>
        </w:tc>
      </w:tr>
      <w:tr w:rsidR="002766C5" w:rsidRPr="00070FD2" w14:paraId="00F316B4" w14:textId="77777777" w:rsidTr="00CA2955">
        <w:tc>
          <w:tcPr>
            <w:tcW w:w="2875" w:type="dxa"/>
            <w:shd w:val="clear" w:color="auto" w:fill="auto"/>
          </w:tcPr>
          <w:p w14:paraId="421BEE69" w14:textId="6736A360" w:rsidR="002766C5" w:rsidRPr="00CA2955" w:rsidRDefault="002766C5" w:rsidP="003716E1">
            <w:pPr>
              <w:autoSpaceDE w:val="0"/>
              <w:autoSpaceDN w:val="0"/>
              <w:adjustRightInd w:val="0"/>
              <w:spacing w:after="0" w:line="240" w:lineRule="auto"/>
              <w:jc w:val="center"/>
              <w:rPr>
                <w:sz w:val="24"/>
              </w:rPr>
            </w:pPr>
            <w:r w:rsidRPr="00CA2955">
              <w:rPr>
                <w:sz w:val="24"/>
              </w:rPr>
              <w:t>Industrial Mineral Association – North America</w:t>
            </w:r>
          </w:p>
        </w:tc>
        <w:tc>
          <w:tcPr>
            <w:tcW w:w="4050" w:type="dxa"/>
            <w:shd w:val="clear" w:color="auto" w:fill="auto"/>
          </w:tcPr>
          <w:p w14:paraId="29C91EFB" w14:textId="77777777" w:rsidR="002766C5" w:rsidRPr="00CA2955" w:rsidRDefault="002F191C" w:rsidP="003716E1">
            <w:pPr>
              <w:autoSpaceDE w:val="0"/>
              <w:autoSpaceDN w:val="0"/>
              <w:adjustRightInd w:val="0"/>
              <w:spacing w:after="0" w:line="240" w:lineRule="auto"/>
              <w:jc w:val="center"/>
              <w:rPr>
                <w:b/>
                <w:sz w:val="24"/>
              </w:rPr>
            </w:pPr>
            <w:r w:rsidRPr="00CA2955">
              <w:rPr>
                <w:b/>
                <w:sz w:val="24"/>
              </w:rPr>
              <w:t>Darrell K. Smith</w:t>
            </w:r>
          </w:p>
          <w:p w14:paraId="449605D7" w14:textId="7C36E5B7" w:rsidR="002F191C" w:rsidRPr="00CA2955" w:rsidRDefault="002F191C" w:rsidP="003716E1">
            <w:pPr>
              <w:autoSpaceDE w:val="0"/>
              <w:autoSpaceDN w:val="0"/>
              <w:adjustRightInd w:val="0"/>
              <w:spacing w:after="0" w:line="240" w:lineRule="auto"/>
              <w:jc w:val="center"/>
              <w:rPr>
                <w:b/>
                <w:sz w:val="24"/>
              </w:rPr>
            </w:pPr>
            <w:r w:rsidRPr="00CA2955">
              <w:rPr>
                <w:sz w:val="24"/>
              </w:rPr>
              <w:t>Executive Vice President</w:t>
            </w:r>
            <w:r w:rsidRPr="00CA2955">
              <w:rPr>
                <w:sz w:val="24"/>
              </w:rPr>
              <w:br/>
              <w:t>Industrial Minerals Association – North America (IMA-NA)</w:t>
            </w:r>
            <w:r w:rsidRPr="00CA2955">
              <w:rPr>
                <w:sz w:val="24"/>
              </w:rPr>
              <w:br/>
              <w:t>National Industrial Sand Association (NISA)</w:t>
            </w:r>
            <w:r w:rsidRPr="00CA2955">
              <w:rPr>
                <w:sz w:val="24"/>
              </w:rPr>
              <w:br/>
              <w:t>International Diatomite Producers Association (IDPA)</w:t>
            </w:r>
            <w:r w:rsidRPr="00CA2955">
              <w:rPr>
                <w:sz w:val="24"/>
              </w:rPr>
              <w:br/>
              <w:t>2011 Pennsylvania Avenue NW, Suite 301</w:t>
            </w:r>
            <w:r w:rsidRPr="00CA2955">
              <w:rPr>
                <w:sz w:val="24"/>
              </w:rPr>
              <w:br/>
              <w:t>Washington, DC 20006</w:t>
            </w:r>
            <w:r w:rsidRPr="00CA2955">
              <w:rPr>
                <w:sz w:val="24"/>
              </w:rPr>
              <w:br/>
              <w:t>Office: 202-457-0200; Cell/Text: 202-701-3865</w:t>
            </w:r>
          </w:p>
        </w:tc>
        <w:tc>
          <w:tcPr>
            <w:tcW w:w="2340" w:type="dxa"/>
            <w:shd w:val="clear" w:color="auto" w:fill="auto"/>
          </w:tcPr>
          <w:p w14:paraId="4A6ADED3" w14:textId="61179E81" w:rsidR="002766C5" w:rsidRPr="00CA2955" w:rsidRDefault="002F191C" w:rsidP="003716E1">
            <w:pPr>
              <w:autoSpaceDE w:val="0"/>
              <w:autoSpaceDN w:val="0"/>
              <w:adjustRightInd w:val="0"/>
              <w:spacing w:after="0" w:line="240" w:lineRule="auto"/>
              <w:jc w:val="center"/>
              <w:rPr>
                <w:sz w:val="24"/>
              </w:rPr>
            </w:pPr>
            <w:r w:rsidRPr="00CA2955">
              <w:rPr>
                <w:sz w:val="24"/>
              </w:rPr>
              <w:t>Telephone conference in November and December 2015</w:t>
            </w:r>
          </w:p>
        </w:tc>
      </w:tr>
      <w:tr w:rsidR="0032688C" w:rsidRPr="00070FD2" w14:paraId="7EAD68C2" w14:textId="77777777" w:rsidTr="00CA2955">
        <w:tc>
          <w:tcPr>
            <w:tcW w:w="2875" w:type="dxa"/>
            <w:shd w:val="clear" w:color="auto" w:fill="auto"/>
          </w:tcPr>
          <w:p w14:paraId="6BA5F3E4" w14:textId="5D98CE8A" w:rsidR="0032688C" w:rsidRPr="00CA2955" w:rsidRDefault="0032688C" w:rsidP="003716E1">
            <w:pPr>
              <w:autoSpaceDE w:val="0"/>
              <w:autoSpaceDN w:val="0"/>
              <w:adjustRightInd w:val="0"/>
              <w:spacing w:after="0" w:line="240" w:lineRule="auto"/>
              <w:jc w:val="center"/>
              <w:rPr>
                <w:sz w:val="24"/>
              </w:rPr>
            </w:pPr>
            <w:r w:rsidRPr="00CA2955">
              <w:rPr>
                <w:sz w:val="24"/>
              </w:rPr>
              <w:t>National Mining Association</w:t>
            </w:r>
          </w:p>
        </w:tc>
        <w:tc>
          <w:tcPr>
            <w:tcW w:w="4050" w:type="dxa"/>
            <w:shd w:val="clear" w:color="auto" w:fill="auto"/>
          </w:tcPr>
          <w:p w14:paraId="71909312" w14:textId="77777777" w:rsidR="0032688C" w:rsidRPr="00CA2955" w:rsidRDefault="0032688C" w:rsidP="003716E1">
            <w:pPr>
              <w:autoSpaceDE w:val="0"/>
              <w:autoSpaceDN w:val="0"/>
              <w:adjustRightInd w:val="0"/>
              <w:spacing w:after="0" w:line="240" w:lineRule="auto"/>
              <w:jc w:val="center"/>
              <w:rPr>
                <w:b/>
                <w:sz w:val="24"/>
              </w:rPr>
            </w:pPr>
            <w:r w:rsidRPr="00CA2955">
              <w:rPr>
                <w:b/>
                <w:sz w:val="24"/>
              </w:rPr>
              <w:t>Bruce Watzman</w:t>
            </w:r>
          </w:p>
          <w:p w14:paraId="588A540F" w14:textId="52671A0A" w:rsidR="0032688C" w:rsidRPr="00CA2955" w:rsidRDefault="0032688C" w:rsidP="003716E1">
            <w:pPr>
              <w:autoSpaceDE w:val="0"/>
              <w:autoSpaceDN w:val="0"/>
              <w:adjustRightInd w:val="0"/>
              <w:spacing w:after="0" w:line="240" w:lineRule="auto"/>
              <w:jc w:val="center"/>
              <w:rPr>
                <w:sz w:val="24"/>
              </w:rPr>
            </w:pPr>
            <w:r w:rsidRPr="00CA2955">
              <w:rPr>
                <w:sz w:val="24"/>
              </w:rPr>
              <w:t>Senior Vice President, National Mining Association</w:t>
            </w:r>
          </w:p>
        </w:tc>
        <w:tc>
          <w:tcPr>
            <w:tcW w:w="2340" w:type="dxa"/>
            <w:shd w:val="clear" w:color="auto" w:fill="auto"/>
          </w:tcPr>
          <w:p w14:paraId="4DC7A262" w14:textId="585EDF40" w:rsidR="0032688C" w:rsidRPr="00CA2955" w:rsidRDefault="0032688C" w:rsidP="003716E1">
            <w:pPr>
              <w:autoSpaceDE w:val="0"/>
              <w:autoSpaceDN w:val="0"/>
              <w:adjustRightInd w:val="0"/>
              <w:spacing w:after="0" w:line="240" w:lineRule="auto"/>
              <w:jc w:val="center"/>
              <w:rPr>
                <w:sz w:val="24"/>
              </w:rPr>
            </w:pPr>
            <w:r w:rsidRPr="00CA2955">
              <w:rPr>
                <w:sz w:val="24"/>
              </w:rPr>
              <w:t>Telephone conference in June 2016</w:t>
            </w:r>
          </w:p>
        </w:tc>
      </w:tr>
      <w:tr w:rsidR="0032688C" w:rsidRPr="00070FD2" w14:paraId="602B891B" w14:textId="77777777" w:rsidTr="00CA2955">
        <w:trPr>
          <w:trHeight w:val="1349"/>
        </w:trPr>
        <w:tc>
          <w:tcPr>
            <w:tcW w:w="2875" w:type="dxa"/>
            <w:shd w:val="clear" w:color="auto" w:fill="auto"/>
          </w:tcPr>
          <w:p w14:paraId="431434E6" w14:textId="682D1209" w:rsidR="0032688C" w:rsidRPr="00CA2955" w:rsidRDefault="0032688C" w:rsidP="003716E1">
            <w:pPr>
              <w:autoSpaceDE w:val="0"/>
              <w:autoSpaceDN w:val="0"/>
              <w:adjustRightInd w:val="0"/>
              <w:spacing w:after="0" w:line="240" w:lineRule="auto"/>
              <w:jc w:val="center"/>
              <w:rPr>
                <w:sz w:val="24"/>
              </w:rPr>
            </w:pPr>
            <w:r w:rsidRPr="00CA2955">
              <w:rPr>
                <w:sz w:val="24"/>
              </w:rPr>
              <w:t>Industrial Minerals Association – North America</w:t>
            </w:r>
          </w:p>
        </w:tc>
        <w:tc>
          <w:tcPr>
            <w:tcW w:w="4050" w:type="dxa"/>
            <w:shd w:val="clear" w:color="auto" w:fill="auto"/>
          </w:tcPr>
          <w:p w14:paraId="2419E4BF" w14:textId="77777777" w:rsidR="0032688C" w:rsidRPr="00CA2955" w:rsidRDefault="0032688C" w:rsidP="003716E1">
            <w:pPr>
              <w:autoSpaceDE w:val="0"/>
              <w:autoSpaceDN w:val="0"/>
              <w:adjustRightInd w:val="0"/>
              <w:spacing w:after="0" w:line="240" w:lineRule="auto"/>
              <w:jc w:val="center"/>
              <w:rPr>
                <w:b/>
                <w:sz w:val="24"/>
              </w:rPr>
            </w:pPr>
            <w:r w:rsidRPr="00CA2955">
              <w:rPr>
                <w:b/>
                <w:sz w:val="24"/>
              </w:rPr>
              <w:t>Mark Ellis</w:t>
            </w:r>
          </w:p>
          <w:p w14:paraId="1069486F" w14:textId="77777777" w:rsidR="0032688C" w:rsidRPr="00CA2955" w:rsidRDefault="0032688C" w:rsidP="003716E1">
            <w:pPr>
              <w:autoSpaceDE w:val="0"/>
              <w:autoSpaceDN w:val="0"/>
              <w:adjustRightInd w:val="0"/>
              <w:spacing w:after="0" w:line="240" w:lineRule="auto"/>
              <w:jc w:val="center"/>
              <w:rPr>
                <w:sz w:val="24"/>
              </w:rPr>
            </w:pPr>
            <w:r w:rsidRPr="00CA2955">
              <w:rPr>
                <w:sz w:val="24"/>
              </w:rPr>
              <w:t>President</w:t>
            </w:r>
          </w:p>
          <w:p w14:paraId="1852258F" w14:textId="77777777" w:rsidR="0032688C" w:rsidRPr="00CA2955" w:rsidRDefault="0032688C" w:rsidP="003716E1">
            <w:pPr>
              <w:autoSpaceDE w:val="0"/>
              <w:autoSpaceDN w:val="0"/>
              <w:adjustRightInd w:val="0"/>
              <w:spacing w:after="0" w:line="240" w:lineRule="auto"/>
              <w:jc w:val="center"/>
              <w:rPr>
                <w:sz w:val="24"/>
              </w:rPr>
            </w:pPr>
            <w:r w:rsidRPr="00CA2955">
              <w:rPr>
                <w:sz w:val="24"/>
              </w:rPr>
              <w:t>Industrial Minerals Association – North America</w:t>
            </w:r>
          </w:p>
          <w:p w14:paraId="793E2F52" w14:textId="62C76B21" w:rsidR="0000556E" w:rsidRPr="00BC5D5E" w:rsidRDefault="0000556E" w:rsidP="003716E1">
            <w:pPr>
              <w:autoSpaceDE w:val="0"/>
              <w:autoSpaceDN w:val="0"/>
              <w:adjustRightInd w:val="0"/>
              <w:spacing w:after="0" w:line="240" w:lineRule="auto"/>
              <w:jc w:val="center"/>
              <w:rPr>
                <w:rFonts w:eastAsia="Times New Roman" w:cs="Times New Roman"/>
                <w:sz w:val="24"/>
                <w:szCs w:val="24"/>
              </w:rPr>
            </w:pPr>
            <w:r w:rsidRPr="00CA2955">
              <w:rPr>
                <w:sz w:val="24"/>
              </w:rPr>
              <w:t>Industrial Minerals Association - North America (IMA-NA)</w:t>
            </w:r>
            <w:r w:rsidRPr="00CA2955">
              <w:rPr>
                <w:sz w:val="24"/>
              </w:rPr>
              <w:br/>
              <w:t>1200 18th Street NW, Suite 1150</w:t>
            </w:r>
            <w:r w:rsidRPr="00CA2955">
              <w:rPr>
                <w:sz w:val="24"/>
              </w:rPr>
              <w:br/>
              <w:t>Washington, DC 20036</w:t>
            </w:r>
            <w:r w:rsidRPr="00CA2955">
              <w:rPr>
                <w:sz w:val="24"/>
              </w:rPr>
              <w:br/>
              <w:t>Phone: (202) 457-0200 | Fax: (202) 457-0287</w:t>
            </w:r>
          </w:p>
        </w:tc>
        <w:tc>
          <w:tcPr>
            <w:tcW w:w="2340" w:type="dxa"/>
            <w:shd w:val="clear" w:color="auto" w:fill="auto"/>
          </w:tcPr>
          <w:p w14:paraId="61AA5FD6" w14:textId="66CF88F8" w:rsidR="0032688C" w:rsidRPr="00CA2955" w:rsidRDefault="0032688C" w:rsidP="003716E1">
            <w:pPr>
              <w:autoSpaceDE w:val="0"/>
              <w:autoSpaceDN w:val="0"/>
              <w:adjustRightInd w:val="0"/>
              <w:spacing w:after="0" w:line="240" w:lineRule="auto"/>
              <w:jc w:val="center"/>
              <w:rPr>
                <w:sz w:val="24"/>
              </w:rPr>
            </w:pPr>
            <w:r w:rsidRPr="00CA2955">
              <w:rPr>
                <w:sz w:val="24"/>
              </w:rPr>
              <w:t>Telephone conference in June 2016</w:t>
            </w:r>
          </w:p>
        </w:tc>
      </w:tr>
    </w:tbl>
    <w:p w14:paraId="205A1806" w14:textId="320C8405"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4"/>
          <w:szCs w:val="24"/>
          <w:lang w:val="en-CA"/>
        </w:rPr>
      </w:pPr>
    </w:p>
    <w:p w14:paraId="497786B7"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9" w:name="_Toc435798898"/>
      <w:r w:rsidRPr="003716E1">
        <w:rPr>
          <w:rFonts w:ascii="Calibri" w:eastAsia="Times New Roman" w:hAnsi="Calibri" w:cs="Times New Roman"/>
          <w:b/>
          <w:bCs/>
          <w:kern w:val="32"/>
          <w:sz w:val="24"/>
          <w:szCs w:val="32"/>
          <w:lang w:val="en-CA"/>
        </w:rPr>
        <w:t>A</w:t>
      </w:r>
      <w:r w:rsidRPr="003716E1">
        <w:rPr>
          <w:rFonts w:ascii="Calibri" w:eastAsia="Times New Roman" w:hAnsi="Calibri" w:cs="Times New Roman"/>
          <w:b/>
          <w:bCs/>
          <w:kern w:val="32"/>
          <w:sz w:val="24"/>
          <w:szCs w:val="32"/>
          <w:lang w:val="en-CA"/>
        </w:rPr>
        <w:fldChar w:fldCharType="begin"/>
      </w:r>
      <w:r w:rsidRPr="003716E1">
        <w:rPr>
          <w:rFonts w:ascii="Calibri" w:eastAsia="Times New Roman" w:hAnsi="Calibri" w:cs="Times New Roman"/>
          <w:b/>
          <w:bCs/>
          <w:kern w:val="32"/>
          <w:sz w:val="24"/>
          <w:szCs w:val="32"/>
          <w:lang w:val="en-CA"/>
        </w:rPr>
        <w:instrText xml:space="preserve"> SEQ CHAPTER \h \r 1</w:instrText>
      </w:r>
      <w:r w:rsidRPr="003716E1">
        <w:rPr>
          <w:rFonts w:ascii="Calibri" w:eastAsia="Times New Roman" w:hAnsi="Calibri" w:cs="Times New Roman"/>
          <w:b/>
          <w:bCs/>
          <w:kern w:val="32"/>
          <w:sz w:val="24"/>
          <w:szCs w:val="32"/>
          <w:lang w:val="en-CA"/>
        </w:rPr>
        <w:fldChar w:fldCharType="end"/>
      </w:r>
      <w:r w:rsidRPr="003716E1">
        <w:rPr>
          <w:rFonts w:ascii="Calibri" w:eastAsia="Times New Roman" w:hAnsi="Calibri" w:cs="Times New Roman"/>
          <w:b/>
          <w:bCs/>
          <w:kern w:val="32"/>
          <w:sz w:val="24"/>
          <w:szCs w:val="32"/>
        </w:rPr>
        <w:t>.9</w:t>
      </w:r>
      <w:r w:rsidRPr="003716E1">
        <w:rPr>
          <w:rFonts w:ascii="Calibri" w:eastAsia="Times New Roman" w:hAnsi="Calibri" w:cs="Times New Roman"/>
          <w:b/>
          <w:bCs/>
          <w:kern w:val="32"/>
          <w:sz w:val="24"/>
          <w:szCs w:val="32"/>
        </w:rPr>
        <w:tab/>
        <w:t>Explanation of Any Payment or Gift</w:t>
      </w:r>
      <w:r w:rsidR="0038022E">
        <w:rPr>
          <w:rFonts w:ascii="Calibri" w:eastAsia="Times New Roman" w:hAnsi="Calibri" w:cs="Times New Roman"/>
          <w:b/>
          <w:bCs/>
          <w:kern w:val="32"/>
          <w:sz w:val="24"/>
          <w:szCs w:val="32"/>
        </w:rPr>
        <w:t>s</w:t>
      </w:r>
      <w:r w:rsidRPr="003716E1">
        <w:rPr>
          <w:rFonts w:ascii="Calibri" w:eastAsia="Times New Roman" w:hAnsi="Calibri" w:cs="Times New Roman"/>
          <w:b/>
          <w:bCs/>
          <w:kern w:val="32"/>
          <w:sz w:val="24"/>
          <w:szCs w:val="32"/>
        </w:rPr>
        <w:t xml:space="preserve"> to Respondents</w:t>
      </w:r>
      <w:bookmarkEnd w:id="9"/>
    </w:p>
    <w:p w14:paraId="0977FE83"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5B6BADDF"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There will be no payment or gift to respondents.</w:t>
      </w:r>
    </w:p>
    <w:p w14:paraId="4CFA2C63"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b/>
          <w:bCs/>
          <w:sz w:val="24"/>
          <w:szCs w:val="24"/>
        </w:rPr>
      </w:pPr>
    </w:p>
    <w:p w14:paraId="07422DD5" w14:textId="77777777" w:rsidR="003716E1" w:rsidRPr="003716E1" w:rsidRDefault="0038022E"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10" w:name="_Toc435798899"/>
      <w:r>
        <w:rPr>
          <w:rFonts w:ascii="Calibri" w:eastAsia="Times New Roman" w:hAnsi="Calibri" w:cs="Times New Roman"/>
          <w:b/>
          <w:bCs/>
          <w:kern w:val="32"/>
          <w:sz w:val="24"/>
          <w:szCs w:val="32"/>
        </w:rPr>
        <w:t>A.10</w:t>
      </w:r>
      <w:r>
        <w:rPr>
          <w:rFonts w:ascii="Calibri" w:eastAsia="Times New Roman" w:hAnsi="Calibri" w:cs="Times New Roman"/>
          <w:b/>
          <w:bCs/>
          <w:kern w:val="32"/>
          <w:sz w:val="24"/>
          <w:szCs w:val="32"/>
        </w:rPr>
        <w:tab/>
        <w:t>Protection of the Privacy and Confidentiality of Information Provided by</w:t>
      </w:r>
      <w:r w:rsidR="003716E1" w:rsidRPr="003716E1">
        <w:rPr>
          <w:rFonts w:ascii="Calibri" w:eastAsia="Times New Roman" w:hAnsi="Calibri" w:cs="Times New Roman"/>
          <w:b/>
          <w:bCs/>
          <w:kern w:val="32"/>
          <w:sz w:val="24"/>
          <w:szCs w:val="32"/>
        </w:rPr>
        <w:t xml:space="preserve"> Respondents</w:t>
      </w:r>
      <w:bookmarkEnd w:id="10"/>
    </w:p>
    <w:p w14:paraId="10E4E833" w14:textId="4538788D"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cr/>
        <w:t>This submission has been reviewed by the CIO who determined that the Privacy Act does not apply</w:t>
      </w:r>
      <w:r w:rsidR="0007306A">
        <w:rPr>
          <w:rFonts w:ascii="Calibri" w:eastAsia="Times New Roman" w:hAnsi="Calibri" w:cs="Times New Roman"/>
          <w:sz w:val="24"/>
          <w:szCs w:val="24"/>
        </w:rPr>
        <w:t xml:space="preserve"> because NIOSH is not collecting any PII from the sampled mine employees</w:t>
      </w:r>
      <w:r w:rsidRPr="003716E1">
        <w:rPr>
          <w:rFonts w:ascii="Calibri" w:eastAsia="Times New Roman" w:hAnsi="Calibri" w:cs="Times New Roman"/>
          <w:sz w:val="24"/>
          <w:szCs w:val="24"/>
        </w:rPr>
        <w:t xml:space="preserve">. </w:t>
      </w: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 xml:space="preserve">The </w:t>
      </w:r>
      <w:r w:rsidR="00F24569">
        <w:rPr>
          <w:rFonts w:ascii="Calibri" w:eastAsia="Times New Roman" w:hAnsi="Calibri" w:cs="Times New Roman"/>
          <w:sz w:val="24"/>
          <w:szCs w:val="24"/>
        </w:rPr>
        <w:t>MIWS</w:t>
      </w:r>
      <w:r w:rsidRPr="003716E1">
        <w:rPr>
          <w:rFonts w:ascii="Calibri" w:eastAsia="Times New Roman" w:hAnsi="Calibri" w:cs="Times New Roman"/>
          <w:sz w:val="24"/>
          <w:szCs w:val="24"/>
        </w:rPr>
        <w:t xml:space="preserve"> is a survey of mines and </w:t>
      </w:r>
      <w:r w:rsidR="0077218E">
        <w:rPr>
          <w:rFonts w:ascii="Calibri" w:eastAsia="Times New Roman" w:hAnsi="Calibri" w:cs="Times New Roman"/>
          <w:sz w:val="24"/>
          <w:szCs w:val="24"/>
        </w:rPr>
        <w:t xml:space="preserve">of </w:t>
      </w:r>
      <w:r w:rsidRPr="003716E1">
        <w:rPr>
          <w:rFonts w:ascii="Calibri" w:eastAsia="Times New Roman" w:hAnsi="Calibri" w:cs="Times New Roman"/>
          <w:sz w:val="24"/>
          <w:szCs w:val="24"/>
        </w:rPr>
        <w:t>their employees. The respondent for both population groups will typically be the mine’s operator but it may be delegated to the mine’s health and safety director or another staff member. While the full name of the mine’s designated respondent will be collected, this individual will be reporting for the mine and for its sampled employees. The name and contact information of the designated respondent for the sampled mine will only be used to facilitate mailing of the survey packet, telephone reminders, and problem resolution. Only the survey contractor</w:t>
      </w:r>
      <w:r w:rsidR="007901EF">
        <w:rPr>
          <w:rFonts w:ascii="Calibri" w:eastAsia="Times New Roman" w:hAnsi="Calibri" w:cs="Times New Roman"/>
          <w:sz w:val="24"/>
          <w:szCs w:val="24"/>
        </w:rPr>
        <w:t xml:space="preserve"> </w:t>
      </w:r>
      <w:r w:rsidRPr="003716E1">
        <w:rPr>
          <w:rFonts w:ascii="Calibri" w:eastAsia="Times New Roman" w:hAnsi="Calibri" w:cs="Times New Roman"/>
          <w:sz w:val="24"/>
          <w:szCs w:val="24"/>
        </w:rPr>
        <w:t>and NIOSH project staff will have access to this information.</w:t>
      </w:r>
    </w:p>
    <w:p w14:paraId="38AC9943"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B3FB367" w14:textId="0A45D96F" w:rsidR="00693172"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 mine’s designated respondent will be asked to provide demographic and occupational characteristic data for a sample of mine employees working at the sampled mine during the reference quarter. The requested employee-level data should be available in personnel or payroll records. The designated respondent will be asked to create a list of all employees working during the reference quarter and to assign a sequence</w:t>
      </w:r>
      <w:r w:rsidR="0026767E">
        <w:rPr>
          <w:rFonts w:ascii="Calibri" w:eastAsia="Times New Roman" w:hAnsi="Calibri" w:cs="Times New Roman"/>
          <w:sz w:val="24"/>
          <w:szCs w:val="24"/>
        </w:rPr>
        <w:t xml:space="preserve"> number to each employee. </w:t>
      </w:r>
      <w:r w:rsidR="00533035">
        <w:rPr>
          <w:rFonts w:ascii="Calibri" w:eastAsia="Times New Roman" w:hAnsi="Calibri" w:cs="Times New Roman"/>
          <w:sz w:val="24"/>
          <w:szCs w:val="24"/>
        </w:rPr>
        <w:t>For mines with less than 50 employees, i</w:t>
      </w:r>
      <w:r w:rsidR="0026767E">
        <w:rPr>
          <w:rFonts w:ascii="Calibri" w:eastAsia="Times New Roman" w:hAnsi="Calibri" w:cs="Times New Roman"/>
          <w:sz w:val="24"/>
          <w:szCs w:val="24"/>
        </w:rPr>
        <w:t xml:space="preserve">f 10 </w:t>
      </w:r>
      <w:r w:rsidRPr="003716E1">
        <w:rPr>
          <w:rFonts w:ascii="Calibri" w:eastAsia="Times New Roman" w:hAnsi="Calibri" w:cs="Times New Roman"/>
          <w:sz w:val="24"/>
          <w:szCs w:val="24"/>
        </w:rPr>
        <w:t>or fewer employees worked in the reference quarter, the respondent will be instructed to provide data for all employees. If 11 or more employees worked that quarter, the respondent will be asked to use the sampling instructions to determine which employees to include in the employee-level questionnaire.</w:t>
      </w:r>
      <w:r w:rsidR="00533035">
        <w:rPr>
          <w:rFonts w:ascii="Calibri" w:eastAsia="Times New Roman" w:hAnsi="Calibri" w:cs="Times New Roman"/>
          <w:sz w:val="24"/>
          <w:szCs w:val="24"/>
        </w:rPr>
        <w:t xml:space="preserve"> For mines with 50 or more employees,</w:t>
      </w:r>
      <w:r w:rsidR="00D91259">
        <w:rPr>
          <w:rFonts w:ascii="Calibri" w:eastAsia="Times New Roman" w:hAnsi="Calibri" w:cs="Times New Roman"/>
          <w:sz w:val="24"/>
          <w:szCs w:val="24"/>
        </w:rPr>
        <w:t xml:space="preserve"> the respondent will sample up to</w:t>
      </w:r>
      <w:r w:rsidR="00533035">
        <w:rPr>
          <w:rFonts w:ascii="Calibri" w:eastAsia="Times New Roman" w:hAnsi="Calibri" w:cs="Times New Roman"/>
          <w:sz w:val="24"/>
          <w:szCs w:val="24"/>
        </w:rPr>
        <w:t xml:space="preserve"> 15 employees.</w:t>
      </w:r>
      <w:r w:rsidRPr="003716E1">
        <w:rPr>
          <w:rFonts w:ascii="Calibri" w:eastAsia="Times New Roman" w:hAnsi="Calibri" w:cs="Times New Roman"/>
          <w:sz w:val="24"/>
          <w:szCs w:val="24"/>
        </w:rPr>
        <w:t xml:space="preserve"> The designated respondent will record the sequence number but not the name of the sampled employees.</w:t>
      </w:r>
    </w:p>
    <w:p w14:paraId="1EEAF655" w14:textId="77777777" w:rsidR="00693172" w:rsidRDefault="00693172" w:rsidP="003716E1">
      <w:pPr>
        <w:autoSpaceDE w:val="0"/>
        <w:autoSpaceDN w:val="0"/>
        <w:adjustRightInd w:val="0"/>
        <w:spacing w:after="0" w:line="240" w:lineRule="auto"/>
        <w:rPr>
          <w:rFonts w:ascii="Calibri" w:eastAsia="Times New Roman" w:hAnsi="Calibri" w:cs="Times New Roman"/>
          <w:sz w:val="24"/>
          <w:szCs w:val="24"/>
        </w:rPr>
      </w:pPr>
    </w:p>
    <w:p w14:paraId="508063AC" w14:textId="78DFAE6A" w:rsidR="00C770A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 survey portion dealing with employee information does not have sensitive data</w:t>
      </w:r>
      <w:r w:rsidR="00693172">
        <w:rPr>
          <w:rFonts w:ascii="Calibri" w:eastAsia="Times New Roman" w:hAnsi="Calibri" w:cs="Times New Roman"/>
          <w:sz w:val="24"/>
          <w:szCs w:val="24"/>
        </w:rPr>
        <w:t>—</w:t>
      </w:r>
      <w:r w:rsidRPr="003716E1">
        <w:rPr>
          <w:rFonts w:ascii="Calibri" w:eastAsia="Times New Roman" w:hAnsi="Calibri" w:cs="Times New Roman"/>
          <w:sz w:val="24"/>
          <w:szCs w:val="24"/>
        </w:rPr>
        <w:t xml:space="preserve">it </w:t>
      </w:r>
      <w:r w:rsidR="00693172">
        <w:rPr>
          <w:rFonts w:ascii="Calibri" w:eastAsia="Times New Roman" w:hAnsi="Calibri" w:cs="Times New Roman"/>
          <w:sz w:val="24"/>
          <w:szCs w:val="24"/>
        </w:rPr>
        <w:t>asks</w:t>
      </w:r>
      <w:r w:rsidRPr="003716E1">
        <w:rPr>
          <w:rFonts w:ascii="Calibri" w:eastAsia="Times New Roman" w:hAnsi="Calibri" w:cs="Times New Roman"/>
          <w:sz w:val="24"/>
          <w:szCs w:val="24"/>
        </w:rPr>
        <w:t xml:space="preserve"> only about the demographics (job title, years of experience, work location, gender, and year of birth) which can be copied from existing company records. </w:t>
      </w: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sz w:val="24"/>
          <w:szCs w:val="24"/>
        </w:rPr>
        <w:t xml:space="preserve">NIOSH will only be reporting and publishing aggregated data from this survey. The mine’s designated respondent completing the questionnaire will be the only </w:t>
      </w:r>
      <w:r w:rsidR="00693172">
        <w:rPr>
          <w:rFonts w:ascii="Calibri" w:eastAsia="Times New Roman" w:hAnsi="Calibri" w:cs="Times New Roman"/>
          <w:sz w:val="24"/>
          <w:szCs w:val="24"/>
        </w:rPr>
        <w:t xml:space="preserve">one </w:t>
      </w:r>
      <w:r w:rsidRPr="003716E1">
        <w:rPr>
          <w:rFonts w:ascii="Calibri" w:eastAsia="Times New Roman" w:hAnsi="Calibri" w:cs="Times New Roman"/>
          <w:sz w:val="24"/>
          <w:szCs w:val="24"/>
        </w:rPr>
        <w:t>able to positively link this sequence number with a particular employee.</w:t>
      </w:r>
    </w:p>
    <w:p w14:paraId="687CB07F" w14:textId="77777777" w:rsidR="001852C2" w:rsidRDefault="001852C2" w:rsidP="003716E1">
      <w:pPr>
        <w:autoSpaceDE w:val="0"/>
        <w:autoSpaceDN w:val="0"/>
        <w:adjustRightInd w:val="0"/>
        <w:spacing w:after="0" w:line="240" w:lineRule="auto"/>
        <w:rPr>
          <w:rFonts w:ascii="Calibri" w:eastAsia="Times New Roman" w:hAnsi="Calibri" w:cs="Times New Roman"/>
          <w:sz w:val="24"/>
          <w:szCs w:val="24"/>
          <w:lang w:val="en-CA"/>
        </w:rPr>
      </w:pPr>
    </w:p>
    <w:p w14:paraId="28674C5A" w14:textId="61DB4D2A" w:rsidR="003716E1" w:rsidRPr="00517DDB" w:rsidRDefault="00A2489B" w:rsidP="003716E1">
      <w:pPr>
        <w:autoSpaceDE w:val="0"/>
        <w:autoSpaceDN w:val="0"/>
        <w:adjustRightInd w:val="0"/>
        <w:spacing w:after="0" w:line="240" w:lineRule="auto"/>
        <w:rPr>
          <w:rFonts w:ascii="Calibri" w:eastAsia="Times New Roman" w:hAnsi="Calibri" w:cs="Times New Roman"/>
          <w:b/>
          <w:i/>
          <w:sz w:val="24"/>
          <w:szCs w:val="24"/>
        </w:rPr>
      </w:pPr>
      <w:r>
        <w:rPr>
          <w:rFonts w:ascii="Calibri" w:eastAsia="Times New Roman" w:hAnsi="Calibri" w:cs="Times New Roman"/>
          <w:sz w:val="24"/>
          <w:szCs w:val="24"/>
          <w:lang w:val="en-CA"/>
        </w:rPr>
        <w:t>D</w:t>
      </w:r>
      <w:r w:rsidRPr="003716E1">
        <w:rPr>
          <w:rFonts w:ascii="Calibri" w:eastAsia="Times New Roman" w:hAnsi="Calibri" w:cs="Times New Roman"/>
          <w:sz w:val="24"/>
          <w:szCs w:val="24"/>
          <w:lang w:val="en-CA"/>
        </w:rPr>
        <w:t>ata</w:t>
      </w:r>
      <w:r>
        <w:rPr>
          <w:rFonts w:ascii="Calibri" w:eastAsia="Times New Roman" w:hAnsi="Calibri" w:cs="Times New Roman"/>
          <w:sz w:val="24"/>
          <w:szCs w:val="24"/>
          <w:lang w:val="en-CA"/>
        </w:rPr>
        <w:t xml:space="preserve"> safeguards will be in place to address </w:t>
      </w:r>
      <w:r w:rsidR="003716E1" w:rsidRPr="003716E1">
        <w:rPr>
          <w:rFonts w:ascii="Calibri" w:eastAsia="Times New Roman" w:hAnsi="Calibri" w:cs="Times New Roman"/>
          <w:sz w:val="24"/>
          <w:szCs w:val="24"/>
          <w:lang w:val="en-CA"/>
        </w:rPr>
        <w:t xml:space="preserve">issues related to identifiable data for both responding mines and their employees. </w:t>
      </w:r>
      <w:r w:rsidR="003716E1" w:rsidRPr="003716E1">
        <w:rPr>
          <w:rFonts w:ascii="Calibri" w:eastAsia="Times New Roman" w:hAnsi="Calibri" w:cs="Times New Roman"/>
          <w:sz w:val="24"/>
          <w:szCs w:val="24"/>
        </w:rPr>
        <w:t>The MSHA mine ID will be on the labels of the hard-copy questionnaire and on the log-in page of the web survey to ensure that reporting is for the correct mine. Completed questionnaires will be kept in an access-restricted area while being processed and stored in a locked file cabinet when not in u</w:t>
      </w:r>
      <w:r w:rsidR="00533035">
        <w:rPr>
          <w:rFonts w:ascii="Calibri" w:eastAsia="Times New Roman" w:hAnsi="Calibri" w:cs="Times New Roman"/>
          <w:sz w:val="24"/>
          <w:szCs w:val="24"/>
        </w:rPr>
        <w:t xml:space="preserve">se. The survey contractor </w:t>
      </w:r>
      <w:r w:rsidR="003716E1" w:rsidRPr="003716E1">
        <w:rPr>
          <w:rFonts w:ascii="Calibri" w:eastAsia="Times New Roman" w:hAnsi="Calibri" w:cs="Times New Roman"/>
          <w:sz w:val="24"/>
          <w:szCs w:val="24"/>
        </w:rPr>
        <w:t xml:space="preserve">has developed tools and techniques for the exchange of file-based data with outside parties that protect the security and integrity of the data throughout the transfer process. The Secure Transfer Web Site with FTP, a general-use </w:t>
      </w:r>
      <w:r>
        <w:rPr>
          <w:rFonts w:ascii="Calibri" w:eastAsia="Times New Roman" w:hAnsi="Calibri" w:cs="Times New Roman"/>
          <w:sz w:val="24"/>
          <w:szCs w:val="24"/>
        </w:rPr>
        <w:t>contractor</w:t>
      </w:r>
      <w:r w:rsidRPr="003716E1">
        <w:rPr>
          <w:rFonts w:ascii="Calibri" w:eastAsia="Times New Roman" w:hAnsi="Calibri" w:cs="Times New Roman"/>
          <w:sz w:val="24"/>
          <w:szCs w:val="24"/>
        </w:rPr>
        <w:t xml:space="preserve"> </w:t>
      </w:r>
      <w:r w:rsidR="003716E1" w:rsidRPr="003716E1">
        <w:rPr>
          <w:rFonts w:ascii="Calibri" w:eastAsia="Times New Roman" w:hAnsi="Calibri" w:cs="Times New Roman"/>
          <w:sz w:val="24"/>
          <w:szCs w:val="24"/>
        </w:rPr>
        <w:t xml:space="preserve">web site, allows data file transfer through a web browser. This site features user authentication based on accounts and passwords, the ability to limit </w:t>
      </w:r>
      <w:r w:rsidR="00494216">
        <w:rPr>
          <w:rFonts w:ascii="Calibri" w:eastAsia="Times New Roman" w:hAnsi="Calibri" w:cs="Times New Roman"/>
          <w:sz w:val="24"/>
          <w:szCs w:val="24"/>
        </w:rPr>
        <w:t>users to upload-only, down</w:t>
      </w:r>
      <w:r w:rsidR="003716E1" w:rsidRPr="003716E1">
        <w:rPr>
          <w:rFonts w:ascii="Calibri" w:eastAsia="Times New Roman" w:hAnsi="Calibri" w:cs="Times New Roman"/>
          <w:sz w:val="24"/>
          <w:szCs w:val="24"/>
        </w:rPr>
        <w:t>load only, or bi-directional transfer functions, and the use of data encryption.</w:t>
      </w:r>
      <w:r w:rsidR="00517DDB">
        <w:rPr>
          <w:rFonts w:ascii="Calibri" w:eastAsia="Times New Roman" w:hAnsi="Calibri" w:cs="Times New Roman"/>
          <w:b/>
          <w:i/>
          <w:sz w:val="24"/>
          <w:szCs w:val="24"/>
        </w:rPr>
        <w:t xml:space="preserve"> </w:t>
      </w:r>
      <w:r w:rsidR="003716E1" w:rsidRPr="003716E1">
        <w:rPr>
          <w:rFonts w:ascii="Calibri" w:eastAsia="Times New Roman" w:hAnsi="Calibri" w:cs="Times New Roman"/>
          <w:sz w:val="24"/>
          <w:szCs w:val="24"/>
        </w:rPr>
        <w:t xml:space="preserve">Data processing will be done in a password-protected computing environment. </w:t>
      </w:r>
    </w:p>
    <w:p w14:paraId="1DE8EA72"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0B76D169" w14:textId="1D256BA2" w:rsidR="003716E1" w:rsidRPr="003716E1" w:rsidRDefault="009209B6"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The mine ID and employee sequence number will be included in the</w:t>
      </w:r>
      <w:r w:rsidR="004D3974">
        <w:rPr>
          <w:rFonts w:ascii="Calibri" w:eastAsia="Times New Roman" w:hAnsi="Calibri" w:cs="Times New Roman"/>
          <w:sz w:val="24"/>
          <w:szCs w:val="24"/>
        </w:rPr>
        <w:t xml:space="preserve"> analysis datasets. The</w:t>
      </w:r>
      <w:r w:rsidR="003716E1" w:rsidRPr="003716E1">
        <w:rPr>
          <w:rFonts w:ascii="Calibri" w:eastAsia="Times New Roman" w:hAnsi="Calibri" w:cs="Times New Roman"/>
          <w:sz w:val="24"/>
          <w:szCs w:val="24"/>
        </w:rPr>
        <w:t xml:space="preserve"> MSHA ID </w:t>
      </w:r>
      <w:r w:rsidR="004D3974">
        <w:rPr>
          <w:rFonts w:ascii="Calibri" w:eastAsia="Times New Roman" w:hAnsi="Calibri" w:cs="Times New Roman"/>
          <w:sz w:val="24"/>
          <w:szCs w:val="24"/>
        </w:rPr>
        <w:t xml:space="preserve">may be </w:t>
      </w:r>
      <w:r w:rsidR="003716E1" w:rsidRPr="003716E1">
        <w:rPr>
          <w:rFonts w:ascii="Calibri" w:eastAsia="Times New Roman" w:hAnsi="Calibri" w:cs="Times New Roman"/>
          <w:sz w:val="24"/>
          <w:szCs w:val="24"/>
        </w:rPr>
        <w:t xml:space="preserve">needed to interpret the study data and/or to merge data from </w:t>
      </w:r>
      <w:r w:rsidR="00061655">
        <w:rPr>
          <w:rFonts w:ascii="Calibri" w:eastAsia="Times New Roman" w:hAnsi="Calibri" w:cs="Times New Roman"/>
          <w:sz w:val="24"/>
          <w:szCs w:val="24"/>
        </w:rPr>
        <w:t>publicly available MSHA data</w:t>
      </w:r>
      <w:r w:rsidR="00F1528A">
        <w:rPr>
          <w:rFonts w:ascii="Calibri" w:eastAsia="Times New Roman" w:hAnsi="Calibri" w:cs="Times New Roman"/>
          <w:sz w:val="24"/>
          <w:szCs w:val="24"/>
        </w:rPr>
        <w:t xml:space="preserve">, such as </w:t>
      </w:r>
      <w:r w:rsidR="00517DDB">
        <w:rPr>
          <w:rFonts w:ascii="Calibri" w:eastAsia="Times New Roman" w:hAnsi="Calibri" w:cs="Times New Roman"/>
          <w:sz w:val="24"/>
          <w:szCs w:val="24"/>
        </w:rPr>
        <w:t xml:space="preserve">injury and illness information </w:t>
      </w:r>
      <w:r w:rsidR="003716E1" w:rsidRPr="003716E1">
        <w:rPr>
          <w:rFonts w:ascii="Calibri" w:eastAsia="Times New Roman" w:hAnsi="Calibri" w:cs="Times New Roman"/>
          <w:sz w:val="24"/>
          <w:szCs w:val="24"/>
        </w:rPr>
        <w:t>into the analysis data file</w:t>
      </w:r>
      <w:r w:rsidR="00A2489B">
        <w:rPr>
          <w:rFonts w:ascii="Calibri" w:eastAsia="Times New Roman" w:hAnsi="Calibri" w:cs="Times New Roman"/>
          <w:sz w:val="24"/>
          <w:szCs w:val="24"/>
        </w:rPr>
        <w:t>s</w:t>
      </w:r>
      <w:r w:rsidR="003716E1" w:rsidRPr="003716E1">
        <w:rPr>
          <w:rFonts w:ascii="Calibri" w:eastAsia="Times New Roman" w:hAnsi="Calibri" w:cs="Times New Roman"/>
          <w:sz w:val="24"/>
          <w:szCs w:val="24"/>
        </w:rPr>
        <w:t xml:space="preserve">. </w:t>
      </w:r>
      <w:r w:rsidR="004D3974">
        <w:rPr>
          <w:rFonts w:ascii="Calibri" w:eastAsia="Times New Roman" w:hAnsi="Calibri" w:cs="Times New Roman"/>
          <w:sz w:val="24"/>
          <w:szCs w:val="24"/>
        </w:rPr>
        <w:t>O</w:t>
      </w:r>
      <w:r w:rsidR="003716E1" w:rsidRPr="003716E1">
        <w:rPr>
          <w:rFonts w:ascii="Calibri" w:eastAsia="Times New Roman" w:hAnsi="Calibri" w:cs="Times New Roman"/>
          <w:sz w:val="24"/>
          <w:szCs w:val="24"/>
        </w:rPr>
        <w:t xml:space="preserve">nly NIOSH and contractor project staff will be allowed access to these databases, which will be stored in a safe, secure location. A copy </w:t>
      </w:r>
      <w:r w:rsidR="00584AC2">
        <w:rPr>
          <w:rFonts w:ascii="Calibri" w:eastAsia="Times New Roman" w:hAnsi="Calibri" w:cs="Times New Roman"/>
          <w:sz w:val="24"/>
          <w:szCs w:val="24"/>
        </w:rPr>
        <w:t>of the contractor confidentiality</w:t>
      </w:r>
      <w:r w:rsidR="003716E1" w:rsidRPr="003716E1">
        <w:rPr>
          <w:rFonts w:ascii="Calibri" w:eastAsia="Times New Roman" w:hAnsi="Calibri" w:cs="Times New Roman"/>
          <w:sz w:val="24"/>
          <w:szCs w:val="24"/>
        </w:rPr>
        <w:t xml:space="preserve"> agreement is provided in </w:t>
      </w:r>
      <w:r w:rsidR="009A515E">
        <w:rPr>
          <w:rFonts w:ascii="Calibri" w:eastAsia="Times New Roman" w:hAnsi="Calibri" w:cs="Times New Roman"/>
          <w:b/>
          <w:sz w:val="24"/>
          <w:szCs w:val="24"/>
        </w:rPr>
        <w:t>Attachment H</w:t>
      </w:r>
      <w:r w:rsidR="003716E1" w:rsidRPr="003716E1">
        <w:rPr>
          <w:rFonts w:ascii="Calibri" w:eastAsia="Times New Roman" w:hAnsi="Calibri" w:cs="Times New Roman"/>
          <w:sz w:val="24"/>
          <w:szCs w:val="24"/>
        </w:rPr>
        <w:t>. All contractor employees must comply with this policy, a</w:t>
      </w:r>
      <w:r w:rsidR="00584AC2">
        <w:rPr>
          <w:rFonts w:ascii="Calibri" w:eastAsia="Times New Roman" w:hAnsi="Calibri" w:cs="Times New Roman"/>
          <w:sz w:val="24"/>
          <w:szCs w:val="24"/>
        </w:rPr>
        <w:t>nd all project staff have acknowledged</w:t>
      </w:r>
      <w:r w:rsidR="003716E1" w:rsidRPr="003716E1">
        <w:rPr>
          <w:rFonts w:ascii="Calibri" w:eastAsia="Times New Roman" w:hAnsi="Calibri" w:cs="Times New Roman"/>
          <w:sz w:val="24"/>
          <w:szCs w:val="24"/>
        </w:rPr>
        <w:t xml:space="preserve"> the pledge, which is intended to protect project data obtained by the contractor from unauthorized use or disclosure. The provision to protect individual data, and all information arising from surveys concerning individual respondents, applies to both persons and organizations from or about whom information is collected.</w:t>
      </w:r>
      <w:r w:rsidR="003716E1" w:rsidRPr="003716E1">
        <w:rPr>
          <w:rFonts w:ascii="Calibri" w:eastAsia="Times New Roman" w:hAnsi="Calibri" w:cs="Arial"/>
          <w:color w:val="000080"/>
          <w:sz w:val="20"/>
          <w:szCs w:val="20"/>
        </w:rPr>
        <w:t xml:space="preserve"> </w:t>
      </w:r>
    </w:p>
    <w:p w14:paraId="57EE2A60"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0"/>
          <w:szCs w:val="20"/>
        </w:rPr>
      </w:pPr>
    </w:p>
    <w:p w14:paraId="66DC93B1"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11" w:name="_Toc435798900"/>
      <w:r w:rsidRPr="003716E1">
        <w:rPr>
          <w:rFonts w:ascii="Calibri" w:eastAsia="Times New Roman" w:hAnsi="Calibri" w:cs="Times New Roman"/>
          <w:b/>
          <w:bCs/>
          <w:kern w:val="32"/>
          <w:sz w:val="24"/>
          <w:szCs w:val="32"/>
          <w:lang w:val="en-CA"/>
        </w:rPr>
        <w:t>A</w:t>
      </w:r>
      <w:r w:rsidRPr="003716E1">
        <w:rPr>
          <w:rFonts w:ascii="Calibri" w:eastAsia="Times New Roman" w:hAnsi="Calibri" w:cs="Times New Roman"/>
          <w:b/>
          <w:bCs/>
          <w:kern w:val="32"/>
          <w:sz w:val="24"/>
          <w:szCs w:val="32"/>
          <w:lang w:val="en-CA"/>
        </w:rPr>
        <w:fldChar w:fldCharType="begin"/>
      </w:r>
      <w:r w:rsidRPr="003716E1">
        <w:rPr>
          <w:rFonts w:ascii="Calibri" w:eastAsia="Times New Roman" w:hAnsi="Calibri" w:cs="Times New Roman"/>
          <w:b/>
          <w:bCs/>
          <w:kern w:val="32"/>
          <w:sz w:val="24"/>
          <w:szCs w:val="32"/>
          <w:lang w:val="en-CA"/>
        </w:rPr>
        <w:instrText xml:space="preserve"> SEQ CHAPTER \h \r 1</w:instrText>
      </w:r>
      <w:r w:rsidRPr="003716E1">
        <w:rPr>
          <w:rFonts w:ascii="Calibri" w:eastAsia="Times New Roman" w:hAnsi="Calibri" w:cs="Times New Roman"/>
          <w:b/>
          <w:bCs/>
          <w:kern w:val="32"/>
          <w:sz w:val="24"/>
          <w:szCs w:val="32"/>
          <w:lang w:val="en-CA"/>
        </w:rPr>
        <w:fldChar w:fldCharType="end"/>
      </w:r>
      <w:r w:rsidRPr="003716E1">
        <w:rPr>
          <w:rFonts w:ascii="Calibri" w:eastAsia="Times New Roman" w:hAnsi="Calibri" w:cs="Times New Roman"/>
          <w:b/>
          <w:bCs/>
          <w:kern w:val="32"/>
          <w:sz w:val="24"/>
          <w:szCs w:val="32"/>
        </w:rPr>
        <w:t>.11</w:t>
      </w:r>
      <w:r w:rsidRPr="003716E1">
        <w:rPr>
          <w:rFonts w:ascii="Calibri" w:eastAsia="Times New Roman" w:hAnsi="Calibri" w:cs="Times New Roman"/>
          <w:b/>
          <w:bCs/>
          <w:kern w:val="32"/>
          <w:sz w:val="24"/>
          <w:szCs w:val="32"/>
        </w:rPr>
        <w:tab/>
        <w:t>Institut</w:t>
      </w:r>
      <w:r w:rsidR="0038022E">
        <w:rPr>
          <w:rFonts w:ascii="Calibri" w:eastAsia="Times New Roman" w:hAnsi="Calibri" w:cs="Times New Roman"/>
          <w:b/>
          <w:bCs/>
          <w:kern w:val="32"/>
          <w:sz w:val="24"/>
          <w:szCs w:val="32"/>
        </w:rPr>
        <w:t xml:space="preserve">ional Review Board </w:t>
      </w:r>
      <w:r w:rsidRPr="003716E1">
        <w:rPr>
          <w:rFonts w:ascii="Calibri" w:eastAsia="Times New Roman" w:hAnsi="Calibri" w:cs="Times New Roman"/>
          <w:b/>
          <w:bCs/>
          <w:kern w:val="32"/>
          <w:sz w:val="24"/>
          <w:szCs w:val="32"/>
        </w:rPr>
        <w:t>and Justification for Sensitive Questions</w:t>
      </w:r>
      <w:bookmarkEnd w:id="11"/>
    </w:p>
    <w:p w14:paraId="371ADFF1" w14:textId="77777777" w:rsidR="003716E1" w:rsidRPr="003716E1" w:rsidRDefault="003716E1" w:rsidP="003716E1">
      <w:pPr>
        <w:autoSpaceDE w:val="0"/>
        <w:autoSpaceDN w:val="0"/>
        <w:adjustRightInd w:val="0"/>
        <w:spacing w:after="0" w:line="240" w:lineRule="auto"/>
        <w:rPr>
          <w:rFonts w:ascii="Arial" w:eastAsia="Times New Roman" w:hAnsi="Arial" w:cs="Times New Roman"/>
          <w:sz w:val="20"/>
          <w:szCs w:val="20"/>
        </w:rPr>
      </w:pPr>
    </w:p>
    <w:p w14:paraId="1D0DF6F2" w14:textId="77777777" w:rsidR="003716E1" w:rsidRPr="003716E1" w:rsidRDefault="003716E1" w:rsidP="003716E1">
      <w:pPr>
        <w:autoSpaceDE w:val="0"/>
        <w:autoSpaceDN w:val="0"/>
        <w:adjustRightInd w:val="0"/>
        <w:spacing w:after="0" w:line="240" w:lineRule="auto"/>
        <w:ind w:firstLine="720"/>
        <w:rPr>
          <w:rFonts w:ascii="Calibri" w:eastAsia="Times New Roman" w:hAnsi="Calibri" w:cs="Times New Roman"/>
          <w:b/>
          <w:sz w:val="24"/>
          <w:szCs w:val="24"/>
        </w:rPr>
      </w:pPr>
      <w:r w:rsidRPr="003716E1">
        <w:rPr>
          <w:rFonts w:ascii="Calibri" w:eastAsia="Times New Roman" w:hAnsi="Calibri" w:cs="Times New Roman"/>
          <w:b/>
          <w:sz w:val="24"/>
          <w:szCs w:val="24"/>
        </w:rPr>
        <w:t>IRB Approval</w:t>
      </w:r>
    </w:p>
    <w:p w14:paraId="3BC765F3"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4"/>
          <w:szCs w:val="24"/>
        </w:rPr>
      </w:pPr>
    </w:p>
    <w:p w14:paraId="6B9EF26B" w14:textId="06877535"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rPr>
      </w:pPr>
      <w:r w:rsidRPr="003716E1">
        <w:rPr>
          <w:rFonts w:ascii="Calibri" w:eastAsia="Times New Roman" w:hAnsi="Calibri" w:cs="Times New Roman"/>
          <w:sz w:val="24"/>
          <w:szCs w:val="24"/>
        </w:rPr>
        <w:t xml:space="preserve">The NIOSH Institutional Review Board (IRB) has determined that the </w:t>
      </w:r>
      <w:r w:rsidR="001753A6">
        <w:rPr>
          <w:rFonts w:ascii="Calibri" w:eastAsia="Times New Roman" w:hAnsi="Calibri" w:cs="Times New Roman"/>
          <w:sz w:val="24"/>
          <w:szCs w:val="24"/>
        </w:rPr>
        <w:t>MIWS</w:t>
      </w:r>
      <w:r w:rsidR="009A515E">
        <w:rPr>
          <w:rFonts w:ascii="Calibri" w:eastAsia="Times New Roman" w:hAnsi="Calibri" w:cs="Times New Roman"/>
          <w:sz w:val="24"/>
          <w:szCs w:val="24"/>
        </w:rPr>
        <w:t xml:space="preserve"> project </w:t>
      </w:r>
      <w:r w:rsidRPr="003716E1">
        <w:rPr>
          <w:rFonts w:ascii="Calibri" w:eastAsia="Times New Roman" w:hAnsi="Calibri" w:cs="Times New Roman"/>
          <w:sz w:val="24"/>
          <w:szCs w:val="24"/>
        </w:rPr>
        <w:t xml:space="preserve">is a non-research activity. It meets the definition of public health surveillance non-research per CDC policy dated 07/29/2010. The overall purpose of this surveillance activity is to invoke and help focus public health mechanisms to prevent/control illness and injury among mine workers. The signed NIOSH Research/Non-Research Determination Form can be found in </w:t>
      </w:r>
      <w:r w:rsidR="009A515E">
        <w:rPr>
          <w:rFonts w:ascii="Calibri" w:eastAsia="Times New Roman" w:hAnsi="Calibri" w:cs="Times New Roman"/>
          <w:b/>
          <w:sz w:val="24"/>
          <w:szCs w:val="24"/>
        </w:rPr>
        <w:t>Attachment I</w:t>
      </w:r>
      <w:r w:rsidRPr="003716E1">
        <w:rPr>
          <w:rFonts w:ascii="Calibri" w:eastAsia="Times New Roman" w:hAnsi="Calibri" w:cs="Times New Roman"/>
          <w:b/>
          <w:sz w:val="24"/>
          <w:szCs w:val="24"/>
        </w:rPr>
        <w:t>.</w:t>
      </w:r>
    </w:p>
    <w:p w14:paraId="4BC6D63A"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rPr>
      </w:pPr>
    </w:p>
    <w:p w14:paraId="26154384"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rPr>
      </w:pPr>
      <w:r w:rsidRPr="003716E1">
        <w:rPr>
          <w:rFonts w:ascii="Calibri" w:eastAsia="Times New Roman" w:hAnsi="Calibri" w:cs="Times New Roman"/>
          <w:b/>
          <w:sz w:val="24"/>
          <w:szCs w:val="24"/>
        </w:rPr>
        <w:tab/>
        <w:t>Sensitive Questions</w:t>
      </w:r>
    </w:p>
    <w:p w14:paraId="18CBEDA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rPr>
      </w:pPr>
    </w:p>
    <w:p w14:paraId="626808B0" w14:textId="500A7B15"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 data collected in this survey will include basic demographic (e.g., age, gender) and occupational characteristics (e.g., job title, work location, experience in this job title, total mining experience) for a subset of the sampled mine’s workforce. The potentially sensitive questions of race, ethnicity</w:t>
      </w:r>
      <w:r w:rsidR="001753A6">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highest level of education will not be asked. The inform</w:t>
      </w:r>
      <w:r w:rsidR="009A515E">
        <w:rPr>
          <w:rFonts w:ascii="Calibri" w:eastAsia="Times New Roman" w:hAnsi="Calibri" w:cs="Times New Roman"/>
          <w:sz w:val="24"/>
          <w:szCs w:val="24"/>
        </w:rPr>
        <w:t xml:space="preserve">ation sought is not sensitive. </w:t>
      </w:r>
      <w:r w:rsidRPr="003716E1">
        <w:rPr>
          <w:rFonts w:ascii="Calibri" w:eastAsia="Times New Roman" w:hAnsi="Calibri" w:cs="Times New Roman"/>
          <w:sz w:val="24"/>
          <w:szCs w:val="24"/>
        </w:rPr>
        <w:t>This information is already publicly available for injured and ill miners in the MSHA accident/injury/illness database (</w:t>
      </w:r>
      <w:hyperlink r:id="rId18" w:history="1">
        <w:r w:rsidRPr="003716E1">
          <w:rPr>
            <w:rFonts w:ascii="Calibri" w:eastAsia="Times New Roman" w:hAnsi="Calibri" w:cs="Times New Roman"/>
            <w:color w:val="000099"/>
            <w:sz w:val="24"/>
            <w:szCs w:val="24"/>
            <w:u w:val="single"/>
          </w:rPr>
          <w:t>http://www.msha.gov/</w:t>
        </w:r>
      </w:hyperlink>
      <w:r w:rsidRPr="003716E1">
        <w:rPr>
          <w:rFonts w:ascii="Calibri" w:eastAsia="Times New Roman" w:hAnsi="Calibri" w:cs="Times New Roman"/>
          <w:sz w:val="24"/>
          <w:szCs w:val="24"/>
        </w:rPr>
        <w:t>).</w:t>
      </w:r>
    </w:p>
    <w:p w14:paraId="546E015A"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B36BF73"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24"/>
        </w:rPr>
      </w:pPr>
      <w:bookmarkStart w:id="12" w:name="_Toc435798901"/>
      <w:r w:rsidRPr="003716E1">
        <w:rPr>
          <w:rFonts w:ascii="Calibri" w:eastAsia="Times New Roman" w:hAnsi="Calibri" w:cs="Times New Roman"/>
          <w:b/>
          <w:bCs/>
          <w:kern w:val="32"/>
          <w:sz w:val="24"/>
          <w:szCs w:val="24"/>
          <w:lang w:val="en-CA"/>
        </w:rPr>
        <w:t>A</w:t>
      </w:r>
      <w:r w:rsidRPr="003716E1">
        <w:rPr>
          <w:rFonts w:ascii="Calibri" w:eastAsia="Times New Roman" w:hAnsi="Calibri" w:cs="Times New Roman"/>
          <w:b/>
          <w:bCs/>
          <w:kern w:val="32"/>
          <w:sz w:val="24"/>
          <w:szCs w:val="24"/>
        </w:rPr>
        <w:t>.12</w:t>
      </w:r>
      <w:r w:rsidRPr="003716E1">
        <w:rPr>
          <w:rFonts w:ascii="Calibri" w:eastAsia="Times New Roman" w:hAnsi="Calibri" w:cs="Times New Roman"/>
          <w:b/>
          <w:bCs/>
          <w:kern w:val="32"/>
          <w:sz w:val="24"/>
          <w:szCs w:val="24"/>
        </w:rPr>
        <w:tab/>
        <w:t>Estimates of Annualized Burden Hours and Costs</w:t>
      </w:r>
      <w:bookmarkEnd w:id="12"/>
    </w:p>
    <w:p w14:paraId="1E5B6BE2"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bCs/>
          <w:sz w:val="24"/>
          <w:szCs w:val="24"/>
        </w:rPr>
      </w:pPr>
    </w:p>
    <w:p w14:paraId="34466D0F" w14:textId="77777777" w:rsidR="003716E1" w:rsidRPr="003716E1" w:rsidRDefault="003716E1" w:rsidP="003716E1">
      <w:pPr>
        <w:tabs>
          <w:tab w:val="left" w:pos="720"/>
        </w:tabs>
        <w:autoSpaceDE w:val="0"/>
        <w:autoSpaceDN w:val="0"/>
        <w:adjustRightInd w:val="0"/>
        <w:spacing w:after="0" w:line="240" w:lineRule="auto"/>
        <w:ind w:left="1080" w:hanging="1080"/>
        <w:rPr>
          <w:rFonts w:ascii="Calibri" w:eastAsia="Times New Roman" w:hAnsi="Calibri" w:cs="Times New Roman"/>
          <w:sz w:val="24"/>
          <w:szCs w:val="24"/>
        </w:rPr>
      </w:pPr>
      <w:r w:rsidRPr="003716E1">
        <w:rPr>
          <w:rFonts w:ascii="Calibri" w:eastAsia="Times New Roman" w:hAnsi="Calibri" w:cs="Times New Roman"/>
          <w:b/>
          <w:bCs/>
          <w:sz w:val="24"/>
          <w:szCs w:val="24"/>
        </w:rPr>
        <w:tab/>
        <w:t>A.</w:t>
      </w:r>
      <w:r w:rsidRPr="003716E1">
        <w:rPr>
          <w:rFonts w:ascii="Calibri" w:eastAsia="Times New Roman" w:hAnsi="Calibri" w:cs="Times New Roman"/>
          <w:b/>
          <w:bCs/>
          <w:sz w:val="24"/>
          <w:szCs w:val="24"/>
        </w:rPr>
        <w:tab/>
        <w:t>Estimated Annual Burden Hours</w:t>
      </w:r>
    </w:p>
    <w:p w14:paraId="0CD29585"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7C5372E6" w14:textId="42A92E4D" w:rsidR="005010C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The burden estimates were derived in the following manner. A total of seven OMSHR employees completed the </w:t>
      </w:r>
      <w:r w:rsidR="00F24569">
        <w:rPr>
          <w:rFonts w:ascii="Calibri" w:eastAsia="Times New Roman" w:hAnsi="Calibri" w:cs="Times New Roman"/>
          <w:sz w:val="24"/>
          <w:szCs w:val="24"/>
        </w:rPr>
        <w:t>MIWS</w:t>
      </w:r>
      <w:r w:rsidRPr="003716E1">
        <w:rPr>
          <w:rFonts w:ascii="Calibri" w:eastAsia="Times New Roman" w:hAnsi="Calibri" w:cs="Times New Roman"/>
          <w:sz w:val="24"/>
          <w:szCs w:val="24"/>
        </w:rPr>
        <w:t xml:space="preserve"> using mine sizes ranging from small to large. In addition, </w:t>
      </w:r>
      <w:r w:rsidR="005010C1">
        <w:rPr>
          <w:rFonts w:ascii="Calibri" w:eastAsia="Times New Roman" w:hAnsi="Calibri" w:cs="Times New Roman"/>
          <w:sz w:val="24"/>
          <w:szCs w:val="24"/>
        </w:rPr>
        <w:t>less than 10</w:t>
      </w:r>
      <w:r w:rsidRPr="003716E1">
        <w:rPr>
          <w:rFonts w:ascii="Calibri" w:eastAsia="Times New Roman" w:hAnsi="Calibri" w:cs="Times New Roman"/>
          <w:sz w:val="24"/>
          <w:szCs w:val="24"/>
        </w:rPr>
        <w:t xml:space="preserve"> contractor staff also provided time estimates for filling out the survey. </w:t>
      </w:r>
    </w:p>
    <w:p w14:paraId="1420DD4E" w14:textId="77777777" w:rsidR="005010C1" w:rsidRDefault="005010C1" w:rsidP="003716E1">
      <w:pPr>
        <w:autoSpaceDE w:val="0"/>
        <w:autoSpaceDN w:val="0"/>
        <w:adjustRightInd w:val="0"/>
        <w:spacing w:after="0" w:line="240" w:lineRule="auto"/>
        <w:rPr>
          <w:rFonts w:ascii="Calibri" w:eastAsia="Times New Roman" w:hAnsi="Calibri" w:cs="Times New Roman"/>
          <w:sz w:val="24"/>
          <w:szCs w:val="24"/>
        </w:rPr>
      </w:pPr>
    </w:p>
    <w:p w14:paraId="4F1A0D47" w14:textId="547D9317" w:rsidR="009A0186" w:rsidRDefault="003716E1" w:rsidP="003716E1">
      <w:pPr>
        <w:autoSpaceDE w:val="0"/>
        <w:autoSpaceDN w:val="0"/>
        <w:adjustRightInd w:val="0"/>
        <w:spacing w:after="0" w:line="240" w:lineRule="auto"/>
        <w:rPr>
          <w:rFonts w:ascii="Calibri" w:hAnsi="Calibri"/>
          <w:sz w:val="24"/>
        </w:rPr>
      </w:pPr>
      <w:r w:rsidRPr="003716E1">
        <w:rPr>
          <w:rFonts w:ascii="Calibri" w:eastAsia="Times New Roman" w:hAnsi="Calibri" w:cs="Times New Roman"/>
          <w:sz w:val="24"/>
          <w:szCs w:val="24"/>
        </w:rPr>
        <w:t>Based on the stratification and sample size allocation plan d</w:t>
      </w:r>
      <w:r w:rsidR="0026619F">
        <w:rPr>
          <w:rFonts w:ascii="Calibri" w:eastAsia="Times New Roman" w:hAnsi="Calibri" w:cs="Times New Roman"/>
          <w:sz w:val="24"/>
          <w:szCs w:val="24"/>
        </w:rPr>
        <w:t>eveloped for the MIWS using 2016 quarter 2 data</w:t>
      </w:r>
      <w:r w:rsidRPr="003716E1">
        <w:rPr>
          <w:rFonts w:ascii="Calibri" w:eastAsia="Times New Roman" w:hAnsi="Calibri" w:cs="Times New Roman"/>
          <w:sz w:val="24"/>
          <w:szCs w:val="24"/>
        </w:rPr>
        <w:t xml:space="preserve"> </w:t>
      </w:r>
      <w:r w:rsidR="0026619F" w:rsidRPr="005970BE">
        <w:rPr>
          <w:rFonts w:ascii="Calibri" w:hAnsi="Calibri"/>
          <w:sz w:val="24"/>
        </w:rPr>
        <w:t>11% of underground stone mines, 16%</w:t>
      </w:r>
      <w:r w:rsidR="009A515E" w:rsidRPr="005970BE">
        <w:rPr>
          <w:rFonts w:ascii="Calibri" w:hAnsi="Calibri"/>
          <w:sz w:val="24"/>
        </w:rPr>
        <w:t xml:space="preserve"> </w:t>
      </w:r>
      <w:r w:rsidR="0026619F" w:rsidRPr="005970BE">
        <w:rPr>
          <w:rFonts w:ascii="Calibri" w:hAnsi="Calibri"/>
          <w:sz w:val="24"/>
        </w:rPr>
        <w:t xml:space="preserve">of surface stone mines, 86% </w:t>
      </w:r>
      <w:r w:rsidRPr="005970BE">
        <w:rPr>
          <w:rFonts w:ascii="Calibri" w:hAnsi="Calibri"/>
          <w:sz w:val="24"/>
        </w:rPr>
        <w:t>of sand and gravel mines</w:t>
      </w:r>
      <w:r w:rsidR="0026619F" w:rsidRPr="005970BE">
        <w:rPr>
          <w:rFonts w:ascii="Calibri" w:hAnsi="Calibri"/>
          <w:sz w:val="24"/>
        </w:rPr>
        <w:t xml:space="preserve">, 40% of underground metal mines, 41% of surface metal mines, 29% </w:t>
      </w:r>
      <w:r w:rsidR="000B4EA1" w:rsidRPr="005970BE">
        <w:rPr>
          <w:rFonts w:ascii="Calibri" w:hAnsi="Calibri"/>
          <w:sz w:val="24"/>
        </w:rPr>
        <w:t>of</w:t>
      </w:r>
      <w:r w:rsidR="0026619F" w:rsidRPr="005970BE">
        <w:rPr>
          <w:rFonts w:ascii="Calibri" w:hAnsi="Calibri"/>
          <w:sz w:val="24"/>
        </w:rPr>
        <w:t xml:space="preserve"> underground nonmetal mines, 56% of surface nonmetal mines, 28% </w:t>
      </w:r>
      <w:r w:rsidR="000B4EA1" w:rsidRPr="005970BE">
        <w:rPr>
          <w:rFonts w:ascii="Calibri" w:hAnsi="Calibri"/>
          <w:sz w:val="24"/>
        </w:rPr>
        <w:t>of</w:t>
      </w:r>
      <w:r w:rsidR="0026619F" w:rsidRPr="005970BE">
        <w:rPr>
          <w:rFonts w:ascii="Calibri" w:hAnsi="Calibri"/>
          <w:sz w:val="24"/>
        </w:rPr>
        <w:t xml:space="preserve"> underground coal mines, and 53%</w:t>
      </w:r>
      <w:r w:rsidR="000B4EA1" w:rsidRPr="005970BE">
        <w:rPr>
          <w:rFonts w:ascii="Calibri" w:hAnsi="Calibri"/>
          <w:sz w:val="24"/>
        </w:rPr>
        <w:t xml:space="preserve"> of surface</w:t>
      </w:r>
      <w:r w:rsidR="000B4EA1" w:rsidRPr="00CA2955">
        <w:rPr>
          <w:rFonts w:ascii="Calibri" w:hAnsi="Calibri"/>
          <w:sz w:val="24"/>
        </w:rPr>
        <w:t xml:space="preserve"> coal mines </w:t>
      </w:r>
      <w:r w:rsidRPr="00CA2955">
        <w:rPr>
          <w:rFonts w:ascii="Calibri" w:hAnsi="Calibri"/>
          <w:sz w:val="24"/>
        </w:rPr>
        <w:t>have fewer than 10 employees.</w:t>
      </w:r>
      <w:r w:rsidRPr="00164549">
        <w:rPr>
          <w:rFonts w:ascii="Calibri" w:eastAsia="Times New Roman" w:hAnsi="Calibri" w:cs="Times New Roman"/>
          <w:sz w:val="24"/>
          <w:szCs w:val="24"/>
        </w:rPr>
        <w:t xml:space="preserve"> </w:t>
      </w:r>
      <w:r w:rsidRPr="00CA2955">
        <w:rPr>
          <w:rFonts w:ascii="Calibri" w:hAnsi="Calibri"/>
          <w:sz w:val="24"/>
        </w:rPr>
        <w:t xml:space="preserve">Mines with 10 or fewer employees will not have to do any sampling as they will be asked to provide data for all of their employees. Small mines will require up to 45 minutes to complete the survey. Mines with 11 or more employees will need up to 1.5 hours given their need to generate an employee roster and sample </w:t>
      </w:r>
      <w:r w:rsidR="009A515E">
        <w:rPr>
          <w:rFonts w:ascii="Calibri" w:hAnsi="Calibri"/>
          <w:sz w:val="24"/>
        </w:rPr>
        <w:t>up to 15</w:t>
      </w:r>
      <w:r w:rsidRPr="00CA2955">
        <w:rPr>
          <w:rFonts w:ascii="Calibri" w:hAnsi="Calibri"/>
          <w:sz w:val="24"/>
        </w:rPr>
        <w:t xml:space="preserve"> of their employees. Thus, NIOSH is estimating that the average annual burden to complete the </w:t>
      </w:r>
      <w:r w:rsidR="009A0186">
        <w:rPr>
          <w:rFonts w:ascii="Calibri" w:hAnsi="Calibri"/>
          <w:sz w:val="24"/>
        </w:rPr>
        <w:t xml:space="preserve">MIWS mine-level </w:t>
      </w:r>
      <w:r w:rsidRPr="00CA2955">
        <w:rPr>
          <w:rFonts w:ascii="Calibri" w:hAnsi="Calibri"/>
          <w:sz w:val="24"/>
        </w:rPr>
        <w:t>survey will be 1 hour</w:t>
      </w:r>
      <w:r w:rsidR="008C3602">
        <w:rPr>
          <w:rFonts w:ascii="Calibri" w:hAnsi="Calibri"/>
          <w:sz w:val="24"/>
        </w:rPr>
        <w:t xml:space="preserve"> for the hardcopy questionnaire (</w:t>
      </w:r>
      <w:r w:rsidR="003B6F38">
        <w:rPr>
          <w:rFonts w:ascii="Calibri" w:hAnsi="Calibri"/>
          <w:b/>
          <w:sz w:val="24"/>
        </w:rPr>
        <w:t>Attachment D</w:t>
      </w:r>
      <w:r w:rsidR="008C3602">
        <w:rPr>
          <w:rFonts w:ascii="Calibri" w:hAnsi="Calibri"/>
          <w:sz w:val="24"/>
        </w:rPr>
        <w:t>)</w:t>
      </w:r>
      <w:r w:rsidR="003B6F38">
        <w:rPr>
          <w:rFonts w:ascii="Calibri" w:hAnsi="Calibri"/>
          <w:sz w:val="24"/>
        </w:rPr>
        <w:t xml:space="preserve"> and 45 minutes </w:t>
      </w:r>
      <w:r w:rsidR="00A96FBD">
        <w:rPr>
          <w:rFonts w:ascii="Calibri" w:hAnsi="Calibri"/>
          <w:sz w:val="24"/>
        </w:rPr>
        <w:t xml:space="preserve">for the web-based </w:t>
      </w:r>
      <w:r w:rsidR="006A4C7A">
        <w:rPr>
          <w:rFonts w:ascii="Calibri" w:hAnsi="Calibri"/>
          <w:sz w:val="24"/>
        </w:rPr>
        <w:t>questionnaire</w:t>
      </w:r>
      <w:r w:rsidR="008C3602">
        <w:rPr>
          <w:rFonts w:ascii="Calibri" w:hAnsi="Calibri"/>
          <w:sz w:val="24"/>
        </w:rPr>
        <w:t xml:space="preserve"> (</w:t>
      </w:r>
      <w:r w:rsidR="003B6F38">
        <w:rPr>
          <w:rFonts w:ascii="Calibri" w:hAnsi="Calibri"/>
          <w:b/>
          <w:sz w:val="24"/>
        </w:rPr>
        <w:t>Attachment F</w:t>
      </w:r>
      <w:r w:rsidR="008C3602">
        <w:rPr>
          <w:rFonts w:ascii="Calibri" w:hAnsi="Calibri"/>
          <w:sz w:val="24"/>
        </w:rPr>
        <w:t>)</w:t>
      </w:r>
      <w:r w:rsidRPr="00070FD2">
        <w:rPr>
          <w:rFonts w:ascii="Calibri" w:hAnsi="Calibri"/>
          <w:sz w:val="24"/>
        </w:rPr>
        <w:t>.</w:t>
      </w:r>
    </w:p>
    <w:p w14:paraId="68758798" w14:textId="77777777" w:rsidR="009A0186" w:rsidRDefault="009A0186" w:rsidP="003716E1">
      <w:pPr>
        <w:autoSpaceDE w:val="0"/>
        <w:autoSpaceDN w:val="0"/>
        <w:adjustRightInd w:val="0"/>
        <w:spacing w:after="0" w:line="240" w:lineRule="auto"/>
        <w:rPr>
          <w:rFonts w:ascii="Calibri" w:hAnsi="Calibri"/>
          <w:sz w:val="24"/>
        </w:rPr>
      </w:pPr>
    </w:p>
    <w:p w14:paraId="05BEC438" w14:textId="1666FFD2" w:rsidR="003716E1" w:rsidRPr="003716E1" w:rsidRDefault="003B6F38" w:rsidP="003716E1">
      <w:pPr>
        <w:autoSpaceDE w:val="0"/>
        <w:autoSpaceDN w:val="0"/>
        <w:adjustRightInd w:val="0"/>
        <w:spacing w:after="0" w:line="240" w:lineRule="auto"/>
        <w:rPr>
          <w:rFonts w:ascii="Calibri" w:eastAsia="Times New Roman" w:hAnsi="Calibri" w:cs="Times New Roman"/>
          <w:sz w:val="24"/>
          <w:szCs w:val="24"/>
        </w:rPr>
      </w:pPr>
      <w:r>
        <w:rPr>
          <w:rFonts w:ascii="Calibri" w:hAnsi="Calibri"/>
          <w:sz w:val="24"/>
        </w:rPr>
        <w:t>NIOSH estimates that 50</w:t>
      </w:r>
      <w:r w:rsidR="00B34612">
        <w:rPr>
          <w:rFonts w:ascii="Calibri" w:hAnsi="Calibri"/>
          <w:sz w:val="24"/>
        </w:rPr>
        <w:t>%</w:t>
      </w:r>
      <w:r w:rsidR="00A96FBD">
        <w:rPr>
          <w:rFonts w:ascii="Calibri" w:hAnsi="Calibri"/>
          <w:sz w:val="24"/>
        </w:rPr>
        <w:t xml:space="preserve"> of the </w:t>
      </w:r>
      <w:r>
        <w:rPr>
          <w:rFonts w:ascii="Calibri" w:hAnsi="Calibri"/>
          <w:sz w:val="24"/>
        </w:rPr>
        <w:t xml:space="preserve">sampled mines </w:t>
      </w:r>
      <w:r w:rsidR="00A96FBD">
        <w:rPr>
          <w:rFonts w:ascii="Calibri" w:hAnsi="Calibri"/>
          <w:sz w:val="24"/>
        </w:rPr>
        <w:t xml:space="preserve">will choose the </w:t>
      </w:r>
      <w:r w:rsidR="00A96FBD" w:rsidRPr="003B6F38">
        <w:rPr>
          <w:rFonts w:ascii="Calibri" w:hAnsi="Calibri"/>
          <w:sz w:val="24"/>
        </w:rPr>
        <w:t xml:space="preserve">web-based </w:t>
      </w:r>
      <w:r w:rsidR="006A4C7A" w:rsidRPr="003B6F38">
        <w:rPr>
          <w:rFonts w:ascii="Calibri" w:hAnsi="Calibri"/>
          <w:sz w:val="24"/>
        </w:rPr>
        <w:t>questionnaire</w:t>
      </w:r>
      <w:r w:rsidR="00A96FBD" w:rsidRPr="003B6F38">
        <w:rPr>
          <w:rFonts w:ascii="Calibri" w:hAnsi="Calibri"/>
          <w:sz w:val="24"/>
        </w:rPr>
        <w:t>.</w:t>
      </w:r>
    </w:p>
    <w:p w14:paraId="027A54F7"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2A1A392F" w14:textId="433478D3" w:rsidR="003716E1" w:rsidRPr="003716E1" w:rsidRDefault="00062BE8" w:rsidP="003716E1">
      <w:pPr>
        <w:autoSpaceDE w:val="0"/>
        <w:autoSpaceDN w:val="0"/>
        <w:adjustRightInd w:val="0"/>
        <w:spacing w:after="0" w:line="240" w:lineRule="auto"/>
        <w:rPr>
          <w:rFonts w:ascii="Calibri" w:eastAsia="Times New Roman" w:hAnsi="Calibri" w:cs="Times New Roman"/>
          <w:sz w:val="24"/>
          <w:szCs w:val="24"/>
        </w:rPr>
      </w:pPr>
      <w:r w:rsidRPr="00A837EE">
        <w:rPr>
          <w:rFonts w:ascii="Calibri" w:eastAsia="Times New Roman" w:hAnsi="Calibri" w:cs="Times New Roman"/>
          <w:sz w:val="24"/>
          <w:szCs w:val="24"/>
        </w:rPr>
        <w:t xml:space="preserve">The MIWS will use a </w:t>
      </w:r>
      <w:r w:rsidR="009C4993" w:rsidRPr="00A837EE">
        <w:rPr>
          <w:rFonts w:ascii="Calibri" w:eastAsia="Times New Roman" w:hAnsi="Calibri" w:cs="Times New Roman"/>
          <w:sz w:val="24"/>
          <w:szCs w:val="24"/>
        </w:rPr>
        <w:t>telephone script</w:t>
      </w:r>
      <w:r w:rsidRPr="00A837EE">
        <w:rPr>
          <w:rFonts w:ascii="Calibri" w:eastAsia="Times New Roman" w:hAnsi="Calibri" w:cs="Times New Roman"/>
          <w:sz w:val="24"/>
          <w:szCs w:val="24"/>
        </w:rPr>
        <w:t xml:space="preserve"> </w:t>
      </w:r>
      <w:r w:rsidR="009C4993" w:rsidRPr="00A837EE">
        <w:rPr>
          <w:rFonts w:ascii="Calibri" w:eastAsia="Times New Roman" w:hAnsi="Calibri" w:cs="Times New Roman"/>
          <w:sz w:val="24"/>
          <w:szCs w:val="24"/>
        </w:rPr>
        <w:t>to establish contact with the sampled mines</w:t>
      </w:r>
      <w:r w:rsidRPr="00A837EE">
        <w:rPr>
          <w:rFonts w:ascii="Calibri" w:eastAsia="Times New Roman" w:hAnsi="Calibri" w:cs="Times New Roman"/>
          <w:sz w:val="24"/>
          <w:szCs w:val="24"/>
        </w:rPr>
        <w:t xml:space="preserve">, </w:t>
      </w:r>
      <w:r w:rsidR="009C4993" w:rsidRPr="00A837EE">
        <w:rPr>
          <w:rFonts w:ascii="Calibri" w:eastAsia="Times New Roman" w:hAnsi="Calibri" w:cs="Times New Roman"/>
          <w:sz w:val="24"/>
          <w:szCs w:val="24"/>
        </w:rPr>
        <w:t xml:space="preserve">introduce the </w:t>
      </w:r>
      <w:r w:rsidRPr="00A837EE">
        <w:rPr>
          <w:rFonts w:ascii="Calibri" w:eastAsia="Times New Roman" w:hAnsi="Calibri" w:cs="Times New Roman"/>
          <w:sz w:val="24"/>
          <w:szCs w:val="24"/>
        </w:rPr>
        <w:t xml:space="preserve">survey, determine if the mine is eligible to participate, follow up on survey mailings, and probe for reasons of nonresponse </w:t>
      </w:r>
      <w:r w:rsidRPr="00A837EE">
        <w:rPr>
          <w:rFonts w:ascii="Calibri" w:eastAsia="Times New Roman" w:hAnsi="Calibri" w:cs="Times New Roman"/>
          <w:b/>
          <w:sz w:val="24"/>
          <w:szCs w:val="24"/>
        </w:rPr>
        <w:t>(Attachment J).</w:t>
      </w:r>
      <w:r w:rsidRPr="00A837EE">
        <w:rPr>
          <w:rFonts w:ascii="Calibri" w:eastAsia="Times New Roman" w:hAnsi="Calibri" w:cs="Times New Roman"/>
          <w:sz w:val="24"/>
          <w:szCs w:val="24"/>
        </w:rPr>
        <w:t xml:space="preserve"> </w:t>
      </w:r>
      <w:r w:rsidR="003716E1" w:rsidRPr="00A837EE">
        <w:rPr>
          <w:rFonts w:ascii="Calibri" w:eastAsia="Times New Roman" w:hAnsi="Calibri" w:cs="Times New Roman"/>
          <w:sz w:val="24"/>
          <w:szCs w:val="24"/>
        </w:rPr>
        <w:t>Non-</w:t>
      </w:r>
      <w:r w:rsidR="003716E1" w:rsidRPr="003716E1">
        <w:rPr>
          <w:rFonts w:ascii="Calibri" w:eastAsia="Times New Roman" w:hAnsi="Calibri" w:cs="Times New Roman"/>
          <w:sz w:val="24"/>
          <w:szCs w:val="24"/>
        </w:rPr>
        <w:t>responding mines will be asked to complete the Nonresponse Survey</w:t>
      </w:r>
      <w:r w:rsidR="001753A6">
        <w:rPr>
          <w:rFonts w:ascii="Calibri" w:eastAsia="Times New Roman" w:hAnsi="Calibri" w:cs="Times New Roman"/>
          <w:sz w:val="24"/>
          <w:szCs w:val="24"/>
        </w:rPr>
        <w:t>,</w:t>
      </w:r>
      <w:r w:rsidR="003716E1" w:rsidRPr="003716E1">
        <w:rPr>
          <w:rFonts w:ascii="Calibri" w:eastAsia="Times New Roman" w:hAnsi="Calibri" w:cs="Times New Roman"/>
          <w:sz w:val="24"/>
          <w:szCs w:val="24"/>
        </w:rPr>
        <w:t xml:space="preserve"> which consists of only seven questions</w:t>
      </w:r>
      <w:r w:rsidR="008C3602">
        <w:rPr>
          <w:rFonts w:ascii="Calibri" w:eastAsia="Times New Roman" w:hAnsi="Calibri" w:cs="Times New Roman"/>
          <w:sz w:val="24"/>
          <w:szCs w:val="24"/>
        </w:rPr>
        <w:t xml:space="preserve"> (</w:t>
      </w:r>
      <w:r w:rsidR="00A837EE">
        <w:rPr>
          <w:rFonts w:ascii="Calibri" w:eastAsia="Times New Roman" w:hAnsi="Calibri" w:cs="Times New Roman"/>
          <w:b/>
          <w:sz w:val="24"/>
          <w:szCs w:val="24"/>
        </w:rPr>
        <w:t>Attachment K</w:t>
      </w:r>
      <w:r w:rsidR="008C3602">
        <w:rPr>
          <w:rFonts w:ascii="Calibri" w:eastAsia="Times New Roman" w:hAnsi="Calibri" w:cs="Times New Roman"/>
          <w:sz w:val="24"/>
          <w:szCs w:val="24"/>
        </w:rPr>
        <w:t>)</w:t>
      </w:r>
      <w:r w:rsidR="003716E1" w:rsidRPr="003716E1">
        <w:rPr>
          <w:rFonts w:ascii="Calibri" w:eastAsia="Times New Roman" w:hAnsi="Calibri" w:cs="Times New Roman"/>
          <w:sz w:val="24"/>
          <w:szCs w:val="24"/>
        </w:rPr>
        <w:t>.</w:t>
      </w:r>
      <w:r w:rsidR="007F69A3">
        <w:rPr>
          <w:rFonts w:ascii="Calibri" w:eastAsia="Times New Roman" w:hAnsi="Calibri" w:cs="Times New Roman"/>
          <w:sz w:val="24"/>
          <w:szCs w:val="24"/>
        </w:rPr>
        <w:t xml:space="preserve"> The Nonresponse Survey consists of questions about why the sample mine chose not to participate in the survey, the employment status of the mine, and suggestions that may help NIOSH maximize participation in future surveys.</w:t>
      </w:r>
      <w:r w:rsidR="003716E1" w:rsidRPr="003716E1">
        <w:rPr>
          <w:rFonts w:ascii="Calibri" w:eastAsia="Times New Roman" w:hAnsi="Calibri" w:cs="Times New Roman"/>
          <w:sz w:val="24"/>
          <w:szCs w:val="24"/>
        </w:rPr>
        <w:t xml:space="preserve"> NIOSH estimates that the burden for </w:t>
      </w:r>
      <w:r>
        <w:rPr>
          <w:rFonts w:ascii="Calibri" w:eastAsia="Times New Roman" w:hAnsi="Calibri" w:cs="Times New Roman"/>
          <w:sz w:val="24"/>
          <w:szCs w:val="24"/>
        </w:rPr>
        <w:t xml:space="preserve">the Telephone Script will be 5 minutes and the burden for the brief Nonresponse Survey </w:t>
      </w:r>
      <w:r w:rsidR="003716E1" w:rsidRPr="003716E1">
        <w:rPr>
          <w:rFonts w:ascii="Calibri" w:eastAsia="Times New Roman" w:hAnsi="Calibri" w:cs="Times New Roman"/>
          <w:sz w:val="24"/>
          <w:szCs w:val="24"/>
        </w:rPr>
        <w:t>will be 10 minutes or less.</w:t>
      </w:r>
    </w:p>
    <w:p w14:paraId="4B10956B"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56411671" w14:textId="68DE5052" w:rsidR="003716E1" w:rsidRPr="003716E1" w:rsidRDefault="005010C1" w:rsidP="003716E1">
      <w:pPr>
        <w:autoSpaceDE w:val="0"/>
        <w:autoSpaceDN w:val="0"/>
        <w:adjustRightInd w:val="0"/>
        <w:spacing w:after="0" w:line="240" w:lineRule="auto"/>
        <w:rPr>
          <w:rFonts w:ascii="Calibri" w:eastAsia="Times New Roman" w:hAnsi="Calibri" w:cs="Times New Roman"/>
          <w:sz w:val="24"/>
          <w:szCs w:val="24"/>
        </w:rPr>
      </w:pPr>
      <w:r w:rsidRPr="008751F9">
        <w:rPr>
          <w:rFonts w:ascii="Calibri" w:eastAsia="Times New Roman" w:hAnsi="Calibri" w:cs="Times New Roman"/>
          <w:sz w:val="24"/>
          <w:szCs w:val="24"/>
        </w:rPr>
        <w:t>For annualized estimates, the number of respondents from the sector with the highest number of mines to be appro</w:t>
      </w:r>
      <w:r w:rsidR="00B569D2" w:rsidRPr="008751F9">
        <w:rPr>
          <w:rFonts w:ascii="Calibri" w:eastAsia="Times New Roman" w:hAnsi="Calibri" w:cs="Times New Roman"/>
          <w:sz w:val="24"/>
          <w:szCs w:val="24"/>
        </w:rPr>
        <w:t>ached (n=1,075</w:t>
      </w:r>
      <w:r w:rsidR="00D95E53" w:rsidRPr="008751F9">
        <w:rPr>
          <w:rFonts w:ascii="Calibri" w:eastAsia="Times New Roman" w:hAnsi="Calibri" w:cs="Times New Roman"/>
          <w:sz w:val="24"/>
          <w:szCs w:val="24"/>
        </w:rPr>
        <w:t>) are used (</w:t>
      </w:r>
      <w:r w:rsidR="00C97D35" w:rsidRPr="008751F9">
        <w:rPr>
          <w:rFonts w:ascii="Calibri" w:eastAsia="Times New Roman" w:hAnsi="Calibri" w:cs="Times New Roman"/>
          <w:sz w:val="24"/>
          <w:szCs w:val="24"/>
        </w:rPr>
        <w:t xml:space="preserve">stone, </w:t>
      </w:r>
      <w:r w:rsidRPr="008751F9">
        <w:rPr>
          <w:rFonts w:ascii="Calibri" w:eastAsia="Times New Roman" w:hAnsi="Calibri" w:cs="Times New Roman"/>
          <w:sz w:val="24"/>
          <w:szCs w:val="24"/>
        </w:rPr>
        <w:t>sand</w:t>
      </w:r>
      <w:r w:rsidR="00C97D35" w:rsidRPr="008751F9">
        <w:rPr>
          <w:rFonts w:ascii="Calibri" w:eastAsia="Times New Roman" w:hAnsi="Calibri" w:cs="Times New Roman"/>
          <w:sz w:val="24"/>
          <w:szCs w:val="24"/>
        </w:rPr>
        <w:t>,</w:t>
      </w:r>
      <w:r w:rsidRPr="008751F9">
        <w:rPr>
          <w:rFonts w:ascii="Calibri" w:eastAsia="Times New Roman" w:hAnsi="Calibri" w:cs="Times New Roman"/>
          <w:sz w:val="24"/>
          <w:szCs w:val="24"/>
        </w:rPr>
        <w:t xml:space="preserve"> and gravel mines)</w:t>
      </w:r>
      <w:r w:rsidR="00C97D35" w:rsidRPr="008751F9">
        <w:rPr>
          <w:rFonts w:ascii="Calibri" w:eastAsia="Times New Roman" w:hAnsi="Calibri" w:cs="Times New Roman"/>
          <w:sz w:val="24"/>
          <w:szCs w:val="24"/>
        </w:rPr>
        <w:t xml:space="preserve"> to ensure sufficient burden hours are approved for all three years</w:t>
      </w:r>
      <w:r w:rsidRPr="008751F9">
        <w:rPr>
          <w:rFonts w:ascii="Calibri" w:eastAsia="Times New Roman" w:hAnsi="Calibri" w:cs="Times New Roman"/>
          <w:sz w:val="24"/>
          <w:szCs w:val="24"/>
        </w:rPr>
        <w:t xml:space="preserve">. </w:t>
      </w:r>
      <w:r w:rsidR="003716E1" w:rsidRPr="008751F9">
        <w:rPr>
          <w:rFonts w:ascii="Calibri" w:eastAsia="Times New Roman" w:hAnsi="Calibri" w:cs="Times New Roman"/>
          <w:sz w:val="24"/>
          <w:szCs w:val="24"/>
        </w:rPr>
        <w:t>The burden data are calcu</w:t>
      </w:r>
      <w:r w:rsidR="00B569D2" w:rsidRPr="008751F9">
        <w:rPr>
          <w:rFonts w:ascii="Calibri" w:eastAsia="Times New Roman" w:hAnsi="Calibri" w:cs="Times New Roman"/>
          <w:sz w:val="24"/>
          <w:szCs w:val="24"/>
        </w:rPr>
        <w:t>lated based on a 40%</w:t>
      </w:r>
      <w:r w:rsidR="003716E1" w:rsidRPr="008751F9">
        <w:rPr>
          <w:rFonts w:ascii="Calibri" w:eastAsia="Times New Roman" w:hAnsi="Calibri" w:cs="Times New Roman"/>
          <w:sz w:val="24"/>
          <w:szCs w:val="24"/>
        </w:rPr>
        <w:t xml:space="preserve"> response rate for the sampled mines</w:t>
      </w:r>
      <w:r w:rsidR="00B569D2" w:rsidRPr="008751F9">
        <w:rPr>
          <w:rFonts w:ascii="Calibri" w:eastAsia="Times New Roman" w:hAnsi="Calibri" w:cs="Times New Roman"/>
          <w:sz w:val="24"/>
          <w:szCs w:val="24"/>
        </w:rPr>
        <w:t xml:space="preserve"> (n=430</w:t>
      </w:r>
      <w:r w:rsidRPr="008751F9">
        <w:rPr>
          <w:rFonts w:ascii="Calibri" w:eastAsia="Times New Roman" w:hAnsi="Calibri" w:cs="Times New Roman"/>
          <w:sz w:val="24"/>
          <w:szCs w:val="24"/>
        </w:rPr>
        <w:t>)</w:t>
      </w:r>
      <w:r w:rsidR="0003269B" w:rsidRPr="008751F9">
        <w:rPr>
          <w:rFonts w:ascii="Calibri" w:eastAsia="Times New Roman" w:hAnsi="Calibri" w:cs="Times New Roman"/>
          <w:sz w:val="24"/>
          <w:szCs w:val="24"/>
        </w:rPr>
        <w:t xml:space="preserve"> (</w:t>
      </w:r>
      <w:r w:rsidR="006440DD" w:rsidRPr="008751F9">
        <w:rPr>
          <w:rFonts w:ascii="Calibri" w:eastAsia="Times New Roman" w:hAnsi="Calibri" w:cs="Times New Roman"/>
          <w:b/>
          <w:sz w:val="24"/>
          <w:szCs w:val="24"/>
        </w:rPr>
        <w:t>Attachment G</w:t>
      </w:r>
      <w:r w:rsidR="0003269B" w:rsidRPr="008751F9">
        <w:rPr>
          <w:rFonts w:ascii="Calibri" w:eastAsia="Times New Roman" w:hAnsi="Calibri" w:cs="Times New Roman"/>
          <w:sz w:val="24"/>
          <w:szCs w:val="24"/>
        </w:rPr>
        <w:t>)</w:t>
      </w:r>
      <w:r w:rsidR="008751F9" w:rsidRPr="008751F9">
        <w:rPr>
          <w:rFonts w:ascii="Calibri" w:eastAsia="Times New Roman" w:hAnsi="Calibri" w:cs="Times New Roman"/>
          <w:sz w:val="24"/>
          <w:szCs w:val="24"/>
        </w:rPr>
        <w:t xml:space="preserve"> with 50% completing</w:t>
      </w:r>
      <w:r w:rsidR="008751F9">
        <w:rPr>
          <w:rFonts w:ascii="Calibri" w:eastAsia="Times New Roman" w:hAnsi="Calibri" w:cs="Times New Roman"/>
          <w:sz w:val="24"/>
          <w:szCs w:val="24"/>
        </w:rPr>
        <w:t xml:space="preserve"> the hardcopy survey and 50% completing the web-based survey</w:t>
      </w:r>
      <w:r w:rsidR="003716E1" w:rsidRPr="003716E1">
        <w:rPr>
          <w:rFonts w:ascii="Calibri" w:eastAsia="Times New Roman" w:hAnsi="Calibri" w:cs="Times New Roman"/>
          <w:sz w:val="24"/>
          <w:szCs w:val="24"/>
        </w:rPr>
        <w:t xml:space="preserve">. </w:t>
      </w:r>
      <w:r>
        <w:rPr>
          <w:rFonts w:ascii="Calibri" w:eastAsia="Times New Roman" w:hAnsi="Calibri" w:cs="Times New Roman"/>
          <w:sz w:val="24"/>
          <w:szCs w:val="24"/>
        </w:rPr>
        <w:t xml:space="preserve">This </w:t>
      </w:r>
      <w:r w:rsidR="003716E1" w:rsidRPr="003716E1">
        <w:rPr>
          <w:rFonts w:ascii="Calibri" w:eastAsia="Times New Roman" w:hAnsi="Calibri" w:cs="Times New Roman"/>
          <w:sz w:val="24"/>
          <w:szCs w:val="24"/>
        </w:rPr>
        <w:t>does not take into account that some sampled mines may not be eligible to participate in the survey (e.g., inactive, temporarily closed). The burden data are presented in Table A12-A.</w:t>
      </w:r>
    </w:p>
    <w:p w14:paraId="1A06CE76" w14:textId="77777777" w:rsid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22B3D71" w14:textId="77777777" w:rsidR="00C92B60" w:rsidRDefault="00C92B60" w:rsidP="003716E1">
      <w:pPr>
        <w:autoSpaceDE w:val="0"/>
        <w:autoSpaceDN w:val="0"/>
        <w:adjustRightInd w:val="0"/>
        <w:spacing w:after="0" w:line="240" w:lineRule="auto"/>
        <w:rPr>
          <w:rFonts w:ascii="Calibri" w:eastAsia="Times New Roman" w:hAnsi="Calibri" w:cs="Times New Roman"/>
          <w:sz w:val="24"/>
          <w:szCs w:val="24"/>
        </w:rPr>
      </w:pPr>
    </w:p>
    <w:p w14:paraId="1FE0D0D9" w14:textId="77777777" w:rsidR="00C92B60" w:rsidRDefault="00C92B60" w:rsidP="00C92B60">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Table A.12-A.  Estimated </w:t>
      </w:r>
      <w:r w:rsidR="00A53E02">
        <w:rPr>
          <w:rFonts w:ascii="Calibri" w:eastAsia="Times New Roman" w:hAnsi="Calibri" w:cs="Times New Roman"/>
          <w:b/>
          <w:sz w:val="24"/>
          <w:szCs w:val="24"/>
        </w:rPr>
        <w:t xml:space="preserve">Annualized </w:t>
      </w:r>
      <w:r>
        <w:rPr>
          <w:rFonts w:ascii="Calibri" w:eastAsia="Times New Roman" w:hAnsi="Calibri" w:cs="Times New Roman"/>
          <w:b/>
          <w:sz w:val="24"/>
          <w:szCs w:val="24"/>
        </w:rPr>
        <w:t>Burden Hours Based on NIOSH Testing and</w:t>
      </w:r>
    </w:p>
    <w:p w14:paraId="0EB8E289" w14:textId="77777777" w:rsidR="00C92B60" w:rsidRPr="00C92B60" w:rsidRDefault="00C92B60" w:rsidP="00C92B60">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Sample Size Allocation Plan</w:t>
      </w:r>
    </w:p>
    <w:tbl>
      <w:tblPr>
        <w:tblW w:w="9810" w:type="dxa"/>
        <w:jc w:val="center"/>
        <w:tblBorders>
          <w:bottom w:val="single" w:sz="6" w:space="0" w:color="000000"/>
          <w:insideH w:val="single" w:sz="6" w:space="0" w:color="000000"/>
          <w:insideV w:val="single" w:sz="6" w:space="0" w:color="000000"/>
        </w:tblBorders>
        <w:shd w:val="clear" w:color="auto" w:fill="FFFFFF"/>
        <w:tblLayout w:type="fixed"/>
        <w:tblCellMar>
          <w:left w:w="100" w:type="dxa"/>
          <w:right w:w="100" w:type="dxa"/>
        </w:tblCellMar>
        <w:tblLook w:val="0000" w:firstRow="0" w:lastRow="0" w:firstColumn="0" w:lastColumn="0" w:noHBand="0" w:noVBand="0"/>
      </w:tblPr>
      <w:tblGrid>
        <w:gridCol w:w="2250"/>
        <w:gridCol w:w="1530"/>
        <w:gridCol w:w="1530"/>
        <w:gridCol w:w="1890"/>
        <w:gridCol w:w="1260"/>
        <w:gridCol w:w="1350"/>
      </w:tblGrid>
      <w:tr w:rsidR="0039616C" w:rsidRPr="003716E1" w14:paraId="555F5F0B" w14:textId="77777777" w:rsidTr="00C92B60">
        <w:trPr>
          <w:cantSplit/>
          <w:jc w:val="center"/>
        </w:trPr>
        <w:tc>
          <w:tcPr>
            <w:tcW w:w="2250" w:type="dxa"/>
            <w:tcBorders>
              <w:top w:val="single" w:sz="6" w:space="0" w:color="000000"/>
              <w:left w:val="single" w:sz="6" w:space="0" w:color="000000"/>
            </w:tcBorders>
            <w:shd w:val="clear" w:color="auto" w:fill="E6E6E6"/>
            <w:vAlign w:val="bottom"/>
          </w:tcPr>
          <w:p w14:paraId="65D7631B"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Pr>
                <w:rFonts w:ascii="Calibri" w:eastAsia="Times New Roman" w:hAnsi="Calibri" w:cs="Times New Roman"/>
                <w:b/>
                <w:bCs/>
                <w:sz w:val="24"/>
                <w:szCs w:val="24"/>
              </w:rPr>
              <w:t>Type of R</w:t>
            </w:r>
            <w:r w:rsidRPr="003716E1">
              <w:rPr>
                <w:rFonts w:ascii="Calibri" w:eastAsia="Times New Roman" w:hAnsi="Calibri" w:cs="Times New Roman"/>
                <w:b/>
                <w:bCs/>
                <w:sz w:val="24"/>
                <w:szCs w:val="24"/>
              </w:rPr>
              <w:t>espondents</w:t>
            </w:r>
          </w:p>
        </w:tc>
        <w:tc>
          <w:tcPr>
            <w:tcW w:w="1530" w:type="dxa"/>
            <w:shd w:val="clear" w:color="auto" w:fill="E6E6E6"/>
          </w:tcPr>
          <w:p w14:paraId="1301EBA3" w14:textId="77777777" w:rsidR="0039616C"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p>
          <w:p w14:paraId="4BB9841C" w14:textId="77777777" w:rsidR="0039616C"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p>
          <w:p w14:paraId="270E1358" w14:textId="77777777" w:rsidR="0039616C"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p>
          <w:p w14:paraId="6208E365" w14:textId="77777777" w:rsidR="0039616C"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p>
          <w:p w14:paraId="0A087E06"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Form Name</w:t>
            </w:r>
          </w:p>
        </w:tc>
        <w:tc>
          <w:tcPr>
            <w:tcW w:w="1530" w:type="dxa"/>
            <w:shd w:val="clear" w:color="auto" w:fill="E6E6E6"/>
            <w:vAlign w:val="bottom"/>
          </w:tcPr>
          <w:p w14:paraId="02D767FA"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Number of Respondents</w:t>
            </w:r>
          </w:p>
        </w:tc>
        <w:tc>
          <w:tcPr>
            <w:tcW w:w="1890" w:type="dxa"/>
            <w:shd w:val="clear" w:color="auto" w:fill="E6E6E6"/>
            <w:vAlign w:val="bottom"/>
          </w:tcPr>
          <w:p w14:paraId="1CBC935A"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Number of Responses per Respondent</w:t>
            </w:r>
          </w:p>
        </w:tc>
        <w:tc>
          <w:tcPr>
            <w:tcW w:w="1260" w:type="dxa"/>
            <w:shd w:val="clear" w:color="auto" w:fill="E6E6E6"/>
            <w:vAlign w:val="bottom"/>
          </w:tcPr>
          <w:p w14:paraId="096D99A6"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r w:rsidRPr="003716E1">
              <w:rPr>
                <w:rFonts w:ascii="Calibri" w:eastAsia="Times New Roman" w:hAnsi="Calibri" w:cs="Times New Roman"/>
                <w:b/>
                <w:bCs/>
                <w:sz w:val="24"/>
                <w:szCs w:val="24"/>
              </w:rPr>
              <w:t>Average Burden per</w:t>
            </w:r>
          </w:p>
          <w:p w14:paraId="4CAC3764"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Response (in hours)</w:t>
            </w:r>
          </w:p>
        </w:tc>
        <w:tc>
          <w:tcPr>
            <w:tcW w:w="1350" w:type="dxa"/>
            <w:tcBorders>
              <w:top w:val="single" w:sz="6" w:space="0" w:color="000000"/>
              <w:right w:val="single" w:sz="6" w:space="0" w:color="000000"/>
            </w:tcBorders>
            <w:shd w:val="clear" w:color="auto" w:fill="E6E6E6"/>
            <w:vAlign w:val="bottom"/>
          </w:tcPr>
          <w:p w14:paraId="05D5D91D"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
                <w:bCs/>
                <w:sz w:val="24"/>
                <w:szCs w:val="24"/>
              </w:rPr>
            </w:pPr>
            <w:r w:rsidRPr="003716E1">
              <w:rPr>
                <w:rFonts w:ascii="Calibri" w:eastAsia="Times New Roman" w:hAnsi="Calibri" w:cs="Times New Roman"/>
                <w:b/>
                <w:bCs/>
                <w:sz w:val="24"/>
                <w:szCs w:val="24"/>
              </w:rPr>
              <w:t>Total</w:t>
            </w:r>
          </w:p>
          <w:p w14:paraId="77F6E295"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
                <w:bCs/>
                <w:sz w:val="24"/>
                <w:szCs w:val="24"/>
              </w:rPr>
              <w:t>Burden Hours</w:t>
            </w:r>
          </w:p>
        </w:tc>
      </w:tr>
      <w:tr w:rsidR="00B21388" w:rsidRPr="003716E1" w14:paraId="4333B96C" w14:textId="77777777" w:rsidTr="00B701DF">
        <w:trPr>
          <w:cantSplit/>
          <w:jc w:val="center"/>
        </w:trPr>
        <w:tc>
          <w:tcPr>
            <w:tcW w:w="2250" w:type="dxa"/>
            <w:vMerge w:val="restart"/>
            <w:tcBorders>
              <w:top w:val="single" w:sz="6" w:space="0" w:color="000000"/>
              <w:left w:val="single" w:sz="6" w:space="0" w:color="000000"/>
            </w:tcBorders>
            <w:shd w:val="clear" w:color="auto" w:fill="FFFFFF"/>
            <w:vAlign w:val="center"/>
          </w:tcPr>
          <w:p w14:paraId="46CE1F02" w14:textId="77777777" w:rsidR="00A96FBD" w:rsidRPr="003716E1" w:rsidRDefault="00A96FBD"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bCs/>
                <w:sz w:val="24"/>
                <w:szCs w:val="24"/>
              </w:rPr>
              <w:t xml:space="preserve">Responding </w:t>
            </w:r>
            <w:r w:rsidRPr="003716E1">
              <w:rPr>
                <w:rFonts w:ascii="Calibri" w:eastAsia="Times New Roman" w:hAnsi="Calibri" w:cs="Times New Roman"/>
                <w:bCs/>
                <w:sz w:val="24"/>
                <w:szCs w:val="24"/>
              </w:rPr>
              <w:t>Mines</w:t>
            </w:r>
          </w:p>
        </w:tc>
        <w:tc>
          <w:tcPr>
            <w:tcW w:w="1530" w:type="dxa"/>
            <w:shd w:val="clear" w:color="auto" w:fill="FFFFFF"/>
            <w:vAlign w:val="center"/>
          </w:tcPr>
          <w:p w14:paraId="6C886CC9" w14:textId="51D66C82" w:rsidR="00A96FBD" w:rsidRPr="003716E1" w:rsidRDefault="00A96FBD" w:rsidP="0039616C">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MIWS - hardcopy</w:t>
            </w:r>
          </w:p>
        </w:tc>
        <w:tc>
          <w:tcPr>
            <w:tcW w:w="1530" w:type="dxa"/>
            <w:shd w:val="clear" w:color="auto" w:fill="FFFFFF"/>
            <w:vAlign w:val="center"/>
          </w:tcPr>
          <w:p w14:paraId="48C24BC9" w14:textId="28EFEB49" w:rsidR="00A96FBD" w:rsidRPr="008751F9" w:rsidRDefault="008751F9" w:rsidP="003716E1">
            <w:pPr>
              <w:autoSpaceDE w:val="0"/>
              <w:autoSpaceDN w:val="0"/>
              <w:adjustRightInd w:val="0"/>
              <w:spacing w:after="0" w:line="240" w:lineRule="auto"/>
              <w:jc w:val="center"/>
              <w:rPr>
                <w:rFonts w:ascii="Calibri" w:eastAsia="Times New Roman" w:hAnsi="Calibri" w:cs="Times New Roman"/>
                <w:sz w:val="24"/>
                <w:szCs w:val="24"/>
              </w:rPr>
            </w:pPr>
            <w:r w:rsidRPr="008751F9">
              <w:rPr>
                <w:rFonts w:ascii="Calibri" w:eastAsia="Times New Roman" w:hAnsi="Calibri" w:cs="Times New Roman"/>
                <w:bCs/>
                <w:sz w:val="24"/>
                <w:szCs w:val="24"/>
              </w:rPr>
              <w:t>215 (50%)</w:t>
            </w:r>
          </w:p>
        </w:tc>
        <w:tc>
          <w:tcPr>
            <w:tcW w:w="1890" w:type="dxa"/>
            <w:shd w:val="clear" w:color="auto" w:fill="FFFFFF"/>
            <w:vAlign w:val="center"/>
          </w:tcPr>
          <w:p w14:paraId="60E24618" w14:textId="77777777" w:rsidR="00A96FBD" w:rsidRPr="003716E1" w:rsidRDefault="00A96FBD"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Cs/>
                <w:sz w:val="24"/>
                <w:szCs w:val="24"/>
              </w:rPr>
              <w:t>1</w:t>
            </w:r>
          </w:p>
        </w:tc>
        <w:tc>
          <w:tcPr>
            <w:tcW w:w="1260" w:type="dxa"/>
            <w:shd w:val="clear" w:color="auto" w:fill="FFFFFF"/>
            <w:vAlign w:val="center"/>
          </w:tcPr>
          <w:p w14:paraId="63A7EC05" w14:textId="77777777" w:rsidR="00A96FBD" w:rsidRPr="003716E1" w:rsidRDefault="00A96FBD"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bCs/>
                <w:sz w:val="24"/>
                <w:szCs w:val="24"/>
              </w:rPr>
              <w:t>1</w:t>
            </w:r>
          </w:p>
        </w:tc>
        <w:tc>
          <w:tcPr>
            <w:tcW w:w="1350" w:type="dxa"/>
            <w:tcBorders>
              <w:top w:val="single" w:sz="6" w:space="0" w:color="000000"/>
              <w:bottom w:val="single" w:sz="6" w:space="0" w:color="000000"/>
              <w:right w:val="single" w:sz="6" w:space="0" w:color="000000"/>
            </w:tcBorders>
            <w:shd w:val="clear" w:color="auto" w:fill="FFFFFF"/>
            <w:vAlign w:val="center"/>
          </w:tcPr>
          <w:p w14:paraId="3C166BD6" w14:textId="117D43EC" w:rsidR="00A96FBD" w:rsidRPr="008751F9" w:rsidRDefault="008751F9" w:rsidP="003716E1">
            <w:pPr>
              <w:autoSpaceDE w:val="0"/>
              <w:autoSpaceDN w:val="0"/>
              <w:adjustRightInd w:val="0"/>
              <w:spacing w:after="0" w:line="240" w:lineRule="auto"/>
              <w:jc w:val="center"/>
              <w:rPr>
                <w:rFonts w:ascii="Calibri" w:eastAsia="Times New Roman" w:hAnsi="Calibri" w:cs="Times New Roman"/>
                <w:sz w:val="24"/>
                <w:szCs w:val="24"/>
              </w:rPr>
            </w:pPr>
            <w:r w:rsidRPr="008751F9">
              <w:rPr>
                <w:rFonts w:ascii="Calibri" w:eastAsia="Times New Roman" w:hAnsi="Calibri" w:cs="Times New Roman"/>
                <w:bCs/>
                <w:sz w:val="24"/>
                <w:szCs w:val="24"/>
              </w:rPr>
              <w:t>215</w:t>
            </w:r>
          </w:p>
        </w:tc>
      </w:tr>
      <w:tr w:rsidR="00A96FBD" w:rsidRPr="003716E1" w14:paraId="324CEA6E" w14:textId="77777777" w:rsidTr="00B701DF">
        <w:trPr>
          <w:cantSplit/>
          <w:jc w:val="center"/>
        </w:trPr>
        <w:tc>
          <w:tcPr>
            <w:tcW w:w="2250" w:type="dxa"/>
            <w:vMerge/>
            <w:tcBorders>
              <w:left w:val="single" w:sz="6" w:space="0" w:color="000000"/>
              <w:bottom w:val="single" w:sz="6" w:space="0" w:color="000000"/>
            </w:tcBorders>
            <w:shd w:val="clear" w:color="auto" w:fill="FFFFFF"/>
            <w:vAlign w:val="center"/>
          </w:tcPr>
          <w:p w14:paraId="43F120AD" w14:textId="77777777" w:rsidR="00A96FBD" w:rsidRDefault="00A96FBD" w:rsidP="003716E1">
            <w:pPr>
              <w:autoSpaceDE w:val="0"/>
              <w:autoSpaceDN w:val="0"/>
              <w:adjustRightInd w:val="0"/>
              <w:spacing w:after="0" w:line="240" w:lineRule="auto"/>
              <w:rPr>
                <w:rFonts w:ascii="Calibri" w:eastAsia="Times New Roman" w:hAnsi="Calibri" w:cs="Times New Roman"/>
                <w:bCs/>
                <w:sz w:val="24"/>
                <w:szCs w:val="24"/>
              </w:rPr>
            </w:pPr>
          </w:p>
        </w:tc>
        <w:tc>
          <w:tcPr>
            <w:tcW w:w="1530" w:type="dxa"/>
            <w:shd w:val="clear" w:color="auto" w:fill="FFFFFF"/>
            <w:vAlign w:val="center"/>
          </w:tcPr>
          <w:p w14:paraId="147F5B00" w14:textId="3E3688F0" w:rsidR="00A96FBD" w:rsidRDefault="00A96FBD" w:rsidP="0039616C">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MIWS – web-based</w:t>
            </w:r>
          </w:p>
        </w:tc>
        <w:tc>
          <w:tcPr>
            <w:tcW w:w="1530" w:type="dxa"/>
            <w:shd w:val="clear" w:color="auto" w:fill="FFFFFF"/>
            <w:vAlign w:val="center"/>
          </w:tcPr>
          <w:p w14:paraId="74D2D3C8" w14:textId="4F69223B" w:rsidR="00A96FBD"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215 (50%)</w:t>
            </w:r>
          </w:p>
        </w:tc>
        <w:tc>
          <w:tcPr>
            <w:tcW w:w="1890" w:type="dxa"/>
            <w:shd w:val="clear" w:color="auto" w:fill="FFFFFF"/>
            <w:vAlign w:val="center"/>
          </w:tcPr>
          <w:p w14:paraId="5713961E" w14:textId="2E71B016" w:rsidR="00A96FBD" w:rsidRPr="003716E1" w:rsidRDefault="00A96FBD" w:rsidP="003716E1">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1</w:t>
            </w:r>
          </w:p>
        </w:tc>
        <w:tc>
          <w:tcPr>
            <w:tcW w:w="1260" w:type="dxa"/>
            <w:shd w:val="clear" w:color="auto" w:fill="FFFFFF"/>
            <w:vAlign w:val="center"/>
          </w:tcPr>
          <w:p w14:paraId="2572DD7C" w14:textId="37F4C0BF" w:rsidR="00A96FBD" w:rsidRPr="003716E1" w:rsidRDefault="006440DD" w:rsidP="003716E1">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45/60</w:t>
            </w:r>
          </w:p>
        </w:tc>
        <w:tc>
          <w:tcPr>
            <w:tcW w:w="1350" w:type="dxa"/>
            <w:tcBorders>
              <w:top w:val="single" w:sz="6" w:space="0" w:color="000000"/>
              <w:bottom w:val="single" w:sz="6" w:space="0" w:color="000000"/>
              <w:right w:val="single" w:sz="6" w:space="0" w:color="000000"/>
            </w:tcBorders>
            <w:shd w:val="clear" w:color="auto" w:fill="FFFFFF"/>
            <w:vAlign w:val="center"/>
          </w:tcPr>
          <w:p w14:paraId="42A796B1" w14:textId="5B2BB594" w:rsidR="00A96FBD"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162</w:t>
            </w:r>
          </w:p>
        </w:tc>
      </w:tr>
      <w:tr w:rsidR="00E20039" w:rsidRPr="003716E1" w14:paraId="20B3FC13" w14:textId="77777777" w:rsidTr="00C92B60">
        <w:trPr>
          <w:cantSplit/>
          <w:jc w:val="center"/>
        </w:trPr>
        <w:tc>
          <w:tcPr>
            <w:tcW w:w="2250" w:type="dxa"/>
            <w:tcBorders>
              <w:top w:val="single" w:sz="6" w:space="0" w:color="000000"/>
              <w:left w:val="single" w:sz="6" w:space="0" w:color="000000"/>
              <w:bottom w:val="single" w:sz="6" w:space="0" w:color="000000"/>
            </w:tcBorders>
            <w:shd w:val="clear" w:color="auto" w:fill="FFFFFF"/>
            <w:vAlign w:val="center"/>
          </w:tcPr>
          <w:p w14:paraId="3C8FD060" w14:textId="723131F4" w:rsidR="00E20039" w:rsidRDefault="00E20039" w:rsidP="003716E1">
            <w:pPr>
              <w:autoSpaceDE w:val="0"/>
              <w:autoSpaceDN w:val="0"/>
              <w:adjustRightInd w:val="0"/>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Nonresponding Mines</w:t>
            </w:r>
          </w:p>
        </w:tc>
        <w:tc>
          <w:tcPr>
            <w:tcW w:w="1530" w:type="dxa"/>
            <w:shd w:val="clear" w:color="auto" w:fill="FFFFFF"/>
            <w:vAlign w:val="center"/>
          </w:tcPr>
          <w:p w14:paraId="7439BCFA" w14:textId="33DA15AF" w:rsidR="00E20039" w:rsidRDefault="00E20039" w:rsidP="0039616C">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Phone Script</w:t>
            </w:r>
          </w:p>
        </w:tc>
        <w:tc>
          <w:tcPr>
            <w:tcW w:w="1530" w:type="dxa"/>
            <w:shd w:val="clear" w:color="auto" w:fill="FFFFFF"/>
            <w:vAlign w:val="center"/>
          </w:tcPr>
          <w:p w14:paraId="6613B54F" w14:textId="00C6A7F5" w:rsidR="00E20039"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645</w:t>
            </w:r>
          </w:p>
        </w:tc>
        <w:tc>
          <w:tcPr>
            <w:tcW w:w="1890" w:type="dxa"/>
            <w:shd w:val="clear" w:color="auto" w:fill="FFFFFF"/>
            <w:vAlign w:val="center"/>
          </w:tcPr>
          <w:p w14:paraId="1D1F8685" w14:textId="5BC34E2F" w:rsidR="00E20039" w:rsidRPr="003716E1" w:rsidRDefault="00E20039" w:rsidP="003716E1">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1</w:t>
            </w:r>
          </w:p>
        </w:tc>
        <w:tc>
          <w:tcPr>
            <w:tcW w:w="1260" w:type="dxa"/>
            <w:shd w:val="clear" w:color="auto" w:fill="FFFFFF"/>
            <w:vAlign w:val="center"/>
          </w:tcPr>
          <w:p w14:paraId="5D786898" w14:textId="6E9B45ED" w:rsidR="00E20039" w:rsidRPr="003716E1" w:rsidRDefault="00E20039" w:rsidP="003716E1">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5/60</w:t>
            </w:r>
          </w:p>
        </w:tc>
        <w:tc>
          <w:tcPr>
            <w:tcW w:w="1350" w:type="dxa"/>
            <w:tcBorders>
              <w:top w:val="single" w:sz="6" w:space="0" w:color="000000"/>
              <w:bottom w:val="single" w:sz="6" w:space="0" w:color="000000"/>
              <w:right w:val="single" w:sz="6" w:space="0" w:color="000000"/>
            </w:tcBorders>
            <w:shd w:val="clear" w:color="auto" w:fill="FFFFFF"/>
            <w:vAlign w:val="center"/>
          </w:tcPr>
          <w:p w14:paraId="6F51659C" w14:textId="2181848C" w:rsidR="00E20039"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54</w:t>
            </w:r>
          </w:p>
        </w:tc>
      </w:tr>
      <w:tr w:rsidR="0039616C" w:rsidRPr="003716E1" w14:paraId="5B30F71B" w14:textId="77777777" w:rsidTr="00C92B60">
        <w:trPr>
          <w:cantSplit/>
          <w:jc w:val="center"/>
        </w:trPr>
        <w:tc>
          <w:tcPr>
            <w:tcW w:w="2250" w:type="dxa"/>
            <w:tcBorders>
              <w:top w:val="single" w:sz="6" w:space="0" w:color="000000"/>
              <w:left w:val="single" w:sz="6" w:space="0" w:color="000000"/>
              <w:bottom w:val="single" w:sz="6" w:space="0" w:color="000000"/>
            </w:tcBorders>
            <w:shd w:val="clear" w:color="auto" w:fill="FFFFFF"/>
            <w:vAlign w:val="center"/>
          </w:tcPr>
          <w:p w14:paraId="325D456B" w14:textId="77777777" w:rsidR="0039616C" w:rsidRPr="003716E1" w:rsidRDefault="001B2207" w:rsidP="003716E1">
            <w:pPr>
              <w:autoSpaceDE w:val="0"/>
              <w:autoSpaceDN w:val="0"/>
              <w:adjustRightInd w:val="0"/>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Nonresponding </w:t>
            </w:r>
            <w:r w:rsidR="0039616C" w:rsidRPr="003716E1">
              <w:rPr>
                <w:rFonts w:ascii="Calibri" w:eastAsia="Times New Roman" w:hAnsi="Calibri" w:cs="Times New Roman"/>
                <w:bCs/>
                <w:sz w:val="24"/>
                <w:szCs w:val="24"/>
              </w:rPr>
              <w:t>Mines</w:t>
            </w:r>
          </w:p>
        </w:tc>
        <w:tc>
          <w:tcPr>
            <w:tcW w:w="1530" w:type="dxa"/>
            <w:tcBorders>
              <w:bottom w:val="single" w:sz="6" w:space="0" w:color="000000"/>
            </w:tcBorders>
            <w:shd w:val="clear" w:color="auto" w:fill="FFFFFF"/>
            <w:vAlign w:val="center"/>
          </w:tcPr>
          <w:p w14:paraId="3F3CE3E7" w14:textId="77777777" w:rsidR="0039616C" w:rsidRPr="003716E1" w:rsidRDefault="0039616C" w:rsidP="0039616C">
            <w:pPr>
              <w:autoSpaceDE w:val="0"/>
              <w:autoSpaceDN w:val="0"/>
              <w:adjustRightInd w:val="0"/>
              <w:spacing w:after="0" w:line="240" w:lineRule="auto"/>
              <w:jc w:val="center"/>
              <w:rPr>
                <w:rFonts w:ascii="Calibri" w:eastAsia="Times New Roman" w:hAnsi="Calibri" w:cs="Times New Roman"/>
                <w:bCs/>
                <w:sz w:val="24"/>
                <w:szCs w:val="24"/>
              </w:rPr>
            </w:pPr>
            <w:r>
              <w:rPr>
                <w:rFonts w:ascii="Calibri" w:eastAsia="Times New Roman" w:hAnsi="Calibri" w:cs="Times New Roman"/>
                <w:bCs/>
                <w:sz w:val="24"/>
                <w:szCs w:val="24"/>
              </w:rPr>
              <w:t>Nonresponse Survey</w:t>
            </w:r>
          </w:p>
        </w:tc>
        <w:tc>
          <w:tcPr>
            <w:tcW w:w="1530" w:type="dxa"/>
            <w:tcBorders>
              <w:bottom w:val="single" w:sz="6" w:space="0" w:color="000000"/>
            </w:tcBorders>
            <w:shd w:val="clear" w:color="auto" w:fill="FFFFFF"/>
            <w:vAlign w:val="center"/>
          </w:tcPr>
          <w:p w14:paraId="1DFFDA14" w14:textId="326E8633" w:rsidR="0039616C" w:rsidRPr="008751F9" w:rsidDel="00C42854"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645</w:t>
            </w:r>
          </w:p>
        </w:tc>
        <w:tc>
          <w:tcPr>
            <w:tcW w:w="1890" w:type="dxa"/>
            <w:tcBorders>
              <w:bottom w:val="single" w:sz="6" w:space="0" w:color="000000"/>
            </w:tcBorders>
            <w:shd w:val="clear" w:color="auto" w:fill="FFFFFF"/>
            <w:vAlign w:val="center"/>
          </w:tcPr>
          <w:p w14:paraId="7B5DFDD7"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r w:rsidRPr="003716E1">
              <w:rPr>
                <w:rFonts w:ascii="Calibri" w:eastAsia="Times New Roman" w:hAnsi="Calibri" w:cs="Times New Roman"/>
                <w:bCs/>
                <w:sz w:val="24"/>
                <w:szCs w:val="24"/>
              </w:rPr>
              <w:t>1</w:t>
            </w:r>
          </w:p>
        </w:tc>
        <w:tc>
          <w:tcPr>
            <w:tcW w:w="1260" w:type="dxa"/>
            <w:tcBorders>
              <w:bottom w:val="single" w:sz="6" w:space="0" w:color="000000"/>
            </w:tcBorders>
            <w:shd w:val="clear" w:color="auto" w:fill="FFFFFF"/>
            <w:vAlign w:val="center"/>
          </w:tcPr>
          <w:p w14:paraId="5FE0135F" w14:textId="77777777" w:rsidR="0039616C" w:rsidRPr="003716E1" w:rsidDel="00C42854"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r w:rsidRPr="003716E1">
              <w:rPr>
                <w:rFonts w:ascii="Calibri" w:eastAsia="Times New Roman" w:hAnsi="Calibri" w:cs="Times New Roman"/>
                <w:bCs/>
                <w:sz w:val="24"/>
                <w:szCs w:val="24"/>
              </w:rPr>
              <w:t>10/60</w:t>
            </w:r>
          </w:p>
        </w:tc>
        <w:tc>
          <w:tcPr>
            <w:tcW w:w="1350" w:type="dxa"/>
            <w:tcBorders>
              <w:top w:val="single" w:sz="6" w:space="0" w:color="000000"/>
              <w:bottom w:val="single" w:sz="6" w:space="0" w:color="000000"/>
              <w:right w:val="single" w:sz="6" w:space="0" w:color="000000"/>
            </w:tcBorders>
            <w:shd w:val="clear" w:color="auto" w:fill="FFFFFF"/>
            <w:vAlign w:val="center"/>
          </w:tcPr>
          <w:p w14:paraId="3253FD80" w14:textId="266655CC" w:rsidR="0039616C"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108</w:t>
            </w:r>
          </w:p>
        </w:tc>
      </w:tr>
      <w:tr w:rsidR="0039616C" w:rsidRPr="003716E1" w14:paraId="1CD9650E" w14:textId="77777777" w:rsidTr="00C92B60">
        <w:trPr>
          <w:cantSplit/>
          <w:jc w:val="center"/>
        </w:trPr>
        <w:tc>
          <w:tcPr>
            <w:tcW w:w="2250" w:type="dxa"/>
            <w:tcBorders>
              <w:top w:val="single" w:sz="12" w:space="0" w:color="000000"/>
              <w:left w:val="single" w:sz="6" w:space="0" w:color="000000"/>
            </w:tcBorders>
            <w:shd w:val="clear" w:color="auto" w:fill="FFFFFF"/>
            <w:vAlign w:val="center"/>
          </w:tcPr>
          <w:p w14:paraId="0084BE53" w14:textId="77777777" w:rsidR="0039616C" w:rsidRPr="003716E1" w:rsidRDefault="0039616C" w:rsidP="003716E1">
            <w:pPr>
              <w:autoSpaceDE w:val="0"/>
              <w:autoSpaceDN w:val="0"/>
              <w:adjustRightInd w:val="0"/>
              <w:spacing w:after="0" w:line="240" w:lineRule="auto"/>
              <w:rPr>
                <w:rFonts w:ascii="Calibri" w:eastAsia="Times New Roman" w:hAnsi="Calibri" w:cs="Times New Roman"/>
                <w:b/>
                <w:bCs/>
                <w:sz w:val="24"/>
                <w:szCs w:val="24"/>
              </w:rPr>
            </w:pPr>
            <w:r w:rsidRPr="003716E1">
              <w:rPr>
                <w:rFonts w:ascii="Calibri" w:eastAsia="Times New Roman" w:hAnsi="Calibri" w:cs="Times New Roman"/>
                <w:b/>
                <w:bCs/>
                <w:sz w:val="24"/>
                <w:szCs w:val="24"/>
              </w:rPr>
              <w:t>OVERALL TOTAL</w:t>
            </w:r>
          </w:p>
        </w:tc>
        <w:tc>
          <w:tcPr>
            <w:tcW w:w="1530" w:type="dxa"/>
            <w:tcBorders>
              <w:top w:val="single" w:sz="12" w:space="0" w:color="000000"/>
            </w:tcBorders>
            <w:shd w:val="clear" w:color="auto" w:fill="FFFFFF"/>
          </w:tcPr>
          <w:p w14:paraId="7F861EC3"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p>
        </w:tc>
        <w:tc>
          <w:tcPr>
            <w:tcW w:w="1530" w:type="dxa"/>
            <w:tcBorders>
              <w:top w:val="single" w:sz="12" w:space="0" w:color="000000"/>
            </w:tcBorders>
            <w:shd w:val="clear" w:color="auto" w:fill="FFFFFF"/>
            <w:vAlign w:val="center"/>
          </w:tcPr>
          <w:p w14:paraId="575709EA"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p>
        </w:tc>
        <w:tc>
          <w:tcPr>
            <w:tcW w:w="1890" w:type="dxa"/>
            <w:tcBorders>
              <w:top w:val="single" w:sz="12" w:space="0" w:color="000000"/>
            </w:tcBorders>
            <w:shd w:val="clear" w:color="auto" w:fill="FFFFFF"/>
            <w:vAlign w:val="center"/>
          </w:tcPr>
          <w:p w14:paraId="41242AC1"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p>
        </w:tc>
        <w:tc>
          <w:tcPr>
            <w:tcW w:w="1260" w:type="dxa"/>
            <w:tcBorders>
              <w:top w:val="single" w:sz="12" w:space="0" w:color="000000"/>
            </w:tcBorders>
            <w:shd w:val="clear" w:color="auto" w:fill="FFFFFF"/>
            <w:vAlign w:val="center"/>
          </w:tcPr>
          <w:p w14:paraId="2388F24D" w14:textId="77777777" w:rsidR="0039616C" w:rsidRPr="003716E1" w:rsidRDefault="0039616C" w:rsidP="003716E1">
            <w:pPr>
              <w:autoSpaceDE w:val="0"/>
              <w:autoSpaceDN w:val="0"/>
              <w:adjustRightInd w:val="0"/>
              <w:spacing w:after="0" w:line="240" w:lineRule="auto"/>
              <w:jc w:val="center"/>
              <w:rPr>
                <w:rFonts w:ascii="Calibri" w:eastAsia="Times New Roman" w:hAnsi="Calibri" w:cs="Times New Roman"/>
                <w:bCs/>
                <w:sz w:val="24"/>
                <w:szCs w:val="24"/>
              </w:rPr>
            </w:pPr>
          </w:p>
        </w:tc>
        <w:tc>
          <w:tcPr>
            <w:tcW w:w="1350" w:type="dxa"/>
            <w:tcBorders>
              <w:top w:val="single" w:sz="12" w:space="0" w:color="000000"/>
              <w:right w:val="single" w:sz="6" w:space="0" w:color="000000"/>
            </w:tcBorders>
            <w:shd w:val="clear" w:color="auto" w:fill="FFFFFF"/>
            <w:vAlign w:val="center"/>
          </w:tcPr>
          <w:p w14:paraId="57C432B0" w14:textId="097CFD41" w:rsidR="0039616C" w:rsidRPr="008751F9" w:rsidRDefault="008751F9" w:rsidP="003716E1">
            <w:pPr>
              <w:autoSpaceDE w:val="0"/>
              <w:autoSpaceDN w:val="0"/>
              <w:adjustRightInd w:val="0"/>
              <w:spacing w:after="0" w:line="240" w:lineRule="auto"/>
              <w:jc w:val="center"/>
              <w:rPr>
                <w:rFonts w:ascii="Calibri" w:eastAsia="Times New Roman" w:hAnsi="Calibri" w:cs="Times New Roman"/>
                <w:bCs/>
                <w:sz w:val="24"/>
                <w:szCs w:val="24"/>
              </w:rPr>
            </w:pPr>
            <w:r w:rsidRPr="008751F9">
              <w:rPr>
                <w:rFonts w:ascii="Calibri" w:eastAsia="Times New Roman" w:hAnsi="Calibri" w:cs="Times New Roman"/>
                <w:bCs/>
                <w:sz w:val="24"/>
                <w:szCs w:val="24"/>
              </w:rPr>
              <w:t>539</w:t>
            </w:r>
          </w:p>
        </w:tc>
      </w:tr>
    </w:tbl>
    <w:p w14:paraId="5B0678C4" w14:textId="77777777" w:rsidR="003716E1" w:rsidRDefault="003716E1" w:rsidP="003716E1">
      <w:pPr>
        <w:tabs>
          <w:tab w:val="left" w:pos="720"/>
        </w:tabs>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0039616C">
        <w:rPr>
          <w:rFonts w:ascii="Calibri" w:eastAsia="Times New Roman" w:hAnsi="Calibri" w:cs="Times New Roman"/>
          <w:sz w:val="24"/>
          <w:szCs w:val="24"/>
        </w:rPr>
        <w:t>Note: MIWS = Mining Industry and Workforce Survey</w:t>
      </w:r>
    </w:p>
    <w:p w14:paraId="2253D743" w14:textId="77777777" w:rsidR="0039616C" w:rsidRPr="003716E1" w:rsidRDefault="0039616C" w:rsidP="003716E1">
      <w:pPr>
        <w:tabs>
          <w:tab w:val="left" w:pos="720"/>
        </w:tabs>
        <w:autoSpaceDE w:val="0"/>
        <w:autoSpaceDN w:val="0"/>
        <w:adjustRightInd w:val="0"/>
        <w:spacing w:after="0" w:line="240" w:lineRule="auto"/>
        <w:rPr>
          <w:rFonts w:ascii="Calibri" w:eastAsia="Times New Roman" w:hAnsi="Calibri" w:cs="Times New Roman"/>
          <w:sz w:val="24"/>
          <w:szCs w:val="24"/>
        </w:rPr>
      </w:pPr>
    </w:p>
    <w:p w14:paraId="0575F9F0" w14:textId="77777777" w:rsidR="003716E1" w:rsidRPr="003716E1" w:rsidRDefault="003716E1" w:rsidP="003716E1">
      <w:pPr>
        <w:tabs>
          <w:tab w:val="left" w:pos="720"/>
        </w:tabs>
        <w:autoSpaceDE w:val="0"/>
        <w:autoSpaceDN w:val="0"/>
        <w:adjustRightInd w:val="0"/>
        <w:spacing w:after="0" w:line="240" w:lineRule="auto"/>
        <w:ind w:left="1080" w:hanging="1080"/>
        <w:rPr>
          <w:rFonts w:ascii="Calibri" w:eastAsia="Times New Roman" w:hAnsi="Calibri" w:cs="Times New Roman"/>
          <w:sz w:val="24"/>
          <w:szCs w:val="24"/>
        </w:rPr>
      </w:pPr>
      <w:r w:rsidRPr="003716E1">
        <w:rPr>
          <w:rFonts w:ascii="Calibri" w:eastAsia="Times New Roman" w:hAnsi="Calibri" w:cs="Times New Roman"/>
          <w:sz w:val="24"/>
          <w:szCs w:val="24"/>
        </w:rPr>
        <w:tab/>
      </w:r>
      <w:r w:rsidRPr="003716E1">
        <w:rPr>
          <w:rFonts w:ascii="Calibri" w:eastAsia="Times New Roman" w:hAnsi="Calibri" w:cs="Times New Roman"/>
          <w:b/>
          <w:bCs/>
          <w:sz w:val="24"/>
          <w:szCs w:val="24"/>
        </w:rPr>
        <w:t>B.</w:t>
      </w:r>
      <w:r w:rsidRPr="003716E1">
        <w:rPr>
          <w:rFonts w:ascii="Calibri" w:eastAsia="Times New Roman" w:hAnsi="Calibri" w:cs="Times New Roman"/>
          <w:sz w:val="24"/>
          <w:szCs w:val="24"/>
        </w:rPr>
        <w:tab/>
      </w:r>
      <w:r w:rsidRPr="003716E1">
        <w:rPr>
          <w:rFonts w:ascii="Calibri" w:eastAsia="Times New Roman" w:hAnsi="Calibri" w:cs="Times New Roman"/>
          <w:b/>
          <w:bCs/>
          <w:sz w:val="24"/>
          <w:szCs w:val="24"/>
        </w:rPr>
        <w:t>Estimated Annual Burden Cost</w:t>
      </w:r>
    </w:p>
    <w:p w14:paraId="1A022270"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5EEFE9A5"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 estimated burden cost for the mines surveyed in this study is shown in Table A12-B. To compute the burden estimates, NIOSH assumes that the completion of the questionnaire will be done by the health and safety director at the sampled mine. Using data available from the Bureau of Labor Statistics (May 2014), a specialty manager in coal mining earns an average hourly salary of $51.77.</w:t>
      </w:r>
    </w:p>
    <w:p w14:paraId="34E3394E"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3716E1" w:rsidRPr="003716E1" w14:paraId="664CAF23" w14:textId="77777777" w:rsidTr="00775A26">
        <w:trPr>
          <w:cantSplit/>
          <w:tblHeader/>
        </w:trPr>
        <w:tc>
          <w:tcPr>
            <w:tcW w:w="9360" w:type="dxa"/>
            <w:gridSpan w:val="4"/>
            <w:tcBorders>
              <w:bottom w:val="nil"/>
            </w:tcBorders>
            <w:shd w:val="clear" w:color="auto" w:fill="FFFFFF"/>
          </w:tcPr>
          <w:p w14:paraId="0C1A416D" w14:textId="77777777" w:rsidR="003716E1" w:rsidRPr="003716E1" w:rsidRDefault="003716E1" w:rsidP="003716E1">
            <w:pPr>
              <w:autoSpaceDE w:val="0"/>
              <w:autoSpaceDN w:val="0"/>
              <w:adjustRightInd w:val="0"/>
              <w:spacing w:after="6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b/>
                <w:bCs/>
                <w:sz w:val="24"/>
                <w:szCs w:val="24"/>
              </w:rPr>
              <w:t>Table A</w:t>
            </w:r>
            <w:r w:rsidR="005F2AFE">
              <w:rPr>
                <w:rFonts w:ascii="Calibri" w:eastAsia="Times New Roman" w:hAnsi="Calibri" w:cs="Times New Roman"/>
                <w:b/>
                <w:bCs/>
                <w:sz w:val="24"/>
                <w:szCs w:val="24"/>
              </w:rPr>
              <w:t>.</w:t>
            </w:r>
            <w:r w:rsidRPr="003716E1">
              <w:rPr>
                <w:rFonts w:ascii="Calibri" w:eastAsia="Times New Roman" w:hAnsi="Calibri" w:cs="Times New Roman"/>
                <w:b/>
                <w:bCs/>
                <w:sz w:val="24"/>
                <w:szCs w:val="24"/>
              </w:rPr>
              <w:t xml:space="preserve">12-B.  Estimated </w:t>
            </w:r>
            <w:r w:rsidR="00A53E02">
              <w:rPr>
                <w:rFonts w:ascii="Calibri" w:eastAsia="Times New Roman" w:hAnsi="Calibri" w:cs="Times New Roman"/>
                <w:b/>
                <w:bCs/>
                <w:sz w:val="24"/>
                <w:szCs w:val="24"/>
              </w:rPr>
              <w:t xml:space="preserve">Annualized </w:t>
            </w:r>
            <w:r w:rsidRPr="003716E1">
              <w:rPr>
                <w:rFonts w:ascii="Calibri" w:eastAsia="Times New Roman" w:hAnsi="Calibri" w:cs="Times New Roman"/>
                <w:b/>
                <w:bCs/>
                <w:sz w:val="24"/>
                <w:szCs w:val="24"/>
              </w:rPr>
              <w:t>Burden Hours</w:t>
            </w:r>
          </w:p>
        </w:tc>
      </w:tr>
      <w:tr w:rsidR="003716E1" w:rsidRPr="003716E1" w14:paraId="48874846" w14:textId="77777777" w:rsidTr="00775A26">
        <w:trPr>
          <w:cantSplit/>
          <w:tblHeader/>
        </w:trPr>
        <w:tc>
          <w:tcPr>
            <w:tcW w:w="2340" w:type="dxa"/>
            <w:tcBorders>
              <w:top w:val="single" w:sz="6" w:space="0" w:color="000000"/>
              <w:left w:val="single" w:sz="6" w:space="0" w:color="000000"/>
              <w:bottom w:val="single" w:sz="6" w:space="0" w:color="000000"/>
              <w:right w:val="nil"/>
            </w:tcBorders>
            <w:shd w:val="clear" w:color="auto" w:fill="D9D9D9"/>
          </w:tcPr>
          <w:p w14:paraId="26E7C8ED"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sidRPr="003716E1">
              <w:rPr>
                <w:rFonts w:ascii="Calibri" w:eastAsia="Times New Roman" w:hAnsi="Calibri" w:cs="Times New Roman"/>
                <w:b/>
                <w:sz w:val="24"/>
                <w:szCs w:val="24"/>
              </w:rPr>
              <w:t>Respondents</w:t>
            </w:r>
          </w:p>
        </w:tc>
        <w:tc>
          <w:tcPr>
            <w:tcW w:w="2340" w:type="dxa"/>
            <w:tcBorders>
              <w:top w:val="single" w:sz="6" w:space="0" w:color="000000"/>
              <w:left w:val="single" w:sz="6" w:space="0" w:color="000000"/>
              <w:bottom w:val="nil"/>
              <w:right w:val="nil"/>
            </w:tcBorders>
            <w:shd w:val="clear" w:color="auto" w:fill="D9D9D9"/>
          </w:tcPr>
          <w:p w14:paraId="25140590" w14:textId="28171CE2" w:rsidR="003716E1" w:rsidRPr="003716E1" w:rsidRDefault="003716E1" w:rsidP="003716E1">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b/>
                <w:sz w:val="24"/>
                <w:szCs w:val="24"/>
              </w:rPr>
              <w:t>Total Burden Hours</w:t>
            </w:r>
          </w:p>
        </w:tc>
        <w:tc>
          <w:tcPr>
            <w:tcW w:w="2340" w:type="dxa"/>
            <w:tcBorders>
              <w:top w:val="single" w:sz="6" w:space="0" w:color="000000"/>
              <w:left w:val="single" w:sz="6" w:space="0" w:color="000000"/>
              <w:bottom w:val="nil"/>
              <w:right w:val="nil"/>
            </w:tcBorders>
            <w:shd w:val="clear" w:color="auto" w:fill="D9D9D9"/>
          </w:tcPr>
          <w:p w14:paraId="0C263A82"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b/>
                <w:sz w:val="24"/>
                <w:szCs w:val="24"/>
              </w:rPr>
              <w:t>Hourly Wage Rate</w:t>
            </w:r>
          </w:p>
        </w:tc>
        <w:tc>
          <w:tcPr>
            <w:tcW w:w="2340" w:type="dxa"/>
            <w:tcBorders>
              <w:top w:val="single" w:sz="6" w:space="0" w:color="000000"/>
              <w:left w:val="single" w:sz="6" w:space="0" w:color="000000"/>
              <w:bottom w:val="single" w:sz="6" w:space="0" w:color="000000"/>
              <w:right w:val="single" w:sz="6" w:space="0" w:color="000000"/>
            </w:tcBorders>
            <w:shd w:val="clear" w:color="auto" w:fill="D9D9D9"/>
          </w:tcPr>
          <w:p w14:paraId="319F54DC" w14:textId="19BBE0CC" w:rsidR="003716E1" w:rsidRPr="003716E1" w:rsidRDefault="003716E1" w:rsidP="003716E1">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b/>
                <w:sz w:val="24"/>
                <w:szCs w:val="24"/>
              </w:rPr>
              <w:t>Total Respondent Costs</w:t>
            </w:r>
          </w:p>
        </w:tc>
      </w:tr>
      <w:tr w:rsidR="003716E1" w:rsidRPr="003716E1" w14:paraId="4B448372" w14:textId="77777777" w:rsidTr="00775A26">
        <w:trPr>
          <w:cantSplit/>
          <w:tblHeader/>
        </w:trPr>
        <w:tc>
          <w:tcPr>
            <w:tcW w:w="2340" w:type="dxa"/>
            <w:tcBorders>
              <w:top w:val="single" w:sz="6" w:space="0" w:color="000000"/>
              <w:left w:val="single" w:sz="6" w:space="0" w:color="000000"/>
              <w:bottom w:val="single" w:sz="6" w:space="0" w:color="000000"/>
              <w:right w:val="nil"/>
            </w:tcBorders>
          </w:tcPr>
          <w:p w14:paraId="08EC82CB"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Mine Designated Respondent</w:t>
            </w:r>
          </w:p>
        </w:tc>
        <w:tc>
          <w:tcPr>
            <w:tcW w:w="2340" w:type="dxa"/>
            <w:tcBorders>
              <w:top w:val="single" w:sz="6" w:space="0" w:color="000000"/>
              <w:left w:val="single" w:sz="6" w:space="0" w:color="000000"/>
              <w:bottom w:val="single" w:sz="6" w:space="0" w:color="000000"/>
              <w:right w:val="nil"/>
            </w:tcBorders>
          </w:tcPr>
          <w:p w14:paraId="746265A8" w14:textId="08F93AE6" w:rsidR="003716E1" w:rsidRPr="008751F9" w:rsidRDefault="008751F9" w:rsidP="003716E1">
            <w:pPr>
              <w:autoSpaceDE w:val="0"/>
              <w:autoSpaceDN w:val="0"/>
              <w:adjustRightInd w:val="0"/>
              <w:spacing w:after="0" w:line="240" w:lineRule="auto"/>
              <w:jc w:val="center"/>
              <w:rPr>
                <w:rFonts w:ascii="Calibri" w:eastAsia="Times New Roman" w:hAnsi="Calibri" w:cs="Times New Roman"/>
                <w:sz w:val="24"/>
                <w:szCs w:val="24"/>
              </w:rPr>
            </w:pPr>
            <w:r w:rsidRPr="008751F9">
              <w:rPr>
                <w:rFonts w:ascii="Calibri" w:eastAsia="Times New Roman" w:hAnsi="Calibri" w:cs="Times New Roman"/>
                <w:sz w:val="24"/>
                <w:szCs w:val="24"/>
              </w:rPr>
              <w:t>539</w:t>
            </w:r>
          </w:p>
        </w:tc>
        <w:tc>
          <w:tcPr>
            <w:tcW w:w="2340" w:type="dxa"/>
            <w:tcBorders>
              <w:top w:val="single" w:sz="6" w:space="0" w:color="000000"/>
              <w:left w:val="single" w:sz="6" w:space="0" w:color="000000"/>
              <w:bottom w:val="single" w:sz="6" w:space="0" w:color="000000"/>
              <w:right w:val="nil"/>
            </w:tcBorders>
          </w:tcPr>
          <w:p w14:paraId="7DE2DBE8" w14:textId="77777777" w:rsidR="003716E1" w:rsidRPr="003716E1" w:rsidRDefault="003716E1" w:rsidP="003716E1">
            <w:pPr>
              <w:autoSpaceDE w:val="0"/>
              <w:autoSpaceDN w:val="0"/>
              <w:adjustRightInd w:val="0"/>
              <w:spacing w:after="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rPr>
              <w:t>$51.77</w:t>
            </w:r>
          </w:p>
        </w:tc>
        <w:tc>
          <w:tcPr>
            <w:tcW w:w="2340" w:type="dxa"/>
            <w:tcBorders>
              <w:top w:val="single" w:sz="6" w:space="0" w:color="000000"/>
              <w:left w:val="single" w:sz="6" w:space="0" w:color="000000"/>
              <w:bottom w:val="single" w:sz="6" w:space="0" w:color="000000"/>
              <w:right w:val="single" w:sz="6" w:space="0" w:color="000000"/>
            </w:tcBorders>
          </w:tcPr>
          <w:p w14:paraId="031B597B" w14:textId="2BD9502F" w:rsidR="003716E1" w:rsidRPr="003716E1" w:rsidRDefault="00A44D65" w:rsidP="003716E1">
            <w:pPr>
              <w:autoSpaceDE w:val="0"/>
              <w:autoSpaceDN w:val="0"/>
              <w:adjustRightInd w:val="0"/>
              <w:spacing w:after="0" w:line="240" w:lineRule="auto"/>
              <w:jc w:val="center"/>
              <w:rPr>
                <w:rFonts w:ascii="Calibri" w:eastAsia="Times New Roman" w:hAnsi="Calibri" w:cs="Times New Roman"/>
                <w:sz w:val="24"/>
                <w:szCs w:val="24"/>
              </w:rPr>
            </w:pPr>
            <w:r w:rsidRPr="008751F9">
              <w:rPr>
                <w:rFonts w:ascii="Calibri" w:eastAsia="Times New Roman" w:hAnsi="Calibri" w:cs="Times New Roman"/>
                <w:sz w:val="24"/>
                <w:szCs w:val="24"/>
              </w:rPr>
              <w:t>$</w:t>
            </w:r>
            <w:r w:rsidR="008751F9" w:rsidRPr="008751F9">
              <w:rPr>
                <w:rFonts w:ascii="Calibri" w:eastAsia="Times New Roman" w:hAnsi="Calibri" w:cs="Times New Roman"/>
                <w:sz w:val="24"/>
                <w:szCs w:val="24"/>
              </w:rPr>
              <w:t>27,904.00</w:t>
            </w:r>
          </w:p>
        </w:tc>
      </w:tr>
    </w:tbl>
    <w:p w14:paraId="1E739C5D"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4"/>
          <w:szCs w:val="24"/>
        </w:rPr>
      </w:pPr>
    </w:p>
    <w:p w14:paraId="54424E23"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4"/>
          <w:szCs w:val="24"/>
        </w:rPr>
      </w:pPr>
    </w:p>
    <w:p w14:paraId="0EBC70F4" w14:textId="77777777" w:rsidR="00DC2F1F" w:rsidRDefault="00DC2F1F"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lang w:val="en-CA"/>
        </w:rPr>
      </w:pPr>
    </w:p>
    <w:p w14:paraId="6E460B1E"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13" w:name="_Toc435798902"/>
      <w:r w:rsidRPr="003716E1">
        <w:rPr>
          <w:rFonts w:ascii="Calibri" w:eastAsia="Times New Roman" w:hAnsi="Calibri" w:cs="Times New Roman"/>
          <w:b/>
          <w:bCs/>
          <w:kern w:val="32"/>
          <w:sz w:val="24"/>
          <w:szCs w:val="32"/>
          <w:lang w:val="en-CA"/>
        </w:rPr>
        <w:t>A.13</w:t>
      </w:r>
      <w:r w:rsidRPr="003716E1">
        <w:rPr>
          <w:rFonts w:ascii="Calibri" w:eastAsia="Times New Roman" w:hAnsi="Calibri" w:cs="Times New Roman"/>
          <w:b/>
          <w:bCs/>
          <w:kern w:val="32"/>
          <w:sz w:val="24"/>
          <w:szCs w:val="32"/>
          <w:lang w:val="en-CA"/>
        </w:rPr>
        <w:tab/>
      </w:r>
      <w:r w:rsidRPr="003716E1">
        <w:rPr>
          <w:rFonts w:ascii="Calibri" w:eastAsia="Times New Roman" w:hAnsi="Calibri" w:cs="Times New Roman"/>
          <w:b/>
          <w:bCs/>
          <w:kern w:val="32"/>
          <w:sz w:val="24"/>
          <w:szCs w:val="32"/>
        </w:rPr>
        <w:t>Estimates of Other Total Annual Cost Burden to Respondents or Record Keepers</w:t>
      </w:r>
      <w:bookmarkEnd w:id="13"/>
    </w:p>
    <w:p w14:paraId="10256CDF"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bCs/>
          <w:sz w:val="24"/>
          <w:szCs w:val="24"/>
        </w:rPr>
      </w:pPr>
    </w:p>
    <w:p w14:paraId="06CE5AF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There will be no additional cost burden.</w:t>
      </w:r>
    </w:p>
    <w:p w14:paraId="35837E4F" w14:textId="77777777" w:rsidR="003716E1" w:rsidRPr="00CA2955" w:rsidRDefault="003716E1" w:rsidP="003716E1">
      <w:pPr>
        <w:autoSpaceDE w:val="0"/>
        <w:autoSpaceDN w:val="0"/>
        <w:adjustRightInd w:val="0"/>
        <w:spacing w:after="0" w:line="240" w:lineRule="auto"/>
        <w:rPr>
          <w:sz w:val="24"/>
        </w:rPr>
      </w:pPr>
    </w:p>
    <w:p w14:paraId="33B78942" w14:textId="77777777" w:rsidR="003716E1" w:rsidRPr="00CA2955" w:rsidRDefault="003716E1" w:rsidP="009D1D6A">
      <w:pPr>
        <w:pStyle w:val="Heading1"/>
        <w:rPr>
          <w:rFonts w:asciiTheme="minorHAnsi" w:hAnsiTheme="minorHAnsi"/>
        </w:rPr>
      </w:pPr>
      <w:bookmarkStart w:id="14" w:name="_Toc435798903"/>
      <w:r w:rsidRPr="00CA2955">
        <w:rPr>
          <w:rStyle w:val="Heading1Char"/>
          <w:rFonts w:asciiTheme="minorHAnsi" w:hAnsiTheme="minorHAnsi"/>
          <w:b/>
        </w:rPr>
        <w:t>A.14</w:t>
      </w:r>
      <w:r w:rsidRPr="00CA2955">
        <w:rPr>
          <w:rFonts w:asciiTheme="minorHAnsi" w:hAnsiTheme="minorHAnsi"/>
        </w:rPr>
        <w:tab/>
        <w:t>Annualized Cost to the Government</w:t>
      </w:r>
      <w:bookmarkEnd w:id="14"/>
    </w:p>
    <w:p w14:paraId="231985F7" w14:textId="7FAB3968" w:rsid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cr/>
        <w:t>Contractor</w:t>
      </w:r>
      <w:r w:rsidR="0004299F">
        <w:rPr>
          <w:rFonts w:ascii="Calibri" w:eastAsia="Times New Roman" w:hAnsi="Calibri" w:cs="Times New Roman"/>
          <w:sz w:val="24"/>
          <w:szCs w:val="24"/>
        </w:rPr>
        <w:t>s</w:t>
      </w:r>
      <w:r w:rsidRPr="003716E1">
        <w:rPr>
          <w:rFonts w:ascii="Calibri" w:eastAsia="Times New Roman" w:hAnsi="Calibri" w:cs="Times New Roman"/>
          <w:sz w:val="24"/>
          <w:szCs w:val="24"/>
        </w:rPr>
        <w:t xml:space="preserve"> ha</w:t>
      </w:r>
      <w:r w:rsidR="0004299F">
        <w:rPr>
          <w:rFonts w:ascii="Calibri" w:eastAsia="Times New Roman" w:hAnsi="Calibri" w:cs="Times New Roman"/>
          <w:sz w:val="24"/>
          <w:szCs w:val="24"/>
        </w:rPr>
        <w:t>ve</w:t>
      </w:r>
      <w:r w:rsidRPr="003716E1">
        <w:rPr>
          <w:rFonts w:ascii="Calibri" w:eastAsia="Times New Roman" w:hAnsi="Calibri" w:cs="Times New Roman"/>
          <w:sz w:val="24"/>
          <w:szCs w:val="24"/>
        </w:rPr>
        <w:t xml:space="preserve"> been hired to assist NIOSH with the </w:t>
      </w:r>
      <w:r w:rsidR="00F24569">
        <w:rPr>
          <w:rFonts w:ascii="Calibri" w:eastAsia="Times New Roman" w:hAnsi="Calibri" w:cs="Times New Roman"/>
          <w:sz w:val="24"/>
          <w:szCs w:val="24"/>
        </w:rPr>
        <w:t>MIWS</w:t>
      </w:r>
      <w:r w:rsidRPr="003716E1">
        <w:rPr>
          <w:rFonts w:ascii="Calibri" w:eastAsia="Times New Roman" w:hAnsi="Calibri" w:cs="Times New Roman"/>
          <w:sz w:val="24"/>
          <w:szCs w:val="24"/>
        </w:rPr>
        <w:t xml:space="preserve">. The </w:t>
      </w:r>
      <w:r w:rsidR="001753A6">
        <w:rPr>
          <w:rFonts w:ascii="Calibri" w:eastAsia="Times New Roman" w:hAnsi="Calibri" w:cs="Times New Roman"/>
          <w:sz w:val="24"/>
          <w:szCs w:val="24"/>
        </w:rPr>
        <w:t>c</w:t>
      </w:r>
      <w:r w:rsidRPr="003716E1">
        <w:rPr>
          <w:rFonts w:ascii="Calibri" w:eastAsia="Times New Roman" w:hAnsi="Calibri" w:cs="Times New Roman"/>
          <w:sz w:val="24"/>
          <w:szCs w:val="24"/>
        </w:rPr>
        <w:t>ontractor</w:t>
      </w:r>
      <w:r w:rsidR="00A53E02">
        <w:rPr>
          <w:rFonts w:ascii="Calibri" w:eastAsia="Times New Roman" w:hAnsi="Calibri" w:cs="Times New Roman"/>
          <w:sz w:val="24"/>
          <w:szCs w:val="24"/>
        </w:rPr>
        <w:t>s</w:t>
      </w:r>
      <w:r w:rsidR="001753A6">
        <w:rPr>
          <w:rFonts w:ascii="Calibri" w:eastAsia="Times New Roman" w:hAnsi="Calibri" w:cs="Times New Roman"/>
          <w:sz w:val="24"/>
          <w:szCs w:val="24"/>
        </w:rPr>
        <w:t>’</w:t>
      </w:r>
      <w:r w:rsidR="00A53E02">
        <w:rPr>
          <w:rFonts w:ascii="Calibri" w:eastAsia="Times New Roman" w:hAnsi="Calibri" w:cs="Times New Roman"/>
          <w:sz w:val="24"/>
          <w:szCs w:val="24"/>
        </w:rPr>
        <w:t xml:space="preserve"> total costs for the stone/</w:t>
      </w:r>
      <w:r w:rsidRPr="003716E1">
        <w:rPr>
          <w:rFonts w:ascii="Calibri" w:eastAsia="Times New Roman" w:hAnsi="Calibri" w:cs="Times New Roman"/>
          <w:sz w:val="24"/>
          <w:szCs w:val="24"/>
        </w:rPr>
        <w:t>sand and gravel</w:t>
      </w:r>
      <w:r w:rsidR="00A53E02">
        <w:rPr>
          <w:rFonts w:ascii="Calibri" w:eastAsia="Times New Roman" w:hAnsi="Calibri" w:cs="Times New Roman"/>
          <w:sz w:val="24"/>
          <w:szCs w:val="24"/>
        </w:rPr>
        <w:t xml:space="preserve">, metal/nonmetal, and coal surveys is expected to equal </w:t>
      </w:r>
      <w:r w:rsidR="00386A3B">
        <w:rPr>
          <w:rFonts w:ascii="Calibri" w:eastAsia="Times New Roman" w:hAnsi="Calibri" w:cs="Times New Roman"/>
          <w:sz w:val="24"/>
          <w:szCs w:val="24"/>
        </w:rPr>
        <w:t>$1,192</w:t>
      </w:r>
      <w:r w:rsidRPr="003716E1">
        <w:rPr>
          <w:rFonts w:ascii="Calibri" w:eastAsia="Times New Roman" w:hAnsi="Calibri" w:cs="Times New Roman"/>
          <w:sz w:val="24"/>
          <w:szCs w:val="24"/>
        </w:rPr>
        <w:t>,000. These costs include tasks such as: (1) development of the web questionnaire; (2) validation of sampled mines; (3) survey packet preparation and mail</w:t>
      </w:r>
      <w:r w:rsidR="00C74237">
        <w:rPr>
          <w:rFonts w:ascii="Calibri" w:eastAsia="Times New Roman" w:hAnsi="Calibri" w:cs="Times New Roman"/>
          <w:sz w:val="24"/>
          <w:szCs w:val="24"/>
        </w:rPr>
        <w:t>-</w:t>
      </w:r>
      <w:r w:rsidRPr="003716E1">
        <w:rPr>
          <w:rFonts w:ascii="Calibri" w:eastAsia="Times New Roman" w:hAnsi="Calibri" w:cs="Times New Roman"/>
          <w:sz w:val="24"/>
          <w:szCs w:val="24"/>
        </w:rPr>
        <w:t>out; (4) sample tracking; (5) data receipt and processing; and (6) data entry and delivery. The preparation of the sampling frames, sample selection, and data analysis will be done by a NIOSH Lead Statistician (GS</w:t>
      </w:r>
      <w:r w:rsidR="00386A3B">
        <w:rPr>
          <w:rFonts w:ascii="Calibri" w:eastAsia="Times New Roman" w:hAnsi="Calibri" w:cs="Times New Roman"/>
          <w:sz w:val="24"/>
          <w:szCs w:val="24"/>
        </w:rPr>
        <w:t xml:space="preserve"> 13/10)</w:t>
      </w:r>
      <w:r w:rsidRPr="003716E1">
        <w:rPr>
          <w:rFonts w:ascii="Calibri" w:eastAsia="Times New Roman" w:hAnsi="Calibri" w:cs="Times New Roman"/>
          <w:sz w:val="24"/>
          <w:szCs w:val="24"/>
        </w:rPr>
        <w:t>. A</w:t>
      </w:r>
      <w:r w:rsidR="00386A3B">
        <w:rPr>
          <w:rFonts w:ascii="Calibri" w:eastAsia="Times New Roman" w:hAnsi="Calibri" w:cs="Times New Roman"/>
          <w:sz w:val="24"/>
          <w:szCs w:val="24"/>
        </w:rPr>
        <w:t>nother NIOSH Statistician</w:t>
      </w:r>
      <w:r w:rsidRPr="003716E1">
        <w:rPr>
          <w:rFonts w:ascii="Calibri" w:eastAsia="Times New Roman" w:hAnsi="Calibri" w:cs="Times New Roman"/>
          <w:sz w:val="24"/>
          <w:szCs w:val="24"/>
        </w:rPr>
        <w:t xml:space="preserve"> (GS 13/02) will assist with the statistical analysis and preparation of reports for each mining sector. There will be additional costs to NIOSH (not yet determined) for printing the reports and other publications that NIOSH anticipates preparing after completing the analysis of the data captured in this survey.</w:t>
      </w:r>
      <w:r w:rsidR="002608B8">
        <w:rPr>
          <w:rFonts w:ascii="Calibri" w:eastAsia="Times New Roman" w:hAnsi="Calibri" w:cs="Times New Roman"/>
          <w:sz w:val="24"/>
          <w:szCs w:val="24"/>
        </w:rPr>
        <w:t xml:space="preserve"> The total cost for this three-year project will be approximately </w:t>
      </w:r>
      <w:r w:rsidR="00F00CFC">
        <w:rPr>
          <w:rFonts w:ascii="Calibri" w:eastAsia="Times New Roman" w:hAnsi="Calibri" w:cs="Times New Roman"/>
          <w:sz w:val="24"/>
          <w:szCs w:val="24"/>
        </w:rPr>
        <w:t>$1,534,392.00 with an annualized cost of $511,464.00 (Table 14).</w:t>
      </w:r>
    </w:p>
    <w:p w14:paraId="2535182B" w14:textId="77777777" w:rsidR="00A53E02" w:rsidRDefault="00A53E02" w:rsidP="003716E1">
      <w:pPr>
        <w:autoSpaceDE w:val="0"/>
        <w:autoSpaceDN w:val="0"/>
        <w:adjustRightInd w:val="0"/>
        <w:spacing w:after="0" w:line="240" w:lineRule="auto"/>
        <w:rPr>
          <w:rFonts w:ascii="Calibri" w:eastAsia="Times New Roman" w:hAnsi="Calibri" w:cs="Times New Roman"/>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A53E02" w:rsidRPr="003716E1" w14:paraId="1CA83A33" w14:textId="77777777" w:rsidTr="00A53E02">
        <w:trPr>
          <w:cantSplit/>
          <w:tblHeader/>
        </w:trPr>
        <w:tc>
          <w:tcPr>
            <w:tcW w:w="9360" w:type="dxa"/>
            <w:gridSpan w:val="4"/>
            <w:tcBorders>
              <w:bottom w:val="nil"/>
            </w:tcBorders>
            <w:shd w:val="clear" w:color="auto" w:fill="FFFFFF"/>
          </w:tcPr>
          <w:p w14:paraId="00ECEF62" w14:textId="77777777" w:rsidR="00A53E02" w:rsidRPr="003716E1" w:rsidRDefault="00A53E02" w:rsidP="00A53E02">
            <w:pPr>
              <w:autoSpaceDE w:val="0"/>
              <w:autoSpaceDN w:val="0"/>
              <w:adjustRightInd w:val="0"/>
              <w:spacing w:after="60" w:line="240" w:lineRule="auto"/>
              <w:jc w:val="center"/>
              <w:rPr>
                <w:rFonts w:ascii="Calibri" w:eastAsia="Times New Roman" w:hAnsi="Calibri" w:cs="Times New Roman"/>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r>
              <w:rPr>
                <w:rFonts w:ascii="Calibri" w:eastAsia="Times New Roman" w:hAnsi="Calibri" w:cs="Times New Roman"/>
                <w:b/>
                <w:bCs/>
                <w:sz w:val="24"/>
                <w:szCs w:val="24"/>
              </w:rPr>
              <w:t>Table 14.  Annualized Cost to the Government</w:t>
            </w:r>
          </w:p>
        </w:tc>
      </w:tr>
      <w:tr w:rsidR="00A53E02" w:rsidRPr="003716E1" w14:paraId="41C54151" w14:textId="77777777" w:rsidTr="00A53E02">
        <w:trPr>
          <w:cantSplit/>
          <w:tblHeader/>
        </w:trPr>
        <w:tc>
          <w:tcPr>
            <w:tcW w:w="2340" w:type="dxa"/>
            <w:tcBorders>
              <w:top w:val="single" w:sz="6" w:space="0" w:color="000000"/>
              <w:left w:val="single" w:sz="6" w:space="0" w:color="000000"/>
              <w:bottom w:val="single" w:sz="6" w:space="0" w:color="000000"/>
              <w:right w:val="nil"/>
            </w:tcBorders>
            <w:shd w:val="clear" w:color="auto" w:fill="D9D9D9"/>
          </w:tcPr>
          <w:p w14:paraId="7CCD87D3" w14:textId="77777777" w:rsidR="00A53E02" w:rsidRPr="003716E1" w:rsidRDefault="00A53E02" w:rsidP="00A53E02">
            <w:pPr>
              <w:autoSpaceDE w:val="0"/>
              <w:autoSpaceDN w:val="0"/>
              <w:adjustRightInd w:val="0"/>
              <w:spacing w:after="0" w:line="240" w:lineRule="auto"/>
              <w:jc w:val="center"/>
              <w:rPr>
                <w:rFonts w:ascii="Calibri" w:eastAsia="Times New Roman" w:hAnsi="Calibri" w:cs="Times New Roman"/>
                <w:b/>
                <w:sz w:val="24"/>
                <w:szCs w:val="24"/>
              </w:rPr>
            </w:pPr>
            <w:r w:rsidRPr="003716E1">
              <w:rPr>
                <w:rFonts w:ascii="Calibri" w:eastAsia="Times New Roman" w:hAnsi="Calibri" w:cs="Times New Roman"/>
                <w:sz w:val="24"/>
                <w:szCs w:val="24"/>
                <w:lang w:val="en-CA"/>
              </w:rPr>
              <w:fldChar w:fldCharType="begin"/>
            </w:r>
            <w:r w:rsidRPr="003716E1">
              <w:rPr>
                <w:rFonts w:ascii="Calibri" w:eastAsia="Times New Roman" w:hAnsi="Calibri" w:cs="Times New Roman"/>
                <w:sz w:val="24"/>
                <w:szCs w:val="24"/>
                <w:lang w:val="en-CA"/>
              </w:rPr>
              <w:instrText xml:space="preserve"> SEQ CHAPTER \h \r 1</w:instrText>
            </w:r>
            <w:r w:rsidRPr="003716E1">
              <w:rPr>
                <w:rFonts w:ascii="Calibri" w:eastAsia="Times New Roman" w:hAnsi="Calibri" w:cs="Times New Roman"/>
                <w:sz w:val="24"/>
                <w:szCs w:val="24"/>
                <w:lang w:val="en-CA"/>
              </w:rPr>
              <w:fldChar w:fldCharType="end"/>
            </w:r>
          </w:p>
        </w:tc>
        <w:tc>
          <w:tcPr>
            <w:tcW w:w="2340" w:type="dxa"/>
            <w:tcBorders>
              <w:top w:val="single" w:sz="6" w:space="0" w:color="000000"/>
              <w:left w:val="single" w:sz="6" w:space="0" w:color="000000"/>
              <w:bottom w:val="nil"/>
              <w:right w:val="nil"/>
            </w:tcBorders>
            <w:shd w:val="clear" w:color="auto" w:fill="D9D9D9"/>
          </w:tcPr>
          <w:p w14:paraId="73E09210" w14:textId="77777777" w:rsidR="00A53E02" w:rsidRPr="003716E1" w:rsidRDefault="00947DDB" w:rsidP="00A53E02">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Effort</w:t>
            </w:r>
          </w:p>
        </w:tc>
        <w:tc>
          <w:tcPr>
            <w:tcW w:w="2340" w:type="dxa"/>
            <w:tcBorders>
              <w:top w:val="single" w:sz="6" w:space="0" w:color="000000"/>
              <w:left w:val="single" w:sz="6" w:space="0" w:color="000000"/>
              <w:bottom w:val="nil"/>
              <w:right w:val="nil"/>
            </w:tcBorders>
            <w:shd w:val="clear" w:color="auto" w:fill="D9D9D9"/>
          </w:tcPr>
          <w:p w14:paraId="09506155" w14:textId="77777777" w:rsidR="00A53E02" w:rsidRPr="003716E1" w:rsidRDefault="00947DDB" w:rsidP="00A53E02">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Hourly Rate</w:t>
            </w:r>
          </w:p>
        </w:tc>
        <w:tc>
          <w:tcPr>
            <w:tcW w:w="2340" w:type="dxa"/>
            <w:tcBorders>
              <w:top w:val="single" w:sz="6" w:space="0" w:color="000000"/>
              <w:left w:val="single" w:sz="6" w:space="0" w:color="000000"/>
              <w:bottom w:val="single" w:sz="6" w:space="0" w:color="000000"/>
              <w:right w:val="single" w:sz="6" w:space="0" w:color="000000"/>
            </w:tcBorders>
            <w:shd w:val="clear" w:color="auto" w:fill="D9D9D9"/>
          </w:tcPr>
          <w:p w14:paraId="6BB2B48C" w14:textId="77777777" w:rsidR="00A53E02" w:rsidRPr="003716E1" w:rsidRDefault="00947DDB" w:rsidP="00A53E02">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Cost</w:t>
            </w:r>
          </w:p>
        </w:tc>
      </w:tr>
      <w:tr w:rsidR="00A53E02" w:rsidRPr="003716E1" w14:paraId="2670A3B3" w14:textId="77777777" w:rsidTr="00A53E02">
        <w:trPr>
          <w:cantSplit/>
          <w:tblHeader/>
        </w:trPr>
        <w:tc>
          <w:tcPr>
            <w:tcW w:w="2340" w:type="dxa"/>
            <w:tcBorders>
              <w:top w:val="single" w:sz="6" w:space="0" w:color="000000"/>
              <w:left w:val="single" w:sz="6" w:space="0" w:color="000000"/>
              <w:bottom w:val="single" w:sz="6" w:space="0" w:color="000000"/>
              <w:right w:val="nil"/>
            </w:tcBorders>
          </w:tcPr>
          <w:p w14:paraId="47678DFA" w14:textId="77777777" w:rsidR="00A53E02" w:rsidRPr="003716E1" w:rsidRDefault="00947DDB" w:rsidP="00947DDB">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Contract for Survey</w:t>
            </w:r>
          </w:p>
        </w:tc>
        <w:tc>
          <w:tcPr>
            <w:tcW w:w="2340" w:type="dxa"/>
            <w:tcBorders>
              <w:top w:val="single" w:sz="6" w:space="0" w:color="000000"/>
              <w:left w:val="single" w:sz="6" w:space="0" w:color="000000"/>
              <w:bottom w:val="single" w:sz="6" w:space="0" w:color="000000"/>
              <w:right w:val="nil"/>
            </w:tcBorders>
          </w:tcPr>
          <w:p w14:paraId="6ABE8995" w14:textId="77777777" w:rsidR="00A53E02" w:rsidRPr="003716E1" w:rsidRDefault="007A494D"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1 </w:t>
            </w:r>
            <w:r w:rsidR="00947DDB">
              <w:rPr>
                <w:rFonts w:ascii="Calibri" w:eastAsia="Times New Roman" w:hAnsi="Calibri" w:cs="Times New Roman"/>
                <w:sz w:val="24"/>
                <w:szCs w:val="24"/>
              </w:rPr>
              <w:t>year</w:t>
            </w:r>
            <w:r>
              <w:rPr>
                <w:rFonts w:ascii="Calibri" w:eastAsia="Times New Roman" w:hAnsi="Calibri" w:cs="Times New Roman"/>
                <w:sz w:val="24"/>
                <w:szCs w:val="24"/>
              </w:rPr>
              <w:t xml:space="preserve"> (1 </w:t>
            </w:r>
            <w:r w:rsidR="00947DDB">
              <w:rPr>
                <w:rFonts w:ascii="Calibri" w:eastAsia="Times New Roman" w:hAnsi="Calibri" w:cs="Times New Roman"/>
                <w:sz w:val="24"/>
                <w:szCs w:val="24"/>
              </w:rPr>
              <w:t>mining sector)</w:t>
            </w:r>
          </w:p>
        </w:tc>
        <w:tc>
          <w:tcPr>
            <w:tcW w:w="2340" w:type="dxa"/>
            <w:tcBorders>
              <w:top w:val="single" w:sz="6" w:space="0" w:color="000000"/>
              <w:left w:val="single" w:sz="6" w:space="0" w:color="000000"/>
              <w:bottom w:val="single" w:sz="6" w:space="0" w:color="000000"/>
              <w:right w:val="nil"/>
            </w:tcBorders>
          </w:tcPr>
          <w:p w14:paraId="2AB10A33" w14:textId="77777777" w:rsidR="00A53E02" w:rsidRPr="003716E1" w:rsidRDefault="00A53E02" w:rsidP="00A53E02">
            <w:pPr>
              <w:autoSpaceDE w:val="0"/>
              <w:autoSpaceDN w:val="0"/>
              <w:adjustRightInd w:val="0"/>
              <w:spacing w:after="0" w:line="240" w:lineRule="auto"/>
              <w:jc w:val="center"/>
              <w:rPr>
                <w:rFonts w:ascii="Calibri" w:eastAsia="Times New Roman" w:hAnsi="Calibri" w:cs="Times New Roman"/>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64E0FDAC" w14:textId="77777777" w:rsidR="00A53E02" w:rsidRPr="003716E1" w:rsidRDefault="00A53E02"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$450,000</w:t>
            </w:r>
            <w:r w:rsidR="00F00CFC">
              <w:rPr>
                <w:rFonts w:ascii="Calibri" w:eastAsia="Times New Roman" w:hAnsi="Calibri" w:cs="Times New Roman"/>
                <w:sz w:val="24"/>
                <w:szCs w:val="24"/>
              </w:rPr>
              <w:t>.00</w:t>
            </w:r>
          </w:p>
        </w:tc>
      </w:tr>
      <w:tr w:rsidR="00947DDB" w:rsidRPr="003716E1" w14:paraId="0E6A09EA" w14:textId="77777777" w:rsidTr="00A53E02">
        <w:trPr>
          <w:cantSplit/>
          <w:tblHeader/>
        </w:trPr>
        <w:tc>
          <w:tcPr>
            <w:tcW w:w="2340" w:type="dxa"/>
            <w:tcBorders>
              <w:top w:val="single" w:sz="6" w:space="0" w:color="000000"/>
              <w:left w:val="single" w:sz="6" w:space="0" w:color="000000"/>
              <w:bottom w:val="single" w:sz="6" w:space="0" w:color="000000"/>
              <w:right w:val="nil"/>
            </w:tcBorders>
          </w:tcPr>
          <w:p w14:paraId="4A44D94D" w14:textId="6876FB62" w:rsidR="00947DDB" w:rsidRDefault="00386A3B"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Lead Statistician (GS-13/10</w:t>
            </w:r>
            <w:r w:rsidR="00947DDB">
              <w:rPr>
                <w:rFonts w:ascii="Calibri" w:eastAsia="Times New Roman" w:hAnsi="Calibri" w:cs="Times New Roman"/>
                <w:sz w:val="24"/>
                <w:szCs w:val="24"/>
              </w:rPr>
              <w:t>)</w:t>
            </w:r>
          </w:p>
        </w:tc>
        <w:tc>
          <w:tcPr>
            <w:tcW w:w="2340" w:type="dxa"/>
            <w:tcBorders>
              <w:top w:val="single" w:sz="6" w:space="0" w:color="000000"/>
              <w:left w:val="single" w:sz="6" w:space="0" w:color="000000"/>
              <w:bottom w:val="single" w:sz="6" w:space="0" w:color="000000"/>
              <w:right w:val="nil"/>
            </w:tcBorders>
          </w:tcPr>
          <w:p w14:paraId="4E513F8E" w14:textId="77777777" w:rsidR="00947DDB" w:rsidRDefault="007A494D"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 FTE</w:t>
            </w:r>
          </w:p>
        </w:tc>
        <w:tc>
          <w:tcPr>
            <w:tcW w:w="2340" w:type="dxa"/>
            <w:tcBorders>
              <w:top w:val="single" w:sz="6" w:space="0" w:color="000000"/>
              <w:left w:val="single" w:sz="6" w:space="0" w:color="000000"/>
              <w:bottom w:val="single" w:sz="6" w:space="0" w:color="000000"/>
              <w:right w:val="nil"/>
            </w:tcBorders>
          </w:tcPr>
          <w:p w14:paraId="1E000999" w14:textId="07C7888D" w:rsidR="00947DDB" w:rsidRPr="003716E1" w:rsidRDefault="003C1C8C"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$54.76</w:t>
            </w:r>
          </w:p>
        </w:tc>
        <w:tc>
          <w:tcPr>
            <w:tcW w:w="2340" w:type="dxa"/>
            <w:tcBorders>
              <w:top w:val="single" w:sz="6" w:space="0" w:color="000000"/>
              <w:left w:val="single" w:sz="6" w:space="0" w:color="000000"/>
              <w:bottom w:val="single" w:sz="6" w:space="0" w:color="000000"/>
              <w:right w:val="single" w:sz="6" w:space="0" w:color="000000"/>
            </w:tcBorders>
          </w:tcPr>
          <w:p w14:paraId="027CF25A" w14:textId="596F4148" w:rsidR="00947DDB" w:rsidRDefault="00D91259"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$45,560</w:t>
            </w:r>
            <w:r w:rsidR="003C1C8C">
              <w:rPr>
                <w:rFonts w:ascii="Calibri" w:eastAsia="Times New Roman" w:hAnsi="Calibri" w:cs="Times New Roman"/>
                <w:sz w:val="24"/>
                <w:szCs w:val="24"/>
              </w:rPr>
              <w:t>.00</w:t>
            </w:r>
          </w:p>
        </w:tc>
      </w:tr>
      <w:tr w:rsidR="00947DDB" w:rsidRPr="003716E1" w14:paraId="2C8BF74B" w14:textId="77777777" w:rsidTr="00A53E02">
        <w:trPr>
          <w:cantSplit/>
          <w:tblHeader/>
        </w:trPr>
        <w:tc>
          <w:tcPr>
            <w:tcW w:w="2340" w:type="dxa"/>
            <w:tcBorders>
              <w:top w:val="single" w:sz="6" w:space="0" w:color="000000"/>
              <w:left w:val="single" w:sz="6" w:space="0" w:color="000000"/>
              <w:bottom w:val="single" w:sz="6" w:space="0" w:color="000000"/>
              <w:right w:val="nil"/>
            </w:tcBorders>
          </w:tcPr>
          <w:p w14:paraId="150B17BA" w14:textId="7C4E7A51" w:rsidR="00947DDB" w:rsidRDefault="00386A3B"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Statistician</w:t>
            </w:r>
            <w:r w:rsidR="00683E8A">
              <w:rPr>
                <w:rFonts w:ascii="Calibri" w:eastAsia="Times New Roman" w:hAnsi="Calibri" w:cs="Times New Roman"/>
                <w:sz w:val="24"/>
                <w:szCs w:val="24"/>
              </w:rPr>
              <w:t xml:space="preserve"> (GS-13/03</w:t>
            </w:r>
            <w:r w:rsidR="00947DDB">
              <w:rPr>
                <w:rFonts w:ascii="Calibri" w:eastAsia="Times New Roman" w:hAnsi="Calibri" w:cs="Times New Roman"/>
                <w:sz w:val="24"/>
                <w:szCs w:val="24"/>
              </w:rPr>
              <w:t>)</w:t>
            </w:r>
          </w:p>
        </w:tc>
        <w:tc>
          <w:tcPr>
            <w:tcW w:w="2340" w:type="dxa"/>
            <w:tcBorders>
              <w:top w:val="single" w:sz="6" w:space="0" w:color="000000"/>
              <w:left w:val="single" w:sz="6" w:space="0" w:color="000000"/>
              <w:bottom w:val="single" w:sz="6" w:space="0" w:color="000000"/>
              <w:right w:val="nil"/>
            </w:tcBorders>
          </w:tcPr>
          <w:p w14:paraId="6599EA26" w14:textId="77777777" w:rsidR="00947DDB" w:rsidRDefault="007A494D"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 FTE</w:t>
            </w:r>
          </w:p>
        </w:tc>
        <w:tc>
          <w:tcPr>
            <w:tcW w:w="2340" w:type="dxa"/>
            <w:tcBorders>
              <w:top w:val="single" w:sz="6" w:space="0" w:color="000000"/>
              <w:left w:val="single" w:sz="6" w:space="0" w:color="000000"/>
              <w:bottom w:val="single" w:sz="6" w:space="0" w:color="000000"/>
              <w:right w:val="nil"/>
            </w:tcBorders>
          </w:tcPr>
          <w:p w14:paraId="5CB89AC1" w14:textId="59B92E13" w:rsidR="00947DDB" w:rsidRPr="003716E1" w:rsidRDefault="00C91C49"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$44.93</w:t>
            </w:r>
          </w:p>
        </w:tc>
        <w:tc>
          <w:tcPr>
            <w:tcW w:w="2340" w:type="dxa"/>
            <w:tcBorders>
              <w:top w:val="single" w:sz="6" w:space="0" w:color="000000"/>
              <w:left w:val="single" w:sz="6" w:space="0" w:color="000000"/>
              <w:bottom w:val="single" w:sz="6" w:space="0" w:color="000000"/>
              <w:right w:val="single" w:sz="6" w:space="0" w:color="000000"/>
            </w:tcBorders>
          </w:tcPr>
          <w:p w14:paraId="3115CDFC" w14:textId="4F1E8AA3" w:rsidR="00947DDB" w:rsidRDefault="00F00CFC"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w:t>
            </w:r>
            <w:r w:rsidR="00D91259">
              <w:rPr>
                <w:rFonts w:ascii="Calibri" w:eastAsia="Times New Roman" w:hAnsi="Calibri" w:cs="Times New Roman"/>
                <w:sz w:val="24"/>
                <w:szCs w:val="24"/>
              </w:rPr>
              <w:t>18,691</w:t>
            </w:r>
            <w:r w:rsidR="00C91C49">
              <w:rPr>
                <w:rFonts w:ascii="Calibri" w:eastAsia="Times New Roman" w:hAnsi="Calibri" w:cs="Times New Roman"/>
                <w:sz w:val="24"/>
                <w:szCs w:val="24"/>
              </w:rPr>
              <w:t>.00</w:t>
            </w:r>
          </w:p>
        </w:tc>
      </w:tr>
      <w:tr w:rsidR="00947DDB" w:rsidRPr="003716E1" w14:paraId="7800EC7B" w14:textId="77777777" w:rsidTr="00A53E02">
        <w:trPr>
          <w:cantSplit/>
          <w:tblHeader/>
        </w:trPr>
        <w:tc>
          <w:tcPr>
            <w:tcW w:w="2340" w:type="dxa"/>
            <w:tcBorders>
              <w:top w:val="single" w:sz="6" w:space="0" w:color="000000"/>
              <w:left w:val="single" w:sz="6" w:space="0" w:color="000000"/>
              <w:bottom w:val="single" w:sz="6" w:space="0" w:color="000000"/>
              <w:right w:val="nil"/>
            </w:tcBorders>
          </w:tcPr>
          <w:p w14:paraId="109ABB4F" w14:textId="77777777" w:rsidR="00947DDB" w:rsidRPr="002608B8" w:rsidRDefault="002608B8" w:rsidP="00A53E02">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TOTAL</w:t>
            </w:r>
          </w:p>
        </w:tc>
        <w:tc>
          <w:tcPr>
            <w:tcW w:w="2340" w:type="dxa"/>
            <w:tcBorders>
              <w:top w:val="single" w:sz="6" w:space="0" w:color="000000"/>
              <w:left w:val="single" w:sz="6" w:space="0" w:color="000000"/>
              <w:bottom w:val="single" w:sz="6" w:space="0" w:color="000000"/>
              <w:right w:val="nil"/>
            </w:tcBorders>
          </w:tcPr>
          <w:p w14:paraId="1B108EFB" w14:textId="77777777" w:rsidR="00947DDB" w:rsidRDefault="00947DDB" w:rsidP="00A53E02">
            <w:pPr>
              <w:autoSpaceDE w:val="0"/>
              <w:autoSpaceDN w:val="0"/>
              <w:adjustRightInd w:val="0"/>
              <w:spacing w:after="0" w:line="240" w:lineRule="auto"/>
              <w:jc w:val="center"/>
              <w:rPr>
                <w:rFonts w:ascii="Calibri" w:eastAsia="Times New Roman" w:hAnsi="Calibri" w:cs="Times New Roman"/>
                <w:sz w:val="24"/>
                <w:szCs w:val="24"/>
              </w:rPr>
            </w:pPr>
          </w:p>
        </w:tc>
        <w:tc>
          <w:tcPr>
            <w:tcW w:w="2340" w:type="dxa"/>
            <w:tcBorders>
              <w:top w:val="single" w:sz="6" w:space="0" w:color="000000"/>
              <w:left w:val="single" w:sz="6" w:space="0" w:color="000000"/>
              <w:bottom w:val="single" w:sz="6" w:space="0" w:color="000000"/>
              <w:right w:val="nil"/>
            </w:tcBorders>
          </w:tcPr>
          <w:p w14:paraId="6549FF62" w14:textId="77777777" w:rsidR="00947DDB" w:rsidRPr="003716E1" w:rsidRDefault="00947DDB" w:rsidP="00A53E02">
            <w:pPr>
              <w:autoSpaceDE w:val="0"/>
              <w:autoSpaceDN w:val="0"/>
              <w:adjustRightInd w:val="0"/>
              <w:spacing w:after="0" w:line="240" w:lineRule="auto"/>
              <w:jc w:val="center"/>
              <w:rPr>
                <w:rFonts w:ascii="Calibri" w:eastAsia="Times New Roman" w:hAnsi="Calibri" w:cs="Times New Roman"/>
                <w:sz w:val="24"/>
                <w:szCs w:val="24"/>
              </w:rPr>
            </w:pPr>
          </w:p>
        </w:tc>
        <w:tc>
          <w:tcPr>
            <w:tcW w:w="2340" w:type="dxa"/>
            <w:tcBorders>
              <w:top w:val="single" w:sz="6" w:space="0" w:color="000000"/>
              <w:left w:val="single" w:sz="6" w:space="0" w:color="000000"/>
              <w:bottom w:val="single" w:sz="6" w:space="0" w:color="000000"/>
              <w:right w:val="single" w:sz="6" w:space="0" w:color="000000"/>
            </w:tcBorders>
          </w:tcPr>
          <w:p w14:paraId="62D74863" w14:textId="208D14EF" w:rsidR="00947DDB" w:rsidRDefault="00D91259" w:rsidP="00A53E02">
            <w:pPr>
              <w:autoSpaceDE w:val="0"/>
              <w:autoSpaceDN w:val="0"/>
              <w:adjustRightInd w:val="0"/>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$514,251</w:t>
            </w:r>
            <w:r w:rsidR="00F00CFC">
              <w:rPr>
                <w:rFonts w:ascii="Calibri" w:eastAsia="Times New Roman" w:hAnsi="Calibri" w:cs="Times New Roman"/>
                <w:sz w:val="24"/>
                <w:szCs w:val="24"/>
              </w:rPr>
              <w:t>.00</w:t>
            </w:r>
          </w:p>
        </w:tc>
      </w:tr>
    </w:tbl>
    <w:p w14:paraId="567D27D0" w14:textId="77777777" w:rsidR="00A53E02" w:rsidRPr="003716E1" w:rsidRDefault="00A53E02" w:rsidP="003716E1">
      <w:pPr>
        <w:autoSpaceDE w:val="0"/>
        <w:autoSpaceDN w:val="0"/>
        <w:adjustRightInd w:val="0"/>
        <w:spacing w:after="0" w:line="240" w:lineRule="auto"/>
        <w:rPr>
          <w:rFonts w:ascii="Calibri" w:eastAsia="Times New Roman" w:hAnsi="Calibri" w:cs="Times New Roman"/>
          <w:sz w:val="24"/>
          <w:szCs w:val="24"/>
        </w:rPr>
      </w:pPr>
    </w:p>
    <w:p w14:paraId="6BE09A53" w14:textId="77777777" w:rsidR="003716E1" w:rsidRPr="003716E1" w:rsidRDefault="003716E1" w:rsidP="003716E1">
      <w:pPr>
        <w:autoSpaceDE w:val="0"/>
        <w:autoSpaceDN w:val="0"/>
        <w:adjustRightInd w:val="0"/>
        <w:spacing w:after="0" w:line="240" w:lineRule="auto"/>
        <w:rPr>
          <w:rFonts w:ascii="Times New Roman" w:eastAsia="Times New Roman" w:hAnsi="Times New Roman" w:cs="Times New Roman"/>
          <w:sz w:val="24"/>
          <w:szCs w:val="24"/>
          <w:lang w:val="en-CA"/>
        </w:rPr>
      </w:pPr>
    </w:p>
    <w:p w14:paraId="228D6581"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32"/>
        </w:rPr>
      </w:pPr>
      <w:bookmarkStart w:id="15" w:name="_Toc435798904"/>
      <w:r w:rsidRPr="003716E1">
        <w:rPr>
          <w:rFonts w:ascii="Calibri" w:eastAsia="Times New Roman" w:hAnsi="Calibri" w:cs="Times New Roman"/>
          <w:b/>
          <w:bCs/>
          <w:kern w:val="32"/>
          <w:sz w:val="24"/>
          <w:szCs w:val="32"/>
          <w:lang w:val="en-CA"/>
        </w:rPr>
        <w:t>A</w:t>
      </w:r>
      <w:r w:rsidRPr="003716E1">
        <w:rPr>
          <w:rFonts w:ascii="Calibri" w:eastAsia="Times New Roman" w:hAnsi="Calibri" w:cs="Times New Roman"/>
          <w:b/>
          <w:bCs/>
          <w:kern w:val="32"/>
          <w:sz w:val="24"/>
          <w:szCs w:val="32"/>
          <w:lang w:val="en-CA"/>
        </w:rPr>
        <w:fldChar w:fldCharType="begin"/>
      </w:r>
      <w:r w:rsidRPr="003716E1">
        <w:rPr>
          <w:rFonts w:ascii="Calibri" w:eastAsia="Times New Roman" w:hAnsi="Calibri" w:cs="Times New Roman"/>
          <w:b/>
          <w:bCs/>
          <w:kern w:val="32"/>
          <w:sz w:val="24"/>
          <w:szCs w:val="32"/>
          <w:lang w:val="en-CA"/>
        </w:rPr>
        <w:instrText xml:space="preserve"> SEQ CHAPTER \h \r 1</w:instrText>
      </w:r>
      <w:r w:rsidRPr="003716E1">
        <w:rPr>
          <w:rFonts w:ascii="Calibri" w:eastAsia="Times New Roman" w:hAnsi="Calibri" w:cs="Times New Roman"/>
          <w:b/>
          <w:bCs/>
          <w:kern w:val="32"/>
          <w:sz w:val="24"/>
          <w:szCs w:val="32"/>
          <w:lang w:val="en-CA"/>
        </w:rPr>
        <w:fldChar w:fldCharType="end"/>
      </w:r>
      <w:r w:rsidRPr="003716E1">
        <w:rPr>
          <w:rFonts w:ascii="Calibri" w:eastAsia="Times New Roman" w:hAnsi="Calibri" w:cs="Times New Roman"/>
          <w:b/>
          <w:bCs/>
          <w:kern w:val="32"/>
          <w:sz w:val="24"/>
          <w:szCs w:val="32"/>
        </w:rPr>
        <w:t>.15</w:t>
      </w:r>
      <w:r w:rsidRPr="003716E1">
        <w:rPr>
          <w:rFonts w:ascii="Calibri" w:eastAsia="Times New Roman" w:hAnsi="Calibri" w:cs="Times New Roman"/>
          <w:b/>
          <w:bCs/>
          <w:kern w:val="32"/>
          <w:sz w:val="24"/>
          <w:szCs w:val="32"/>
        </w:rPr>
        <w:tab/>
        <w:t>Explanation for Program Changes or Adjustments</w:t>
      </w:r>
      <w:bookmarkEnd w:id="15"/>
    </w:p>
    <w:p w14:paraId="257BC960"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8E9349B" w14:textId="77777777" w:rsidR="006452C2" w:rsidRDefault="006452C2" w:rsidP="003716E1">
      <w:pPr>
        <w:autoSpaceDE w:val="0"/>
        <w:autoSpaceDN w:val="0"/>
        <w:adjustRightInd w:val="0"/>
        <w:spacing w:after="0" w:line="240" w:lineRule="auto"/>
        <w:rPr>
          <w:rFonts w:ascii="Calibri" w:eastAsia="Times New Roman" w:hAnsi="Calibri" w:cs="Times New Roman"/>
          <w:sz w:val="24"/>
          <w:szCs w:val="24"/>
        </w:rPr>
        <w:sectPr w:rsidR="006452C2" w:rsidSect="00DF73AB">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docGrid w:linePitch="360"/>
        </w:sectPr>
      </w:pPr>
      <w:r>
        <w:rPr>
          <w:rFonts w:ascii="Calibri" w:eastAsia="Times New Roman" w:hAnsi="Calibri" w:cs="Times New Roman"/>
          <w:sz w:val="24"/>
          <w:szCs w:val="24"/>
        </w:rPr>
        <w:t>This is a new data collection</w:t>
      </w:r>
    </w:p>
    <w:p w14:paraId="4593D1C9" w14:textId="77777777" w:rsidR="006452C2" w:rsidRDefault="006452C2" w:rsidP="003716E1">
      <w:pPr>
        <w:autoSpaceDE w:val="0"/>
        <w:autoSpaceDN w:val="0"/>
        <w:adjustRightInd w:val="0"/>
        <w:spacing w:after="0" w:line="240" w:lineRule="auto"/>
        <w:rPr>
          <w:rFonts w:ascii="Times New Roman" w:eastAsia="Times New Roman" w:hAnsi="Times New Roman" w:cs="Times New Roman"/>
          <w:sz w:val="24"/>
          <w:szCs w:val="24"/>
        </w:rPr>
      </w:pPr>
    </w:p>
    <w:p w14:paraId="0ABCA8B2" w14:textId="23692A0C"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bookmarkStart w:id="16" w:name="_Toc435798905"/>
      <w:r w:rsidRPr="006452C2">
        <w:rPr>
          <w:rStyle w:val="Heading2Char"/>
          <w:rFonts w:ascii="Calibri" w:hAnsi="Calibri" w:cs="Aparajita"/>
          <w:b/>
          <w:color w:val="auto"/>
          <w:sz w:val="24"/>
          <w:szCs w:val="24"/>
        </w:rPr>
        <w:t>A.16</w:t>
      </w:r>
      <w:r w:rsidRPr="006452C2">
        <w:rPr>
          <w:rStyle w:val="Heading2Char"/>
          <w:rFonts w:ascii="Calibri" w:hAnsi="Calibri" w:cs="Aparajita"/>
          <w:b/>
          <w:color w:val="auto"/>
          <w:sz w:val="24"/>
          <w:szCs w:val="24"/>
        </w:rPr>
        <w:tab/>
        <w:t>Plans for Tabulation and Publication and Project Time Schedule</w:t>
      </w:r>
      <w:bookmarkEnd w:id="16"/>
      <w:r w:rsidRPr="003716E1">
        <w:rPr>
          <w:rFonts w:ascii="Calibri" w:eastAsia="Times New Roman" w:hAnsi="Calibri" w:cs="Times New Roman"/>
          <w:b/>
          <w:bCs/>
          <w:sz w:val="24"/>
          <w:szCs w:val="24"/>
        </w:rPr>
        <w:cr/>
      </w:r>
      <w:r w:rsidRPr="003716E1">
        <w:rPr>
          <w:rFonts w:ascii="Calibri" w:eastAsia="Times New Roman" w:hAnsi="Calibri" w:cs="Times New Roman"/>
          <w:b/>
          <w:bCs/>
          <w:sz w:val="24"/>
          <w:szCs w:val="24"/>
        </w:rPr>
        <w:cr/>
      </w:r>
      <w:r w:rsidRPr="003716E1">
        <w:rPr>
          <w:rFonts w:ascii="Calibri" w:eastAsia="Times New Roman" w:hAnsi="Calibri" w:cs="Times New Roman"/>
          <w:bCs/>
          <w:sz w:val="24"/>
          <w:szCs w:val="24"/>
        </w:rPr>
        <w:t xml:space="preserve">A </w:t>
      </w:r>
      <w:r w:rsidRPr="003716E1">
        <w:rPr>
          <w:rFonts w:ascii="Calibri" w:eastAsia="Times New Roman" w:hAnsi="Calibri" w:cs="Times New Roman"/>
          <w:sz w:val="24"/>
          <w:szCs w:val="24"/>
        </w:rPr>
        <w:t>survey contractor will assist NIOSH with this survey. NIOSH will prepare the sector-specific sampling frames using MSHA mine employment data files. The frames will contain the MSHA mine ID, mine or plant name</w:t>
      </w:r>
      <w:r w:rsidR="001753A6">
        <w:rPr>
          <w:rFonts w:ascii="Calibri" w:eastAsia="Times New Roman" w:hAnsi="Calibri" w:cs="Times New Roman"/>
          <w:sz w:val="24"/>
          <w:szCs w:val="24"/>
        </w:rPr>
        <w:t>,</w:t>
      </w:r>
      <w:r w:rsidRPr="003716E1">
        <w:rPr>
          <w:rFonts w:ascii="Calibri" w:eastAsia="Times New Roman" w:hAnsi="Calibri" w:cs="Times New Roman"/>
          <w:sz w:val="24"/>
          <w:szCs w:val="24"/>
        </w:rPr>
        <w:t xml:space="preserve"> and estimated number of employees. Using a probability sampling strategy, NIOSH will select the sample of mines for the study. NIOSH will provide the contact information for the sampled mines. The contractor will verify the contact information and if necessary, obtain updated information using sources such as directories and MSHA district offices. The contractor will be responsible for the development of the </w:t>
      </w:r>
      <w:r w:rsidR="00FF008A">
        <w:rPr>
          <w:rFonts w:ascii="Calibri" w:eastAsia="Times New Roman" w:hAnsi="Calibri" w:cs="Times New Roman"/>
          <w:sz w:val="24"/>
          <w:szCs w:val="24"/>
        </w:rPr>
        <w:t>w</w:t>
      </w:r>
      <w:r w:rsidRPr="003716E1">
        <w:rPr>
          <w:rFonts w:ascii="Calibri" w:eastAsia="Times New Roman" w:hAnsi="Calibri" w:cs="Times New Roman"/>
          <w:sz w:val="24"/>
          <w:szCs w:val="24"/>
        </w:rPr>
        <w:t>eb questionnaire, the preparation and mail-out of survey packets, recruitment and follow-up, data verification and entry, the calculation of the sampling weights, and conduct of the nonresponse survey. NIOSH will perform the analysis of the data using a statistical package that supports the analysis of data from complex sample surveys (e.g., SAS, SUDAAN).</w:t>
      </w:r>
    </w:p>
    <w:p w14:paraId="02A05C88"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5D0A72CB"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NIOSH is planning to publish reports for each mining sector containing the demographic and job characteristics of the miners (e.g., age, gender, job title, years of mining experience) and basic information about the mine (e.g., work schedules, number and occupational characteristics of independent contractor employees used by mines, and safety measures employed by the mines).</w:t>
      </w:r>
    </w:p>
    <w:p w14:paraId="74E2C816"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3B22EBE1" w14:textId="15E4DFD1"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The survey data will also be used to calculate denominator data so </w:t>
      </w:r>
      <w:r w:rsidR="009A316B">
        <w:rPr>
          <w:rFonts w:ascii="Calibri" w:eastAsia="Times New Roman" w:hAnsi="Calibri" w:cs="Times New Roman"/>
          <w:sz w:val="24"/>
          <w:szCs w:val="24"/>
        </w:rPr>
        <w:t xml:space="preserve">that </w:t>
      </w:r>
      <w:r w:rsidRPr="003716E1">
        <w:rPr>
          <w:rFonts w:ascii="Calibri" w:eastAsia="Times New Roman" w:hAnsi="Calibri" w:cs="Times New Roman"/>
          <w:sz w:val="24"/>
          <w:szCs w:val="24"/>
        </w:rPr>
        <w:t>reported injuries and illnesses can be evaluated in relation to the population at risk. For example, NIOSH has data on injured and ill roof bolter operators, but has no current information on how many roof bolter operators work in the mining industry; thus their overall injury and illness rates cannot be calculated.</w:t>
      </w:r>
    </w:p>
    <w:p w14:paraId="45BFE23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6313ECD2" w14:textId="13E0F60F" w:rsidR="00E903B2" w:rsidRDefault="00FF008A" w:rsidP="003716E1">
      <w:pPr>
        <w:autoSpaceDE w:val="0"/>
        <w:autoSpaceDN w:val="0"/>
        <w:adjustRightInd w:val="0"/>
        <w:spacing w:after="0" w:line="240" w:lineRule="auto"/>
        <w:rPr>
          <w:rFonts w:ascii="Calibri" w:eastAsia="Times New Roman" w:hAnsi="Calibri" w:cs="Times New Roman"/>
          <w:sz w:val="24"/>
          <w:szCs w:val="24"/>
        </w:rPr>
      </w:pPr>
      <w:bookmarkStart w:id="17" w:name="OLE_LINK3"/>
      <w:bookmarkStart w:id="18" w:name="OLE_LINK4"/>
      <w:r>
        <w:rPr>
          <w:rFonts w:ascii="Calibri" w:eastAsia="Times New Roman" w:hAnsi="Calibri" w:cs="Times New Roman"/>
          <w:sz w:val="24"/>
          <w:szCs w:val="24"/>
        </w:rPr>
        <w:t xml:space="preserve">Based on the survey data, </w:t>
      </w:r>
      <w:r w:rsidR="00683E8A">
        <w:rPr>
          <w:rFonts w:ascii="Calibri" w:eastAsia="Times New Roman" w:hAnsi="Calibri" w:cs="Times New Roman"/>
          <w:sz w:val="24"/>
          <w:szCs w:val="24"/>
        </w:rPr>
        <w:t xml:space="preserve">NIOSH is also planning to develop a </w:t>
      </w:r>
      <w:r>
        <w:rPr>
          <w:rFonts w:ascii="Calibri" w:eastAsia="Times New Roman" w:hAnsi="Calibri" w:cs="Times New Roman"/>
          <w:sz w:val="24"/>
          <w:szCs w:val="24"/>
        </w:rPr>
        <w:t>w</w:t>
      </w:r>
      <w:r w:rsidR="00683E8A">
        <w:rPr>
          <w:rFonts w:ascii="Calibri" w:eastAsia="Times New Roman" w:hAnsi="Calibri" w:cs="Times New Roman"/>
          <w:sz w:val="24"/>
          <w:szCs w:val="24"/>
        </w:rPr>
        <w:t>eb-based interactive data tool that survey participants will have access to after data collection is complete and national estimates have been calculated. The tool would consist of a form area to make selections of parameters and a display area showing the resulting information based on the selections. The form area would offer a list of predetermined fields that user</w:t>
      </w:r>
      <w:r w:rsidR="009A316B">
        <w:rPr>
          <w:rFonts w:ascii="Calibri" w:eastAsia="Times New Roman" w:hAnsi="Calibri" w:cs="Times New Roman"/>
          <w:sz w:val="24"/>
          <w:szCs w:val="24"/>
        </w:rPr>
        <w:t>s</w:t>
      </w:r>
      <w:r w:rsidR="00683E8A">
        <w:rPr>
          <w:rFonts w:ascii="Calibri" w:eastAsia="Times New Roman" w:hAnsi="Calibri" w:cs="Times New Roman"/>
          <w:sz w:val="24"/>
          <w:szCs w:val="24"/>
        </w:rPr>
        <w:t xml:space="preserve"> could choose</w:t>
      </w:r>
      <w:r w:rsidR="00E903B2">
        <w:rPr>
          <w:rFonts w:ascii="Calibri" w:eastAsia="Times New Roman" w:hAnsi="Calibri" w:cs="Times New Roman"/>
          <w:sz w:val="24"/>
          <w:szCs w:val="24"/>
        </w:rPr>
        <w:t xml:space="preserve"> to provide information about their mine (e.g., size, sector)</w:t>
      </w:r>
      <w:r w:rsidR="00D16F79">
        <w:rPr>
          <w:rFonts w:ascii="Calibri" w:eastAsia="Times New Roman" w:hAnsi="Calibri" w:cs="Times New Roman"/>
          <w:sz w:val="24"/>
          <w:szCs w:val="24"/>
        </w:rPr>
        <w:t xml:space="preserve">. Upon input or selection of field values the program will display aggregate values in </w:t>
      </w:r>
      <w:r w:rsidR="009A316B">
        <w:rPr>
          <w:rFonts w:ascii="Calibri" w:eastAsia="Times New Roman" w:hAnsi="Calibri" w:cs="Times New Roman"/>
          <w:sz w:val="24"/>
          <w:szCs w:val="24"/>
        </w:rPr>
        <w:t>simple</w:t>
      </w:r>
      <w:r w:rsidR="00D16F79">
        <w:rPr>
          <w:rFonts w:ascii="Calibri" w:eastAsia="Times New Roman" w:hAnsi="Calibri" w:cs="Times New Roman"/>
          <w:sz w:val="24"/>
          <w:szCs w:val="24"/>
        </w:rPr>
        <w:t xml:space="preserve"> charts and figures. For example, the user may want to know the average age of mine employees </w:t>
      </w:r>
      <w:r w:rsidR="005C2D1B">
        <w:rPr>
          <w:rFonts w:ascii="Calibri" w:eastAsia="Times New Roman" w:hAnsi="Calibri" w:cs="Times New Roman"/>
          <w:sz w:val="24"/>
          <w:szCs w:val="24"/>
        </w:rPr>
        <w:t xml:space="preserve">in </w:t>
      </w:r>
      <w:r w:rsidR="00D16F79">
        <w:rPr>
          <w:rFonts w:ascii="Calibri" w:eastAsia="Times New Roman" w:hAnsi="Calibri" w:cs="Times New Roman"/>
          <w:sz w:val="24"/>
          <w:szCs w:val="24"/>
        </w:rPr>
        <w:t>mine</w:t>
      </w:r>
      <w:r w:rsidR="005C2D1B">
        <w:rPr>
          <w:rFonts w:ascii="Calibri" w:eastAsia="Times New Roman" w:hAnsi="Calibri" w:cs="Times New Roman"/>
          <w:sz w:val="24"/>
          <w:szCs w:val="24"/>
        </w:rPr>
        <w:t>s</w:t>
      </w:r>
      <w:r w:rsidR="00D16F79">
        <w:rPr>
          <w:rFonts w:ascii="Calibri" w:eastAsia="Times New Roman" w:hAnsi="Calibri" w:cs="Times New Roman"/>
          <w:sz w:val="24"/>
          <w:szCs w:val="24"/>
        </w:rPr>
        <w:t xml:space="preserve"> similar to their mine (e.g., mine size =&gt; 100, sector = underground nonmetal).</w:t>
      </w:r>
      <w:r w:rsidR="00683E8A">
        <w:rPr>
          <w:rFonts w:ascii="Calibri" w:eastAsia="Times New Roman" w:hAnsi="Calibri" w:cs="Times New Roman"/>
          <w:sz w:val="24"/>
          <w:szCs w:val="24"/>
        </w:rPr>
        <w:t xml:space="preserve"> </w:t>
      </w:r>
    </w:p>
    <w:p w14:paraId="7AE42EDE" w14:textId="77777777" w:rsidR="00D16F79" w:rsidRDefault="00D16F79" w:rsidP="003716E1">
      <w:pPr>
        <w:autoSpaceDE w:val="0"/>
        <w:autoSpaceDN w:val="0"/>
        <w:adjustRightInd w:val="0"/>
        <w:spacing w:after="0" w:line="240" w:lineRule="auto"/>
        <w:rPr>
          <w:rFonts w:ascii="Calibri" w:eastAsia="Times New Roman" w:hAnsi="Calibri" w:cs="Times New Roman"/>
          <w:sz w:val="24"/>
          <w:szCs w:val="24"/>
        </w:rPr>
      </w:pPr>
    </w:p>
    <w:p w14:paraId="1CC81F3D" w14:textId="446335AF" w:rsidR="00D16F79" w:rsidRPr="003716E1" w:rsidRDefault="00D16F79" w:rsidP="00D16F79">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NIOSH has targeted the 3</w:t>
      </w:r>
      <w:r w:rsidRPr="003716E1">
        <w:rPr>
          <w:rFonts w:ascii="Calibri" w:eastAsia="Times New Roman" w:hAnsi="Calibri" w:cs="Times New Roman"/>
          <w:sz w:val="24"/>
          <w:szCs w:val="24"/>
          <w:vertAlign w:val="superscript"/>
        </w:rPr>
        <w:t>rd</w:t>
      </w:r>
      <w:r w:rsidRPr="003716E1">
        <w:rPr>
          <w:rFonts w:ascii="Calibri" w:eastAsia="Times New Roman" w:hAnsi="Calibri" w:cs="Times New Roman"/>
          <w:sz w:val="24"/>
          <w:szCs w:val="24"/>
        </w:rPr>
        <w:t xml:space="preserve"> quarter of </w:t>
      </w:r>
      <w:r>
        <w:rPr>
          <w:rFonts w:ascii="Calibri" w:eastAsia="Times New Roman" w:hAnsi="Calibri" w:cs="Times New Roman"/>
          <w:sz w:val="24"/>
          <w:szCs w:val="24"/>
        </w:rPr>
        <w:t>the calendar year</w:t>
      </w:r>
      <w:r w:rsidRPr="003716E1">
        <w:rPr>
          <w:rFonts w:ascii="Calibri" w:eastAsia="Times New Roman" w:hAnsi="Calibri" w:cs="Times New Roman"/>
          <w:sz w:val="24"/>
          <w:szCs w:val="24"/>
        </w:rPr>
        <w:t>, which begins in July</w:t>
      </w:r>
      <w:r>
        <w:rPr>
          <w:rFonts w:ascii="Calibri" w:eastAsia="Times New Roman" w:hAnsi="Calibri" w:cs="Times New Roman"/>
          <w:sz w:val="24"/>
          <w:szCs w:val="24"/>
        </w:rPr>
        <w:t>,</w:t>
      </w:r>
      <w:r w:rsidRPr="003716E1">
        <w:rPr>
          <w:rFonts w:ascii="Calibri" w:eastAsia="Times New Roman" w:hAnsi="Calibri" w:cs="Times New Roman"/>
          <w:sz w:val="24"/>
          <w:szCs w:val="24"/>
        </w:rPr>
        <w:t xml:space="preserve"> as the most appropriate time to begin data collection. Mines will be asked to report data for the 2</w:t>
      </w:r>
      <w:r w:rsidRPr="003716E1">
        <w:rPr>
          <w:rFonts w:ascii="Calibri" w:eastAsia="Times New Roman" w:hAnsi="Calibri" w:cs="Times New Roman"/>
          <w:sz w:val="24"/>
          <w:szCs w:val="24"/>
          <w:vertAlign w:val="superscript"/>
        </w:rPr>
        <w:t>nd</w:t>
      </w:r>
      <w:r w:rsidRPr="003716E1">
        <w:rPr>
          <w:rFonts w:ascii="Calibri" w:eastAsia="Times New Roman" w:hAnsi="Calibri" w:cs="Times New Roman"/>
          <w:sz w:val="24"/>
          <w:szCs w:val="24"/>
        </w:rPr>
        <w:t xml:space="preserve"> quarter of the </w:t>
      </w:r>
      <w:r>
        <w:rPr>
          <w:rFonts w:ascii="Calibri" w:eastAsia="Times New Roman" w:hAnsi="Calibri" w:cs="Times New Roman"/>
          <w:sz w:val="24"/>
          <w:szCs w:val="24"/>
        </w:rPr>
        <w:t xml:space="preserve">same </w:t>
      </w:r>
      <w:r w:rsidRPr="003716E1">
        <w:rPr>
          <w:rFonts w:ascii="Calibri" w:eastAsia="Times New Roman" w:hAnsi="Calibri" w:cs="Times New Roman"/>
          <w:sz w:val="24"/>
          <w:szCs w:val="24"/>
        </w:rPr>
        <w:t>calendar year. Surface mines in the northern states often begin shutdown operations in the 3</w:t>
      </w:r>
      <w:r w:rsidRPr="003716E1">
        <w:rPr>
          <w:rFonts w:ascii="Calibri" w:eastAsia="Times New Roman" w:hAnsi="Calibri" w:cs="Times New Roman"/>
          <w:sz w:val="24"/>
          <w:szCs w:val="24"/>
          <w:vertAlign w:val="superscript"/>
        </w:rPr>
        <w:t>rd</w:t>
      </w:r>
      <w:r w:rsidRPr="003716E1">
        <w:rPr>
          <w:rFonts w:ascii="Calibri" w:eastAsia="Times New Roman" w:hAnsi="Calibri" w:cs="Times New Roman"/>
          <w:sz w:val="24"/>
          <w:szCs w:val="24"/>
        </w:rPr>
        <w:t xml:space="preserve"> quarter and then are not active during the winter months.</w:t>
      </w:r>
    </w:p>
    <w:bookmarkEnd w:id="17"/>
    <w:bookmarkEnd w:id="18"/>
    <w:p w14:paraId="0FB49CA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1EE979BF" w14:textId="00AEA671" w:rsidR="0090448D" w:rsidRDefault="005F2AFE" w:rsidP="003716E1">
      <w:pPr>
        <w:autoSpaceDE w:val="0"/>
        <w:autoSpaceDN w:val="0"/>
        <w:adjustRightInd w:val="0"/>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Table A.16</w:t>
      </w:r>
      <w:r w:rsidR="00D16F79">
        <w:rPr>
          <w:rFonts w:ascii="Calibri" w:eastAsia="Times New Roman" w:hAnsi="Calibri" w:cs="Times New Roman"/>
          <w:sz w:val="24"/>
          <w:szCs w:val="24"/>
        </w:rPr>
        <w:t xml:space="preserve"> presents the </w:t>
      </w:r>
      <w:r w:rsidR="003716E1" w:rsidRPr="003716E1">
        <w:rPr>
          <w:rFonts w:ascii="Calibri" w:eastAsia="Times New Roman" w:hAnsi="Calibri" w:cs="Times New Roman"/>
          <w:sz w:val="24"/>
          <w:szCs w:val="24"/>
        </w:rPr>
        <w:t>propo</w:t>
      </w:r>
      <w:r w:rsidR="00D16F79">
        <w:rPr>
          <w:rFonts w:ascii="Calibri" w:eastAsia="Times New Roman" w:hAnsi="Calibri" w:cs="Times New Roman"/>
          <w:sz w:val="24"/>
          <w:szCs w:val="24"/>
        </w:rPr>
        <w:t>sed time schedule for the stone, and sand and</w:t>
      </w:r>
      <w:r w:rsidR="003716E1" w:rsidRPr="003716E1">
        <w:rPr>
          <w:rFonts w:ascii="Calibri" w:eastAsia="Times New Roman" w:hAnsi="Calibri" w:cs="Times New Roman"/>
          <w:sz w:val="24"/>
          <w:szCs w:val="24"/>
        </w:rPr>
        <w:t xml:space="preserve"> gravel mining sector</w:t>
      </w:r>
      <w:r w:rsidR="00D16F79">
        <w:rPr>
          <w:rFonts w:ascii="Calibri" w:eastAsia="Times New Roman" w:hAnsi="Calibri" w:cs="Times New Roman"/>
          <w:sz w:val="24"/>
          <w:szCs w:val="24"/>
        </w:rPr>
        <w:t xml:space="preserve">. The time schedules for metal and </w:t>
      </w:r>
      <w:r w:rsidR="003716E1" w:rsidRPr="003716E1">
        <w:rPr>
          <w:rFonts w:ascii="Calibri" w:eastAsia="Times New Roman" w:hAnsi="Calibri" w:cs="Times New Roman"/>
          <w:sz w:val="24"/>
          <w:szCs w:val="24"/>
        </w:rPr>
        <w:t>nonmeta</w:t>
      </w:r>
      <w:r w:rsidR="00D16F79">
        <w:rPr>
          <w:rFonts w:ascii="Calibri" w:eastAsia="Times New Roman" w:hAnsi="Calibri" w:cs="Times New Roman"/>
          <w:sz w:val="24"/>
          <w:szCs w:val="24"/>
        </w:rPr>
        <w:t xml:space="preserve">l, and </w:t>
      </w:r>
      <w:r w:rsidR="003716E1" w:rsidRPr="003716E1">
        <w:rPr>
          <w:rFonts w:ascii="Calibri" w:eastAsia="Times New Roman" w:hAnsi="Calibri" w:cs="Times New Roman"/>
          <w:sz w:val="24"/>
          <w:szCs w:val="24"/>
        </w:rPr>
        <w:t xml:space="preserve">coal </w:t>
      </w:r>
      <w:r w:rsidR="00D16F79">
        <w:rPr>
          <w:rFonts w:ascii="Calibri" w:eastAsia="Times New Roman" w:hAnsi="Calibri" w:cs="Times New Roman"/>
          <w:sz w:val="24"/>
          <w:szCs w:val="24"/>
        </w:rPr>
        <w:t xml:space="preserve">mining sectors </w:t>
      </w:r>
      <w:r w:rsidR="003716E1" w:rsidRPr="003716E1">
        <w:rPr>
          <w:rFonts w:ascii="Calibri" w:eastAsia="Times New Roman" w:hAnsi="Calibri" w:cs="Times New Roman"/>
          <w:sz w:val="24"/>
          <w:szCs w:val="24"/>
        </w:rPr>
        <w:t>will be similar.</w:t>
      </w:r>
    </w:p>
    <w:p w14:paraId="50C01BB3" w14:textId="678CFA10" w:rsidR="0090448D" w:rsidRDefault="0090448D" w:rsidP="00A83EED">
      <w:pPr>
        <w:rPr>
          <w:rFonts w:ascii="Calibri" w:eastAsia="Times New Roman" w:hAnsi="Calibri" w:cs="Times New Roman"/>
          <w:sz w:val="24"/>
          <w:szCs w:val="24"/>
        </w:rPr>
      </w:pPr>
    </w:p>
    <w:p w14:paraId="0A180BE3" w14:textId="3ABA59E0" w:rsidR="003716E1" w:rsidRDefault="0090448D" w:rsidP="0090448D">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Table A.16 </w:t>
      </w:r>
      <w:r w:rsidR="00B50BAA">
        <w:rPr>
          <w:rFonts w:ascii="Calibri" w:eastAsia="Times New Roman" w:hAnsi="Calibri" w:cs="Times New Roman"/>
          <w:b/>
          <w:sz w:val="24"/>
          <w:szCs w:val="24"/>
        </w:rPr>
        <w:t xml:space="preserve">Typical </w:t>
      </w:r>
      <w:r>
        <w:rPr>
          <w:rFonts w:ascii="Calibri" w:eastAsia="Times New Roman" w:hAnsi="Calibri" w:cs="Times New Roman"/>
          <w:b/>
          <w:sz w:val="24"/>
          <w:szCs w:val="24"/>
        </w:rPr>
        <w:t>Survey Time Schedule</w:t>
      </w:r>
    </w:p>
    <w:p w14:paraId="4733FF4A" w14:textId="0AC10066" w:rsidR="00D16F79" w:rsidRPr="0090448D" w:rsidRDefault="00B50BAA" w:rsidP="008A366C">
      <w:pPr>
        <w:autoSpaceDE w:val="0"/>
        <w:autoSpaceDN w:val="0"/>
        <w:adjustRightInd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(Dependent on Receiving OMB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747"/>
      </w:tblGrid>
      <w:tr w:rsidR="003716E1" w:rsidRPr="003716E1" w14:paraId="09C7F339" w14:textId="77777777" w:rsidTr="0090448D">
        <w:trPr>
          <w:jc w:val="center"/>
        </w:trPr>
        <w:tc>
          <w:tcPr>
            <w:tcW w:w="3780" w:type="dxa"/>
            <w:shd w:val="clear" w:color="auto" w:fill="D9D9D9"/>
            <w:vAlign w:val="bottom"/>
          </w:tcPr>
          <w:p w14:paraId="578CB2BE" w14:textId="77777777" w:rsidR="003716E1" w:rsidRPr="003716E1" w:rsidRDefault="003716E1" w:rsidP="003716E1">
            <w:pPr>
              <w:shd w:val="clear" w:color="auto" w:fill="D9D9D9"/>
              <w:autoSpaceDE w:val="0"/>
              <w:autoSpaceDN w:val="0"/>
              <w:adjustRightInd w:val="0"/>
              <w:spacing w:after="0" w:line="240" w:lineRule="auto"/>
              <w:jc w:val="center"/>
              <w:rPr>
                <w:rFonts w:ascii="Calibri" w:eastAsia="Times New Roman" w:hAnsi="Calibri" w:cs="Times New Roman"/>
                <w:b/>
                <w:bCs/>
                <w:sz w:val="24"/>
                <w:szCs w:val="24"/>
              </w:rPr>
            </w:pPr>
            <w:r w:rsidRPr="003716E1">
              <w:rPr>
                <w:rFonts w:ascii="Calibri" w:eastAsia="Times New Roman" w:hAnsi="Calibri" w:cs="Times New Roman"/>
                <w:b/>
                <w:bCs/>
                <w:sz w:val="24"/>
                <w:szCs w:val="24"/>
              </w:rPr>
              <w:fldChar w:fldCharType="begin"/>
            </w:r>
            <w:r w:rsidRPr="003716E1">
              <w:rPr>
                <w:rFonts w:ascii="Calibri" w:eastAsia="Times New Roman" w:hAnsi="Calibri" w:cs="Times New Roman"/>
                <w:b/>
                <w:bCs/>
                <w:sz w:val="24"/>
                <w:szCs w:val="24"/>
              </w:rPr>
              <w:instrText xml:space="preserve"> SEQ CHAPTER \h \r 1</w:instrText>
            </w:r>
            <w:r w:rsidRPr="003716E1">
              <w:rPr>
                <w:rFonts w:ascii="Calibri" w:eastAsia="Times New Roman" w:hAnsi="Calibri" w:cs="Times New Roman"/>
                <w:b/>
                <w:bCs/>
                <w:sz w:val="24"/>
                <w:szCs w:val="24"/>
              </w:rPr>
              <w:fldChar w:fldCharType="end"/>
            </w:r>
            <w:r w:rsidRPr="003716E1">
              <w:rPr>
                <w:rFonts w:ascii="Calibri" w:eastAsia="Times New Roman" w:hAnsi="Calibri" w:cs="Times New Roman"/>
                <w:b/>
                <w:bCs/>
                <w:sz w:val="24"/>
                <w:szCs w:val="24"/>
              </w:rPr>
              <w:t>Activity</w:t>
            </w:r>
          </w:p>
        </w:tc>
        <w:tc>
          <w:tcPr>
            <w:tcW w:w="3747" w:type="dxa"/>
            <w:shd w:val="clear" w:color="auto" w:fill="D9D9D9"/>
            <w:vAlign w:val="bottom"/>
          </w:tcPr>
          <w:p w14:paraId="4BB21477" w14:textId="77777777" w:rsidR="003716E1" w:rsidRPr="003716E1" w:rsidRDefault="003716E1" w:rsidP="003716E1">
            <w:pPr>
              <w:shd w:val="clear" w:color="auto" w:fill="D9D9D9"/>
              <w:autoSpaceDE w:val="0"/>
              <w:autoSpaceDN w:val="0"/>
              <w:adjustRightInd w:val="0"/>
              <w:spacing w:after="0" w:line="240" w:lineRule="auto"/>
              <w:jc w:val="center"/>
              <w:rPr>
                <w:rFonts w:ascii="Calibri" w:eastAsia="Times New Roman" w:hAnsi="Calibri" w:cs="Times New Roman"/>
                <w:b/>
                <w:bCs/>
                <w:sz w:val="24"/>
                <w:szCs w:val="24"/>
              </w:rPr>
            </w:pPr>
            <w:r w:rsidRPr="003716E1">
              <w:rPr>
                <w:rFonts w:ascii="Calibri" w:eastAsia="Times New Roman" w:hAnsi="Calibri" w:cs="Times New Roman"/>
                <w:b/>
                <w:bCs/>
                <w:sz w:val="24"/>
                <w:szCs w:val="24"/>
              </w:rPr>
              <w:t>Time Schedule</w:t>
            </w:r>
          </w:p>
        </w:tc>
      </w:tr>
      <w:tr w:rsidR="003716E1" w:rsidRPr="003716E1" w14:paraId="7369AB5B" w14:textId="77777777" w:rsidTr="0090448D">
        <w:trPr>
          <w:jc w:val="center"/>
        </w:trPr>
        <w:tc>
          <w:tcPr>
            <w:tcW w:w="3780" w:type="dxa"/>
            <w:shd w:val="clear" w:color="auto" w:fill="auto"/>
          </w:tcPr>
          <w:p w14:paraId="56CA8AF4"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Kickoff Meeting</w:t>
            </w:r>
          </w:p>
        </w:tc>
        <w:tc>
          <w:tcPr>
            <w:tcW w:w="3747" w:type="dxa"/>
            <w:shd w:val="clear" w:color="auto" w:fill="auto"/>
          </w:tcPr>
          <w:p w14:paraId="334183CA" w14:textId="0282A477" w:rsidR="003716E1" w:rsidRPr="003716E1" w:rsidRDefault="003716E1" w:rsidP="00CA2955">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September 20</w:t>
            </w:r>
            <w:r w:rsidR="000B4EA1">
              <w:rPr>
                <w:rFonts w:ascii="Calibri" w:eastAsia="Times New Roman" w:hAnsi="Calibri" w:cs="Times New Roman"/>
                <w:sz w:val="24"/>
                <w:szCs w:val="24"/>
              </w:rPr>
              <w:t>xx</w:t>
            </w:r>
          </w:p>
        </w:tc>
      </w:tr>
      <w:tr w:rsidR="003716E1" w:rsidRPr="003716E1" w14:paraId="2C5EC52F" w14:textId="77777777" w:rsidTr="0090448D">
        <w:trPr>
          <w:jc w:val="center"/>
        </w:trPr>
        <w:tc>
          <w:tcPr>
            <w:tcW w:w="3780" w:type="dxa"/>
            <w:shd w:val="clear" w:color="auto" w:fill="auto"/>
          </w:tcPr>
          <w:p w14:paraId="37DFAD22"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Sample Selection - Contractor and OMSHR</w:t>
            </w:r>
          </w:p>
        </w:tc>
        <w:tc>
          <w:tcPr>
            <w:tcW w:w="3747" w:type="dxa"/>
            <w:shd w:val="clear" w:color="auto" w:fill="auto"/>
          </w:tcPr>
          <w:p w14:paraId="1B01BA8F" w14:textId="43EE0AC0" w:rsidR="003716E1" w:rsidRPr="003716E1" w:rsidRDefault="003716E1" w:rsidP="00CA2955">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October 20</w:t>
            </w:r>
            <w:r w:rsidR="000B4EA1">
              <w:rPr>
                <w:rFonts w:ascii="Calibri" w:eastAsia="Times New Roman" w:hAnsi="Calibri" w:cs="Times New Roman"/>
                <w:sz w:val="24"/>
                <w:szCs w:val="24"/>
              </w:rPr>
              <w:t>xx</w:t>
            </w:r>
            <w:r w:rsidRPr="003716E1">
              <w:rPr>
                <w:rFonts w:ascii="Calibri" w:eastAsia="Times New Roman" w:hAnsi="Calibri" w:cs="Times New Roman"/>
                <w:sz w:val="24"/>
                <w:szCs w:val="24"/>
              </w:rPr>
              <w:t xml:space="preserve"> – December 20</w:t>
            </w:r>
            <w:r w:rsidR="000B4EA1">
              <w:rPr>
                <w:rFonts w:ascii="Calibri" w:eastAsia="Times New Roman" w:hAnsi="Calibri" w:cs="Times New Roman"/>
                <w:sz w:val="24"/>
                <w:szCs w:val="24"/>
              </w:rPr>
              <w:t>xx</w:t>
            </w:r>
          </w:p>
        </w:tc>
      </w:tr>
      <w:tr w:rsidR="003716E1" w:rsidRPr="003716E1" w14:paraId="3CB124C9" w14:textId="77777777" w:rsidTr="0090448D">
        <w:trPr>
          <w:jc w:val="center"/>
        </w:trPr>
        <w:tc>
          <w:tcPr>
            <w:tcW w:w="3780" w:type="dxa"/>
            <w:shd w:val="clear" w:color="auto" w:fill="auto"/>
          </w:tcPr>
          <w:p w14:paraId="4ABF6F9E"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Prioritize Mine Contact Information</w:t>
            </w:r>
          </w:p>
        </w:tc>
        <w:tc>
          <w:tcPr>
            <w:tcW w:w="3747" w:type="dxa"/>
            <w:shd w:val="clear" w:color="auto" w:fill="auto"/>
          </w:tcPr>
          <w:p w14:paraId="2D29EE8B" w14:textId="306CB775" w:rsidR="003716E1" w:rsidRPr="003716E1" w:rsidRDefault="003716E1" w:rsidP="00CA2955">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January 20</w:t>
            </w:r>
            <w:r w:rsidR="000B4EA1">
              <w:rPr>
                <w:rFonts w:ascii="Calibri" w:eastAsia="Times New Roman" w:hAnsi="Calibri" w:cs="Times New Roman"/>
                <w:sz w:val="24"/>
                <w:szCs w:val="24"/>
              </w:rPr>
              <w:t>xx</w:t>
            </w:r>
            <w:r w:rsidRPr="003716E1">
              <w:rPr>
                <w:rFonts w:ascii="Calibri" w:eastAsia="Times New Roman" w:hAnsi="Calibri" w:cs="Times New Roman"/>
                <w:sz w:val="24"/>
                <w:szCs w:val="24"/>
              </w:rPr>
              <w:t xml:space="preserve"> –</w:t>
            </w:r>
            <w:r w:rsidR="00F3195B">
              <w:rPr>
                <w:rFonts w:ascii="Calibri" w:eastAsia="Times New Roman" w:hAnsi="Calibri" w:cs="Times New Roman"/>
                <w:sz w:val="24"/>
                <w:szCs w:val="24"/>
              </w:rPr>
              <w:t xml:space="preserve">April </w:t>
            </w:r>
            <w:r w:rsidRPr="003716E1">
              <w:rPr>
                <w:rFonts w:ascii="Calibri" w:eastAsia="Times New Roman" w:hAnsi="Calibri" w:cs="Times New Roman"/>
                <w:sz w:val="24"/>
                <w:szCs w:val="24"/>
              </w:rPr>
              <w:t xml:space="preserve"> 20</w:t>
            </w:r>
            <w:r w:rsidR="000B4EA1">
              <w:rPr>
                <w:rFonts w:ascii="Calibri" w:eastAsia="Times New Roman" w:hAnsi="Calibri" w:cs="Times New Roman"/>
                <w:sz w:val="24"/>
                <w:szCs w:val="24"/>
              </w:rPr>
              <w:t>xx</w:t>
            </w:r>
          </w:p>
        </w:tc>
      </w:tr>
      <w:tr w:rsidR="003716E1" w:rsidRPr="003716E1" w14:paraId="78B20291" w14:textId="77777777" w:rsidTr="0090448D">
        <w:trPr>
          <w:jc w:val="center"/>
        </w:trPr>
        <w:tc>
          <w:tcPr>
            <w:tcW w:w="3780" w:type="dxa"/>
            <w:shd w:val="clear" w:color="auto" w:fill="auto"/>
          </w:tcPr>
          <w:p w14:paraId="72DD0823"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Initial Mailing and Mine Contact</w:t>
            </w:r>
          </w:p>
        </w:tc>
        <w:tc>
          <w:tcPr>
            <w:tcW w:w="3747" w:type="dxa"/>
            <w:shd w:val="clear" w:color="auto" w:fill="auto"/>
          </w:tcPr>
          <w:p w14:paraId="7A419C01" w14:textId="693B23E6" w:rsidR="003716E1" w:rsidRDefault="003716E1" w:rsidP="003716E1">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248E0DBE" w14:textId="69EFF8A3" w:rsidR="000B4EA1" w:rsidRPr="003716E1" w:rsidRDefault="00F3195B" w:rsidP="0004299F">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June 20xx – July 20xx</w:t>
            </w:r>
          </w:p>
        </w:tc>
      </w:tr>
      <w:tr w:rsidR="003716E1" w:rsidRPr="003716E1" w14:paraId="55220584" w14:textId="77777777" w:rsidTr="0090448D">
        <w:trPr>
          <w:jc w:val="center"/>
        </w:trPr>
        <w:tc>
          <w:tcPr>
            <w:tcW w:w="3780" w:type="dxa"/>
            <w:shd w:val="clear" w:color="auto" w:fill="auto"/>
          </w:tcPr>
          <w:p w14:paraId="60197EFE" w14:textId="420AC5D4"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Survey Packet Preparation and Mailing</w:t>
            </w:r>
          </w:p>
        </w:tc>
        <w:tc>
          <w:tcPr>
            <w:tcW w:w="3747" w:type="dxa"/>
            <w:shd w:val="clear" w:color="auto" w:fill="auto"/>
          </w:tcPr>
          <w:p w14:paraId="794B9CE8" w14:textId="15E7C8C6" w:rsidR="000B4EA1" w:rsidRDefault="000B4EA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4D29BC1A" w14:textId="2D31BF07" w:rsidR="000B4EA1" w:rsidRPr="003716E1" w:rsidRDefault="00F3195B" w:rsidP="0004299F">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July 20xx – August 20xx</w:t>
            </w:r>
          </w:p>
        </w:tc>
      </w:tr>
      <w:tr w:rsidR="003716E1" w:rsidRPr="003716E1" w14:paraId="53DF5C69" w14:textId="77777777" w:rsidTr="0090448D">
        <w:trPr>
          <w:jc w:val="center"/>
        </w:trPr>
        <w:tc>
          <w:tcPr>
            <w:tcW w:w="3780" w:type="dxa"/>
            <w:shd w:val="clear" w:color="auto" w:fill="auto"/>
          </w:tcPr>
          <w:p w14:paraId="153A6B27" w14:textId="67EB110D"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Host Web Questionnaire</w:t>
            </w:r>
          </w:p>
        </w:tc>
        <w:tc>
          <w:tcPr>
            <w:tcW w:w="3747" w:type="dxa"/>
            <w:shd w:val="clear" w:color="auto" w:fill="auto"/>
          </w:tcPr>
          <w:p w14:paraId="196B0000" w14:textId="76068544"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7D2D749B" w14:textId="5673C28B" w:rsidR="00EF0280" w:rsidRPr="003716E1" w:rsidRDefault="00EF0280" w:rsidP="0004299F">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July </w:t>
            </w:r>
            <w:r w:rsidR="00F3195B">
              <w:rPr>
                <w:rFonts w:ascii="Calibri" w:eastAsia="Times New Roman" w:hAnsi="Calibri" w:cs="Times New Roman"/>
                <w:sz w:val="24"/>
                <w:szCs w:val="24"/>
              </w:rPr>
              <w:t xml:space="preserve">20xx </w:t>
            </w:r>
            <w:r>
              <w:rPr>
                <w:rFonts w:ascii="Calibri" w:eastAsia="Times New Roman" w:hAnsi="Calibri" w:cs="Times New Roman"/>
                <w:sz w:val="24"/>
                <w:szCs w:val="24"/>
              </w:rPr>
              <w:t xml:space="preserve">– </w:t>
            </w:r>
            <w:r w:rsidR="00F3195B">
              <w:rPr>
                <w:rFonts w:ascii="Calibri" w:eastAsia="Times New Roman" w:hAnsi="Calibri" w:cs="Times New Roman"/>
                <w:sz w:val="24"/>
                <w:szCs w:val="24"/>
              </w:rPr>
              <w:t>December</w:t>
            </w:r>
            <w:r>
              <w:rPr>
                <w:rFonts w:ascii="Calibri" w:eastAsia="Times New Roman" w:hAnsi="Calibri" w:cs="Times New Roman"/>
                <w:sz w:val="24"/>
                <w:szCs w:val="24"/>
              </w:rPr>
              <w:t xml:space="preserve"> 20xx</w:t>
            </w:r>
          </w:p>
        </w:tc>
      </w:tr>
      <w:tr w:rsidR="003716E1" w:rsidRPr="003716E1" w14:paraId="17471060" w14:textId="77777777" w:rsidTr="0090448D">
        <w:trPr>
          <w:jc w:val="center"/>
        </w:trPr>
        <w:tc>
          <w:tcPr>
            <w:tcW w:w="3780" w:type="dxa"/>
            <w:shd w:val="clear" w:color="auto" w:fill="auto"/>
          </w:tcPr>
          <w:p w14:paraId="3AE91CF5" w14:textId="38EBBDBE"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Sample Tracking</w:t>
            </w:r>
          </w:p>
        </w:tc>
        <w:tc>
          <w:tcPr>
            <w:tcW w:w="3747" w:type="dxa"/>
            <w:shd w:val="clear" w:color="auto" w:fill="auto"/>
          </w:tcPr>
          <w:p w14:paraId="680CB864" w14:textId="71FA3237"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1C08C3AA" w14:textId="48632609" w:rsidR="00EF0280" w:rsidRPr="003716E1" w:rsidRDefault="00EF0280" w:rsidP="0004299F">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July</w:t>
            </w:r>
            <w:r w:rsidR="00F3195B">
              <w:rPr>
                <w:rFonts w:ascii="Calibri" w:eastAsia="Times New Roman" w:hAnsi="Calibri" w:cs="Times New Roman"/>
                <w:sz w:val="24"/>
                <w:szCs w:val="24"/>
              </w:rPr>
              <w:t xml:space="preserve"> 20xx</w:t>
            </w:r>
            <w:r>
              <w:rPr>
                <w:rFonts w:ascii="Calibri" w:eastAsia="Times New Roman" w:hAnsi="Calibri" w:cs="Times New Roman"/>
                <w:sz w:val="24"/>
                <w:szCs w:val="24"/>
              </w:rPr>
              <w:t xml:space="preserve"> – December 20xx</w:t>
            </w:r>
          </w:p>
        </w:tc>
      </w:tr>
      <w:tr w:rsidR="003716E1" w:rsidRPr="003716E1" w14:paraId="299DF19F" w14:textId="77777777" w:rsidTr="0090448D">
        <w:trPr>
          <w:jc w:val="center"/>
        </w:trPr>
        <w:tc>
          <w:tcPr>
            <w:tcW w:w="3780" w:type="dxa"/>
            <w:shd w:val="clear" w:color="auto" w:fill="auto"/>
          </w:tcPr>
          <w:p w14:paraId="1C4BEE85" w14:textId="4B0ABF7A"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 xml:space="preserve">Nonresponse Questionnaire </w:t>
            </w:r>
          </w:p>
        </w:tc>
        <w:tc>
          <w:tcPr>
            <w:tcW w:w="3747" w:type="dxa"/>
            <w:shd w:val="clear" w:color="auto" w:fill="auto"/>
          </w:tcPr>
          <w:p w14:paraId="16737AB1" w14:textId="6BC4A808"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280A2E46" w14:textId="0B30D0EF" w:rsidR="00F3195B" w:rsidRPr="003716E1" w:rsidRDefault="00F3195B"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January 20xx</w:t>
            </w:r>
          </w:p>
        </w:tc>
      </w:tr>
      <w:tr w:rsidR="003716E1" w:rsidRPr="003716E1" w14:paraId="0B80CB21" w14:textId="77777777" w:rsidTr="0090448D">
        <w:trPr>
          <w:jc w:val="center"/>
        </w:trPr>
        <w:tc>
          <w:tcPr>
            <w:tcW w:w="3780" w:type="dxa"/>
            <w:shd w:val="clear" w:color="auto" w:fill="auto"/>
          </w:tcPr>
          <w:p w14:paraId="2B4B3176"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Data Receipt and Processing</w:t>
            </w:r>
          </w:p>
        </w:tc>
        <w:tc>
          <w:tcPr>
            <w:tcW w:w="3747" w:type="dxa"/>
            <w:shd w:val="clear" w:color="auto" w:fill="auto"/>
          </w:tcPr>
          <w:p w14:paraId="1C0757B0" w14:textId="3E046C11"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7EB54764" w14:textId="3EE43A99" w:rsidR="00F3195B" w:rsidRPr="003716E1" w:rsidRDefault="00F3195B"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August 20xx</w:t>
            </w:r>
          </w:p>
        </w:tc>
      </w:tr>
      <w:tr w:rsidR="003716E1" w:rsidRPr="003716E1" w14:paraId="0D40D4E2" w14:textId="77777777" w:rsidTr="0090448D">
        <w:trPr>
          <w:jc w:val="center"/>
        </w:trPr>
        <w:tc>
          <w:tcPr>
            <w:tcW w:w="3780" w:type="dxa"/>
            <w:shd w:val="clear" w:color="auto" w:fill="auto"/>
          </w:tcPr>
          <w:p w14:paraId="66FD77F1"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Data Delivery</w:t>
            </w:r>
          </w:p>
        </w:tc>
        <w:tc>
          <w:tcPr>
            <w:tcW w:w="3747" w:type="dxa"/>
            <w:shd w:val="clear" w:color="auto" w:fill="auto"/>
          </w:tcPr>
          <w:p w14:paraId="07249ED5" w14:textId="6D8881A6"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24EF5948" w14:textId="68982615" w:rsidR="00F3195B" w:rsidRPr="003716E1" w:rsidRDefault="00F3195B"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March 20xx</w:t>
            </w:r>
          </w:p>
        </w:tc>
      </w:tr>
      <w:tr w:rsidR="003716E1" w:rsidRPr="003716E1" w14:paraId="53774ED9" w14:textId="77777777" w:rsidTr="0090448D">
        <w:trPr>
          <w:jc w:val="center"/>
        </w:trPr>
        <w:tc>
          <w:tcPr>
            <w:tcW w:w="3780" w:type="dxa"/>
            <w:shd w:val="clear" w:color="auto" w:fill="auto"/>
          </w:tcPr>
          <w:p w14:paraId="0B339EA6"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Data Analysis Consultation</w:t>
            </w:r>
          </w:p>
        </w:tc>
        <w:tc>
          <w:tcPr>
            <w:tcW w:w="3747" w:type="dxa"/>
            <w:shd w:val="clear" w:color="auto" w:fill="auto"/>
          </w:tcPr>
          <w:p w14:paraId="3338F5B0" w14:textId="492F8D16"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5659F0CA" w14:textId="7C4BC288" w:rsidR="00F3195B" w:rsidRPr="003716E1" w:rsidRDefault="00F3195B"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March 20xx</w:t>
            </w:r>
          </w:p>
        </w:tc>
      </w:tr>
      <w:tr w:rsidR="003716E1" w:rsidRPr="003716E1" w14:paraId="14E3BEB4" w14:textId="77777777" w:rsidTr="0090448D">
        <w:trPr>
          <w:jc w:val="center"/>
        </w:trPr>
        <w:tc>
          <w:tcPr>
            <w:tcW w:w="3780" w:type="dxa"/>
            <w:shd w:val="clear" w:color="auto" w:fill="auto"/>
          </w:tcPr>
          <w:p w14:paraId="2318B007" w14:textId="55C6DC4B"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p>
        </w:tc>
        <w:tc>
          <w:tcPr>
            <w:tcW w:w="3747" w:type="dxa"/>
            <w:shd w:val="clear" w:color="auto" w:fill="auto"/>
          </w:tcPr>
          <w:p w14:paraId="0525C42E" w14:textId="48FE0C73" w:rsidR="003716E1" w:rsidRPr="003716E1" w:rsidRDefault="003716E1" w:rsidP="003716E1">
            <w:pPr>
              <w:tabs>
                <w:tab w:val="left" w:pos="-30"/>
                <w:tab w:val="left" w:pos="420"/>
              </w:tabs>
              <w:autoSpaceDE w:val="0"/>
              <w:autoSpaceDN w:val="0"/>
              <w:adjustRightInd w:val="0"/>
              <w:spacing w:before="60" w:after="60" w:line="240" w:lineRule="auto"/>
              <w:jc w:val="center"/>
              <w:rPr>
                <w:rFonts w:ascii="Calibri" w:eastAsia="Times New Roman" w:hAnsi="Calibri" w:cs="Times New Roman"/>
                <w:sz w:val="24"/>
                <w:szCs w:val="24"/>
              </w:rPr>
            </w:pPr>
          </w:p>
        </w:tc>
      </w:tr>
      <w:tr w:rsidR="003716E1" w:rsidRPr="003716E1" w14:paraId="700D540A" w14:textId="77777777" w:rsidTr="0090448D">
        <w:trPr>
          <w:jc w:val="center"/>
        </w:trPr>
        <w:tc>
          <w:tcPr>
            <w:tcW w:w="3780" w:type="dxa"/>
            <w:shd w:val="clear" w:color="auto" w:fill="auto"/>
          </w:tcPr>
          <w:p w14:paraId="0017B664" w14:textId="77777777" w:rsidR="003716E1" w:rsidRPr="003716E1" w:rsidRDefault="003716E1" w:rsidP="003716E1">
            <w:pPr>
              <w:tabs>
                <w:tab w:val="left" w:pos="-1080"/>
                <w:tab w:val="left" w:pos="-720"/>
                <w:tab w:val="left" w:pos="-30"/>
                <w:tab w:val="left" w:pos="240"/>
                <w:tab w:val="left" w:pos="420"/>
                <w:tab w:val="left" w:pos="1440"/>
              </w:tabs>
              <w:autoSpaceDE w:val="0"/>
              <w:autoSpaceDN w:val="0"/>
              <w:adjustRightInd w:val="0"/>
              <w:spacing w:before="60" w:after="6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Final Study Report and Delivery of Other Study Materials</w:t>
            </w:r>
          </w:p>
        </w:tc>
        <w:tc>
          <w:tcPr>
            <w:tcW w:w="3747" w:type="dxa"/>
            <w:shd w:val="clear" w:color="auto" w:fill="auto"/>
          </w:tcPr>
          <w:p w14:paraId="374222D6" w14:textId="25CCFB08" w:rsidR="003716E1" w:rsidRDefault="003716E1"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p>
          <w:p w14:paraId="28BCDA3E" w14:textId="31270EFA" w:rsidR="00F3195B" w:rsidRPr="003716E1" w:rsidRDefault="00F3195B" w:rsidP="00164549">
            <w:pPr>
              <w:tabs>
                <w:tab w:val="left" w:pos="-30"/>
                <w:tab w:val="left" w:pos="420"/>
              </w:tabs>
              <w:autoSpaceDE w:val="0"/>
              <w:autoSpaceDN w:val="0"/>
              <w:adjustRightInd w:val="0"/>
              <w:spacing w:before="60" w:after="60" w:line="240" w:lineRule="auto"/>
              <w:rPr>
                <w:rFonts w:ascii="Calibri" w:eastAsia="Times New Roman" w:hAnsi="Calibri" w:cs="Times New Roman"/>
                <w:sz w:val="24"/>
                <w:szCs w:val="24"/>
              </w:rPr>
            </w:pPr>
            <w:r>
              <w:rPr>
                <w:rFonts w:ascii="Calibri" w:eastAsia="Times New Roman" w:hAnsi="Calibri" w:cs="Times New Roman"/>
                <w:sz w:val="24"/>
                <w:szCs w:val="24"/>
              </w:rPr>
              <w:t>April 20xx</w:t>
            </w:r>
          </w:p>
        </w:tc>
      </w:tr>
    </w:tbl>
    <w:p w14:paraId="4A5DF11A"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lang w:val="en-CA"/>
        </w:rPr>
      </w:pPr>
    </w:p>
    <w:p w14:paraId="10F75AD3"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sz w:val="24"/>
          <w:szCs w:val="24"/>
          <w:lang w:val="en-CA"/>
        </w:rPr>
      </w:pPr>
    </w:p>
    <w:p w14:paraId="7C640519"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24"/>
        </w:rPr>
      </w:pPr>
      <w:bookmarkStart w:id="19" w:name="_Toc435798906"/>
      <w:r w:rsidRPr="003716E1">
        <w:rPr>
          <w:rFonts w:ascii="Calibri" w:eastAsia="Times New Roman" w:hAnsi="Calibri" w:cs="Times New Roman"/>
          <w:b/>
          <w:bCs/>
          <w:kern w:val="32"/>
          <w:sz w:val="24"/>
          <w:szCs w:val="24"/>
          <w:lang w:val="en-CA"/>
        </w:rPr>
        <w:t>A</w:t>
      </w:r>
      <w:r w:rsidRPr="003716E1">
        <w:rPr>
          <w:rFonts w:ascii="Calibri" w:eastAsia="Times New Roman" w:hAnsi="Calibri" w:cs="Times New Roman"/>
          <w:b/>
          <w:bCs/>
          <w:kern w:val="32"/>
          <w:sz w:val="24"/>
          <w:szCs w:val="24"/>
          <w:lang w:val="en-CA"/>
        </w:rPr>
        <w:fldChar w:fldCharType="begin"/>
      </w:r>
      <w:r w:rsidRPr="003716E1">
        <w:rPr>
          <w:rFonts w:ascii="Calibri" w:eastAsia="Times New Roman" w:hAnsi="Calibri" w:cs="Times New Roman"/>
          <w:b/>
          <w:bCs/>
          <w:kern w:val="32"/>
          <w:sz w:val="24"/>
          <w:szCs w:val="24"/>
          <w:lang w:val="en-CA"/>
        </w:rPr>
        <w:instrText xml:space="preserve"> SEQ CHAPTER \h \r 1</w:instrText>
      </w:r>
      <w:r w:rsidRPr="003716E1">
        <w:rPr>
          <w:rFonts w:ascii="Calibri" w:eastAsia="Times New Roman" w:hAnsi="Calibri" w:cs="Times New Roman"/>
          <w:b/>
          <w:bCs/>
          <w:kern w:val="32"/>
          <w:sz w:val="24"/>
          <w:szCs w:val="24"/>
          <w:lang w:val="en-CA"/>
        </w:rPr>
        <w:fldChar w:fldCharType="end"/>
      </w:r>
      <w:r w:rsidRPr="003716E1">
        <w:rPr>
          <w:rFonts w:ascii="Calibri" w:eastAsia="Times New Roman" w:hAnsi="Calibri" w:cs="Times New Roman"/>
          <w:b/>
          <w:bCs/>
          <w:kern w:val="32"/>
          <w:sz w:val="24"/>
          <w:szCs w:val="24"/>
        </w:rPr>
        <w:t>17.</w:t>
      </w:r>
      <w:r w:rsidRPr="003716E1">
        <w:rPr>
          <w:rFonts w:ascii="Calibri" w:eastAsia="Times New Roman" w:hAnsi="Calibri" w:cs="Times New Roman"/>
          <w:b/>
          <w:bCs/>
          <w:kern w:val="32"/>
          <w:sz w:val="24"/>
          <w:szCs w:val="24"/>
        </w:rPr>
        <w:tab/>
        <w:t>Reason(s) Display of OMB Expiration Date is Inappropriate</w:t>
      </w:r>
      <w:bookmarkEnd w:id="19"/>
    </w:p>
    <w:p w14:paraId="242495FB"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2A9A8870"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r w:rsidRPr="003716E1">
        <w:rPr>
          <w:rFonts w:ascii="Calibri" w:eastAsia="Times New Roman" w:hAnsi="Calibri" w:cs="Times New Roman"/>
          <w:sz w:val="24"/>
          <w:szCs w:val="24"/>
        </w:rPr>
        <w:t>There is no request for an expiration date display exemption.</w:t>
      </w:r>
    </w:p>
    <w:p w14:paraId="05710AC1" w14:textId="77777777" w:rsidR="003716E1" w:rsidRPr="003716E1" w:rsidRDefault="003716E1" w:rsidP="003716E1">
      <w:pPr>
        <w:autoSpaceDE w:val="0"/>
        <w:autoSpaceDN w:val="0"/>
        <w:adjustRightInd w:val="0"/>
        <w:spacing w:after="0" w:line="240" w:lineRule="auto"/>
        <w:rPr>
          <w:rFonts w:ascii="Calibri" w:eastAsia="Times New Roman" w:hAnsi="Calibri" w:cs="Times New Roman"/>
          <w:b/>
          <w:bCs/>
          <w:sz w:val="24"/>
          <w:szCs w:val="24"/>
        </w:rPr>
      </w:pPr>
    </w:p>
    <w:p w14:paraId="58E7B98A" w14:textId="77777777" w:rsidR="003716E1" w:rsidRPr="003716E1" w:rsidRDefault="003716E1" w:rsidP="003716E1">
      <w:pPr>
        <w:keepNext/>
        <w:autoSpaceDE w:val="0"/>
        <w:autoSpaceDN w:val="0"/>
        <w:adjustRightInd w:val="0"/>
        <w:spacing w:after="0" w:line="240" w:lineRule="auto"/>
        <w:outlineLvl w:val="0"/>
        <w:rPr>
          <w:rFonts w:ascii="Calibri" w:eastAsia="Times New Roman" w:hAnsi="Calibri" w:cs="Times New Roman"/>
          <w:b/>
          <w:bCs/>
          <w:kern w:val="32"/>
          <w:sz w:val="24"/>
          <w:szCs w:val="24"/>
        </w:rPr>
      </w:pPr>
      <w:bookmarkStart w:id="20" w:name="_Toc435798907"/>
      <w:r w:rsidRPr="003716E1">
        <w:rPr>
          <w:rFonts w:ascii="Calibri" w:eastAsia="Times New Roman" w:hAnsi="Calibri" w:cs="Times New Roman"/>
          <w:b/>
          <w:bCs/>
          <w:kern w:val="32"/>
          <w:sz w:val="24"/>
          <w:szCs w:val="24"/>
        </w:rPr>
        <w:t>A18.</w:t>
      </w:r>
      <w:r w:rsidRPr="003716E1">
        <w:rPr>
          <w:rFonts w:ascii="Calibri" w:eastAsia="Times New Roman" w:hAnsi="Calibri" w:cs="Times New Roman"/>
          <w:b/>
          <w:bCs/>
          <w:kern w:val="32"/>
          <w:sz w:val="24"/>
          <w:szCs w:val="24"/>
        </w:rPr>
        <w:tab/>
        <w:t>Exceptions to Certification for Paperwork Reduction Act Submissions</w:t>
      </w:r>
      <w:bookmarkEnd w:id="20"/>
    </w:p>
    <w:p w14:paraId="4CC5D8D8" w14:textId="77777777" w:rsidR="003716E1" w:rsidRPr="003716E1" w:rsidRDefault="003716E1" w:rsidP="003716E1">
      <w:pPr>
        <w:autoSpaceDE w:val="0"/>
        <w:autoSpaceDN w:val="0"/>
        <w:adjustRightInd w:val="0"/>
        <w:spacing w:after="0" w:line="240" w:lineRule="auto"/>
        <w:rPr>
          <w:rFonts w:ascii="Calibri" w:eastAsia="Times New Roman" w:hAnsi="Calibri" w:cs="Times New Roman"/>
          <w:sz w:val="24"/>
          <w:szCs w:val="24"/>
        </w:rPr>
      </w:pPr>
    </w:p>
    <w:p w14:paraId="32B2A0B5" w14:textId="427659D9" w:rsidR="00823D3D" w:rsidRDefault="003716E1" w:rsidP="00CA2955">
      <w:pPr>
        <w:autoSpaceDE w:val="0"/>
        <w:autoSpaceDN w:val="0"/>
        <w:adjustRightInd w:val="0"/>
        <w:spacing w:after="0" w:line="240" w:lineRule="auto"/>
        <w:rPr>
          <w:rFonts w:ascii="Times New Roman" w:eastAsia="Times New Roman" w:hAnsi="Times New Roman" w:cs="Times New Roman"/>
          <w:b/>
          <w:bCs/>
          <w:kern w:val="32"/>
          <w:sz w:val="24"/>
          <w:szCs w:val="32"/>
          <w:u w:val="single"/>
        </w:rPr>
        <w:sectPr w:rsidR="00823D3D" w:rsidSect="006452C2">
          <w:type w:val="continuous"/>
          <w:pgSz w:w="12240" w:h="15840" w:code="1"/>
          <w:pgMar w:top="1440" w:right="1440" w:bottom="1440" w:left="1440" w:header="720" w:footer="720" w:gutter="0"/>
          <w:cols w:space="720"/>
          <w:docGrid w:linePitch="360"/>
        </w:sectPr>
      </w:pPr>
      <w:r w:rsidRPr="003716E1">
        <w:rPr>
          <w:rFonts w:ascii="Calibri" w:eastAsia="Times New Roman" w:hAnsi="Calibri" w:cs="Times New Roman"/>
          <w:sz w:val="24"/>
          <w:szCs w:val="24"/>
        </w:rPr>
        <w:t>There are no exceptions being sought to the certification statement.</w:t>
      </w:r>
    </w:p>
    <w:p w14:paraId="09CBFFE5" w14:textId="77777777" w:rsidR="00823D3D" w:rsidRPr="00EA7E4F" w:rsidRDefault="00823D3D" w:rsidP="00823D3D">
      <w:pPr>
        <w:keepNext/>
        <w:autoSpaceDE w:val="0"/>
        <w:autoSpaceDN w:val="0"/>
        <w:adjustRightInd w:val="0"/>
        <w:spacing w:after="0" w:line="240" w:lineRule="auto"/>
        <w:outlineLvl w:val="0"/>
        <w:rPr>
          <w:rFonts w:eastAsia="Times New Roman" w:cs="Times New Roman"/>
          <w:b/>
          <w:bCs/>
          <w:kern w:val="32"/>
          <w:sz w:val="24"/>
          <w:szCs w:val="32"/>
          <w:u w:val="single"/>
        </w:rPr>
      </w:pPr>
      <w:r w:rsidRPr="00EA7E4F">
        <w:rPr>
          <w:rFonts w:eastAsia="Times New Roman" w:cs="Times New Roman"/>
          <w:b/>
          <w:bCs/>
          <w:kern w:val="32"/>
          <w:sz w:val="24"/>
          <w:szCs w:val="32"/>
          <w:u w:val="single"/>
          <w:lang w:val="en-CA"/>
        </w:rPr>
        <w:fldChar w:fldCharType="begin"/>
      </w:r>
      <w:r w:rsidRPr="00EA7E4F">
        <w:rPr>
          <w:rFonts w:eastAsia="Times New Roman" w:cs="Times New Roman"/>
          <w:b/>
          <w:bCs/>
          <w:kern w:val="32"/>
          <w:sz w:val="24"/>
          <w:szCs w:val="32"/>
          <w:u w:val="single"/>
          <w:lang w:val="en-CA"/>
        </w:rPr>
        <w:instrText xml:space="preserve"> SEQ CHAPTER \h \r 1</w:instrText>
      </w:r>
      <w:r w:rsidRPr="00EA7E4F">
        <w:rPr>
          <w:rFonts w:eastAsia="Times New Roman" w:cs="Times New Roman"/>
          <w:b/>
          <w:bCs/>
          <w:kern w:val="32"/>
          <w:sz w:val="24"/>
          <w:szCs w:val="32"/>
          <w:u w:val="single"/>
          <w:lang w:val="en-CA"/>
        </w:rPr>
        <w:fldChar w:fldCharType="end"/>
      </w:r>
      <w:bookmarkStart w:id="21" w:name="_Toc435798908"/>
      <w:r w:rsidRPr="00EA7E4F">
        <w:rPr>
          <w:rFonts w:eastAsia="Times New Roman" w:cs="Times New Roman"/>
          <w:b/>
          <w:bCs/>
          <w:kern w:val="32"/>
          <w:sz w:val="24"/>
          <w:szCs w:val="32"/>
          <w:u w:val="single"/>
        </w:rPr>
        <w:t>References</w:t>
      </w:r>
      <w:bookmarkEnd w:id="21"/>
    </w:p>
    <w:p w14:paraId="7224BA3F" w14:textId="77777777" w:rsidR="00823D3D" w:rsidRPr="00EA7E4F" w:rsidRDefault="00823D3D" w:rsidP="00823D3D">
      <w:pPr>
        <w:keepNext/>
        <w:autoSpaceDE w:val="0"/>
        <w:autoSpaceDN w:val="0"/>
        <w:adjustRightInd w:val="0"/>
        <w:spacing w:after="0" w:line="240" w:lineRule="auto"/>
        <w:outlineLvl w:val="0"/>
        <w:rPr>
          <w:rFonts w:eastAsia="Times New Roman" w:cs="Times New Roman"/>
          <w:b/>
          <w:bCs/>
          <w:kern w:val="32"/>
          <w:sz w:val="24"/>
          <w:szCs w:val="32"/>
          <w:u w:val="single"/>
        </w:rPr>
      </w:pPr>
    </w:p>
    <w:p w14:paraId="0609FCB9"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Butani SJ, Bartholomew AM (1988a). Characterization of the 1986 Coal Mining Workforce.  </w:t>
      </w:r>
      <w:smartTag w:uri="urn:schemas-microsoft-com:office:smarttags" w:element="country-region">
        <w:r w:rsidRPr="00EA7E4F">
          <w:rPr>
            <w:rFonts w:eastAsia="Times New Roman" w:cs="Times New Roman"/>
            <w:sz w:val="24"/>
            <w:szCs w:val="24"/>
          </w:rPr>
          <w:t>U.S.</w:t>
        </w:r>
      </w:smartTag>
      <w:r w:rsidRPr="00EA7E4F">
        <w:rPr>
          <w:rFonts w:eastAsia="Times New Roman" w:cs="Times New Roman"/>
          <w:sz w:val="24"/>
          <w:szCs w:val="24"/>
        </w:rPr>
        <w:t xml:space="preserve"> Department of the Interior, </w:t>
      </w:r>
      <w:smartTag w:uri="urn:schemas-microsoft-com:office:smarttags" w:element="place">
        <w:smartTag w:uri="urn:schemas-microsoft-com:office:smarttags" w:element="country-region">
          <w:r w:rsidRPr="00EA7E4F">
            <w:rPr>
              <w:rFonts w:eastAsia="Times New Roman" w:cs="Times New Roman"/>
              <w:sz w:val="24"/>
              <w:szCs w:val="24"/>
            </w:rPr>
            <w:t>U.S.</w:t>
          </w:r>
        </w:smartTag>
      </w:smartTag>
      <w:r w:rsidRPr="00EA7E4F">
        <w:rPr>
          <w:rFonts w:eastAsia="Times New Roman" w:cs="Times New Roman"/>
          <w:sz w:val="24"/>
          <w:szCs w:val="24"/>
        </w:rPr>
        <w:t xml:space="preserve"> Bureau of Mines, Information Circular #9192.</w:t>
      </w:r>
    </w:p>
    <w:p w14:paraId="4831062B"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1BC68BF8"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Butani SJ, Bartholomew AM (1988b). Characterization of the 1986 Metal and Nonmetal Mining Workforce.  U.S. Department of the Interior, U.S. Bureau of Min</w:t>
      </w:r>
      <w:r w:rsidR="008C4C0E" w:rsidRPr="00EA7E4F">
        <w:rPr>
          <w:rFonts w:eastAsia="Times New Roman" w:cs="Times New Roman"/>
          <w:sz w:val="24"/>
          <w:szCs w:val="24"/>
        </w:rPr>
        <w:t>es, Information Circular #9193.</w:t>
      </w:r>
    </w:p>
    <w:p w14:paraId="2AF47599"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7F503383"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Cox BG, Holt N, Skarpness B (2004). </w:t>
      </w:r>
      <w:r w:rsidRPr="00EA7E4F">
        <w:rPr>
          <w:rFonts w:eastAsia="Times New Roman" w:cs="Times New Roman"/>
          <w:i/>
          <w:iCs/>
          <w:sz w:val="24"/>
          <w:szCs w:val="24"/>
        </w:rPr>
        <w:t xml:space="preserve">The National Survey of the Mining Population: Final Survey. </w:t>
      </w:r>
      <w:r w:rsidRPr="00EA7E4F">
        <w:rPr>
          <w:rFonts w:eastAsia="Times New Roman" w:cs="Times New Roman"/>
          <w:sz w:val="24"/>
          <w:szCs w:val="24"/>
        </w:rPr>
        <w:t xml:space="preserve">Prepared for the National Institute for Occupational Safety and Health. </w:t>
      </w:r>
    </w:p>
    <w:p w14:paraId="42D52CFD"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072BBE41"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Holt N, Linville JL (2015). </w:t>
      </w:r>
      <w:r w:rsidRPr="00EA7E4F">
        <w:rPr>
          <w:rFonts w:eastAsia="Times New Roman" w:cs="Times New Roman"/>
          <w:i/>
          <w:sz w:val="24"/>
          <w:szCs w:val="24"/>
        </w:rPr>
        <w:t>Mining Industry and Workforce Survey Data Collection Plan.</w:t>
      </w:r>
      <w:r w:rsidRPr="00EA7E4F">
        <w:rPr>
          <w:rFonts w:eastAsia="Times New Roman" w:cs="Times New Roman"/>
          <w:sz w:val="24"/>
          <w:szCs w:val="24"/>
        </w:rPr>
        <w:t xml:space="preserve"> Prepared for the National Institute for Occupational Safety and Health.</w:t>
      </w:r>
    </w:p>
    <w:p w14:paraId="342E7D02"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767E94CF"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McWilliams LJ, Lenart PJ, Lancaster JL, Zeiner JR (2012a). </w:t>
      </w:r>
      <w:r w:rsidRPr="00EA7E4F">
        <w:rPr>
          <w:rFonts w:eastAsia="Times New Roman" w:cs="Times New Roman"/>
          <w:i/>
          <w:iCs/>
          <w:sz w:val="24"/>
          <w:szCs w:val="24"/>
        </w:rPr>
        <w:t xml:space="preserve">National Survey of the Mining Population, Part I: Employees, </w:t>
      </w:r>
      <w:r w:rsidRPr="00EA7E4F">
        <w:rPr>
          <w:rFonts w:eastAsia="Times New Roman" w:cs="Times New Roman"/>
          <w:sz w:val="24"/>
          <w:szCs w:val="24"/>
        </w:rPr>
        <w:t xml:space="preserve">Department of Health and Human Services, National Institute for Occupational Safety and Health. </w:t>
      </w:r>
    </w:p>
    <w:p w14:paraId="711FB64B"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68A14711"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McWilliams LJ, Lenart PJ, Lancaster JL, Zeiner JR (2012b). </w:t>
      </w:r>
      <w:r w:rsidRPr="00EA7E4F">
        <w:rPr>
          <w:rFonts w:eastAsia="Times New Roman" w:cs="Times New Roman"/>
          <w:i/>
          <w:iCs/>
          <w:sz w:val="24"/>
          <w:szCs w:val="24"/>
        </w:rPr>
        <w:t xml:space="preserve">National Survey of the Mining Population, Part II: Mines, </w:t>
      </w:r>
      <w:r w:rsidRPr="00EA7E4F">
        <w:rPr>
          <w:rFonts w:eastAsia="Times New Roman" w:cs="Times New Roman"/>
          <w:sz w:val="24"/>
          <w:szCs w:val="24"/>
        </w:rPr>
        <w:t>Department of Health and Human Services, National Institute for Occupational Safety and Health.</w:t>
      </w:r>
    </w:p>
    <w:p w14:paraId="0E303FB4" w14:textId="77777777" w:rsidR="00823D3D" w:rsidRPr="00EA7E4F" w:rsidRDefault="00823D3D" w:rsidP="00823D3D">
      <w:pPr>
        <w:autoSpaceDE w:val="0"/>
        <w:autoSpaceDN w:val="0"/>
        <w:adjustRightInd w:val="0"/>
        <w:spacing w:after="0" w:line="240" w:lineRule="auto"/>
        <w:rPr>
          <w:rFonts w:eastAsia="Times New Roman" w:cs="Times New Roman"/>
          <w:sz w:val="24"/>
          <w:szCs w:val="24"/>
        </w:rPr>
      </w:pPr>
    </w:p>
    <w:p w14:paraId="6C089EC6" w14:textId="77777777" w:rsidR="00DC57CC" w:rsidRPr="00FB1B29" w:rsidRDefault="00823D3D" w:rsidP="00FB1B29">
      <w:pPr>
        <w:autoSpaceDE w:val="0"/>
        <w:autoSpaceDN w:val="0"/>
        <w:adjustRightInd w:val="0"/>
        <w:spacing w:after="0" w:line="240" w:lineRule="auto"/>
        <w:rPr>
          <w:rFonts w:eastAsia="Times New Roman" w:cs="Times New Roman"/>
          <w:sz w:val="24"/>
          <w:szCs w:val="24"/>
        </w:rPr>
      </w:pPr>
      <w:r w:rsidRPr="00EA7E4F">
        <w:rPr>
          <w:rFonts w:eastAsia="Times New Roman" w:cs="Times New Roman"/>
          <w:sz w:val="24"/>
          <w:szCs w:val="24"/>
        </w:rPr>
        <w:t xml:space="preserve">Westat (2008). </w:t>
      </w:r>
      <w:r w:rsidRPr="00EA7E4F">
        <w:rPr>
          <w:rFonts w:eastAsia="Times New Roman" w:cs="Times New Roman"/>
          <w:i/>
          <w:sz w:val="24"/>
          <w:szCs w:val="24"/>
        </w:rPr>
        <w:t>CDC/NIOSH – Surveillance and Epidemiologic Research for the Mining Industry: National Survey of the Mining Population. Final Report</w:t>
      </w:r>
      <w:r w:rsidRPr="00EA7E4F">
        <w:rPr>
          <w:rFonts w:eastAsia="Times New Roman" w:cs="Times New Roman"/>
          <w:sz w:val="24"/>
          <w:szCs w:val="24"/>
        </w:rPr>
        <w:t xml:space="preserve">. Prepared for the National Institute for </w:t>
      </w:r>
      <w:r w:rsidR="00FB1B29">
        <w:rPr>
          <w:rFonts w:eastAsia="Times New Roman" w:cs="Times New Roman"/>
          <w:sz w:val="24"/>
          <w:szCs w:val="24"/>
        </w:rPr>
        <w:t>Occupational Safety and Health.</w:t>
      </w:r>
      <w:r w:rsidRPr="00823D3D">
        <w:rPr>
          <w:rFonts w:ascii="Arial" w:eastAsia="Times New Roman" w:hAnsi="Arial" w:cs="Arial"/>
          <w:sz w:val="24"/>
          <w:szCs w:val="24"/>
          <w:lang w:val="en-CA"/>
        </w:rPr>
        <w:fldChar w:fldCharType="begin"/>
      </w:r>
      <w:r w:rsidRPr="00823D3D">
        <w:rPr>
          <w:rFonts w:ascii="Arial" w:eastAsia="Times New Roman" w:hAnsi="Arial" w:cs="Arial"/>
          <w:sz w:val="24"/>
          <w:szCs w:val="24"/>
          <w:lang w:val="en-CA"/>
        </w:rPr>
        <w:instrText xml:space="preserve"> SEQ CHAPTER \h \r 1</w:instrText>
      </w:r>
      <w:r w:rsidRPr="00823D3D">
        <w:rPr>
          <w:rFonts w:ascii="Arial" w:eastAsia="Times New Roman" w:hAnsi="Arial" w:cs="Arial"/>
          <w:sz w:val="24"/>
          <w:szCs w:val="24"/>
          <w:lang w:val="en-CA"/>
        </w:rPr>
        <w:fldChar w:fldCharType="end"/>
      </w:r>
      <w:r w:rsidR="003716E1" w:rsidRPr="003716E1">
        <w:rPr>
          <w:rFonts w:ascii="Times New Roman" w:eastAsia="Times New Roman" w:hAnsi="Times New Roman" w:cs="Times New Roman"/>
          <w:b/>
          <w:bCs/>
          <w:kern w:val="32"/>
          <w:sz w:val="24"/>
          <w:szCs w:val="32"/>
          <w:u w:val="single"/>
        </w:rPr>
        <w:fldChar w:fldCharType="begin"/>
      </w:r>
      <w:r w:rsidR="003716E1" w:rsidRPr="003716E1">
        <w:rPr>
          <w:rFonts w:ascii="Times New Roman" w:eastAsia="Times New Roman" w:hAnsi="Times New Roman" w:cs="Times New Roman"/>
          <w:b/>
          <w:bCs/>
          <w:kern w:val="32"/>
          <w:sz w:val="24"/>
          <w:szCs w:val="32"/>
          <w:u w:val="single"/>
        </w:rPr>
        <w:instrText xml:space="preserve"> SEQ CHAPTER \h \r 1</w:instrText>
      </w:r>
      <w:r w:rsidR="003716E1" w:rsidRPr="003716E1">
        <w:rPr>
          <w:rFonts w:ascii="Times New Roman" w:eastAsia="Times New Roman" w:hAnsi="Times New Roman" w:cs="Times New Roman"/>
          <w:b/>
          <w:bCs/>
          <w:kern w:val="32"/>
          <w:sz w:val="24"/>
          <w:szCs w:val="32"/>
          <w:u w:val="single"/>
        </w:rPr>
        <w:fldChar w:fldCharType="end"/>
      </w:r>
      <w:bookmarkStart w:id="22" w:name="_GoBack"/>
      <w:bookmarkEnd w:id="22"/>
    </w:p>
    <w:sectPr w:rsidR="00DC57CC" w:rsidRPr="00FB1B29" w:rsidSect="006C6578">
      <w:headerReference w:type="default" r:id="rId2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88924" w14:textId="77777777" w:rsidR="003B338F" w:rsidRDefault="003B338F" w:rsidP="008B5D54">
      <w:pPr>
        <w:spacing w:after="0" w:line="240" w:lineRule="auto"/>
      </w:pPr>
      <w:r>
        <w:separator/>
      </w:r>
    </w:p>
  </w:endnote>
  <w:endnote w:type="continuationSeparator" w:id="0">
    <w:p w14:paraId="73281297" w14:textId="77777777" w:rsidR="003B338F" w:rsidRDefault="003B338F" w:rsidP="008B5D54">
      <w:pPr>
        <w:spacing w:after="0" w:line="240" w:lineRule="auto"/>
      </w:pPr>
      <w:r>
        <w:continuationSeparator/>
      </w:r>
    </w:p>
  </w:endnote>
  <w:endnote w:type="continuationNotice" w:id="1">
    <w:p w14:paraId="2D987C5B" w14:textId="77777777" w:rsidR="003B338F" w:rsidRDefault="003B3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719A5" w14:textId="77777777" w:rsidR="003B338F" w:rsidRDefault="003B33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F561B" w14:textId="77777777" w:rsidR="003B338F" w:rsidRPr="00F0710F" w:rsidRDefault="003B338F" w:rsidP="00775A26">
    <w:pPr>
      <w:pStyle w:val="Footer"/>
      <w:framePr w:wrap="around" w:vAnchor="text" w:hAnchor="margin" w:xAlign="center" w:y="1"/>
      <w:rPr>
        <w:rStyle w:val="PageNumber"/>
        <w:szCs w:val="24"/>
      </w:rPr>
    </w:pPr>
    <w:r w:rsidRPr="00F0710F">
      <w:rPr>
        <w:rStyle w:val="PageNumber"/>
        <w:szCs w:val="24"/>
      </w:rPr>
      <w:fldChar w:fldCharType="begin"/>
    </w:r>
    <w:r w:rsidRPr="00F0710F">
      <w:rPr>
        <w:rStyle w:val="PageNumber"/>
        <w:szCs w:val="24"/>
      </w:rPr>
      <w:instrText xml:space="preserve">PAGE  </w:instrText>
    </w:r>
    <w:r w:rsidRPr="00F0710F">
      <w:rPr>
        <w:rStyle w:val="PageNumber"/>
        <w:szCs w:val="24"/>
      </w:rPr>
      <w:fldChar w:fldCharType="separate"/>
    </w:r>
    <w:r w:rsidR="00401BA5">
      <w:rPr>
        <w:rStyle w:val="PageNumber"/>
        <w:noProof/>
        <w:szCs w:val="24"/>
      </w:rPr>
      <w:t>iv</w:t>
    </w:r>
    <w:r w:rsidRPr="00F0710F">
      <w:rPr>
        <w:rStyle w:val="PageNumber"/>
        <w:szCs w:val="24"/>
      </w:rPr>
      <w:fldChar w:fldCharType="end"/>
    </w:r>
  </w:p>
  <w:p w14:paraId="2CD71A35" w14:textId="77777777" w:rsidR="003B338F" w:rsidRPr="00C7102E" w:rsidRDefault="003B338F" w:rsidP="00775A26">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A857A" w14:textId="77777777" w:rsidR="003B338F" w:rsidRDefault="003B33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A3C6" w14:textId="77777777" w:rsidR="003B338F" w:rsidRDefault="003B33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73974"/>
      <w:docPartObj>
        <w:docPartGallery w:val="Page Numbers (Bottom of Page)"/>
        <w:docPartUnique/>
      </w:docPartObj>
    </w:sdtPr>
    <w:sdtEndPr>
      <w:rPr>
        <w:noProof/>
      </w:rPr>
    </w:sdtEndPr>
    <w:sdtContent>
      <w:p w14:paraId="35AAD409" w14:textId="77777777" w:rsidR="003B338F" w:rsidRDefault="003B338F">
        <w:pPr>
          <w:pStyle w:val="Footer"/>
          <w:jc w:val="center"/>
        </w:pPr>
        <w:r>
          <w:fldChar w:fldCharType="begin"/>
        </w:r>
        <w:r>
          <w:instrText xml:space="preserve"> PAGE   \* MERGEFORMAT </w:instrText>
        </w:r>
        <w:r>
          <w:fldChar w:fldCharType="separate"/>
        </w:r>
        <w:r w:rsidR="00401BA5">
          <w:rPr>
            <w:noProof/>
          </w:rPr>
          <w:t>18</w:t>
        </w:r>
        <w:r>
          <w:rPr>
            <w:noProof/>
          </w:rPr>
          <w:fldChar w:fldCharType="end"/>
        </w:r>
      </w:p>
    </w:sdtContent>
  </w:sdt>
  <w:p w14:paraId="75952EA4" w14:textId="77777777" w:rsidR="003B338F" w:rsidRDefault="003B338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CC99F" w14:textId="77777777" w:rsidR="003B338F" w:rsidRDefault="003B3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BE94" w14:textId="77777777" w:rsidR="003B338F" w:rsidRDefault="003B338F" w:rsidP="008B5D54">
      <w:pPr>
        <w:spacing w:after="0" w:line="240" w:lineRule="auto"/>
      </w:pPr>
      <w:r>
        <w:separator/>
      </w:r>
    </w:p>
  </w:footnote>
  <w:footnote w:type="continuationSeparator" w:id="0">
    <w:p w14:paraId="63824FF4" w14:textId="77777777" w:rsidR="003B338F" w:rsidRDefault="003B338F" w:rsidP="008B5D54">
      <w:pPr>
        <w:spacing w:after="0" w:line="240" w:lineRule="auto"/>
      </w:pPr>
      <w:r>
        <w:continuationSeparator/>
      </w:r>
    </w:p>
  </w:footnote>
  <w:footnote w:type="continuationNotice" w:id="1">
    <w:p w14:paraId="1DE10AC4" w14:textId="77777777" w:rsidR="003B338F" w:rsidRDefault="003B338F">
      <w:pPr>
        <w:spacing w:after="0" w:line="240" w:lineRule="auto"/>
      </w:pPr>
    </w:p>
  </w:footnote>
  <w:footnote w:id="2">
    <w:p w14:paraId="2063051E" w14:textId="77777777" w:rsidR="003B338F" w:rsidRPr="003716E1" w:rsidRDefault="003B338F" w:rsidP="009C2E40">
      <w:pPr>
        <w:pStyle w:val="FootnoteText"/>
        <w:rPr>
          <w:rFonts w:ascii="Calibri" w:hAnsi="Calibri"/>
        </w:rPr>
      </w:pPr>
      <w:r w:rsidRPr="005E464E">
        <w:rPr>
          <w:rStyle w:val="FootnoteReference"/>
          <w:rFonts w:ascii="Times New Roman" w:hAnsi="Times New Roman"/>
        </w:rPr>
        <w:footnoteRef/>
      </w:r>
      <w:r w:rsidRPr="003716E1">
        <w:rPr>
          <w:rFonts w:ascii="Calibri" w:hAnsi="Calibri"/>
        </w:rPr>
        <w:t xml:space="preserve"> Underground areas; surface areas at underground mines; strip mines, open pit mines, or quarries; auger operations (coal mine only); culm banks or refuse piles (coal mine only); dredging operations; other surface mining (metal/nonmetal mines only); independent shops/yards; preparation plants or mills; office locations.</w:t>
      </w:r>
    </w:p>
  </w:footnote>
  <w:footnote w:id="3">
    <w:p w14:paraId="1CDFCCC7" w14:textId="77777777" w:rsidR="003B338F" w:rsidRPr="00F75F44" w:rsidRDefault="003B338F" w:rsidP="002F1586">
      <w:pPr>
        <w:pStyle w:val="FootnoteText"/>
        <w:rPr>
          <w:rFonts w:asciiTheme="minorHAnsi" w:hAnsiTheme="minorHAnsi"/>
        </w:rPr>
      </w:pPr>
      <w:r w:rsidRPr="00F75F44">
        <w:rPr>
          <w:rStyle w:val="FootnoteReference"/>
          <w:rFonts w:asciiTheme="minorHAnsi" w:hAnsiTheme="minorHAnsi"/>
        </w:rPr>
        <w:footnoteRef/>
      </w:r>
      <w:r w:rsidRPr="00F75F44">
        <w:rPr>
          <w:rFonts w:asciiTheme="minorHAnsi" w:hAnsiTheme="minorHAnsi"/>
        </w:rPr>
        <w:t xml:space="preserve"> Includes metal, nonmetal, stone, and sand and gravel mines.</w:t>
      </w:r>
    </w:p>
  </w:footnote>
  <w:footnote w:id="4">
    <w:p w14:paraId="50BFAEA8" w14:textId="0F8FBB4A" w:rsidR="003B338F" w:rsidRDefault="003B338F" w:rsidP="002F1586">
      <w:pPr>
        <w:pStyle w:val="FootnoteText"/>
      </w:pPr>
      <w:r w:rsidRPr="00F75F44">
        <w:rPr>
          <w:rStyle w:val="FootnoteReference"/>
          <w:rFonts w:asciiTheme="minorHAnsi" w:hAnsiTheme="minorHAnsi"/>
        </w:rPr>
        <w:footnoteRef/>
      </w:r>
      <w:r w:rsidRPr="00F75F44">
        <w:rPr>
          <w:rFonts w:asciiTheme="minorHAnsi" w:hAnsiTheme="minorHAnsi"/>
        </w:rPr>
        <w:t xml:space="preserve"> For certain serious accidents and events (e.g., fatalities), mine operators are required to notify MSHA immediately; for other reportable incidents</w:t>
      </w:r>
      <w:r>
        <w:rPr>
          <w:rFonts w:asciiTheme="minorHAnsi" w:hAnsiTheme="minorHAnsi"/>
        </w:rPr>
        <w:t>,</w:t>
      </w:r>
      <w:r w:rsidRPr="00F75F44">
        <w:rPr>
          <w:rFonts w:asciiTheme="minorHAnsi" w:hAnsiTheme="minorHAnsi"/>
        </w:rPr>
        <w:t xml:space="preserve"> notification is required within 10 working days after the accident or injury, or 10 working days following the illness diagnosis.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5849" w14:textId="77777777" w:rsidR="003B338F" w:rsidRDefault="003B33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47252" w14:textId="77777777" w:rsidR="003B338F" w:rsidRDefault="003B33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3CD5C" w14:textId="77777777" w:rsidR="003B338F" w:rsidRDefault="003B33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F9FC" w14:textId="77777777" w:rsidR="003B338F" w:rsidRDefault="003B33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632E0" w14:textId="77777777" w:rsidR="003B338F" w:rsidRDefault="003B338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C04A" w14:textId="77777777" w:rsidR="003B338F" w:rsidRDefault="003B338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801A" w14:textId="77777777" w:rsidR="003B338F" w:rsidRDefault="003B3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0F"/>
    <w:multiLevelType w:val="hybridMultilevel"/>
    <w:tmpl w:val="B462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63F3E"/>
    <w:multiLevelType w:val="hybridMultilevel"/>
    <w:tmpl w:val="91947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56AD8"/>
    <w:multiLevelType w:val="hybridMultilevel"/>
    <w:tmpl w:val="5BD0C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7133"/>
    <w:multiLevelType w:val="hybridMultilevel"/>
    <w:tmpl w:val="1B028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B293C"/>
    <w:multiLevelType w:val="hybridMultilevel"/>
    <w:tmpl w:val="4734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C0EA6"/>
    <w:multiLevelType w:val="hybridMultilevel"/>
    <w:tmpl w:val="6A6AE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7D8E"/>
    <w:multiLevelType w:val="hybridMultilevel"/>
    <w:tmpl w:val="FE3E5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474E"/>
    <w:multiLevelType w:val="hybridMultilevel"/>
    <w:tmpl w:val="81842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F05C6"/>
    <w:multiLevelType w:val="hybridMultilevel"/>
    <w:tmpl w:val="233C0E24"/>
    <w:lvl w:ilvl="0" w:tplc="CC72BDC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3F0819"/>
    <w:multiLevelType w:val="hybridMultilevel"/>
    <w:tmpl w:val="BFF49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91940"/>
    <w:multiLevelType w:val="hybridMultilevel"/>
    <w:tmpl w:val="1108DB14"/>
    <w:lvl w:ilvl="0" w:tplc="F08E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73C6"/>
    <w:multiLevelType w:val="hybridMultilevel"/>
    <w:tmpl w:val="ADD2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7F79"/>
    <w:multiLevelType w:val="hybridMultilevel"/>
    <w:tmpl w:val="3630190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358EF"/>
    <w:multiLevelType w:val="hybridMultilevel"/>
    <w:tmpl w:val="BB44A134"/>
    <w:lvl w:ilvl="0" w:tplc="ED1840A2">
      <w:start w:val="1"/>
      <w:numFmt w:val="bullet"/>
      <w:lvlText w:val=""/>
      <w:lvlJc w:val="left"/>
      <w:pPr>
        <w:ind w:left="720" w:hanging="360"/>
      </w:pPr>
      <w:rPr>
        <w:rFonts w:ascii="Wingdings" w:hAnsi="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73072"/>
    <w:multiLevelType w:val="hybridMultilevel"/>
    <w:tmpl w:val="74FA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246F2"/>
    <w:multiLevelType w:val="hybridMultilevel"/>
    <w:tmpl w:val="A3466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067B6D"/>
    <w:multiLevelType w:val="hybridMultilevel"/>
    <w:tmpl w:val="B262F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C39B0"/>
    <w:multiLevelType w:val="hybridMultilevel"/>
    <w:tmpl w:val="926817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5133B8"/>
    <w:multiLevelType w:val="hybridMultilevel"/>
    <w:tmpl w:val="C53415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D0F47"/>
    <w:multiLevelType w:val="hybridMultilevel"/>
    <w:tmpl w:val="8E780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E389A"/>
    <w:multiLevelType w:val="hybridMultilevel"/>
    <w:tmpl w:val="3238F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06EFB"/>
    <w:multiLevelType w:val="hybridMultilevel"/>
    <w:tmpl w:val="15C0C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427AED"/>
    <w:multiLevelType w:val="hybridMultilevel"/>
    <w:tmpl w:val="63681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E2539"/>
    <w:multiLevelType w:val="hybridMultilevel"/>
    <w:tmpl w:val="01FED380"/>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132E1"/>
    <w:multiLevelType w:val="hybridMultilevel"/>
    <w:tmpl w:val="41E206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55404"/>
    <w:multiLevelType w:val="hybridMultilevel"/>
    <w:tmpl w:val="67908BF0"/>
    <w:lvl w:ilvl="0" w:tplc="7CFC652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C01DAE"/>
    <w:multiLevelType w:val="hybridMultilevel"/>
    <w:tmpl w:val="858CD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24B44"/>
    <w:multiLevelType w:val="multilevel"/>
    <w:tmpl w:val="468A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75BAC"/>
    <w:multiLevelType w:val="hybridMultilevel"/>
    <w:tmpl w:val="2D080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4047D"/>
    <w:multiLevelType w:val="hybridMultilevel"/>
    <w:tmpl w:val="D798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7603"/>
    <w:multiLevelType w:val="hybridMultilevel"/>
    <w:tmpl w:val="6F160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477C6"/>
    <w:multiLevelType w:val="hybridMultilevel"/>
    <w:tmpl w:val="58F2C3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491BE9"/>
    <w:multiLevelType w:val="hybridMultilevel"/>
    <w:tmpl w:val="5AF4D18A"/>
    <w:lvl w:ilvl="0" w:tplc="CD303A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5F2AB0"/>
    <w:multiLevelType w:val="hybridMultilevel"/>
    <w:tmpl w:val="03483D3C"/>
    <w:lvl w:ilvl="0" w:tplc="2B385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9A73D5"/>
    <w:multiLevelType w:val="hybridMultilevel"/>
    <w:tmpl w:val="EF3C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167FD"/>
    <w:multiLevelType w:val="hybridMultilevel"/>
    <w:tmpl w:val="27AA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9736B"/>
    <w:multiLevelType w:val="hybridMultilevel"/>
    <w:tmpl w:val="26503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D0423"/>
    <w:multiLevelType w:val="hybridMultilevel"/>
    <w:tmpl w:val="C50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5298D"/>
    <w:multiLevelType w:val="hybridMultilevel"/>
    <w:tmpl w:val="9F4E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B2860"/>
    <w:multiLevelType w:val="hybridMultilevel"/>
    <w:tmpl w:val="3180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A1976"/>
    <w:multiLevelType w:val="hybridMultilevel"/>
    <w:tmpl w:val="F04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B752A"/>
    <w:multiLevelType w:val="hybridMultilevel"/>
    <w:tmpl w:val="0BC01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41C8D"/>
    <w:multiLevelType w:val="hybridMultilevel"/>
    <w:tmpl w:val="F7C28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C003E"/>
    <w:multiLevelType w:val="hybridMultilevel"/>
    <w:tmpl w:val="CC9AA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0"/>
  </w:num>
  <w:num w:numId="4">
    <w:abstractNumId w:val="8"/>
  </w:num>
  <w:num w:numId="5">
    <w:abstractNumId w:val="21"/>
  </w:num>
  <w:num w:numId="6">
    <w:abstractNumId w:val="26"/>
  </w:num>
  <w:num w:numId="7">
    <w:abstractNumId w:val="36"/>
  </w:num>
  <w:num w:numId="8">
    <w:abstractNumId w:val="3"/>
  </w:num>
  <w:num w:numId="9">
    <w:abstractNumId w:val="42"/>
  </w:num>
  <w:num w:numId="10">
    <w:abstractNumId w:val="24"/>
  </w:num>
  <w:num w:numId="11">
    <w:abstractNumId w:val="35"/>
  </w:num>
  <w:num w:numId="12">
    <w:abstractNumId w:val="5"/>
  </w:num>
  <w:num w:numId="13">
    <w:abstractNumId w:val="4"/>
  </w:num>
  <w:num w:numId="14">
    <w:abstractNumId w:val="2"/>
  </w:num>
  <w:num w:numId="15">
    <w:abstractNumId w:val="19"/>
  </w:num>
  <w:num w:numId="16">
    <w:abstractNumId w:val="17"/>
  </w:num>
  <w:num w:numId="17">
    <w:abstractNumId w:val="25"/>
  </w:num>
  <w:num w:numId="18">
    <w:abstractNumId w:val="12"/>
  </w:num>
  <w:num w:numId="19">
    <w:abstractNumId w:val="30"/>
  </w:num>
  <w:num w:numId="20">
    <w:abstractNumId w:val="43"/>
  </w:num>
  <w:num w:numId="21">
    <w:abstractNumId w:val="22"/>
  </w:num>
  <w:num w:numId="22">
    <w:abstractNumId w:val="34"/>
  </w:num>
  <w:num w:numId="23">
    <w:abstractNumId w:val="18"/>
  </w:num>
  <w:num w:numId="24">
    <w:abstractNumId w:val="9"/>
  </w:num>
  <w:num w:numId="25">
    <w:abstractNumId w:val="7"/>
  </w:num>
  <w:num w:numId="26">
    <w:abstractNumId w:val="1"/>
  </w:num>
  <w:num w:numId="27">
    <w:abstractNumId w:val="6"/>
  </w:num>
  <w:num w:numId="28">
    <w:abstractNumId w:val="23"/>
  </w:num>
  <w:num w:numId="29">
    <w:abstractNumId w:val="13"/>
  </w:num>
  <w:num w:numId="30">
    <w:abstractNumId w:val="16"/>
  </w:num>
  <w:num w:numId="31">
    <w:abstractNumId w:val="20"/>
  </w:num>
  <w:num w:numId="32">
    <w:abstractNumId w:val="41"/>
  </w:num>
  <w:num w:numId="33">
    <w:abstractNumId w:val="32"/>
  </w:num>
  <w:num w:numId="34">
    <w:abstractNumId w:val="10"/>
  </w:num>
  <w:num w:numId="35">
    <w:abstractNumId w:val="33"/>
  </w:num>
  <w:num w:numId="36">
    <w:abstractNumId w:val="37"/>
  </w:num>
  <w:num w:numId="37">
    <w:abstractNumId w:val="29"/>
  </w:num>
  <w:num w:numId="38">
    <w:abstractNumId w:val="14"/>
  </w:num>
  <w:num w:numId="39">
    <w:abstractNumId w:val="0"/>
  </w:num>
  <w:num w:numId="40">
    <w:abstractNumId w:val="39"/>
  </w:num>
  <w:num w:numId="41">
    <w:abstractNumId w:val="11"/>
  </w:num>
  <w:num w:numId="42">
    <w:abstractNumId w:val="28"/>
  </w:num>
  <w:num w:numId="43">
    <w:abstractNumId w:val="15"/>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E1"/>
    <w:rsid w:val="00004240"/>
    <w:rsid w:val="0000556E"/>
    <w:rsid w:val="00011287"/>
    <w:rsid w:val="00012242"/>
    <w:rsid w:val="0001380F"/>
    <w:rsid w:val="000273E7"/>
    <w:rsid w:val="000274E4"/>
    <w:rsid w:val="0003187D"/>
    <w:rsid w:val="0003269B"/>
    <w:rsid w:val="000334FB"/>
    <w:rsid w:val="0003780A"/>
    <w:rsid w:val="0004026B"/>
    <w:rsid w:val="0004299F"/>
    <w:rsid w:val="00061655"/>
    <w:rsid w:val="000627C6"/>
    <w:rsid w:val="00062BE8"/>
    <w:rsid w:val="00063B83"/>
    <w:rsid w:val="00065CB0"/>
    <w:rsid w:val="000669C7"/>
    <w:rsid w:val="00070FD2"/>
    <w:rsid w:val="00072C4F"/>
    <w:rsid w:val="0007306A"/>
    <w:rsid w:val="00074CCD"/>
    <w:rsid w:val="00081F76"/>
    <w:rsid w:val="00084A29"/>
    <w:rsid w:val="000A1AFD"/>
    <w:rsid w:val="000A3307"/>
    <w:rsid w:val="000A3698"/>
    <w:rsid w:val="000B4EA1"/>
    <w:rsid w:val="000D0D9D"/>
    <w:rsid w:val="000D230D"/>
    <w:rsid w:val="000D487C"/>
    <w:rsid w:val="000F6225"/>
    <w:rsid w:val="00106237"/>
    <w:rsid w:val="001100B7"/>
    <w:rsid w:val="00111FBB"/>
    <w:rsid w:val="00116820"/>
    <w:rsid w:val="00117A02"/>
    <w:rsid w:val="00122F5C"/>
    <w:rsid w:val="00131412"/>
    <w:rsid w:val="00137527"/>
    <w:rsid w:val="00160F8A"/>
    <w:rsid w:val="00164549"/>
    <w:rsid w:val="001702EB"/>
    <w:rsid w:val="001748FE"/>
    <w:rsid w:val="001753A6"/>
    <w:rsid w:val="00180D98"/>
    <w:rsid w:val="001811FC"/>
    <w:rsid w:val="00184394"/>
    <w:rsid w:val="001852C2"/>
    <w:rsid w:val="00191026"/>
    <w:rsid w:val="00191C46"/>
    <w:rsid w:val="001939D6"/>
    <w:rsid w:val="001B2207"/>
    <w:rsid w:val="001B7CAA"/>
    <w:rsid w:val="001C07FA"/>
    <w:rsid w:val="001D02E3"/>
    <w:rsid w:val="001D3F00"/>
    <w:rsid w:val="001E20D8"/>
    <w:rsid w:val="001E4B03"/>
    <w:rsid w:val="001E5716"/>
    <w:rsid w:val="001E75A8"/>
    <w:rsid w:val="001F2A9E"/>
    <w:rsid w:val="001F6D85"/>
    <w:rsid w:val="00200792"/>
    <w:rsid w:val="002041E5"/>
    <w:rsid w:val="002451F1"/>
    <w:rsid w:val="00245566"/>
    <w:rsid w:val="002457A5"/>
    <w:rsid w:val="00257883"/>
    <w:rsid w:val="002608B8"/>
    <w:rsid w:val="00261A6E"/>
    <w:rsid w:val="0026619F"/>
    <w:rsid w:val="0026767E"/>
    <w:rsid w:val="00270A7C"/>
    <w:rsid w:val="00271465"/>
    <w:rsid w:val="00271D0C"/>
    <w:rsid w:val="0027526A"/>
    <w:rsid w:val="002766C5"/>
    <w:rsid w:val="00276D43"/>
    <w:rsid w:val="00281FBB"/>
    <w:rsid w:val="0028350F"/>
    <w:rsid w:val="002871F9"/>
    <w:rsid w:val="00293589"/>
    <w:rsid w:val="002941F5"/>
    <w:rsid w:val="002A3EC6"/>
    <w:rsid w:val="002A5942"/>
    <w:rsid w:val="002A71BA"/>
    <w:rsid w:val="002B1A2D"/>
    <w:rsid w:val="002B4192"/>
    <w:rsid w:val="002B711C"/>
    <w:rsid w:val="002C4EF2"/>
    <w:rsid w:val="002D40E6"/>
    <w:rsid w:val="002D44D9"/>
    <w:rsid w:val="002D4FF3"/>
    <w:rsid w:val="002D56D6"/>
    <w:rsid w:val="002D5987"/>
    <w:rsid w:val="002E0214"/>
    <w:rsid w:val="002E5670"/>
    <w:rsid w:val="002E6AA6"/>
    <w:rsid w:val="002F1586"/>
    <w:rsid w:val="002F191C"/>
    <w:rsid w:val="002F20CC"/>
    <w:rsid w:val="002F7EE5"/>
    <w:rsid w:val="003004AC"/>
    <w:rsid w:val="00311776"/>
    <w:rsid w:val="003213D0"/>
    <w:rsid w:val="003215C6"/>
    <w:rsid w:val="00323EA3"/>
    <w:rsid w:val="00323FE1"/>
    <w:rsid w:val="0032688C"/>
    <w:rsid w:val="0034577F"/>
    <w:rsid w:val="00347893"/>
    <w:rsid w:val="003716E1"/>
    <w:rsid w:val="0038022E"/>
    <w:rsid w:val="00380BF5"/>
    <w:rsid w:val="0038224B"/>
    <w:rsid w:val="00384755"/>
    <w:rsid w:val="00386590"/>
    <w:rsid w:val="00386A3B"/>
    <w:rsid w:val="0039603D"/>
    <w:rsid w:val="0039616C"/>
    <w:rsid w:val="003A61B9"/>
    <w:rsid w:val="003B0AB8"/>
    <w:rsid w:val="003B338F"/>
    <w:rsid w:val="003B6F38"/>
    <w:rsid w:val="003C0CF3"/>
    <w:rsid w:val="003C1C8C"/>
    <w:rsid w:val="003E2D27"/>
    <w:rsid w:val="003F0D95"/>
    <w:rsid w:val="003F21CE"/>
    <w:rsid w:val="003F5FD6"/>
    <w:rsid w:val="003F79A9"/>
    <w:rsid w:val="00400244"/>
    <w:rsid w:val="00401BA5"/>
    <w:rsid w:val="004048AA"/>
    <w:rsid w:val="00404DF1"/>
    <w:rsid w:val="00405648"/>
    <w:rsid w:val="00405854"/>
    <w:rsid w:val="004430A1"/>
    <w:rsid w:val="00447766"/>
    <w:rsid w:val="00461284"/>
    <w:rsid w:val="00477184"/>
    <w:rsid w:val="00483AA4"/>
    <w:rsid w:val="00487C89"/>
    <w:rsid w:val="00490F05"/>
    <w:rsid w:val="00494216"/>
    <w:rsid w:val="00494305"/>
    <w:rsid w:val="00495A12"/>
    <w:rsid w:val="004A15D9"/>
    <w:rsid w:val="004A7783"/>
    <w:rsid w:val="004B4069"/>
    <w:rsid w:val="004C5269"/>
    <w:rsid w:val="004C70D9"/>
    <w:rsid w:val="004D3974"/>
    <w:rsid w:val="004D3E3F"/>
    <w:rsid w:val="004D474E"/>
    <w:rsid w:val="004E2DFE"/>
    <w:rsid w:val="004E5D91"/>
    <w:rsid w:val="004F21CA"/>
    <w:rsid w:val="00500E92"/>
    <w:rsid w:val="005010C1"/>
    <w:rsid w:val="00517DDB"/>
    <w:rsid w:val="005232E0"/>
    <w:rsid w:val="00523F6C"/>
    <w:rsid w:val="00524C2E"/>
    <w:rsid w:val="0052625B"/>
    <w:rsid w:val="00531FF2"/>
    <w:rsid w:val="00532F5D"/>
    <w:rsid w:val="00533035"/>
    <w:rsid w:val="0054443C"/>
    <w:rsid w:val="00545398"/>
    <w:rsid w:val="005460B9"/>
    <w:rsid w:val="00546B9A"/>
    <w:rsid w:val="00552782"/>
    <w:rsid w:val="00555DB7"/>
    <w:rsid w:val="00557788"/>
    <w:rsid w:val="0057330F"/>
    <w:rsid w:val="00584AC2"/>
    <w:rsid w:val="00592EF4"/>
    <w:rsid w:val="0059478B"/>
    <w:rsid w:val="00595774"/>
    <w:rsid w:val="005970BE"/>
    <w:rsid w:val="005A0010"/>
    <w:rsid w:val="005A2A12"/>
    <w:rsid w:val="005A3349"/>
    <w:rsid w:val="005A3E03"/>
    <w:rsid w:val="005A45AF"/>
    <w:rsid w:val="005A71CF"/>
    <w:rsid w:val="005B72EE"/>
    <w:rsid w:val="005C2D1B"/>
    <w:rsid w:val="005C5EEC"/>
    <w:rsid w:val="005C79E0"/>
    <w:rsid w:val="005D7D80"/>
    <w:rsid w:val="005E34A4"/>
    <w:rsid w:val="005E3DFE"/>
    <w:rsid w:val="005F1636"/>
    <w:rsid w:val="005F2AFE"/>
    <w:rsid w:val="00600AA9"/>
    <w:rsid w:val="00600DDA"/>
    <w:rsid w:val="006022BE"/>
    <w:rsid w:val="00602430"/>
    <w:rsid w:val="00604FFC"/>
    <w:rsid w:val="00615319"/>
    <w:rsid w:val="00623C85"/>
    <w:rsid w:val="006244AE"/>
    <w:rsid w:val="00626746"/>
    <w:rsid w:val="006278DA"/>
    <w:rsid w:val="00632969"/>
    <w:rsid w:val="006330C8"/>
    <w:rsid w:val="0063637A"/>
    <w:rsid w:val="006376D4"/>
    <w:rsid w:val="006440DD"/>
    <w:rsid w:val="006452C2"/>
    <w:rsid w:val="00650A45"/>
    <w:rsid w:val="00650E92"/>
    <w:rsid w:val="006534B5"/>
    <w:rsid w:val="00662494"/>
    <w:rsid w:val="0066612B"/>
    <w:rsid w:val="00683E8A"/>
    <w:rsid w:val="00687277"/>
    <w:rsid w:val="00690DA7"/>
    <w:rsid w:val="00692D9B"/>
    <w:rsid w:val="00693172"/>
    <w:rsid w:val="006948C3"/>
    <w:rsid w:val="00695690"/>
    <w:rsid w:val="00696F9F"/>
    <w:rsid w:val="006A0C2F"/>
    <w:rsid w:val="006A183E"/>
    <w:rsid w:val="006A4C7A"/>
    <w:rsid w:val="006B2AAF"/>
    <w:rsid w:val="006B2BCE"/>
    <w:rsid w:val="006B7503"/>
    <w:rsid w:val="006C6578"/>
    <w:rsid w:val="006D51C6"/>
    <w:rsid w:val="006E6134"/>
    <w:rsid w:val="006E6833"/>
    <w:rsid w:val="0070589A"/>
    <w:rsid w:val="007058D8"/>
    <w:rsid w:val="0070617A"/>
    <w:rsid w:val="007138FB"/>
    <w:rsid w:val="007148EA"/>
    <w:rsid w:val="00715EE2"/>
    <w:rsid w:val="007225D6"/>
    <w:rsid w:val="00723B28"/>
    <w:rsid w:val="00727CBE"/>
    <w:rsid w:val="0073173D"/>
    <w:rsid w:val="00731BC7"/>
    <w:rsid w:val="00732B95"/>
    <w:rsid w:val="00733F6F"/>
    <w:rsid w:val="00736975"/>
    <w:rsid w:val="00745500"/>
    <w:rsid w:val="00745B24"/>
    <w:rsid w:val="007533C3"/>
    <w:rsid w:val="007579DF"/>
    <w:rsid w:val="007607E0"/>
    <w:rsid w:val="00761C44"/>
    <w:rsid w:val="007667D9"/>
    <w:rsid w:val="00772029"/>
    <w:rsid w:val="0077218E"/>
    <w:rsid w:val="00775A26"/>
    <w:rsid w:val="007901EF"/>
    <w:rsid w:val="007A494D"/>
    <w:rsid w:val="007C201E"/>
    <w:rsid w:val="007D1A9B"/>
    <w:rsid w:val="007D48EE"/>
    <w:rsid w:val="007E1EF2"/>
    <w:rsid w:val="007E295D"/>
    <w:rsid w:val="007E2F73"/>
    <w:rsid w:val="007E7E84"/>
    <w:rsid w:val="007F291A"/>
    <w:rsid w:val="007F69A3"/>
    <w:rsid w:val="007F6A10"/>
    <w:rsid w:val="008003C6"/>
    <w:rsid w:val="00801B03"/>
    <w:rsid w:val="00807062"/>
    <w:rsid w:val="00813492"/>
    <w:rsid w:val="008210B2"/>
    <w:rsid w:val="00823D3D"/>
    <w:rsid w:val="0082518A"/>
    <w:rsid w:val="0082616E"/>
    <w:rsid w:val="00831CB5"/>
    <w:rsid w:val="0083341E"/>
    <w:rsid w:val="00847AC7"/>
    <w:rsid w:val="0085088C"/>
    <w:rsid w:val="00850CE9"/>
    <w:rsid w:val="00851A7C"/>
    <w:rsid w:val="00863EF0"/>
    <w:rsid w:val="0087053A"/>
    <w:rsid w:val="00871AC1"/>
    <w:rsid w:val="00874608"/>
    <w:rsid w:val="008751F9"/>
    <w:rsid w:val="00885357"/>
    <w:rsid w:val="00886A8E"/>
    <w:rsid w:val="00891CA7"/>
    <w:rsid w:val="00897424"/>
    <w:rsid w:val="008A366C"/>
    <w:rsid w:val="008A7E06"/>
    <w:rsid w:val="008B5D54"/>
    <w:rsid w:val="008B66BE"/>
    <w:rsid w:val="008C1F51"/>
    <w:rsid w:val="008C280F"/>
    <w:rsid w:val="008C3602"/>
    <w:rsid w:val="008C42A9"/>
    <w:rsid w:val="008C4C0E"/>
    <w:rsid w:val="008D3195"/>
    <w:rsid w:val="008E40A5"/>
    <w:rsid w:val="008E49B3"/>
    <w:rsid w:val="008E6528"/>
    <w:rsid w:val="008F3512"/>
    <w:rsid w:val="008F4F33"/>
    <w:rsid w:val="008F5FC0"/>
    <w:rsid w:val="0090448D"/>
    <w:rsid w:val="00904CBE"/>
    <w:rsid w:val="00905014"/>
    <w:rsid w:val="009050C7"/>
    <w:rsid w:val="00907967"/>
    <w:rsid w:val="009115FB"/>
    <w:rsid w:val="009209B6"/>
    <w:rsid w:val="009249A1"/>
    <w:rsid w:val="009259FE"/>
    <w:rsid w:val="009278F4"/>
    <w:rsid w:val="00932638"/>
    <w:rsid w:val="00932758"/>
    <w:rsid w:val="009438F8"/>
    <w:rsid w:val="009462FF"/>
    <w:rsid w:val="00947DDB"/>
    <w:rsid w:val="00957355"/>
    <w:rsid w:val="00970EA5"/>
    <w:rsid w:val="009748F0"/>
    <w:rsid w:val="009873B8"/>
    <w:rsid w:val="0099091A"/>
    <w:rsid w:val="00991751"/>
    <w:rsid w:val="009A0186"/>
    <w:rsid w:val="009A316B"/>
    <w:rsid w:val="009A4DB3"/>
    <w:rsid w:val="009A515E"/>
    <w:rsid w:val="009A59BF"/>
    <w:rsid w:val="009B680C"/>
    <w:rsid w:val="009C024A"/>
    <w:rsid w:val="009C2E40"/>
    <w:rsid w:val="009C4993"/>
    <w:rsid w:val="009D0467"/>
    <w:rsid w:val="009D13D1"/>
    <w:rsid w:val="009D1D6A"/>
    <w:rsid w:val="009E1F80"/>
    <w:rsid w:val="009E5710"/>
    <w:rsid w:val="009E7CB7"/>
    <w:rsid w:val="00A05435"/>
    <w:rsid w:val="00A078F3"/>
    <w:rsid w:val="00A105C5"/>
    <w:rsid w:val="00A20E4D"/>
    <w:rsid w:val="00A2489B"/>
    <w:rsid w:val="00A30AF3"/>
    <w:rsid w:val="00A32933"/>
    <w:rsid w:val="00A40FB5"/>
    <w:rsid w:val="00A44D65"/>
    <w:rsid w:val="00A51191"/>
    <w:rsid w:val="00A53E02"/>
    <w:rsid w:val="00A639F7"/>
    <w:rsid w:val="00A7511D"/>
    <w:rsid w:val="00A77B84"/>
    <w:rsid w:val="00A8018B"/>
    <w:rsid w:val="00A837EE"/>
    <w:rsid w:val="00A83EED"/>
    <w:rsid w:val="00A90045"/>
    <w:rsid w:val="00A9049F"/>
    <w:rsid w:val="00A9183D"/>
    <w:rsid w:val="00A91F60"/>
    <w:rsid w:val="00A94D30"/>
    <w:rsid w:val="00A96FBD"/>
    <w:rsid w:val="00AA083D"/>
    <w:rsid w:val="00AA2A41"/>
    <w:rsid w:val="00AA2F78"/>
    <w:rsid w:val="00AA4E45"/>
    <w:rsid w:val="00AA59C9"/>
    <w:rsid w:val="00AA5DED"/>
    <w:rsid w:val="00AA70FF"/>
    <w:rsid w:val="00AA7253"/>
    <w:rsid w:val="00AB1110"/>
    <w:rsid w:val="00AB49B8"/>
    <w:rsid w:val="00AC1434"/>
    <w:rsid w:val="00AC27F2"/>
    <w:rsid w:val="00AC3179"/>
    <w:rsid w:val="00AC5D1B"/>
    <w:rsid w:val="00AD726C"/>
    <w:rsid w:val="00AE6477"/>
    <w:rsid w:val="00AF0E37"/>
    <w:rsid w:val="00AF73D6"/>
    <w:rsid w:val="00B139CB"/>
    <w:rsid w:val="00B13D93"/>
    <w:rsid w:val="00B17000"/>
    <w:rsid w:val="00B20398"/>
    <w:rsid w:val="00B20D65"/>
    <w:rsid w:val="00B21388"/>
    <w:rsid w:val="00B235B2"/>
    <w:rsid w:val="00B26AA5"/>
    <w:rsid w:val="00B34612"/>
    <w:rsid w:val="00B35AE8"/>
    <w:rsid w:val="00B41BD7"/>
    <w:rsid w:val="00B42FB8"/>
    <w:rsid w:val="00B44CB4"/>
    <w:rsid w:val="00B465FC"/>
    <w:rsid w:val="00B50BAA"/>
    <w:rsid w:val="00B55735"/>
    <w:rsid w:val="00B569D2"/>
    <w:rsid w:val="00B608AC"/>
    <w:rsid w:val="00B64B63"/>
    <w:rsid w:val="00B701DF"/>
    <w:rsid w:val="00B80E54"/>
    <w:rsid w:val="00B8212C"/>
    <w:rsid w:val="00B842C5"/>
    <w:rsid w:val="00B84993"/>
    <w:rsid w:val="00B926F7"/>
    <w:rsid w:val="00B959EB"/>
    <w:rsid w:val="00B971A1"/>
    <w:rsid w:val="00BA05BC"/>
    <w:rsid w:val="00BA4236"/>
    <w:rsid w:val="00BA51B4"/>
    <w:rsid w:val="00BB2135"/>
    <w:rsid w:val="00BC1FDD"/>
    <w:rsid w:val="00BC2BBB"/>
    <w:rsid w:val="00BC5D5E"/>
    <w:rsid w:val="00BC7F17"/>
    <w:rsid w:val="00BD409F"/>
    <w:rsid w:val="00BE01BE"/>
    <w:rsid w:val="00BF1825"/>
    <w:rsid w:val="00C00733"/>
    <w:rsid w:val="00C00B84"/>
    <w:rsid w:val="00C01D82"/>
    <w:rsid w:val="00C028E8"/>
    <w:rsid w:val="00C033A6"/>
    <w:rsid w:val="00C04109"/>
    <w:rsid w:val="00C049EF"/>
    <w:rsid w:val="00C06905"/>
    <w:rsid w:val="00C07912"/>
    <w:rsid w:val="00C16C64"/>
    <w:rsid w:val="00C170C7"/>
    <w:rsid w:val="00C22474"/>
    <w:rsid w:val="00C25097"/>
    <w:rsid w:val="00C27272"/>
    <w:rsid w:val="00C27667"/>
    <w:rsid w:val="00C37FF9"/>
    <w:rsid w:val="00C4058F"/>
    <w:rsid w:val="00C449AF"/>
    <w:rsid w:val="00C46EB2"/>
    <w:rsid w:val="00C62193"/>
    <w:rsid w:val="00C67202"/>
    <w:rsid w:val="00C67871"/>
    <w:rsid w:val="00C70D6A"/>
    <w:rsid w:val="00C74237"/>
    <w:rsid w:val="00C770A1"/>
    <w:rsid w:val="00C8046D"/>
    <w:rsid w:val="00C80DCE"/>
    <w:rsid w:val="00C8217D"/>
    <w:rsid w:val="00C82E2B"/>
    <w:rsid w:val="00C83B81"/>
    <w:rsid w:val="00C91C49"/>
    <w:rsid w:val="00C92B60"/>
    <w:rsid w:val="00C96198"/>
    <w:rsid w:val="00C964A5"/>
    <w:rsid w:val="00C97D35"/>
    <w:rsid w:val="00CA2955"/>
    <w:rsid w:val="00CA5852"/>
    <w:rsid w:val="00CB6E76"/>
    <w:rsid w:val="00CC1326"/>
    <w:rsid w:val="00CC22AF"/>
    <w:rsid w:val="00CC46A6"/>
    <w:rsid w:val="00CC5FC1"/>
    <w:rsid w:val="00CD2456"/>
    <w:rsid w:val="00CD3885"/>
    <w:rsid w:val="00CD663F"/>
    <w:rsid w:val="00CD7044"/>
    <w:rsid w:val="00CF11A5"/>
    <w:rsid w:val="00CF6225"/>
    <w:rsid w:val="00D02575"/>
    <w:rsid w:val="00D02E36"/>
    <w:rsid w:val="00D04884"/>
    <w:rsid w:val="00D16F79"/>
    <w:rsid w:val="00D21874"/>
    <w:rsid w:val="00D230E6"/>
    <w:rsid w:val="00D23B72"/>
    <w:rsid w:val="00D274C1"/>
    <w:rsid w:val="00D358E4"/>
    <w:rsid w:val="00D409BD"/>
    <w:rsid w:val="00D41D3C"/>
    <w:rsid w:val="00D44F45"/>
    <w:rsid w:val="00D4732C"/>
    <w:rsid w:val="00D54832"/>
    <w:rsid w:val="00D65768"/>
    <w:rsid w:val="00D65E61"/>
    <w:rsid w:val="00D66D80"/>
    <w:rsid w:val="00D81EEA"/>
    <w:rsid w:val="00D843EC"/>
    <w:rsid w:val="00D857B2"/>
    <w:rsid w:val="00D90BFB"/>
    <w:rsid w:val="00D90CD2"/>
    <w:rsid w:val="00D91259"/>
    <w:rsid w:val="00D95E53"/>
    <w:rsid w:val="00D96D1A"/>
    <w:rsid w:val="00D97B78"/>
    <w:rsid w:val="00DC0777"/>
    <w:rsid w:val="00DC2F1F"/>
    <w:rsid w:val="00DC4C53"/>
    <w:rsid w:val="00DC57CC"/>
    <w:rsid w:val="00DC673E"/>
    <w:rsid w:val="00DD2522"/>
    <w:rsid w:val="00DF37D6"/>
    <w:rsid w:val="00DF4BF0"/>
    <w:rsid w:val="00DF5A7C"/>
    <w:rsid w:val="00DF73AB"/>
    <w:rsid w:val="00E009C0"/>
    <w:rsid w:val="00E10130"/>
    <w:rsid w:val="00E12269"/>
    <w:rsid w:val="00E14F6E"/>
    <w:rsid w:val="00E20039"/>
    <w:rsid w:val="00E200F2"/>
    <w:rsid w:val="00E21359"/>
    <w:rsid w:val="00E23350"/>
    <w:rsid w:val="00E25EAB"/>
    <w:rsid w:val="00E5007F"/>
    <w:rsid w:val="00E5019C"/>
    <w:rsid w:val="00E50BEE"/>
    <w:rsid w:val="00E53D95"/>
    <w:rsid w:val="00E5533D"/>
    <w:rsid w:val="00E700D5"/>
    <w:rsid w:val="00E80EC6"/>
    <w:rsid w:val="00E85A77"/>
    <w:rsid w:val="00E903B2"/>
    <w:rsid w:val="00E92546"/>
    <w:rsid w:val="00E93478"/>
    <w:rsid w:val="00EA4BFA"/>
    <w:rsid w:val="00EA7E4F"/>
    <w:rsid w:val="00EB0DA9"/>
    <w:rsid w:val="00EB1F46"/>
    <w:rsid w:val="00EB641B"/>
    <w:rsid w:val="00EC6502"/>
    <w:rsid w:val="00ED1671"/>
    <w:rsid w:val="00ED3618"/>
    <w:rsid w:val="00ED362F"/>
    <w:rsid w:val="00ED6053"/>
    <w:rsid w:val="00EE5942"/>
    <w:rsid w:val="00EF0280"/>
    <w:rsid w:val="00EF5F9D"/>
    <w:rsid w:val="00F00CFC"/>
    <w:rsid w:val="00F01E27"/>
    <w:rsid w:val="00F02B02"/>
    <w:rsid w:val="00F10CC1"/>
    <w:rsid w:val="00F11297"/>
    <w:rsid w:val="00F1528A"/>
    <w:rsid w:val="00F165CE"/>
    <w:rsid w:val="00F17E88"/>
    <w:rsid w:val="00F22890"/>
    <w:rsid w:val="00F24569"/>
    <w:rsid w:val="00F25DA7"/>
    <w:rsid w:val="00F3195B"/>
    <w:rsid w:val="00F32973"/>
    <w:rsid w:val="00F4376E"/>
    <w:rsid w:val="00F57698"/>
    <w:rsid w:val="00F617B5"/>
    <w:rsid w:val="00F66175"/>
    <w:rsid w:val="00F72702"/>
    <w:rsid w:val="00F73DCE"/>
    <w:rsid w:val="00F803A5"/>
    <w:rsid w:val="00F81795"/>
    <w:rsid w:val="00F829CD"/>
    <w:rsid w:val="00F86234"/>
    <w:rsid w:val="00F86CA9"/>
    <w:rsid w:val="00F90B0B"/>
    <w:rsid w:val="00F9194A"/>
    <w:rsid w:val="00FA100F"/>
    <w:rsid w:val="00FA1976"/>
    <w:rsid w:val="00FA1982"/>
    <w:rsid w:val="00FA3F23"/>
    <w:rsid w:val="00FB1B29"/>
    <w:rsid w:val="00FB3F1B"/>
    <w:rsid w:val="00FB550A"/>
    <w:rsid w:val="00FB776C"/>
    <w:rsid w:val="00FB77FC"/>
    <w:rsid w:val="00FC0087"/>
    <w:rsid w:val="00FC0E9E"/>
    <w:rsid w:val="00FC1660"/>
    <w:rsid w:val="00FC2DE9"/>
    <w:rsid w:val="00FC7D3C"/>
    <w:rsid w:val="00FD0B32"/>
    <w:rsid w:val="00FD69C2"/>
    <w:rsid w:val="00FE2076"/>
    <w:rsid w:val="00FE232A"/>
    <w:rsid w:val="00FF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09CBF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716E1"/>
    <w:pPr>
      <w:keepNext/>
      <w:autoSpaceDE w:val="0"/>
      <w:autoSpaceDN w:val="0"/>
      <w:adjustRightInd w:val="0"/>
      <w:spacing w:after="0" w:line="240" w:lineRule="auto"/>
      <w:outlineLvl w:val="0"/>
    </w:pPr>
    <w:rPr>
      <w:rFonts w:ascii="Times New Roman" w:eastAsia="Times New Roman" w:hAnsi="Times New Roman" w:cs="Times New Roman"/>
      <w:b/>
      <w:bCs/>
      <w:kern w:val="32"/>
      <w:sz w:val="24"/>
      <w:szCs w:val="32"/>
    </w:rPr>
  </w:style>
  <w:style w:type="paragraph" w:styleId="Heading2">
    <w:name w:val="heading 2"/>
    <w:basedOn w:val="Normal"/>
    <w:next w:val="Normal"/>
    <w:link w:val="Heading2Char"/>
    <w:uiPriority w:val="9"/>
    <w:unhideWhenUsed/>
    <w:qFormat/>
    <w:rsid w:val="006452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69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716E1"/>
    <w:rPr>
      <w:rFonts w:ascii="Times New Roman" w:eastAsia="Times New Roman" w:hAnsi="Times New Roman" w:cs="Times New Roman"/>
      <w:b/>
      <w:bCs/>
      <w:kern w:val="32"/>
      <w:sz w:val="24"/>
      <w:szCs w:val="32"/>
    </w:rPr>
  </w:style>
  <w:style w:type="numbering" w:customStyle="1" w:styleId="NoList1">
    <w:name w:val="No List1"/>
    <w:next w:val="NoList"/>
    <w:uiPriority w:val="99"/>
    <w:semiHidden/>
    <w:unhideWhenUsed/>
    <w:rsid w:val="003716E1"/>
  </w:style>
  <w:style w:type="paragraph" w:styleId="FootnoteText">
    <w:name w:val="footnote text"/>
    <w:basedOn w:val="Normal"/>
    <w:link w:val="FootnoteTextChar"/>
    <w:semiHidden/>
    <w:rsid w:val="003716E1"/>
    <w:pPr>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3716E1"/>
    <w:rPr>
      <w:rFonts w:ascii="Arial" w:eastAsia="Times New Roman" w:hAnsi="Arial" w:cs="Times New Roman"/>
      <w:sz w:val="20"/>
      <w:szCs w:val="20"/>
    </w:rPr>
  </w:style>
  <w:style w:type="character" w:styleId="FootnoteReference">
    <w:name w:val="footnote reference"/>
    <w:semiHidden/>
    <w:rsid w:val="003716E1"/>
    <w:rPr>
      <w:vertAlign w:val="superscript"/>
    </w:rPr>
  </w:style>
  <w:style w:type="character" w:styleId="PageNumber">
    <w:name w:val="page number"/>
    <w:basedOn w:val="DefaultParagraphFont"/>
    <w:rsid w:val="003716E1"/>
  </w:style>
  <w:style w:type="paragraph" w:customStyle="1" w:styleId="Level1">
    <w:name w:val="Level 1"/>
    <w:rsid w:val="003716E1"/>
    <w:pPr>
      <w:autoSpaceDE w:val="0"/>
      <w:autoSpaceDN w:val="0"/>
      <w:adjustRightInd w:val="0"/>
      <w:spacing w:after="0" w:line="240" w:lineRule="auto"/>
      <w:ind w:left="720"/>
    </w:pPr>
    <w:rPr>
      <w:rFonts w:ascii="Arial" w:eastAsia="Times New Roman" w:hAnsi="Arial" w:cs="Times New Roman"/>
      <w:sz w:val="24"/>
      <w:szCs w:val="24"/>
    </w:rPr>
  </w:style>
  <w:style w:type="table" w:styleId="TableGrid">
    <w:name w:val="Table Grid"/>
    <w:basedOn w:val="TableNormal"/>
    <w:rsid w:val="003716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716E1"/>
    <w:rPr>
      <w:color w:val="000099"/>
      <w:u w:val="single"/>
    </w:rPr>
  </w:style>
  <w:style w:type="character" w:styleId="FollowedHyperlink">
    <w:name w:val="FollowedHyperlink"/>
    <w:rsid w:val="003716E1"/>
    <w:rPr>
      <w:color w:val="606420"/>
      <w:u w:val="single"/>
    </w:rPr>
  </w:style>
  <w:style w:type="paragraph" w:styleId="BodyText">
    <w:name w:val="Body Text"/>
    <w:basedOn w:val="Normal"/>
    <w:link w:val="BodyTextChar"/>
    <w:uiPriority w:val="99"/>
    <w:rsid w:val="003716E1"/>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Pr>
      <w:rFonts w:ascii="Times New Roman" w:eastAsia="Times New Roman" w:hAnsi="Times New Roman" w:cs="Times New Roman"/>
      <w:sz w:val="23"/>
      <w:szCs w:val="20"/>
    </w:rPr>
  </w:style>
  <w:style w:type="character" w:customStyle="1" w:styleId="BodyTextChar">
    <w:name w:val="Body Text Char"/>
    <w:basedOn w:val="DefaultParagraphFont"/>
    <w:link w:val="BodyText"/>
    <w:uiPriority w:val="99"/>
    <w:rsid w:val="003716E1"/>
    <w:rPr>
      <w:rFonts w:ascii="Times New Roman" w:eastAsia="Times New Roman" w:hAnsi="Times New Roman" w:cs="Times New Roman"/>
      <w:sz w:val="23"/>
      <w:szCs w:val="20"/>
    </w:rPr>
  </w:style>
  <w:style w:type="paragraph" w:styleId="BalloonText">
    <w:name w:val="Balloon Text"/>
    <w:basedOn w:val="Normal"/>
    <w:link w:val="BalloonTextChar"/>
    <w:uiPriority w:val="99"/>
    <w:semiHidden/>
    <w:rsid w:val="003716E1"/>
    <w:pPr>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716E1"/>
    <w:rPr>
      <w:rFonts w:ascii="Tahoma" w:eastAsia="Times New Roman" w:hAnsi="Tahoma" w:cs="Tahoma"/>
      <w:sz w:val="16"/>
      <w:szCs w:val="16"/>
    </w:rPr>
  </w:style>
  <w:style w:type="character" w:styleId="CommentReference">
    <w:name w:val="annotation reference"/>
    <w:uiPriority w:val="99"/>
    <w:semiHidden/>
    <w:rsid w:val="003716E1"/>
    <w:rPr>
      <w:sz w:val="16"/>
      <w:szCs w:val="16"/>
    </w:rPr>
  </w:style>
  <w:style w:type="paragraph" w:styleId="CommentText">
    <w:name w:val="annotation text"/>
    <w:basedOn w:val="Normal"/>
    <w:link w:val="CommentTextChar"/>
    <w:uiPriority w:val="99"/>
    <w:rsid w:val="003716E1"/>
    <w:pPr>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716E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3716E1"/>
    <w:rPr>
      <w:b/>
      <w:bCs/>
    </w:rPr>
  </w:style>
  <w:style w:type="character" w:customStyle="1" w:styleId="CommentSubjectChar">
    <w:name w:val="Comment Subject Char"/>
    <w:basedOn w:val="CommentTextChar"/>
    <w:link w:val="CommentSubject"/>
    <w:uiPriority w:val="99"/>
    <w:semiHidden/>
    <w:rsid w:val="003716E1"/>
    <w:rPr>
      <w:rFonts w:ascii="Arial" w:eastAsia="Times New Roman" w:hAnsi="Arial" w:cs="Times New Roman"/>
      <w:b/>
      <w:bCs/>
      <w:sz w:val="20"/>
      <w:szCs w:val="20"/>
    </w:rPr>
  </w:style>
  <w:style w:type="paragraph" w:styleId="Revision">
    <w:name w:val="Revision"/>
    <w:hidden/>
    <w:uiPriority w:val="99"/>
    <w:semiHidden/>
    <w:rsid w:val="003716E1"/>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3716E1"/>
    <w:pPr>
      <w:spacing w:after="0" w:line="240" w:lineRule="auto"/>
      <w:ind w:left="720"/>
      <w:contextualSpacing/>
    </w:pPr>
    <w:rPr>
      <w:rFonts w:ascii="Calibri" w:eastAsia="Calibri" w:hAnsi="Calibri" w:cs="Times New Roman"/>
    </w:rPr>
  </w:style>
  <w:style w:type="paragraph" w:styleId="BodyTextIndent">
    <w:name w:val="Body Text Indent"/>
    <w:basedOn w:val="Normal"/>
    <w:link w:val="BodyTextIndentChar"/>
    <w:rsid w:val="003716E1"/>
    <w:pPr>
      <w:autoSpaceDE w:val="0"/>
      <w:autoSpaceDN w:val="0"/>
      <w:adjustRightInd w:val="0"/>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3716E1"/>
    <w:rPr>
      <w:rFonts w:ascii="Arial" w:eastAsia="Times New Roman" w:hAnsi="Arial" w:cs="Times New Roman"/>
      <w:sz w:val="20"/>
      <w:szCs w:val="20"/>
    </w:rPr>
  </w:style>
  <w:style w:type="table" w:customStyle="1" w:styleId="TableGrid1">
    <w:name w:val="Table Grid1"/>
    <w:basedOn w:val="TableNormal"/>
    <w:next w:val="TableGrid"/>
    <w:uiPriority w:val="59"/>
    <w:rsid w:val="003716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716E1"/>
  </w:style>
  <w:style w:type="paragraph" w:customStyle="1" w:styleId="SL-FlLftSgl">
    <w:name w:val="SL-Fl Lft Sgl"/>
    <w:rsid w:val="003716E1"/>
    <w:pPr>
      <w:spacing w:after="0" w:line="240" w:lineRule="atLeast"/>
      <w:jc w:val="both"/>
    </w:pPr>
    <w:rPr>
      <w:rFonts w:ascii="Times New Roman" w:eastAsia="Times New Roman" w:hAnsi="Times New Roman" w:cs="Times New Roman"/>
      <w:szCs w:val="20"/>
    </w:rPr>
  </w:style>
  <w:style w:type="paragraph" w:customStyle="1" w:styleId="N8-QxQBlock">
    <w:name w:val="N8-QxQ Block"/>
    <w:rsid w:val="003716E1"/>
    <w:pPr>
      <w:tabs>
        <w:tab w:val="left" w:pos="1152"/>
      </w:tabs>
      <w:spacing w:after="360" w:line="360" w:lineRule="atLeast"/>
      <w:ind w:left="1152" w:hanging="1152"/>
      <w:jc w:val="both"/>
    </w:pPr>
    <w:rPr>
      <w:rFonts w:ascii="Times New Roman" w:eastAsia="Times New Roman" w:hAnsi="Times New Roman" w:cs="Times New Roman"/>
      <w:szCs w:val="20"/>
    </w:rPr>
  </w:style>
  <w:style w:type="table" w:customStyle="1" w:styleId="TableGrid2">
    <w:name w:val="Table Grid2"/>
    <w:basedOn w:val="TableNormal"/>
    <w:next w:val="TableGrid"/>
    <w:uiPriority w:val="59"/>
    <w:rsid w:val="003716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716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716E1"/>
    <w:pPr>
      <w:tabs>
        <w:tab w:val="left" w:pos="450"/>
        <w:tab w:val="right" w:leader="dot" w:pos="9350"/>
      </w:tabs>
      <w:spacing w:after="100" w:line="240" w:lineRule="auto"/>
    </w:pPr>
    <w:rPr>
      <w:rFonts w:ascii="Calibri" w:eastAsia="Calibri" w:hAnsi="Calibri" w:cs="Times New Roman"/>
      <w:b/>
      <w:noProof/>
    </w:rPr>
  </w:style>
  <w:style w:type="paragraph" w:styleId="TOCHeading">
    <w:name w:val="TOC Heading"/>
    <w:basedOn w:val="Heading1"/>
    <w:next w:val="Normal"/>
    <w:uiPriority w:val="39"/>
    <w:semiHidden/>
    <w:unhideWhenUsed/>
    <w:qFormat/>
    <w:rsid w:val="003716E1"/>
    <w:pPr>
      <w:keepLines/>
      <w:autoSpaceDE/>
      <w:autoSpaceDN/>
      <w:adjustRightInd/>
      <w:spacing w:before="480" w:line="276" w:lineRule="auto"/>
      <w:outlineLvl w:val="9"/>
    </w:pPr>
    <w:rPr>
      <w:rFonts w:ascii="Cambria" w:hAnsi="Cambria"/>
      <w:color w:val="365F91"/>
      <w:kern w:val="0"/>
      <w:sz w:val="28"/>
      <w:szCs w:val="28"/>
      <w:lang w:eastAsia="ja-JP"/>
    </w:rPr>
  </w:style>
  <w:style w:type="table" w:customStyle="1" w:styleId="TableGrid3">
    <w:name w:val="Table Grid3"/>
    <w:basedOn w:val="TableNormal"/>
    <w:next w:val="TableGrid"/>
    <w:uiPriority w:val="59"/>
    <w:rsid w:val="003716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52C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6452C2"/>
    <w:pPr>
      <w:spacing w:after="100"/>
      <w:ind w:left="220"/>
    </w:pPr>
  </w:style>
  <w:style w:type="character" w:customStyle="1" w:styleId="Heading3Char">
    <w:name w:val="Heading 3 Char"/>
    <w:basedOn w:val="DefaultParagraphFont"/>
    <w:link w:val="Heading3"/>
    <w:uiPriority w:val="9"/>
    <w:semiHidden/>
    <w:rsid w:val="000669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86400">
      <w:bodyDiv w:val="1"/>
      <w:marLeft w:val="0"/>
      <w:marRight w:val="0"/>
      <w:marTop w:val="0"/>
      <w:marBottom w:val="0"/>
      <w:divBdr>
        <w:top w:val="none" w:sz="0" w:space="0" w:color="auto"/>
        <w:left w:val="none" w:sz="0" w:space="0" w:color="auto"/>
        <w:bottom w:val="none" w:sz="0" w:space="0" w:color="auto"/>
        <w:right w:val="none" w:sz="0" w:space="0" w:color="auto"/>
      </w:divBdr>
    </w:div>
    <w:div w:id="1204443194">
      <w:bodyDiv w:val="1"/>
      <w:marLeft w:val="0"/>
      <w:marRight w:val="0"/>
      <w:marTop w:val="0"/>
      <w:marBottom w:val="0"/>
      <w:divBdr>
        <w:top w:val="none" w:sz="0" w:space="0" w:color="auto"/>
        <w:left w:val="none" w:sz="0" w:space="0" w:color="auto"/>
        <w:bottom w:val="none" w:sz="0" w:space="0" w:color="auto"/>
        <w:right w:val="none" w:sz="0" w:space="0" w:color="auto"/>
      </w:divBdr>
    </w:div>
    <w:div w:id="17234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Williams@cdc.gov" TargetMode="External"/><Relationship Id="rId13" Type="http://schemas.openxmlformats.org/officeDocument/2006/relationships/header" Target="header3.xml"/><Relationship Id="rId18" Type="http://schemas.openxmlformats.org/officeDocument/2006/relationships/hyperlink" Target="http://www.msh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ssga.org"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nssga.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msha.gov/"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4DAA-730E-4E71-B4A7-C1F460C4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7567</Words>
  <Characters>43132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2017-03-16T20:06:00Z</dcterms:created>
  <dcterms:modified xsi:type="dcterms:W3CDTF">2017-03-16T20:06:00Z</dcterms:modified>
</cp:coreProperties>
</file>