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641520">
        <w:rPr>
          <w:sz w:val="28"/>
        </w:rPr>
        <w:t xml:space="preserve"> (OMB Control Number: 092</w:t>
      </w:r>
      <w:r w:rsidR="00743D6B">
        <w:rPr>
          <w:sz w:val="28"/>
        </w:rPr>
        <w:t>0</w:t>
      </w:r>
      <w:r w:rsidR="00C36E4B">
        <w:rPr>
          <w:sz w:val="28"/>
        </w:rPr>
        <w:t>-</w:t>
      </w:r>
      <w:r w:rsidR="00EC48CE">
        <w:rPr>
          <w:sz w:val="28"/>
        </w:rPr>
        <w:t>1050</w:t>
      </w:r>
      <w:r>
        <w:rPr>
          <w:sz w:val="28"/>
        </w:rPr>
        <w:t>)</w:t>
      </w:r>
    </w:p>
    <w:p w:rsidR="00B46F2C" w:rsidRPr="009239AA" w:rsidRDefault="00B67C4F" w:rsidP="00641520">
      <w:pPr>
        <w:spacing w:before="24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F053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  <w:r w:rsidR="00F57E26">
        <w:t>Partner</w:t>
      </w:r>
      <w:r w:rsidR="005E28A3" w:rsidRPr="005E28A3">
        <w:t xml:space="preserve"> </w:t>
      </w:r>
      <w:r w:rsidR="00FB0E4F" w:rsidRPr="005E28A3">
        <w:t xml:space="preserve">Feedback </w:t>
      </w:r>
      <w:r w:rsidR="00FB0E4F">
        <w:t>Assessment Of</w:t>
      </w:r>
      <w:r w:rsidR="00FB0E4F" w:rsidRPr="005E28A3">
        <w:t xml:space="preserve"> </w:t>
      </w:r>
      <w:r w:rsidR="00FB0E4F">
        <w:t>Sexually Transmitted Disease (</w:t>
      </w:r>
      <w:r w:rsidR="005E28A3">
        <w:t>STD</w:t>
      </w:r>
      <w:r w:rsidR="00FB0E4F">
        <w:t xml:space="preserve">) Clinic Processes For Conducting And Documenting Routine </w:t>
      </w:r>
      <w:r w:rsidR="005E28A3">
        <w:t xml:space="preserve">HIV </w:t>
      </w:r>
      <w:r w:rsidR="00FB0E4F">
        <w:t>Testing</w:t>
      </w:r>
    </w:p>
    <w:p w:rsidR="00B46F2C" w:rsidRDefault="00B46F2C"/>
    <w:p w:rsidR="004F6B8B" w:rsidRDefault="00B46F2C">
      <w:r>
        <w:rPr>
          <w:b/>
        </w:rPr>
        <w:t>PURPOSE</w:t>
      </w:r>
      <w:r w:rsidRPr="009239AA">
        <w:rPr>
          <w:b/>
        </w:rPr>
        <w:t>:</w:t>
      </w:r>
      <w:r w:rsidR="004808C3">
        <w:t xml:space="preserve"> </w:t>
      </w:r>
      <w:r w:rsidR="007C022B">
        <w:t xml:space="preserve">To obtain feedback during </w:t>
      </w:r>
      <w:r w:rsidR="004F6B8B">
        <w:t xml:space="preserve">site visits </w:t>
      </w:r>
      <w:r w:rsidR="00D474F3">
        <w:t xml:space="preserve">by CDC staff </w:t>
      </w:r>
      <w:r w:rsidR="004F6B8B">
        <w:t xml:space="preserve">to STD clinics participating in the STD Surveillance Network (SSuN). Stakeholders consist of </w:t>
      </w:r>
      <w:r w:rsidR="004F6B8B" w:rsidRPr="004F6B8B">
        <w:t xml:space="preserve">clinic providers, clinic managers, and data mangers at </w:t>
      </w:r>
      <w:r w:rsidR="004F6B8B">
        <w:t xml:space="preserve">publicly-funded </w:t>
      </w:r>
      <w:r w:rsidR="004F6B8B" w:rsidRPr="004F6B8B">
        <w:t>STD clinics participating in SSuN, who are supported, in part, by the CDC STD SSuN Cy</w:t>
      </w:r>
      <w:r w:rsidR="00F14F37">
        <w:t xml:space="preserve">cle III Cooperative Agreement. </w:t>
      </w:r>
      <w:r w:rsidR="00AE4ED7">
        <w:t xml:space="preserve">This feedback </w:t>
      </w:r>
      <w:r w:rsidR="00AE4ED7" w:rsidRPr="005E28A3">
        <w:t xml:space="preserve">will </w:t>
      </w:r>
      <w:r w:rsidR="00AE4ED7" w:rsidRPr="00F14F37">
        <w:t xml:space="preserve">provide timely and useful information </w:t>
      </w:r>
      <w:r w:rsidR="00F14F37" w:rsidRPr="00F14F37">
        <w:t xml:space="preserve">which will allow CDC staff to better understand clinic processes and </w:t>
      </w:r>
      <w:r w:rsidR="00AE4ED7" w:rsidRPr="00F14F37">
        <w:t xml:space="preserve">may assist </w:t>
      </w:r>
      <w:r w:rsidR="00F14F37" w:rsidRPr="00F14F37">
        <w:t xml:space="preserve">CDC staff in supporting SSuN sites </w:t>
      </w:r>
      <w:r w:rsidR="00D86024">
        <w:t>and guide changes to CDC’s monitoring of program outcomes</w:t>
      </w:r>
      <w:r w:rsidR="00F14F37" w:rsidRPr="00F14F37">
        <w:t xml:space="preserve">. CDC staff will be able to suggest useful recommendations for providing HIV testing and documenting HIV testing and pre-exposure prophylaxis (PrEP) implementation in clinic data systems. </w:t>
      </w:r>
    </w:p>
    <w:p w:rsidR="004F6B8B" w:rsidRDefault="004F6B8B"/>
    <w:p w:rsidR="00210D9A" w:rsidRDefault="004F6B8B" w:rsidP="00210D9A">
      <w:r>
        <w:t xml:space="preserve">An interview guide </w:t>
      </w:r>
      <w:r w:rsidR="00952473">
        <w:t>was</w:t>
      </w:r>
      <w:r>
        <w:t xml:space="preserve"> developed and</w:t>
      </w:r>
      <w:r w:rsidR="00F16E79">
        <w:t xml:space="preserve"> will be</w:t>
      </w:r>
      <w:r>
        <w:t xml:space="preserve"> administered during in-person</w:t>
      </w:r>
      <w:r w:rsidR="004808C3">
        <w:t xml:space="preserve"> interviews with </w:t>
      </w:r>
      <w:r>
        <w:t xml:space="preserve">STD clinic staff. The interview guides for clinic providers and clinic and data managers consist of </w:t>
      </w:r>
      <w:r w:rsidR="00AE4ED7">
        <w:t xml:space="preserve">18-23 open-ended questions </w:t>
      </w:r>
      <w:r w:rsidR="00AE4ED7" w:rsidRPr="00AE4ED7">
        <w:rPr>
          <w:b/>
        </w:rPr>
        <w:t>(appendices 1 &amp; 2)</w:t>
      </w:r>
      <w:r w:rsidR="00AE4ED7">
        <w:t xml:space="preserve">. </w:t>
      </w:r>
      <w:r w:rsidR="00210D9A">
        <w:t>Clinic</w:t>
      </w:r>
      <w:r w:rsidR="00EF1B55">
        <w:t xml:space="preserve"> staff (i.e., providers, clinic/</w:t>
      </w:r>
      <w:r w:rsidR="00210D9A">
        <w:t xml:space="preserve">data managers) will be interviewed </w:t>
      </w:r>
      <w:r w:rsidR="00F16E79">
        <w:t xml:space="preserve">by CDC personnel </w:t>
      </w:r>
      <w:r w:rsidR="00210D9A">
        <w:t xml:space="preserve">regarding provider perceptions of clinic HIV testing protocols and practices for provision and documentation of HIV testing and documentation of </w:t>
      </w:r>
      <w:r w:rsidR="00210D9A" w:rsidRPr="005E28A3">
        <w:t xml:space="preserve">pre-exposure prophylaxis </w:t>
      </w:r>
      <w:r w:rsidR="00210D9A">
        <w:t>(</w:t>
      </w:r>
      <w:r w:rsidR="00210D9A" w:rsidRPr="005E28A3">
        <w:t>PrEP</w:t>
      </w:r>
      <w:r w:rsidR="00210D9A">
        <w:t>)</w:t>
      </w:r>
      <w:r w:rsidR="00210D9A" w:rsidRPr="005E28A3">
        <w:t xml:space="preserve"> implementation</w:t>
      </w:r>
      <w:r w:rsidR="00210D9A">
        <w:t>.</w:t>
      </w:r>
    </w:p>
    <w:p w:rsidR="003A7C9E" w:rsidRDefault="003A7C9E"/>
    <w:p w:rsidR="00F57E26" w:rsidRDefault="00F57E26">
      <w:r w:rsidRPr="00F57E26">
        <w:t xml:space="preserve">Data will be analyzed by CDC project officer and/or CDC project team members and discussed </w:t>
      </w:r>
      <w:r w:rsidR="00F16E79">
        <w:t>i</w:t>
      </w:r>
      <w:r w:rsidRPr="00F57E26">
        <w:t xml:space="preserve">nternally within </w:t>
      </w:r>
      <w:r w:rsidR="00AE4ED7">
        <w:t xml:space="preserve">the </w:t>
      </w:r>
      <w:r w:rsidR="00AE4ED7" w:rsidRPr="005E28A3">
        <w:t>Division of STD Prevention</w:t>
      </w:r>
      <w:r w:rsidR="00AE4ED7">
        <w:t xml:space="preserve"> (</w:t>
      </w:r>
      <w:r>
        <w:t>DSTDP</w:t>
      </w:r>
      <w:r w:rsidR="00AE4ED7">
        <w:t>)</w:t>
      </w:r>
      <w:r>
        <w:t xml:space="preserve"> and the SSuN</w:t>
      </w:r>
      <w:r w:rsidRPr="00F57E26">
        <w:t>.</w:t>
      </w:r>
    </w:p>
    <w:p w:rsidR="004808C3" w:rsidRDefault="004808C3"/>
    <w:p w:rsidR="00641520" w:rsidRDefault="00641520" w:rsidP="00434E33">
      <w:pPr>
        <w:pStyle w:val="Header"/>
        <w:tabs>
          <w:tab w:val="clear" w:pos="4320"/>
          <w:tab w:val="clear" w:pos="8640"/>
        </w:tabs>
      </w:pPr>
    </w:p>
    <w:p w:rsidR="00AE4ED7" w:rsidRDefault="00B46F2C" w:rsidP="00F57E26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 w:rsidR="00AE4ED7">
        <w:t xml:space="preserve">: </w:t>
      </w:r>
      <w:r w:rsidR="00AE4ED7" w:rsidRPr="004808C3">
        <w:t xml:space="preserve">DSTDP administers the STD </w:t>
      </w:r>
      <w:r w:rsidR="00AE4ED7">
        <w:t>SSuN</w:t>
      </w:r>
      <w:r w:rsidR="00AE4ED7" w:rsidRPr="004808C3">
        <w:t xml:space="preserve"> Cycle III cooperative agreement </w:t>
      </w:r>
      <w:r w:rsidR="00AE4ED7">
        <w:t xml:space="preserve">which </w:t>
      </w:r>
      <w:r w:rsidR="00210D9A" w:rsidRPr="004808C3">
        <w:t>funds a network of 29 publicly-funded sentinel STD clinics</w:t>
      </w:r>
      <w:r w:rsidR="00210D9A">
        <w:t xml:space="preserve"> that </w:t>
      </w:r>
      <w:r w:rsidR="00C83D71">
        <w:t xml:space="preserve">are </w:t>
      </w:r>
      <w:r w:rsidR="00210D9A">
        <w:t xml:space="preserve">affiliated with </w:t>
      </w:r>
      <w:r w:rsidR="00AE4ED7">
        <w:t xml:space="preserve">state and city health departments </w:t>
      </w:r>
      <w:r w:rsidR="00210D9A" w:rsidRPr="004808C3">
        <w:t>in 10 jurisdictions across the United States</w:t>
      </w:r>
      <w:r w:rsidR="00AE4ED7" w:rsidRPr="004808C3">
        <w:t>.</w:t>
      </w:r>
    </w:p>
    <w:p w:rsidR="00AE4ED7" w:rsidRDefault="00AE4ED7" w:rsidP="00F57E26">
      <w:pPr>
        <w:pStyle w:val="Header"/>
        <w:tabs>
          <w:tab w:val="clear" w:pos="4320"/>
          <w:tab w:val="clear" w:pos="8640"/>
        </w:tabs>
      </w:pPr>
    </w:p>
    <w:p w:rsidR="007C022B" w:rsidRDefault="007C022B" w:rsidP="00F57E26">
      <w:pPr>
        <w:pStyle w:val="Header"/>
        <w:tabs>
          <w:tab w:val="clear" w:pos="4320"/>
          <w:tab w:val="clear" w:pos="8640"/>
        </w:tabs>
      </w:pPr>
      <w:r>
        <w:t>CDC will conduct the partner feedback in</w:t>
      </w:r>
      <w:r w:rsidR="00EF1B55">
        <w:t xml:space="preserve">terviews with clinic providers and </w:t>
      </w:r>
      <w:r>
        <w:t>clinic</w:t>
      </w:r>
      <w:r w:rsidR="00EF1B55">
        <w:t>/data</w:t>
      </w:r>
      <w:r>
        <w:t xml:space="preserve"> managers at STD clinics participating in SSuN, who are supported, in part, by the CDC STD SSuN Cycle III Cooperative A</w:t>
      </w:r>
      <w:r w:rsidRPr="007C022B">
        <w:t>greement</w:t>
      </w:r>
      <w:r>
        <w:t xml:space="preserve">. </w:t>
      </w:r>
      <w:r w:rsidR="00210D9A">
        <w:t>However, DSTDP staff will only conduct the interviews</w:t>
      </w:r>
      <w:r w:rsidRPr="007C022B">
        <w:t xml:space="preserve"> </w:t>
      </w:r>
      <w:r w:rsidR="004F6B8B" w:rsidRPr="004F6B8B">
        <w:t xml:space="preserve">at a selection of </w:t>
      </w:r>
      <w:r w:rsidR="00210D9A">
        <w:t xml:space="preserve">approximately </w:t>
      </w:r>
      <w:r w:rsidR="004F6B8B" w:rsidRPr="004F6B8B">
        <w:t>five STD clinics participating in SSuN</w:t>
      </w:r>
      <w:r w:rsidR="00210D9A">
        <w:t xml:space="preserve"> per year</w:t>
      </w:r>
      <w:r w:rsidR="004F6B8B" w:rsidRPr="004F6B8B">
        <w:t>.</w:t>
      </w:r>
      <w:r w:rsidR="00210D9A">
        <w:t xml:space="preserve"> Therefore, annual burden calculations are based on 25 respondents completing the interviews (approximately 5 respondents per site</w:t>
      </w:r>
      <w:r w:rsidR="00EF1B55">
        <w:t>; 3 providers, 2 clinic/</w:t>
      </w:r>
      <w:r w:rsidR="006F752C">
        <w:t>data managers</w:t>
      </w:r>
      <w:r w:rsidR="00210D9A">
        <w:t>).</w:t>
      </w:r>
      <w:r w:rsidR="004F6B8B" w:rsidRPr="004F6B8B">
        <w:t xml:space="preserve"> </w:t>
      </w:r>
    </w:p>
    <w:p w:rsidR="007C022B" w:rsidRDefault="007C022B" w:rsidP="00F57E26">
      <w:pPr>
        <w:pStyle w:val="Header"/>
        <w:tabs>
          <w:tab w:val="clear" w:pos="4320"/>
          <w:tab w:val="clear" w:pos="8640"/>
        </w:tabs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 w:rsidR="00F52885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C5915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4F3946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="004F3946">
        <w:rPr>
          <w:bCs/>
          <w:sz w:val="24"/>
          <w:u w:val="single"/>
        </w:rPr>
        <w:t xml:space="preserve"> Interviews</w:t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>
        <w:t>Name:</w:t>
      </w:r>
      <w:r w:rsidR="004169A5">
        <w:t xml:space="preserve"> </w:t>
      </w:r>
      <w:r w:rsidR="004F3946" w:rsidRPr="004F3946">
        <w:rPr>
          <w:u w:val="single"/>
        </w:rPr>
        <w:t xml:space="preserve">Brandy </w:t>
      </w:r>
      <w:r w:rsidR="004F3946">
        <w:rPr>
          <w:u w:val="single"/>
        </w:rPr>
        <w:t>L</w:t>
      </w:r>
      <w:r w:rsidR="004F3946" w:rsidRPr="00F16E79">
        <w:rPr>
          <w:u w:val="single"/>
        </w:rPr>
        <w:t xml:space="preserve">. Maddox </w:t>
      </w:r>
      <w:r w:rsidR="00C870C7" w:rsidRPr="00F16E79">
        <w:rPr>
          <w:u w:val="single"/>
        </w:rPr>
        <w:t>userID</w:t>
      </w:r>
      <w:r w:rsidR="004169A5" w:rsidRPr="00F16E79">
        <w:rPr>
          <w:u w:val="single"/>
        </w:rPr>
        <w:t>:</w:t>
      </w:r>
      <w:r w:rsidR="004F3946" w:rsidRPr="00F16E79">
        <w:rPr>
          <w:u w:val="single"/>
        </w:rPr>
        <w:t xml:space="preserve"> FTN6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</w:t>
      </w:r>
      <w:r w:rsidR="006C5915">
        <w:t xml:space="preserve">information (PII) collected?  [ </w:t>
      </w:r>
      <w:r>
        <w:t xml:space="preserve"> ] Yes  [</w:t>
      </w:r>
      <w:r w:rsidR="004F3946">
        <w:t>X</w:t>
      </w:r>
      <w:r>
        <w:t xml:space="preserve">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DC4B29" w:rsidRDefault="00DC4B29" w:rsidP="00C86E91">
      <w:pPr>
        <w:pStyle w:val="ListParagraph"/>
        <w:ind w:left="0"/>
        <w:rPr>
          <w:b/>
        </w:rPr>
      </w:pP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t>Is an incentive (e.g., money or reimbursement of expenses, token of appreciation) provid</w:t>
      </w:r>
      <w:r w:rsidR="004F3946">
        <w:t>ed to participants?  [  ] Yes [X</w:t>
      </w:r>
      <w:r>
        <w:t xml:space="preserve"> ] No  </w:t>
      </w: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5"/>
        <w:gridCol w:w="1620"/>
        <w:gridCol w:w="1620"/>
        <w:gridCol w:w="1260"/>
      </w:tblGrid>
      <w:tr w:rsidR="00B46F2C" w:rsidTr="00C83D71">
        <w:trPr>
          <w:trHeight w:val="274"/>
        </w:trPr>
        <w:tc>
          <w:tcPr>
            <w:tcW w:w="5215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62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  <w:r w:rsidR="00C83D71">
              <w:rPr>
                <w:b/>
              </w:rPr>
              <w:t xml:space="preserve"> (Hours)</w:t>
            </w:r>
          </w:p>
        </w:tc>
        <w:tc>
          <w:tcPr>
            <w:tcW w:w="126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  <w:r w:rsidR="00C83D71">
              <w:rPr>
                <w:b/>
              </w:rPr>
              <w:t xml:space="preserve"> (Hours)</w:t>
            </w:r>
          </w:p>
        </w:tc>
      </w:tr>
      <w:tr w:rsidR="00B46F2C" w:rsidTr="00C83D71">
        <w:trPr>
          <w:trHeight w:val="274"/>
        </w:trPr>
        <w:tc>
          <w:tcPr>
            <w:tcW w:w="5215" w:type="dxa"/>
          </w:tcPr>
          <w:p w:rsidR="00B46F2C" w:rsidRDefault="004169A5" w:rsidP="004169A5">
            <w:r>
              <w:t>SSuN STD Clinics</w:t>
            </w:r>
            <w:r w:rsidR="00932ACB">
              <w:t>-Provider</w:t>
            </w:r>
          </w:p>
        </w:tc>
        <w:tc>
          <w:tcPr>
            <w:tcW w:w="1620" w:type="dxa"/>
          </w:tcPr>
          <w:p w:rsidR="00B46F2C" w:rsidRDefault="00932ACB" w:rsidP="004169A5">
            <w:r>
              <w:t>1</w:t>
            </w:r>
            <w:r w:rsidR="004169A5">
              <w:t>5</w:t>
            </w:r>
          </w:p>
        </w:tc>
        <w:tc>
          <w:tcPr>
            <w:tcW w:w="1620" w:type="dxa"/>
          </w:tcPr>
          <w:p w:rsidR="00B46F2C" w:rsidRDefault="00C5179F" w:rsidP="004169A5">
            <w:r>
              <w:t xml:space="preserve">1 </w:t>
            </w:r>
          </w:p>
        </w:tc>
        <w:tc>
          <w:tcPr>
            <w:tcW w:w="1260" w:type="dxa"/>
          </w:tcPr>
          <w:p w:rsidR="00B46F2C" w:rsidRDefault="00932ACB" w:rsidP="004169A5">
            <w:r>
              <w:t>1</w:t>
            </w:r>
            <w:r w:rsidR="004169A5">
              <w:t>5</w:t>
            </w:r>
          </w:p>
        </w:tc>
      </w:tr>
      <w:tr w:rsidR="00B46F2C" w:rsidTr="00C83D71">
        <w:trPr>
          <w:trHeight w:val="274"/>
        </w:trPr>
        <w:tc>
          <w:tcPr>
            <w:tcW w:w="5215" w:type="dxa"/>
          </w:tcPr>
          <w:p w:rsidR="00B46F2C" w:rsidRDefault="00932ACB" w:rsidP="00843796">
            <w:r>
              <w:t>SSuN STD Clinics-Manager</w:t>
            </w:r>
          </w:p>
        </w:tc>
        <w:tc>
          <w:tcPr>
            <w:tcW w:w="1620" w:type="dxa"/>
          </w:tcPr>
          <w:p w:rsidR="00B46F2C" w:rsidRDefault="00932ACB" w:rsidP="00843796">
            <w:r>
              <w:t>10</w:t>
            </w:r>
          </w:p>
        </w:tc>
        <w:tc>
          <w:tcPr>
            <w:tcW w:w="1620" w:type="dxa"/>
          </w:tcPr>
          <w:p w:rsidR="00B46F2C" w:rsidRDefault="00932ACB" w:rsidP="00843796">
            <w:r>
              <w:t>1</w:t>
            </w:r>
          </w:p>
        </w:tc>
        <w:tc>
          <w:tcPr>
            <w:tcW w:w="1260" w:type="dxa"/>
          </w:tcPr>
          <w:p w:rsidR="00B46F2C" w:rsidRDefault="00932ACB" w:rsidP="00843796">
            <w:r>
              <w:t>10</w:t>
            </w:r>
          </w:p>
        </w:tc>
      </w:tr>
      <w:tr w:rsidR="00B46F2C" w:rsidTr="00C83D71">
        <w:trPr>
          <w:trHeight w:val="289"/>
        </w:trPr>
        <w:tc>
          <w:tcPr>
            <w:tcW w:w="5215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620" w:type="dxa"/>
          </w:tcPr>
          <w:p w:rsidR="00B46F2C" w:rsidRPr="00512CA7" w:rsidRDefault="004169A5" w:rsidP="00843796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620" w:type="dxa"/>
          </w:tcPr>
          <w:p w:rsidR="00B46F2C" w:rsidRDefault="004169A5" w:rsidP="00843796">
            <w:r>
              <w:t>1</w:t>
            </w:r>
          </w:p>
        </w:tc>
        <w:tc>
          <w:tcPr>
            <w:tcW w:w="1260" w:type="dxa"/>
          </w:tcPr>
          <w:p w:rsidR="00B46F2C" w:rsidRPr="00512CA7" w:rsidRDefault="004169A5" w:rsidP="00843796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 w:rsidR="00B46F2C" w:rsidRDefault="00B46F2C" w:rsidP="00F3170F"/>
    <w:p w:rsidR="00B46F2C" w:rsidRDefault="00B46F2C" w:rsidP="00F3170F"/>
    <w:p w:rsidR="00B46F2C" w:rsidRDefault="00B46F2C">
      <w:r>
        <w:rPr>
          <w:b/>
        </w:rPr>
        <w:t xml:space="preserve">FEDERAL COST:  </w:t>
      </w:r>
      <w:r>
        <w:t>The estimated annual co</w:t>
      </w:r>
      <w:r w:rsidR="004169A5">
        <w:t xml:space="preserve">st to the Federal government is: </w:t>
      </w:r>
      <w:r w:rsidR="004169A5" w:rsidRPr="00EE523B">
        <w:rPr>
          <w:b/>
          <w:u w:val="single"/>
        </w:rPr>
        <w:t>$</w:t>
      </w:r>
      <w:r w:rsidR="00EE523B" w:rsidRPr="00EE523B">
        <w:rPr>
          <w:b/>
          <w:u w:val="single"/>
        </w:rPr>
        <w:t>35,269.44</w:t>
      </w:r>
      <w:r w:rsidR="00EE523B">
        <w:rPr>
          <w:b/>
          <w:u w:val="single"/>
        </w:rPr>
        <w:t>.</w:t>
      </w:r>
    </w:p>
    <w:p w:rsidR="004169A5" w:rsidRDefault="004169A5">
      <w:r>
        <w:t xml:space="preserve">This estimate is based on the number of hours for instrument development, OMB package preparation, data collection, data coding and entry, data analysis, </w:t>
      </w:r>
      <w:r w:rsidR="00EE523B">
        <w:t xml:space="preserve">and </w:t>
      </w:r>
      <w:r>
        <w:t xml:space="preserve">report preparation </w:t>
      </w:r>
      <w:r w:rsidR="00EE523B">
        <w:t>by two</w:t>
      </w:r>
      <w:r>
        <w:t xml:space="preserve"> Health Scientist</w:t>
      </w:r>
      <w:r w:rsidR="00EE523B">
        <w:t>s</w:t>
      </w:r>
      <w:r>
        <w:t xml:space="preserve"> (GS 13</w:t>
      </w:r>
      <w:r w:rsidR="00EE523B">
        <w:t>; GS 14</w:t>
      </w:r>
      <w:r>
        <w:t>)</w:t>
      </w:r>
      <w:r w:rsidR="00EE523B">
        <w:t>.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 </w:t>
      </w:r>
      <w:r w:rsidR="004F3946">
        <w:t>X</w:t>
      </w:r>
      <w:r>
        <w:t>] Yes</w:t>
      </w:r>
      <w:r>
        <w:tab/>
        <w:t>[ ] No</w:t>
      </w:r>
    </w:p>
    <w:p w:rsidR="00B46F2C" w:rsidRDefault="00B46F2C" w:rsidP="00636621">
      <w:pPr>
        <w:pStyle w:val="ListParagraph"/>
      </w:pPr>
    </w:p>
    <w:p w:rsidR="00B46F2C" w:rsidRDefault="00B46F2C" w:rsidP="001B0AAA">
      <w:r w:rsidRPr="00636621">
        <w:lastRenderedPageBreak/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42369B" w:rsidRDefault="0042369B" w:rsidP="0042369B"/>
    <w:p w:rsidR="0042369B" w:rsidRDefault="0042369B" w:rsidP="0042369B"/>
    <w:p w:rsidR="00EE523B" w:rsidRDefault="00EE523B" w:rsidP="0042369B">
      <w:r w:rsidRPr="00EE523B">
        <w:t xml:space="preserve">The respondent universe includes all </w:t>
      </w:r>
      <w:r>
        <w:t>29</w:t>
      </w:r>
      <w:r w:rsidRPr="00EE523B">
        <w:t xml:space="preserve"> publicly-funded sentinel STD clinics that </w:t>
      </w:r>
      <w:r w:rsidR="00C83D71">
        <w:t xml:space="preserve">are </w:t>
      </w:r>
      <w:bookmarkStart w:id="0" w:name="_GoBack"/>
      <w:bookmarkEnd w:id="0"/>
      <w:r w:rsidRPr="00EE523B">
        <w:t>affiliated with state and city health departments in 10 jurisdi</w:t>
      </w:r>
      <w:r>
        <w:t xml:space="preserve">ctions across the United States </w:t>
      </w:r>
      <w:r w:rsidRPr="00EE523B">
        <w:t xml:space="preserve">who are supported, in part, by the CDC STD SSuN </w:t>
      </w:r>
      <w:r>
        <w:t>Cycle III Cooperative Agreement</w:t>
      </w:r>
      <w:r w:rsidRPr="00EE523B">
        <w:t xml:space="preserve">.  </w:t>
      </w:r>
    </w:p>
    <w:p w:rsidR="00EE523B" w:rsidRDefault="00EE523B" w:rsidP="0042369B"/>
    <w:p w:rsidR="00B46F2C" w:rsidRDefault="00EE523B" w:rsidP="0042369B">
      <w:r>
        <w:t>DSTDP staff will conduct p</w:t>
      </w:r>
      <w:r w:rsidR="004F3946">
        <w:t>urposive sampling of relevant staff</w:t>
      </w:r>
      <w:r>
        <w:t xml:space="preserve"> (i.e., clinic providers, clinic and data managers)</w:t>
      </w:r>
      <w:r w:rsidR="004F3946">
        <w:t xml:space="preserve">, in consultation with </w:t>
      </w:r>
      <w:r>
        <w:t>5</w:t>
      </w:r>
      <w:r w:rsidR="004F3946">
        <w:t xml:space="preserve"> participating STD clinics</w:t>
      </w:r>
      <w:r>
        <w:t xml:space="preserve"> annually. DSTDP staff</w:t>
      </w:r>
      <w:r w:rsidR="004F3946">
        <w:t xml:space="preserve"> will obtain a </w:t>
      </w:r>
      <w:r>
        <w:t xml:space="preserve">clinic </w:t>
      </w:r>
      <w:r w:rsidR="004F3946">
        <w:t>staff lis</w:t>
      </w:r>
      <w:r>
        <w:t xml:space="preserve">t with roles/titles and invite selected </w:t>
      </w:r>
      <w:r w:rsidR="004F3946">
        <w:t>staff</w:t>
      </w:r>
      <w:r w:rsidRPr="00EE523B">
        <w:t xml:space="preserve"> </w:t>
      </w:r>
      <w:r>
        <w:t>for interview</w:t>
      </w:r>
      <w:r w:rsidR="004F3946">
        <w:t xml:space="preserve">, based on availability during the </w:t>
      </w:r>
      <w:r>
        <w:t xml:space="preserve">CDC </w:t>
      </w:r>
      <w:r w:rsidR="004F3946">
        <w:t xml:space="preserve">site visit to conduct interviews. </w:t>
      </w:r>
    </w:p>
    <w:p w:rsidR="00B46F2C" w:rsidRDefault="00B46F2C" w:rsidP="00A403BB"/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 xml:space="preserve">[  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4F3946" w:rsidP="001B0AAA">
      <w:pPr>
        <w:ind w:left="720"/>
      </w:pPr>
      <w:r>
        <w:t>[X</w:t>
      </w:r>
      <w:r w:rsidR="00B46F2C">
        <w:t>] In-person</w:t>
      </w:r>
      <w:r w:rsidR="00B46F2C"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r w:rsidR="004F3946">
        <w:t>X</w:t>
      </w:r>
      <w:r>
        <w:t xml:space="preserve"> ] Yes [  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Pr="00952473" w:rsidRDefault="00B46F2C" w:rsidP="00952473">
      <w:pPr>
        <w:rPr>
          <w:b/>
          <w:bCs/>
          <w:sz w:val="28"/>
        </w:rPr>
      </w:pPr>
    </w:p>
    <w:sectPr w:rsidR="00B46F2C" w:rsidRPr="00952473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82B" w:rsidRDefault="001C582B">
      <w:r>
        <w:separator/>
      </w:r>
    </w:p>
  </w:endnote>
  <w:endnote w:type="continuationSeparator" w:id="0">
    <w:p w:rsidR="001C582B" w:rsidRDefault="001C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F2C" w:rsidRDefault="00077CD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83D7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82B" w:rsidRDefault="001C582B">
      <w:r>
        <w:separator/>
      </w:r>
    </w:p>
  </w:footnote>
  <w:footnote w:type="continuationSeparator" w:id="0">
    <w:p w:rsidR="001C582B" w:rsidRDefault="001C5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F2C" w:rsidRDefault="00B46F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3C53"/>
    <w:rsid w:val="00067329"/>
    <w:rsid w:val="00077CD0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C582B"/>
    <w:rsid w:val="00210596"/>
    <w:rsid w:val="00210D9A"/>
    <w:rsid w:val="00237B48"/>
    <w:rsid w:val="0024521E"/>
    <w:rsid w:val="00263C3D"/>
    <w:rsid w:val="00274D0B"/>
    <w:rsid w:val="002821FF"/>
    <w:rsid w:val="002B3C95"/>
    <w:rsid w:val="002D0B92"/>
    <w:rsid w:val="00327DCF"/>
    <w:rsid w:val="003675DB"/>
    <w:rsid w:val="003A649E"/>
    <w:rsid w:val="003A7C9E"/>
    <w:rsid w:val="003D5BBE"/>
    <w:rsid w:val="003E0F23"/>
    <w:rsid w:val="003E3C61"/>
    <w:rsid w:val="003F1C5B"/>
    <w:rsid w:val="003F73DD"/>
    <w:rsid w:val="0041337D"/>
    <w:rsid w:val="004169A5"/>
    <w:rsid w:val="0042369B"/>
    <w:rsid w:val="00434E33"/>
    <w:rsid w:val="00441434"/>
    <w:rsid w:val="0045264C"/>
    <w:rsid w:val="00472225"/>
    <w:rsid w:val="00480767"/>
    <w:rsid w:val="004808C3"/>
    <w:rsid w:val="004876EC"/>
    <w:rsid w:val="004C4D31"/>
    <w:rsid w:val="004D6E14"/>
    <w:rsid w:val="004F3946"/>
    <w:rsid w:val="004F6B8B"/>
    <w:rsid w:val="005009B0"/>
    <w:rsid w:val="00512CA7"/>
    <w:rsid w:val="005A1006"/>
    <w:rsid w:val="005E28A3"/>
    <w:rsid w:val="005E714A"/>
    <w:rsid w:val="006140A0"/>
    <w:rsid w:val="00636621"/>
    <w:rsid w:val="00641520"/>
    <w:rsid w:val="00642B49"/>
    <w:rsid w:val="006832D9"/>
    <w:rsid w:val="00685039"/>
    <w:rsid w:val="0069403B"/>
    <w:rsid w:val="006C5915"/>
    <w:rsid w:val="006D3818"/>
    <w:rsid w:val="006F3DDE"/>
    <w:rsid w:val="006F752C"/>
    <w:rsid w:val="00704678"/>
    <w:rsid w:val="007425E7"/>
    <w:rsid w:val="00743549"/>
    <w:rsid w:val="00743D6B"/>
    <w:rsid w:val="007C022B"/>
    <w:rsid w:val="00802607"/>
    <w:rsid w:val="008101A5"/>
    <w:rsid w:val="00822664"/>
    <w:rsid w:val="00843796"/>
    <w:rsid w:val="00895229"/>
    <w:rsid w:val="008F0203"/>
    <w:rsid w:val="008F50D4"/>
    <w:rsid w:val="009239AA"/>
    <w:rsid w:val="00932ACB"/>
    <w:rsid w:val="00935ADA"/>
    <w:rsid w:val="00946B6C"/>
    <w:rsid w:val="00952473"/>
    <w:rsid w:val="00955A71"/>
    <w:rsid w:val="0096108F"/>
    <w:rsid w:val="009A0BC3"/>
    <w:rsid w:val="009C13B9"/>
    <w:rsid w:val="009D01A2"/>
    <w:rsid w:val="009F5923"/>
    <w:rsid w:val="00A403BB"/>
    <w:rsid w:val="00A674DF"/>
    <w:rsid w:val="00A83AA6"/>
    <w:rsid w:val="00AE1809"/>
    <w:rsid w:val="00AE4ED7"/>
    <w:rsid w:val="00B2174F"/>
    <w:rsid w:val="00B46F2C"/>
    <w:rsid w:val="00B67C4F"/>
    <w:rsid w:val="00B80D76"/>
    <w:rsid w:val="00BA2105"/>
    <w:rsid w:val="00BA7E06"/>
    <w:rsid w:val="00BB43B5"/>
    <w:rsid w:val="00BB6219"/>
    <w:rsid w:val="00BD290F"/>
    <w:rsid w:val="00C14CC4"/>
    <w:rsid w:val="00C33C52"/>
    <w:rsid w:val="00C36E4B"/>
    <w:rsid w:val="00C40D8B"/>
    <w:rsid w:val="00C5179F"/>
    <w:rsid w:val="00C83D71"/>
    <w:rsid w:val="00C8407A"/>
    <w:rsid w:val="00C8488C"/>
    <w:rsid w:val="00C86E91"/>
    <w:rsid w:val="00C870C7"/>
    <w:rsid w:val="00CA2650"/>
    <w:rsid w:val="00CB1078"/>
    <w:rsid w:val="00CC6FAF"/>
    <w:rsid w:val="00D24698"/>
    <w:rsid w:val="00D474F3"/>
    <w:rsid w:val="00D54891"/>
    <w:rsid w:val="00D6383F"/>
    <w:rsid w:val="00D71221"/>
    <w:rsid w:val="00D86024"/>
    <w:rsid w:val="00DB59D0"/>
    <w:rsid w:val="00DC33D3"/>
    <w:rsid w:val="00DC4B29"/>
    <w:rsid w:val="00DD58F4"/>
    <w:rsid w:val="00DE5817"/>
    <w:rsid w:val="00E26329"/>
    <w:rsid w:val="00E40B50"/>
    <w:rsid w:val="00E50293"/>
    <w:rsid w:val="00E65FFC"/>
    <w:rsid w:val="00E80951"/>
    <w:rsid w:val="00E854FE"/>
    <w:rsid w:val="00E86CC6"/>
    <w:rsid w:val="00EB56B3"/>
    <w:rsid w:val="00EC48CE"/>
    <w:rsid w:val="00ED6492"/>
    <w:rsid w:val="00EE523B"/>
    <w:rsid w:val="00EF1B55"/>
    <w:rsid w:val="00EF2095"/>
    <w:rsid w:val="00F06866"/>
    <w:rsid w:val="00F14F37"/>
    <w:rsid w:val="00F15956"/>
    <w:rsid w:val="00F16E79"/>
    <w:rsid w:val="00F24CFC"/>
    <w:rsid w:val="00F3170F"/>
    <w:rsid w:val="00F4017B"/>
    <w:rsid w:val="00F52885"/>
    <w:rsid w:val="00F57E26"/>
    <w:rsid w:val="00F976B0"/>
    <w:rsid w:val="00FA6DE7"/>
    <w:rsid w:val="00FB0E4F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84B86E7"/>
  <w15:docId w15:val="{81582218-E102-4CAD-B11E-990C24E8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933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Zirger, Jeffrey (CDC/OD/OADS)</cp:lastModifiedBy>
  <cp:revision>4</cp:revision>
  <cp:lastPrinted>2010-10-04T16:59:00Z</cp:lastPrinted>
  <dcterms:created xsi:type="dcterms:W3CDTF">2017-06-15T16:13:00Z</dcterms:created>
  <dcterms:modified xsi:type="dcterms:W3CDTF">2017-06-15T19:50:00Z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