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43D4D" w14:textId="2E63B02D" w:rsidR="00463BC5" w:rsidRPr="00C80D88" w:rsidRDefault="0075229E" w:rsidP="004D0B93">
      <w:pPr>
        <w:tabs>
          <w:tab w:val="left" w:pos="1080"/>
        </w:tabs>
        <w:spacing w:after="0"/>
        <w:rPr>
          <w:rFonts w:ascii="Franklin Gothic Book" w:hAnsi="Franklin Gothic Book"/>
          <w:b/>
          <w:bCs/>
          <w:sz w:val="32"/>
          <w:szCs w:val="32"/>
        </w:rPr>
      </w:pPr>
      <w:r w:rsidRPr="0075229E">
        <w:rPr>
          <w:rFonts w:ascii="Franklin Gothic Book" w:hAnsi="Franklin Gothic Book"/>
          <w:b/>
          <w:bCs/>
          <w:sz w:val="32"/>
          <w:szCs w:val="32"/>
        </w:rPr>
        <w:t>Guidelines for Grants to States P</w:t>
      </w:r>
      <w:bookmarkStart w:id="0" w:name="_GoBack"/>
      <w:bookmarkEnd w:id="0"/>
      <w:r w:rsidRPr="0075229E">
        <w:rPr>
          <w:rFonts w:ascii="Franklin Gothic Book" w:hAnsi="Franklin Gothic Book"/>
          <w:b/>
          <w:bCs/>
          <w:sz w:val="32"/>
          <w:szCs w:val="32"/>
        </w:rPr>
        <w:t>rogram Five-Year Evaluations</w:t>
      </w:r>
    </w:p>
    <w:p w14:paraId="3C706028" w14:textId="77777777" w:rsidR="00F73E94" w:rsidRPr="00C80D88" w:rsidRDefault="00F73E94" w:rsidP="00B940D2">
      <w:pPr>
        <w:tabs>
          <w:tab w:val="left" w:pos="1080"/>
        </w:tabs>
        <w:spacing w:after="0"/>
        <w:rPr>
          <w:rFonts w:ascii="Franklin Gothic Book" w:hAnsi="Franklin Gothic Book"/>
          <w:b/>
          <w:sz w:val="28"/>
          <w:szCs w:val="28"/>
        </w:rPr>
      </w:pPr>
    </w:p>
    <w:p w14:paraId="3E25A650" w14:textId="77777777" w:rsidR="00463BC5" w:rsidRPr="00C80D88" w:rsidRDefault="00463BC5"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14:paraId="456A255A" w14:textId="77777777" w:rsidR="00463BC5" w:rsidRPr="00093DFE" w:rsidRDefault="00463BC5" w:rsidP="00B940D2">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44"/>
        <w:gridCol w:w="8006"/>
      </w:tblGrid>
      <w:tr w:rsidR="00463BC5" w:rsidRPr="00C80D88" w14:paraId="70434D53" w14:textId="77777777" w:rsidTr="00463BC5">
        <w:trPr>
          <w:trHeight w:val="720"/>
        </w:trPr>
        <w:tc>
          <w:tcPr>
            <w:tcW w:w="1368" w:type="dxa"/>
            <w:shd w:val="clear" w:color="auto" w:fill="34715B"/>
            <w:vAlign w:val="center"/>
          </w:tcPr>
          <w:p w14:paraId="1427C2D1" w14:textId="77777777" w:rsidR="00463BC5" w:rsidRPr="00C80D88" w:rsidRDefault="00463BC5" w:rsidP="004B2A9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14:paraId="54698C97" w14:textId="77777777" w:rsidR="00463BC5" w:rsidRPr="00C80D88" w:rsidRDefault="00463BC5" w:rsidP="00B940D2">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14:paraId="60FA6C80" w14:textId="77777777" w:rsidR="00D55958" w:rsidRPr="00C80D88" w:rsidRDefault="00D55958" w:rsidP="00B940D2">
      <w:pPr>
        <w:tabs>
          <w:tab w:val="left" w:pos="1080"/>
        </w:tabs>
        <w:spacing w:after="0"/>
        <w:rPr>
          <w:rFonts w:ascii="Times New Roman" w:hAnsi="Times New Roman"/>
          <w:b/>
          <w:sz w:val="24"/>
          <w:szCs w:val="24"/>
        </w:rPr>
      </w:pPr>
    </w:p>
    <w:p w14:paraId="02215461"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14:paraId="53AEB39A" w14:textId="77777777" w:rsidR="00024EF4" w:rsidRPr="00C80D88" w:rsidRDefault="00024EF4" w:rsidP="00B940D2">
      <w:pPr>
        <w:tabs>
          <w:tab w:val="left" w:pos="1080"/>
        </w:tabs>
        <w:spacing w:after="0"/>
        <w:rPr>
          <w:rFonts w:ascii="Franklin Gothic Book" w:hAnsi="Franklin Gothic Book"/>
          <w:b/>
          <w:sz w:val="24"/>
          <w:szCs w:val="24"/>
        </w:rPr>
      </w:pPr>
    </w:p>
    <w:p w14:paraId="702CF4C9"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14:paraId="07B7ABB3" w14:textId="77777777" w:rsidR="00D55958" w:rsidRPr="00C80D88" w:rsidRDefault="00D55958" w:rsidP="00B940D2">
      <w:pPr>
        <w:tabs>
          <w:tab w:val="left" w:pos="1080"/>
        </w:tabs>
        <w:spacing w:after="0"/>
        <w:rPr>
          <w:rFonts w:ascii="Times New Roman" w:hAnsi="Times New Roman"/>
          <w:color w:val="0000CC"/>
          <w:sz w:val="24"/>
          <w:szCs w:val="24"/>
        </w:rPr>
      </w:pPr>
    </w:p>
    <w:p w14:paraId="2C429C10" w14:textId="652103E5" w:rsidR="00AA636B" w:rsidRPr="00C80D88" w:rsidRDefault="00AA636B" w:rsidP="00B940D2">
      <w:pPr>
        <w:tabs>
          <w:tab w:val="left" w:pos="1080"/>
        </w:tabs>
        <w:spacing w:after="0"/>
        <w:rPr>
          <w:rFonts w:ascii="Franklin Gothic Book" w:hAnsi="Franklin Gothic Book"/>
          <w:b/>
          <w:bCs/>
          <w:sz w:val="32"/>
          <w:szCs w:val="32"/>
        </w:rPr>
      </w:pPr>
      <w:r w:rsidRPr="00C80D88">
        <w:rPr>
          <w:rFonts w:ascii="Franklin Gothic Book" w:hAnsi="Franklin Gothic Book"/>
          <w:b/>
          <w:sz w:val="32"/>
          <w:szCs w:val="32"/>
        </w:rPr>
        <w:t xml:space="preserve">Approval is requested to </w:t>
      </w:r>
      <w:r w:rsidR="008D0698">
        <w:rPr>
          <w:rFonts w:ascii="Franklin Gothic Book" w:hAnsi="Franklin Gothic Book"/>
          <w:b/>
          <w:sz w:val="32"/>
          <w:szCs w:val="32"/>
        </w:rPr>
        <w:t xml:space="preserve">provide Guidelines to </w:t>
      </w:r>
    </w:p>
    <w:p w14:paraId="1269E7D5" w14:textId="003A2047" w:rsidR="00D40A2C"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w:t>
      </w:r>
      <w:r w:rsidR="008D0698">
        <w:rPr>
          <w:rFonts w:ascii="Franklin Gothic Book" w:hAnsi="Franklin Gothic Book"/>
          <w:b/>
          <w:bCs/>
          <w:sz w:val="32"/>
          <w:szCs w:val="32"/>
        </w:rPr>
        <w:t>ies to conduct their</w:t>
      </w:r>
      <w:r>
        <w:rPr>
          <w:rFonts w:ascii="Franklin Gothic Book" w:hAnsi="Franklin Gothic Book"/>
          <w:b/>
          <w:bCs/>
          <w:sz w:val="32"/>
          <w:szCs w:val="32"/>
        </w:rPr>
        <w:t xml:space="preserve"> </w:t>
      </w:r>
      <w:r w:rsidR="002876F3">
        <w:rPr>
          <w:rFonts w:ascii="Franklin Gothic Book" w:hAnsi="Franklin Gothic Book"/>
          <w:b/>
          <w:bCs/>
          <w:sz w:val="32"/>
          <w:szCs w:val="32"/>
        </w:rPr>
        <w:t xml:space="preserve">Five Year Plan </w:t>
      </w:r>
      <w:r w:rsidR="00627EE8">
        <w:rPr>
          <w:rFonts w:ascii="Franklin Gothic Book" w:hAnsi="Franklin Gothic Book"/>
          <w:b/>
          <w:bCs/>
          <w:sz w:val="32"/>
          <w:szCs w:val="32"/>
        </w:rPr>
        <w:t>Evaluation</w:t>
      </w:r>
    </w:p>
    <w:p w14:paraId="03EF9DF0" w14:textId="77777777" w:rsidR="00AA636B" w:rsidRPr="00C80D88" w:rsidRDefault="00AA636B" w:rsidP="00B940D2">
      <w:pPr>
        <w:tabs>
          <w:tab w:val="left" w:pos="1080"/>
        </w:tabs>
        <w:spacing w:after="0"/>
        <w:rPr>
          <w:rFonts w:ascii="Times New Roman" w:hAnsi="Times New Roman"/>
          <w:color w:val="FF0000"/>
          <w:sz w:val="24"/>
          <w:szCs w:val="24"/>
        </w:rPr>
      </w:pPr>
    </w:p>
    <w:p w14:paraId="1A8AC593" w14:textId="2B9F1C8C" w:rsidR="00AA636B" w:rsidRPr="00EC36B1" w:rsidRDefault="00AA636B" w:rsidP="00B940D2">
      <w:pPr>
        <w:tabs>
          <w:tab w:val="left" w:pos="1080"/>
        </w:tabs>
        <w:spacing w:after="0"/>
        <w:rPr>
          <w:rFonts w:ascii="Times New Roman" w:hAnsi="Times New Roman"/>
          <w:bCs/>
          <w:sz w:val="24"/>
          <w:szCs w:val="24"/>
        </w:rPr>
      </w:pPr>
      <w:r w:rsidRPr="00C80D88">
        <w:rPr>
          <w:rFonts w:ascii="Times New Roman" w:hAnsi="Times New Roman"/>
          <w:sz w:val="24"/>
          <w:szCs w:val="24"/>
        </w:rPr>
        <w:t xml:space="preserve">The Institute of Museum and Library Services (IMLS) is the primary source of federal support for the nation's 123,000 libraries and </w:t>
      </w:r>
      <w:r w:rsidR="0019362C">
        <w:rPr>
          <w:rFonts w:ascii="Times New Roman" w:hAnsi="Times New Roman"/>
          <w:sz w:val="24"/>
          <w:szCs w:val="24"/>
        </w:rPr>
        <w:t>35,0</w:t>
      </w:r>
      <w:r w:rsidRPr="00C80D88">
        <w:rPr>
          <w:rFonts w:ascii="Times New Roman" w:hAnsi="Times New Roman"/>
          <w:sz w:val="24"/>
          <w:szCs w:val="24"/>
        </w:rPr>
        <w:t xml:space="preserve">00 museums. IMLS'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00174FD1" w:rsidRPr="00EC36B1">
        <w:rPr>
          <w:rFonts w:ascii="Times New Roman" w:hAnsi="Times New Roman"/>
          <w:sz w:val="24"/>
          <w:szCs w:val="24"/>
        </w:rPr>
        <w:t>.</w:t>
      </w:r>
    </w:p>
    <w:p w14:paraId="58CA5385"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64F2FB38" w14:textId="77777777" w:rsidR="00EC36B1" w:rsidRDefault="00EC36B1" w:rsidP="00B940D2">
      <w:pPr>
        <w:widowControl w:val="0"/>
        <w:tabs>
          <w:tab w:val="left" w:pos="-1440"/>
          <w:tab w:val="left" w:pos="-720"/>
          <w:tab w:val="left" w:pos="0"/>
        </w:tabs>
        <w:spacing w:after="0"/>
        <w:rPr>
          <w:rFonts w:ascii="Times New Roman" w:hAnsi="Times New Roman"/>
          <w:sz w:val="24"/>
          <w:szCs w:val="24"/>
        </w:rPr>
      </w:pPr>
      <w:r w:rsidRPr="00EC36B1">
        <w:rPr>
          <w:rFonts w:ascii="Times New Roman" w:hAnsi="Times New Roman"/>
          <w:sz w:val="24"/>
          <w:szCs w:val="24"/>
        </w:rPr>
        <w:t xml:space="preserve">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  SLAAs also administer the State library operations, allied operations (such as State archives, State legislative reference organizations, and State records management services), libraries for the blind and physically handicapped, and the State Center for the Book. </w:t>
      </w:r>
    </w:p>
    <w:p w14:paraId="2C6297C3" w14:textId="77777777" w:rsidR="004F39D4" w:rsidRDefault="004F39D4" w:rsidP="00B940D2">
      <w:pPr>
        <w:widowControl w:val="0"/>
        <w:tabs>
          <w:tab w:val="left" w:pos="-1440"/>
          <w:tab w:val="left" w:pos="-720"/>
          <w:tab w:val="left" w:pos="0"/>
        </w:tabs>
        <w:spacing w:after="0"/>
        <w:rPr>
          <w:rFonts w:ascii="Times New Roman" w:hAnsi="Times New Roman"/>
          <w:sz w:val="24"/>
          <w:szCs w:val="24"/>
        </w:rPr>
      </w:pPr>
    </w:p>
    <w:p w14:paraId="589C6E61" w14:textId="77580C41" w:rsidR="00024EF4" w:rsidRPr="00963910" w:rsidRDefault="004F39D4" w:rsidP="00963910">
      <w:pPr>
        <w:widowControl w:val="0"/>
        <w:tabs>
          <w:tab w:val="left" w:pos="-1440"/>
          <w:tab w:val="left" w:pos="-720"/>
          <w:tab w:val="left" w:pos="0"/>
        </w:tabs>
        <w:spacing w:after="0"/>
        <w:rPr>
          <w:rFonts w:ascii="Times New Roman" w:hAnsi="Times New Roman"/>
          <w:sz w:val="24"/>
          <w:szCs w:val="24"/>
        </w:rPr>
      </w:pPr>
      <w:r w:rsidRPr="004F39D4">
        <w:rPr>
          <w:rFonts w:ascii="Times New Roman" w:hAnsi="Times New Roman"/>
          <w:sz w:val="24"/>
          <w:szCs w:val="24"/>
        </w:rPr>
        <w:t>The Library Services and Technology Act requires each SLAA to submit</w:t>
      </w:r>
      <w:r w:rsidR="00276C98">
        <w:rPr>
          <w:rFonts w:ascii="Times New Roman" w:hAnsi="Times New Roman"/>
          <w:sz w:val="24"/>
          <w:szCs w:val="24"/>
        </w:rPr>
        <w:t xml:space="preserve"> to IMLS</w:t>
      </w:r>
      <w:r w:rsidRPr="004F39D4">
        <w:rPr>
          <w:rFonts w:ascii="Times New Roman" w:hAnsi="Times New Roman"/>
          <w:sz w:val="24"/>
          <w:szCs w:val="24"/>
        </w:rPr>
        <w:t xml:space="preserve"> a plan that details library services goals for a five-year period. SLAAs must also conduct </w:t>
      </w:r>
      <w:r w:rsidR="00276C98">
        <w:rPr>
          <w:rFonts w:ascii="Times New Roman" w:hAnsi="Times New Roman"/>
          <w:sz w:val="24"/>
          <w:szCs w:val="24"/>
        </w:rPr>
        <w:t xml:space="preserve">and submit to IMLS </w:t>
      </w:r>
      <w:r w:rsidRPr="004F39D4">
        <w:rPr>
          <w:rFonts w:ascii="Times New Roman" w:hAnsi="Times New Roman"/>
          <w:sz w:val="24"/>
          <w:szCs w:val="24"/>
        </w:rPr>
        <w:t xml:space="preserve">a five-year evaluation of library services based on that plan. </w:t>
      </w:r>
      <w:r w:rsidR="00276C98">
        <w:rPr>
          <w:rFonts w:ascii="Times New Roman" w:hAnsi="Times New Roman"/>
          <w:i/>
          <w:sz w:val="24"/>
          <w:szCs w:val="24"/>
        </w:rPr>
        <w:t>See</w:t>
      </w:r>
      <w:r w:rsidR="00276C98">
        <w:rPr>
          <w:rFonts w:ascii="Times New Roman" w:hAnsi="Times New Roman"/>
          <w:sz w:val="24"/>
          <w:szCs w:val="24"/>
        </w:rPr>
        <w:t xml:space="preserve"> 20 U.S.C. § 9134. </w:t>
      </w:r>
      <w:r w:rsidRPr="004F39D4">
        <w:rPr>
          <w:rFonts w:ascii="Times New Roman" w:hAnsi="Times New Roman"/>
          <w:sz w:val="24"/>
          <w:szCs w:val="24"/>
        </w:rPr>
        <w:t>These plans and evaluations are the foundation for improving practice and informing policy.</w:t>
      </w:r>
      <w:r w:rsidR="00963910">
        <w:rPr>
          <w:rFonts w:ascii="Times New Roman" w:hAnsi="Times New Roman"/>
          <w:sz w:val="24"/>
          <w:szCs w:val="24"/>
        </w:rPr>
        <w:t xml:space="preserve"> SLAAs are currently in the 2013-2017 five year period and will need guidelines for conducting </w:t>
      </w:r>
      <w:r w:rsidR="00276C98">
        <w:rPr>
          <w:rFonts w:ascii="Times New Roman" w:hAnsi="Times New Roman"/>
          <w:sz w:val="24"/>
          <w:szCs w:val="24"/>
        </w:rPr>
        <w:t xml:space="preserve">the statutorily-required </w:t>
      </w:r>
      <w:r w:rsidR="00963910">
        <w:rPr>
          <w:rFonts w:ascii="Times New Roman" w:hAnsi="Times New Roman"/>
          <w:sz w:val="24"/>
          <w:szCs w:val="24"/>
        </w:rPr>
        <w:t>independent evaluation of their plans in the near future.</w:t>
      </w:r>
    </w:p>
    <w:p w14:paraId="044373AE" w14:textId="77777777" w:rsidR="00024EF4" w:rsidRPr="00EC36B1" w:rsidRDefault="00024EF4" w:rsidP="00B940D2">
      <w:pPr>
        <w:tabs>
          <w:tab w:val="left" w:pos="1080"/>
        </w:tabs>
        <w:spacing w:after="0"/>
        <w:rPr>
          <w:rFonts w:ascii="Times New Roman" w:hAnsi="Times New Roman"/>
          <w:bCs/>
          <w:sz w:val="24"/>
          <w:szCs w:val="24"/>
        </w:rPr>
      </w:pPr>
    </w:p>
    <w:p w14:paraId="2AB99807"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14:paraId="2D0A18C4" w14:textId="77777777" w:rsidR="00024EF4" w:rsidRPr="00C80D88" w:rsidRDefault="00024EF4" w:rsidP="00B940D2">
      <w:pPr>
        <w:tabs>
          <w:tab w:val="left" w:pos="1080"/>
        </w:tabs>
        <w:spacing w:after="0"/>
        <w:rPr>
          <w:rFonts w:ascii="Times New Roman" w:hAnsi="Times New Roman"/>
          <w:bCs/>
          <w:sz w:val="24"/>
          <w:szCs w:val="24"/>
        </w:rPr>
      </w:pPr>
    </w:p>
    <w:p w14:paraId="7764D0F8" w14:textId="3D82EB5C" w:rsidR="00463BC5" w:rsidRPr="00C80D88" w:rsidRDefault="00FD1164" w:rsidP="00963910">
      <w:pPr>
        <w:pStyle w:val="Default"/>
        <w:tabs>
          <w:tab w:val="left" w:pos="1080"/>
        </w:tabs>
        <w:spacing w:after="120"/>
        <w:ind w:left="576" w:right="576"/>
        <w:rPr>
          <w:bCs/>
        </w:rPr>
      </w:pPr>
      <w:r>
        <w:rPr>
          <w:bCs/>
        </w:rPr>
        <w:lastRenderedPageBreak/>
        <w:t>According to 20</w:t>
      </w:r>
      <w:r w:rsidR="004F39D4">
        <w:rPr>
          <w:bCs/>
        </w:rPr>
        <w:t xml:space="preserve"> U.S.C. Section 9134 (</w:t>
      </w:r>
      <w:r w:rsidR="004F39D4" w:rsidRPr="0075229E">
        <w:rPr>
          <w:bCs/>
        </w:rPr>
        <w:t xml:space="preserve">a), each </w:t>
      </w:r>
      <w:r w:rsidR="004F39D4" w:rsidRPr="0075229E">
        <w:rPr>
          <w:color w:val="262626"/>
        </w:rPr>
        <w:t xml:space="preserve">State library administrative agency “shall submit a State plan to the [IMLS] Director once every 5 years…” that establishes goals and specific priorities for the use of the funding available. </w:t>
      </w:r>
      <w:r w:rsidR="00963910">
        <w:rPr>
          <w:color w:val="262626"/>
        </w:rPr>
        <w:t xml:space="preserve">20 U.S.C 9134(c) specifies that </w:t>
      </w:r>
      <w:r w:rsidR="00963910" w:rsidRPr="00963910">
        <w:rPr>
          <w:color w:val="262626"/>
        </w:rPr>
        <w:t>“</w:t>
      </w:r>
      <w:r w:rsidR="00963910" w:rsidRPr="00963910">
        <w:rPr>
          <w:bCs/>
        </w:rPr>
        <w:t>Each State library administrative agency receiving a grant under this subchapter shall independently evaluate, and report to the Director regarding, the activities assisted under this subchapter, prior to the end of the 5-year plan.”</w:t>
      </w:r>
      <w:r w:rsidR="00963910">
        <w:rPr>
          <w:bCs/>
        </w:rPr>
        <w:t xml:space="preserve"> The attached Guidelines are the basis on which all 50 states and five territories shall have their plans evaluated.</w:t>
      </w:r>
    </w:p>
    <w:p w14:paraId="71B1BC04" w14:textId="77777777" w:rsidR="00024EF4" w:rsidRPr="00C80D88" w:rsidRDefault="00024EF4" w:rsidP="00B940D2">
      <w:pPr>
        <w:tabs>
          <w:tab w:val="left" w:pos="1080"/>
        </w:tabs>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350"/>
      </w:tblGrid>
      <w:tr w:rsidR="00024EF4" w:rsidRPr="00C80D88" w14:paraId="6A5DC4D4" w14:textId="77777777" w:rsidTr="00024EF4">
        <w:tc>
          <w:tcPr>
            <w:tcW w:w="9576" w:type="dxa"/>
          </w:tcPr>
          <w:p w14:paraId="33F731D9" w14:textId="538820C2" w:rsidR="00024EF4" w:rsidRPr="00C80D88" w:rsidRDefault="00024EF4" w:rsidP="00B940D2">
            <w:pPr>
              <w:pStyle w:val="Default"/>
              <w:tabs>
                <w:tab w:val="left" w:pos="1080"/>
              </w:tabs>
              <w:spacing w:line="276" w:lineRule="auto"/>
              <w:ind w:left="576" w:right="576"/>
              <w:rPr>
                <w:b/>
                <w:bCs/>
              </w:rPr>
            </w:pPr>
            <w:r w:rsidRPr="00C80D88">
              <w:rPr>
                <w:b/>
                <w:bCs/>
              </w:rPr>
              <w:t xml:space="preserve">20 </w:t>
            </w:r>
            <w:r w:rsidR="00B940D2">
              <w:rPr>
                <w:b/>
                <w:bCs/>
              </w:rPr>
              <w:t xml:space="preserve">U.S.C. </w:t>
            </w:r>
            <w:r w:rsidRPr="00C80D88">
              <w:rPr>
                <w:b/>
                <w:bCs/>
              </w:rPr>
              <w:t>Section 91</w:t>
            </w:r>
            <w:r w:rsidR="0075229E">
              <w:rPr>
                <w:b/>
                <w:bCs/>
              </w:rPr>
              <w:t>34</w:t>
            </w:r>
            <w:r w:rsidRPr="00C80D88">
              <w:rPr>
                <w:b/>
                <w:bCs/>
              </w:rPr>
              <w:t xml:space="preserve">. </w:t>
            </w:r>
            <w:r w:rsidR="0075229E">
              <w:rPr>
                <w:b/>
                <w:bCs/>
              </w:rPr>
              <w:t>State Plans</w:t>
            </w:r>
            <w:r w:rsidRPr="00C80D88">
              <w:rPr>
                <w:b/>
                <w:bCs/>
              </w:rPr>
              <w:t xml:space="preserve"> </w:t>
            </w:r>
          </w:p>
          <w:p w14:paraId="2D402767" w14:textId="77777777" w:rsidR="00024EF4" w:rsidRPr="0075229E" w:rsidRDefault="00024EF4" w:rsidP="00B940D2">
            <w:pPr>
              <w:pStyle w:val="Default"/>
              <w:tabs>
                <w:tab w:val="left" w:pos="1080"/>
              </w:tabs>
              <w:spacing w:line="276" w:lineRule="auto"/>
              <w:ind w:left="576" w:right="576"/>
              <w:rPr>
                <w:sz w:val="13"/>
                <w:szCs w:val="13"/>
              </w:rPr>
            </w:pPr>
          </w:p>
          <w:p w14:paraId="285D94DC" w14:textId="7CF27570" w:rsidR="0075229E" w:rsidRPr="0075229E" w:rsidRDefault="0075229E" w:rsidP="0075229E">
            <w:pPr>
              <w:pStyle w:val="Default"/>
              <w:tabs>
                <w:tab w:val="left" w:pos="1080"/>
              </w:tabs>
              <w:spacing w:after="120"/>
              <w:ind w:left="576" w:right="576"/>
              <w:rPr>
                <w:bCs/>
              </w:rPr>
            </w:pPr>
            <w:r w:rsidRPr="0075229E">
              <w:rPr>
                <w:bCs/>
              </w:rPr>
              <w:t xml:space="preserve">(a) </w:t>
            </w:r>
            <w:r w:rsidRPr="0075229E">
              <w:rPr>
                <w:bCs/>
                <w:smallCaps/>
              </w:rPr>
              <w:t>State plan required</w:t>
            </w:r>
          </w:p>
          <w:p w14:paraId="2E762AEE" w14:textId="77777777" w:rsidR="0075229E" w:rsidRPr="0075229E" w:rsidRDefault="0075229E" w:rsidP="0075229E">
            <w:pPr>
              <w:pStyle w:val="Default"/>
              <w:tabs>
                <w:tab w:val="left" w:pos="1080"/>
              </w:tabs>
              <w:spacing w:after="120"/>
              <w:ind w:left="1080" w:right="576"/>
              <w:rPr>
                <w:bCs/>
              </w:rPr>
            </w:pPr>
            <w:r w:rsidRPr="0075229E">
              <w:rPr>
                <w:bCs/>
              </w:rPr>
              <w:t xml:space="preserve">(1) </w:t>
            </w:r>
            <w:r w:rsidRPr="0075229E">
              <w:rPr>
                <w:bCs/>
                <w:smallCaps/>
              </w:rPr>
              <w:t>In general</w:t>
            </w:r>
          </w:p>
          <w:p w14:paraId="0659BE96" w14:textId="77777777" w:rsidR="0075229E" w:rsidRPr="0075229E" w:rsidRDefault="0075229E" w:rsidP="0075229E">
            <w:pPr>
              <w:pStyle w:val="Default"/>
              <w:tabs>
                <w:tab w:val="left" w:pos="1080"/>
              </w:tabs>
              <w:spacing w:after="120"/>
              <w:ind w:left="1080" w:right="576"/>
              <w:rPr>
                <w:b/>
                <w:bCs/>
              </w:rPr>
            </w:pPr>
            <w:r w:rsidRPr="0075229E">
              <w:rPr>
                <w:b/>
                <w:bCs/>
              </w:rPr>
              <w:t>In order to be eligible to receive a grant under this subchapter, a State library administrative agency shall submit a State plan to the Director once every 5 years, as determined by the Director.</w:t>
            </w:r>
          </w:p>
          <w:p w14:paraId="3BF136F7" w14:textId="77777777" w:rsidR="0075229E" w:rsidRPr="0075229E" w:rsidRDefault="0075229E" w:rsidP="0075229E">
            <w:pPr>
              <w:pStyle w:val="Default"/>
              <w:tabs>
                <w:tab w:val="left" w:pos="1080"/>
              </w:tabs>
              <w:spacing w:after="120"/>
              <w:ind w:left="1080" w:right="576"/>
              <w:rPr>
                <w:bCs/>
              </w:rPr>
            </w:pPr>
            <w:r w:rsidRPr="0075229E">
              <w:rPr>
                <w:bCs/>
              </w:rPr>
              <w:t xml:space="preserve">(2) </w:t>
            </w:r>
            <w:r w:rsidRPr="0075229E">
              <w:rPr>
                <w:bCs/>
                <w:smallCaps/>
              </w:rPr>
              <w:t>Duration</w:t>
            </w:r>
          </w:p>
          <w:p w14:paraId="2FD67D98" w14:textId="77777777" w:rsidR="0075229E" w:rsidRPr="0075229E" w:rsidRDefault="0075229E" w:rsidP="0075229E">
            <w:pPr>
              <w:pStyle w:val="Default"/>
              <w:tabs>
                <w:tab w:val="left" w:pos="1080"/>
              </w:tabs>
              <w:spacing w:after="120"/>
              <w:ind w:left="1080" w:right="576"/>
              <w:rPr>
                <w:bCs/>
              </w:rPr>
            </w:pPr>
            <w:r w:rsidRPr="0075229E">
              <w:rPr>
                <w:bCs/>
              </w:rPr>
              <w:t>The State plan shall cover a period of 5 fiscal years.</w:t>
            </w:r>
          </w:p>
          <w:p w14:paraId="529CFE38" w14:textId="77777777" w:rsidR="0075229E" w:rsidRPr="0075229E" w:rsidRDefault="0075229E" w:rsidP="0075229E">
            <w:pPr>
              <w:pStyle w:val="Default"/>
              <w:tabs>
                <w:tab w:val="left" w:pos="1080"/>
              </w:tabs>
              <w:spacing w:after="120"/>
              <w:ind w:left="1080" w:right="576"/>
              <w:rPr>
                <w:bCs/>
              </w:rPr>
            </w:pPr>
            <w:r w:rsidRPr="0075229E">
              <w:rPr>
                <w:bCs/>
              </w:rPr>
              <w:t xml:space="preserve">(3) </w:t>
            </w:r>
            <w:r w:rsidRPr="0075229E">
              <w:rPr>
                <w:bCs/>
                <w:smallCaps/>
              </w:rPr>
              <w:t>Revisions</w:t>
            </w:r>
          </w:p>
          <w:p w14:paraId="6BD1878D" w14:textId="77777777" w:rsidR="0075229E" w:rsidRPr="0075229E" w:rsidRDefault="0075229E" w:rsidP="0075229E">
            <w:pPr>
              <w:pStyle w:val="Default"/>
              <w:tabs>
                <w:tab w:val="left" w:pos="1080"/>
              </w:tabs>
              <w:spacing w:after="120"/>
              <w:ind w:left="1080" w:right="576"/>
              <w:rPr>
                <w:bCs/>
              </w:rPr>
            </w:pPr>
            <w:r w:rsidRPr="0075229E">
              <w:rPr>
                <w:bCs/>
              </w:rPr>
              <w:t>If a State library administrative agency makes a substantive revision to its State plan, then the State library administrative agency shall submit to the Director an amendment to the State plan containing such revision not later than April 1 of the fiscal year preceding the fiscal year for which the amendment will be effective.</w:t>
            </w:r>
          </w:p>
          <w:p w14:paraId="604A2AED" w14:textId="6BFE9F96" w:rsidR="0075229E" w:rsidRPr="0075229E" w:rsidRDefault="0075229E" w:rsidP="0075229E">
            <w:pPr>
              <w:pStyle w:val="Default"/>
              <w:tabs>
                <w:tab w:val="left" w:pos="1080"/>
              </w:tabs>
              <w:spacing w:after="120"/>
              <w:ind w:left="576" w:right="576"/>
              <w:rPr>
                <w:bCs/>
              </w:rPr>
            </w:pPr>
            <w:r w:rsidRPr="0075229E">
              <w:rPr>
                <w:bCs/>
              </w:rPr>
              <w:t xml:space="preserve">(b) </w:t>
            </w:r>
            <w:r w:rsidRPr="0075229E">
              <w:rPr>
                <w:bCs/>
                <w:smallCaps/>
              </w:rPr>
              <w:t>CONTENTS</w:t>
            </w:r>
            <w:r>
              <w:rPr>
                <w:bCs/>
              </w:rPr>
              <w:t xml:space="preserve"> </w:t>
            </w:r>
            <w:r w:rsidRPr="0075229E">
              <w:rPr>
                <w:bCs/>
              </w:rPr>
              <w:t>The State plan shall—</w:t>
            </w:r>
          </w:p>
          <w:p w14:paraId="185DA5EF" w14:textId="77777777" w:rsidR="0075229E" w:rsidRPr="0075229E" w:rsidRDefault="0075229E" w:rsidP="0075229E">
            <w:pPr>
              <w:pStyle w:val="Default"/>
              <w:tabs>
                <w:tab w:val="left" w:pos="1080"/>
              </w:tabs>
              <w:spacing w:after="120"/>
              <w:ind w:left="1080" w:right="576"/>
              <w:rPr>
                <w:bCs/>
              </w:rPr>
            </w:pPr>
            <w:r w:rsidRPr="0075229E">
              <w:rPr>
                <w:bCs/>
              </w:rPr>
              <w:t>(1) establish goals, and specify priorities, for the State consistent with the purposes of this subchapter;</w:t>
            </w:r>
          </w:p>
          <w:p w14:paraId="5BB38183" w14:textId="77777777" w:rsidR="0075229E" w:rsidRPr="0075229E" w:rsidRDefault="0075229E" w:rsidP="0075229E">
            <w:pPr>
              <w:pStyle w:val="Default"/>
              <w:tabs>
                <w:tab w:val="left" w:pos="1080"/>
              </w:tabs>
              <w:spacing w:after="120"/>
              <w:ind w:left="1080" w:right="576"/>
              <w:rPr>
                <w:bCs/>
              </w:rPr>
            </w:pPr>
            <w:r w:rsidRPr="0075229E">
              <w:rPr>
                <w:bCs/>
              </w:rPr>
              <w:t xml:space="preserve">(2) describe activities that are consistent with the goals and priorities established under paragraph (1), the purposes of this subchapter, and </w:t>
            </w:r>
            <w:hyperlink r:id="rId9" w:history="1">
              <w:r w:rsidRPr="0075229E">
                <w:rPr>
                  <w:rStyle w:val="Hyperlink"/>
                  <w:bCs/>
                </w:rPr>
                <w:t>section 9141 of this title</w:t>
              </w:r>
            </w:hyperlink>
            <w:r w:rsidRPr="0075229E">
              <w:rPr>
                <w:bCs/>
              </w:rPr>
              <w:t>, that the State library administrative agency will carry out during such year using such grant;</w:t>
            </w:r>
          </w:p>
          <w:p w14:paraId="107C6791" w14:textId="77777777" w:rsidR="0075229E" w:rsidRPr="0075229E" w:rsidRDefault="0075229E" w:rsidP="0075229E">
            <w:pPr>
              <w:pStyle w:val="Default"/>
              <w:tabs>
                <w:tab w:val="left" w:pos="1080"/>
              </w:tabs>
              <w:spacing w:after="120"/>
              <w:ind w:left="1080" w:right="576"/>
              <w:rPr>
                <w:bCs/>
              </w:rPr>
            </w:pPr>
            <w:r w:rsidRPr="0075229E">
              <w:rPr>
                <w:bCs/>
              </w:rPr>
              <w:t>(3) describe the procedures that such agency will use to carry out the activities described in paragraph (2);</w:t>
            </w:r>
          </w:p>
          <w:p w14:paraId="0F9DEB83" w14:textId="77777777" w:rsidR="0075229E" w:rsidRPr="0075229E" w:rsidRDefault="0075229E" w:rsidP="0075229E">
            <w:pPr>
              <w:pStyle w:val="Default"/>
              <w:tabs>
                <w:tab w:val="left" w:pos="1080"/>
              </w:tabs>
              <w:spacing w:after="120"/>
              <w:ind w:left="1080" w:right="576"/>
              <w:rPr>
                <w:bCs/>
              </w:rPr>
            </w:pPr>
            <w:r w:rsidRPr="0075229E">
              <w:rPr>
                <w:bCs/>
              </w:rPr>
              <w:t>(4) describe the methodology that such agency will use to evaluate the success of the activities established under paragraph (2) in achieving the goals and meeting the priorities described in paragraph (1);</w:t>
            </w:r>
          </w:p>
          <w:p w14:paraId="3860BF28" w14:textId="77777777" w:rsidR="0075229E" w:rsidRPr="0075229E" w:rsidRDefault="0075229E" w:rsidP="0075229E">
            <w:pPr>
              <w:pStyle w:val="Default"/>
              <w:tabs>
                <w:tab w:val="left" w:pos="1080"/>
              </w:tabs>
              <w:spacing w:after="120"/>
              <w:ind w:left="1080" w:right="576"/>
              <w:rPr>
                <w:bCs/>
              </w:rPr>
            </w:pPr>
            <w:r w:rsidRPr="0075229E">
              <w:rPr>
                <w:bCs/>
              </w:rPr>
              <w:t>(5) describe the procedures that such agency will use to involve libraries and library users throughout the State in policy decisions regarding implementation of this subchapter;</w:t>
            </w:r>
          </w:p>
          <w:p w14:paraId="72922EB4" w14:textId="77777777" w:rsidR="0075229E" w:rsidRPr="0075229E" w:rsidRDefault="0075229E" w:rsidP="0075229E">
            <w:pPr>
              <w:pStyle w:val="Default"/>
              <w:tabs>
                <w:tab w:val="left" w:pos="1080"/>
              </w:tabs>
              <w:spacing w:after="120"/>
              <w:ind w:left="1080" w:right="576"/>
              <w:rPr>
                <w:bCs/>
              </w:rPr>
            </w:pPr>
            <w:r w:rsidRPr="0075229E">
              <w:rPr>
                <w:bCs/>
              </w:rPr>
              <w:lastRenderedPageBreak/>
              <w:t>(6) describe how the State library administrative agency will work with other State agencies and offices where appropriate to coordinate resources, programs, and activities and leverage, but not replace, the Federal and State investment in—</w:t>
            </w:r>
          </w:p>
          <w:p w14:paraId="6D16B30A" w14:textId="77777777" w:rsidR="0075229E" w:rsidRPr="0075229E" w:rsidRDefault="0075229E" w:rsidP="0075229E">
            <w:pPr>
              <w:pStyle w:val="Default"/>
              <w:tabs>
                <w:tab w:val="left" w:pos="1080"/>
              </w:tabs>
              <w:spacing w:after="120"/>
              <w:ind w:left="1440" w:right="576"/>
              <w:rPr>
                <w:bCs/>
              </w:rPr>
            </w:pPr>
            <w:r w:rsidRPr="0075229E">
              <w:rPr>
                <w:bCs/>
              </w:rPr>
              <w:t xml:space="preserve">(A) elementary and secondary education, including coordination with the activities within the State that are supported by a grant under </w:t>
            </w:r>
            <w:hyperlink r:id="rId10" w:history="1">
              <w:r w:rsidRPr="0075229E">
                <w:rPr>
                  <w:rStyle w:val="Hyperlink"/>
                  <w:bCs/>
                </w:rPr>
                <w:t>section 6383 of this title</w:t>
              </w:r>
            </w:hyperlink>
            <w:r w:rsidRPr="0075229E">
              <w:rPr>
                <w:bCs/>
              </w:rPr>
              <w:t>;</w:t>
            </w:r>
          </w:p>
          <w:p w14:paraId="1ADF6605" w14:textId="77777777" w:rsidR="0075229E" w:rsidRPr="0075229E" w:rsidRDefault="0075229E" w:rsidP="0075229E">
            <w:pPr>
              <w:pStyle w:val="Default"/>
              <w:tabs>
                <w:tab w:val="left" w:pos="1080"/>
              </w:tabs>
              <w:spacing w:after="120"/>
              <w:ind w:left="1440" w:right="576"/>
              <w:rPr>
                <w:bCs/>
              </w:rPr>
            </w:pPr>
            <w:r w:rsidRPr="0075229E">
              <w:rPr>
                <w:bCs/>
              </w:rPr>
              <w:t>(B) early childhood education, including coordination with—</w:t>
            </w:r>
          </w:p>
          <w:p w14:paraId="07598A23" w14:textId="77777777" w:rsidR="0075229E" w:rsidRPr="0075229E" w:rsidRDefault="0075229E" w:rsidP="0075229E">
            <w:pPr>
              <w:pStyle w:val="Default"/>
              <w:tabs>
                <w:tab w:val="left" w:pos="1080"/>
              </w:tabs>
              <w:spacing w:after="120"/>
              <w:ind w:left="2160" w:right="576"/>
              <w:rPr>
                <w:bCs/>
              </w:rPr>
            </w:pPr>
            <w:r w:rsidRPr="0075229E">
              <w:rPr>
                <w:bCs/>
              </w:rPr>
              <w:t>(</w:t>
            </w:r>
            <w:proofErr w:type="spellStart"/>
            <w:r w:rsidRPr="0075229E">
              <w:rPr>
                <w:bCs/>
              </w:rPr>
              <w:t>i</w:t>
            </w:r>
            <w:proofErr w:type="spellEnd"/>
            <w:r w:rsidRPr="0075229E">
              <w:rPr>
                <w:bCs/>
              </w:rPr>
              <w:t xml:space="preserve">) the State’s activities carried out under subsections (b)(4) and (e)(1) of </w:t>
            </w:r>
            <w:hyperlink r:id="rId11" w:history="1">
              <w:r w:rsidRPr="0075229E">
                <w:rPr>
                  <w:rStyle w:val="Hyperlink"/>
                  <w:bCs/>
                </w:rPr>
                <w:t>section 9837 of title 42</w:t>
              </w:r>
            </w:hyperlink>
            <w:r w:rsidRPr="0075229E">
              <w:rPr>
                <w:bCs/>
              </w:rPr>
              <w:t>; and</w:t>
            </w:r>
          </w:p>
          <w:p w14:paraId="11151CA9" w14:textId="77777777" w:rsidR="0075229E" w:rsidRPr="0075229E" w:rsidRDefault="0075229E" w:rsidP="0075229E">
            <w:pPr>
              <w:pStyle w:val="Default"/>
              <w:tabs>
                <w:tab w:val="left" w:pos="1080"/>
              </w:tabs>
              <w:spacing w:after="120"/>
              <w:ind w:left="2160" w:right="576"/>
              <w:rPr>
                <w:bCs/>
              </w:rPr>
            </w:pPr>
            <w:r w:rsidRPr="0075229E">
              <w:rPr>
                <w:bCs/>
              </w:rPr>
              <w:t xml:space="preserve">(ii) the activities described in the State’s strategic plan in accordance with </w:t>
            </w:r>
            <w:hyperlink r:id="rId12" w:history="1">
              <w:r w:rsidRPr="0075229E">
                <w:rPr>
                  <w:rStyle w:val="Hyperlink"/>
                  <w:bCs/>
                </w:rPr>
                <w:t>section 9837b(a)(4)(B)(</w:t>
              </w:r>
              <w:proofErr w:type="spellStart"/>
              <w:r w:rsidRPr="0075229E">
                <w:rPr>
                  <w:rStyle w:val="Hyperlink"/>
                  <w:bCs/>
                </w:rPr>
                <w:t>i</w:t>
              </w:r>
              <w:proofErr w:type="spellEnd"/>
              <w:r w:rsidRPr="0075229E">
                <w:rPr>
                  <w:rStyle w:val="Hyperlink"/>
                  <w:bCs/>
                </w:rPr>
                <w:t>) of title 42</w:t>
              </w:r>
            </w:hyperlink>
            <w:r w:rsidRPr="0075229E">
              <w:rPr>
                <w:bCs/>
              </w:rPr>
              <w:t>;</w:t>
            </w:r>
          </w:p>
          <w:p w14:paraId="71F93EDB" w14:textId="77777777" w:rsidR="0075229E" w:rsidRPr="0075229E" w:rsidRDefault="0075229E" w:rsidP="0075229E">
            <w:pPr>
              <w:pStyle w:val="Default"/>
              <w:tabs>
                <w:tab w:val="left" w:pos="1080"/>
              </w:tabs>
              <w:spacing w:after="120"/>
              <w:ind w:left="1440" w:right="576"/>
              <w:rPr>
                <w:bCs/>
              </w:rPr>
            </w:pPr>
            <w:r w:rsidRPr="0075229E">
              <w:rPr>
                <w:bCs/>
              </w:rPr>
              <w:t>(C) workforce development, including coordination with—</w:t>
            </w:r>
          </w:p>
          <w:p w14:paraId="01ED51FF" w14:textId="77777777" w:rsidR="0075229E" w:rsidRPr="0075229E" w:rsidRDefault="0075229E" w:rsidP="0075229E">
            <w:pPr>
              <w:pStyle w:val="Default"/>
              <w:tabs>
                <w:tab w:val="left" w:pos="1080"/>
              </w:tabs>
              <w:spacing w:after="120"/>
              <w:ind w:left="2160" w:right="576"/>
              <w:rPr>
                <w:bCs/>
              </w:rPr>
            </w:pPr>
            <w:r w:rsidRPr="0075229E">
              <w:rPr>
                <w:bCs/>
              </w:rPr>
              <w:t>(</w:t>
            </w:r>
            <w:proofErr w:type="spellStart"/>
            <w:r w:rsidRPr="0075229E">
              <w:rPr>
                <w:bCs/>
              </w:rPr>
              <w:t>i</w:t>
            </w:r>
            <w:proofErr w:type="spellEnd"/>
            <w:r w:rsidRPr="0075229E">
              <w:rPr>
                <w:bCs/>
              </w:rPr>
              <w:t xml:space="preserve">) the activities carried out by the State workforce development board under </w:t>
            </w:r>
            <w:hyperlink r:id="rId13" w:history="1">
              <w:r w:rsidRPr="0075229E">
                <w:rPr>
                  <w:rStyle w:val="Hyperlink"/>
                  <w:bCs/>
                </w:rPr>
                <w:t>section 3111 of title 29</w:t>
              </w:r>
            </w:hyperlink>
            <w:r w:rsidRPr="0075229E">
              <w:rPr>
                <w:bCs/>
              </w:rPr>
              <w:t>; and</w:t>
            </w:r>
          </w:p>
          <w:p w14:paraId="086F4FA0" w14:textId="77777777" w:rsidR="0075229E" w:rsidRPr="0075229E" w:rsidRDefault="0075229E" w:rsidP="0075229E">
            <w:pPr>
              <w:pStyle w:val="Default"/>
              <w:tabs>
                <w:tab w:val="left" w:pos="1080"/>
              </w:tabs>
              <w:spacing w:after="120"/>
              <w:ind w:left="2160" w:right="576"/>
              <w:rPr>
                <w:bCs/>
              </w:rPr>
            </w:pPr>
            <w:r w:rsidRPr="0075229E">
              <w:rPr>
                <w:bCs/>
              </w:rPr>
              <w:t xml:space="preserve">(ii) the State’s one-stop delivery system established under </w:t>
            </w:r>
            <w:hyperlink r:id="rId14" w:history="1">
              <w:r w:rsidRPr="0075229E">
                <w:rPr>
                  <w:rStyle w:val="Hyperlink"/>
                  <w:bCs/>
                </w:rPr>
                <w:t>section 3151(e) of title 29</w:t>
              </w:r>
            </w:hyperlink>
            <w:r w:rsidRPr="0075229E">
              <w:rPr>
                <w:bCs/>
              </w:rPr>
              <w:t>; and</w:t>
            </w:r>
          </w:p>
          <w:p w14:paraId="314E5225" w14:textId="77777777" w:rsidR="0075229E" w:rsidRPr="0075229E" w:rsidRDefault="0075229E" w:rsidP="0075229E">
            <w:pPr>
              <w:pStyle w:val="Default"/>
              <w:tabs>
                <w:tab w:val="left" w:pos="1080"/>
              </w:tabs>
              <w:spacing w:after="120"/>
              <w:ind w:left="1440" w:right="576"/>
              <w:rPr>
                <w:bCs/>
              </w:rPr>
            </w:pPr>
            <w:r w:rsidRPr="0075229E">
              <w:rPr>
                <w:bCs/>
              </w:rPr>
              <w:t>(D) other Federal programs and activities that relate to library services, including economic and community development and health information;</w:t>
            </w:r>
          </w:p>
          <w:p w14:paraId="24B21593" w14:textId="77777777" w:rsidR="0075229E" w:rsidRPr="0075229E" w:rsidRDefault="0075229E" w:rsidP="0075229E">
            <w:pPr>
              <w:pStyle w:val="Default"/>
              <w:tabs>
                <w:tab w:val="left" w:pos="1080"/>
              </w:tabs>
              <w:spacing w:after="120"/>
              <w:ind w:left="1080" w:right="576"/>
              <w:rPr>
                <w:bCs/>
              </w:rPr>
            </w:pPr>
            <w:r w:rsidRPr="0075229E">
              <w:rPr>
                <w:bCs/>
              </w:rPr>
              <w:t>(7) provide assurances that the State will comply with subsection (f) of this section; and</w:t>
            </w:r>
          </w:p>
          <w:p w14:paraId="5EF25F36" w14:textId="77777777" w:rsidR="0075229E" w:rsidRPr="0075229E" w:rsidRDefault="0075229E" w:rsidP="0075229E">
            <w:pPr>
              <w:pStyle w:val="Default"/>
              <w:tabs>
                <w:tab w:val="left" w:pos="1080"/>
              </w:tabs>
              <w:spacing w:after="120"/>
              <w:ind w:left="1080" w:right="576"/>
              <w:rPr>
                <w:bCs/>
              </w:rPr>
            </w:pPr>
            <w:r w:rsidRPr="0075229E">
              <w:rPr>
                <w:bCs/>
              </w:rPr>
              <w:t>(8) provide assurances satisfactory to the Director that such agency will make such reports, in such form and containing such information, as the Director may reasonably require to carry out this subchapter and to determine the extent to which funds provided under this subchapter have been effective in carrying out the purposes of this subchapter.</w:t>
            </w:r>
          </w:p>
          <w:p w14:paraId="133B82A8" w14:textId="77777777" w:rsidR="0075229E" w:rsidRPr="0075229E" w:rsidRDefault="0075229E" w:rsidP="0075229E">
            <w:pPr>
              <w:pStyle w:val="Default"/>
              <w:tabs>
                <w:tab w:val="left" w:pos="1080"/>
              </w:tabs>
              <w:spacing w:after="120"/>
              <w:ind w:left="576" w:right="576"/>
              <w:rPr>
                <w:b/>
                <w:bCs/>
              </w:rPr>
            </w:pPr>
            <w:r w:rsidRPr="0075229E">
              <w:rPr>
                <w:b/>
                <w:bCs/>
              </w:rPr>
              <w:t xml:space="preserve">(c) </w:t>
            </w:r>
            <w:r w:rsidRPr="0075229E">
              <w:rPr>
                <w:b/>
                <w:bCs/>
                <w:smallCaps/>
              </w:rPr>
              <w:t>Evaluation and report</w:t>
            </w:r>
          </w:p>
          <w:p w14:paraId="6D1035B4" w14:textId="77777777" w:rsidR="0075229E" w:rsidRPr="0075229E" w:rsidRDefault="0075229E" w:rsidP="0075229E">
            <w:pPr>
              <w:pStyle w:val="Default"/>
              <w:tabs>
                <w:tab w:val="left" w:pos="1080"/>
              </w:tabs>
              <w:spacing w:after="120"/>
              <w:ind w:left="576" w:right="576"/>
              <w:rPr>
                <w:b/>
                <w:bCs/>
              </w:rPr>
            </w:pPr>
            <w:r w:rsidRPr="0075229E">
              <w:rPr>
                <w:b/>
                <w:bCs/>
              </w:rPr>
              <w:t>Each State library administrative agency receiving a grant under this subchapter shall independently evaluate, and report to the Director regarding, the activities assisted under this subchapter, prior to the end of the 5-year plan.</w:t>
            </w:r>
          </w:p>
          <w:p w14:paraId="21E92FF5" w14:textId="77777777" w:rsidR="0075229E" w:rsidRPr="0075229E" w:rsidRDefault="0075229E" w:rsidP="0075229E">
            <w:pPr>
              <w:pStyle w:val="Default"/>
              <w:tabs>
                <w:tab w:val="left" w:pos="1080"/>
              </w:tabs>
              <w:spacing w:after="120"/>
              <w:ind w:left="576" w:right="576"/>
              <w:rPr>
                <w:bCs/>
              </w:rPr>
            </w:pPr>
            <w:r w:rsidRPr="0075229E">
              <w:rPr>
                <w:bCs/>
              </w:rPr>
              <w:t xml:space="preserve">(d) </w:t>
            </w:r>
            <w:r w:rsidRPr="0075229E">
              <w:rPr>
                <w:bCs/>
                <w:smallCaps/>
              </w:rPr>
              <w:t>Information</w:t>
            </w:r>
          </w:p>
          <w:p w14:paraId="09E17D55" w14:textId="77777777" w:rsidR="0075229E" w:rsidRPr="0075229E" w:rsidRDefault="0075229E" w:rsidP="0075229E">
            <w:pPr>
              <w:pStyle w:val="Default"/>
              <w:tabs>
                <w:tab w:val="left" w:pos="1080"/>
              </w:tabs>
              <w:spacing w:after="120"/>
              <w:ind w:left="576" w:right="576"/>
              <w:rPr>
                <w:bCs/>
              </w:rPr>
            </w:pPr>
            <w:r w:rsidRPr="0075229E">
              <w:rPr>
                <w:bCs/>
              </w:rPr>
              <w:t>Each library receiving assistance under this subchapter shall submit to the State library administrative agency such information as such agency may require to meet the requirements of subsection (c) of this section.</w:t>
            </w:r>
          </w:p>
          <w:p w14:paraId="2A91E99E" w14:textId="77777777" w:rsidR="0075229E" w:rsidRPr="0075229E" w:rsidRDefault="0075229E" w:rsidP="0075229E">
            <w:pPr>
              <w:pStyle w:val="Default"/>
              <w:tabs>
                <w:tab w:val="left" w:pos="1080"/>
              </w:tabs>
              <w:spacing w:after="120"/>
              <w:ind w:left="576" w:right="576"/>
              <w:rPr>
                <w:bCs/>
              </w:rPr>
            </w:pPr>
            <w:r w:rsidRPr="0075229E">
              <w:rPr>
                <w:bCs/>
              </w:rPr>
              <w:t xml:space="preserve">(e) </w:t>
            </w:r>
            <w:r w:rsidRPr="0075229E">
              <w:rPr>
                <w:bCs/>
                <w:smallCaps/>
              </w:rPr>
              <w:t>Approval</w:t>
            </w:r>
          </w:p>
          <w:p w14:paraId="3ABC0DAB" w14:textId="77777777" w:rsidR="0075229E" w:rsidRPr="0075229E" w:rsidRDefault="0075229E" w:rsidP="0075229E">
            <w:pPr>
              <w:pStyle w:val="Default"/>
              <w:tabs>
                <w:tab w:val="left" w:pos="1080"/>
              </w:tabs>
              <w:spacing w:after="120"/>
              <w:ind w:left="1080" w:right="576"/>
              <w:rPr>
                <w:bCs/>
              </w:rPr>
            </w:pPr>
            <w:r w:rsidRPr="0075229E">
              <w:rPr>
                <w:bCs/>
              </w:rPr>
              <w:t xml:space="preserve">(1) </w:t>
            </w:r>
            <w:r w:rsidRPr="0075229E">
              <w:rPr>
                <w:bCs/>
                <w:smallCaps/>
              </w:rPr>
              <w:t>In general</w:t>
            </w:r>
          </w:p>
          <w:p w14:paraId="5B652698" w14:textId="77777777" w:rsidR="0075229E" w:rsidRPr="0075229E" w:rsidRDefault="0075229E" w:rsidP="0075229E">
            <w:pPr>
              <w:pStyle w:val="Default"/>
              <w:tabs>
                <w:tab w:val="left" w:pos="1080"/>
              </w:tabs>
              <w:spacing w:after="120"/>
              <w:ind w:left="1080" w:right="576"/>
              <w:rPr>
                <w:bCs/>
              </w:rPr>
            </w:pPr>
            <w:r w:rsidRPr="0075229E">
              <w:rPr>
                <w:bCs/>
              </w:rPr>
              <w:lastRenderedPageBreak/>
              <w:t>The Director shall approve any State plan under this subchapter that meets the requirements of this subchapter and provides satisfactory assurances that the provisions of such plan will be carried out.</w:t>
            </w:r>
          </w:p>
          <w:p w14:paraId="52868E61" w14:textId="77777777" w:rsidR="0075229E" w:rsidRPr="0075229E" w:rsidRDefault="0075229E" w:rsidP="0075229E">
            <w:pPr>
              <w:pStyle w:val="Default"/>
              <w:tabs>
                <w:tab w:val="left" w:pos="1080"/>
              </w:tabs>
              <w:spacing w:after="120"/>
              <w:ind w:left="1080" w:right="576"/>
              <w:rPr>
                <w:bCs/>
              </w:rPr>
            </w:pPr>
            <w:r w:rsidRPr="0075229E">
              <w:rPr>
                <w:bCs/>
              </w:rPr>
              <w:t>(2) Public availability</w:t>
            </w:r>
          </w:p>
          <w:p w14:paraId="6305A37C" w14:textId="0F10EE11" w:rsidR="00024EF4" w:rsidRPr="00C80D88" w:rsidRDefault="0075229E" w:rsidP="0075229E">
            <w:pPr>
              <w:tabs>
                <w:tab w:val="left" w:pos="1080"/>
              </w:tabs>
              <w:spacing w:after="120" w:line="240" w:lineRule="auto"/>
              <w:ind w:left="1080" w:right="576"/>
              <w:rPr>
                <w:rFonts w:ascii="Times New Roman" w:hAnsi="Times New Roman"/>
                <w:sz w:val="24"/>
                <w:szCs w:val="24"/>
              </w:rPr>
            </w:pPr>
            <w:r w:rsidRPr="0075229E">
              <w:rPr>
                <w:rFonts w:ascii="Times New Roman" w:eastAsiaTheme="minorHAnsi" w:hAnsi="Times New Roman"/>
                <w:bCs/>
                <w:color w:val="000000"/>
                <w:sz w:val="24"/>
                <w:szCs w:val="24"/>
                <w:lang w:bidi="ar-SA"/>
              </w:rPr>
              <w:t>Each State library administrative agency receiving a grant under this subchapter shall make the State plan available to the public, including through electronic means.</w:t>
            </w:r>
          </w:p>
        </w:tc>
      </w:tr>
    </w:tbl>
    <w:p w14:paraId="43D134C7" w14:textId="77777777" w:rsidR="0041082A" w:rsidRPr="00C80D88" w:rsidRDefault="0041082A" w:rsidP="00B940D2">
      <w:pPr>
        <w:tabs>
          <w:tab w:val="left" w:pos="1080"/>
        </w:tabs>
        <w:spacing w:after="0"/>
        <w:rPr>
          <w:rFonts w:ascii="Times New Roman" w:hAnsi="Times New Roman"/>
          <w:sz w:val="24"/>
          <w:szCs w:val="24"/>
        </w:rPr>
      </w:pPr>
    </w:p>
    <w:p w14:paraId="4BE2856B" w14:textId="77777777" w:rsidR="00024EF4" w:rsidRPr="00C80D88" w:rsidRDefault="00024EF4" w:rsidP="00B940D2">
      <w:pPr>
        <w:tabs>
          <w:tab w:val="left" w:pos="1080"/>
        </w:tabs>
        <w:spacing w:after="0"/>
        <w:rPr>
          <w:rFonts w:ascii="Times New Roman" w:hAnsi="Times New Roman"/>
          <w:bCs/>
          <w:sz w:val="24"/>
          <w:szCs w:val="24"/>
        </w:rPr>
      </w:pPr>
    </w:p>
    <w:p w14:paraId="4C252C84"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14:paraId="4929AB34" w14:textId="77777777" w:rsidR="00024EF4" w:rsidRPr="00C80D88" w:rsidRDefault="00024EF4" w:rsidP="00160571">
      <w:pPr>
        <w:tabs>
          <w:tab w:val="left" w:pos="1080"/>
        </w:tabs>
        <w:spacing w:after="0" w:line="240" w:lineRule="auto"/>
        <w:rPr>
          <w:rFonts w:ascii="Times New Roman" w:hAnsi="Times New Roman"/>
          <w:bCs/>
          <w:sz w:val="24"/>
          <w:szCs w:val="24"/>
        </w:rPr>
      </w:pPr>
    </w:p>
    <w:p w14:paraId="5E99CF44" w14:textId="6E2660B6" w:rsidR="002542DE" w:rsidRPr="00963910" w:rsidRDefault="007F3CD2" w:rsidP="00160571">
      <w:pPr>
        <w:tabs>
          <w:tab w:val="left" w:pos="1080"/>
        </w:tabs>
        <w:spacing w:after="0" w:line="240" w:lineRule="auto"/>
        <w:rPr>
          <w:rFonts w:ascii="Times New Roman" w:hAnsi="Times New Roman"/>
          <w:bCs/>
          <w:sz w:val="24"/>
          <w:szCs w:val="24"/>
        </w:rPr>
      </w:pPr>
      <w:r>
        <w:rPr>
          <w:rFonts w:ascii="Times New Roman" w:hAnsi="Times New Roman"/>
          <w:bCs/>
          <w:sz w:val="24"/>
          <w:szCs w:val="24"/>
        </w:rPr>
        <w:t>SLAA</w:t>
      </w:r>
      <w:r w:rsidR="007B21E8">
        <w:rPr>
          <w:rFonts w:ascii="Times New Roman" w:hAnsi="Times New Roman"/>
          <w:bCs/>
          <w:sz w:val="24"/>
          <w:szCs w:val="24"/>
        </w:rPr>
        <w:t>s have conducted five year evaluations in the past, based upon guidance that was issue</w:t>
      </w:r>
      <w:r w:rsidR="00963910">
        <w:rPr>
          <w:rFonts w:ascii="Times New Roman" w:hAnsi="Times New Roman"/>
          <w:bCs/>
          <w:sz w:val="24"/>
          <w:szCs w:val="24"/>
        </w:rPr>
        <w:t xml:space="preserve">d by IMLS.  In previous evaluation periods, SLAAs were provided with guidance for conducting the independent, five-year evaluation, but no specific questions or methodologies were </w:t>
      </w:r>
      <w:r w:rsidR="008D0698">
        <w:rPr>
          <w:rFonts w:ascii="Times New Roman" w:hAnsi="Times New Roman"/>
          <w:bCs/>
          <w:sz w:val="24"/>
          <w:szCs w:val="24"/>
        </w:rPr>
        <w:t xml:space="preserve">recommended or </w:t>
      </w:r>
      <w:r w:rsidR="00963910">
        <w:rPr>
          <w:rFonts w:ascii="Times New Roman" w:hAnsi="Times New Roman"/>
          <w:bCs/>
          <w:sz w:val="24"/>
          <w:szCs w:val="24"/>
        </w:rPr>
        <w:t xml:space="preserve">required. In reviewing the subsequent reports, it became clear that </w:t>
      </w:r>
      <w:r w:rsidR="008D0698">
        <w:rPr>
          <w:rFonts w:ascii="Times New Roman" w:hAnsi="Times New Roman"/>
          <w:bCs/>
          <w:sz w:val="24"/>
          <w:szCs w:val="24"/>
        </w:rPr>
        <w:t>while states were able to gather data about the effectiveness of their own programs, it was impossible for them to compare the data with and against their peers.  V</w:t>
      </w:r>
      <w:r w:rsidR="00963910">
        <w:rPr>
          <w:rFonts w:ascii="Times New Roman" w:hAnsi="Times New Roman"/>
          <w:bCs/>
          <w:sz w:val="24"/>
          <w:szCs w:val="24"/>
        </w:rPr>
        <w:t xml:space="preserve">alid comparisons across states or program types were not possible because the SLAAs were not necessarily responding to like evaluative criteria.  Because of this, the </w:t>
      </w:r>
      <w:r w:rsidR="00963910" w:rsidRPr="00963910">
        <w:rPr>
          <w:rFonts w:ascii="Times New Roman" w:hAnsi="Times New Roman"/>
          <w:b/>
          <w:bCs/>
          <w:sz w:val="24"/>
          <w:szCs w:val="24"/>
        </w:rPr>
        <w:t>Guidelines for Grants to States Program Five-Year Evaluations</w:t>
      </w:r>
      <w:r w:rsidR="00963910">
        <w:rPr>
          <w:rFonts w:ascii="Times New Roman" w:hAnsi="Times New Roman"/>
          <w:b/>
          <w:bCs/>
          <w:sz w:val="24"/>
          <w:szCs w:val="24"/>
        </w:rPr>
        <w:t xml:space="preserve"> </w:t>
      </w:r>
      <w:r w:rsidR="00963910" w:rsidRPr="00963910">
        <w:rPr>
          <w:rFonts w:ascii="Times New Roman" w:hAnsi="Times New Roman"/>
          <w:bCs/>
          <w:sz w:val="24"/>
          <w:szCs w:val="24"/>
        </w:rPr>
        <w:t xml:space="preserve">were drafted and are submitted here.  Using a consistent set of evaluation questions and methodologies will allow </w:t>
      </w:r>
      <w:r w:rsidR="008D0698">
        <w:rPr>
          <w:rFonts w:ascii="Times New Roman" w:hAnsi="Times New Roman"/>
          <w:bCs/>
          <w:sz w:val="24"/>
          <w:szCs w:val="24"/>
        </w:rPr>
        <w:t>SLAAs</w:t>
      </w:r>
      <w:r w:rsidR="008D0698" w:rsidRPr="00963910">
        <w:rPr>
          <w:rFonts w:ascii="Times New Roman" w:hAnsi="Times New Roman"/>
          <w:bCs/>
          <w:sz w:val="24"/>
          <w:szCs w:val="24"/>
        </w:rPr>
        <w:t xml:space="preserve"> </w:t>
      </w:r>
      <w:r w:rsidR="00963910" w:rsidRPr="00963910">
        <w:rPr>
          <w:rFonts w:ascii="Times New Roman" w:hAnsi="Times New Roman"/>
          <w:bCs/>
          <w:sz w:val="24"/>
          <w:szCs w:val="24"/>
        </w:rPr>
        <w:t>to compile, present, and share data on outputs and outcomes, and potential impact of services across all states participating in the LSTA program.</w:t>
      </w:r>
      <w:r w:rsidR="008D0698">
        <w:rPr>
          <w:rFonts w:ascii="Times New Roman" w:hAnsi="Times New Roman"/>
          <w:bCs/>
          <w:sz w:val="24"/>
          <w:szCs w:val="24"/>
        </w:rPr>
        <w:t xml:space="preserve"> </w:t>
      </w:r>
      <w:r w:rsidR="008D0698" w:rsidRPr="008D0698">
        <w:rPr>
          <w:rFonts w:ascii="Times New Roman" w:hAnsi="Times New Roman"/>
          <w:bCs/>
          <w:i/>
          <w:sz w:val="24"/>
          <w:szCs w:val="24"/>
        </w:rPr>
        <w:t>Note: this is not an IMLS data collection, but guidelines all states will use in conducting independent evaluations of their services. IMLS will receive copies of those evaluations, but does not manage the data being collected or direct any single methodology to be used.</w:t>
      </w:r>
    </w:p>
    <w:p w14:paraId="4DB15AB0" w14:textId="77777777" w:rsidR="00D97217" w:rsidRPr="00C80D88" w:rsidRDefault="00D97217" w:rsidP="00B940D2">
      <w:pPr>
        <w:tabs>
          <w:tab w:val="left" w:pos="1080"/>
        </w:tabs>
        <w:spacing w:after="0"/>
        <w:rPr>
          <w:rFonts w:ascii="Times New Roman" w:hAnsi="Times New Roman"/>
          <w:bCs/>
          <w:sz w:val="24"/>
          <w:szCs w:val="24"/>
        </w:rPr>
      </w:pPr>
    </w:p>
    <w:p w14:paraId="133EE632"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14:paraId="485A2BC8" w14:textId="77777777" w:rsidR="00160571" w:rsidRDefault="00160571" w:rsidP="00160571">
      <w:pPr>
        <w:tabs>
          <w:tab w:val="left" w:pos="1080"/>
        </w:tabs>
        <w:spacing w:after="120" w:line="240" w:lineRule="auto"/>
        <w:rPr>
          <w:rFonts w:ascii="Times New Roman" w:hAnsi="Times New Roman"/>
          <w:color w:val="000000" w:themeColor="text1"/>
          <w:sz w:val="24"/>
          <w:szCs w:val="24"/>
        </w:rPr>
      </w:pPr>
    </w:p>
    <w:p w14:paraId="59A54758" w14:textId="77777777" w:rsidR="00160571" w:rsidRPr="00FD0EB7" w:rsidRDefault="00160571" w:rsidP="00160571">
      <w:p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Section 9134 (c) of IMLS’ authorizing legislation directs SLAAs to "independently evaluate, and report to the (IMLS) Director regarding, the activities assisted under this subchapter, prior to the end of the 5-year plan." This evaluation provides SLAAs an opportunity to measure progress in meeting the targets set in their approved five-year plans and is designed to help states make effective resource allocation decisions in their upcoming five-year plans.</w:t>
      </w:r>
    </w:p>
    <w:p w14:paraId="34AEE18C" w14:textId="77777777" w:rsidR="00160571" w:rsidRPr="00FD0EB7" w:rsidRDefault="00160571" w:rsidP="00160571">
      <w:p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While both of these goals are important, previous guidance documents from IMLS focused primarily on the assessment of past practice. To make a more deliberate link between the evaluation findings and the SLAAs’ next five-year plans, IMLS is providing new guidance. This guidance identifies a core set of research questions that are designed to: </w:t>
      </w:r>
    </w:p>
    <w:p w14:paraId="340F84E3" w14:textId="77777777" w:rsidR="00160571" w:rsidRPr="00FD0EB7" w:rsidRDefault="00160571" w:rsidP="008D0698">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highlight effective past practices;</w:t>
      </w:r>
    </w:p>
    <w:p w14:paraId="5269C7D0" w14:textId="77777777" w:rsidR="00160571" w:rsidRPr="00FD0EB7" w:rsidRDefault="00160571" w:rsidP="008D0698">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identify processes at work in implementing the activities in the plan, including the use of performance-based measurements in planning, policy making and administration, and;</w:t>
      </w:r>
    </w:p>
    <w:p w14:paraId="3F235E1D" w14:textId="77777777" w:rsidR="00160571" w:rsidRPr="00FD0EB7" w:rsidRDefault="00160571" w:rsidP="008D0698">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develop key findings and recommendations from evaluating the past five years for inclusion in the next five-year planning cycle.</w:t>
      </w:r>
    </w:p>
    <w:p w14:paraId="5CF1EE92" w14:textId="77777777" w:rsidR="00160571" w:rsidRDefault="00160571" w:rsidP="00B940D2">
      <w:pPr>
        <w:tabs>
          <w:tab w:val="left" w:pos="1080"/>
        </w:tabs>
        <w:spacing w:after="0"/>
        <w:rPr>
          <w:rFonts w:ascii="Franklin Gothic Book" w:hAnsi="Franklin Gothic Book"/>
          <w:b/>
          <w:sz w:val="24"/>
          <w:szCs w:val="24"/>
        </w:rPr>
      </w:pPr>
    </w:p>
    <w:p w14:paraId="5412B66C" w14:textId="3B96D6A2"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A.2.b. </w:t>
      </w:r>
      <w:r w:rsidRPr="00C80D88">
        <w:rPr>
          <w:rFonts w:ascii="Franklin Gothic Book" w:hAnsi="Franklin Gothic Book"/>
          <w:b/>
          <w:sz w:val="24"/>
          <w:szCs w:val="24"/>
        </w:rPr>
        <w:tab/>
        <w:t xml:space="preserve">Research Issues Addressed </w:t>
      </w:r>
    </w:p>
    <w:p w14:paraId="4FA5D37B" w14:textId="77777777" w:rsidR="00AE15E1" w:rsidRDefault="00AE15E1" w:rsidP="00B940D2">
      <w:pPr>
        <w:tabs>
          <w:tab w:val="left" w:pos="1080"/>
        </w:tabs>
        <w:spacing w:after="0"/>
        <w:rPr>
          <w:rFonts w:ascii="Times New Roman" w:hAnsi="Times New Roman"/>
          <w:bCs/>
          <w:sz w:val="24"/>
          <w:szCs w:val="24"/>
        </w:rPr>
      </w:pPr>
    </w:p>
    <w:p w14:paraId="6CED3DD9" w14:textId="6F007947" w:rsidR="00024EF4" w:rsidRPr="00C80D88" w:rsidRDefault="00EB76C5" w:rsidP="00B940D2">
      <w:pPr>
        <w:tabs>
          <w:tab w:val="left" w:pos="1080"/>
        </w:tabs>
        <w:spacing w:after="0"/>
        <w:rPr>
          <w:rFonts w:ascii="Times New Roman" w:hAnsi="Times New Roman"/>
          <w:bCs/>
          <w:sz w:val="24"/>
          <w:szCs w:val="24"/>
        </w:rPr>
      </w:pPr>
      <w:r>
        <w:rPr>
          <w:rFonts w:ascii="Times New Roman" w:hAnsi="Times New Roman"/>
          <w:bCs/>
          <w:sz w:val="24"/>
          <w:szCs w:val="24"/>
        </w:rPr>
        <w:t>None.</w:t>
      </w:r>
    </w:p>
    <w:p w14:paraId="646AAE42" w14:textId="77777777" w:rsidR="00076CB4" w:rsidRPr="00C80D88" w:rsidRDefault="00076CB4" w:rsidP="00B940D2">
      <w:pPr>
        <w:tabs>
          <w:tab w:val="left" w:pos="1080"/>
        </w:tabs>
        <w:spacing w:after="0"/>
        <w:rPr>
          <w:rFonts w:ascii="Times New Roman" w:hAnsi="Times New Roman"/>
          <w:sz w:val="24"/>
          <w:szCs w:val="24"/>
        </w:rPr>
      </w:pPr>
    </w:p>
    <w:p w14:paraId="6BAC00B3"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14:paraId="40A3D45B" w14:textId="77777777" w:rsidR="00C6026C" w:rsidRPr="00C80D88" w:rsidRDefault="00C6026C" w:rsidP="00B940D2">
      <w:pPr>
        <w:tabs>
          <w:tab w:val="left" w:pos="1080"/>
        </w:tabs>
        <w:spacing w:after="0"/>
        <w:rPr>
          <w:rFonts w:ascii="Times New Roman" w:hAnsi="Times New Roman"/>
          <w:sz w:val="24"/>
          <w:szCs w:val="24"/>
        </w:rPr>
      </w:pPr>
    </w:p>
    <w:p w14:paraId="201D7824" w14:textId="101D507F" w:rsidR="00C344E0" w:rsidRPr="00C80D88" w:rsidRDefault="00AE15E1" w:rsidP="00B940D2">
      <w:pPr>
        <w:tabs>
          <w:tab w:val="left" w:pos="1080"/>
        </w:tabs>
        <w:spacing w:after="0"/>
        <w:rPr>
          <w:rFonts w:ascii="Times New Roman" w:hAnsi="Times New Roman"/>
          <w:sz w:val="24"/>
          <w:szCs w:val="24"/>
        </w:rPr>
      </w:pPr>
      <w:r>
        <w:rPr>
          <w:rFonts w:ascii="Times New Roman" w:hAnsi="Times New Roman"/>
          <w:sz w:val="24"/>
          <w:szCs w:val="24"/>
        </w:rPr>
        <w:t>N/A</w:t>
      </w:r>
    </w:p>
    <w:p w14:paraId="2596D0B3" w14:textId="77777777" w:rsidR="00FB22F0" w:rsidRPr="00C80D88" w:rsidRDefault="00FB22F0" w:rsidP="00B940D2">
      <w:pPr>
        <w:tabs>
          <w:tab w:val="left" w:pos="1080"/>
        </w:tabs>
        <w:spacing w:after="0"/>
        <w:rPr>
          <w:rFonts w:ascii="Times New Roman" w:hAnsi="Times New Roman"/>
          <w:sz w:val="24"/>
          <w:szCs w:val="24"/>
        </w:rPr>
      </w:pPr>
    </w:p>
    <w:p w14:paraId="25D131C7"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14:paraId="656F7575" w14:textId="77777777" w:rsidR="00D55958" w:rsidRPr="00C80D88" w:rsidRDefault="00D55958" w:rsidP="00B940D2">
      <w:pPr>
        <w:tabs>
          <w:tab w:val="left" w:pos="1080"/>
        </w:tabs>
        <w:spacing w:after="0"/>
        <w:rPr>
          <w:rFonts w:ascii="Times New Roman" w:hAnsi="Times New Roman"/>
          <w:sz w:val="24"/>
          <w:szCs w:val="24"/>
        </w:rPr>
      </w:pPr>
    </w:p>
    <w:p w14:paraId="7FFA055B" w14:textId="231C7DD8" w:rsidR="00D0431A" w:rsidRPr="00AE15E1" w:rsidRDefault="00D0431A" w:rsidP="00D0431A">
      <w:pPr>
        <w:tabs>
          <w:tab w:val="left" w:pos="1069"/>
        </w:tabs>
        <w:spacing w:after="0"/>
        <w:rPr>
          <w:rFonts w:ascii="Times New Roman" w:hAnsi="Times New Roman"/>
          <w:iCs/>
          <w:sz w:val="24"/>
          <w:szCs w:val="24"/>
        </w:rPr>
      </w:pPr>
      <w:r w:rsidRPr="00D0431A">
        <w:rPr>
          <w:rFonts w:ascii="Times New Roman" w:hAnsi="Times New Roman"/>
          <w:i/>
          <w:iCs/>
          <w:sz w:val="24"/>
          <w:szCs w:val="24"/>
        </w:rPr>
        <w:t xml:space="preserve">There </w:t>
      </w:r>
      <w:r w:rsidR="00AE15E1">
        <w:rPr>
          <w:rFonts w:ascii="Times New Roman" w:hAnsi="Times New Roman"/>
          <w:i/>
          <w:iCs/>
          <w:sz w:val="24"/>
          <w:szCs w:val="24"/>
        </w:rPr>
        <w:t>is</w:t>
      </w:r>
      <w:r w:rsidRPr="00D0431A">
        <w:rPr>
          <w:rFonts w:ascii="Times New Roman" w:hAnsi="Times New Roman"/>
          <w:i/>
          <w:iCs/>
          <w:sz w:val="24"/>
          <w:szCs w:val="24"/>
        </w:rPr>
        <w:t xml:space="preserve"> no duplication of effort between </w:t>
      </w:r>
      <w:r w:rsidR="00AE15E1">
        <w:rPr>
          <w:rFonts w:ascii="Times New Roman" w:hAnsi="Times New Roman"/>
          <w:i/>
          <w:iCs/>
          <w:sz w:val="24"/>
          <w:szCs w:val="24"/>
        </w:rPr>
        <w:t>the SLAAs Five Year Evaluation and the annual, project-based data SLAAs must report as a part of the State Program Report (</w:t>
      </w:r>
      <w:r w:rsidRPr="00D0431A">
        <w:rPr>
          <w:rFonts w:ascii="Times New Roman" w:hAnsi="Times New Roman"/>
          <w:i/>
          <w:iCs/>
          <w:sz w:val="24"/>
          <w:szCs w:val="24"/>
        </w:rPr>
        <w:t>LSTA reporting</w:t>
      </w:r>
      <w:r w:rsidR="00AE15E1">
        <w:rPr>
          <w:rFonts w:ascii="Times New Roman" w:hAnsi="Times New Roman"/>
          <w:i/>
          <w:iCs/>
          <w:sz w:val="24"/>
          <w:szCs w:val="24"/>
        </w:rPr>
        <w:t xml:space="preserve">). </w:t>
      </w:r>
      <w:r w:rsidR="00AE15E1" w:rsidRPr="00AE15E1">
        <w:rPr>
          <w:rFonts w:ascii="Times New Roman" w:hAnsi="Times New Roman"/>
          <w:iCs/>
          <w:sz w:val="24"/>
          <w:szCs w:val="24"/>
        </w:rPr>
        <w:t>The Five Year evaluation compiles information about the SLAAs meeting their overall goals based on sets of activities outlined in their mandatory Five Year Plans.  The annual State Program Report captures data at the project and annual funding level.  That data is likely to be leveraged as a part of the SLAA’s analysis of its activities, but is not duplicative in any way.</w:t>
      </w:r>
    </w:p>
    <w:p w14:paraId="7DE83BEB" w14:textId="77777777" w:rsidR="00B91628" w:rsidRPr="00C80D88" w:rsidRDefault="00B91628" w:rsidP="00B940D2">
      <w:pPr>
        <w:tabs>
          <w:tab w:val="left" w:pos="1080"/>
        </w:tabs>
        <w:spacing w:after="0"/>
        <w:rPr>
          <w:rFonts w:ascii="Times New Roman" w:hAnsi="Times New Roman"/>
          <w:sz w:val="24"/>
          <w:szCs w:val="24"/>
        </w:rPr>
      </w:pPr>
    </w:p>
    <w:p w14:paraId="514FA90C"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14:paraId="781502CE" w14:textId="77777777" w:rsidR="00D55958" w:rsidRPr="00C80D88" w:rsidRDefault="00D55958" w:rsidP="00B940D2">
      <w:pPr>
        <w:tabs>
          <w:tab w:val="left" w:pos="1080"/>
        </w:tabs>
        <w:spacing w:after="0"/>
        <w:rPr>
          <w:rFonts w:ascii="Times New Roman" w:hAnsi="Times New Roman"/>
          <w:sz w:val="24"/>
          <w:szCs w:val="24"/>
        </w:rPr>
      </w:pPr>
    </w:p>
    <w:p w14:paraId="591983AF" w14:textId="77777777" w:rsidR="00E14898" w:rsidRPr="00C80D88" w:rsidRDefault="00E14898"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14:paraId="4D01F4A1" w14:textId="77777777" w:rsidR="00FB22F0" w:rsidRPr="00C80D88" w:rsidRDefault="00FB22F0" w:rsidP="00B940D2">
      <w:pPr>
        <w:tabs>
          <w:tab w:val="left" w:pos="1080"/>
        </w:tabs>
        <w:spacing w:after="0"/>
        <w:rPr>
          <w:rFonts w:ascii="Times New Roman" w:hAnsi="Times New Roman"/>
          <w:sz w:val="24"/>
          <w:szCs w:val="24"/>
        </w:rPr>
      </w:pPr>
    </w:p>
    <w:p w14:paraId="5F1292C9" w14:textId="77777777" w:rsidR="00024EF4"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14:paraId="6696221A" w14:textId="77777777" w:rsidR="00D55958" w:rsidRDefault="00D55958" w:rsidP="00B940D2">
      <w:pPr>
        <w:tabs>
          <w:tab w:val="left" w:pos="1080"/>
        </w:tabs>
        <w:spacing w:after="0"/>
        <w:rPr>
          <w:rFonts w:ascii="Times New Roman" w:hAnsi="Times New Roman"/>
          <w:sz w:val="24"/>
          <w:szCs w:val="24"/>
        </w:rPr>
      </w:pPr>
    </w:p>
    <w:p w14:paraId="44E0EC5E" w14:textId="2019AADA" w:rsidR="007A7711" w:rsidRPr="00C80D88" w:rsidRDefault="007A7711" w:rsidP="007B21E8">
      <w:pPr>
        <w:tabs>
          <w:tab w:val="left" w:pos="1069"/>
        </w:tabs>
        <w:spacing w:after="0"/>
        <w:rPr>
          <w:rFonts w:ascii="Times New Roman" w:hAnsi="Times New Roman"/>
          <w:sz w:val="24"/>
          <w:szCs w:val="24"/>
        </w:rPr>
      </w:pPr>
      <w:r>
        <w:rPr>
          <w:rFonts w:ascii="Times New Roman" w:hAnsi="Times New Roman"/>
          <w:sz w:val="24"/>
          <w:szCs w:val="24"/>
        </w:rPr>
        <w:t xml:space="preserve">The SLAA Survey </w:t>
      </w:r>
      <w:r w:rsidR="007B21E8">
        <w:rPr>
          <w:rFonts w:ascii="Times New Roman" w:hAnsi="Times New Roman"/>
          <w:sz w:val="24"/>
          <w:szCs w:val="24"/>
        </w:rPr>
        <w:t>is required every five years, based upon the statute</w:t>
      </w:r>
      <w:r w:rsidR="00911447">
        <w:rPr>
          <w:rFonts w:ascii="Times New Roman" w:hAnsi="Times New Roman"/>
          <w:sz w:val="24"/>
          <w:szCs w:val="24"/>
        </w:rPr>
        <w:t>, 20 U.S.C. Section 9134 (c)(d)</w:t>
      </w:r>
      <w:r w:rsidR="007B21E8">
        <w:rPr>
          <w:rFonts w:ascii="Times New Roman" w:hAnsi="Times New Roman"/>
          <w:sz w:val="24"/>
          <w:szCs w:val="24"/>
        </w:rPr>
        <w:t xml:space="preserve">. </w:t>
      </w:r>
    </w:p>
    <w:p w14:paraId="03D8BCA0" w14:textId="77777777" w:rsidR="000726F3" w:rsidRPr="00C80D88" w:rsidRDefault="000726F3" w:rsidP="00B940D2">
      <w:pPr>
        <w:tabs>
          <w:tab w:val="left" w:pos="1080"/>
        </w:tabs>
        <w:spacing w:after="0"/>
        <w:rPr>
          <w:rFonts w:ascii="Times New Roman" w:hAnsi="Times New Roman"/>
          <w:sz w:val="24"/>
          <w:szCs w:val="24"/>
        </w:rPr>
      </w:pPr>
    </w:p>
    <w:p w14:paraId="2CC8FDE0"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14:paraId="35C0333F" w14:textId="77777777" w:rsidR="00D55958" w:rsidRPr="00C80D88" w:rsidRDefault="00D55958" w:rsidP="00B940D2">
      <w:pPr>
        <w:tabs>
          <w:tab w:val="left" w:pos="1080"/>
        </w:tabs>
        <w:spacing w:after="0"/>
        <w:rPr>
          <w:rFonts w:ascii="Times New Roman" w:hAnsi="Times New Roman"/>
          <w:sz w:val="24"/>
          <w:szCs w:val="24"/>
        </w:rPr>
      </w:pPr>
    </w:p>
    <w:p w14:paraId="297ACC8F" w14:textId="77777777" w:rsidR="00DC18EA" w:rsidRPr="00C80D88" w:rsidRDefault="00DC18EA" w:rsidP="00B940D2">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14:paraId="6706472A" w14:textId="77777777" w:rsidR="00C344E0" w:rsidRPr="00C80D88" w:rsidRDefault="00C344E0" w:rsidP="00B940D2">
      <w:pPr>
        <w:tabs>
          <w:tab w:val="left" w:pos="1080"/>
        </w:tabs>
        <w:spacing w:after="0"/>
        <w:rPr>
          <w:rFonts w:ascii="Times New Roman" w:hAnsi="Times New Roman"/>
          <w:sz w:val="24"/>
          <w:szCs w:val="24"/>
        </w:rPr>
      </w:pPr>
    </w:p>
    <w:p w14:paraId="76E4FF74" w14:textId="77777777" w:rsidR="00FB22F0" w:rsidRPr="00C80D88" w:rsidRDefault="00FB22F0" w:rsidP="00B940D2">
      <w:pPr>
        <w:tabs>
          <w:tab w:val="left" w:pos="1080"/>
        </w:tabs>
        <w:spacing w:after="0"/>
        <w:rPr>
          <w:rFonts w:ascii="Times New Roman" w:hAnsi="Times New Roman"/>
          <w:sz w:val="24"/>
          <w:szCs w:val="24"/>
        </w:rPr>
      </w:pPr>
    </w:p>
    <w:p w14:paraId="4A29063E"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14:paraId="22E1512A" w14:textId="77777777" w:rsidR="00C74C0E" w:rsidRPr="00C80D88" w:rsidRDefault="00C74C0E" w:rsidP="00B940D2">
      <w:pPr>
        <w:tabs>
          <w:tab w:val="left" w:pos="1080"/>
        </w:tabs>
        <w:spacing w:after="0"/>
        <w:rPr>
          <w:rFonts w:ascii="Franklin Gothic Book" w:hAnsi="Franklin Gothic Book"/>
          <w:b/>
          <w:sz w:val="28"/>
          <w:szCs w:val="28"/>
        </w:rPr>
      </w:pPr>
    </w:p>
    <w:p w14:paraId="38F38D87"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14:paraId="728942A4" w14:textId="77777777" w:rsidR="009F4E6B" w:rsidRPr="00C80D88" w:rsidRDefault="009F4E6B" w:rsidP="00B940D2">
      <w:pPr>
        <w:tabs>
          <w:tab w:val="left" w:pos="1080"/>
        </w:tabs>
        <w:spacing w:after="0"/>
        <w:rPr>
          <w:rFonts w:ascii="Times New Roman" w:hAnsi="Times New Roman"/>
          <w:sz w:val="24"/>
          <w:szCs w:val="24"/>
        </w:rPr>
      </w:pPr>
    </w:p>
    <w:p w14:paraId="16CE7C2D" w14:textId="03ABB130" w:rsidR="009F4E6B"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lastRenderedPageBreak/>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with a 60-day public comment period to announce this proposed information collection on </w:t>
      </w:r>
      <w:r w:rsidR="00A23199">
        <w:rPr>
          <w:rFonts w:ascii="Times New Roman" w:hAnsi="Times New Roman"/>
          <w:sz w:val="24"/>
          <w:szCs w:val="24"/>
        </w:rPr>
        <w:t>January 20, 2016</w:t>
      </w:r>
      <w:r w:rsidR="00A46A15">
        <w:rPr>
          <w:rFonts w:ascii="Times New Roman" w:hAnsi="Times New Roman"/>
          <w:sz w:val="24"/>
          <w:szCs w:val="24"/>
        </w:rPr>
        <w:t xml:space="preserve"> (</w:t>
      </w:r>
      <w:r w:rsidR="00893B8E">
        <w:rPr>
          <w:rFonts w:ascii="Times New Roman" w:hAnsi="Times New Roman"/>
          <w:sz w:val="24"/>
          <w:szCs w:val="24"/>
        </w:rPr>
        <w:t xml:space="preserve">Volume 81, Number 12, page 3165; </w:t>
      </w:r>
      <w:hyperlink r:id="rId15" w:history="1">
        <w:r w:rsidR="00A23199" w:rsidRPr="00A23199">
          <w:rPr>
            <w:rStyle w:val="Hyperlink"/>
            <w:rFonts w:ascii="Times New Roman" w:hAnsi="Times New Roman"/>
            <w:sz w:val="24"/>
            <w:szCs w:val="24"/>
          </w:rPr>
          <w:t>2016-</w:t>
        </w:r>
        <w:r w:rsidR="00A23199" w:rsidRPr="00A23199">
          <w:rPr>
            <w:rStyle w:val="Hyperlink"/>
            <w:rFonts w:ascii="Times New Roman" w:hAnsi="Times New Roman"/>
            <w:sz w:val="24"/>
            <w:szCs w:val="24"/>
          </w:rPr>
          <w:t>0</w:t>
        </w:r>
        <w:r w:rsidR="00A23199" w:rsidRPr="00A23199">
          <w:rPr>
            <w:rStyle w:val="Hyperlink"/>
            <w:rFonts w:ascii="Times New Roman" w:hAnsi="Times New Roman"/>
            <w:sz w:val="24"/>
            <w:szCs w:val="24"/>
          </w:rPr>
          <w:t>0768</w:t>
        </w:r>
      </w:hyperlink>
      <w:r w:rsidR="00A46A15">
        <w:rPr>
          <w:rFonts w:ascii="Times New Roman" w:hAnsi="Times New Roman"/>
          <w:sz w:val="24"/>
          <w:szCs w:val="24"/>
        </w:rPr>
        <w:t>)</w:t>
      </w:r>
      <w:r w:rsidRPr="00C80D88">
        <w:rPr>
          <w:rFonts w:ascii="Times New Roman" w:hAnsi="Times New Roman"/>
          <w:sz w:val="24"/>
          <w:szCs w:val="24"/>
        </w:rPr>
        <w:t xml:space="preserve">. A copy of the Federal Register Notice is provided </w:t>
      </w:r>
      <w:r w:rsidR="00F77452">
        <w:rPr>
          <w:rFonts w:ascii="Times New Roman" w:hAnsi="Times New Roman"/>
          <w:sz w:val="24"/>
          <w:szCs w:val="24"/>
        </w:rPr>
        <w:t>with the submission</w:t>
      </w:r>
      <w:r w:rsidRPr="00C80D88">
        <w:rPr>
          <w:rFonts w:ascii="Times New Roman" w:hAnsi="Times New Roman"/>
          <w:sz w:val="24"/>
          <w:szCs w:val="24"/>
        </w:rPr>
        <w:t xml:space="preserve">.  </w:t>
      </w:r>
      <w:r w:rsidR="00893B8E">
        <w:rPr>
          <w:rFonts w:ascii="Times New Roman" w:hAnsi="Times New Roman"/>
          <w:sz w:val="24"/>
          <w:szCs w:val="24"/>
        </w:rPr>
        <w:t>One comment</w:t>
      </w:r>
      <w:r w:rsidRPr="00C80D88">
        <w:rPr>
          <w:rFonts w:ascii="Times New Roman" w:hAnsi="Times New Roman"/>
          <w:sz w:val="24"/>
          <w:szCs w:val="24"/>
        </w:rPr>
        <w:t xml:space="preserve"> w</w:t>
      </w:r>
      <w:r w:rsidR="00893B8E">
        <w:rPr>
          <w:rFonts w:ascii="Times New Roman" w:hAnsi="Times New Roman"/>
          <w:sz w:val="24"/>
          <w:szCs w:val="24"/>
        </w:rPr>
        <w:t>as</w:t>
      </w:r>
      <w:r w:rsidRPr="00C80D88">
        <w:rPr>
          <w:rFonts w:ascii="Times New Roman" w:hAnsi="Times New Roman"/>
          <w:sz w:val="24"/>
          <w:szCs w:val="24"/>
        </w:rPr>
        <w:t xml:space="preserve"> submitted.</w:t>
      </w:r>
    </w:p>
    <w:p w14:paraId="646303D4" w14:textId="77777777" w:rsidR="00893B8E" w:rsidRDefault="00893B8E" w:rsidP="00B940D2">
      <w:pPr>
        <w:tabs>
          <w:tab w:val="left" w:pos="1080"/>
        </w:tabs>
        <w:spacing w:after="0"/>
        <w:rPr>
          <w:rFonts w:ascii="Times New Roman" w:hAnsi="Times New Roman"/>
          <w:sz w:val="24"/>
          <w:szCs w:val="24"/>
        </w:rPr>
      </w:pPr>
    </w:p>
    <w:p w14:paraId="4596C417" w14:textId="4CD1AE2D" w:rsidR="00893B8E" w:rsidRPr="00C80D88" w:rsidRDefault="00893B8E" w:rsidP="00B940D2">
      <w:pPr>
        <w:tabs>
          <w:tab w:val="left" w:pos="1080"/>
        </w:tabs>
        <w:spacing w:after="0"/>
        <w:rPr>
          <w:rFonts w:ascii="Times New Roman" w:hAnsi="Times New Roman"/>
          <w:sz w:val="24"/>
          <w:szCs w:val="24"/>
        </w:rPr>
      </w:pPr>
      <w:r w:rsidRPr="00893B8E">
        <w:rPr>
          <w:rFonts w:ascii="Times New Roman" w:hAnsi="Times New Roman"/>
          <w:sz w:val="24"/>
          <w:szCs w:val="24"/>
        </w:rPr>
        <w:t xml:space="preserve">IMLS published a notice in the Federal Register on </w:t>
      </w:r>
      <w:r>
        <w:rPr>
          <w:rFonts w:ascii="Times New Roman" w:hAnsi="Times New Roman"/>
          <w:sz w:val="24"/>
          <w:szCs w:val="24"/>
        </w:rPr>
        <w:t xml:space="preserve">April 12, 2016 </w:t>
      </w:r>
      <w:r w:rsidRPr="00893B8E">
        <w:rPr>
          <w:rFonts w:ascii="Times New Roman" w:hAnsi="Times New Roman"/>
          <w:sz w:val="24"/>
          <w:szCs w:val="24"/>
        </w:rPr>
        <w:t xml:space="preserve">(Volume 81, Number </w:t>
      </w:r>
      <w:r>
        <w:rPr>
          <w:rFonts w:ascii="Times New Roman" w:hAnsi="Times New Roman"/>
          <w:sz w:val="24"/>
          <w:szCs w:val="24"/>
        </w:rPr>
        <w:t>70</w:t>
      </w:r>
      <w:r w:rsidRPr="00893B8E">
        <w:rPr>
          <w:rFonts w:ascii="Times New Roman" w:hAnsi="Times New Roman"/>
          <w:sz w:val="24"/>
          <w:szCs w:val="24"/>
        </w:rPr>
        <w:t xml:space="preserve">, page </w:t>
      </w:r>
      <w:r>
        <w:rPr>
          <w:rFonts w:ascii="Times New Roman" w:hAnsi="Times New Roman"/>
          <w:sz w:val="24"/>
          <w:szCs w:val="24"/>
        </w:rPr>
        <w:t xml:space="preserve">21593; </w:t>
      </w:r>
      <w:hyperlink r:id="rId16" w:history="1">
        <w:r w:rsidRPr="00893B8E">
          <w:rPr>
            <w:rStyle w:val="Hyperlink"/>
            <w:rFonts w:ascii="Times New Roman" w:hAnsi="Times New Roman"/>
            <w:sz w:val="24"/>
            <w:szCs w:val="24"/>
          </w:rPr>
          <w:t>2016-08370</w:t>
        </w:r>
      </w:hyperlink>
      <w:r w:rsidRPr="00893B8E">
        <w:rPr>
          <w:rFonts w:ascii="Times New Roman" w:hAnsi="Times New Roman"/>
          <w:sz w:val="24"/>
          <w:szCs w:val="24"/>
        </w:rPr>
        <w:t>), with a 30-day public comment period to announce forwarding of the information collection request to OMB for approval.</w:t>
      </w:r>
    </w:p>
    <w:p w14:paraId="5BC4A0DB" w14:textId="080097EB" w:rsidR="00D55958" w:rsidRPr="00893B8E" w:rsidRDefault="00797B50" w:rsidP="00A23199">
      <w:pPr>
        <w:tabs>
          <w:tab w:val="left" w:pos="2501"/>
        </w:tabs>
        <w:spacing w:after="0"/>
        <w:rPr>
          <w:rFonts w:ascii="Times New Roman" w:hAnsi="Times New Roman"/>
          <w:sz w:val="24"/>
          <w:szCs w:val="24"/>
        </w:rPr>
      </w:pPr>
      <w:r w:rsidRPr="00C80D88">
        <w:rPr>
          <w:rFonts w:ascii="Times New Roman" w:hAnsi="Times New Roman"/>
          <w:color w:val="0000CC"/>
          <w:sz w:val="24"/>
          <w:szCs w:val="24"/>
        </w:rPr>
        <w:tab/>
      </w:r>
    </w:p>
    <w:p w14:paraId="215BD344"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14:paraId="5AC4AC25" w14:textId="77777777" w:rsidR="00C74C0E" w:rsidRPr="00C80D88" w:rsidRDefault="00C74C0E" w:rsidP="00B940D2">
      <w:pPr>
        <w:tabs>
          <w:tab w:val="left" w:pos="1080"/>
        </w:tabs>
        <w:spacing w:after="0"/>
        <w:rPr>
          <w:rFonts w:ascii="Times New Roman" w:hAnsi="Times New Roman"/>
          <w:sz w:val="24"/>
          <w:szCs w:val="24"/>
        </w:rPr>
      </w:pPr>
    </w:p>
    <w:p w14:paraId="460CFC7B" w14:textId="3C8BC27B"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w:t>
      </w:r>
      <w:r w:rsidR="00A23199">
        <w:rPr>
          <w:rFonts w:ascii="Times New Roman" w:hAnsi="Times New Roman"/>
          <w:sz w:val="24"/>
          <w:szCs w:val="24"/>
        </w:rPr>
        <w:t>SLAAs</w:t>
      </w:r>
      <w:r w:rsidRPr="00D0431A">
        <w:rPr>
          <w:rFonts w:ascii="Times New Roman" w:hAnsi="Times New Roman"/>
          <w:sz w:val="24"/>
          <w:szCs w:val="24"/>
        </w:rPr>
        <w:t xml:space="preserve"> </w:t>
      </w:r>
      <w:r w:rsidR="00A23199">
        <w:rPr>
          <w:rFonts w:ascii="Times New Roman" w:hAnsi="Times New Roman"/>
          <w:sz w:val="24"/>
          <w:szCs w:val="24"/>
        </w:rPr>
        <w:t>were</w:t>
      </w:r>
      <w:r w:rsidRPr="00D0431A">
        <w:rPr>
          <w:rFonts w:ascii="Times New Roman" w:hAnsi="Times New Roman"/>
          <w:sz w:val="24"/>
          <w:szCs w:val="24"/>
        </w:rPr>
        <w:t xml:space="preserve"> </w:t>
      </w:r>
      <w:r w:rsidR="00911447">
        <w:rPr>
          <w:rFonts w:ascii="Times New Roman" w:hAnsi="Times New Roman"/>
          <w:sz w:val="24"/>
          <w:szCs w:val="24"/>
        </w:rPr>
        <w:t xml:space="preserve">informally </w:t>
      </w:r>
      <w:r w:rsidRPr="00D0431A">
        <w:rPr>
          <w:rFonts w:ascii="Times New Roman" w:hAnsi="Times New Roman"/>
          <w:sz w:val="24"/>
          <w:szCs w:val="24"/>
        </w:rPr>
        <w:t xml:space="preserve">consulted in the </w:t>
      </w:r>
      <w:r w:rsidR="00A23199">
        <w:rPr>
          <w:rFonts w:ascii="Times New Roman" w:hAnsi="Times New Roman"/>
          <w:sz w:val="24"/>
          <w:szCs w:val="24"/>
        </w:rPr>
        <w:t xml:space="preserve">revision of the </w:t>
      </w:r>
      <w:r w:rsidR="00911447" w:rsidRPr="00911447">
        <w:rPr>
          <w:rFonts w:ascii="Times New Roman" w:hAnsi="Times New Roman"/>
          <w:b/>
          <w:bCs/>
          <w:sz w:val="24"/>
          <w:szCs w:val="24"/>
        </w:rPr>
        <w:t>Guidelines for Grants to States Program Five-Year Evaluations</w:t>
      </w:r>
      <w:r w:rsidRPr="00D0431A">
        <w:rPr>
          <w:rFonts w:ascii="Times New Roman" w:hAnsi="Times New Roman"/>
          <w:sz w:val="24"/>
          <w:szCs w:val="24"/>
        </w:rPr>
        <w:t xml:space="preserve">. </w:t>
      </w:r>
      <w:r w:rsidR="00911447">
        <w:rPr>
          <w:rFonts w:ascii="Times New Roman" w:hAnsi="Times New Roman"/>
          <w:sz w:val="24"/>
          <w:szCs w:val="24"/>
        </w:rPr>
        <w:t>Discussions took place at the Chief Officers of State Library Agencies meeting at the American Library Association 2016 Midwinter Meeting.</w:t>
      </w:r>
    </w:p>
    <w:p w14:paraId="7B3EC9E1" w14:textId="77777777" w:rsidR="00FB22F0" w:rsidRPr="00C80D88" w:rsidRDefault="00FB22F0" w:rsidP="00B940D2">
      <w:pPr>
        <w:tabs>
          <w:tab w:val="left" w:pos="1080"/>
        </w:tabs>
        <w:spacing w:after="0"/>
        <w:rPr>
          <w:rFonts w:ascii="Times New Roman" w:hAnsi="Times New Roman"/>
          <w:sz w:val="24"/>
          <w:szCs w:val="24"/>
        </w:rPr>
      </w:pPr>
    </w:p>
    <w:p w14:paraId="32D3BCB8"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14:paraId="7FFB9B9B" w14:textId="77777777" w:rsidR="00D55958" w:rsidRPr="00C80D88" w:rsidRDefault="00D55958" w:rsidP="00B940D2">
      <w:pPr>
        <w:tabs>
          <w:tab w:val="left" w:pos="1080"/>
        </w:tabs>
        <w:spacing w:after="0"/>
        <w:rPr>
          <w:rFonts w:ascii="Times New Roman" w:hAnsi="Times New Roman"/>
          <w:sz w:val="24"/>
          <w:szCs w:val="24"/>
        </w:rPr>
      </w:pPr>
    </w:p>
    <w:p w14:paraId="728D956C" w14:textId="77777777" w:rsidR="00600ABD" w:rsidRPr="00600ABD" w:rsidRDefault="00600ABD" w:rsidP="00600ABD">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14:paraId="3CAA43D9" w14:textId="77777777" w:rsidR="00EC60D9" w:rsidRPr="00C80D88" w:rsidRDefault="00EC60D9" w:rsidP="00B940D2">
      <w:pPr>
        <w:tabs>
          <w:tab w:val="left" w:pos="1080"/>
        </w:tabs>
        <w:spacing w:after="0"/>
        <w:rPr>
          <w:rFonts w:ascii="Times New Roman" w:hAnsi="Times New Roman"/>
          <w:sz w:val="24"/>
          <w:szCs w:val="24"/>
        </w:rPr>
      </w:pPr>
    </w:p>
    <w:p w14:paraId="6AF9C029" w14:textId="77777777" w:rsidR="00D55958" w:rsidRPr="004C3C1D"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14:paraId="0A4DC70E" w14:textId="77777777" w:rsidR="003E3E0A" w:rsidRPr="00C80D88" w:rsidRDefault="003E3E0A" w:rsidP="00B940D2">
      <w:pPr>
        <w:tabs>
          <w:tab w:val="left" w:pos="1080"/>
        </w:tabs>
        <w:spacing w:after="0"/>
        <w:rPr>
          <w:rFonts w:ascii="Times New Roman" w:hAnsi="Times New Roman"/>
          <w:color w:val="0000CC"/>
          <w:sz w:val="24"/>
          <w:szCs w:val="24"/>
        </w:rPr>
      </w:pPr>
    </w:p>
    <w:p w14:paraId="64DA15C3" w14:textId="77777777" w:rsidR="003E3E0A" w:rsidRPr="00600ABD" w:rsidRDefault="00600ABD" w:rsidP="00B940D2">
      <w:pPr>
        <w:tabs>
          <w:tab w:val="left" w:pos="1080"/>
        </w:tabs>
        <w:spacing w:after="0"/>
        <w:rPr>
          <w:rFonts w:ascii="Times New Roman" w:hAnsi="Times New Roman"/>
          <w:sz w:val="24"/>
          <w:szCs w:val="24"/>
        </w:rPr>
      </w:pPr>
      <w:r w:rsidRPr="00600ABD">
        <w:rPr>
          <w:rFonts w:ascii="Times New Roman" w:hAnsi="Times New Roman"/>
          <w:sz w:val="24"/>
          <w:szCs w:val="24"/>
        </w:rPr>
        <w:t>Personal information collected through this survey will be kept private to the extent permitted by law.</w:t>
      </w:r>
    </w:p>
    <w:p w14:paraId="1D81C417" w14:textId="77777777" w:rsidR="00C344E0" w:rsidRPr="004C3C1D" w:rsidRDefault="00C344E0" w:rsidP="00B940D2">
      <w:pPr>
        <w:tabs>
          <w:tab w:val="left" w:pos="1080"/>
        </w:tabs>
        <w:spacing w:after="0"/>
        <w:rPr>
          <w:rFonts w:ascii="Times New Roman" w:hAnsi="Times New Roman"/>
          <w:sz w:val="24"/>
          <w:szCs w:val="24"/>
        </w:rPr>
      </w:pPr>
    </w:p>
    <w:p w14:paraId="164C6F90"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14:paraId="0D60AC8D" w14:textId="77777777" w:rsidR="00C96696" w:rsidRPr="00C80D88" w:rsidRDefault="00C96696" w:rsidP="00B940D2">
      <w:pPr>
        <w:tabs>
          <w:tab w:val="left" w:pos="1080"/>
        </w:tabs>
        <w:spacing w:after="0"/>
        <w:rPr>
          <w:rFonts w:ascii="Times New Roman" w:hAnsi="Times New Roman"/>
          <w:color w:val="0000CC"/>
          <w:sz w:val="24"/>
          <w:szCs w:val="24"/>
        </w:rPr>
      </w:pPr>
    </w:p>
    <w:p w14:paraId="50C84A67" w14:textId="77777777" w:rsidR="00600ABD" w:rsidRPr="00600ABD" w:rsidRDefault="00600ABD" w:rsidP="00600ABD">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14:paraId="2EDB3F90" w14:textId="77777777" w:rsidR="003E3E0A" w:rsidRPr="00C80D88" w:rsidRDefault="003E3E0A" w:rsidP="00B940D2">
      <w:pPr>
        <w:tabs>
          <w:tab w:val="left" w:pos="1080"/>
        </w:tabs>
        <w:spacing w:after="0"/>
        <w:rPr>
          <w:rFonts w:ascii="Times New Roman" w:hAnsi="Times New Roman"/>
          <w:sz w:val="24"/>
          <w:szCs w:val="24"/>
        </w:rPr>
      </w:pPr>
    </w:p>
    <w:p w14:paraId="2C22519A"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14:paraId="3BA15610" w14:textId="77777777" w:rsidR="00D55958" w:rsidRPr="00C80D88" w:rsidRDefault="00D55958" w:rsidP="00B940D2">
      <w:pPr>
        <w:tabs>
          <w:tab w:val="left" w:pos="1080"/>
        </w:tabs>
        <w:spacing w:after="0"/>
        <w:rPr>
          <w:rFonts w:ascii="Times New Roman" w:hAnsi="Times New Roman"/>
          <w:sz w:val="24"/>
          <w:szCs w:val="24"/>
        </w:rPr>
      </w:pPr>
    </w:p>
    <w:p w14:paraId="376F8AD7" w14:textId="1F50A934"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The cost to respondents is estimated to be $</w:t>
      </w:r>
      <w:r w:rsidR="00137078">
        <w:rPr>
          <w:rFonts w:ascii="Times New Roman" w:hAnsi="Times New Roman"/>
          <w:sz w:val="24"/>
          <w:szCs w:val="24"/>
        </w:rPr>
        <w:t>138,303</w:t>
      </w:r>
      <w:r w:rsidRPr="00872124">
        <w:rPr>
          <w:rFonts w:ascii="Times New Roman" w:hAnsi="Times New Roman"/>
          <w:sz w:val="24"/>
          <w:szCs w:val="24"/>
        </w:rPr>
        <w:t>.  This estimate is derived using the standard IMLS procedure: multiplying the estimated reporting hours per respondent (</w:t>
      </w:r>
      <w:r w:rsidR="00911447">
        <w:rPr>
          <w:rFonts w:ascii="Times New Roman" w:hAnsi="Times New Roman"/>
          <w:sz w:val="24"/>
          <w:szCs w:val="24"/>
        </w:rPr>
        <w:t>90</w:t>
      </w:r>
      <w:r w:rsidRPr="00872124">
        <w:rPr>
          <w:rFonts w:ascii="Times New Roman" w:hAnsi="Times New Roman"/>
          <w:sz w:val="24"/>
          <w:szCs w:val="24"/>
        </w:rPr>
        <w:t>), by the average hourly compensation for a typical respondent ($27.</w:t>
      </w:r>
      <w:r w:rsidR="00137078">
        <w:rPr>
          <w:rFonts w:ascii="Times New Roman" w:hAnsi="Times New Roman"/>
          <w:sz w:val="24"/>
          <w:szCs w:val="24"/>
        </w:rPr>
        <w:t>94</w:t>
      </w:r>
      <w:r w:rsidRPr="00872124">
        <w:rPr>
          <w:rFonts w:ascii="Times New Roman" w:hAnsi="Times New Roman"/>
          <w:sz w:val="24"/>
          <w:szCs w:val="24"/>
        </w:rPr>
        <w:t xml:space="preserve"> per hour, for the combined time of a State library respondent (key holder) and a technician), by the projected number of respondents (5</w:t>
      </w:r>
      <w:r w:rsidR="00911447">
        <w:rPr>
          <w:rFonts w:ascii="Times New Roman" w:hAnsi="Times New Roman"/>
          <w:sz w:val="24"/>
          <w:szCs w:val="24"/>
        </w:rPr>
        <w:t>5</w:t>
      </w:r>
      <w:r w:rsidRPr="00872124">
        <w:rPr>
          <w:rFonts w:ascii="Times New Roman" w:hAnsi="Times New Roman"/>
          <w:sz w:val="24"/>
          <w:szCs w:val="24"/>
        </w:rPr>
        <w:t>).</w:t>
      </w:r>
    </w:p>
    <w:p w14:paraId="4D2E2A94" w14:textId="77777777" w:rsidR="00872124" w:rsidRDefault="00872124" w:rsidP="00872124">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2559"/>
        <w:gridCol w:w="2862"/>
        <w:gridCol w:w="2332"/>
      </w:tblGrid>
      <w:tr w:rsidR="00872124" w:rsidRPr="00872124" w14:paraId="25D518E4" w14:textId="77777777" w:rsidTr="00872124">
        <w:tc>
          <w:tcPr>
            <w:tcW w:w="1638" w:type="dxa"/>
            <w:vAlign w:val="bottom"/>
          </w:tcPr>
          <w:p w14:paraId="7F244CC0"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Survey</w:t>
            </w:r>
          </w:p>
        </w:tc>
        <w:tc>
          <w:tcPr>
            <w:tcW w:w="2610" w:type="dxa"/>
            <w:vAlign w:val="bottom"/>
          </w:tcPr>
          <w:p w14:paraId="2EA14B8D"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Number of respondents</w:t>
            </w:r>
          </w:p>
        </w:tc>
        <w:tc>
          <w:tcPr>
            <w:tcW w:w="2934" w:type="dxa"/>
            <w:vAlign w:val="bottom"/>
          </w:tcPr>
          <w:p w14:paraId="7CDC25FA"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Estimated response time*</w:t>
            </w:r>
          </w:p>
        </w:tc>
        <w:tc>
          <w:tcPr>
            <w:tcW w:w="2394" w:type="dxa"/>
            <w:vAlign w:val="bottom"/>
          </w:tcPr>
          <w:p w14:paraId="24A9EC25"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Total burden hours</w:t>
            </w:r>
          </w:p>
        </w:tc>
      </w:tr>
      <w:tr w:rsidR="00872124" w14:paraId="1095C909" w14:textId="77777777" w:rsidTr="00872124">
        <w:tc>
          <w:tcPr>
            <w:tcW w:w="1638" w:type="dxa"/>
            <w:vAlign w:val="bottom"/>
          </w:tcPr>
          <w:p w14:paraId="7B28A74F"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SLAA</w:t>
            </w:r>
          </w:p>
        </w:tc>
        <w:tc>
          <w:tcPr>
            <w:tcW w:w="2610" w:type="dxa"/>
            <w:vAlign w:val="bottom"/>
          </w:tcPr>
          <w:p w14:paraId="61A782A6" w14:textId="105B4DC8" w:rsidR="00872124" w:rsidRDefault="00872124" w:rsidP="007B21E8">
            <w:pPr>
              <w:tabs>
                <w:tab w:val="left" w:pos="1080"/>
              </w:tabs>
              <w:spacing w:after="0"/>
              <w:jc w:val="center"/>
              <w:rPr>
                <w:rFonts w:ascii="Times New Roman" w:hAnsi="Times New Roman"/>
                <w:sz w:val="24"/>
                <w:szCs w:val="24"/>
              </w:rPr>
            </w:pPr>
            <w:r>
              <w:rPr>
                <w:rFonts w:ascii="Times New Roman" w:hAnsi="Times New Roman"/>
                <w:sz w:val="24"/>
                <w:szCs w:val="24"/>
              </w:rPr>
              <w:t>50 States</w:t>
            </w:r>
            <w:r w:rsidR="007B21E8">
              <w:rPr>
                <w:rFonts w:ascii="Times New Roman" w:hAnsi="Times New Roman"/>
                <w:sz w:val="24"/>
                <w:szCs w:val="24"/>
              </w:rPr>
              <w:t>,</w:t>
            </w:r>
            <w:r>
              <w:rPr>
                <w:rFonts w:ascii="Times New Roman" w:hAnsi="Times New Roman"/>
                <w:sz w:val="24"/>
                <w:szCs w:val="24"/>
              </w:rPr>
              <w:t xml:space="preserve"> DC</w:t>
            </w:r>
            <w:r w:rsidR="00911447">
              <w:rPr>
                <w:rFonts w:ascii="Times New Roman" w:hAnsi="Times New Roman"/>
                <w:sz w:val="24"/>
                <w:szCs w:val="24"/>
              </w:rPr>
              <w:t xml:space="preserve">, </w:t>
            </w:r>
            <w:r w:rsidR="007B21E8">
              <w:rPr>
                <w:rFonts w:ascii="Times New Roman" w:hAnsi="Times New Roman"/>
                <w:sz w:val="24"/>
                <w:szCs w:val="24"/>
              </w:rPr>
              <w:t>PR</w:t>
            </w:r>
            <w:r w:rsidR="00911447">
              <w:rPr>
                <w:rFonts w:ascii="Times New Roman" w:hAnsi="Times New Roman"/>
                <w:sz w:val="24"/>
                <w:szCs w:val="24"/>
              </w:rPr>
              <w:t>, VI, AS, Guam</w:t>
            </w:r>
          </w:p>
        </w:tc>
        <w:tc>
          <w:tcPr>
            <w:tcW w:w="2934" w:type="dxa"/>
            <w:vAlign w:val="bottom"/>
          </w:tcPr>
          <w:p w14:paraId="724C0B5E" w14:textId="50D15027" w:rsidR="00872124" w:rsidRDefault="007B21E8" w:rsidP="00872124">
            <w:pPr>
              <w:tabs>
                <w:tab w:val="left" w:pos="1080"/>
              </w:tabs>
              <w:spacing w:after="0"/>
              <w:jc w:val="center"/>
              <w:rPr>
                <w:rFonts w:ascii="Times New Roman" w:hAnsi="Times New Roman"/>
                <w:sz w:val="24"/>
                <w:szCs w:val="24"/>
              </w:rPr>
            </w:pPr>
            <w:r>
              <w:rPr>
                <w:rFonts w:ascii="Times New Roman" w:hAnsi="Times New Roman"/>
                <w:sz w:val="24"/>
                <w:szCs w:val="24"/>
              </w:rPr>
              <w:t>90</w:t>
            </w:r>
            <w:r w:rsidR="00872124">
              <w:rPr>
                <w:rFonts w:ascii="Times New Roman" w:hAnsi="Times New Roman"/>
                <w:sz w:val="24"/>
                <w:szCs w:val="24"/>
              </w:rPr>
              <w:t xml:space="preserve"> hours</w:t>
            </w:r>
          </w:p>
        </w:tc>
        <w:tc>
          <w:tcPr>
            <w:tcW w:w="2394" w:type="dxa"/>
            <w:vAlign w:val="bottom"/>
          </w:tcPr>
          <w:p w14:paraId="6A5D1905" w14:textId="767232D5" w:rsidR="00872124" w:rsidRDefault="007B21E8" w:rsidP="00911447">
            <w:pPr>
              <w:tabs>
                <w:tab w:val="left" w:pos="1080"/>
              </w:tabs>
              <w:spacing w:after="0"/>
              <w:jc w:val="center"/>
              <w:rPr>
                <w:rFonts w:ascii="Times New Roman" w:hAnsi="Times New Roman"/>
                <w:sz w:val="24"/>
                <w:szCs w:val="24"/>
              </w:rPr>
            </w:pPr>
            <w:r>
              <w:rPr>
                <w:rFonts w:ascii="Times New Roman" w:hAnsi="Times New Roman"/>
                <w:sz w:val="24"/>
                <w:szCs w:val="24"/>
              </w:rPr>
              <w:t>4</w:t>
            </w:r>
            <w:r w:rsidR="00A23199">
              <w:rPr>
                <w:rFonts w:ascii="Times New Roman" w:hAnsi="Times New Roman"/>
                <w:sz w:val="24"/>
                <w:szCs w:val="24"/>
              </w:rPr>
              <w:t>,</w:t>
            </w:r>
            <w:r w:rsidR="00911447">
              <w:rPr>
                <w:rFonts w:ascii="Times New Roman" w:hAnsi="Times New Roman"/>
                <w:sz w:val="24"/>
                <w:szCs w:val="24"/>
              </w:rPr>
              <w:t>950</w:t>
            </w:r>
          </w:p>
        </w:tc>
      </w:tr>
    </w:tbl>
    <w:p w14:paraId="5D4E072E" w14:textId="77777777" w:rsidR="00872124" w:rsidRPr="00872124" w:rsidRDefault="00872124" w:rsidP="00872124">
      <w:pPr>
        <w:tabs>
          <w:tab w:val="left" w:pos="1080"/>
        </w:tabs>
        <w:spacing w:after="0"/>
        <w:rPr>
          <w:rFonts w:ascii="Times New Roman" w:hAnsi="Times New Roman"/>
          <w:sz w:val="24"/>
          <w:szCs w:val="24"/>
        </w:rPr>
      </w:pPr>
    </w:p>
    <w:p w14:paraId="0EFE05AE" w14:textId="527A2131" w:rsidR="00D55958" w:rsidRPr="00C80D88" w:rsidRDefault="007B21E8" w:rsidP="00B940D2">
      <w:pPr>
        <w:tabs>
          <w:tab w:val="left" w:pos="1080"/>
        </w:tabs>
        <w:spacing w:after="0"/>
        <w:rPr>
          <w:rFonts w:ascii="Franklin Gothic Book" w:hAnsi="Franklin Gothic Book"/>
          <w:b/>
          <w:sz w:val="28"/>
          <w:szCs w:val="28"/>
        </w:rPr>
      </w:pPr>
      <w:r>
        <w:rPr>
          <w:rFonts w:ascii="Franklin Gothic Book" w:hAnsi="Franklin Gothic Book"/>
          <w:b/>
          <w:sz w:val="28"/>
          <w:szCs w:val="28"/>
        </w:rPr>
        <w:t>46</w:t>
      </w:r>
      <w:r w:rsidR="00E67ECC" w:rsidRPr="00C80D88">
        <w:rPr>
          <w:rFonts w:ascii="Franklin Gothic Book" w:hAnsi="Franklin Gothic Book"/>
          <w:b/>
          <w:sz w:val="28"/>
          <w:szCs w:val="28"/>
        </w:rPr>
        <w:t>A.13.</w:t>
      </w:r>
      <w:r w:rsidR="00E67ECC" w:rsidRPr="00C80D88">
        <w:rPr>
          <w:rFonts w:ascii="Franklin Gothic Book" w:hAnsi="Franklin Gothic Book"/>
          <w:b/>
          <w:sz w:val="28"/>
          <w:szCs w:val="28"/>
        </w:rPr>
        <w:tab/>
        <w:t>Estimates of Cost</w:t>
      </w:r>
    </w:p>
    <w:p w14:paraId="422CACE4" w14:textId="77777777" w:rsidR="00D55958" w:rsidRPr="00C80D88" w:rsidRDefault="00D55958" w:rsidP="00B940D2">
      <w:pPr>
        <w:tabs>
          <w:tab w:val="left" w:pos="1080"/>
        </w:tabs>
        <w:spacing w:after="0"/>
        <w:rPr>
          <w:rFonts w:ascii="Times New Roman" w:hAnsi="Times New Roman"/>
          <w:sz w:val="24"/>
          <w:szCs w:val="24"/>
        </w:rPr>
      </w:pPr>
    </w:p>
    <w:p w14:paraId="46F18803" w14:textId="7477FB91" w:rsidR="00872124" w:rsidRDefault="009B62C6"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record keeping or reporting costs to the respondents</w:t>
      </w:r>
      <w:r w:rsidR="00200435" w:rsidRPr="00C80D88">
        <w:rPr>
          <w:rFonts w:ascii="Times New Roman" w:hAnsi="Times New Roman"/>
          <w:sz w:val="24"/>
          <w:szCs w:val="24"/>
        </w:rPr>
        <w:t xml:space="preserve"> beyond those described in section A12</w:t>
      </w:r>
      <w:r w:rsidRPr="00C80D88">
        <w:rPr>
          <w:rFonts w:ascii="Times New Roman" w:hAnsi="Times New Roman"/>
          <w:sz w:val="24"/>
          <w:szCs w:val="24"/>
        </w:rPr>
        <w:t xml:space="preserve">. </w:t>
      </w:r>
    </w:p>
    <w:p w14:paraId="3AFBA51F" w14:textId="77777777" w:rsidR="00872124" w:rsidRDefault="00872124" w:rsidP="00B940D2">
      <w:pPr>
        <w:tabs>
          <w:tab w:val="left" w:pos="1080"/>
        </w:tabs>
        <w:spacing w:after="0"/>
        <w:rPr>
          <w:rFonts w:ascii="Times New Roman" w:hAnsi="Times New Roman"/>
          <w:sz w:val="24"/>
          <w:szCs w:val="24"/>
        </w:rPr>
      </w:pPr>
    </w:p>
    <w:p w14:paraId="62FA5B6B" w14:textId="66CC1270" w:rsidR="00BE2B82" w:rsidRPr="00C80D88" w:rsidRDefault="00BE2B82" w:rsidP="00B940D2">
      <w:pPr>
        <w:tabs>
          <w:tab w:val="left" w:pos="1080"/>
        </w:tabs>
        <w:spacing w:after="0"/>
        <w:rPr>
          <w:rFonts w:ascii="Times New Roman" w:hAnsi="Times New Roman"/>
          <w:sz w:val="24"/>
          <w:szCs w:val="24"/>
        </w:rPr>
      </w:pPr>
      <w:r w:rsidRPr="00C80D88">
        <w:rPr>
          <w:rFonts w:ascii="Times New Roman" w:hAnsi="Times New Roman"/>
          <w:sz w:val="24"/>
          <w:szCs w:val="24"/>
        </w:rPr>
        <w:t>The Estimated Cost Burden</w:t>
      </w:r>
      <w:r w:rsidR="00872124">
        <w:rPr>
          <w:rFonts w:ascii="Times New Roman" w:hAnsi="Times New Roman"/>
          <w:sz w:val="24"/>
          <w:szCs w:val="24"/>
        </w:rPr>
        <w:t xml:space="preserve"> </w:t>
      </w:r>
      <w:r w:rsidRPr="00C80D88">
        <w:rPr>
          <w:rFonts w:ascii="Times New Roman" w:hAnsi="Times New Roman"/>
          <w:sz w:val="24"/>
          <w:szCs w:val="24"/>
        </w:rPr>
        <w:t>is $</w:t>
      </w:r>
      <w:r w:rsidR="00137078">
        <w:rPr>
          <w:rFonts w:ascii="Times New Roman" w:hAnsi="Times New Roman"/>
          <w:sz w:val="24"/>
          <w:szCs w:val="24"/>
        </w:rPr>
        <w:t>138,303</w:t>
      </w:r>
      <w:r w:rsidRPr="00C80D88">
        <w:rPr>
          <w:rFonts w:ascii="Times New Roman" w:hAnsi="Times New Roman"/>
          <w:sz w:val="24"/>
          <w:szCs w:val="24"/>
        </w:rPr>
        <w:t xml:space="preserve"> (</w:t>
      </w:r>
      <w:r w:rsidR="007B21E8">
        <w:rPr>
          <w:rFonts w:ascii="Times New Roman" w:hAnsi="Times New Roman"/>
          <w:sz w:val="24"/>
          <w:szCs w:val="24"/>
        </w:rPr>
        <w:t>4,</w:t>
      </w:r>
      <w:r w:rsidR="00911447">
        <w:rPr>
          <w:rFonts w:ascii="Times New Roman" w:hAnsi="Times New Roman"/>
          <w:sz w:val="24"/>
          <w:szCs w:val="24"/>
        </w:rPr>
        <w:t>950</w:t>
      </w:r>
      <w:r w:rsidRPr="00C80D88">
        <w:rPr>
          <w:rFonts w:ascii="Times New Roman" w:hAnsi="Times New Roman"/>
          <w:sz w:val="24"/>
          <w:szCs w:val="24"/>
        </w:rPr>
        <w:t xml:space="preserve"> hours total time burden times $</w:t>
      </w:r>
      <w:r w:rsidR="00872124">
        <w:rPr>
          <w:rFonts w:ascii="Times New Roman" w:hAnsi="Times New Roman"/>
          <w:sz w:val="24"/>
          <w:szCs w:val="24"/>
        </w:rPr>
        <w:t>27.</w:t>
      </w:r>
      <w:r w:rsidR="00137078">
        <w:rPr>
          <w:rFonts w:ascii="Times New Roman" w:hAnsi="Times New Roman"/>
          <w:sz w:val="24"/>
          <w:szCs w:val="24"/>
        </w:rPr>
        <w:t>94</w:t>
      </w:r>
      <w:r w:rsidRPr="00C80D88">
        <w:rPr>
          <w:rFonts w:ascii="Times New Roman" w:hAnsi="Times New Roman"/>
          <w:sz w:val="24"/>
          <w:szCs w:val="24"/>
        </w:rPr>
        <w:t xml:space="preserve"> per hour).</w:t>
      </w:r>
    </w:p>
    <w:p w14:paraId="39920AD0" w14:textId="77777777" w:rsidR="00BE2B82" w:rsidRPr="00C80D88" w:rsidRDefault="00BE2B82" w:rsidP="00B940D2">
      <w:pPr>
        <w:tabs>
          <w:tab w:val="left" w:pos="1080"/>
        </w:tabs>
        <w:spacing w:after="0"/>
        <w:rPr>
          <w:rFonts w:ascii="Times New Roman" w:hAnsi="Times New Roman"/>
          <w:sz w:val="24"/>
          <w:szCs w:val="24"/>
        </w:rPr>
      </w:pPr>
    </w:p>
    <w:p w14:paraId="32B59977" w14:textId="77777777" w:rsidR="00FB22F0" w:rsidRPr="00C80D88" w:rsidRDefault="00FB22F0" w:rsidP="00B940D2">
      <w:pPr>
        <w:tabs>
          <w:tab w:val="left" w:pos="1080"/>
        </w:tabs>
        <w:spacing w:after="0"/>
        <w:rPr>
          <w:rFonts w:ascii="Times New Roman" w:hAnsi="Times New Roman"/>
          <w:sz w:val="24"/>
          <w:szCs w:val="24"/>
        </w:rPr>
      </w:pPr>
    </w:p>
    <w:p w14:paraId="7BCD4424"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14:paraId="0CBC1816" w14:textId="77777777" w:rsidR="00D55958" w:rsidRPr="00C80D88" w:rsidRDefault="00D55958" w:rsidP="00B940D2">
      <w:pPr>
        <w:tabs>
          <w:tab w:val="left" w:pos="1080"/>
        </w:tabs>
        <w:spacing w:after="0"/>
        <w:rPr>
          <w:rFonts w:ascii="Times New Roman" w:hAnsi="Times New Roman"/>
          <w:sz w:val="24"/>
          <w:szCs w:val="24"/>
        </w:rPr>
      </w:pPr>
    </w:p>
    <w:p w14:paraId="797360A6" w14:textId="77777777" w:rsidR="00312BF9" w:rsidRPr="00C80D88" w:rsidRDefault="00312BF9" w:rsidP="00B940D2">
      <w:pPr>
        <w:tabs>
          <w:tab w:val="left" w:pos="1080"/>
        </w:tabs>
        <w:spacing w:after="0"/>
        <w:rPr>
          <w:rFonts w:ascii="Times New Roman" w:hAnsi="Times New Roman"/>
          <w:bCs/>
          <w:sz w:val="24"/>
          <w:szCs w:val="24"/>
        </w:rPr>
      </w:pPr>
    </w:p>
    <w:p w14:paraId="5A4FC4C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14:paraId="413CE587" w14:textId="77777777" w:rsidR="00D55958" w:rsidRPr="00C80D88" w:rsidRDefault="00D55958" w:rsidP="00B940D2">
      <w:pPr>
        <w:tabs>
          <w:tab w:val="left" w:pos="1080"/>
        </w:tabs>
        <w:spacing w:after="0"/>
        <w:rPr>
          <w:rFonts w:ascii="Times New Roman" w:hAnsi="Times New Roman"/>
          <w:sz w:val="24"/>
          <w:szCs w:val="24"/>
        </w:rPr>
      </w:pPr>
    </w:p>
    <w:p w14:paraId="583E40B6" w14:textId="77777777" w:rsidR="00BB2F77" w:rsidRPr="00C80D88" w:rsidRDefault="00B803C1"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changes from the OMB Form 83-I.</w:t>
      </w:r>
    </w:p>
    <w:p w14:paraId="674569B2" w14:textId="77777777" w:rsidR="00BB2F77" w:rsidRPr="00C80D88" w:rsidRDefault="00BB2F77" w:rsidP="00B940D2">
      <w:pPr>
        <w:tabs>
          <w:tab w:val="left" w:pos="1080"/>
        </w:tabs>
        <w:spacing w:after="0"/>
        <w:rPr>
          <w:rFonts w:ascii="Times New Roman" w:hAnsi="Times New Roman"/>
          <w:sz w:val="24"/>
          <w:szCs w:val="24"/>
        </w:rPr>
      </w:pPr>
    </w:p>
    <w:p w14:paraId="6CF4BADC" w14:textId="77777777" w:rsidR="00FB22F0" w:rsidRPr="00C80D88" w:rsidRDefault="00FB22F0" w:rsidP="00B940D2">
      <w:pPr>
        <w:tabs>
          <w:tab w:val="left" w:pos="1080"/>
        </w:tabs>
        <w:spacing w:after="0"/>
        <w:rPr>
          <w:rFonts w:ascii="Times New Roman" w:hAnsi="Times New Roman"/>
          <w:sz w:val="24"/>
          <w:szCs w:val="24"/>
        </w:rPr>
      </w:pPr>
    </w:p>
    <w:p w14:paraId="03B18B0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14:paraId="4D2F3DD2" w14:textId="77777777" w:rsidR="00D55958" w:rsidRPr="00C80D88" w:rsidRDefault="00D55958" w:rsidP="00B940D2">
      <w:pPr>
        <w:tabs>
          <w:tab w:val="left" w:pos="1080"/>
        </w:tabs>
        <w:spacing w:after="0"/>
        <w:rPr>
          <w:rFonts w:ascii="Times New Roman" w:hAnsi="Times New Roman"/>
          <w:sz w:val="24"/>
          <w:szCs w:val="24"/>
        </w:rPr>
      </w:pPr>
    </w:p>
    <w:p w14:paraId="2863768F" w14:textId="7B42EB5C" w:rsidR="004F3856" w:rsidRPr="004F3856" w:rsidRDefault="00A23199" w:rsidP="004F3856">
      <w:pPr>
        <w:tabs>
          <w:tab w:val="left" w:pos="1080"/>
        </w:tabs>
        <w:spacing w:after="0"/>
        <w:rPr>
          <w:rFonts w:ascii="Times New Roman" w:hAnsi="Times New Roman"/>
          <w:sz w:val="24"/>
          <w:szCs w:val="24"/>
        </w:rPr>
      </w:pPr>
      <w:r>
        <w:rPr>
          <w:rFonts w:ascii="Times New Roman" w:hAnsi="Times New Roman"/>
          <w:sz w:val="24"/>
          <w:szCs w:val="24"/>
        </w:rPr>
        <w:t xml:space="preserve">As with previous years, </w:t>
      </w:r>
      <w:r w:rsidR="00A46A15">
        <w:rPr>
          <w:rFonts w:ascii="Times New Roman" w:hAnsi="Times New Roman"/>
          <w:sz w:val="24"/>
          <w:szCs w:val="24"/>
        </w:rPr>
        <w:t>IMLS intends to release t</w:t>
      </w:r>
      <w:r w:rsidR="004F3856" w:rsidRPr="004F3856">
        <w:rPr>
          <w:rFonts w:ascii="Times New Roman" w:hAnsi="Times New Roman"/>
          <w:sz w:val="24"/>
          <w:szCs w:val="24"/>
        </w:rPr>
        <w:t xml:space="preserve">he SLAA </w:t>
      </w:r>
      <w:r>
        <w:rPr>
          <w:rFonts w:ascii="Times New Roman" w:hAnsi="Times New Roman"/>
          <w:sz w:val="24"/>
          <w:szCs w:val="24"/>
        </w:rPr>
        <w:t>five year evaluations</w:t>
      </w:r>
      <w:r w:rsidR="004F3856" w:rsidRPr="004F3856">
        <w:rPr>
          <w:rFonts w:ascii="Times New Roman" w:hAnsi="Times New Roman"/>
          <w:sz w:val="24"/>
          <w:szCs w:val="24"/>
        </w:rPr>
        <w:t xml:space="preserve"> to the public on the IMLS website as soon as they are </w:t>
      </w:r>
      <w:r w:rsidR="00A46A15">
        <w:rPr>
          <w:rFonts w:ascii="Times New Roman" w:hAnsi="Times New Roman"/>
          <w:sz w:val="24"/>
          <w:szCs w:val="24"/>
        </w:rPr>
        <w:t xml:space="preserve">completed and </w:t>
      </w:r>
      <w:r>
        <w:rPr>
          <w:rFonts w:ascii="Times New Roman" w:hAnsi="Times New Roman"/>
          <w:sz w:val="24"/>
          <w:szCs w:val="24"/>
        </w:rPr>
        <w:t>accepted by IMLS program officers</w:t>
      </w:r>
      <w:r w:rsidR="004F3856" w:rsidRPr="004F3856">
        <w:rPr>
          <w:rFonts w:ascii="Times New Roman" w:hAnsi="Times New Roman"/>
          <w:sz w:val="24"/>
          <w:szCs w:val="24"/>
        </w:rPr>
        <w:t xml:space="preserve">.  </w:t>
      </w:r>
      <w:r>
        <w:rPr>
          <w:rFonts w:ascii="Times New Roman" w:hAnsi="Times New Roman"/>
          <w:sz w:val="24"/>
          <w:szCs w:val="24"/>
        </w:rPr>
        <w:t>The evaluations are due from the SLAAs on March 30, 2017.</w:t>
      </w:r>
    </w:p>
    <w:p w14:paraId="0AC81A8D" w14:textId="77777777" w:rsidR="004F3856" w:rsidRPr="004F3856" w:rsidRDefault="004F3856" w:rsidP="004F3856">
      <w:pPr>
        <w:tabs>
          <w:tab w:val="left" w:pos="1080"/>
        </w:tabs>
        <w:spacing w:after="0"/>
        <w:rPr>
          <w:rFonts w:ascii="Times New Roman" w:hAnsi="Times New Roman"/>
          <w:sz w:val="24"/>
          <w:szCs w:val="24"/>
        </w:rPr>
      </w:pPr>
    </w:p>
    <w:p w14:paraId="39AF5B74" w14:textId="40E1D2A3" w:rsidR="004F3856" w:rsidRPr="004F3856" w:rsidRDefault="004F3856" w:rsidP="004F3856">
      <w:pPr>
        <w:tabs>
          <w:tab w:val="left" w:pos="1080"/>
        </w:tabs>
        <w:spacing w:after="0"/>
        <w:rPr>
          <w:rFonts w:ascii="Times New Roman" w:hAnsi="Times New Roman"/>
          <w:sz w:val="24"/>
          <w:szCs w:val="24"/>
        </w:rPr>
      </w:pPr>
      <w:r w:rsidRPr="004F3856">
        <w:rPr>
          <w:rFonts w:ascii="Times New Roman" w:hAnsi="Times New Roman"/>
          <w:sz w:val="24"/>
          <w:szCs w:val="24"/>
        </w:rPr>
        <w:t xml:space="preserve">The SLAA </w:t>
      </w:r>
      <w:r w:rsidR="00A23199">
        <w:rPr>
          <w:rFonts w:ascii="Times New Roman" w:hAnsi="Times New Roman"/>
          <w:sz w:val="24"/>
          <w:szCs w:val="24"/>
        </w:rPr>
        <w:t xml:space="preserve">evaluations are submitted as PDFs to IMLS program officers. Once approved, the Five Year Evaluations are uploaded to the IMLS as a part of State Profiles.  Evaluations from the 2008-2012 period may be found here: </w:t>
      </w:r>
      <w:hyperlink r:id="rId17" w:history="1">
        <w:r w:rsidR="00A23199" w:rsidRPr="00893B8E">
          <w:rPr>
            <w:rStyle w:val="Hyperlink"/>
            <w:rFonts w:ascii="Times New Roman" w:hAnsi="Times New Roman"/>
            <w:sz w:val="24"/>
            <w:szCs w:val="24"/>
          </w:rPr>
          <w:t>https://www.imls.gov/grants/grants-state/five-year-evaluations</w:t>
        </w:r>
      </w:hyperlink>
      <w:r w:rsidR="00A23199">
        <w:rPr>
          <w:rFonts w:ascii="Times New Roman" w:hAnsi="Times New Roman"/>
          <w:sz w:val="24"/>
          <w:szCs w:val="24"/>
        </w:rPr>
        <w:t>.</w:t>
      </w:r>
    </w:p>
    <w:p w14:paraId="17544EE1" w14:textId="77777777" w:rsidR="004F3856" w:rsidRPr="004F3856" w:rsidRDefault="004F3856" w:rsidP="004F3856">
      <w:pPr>
        <w:tabs>
          <w:tab w:val="left" w:pos="1080"/>
        </w:tabs>
        <w:spacing w:after="0"/>
        <w:rPr>
          <w:rFonts w:ascii="Times New Roman" w:hAnsi="Times New Roman"/>
          <w:sz w:val="24"/>
          <w:szCs w:val="24"/>
        </w:rPr>
      </w:pPr>
    </w:p>
    <w:p w14:paraId="1B40F20F"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14:paraId="2592DE5A" w14:textId="77777777" w:rsidR="00D55958" w:rsidRPr="00C80D88" w:rsidRDefault="00D55958" w:rsidP="00B940D2">
      <w:pPr>
        <w:tabs>
          <w:tab w:val="left" w:pos="1080"/>
        </w:tabs>
        <w:spacing w:after="0"/>
        <w:rPr>
          <w:rFonts w:ascii="Times New Roman" w:hAnsi="Times New Roman"/>
          <w:sz w:val="24"/>
          <w:szCs w:val="24"/>
        </w:rPr>
      </w:pPr>
    </w:p>
    <w:p w14:paraId="0E68DF51" w14:textId="1929380A" w:rsidR="00DC18EA" w:rsidRPr="00C80D88"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w:t>
      </w:r>
      <w:r w:rsidR="00A23199">
        <w:rPr>
          <w:rFonts w:ascii="Times New Roman" w:hAnsi="Times New Roman"/>
          <w:sz w:val="24"/>
          <w:szCs w:val="24"/>
        </w:rPr>
        <w:t>Five Year Evaluation</w:t>
      </w:r>
      <w:r w:rsidRPr="00C80D88">
        <w:rPr>
          <w:rFonts w:ascii="Times New Roman" w:hAnsi="Times New Roman"/>
          <w:sz w:val="24"/>
          <w:szCs w:val="24"/>
        </w:rPr>
        <w:t xml:space="preserve">. </w:t>
      </w:r>
      <w:r w:rsidR="00DC18EA" w:rsidRPr="00C80D88">
        <w:rPr>
          <w:rFonts w:ascii="Times New Roman" w:hAnsi="Times New Roman"/>
          <w:sz w:val="24"/>
          <w:szCs w:val="24"/>
        </w:rPr>
        <w:t xml:space="preserve">The OMB approval number and expiration date will be displayed </w:t>
      </w:r>
      <w:r w:rsidR="00A23199">
        <w:rPr>
          <w:rFonts w:ascii="Times New Roman" w:hAnsi="Times New Roman"/>
          <w:sz w:val="24"/>
          <w:szCs w:val="24"/>
        </w:rPr>
        <w:t>on the Five Year Evaluation Guidelines</w:t>
      </w:r>
      <w:r w:rsidR="00DC18EA" w:rsidRPr="00C80D88">
        <w:rPr>
          <w:rFonts w:ascii="Times New Roman" w:hAnsi="Times New Roman"/>
          <w:sz w:val="24"/>
          <w:szCs w:val="24"/>
        </w:rPr>
        <w:t>.</w:t>
      </w:r>
    </w:p>
    <w:p w14:paraId="684BD7E0" w14:textId="77777777" w:rsidR="00FB22F0" w:rsidRPr="00C80D88" w:rsidRDefault="00FB22F0" w:rsidP="00B940D2">
      <w:pPr>
        <w:tabs>
          <w:tab w:val="left" w:pos="1080"/>
        </w:tabs>
        <w:spacing w:after="0"/>
        <w:rPr>
          <w:rFonts w:ascii="Times New Roman" w:hAnsi="Times New Roman"/>
          <w:sz w:val="24"/>
          <w:szCs w:val="24"/>
        </w:rPr>
      </w:pPr>
    </w:p>
    <w:p w14:paraId="40A5A815"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14:paraId="2E2E0333" w14:textId="77777777" w:rsidR="00DC18EA" w:rsidRPr="00C80D88" w:rsidRDefault="00DC18EA" w:rsidP="00B940D2">
      <w:pPr>
        <w:tabs>
          <w:tab w:val="left" w:pos="1080"/>
        </w:tabs>
        <w:spacing w:after="0"/>
        <w:rPr>
          <w:rFonts w:ascii="Times New Roman" w:hAnsi="Times New Roman"/>
          <w:sz w:val="24"/>
          <w:szCs w:val="24"/>
        </w:rPr>
      </w:pPr>
    </w:p>
    <w:p w14:paraId="70566E52" w14:textId="25910C2D" w:rsidR="00E4790B"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of OMB Form 83-I apply to the </w:t>
      </w:r>
      <w:r w:rsidR="00911447" w:rsidRPr="00911447">
        <w:rPr>
          <w:rFonts w:ascii="Times New Roman" w:hAnsi="Times New Roman"/>
          <w:b/>
          <w:bCs/>
          <w:sz w:val="24"/>
          <w:szCs w:val="24"/>
        </w:rPr>
        <w:t>Guidelines for Grants to States Program Five-Year Evaluations</w:t>
      </w:r>
      <w:r w:rsidR="00911447">
        <w:rPr>
          <w:rFonts w:ascii="Times New Roman" w:hAnsi="Times New Roman"/>
          <w:b/>
          <w:bCs/>
          <w:sz w:val="24"/>
          <w:szCs w:val="24"/>
        </w:rPr>
        <w:t>.</w:t>
      </w:r>
    </w:p>
    <w:p w14:paraId="3ED34563" w14:textId="77777777" w:rsidR="00247595" w:rsidRPr="00463BC5" w:rsidRDefault="00247595" w:rsidP="00B940D2">
      <w:pPr>
        <w:tabs>
          <w:tab w:val="left" w:pos="1080"/>
        </w:tabs>
        <w:spacing w:after="0"/>
        <w:rPr>
          <w:rFonts w:ascii="Times New Roman" w:hAnsi="Times New Roman"/>
          <w:sz w:val="24"/>
          <w:szCs w:val="24"/>
        </w:rPr>
      </w:pPr>
    </w:p>
    <w:sectPr w:rsidR="00247595" w:rsidRPr="00463BC5" w:rsidSect="0075229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55CD7" w14:textId="77777777" w:rsidR="006B55BD" w:rsidRDefault="006B55BD" w:rsidP="0081626B">
      <w:r>
        <w:separator/>
      </w:r>
    </w:p>
  </w:endnote>
  <w:endnote w:type="continuationSeparator" w:id="0">
    <w:p w14:paraId="295F3A3F" w14:textId="77777777" w:rsidR="006B55BD" w:rsidRDefault="006B55BD"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90A57" w14:textId="387D23F4" w:rsidR="00F14EFD" w:rsidRDefault="00F14EFD" w:rsidP="00BE0DA4">
    <w:pPr>
      <w:pStyle w:val="Footer"/>
      <w:jc w:val="right"/>
    </w:pPr>
    <w:r>
      <w:rPr>
        <w:rStyle w:val="PageNumber"/>
      </w:rPr>
      <w:t xml:space="preserve">IMLS – </w:t>
    </w:r>
    <w:r w:rsidR="0075229E">
      <w:rPr>
        <w:rStyle w:val="PageNumber"/>
      </w:rPr>
      <w:t>5YG</w:t>
    </w:r>
    <w:r>
      <w:rPr>
        <w:rStyle w:val="PageNumber"/>
      </w:rPr>
      <w:t xml:space="preserve">: Supporting Statement A | </w:t>
    </w:r>
    <w:r>
      <w:rPr>
        <w:rStyle w:val="PageNumber"/>
      </w:rPr>
      <w:fldChar w:fldCharType="begin"/>
    </w:r>
    <w:r>
      <w:rPr>
        <w:rStyle w:val="PageNumber"/>
      </w:rPr>
      <w:instrText xml:space="preserve"> PAGE </w:instrText>
    </w:r>
    <w:r>
      <w:rPr>
        <w:rStyle w:val="PageNumber"/>
      </w:rPr>
      <w:fldChar w:fldCharType="separate"/>
    </w:r>
    <w:r w:rsidR="00093DFE">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3BEB" w14:textId="77777777" w:rsidR="006B55BD" w:rsidRDefault="006B55BD" w:rsidP="0081626B">
      <w:r>
        <w:separator/>
      </w:r>
    </w:p>
  </w:footnote>
  <w:footnote w:type="continuationSeparator" w:id="0">
    <w:p w14:paraId="186CED1F" w14:textId="77777777" w:rsidR="006B55BD" w:rsidRDefault="006B55BD"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16396"/>
    <w:multiLevelType w:val="multilevel"/>
    <w:tmpl w:val="867CE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07070E"/>
    <w:multiLevelType w:val="hybridMultilevel"/>
    <w:tmpl w:val="D7B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93DFE"/>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1FFA"/>
    <w:rsid w:val="00102B76"/>
    <w:rsid w:val="00104795"/>
    <w:rsid w:val="00106276"/>
    <w:rsid w:val="00106F56"/>
    <w:rsid w:val="001077FF"/>
    <w:rsid w:val="001127FC"/>
    <w:rsid w:val="00113D66"/>
    <w:rsid w:val="001214B3"/>
    <w:rsid w:val="00122B17"/>
    <w:rsid w:val="00122B26"/>
    <w:rsid w:val="001242EE"/>
    <w:rsid w:val="00127DE2"/>
    <w:rsid w:val="00135D57"/>
    <w:rsid w:val="00137078"/>
    <w:rsid w:val="001374F1"/>
    <w:rsid w:val="00137FA4"/>
    <w:rsid w:val="00140BFF"/>
    <w:rsid w:val="00143C58"/>
    <w:rsid w:val="00144FDE"/>
    <w:rsid w:val="00145877"/>
    <w:rsid w:val="00147633"/>
    <w:rsid w:val="001519E0"/>
    <w:rsid w:val="00151EED"/>
    <w:rsid w:val="00152BFB"/>
    <w:rsid w:val="0015626A"/>
    <w:rsid w:val="00156943"/>
    <w:rsid w:val="00156C71"/>
    <w:rsid w:val="00160571"/>
    <w:rsid w:val="00163D28"/>
    <w:rsid w:val="001646B9"/>
    <w:rsid w:val="001676BC"/>
    <w:rsid w:val="00170816"/>
    <w:rsid w:val="00174FD1"/>
    <w:rsid w:val="001750A0"/>
    <w:rsid w:val="00175E94"/>
    <w:rsid w:val="00177759"/>
    <w:rsid w:val="00183196"/>
    <w:rsid w:val="001835E2"/>
    <w:rsid w:val="00191788"/>
    <w:rsid w:val="00192282"/>
    <w:rsid w:val="0019362C"/>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76C98"/>
    <w:rsid w:val="0028079A"/>
    <w:rsid w:val="0028119F"/>
    <w:rsid w:val="00282EAC"/>
    <w:rsid w:val="002850F0"/>
    <w:rsid w:val="002876F3"/>
    <w:rsid w:val="002A13F0"/>
    <w:rsid w:val="002A28D9"/>
    <w:rsid w:val="002A2E99"/>
    <w:rsid w:val="002B0528"/>
    <w:rsid w:val="002B19DF"/>
    <w:rsid w:val="002B40C3"/>
    <w:rsid w:val="002B4AD6"/>
    <w:rsid w:val="002C1797"/>
    <w:rsid w:val="002C2434"/>
    <w:rsid w:val="002C4DD2"/>
    <w:rsid w:val="002D0DEC"/>
    <w:rsid w:val="002D1670"/>
    <w:rsid w:val="002D5B89"/>
    <w:rsid w:val="002D62C6"/>
    <w:rsid w:val="002D6AF9"/>
    <w:rsid w:val="002D72AF"/>
    <w:rsid w:val="002D766B"/>
    <w:rsid w:val="002D7FBA"/>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3645"/>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A60"/>
    <w:rsid w:val="00402E69"/>
    <w:rsid w:val="0041082A"/>
    <w:rsid w:val="004157AB"/>
    <w:rsid w:val="00417F24"/>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67009"/>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A97"/>
    <w:rsid w:val="004C3C1D"/>
    <w:rsid w:val="004D0B93"/>
    <w:rsid w:val="004D1F15"/>
    <w:rsid w:val="004D2735"/>
    <w:rsid w:val="004D7632"/>
    <w:rsid w:val="004D7975"/>
    <w:rsid w:val="004E1C21"/>
    <w:rsid w:val="004E2A26"/>
    <w:rsid w:val="004E2A6F"/>
    <w:rsid w:val="004F0C0A"/>
    <w:rsid w:val="004F3856"/>
    <w:rsid w:val="004F39D4"/>
    <w:rsid w:val="004F4023"/>
    <w:rsid w:val="004F4C21"/>
    <w:rsid w:val="004F6FEC"/>
    <w:rsid w:val="004F7975"/>
    <w:rsid w:val="00500727"/>
    <w:rsid w:val="00504B24"/>
    <w:rsid w:val="005070F8"/>
    <w:rsid w:val="00510462"/>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825DF"/>
    <w:rsid w:val="00590A5C"/>
    <w:rsid w:val="005966AA"/>
    <w:rsid w:val="00597079"/>
    <w:rsid w:val="005B4863"/>
    <w:rsid w:val="005B66A3"/>
    <w:rsid w:val="005C59AC"/>
    <w:rsid w:val="005C6537"/>
    <w:rsid w:val="005C6B86"/>
    <w:rsid w:val="005C7007"/>
    <w:rsid w:val="005E150F"/>
    <w:rsid w:val="005E1C35"/>
    <w:rsid w:val="005E2A74"/>
    <w:rsid w:val="005E4446"/>
    <w:rsid w:val="005E529C"/>
    <w:rsid w:val="005E74A2"/>
    <w:rsid w:val="005F0407"/>
    <w:rsid w:val="005F0676"/>
    <w:rsid w:val="005F099F"/>
    <w:rsid w:val="005F24B0"/>
    <w:rsid w:val="005F32D6"/>
    <w:rsid w:val="005F590B"/>
    <w:rsid w:val="005F7CFD"/>
    <w:rsid w:val="005F7F1C"/>
    <w:rsid w:val="00600ABD"/>
    <w:rsid w:val="00602BF6"/>
    <w:rsid w:val="00605A0B"/>
    <w:rsid w:val="00610F4B"/>
    <w:rsid w:val="00613F84"/>
    <w:rsid w:val="0061784F"/>
    <w:rsid w:val="00624828"/>
    <w:rsid w:val="00627EE8"/>
    <w:rsid w:val="006400DF"/>
    <w:rsid w:val="00641514"/>
    <w:rsid w:val="006478D8"/>
    <w:rsid w:val="00651809"/>
    <w:rsid w:val="00654D06"/>
    <w:rsid w:val="006550FD"/>
    <w:rsid w:val="00657270"/>
    <w:rsid w:val="00657AE8"/>
    <w:rsid w:val="006610B8"/>
    <w:rsid w:val="00673141"/>
    <w:rsid w:val="006746EC"/>
    <w:rsid w:val="006753A3"/>
    <w:rsid w:val="006768BD"/>
    <w:rsid w:val="00685ACC"/>
    <w:rsid w:val="00686070"/>
    <w:rsid w:val="0068760F"/>
    <w:rsid w:val="00696CBD"/>
    <w:rsid w:val="00697880"/>
    <w:rsid w:val="00697B39"/>
    <w:rsid w:val="00697ED5"/>
    <w:rsid w:val="006A06AC"/>
    <w:rsid w:val="006A5BD3"/>
    <w:rsid w:val="006B05A3"/>
    <w:rsid w:val="006B4C71"/>
    <w:rsid w:val="006B4C9C"/>
    <w:rsid w:val="006B55BD"/>
    <w:rsid w:val="006C205A"/>
    <w:rsid w:val="006C3F3A"/>
    <w:rsid w:val="006C4A9F"/>
    <w:rsid w:val="006D15C5"/>
    <w:rsid w:val="006D5CD1"/>
    <w:rsid w:val="006D7249"/>
    <w:rsid w:val="006E5450"/>
    <w:rsid w:val="006E66E7"/>
    <w:rsid w:val="006F0A68"/>
    <w:rsid w:val="006F0D8C"/>
    <w:rsid w:val="006F3FD0"/>
    <w:rsid w:val="006F41AD"/>
    <w:rsid w:val="00705D59"/>
    <w:rsid w:val="00712230"/>
    <w:rsid w:val="007127E6"/>
    <w:rsid w:val="007161B8"/>
    <w:rsid w:val="0072167E"/>
    <w:rsid w:val="00723CAF"/>
    <w:rsid w:val="00725DDC"/>
    <w:rsid w:val="00732138"/>
    <w:rsid w:val="00736962"/>
    <w:rsid w:val="00737588"/>
    <w:rsid w:val="007449CE"/>
    <w:rsid w:val="00744B69"/>
    <w:rsid w:val="00746485"/>
    <w:rsid w:val="0075229E"/>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A7711"/>
    <w:rsid w:val="007B0F81"/>
    <w:rsid w:val="007B21E8"/>
    <w:rsid w:val="007B6268"/>
    <w:rsid w:val="007B6656"/>
    <w:rsid w:val="007B7336"/>
    <w:rsid w:val="007B75BB"/>
    <w:rsid w:val="007C0964"/>
    <w:rsid w:val="007C0A50"/>
    <w:rsid w:val="007C30DC"/>
    <w:rsid w:val="007C4B3A"/>
    <w:rsid w:val="007D6485"/>
    <w:rsid w:val="007E16B5"/>
    <w:rsid w:val="007E3D37"/>
    <w:rsid w:val="007E4B97"/>
    <w:rsid w:val="007E57EB"/>
    <w:rsid w:val="007E5990"/>
    <w:rsid w:val="007F34AD"/>
    <w:rsid w:val="007F3CD2"/>
    <w:rsid w:val="007F7089"/>
    <w:rsid w:val="00805D17"/>
    <w:rsid w:val="00813FDD"/>
    <w:rsid w:val="0081626B"/>
    <w:rsid w:val="0082624A"/>
    <w:rsid w:val="00836892"/>
    <w:rsid w:val="00840083"/>
    <w:rsid w:val="008403BA"/>
    <w:rsid w:val="0084275A"/>
    <w:rsid w:val="0084284F"/>
    <w:rsid w:val="00842A19"/>
    <w:rsid w:val="0084334F"/>
    <w:rsid w:val="00843CB7"/>
    <w:rsid w:val="00850389"/>
    <w:rsid w:val="008535FC"/>
    <w:rsid w:val="008551E3"/>
    <w:rsid w:val="00860E2A"/>
    <w:rsid w:val="00866FC3"/>
    <w:rsid w:val="00871C93"/>
    <w:rsid w:val="00872124"/>
    <w:rsid w:val="00882CFF"/>
    <w:rsid w:val="00890445"/>
    <w:rsid w:val="008913D9"/>
    <w:rsid w:val="00893B8E"/>
    <w:rsid w:val="00893CAA"/>
    <w:rsid w:val="00896B0B"/>
    <w:rsid w:val="008A50C9"/>
    <w:rsid w:val="008A50F5"/>
    <w:rsid w:val="008B599E"/>
    <w:rsid w:val="008C4F82"/>
    <w:rsid w:val="008C52A5"/>
    <w:rsid w:val="008D0698"/>
    <w:rsid w:val="008D17D4"/>
    <w:rsid w:val="008D3469"/>
    <w:rsid w:val="008E0C21"/>
    <w:rsid w:val="008E1C3C"/>
    <w:rsid w:val="008E3704"/>
    <w:rsid w:val="008E3D61"/>
    <w:rsid w:val="008E4BB6"/>
    <w:rsid w:val="008E60D5"/>
    <w:rsid w:val="008F4DF0"/>
    <w:rsid w:val="008F5BE8"/>
    <w:rsid w:val="008F7D78"/>
    <w:rsid w:val="009030B1"/>
    <w:rsid w:val="00906976"/>
    <w:rsid w:val="009070A1"/>
    <w:rsid w:val="00911447"/>
    <w:rsid w:val="00911851"/>
    <w:rsid w:val="00912D7B"/>
    <w:rsid w:val="009142F2"/>
    <w:rsid w:val="0092229E"/>
    <w:rsid w:val="00923B0B"/>
    <w:rsid w:val="009332D9"/>
    <w:rsid w:val="00935E0C"/>
    <w:rsid w:val="00937095"/>
    <w:rsid w:val="00937AA7"/>
    <w:rsid w:val="00937AB1"/>
    <w:rsid w:val="00942BB5"/>
    <w:rsid w:val="00943DC2"/>
    <w:rsid w:val="009507FA"/>
    <w:rsid w:val="00952856"/>
    <w:rsid w:val="00954263"/>
    <w:rsid w:val="009549E3"/>
    <w:rsid w:val="009559EB"/>
    <w:rsid w:val="00956F49"/>
    <w:rsid w:val="00960732"/>
    <w:rsid w:val="009616D0"/>
    <w:rsid w:val="00963910"/>
    <w:rsid w:val="009663B2"/>
    <w:rsid w:val="009674C2"/>
    <w:rsid w:val="00970CC4"/>
    <w:rsid w:val="009718CD"/>
    <w:rsid w:val="0097489F"/>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502B"/>
    <w:rsid w:val="009D71A0"/>
    <w:rsid w:val="009E403B"/>
    <w:rsid w:val="009E4DEE"/>
    <w:rsid w:val="009F0471"/>
    <w:rsid w:val="009F04D1"/>
    <w:rsid w:val="009F4E6B"/>
    <w:rsid w:val="009F5357"/>
    <w:rsid w:val="009F7A6F"/>
    <w:rsid w:val="00A07A26"/>
    <w:rsid w:val="00A11109"/>
    <w:rsid w:val="00A128FE"/>
    <w:rsid w:val="00A2026F"/>
    <w:rsid w:val="00A21948"/>
    <w:rsid w:val="00A23199"/>
    <w:rsid w:val="00A23287"/>
    <w:rsid w:val="00A24E51"/>
    <w:rsid w:val="00A25EB9"/>
    <w:rsid w:val="00A301C7"/>
    <w:rsid w:val="00A32F04"/>
    <w:rsid w:val="00A32F59"/>
    <w:rsid w:val="00A41325"/>
    <w:rsid w:val="00A46A15"/>
    <w:rsid w:val="00A554EC"/>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1017"/>
    <w:rsid w:val="00AC2333"/>
    <w:rsid w:val="00AC29B1"/>
    <w:rsid w:val="00AC5DC8"/>
    <w:rsid w:val="00AC6354"/>
    <w:rsid w:val="00AC67E6"/>
    <w:rsid w:val="00AD257C"/>
    <w:rsid w:val="00AD3A1D"/>
    <w:rsid w:val="00AD7352"/>
    <w:rsid w:val="00AE108B"/>
    <w:rsid w:val="00AE15E1"/>
    <w:rsid w:val="00AE28C6"/>
    <w:rsid w:val="00AE5E17"/>
    <w:rsid w:val="00AE7652"/>
    <w:rsid w:val="00AF0FEB"/>
    <w:rsid w:val="00AF4339"/>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20C0"/>
    <w:rsid w:val="00B9383A"/>
    <w:rsid w:val="00B940D2"/>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21526"/>
    <w:rsid w:val="00C24FC6"/>
    <w:rsid w:val="00C30D77"/>
    <w:rsid w:val="00C3317E"/>
    <w:rsid w:val="00C344E0"/>
    <w:rsid w:val="00C359FD"/>
    <w:rsid w:val="00C36DD5"/>
    <w:rsid w:val="00C36FCB"/>
    <w:rsid w:val="00C40056"/>
    <w:rsid w:val="00C40070"/>
    <w:rsid w:val="00C46AE7"/>
    <w:rsid w:val="00C50F98"/>
    <w:rsid w:val="00C50FED"/>
    <w:rsid w:val="00C6026C"/>
    <w:rsid w:val="00C71753"/>
    <w:rsid w:val="00C7226D"/>
    <w:rsid w:val="00C72FF2"/>
    <w:rsid w:val="00C74C0E"/>
    <w:rsid w:val="00C7748C"/>
    <w:rsid w:val="00C803C3"/>
    <w:rsid w:val="00C80D88"/>
    <w:rsid w:val="00C83891"/>
    <w:rsid w:val="00C84EAD"/>
    <w:rsid w:val="00C84EF3"/>
    <w:rsid w:val="00C914A2"/>
    <w:rsid w:val="00C92554"/>
    <w:rsid w:val="00C9428B"/>
    <w:rsid w:val="00C9479B"/>
    <w:rsid w:val="00C96696"/>
    <w:rsid w:val="00CA2EFC"/>
    <w:rsid w:val="00CA6452"/>
    <w:rsid w:val="00CA7B2F"/>
    <w:rsid w:val="00CB157B"/>
    <w:rsid w:val="00CB1F40"/>
    <w:rsid w:val="00CB4D16"/>
    <w:rsid w:val="00CB4E9E"/>
    <w:rsid w:val="00CB606C"/>
    <w:rsid w:val="00CC1481"/>
    <w:rsid w:val="00CC4BBC"/>
    <w:rsid w:val="00CC60E0"/>
    <w:rsid w:val="00CC6D7B"/>
    <w:rsid w:val="00CD0C6E"/>
    <w:rsid w:val="00CD63A0"/>
    <w:rsid w:val="00CD7484"/>
    <w:rsid w:val="00CE456F"/>
    <w:rsid w:val="00CE59ED"/>
    <w:rsid w:val="00CF01B4"/>
    <w:rsid w:val="00D0241D"/>
    <w:rsid w:val="00D0431A"/>
    <w:rsid w:val="00D102FB"/>
    <w:rsid w:val="00D10F40"/>
    <w:rsid w:val="00D22B83"/>
    <w:rsid w:val="00D23718"/>
    <w:rsid w:val="00D25214"/>
    <w:rsid w:val="00D3214A"/>
    <w:rsid w:val="00D3230F"/>
    <w:rsid w:val="00D329D1"/>
    <w:rsid w:val="00D40A2C"/>
    <w:rsid w:val="00D457F9"/>
    <w:rsid w:val="00D535C7"/>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323D"/>
    <w:rsid w:val="00EB5EBB"/>
    <w:rsid w:val="00EB65AA"/>
    <w:rsid w:val="00EB6A1E"/>
    <w:rsid w:val="00EB76C5"/>
    <w:rsid w:val="00EC302D"/>
    <w:rsid w:val="00EC36B1"/>
    <w:rsid w:val="00EC60D9"/>
    <w:rsid w:val="00ED1618"/>
    <w:rsid w:val="00ED5578"/>
    <w:rsid w:val="00EE1B8E"/>
    <w:rsid w:val="00EE5124"/>
    <w:rsid w:val="00EE639D"/>
    <w:rsid w:val="00EF12AC"/>
    <w:rsid w:val="00EF2FD6"/>
    <w:rsid w:val="00EF31D9"/>
    <w:rsid w:val="00EF6144"/>
    <w:rsid w:val="00F00CCB"/>
    <w:rsid w:val="00F1049B"/>
    <w:rsid w:val="00F1171F"/>
    <w:rsid w:val="00F13F44"/>
    <w:rsid w:val="00F14EFD"/>
    <w:rsid w:val="00F170B9"/>
    <w:rsid w:val="00F228A0"/>
    <w:rsid w:val="00F265CC"/>
    <w:rsid w:val="00F271C2"/>
    <w:rsid w:val="00F325C1"/>
    <w:rsid w:val="00F34CF1"/>
    <w:rsid w:val="00F359B4"/>
    <w:rsid w:val="00F431DD"/>
    <w:rsid w:val="00F46732"/>
    <w:rsid w:val="00F4786C"/>
    <w:rsid w:val="00F47D7C"/>
    <w:rsid w:val="00F511CB"/>
    <w:rsid w:val="00F52448"/>
    <w:rsid w:val="00F60062"/>
    <w:rsid w:val="00F6419F"/>
    <w:rsid w:val="00F73E94"/>
    <w:rsid w:val="00F74D67"/>
    <w:rsid w:val="00F75EB7"/>
    <w:rsid w:val="00F77452"/>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D1164"/>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A7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uscode/text/29/3111"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aw.cornell.edu/uscode/text/42/lii:usc:t:42:s:9837b:a:4:B:i" TargetMode="External"/><Relationship Id="rId17" Type="http://schemas.openxmlformats.org/officeDocument/2006/relationships/hyperlink" Target="https://www.imls.gov/grants/grants-state/five-year-evaluations" TargetMode="External"/><Relationship Id="rId2" Type="http://schemas.openxmlformats.org/officeDocument/2006/relationships/customXml" Target="../customXml/item2.xml"/><Relationship Id="rId16" Type="http://schemas.openxmlformats.org/officeDocument/2006/relationships/hyperlink" Target="https://www.gpo.gov/fdsys/pkg/FR-2016-04-12/pdf/2016-0837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uscode/text/42/9837" TargetMode="External"/><Relationship Id="rId5" Type="http://schemas.openxmlformats.org/officeDocument/2006/relationships/settings" Target="settings.xml"/><Relationship Id="rId15" Type="http://schemas.openxmlformats.org/officeDocument/2006/relationships/hyperlink" Target="https://www.gpo.gov/fdsys/pkg/FR-2016-01-20/pdf/2016-00768.pdf" TargetMode="External"/><Relationship Id="rId10" Type="http://schemas.openxmlformats.org/officeDocument/2006/relationships/hyperlink" Target="https://www.law.cornell.edu/uscode/text/20/638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aw.cornell.edu/uscode/text/20/9141" TargetMode="External"/><Relationship Id="rId14" Type="http://schemas.openxmlformats.org/officeDocument/2006/relationships/hyperlink" Target="https://www.law.cornell.edu/uscode/text/29/lii:usc:t:29:s:315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F820-285D-4EF2-816B-80D1DFE48D7E}">
  <ds:schemaRefs>
    <ds:schemaRef ds:uri="http://schemas.openxmlformats.org/officeDocument/2006/bibliography"/>
  </ds:schemaRefs>
</ds:datastoreItem>
</file>

<file path=customXml/itemProps2.xml><?xml version="1.0" encoding="utf-8"?>
<ds:datastoreItem xmlns:ds="http://schemas.openxmlformats.org/officeDocument/2006/customXml" ds:itemID="{10AFE86D-4FA5-42EE-9C2C-FFCC7A67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14352</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6</cp:revision>
  <cp:lastPrinted>2013-08-15T19:29:00Z</cp:lastPrinted>
  <dcterms:created xsi:type="dcterms:W3CDTF">2016-03-23T19:53:00Z</dcterms:created>
  <dcterms:modified xsi:type="dcterms:W3CDTF">2016-04-12T12:11:00Z</dcterms:modified>
</cp:coreProperties>
</file>