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E7D" w:rsidRDefault="00A83E7D">
      <w:pPr>
        <w:pStyle w:val="Heading2"/>
        <w:jc w:val="center"/>
      </w:pPr>
      <w:r>
        <w:t>Supporting Statement for Information Collection:</w:t>
      </w:r>
    </w:p>
    <w:p w:rsidR="00370CA4" w:rsidRDefault="00A83E7D" w:rsidP="00D908F8">
      <w:pPr>
        <w:pStyle w:val="Heading2"/>
        <w:jc w:val="center"/>
      </w:pPr>
      <w:r>
        <w:t>Proposal to Lease Space</w:t>
      </w:r>
      <w:r w:rsidR="003701E0">
        <w:t>, GSA Form 1364</w:t>
      </w:r>
      <w:r w:rsidR="00370CA4">
        <w:t xml:space="preserve"> </w:t>
      </w:r>
      <w:r w:rsidR="00D908F8">
        <w:t xml:space="preserve">and </w:t>
      </w:r>
    </w:p>
    <w:p w:rsidR="00D908F8" w:rsidRPr="00D908F8" w:rsidRDefault="00D908F8" w:rsidP="00D908F8">
      <w:pPr>
        <w:pStyle w:val="Heading2"/>
        <w:jc w:val="center"/>
      </w:pPr>
      <w:r>
        <w:t>Lessor’s Annual Cost Statement, GSA Form 1217</w:t>
      </w:r>
    </w:p>
    <w:p w:rsidR="00A83E7D" w:rsidRDefault="00A83E7D">
      <w:pPr>
        <w:pStyle w:val="Heading2"/>
        <w:jc w:val="center"/>
      </w:pPr>
      <w:r>
        <w:t>(OMB Control No. 3090-0086)</w:t>
      </w:r>
    </w:p>
    <w:p w:rsidR="00A83E7D" w:rsidRDefault="00A83E7D">
      <w:pPr>
        <w:pStyle w:val="Heading2"/>
        <w:jc w:val="center"/>
      </w:pPr>
    </w:p>
    <w:p w:rsidR="005C3196" w:rsidRPr="00575703" w:rsidRDefault="005C3196" w:rsidP="005C3196">
      <w:pPr>
        <w:numPr>
          <w:ilvl w:val="0"/>
          <w:numId w:val="6"/>
        </w:numPr>
        <w:tabs>
          <w:tab w:val="left" w:pos="360"/>
        </w:tabs>
        <w:overflowPunct/>
        <w:autoSpaceDE/>
        <w:autoSpaceDN/>
        <w:adjustRightInd/>
        <w:textAlignment w:val="auto"/>
        <w:rPr>
          <w:b/>
          <w:sz w:val="24"/>
          <w:szCs w:val="24"/>
        </w:rPr>
      </w:pPr>
      <w:r w:rsidRPr="00575703">
        <w:rPr>
          <w:b/>
          <w:sz w:val="24"/>
          <w:szCs w:val="24"/>
        </w:rPr>
        <w:t>Justification.</w:t>
      </w:r>
    </w:p>
    <w:p w:rsidR="005C3196" w:rsidRPr="00575703" w:rsidRDefault="005C3196" w:rsidP="005C3196">
      <w:pPr>
        <w:rPr>
          <w:sz w:val="24"/>
          <w:szCs w:val="24"/>
        </w:rPr>
      </w:pPr>
    </w:p>
    <w:p w:rsidR="005C3196" w:rsidRPr="006257D0" w:rsidRDefault="005C3196" w:rsidP="005C3196">
      <w:pPr>
        <w:rPr>
          <w:b/>
          <w:sz w:val="24"/>
          <w:szCs w:val="24"/>
        </w:rPr>
      </w:pPr>
      <w:r w:rsidRPr="006257D0">
        <w:rPr>
          <w:b/>
          <w:sz w:val="24"/>
          <w:szCs w:val="24"/>
        </w:rPr>
        <w:t xml:space="preserve">1.  Explain the circumstances that make the collection of information necessary. </w:t>
      </w:r>
    </w:p>
    <w:p w:rsidR="005C3196" w:rsidRDefault="005C3196">
      <w:pPr>
        <w:rPr>
          <w:sz w:val="24"/>
        </w:rPr>
      </w:pPr>
    </w:p>
    <w:p w:rsidR="00A83E7D" w:rsidRDefault="00A83E7D">
      <w:pPr>
        <w:rPr>
          <w:sz w:val="24"/>
        </w:rPr>
      </w:pPr>
      <w:r>
        <w:rPr>
          <w:sz w:val="24"/>
        </w:rPr>
        <w:t>In accordance with GSAR 570.</w:t>
      </w:r>
      <w:r w:rsidR="007423A9">
        <w:rPr>
          <w:sz w:val="24"/>
        </w:rPr>
        <w:t xml:space="preserve">802 </w:t>
      </w:r>
      <w:r>
        <w:rPr>
          <w:sz w:val="24"/>
        </w:rPr>
        <w:t>(c), GSA Form</w:t>
      </w:r>
      <w:r w:rsidR="005C3196">
        <w:rPr>
          <w:sz w:val="24"/>
        </w:rPr>
        <w:t xml:space="preserve"> 1364 </w:t>
      </w:r>
      <w:r w:rsidR="005C3196" w:rsidRPr="005C3196">
        <w:rPr>
          <w:i/>
          <w:sz w:val="24"/>
        </w:rPr>
        <w:t>Proposal to Lease Space</w:t>
      </w:r>
      <w:r>
        <w:rPr>
          <w:sz w:val="24"/>
        </w:rPr>
        <w:t xml:space="preserve"> is used to obtain information about property being offered for lease to house Federal agencies. </w:t>
      </w:r>
    </w:p>
    <w:p w:rsidR="00754851" w:rsidRDefault="00754851">
      <w:pPr>
        <w:rPr>
          <w:sz w:val="24"/>
        </w:rPr>
      </w:pPr>
    </w:p>
    <w:p w:rsidR="00754851" w:rsidRPr="00754851" w:rsidRDefault="00754851">
      <w:pPr>
        <w:rPr>
          <w:sz w:val="24"/>
        </w:rPr>
      </w:pPr>
      <w:r w:rsidRPr="00D908F8">
        <w:rPr>
          <w:sz w:val="24"/>
        </w:rPr>
        <w:t xml:space="preserve">In accordance with GSAR 570.802(d), GSA Form 1217 </w:t>
      </w:r>
      <w:r w:rsidRPr="00D908F8">
        <w:rPr>
          <w:i/>
          <w:sz w:val="24"/>
        </w:rPr>
        <w:t>Lessor’s Annual Cost Statement</w:t>
      </w:r>
      <w:r w:rsidRPr="00D908F8">
        <w:rPr>
          <w:sz w:val="24"/>
        </w:rPr>
        <w:t xml:space="preserve"> is used to </w:t>
      </w:r>
      <w:r w:rsidR="00D908F8" w:rsidRPr="00D908F8">
        <w:rPr>
          <w:sz w:val="24"/>
        </w:rPr>
        <w:t>obtain pricing information regarding offered services and lease commissions</w:t>
      </w:r>
      <w:r w:rsidRPr="00D908F8">
        <w:rPr>
          <w:sz w:val="24"/>
        </w:rPr>
        <w:t>.</w:t>
      </w:r>
    </w:p>
    <w:p w:rsidR="008A3651" w:rsidRDefault="008A3651">
      <w:pPr>
        <w:rPr>
          <w:sz w:val="24"/>
        </w:rPr>
      </w:pPr>
    </w:p>
    <w:p w:rsidR="008A3651" w:rsidRPr="006257D0" w:rsidRDefault="008A3651" w:rsidP="008A3651">
      <w:pPr>
        <w:pStyle w:val="HTMLPreformatted"/>
        <w:rPr>
          <w:rFonts w:ascii="Times New Roman" w:hAnsi="Times New Roman" w:cs="Times New Roman"/>
          <w:b/>
          <w:sz w:val="24"/>
          <w:szCs w:val="24"/>
        </w:rPr>
      </w:pPr>
      <w:r w:rsidRPr="006257D0">
        <w:rPr>
          <w:rFonts w:ascii="Times New Roman" w:hAnsi="Times New Roman" w:cs="Times New Roman"/>
          <w:b/>
          <w:sz w:val="24"/>
          <w:szCs w:val="24"/>
        </w:rPr>
        <w:t xml:space="preserve">2.  Indicate how, by whom, and for what purpose the information is to be used. Except for a new collection, indicate the actual use the agency has made of the information received from the current collection.  </w:t>
      </w:r>
    </w:p>
    <w:p w:rsidR="008A3651" w:rsidRDefault="008A3651">
      <w:pPr>
        <w:rPr>
          <w:sz w:val="24"/>
        </w:rPr>
      </w:pPr>
    </w:p>
    <w:p w:rsidR="00A83E7D" w:rsidRPr="003701E0" w:rsidRDefault="00A83E7D">
      <w:pPr>
        <w:rPr>
          <w:color w:val="000000"/>
          <w:sz w:val="24"/>
        </w:rPr>
      </w:pPr>
      <w:r>
        <w:rPr>
          <w:sz w:val="24"/>
        </w:rPr>
        <w:t>The information is used by leasing contracting officers to evaluate</w:t>
      </w:r>
      <w:r w:rsidR="0053229C">
        <w:rPr>
          <w:sz w:val="24"/>
        </w:rPr>
        <w:t xml:space="preserve"> lease</w:t>
      </w:r>
      <w:r>
        <w:rPr>
          <w:sz w:val="24"/>
        </w:rPr>
        <w:t xml:space="preserve"> proposals</w:t>
      </w:r>
      <w:r w:rsidR="0053229C">
        <w:rPr>
          <w:sz w:val="24"/>
        </w:rPr>
        <w:t xml:space="preserve"> and</w:t>
      </w:r>
      <w:r>
        <w:rPr>
          <w:sz w:val="24"/>
        </w:rPr>
        <w:t xml:space="preserve"> </w:t>
      </w:r>
      <w:r w:rsidR="0053229C">
        <w:rPr>
          <w:sz w:val="24"/>
        </w:rPr>
        <w:t>negotiate lease contract terms and conditions</w:t>
      </w:r>
      <w:r>
        <w:rPr>
          <w:sz w:val="24"/>
        </w:rPr>
        <w:t xml:space="preserve"> in </w:t>
      </w:r>
      <w:r w:rsidR="00645684">
        <w:rPr>
          <w:sz w:val="24"/>
        </w:rPr>
        <w:t xml:space="preserve">either </w:t>
      </w:r>
      <w:r>
        <w:rPr>
          <w:sz w:val="24"/>
        </w:rPr>
        <w:t xml:space="preserve">a competitive </w:t>
      </w:r>
      <w:r w:rsidR="00645684">
        <w:rPr>
          <w:sz w:val="24"/>
        </w:rPr>
        <w:t xml:space="preserve">or non-competitive </w:t>
      </w:r>
      <w:r>
        <w:rPr>
          <w:sz w:val="24"/>
        </w:rPr>
        <w:t xml:space="preserve">environment. </w:t>
      </w:r>
    </w:p>
    <w:p w:rsidR="00A83E7D" w:rsidRDefault="00A83E7D">
      <w:pPr>
        <w:rPr>
          <w:sz w:val="24"/>
        </w:rPr>
      </w:pPr>
    </w:p>
    <w:p w:rsidR="008A3651" w:rsidRPr="003B2ECB" w:rsidRDefault="008A3651" w:rsidP="008A3651">
      <w:pPr>
        <w:tabs>
          <w:tab w:val="left" w:pos="90"/>
        </w:tabs>
        <w:rPr>
          <w:b/>
          <w:sz w:val="24"/>
          <w:szCs w:val="24"/>
        </w:rPr>
      </w:pPr>
      <w:r w:rsidRPr="003B2ECB">
        <w:rPr>
          <w:b/>
          <w:sz w:val="24"/>
          <w:szCs w:val="24"/>
        </w:rPr>
        <w:t>3.  Describe whether, and to what extent, the collection of information involves the use of automated, electronic, mechanical, or other technological collection techniques or other forms of information technology</w:t>
      </w:r>
      <w:r w:rsidR="002D5BA8">
        <w:rPr>
          <w:b/>
          <w:sz w:val="24"/>
          <w:szCs w:val="24"/>
        </w:rPr>
        <w:t>.</w:t>
      </w:r>
      <w:r w:rsidRPr="003B2ECB">
        <w:rPr>
          <w:b/>
          <w:sz w:val="24"/>
          <w:szCs w:val="24"/>
        </w:rPr>
        <w:t xml:space="preserve"> </w:t>
      </w:r>
    </w:p>
    <w:p w:rsidR="008A3651" w:rsidRDefault="008A3651">
      <w:pPr>
        <w:rPr>
          <w:sz w:val="24"/>
        </w:rPr>
      </w:pPr>
    </w:p>
    <w:p w:rsidR="00A83E7D" w:rsidRPr="003701E0" w:rsidRDefault="00A83E7D">
      <w:pPr>
        <w:rPr>
          <w:b/>
          <w:sz w:val="24"/>
        </w:rPr>
      </w:pPr>
      <w:r>
        <w:rPr>
          <w:sz w:val="24"/>
        </w:rPr>
        <w:t>Currently, proposals are manually completed and submitted by offerors.  Th</w:t>
      </w:r>
      <w:r w:rsidR="00D908F8">
        <w:rPr>
          <w:sz w:val="24"/>
        </w:rPr>
        <w:t>e</w:t>
      </w:r>
      <w:r>
        <w:rPr>
          <w:sz w:val="24"/>
        </w:rPr>
        <w:t xml:space="preserve"> form</w:t>
      </w:r>
      <w:r w:rsidR="00D908F8">
        <w:rPr>
          <w:sz w:val="24"/>
        </w:rPr>
        <w:t>s</w:t>
      </w:r>
      <w:r>
        <w:rPr>
          <w:sz w:val="24"/>
        </w:rPr>
        <w:t xml:space="preserve"> </w:t>
      </w:r>
      <w:r w:rsidR="00D908F8">
        <w:rPr>
          <w:sz w:val="24"/>
        </w:rPr>
        <w:t>are</w:t>
      </w:r>
      <w:r>
        <w:rPr>
          <w:sz w:val="24"/>
        </w:rPr>
        <w:t xml:space="preserve"> electronically available and can be posted electronically for solicitation purposes.  </w:t>
      </w:r>
      <w:r w:rsidR="002D7723">
        <w:rPr>
          <w:sz w:val="24"/>
        </w:rPr>
        <w:t>GSA is pursuing the use of electronic proposals in its leasing program but is currently not ready to implement a national Information Technology</w:t>
      </w:r>
      <w:r w:rsidR="00887B21">
        <w:rPr>
          <w:sz w:val="24"/>
        </w:rPr>
        <w:t xml:space="preserve"> solution </w:t>
      </w:r>
      <w:r w:rsidR="002D7723">
        <w:rPr>
          <w:sz w:val="24"/>
        </w:rPr>
        <w:t xml:space="preserve">mandating the use of electronic proposals. </w:t>
      </w:r>
      <w:r w:rsidR="00B30857">
        <w:rPr>
          <w:sz w:val="24"/>
        </w:rPr>
        <w:t xml:space="preserve"> </w:t>
      </w:r>
      <w:r w:rsidR="00887B21">
        <w:rPr>
          <w:sz w:val="24"/>
        </w:rPr>
        <w:t xml:space="preserve">In addition, the </w:t>
      </w:r>
      <w:r>
        <w:rPr>
          <w:sz w:val="24"/>
        </w:rPr>
        <w:t xml:space="preserve">marketplace does not yet support </w:t>
      </w:r>
      <w:r w:rsidR="009D70C0">
        <w:rPr>
          <w:sz w:val="24"/>
        </w:rPr>
        <w:t xml:space="preserve">the sole </w:t>
      </w:r>
      <w:r>
        <w:rPr>
          <w:sz w:val="24"/>
        </w:rPr>
        <w:t>use of electronic solicitations and submission of offers.</w:t>
      </w:r>
    </w:p>
    <w:p w:rsidR="00A83E7D" w:rsidRDefault="00A83E7D">
      <w:pPr>
        <w:rPr>
          <w:sz w:val="24"/>
        </w:rPr>
      </w:pPr>
    </w:p>
    <w:p w:rsidR="008A3651" w:rsidRPr="003B2ECB" w:rsidRDefault="008A3651" w:rsidP="008A3651">
      <w:pPr>
        <w:pStyle w:val="HTMLPreformatted"/>
        <w:rPr>
          <w:rFonts w:ascii="Times New Roman" w:hAnsi="Times New Roman" w:cs="Times New Roman"/>
          <w:b/>
          <w:sz w:val="24"/>
          <w:szCs w:val="24"/>
        </w:rPr>
      </w:pPr>
      <w:r w:rsidRPr="003B2ECB">
        <w:rPr>
          <w:rFonts w:ascii="Times New Roman" w:hAnsi="Times New Roman" w:cs="Times New Roman"/>
          <w:b/>
          <w:sz w:val="24"/>
          <w:szCs w:val="24"/>
        </w:rPr>
        <w:t xml:space="preserve">4.  Describe efforts to identify duplication.  </w:t>
      </w:r>
    </w:p>
    <w:p w:rsidR="008A3651" w:rsidRDefault="008A3651" w:rsidP="00AC759D">
      <w:pPr>
        <w:rPr>
          <w:color w:val="000000"/>
          <w:sz w:val="24"/>
        </w:rPr>
      </w:pPr>
    </w:p>
    <w:p w:rsidR="00064CEA" w:rsidRPr="00A1190E" w:rsidRDefault="00D908F8" w:rsidP="00AC759D">
      <w:pPr>
        <w:rPr>
          <w:color w:val="000000"/>
          <w:sz w:val="24"/>
        </w:rPr>
      </w:pPr>
      <w:r w:rsidRPr="00A1190E">
        <w:rPr>
          <w:color w:val="000000"/>
          <w:sz w:val="24"/>
        </w:rPr>
        <w:t>GSA conducted a</w:t>
      </w:r>
      <w:r w:rsidR="00AC759D" w:rsidRPr="00A1190E">
        <w:rPr>
          <w:color w:val="000000"/>
          <w:sz w:val="24"/>
        </w:rPr>
        <w:t xml:space="preserve"> Lease Reform Initiative to improve the lease acquisition process for GSA, client agencies, and the private sector.  </w:t>
      </w:r>
      <w:r w:rsidR="00064CEA" w:rsidRPr="00A1190E">
        <w:rPr>
          <w:color w:val="000000"/>
          <w:sz w:val="24"/>
        </w:rPr>
        <w:t xml:space="preserve">A total of </w:t>
      </w:r>
      <w:r w:rsidR="00B66700" w:rsidRPr="00A1190E">
        <w:rPr>
          <w:color w:val="000000"/>
          <w:sz w:val="24"/>
        </w:rPr>
        <w:t>six</w:t>
      </w:r>
      <w:r w:rsidR="00AC759D" w:rsidRPr="00A1190E">
        <w:rPr>
          <w:color w:val="000000"/>
          <w:sz w:val="24"/>
        </w:rPr>
        <w:t xml:space="preserve"> lease contract models have been developed that are targeted to meet the needs of the national leased portfolio.  </w:t>
      </w:r>
      <w:r w:rsidR="00064CEA" w:rsidRPr="00A1190E">
        <w:rPr>
          <w:color w:val="000000"/>
          <w:sz w:val="24"/>
        </w:rPr>
        <w:t>Five</w:t>
      </w:r>
      <w:r w:rsidR="00AC759D" w:rsidRPr="00A1190E">
        <w:rPr>
          <w:color w:val="000000"/>
          <w:sz w:val="24"/>
        </w:rPr>
        <w:t xml:space="preserve"> of the lease models require offerors to complete a GSA Form 1364</w:t>
      </w:r>
      <w:r w:rsidR="00064CEA" w:rsidRPr="00A1190E">
        <w:rPr>
          <w:color w:val="000000"/>
          <w:sz w:val="24"/>
        </w:rPr>
        <w:t xml:space="preserve"> and </w:t>
      </w:r>
      <w:r w:rsidR="004F1CE1" w:rsidRPr="00A1190E">
        <w:rPr>
          <w:color w:val="000000"/>
          <w:sz w:val="24"/>
        </w:rPr>
        <w:t xml:space="preserve">four require completion of </w:t>
      </w:r>
      <w:r w:rsidR="00064CEA" w:rsidRPr="00A1190E">
        <w:rPr>
          <w:color w:val="000000"/>
          <w:sz w:val="24"/>
        </w:rPr>
        <w:t>GSA Form 1217.</w:t>
      </w:r>
    </w:p>
    <w:p w:rsidR="00064CEA" w:rsidRPr="00A1190E" w:rsidRDefault="00064CEA" w:rsidP="00AC759D">
      <w:pPr>
        <w:rPr>
          <w:color w:val="000000"/>
          <w:sz w:val="24"/>
        </w:rPr>
      </w:pPr>
    </w:p>
    <w:p w:rsidR="00AC759D" w:rsidRPr="00A1190E" w:rsidRDefault="00AC759D" w:rsidP="00AC759D">
      <w:pPr>
        <w:rPr>
          <w:color w:val="000000"/>
          <w:sz w:val="24"/>
        </w:rPr>
      </w:pPr>
      <w:r w:rsidRPr="00A1190E">
        <w:rPr>
          <w:color w:val="000000"/>
          <w:sz w:val="24"/>
        </w:rPr>
        <w:t xml:space="preserve">The GSA Form 1364 </w:t>
      </w:r>
      <w:r w:rsidR="00FB3BE6" w:rsidRPr="00A1190E">
        <w:rPr>
          <w:color w:val="000000"/>
          <w:sz w:val="24"/>
        </w:rPr>
        <w:t xml:space="preserve">versions </w:t>
      </w:r>
      <w:r w:rsidR="00CA1DD6">
        <w:rPr>
          <w:color w:val="000000"/>
          <w:sz w:val="24"/>
        </w:rPr>
        <w:t xml:space="preserve">(1364, 1364A, 1364A-1, and 1364WH) </w:t>
      </w:r>
      <w:r w:rsidRPr="00A1190E">
        <w:rPr>
          <w:color w:val="000000"/>
          <w:sz w:val="24"/>
        </w:rPr>
        <w:t xml:space="preserve">require the submission of information specifically aligned with </w:t>
      </w:r>
      <w:r w:rsidR="00A1144D" w:rsidRPr="00A1190E">
        <w:rPr>
          <w:color w:val="000000"/>
          <w:sz w:val="24"/>
        </w:rPr>
        <w:t>certain</w:t>
      </w:r>
      <w:r w:rsidRPr="00A1190E">
        <w:rPr>
          <w:color w:val="000000"/>
          <w:sz w:val="24"/>
        </w:rPr>
        <w:t xml:space="preserve"> leasing models and avoid mandating submission of information that is not required for use in evaluation and award under each model.</w:t>
      </w:r>
    </w:p>
    <w:p w:rsidR="00D908F8" w:rsidRPr="00A1190E" w:rsidRDefault="00D908F8" w:rsidP="00AC759D">
      <w:pPr>
        <w:rPr>
          <w:color w:val="000000"/>
          <w:sz w:val="24"/>
        </w:rPr>
      </w:pPr>
    </w:p>
    <w:p w:rsidR="00AC759D" w:rsidRPr="00A1190E" w:rsidRDefault="00064CEA">
      <w:pPr>
        <w:rPr>
          <w:color w:val="000000"/>
          <w:sz w:val="24"/>
        </w:rPr>
      </w:pPr>
      <w:r w:rsidRPr="00A1190E">
        <w:rPr>
          <w:color w:val="000000"/>
          <w:sz w:val="24"/>
        </w:rPr>
        <w:t>T</w:t>
      </w:r>
      <w:r w:rsidR="00D908F8" w:rsidRPr="00A1190E">
        <w:rPr>
          <w:color w:val="000000"/>
          <w:sz w:val="24"/>
        </w:rPr>
        <w:t>he GSA Form 1217</w:t>
      </w:r>
      <w:r w:rsidRPr="00A1190E">
        <w:rPr>
          <w:color w:val="000000"/>
          <w:sz w:val="24"/>
        </w:rPr>
        <w:t xml:space="preserve"> requires the submission of i</w:t>
      </w:r>
      <w:r w:rsidR="00347EAB" w:rsidRPr="00A1190E">
        <w:rPr>
          <w:color w:val="000000"/>
          <w:sz w:val="24"/>
        </w:rPr>
        <w:t xml:space="preserve">nformation specific to the </w:t>
      </w:r>
      <w:r w:rsidR="004F1CE1" w:rsidRPr="00A1190E">
        <w:rPr>
          <w:color w:val="000000"/>
          <w:sz w:val="24"/>
        </w:rPr>
        <w:t xml:space="preserve">services and </w:t>
      </w:r>
      <w:r w:rsidR="00347EAB" w:rsidRPr="00A1190E">
        <w:rPr>
          <w:color w:val="000000"/>
          <w:sz w:val="24"/>
        </w:rPr>
        <w:t>utilities of a building</w:t>
      </w:r>
      <w:r w:rsidR="00A1144D" w:rsidRPr="00A1190E">
        <w:rPr>
          <w:color w:val="000000"/>
          <w:sz w:val="24"/>
        </w:rPr>
        <w:t xml:space="preserve"> </w:t>
      </w:r>
      <w:r w:rsidR="004F1CE1" w:rsidRPr="00A1190E">
        <w:rPr>
          <w:color w:val="000000"/>
          <w:sz w:val="24"/>
        </w:rPr>
        <w:t>in support of</w:t>
      </w:r>
      <w:r w:rsidR="00A1144D" w:rsidRPr="00A1190E">
        <w:rPr>
          <w:color w:val="000000"/>
          <w:sz w:val="24"/>
        </w:rPr>
        <w:t xml:space="preserve"> the pricing detailed under GSA Form</w:t>
      </w:r>
      <w:r w:rsidR="00BD5B42">
        <w:rPr>
          <w:color w:val="000000"/>
          <w:sz w:val="24"/>
        </w:rPr>
        <w:t>s</w:t>
      </w:r>
      <w:bookmarkStart w:id="0" w:name="_GoBack"/>
      <w:bookmarkEnd w:id="0"/>
      <w:r w:rsidR="00A1144D" w:rsidRPr="00A1190E">
        <w:rPr>
          <w:color w:val="000000"/>
          <w:sz w:val="24"/>
        </w:rPr>
        <w:t xml:space="preserve"> 1364</w:t>
      </w:r>
      <w:r w:rsidR="00347EAB" w:rsidRPr="00A1190E">
        <w:rPr>
          <w:color w:val="000000"/>
          <w:sz w:val="24"/>
        </w:rPr>
        <w:t>.</w:t>
      </w:r>
    </w:p>
    <w:p w:rsidR="00347EAB" w:rsidRPr="00A1190E" w:rsidRDefault="00347EAB">
      <w:pPr>
        <w:rPr>
          <w:b/>
          <w:color w:val="000000"/>
          <w:sz w:val="24"/>
        </w:rPr>
      </w:pPr>
    </w:p>
    <w:p w:rsidR="007423A9" w:rsidRDefault="00D908F8">
      <w:pPr>
        <w:rPr>
          <w:bCs/>
          <w:sz w:val="24"/>
        </w:rPr>
      </w:pPr>
      <w:r w:rsidRPr="00A1190E">
        <w:rPr>
          <w:sz w:val="24"/>
        </w:rPr>
        <w:t>The forms</w:t>
      </w:r>
      <w:r w:rsidR="00A1190E">
        <w:rPr>
          <w:sz w:val="24"/>
        </w:rPr>
        <w:t xml:space="preserve"> relate to </w:t>
      </w:r>
      <w:r w:rsidR="00434E80">
        <w:rPr>
          <w:sz w:val="24"/>
        </w:rPr>
        <w:t>individual</w:t>
      </w:r>
      <w:r w:rsidR="00A83E7D" w:rsidRPr="00A1190E">
        <w:rPr>
          <w:sz w:val="24"/>
        </w:rPr>
        <w:t xml:space="preserve"> </w:t>
      </w:r>
      <w:r w:rsidR="00064CEA" w:rsidRPr="00A1190E">
        <w:rPr>
          <w:sz w:val="24"/>
        </w:rPr>
        <w:t>lease procurement</w:t>
      </w:r>
      <w:r w:rsidR="00A1190E">
        <w:rPr>
          <w:sz w:val="24"/>
        </w:rPr>
        <w:t>s</w:t>
      </w:r>
      <w:r w:rsidR="00A1144D" w:rsidRPr="00A1190E">
        <w:rPr>
          <w:sz w:val="24"/>
        </w:rPr>
        <w:t xml:space="preserve"> and</w:t>
      </w:r>
      <w:r w:rsidR="00A57A06" w:rsidRPr="00A1190E">
        <w:rPr>
          <w:sz w:val="24"/>
        </w:rPr>
        <w:t xml:space="preserve"> </w:t>
      </w:r>
      <w:r w:rsidR="00A83E7D" w:rsidRPr="00A1190E">
        <w:rPr>
          <w:sz w:val="24"/>
        </w:rPr>
        <w:t>no duplication exists.</w:t>
      </w:r>
    </w:p>
    <w:p w:rsidR="00FB3BE6" w:rsidRDefault="00FB3BE6">
      <w:pPr>
        <w:rPr>
          <w:sz w:val="24"/>
        </w:rPr>
      </w:pPr>
    </w:p>
    <w:p w:rsidR="00FB3BE6" w:rsidRPr="003B2ECB" w:rsidRDefault="00FB3BE6" w:rsidP="00FB3BE6">
      <w:pPr>
        <w:rPr>
          <w:b/>
          <w:sz w:val="24"/>
          <w:szCs w:val="24"/>
        </w:rPr>
      </w:pPr>
      <w:r w:rsidRPr="003B2ECB">
        <w:rPr>
          <w:b/>
          <w:sz w:val="24"/>
          <w:szCs w:val="24"/>
        </w:rPr>
        <w:t xml:space="preserve">5.  If the collection of information impacts small businesses or other small entities, describe any methods used to minimize burden.  </w:t>
      </w:r>
    </w:p>
    <w:p w:rsidR="00FB3BE6" w:rsidRDefault="00FB3BE6">
      <w:pPr>
        <w:rPr>
          <w:sz w:val="24"/>
        </w:rPr>
      </w:pPr>
    </w:p>
    <w:p w:rsidR="00A83E7D" w:rsidRDefault="00A83E7D">
      <w:pPr>
        <w:rPr>
          <w:sz w:val="24"/>
        </w:rPr>
      </w:pPr>
      <w:r>
        <w:rPr>
          <w:sz w:val="24"/>
        </w:rPr>
        <w:t>The burden applies equal</w:t>
      </w:r>
      <w:r w:rsidR="003410B6">
        <w:rPr>
          <w:sz w:val="24"/>
        </w:rPr>
        <w:t>ly to small businesses that opt</w:t>
      </w:r>
      <w:r>
        <w:rPr>
          <w:sz w:val="24"/>
        </w:rPr>
        <w:t xml:space="preserve"> to do busine</w:t>
      </w:r>
      <w:r w:rsidR="003410B6">
        <w:rPr>
          <w:sz w:val="24"/>
        </w:rPr>
        <w:t xml:space="preserve">ss with GSA.  This information </w:t>
      </w:r>
      <w:r>
        <w:rPr>
          <w:sz w:val="24"/>
        </w:rPr>
        <w:t>collected is necessary to meet the specific objectives of the solicitation or contract.</w:t>
      </w:r>
    </w:p>
    <w:p w:rsidR="00A83E7D" w:rsidRDefault="00A83E7D">
      <w:pPr>
        <w:rPr>
          <w:sz w:val="24"/>
        </w:rPr>
      </w:pPr>
    </w:p>
    <w:p w:rsidR="00FB3BE6" w:rsidRPr="003B2ECB" w:rsidRDefault="00FB3BE6" w:rsidP="00FB3BE6">
      <w:pPr>
        <w:tabs>
          <w:tab w:val="left" w:pos="630"/>
        </w:tabs>
        <w:rPr>
          <w:b/>
          <w:sz w:val="24"/>
          <w:szCs w:val="24"/>
        </w:rPr>
      </w:pPr>
      <w:r w:rsidRPr="003B2ECB">
        <w:rPr>
          <w:b/>
          <w:sz w:val="24"/>
          <w:szCs w:val="24"/>
        </w:rPr>
        <w:t xml:space="preserve">6.  Describe the consequence to Federal program or policy activities if the collection is not conducted or is conducted less frequently, as well as any technical or legal obstacles to reducing burden. </w:t>
      </w:r>
    </w:p>
    <w:p w:rsidR="00FB3BE6" w:rsidRDefault="00FB3BE6">
      <w:pPr>
        <w:rPr>
          <w:b/>
          <w:sz w:val="24"/>
        </w:rPr>
      </w:pPr>
    </w:p>
    <w:p w:rsidR="00A83E7D" w:rsidRPr="00F65B5E" w:rsidRDefault="00A83E7D">
      <w:pPr>
        <w:rPr>
          <w:b/>
          <w:sz w:val="24"/>
        </w:rPr>
      </w:pPr>
      <w:r>
        <w:rPr>
          <w:sz w:val="24"/>
        </w:rPr>
        <w:t>GSA would be unable to readily and equitably evaluate offers fairly and competitively.</w:t>
      </w:r>
    </w:p>
    <w:p w:rsidR="00A83E7D" w:rsidRDefault="00A83E7D">
      <w:pPr>
        <w:rPr>
          <w:sz w:val="24"/>
        </w:rPr>
      </w:pPr>
    </w:p>
    <w:p w:rsidR="00A83E7D" w:rsidRPr="00FB3BE6" w:rsidRDefault="00FB3BE6" w:rsidP="002D5BA8">
      <w:pPr>
        <w:pStyle w:val="BodyText"/>
        <w:jc w:val="left"/>
        <w:rPr>
          <w:b w:val="0"/>
          <w:color w:val="000000"/>
        </w:rPr>
      </w:pPr>
      <w:r w:rsidRPr="00FB3BE6">
        <w:rPr>
          <w:rFonts w:ascii="Times New Roman" w:hAnsi="Times New Roman"/>
          <w:szCs w:val="24"/>
        </w:rPr>
        <w:t>7.  Explain any special circumstances</w:t>
      </w:r>
      <w:r w:rsidR="002D5BA8">
        <w:rPr>
          <w:rFonts w:ascii="Times New Roman" w:hAnsi="Times New Roman"/>
          <w:szCs w:val="24"/>
        </w:rPr>
        <w:t>.</w:t>
      </w:r>
      <w:r w:rsidRPr="00FB3BE6">
        <w:rPr>
          <w:rFonts w:ascii="Times New Roman" w:hAnsi="Times New Roman"/>
          <w:szCs w:val="24"/>
        </w:rPr>
        <w:t xml:space="preserve"> </w:t>
      </w:r>
    </w:p>
    <w:p w:rsidR="00A83E7D" w:rsidRDefault="00A83E7D" w:rsidP="004E4C44">
      <w:pPr>
        <w:numPr>
          <w:ilvl w:val="12"/>
          <w:numId w:val="0"/>
        </w:numPr>
        <w:rPr>
          <w:sz w:val="24"/>
        </w:rPr>
      </w:pPr>
    </w:p>
    <w:p w:rsidR="00A83E7D" w:rsidRDefault="001B7B91" w:rsidP="004E4C44">
      <w:pPr>
        <w:numPr>
          <w:ilvl w:val="12"/>
          <w:numId w:val="0"/>
        </w:numPr>
        <w:rPr>
          <w:sz w:val="24"/>
        </w:rPr>
      </w:pPr>
      <w:r>
        <w:rPr>
          <w:sz w:val="24"/>
        </w:rPr>
        <w:t xml:space="preserve">No special circumstances exist.  </w:t>
      </w:r>
      <w:r w:rsidRPr="001B7B91">
        <w:rPr>
          <w:sz w:val="24"/>
        </w:rPr>
        <w:t>Collection is consistent with the guidelines in 5 CFR 1320.6.</w:t>
      </w:r>
    </w:p>
    <w:p w:rsidR="00D6061B" w:rsidRDefault="00D6061B" w:rsidP="00FB3BE6">
      <w:pPr>
        <w:rPr>
          <w:b/>
          <w:bCs/>
          <w:sz w:val="24"/>
        </w:rPr>
      </w:pPr>
    </w:p>
    <w:p w:rsidR="00FB3BE6" w:rsidRDefault="00FB3BE6" w:rsidP="00FB3BE6">
      <w:pPr>
        <w:rPr>
          <w:sz w:val="24"/>
          <w:szCs w:val="24"/>
        </w:rPr>
      </w:pPr>
      <w:r w:rsidRPr="00C85211">
        <w:rPr>
          <w:b/>
          <w:bCs/>
          <w:sz w:val="24"/>
        </w:rPr>
        <w:t>8.</w:t>
      </w:r>
      <w:r w:rsidRPr="00C85211">
        <w:rPr>
          <w:b/>
          <w:sz w:val="24"/>
        </w:rPr>
        <w:t xml:space="preserve">  </w:t>
      </w:r>
      <w:r>
        <w:rPr>
          <w:b/>
          <w:sz w:val="24"/>
        </w:rPr>
        <w:t>Describe efforts to consult with persons outside the agency</w:t>
      </w:r>
      <w:r w:rsidR="0039626A">
        <w:rPr>
          <w:b/>
          <w:sz w:val="24"/>
        </w:rPr>
        <w:t>.</w:t>
      </w:r>
      <w:r>
        <w:rPr>
          <w:b/>
          <w:sz w:val="24"/>
        </w:rPr>
        <w:t xml:space="preserve"> </w:t>
      </w:r>
    </w:p>
    <w:p w:rsidR="00FB3BE6" w:rsidRDefault="00FB3BE6" w:rsidP="004E4C44">
      <w:pPr>
        <w:numPr>
          <w:ilvl w:val="12"/>
          <w:numId w:val="0"/>
        </w:numPr>
        <w:rPr>
          <w:b/>
          <w:sz w:val="24"/>
        </w:rPr>
      </w:pPr>
    </w:p>
    <w:p w:rsidR="00A83E7D" w:rsidRPr="00D46F50" w:rsidRDefault="00E14556" w:rsidP="004E4C44">
      <w:pPr>
        <w:numPr>
          <w:ilvl w:val="12"/>
          <w:numId w:val="0"/>
        </w:numPr>
        <w:rPr>
          <w:sz w:val="24"/>
        </w:rPr>
      </w:pPr>
      <w:r w:rsidRPr="00E14556">
        <w:rPr>
          <w:bCs/>
          <w:sz w:val="24"/>
        </w:rPr>
        <w:t xml:space="preserve">A </w:t>
      </w:r>
      <w:r w:rsidR="00012051">
        <w:rPr>
          <w:bCs/>
          <w:sz w:val="24"/>
        </w:rPr>
        <w:t xml:space="preserve">60-day </w:t>
      </w:r>
      <w:r w:rsidRPr="00E14556">
        <w:rPr>
          <w:bCs/>
          <w:sz w:val="24"/>
        </w:rPr>
        <w:t xml:space="preserve">notice was published in the </w:t>
      </w:r>
      <w:r w:rsidRPr="00E95CB6">
        <w:rPr>
          <w:bCs/>
          <w:i/>
          <w:sz w:val="24"/>
        </w:rPr>
        <w:t>Federal Register</w:t>
      </w:r>
      <w:r w:rsidRPr="00E14556">
        <w:rPr>
          <w:bCs/>
          <w:sz w:val="24"/>
        </w:rPr>
        <w:t xml:space="preserve"> at 81 FR 10623 on March 1, 2016. No comments were received.</w:t>
      </w:r>
      <w:r w:rsidR="00CF2505" w:rsidRPr="00E14556">
        <w:rPr>
          <w:sz w:val="32"/>
        </w:rPr>
        <w:t xml:space="preserve"> </w:t>
      </w:r>
      <w:r w:rsidR="00D46F50" w:rsidRPr="00D46F50">
        <w:rPr>
          <w:sz w:val="24"/>
        </w:rPr>
        <w:t xml:space="preserve">A 30-day notice was published in the </w:t>
      </w:r>
      <w:r w:rsidR="00D46F50" w:rsidRPr="00CA1DD6">
        <w:rPr>
          <w:i/>
          <w:sz w:val="24"/>
        </w:rPr>
        <w:t xml:space="preserve">Federal Register </w:t>
      </w:r>
      <w:r w:rsidR="00D46F50" w:rsidRPr="00D46F50">
        <w:rPr>
          <w:sz w:val="24"/>
        </w:rPr>
        <w:t xml:space="preserve">at 81 </w:t>
      </w:r>
      <w:r w:rsidR="00950B45">
        <w:rPr>
          <w:sz w:val="24"/>
        </w:rPr>
        <w:t xml:space="preserve">30305 </w:t>
      </w:r>
      <w:r w:rsidR="00D46F50" w:rsidRPr="00D46F50">
        <w:rPr>
          <w:sz w:val="24"/>
        </w:rPr>
        <w:t>FR on May 16, 2016.</w:t>
      </w:r>
      <w:r w:rsidR="00CA1DD6">
        <w:rPr>
          <w:sz w:val="24"/>
        </w:rPr>
        <w:t xml:space="preserve"> No comments were received.</w:t>
      </w:r>
    </w:p>
    <w:p w:rsidR="00A83E7D" w:rsidRDefault="00A83E7D" w:rsidP="004E4C44">
      <w:pPr>
        <w:numPr>
          <w:ilvl w:val="12"/>
          <w:numId w:val="0"/>
        </w:numPr>
        <w:rPr>
          <w:sz w:val="24"/>
        </w:rPr>
      </w:pPr>
    </w:p>
    <w:p w:rsidR="00FB3BE6" w:rsidRDefault="00FB3BE6" w:rsidP="00FB3BE6">
      <w:pPr>
        <w:rPr>
          <w:sz w:val="24"/>
          <w:szCs w:val="24"/>
        </w:rPr>
      </w:pPr>
      <w:r w:rsidRPr="00C85211">
        <w:rPr>
          <w:b/>
          <w:sz w:val="24"/>
        </w:rPr>
        <w:t xml:space="preserve">9.  </w:t>
      </w:r>
      <w:r>
        <w:rPr>
          <w:b/>
          <w:sz w:val="24"/>
        </w:rPr>
        <w:t>Explain any decision to provide any payment or gift to respondents, other than re</w:t>
      </w:r>
      <w:r w:rsidR="002D5BA8">
        <w:rPr>
          <w:b/>
          <w:sz w:val="24"/>
        </w:rPr>
        <w:t>mun</w:t>
      </w:r>
      <w:r>
        <w:rPr>
          <w:b/>
          <w:sz w:val="24"/>
        </w:rPr>
        <w:t>eration of contractors or grantees.</w:t>
      </w:r>
      <w:r w:rsidRPr="00575703">
        <w:rPr>
          <w:sz w:val="24"/>
          <w:szCs w:val="24"/>
        </w:rPr>
        <w:t xml:space="preserve">  </w:t>
      </w:r>
    </w:p>
    <w:p w:rsidR="00A83E7D" w:rsidRDefault="00A83E7D" w:rsidP="004E4C44">
      <w:pPr>
        <w:numPr>
          <w:ilvl w:val="12"/>
          <w:numId w:val="0"/>
        </w:numPr>
        <w:rPr>
          <w:sz w:val="24"/>
        </w:rPr>
      </w:pPr>
    </w:p>
    <w:p w:rsidR="00FB3BE6" w:rsidRDefault="00FB3BE6" w:rsidP="004E4C44">
      <w:pPr>
        <w:numPr>
          <w:ilvl w:val="12"/>
          <w:numId w:val="0"/>
        </w:numPr>
        <w:rPr>
          <w:sz w:val="24"/>
        </w:rPr>
      </w:pPr>
      <w:r>
        <w:rPr>
          <w:sz w:val="24"/>
        </w:rPr>
        <w:t>Not applicable.</w:t>
      </w:r>
    </w:p>
    <w:p w:rsidR="00FB3BE6" w:rsidRDefault="00FB3BE6" w:rsidP="004E4C44">
      <w:pPr>
        <w:numPr>
          <w:ilvl w:val="12"/>
          <w:numId w:val="0"/>
        </w:numPr>
        <w:rPr>
          <w:sz w:val="24"/>
        </w:rPr>
      </w:pPr>
    </w:p>
    <w:p w:rsidR="00FB3BE6" w:rsidRDefault="00FB3BE6" w:rsidP="00FB3BE6">
      <w:pPr>
        <w:tabs>
          <w:tab w:val="left" w:pos="270"/>
        </w:tabs>
        <w:rPr>
          <w:sz w:val="24"/>
          <w:szCs w:val="24"/>
        </w:rPr>
      </w:pPr>
      <w:r w:rsidRPr="00C85211">
        <w:rPr>
          <w:b/>
          <w:bCs/>
          <w:sz w:val="24"/>
        </w:rPr>
        <w:t>10.</w:t>
      </w:r>
      <w:r w:rsidRPr="00C85211">
        <w:rPr>
          <w:b/>
          <w:sz w:val="24"/>
        </w:rPr>
        <w:t xml:space="preserve">  D</w:t>
      </w:r>
      <w:r>
        <w:rPr>
          <w:b/>
          <w:sz w:val="24"/>
        </w:rPr>
        <w:t>escribe any assurance of confidentiality provided to respondents and the basis for assurance in statute, regulation, or agency policy.</w:t>
      </w:r>
      <w:r w:rsidRPr="00575703">
        <w:rPr>
          <w:sz w:val="24"/>
          <w:szCs w:val="24"/>
        </w:rPr>
        <w:t xml:space="preserve">  </w:t>
      </w:r>
    </w:p>
    <w:p w:rsidR="00FB3BE6" w:rsidRDefault="00FB3BE6" w:rsidP="004E4C44">
      <w:pPr>
        <w:numPr>
          <w:ilvl w:val="12"/>
          <w:numId w:val="0"/>
        </w:numPr>
        <w:rPr>
          <w:sz w:val="24"/>
        </w:rPr>
      </w:pPr>
    </w:p>
    <w:p w:rsidR="00FB3BE6" w:rsidRPr="00575703" w:rsidRDefault="00FB3BE6" w:rsidP="00FB3BE6">
      <w:pPr>
        <w:tabs>
          <w:tab w:val="left" w:pos="270"/>
        </w:tabs>
        <w:rPr>
          <w:sz w:val="24"/>
          <w:szCs w:val="24"/>
        </w:rPr>
      </w:pPr>
      <w:r w:rsidRPr="00575703">
        <w:rPr>
          <w:sz w:val="24"/>
          <w:szCs w:val="24"/>
        </w:rPr>
        <w:t xml:space="preserve">Information </w:t>
      </w:r>
      <w:r>
        <w:rPr>
          <w:sz w:val="24"/>
          <w:szCs w:val="24"/>
        </w:rPr>
        <w:t>provided through the GSA Form</w:t>
      </w:r>
      <w:r w:rsidR="00DF29F1">
        <w:rPr>
          <w:sz w:val="24"/>
          <w:szCs w:val="24"/>
        </w:rPr>
        <w:t>s</w:t>
      </w:r>
      <w:r>
        <w:rPr>
          <w:sz w:val="24"/>
          <w:szCs w:val="24"/>
        </w:rPr>
        <w:t xml:space="preserve"> 1364</w:t>
      </w:r>
      <w:r w:rsidRPr="00575703">
        <w:rPr>
          <w:sz w:val="24"/>
          <w:szCs w:val="24"/>
        </w:rPr>
        <w:t xml:space="preserve"> </w:t>
      </w:r>
      <w:r w:rsidR="00D908F8">
        <w:rPr>
          <w:sz w:val="24"/>
          <w:szCs w:val="24"/>
        </w:rPr>
        <w:t xml:space="preserve">and GSA Form 1217 </w:t>
      </w:r>
      <w:r w:rsidRPr="00575703">
        <w:rPr>
          <w:sz w:val="24"/>
          <w:szCs w:val="24"/>
        </w:rPr>
        <w:t>is confidential.</w:t>
      </w:r>
      <w:r w:rsidR="001B7B91">
        <w:rPr>
          <w:sz w:val="24"/>
          <w:szCs w:val="24"/>
        </w:rPr>
        <w:t xml:space="preserve">  Information collected is disclosed only to the extent consistent with agency regulations and applicable statutes.</w:t>
      </w:r>
    </w:p>
    <w:p w:rsidR="00FB3BE6" w:rsidRDefault="00FB3BE6" w:rsidP="004E4C44">
      <w:pPr>
        <w:numPr>
          <w:ilvl w:val="12"/>
          <w:numId w:val="0"/>
        </w:numPr>
        <w:rPr>
          <w:sz w:val="24"/>
        </w:rPr>
      </w:pPr>
    </w:p>
    <w:p w:rsidR="00FB3BE6" w:rsidRPr="00BB15E7" w:rsidRDefault="00FB3BE6" w:rsidP="00FB3BE6">
      <w:pPr>
        <w:rPr>
          <w:b/>
          <w:sz w:val="24"/>
          <w:szCs w:val="24"/>
        </w:rPr>
      </w:pPr>
      <w:r w:rsidRPr="00BB15E7">
        <w:rPr>
          <w:b/>
          <w:sz w:val="24"/>
          <w:szCs w:val="24"/>
        </w:rPr>
        <w:t xml:space="preserve">11.  Provide additional justification for any questions of a sensitive nature, such as sexual behavior and attitudes, religious beliefs, and other matters that are commonly considered private. </w:t>
      </w:r>
    </w:p>
    <w:p w:rsidR="00FB3BE6" w:rsidRDefault="00FB3BE6" w:rsidP="004E4C44">
      <w:pPr>
        <w:numPr>
          <w:ilvl w:val="12"/>
          <w:numId w:val="0"/>
        </w:numPr>
        <w:rPr>
          <w:sz w:val="24"/>
        </w:rPr>
      </w:pPr>
    </w:p>
    <w:p w:rsidR="00A83E7D" w:rsidRDefault="00A83E7D" w:rsidP="004E4C44">
      <w:pPr>
        <w:numPr>
          <w:ilvl w:val="12"/>
          <w:numId w:val="0"/>
        </w:numPr>
        <w:rPr>
          <w:sz w:val="24"/>
        </w:rPr>
      </w:pPr>
      <w:r>
        <w:rPr>
          <w:sz w:val="24"/>
        </w:rPr>
        <w:t xml:space="preserve">No sensitive questions are involved. </w:t>
      </w:r>
    </w:p>
    <w:p w:rsidR="00A83E7D" w:rsidRDefault="00A83E7D" w:rsidP="004E4C44">
      <w:pPr>
        <w:numPr>
          <w:ilvl w:val="12"/>
          <w:numId w:val="0"/>
        </w:numPr>
        <w:rPr>
          <w:sz w:val="24"/>
        </w:rPr>
      </w:pPr>
    </w:p>
    <w:p w:rsidR="00FB3BE6" w:rsidRPr="00F12942" w:rsidRDefault="00FB3BE6" w:rsidP="002D5BA8">
      <w:pPr>
        <w:rPr>
          <w:b/>
          <w:sz w:val="24"/>
        </w:rPr>
      </w:pPr>
      <w:r w:rsidRPr="00C85211">
        <w:rPr>
          <w:b/>
          <w:bCs/>
          <w:sz w:val="24"/>
        </w:rPr>
        <w:t>12.</w:t>
      </w:r>
      <w:r w:rsidRPr="00C85211">
        <w:rPr>
          <w:b/>
          <w:sz w:val="24"/>
        </w:rPr>
        <w:t xml:space="preserve">  P</w:t>
      </w:r>
      <w:r>
        <w:rPr>
          <w:b/>
          <w:sz w:val="24"/>
        </w:rPr>
        <w:t xml:space="preserve">rovide estimates of the hour burden of the collection of information.  </w:t>
      </w:r>
    </w:p>
    <w:p w:rsidR="00FB3BE6" w:rsidRDefault="00FB3BE6" w:rsidP="004E4C44">
      <w:pPr>
        <w:numPr>
          <w:ilvl w:val="12"/>
          <w:numId w:val="0"/>
        </w:numPr>
        <w:rPr>
          <w:sz w:val="24"/>
        </w:rPr>
      </w:pPr>
    </w:p>
    <w:p w:rsidR="0035655C" w:rsidRPr="00AA6B9F" w:rsidRDefault="00FB3BE6" w:rsidP="00AA6B9F">
      <w:pPr>
        <w:rPr>
          <w:sz w:val="24"/>
          <w:szCs w:val="24"/>
        </w:rPr>
      </w:pPr>
      <w:r w:rsidRPr="00E62B62">
        <w:rPr>
          <w:sz w:val="24"/>
          <w:szCs w:val="24"/>
        </w:rPr>
        <w:lastRenderedPageBreak/>
        <w:t xml:space="preserve">GSA estimated the burden of the information collection </w:t>
      </w:r>
      <w:r w:rsidR="00D2777E" w:rsidRPr="00E62B62">
        <w:rPr>
          <w:sz w:val="24"/>
          <w:szCs w:val="24"/>
        </w:rPr>
        <w:t>from</w:t>
      </w:r>
      <w:r w:rsidRPr="00E62B62">
        <w:rPr>
          <w:sz w:val="24"/>
          <w:szCs w:val="24"/>
        </w:rPr>
        <w:t xml:space="preserve"> data obtained from subject matter experts in GSA’s Office of Leasing</w:t>
      </w:r>
      <w:r w:rsidR="00E62B62">
        <w:rPr>
          <w:sz w:val="24"/>
          <w:szCs w:val="24"/>
        </w:rPr>
        <w:t>.</w:t>
      </w:r>
      <w:r w:rsidR="00AA6B9F">
        <w:rPr>
          <w:sz w:val="24"/>
          <w:szCs w:val="24"/>
        </w:rPr>
        <w:t xml:space="preserve"> </w:t>
      </w:r>
      <w:r w:rsidR="005E0CAD" w:rsidRPr="000F0D3C">
        <w:rPr>
          <w:sz w:val="24"/>
        </w:rPr>
        <w:t>The estimated cost of $</w:t>
      </w:r>
      <w:r w:rsidR="00A258D6" w:rsidRPr="000F0D3C">
        <w:rPr>
          <w:sz w:val="24"/>
        </w:rPr>
        <w:t>61.01</w:t>
      </w:r>
      <w:r w:rsidR="005E0CAD" w:rsidRPr="000F0D3C">
        <w:rPr>
          <w:sz w:val="24"/>
        </w:rPr>
        <w:t xml:space="preserve"> per hour is based on the 2015 </w:t>
      </w:r>
      <w:r w:rsidR="0035655C" w:rsidRPr="000F0D3C">
        <w:rPr>
          <w:sz w:val="24"/>
        </w:rPr>
        <w:t xml:space="preserve">National Association of Realtors (NAR) </w:t>
      </w:r>
      <w:r w:rsidR="005E0CAD" w:rsidRPr="000F0D3C">
        <w:rPr>
          <w:sz w:val="24"/>
        </w:rPr>
        <w:t>Commercial Member Profile, which surveys</w:t>
      </w:r>
      <w:r w:rsidR="0035655C" w:rsidRPr="000F0D3C">
        <w:rPr>
          <w:sz w:val="24"/>
        </w:rPr>
        <w:t xml:space="preserve"> commercial real estate brokers</w:t>
      </w:r>
      <w:r w:rsidR="005E0CAD" w:rsidRPr="000F0D3C">
        <w:rPr>
          <w:sz w:val="24"/>
        </w:rPr>
        <w:t xml:space="preserve">.  </w:t>
      </w:r>
      <w:r w:rsidR="00A258D6" w:rsidRPr="000F0D3C">
        <w:rPr>
          <w:sz w:val="24"/>
        </w:rPr>
        <w:t xml:space="preserve">The 2015 report shows </w:t>
      </w:r>
      <w:r w:rsidR="0035655C" w:rsidRPr="000F0D3C">
        <w:rPr>
          <w:sz w:val="24"/>
        </w:rPr>
        <w:t>an average annual income of $</w:t>
      </w:r>
      <w:r w:rsidR="005E0CAD" w:rsidRPr="000F0D3C">
        <w:rPr>
          <w:sz w:val="24"/>
        </w:rPr>
        <w:t>126</w:t>
      </w:r>
      <w:r w:rsidR="0035655C" w:rsidRPr="000F0D3C">
        <w:rPr>
          <w:sz w:val="24"/>
        </w:rPr>
        <w:t>,</w:t>
      </w:r>
      <w:r w:rsidR="005E0CAD" w:rsidRPr="000F0D3C">
        <w:rPr>
          <w:sz w:val="24"/>
        </w:rPr>
        <w:t>9</w:t>
      </w:r>
      <w:r w:rsidR="0035655C" w:rsidRPr="000F0D3C">
        <w:rPr>
          <w:sz w:val="24"/>
        </w:rPr>
        <w:t>00.  When divided by 2080 hours per year, that equals $</w:t>
      </w:r>
      <w:r w:rsidR="00A258D6" w:rsidRPr="000F0D3C">
        <w:rPr>
          <w:sz w:val="24"/>
        </w:rPr>
        <w:t>61</w:t>
      </w:r>
      <w:r w:rsidR="0035655C" w:rsidRPr="000F0D3C">
        <w:rPr>
          <w:sz w:val="24"/>
        </w:rPr>
        <w:t>.</w:t>
      </w:r>
      <w:r w:rsidR="00A258D6" w:rsidRPr="000F0D3C">
        <w:rPr>
          <w:sz w:val="24"/>
        </w:rPr>
        <w:t>01</w:t>
      </w:r>
      <w:r w:rsidR="0035655C" w:rsidRPr="000F0D3C">
        <w:rPr>
          <w:sz w:val="24"/>
        </w:rPr>
        <w:t xml:space="preserve"> per hour.  The NAR survey results were </w:t>
      </w:r>
      <w:r w:rsidR="00A258D6" w:rsidRPr="000F0D3C">
        <w:rPr>
          <w:sz w:val="24"/>
        </w:rPr>
        <w:t>published</w:t>
      </w:r>
      <w:r w:rsidR="0035655C" w:rsidRPr="000F0D3C">
        <w:rPr>
          <w:sz w:val="24"/>
        </w:rPr>
        <w:t xml:space="preserve"> </w:t>
      </w:r>
      <w:r w:rsidR="00A258D6" w:rsidRPr="000F0D3C">
        <w:rPr>
          <w:sz w:val="24"/>
        </w:rPr>
        <w:t>at</w:t>
      </w:r>
      <w:r w:rsidR="0035655C" w:rsidRPr="000F0D3C">
        <w:rPr>
          <w:sz w:val="24"/>
        </w:rPr>
        <w:t xml:space="preserve"> www.</w:t>
      </w:r>
      <w:r w:rsidR="00A258D6" w:rsidRPr="000F0D3C">
        <w:rPr>
          <w:sz w:val="24"/>
        </w:rPr>
        <w:t>realtor</w:t>
      </w:r>
      <w:r w:rsidR="0035655C" w:rsidRPr="000F0D3C">
        <w:rPr>
          <w:sz w:val="24"/>
        </w:rPr>
        <w:t>.</w:t>
      </w:r>
      <w:r w:rsidR="00A258D6" w:rsidRPr="000F0D3C">
        <w:rPr>
          <w:sz w:val="24"/>
        </w:rPr>
        <w:t>org</w:t>
      </w:r>
      <w:r w:rsidR="0035655C" w:rsidRPr="000F0D3C">
        <w:rPr>
          <w:sz w:val="24"/>
        </w:rPr>
        <w:t>.</w:t>
      </w:r>
    </w:p>
    <w:p w:rsidR="005D339A" w:rsidRPr="000F0D3C" w:rsidRDefault="005D339A" w:rsidP="00FB3BE6">
      <w:pPr>
        <w:rPr>
          <w:sz w:val="24"/>
          <w:szCs w:val="24"/>
        </w:rPr>
      </w:pPr>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1309"/>
        <w:gridCol w:w="1367"/>
        <w:gridCol w:w="1553"/>
        <w:gridCol w:w="1351"/>
        <w:gridCol w:w="1351"/>
        <w:gridCol w:w="1349"/>
      </w:tblGrid>
      <w:tr w:rsidR="006A151C" w:rsidRPr="000F0D3C" w:rsidTr="001F3074">
        <w:trPr>
          <w:trHeight w:val="255"/>
        </w:trPr>
        <w:tc>
          <w:tcPr>
            <w:tcW w:w="900" w:type="pct"/>
            <w:shd w:val="clear" w:color="auto" w:fill="auto"/>
            <w:noWrap/>
            <w:hideMark/>
          </w:tcPr>
          <w:p w:rsidR="006A151C" w:rsidRPr="000F0D3C" w:rsidRDefault="006A151C" w:rsidP="004C54EC">
            <w:pPr>
              <w:overflowPunct/>
              <w:autoSpaceDE/>
              <w:autoSpaceDN/>
              <w:adjustRightInd/>
              <w:textAlignment w:val="auto"/>
              <w:rPr>
                <w:rFonts w:ascii="Arial" w:hAnsi="Arial" w:cs="Arial"/>
                <w:color w:val="000000"/>
              </w:rPr>
            </w:pPr>
          </w:p>
        </w:tc>
        <w:tc>
          <w:tcPr>
            <w:tcW w:w="4100" w:type="pct"/>
            <w:gridSpan w:val="6"/>
          </w:tcPr>
          <w:p w:rsidR="006A151C" w:rsidRPr="000F0D3C" w:rsidRDefault="006A151C" w:rsidP="005D339A">
            <w:pPr>
              <w:overflowPunct/>
              <w:autoSpaceDE/>
              <w:autoSpaceDN/>
              <w:adjustRightInd/>
              <w:jc w:val="center"/>
              <w:textAlignment w:val="auto"/>
              <w:rPr>
                <w:rFonts w:ascii="Arial" w:hAnsi="Arial" w:cs="Arial"/>
                <w:b/>
                <w:bCs/>
                <w:color w:val="000000"/>
              </w:rPr>
            </w:pPr>
            <w:r w:rsidRPr="000F0D3C">
              <w:rPr>
                <w:rFonts w:ascii="Arial" w:hAnsi="Arial" w:cs="Arial"/>
                <w:b/>
                <w:bCs/>
                <w:color w:val="000000"/>
              </w:rPr>
              <w:t>Lease Model</w:t>
            </w:r>
          </w:p>
        </w:tc>
      </w:tr>
      <w:tr w:rsidR="009301C5" w:rsidRPr="000F0D3C" w:rsidTr="009301C5">
        <w:trPr>
          <w:trHeight w:val="255"/>
        </w:trPr>
        <w:tc>
          <w:tcPr>
            <w:tcW w:w="900" w:type="pct"/>
            <w:shd w:val="clear" w:color="auto" w:fill="auto"/>
            <w:noWrap/>
          </w:tcPr>
          <w:p w:rsidR="001260B3" w:rsidRPr="000F0D3C" w:rsidRDefault="001260B3" w:rsidP="004C54EC">
            <w:pPr>
              <w:overflowPunct/>
              <w:autoSpaceDE/>
              <w:autoSpaceDN/>
              <w:adjustRightInd/>
              <w:textAlignment w:val="auto"/>
              <w:rPr>
                <w:rFonts w:ascii="Arial" w:hAnsi="Arial" w:cs="Arial"/>
                <w:b/>
                <w:color w:val="000000"/>
              </w:rPr>
            </w:pPr>
            <w:r w:rsidRPr="000F0D3C">
              <w:rPr>
                <w:rFonts w:ascii="Arial" w:hAnsi="Arial" w:cs="Arial"/>
                <w:b/>
                <w:color w:val="000000"/>
              </w:rPr>
              <w:t>Data</w:t>
            </w:r>
          </w:p>
        </w:tc>
        <w:tc>
          <w:tcPr>
            <w:tcW w:w="648" w:type="pct"/>
          </w:tcPr>
          <w:p w:rsidR="001260B3" w:rsidRPr="000F0D3C" w:rsidRDefault="001260B3" w:rsidP="00AB6BF2">
            <w:pPr>
              <w:overflowPunct/>
              <w:autoSpaceDE/>
              <w:autoSpaceDN/>
              <w:adjustRightInd/>
              <w:textAlignment w:val="auto"/>
              <w:rPr>
                <w:rFonts w:ascii="Arial" w:hAnsi="Arial" w:cs="Arial"/>
                <w:b/>
                <w:bCs/>
                <w:color w:val="000000"/>
              </w:rPr>
            </w:pPr>
            <w:r w:rsidRPr="000F0D3C">
              <w:rPr>
                <w:rFonts w:ascii="Arial" w:hAnsi="Arial" w:cs="Arial"/>
                <w:b/>
                <w:bCs/>
                <w:color w:val="000000"/>
              </w:rPr>
              <w:t>Streamlined</w:t>
            </w:r>
          </w:p>
        </w:tc>
        <w:tc>
          <w:tcPr>
            <w:tcW w:w="677" w:type="pct"/>
            <w:shd w:val="clear" w:color="auto" w:fill="auto"/>
            <w:noWrap/>
          </w:tcPr>
          <w:p w:rsidR="001260B3" w:rsidRPr="000F0D3C" w:rsidRDefault="001260B3" w:rsidP="00AB6BF2">
            <w:pPr>
              <w:overflowPunct/>
              <w:autoSpaceDE/>
              <w:autoSpaceDN/>
              <w:adjustRightInd/>
              <w:textAlignment w:val="auto"/>
              <w:rPr>
                <w:rFonts w:ascii="Arial" w:hAnsi="Arial" w:cs="Arial"/>
                <w:b/>
                <w:bCs/>
                <w:color w:val="000000"/>
              </w:rPr>
            </w:pPr>
            <w:r w:rsidRPr="000F0D3C">
              <w:rPr>
                <w:rFonts w:ascii="Arial" w:hAnsi="Arial" w:cs="Arial"/>
                <w:b/>
                <w:bCs/>
                <w:color w:val="000000"/>
              </w:rPr>
              <w:t>Standard</w:t>
            </w:r>
          </w:p>
        </w:tc>
        <w:tc>
          <w:tcPr>
            <w:tcW w:w="769" w:type="pct"/>
            <w:shd w:val="clear" w:color="auto" w:fill="auto"/>
            <w:noWrap/>
          </w:tcPr>
          <w:p w:rsidR="001260B3" w:rsidRPr="000F0D3C" w:rsidRDefault="001260B3" w:rsidP="00AB6BF2">
            <w:pPr>
              <w:overflowPunct/>
              <w:autoSpaceDE/>
              <w:autoSpaceDN/>
              <w:adjustRightInd/>
              <w:textAlignment w:val="auto"/>
              <w:rPr>
                <w:rFonts w:ascii="Arial" w:hAnsi="Arial" w:cs="Arial"/>
                <w:b/>
                <w:bCs/>
                <w:color w:val="000000"/>
              </w:rPr>
            </w:pPr>
            <w:r w:rsidRPr="000F0D3C">
              <w:rPr>
                <w:rFonts w:ascii="Arial" w:hAnsi="Arial" w:cs="Arial"/>
                <w:b/>
                <w:bCs/>
                <w:color w:val="000000"/>
              </w:rPr>
              <w:t>Succeeding/ Superseding</w:t>
            </w:r>
          </w:p>
        </w:tc>
        <w:tc>
          <w:tcPr>
            <w:tcW w:w="669" w:type="pct"/>
            <w:shd w:val="clear" w:color="auto" w:fill="auto"/>
            <w:noWrap/>
          </w:tcPr>
          <w:p w:rsidR="001260B3" w:rsidRPr="000F0D3C" w:rsidRDefault="001260B3" w:rsidP="00472178">
            <w:pPr>
              <w:overflowPunct/>
              <w:autoSpaceDE/>
              <w:autoSpaceDN/>
              <w:adjustRightInd/>
              <w:textAlignment w:val="auto"/>
              <w:rPr>
                <w:rFonts w:ascii="Arial" w:hAnsi="Arial" w:cs="Arial"/>
                <w:b/>
                <w:bCs/>
                <w:color w:val="000000"/>
              </w:rPr>
            </w:pPr>
            <w:r w:rsidRPr="000F0D3C">
              <w:rPr>
                <w:rFonts w:ascii="Arial" w:hAnsi="Arial" w:cs="Arial"/>
                <w:b/>
                <w:bCs/>
                <w:color w:val="000000"/>
              </w:rPr>
              <w:t>Simplified</w:t>
            </w:r>
          </w:p>
        </w:tc>
        <w:tc>
          <w:tcPr>
            <w:tcW w:w="669" w:type="pct"/>
            <w:shd w:val="clear" w:color="auto" w:fill="auto"/>
            <w:noWrap/>
          </w:tcPr>
          <w:p w:rsidR="001260B3" w:rsidRPr="000F0D3C" w:rsidRDefault="001260B3" w:rsidP="00472178">
            <w:pPr>
              <w:overflowPunct/>
              <w:autoSpaceDE/>
              <w:autoSpaceDN/>
              <w:adjustRightInd/>
              <w:textAlignment w:val="auto"/>
              <w:rPr>
                <w:rFonts w:ascii="Arial" w:hAnsi="Arial" w:cs="Arial"/>
                <w:b/>
                <w:bCs/>
                <w:color w:val="000000"/>
              </w:rPr>
            </w:pPr>
            <w:r w:rsidRPr="000F0D3C">
              <w:rPr>
                <w:rFonts w:ascii="Arial" w:hAnsi="Arial" w:cs="Arial"/>
                <w:b/>
                <w:bCs/>
                <w:color w:val="000000"/>
              </w:rPr>
              <w:t>Warehouse</w:t>
            </w:r>
          </w:p>
        </w:tc>
        <w:tc>
          <w:tcPr>
            <w:tcW w:w="669" w:type="pct"/>
            <w:shd w:val="clear" w:color="auto" w:fill="auto"/>
            <w:noWrap/>
          </w:tcPr>
          <w:p w:rsidR="001260B3" w:rsidRPr="000F0D3C" w:rsidRDefault="001260B3" w:rsidP="004C54EC">
            <w:pPr>
              <w:overflowPunct/>
              <w:autoSpaceDE/>
              <w:autoSpaceDN/>
              <w:adjustRightInd/>
              <w:textAlignment w:val="auto"/>
              <w:rPr>
                <w:rFonts w:ascii="Arial" w:hAnsi="Arial" w:cs="Arial"/>
                <w:b/>
                <w:bCs/>
                <w:color w:val="000000"/>
              </w:rPr>
            </w:pPr>
            <w:r w:rsidRPr="000F0D3C">
              <w:rPr>
                <w:rFonts w:ascii="Arial" w:hAnsi="Arial" w:cs="Arial"/>
                <w:b/>
                <w:bCs/>
                <w:color w:val="000000"/>
              </w:rPr>
              <w:t>Total</w:t>
            </w:r>
          </w:p>
        </w:tc>
      </w:tr>
      <w:tr w:rsidR="009301C5" w:rsidRPr="000F0D3C" w:rsidTr="009301C5">
        <w:trPr>
          <w:trHeight w:val="255"/>
        </w:trPr>
        <w:tc>
          <w:tcPr>
            <w:tcW w:w="900" w:type="pct"/>
            <w:shd w:val="clear" w:color="auto" w:fill="auto"/>
            <w:noWrap/>
            <w:hideMark/>
          </w:tcPr>
          <w:p w:rsidR="001260B3" w:rsidRPr="000F0D3C" w:rsidRDefault="001260B3" w:rsidP="004C54EC">
            <w:pPr>
              <w:overflowPunct/>
              <w:autoSpaceDE/>
              <w:autoSpaceDN/>
              <w:adjustRightInd/>
              <w:textAlignment w:val="auto"/>
              <w:rPr>
                <w:rFonts w:ascii="Arial" w:hAnsi="Arial" w:cs="Arial"/>
                <w:color w:val="000000"/>
              </w:rPr>
            </w:pPr>
            <w:r w:rsidRPr="000F0D3C">
              <w:rPr>
                <w:rFonts w:ascii="Arial" w:hAnsi="Arial" w:cs="Arial"/>
                <w:color w:val="000000"/>
              </w:rPr>
              <w:t>Total Projects</w:t>
            </w:r>
          </w:p>
          <w:p w:rsidR="001260B3" w:rsidRPr="000F0D3C" w:rsidRDefault="001260B3" w:rsidP="004C54EC">
            <w:pPr>
              <w:overflowPunct/>
              <w:autoSpaceDE/>
              <w:autoSpaceDN/>
              <w:adjustRightInd/>
              <w:textAlignment w:val="auto"/>
              <w:rPr>
                <w:rFonts w:ascii="Arial" w:hAnsi="Arial" w:cs="Arial"/>
                <w:color w:val="000000"/>
              </w:rPr>
            </w:pPr>
          </w:p>
        </w:tc>
        <w:tc>
          <w:tcPr>
            <w:tcW w:w="648" w:type="pct"/>
          </w:tcPr>
          <w:p w:rsidR="001260B3" w:rsidRPr="000F0D3C" w:rsidRDefault="001D6380" w:rsidP="00AB6BF2">
            <w:pPr>
              <w:overflowPunct/>
              <w:autoSpaceDE/>
              <w:autoSpaceDN/>
              <w:adjustRightInd/>
              <w:textAlignment w:val="auto"/>
              <w:rPr>
                <w:rFonts w:ascii="Arial" w:hAnsi="Arial" w:cs="Arial"/>
                <w:b/>
                <w:bCs/>
                <w:color w:val="000000"/>
              </w:rPr>
            </w:pPr>
            <w:r w:rsidRPr="000F0D3C">
              <w:rPr>
                <w:rFonts w:ascii="Arial" w:hAnsi="Arial" w:cs="Arial"/>
                <w:color w:val="000000"/>
              </w:rPr>
              <w:t>35</w:t>
            </w:r>
          </w:p>
        </w:tc>
        <w:tc>
          <w:tcPr>
            <w:tcW w:w="677" w:type="pct"/>
            <w:shd w:val="clear" w:color="auto" w:fill="auto"/>
            <w:noWrap/>
            <w:hideMark/>
          </w:tcPr>
          <w:p w:rsidR="001260B3" w:rsidRPr="000F0D3C" w:rsidRDefault="001D6380" w:rsidP="00AB6BF2">
            <w:pPr>
              <w:overflowPunct/>
              <w:autoSpaceDE/>
              <w:autoSpaceDN/>
              <w:adjustRightInd/>
              <w:textAlignment w:val="auto"/>
              <w:rPr>
                <w:rFonts w:ascii="Arial" w:hAnsi="Arial" w:cs="Arial"/>
                <w:b/>
                <w:bCs/>
                <w:color w:val="000000"/>
              </w:rPr>
            </w:pPr>
            <w:r w:rsidRPr="000F0D3C">
              <w:rPr>
                <w:rFonts w:ascii="Arial" w:hAnsi="Arial" w:cs="Arial"/>
                <w:color w:val="000000"/>
              </w:rPr>
              <w:t>238</w:t>
            </w:r>
          </w:p>
        </w:tc>
        <w:tc>
          <w:tcPr>
            <w:tcW w:w="769" w:type="pct"/>
            <w:shd w:val="clear" w:color="auto" w:fill="auto"/>
            <w:noWrap/>
            <w:hideMark/>
          </w:tcPr>
          <w:p w:rsidR="001260B3" w:rsidRPr="000F0D3C" w:rsidRDefault="001D6380" w:rsidP="00AB6BF2">
            <w:pPr>
              <w:overflowPunct/>
              <w:autoSpaceDE/>
              <w:autoSpaceDN/>
              <w:adjustRightInd/>
              <w:textAlignment w:val="auto"/>
              <w:rPr>
                <w:rFonts w:ascii="Arial" w:hAnsi="Arial" w:cs="Arial"/>
                <w:b/>
                <w:bCs/>
                <w:color w:val="000000"/>
              </w:rPr>
            </w:pPr>
            <w:r w:rsidRPr="000F0D3C">
              <w:rPr>
                <w:rFonts w:ascii="Arial" w:hAnsi="Arial" w:cs="Arial"/>
                <w:color w:val="000000"/>
              </w:rPr>
              <w:t>185</w:t>
            </w:r>
          </w:p>
        </w:tc>
        <w:tc>
          <w:tcPr>
            <w:tcW w:w="669" w:type="pct"/>
            <w:shd w:val="clear" w:color="auto" w:fill="auto"/>
            <w:noWrap/>
            <w:hideMark/>
          </w:tcPr>
          <w:p w:rsidR="001260B3" w:rsidRPr="000F0D3C" w:rsidRDefault="001D6380" w:rsidP="004C54EC">
            <w:pPr>
              <w:overflowPunct/>
              <w:autoSpaceDE/>
              <w:autoSpaceDN/>
              <w:adjustRightInd/>
              <w:textAlignment w:val="auto"/>
              <w:rPr>
                <w:rFonts w:ascii="Arial" w:hAnsi="Arial" w:cs="Arial"/>
                <w:b/>
                <w:bCs/>
                <w:color w:val="000000"/>
              </w:rPr>
            </w:pPr>
            <w:r w:rsidRPr="000F0D3C">
              <w:rPr>
                <w:rFonts w:ascii="Arial" w:hAnsi="Arial" w:cs="Arial"/>
                <w:color w:val="000000"/>
              </w:rPr>
              <w:t>51</w:t>
            </w:r>
          </w:p>
        </w:tc>
        <w:tc>
          <w:tcPr>
            <w:tcW w:w="669" w:type="pct"/>
            <w:shd w:val="clear" w:color="auto" w:fill="auto"/>
            <w:noWrap/>
            <w:hideMark/>
          </w:tcPr>
          <w:p w:rsidR="001260B3" w:rsidRPr="000F0D3C" w:rsidRDefault="001D6380" w:rsidP="004C54EC">
            <w:pPr>
              <w:overflowPunct/>
              <w:autoSpaceDE/>
              <w:autoSpaceDN/>
              <w:adjustRightInd/>
              <w:textAlignment w:val="auto"/>
              <w:rPr>
                <w:rFonts w:ascii="Arial" w:hAnsi="Arial" w:cs="Arial"/>
                <w:b/>
                <w:bCs/>
                <w:color w:val="000000"/>
              </w:rPr>
            </w:pPr>
            <w:r w:rsidRPr="000F0D3C">
              <w:rPr>
                <w:rFonts w:ascii="Arial" w:hAnsi="Arial" w:cs="Arial"/>
                <w:color w:val="000000"/>
              </w:rPr>
              <w:t>35</w:t>
            </w:r>
          </w:p>
        </w:tc>
        <w:tc>
          <w:tcPr>
            <w:tcW w:w="669" w:type="pct"/>
            <w:shd w:val="clear" w:color="auto" w:fill="auto"/>
            <w:noWrap/>
            <w:hideMark/>
          </w:tcPr>
          <w:p w:rsidR="001260B3" w:rsidRPr="000F0D3C" w:rsidRDefault="001D6380" w:rsidP="004C54EC">
            <w:pPr>
              <w:overflowPunct/>
              <w:autoSpaceDE/>
              <w:autoSpaceDN/>
              <w:adjustRightInd/>
              <w:textAlignment w:val="auto"/>
              <w:rPr>
                <w:rFonts w:ascii="Arial" w:hAnsi="Arial" w:cs="Arial"/>
                <w:bCs/>
                <w:color w:val="000000"/>
              </w:rPr>
            </w:pPr>
            <w:r w:rsidRPr="000F0D3C">
              <w:rPr>
                <w:rFonts w:ascii="Arial" w:hAnsi="Arial" w:cs="Arial"/>
                <w:bCs/>
                <w:color w:val="000000"/>
              </w:rPr>
              <w:t>544</w:t>
            </w:r>
          </w:p>
        </w:tc>
      </w:tr>
      <w:tr w:rsidR="009301C5" w:rsidRPr="000F0D3C" w:rsidTr="009301C5">
        <w:trPr>
          <w:trHeight w:val="255"/>
        </w:trPr>
        <w:tc>
          <w:tcPr>
            <w:tcW w:w="900" w:type="pct"/>
            <w:shd w:val="clear" w:color="auto" w:fill="auto"/>
            <w:noWrap/>
            <w:hideMark/>
          </w:tcPr>
          <w:p w:rsidR="001260B3" w:rsidRPr="000F0D3C" w:rsidRDefault="001260B3" w:rsidP="004C54EC">
            <w:pPr>
              <w:overflowPunct/>
              <w:autoSpaceDE/>
              <w:autoSpaceDN/>
              <w:adjustRightInd/>
              <w:textAlignment w:val="auto"/>
              <w:rPr>
                <w:rFonts w:ascii="Arial" w:hAnsi="Arial" w:cs="Arial"/>
                <w:color w:val="000000"/>
              </w:rPr>
            </w:pPr>
            <w:r w:rsidRPr="000F0D3C">
              <w:rPr>
                <w:rFonts w:ascii="Arial" w:hAnsi="Arial" w:cs="Arial"/>
                <w:color w:val="000000"/>
              </w:rPr>
              <w:t xml:space="preserve">Number of Responses </w:t>
            </w:r>
          </w:p>
          <w:p w:rsidR="001260B3" w:rsidRPr="000F0D3C" w:rsidRDefault="001260B3" w:rsidP="004C54EC">
            <w:pPr>
              <w:overflowPunct/>
              <w:autoSpaceDE/>
              <w:autoSpaceDN/>
              <w:adjustRightInd/>
              <w:textAlignment w:val="auto"/>
              <w:rPr>
                <w:rFonts w:ascii="Arial" w:hAnsi="Arial" w:cs="Arial"/>
                <w:color w:val="000000"/>
              </w:rPr>
            </w:pPr>
            <w:r w:rsidRPr="000F0D3C">
              <w:rPr>
                <w:rFonts w:ascii="Arial" w:hAnsi="Arial" w:cs="Arial"/>
                <w:color w:val="000000"/>
              </w:rPr>
              <w:t>Per Project</w:t>
            </w:r>
          </w:p>
        </w:tc>
        <w:tc>
          <w:tcPr>
            <w:tcW w:w="648" w:type="pct"/>
          </w:tcPr>
          <w:p w:rsidR="001260B3" w:rsidRPr="000F0D3C" w:rsidRDefault="001260B3" w:rsidP="00AB6BF2">
            <w:pPr>
              <w:overflowPunct/>
              <w:autoSpaceDE/>
              <w:autoSpaceDN/>
              <w:adjustRightInd/>
              <w:textAlignment w:val="auto"/>
              <w:rPr>
                <w:rFonts w:ascii="Arial" w:hAnsi="Arial" w:cs="Arial"/>
                <w:color w:val="000000"/>
              </w:rPr>
            </w:pPr>
            <w:r w:rsidRPr="000F0D3C">
              <w:rPr>
                <w:rFonts w:ascii="Arial" w:hAnsi="Arial" w:cs="Arial"/>
                <w:color w:val="000000"/>
              </w:rPr>
              <w:t>3.7</w:t>
            </w:r>
          </w:p>
        </w:tc>
        <w:tc>
          <w:tcPr>
            <w:tcW w:w="677" w:type="pct"/>
            <w:shd w:val="clear" w:color="auto" w:fill="auto"/>
            <w:noWrap/>
            <w:hideMark/>
          </w:tcPr>
          <w:p w:rsidR="001260B3" w:rsidRPr="000F0D3C" w:rsidRDefault="001260B3" w:rsidP="00AB6BF2">
            <w:pPr>
              <w:overflowPunct/>
              <w:autoSpaceDE/>
              <w:autoSpaceDN/>
              <w:adjustRightInd/>
              <w:textAlignment w:val="auto"/>
              <w:rPr>
                <w:rFonts w:ascii="Arial" w:hAnsi="Arial" w:cs="Arial"/>
                <w:color w:val="000000"/>
              </w:rPr>
            </w:pPr>
            <w:r w:rsidRPr="000F0D3C">
              <w:rPr>
                <w:rFonts w:ascii="Arial" w:hAnsi="Arial" w:cs="Arial"/>
                <w:color w:val="000000"/>
              </w:rPr>
              <w:t>4.1</w:t>
            </w:r>
          </w:p>
        </w:tc>
        <w:tc>
          <w:tcPr>
            <w:tcW w:w="769" w:type="pct"/>
            <w:shd w:val="clear" w:color="auto" w:fill="auto"/>
            <w:noWrap/>
            <w:hideMark/>
          </w:tcPr>
          <w:p w:rsidR="001260B3" w:rsidRPr="000F0D3C" w:rsidRDefault="001260B3" w:rsidP="00AB6BF2">
            <w:pPr>
              <w:overflowPunct/>
              <w:autoSpaceDE/>
              <w:autoSpaceDN/>
              <w:adjustRightInd/>
              <w:textAlignment w:val="auto"/>
              <w:rPr>
                <w:rFonts w:ascii="Arial" w:hAnsi="Arial" w:cs="Arial"/>
                <w:color w:val="000000"/>
              </w:rPr>
            </w:pPr>
            <w:r w:rsidRPr="000F0D3C">
              <w:rPr>
                <w:rFonts w:ascii="Arial" w:hAnsi="Arial" w:cs="Arial"/>
                <w:color w:val="000000"/>
              </w:rPr>
              <w:t>1.0</w:t>
            </w:r>
          </w:p>
        </w:tc>
        <w:tc>
          <w:tcPr>
            <w:tcW w:w="669" w:type="pct"/>
            <w:shd w:val="clear" w:color="auto" w:fill="auto"/>
            <w:noWrap/>
            <w:hideMark/>
          </w:tcPr>
          <w:p w:rsidR="001260B3" w:rsidRPr="000F0D3C" w:rsidRDefault="001260B3" w:rsidP="004C54EC">
            <w:pPr>
              <w:overflowPunct/>
              <w:autoSpaceDE/>
              <w:autoSpaceDN/>
              <w:adjustRightInd/>
              <w:textAlignment w:val="auto"/>
              <w:rPr>
                <w:rFonts w:ascii="Arial" w:hAnsi="Arial" w:cs="Arial"/>
                <w:color w:val="000000"/>
              </w:rPr>
            </w:pPr>
            <w:r w:rsidRPr="000F0D3C">
              <w:rPr>
                <w:rFonts w:ascii="Arial" w:hAnsi="Arial" w:cs="Arial"/>
                <w:color w:val="000000"/>
              </w:rPr>
              <w:t>3.7</w:t>
            </w:r>
          </w:p>
        </w:tc>
        <w:tc>
          <w:tcPr>
            <w:tcW w:w="669" w:type="pct"/>
            <w:shd w:val="clear" w:color="auto" w:fill="auto"/>
            <w:noWrap/>
            <w:hideMark/>
          </w:tcPr>
          <w:p w:rsidR="001260B3" w:rsidRPr="000F0D3C" w:rsidRDefault="001D6380" w:rsidP="004C54EC">
            <w:pPr>
              <w:overflowPunct/>
              <w:autoSpaceDE/>
              <w:autoSpaceDN/>
              <w:adjustRightInd/>
              <w:textAlignment w:val="auto"/>
              <w:rPr>
                <w:rFonts w:ascii="Arial" w:hAnsi="Arial" w:cs="Arial"/>
                <w:color w:val="000000"/>
              </w:rPr>
            </w:pPr>
            <w:r w:rsidRPr="000F0D3C">
              <w:rPr>
                <w:rFonts w:ascii="Arial" w:hAnsi="Arial" w:cs="Arial"/>
                <w:color w:val="000000"/>
              </w:rPr>
              <w:t>4.1</w:t>
            </w:r>
          </w:p>
        </w:tc>
        <w:tc>
          <w:tcPr>
            <w:tcW w:w="669" w:type="pct"/>
            <w:shd w:val="clear" w:color="auto" w:fill="auto"/>
            <w:noWrap/>
            <w:hideMark/>
          </w:tcPr>
          <w:p w:rsidR="001260B3" w:rsidRPr="000F0D3C" w:rsidRDefault="001260B3" w:rsidP="004C54EC">
            <w:pPr>
              <w:overflowPunct/>
              <w:autoSpaceDE/>
              <w:autoSpaceDN/>
              <w:adjustRightInd/>
              <w:textAlignment w:val="auto"/>
              <w:rPr>
                <w:rFonts w:ascii="Arial" w:hAnsi="Arial" w:cs="Arial"/>
                <w:color w:val="000000"/>
              </w:rPr>
            </w:pPr>
          </w:p>
        </w:tc>
      </w:tr>
      <w:tr w:rsidR="009301C5" w:rsidRPr="000F0D3C" w:rsidTr="009301C5">
        <w:trPr>
          <w:trHeight w:val="255"/>
        </w:trPr>
        <w:tc>
          <w:tcPr>
            <w:tcW w:w="900" w:type="pct"/>
            <w:shd w:val="clear" w:color="auto" w:fill="auto"/>
            <w:noWrap/>
          </w:tcPr>
          <w:p w:rsidR="001260B3" w:rsidRPr="000F0D3C" w:rsidRDefault="001260B3" w:rsidP="00656A6B">
            <w:pPr>
              <w:overflowPunct/>
              <w:autoSpaceDE/>
              <w:autoSpaceDN/>
              <w:adjustRightInd/>
              <w:textAlignment w:val="auto"/>
              <w:rPr>
                <w:rFonts w:ascii="Arial" w:hAnsi="Arial" w:cs="Arial"/>
                <w:color w:val="000000"/>
              </w:rPr>
            </w:pPr>
            <w:r w:rsidRPr="000F0D3C">
              <w:rPr>
                <w:rFonts w:ascii="Arial" w:hAnsi="Arial" w:cs="Arial"/>
                <w:color w:val="000000"/>
              </w:rPr>
              <w:t xml:space="preserve">Annual Responses </w:t>
            </w:r>
          </w:p>
        </w:tc>
        <w:tc>
          <w:tcPr>
            <w:tcW w:w="648" w:type="pct"/>
          </w:tcPr>
          <w:p w:rsidR="001260B3" w:rsidRPr="000F0D3C" w:rsidRDefault="001D6380" w:rsidP="001D6380">
            <w:pPr>
              <w:overflowPunct/>
              <w:autoSpaceDE/>
              <w:autoSpaceDN/>
              <w:adjustRightInd/>
              <w:textAlignment w:val="auto"/>
              <w:rPr>
                <w:rFonts w:ascii="Arial" w:hAnsi="Arial" w:cs="Arial"/>
                <w:color w:val="000000"/>
              </w:rPr>
            </w:pPr>
            <w:r w:rsidRPr="000F0D3C">
              <w:rPr>
                <w:rFonts w:ascii="Arial" w:hAnsi="Arial" w:cs="Arial"/>
                <w:color w:val="000000"/>
              </w:rPr>
              <w:t>129.5</w:t>
            </w:r>
          </w:p>
        </w:tc>
        <w:tc>
          <w:tcPr>
            <w:tcW w:w="677" w:type="pct"/>
            <w:shd w:val="clear" w:color="auto" w:fill="auto"/>
            <w:noWrap/>
          </w:tcPr>
          <w:p w:rsidR="001260B3" w:rsidRPr="000F0D3C" w:rsidRDefault="001D6380" w:rsidP="00AB6BF2">
            <w:pPr>
              <w:overflowPunct/>
              <w:autoSpaceDE/>
              <w:autoSpaceDN/>
              <w:adjustRightInd/>
              <w:textAlignment w:val="auto"/>
              <w:rPr>
                <w:rFonts w:ascii="Arial" w:hAnsi="Arial" w:cs="Arial"/>
                <w:color w:val="000000"/>
              </w:rPr>
            </w:pPr>
            <w:r w:rsidRPr="000F0D3C">
              <w:rPr>
                <w:rFonts w:ascii="Arial" w:hAnsi="Arial" w:cs="Arial"/>
                <w:color w:val="000000"/>
              </w:rPr>
              <w:t>975.8</w:t>
            </w:r>
          </w:p>
        </w:tc>
        <w:tc>
          <w:tcPr>
            <w:tcW w:w="769" w:type="pct"/>
            <w:shd w:val="clear" w:color="auto" w:fill="auto"/>
            <w:noWrap/>
          </w:tcPr>
          <w:p w:rsidR="001260B3" w:rsidRPr="000F0D3C" w:rsidRDefault="001D6380" w:rsidP="00AB6BF2">
            <w:pPr>
              <w:overflowPunct/>
              <w:autoSpaceDE/>
              <w:autoSpaceDN/>
              <w:adjustRightInd/>
              <w:textAlignment w:val="auto"/>
              <w:rPr>
                <w:rFonts w:ascii="Arial" w:hAnsi="Arial" w:cs="Arial"/>
                <w:color w:val="000000"/>
              </w:rPr>
            </w:pPr>
            <w:r w:rsidRPr="000F0D3C">
              <w:rPr>
                <w:rFonts w:ascii="Arial" w:hAnsi="Arial" w:cs="Arial"/>
                <w:color w:val="000000"/>
              </w:rPr>
              <w:t>185</w:t>
            </w:r>
          </w:p>
        </w:tc>
        <w:tc>
          <w:tcPr>
            <w:tcW w:w="669" w:type="pct"/>
            <w:shd w:val="clear" w:color="auto" w:fill="auto"/>
            <w:noWrap/>
          </w:tcPr>
          <w:p w:rsidR="001260B3" w:rsidRPr="000F0D3C" w:rsidRDefault="001D6380" w:rsidP="004C54EC">
            <w:pPr>
              <w:overflowPunct/>
              <w:autoSpaceDE/>
              <w:autoSpaceDN/>
              <w:adjustRightInd/>
              <w:textAlignment w:val="auto"/>
              <w:rPr>
                <w:rFonts w:ascii="Arial" w:hAnsi="Arial" w:cs="Arial"/>
                <w:color w:val="000000"/>
              </w:rPr>
            </w:pPr>
            <w:r w:rsidRPr="000F0D3C">
              <w:rPr>
                <w:rFonts w:ascii="Arial" w:hAnsi="Arial" w:cs="Arial"/>
                <w:color w:val="000000"/>
              </w:rPr>
              <w:t>188.7</w:t>
            </w:r>
          </w:p>
        </w:tc>
        <w:tc>
          <w:tcPr>
            <w:tcW w:w="669" w:type="pct"/>
            <w:shd w:val="clear" w:color="auto" w:fill="auto"/>
            <w:noWrap/>
          </w:tcPr>
          <w:p w:rsidR="001260B3" w:rsidRPr="000F0D3C" w:rsidRDefault="001D6380" w:rsidP="001D6380">
            <w:pPr>
              <w:overflowPunct/>
              <w:autoSpaceDE/>
              <w:autoSpaceDN/>
              <w:adjustRightInd/>
              <w:textAlignment w:val="auto"/>
              <w:rPr>
                <w:rFonts w:ascii="Arial" w:hAnsi="Arial" w:cs="Arial"/>
                <w:color w:val="000000"/>
              </w:rPr>
            </w:pPr>
            <w:r w:rsidRPr="000F0D3C">
              <w:rPr>
                <w:rFonts w:ascii="Arial" w:hAnsi="Arial" w:cs="Arial"/>
                <w:color w:val="000000"/>
              </w:rPr>
              <w:t>143.5</w:t>
            </w:r>
          </w:p>
        </w:tc>
        <w:tc>
          <w:tcPr>
            <w:tcW w:w="669" w:type="pct"/>
            <w:shd w:val="clear" w:color="auto" w:fill="auto"/>
            <w:noWrap/>
          </w:tcPr>
          <w:p w:rsidR="001260B3" w:rsidRPr="000F0D3C" w:rsidRDefault="001D6380" w:rsidP="001260B3">
            <w:pPr>
              <w:overflowPunct/>
              <w:autoSpaceDE/>
              <w:autoSpaceDN/>
              <w:adjustRightInd/>
              <w:textAlignment w:val="auto"/>
              <w:rPr>
                <w:rFonts w:ascii="Arial" w:hAnsi="Arial" w:cs="Arial"/>
                <w:color w:val="000000"/>
              </w:rPr>
            </w:pPr>
            <w:r w:rsidRPr="000F0D3C">
              <w:rPr>
                <w:rFonts w:ascii="Arial" w:hAnsi="Arial" w:cs="Arial"/>
                <w:color w:val="000000"/>
              </w:rPr>
              <w:t>1</w:t>
            </w:r>
            <w:r w:rsidR="000F0D3C" w:rsidRPr="000F0D3C">
              <w:rPr>
                <w:rFonts w:ascii="Arial" w:hAnsi="Arial" w:cs="Arial"/>
                <w:color w:val="000000"/>
              </w:rPr>
              <w:t>,</w:t>
            </w:r>
            <w:r w:rsidRPr="000F0D3C">
              <w:rPr>
                <w:rFonts w:ascii="Arial" w:hAnsi="Arial" w:cs="Arial"/>
                <w:color w:val="000000"/>
              </w:rPr>
              <w:t>623</w:t>
            </w:r>
          </w:p>
        </w:tc>
      </w:tr>
      <w:tr w:rsidR="009301C5" w:rsidRPr="000F0D3C" w:rsidTr="009301C5">
        <w:trPr>
          <w:trHeight w:val="152"/>
        </w:trPr>
        <w:tc>
          <w:tcPr>
            <w:tcW w:w="900" w:type="pct"/>
            <w:shd w:val="clear" w:color="auto" w:fill="auto"/>
            <w:noWrap/>
          </w:tcPr>
          <w:p w:rsidR="001260B3" w:rsidRPr="000F0D3C" w:rsidRDefault="001260B3" w:rsidP="004C54EC">
            <w:pPr>
              <w:overflowPunct/>
              <w:autoSpaceDE/>
              <w:autoSpaceDN/>
              <w:adjustRightInd/>
              <w:textAlignment w:val="auto"/>
              <w:rPr>
                <w:rFonts w:ascii="Arial" w:hAnsi="Arial" w:cs="Arial"/>
                <w:color w:val="000000"/>
              </w:rPr>
            </w:pPr>
          </w:p>
        </w:tc>
        <w:tc>
          <w:tcPr>
            <w:tcW w:w="648" w:type="pct"/>
          </w:tcPr>
          <w:p w:rsidR="001260B3" w:rsidRPr="000F0D3C" w:rsidRDefault="001260B3" w:rsidP="00AB6BF2">
            <w:pPr>
              <w:overflowPunct/>
              <w:autoSpaceDE/>
              <w:autoSpaceDN/>
              <w:adjustRightInd/>
              <w:textAlignment w:val="auto"/>
              <w:rPr>
                <w:rFonts w:ascii="Arial" w:hAnsi="Arial" w:cs="Arial"/>
                <w:color w:val="000000"/>
              </w:rPr>
            </w:pPr>
          </w:p>
        </w:tc>
        <w:tc>
          <w:tcPr>
            <w:tcW w:w="677" w:type="pct"/>
            <w:shd w:val="clear" w:color="auto" w:fill="auto"/>
            <w:noWrap/>
          </w:tcPr>
          <w:p w:rsidR="001260B3" w:rsidRPr="000F0D3C" w:rsidRDefault="001260B3" w:rsidP="00AB6BF2">
            <w:pPr>
              <w:overflowPunct/>
              <w:autoSpaceDE/>
              <w:autoSpaceDN/>
              <w:adjustRightInd/>
              <w:textAlignment w:val="auto"/>
              <w:rPr>
                <w:rFonts w:ascii="Arial" w:hAnsi="Arial" w:cs="Arial"/>
                <w:color w:val="000000"/>
              </w:rPr>
            </w:pPr>
          </w:p>
        </w:tc>
        <w:tc>
          <w:tcPr>
            <w:tcW w:w="769" w:type="pct"/>
            <w:shd w:val="clear" w:color="auto" w:fill="auto"/>
            <w:noWrap/>
          </w:tcPr>
          <w:p w:rsidR="001260B3" w:rsidRPr="000F0D3C" w:rsidRDefault="001260B3" w:rsidP="00AB6BF2">
            <w:pPr>
              <w:overflowPunct/>
              <w:autoSpaceDE/>
              <w:autoSpaceDN/>
              <w:adjustRightInd/>
              <w:textAlignment w:val="auto"/>
              <w:rPr>
                <w:rFonts w:ascii="Arial" w:hAnsi="Arial" w:cs="Arial"/>
                <w:color w:val="000000"/>
              </w:rPr>
            </w:pPr>
          </w:p>
        </w:tc>
        <w:tc>
          <w:tcPr>
            <w:tcW w:w="669" w:type="pct"/>
            <w:shd w:val="clear" w:color="auto" w:fill="auto"/>
            <w:noWrap/>
          </w:tcPr>
          <w:p w:rsidR="001260B3" w:rsidRPr="000F0D3C" w:rsidRDefault="001260B3" w:rsidP="004C54EC">
            <w:pPr>
              <w:overflowPunct/>
              <w:autoSpaceDE/>
              <w:autoSpaceDN/>
              <w:adjustRightInd/>
              <w:textAlignment w:val="auto"/>
              <w:rPr>
                <w:rFonts w:ascii="Arial" w:hAnsi="Arial" w:cs="Arial"/>
                <w:color w:val="000000"/>
              </w:rPr>
            </w:pPr>
          </w:p>
        </w:tc>
        <w:tc>
          <w:tcPr>
            <w:tcW w:w="669" w:type="pct"/>
            <w:shd w:val="clear" w:color="auto" w:fill="auto"/>
            <w:noWrap/>
          </w:tcPr>
          <w:p w:rsidR="001260B3" w:rsidRPr="000F0D3C" w:rsidRDefault="001260B3" w:rsidP="004C54EC">
            <w:pPr>
              <w:overflowPunct/>
              <w:autoSpaceDE/>
              <w:autoSpaceDN/>
              <w:adjustRightInd/>
              <w:textAlignment w:val="auto"/>
              <w:rPr>
                <w:rFonts w:ascii="Arial" w:hAnsi="Arial" w:cs="Arial"/>
                <w:color w:val="000000"/>
              </w:rPr>
            </w:pPr>
          </w:p>
        </w:tc>
        <w:tc>
          <w:tcPr>
            <w:tcW w:w="669" w:type="pct"/>
            <w:shd w:val="clear" w:color="auto" w:fill="auto"/>
            <w:noWrap/>
          </w:tcPr>
          <w:p w:rsidR="001260B3" w:rsidRPr="000F0D3C" w:rsidRDefault="001260B3" w:rsidP="004C54EC">
            <w:pPr>
              <w:overflowPunct/>
              <w:autoSpaceDE/>
              <w:autoSpaceDN/>
              <w:adjustRightInd/>
              <w:textAlignment w:val="auto"/>
              <w:rPr>
                <w:rFonts w:ascii="Arial" w:hAnsi="Arial" w:cs="Arial"/>
                <w:color w:val="000000"/>
              </w:rPr>
            </w:pPr>
          </w:p>
        </w:tc>
      </w:tr>
      <w:tr w:rsidR="009301C5" w:rsidRPr="000F0D3C" w:rsidTr="009301C5">
        <w:trPr>
          <w:trHeight w:val="255"/>
        </w:trPr>
        <w:tc>
          <w:tcPr>
            <w:tcW w:w="900" w:type="pct"/>
            <w:shd w:val="clear" w:color="auto" w:fill="auto"/>
            <w:noWrap/>
            <w:hideMark/>
          </w:tcPr>
          <w:p w:rsidR="001260B3" w:rsidRPr="000F0D3C" w:rsidRDefault="001260B3" w:rsidP="004C54EC">
            <w:pPr>
              <w:overflowPunct/>
              <w:autoSpaceDE/>
              <w:autoSpaceDN/>
              <w:adjustRightInd/>
              <w:textAlignment w:val="auto"/>
              <w:rPr>
                <w:rFonts w:ascii="Arial" w:hAnsi="Arial" w:cs="Arial"/>
                <w:color w:val="000000"/>
              </w:rPr>
            </w:pPr>
            <w:r w:rsidRPr="000F0D3C">
              <w:rPr>
                <w:rFonts w:ascii="Arial" w:hAnsi="Arial" w:cs="Arial"/>
                <w:color w:val="000000"/>
              </w:rPr>
              <w:t xml:space="preserve">Estimated Hours </w:t>
            </w:r>
          </w:p>
          <w:p w:rsidR="001260B3" w:rsidRPr="000F0D3C" w:rsidRDefault="001260B3" w:rsidP="004C54EC">
            <w:pPr>
              <w:overflowPunct/>
              <w:autoSpaceDE/>
              <w:autoSpaceDN/>
              <w:adjustRightInd/>
              <w:textAlignment w:val="auto"/>
              <w:rPr>
                <w:rFonts w:ascii="Arial" w:hAnsi="Arial" w:cs="Arial"/>
                <w:color w:val="000000"/>
              </w:rPr>
            </w:pPr>
            <w:r w:rsidRPr="000F0D3C">
              <w:rPr>
                <w:rFonts w:ascii="Arial" w:hAnsi="Arial" w:cs="Arial"/>
                <w:color w:val="000000"/>
              </w:rPr>
              <w:t>Per Response</w:t>
            </w:r>
          </w:p>
        </w:tc>
        <w:tc>
          <w:tcPr>
            <w:tcW w:w="648" w:type="pct"/>
          </w:tcPr>
          <w:p w:rsidR="001260B3" w:rsidRPr="000F0D3C" w:rsidRDefault="00355807" w:rsidP="00AB6BF2">
            <w:pPr>
              <w:overflowPunct/>
              <w:autoSpaceDE/>
              <w:autoSpaceDN/>
              <w:adjustRightInd/>
              <w:textAlignment w:val="auto"/>
              <w:rPr>
                <w:rFonts w:ascii="Arial" w:hAnsi="Arial" w:cs="Arial"/>
                <w:color w:val="000000"/>
              </w:rPr>
            </w:pPr>
            <w:r w:rsidRPr="000F0D3C">
              <w:rPr>
                <w:rFonts w:ascii="Arial" w:hAnsi="Arial" w:cs="Arial"/>
                <w:color w:val="000000"/>
              </w:rPr>
              <w:t>4.2</w:t>
            </w:r>
          </w:p>
        </w:tc>
        <w:tc>
          <w:tcPr>
            <w:tcW w:w="677" w:type="pct"/>
            <w:shd w:val="clear" w:color="auto" w:fill="auto"/>
            <w:noWrap/>
            <w:hideMark/>
          </w:tcPr>
          <w:p w:rsidR="001260B3" w:rsidRPr="000F0D3C" w:rsidRDefault="00355807" w:rsidP="00AB6BF2">
            <w:pPr>
              <w:overflowPunct/>
              <w:autoSpaceDE/>
              <w:autoSpaceDN/>
              <w:adjustRightInd/>
              <w:textAlignment w:val="auto"/>
              <w:rPr>
                <w:rFonts w:ascii="Arial" w:hAnsi="Arial" w:cs="Arial"/>
                <w:color w:val="000000"/>
              </w:rPr>
            </w:pPr>
            <w:r w:rsidRPr="000F0D3C">
              <w:rPr>
                <w:rFonts w:ascii="Arial" w:hAnsi="Arial" w:cs="Arial"/>
                <w:color w:val="000000"/>
              </w:rPr>
              <w:t>4.3</w:t>
            </w:r>
          </w:p>
        </w:tc>
        <w:tc>
          <w:tcPr>
            <w:tcW w:w="769" w:type="pct"/>
            <w:shd w:val="clear" w:color="auto" w:fill="auto"/>
            <w:noWrap/>
            <w:hideMark/>
          </w:tcPr>
          <w:p w:rsidR="001260B3" w:rsidRPr="000F0D3C" w:rsidRDefault="00355807" w:rsidP="00AB6BF2">
            <w:pPr>
              <w:overflowPunct/>
              <w:autoSpaceDE/>
              <w:autoSpaceDN/>
              <w:adjustRightInd/>
              <w:textAlignment w:val="auto"/>
              <w:rPr>
                <w:rFonts w:ascii="Arial" w:hAnsi="Arial" w:cs="Arial"/>
                <w:color w:val="000000"/>
              </w:rPr>
            </w:pPr>
            <w:r w:rsidRPr="000F0D3C">
              <w:rPr>
                <w:rFonts w:ascii="Arial" w:hAnsi="Arial" w:cs="Arial"/>
                <w:color w:val="000000"/>
              </w:rPr>
              <w:t>3.2</w:t>
            </w:r>
          </w:p>
        </w:tc>
        <w:tc>
          <w:tcPr>
            <w:tcW w:w="669" w:type="pct"/>
            <w:shd w:val="clear" w:color="auto" w:fill="auto"/>
            <w:noWrap/>
            <w:hideMark/>
          </w:tcPr>
          <w:p w:rsidR="001260B3" w:rsidRPr="000F0D3C" w:rsidRDefault="00355807" w:rsidP="001260B3">
            <w:pPr>
              <w:overflowPunct/>
              <w:autoSpaceDE/>
              <w:autoSpaceDN/>
              <w:adjustRightInd/>
              <w:textAlignment w:val="auto"/>
              <w:rPr>
                <w:rFonts w:ascii="Arial" w:hAnsi="Arial" w:cs="Arial"/>
                <w:color w:val="000000"/>
              </w:rPr>
            </w:pPr>
            <w:r w:rsidRPr="000F0D3C">
              <w:rPr>
                <w:rFonts w:ascii="Arial" w:hAnsi="Arial" w:cs="Arial"/>
                <w:color w:val="000000"/>
              </w:rPr>
              <w:t>3.5</w:t>
            </w:r>
          </w:p>
        </w:tc>
        <w:tc>
          <w:tcPr>
            <w:tcW w:w="669" w:type="pct"/>
            <w:shd w:val="clear" w:color="auto" w:fill="auto"/>
            <w:noWrap/>
            <w:hideMark/>
          </w:tcPr>
          <w:p w:rsidR="001260B3" w:rsidRPr="000F0D3C" w:rsidRDefault="00355807" w:rsidP="004C54EC">
            <w:pPr>
              <w:overflowPunct/>
              <w:autoSpaceDE/>
              <w:autoSpaceDN/>
              <w:adjustRightInd/>
              <w:textAlignment w:val="auto"/>
              <w:rPr>
                <w:rFonts w:ascii="Arial" w:hAnsi="Arial" w:cs="Arial"/>
                <w:color w:val="000000"/>
              </w:rPr>
            </w:pPr>
            <w:r w:rsidRPr="000F0D3C">
              <w:rPr>
                <w:rFonts w:ascii="Arial" w:hAnsi="Arial" w:cs="Arial"/>
                <w:color w:val="000000"/>
              </w:rPr>
              <w:t>4.3</w:t>
            </w:r>
          </w:p>
        </w:tc>
        <w:tc>
          <w:tcPr>
            <w:tcW w:w="669" w:type="pct"/>
            <w:shd w:val="clear" w:color="auto" w:fill="auto"/>
            <w:noWrap/>
            <w:hideMark/>
          </w:tcPr>
          <w:p w:rsidR="001260B3" w:rsidRPr="000F0D3C" w:rsidRDefault="001260B3" w:rsidP="004C54EC">
            <w:pPr>
              <w:overflowPunct/>
              <w:autoSpaceDE/>
              <w:autoSpaceDN/>
              <w:adjustRightInd/>
              <w:textAlignment w:val="auto"/>
              <w:rPr>
                <w:rFonts w:ascii="Arial" w:hAnsi="Arial" w:cs="Arial"/>
                <w:color w:val="000000"/>
              </w:rPr>
            </w:pPr>
          </w:p>
        </w:tc>
      </w:tr>
      <w:tr w:rsidR="009301C5" w:rsidRPr="000F0D3C" w:rsidTr="009301C5">
        <w:trPr>
          <w:trHeight w:val="255"/>
        </w:trPr>
        <w:tc>
          <w:tcPr>
            <w:tcW w:w="900" w:type="pct"/>
            <w:shd w:val="clear" w:color="auto" w:fill="auto"/>
            <w:noWrap/>
            <w:hideMark/>
          </w:tcPr>
          <w:p w:rsidR="001260B3" w:rsidRPr="000F0D3C" w:rsidRDefault="001260B3" w:rsidP="004C54EC">
            <w:pPr>
              <w:overflowPunct/>
              <w:autoSpaceDE/>
              <w:autoSpaceDN/>
              <w:adjustRightInd/>
              <w:textAlignment w:val="auto"/>
              <w:rPr>
                <w:rFonts w:ascii="Arial" w:hAnsi="Arial" w:cs="Arial"/>
                <w:color w:val="000000"/>
              </w:rPr>
            </w:pPr>
            <w:r w:rsidRPr="000F0D3C">
              <w:rPr>
                <w:rFonts w:ascii="Arial" w:hAnsi="Arial" w:cs="Arial"/>
                <w:color w:val="000000"/>
              </w:rPr>
              <w:t>Estimated Total Burden Hours</w:t>
            </w:r>
          </w:p>
        </w:tc>
        <w:tc>
          <w:tcPr>
            <w:tcW w:w="648" w:type="pct"/>
          </w:tcPr>
          <w:p w:rsidR="001260B3" w:rsidRPr="000F0D3C" w:rsidRDefault="00BA20B0" w:rsidP="00AB6BF2">
            <w:pPr>
              <w:overflowPunct/>
              <w:autoSpaceDE/>
              <w:autoSpaceDN/>
              <w:adjustRightInd/>
              <w:textAlignment w:val="auto"/>
              <w:rPr>
                <w:rFonts w:ascii="Arial" w:hAnsi="Arial" w:cs="Arial"/>
                <w:color w:val="000000"/>
              </w:rPr>
            </w:pPr>
            <w:r w:rsidRPr="000F0D3C">
              <w:rPr>
                <w:rFonts w:ascii="Arial" w:hAnsi="Arial" w:cs="Arial"/>
                <w:color w:val="000000"/>
              </w:rPr>
              <w:t>544</w:t>
            </w:r>
          </w:p>
        </w:tc>
        <w:tc>
          <w:tcPr>
            <w:tcW w:w="677" w:type="pct"/>
            <w:shd w:val="clear" w:color="auto" w:fill="auto"/>
            <w:noWrap/>
            <w:hideMark/>
          </w:tcPr>
          <w:p w:rsidR="001260B3" w:rsidRPr="000F0D3C" w:rsidRDefault="00BA20B0" w:rsidP="00AB6BF2">
            <w:pPr>
              <w:overflowPunct/>
              <w:autoSpaceDE/>
              <w:autoSpaceDN/>
              <w:adjustRightInd/>
              <w:textAlignment w:val="auto"/>
              <w:rPr>
                <w:rFonts w:ascii="Arial" w:hAnsi="Arial" w:cs="Arial"/>
                <w:color w:val="000000"/>
              </w:rPr>
            </w:pPr>
            <w:r w:rsidRPr="000F0D3C">
              <w:rPr>
                <w:rFonts w:ascii="Arial" w:hAnsi="Arial" w:cs="Arial"/>
                <w:color w:val="000000"/>
              </w:rPr>
              <w:t>4,196</w:t>
            </w:r>
          </w:p>
        </w:tc>
        <w:tc>
          <w:tcPr>
            <w:tcW w:w="769" w:type="pct"/>
            <w:shd w:val="clear" w:color="auto" w:fill="auto"/>
            <w:noWrap/>
            <w:hideMark/>
          </w:tcPr>
          <w:p w:rsidR="001260B3" w:rsidRPr="000F0D3C" w:rsidRDefault="00BA20B0" w:rsidP="00AB6BF2">
            <w:pPr>
              <w:overflowPunct/>
              <w:autoSpaceDE/>
              <w:autoSpaceDN/>
              <w:adjustRightInd/>
              <w:textAlignment w:val="auto"/>
              <w:rPr>
                <w:rFonts w:ascii="Arial" w:hAnsi="Arial" w:cs="Arial"/>
                <w:color w:val="000000"/>
              </w:rPr>
            </w:pPr>
            <w:r w:rsidRPr="000F0D3C">
              <w:rPr>
                <w:rFonts w:ascii="Arial" w:hAnsi="Arial" w:cs="Arial"/>
                <w:color w:val="000000"/>
              </w:rPr>
              <w:t>592</w:t>
            </w:r>
          </w:p>
        </w:tc>
        <w:tc>
          <w:tcPr>
            <w:tcW w:w="669" w:type="pct"/>
            <w:shd w:val="clear" w:color="auto" w:fill="auto"/>
            <w:noWrap/>
            <w:hideMark/>
          </w:tcPr>
          <w:p w:rsidR="001260B3" w:rsidRPr="000F0D3C" w:rsidRDefault="00BA20B0" w:rsidP="004C54EC">
            <w:pPr>
              <w:overflowPunct/>
              <w:autoSpaceDE/>
              <w:autoSpaceDN/>
              <w:adjustRightInd/>
              <w:textAlignment w:val="auto"/>
              <w:rPr>
                <w:rFonts w:ascii="Arial" w:hAnsi="Arial" w:cs="Arial"/>
                <w:color w:val="000000"/>
              </w:rPr>
            </w:pPr>
            <w:r w:rsidRPr="000F0D3C">
              <w:rPr>
                <w:rFonts w:ascii="Arial" w:hAnsi="Arial" w:cs="Arial"/>
                <w:color w:val="000000"/>
              </w:rPr>
              <w:t>660</w:t>
            </w:r>
          </w:p>
        </w:tc>
        <w:tc>
          <w:tcPr>
            <w:tcW w:w="669" w:type="pct"/>
            <w:shd w:val="clear" w:color="auto" w:fill="auto"/>
            <w:noWrap/>
            <w:hideMark/>
          </w:tcPr>
          <w:p w:rsidR="001260B3" w:rsidRPr="000F0D3C" w:rsidRDefault="00BA20B0" w:rsidP="004C54EC">
            <w:pPr>
              <w:overflowPunct/>
              <w:autoSpaceDE/>
              <w:autoSpaceDN/>
              <w:adjustRightInd/>
              <w:textAlignment w:val="auto"/>
              <w:rPr>
                <w:rFonts w:ascii="Arial" w:hAnsi="Arial" w:cs="Arial"/>
                <w:color w:val="000000"/>
              </w:rPr>
            </w:pPr>
            <w:r w:rsidRPr="000F0D3C">
              <w:rPr>
                <w:rFonts w:ascii="Arial" w:hAnsi="Arial" w:cs="Arial"/>
                <w:color w:val="000000"/>
              </w:rPr>
              <w:t>617</w:t>
            </w:r>
          </w:p>
        </w:tc>
        <w:tc>
          <w:tcPr>
            <w:tcW w:w="669" w:type="pct"/>
            <w:shd w:val="clear" w:color="auto" w:fill="auto"/>
            <w:noWrap/>
            <w:hideMark/>
          </w:tcPr>
          <w:p w:rsidR="001260B3" w:rsidRPr="000F0D3C" w:rsidRDefault="00BA20B0" w:rsidP="004C54EC">
            <w:pPr>
              <w:overflowPunct/>
              <w:autoSpaceDE/>
              <w:autoSpaceDN/>
              <w:adjustRightInd/>
              <w:textAlignment w:val="auto"/>
              <w:rPr>
                <w:rFonts w:ascii="Arial" w:hAnsi="Arial" w:cs="Arial"/>
                <w:color w:val="000000"/>
              </w:rPr>
            </w:pPr>
            <w:r w:rsidRPr="000F0D3C">
              <w:rPr>
                <w:rFonts w:ascii="Arial" w:hAnsi="Arial" w:cs="Arial"/>
                <w:color w:val="000000"/>
              </w:rPr>
              <w:t>6,609</w:t>
            </w:r>
          </w:p>
        </w:tc>
      </w:tr>
      <w:tr w:rsidR="009301C5" w:rsidRPr="000F0D3C" w:rsidTr="009301C5">
        <w:trPr>
          <w:trHeight w:val="255"/>
        </w:trPr>
        <w:tc>
          <w:tcPr>
            <w:tcW w:w="900" w:type="pct"/>
            <w:shd w:val="clear" w:color="auto" w:fill="auto"/>
            <w:noWrap/>
            <w:hideMark/>
          </w:tcPr>
          <w:p w:rsidR="001260B3" w:rsidRPr="000F0D3C" w:rsidRDefault="001260B3" w:rsidP="004C54EC">
            <w:pPr>
              <w:overflowPunct/>
              <w:autoSpaceDE/>
              <w:autoSpaceDN/>
              <w:adjustRightInd/>
              <w:textAlignment w:val="auto"/>
              <w:rPr>
                <w:rFonts w:ascii="Arial" w:hAnsi="Arial" w:cs="Arial"/>
                <w:color w:val="000000"/>
              </w:rPr>
            </w:pPr>
          </w:p>
        </w:tc>
        <w:tc>
          <w:tcPr>
            <w:tcW w:w="648" w:type="pct"/>
          </w:tcPr>
          <w:p w:rsidR="001260B3" w:rsidRPr="000F0D3C" w:rsidRDefault="001260B3" w:rsidP="00AB6BF2">
            <w:pPr>
              <w:overflowPunct/>
              <w:autoSpaceDE/>
              <w:autoSpaceDN/>
              <w:adjustRightInd/>
              <w:textAlignment w:val="auto"/>
              <w:rPr>
                <w:rFonts w:ascii="Arial" w:hAnsi="Arial" w:cs="Arial"/>
                <w:color w:val="000000"/>
              </w:rPr>
            </w:pPr>
          </w:p>
        </w:tc>
        <w:tc>
          <w:tcPr>
            <w:tcW w:w="677" w:type="pct"/>
            <w:shd w:val="clear" w:color="auto" w:fill="auto"/>
            <w:noWrap/>
            <w:hideMark/>
          </w:tcPr>
          <w:p w:rsidR="001260B3" w:rsidRPr="000F0D3C" w:rsidRDefault="001260B3" w:rsidP="00AB6BF2">
            <w:pPr>
              <w:overflowPunct/>
              <w:autoSpaceDE/>
              <w:autoSpaceDN/>
              <w:adjustRightInd/>
              <w:textAlignment w:val="auto"/>
              <w:rPr>
                <w:rFonts w:ascii="Arial" w:hAnsi="Arial" w:cs="Arial"/>
                <w:color w:val="000000"/>
              </w:rPr>
            </w:pPr>
          </w:p>
        </w:tc>
        <w:tc>
          <w:tcPr>
            <w:tcW w:w="769" w:type="pct"/>
            <w:shd w:val="clear" w:color="auto" w:fill="auto"/>
            <w:noWrap/>
            <w:hideMark/>
          </w:tcPr>
          <w:p w:rsidR="001260B3" w:rsidRPr="000F0D3C" w:rsidRDefault="001260B3" w:rsidP="00AB6BF2">
            <w:pPr>
              <w:overflowPunct/>
              <w:autoSpaceDE/>
              <w:autoSpaceDN/>
              <w:adjustRightInd/>
              <w:textAlignment w:val="auto"/>
              <w:rPr>
                <w:rFonts w:ascii="Arial" w:hAnsi="Arial" w:cs="Arial"/>
                <w:color w:val="000000"/>
              </w:rPr>
            </w:pPr>
          </w:p>
        </w:tc>
        <w:tc>
          <w:tcPr>
            <w:tcW w:w="669" w:type="pct"/>
            <w:shd w:val="clear" w:color="auto" w:fill="auto"/>
            <w:noWrap/>
            <w:hideMark/>
          </w:tcPr>
          <w:p w:rsidR="001260B3" w:rsidRPr="000F0D3C" w:rsidRDefault="001260B3" w:rsidP="004C54EC">
            <w:pPr>
              <w:overflowPunct/>
              <w:autoSpaceDE/>
              <w:autoSpaceDN/>
              <w:adjustRightInd/>
              <w:textAlignment w:val="auto"/>
              <w:rPr>
                <w:rFonts w:ascii="Arial" w:hAnsi="Arial" w:cs="Arial"/>
                <w:color w:val="000000"/>
              </w:rPr>
            </w:pPr>
          </w:p>
        </w:tc>
        <w:tc>
          <w:tcPr>
            <w:tcW w:w="669" w:type="pct"/>
            <w:shd w:val="clear" w:color="auto" w:fill="auto"/>
            <w:noWrap/>
            <w:hideMark/>
          </w:tcPr>
          <w:p w:rsidR="001260B3" w:rsidRPr="000F0D3C" w:rsidRDefault="001260B3" w:rsidP="004C54EC">
            <w:pPr>
              <w:overflowPunct/>
              <w:autoSpaceDE/>
              <w:autoSpaceDN/>
              <w:adjustRightInd/>
              <w:textAlignment w:val="auto"/>
              <w:rPr>
                <w:rFonts w:ascii="Arial" w:hAnsi="Arial" w:cs="Arial"/>
                <w:color w:val="000000"/>
              </w:rPr>
            </w:pPr>
          </w:p>
        </w:tc>
        <w:tc>
          <w:tcPr>
            <w:tcW w:w="669" w:type="pct"/>
            <w:shd w:val="clear" w:color="auto" w:fill="auto"/>
            <w:noWrap/>
            <w:hideMark/>
          </w:tcPr>
          <w:p w:rsidR="001260B3" w:rsidRPr="000F0D3C" w:rsidRDefault="001260B3" w:rsidP="004C54EC">
            <w:pPr>
              <w:overflowPunct/>
              <w:autoSpaceDE/>
              <w:autoSpaceDN/>
              <w:adjustRightInd/>
              <w:textAlignment w:val="auto"/>
              <w:rPr>
                <w:rFonts w:ascii="Arial" w:hAnsi="Arial" w:cs="Arial"/>
                <w:color w:val="000000"/>
              </w:rPr>
            </w:pPr>
          </w:p>
        </w:tc>
      </w:tr>
      <w:tr w:rsidR="009301C5" w:rsidRPr="006173D1" w:rsidTr="009301C5">
        <w:trPr>
          <w:trHeight w:val="270"/>
        </w:trPr>
        <w:tc>
          <w:tcPr>
            <w:tcW w:w="900" w:type="pct"/>
            <w:shd w:val="clear" w:color="auto" w:fill="auto"/>
            <w:noWrap/>
            <w:hideMark/>
          </w:tcPr>
          <w:p w:rsidR="001260B3" w:rsidRPr="000F0D3C" w:rsidRDefault="001260B3" w:rsidP="004C54EC">
            <w:pPr>
              <w:overflowPunct/>
              <w:autoSpaceDE/>
              <w:autoSpaceDN/>
              <w:adjustRightInd/>
              <w:textAlignment w:val="auto"/>
              <w:rPr>
                <w:rFonts w:ascii="Arial" w:hAnsi="Arial" w:cs="Arial"/>
                <w:color w:val="000000"/>
              </w:rPr>
            </w:pPr>
            <w:r w:rsidRPr="000F0D3C">
              <w:rPr>
                <w:rFonts w:ascii="Arial" w:hAnsi="Arial" w:cs="Arial"/>
                <w:color w:val="000000"/>
              </w:rPr>
              <w:t xml:space="preserve">Average Cost </w:t>
            </w:r>
          </w:p>
          <w:p w:rsidR="001260B3" w:rsidRPr="000F0D3C" w:rsidRDefault="001260B3" w:rsidP="004C54EC">
            <w:pPr>
              <w:overflowPunct/>
              <w:autoSpaceDE/>
              <w:autoSpaceDN/>
              <w:adjustRightInd/>
              <w:textAlignment w:val="auto"/>
              <w:rPr>
                <w:rFonts w:ascii="Arial" w:hAnsi="Arial" w:cs="Arial"/>
                <w:color w:val="000000"/>
              </w:rPr>
            </w:pPr>
            <w:r w:rsidRPr="000F0D3C">
              <w:rPr>
                <w:rFonts w:ascii="Arial" w:hAnsi="Arial" w:cs="Arial"/>
                <w:color w:val="000000"/>
              </w:rPr>
              <w:t>Per Hour</w:t>
            </w:r>
          </w:p>
        </w:tc>
        <w:tc>
          <w:tcPr>
            <w:tcW w:w="648" w:type="pct"/>
          </w:tcPr>
          <w:p w:rsidR="001260B3" w:rsidRPr="000F0D3C" w:rsidRDefault="001260B3" w:rsidP="00AB6BF2">
            <w:pPr>
              <w:overflowPunct/>
              <w:autoSpaceDE/>
              <w:autoSpaceDN/>
              <w:adjustRightInd/>
              <w:textAlignment w:val="auto"/>
              <w:rPr>
                <w:rFonts w:ascii="Arial" w:hAnsi="Arial" w:cs="Arial"/>
                <w:color w:val="000000"/>
              </w:rPr>
            </w:pPr>
            <w:r w:rsidRPr="000F0D3C">
              <w:rPr>
                <w:rFonts w:ascii="Arial" w:hAnsi="Arial" w:cs="Arial"/>
                <w:color w:val="000000"/>
              </w:rPr>
              <w:t>$61.01</w:t>
            </w:r>
          </w:p>
        </w:tc>
        <w:tc>
          <w:tcPr>
            <w:tcW w:w="677" w:type="pct"/>
            <w:shd w:val="clear" w:color="auto" w:fill="auto"/>
            <w:noWrap/>
            <w:hideMark/>
          </w:tcPr>
          <w:p w:rsidR="001260B3" w:rsidRPr="000F0D3C" w:rsidRDefault="001260B3" w:rsidP="00AB6BF2">
            <w:pPr>
              <w:overflowPunct/>
              <w:autoSpaceDE/>
              <w:autoSpaceDN/>
              <w:adjustRightInd/>
              <w:textAlignment w:val="auto"/>
              <w:rPr>
                <w:rFonts w:ascii="Arial" w:hAnsi="Arial" w:cs="Arial"/>
                <w:color w:val="000000"/>
              </w:rPr>
            </w:pPr>
            <w:r w:rsidRPr="000F0D3C">
              <w:rPr>
                <w:rFonts w:ascii="Arial" w:hAnsi="Arial" w:cs="Arial"/>
                <w:color w:val="000000"/>
              </w:rPr>
              <w:t>$61.01</w:t>
            </w:r>
          </w:p>
        </w:tc>
        <w:tc>
          <w:tcPr>
            <w:tcW w:w="769" w:type="pct"/>
            <w:shd w:val="clear" w:color="auto" w:fill="auto"/>
            <w:noWrap/>
            <w:hideMark/>
          </w:tcPr>
          <w:p w:rsidR="001260B3" w:rsidRPr="000F0D3C" w:rsidRDefault="001260B3" w:rsidP="00AB6BF2">
            <w:pPr>
              <w:overflowPunct/>
              <w:autoSpaceDE/>
              <w:autoSpaceDN/>
              <w:adjustRightInd/>
              <w:textAlignment w:val="auto"/>
              <w:rPr>
                <w:rFonts w:ascii="Arial" w:hAnsi="Arial" w:cs="Arial"/>
                <w:color w:val="000000"/>
              </w:rPr>
            </w:pPr>
            <w:r w:rsidRPr="000F0D3C">
              <w:rPr>
                <w:rFonts w:ascii="Arial" w:hAnsi="Arial" w:cs="Arial"/>
                <w:color w:val="000000"/>
              </w:rPr>
              <w:t>$61.01</w:t>
            </w:r>
          </w:p>
        </w:tc>
        <w:tc>
          <w:tcPr>
            <w:tcW w:w="669" w:type="pct"/>
            <w:shd w:val="clear" w:color="auto" w:fill="auto"/>
            <w:noWrap/>
            <w:hideMark/>
          </w:tcPr>
          <w:p w:rsidR="001260B3" w:rsidRPr="000F0D3C" w:rsidRDefault="001260B3" w:rsidP="00A258D6">
            <w:pPr>
              <w:overflowPunct/>
              <w:autoSpaceDE/>
              <w:autoSpaceDN/>
              <w:adjustRightInd/>
              <w:textAlignment w:val="auto"/>
              <w:rPr>
                <w:rFonts w:ascii="Arial" w:hAnsi="Arial" w:cs="Arial"/>
                <w:color w:val="000000"/>
              </w:rPr>
            </w:pPr>
            <w:r w:rsidRPr="000F0D3C">
              <w:rPr>
                <w:rFonts w:ascii="Arial" w:hAnsi="Arial" w:cs="Arial"/>
                <w:color w:val="000000"/>
              </w:rPr>
              <w:t>$61.01</w:t>
            </w:r>
          </w:p>
        </w:tc>
        <w:tc>
          <w:tcPr>
            <w:tcW w:w="669" w:type="pct"/>
            <w:shd w:val="clear" w:color="auto" w:fill="auto"/>
            <w:noWrap/>
            <w:hideMark/>
          </w:tcPr>
          <w:p w:rsidR="001260B3" w:rsidRPr="000F0D3C" w:rsidRDefault="001260B3" w:rsidP="00A258D6">
            <w:pPr>
              <w:overflowPunct/>
              <w:autoSpaceDE/>
              <w:autoSpaceDN/>
              <w:adjustRightInd/>
              <w:textAlignment w:val="auto"/>
              <w:rPr>
                <w:rFonts w:ascii="Arial" w:hAnsi="Arial" w:cs="Arial"/>
                <w:color w:val="000000"/>
              </w:rPr>
            </w:pPr>
            <w:r w:rsidRPr="000F0D3C">
              <w:rPr>
                <w:rFonts w:ascii="Arial" w:hAnsi="Arial" w:cs="Arial"/>
                <w:color w:val="000000"/>
              </w:rPr>
              <w:t>$61.01</w:t>
            </w:r>
          </w:p>
        </w:tc>
        <w:tc>
          <w:tcPr>
            <w:tcW w:w="669" w:type="pct"/>
            <w:shd w:val="clear" w:color="auto" w:fill="auto"/>
            <w:noWrap/>
            <w:hideMark/>
          </w:tcPr>
          <w:p w:rsidR="001260B3" w:rsidRPr="006173D1" w:rsidRDefault="001260B3" w:rsidP="004C54EC">
            <w:pPr>
              <w:overflowPunct/>
              <w:autoSpaceDE/>
              <w:autoSpaceDN/>
              <w:adjustRightInd/>
              <w:textAlignment w:val="auto"/>
              <w:rPr>
                <w:rFonts w:ascii="Arial" w:hAnsi="Arial" w:cs="Arial"/>
                <w:color w:val="000000"/>
              </w:rPr>
            </w:pPr>
          </w:p>
        </w:tc>
      </w:tr>
      <w:tr w:rsidR="009301C5" w:rsidRPr="006173D1" w:rsidTr="009301C5">
        <w:trPr>
          <w:trHeight w:val="255"/>
        </w:trPr>
        <w:tc>
          <w:tcPr>
            <w:tcW w:w="900" w:type="pct"/>
            <w:shd w:val="clear" w:color="auto" w:fill="auto"/>
            <w:noWrap/>
            <w:hideMark/>
          </w:tcPr>
          <w:p w:rsidR="001260B3" w:rsidRPr="006173D1" w:rsidRDefault="001260B3" w:rsidP="004C54EC">
            <w:pPr>
              <w:overflowPunct/>
              <w:autoSpaceDE/>
              <w:autoSpaceDN/>
              <w:adjustRightInd/>
              <w:textAlignment w:val="auto"/>
              <w:rPr>
                <w:rFonts w:ascii="Arial" w:hAnsi="Arial" w:cs="Arial"/>
                <w:color w:val="000000"/>
              </w:rPr>
            </w:pPr>
          </w:p>
        </w:tc>
        <w:tc>
          <w:tcPr>
            <w:tcW w:w="648" w:type="pct"/>
          </w:tcPr>
          <w:p w:rsidR="001260B3" w:rsidRPr="006173D1" w:rsidRDefault="001260B3" w:rsidP="00AB6BF2">
            <w:pPr>
              <w:overflowPunct/>
              <w:autoSpaceDE/>
              <w:autoSpaceDN/>
              <w:adjustRightInd/>
              <w:textAlignment w:val="auto"/>
              <w:rPr>
                <w:rFonts w:ascii="Arial" w:hAnsi="Arial" w:cs="Arial"/>
                <w:color w:val="000000"/>
              </w:rPr>
            </w:pPr>
          </w:p>
        </w:tc>
        <w:tc>
          <w:tcPr>
            <w:tcW w:w="677" w:type="pct"/>
            <w:shd w:val="clear" w:color="auto" w:fill="auto"/>
            <w:noWrap/>
            <w:hideMark/>
          </w:tcPr>
          <w:p w:rsidR="001260B3" w:rsidRPr="006173D1" w:rsidRDefault="001260B3" w:rsidP="00AB6BF2">
            <w:pPr>
              <w:overflowPunct/>
              <w:autoSpaceDE/>
              <w:autoSpaceDN/>
              <w:adjustRightInd/>
              <w:textAlignment w:val="auto"/>
              <w:rPr>
                <w:rFonts w:ascii="Arial" w:hAnsi="Arial" w:cs="Arial"/>
                <w:color w:val="000000"/>
              </w:rPr>
            </w:pPr>
          </w:p>
        </w:tc>
        <w:tc>
          <w:tcPr>
            <w:tcW w:w="769" w:type="pct"/>
            <w:shd w:val="clear" w:color="auto" w:fill="auto"/>
            <w:noWrap/>
            <w:hideMark/>
          </w:tcPr>
          <w:p w:rsidR="001260B3" w:rsidRPr="006173D1" w:rsidRDefault="001260B3" w:rsidP="00AB6BF2">
            <w:pPr>
              <w:overflowPunct/>
              <w:autoSpaceDE/>
              <w:autoSpaceDN/>
              <w:adjustRightInd/>
              <w:textAlignment w:val="auto"/>
              <w:rPr>
                <w:rFonts w:ascii="Arial" w:hAnsi="Arial" w:cs="Arial"/>
                <w:color w:val="000000"/>
              </w:rPr>
            </w:pPr>
          </w:p>
        </w:tc>
        <w:tc>
          <w:tcPr>
            <w:tcW w:w="669" w:type="pct"/>
            <w:shd w:val="clear" w:color="auto" w:fill="auto"/>
            <w:noWrap/>
            <w:hideMark/>
          </w:tcPr>
          <w:p w:rsidR="001260B3" w:rsidRPr="006173D1" w:rsidRDefault="001260B3" w:rsidP="004C54EC">
            <w:pPr>
              <w:overflowPunct/>
              <w:autoSpaceDE/>
              <w:autoSpaceDN/>
              <w:adjustRightInd/>
              <w:textAlignment w:val="auto"/>
              <w:rPr>
                <w:rFonts w:ascii="Arial" w:hAnsi="Arial" w:cs="Arial"/>
                <w:color w:val="000000"/>
              </w:rPr>
            </w:pPr>
          </w:p>
        </w:tc>
        <w:tc>
          <w:tcPr>
            <w:tcW w:w="669" w:type="pct"/>
            <w:shd w:val="clear" w:color="auto" w:fill="auto"/>
            <w:noWrap/>
            <w:hideMark/>
          </w:tcPr>
          <w:p w:rsidR="001260B3" w:rsidRPr="006173D1" w:rsidRDefault="001260B3" w:rsidP="004C54EC">
            <w:pPr>
              <w:overflowPunct/>
              <w:autoSpaceDE/>
              <w:autoSpaceDN/>
              <w:adjustRightInd/>
              <w:textAlignment w:val="auto"/>
              <w:rPr>
                <w:rFonts w:ascii="Arial" w:hAnsi="Arial" w:cs="Arial"/>
                <w:color w:val="000000"/>
              </w:rPr>
            </w:pPr>
          </w:p>
        </w:tc>
        <w:tc>
          <w:tcPr>
            <w:tcW w:w="669" w:type="pct"/>
            <w:shd w:val="clear" w:color="auto" w:fill="auto"/>
            <w:noWrap/>
            <w:hideMark/>
          </w:tcPr>
          <w:p w:rsidR="001260B3" w:rsidRPr="006173D1" w:rsidRDefault="001260B3" w:rsidP="004C54EC">
            <w:pPr>
              <w:overflowPunct/>
              <w:autoSpaceDE/>
              <w:autoSpaceDN/>
              <w:adjustRightInd/>
              <w:textAlignment w:val="auto"/>
              <w:rPr>
                <w:rFonts w:ascii="Arial" w:hAnsi="Arial" w:cs="Arial"/>
                <w:color w:val="000000"/>
              </w:rPr>
            </w:pPr>
          </w:p>
        </w:tc>
      </w:tr>
      <w:tr w:rsidR="009301C5" w:rsidRPr="006173D1" w:rsidTr="009301C5">
        <w:trPr>
          <w:trHeight w:val="270"/>
        </w:trPr>
        <w:tc>
          <w:tcPr>
            <w:tcW w:w="900" w:type="pct"/>
            <w:shd w:val="clear" w:color="auto" w:fill="auto"/>
            <w:noWrap/>
            <w:hideMark/>
          </w:tcPr>
          <w:p w:rsidR="001260B3" w:rsidRPr="006173D1" w:rsidRDefault="001260B3" w:rsidP="004C54EC">
            <w:pPr>
              <w:overflowPunct/>
              <w:autoSpaceDE/>
              <w:autoSpaceDN/>
              <w:adjustRightInd/>
              <w:textAlignment w:val="auto"/>
              <w:rPr>
                <w:rFonts w:ascii="Arial" w:hAnsi="Arial" w:cs="Arial"/>
                <w:b/>
                <w:bCs/>
                <w:color w:val="000000"/>
              </w:rPr>
            </w:pPr>
            <w:r w:rsidRPr="006173D1">
              <w:rPr>
                <w:rFonts w:ascii="Arial" w:hAnsi="Arial" w:cs="Arial"/>
                <w:b/>
                <w:bCs/>
                <w:color w:val="000000"/>
              </w:rPr>
              <w:t>Total Cost to Public</w:t>
            </w:r>
          </w:p>
        </w:tc>
        <w:tc>
          <w:tcPr>
            <w:tcW w:w="648" w:type="pct"/>
          </w:tcPr>
          <w:p w:rsidR="001260B3" w:rsidRPr="006173D1" w:rsidRDefault="001260B3" w:rsidP="00BA20B0">
            <w:pPr>
              <w:overflowPunct/>
              <w:autoSpaceDE/>
              <w:autoSpaceDN/>
              <w:adjustRightInd/>
              <w:textAlignment w:val="auto"/>
              <w:rPr>
                <w:rFonts w:ascii="Arial" w:hAnsi="Arial" w:cs="Arial"/>
                <w:color w:val="000000"/>
              </w:rPr>
            </w:pPr>
            <w:r w:rsidRPr="006173D1">
              <w:rPr>
                <w:rFonts w:ascii="Arial" w:hAnsi="Arial" w:cs="Arial"/>
                <w:color w:val="000000"/>
              </w:rPr>
              <w:t>$</w:t>
            </w:r>
            <w:r w:rsidR="00BA20B0">
              <w:rPr>
                <w:rFonts w:ascii="Arial" w:hAnsi="Arial" w:cs="Arial"/>
                <w:color w:val="000000"/>
              </w:rPr>
              <w:t>33,183</w:t>
            </w:r>
          </w:p>
        </w:tc>
        <w:tc>
          <w:tcPr>
            <w:tcW w:w="677" w:type="pct"/>
            <w:shd w:val="clear" w:color="auto" w:fill="auto"/>
            <w:noWrap/>
            <w:hideMark/>
          </w:tcPr>
          <w:p w:rsidR="001260B3" w:rsidRPr="006173D1" w:rsidRDefault="001260B3" w:rsidP="00BA20B0">
            <w:pPr>
              <w:overflowPunct/>
              <w:autoSpaceDE/>
              <w:autoSpaceDN/>
              <w:adjustRightInd/>
              <w:textAlignment w:val="auto"/>
              <w:rPr>
                <w:rFonts w:ascii="Arial" w:hAnsi="Arial" w:cs="Arial"/>
                <w:color w:val="000000"/>
              </w:rPr>
            </w:pPr>
            <w:r w:rsidRPr="006173D1">
              <w:rPr>
                <w:rFonts w:ascii="Arial" w:hAnsi="Arial" w:cs="Arial"/>
                <w:color w:val="000000"/>
              </w:rPr>
              <w:t>$</w:t>
            </w:r>
            <w:r w:rsidR="00BA20B0">
              <w:rPr>
                <w:rFonts w:ascii="Arial" w:hAnsi="Arial" w:cs="Arial"/>
                <w:color w:val="000000"/>
              </w:rPr>
              <w:t>255,994</w:t>
            </w:r>
          </w:p>
        </w:tc>
        <w:tc>
          <w:tcPr>
            <w:tcW w:w="769" w:type="pct"/>
            <w:shd w:val="clear" w:color="auto" w:fill="auto"/>
            <w:noWrap/>
            <w:hideMark/>
          </w:tcPr>
          <w:p w:rsidR="001260B3" w:rsidRPr="006173D1" w:rsidRDefault="001260B3" w:rsidP="00BA20B0">
            <w:pPr>
              <w:overflowPunct/>
              <w:autoSpaceDE/>
              <w:autoSpaceDN/>
              <w:adjustRightInd/>
              <w:textAlignment w:val="auto"/>
              <w:rPr>
                <w:rFonts w:ascii="Arial" w:hAnsi="Arial" w:cs="Arial"/>
                <w:color w:val="000000"/>
              </w:rPr>
            </w:pPr>
            <w:r w:rsidRPr="006173D1">
              <w:rPr>
                <w:rFonts w:ascii="Arial" w:hAnsi="Arial" w:cs="Arial"/>
                <w:color w:val="000000"/>
              </w:rPr>
              <w:t>$</w:t>
            </w:r>
            <w:r w:rsidR="00BA20B0">
              <w:rPr>
                <w:rFonts w:ascii="Arial" w:hAnsi="Arial" w:cs="Arial"/>
                <w:color w:val="000000"/>
              </w:rPr>
              <w:t>36,118</w:t>
            </w:r>
          </w:p>
        </w:tc>
        <w:tc>
          <w:tcPr>
            <w:tcW w:w="669" w:type="pct"/>
            <w:shd w:val="clear" w:color="auto" w:fill="auto"/>
            <w:noWrap/>
            <w:hideMark/>
          </w:tcPr>
          <w:p w:rsidR="001260B3" w:rsidRPr="006173D1" w:rsidRDefault="001260B3" w:rsidP="00BA20B0">
            <w:pPr>
              <w:overflowPunct/>
              <w:autoSpaceDE/>
              <w:autoSpaceDN/>
              <w:adjustRightInd/>
              <w:textAlignment w:val="auto"/>
              <w:rPr>
                <w:rFonts w:ascii="Arial" w:hAnsi="Arial" w:cs="Arial"/>
                <w:color w:val="000000"/>
              </w:rPr>
            </w:pPr>
            <w:r w:rsidRPr="006173D1">
              <w:rPr>
                <w:rFonts w:ascii="Arial" w:hAnsi="Arial" w:cs="Arial"/>
                <w:color w:val="000000"/>
              </w:rPr>
              <w:t>$</w:t>
            </w:r>
            <w:r w:rsidR="00BA20B0">
              <w:rPr>
                <w:rFonts w:ascii="Arial" w:hAnsi="Arial" w:cs="Arial"/>
                <w:color w:val="000000"/>
              </w:rPr>
              <w:t>40,294</w:t>
            </w:r>
          </w:p>
        </w:tc>
        <w:tc>
          <w:tcPr>
            <w:tcW w:w="669" w:type="pct"/>
            <w:shd w:val="clear" w:color="auto" w:fill="auto"/>
            <w:noWrap/>
            <w:hideMark/>
          </w:tcPr>
          <w:p w:rsidR="001260B3" w:rsidRPr="006173D1" w:rsidRDefault="001260B3" w:rsidP="00BA20B0">
            <w:pPr>
              <w:overflowPunct/>
              <w:autoSpaceDE/>
              <w:autoSpaceDN/>
              <w:adjustRightInd/>
              <w:textAlignment w:val="auto"/>
              <w:rPr>
                <w:rFonts w:ascii="Arial" w:hAnsi="Arial" w:cs="Arial"/>
                <w:color w:val="000000"/>
              </w:rPr>
            </w:pPr>
            <w:r w:rsidRPr="006173D1">
              <w:rPr>
                <w:rFonts w:ascii="Arial" w:hAnsi="Arial" w:cs="Arial"/>
                <w:color w:val="000000"/>
              </w:rPr>
              <w:t>$</w:t>
            </w:r>
            <w:r w:rsidR="00BA20B0">
              <w:rPr>
                <w:rFonts w:ascii="Arial" w:hAnsi="Arial" w:cs="Arial"/>
                <w:color w:val="000000"/>
              </w:rPr>
              <w:t>37,646</w:t>
            </w:r>
          </w:p>
        </w:tc>
        <w:tc>
          <w:tcPr>
            <w:tcW w:w="669" w:type="pct"/>
            <w:shd w:val="clear" w:color="auto" w:fill="auto"/>
            <w:noWrap/>
            <w:hideMark/>
          </w:tcPr>
          <w:p w:rsidR="001260B3" w:rsidRPr="006173D1" w:rsidRDefault="001260B3" w:rsidP="0011134C">
            <w:pPr>
              <w:overflowPunct/>
              <w:autoSpaceDE/>
              <w:autoSpaceDN/>
              <w:adjustRightInd/>
              <w:textAlignment w:val="auto"/>
              <w:rPr>
                <w:rFonts w:ascii="Arial" w:hAnsi="Arial" w:cs="Arial"/>
                <w:color w:val="000000"/>
              </w:rPr>
            </w:pPr>
            <w:r w:rsidRPr="006173D1">
              <w:rPr>
                <w:rFonts w:ascii="Arial" w:hAnsi="Arial" w:cs="Arial"/>
                <w:color w:val="000000"/>
              </w:rPr>
              <w:t>$</w:t>
            </w:r>
            <w:r w:rsidR="0011134C">
              <w:rPr>
                <w:rFonts w:ascii="Arial" w:hAnsi="Arial" w:cs="Arial"/>
                <w:color w:val="000000"/>
              </w:rPr>
              <w:t>403,236</w:t>
            </w:r>
          </w:p>
        </w:tc>
      </w:tr>
      <w:tr w:rsidR="009301C5" w:rsidRPr="006173D1" w:rsidTr="009301C5">
        <w:trPr>
          <w:trHeight w:val="255"/>
        </w:trPr>
        <w:tc>
          <w:tcPr>
            <w:tcW w:w="900" w:type="pct"/>
            <w:shd w:val="clear" w:color="auto" w:fill="auto"/>
            <w:noWrap/>
            <w:hideMark/>
          </w:tcPr>
          <w:p w:rsidR="001260B3" w:rsidRPr="006173D1" w:rsidRDefault="001260B3" w:rsidP="004C54EC">
            <w:pPr>
              <w:overflowPunct/>
              <w:autoSpaceDE/>
              <w:autoSpaceDN/>
              <w:adjustRightInd/>
              <w:textAlignment w:val="auto"/>
              <w:rPr>
                <w:rFonts w:ascii="Arial" w:hAnsi="Arial" w:cs="Arial"/>
                <w:color w:val="000000"/>
              </w:rPr>
            </w:pPr>
          </w:p>
        </w:tc>
        <w:tc>
          <w:tcPr>
            <w:tcW w:w="648" w:type="pct"/>
          </w:tcPr>
          <w:p w:rsidR="001260B3" w:rsidRPr="006173D1" w:rsidRDefault="001260B3" w:rsidP="00AB6BF2">
            <w:pPr>
              <w:overflowPunct/>
              <w:autoSpaceDE/>
              <w:autoSpaceDN/>
              <w:adjustRightInd/>
              <w:textAlignment w:val="auto"/>
              <w:rPr>
                <w:rFonts w:ascii="Arial" w:hAnsi="Arial" w:cs="Arial"/>
                <w:color w:val="000000"/>
              </w:rPr>
            </w:pPr>
          </w:p>
        </w:tc>
        <w:tc>
          <w:tcPr>
            <w:tcW w:w="677" w:type="pct"/>
            <w:shd w:val="clear" w:color="auto" w:fill="auto"/>
            <w:noWrap/>
            <w:hideMark/>
          </w:tcPr>
          <w:p w:rsidR="001260B3" w:rsidRPr="006173D1" w:rsidRDefault="001260B3" w:rsidP="00AB6BF2">
            <w:pPr>
              <w:overflowPunct/>
              <w:autoSpaceDE/>
              <w:autoSpaceDN/>
              <w:adjustRightInd/>
              <w:textAlignment w:val="auto"/>
              <w:rPr>
                <w:rFonts w:ascii="Arial" w:hAnsi="Arial" w:cs="Arial"/>
                <w:color w:val="000000"/>
              </w:rPr>
            </w:pPr>
          </w:p>
        </w:tc>
        <w:tc>
          <w:tcPr>
            <w:tcW w:w="769" w:type="pct"/>
            <w:shd w:val="clear" w:color="auto" w:fill="auto"/>
            <w:noWrap/>
            <w:hideMark/>
          </w:tcPr>
          <w:p w:rsidR="001260B3" w:rsidRPr="006173D1" w:rsidRDefault="001260B3" w:rsidP="00AB6BF2">
            <w:pPr>
              <w:overflowPunct/>
              <w:autoSpaceDE/>
              <w:autoSpaceDN/>
              <w:adjustRightInd/>
              <w:textAlignment w:val="auto"/>
              <w:rPr>
                <w:rFonts w:ascii="Arial" w:hAnsi="Arial" w:cs="Arial"/>
                <w:color w:val="000000"/>
              </w:rPr>
            </w:pPr>
          </w:p>
        </w:tc>
        <w:tc>
          <w:tcPr>
            <w:tcW w:w="669" w:type="pct"/>
            <w:shd w:val="clear" w:color="auto" w:fill="auto"/>
            <w:noWrap/>
            <w:hideMark/>
          </w:tcPr>
          <w:p w:rsidR="001260B3" w:rsidRPr="006173D1" w:rsidRDefault="001260B3" w:rsidP="004C54EC">
            <w:pPr>
              <w:overflowPunct/>
              <w:autoSpaceDE/>
              <w:autoSpaceDN/>
              <w:adjustRightInd/>
              <w:textAlignment w:val="auto"/>
              <w:rPr>
                <w:rFonts w:ascii="Arial" w:hAnsi="Arial" w:cs="Arial"/>
                <w:color w:val="000000"/>
              </w:rPr>
            </w:pPr>
          </w:p>
        </w:tc>
        <w:tc>
          <w:tcPr>
            <w:tcW w:w="669" w:type="pct"/>
            <w:shd w:val="clear" w:color="auto" w:fill="auto"/>
            <w:noWrap/>
            <w:hideMark/>
          </w:tcPr>
          <w:p w:rsidR="001260B3" w:rsidRPr="006173D1" w:rsidRDefault="001260B3" w:rsidP="004C54EC">
            <w:pPr>
              <w:overflowPunct/>
              <w:autoSpaceDE/>
              <w:autoSpaceDN/>
              <w:adjustRightInd/>
              <w:textAlignment w:val="auto"/>
              <w:rPr>
                <w:rFonts w:ascii="Arial" w:hAnsi="Arial" w:cs="Arial"/>
                <w:color w:val="000000"/>
              </w:rPr>
            </w:pPr>
          </w:p>
        </w:tc>
        <w:tc>
          <w:tcPr>
            <w:tcW w:w="669" w:type="pct"/>
            <w:shd w:val="clear" w:color="auto" w:fill="auto"/>
            <w:noWrap/>
            <w:hideMark/>
          </w:tcPr>
          <w:p w:rsidR="001260B3" w:rsidRPr="006173D1" w:rsidRDefault="001260B3" w:rsidP="004C54EC">
            <w:pPr>
              <w:overflowPunct/>
              <w:autoSpaceDE/>
              <w:autoSpaceDN/>
              <w:adjustRightInd/>
              <w:textAlignment w:val="auto"/>
              <w:rPr>
                <w:rFonts w:ascii="Arial" w:hAnsi="Arial" w:cs="Arial"/>
                <w:color w:val="000000"/>
              </w:rPr>
            </w:pPr>
          </w:p>
        </w:tc>
      </w:tr>
    </w:tbl>
    <w:p w:rsidR="00FB3BE6" w:rsidRDefault="00FB3BE6" w:rsidP="0035655C">
      <w:pPr>
        <w:numPr>
          <w:ilvl w:val="12"/>
          <w:numId w:val="0"/>
        </w:numPr>
        <w:rPr>
          <w:sz w:val="24"/>
        </w:rPr>
      </w:pPr>
    </w:p>
    <w:p w:rsidR="00A258D6" w:rsidRDefault="00A258D6" w:rsidP="0035655C">
      <w:pPr>
        <w:numPr>
          <w:ilvl w:val="12"/>
          <w:numId w:val="0"/>
        </w:numPr>
        <w:rPr>
          <w:sz w:val="24"/>
        </w:rPr>
      </w:pPr>
    </w:p>
    <w:p w:rsidR="00A258D6" w:rsidRDefault="00A258D6" w:rsidP="00A258D6">
      <w:pPr>
        <w:tabs>
          <w:tab w:val="right" w:leader="dot" w:pos="7200"/>
        </w:tabs>
        <w:rPr>
          <w:sz w:val="24"/>
        </w:rPr>
      </w:pPr>
      <w:r w:rsidRPr="00A258D6">
        <w:rPr>
          <w:sz w:val="24"/>
        </w:rPr>
        <w:t>Estimated respondents per year</w:t>
      </w:r>
      <w:r w:rsidRPr="00A258D6">
        <w:rPr>
          <w:sz w:val="24"/>
        </w:rPr>
        <w:tab/>
      </w:r>
      <w:r w:rsidR="00FE03A3">
        <w:rPr>
          <w:sz w:val="24"/>
        </w:rPr>
        <w:t>544</w:t>
      </w:r>
    </w:p>
    <w:p w:rsidR="00786214" w:rsidRDefault="00786214" w:rsidP="00786214">
      <w:pPr>
        <w:tabs>
          <w:tab w:val="right" w:leader="dot" w:pos="7200"/>
        </w:tabs>
        <w:rPr>
          <w:sz w:val="24"/>
        </w:rPr>
      </w:pPr>
      <w:r w:rsidRPr="00A258D6">
        <w:rPr>
          <w:sz w:val="24"/>
        </w:rPr>
        <w:t xml:space="preserve">Estimated </w:t>
      </w:r>
      <w:r>
        <w:rPr>
          <w:sz w:val="24"/>
        </w:rPr>
        <w:t>responses</w:t>
      </w:r>
      <w:r w:rsidRPr="00A258D6">
        <w:rPr>
          <w:sz w:val="24"/>
        </w:rPr>
        <w:t xml:space="preserve"> per </w:t>
      </w:r>
      <w:r>
        <w:rPr>
          <w:sz w:val="24"/>
        </w:rPr>
        <w:t>respondent (weighted average)</w:t>
      </w:r>
      <w:r w:rsidRPr="00A258D6">
        <w:rPr>
          <w:sz w:val="24"/>
        </w:rPr>
        <w:tab/>
      </w:r>
      <w:r>
        <w:rPr>
          <w:sz w:val="24"/>
        </w:rPr>
        <w:t>2.</w:t>
      </w:r>
      <w:r w:rsidR="00FE03A3">
        <w:rPr>
          <w:sz w:val="24"/>
        </w:rPr>
        <w:t>98</w:t>
      </w:r>
    </w:p>
    <w:p w:rsidR="00786214" w:rsidRDefault="00786214" w:rsidP="00786214">
      <w:pPr>
        <w:tabs>
          <w:tab w:val="right" w:leader="dot" w:pos="7200"/>
        </w:tabs>
        <w:rPr>
          <w:sz w:val="24"/>
        </w:rPr>
      </w:pPr>
      <w:r>
        <w:rPr>
          <w:sz w:val="24"/>
        </w:rPr>
        <w:t>Estimated total responses</w:t>
      </w:r>
      <w:r>
        <w:rPr>
          <w:sz w:val="24"/>
        </w:rPr>
        <w:tab/>
      </w:r>
      <w:r w:rsidR="00FE03A3">
        <w:rPr>
          <w:sz w:val="24"/>
        </w:rPr>
        <w:t>1,623</w:t>
      </w:r>
    </w:p>
    <w:p w:rsidR="00A258D6" w:rsidRPr="00A258D6" w:rsidRDefault="00A258D6" w:rsidP="00A258D6">
      <w:pPr>
        <w:tabs>
          <w:tab w:val="right" w:leader="dot" w:pos="7200"/>
        </w:tabs>
        <w:rPr>
          <w:sz w:val="24"/>
        </w:rPr>
      </w:pPr>
      <w:r w:rsidRPr="00A258D6">
        <w:rPr>
          <w:sz w:val="24"/>
        </w:rPr>
        <w:t>Estimated hours per response (weighted average)</w:t>
      </w:r>
      <w:r w:rsidRPr="00A258D6">
        <w:rPr>
          <w:sz w:val="24"/>
        </w:rPr>
        <w:tab/>
      </w:r>
      <w:r w:rsidR="0011134C">
        <w:rPr>
          <w:sz w:val="24"/>
        </w:rPr>
        <w:t>4.07</w:t>
      </w:r>
    </w:p>
    <w:p w:rsidR="00A258D6" w:rsidRPr="00A258D6" w:rsidRDefault="00A258D6" w:rsidP="00A258D6">
      <w:pPr>
        <w:tabs>
          <w:tab w:val="right" w:leader="dot" w:pos="7200"/>
        </w:tabs>
        <w:rPr>
          <w:sz w:val="24"/>
        </w:rPr>
      </w:pPr>
      <w:r w:rsidRPr="00A258D6">
        <w:rPr>
          <w:sz w:val="24"/>
        </w:rPr>
        <w:t>Estimated total burden hours</w:t>
      </w:r>
      <w:r w:rsidRPr="00A258D6">
        <w:rPr>
          <w:sz w:val="24"/>
        </w:rPr>
        <w:tab/>
      </w:r>
      <w:r w:rsidR="0011134C">
        <w:rPr>
          <w:sz w:val="24"/>
        </w:rPr>
        <w:t>6,609</w:t>
      </w:r>
    </w:p>
    <w:p w:rsidR="00A258D6" w:rsidRPr="00A258D6" w:rsidRDefault="00A258D6" w:rsidP="00A258D6">
      <w:pPr>
        <w:tabs>
          <w:tab w:val="right" w:leader="dot" w:pos="7200"/>
        </w:tabs>
        <w:rPr>
          <w:sz w:val="24"/>
          <w:u w:val="single"/>
        </w:rPr>
      </w:pPr>
      <w:r w:rsidRPr="00A258D6">
        <w:rPr>
          <w:sz w:val="24"/>
        </w:rPr>
        <w:t>Cost per hour</w:t>
      </w:r>
      <w:r w:rsidRPr="00A258D6">
        <w:rPr>
          <w:sz w:val="24"/>
        </w:rPr>
        <w:tab/>
        <w:t>$61.01</w:t>
      </w:r>
    </w:p>
    <w:p w:rsidR="00A258D6" w:rsidRPr="008C360C" w:rsidRDefault="00A258D6" w:rsidP="00A258D6">
      <w:pPr>
        <w:tabs>
          <w:tab w:val="right" w:leader="dot" w:pos="7200"/>
        </w:tabs>
        <w:rPr>
          <w:sz w:val="24"/>
        </w:rPr>
      </w:pPr>
      <w:r w:rsidRPr="00A258D6">
        <w:rPr>
          <w:sz w:val="24"/>
        </w:rPr>
        <w:t>Estimated Burden to the Public</w:t>
      </w:r>
      <w:r w:rsidRPr="00A258D6">
        <w:rPr>
          <w:sz w:val="24"/>
        </w:rPr>
        <w:tab/>
        <w:t>$</w:t>
      </w:r>
      <w:r w:rsidR="0011134C">
        <w:rPr>
          <w:sz w:val="24"/>
        </w:rPr>
        <w:t>403,236</w:t>
      </w:r>
    </w:p>
    <w:p w:rsidR="00950001" w:rsidRDefault="0039626A" w:rsidP="004E4C44">
      <w:pPr>
        <w:numPr>
          <w:ilvl w:val="12"/>
          <w:numId w:val="0"/>
        </w:numPr>
        <w:rPr>
          <w:sz w:val="24"/>
        </w:rPr>
      </w:pPr>
      <w:r>
        <w:rPr>
          <w:sz w:val="24"/>
        </w:rPr>
        <w:t>The estimated cost per response is $249.</w:t>
      </w:r>
    </w:p>
    <w:p w:rsidR="00A258D6" w:rsidRDefault="00A258D6" w:rsidP="004E4C44">
      <w:pPr>
        <w:numPr>
          <w:ilvl w:val="12"/>
          <w:numId w:val="0"/>
        </w:numPr>
        <w:rPr>
          <w:sz w:val="24"/>
        </w:rPr>
      </w:pPr>
    </w:p>
    <w:p w:rsidR="00EA6C6B" w:rsidRDefault="00EA6C6B" w:rsidP="00EA6C6B">
      <w:pPr>
        <w:rPr>
          <w:b/>
          <w:sz w:val="24"/>
        </w:rPr>
      </w:pPr>
      <w:r w:rsidRPr="00C85211">
        <w:rPr>
          <w:b/>
          <w:bCs/>
          <w:sz w:val="24"/>
        </w:rPr>
        <w:t>13.</w:t>
      </w:r>
      <w:r w:rsidRPr="00C85211">
        <w:rPr>
          <w:b/>
          <w:sz w:val="24"/>
        </w:rPr>
        <w:t xml:space="preserve">  P</w:t>
      </w:r>
      <w:r>
        <w:rPr>
          <w:b/>
          <w:sz w:val="24"/>
        </w:rPr>
        <w:t xml:space="preserve">rovide an estimate for the total annual cost burden to respondents or record keepers resulting from the collection of information.  </w:t>
      </w:r>
    </w:p>
    <w:p w:rsidR="00EA6C6B" w:rsidRDefault="00EA6C6B" w:rsidP="004E4C44">
      <w:pPr>
        <w:numPr>
          <w:ilvl w:val="12"/>
          <w:numId w:val="0"/>
        </w:numPr>
        <w:rPr>
          <w:sz w:val="24"/>
        </w:rPr>
      </w:pPr>
    </w:p>
    <w:p w:rsidR="00EA6C6B" w:rsidRPr="00B017EA" w:rsidRDefault="00EA6C6B" w:rsidP="00EA6C6B">
      <w:pPr>
        <w:rPr>
          <w:sz w:val="24"/>
        </w:rPr>
      </w:pPr>
      <w:r>
        <w:rPr>
          <w:sz w:val="24"/>
        </w:rPr>
        <w:t>Not applicable.  See response to Item 12, above.</w:t>
      </w:r>
    </w:p>
    <w:p w:rsidR="00EA6C6B" w:rsidRDefault="00EA6C6B" w:rsidP="004E4C44">
      <w:pPr>
        <w:numPr>
          <w:ilvl w:val="12"/>
          <w:numId w:val="0"/>
        </w:numPr>
        <w:rPr>
          <w:sz w:val="24"/>
        </w:rPr>
      </w:pPr>
    </w:p>
    <w:p w:rsidR="00EA6C6B" w:rsidRDefault="00EA6C6B" w:rsidP="00EA6C6B">
      <w:pPr>
        <w:rPr>
          <w:b/>
          <w:sz w:val="24"/>
        </w:rPr>
      </w:pPr>
      <w:r w:rsidRPr="00C85211">
        <w:rPr>
          <w:b/>
          <w:bCs/>
          <w:sz w:val="24"/>
        </w:rPr>
        <w:t>14.</w:t>
      </w:r>
      <w:r w:rsidRPr="00C85211">
        <w:rPr>
          <w:b/>
          <w:sz w:val="24"/>
        </w:rPr>
        <w:t xml:space="preserve">  </w:t>
      </w:r>
      <w:r>
        <w:rPr>
          <w:b/>
          <w:sz w:val="24"/>
        </w:rPr>
        <w:t xml:space="preserve">Provide estimates of annualized costs to the Federal Government. </w:t>
      </w:r>
    </w:p>
    <w:p w:rsidR="00EA6C6B" w:rsidRDefault="00EA6C6B" w:rsidP="004E4C44">
      <w:pPr>
        <w:numPr>
          <w:ilvl w:val="12"/>
          <w:numId w:val="0"/>
        </w:numPr>
        <w:rPr>
          <w:sz w:val="24"/>
        </w:rPr>
      </w:pPr>
    </w:p>
    <w:p w:rsidR="004C54EC" w:rsidRDefault="000B79E3" w:rsidP="00A258D6">
      <w:pPr>
        <w:rPr>
          <w:sz w:val="24"/>
          <w:szCs w:val="24"/>
          <w:highlight w:val="cyan"/>
        </w:rPr>
      </w:pPr>
      <w:r w:rsidRPr="00E62B62">
        <w:rPr>
          <w:sz w:val="24"/>
          <w:szCs w:val="24"/>
        </w:rPr>
        <w:t xml:space="preserve">GSA estimated the </w:t>
      </w:r>
      <w:r>
        <w:rPr>
          <w:sz w:val="24"/>
          <w:szCs w:val="24"/>
        </w:rPr>
        <w:t xml:space="preserve">annual cost to the Federal Government </w:t>
      </w:r>
      <w:r w:rsidRPr="00E62B62">
        <w:rPr>
          <w:sz w:val="24"/>
          <w:szCs w:val="24"/>
        </w:rPr>
        <w:t>of the information collection from data obtained from subject matter experts in GSA’s Office of Leasing</w:t>
      </w:r>
      <w:r w:rsidRPr="00A258D6">
        <w:rPr>
          <w:sz w:val="24"/>
          <w:szCs w:val="24"/>
        </w:rPr>
        <w:t>.</w:t>
      </w:r>
      <w:r w:rsidR="00A258D6" w:rsidRPr="00A258D6">
        <w:rPr>
          <w:sz w:val="24"/>
          <w:szCs w:val="24"/>
        </w:rPr>
        <w:t xml:space="preserve">  </w:t>
      </w:r>
      <w:r w:rsidR="004C54EC" w:rsidRPr="00A258D6">
        <w:rPr>
          <w:sz w:val="24"/>
          <w:szCs w:val="24"/>
        </w:rPr>
        <w:t xml:space="preserve">Government hours per response are based on the time required to review </w:t>
      </w:r>
      <w:r w:rsidR="00A258D6" w:rsidRPr="00A258D6">
        <w:rPr>
          <w:sz w:val="24"/>
          <w:szCs w:val="24"/>
        </w:rPr>
        <w:t xml:space="preserve">and evaluate </w:t>
      </w:r>
      <w:r w:rsidR="004C54EC" w:rsidRPr="00A258D6">
        <w:rPr>
          <w:sz w:val="24"/>
          <w:szCs w:val="24"/>
        </w:rPr>
        <w:t xml:space="preserve">the </w:t>
      </w:r>
      <w:r w:rsidRPr="00A258D6">
        <w:rPr>
          <w:sz w:val="24"/>
          <w:szCs w:val="24"/>
        </w:rPr>
        <w:t>lease forms</w:t>
      </w:r>
      <w:r w:rsidR="004C54EC" w:rsidRPr="00A258D6">
        <w:rPr>
          <w:sz w:val="24"/>
          <w:szCs w:val="24"/>
        </w:rPr>
        <w:t>.</w:t>
      </w:r>
    </w:p>
    <w:p w:rsidR="00A258D6" w:rsidRPr="000F0D3C" w:rsidRDefault="00A258D6" w:rsidP="00A258D6">
      <w:pPr>
        <w:rPr>
          <w:sz w:val="24"/>
          <w:szCs w:val="24"/>
        </w:rPr>
      </w:pPr>
    </w:p>
    <w:p w:rsidR="00A258D6" w:rsidRPr="000F0D3C" w:rsidRDefault="00A258D6" w:rsidP="00A258D6">
      <w:pPr>
        <w:rPr>
          <w:sz w:val="24"/>
        </w:rPr>
      </w:pPr>
      <w:r w:rsidRPr="000F0D3C">
        <w:rPr>
          <w:sz w:val="24"/>
          <w:szCs w:val="24"/>
        </w:rPr>
        <w:t xml:space="preserve">The estimated cost of $41.81 per hour is based on the task being accomplished by midlevel offeror personnel equivalent to a GS-14, Step 1 salary.  </w:t>
      </w:r>
      <w:r w:rsidRPr="000F0D3C">
        <w:rPr>
          <w:sz w:val="24"/>
        </w:rPr>
        <w:t>(Salary Table 2016-GS, Effective January 2016.</w:t>
      </w:r>
    </w:p>
    <w:p w:rsidR="004C54EC" w:rsidRPr="000F0D3C" w:rsidRDefault="004C54EC" w:rsidP="004C54EC">
      <w:pPr>
        <w:tabs>
          <w:tab w:val="left" w:pos="720"/>
          <w:tab w:val="left" w:pos="6300"/>
          <w:tab w:val="left" w:pos="6390"/>
        </w:tabs>
        <w:rPr>
          <w:sz w:val="24"/>
          <w:szCs w:val="24"/>
        </w:rPr>
      </w:pPr>
    </w:p>
    <w:tbl>
      <w:tblPr>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1"/>
        <w:gridCol w:w="1439"/>
        <w:gridCol w:w="1170"/>
        <w:gridCol w:w="1702"/>
        <w:gridCol w:w="1178"/>
        <w:gridCol w:w="1436"/>
        <w:gridCol w:w="1083"/>
      </w:tblGrid>
      <w:tr w:rsidR="008E36FC" w:rsidRPr="000F0D3C" w:rsidTr="001F3074">
        <w:trPr>
          <w:trHeight w:val="255"/>
        </w:trPr>
        <w:tc>
          <w:tcPr>
            <w:tcW w:w="963" w:type="pct"/>
            <w:shd w:val="clear" w:color="auto" w:fill="auto"/>
            <w:noWrap/>
            <w:hideMark/>
          </w:tcPr>
          <w:p w:rsidR="008E36FC" w:rsidRPr="000F0D3C" w:rsidRDefault="008E36FC" w:rsidP="00472178">
            <w:pPr>
              <w:overflowPunct/>
              <w:autoSpaceDE/>
              <w:autoSpaceDN/>
              <w:adjustRightInd/>
              <w:textAlignment w:val="auto"/>
              <w:rPr>
                <w:rFonts w:ascii="Arial" w:hAnsi="Arial" w:cs="Arial"/>
                <w:color w:val="000000"/>
              </w:rPr>
            </w:pPr>
          </w:p>
        </w:tc>
        <w:tc>
          <w:tcPr>
            <w:tcW w:w="4037" w:type="pct"/>
            <w:gridSpan w:val="6"/>
            <w:shd w:val="clear" w:color="auto" w:fill="auto"/>
            <w:noWrap/>
          </w:tcPr>
          <w:p w:rsidR="008E36FC" w:rsidRPr="000F0D3C" w:rsidRDefault="008E36FC" w:rsidP="00C8582A">
            <w:pPr>
              <w:overflowPunct/>
              <w:autoSpaceDE/>
              <w:autoSpaceDN/>
              <w:adjustRightInd/>
              <w:jc w:val="center"/>
              <w:textAlignment w:val="auto"/>
              <w:rPr>
                <w:rFonts w:ascii="Arial" w:hAnsi="Arial" w:cs="Arial"/>
                <w:b/>
                <w:bCs/>
                <w:color w:val="000000"/>
              </w:rPr>
            </w:pPr>
            <w:r w:rsidRPr="000F0D3C">
              <w:rPr>
                <w:rFonts w:ascii="Arial" w:hAnsi="Arial" w:cs="Arial"/>
                <w:b/>
                <w:bCs/>
                <w:color w:val="000000"/>
              </w:rPr>
              <w:t>Lease Model</w:t>
            </w:r>
          </w:p>
        </w:tc>
      </w:tr>
      <w:tr w:rsidR="008E36FC" w:rsidRPr="000F0D3C" w:rsidTr="001F3074">
        <w:trPr>
          <w:trHeight w:val="467"/>
        </w:trPr>
        <w:tc>
          <w:tcPr>
            <w:tcW w:w="963" w:type="pct"/>
            <w:shd w:val="clear" w:color="auto" w:fill="auto"/>
            <w:noWrap/>
          </w:tcPr>
          <w:p w:rsidR="00C8582A" w:rsidRPr="000F0D3C" w:rsidRDefault="00C8582A" w:rsidP="00472178">
            <w:pPr>
              <w:overflowPunct/>
              <w:autoSpaceDE/>
              <w:autoSpaceDN/>
              <w:adjustRightInd/>
              <w:textAlignment w:val="auto"/>
              <w:rPr>
                <w:rFonts w:ascii="Arial" w:hAnsi="Arial" w:cs="Arial"/>
                <w:b/>
                <w:color w:val="000000"/>
              </w:rPr>
            </w:pPr>
            <w:r w:rsidRPr="000F0D3C">
              <w:rPr>
                <w:rFonts w:ascii="Arial" w:hAnsi="Arial" w:cs="Arial"/>
                <w:b/>
                <w:color w:val="000000"/>
              </w:rPr>
              <w:t>Data</w:t>
            </w:r>
          </w:p>
        </w:tc>
        <w:tc>
          <w:tcPr>
            <w:tcW w:w="725" w:type="pct"/>
            <w:shd w:val="clear" w:color="auto" w:fill="auto"/>
            <w:noWrap/>
          </w:tcPr>
          <w:p w:rsidR="00C8582A" w:rsidRPr="000F0D3C" w:rsidRDefault="00C8582A" w:rsidP="00AB6BF2">
            <w:pPr>
              <w:overflowPunct/>
              <w:autoSpaceDE/>
              <w:autoSpaceDN/>
              <w:adjustRightInd/>
              <w:textAlignment w:val="auto"/>
              <w:rPr>
                <w:rFonts w:ascii="Arial" w:hAnsi="Arial" w:cs="Arial"/>
                <w:b/>
                <w:bCs/>
                <w:color w:val="000000"/>
              </w:rPr>
            </w:pPr>
            <w:r w:rsidRPr="000F0D3C">
              <w:rPr>
                <w:rFonts w:ascii="Arial" w:hAnsi="Arial" w:cs="Arial"/>
                <w:b/>
                <w:bCs/>
                <w:color w:val="000000"/>
              </w:rPr>
              <w:t>Streamlined</w:t>
            </w:r>
          </w:p>
        </w:tc>
        <w:tc>
          <w:tcPr>
            <w:tcW w:w="590" w:type="pct"/>
            <w:shd w:val="clear" w:color="auto" w:fill="auto"/>
            <w:noWrap/>
          </w:tcPr>
          <w:p w:rsidR="00C8582A" w:rsidRPr="000F0D3C" w:rsidRDefault="00C8582A" w:rsidP="00AB6BF2">
            <w:pPr>
              <w:overflowPunct/>
              <w:autoSpaceDE/>
              <w:autoSpaceDN/>
              <w:adjustRightInd/>
              <w:textAlignment w:val="auto"/>
              <w:rPr>
                <w:rFonts w:ascii="Arial" w:hAnsi="Arial" w:cs="Arial"/>
                <w:b/>
                <w:bCs/>
                <w:color w:val="000000"/>
              </w:rPr>
            </w:pPr>
            <w:r w:rsidRPr="000F0D3C">
              <w:rPr>
                <w:rFonts w:ascii="Arial" w:hAnsi="Arial" w:cs="Arial"/>
                <w:b/>
                <w:bCs/>
                <w:color w:val="000000"/>
              </w:rPr>
              <w:t>Standard</w:t>
            </w:r>
          </w:p>
        </w:tc>
        <w:tc>
          <w:tcPr>
            <w:tcW w:w="858" w:type="pct"/>
            <w:shd w:val="clear" w:color="auto" w:fill="auto"/>
            <w:noWrap/>
          </w:tcPr>
          <w:p w:rsidR="00C8582A" w:rsidRPr="000F0D3C" w:rsidRDefault="00C8582A" w:rsidP="00AB6BF2">
            <w:pPr>
              <w:overflowPunct/>
              <w:autoSpaceDE/>
              <w:autoSpaceDN/>
              <w:adjustRightInd/>
              <w:textAlignment w:val="auto"/>
              <w:rPr>
                <w:rFonts w:ascii="Arial" w:hAnsi="Arial" w:cs="Arial"/>
                <w:b/>
                <w:bCs/>
                <w:color w:val="000000"/>
              </w:rPr>
            </w:pPr>
            <w:r w:rsidRPr="000F0D3C">
              <w:rPr>
                <w:rFonts w:ascii="Arial" w:hAnsi="Arial" w:cs="Arial"/>
                <w:b/>
                <w:bCs/>
                <w:color w:val="000000"/>
              </w:rPr>
              <w:t>Succeeding/ Superseding</w:t>
            </w:r>
          </w:p>
        </w:tc>
        <w:tc>
          <w:tcPr>
            <w:tcW w:w="594" w:type="pct"/>
            <w:shd w:val="clear" w:color="auto" w:fill="auto"/>
            <w:noWrap/>
          </w:tcPr>
          <w:p w:rsidR="00C8582A" w:rsidRPr="000F0D3C" w:rsidRDefault="00C8582A" w:rsidP="00AB6BF2">
            <w:pPr>
              <w:overflowPunct/>
              <w:autoSpaceDE/>
              <w:autoSpaceDN/>
              <w:adjustRightInd/>
              <w:textAlignment w:val="auto"/>
              <w:rPr>
                <w:rFonts w:ascii="Arial" w:hAnsi="Arial" w:cs="Arial"/>
                <w:b/>
                <w:bCs/>
                <w:color w:val="000000"/>
              </w:rPr>
            </w:pPr>
            <w:r w:rsidRPr="000F0D3C">
              <w:rPr>
                <w:rFonts w:ascii="Arial" w:hAnsi="Arial" w:cs="Arial"/>
                <w:b/>
                <w:bCs/>
                <w:color w:val="000000"/>
              </w:rPr>
              <w:t>Simplified</w:t>
            </w:r>
          </w:p>
        </w:tc>
        <w:tc>
          <w:tcPr>
            <w:tcW w:w="724" w:type="pct"/>
          </w:tcPr>
          <w:p w:rsidR="00C8582A" w:rsidRPr="000F0D3C" w:rsidRDefault="00C8582A" w:rsidP="00AB6BF2">
            <w:pPr>
              <w:overflowPunct/>
              <w:autoSpaceDE/>
              <w:autoSpaceDN/>
              <w:adjustRightInd/>
              <w:textAlignment w:val="auto"/>
              <w:rPr>
                <w:rFonts w:ascii="Arial" w:hAnsi="Arial" w:cs="Arial"/>
                <w:b/>
                <w:bCs/>
                <w:color w:val="000000"/>
              </w:rPr>
            </w:pPr>
            <w:r w:rsidRPr="000F0D3C">
              <w:rPr>
                <w:rFonts w:ascii="Arial" w:hAnsi="Arial" w:cs="Arial"/>
                <w:b/>
                <w:bCs/>
                <w:color w:val="000000"/>
              </w:rPr>
              <w:t>Warehouse</w:t>
            </w:r>
          </w:p>
          <w:p w:rsidR="00C8582A" w:rsidRPr="000F0D3C" w:rsidRDefault="00C8582A" w:rsidP="00AB6BF2">
            <w:pPr>
              <w:overflowPunct/>
              <w:autoSpaceDE/>
              <w:autoSpaceDN/>
              <w:adjustRightInd/>
              <w:textAlignment w:val="auto"/>
              <w:rPr>
                <w:rFonts w:ascii="Arial" w:hAnsi="Arial" w:cs="Arial"/>
                <w:b/>
                <w:bCs/>
                <w:color w:val="000000"/>
              </w:rPr>
            </w:pPr>
          </w:p>
        </w:tc>
        <w:tc>
          <w:tcPr>
            <w:tcW w:w="545" w:type="pct"/>
            <w:shd w:val="clear" w:color="auto" w:fill="auto"/>
            <w:noWrap/>
          </w:tcPr>
          <w:p w:rsidR="00C8582A" w:rsidRPr="000F0D3C" w:rsidRDefault="00C8582A" w:rsidP="00472178">
            <w:pPr>
              <w:overflowPunct/>
              <w:autoSpaceDE/>
              <w:autoSpaceDN/>
              <w:adjustRightInd/>
              <w:textAlignment w:val="auto"/>
              <w:rPr>
                <w:rFonts w:ascii="Arial" w:hAnsi="Arial" w:cs="Arial"/>
                <w:b/>
                <w:bCs/>
                <w:color w:val="000000"/>
              </w:rPr>
            </w:pPr>
            <w:r w:rsidRPr="000F0D3C">
              <w:rPr>
                <w:rFonts w:ascii="Arial" w:hAnsi="Arial" w:cs="Arial"/>
                <w:b/>
                <w:bCs/>
                <w:color w:val="000000"/>
              </w:rPr>
              <w:t>Total</w:t>
            </w:r>
          </w:p>
        </w:tc>
      </w:tr>
      <w:tr w:rsidR="008E36FC" w:rsidRPr="000F0D3C" w:rsidTr="001F3074">
        <w:trPr>
          <w:trHeight w:val="255"/>
        </w:trPr>
        <w:tc>
          <w:tcPr>
            <w:tcW w:w="963" w:type="pct"/>
            <w:shd w:val="clear" w:color="auto" w:fill="auto"/>
            <w:noWrap/>
            <w:hideMark/>
          </w:tcPr>
          <w:p w:rsidR="00D14C31" w:rsidRPr="000F0D3C" w:rsidRDefault="00D14C31" w:rsidP="00472178">
            <w:pPr>
              <w:overflowPunct/>
              <w:autoSpaceDE/>
              <w:autoSpaceDN/>
              <w:adjustRightInd/>
              <w:textAlignment w:val="auto"/>
              <w:rPr>
                <w:rFonts w:ascii="Arial" w:hAnsi="Arial" w:cs="Arial"/>
                <w:color w:val="000000"/>
              </w:rPr>
            </w:pPr>
            <w:r w:rsidRPr="000F0D3C">
              <w:rPr>
                <w:rFonts w:ascii="Arial" w:hAnsi="Arial" w:cs="Arial"/>
                <w:color w:val="000000"/>
              </w:rPr>
              <w:t>Total Projects</w:t>
            </w:r>
          </w:p>
          <w:p w:rsidR="00D14C31" w:rsidRPr="000F0D3C" w:rsidRDefault="00D14C31" w:rsidP="00472178">
            <w:pPr>
              <w:overflowPunct/>
              <w:autoSpaceDE/>
              <w:autoSpaceDN/>
              <w:adjustRightInd/>
              <w:textAlignment w:val="auto"/>
              <w:rPr>
                <w:rFonts w:ascii="Arial" w:hAnsi="Arial" w:cs="Arial"/>
                <w:color w:val="000000"/>
              </w:rPr>
            </w:pPr>
          </w:p>
        </w:tc>
        <w:tc>
          <w:tcPr>
            <w:tcW w:w="725" w:type="pct"/>
            <w:shd w:val="clear" w:color="auto" w:fill="auto"/>
            <w:noWrap/>
            <w:hideMark/>
          </w:tcPr>
          <w:p w:rsidR="00D14C31" w:rsidRPr="000F0D3C" w:rsidRDefault="00D14C31" w:rsidP="00AB6BF2">
            <w:pPr>
              <w:overflowPunct/>
              <w:autoSpaceDE/>
              <w:autoSpaceDN/>
              <w:adjustRightInd/>
              <w:textAlignment w:val="auto"/>
              <w:rPr>
                <w:rFonts w:ascii="Arial" w:hAnsi="Arial" w:cs="Arial"/>
                <w:b/>
                <w:bCs/>
                <w:color w:val="000000"/>
              </w:rPr>
            </w:pPr>
            <w:r w:rsidRPr="000F0D3C">
              <w:rPr>
                <w:rFonts w:ascii="Arial" w:hAnsi="Arial" w:cs="Arial"/>
                <w:color w:val="000000"/>
              </w:rPr>
              <w:t>35</w:t>
            </w:r>
          </w:p>
        </w:tc>
        <w:tc>
          <w:tcPr>
            <w:tcW w:w="590" w:type="pct"/>
            <w:shd w:val="clear" w:color="auto" w:fill="auto"/>
            <w:noWrap/>
            <w:hideMark/>
          </w:tcPr>
          <w:p w:rsidR="00D14C31" w:rsidRPr="000F0D3C" w:rsidRDefault="00D14C31" w:rsidP="00AB6BF2">
            <w:pPr>
              <w:overflowPunct/>
              <w:autoSpaceDE/>
              <w:autoSpaceDN/>
              <w:adjustRightInd/>
              <w:textAlignment w:val="auto"/>
              <w:rPr>
                <w:rFonts w:ascii="Arial" w:hAnsi="Arial" w:cs="Arial"/>
                <w:b/>
                <w:bCs/>
                <w:color w:val="000000"/>
              </w:rPr>
            </w:pPr>
            <w:r w:rsidRPr="000F0D3C">
              <w:rPr>
                <w:rFonts w:ascii="Arial" w:hAnsi="Arial" w:cs="Arial"/>
                <w:color w:val="000000"/>
              </w:rPr>
              <w:t>238</w:t>
            </w:r>
          </w:p>
        </w:tc>
        <w:tc>
          <w:tcPr>
            <w:tcW w:w="858" w:type="pct"/>
            <w:shd w:val="clear" w:color="auto" w:fill="auto"/>
            <w:noWrap/>
            <w:hideMark/>
          </w:tcPr>
          <w:p w:rsidR="00D14C31" w:rsidRPr="000F0D3C" w:rsidRDefault="00D14C31" w:rsidP="00AB6BF2">
            <w:pPr>
              <w:overflowPunct/>
              <w:autoSpaceDE/>
              <w:autoSpaceDN/>
              <w:adjustRightInd/>
              <w:textAlignment w:val="auto"/>
              <w:rPr>
                <w:rFonts w:ascii="Arial" w:hAnsi="Arial" w:cs="Arial"/>
                <w:b/>
                <w:bCs/>
                <w:color w:val="000000"/>
              </w:rPr>
            </w:pPr>
            <w:r w:rsidRPr="000F0D3C">
              <w:rPr>
                <w:rFonts w:ascii="Arial" w:hAnsi="Arial" w:cs="Arial"/>
                <w:color w:val="000000"/>
              </w:rPr>
              <w:t>185</w:t>
            </w:r>
          </w:p>
        </w:tc>
        <w:tc>
          <w:tcPr>
            <w:tcW w:w="594" w:type="pct"/>
            <w:shd w:val="clear" w:color="auto" w:fill="auto"/>
            <w:noWrap/>
            <w:hideMark/>
          </w:tcPr>
          <w:p w:rsidR="00D14C31" w:rsidRPr="000F0D3C" w:rsidRDefault="00D14C31" w:rsidP="00AB6BF2">
            <w:pPr>
              <w:overflowPunct/>
              <w:autoSpaceDE/>
              <w:autoSpaceDN/>
              <w:adjustRightInd/>
              <w:textAlignment w:val="auto"/>
              <w:rPr>
                <w:rFonts w:ascii="Arial" w:hAnsi="Arial" w:cs="Arial"/>
                <w:b/>
                <w:bCs/>
                <w:color w:val="000000"/>
              </w:rPr>
            </w:pPr>
            <w:r w:rsidRPr="000F0D3C">
              <w:rPr>
                <w:rFonts w:ascii="Arial" w:hAnsi="Arial" w:cs="Arial"/>
                <w:color w:val="000000"/>
              </w:rPr>
              <w:t>51</w:t>
            </w:r>
          </w:p>
        </w:tc>
        <w:tc>
          <w:tcPr>
            <w:tcW w:w="724" w:type="pct"/>
          </w:tcPr>
          <w:p w:rsidR="00D14C31" w:rsidRPr="000F0D3C" w:rsidRDefault="00D14C31" w:rsidP="00AB6BF2">
            <w:pPr>
              <w:overflowPunct/>
              <w:autoSpaceDE/>
              <w:autoSpaceDN/>
              <w:adjustRightInd/>
              <w:textAlignment w:val="auto"/>
              <w:rPr>
                <w:rFonts w:ascii="Arial" w:hAnsi="Arial" w:cs="Arial"/>
                <w:b/>
                <w:bCs/>
                <w:color w:val="000000"/>
              </w:rPr>
            </w:pPr>
            <w:r w:rsidRPr="000F0D3C">
              <w:rPr>
                <w:rFonts w:ascii="Arial" w:hAnsi="Arial" w:cs="Arial"/>
                <w:color w:val="000000"/>
              </w:rPr>
              <w:t>35</w:t>
            </w:r>
          </w:p>
        </w:tc>
        <w:tc>
          <w:tcPr>
            <w:tcW w:w="545" w:type="pct"/>
            <w:shd w:val="clear" w:color="auto" w:fill="auto"/>
            <w:noWrap/>
            <w:hideMark/>
          </w:tcPr>
          <w:p w:rsidR="00D14C31" w:rsidRPr="000F0D3C" w:rsidRDefault="00D14C31" w:rsidP="00472178">
            <w:pPr>
              <w:overflowPunct/>
              <w:autoSpaceDE/>
              <w:autoSpaceDN/>
              <w:adjustRightInd/>
              <w:textAlignment w:val="auto"/>
              <w:rPr>
                <w:rFonts w:ascii="Arial" w:hAnsi="Arial" w:cs="Arial"/>
                <w:bCs/>
                <w:color w:val="000000"/>
              </w:rPr>
            </w:pPr>
            <w:r w:rsidRPr="000F0D3C">
              <w:rPr>
                <w:rFonts w:ascii="Arial" w:hAnsi="Arial" w:cs="Arial"/>
                <w:bCs/>
                <w:color w:val="000000"/>
              </w:rPr>
              <w:t>544</w:t>
            </w:r>
          </w:p>
        </w:tc>
      </w:tr>
      <w:tr w:rsidR="008E36FC" w:rsidRPr="000F0D3C" w:rsidTr="001F3074">
        <w:trPr>
          <w:trHeight w:val="255"/>
        </w:trPr>
        <w:tc>
          <w:tcPr>
            <w:tcW w:w="963" w:type="pct"/>
            <w:shd w:val="clear" w:color="auto" w:fill="auto"/>
            <w:noWrap/>
            <w:hideMark/>
          </w:tcPr>
          <w:p w:rsidR="00C8582A" w:rsidRPr="000F0D3C" w:rsidRDefault="00C8582A" w:rsidP="00472178">
            <w:pPr>
              <w:overflowPunct/>
              <w:autoSpaceDE/>
              <w:autoSpaceDN/>
              <w:adjustRightInd/>
              <w:textAlignment w:val="auto"/>
              <w:rPr>
                <w:rFonts w:ascii="Arial" w:hAnsi="Arial" w:cs="Arial"/>
                <w:color w:val="000000"/>
              </w:rPr>
            </w:pPr>
            <w:r w:rsidRPr="000F0D3C">
              <w:rPr>
                <w:rFonts w:ascii="Arial" w:hAnsi="Arial" w:cs="Arial"/>
                <w:color w:val="000000"/>
              </w:rPr>
              <w:t xml:space="preserve">Number of Responses </w:t>
            </w:r>
          </w:p>
          <w:p w:rsidR="00C8582A" w:rsidRPr="000F0D3C" w:rsidRDefault="00C8582A" w:rsidP="00472178">
            <w:pPr>
              <w:overflowPunct/>
              <w:autoSpaceDE/>
              <w:autoSpaceDN/>
              <w:adjustRightInd/>
              <w:textAlignment w:val="auto"/>
              <w:rPr>
                <w:rFonts w:ascii="Arial" w:hAnsi="Arial" w:cs="Arial"/>
                <w:color w:val="000000"/>
              </w:rPr>
            </w:pPr>
            <w:r w:rsidRPr="000F0D3C">
              <w:rPr>
                <w:rFonts w:ascii="Arial" w:hAnsi="Arial" w:cs="Arial"/>
                <w:color w:val="000000"/>
              </w:rPr>
              <w:t>Per Project</w:t>
            </w:r>
          </w:p>
        </w:tc>
        <w:tc>
          <w:tcPr>
            <w:tcW w:w="725" w:type="pct"/>
            <w:shd w:val="clear" w:color="auto" w:fill="auto"/>
            <w:noWrap/>
            <w:hideMark/>
          </w:tcPr>
          <w:p w:rsidR="00C8582A" w:rsidRPr="000F0D3C" w:rsidRDefault="00C8582A" w:rsidP="00AB6BF2">
            <w:pPr>
              <w:overflowPunct/>
              <w:autoSpaceDE/>
              <w:autoSpaceDN/>
              <w:adjustRightInd/>
              <w:textAlignment w:val="auto"/>
              <w:rPr>
                <w:rFonts w:ascii="Arial" w:hAnsi="Arial" w:cs="Arial"/>
                <w:color w:val="000000"/>
              </w:rPr>
            </w:pPr>
            <w:r w:rsidRPr="000F0D3C">
              <w:rPr>
                <w:rFonts w:ascii="Arial" w:hAnsi="Arial" w:cs="Arial"/>
                <w:color w:val="000000"/>
              </w:rPr>
              <w:t>3.7</w:t>
            </w:r>
          </w:p>
        </w:tc>
        <w:tc>
          <w:tcPr>
            <w:tcW w:w="590" w:type="pct"/>
            <w:shd w:val="clear" w:color="auto" w:fill="auto"/>
            <w:noWrap/>
            <w:hideMark/>
          </w:tcPr>
          <w:p w:rsidR="00C8582A" w:rsidRPr="000F0D3C" w:rsidRDefault="00C8582A" w:rsidP="00AB6BF2">
            <w:pPr>
              <w:overflowPunct/>
              <w:autoSpaceDE/>
              <w:autoSpaceDN/>
              <w:adjustRightInd/>
              <w:textAlignment w:val="auto"/>
              <w:rPr>
                <w:rFonts w:ascii="Arial" w:hAnsi="Arial" w:cs="Arial"/>
                <w:color w:val="000000"/>
              </w:rPr>
            </w:pPr>
            <w:r w:rsidRPr="000F0D3C">
              <w:rPr>
                <w:rFonts w:ascii="Arial" w:hAnsi="Arial" w:cs="Arial"/>
                <w:color w:val="000000"/>
              </w:rPr>
              <w:t>4.1</w:t>
            </w:r>
          </w:p>
        </w:tc>
        <w:tc>
          <w:tcPr>
            <w:tcW w:w="858" w:type="pct"/>
            <w:shd w:val="clear" w:color="auto" w:fill="auto"/>
            <w:noWrap/>
            <w:hideMark/>
          </w:tcPr>
          <w:p w:rsidR="00C8582A" w:rsidRPr="000F0D3C" w:rsidRDefault="00C8582A" w:rsidP="00AB6BF2">
            <w:pPr>
              <w:overflowPunct/>
              <w:autoSpaceDE/>
              <w:autoSpaceDN/>
              <w:adjustRightInd/>
              <w:textAlignment w:val="auto"/>
              <w:rPr>
                <w:rFonts w:ascii="Arial" w:hAnsi="Arial" w:cs="Arial"/>
                <w:color w:val="000000"/>
              </w:rPr>
            </w:pPr>
            <w:r w:rsidRPr="000F0D3C">
              <w:rPr>
                <w:rFonts w:ascii="Arial" w:hAnsi="Arial" w:cs="Arial"/>
                <w:color w:val="000000"/>
              </w:rPr>
              <w:t>1.0</w:t>
            </w:r>
          </w:p>
        </w:tc>
        <w:tc>
          <w:tcPr>
            <w:tcW w:w="594" w:type="pct"/>
            <w:shd w:val="clear" w:color="auto" w:fill="auto"/>
            <w:noWrap/>
            <w:hideMark/>
          </w:tcPr>
          <w:p w:rsidR="00C8582A" w:rsidRPr="000F0D3C" w:rsidRDefault="00C8582A" w:rsidP="00AB6BF2">
            <w:pPr>
              <w:overflowPunct/>
              <w:autoSpaceDE/>
              <w:autoSpaceDN/>
              <w:adjustRightInd/>
              <w:textAlignment w:val="auto"/>
              <w:rPr>
                <w:rFonts w:ascii="Arial" w:hAnsi="Arial" w:cs="Arial"/>
                <w:color w:val="000000"/>
              </w:rPr>
            </w:pPr>
            <w:r w:rsidRPr="000F0D3C">
              <w:rPr>
                <w:rFonts w:ascii="Arial" w:hAnsi="Arial" w:cs="Arial"/>
                <w:color w:val="000000"/>
              </w:rPr>
              <w:t>3.7</w:t>
            </w:r>
          </w:p>
        </w:tc>
        <w:tc>
          <w:tcPr>
            <w:tcW w:w="724" w:type="pct"/>
          </w:tcPr>
          <w:p w:rsidR="00C8582A" w:rsidRPr="000F0D3C" w:rsidRDefault="00D14C31" w:rsidP="00AB6BF2">
            <w:pPr>
              <w:overflowPunct/>
              <w:autoSpaceDE/>
              <w:autoSpaceDN/>
              <w:adjustRightInd/>
              <w:textAlignment w:val="auto"/>
              <w:rPr>
                <w:rFonts w:ascii="Arial" w:hAnsi="Arial" w:cs="Arial"/>
                <w:color w:val="000000"/>
              </w:rPr>
            </w:pPr>
            <w:r w:rsidRPr="000F0D3C">
              <w:rPr>
                <w:rFonts w:ascii="Arial" w:hAnsi="Arial" w:cs="Arial"/>
                <w:color w:val="000000"/>
              </w:rPr>
              <w:t>4.1</w:t>
            </w:r>
          </w:p>
        </w:tc>
        <w:tc>
          <w:tcPr>
            <w:tcW w:w="545" w:type="pct"/>
            <w:shd w:val="clear" w:color="auto" w:fill="auto"/>
            <w:noWrap/>
            <w:hideMark/>
          </w:tcPr>
          <w:p w:rsidR="00C8582A" w:rsidRPr="000F0D3C" w:rsidRDefault="00C8582A" w:rsidP="00472178">
            <w:pPr>
              <w:overflowPunct/>
              <w:autoSpaceDE/>
              <w:autoSpaceDN/>
              <w:adjustRightInd/>
              <w:textAlignment w:val="auto"/>
              <w:rPr>
                <w:rFonts w:ascii="Arial" w:hAnsi="Arial" w:cs="Arial"/>
                <w:color w:val="000000"/>
              </w:rPr>
            </w:pPr>
          </w:p>
        </w:tc>
      </w:tr>
      <w:tr w:rsidR="008E36FC" w:rsidRPr="000F0D3C" w:rsidTr="001F3074">
        <w:trPr>
          <w:trHeight w:val="255"/>
        </w:trPr>
        <w:tc>
          <w:tcPr>
            <w:tcW w:w="963" w:type="pct"/>
            <w:shd w:val="clear" w:color="auto" w:fill="auto"/>
            <w:noWrap/>
          </w:tcPr>
          <w:p w:rsidR="003D4058" w:rsidRPr="000F0D3C" w:rsidRDefault="003D4058" w:rsidP="00472178">
            <w:pPr>
              <w:overflowPunct/>
              <w:autoSpaceDE/>
              <w:autoSpaceDN/>
              <w:adjustRightInd/>
              <w:textAlignment w:val="auto"/>
              <w:rPr>
                <w:rFonts w:ascii="Arial" w:hAnsi="Arial" w:cs="Arial"/>
                <w:color w:val="000000"/>
              </w:rPr>
            </w:pPr>
            <w:r w:rsidRPr="000F0D3C">
              <w:rPr>
                <w:rFonts w:ascii="Arial" w:hAnsi="Arial" w:cs="Arial"/>
                <w:color w:val="000000"/>
              </w:rPr>
              <w:t xml:space="preserve">Annual Responses </w:t>
            </w:r>
          </w:p>
          <w:p w:rsidR="003D4058" w:rsidRPr="000F0D3C" w:rsidRDefault="003D4058" w:rsidP="00472178">
            <w:pPr>
              <w:overflowPunct/>
              <w:autoSpaceDE/>
              <w:autoSpaceDN/>
              <w:adjustRightInd/>
              <w:textAlignment w:val="auto"/>
              <w:rPr>
                <w:rFonts w:ascii="Arial" w:hAnsi="Arial" w:cs="Arial"/>
                <w:color w:val="000000"/>
              </w:rPr>
            </w:pPr>
          </w:p>
        </w:tc>
        <w:tc>
          <w:tcPr>
            <w:tcW w:w="725" w:type="pct"/>
            <w:shd w:val="clear" w:color="auto" w:fill="auto"/>
            <w:noWrap/>
          </w:tcPr>
          <w:p w:rsidR="003D4058" w:rsidRPr="000F0D3C" w:rsidRDefault="003D4058" w:rsidP="00AB6BF2">
            <w:pPr>
              <w:overflowPunct/>
              <w:autoSpaceDE/>
              <w:autoSpaceDN/>
              <w:adjustRightInd/>
              <w:textAlignment w:val="auto"/>
              <w:rPr>
                <w:rFonts w:ascii="Arial" w:hAnsi="Arial" w:cs="Arial"/>
                <w:color w:val="000000"/>
              </w:rPr>
            </w:pPr>
            <w:r w:rsidRPr="000F0D3C">
              <w:rPr>
                <w:rFonts w:ascii="Arial" w:hAnsi="Arial" w:cs="Arial"/>
                <w:color w:val="000000"/>
              </w:rPr>
              <w:t>129.5</w:t>
            </w:r>
          </w:p>
        </w:tc>
        <w:tc>
          <w:tcPr>
            <w:tcW w:w="590" w:type="pct"/>
            <w:shd w:val="clear" w:color="auto" w:fill="auto"/>
            <w:noWrap/>
          </w:tcPr>
          <w:p w:rsidR="003D4058" w:rsidRPr="000F0D3C" w:rsidRDefault="003D4058" w:rsidP="00AB6BF2">
            <w:pPr>
              <w:overflowPunct/>
              <w:autoSpaceDE/>
              <w:autoSpaceDN/>
              <w:adjustRightInd/>
              <w:textAlignment w:val="auto"/>
              <w:rPr>
                <w:rFonts w:ascii="Arial" w:hAnsi="Arial" w:cs="Arial"/>
                <w:color w:val="000000"/>
              </w:rPr>
            </w:pPr>
            <w:r w:rsidRPr="000F0D3C">
              <w:rPr>
                <w:rFonts w:ascii="Arial" w:hAnsi="Arial" w:cs="Arial"/>
                <w:color w:val="000000"/>
              </w:rPr>
              <w:t>975.8</w:t>
            </w:r>
          </w:p>
        </w:tc>
        <w:tc>
          <w:tcPr>
            <w:tcW w:w="858" w:type="pct"/>
            <w:shd w:val="clear" w:color="auto" w:fill="auto"/>
            <w:noWrap/>
          </w:tcPr>
          <w:p w:rsidR="003D4058" w:rsidRPr="000F0D3C" w:rsidRDefault="003D4058" w:rsidP="00AB6BF2">
            <w:pPr>
              <w:overflowPunct/>
              <w:autoSpaceDE/>
              <w:autoSpaceDN/>
              <w:adjustRightInd/>
              <w:textAlignment w:val="auto"/>
              <w:rPr>
                <w:rFonts w:ascii="Arial" w:hAnsi="Arial" w:cs="Arial"/>
                <w:color w:val="000000"/>
              </w:rPr>
            </w:pPr>
            <w:r w:rsidRPr="000F0D3C">
              <w:rPr>
                <w:rFonts w:ascii="Arial" w:hAnsi="Arial" w:cs="Arial"/>
                <w:color w:val="000000"/>
              </w:rPr>
              <w:t>185</w:t>
            </w:r>
          </w:p>
        </w:tc>
        <w:tc>
          <w:tcPr>
            <w:tcW w:w="594" w:type="pct"/>
            <w:shd w:val="clear" w:color="auto" w:fill="auto"/>
            <w:noWrap/>
          </w:tcPr>
          <w:p w:rsidR="003D4058" w:rsidRPr="000F0D3C" w:rsidRDefault="003D4058" w:rsidP="00AB6BF2">
            <w:pPr>
              <w:overflowPunct/>
              <w:autoSpaceDE/>
              <w:autoSpaceDN/>
              <w:adjustRightInd/>
              <w:textAlignment w:val="auto"/>
              <w:rPr>
                <w:rFonts w:ascii="Arial" w:hAnsi="Arial" w:cs="Arial"/>
                <w:color w:val="000000"/>
              </w:rPr>
            </w:pPr>
            <w:r w:rsidRPr="000F0D3C">
              <w:rPr>
                <w:rFonts w:ascii="Arial" w:hAnsi="Arial" w:cs="Arial"/>
                <w:color w:val="000000"/>
              </w:rPr>
              <w:t>188.7</w:t>
            </w:r>
          </w:p>
        </w:tc>
        <w:tc>
          <w:tcPr>
            <w:tcW w:w="724" w:type="pct"/>
          </w:tcPr>
          <w:p w:rsidR="003D4058" w:rsidRPr="000F0D3C" w:rsidRDefault="003D4058" w:rsidP="00AB6BF2">
            <w:pPr>
              <w:overflowPunct/>
              <w:autoSpaceDE/>
              <w:autoSpaceDN/>
              <w:adjustRightInd/>
              <w:textAlignment w:val="auto"/>
              <w:rPr>
                <w:rFonts w:ascii="Arial" w:hAnsi="Arial" w:cs="Arial"/>
                <w:color w:val="000000"/>
              </w:rPr>
            </w:pPr>
            <w:r w:rsidRPr="000F0D3C">
              <w:rPr>
                <w:rFonts w:ascii="Arial" w:hAnsi="Arial" w:cs="Arial"/>
                <w:color w:val="000000"/>
              </w:rPr>
              <w:t>143.5</w:t>
            </w:r>
          </w:p>
        </w:tc>
        <w:tc>
          <w:tcPr>
            <w:tcW w:w="545" w:type="pct"/>
            <w:shd w:val="clear" w:color="auto" w:fill="auto"/>
            <w:noWrap/>
          </w:tcPr>
          <w:p w:rsidR="003D4058" w:rsidRPr="000F0D3C" w:rsidRDefault="003D4058" w:rsidP="00C8582A">
            <w:pPr>
              <w:overflowPunct/>
              <w:autoSpaceDE/>
              <w:autoSpaceDN/>
              <w:adjustRightInd/>
              <w:textAlignment w:val="auto"/>
              <w:rPr>
                <w:rFonts w:ascii="Arial" w:hAnsi="Arial" w:cs="Arial"/>
                <w:color w:val="000000"/>
              </w:rPr>
            </w:pPr>
            <w:r w:rsidRPr="000F0D3C">
              <w:rPr>
                <w:rFonts w:ascii="Arial" w:hAnsi="Arial" w:cs="Arial"/>
                <w:color w:val="000000"/>
              </w:rPr>
              <w:t>1</w:t>
            </w:r>
            <w:r w:rsidR="000F0D3C" w:rsidRPr="000F0D3C">
              <w:rPr>
                <w:rFonts w:ascii="Arial" w:hAnsi="Arial" w:cs="Arial"/>
                <w:color w:val="000000"/>
              </w:rPr>
              <w:t>,</w:t>
            </w:r>
            <w:r w:rsidRPr="000F0D3C">
              <w:rPr>
                <w:rFonts w:ascii="Arial" w:hAnsi="Arial" w:cs="Arial"/>
                <w:color w:val="000000"/>
              </w:rPr>
              <w:t>623</w:t>
            </w:r>
          </w:p>
        </w:tc>
      </w:tr>
      <w:tr w:rsidR="008E36FC" w:rsidRPr="000F0D3C" w:rsidTr="001F3074">
        <w:trPr>
          <w:trHeight w:val="152"/>
        </w:trPr>
        <w:tc>
          <w:tcPr>
            <w:tcW w:w="963" w:type="pct"/>
            <w:shd w:val="clear" w:color="auto" w:fill="auto"/>
            <w:noWrap/>
          </w:tcPr>
          <w:p w:rsidR="00C8582A" w:rsidRPr="000F0D3C" w:rsidRDefault="00C8582A" w:rsidP="00472178">
            <w:pPr>
              <w:overflowPunct/>
              <w:autoSpaceDE/>
              <w:autoSpaceDN/>
              <w:adjustRightInd/>
              <w:textAlignment w:val="auto"/>
              <w:rPr>
                <w:rFonts w:ascii="Arial" w:hAnsi="Arial" w:cs="Arial"/>
                <w:color w:val="000000"/>
              </w:rPr>
            </w:pPr>
          </w:p>
        </w:tc>
        <w:tc>
          <w:tcPr>
            <w:tcW w:w="725" w:type="pct"/>
            <w:shd w:val="clear" w:color="auto" w:fill="auto"/>
            <w:noWrap/>
          </w:tcPr>
          <w:p w:rsidR="00C8582A" w:rsidRPr="000F0D3C" w:rsidRDefault="00C8582A" w:rsidP="00AB6BF2">
            <w:pPr>
              <w:overflowPunct/>
              <w:autoSpaceDE/>
              <w:autoSpaceDN/>
              <w:adjustRightInd/>
              <w:textAlignment w:val="auto"/>
              <w:rPr>
                <w:rFonts w:ascii="Arial" w:hAnsi="Arial" w:cs="Arial"/>
                <w:color w:val="000000"/>
              </w:rPr>
            </w:pPr>
          </w:p>
        </w:tc>
        <w:tc>
          <w:tcPr>
            <w:tcW w:w="590" w:type="pct"/>
            <w:shd w:val="clear" w:color="auto" w:fill="auto"/>
            <w:noWrap/>
          </w:tcPr>
          <w:p w:rsidR="00C8582A" w:rsidRPr="000F0D3C" w:rsidRDefault="00C8582A" w:rsidP="00AB6BF2">
            <w:pPr>
              <w:overflowPunct/>
              <w:autoSpaceDE/>
              <w:autoSpaceDN/>
              <w:adjustRightInd/>
              <w:textAlignment w:val="auto"/>
              <w:rPr>
                <w:rFonts w:ascii="Arial" w:hAnsi="Arial" w:cs="Arial"/>
                <w:color w:val="000000"/>
              </w:rPr>
            </w:pPr>
          </w:p>
        </w:tc>
        <w:tc>
          <w:tcPr>
            <w:tcW w:w="858" w:type="pct"/>
            <w:shd w:val="clear" w:color="auto" w:fill="auto"/>
            <w:noWrap/>
          </w:tcPr>
          <w:p w:rsidR="00C8582A" w:rsidRPr="000F0D3C" w:rsidRDefault="00C8582A" w:rsidP="00AB6BF2">
            <w:pPr>
              <w:overflowPunct/>
              <w:autoSpaceDE/>
              <w:autoSpaceDN/>
              <w:adjustRightInd/>
              <w:textAlignment w:val="auto"/>
              <w:rPr>
                <w:rFonts w:ascii="Arial" w:hAnsi="Arial" w:cs="Arial"/>
                <w:color w:val="000000"/>
              </w:rPr>
            </w:pPr>
          </w:p>
        </w:tc>
        <w:tc>
          <w:tcPr>
            <w:tcW w:w="594" w:type="pct"/>
            <w:shd w:val="clear" w:color="auto" w:fill="auto"/>
            <w:noWrap/>
          </w:tcPr>
          <w:p w:rsidR="00C8582A" w:rsidRPr="000F0D3C" w:rsidRDefault="00C8582A" w:rsidP="00AB6BF2">
            <w:pPr>
              <w:overflowPunct/>
              <w:autoSpaceDE/>
              <w:autoSpaceDN/>
              <w:adjustRightInd/>
              <w:textAlignment w:val="auto"/>
              <w:rPr>
                <w:rFonts w:ascii="Arial" w:hAnsi="Arial" w:cs="Arial"/>
                <w:color w:val="000000"/>
              </w:rPr>
            </w:pPr>
          </w:p>
        </w:tc>
        <w:tc>
          <w:tcPr>
            <w:tcW w:w="724" w:type="pct"/>
          </w:tcPr>
          <w:p w:rsidR="00C8582A" w:rsidRPr="000F0D3C" w:rsidRDefault="00C8582A" w:rsidP="00AB6BF2">
            <w:pPr>
              <w:overflowPunct/>
              <w:autoSpaceDE/>
              <w:autoSpaceDN/>
              <w:adjustRightInd/>
              <w:textAlignment w:val="auto"/>
              <w:rPr>
                <w:rFonts w:ascii="Arial" w:hAnsi="Arial" w:cs="Arial"/>
                <w:color w:val="000000"/>
              </w:rPr>
            </w:pPr>
          </w:p>
        </w:tc>
        <w:tc>
          <w:tcPr>
            <w:tcW w:w="545" w:type="pct"/>
            <w:shd w:val="clear" w:color="auto" w:fill="auto"/>
            <w:noWrap/>
          </w:tcPr>
          <w:p w:rsidR="00C8582A" w:rsidRPr="000F0D3C" w:rsidRDefault="00C8582A" w:rsidP="00472178">
            <w:pPr>
              <w:overflowPunct/>
              <w:autoSpaceDE/>
              <w:autoSpaceDN/>
              <w:adjustRightInd/>
              <w:textAlignment w:val="auto"/>
              <w:rPr>
                <w:rFonts w:ascii="Arial" w:hAnsi="Arial" w:cs="Arial"/>
                <w:color w:val="000000"/>
              </w:rPr>
            </w:pPr>
          </w:p>
        </w:tc>
      </w:tr>
      <w:tr w:rsidR="008E36FC" w:rsidRPr="000F0D3C" w:rsidTr="001F3074">
        <w:trPr>
          <w:trHeight w:val="255"/>
        </w:trPr>
        <w:tc>
          <w:tcPr>
            <w:tcW w:w="963" w:type="pct"/>
            <w:shd w:val="clear" w:color="auto" w:fill="auto"/>
            <w:noWrap/>
            <w:hideMark/>
          </w:tcPr>
          <w:p w:rsidR="00C8582A" w:rsidRPr="000F0D3C" w:rsidRDefault="00C8582A" w:rsidP="00472178">
            <w:pPr>
              <w:overflowPunct/>
              <w:autoSpaceDE/>
              <w:autoSpaceDN/>
              <w:adjustRightInd/>
              <w:textAlignment w:val="auto"/>
              <w:rPr>
                <w:rFonts w:ascii="Arial" w:hAnsi="Arial" w:cs="Arial"/>
                <w:color w:val="000000"/>
              </w:rPr>
            </w:pPr>
            <w:r w:rsidRPr="000F0D3C">
              <w:rPr>
                <w:rFonts w:ascii="Arial" w:hAnsi="Arial" w:cs="Arial"/>
                <w:color w:val="000000"/>
              </w:rPr>
              <w:t>Estimated Hours Per Response</w:t>
            </w:r>
          </w:p>
        </w:tc>
        <w:tc>
          <w:tcPr>
            <w:tcW w:w="725" w:type="pct"/>
            <w:shd w:val="clear" w:color="auto" w:fill="auto"/>
            <w:noWrap/>
            <w:hideMark/>
          </w:tcPr>
          <w:p w:rsidR="00C8582A" w:rsidRPr="000F0D3C" w:rsidRDefault="006203C3" w:rsidP="00AB6BF2">
            <w:pPr>
              <w:overflowPunct/>
              <w:autoSpaceDE/>
              <w:autoSpaceDN/>
              <w:adjustRightInd/>
              <w:textAlignment w:val="auto"/>
              <w:rPr>
                <w:rFonts w:ascii="Arial" w:hAnsi="Arial" w:cs="Arial"/>
                <w:color w:val="000000"/>
              </w:rPr>
            </w:pPr>
            <w:r w:rsidRPr="000F0D3C">
              <w:rPr>
                <w:rFonts w:ascii="Arial" w:hAnsi="Arial" w:cs="Arial"/>
                <w:color w:val="000000"/>
              </w:rPr>
              <w:t>3.3</w:t>
            </w:r>
          </w:p>
        </w:tc>
        <w:tc>
          <w:tcPr>
            <w:tcW w:w="590" w:type="pct"/>
            <w:shd w:val="clear" w:color="auto" w:fill="auto"/>
            <w:noWrap/>
            <w:hideMark/>
          </w:tcPr>
          <w:p w:rsidR="00C8582A" w:rsidRPr="000F0D3C" w:rsidRDefault="006203C3" w:rsidP="00AB6BF2">
            <w:pPr>
              <w:overflowPunct/>
              <w:autoSpaceDE/>
              <w:autoSpaceDN/>
              <w:adjustRightInd/>
              <w:textAlignment w:val="auto"/>
              <w:rPr>
                <w:rFonts w:ascii="Arial" w:hAnsi="Arial" w:cs="Arial"/>
                <w:color w:val="000000"/>
              </w:rPr>
            </w:pPr>
            <w:r w:rsidRPr="000F0D3C">
              <w:rPr>
                <w:rFonts w:ascii="Arial" w:hAnsi="Arial" w:cs="Arial"/>
                <w:color w:val="000000"/>
              </w:rPr>
              <w:t>3.3</w:t>
            </w:r>
          </w:p>
        </w:tc>
        <w:tc>
          <w:tcPr>
            <w:tcW w:w="858" w:type="pct"/>
            <w:shd w:val="clear" w:color="auto" w:fill="auto"/>
            <w:noWrap/>
            <w:hideMark/>
          </w:tcPr>
          <w:p w:rsidR="00C8582A" w:rsidRPr="000F0D3C" w:rsidRDefault="006203C3" w:rsidP="00AB6BF2">
            <w:pPr>
              <w:overflowPunct/>
              <w:autoSpaceDE/>
              <w:autoSpaceDN/>
              <w:adjustRightInd/>
              <w:textAlignment w:val="auto"/>
              <w:rPr>
                <w:rFonts w:ascii="Arial" w:hAnsi="Arial" w:cs="Arial"/>
                <w:color w:val="000000"/>
              </w:rPr>
            </w:pPr>
            <w:r w:rsidRPr="000F0D3C">
              <w:rPr>
                <w:rFonts w:ascii="Arial" w:hAnsi="Arial" w:cs="Arial"/>
                <w:color w:val="000000"/>
              </w:rPr>
              <w:t>2.9</w:t>
            </w:r>
          </w:p>
        </w:tc>
        <w:tc>
          <w:tcPr>
            <w:tcW w:w="594" w:type="pct"/>
            <w:shd w:val="clear" w:color="auto" w:fill="auto"/>
            <w:noWrap/>
            <w:hideMark/>
          </w:tcPr>
          <w:p w:rsidR="00C8582A" w:rsidRPr="000F0D3C" w:rsidRDefault="006203C3" w:rsidP="00AB6BF2">
            <w:pPr>
              <w:overflowPunct/>
              <w:autoSpaceDE/>
              <w:autoSpaceDN/>
              <w:adjustRightInd/>
              <w:textAlignment w:val="auto"/>
              <w:rPr>
                <w:rFonts w:ascii="Arial" w:hAnsi="Arial" w:cs="Arial"/>
                <w:color w:val="000000"/>
              </w:rPr>
            </w:pPr>
            <w:r w:rsidRPr="000F0D3C">
              <w:rPr>
                <w:rFonts w:ascii="Arial" w:hAnsi="Arial" w:cs="Arial"/>
                <w:color w:val="000000"/>
              </w:rPr>
              <w:t>3.3</w:t>
            </w:r>
          </w:p>
        </w:tc>
        <w:tc>
          <w:tcPr>
            <w:tcW w:w="724" w:type="pct"/>
          </w:tcPr>
          <w:p w:rsidR="00C8582A" w:rsidRPr="000F0D3C" w:rsidRDefault="006203C3" w:rsidP="00AB6BF2">
            <w:pPr>
              <w:overflowPunct/>
              <w:autoSpaceDE/>
              <w:autoSpaceDN/>
              <w:adjustRightInd/>
              <w:textAlignment w:val="auto"/>
              <w:rPr>
                <w:rFonts w:ascii="Arial" w:hAnsi="Arial" w:cs="Arial"/>
                <w:color w:val="000000"/>
              </w:rPr>
            </w:pPr>
            <w:r w:rsidRPr="000F0D3C">
              <w:rPr>
                <w:rFonts w:ascii="Arial" w:hAnsi="Arial" w:cs="Arial"/>
                <w:color w:val="000000"/>
              </w:rPr>
              <w:t>3.3</w:t>
            </w:r>
          </w:p>
        </w:tc>
        <w:tc>
          <w:tcPr>
            <w:tcW w:w="545" w:type="pct"/>
            <w:shd w:val="clear" w:color="auto" w:fill="auto"/>
            <w:noWrap/>
            <w:hideMark/>
          </w:tcPr>
          <w:p w:rsidR="00C8582A" w:rsidRPr="000F0D3C" w:rsidRDefault="00C8582A" w:rsidP="00472178">
            <w:pPr>
              <w:overflowPunct/>
              <w:autoSpaceDE/>
              <w:autoSpaceDN/>
              <w:adjustRightInd/>
              <w:textAlignment w:val="auto"/>
              <w:rPr>
                <w:rFonts w:ascii="Arial" w:hAnsi="Arial" w:cs="Arial"/>
                <w:color w:val="000000"/>
              </w:rPr>
            </w:pPr>
          </w:p>
        </w:tc>
      </w:tr>
      <w:tr w:rsidR="008E36FC" w:rsidRPr="000F0D3C" w:rsidTr="001F3074">
        <w:trPr>
          <w:trHeight w:val="255"/>
        </w:trPr>
        <w:tc>
          <w:tcPr>
            <w:tcW w:w="963" w:type="pct"/>
            <w:shd w:val="clear" w:color="auto" w:fill="auto"/>
            <w:noWrap/>
            <w:hideMark/>
          </w:tcPr>
          <w:p w:rsidR="00C8582A" w:rsidRPr="000F0D3C" w:rsidRDefault="00C8582A" w:rsidP="00472178">
            <w:pPr>
              <w:overflowPunct/>
              <w:autoSpaceDE/>
              <w:autoSpaceDN/>
              <w:adjustRightInd/>
              <w:textAlignment w:val="auto"/>
              <w:rPr>
                <w:rFonts w:ascii="Arial" w:hAnsi="Arial" w:cs="Arial"/>
                <w:color w:val="000000"/>
              </w:rPr>
            </w:pPr>
            <w:r w:rsidRPr="000F0D3C">
              <w:rPr>
                <w:rFonts w:ascii="Arial" w:hAnsi="Arial" w:cs="Arial"/>
                <w:color w:val="000000"/>
              </w:rPr>
              <w:t>Estimated Total Burden Hours</w:t>
            </w:r>
          </w:p>
        </w:tc>
        <w:tc>
          <w:tcPr>
            <w:tcW w:w="725" w:type="pct"/>
            <w:shd w:val="clear" w:color="auto" w:fill="auto"/>
            <w:noWrap/>
            <w:hideMark/>
          </w:tcPr>
          <w:p w:rsidR="00C8582A" w:rsidRPr="000F0D3C" w:rsidRDefault="006203C3" w:rsidP="00AB6BF2">
            <w:pPr>
              <w:overflowPunct/>
              <w:autoSpaceDE/>
              <w:autoSpaceDN/>
              <w:adjustRightInd/>
              <w:textAlignment w:val="auto"/>
              <w:rPr>
                <w:rFonts w:ascii="Arial" w:hAnsi="Arial" w:cs="Arial"/>
                <w:color w:val="000000"/>
              </w:rPr>
            </w:pPr>
            <w:r w:rsidRPr="000F0D3C">
              <w:rPr>
                <w:rFonts w:ascii="Arial" w:hAnsi="Arial" w:cs="Arial"/>
                <w:color w:val="000000"/>
              </w:rPr>
              <w:t>427</w:t>
            </w:r>
          </w:p>
        </w:tc>
        <w:tc>
          <w:tcPr>
            <w:tcW w:w="590" w:type="pct"/>
            <w:shd w:val="clear" w:color="auto" w:fill="auto"/>
            <w:noWrap/>
            <w:hideMark/>
          </w:tcPr>
          <w:p w:rsidR="00C8582A" w:rsidRPr="000F0D3C" w:rsidRDefault="006203C3" w:rsidP="00AB6BF2">
            <w:pPr>
              <w:overflowPunct/>
              <w:autoSpaceDE/>
              <w:autoSpaceDN/>
              <w:adjustRightInd/>
              <w:textAlignment w:val="auto"/>
              <w:rPr>
                <w:rFonts w:ascii="Arial" w:hAnsi="Arial" w:cs="Arial"/>
                <w:color w:val="000000"/>
              </w:rPr>
            </w:pPr>
            <w:r w:rsidRPr="000F0D3C">
              <w:rPr>
                <w:rFonts w:ascii="Arial" w:hAnsi="Arial" w:cs="Arial"/>
                <w:color w:val="000000"/>
              </w:rPr>
              <w:t>3,220</w:t>
            </w:r>
          </w:p>
        </w:tc>
        <w:tc>
          <w:tcPr>
            <w:tcW w:w="858" w:type="pct"/>
            <w:shd w:val="clear" w:color="auto" w:fill="auto"/>
            <w:noWrap/>
            <w:hideMark/>
          </w:tcPr>
          <w:p w:rsidR="00C8582A" w:rsidRPr="000F0D3C" w:rsidRDefault="006203C3" w:rsidP="00AB6BF2">
            <w:pPr>
              <w:overflowPunct/>
              <w:autoSpaceDE/>
              <w:autoSpaceDN/>
              <w:adjustRightInd/>
              <w:textAlignment w:val="auto"/>
              <w:rPr>
                <w:rFonts w:ascii="Arial" w:hAnsi="Arial" w:cs="Arial"/>
                <w:color w:val="000000"/>
              </w:rPr>
            </w:pPr>
            <w:r w:rsidRPr="000F0D3C">
              <w:rPr>
                <w:rFonts w:ascii="Arial" w:hAnsi="Arial" w:cs="Arial"/>
                <w:color w:val="000000"/>
              </w:rPr>
              <w:t>537</w:t>
            </w:r>
          </w:p>
        </w:tc>
        <w:tc>
          <w:tcPr>
            <w:tcW w:w="594" w:type="pct"/>
            <w:shd w:val="clear" w:color="auto" w:fill="auto"/>
            <w:noWrap/>
            <w:hideMark/>
          </w:tcPr>
          <w:p w:rsidR="00C8582A" w:rsidRPr="000F0D3C" w:rsidRDefault="006203C3" w:rsidP="00AB6BF2">
            <w:pPr>
              <w:overflowPunct/>
              <w:autoSpaceDE/>
              <w:autoSpaceDN/>
              <w:adjustRightInd/>
              <w:textAlignment w:val="auto"/>
              <w:rPr>
                <w:rFonts w:ascii="Arial" w:hAnsi="Arial" w:cs="Arial"/>
                <w:color w:val="000000"/>
              </w:rPr>
            </w:pPr>
            <w:r w:rsidRPr="000F0D3C">
              <w:rPr>
                <w:rFonts w:ascii="Arial" w:hAnsi="Arial" w:cs="Arial"/>
                <w:color w:val="000000"/>
              </w:rPr>
              <w:t>623</w:t>
            </w:r>
          </w:p>
        </w:tc>
        <w:tc>
          <w:tcPr>
            <w:tcW w:w="724" w:type="pct"/>
          </w:tcPr>
          <w:p w:rsidR="00C8582A" w:rsidRPr="000F0D3C" w:rsidRDefault="006203C3" w:rsidP="00AB6BF2">
            <w:pPr>
              <w:overflowPunct/>
              <w:autoSpaceDE/>
              <w:autoSpaceDN/>
              <w:adjustRightInd/>
              <w:textAlignment w:val="auto"/>
              <w:rPr>
                <w:rFonts w:ascii="Arial" w:hAnsi="Arial" w:cs="Arial"/>
                <w:color w:val="000000"/>
              </w:rPr>
            </w:pPr>
            <w:r w:rsidRPr="000F0D3C">
              <w:rPr>
                <w:rFonts w:ascii="Arial" w:hAnsi="Arial" w:cs="Arial"/>
                <w:color w:val="000000"/>
              </w:rPr>
              <w:t>474</w:t>
            </w:r>
          </w:p>
        </w:tc>
        <w:tc>
          <w:tcPr>
            <w:tcW w:w="545" w:type="pct"/>
            <w:shd w:val="clear" w:color="auto" w:fill="auto"/>
            <w:noWrap/>
            <w:hideMark/>
          </w:tcPr>
          <w:p w:rsidR="00C8582A" w:rsidRPr="000F0D3C" w:rsidRDefault="006203C3" w:rsidP="00C8582A">
            <w:pPr>
              <w:overflowPunct/>
              <w:autoSpaceDE/>
              <w:autoSpaceDN/>
              <w:adjustRightInd/>
              <w:textAlignment w:val="auto"/>
              <w:rPr>
                <w:rFonts w:ascii="Arial" w:hAnsi="Arial" w:cs="Arial"/>
                <w:color w:val="000000"/>
              </w:rPr>
            </w:pPr>
            <w:r w:rsidRPr="000F0D3C">
              <w:rPr>
                <w:rFonts w:ascii="Arial" w:hAnsi="Arial" w:cs="Arial"/>
                <w:color w:val="000000"/>
              </w:rPr>
              <w:t>5,280</w:t>
            </w:r>
          </w:p>
        </w:tc>
      </w:tr>
      <w:tr w:rsidR="008E36FC" w:rsidRPr="000F0D3C" w:rsidTr="001F3074">
        <w:trPr>
          <w:trHeight w:val="255"/>
        </w:trPr>
        <w:tc>
          <w:tcPr>
            <w:tcW w:w="963" w:type="pct"/>
            <w:shd w:val="clear" w:color="auto" w:fill="auto"/>
            <w:noWrap/>
            <w:hideMark/>
          </w:tcPr>
          <w:p w:rsidR="00C8582A" w:rsidRPr="000F0D3C" w:rsidRDefault="00C8582A" w:rsidP="00472178">
            <w:pPr>
              <w:overflowPunct/>
              <w:autoSpaceDE/>
              <w:autoSpaceDN/>
              <w:adjustRightInd/>
              <w:textAlignment w:val="auto"/>
              <w:rPr>
                <w:rFonts w:ascii="Arial" w:hAnsi="Arial" w:cs="Arial"/>
                <w:color w:val="000000"/>
              </w:rPr>
            </w:pPr>
          </w:p>
        </w:tc>
        <w:tc>
          <w:tcPr>
            <w:tcW w:w="725" w:type="pct"/>
            <w:shd w:val="clear" w:color="auto" w:fill="auto"/>
            <w:noWrap/>
            <w:hideMark/>
          </w:tcPr>
          <w:p w:rsidR="00C8582A" w:rsidRPr="000F0D3C" w:rsidRDefault="00C8582A" w:rsidP="00AB6BF2">
            <w:pPr>
              <w:overflowPunct/>
              <w:autoSpaceDE/>
              <w:autoSpaceDN/>
              <w:adjustRightInd/>
              <w:textAlignment w:val="auto"/>
              <w:rPr>
                <w:rFonts w:ascii="Arial" w:hAnsi="Arial" w:cs="Arial"/>
                <w:color w:val="000000"/>
              </w:rPr>
            </w:pPr>
          </w:p>
        </w:tc>
        <w:tc>
          <w:tcPr>
            <w:tcW w:w="590" w:type="pct"/>
            <w:shd w:val="clear" w:color="auto" w:fill="auto"/>
            <w:noWrap/>
            <w:hideMark/>
          </w:tcPr>
          <w:p w:rsidR="00C8582A" w:rsidRPr="000F0D3C" w:rsidRDefault="00C8582A" w:rsidP="00AB6BF2">
            <w:pPr>
              <w:overflowPunct/>
              <w:autoSpaceDE/>
              <w:autoSpaceDN/>
              <w:adjustRightInd/>
              <w:textAlignment w:val="auto"/>
              <w:rPr>
                <w:rFonts w:ascii="Arial" w:hAnsi="Arial" w:cs="Arial"/>
                <w:color w:val="000000"/>
              </w:rPr>
            </w:pPr>
          </w:p>
        </w:tc>
        <w:tc>
          <w:tcPr>
            <w:tcW w:w="858" w:type="pct"/>
            <w:shd w:val="clear" w:color="auto" w:fill="auto"/>
            <w:noWrap/>
            <w:hideMark/>
          </w:tcPr>
          <w:p w:rsidR="00C8582A" w:rsidRPr="000F0D3C" w:rsidRDefault="00C8582A" w:rsidP="00AB6BF2">
            <w:pPr>
              <w:overflowPunct/>
              <w:autoSpaceDE/>
              <w:autoSpaceDN/>
              <w:adjustRightInd/>
              <w:textAlignment w:val="auto"/>
              <w:rPr>
                <w:rFonts w:ascii="Arial" w:hAnsi="Arial" w:cs="Arial"/>
                <w:color w:val="000000"/>
              </w:rPr>
            </w:pPr>
          </w:p>
        </w:tc>
        <w:tc>
          <w:tcPr>
            <w:tcW w:w="594" w:type="pct"/>
            <w:shd w:val="clear" w:color="auto" w:fill="auto"/>
            <w:noWrap/>
            <w:hideMark/>
          </w:tcPr>
          <w:p w:rsidR="00C8582A" w:rsidRPr="000F0D3C" w:rsidRDefault="00C8582A" w:rsidP="00AB6BF2">
            <w:pPr>
              <w:overflowPunct/>
              <w:autoSpaceDE/>
              <w:autoSpaceDN/>
              <w:adjustRightInd/>
              <w:textAlignment w:val="auto"/>
              <w:rPr>
                <w:rFonts w:ascii="Arial" w:hAnsi="Arial" w:cs="Arial"/>
                <w:color w:val="000000"/>
              </w:rPr>
            </w:pPr>
          </w:p>
        </w:tc>
        <w:tc>
          <w:tcPr>
            <w:tcW w:w="724" w:type="pct"/>
          </w:tcPr>
          <w:p w:rsidR="00C8582A" w:rsidRPr="000F0D3C" w:rsidRDefault="00C8582A" w:rsidP="00AB6BF2">
            <w:pPr>
              <w:overflowPunct/>
              <w:autoSpaceDE/>
              <w:autoSpaceDN/>
              <w:adjustRightInd/>
              <w:textAlignment w:val="auto"/>
              <w:rPr>
                <w:rFonts w:ascii="Arial" w:hAnsi="Arial" w:cs="Arial"/>
                <w:color w:val="000000"/>
              </w:rPr>
            </w:pPr>
          </w:p>
        </w:tc>
        <w:tc>
          <w:tcPr>
            <w:tcW w:w="545" w:type="pct"/>
            <w:shd w:val="clear" w:color="auto" w:fill="auto"/>
            <w:noWrap/>
            <w:hideMark/>
          </w:tcPr>
          <w:p w:rsidR="00C8582A" w:rsidRPr="000F0D3C" w:rsidRDefault="00C8582A" w:rsidP="00472178">
            <w:pPr>
              <w:overflowPunct/>
              <w:autoSpaceDE/>
              <w:autoSpaceDN/>
              <w:adjustRightInd/>
              <w:textAlignment w:val="auto"/>
              <w:rPr>
                <w:rFonts w:ascii="Arial" w:hAnsi="Arial" w:cs="Arial"/>
                <w:color w:val="000000"/>
              </w:rPr>
            </w:pPr>
          </w:p>
        </w:tc>
      </w:tr>
      <w:tr w:rsidR="008E36FC" w:rsidRPr="006173D1" w:rsidTr="001F3074">
        <w:trPr>
          <w:trHeight w:val="270"/>
        </w:trPr>
        <w:tc>
          <w:tcPr>
            <w:tcW w:w="963" w:type="pct"/>
            <w:shd w:val="clear" w:color="auto" w:fill="auto"/>
            <w:noWrap/>
            <w:hideMark/>
          </w:tcPr>
          <w:p w:rsidR="00C8582A" w:rsidRPr="000F0D3C" w:rsidRDefault="00C8582A" w:rsidP="00472178">
            <w:pPr>
              <w:overflowPunct/>
              <w:autoSpaceDE/>
              <w:autoSpaceDN/>
              <w:adjustRightInd/>
              <w:textAlignment w:val="auto"/>
              <w:rPr>
                <w:rFonts w:ascii="Arial" w:hAnsi="Arial" w:cs="Arial"/>
                <w:color w:val="000000"/>
              </w:rPr>
            </w:pPr>
            <w:r w:rsidRPr="000F0D3C">
              <w:rPr>
                <w:rFonts w:ascii="Arial" w:hAnsi="Arial" w:cs="Arial"/>
                <w:color w:val="000000"/>
              </w:rPr>
              <w:t xml:space="preserve">Average Cost </w:t>
            </w:r>
          </w:p>
          <w:p w:rsidR="00C8582A" w:rsidRPr="000F0D3C" w:rsidRDefault="00C8582A" w:rsidP="00472178">
            <w:pPr>
              <w:overflowPunct/>
              <w:autoSpaceDE/>
              <w:autoSpaceDN/>
              <w:adjustRightInd/>
              <w:textAlignment w:val="auto"/>
              <w:rPr>
                <w:rFonts w:ascii="Arial" w:hAnsi="Arial" w:cs="Arial"/>
                <w:color w:val="000000"/>
              </w:rPr>
            </w:pPr>
            <w:r w:rsidRPr="000F0D3C">
              <w:rPr>
                <w:rFonts w:ascii="Arial" w:hAnsi="Arial" w:cs="Arial"/>
                <w:color w:val="000000"/>
              </w:rPr>
              <w:t>Per Hour</w:t>
            </w:r>
          </w:p>
        </w:tc>
        <w:tc>
          <w:tcPr>
            <w:tcW w:w="725" w:type="pct"/>
            <w:shd w:val="clear" w:color="auto" w:fill="auto"/>
            <w:noWrap/>
            <w:hideMark/>
          </w:tcPr>
          <w:p w:rsidR="00C8582A" w:rsidRPr="000F0D3C" w:rsidRDefault="00C8582A" w:rsidP="00AB6BF2">
            <w:pPr>
              <w:overflowPunct/>
              <w:autoSpaceDE/>
              <w:autoSpaceDN/>
              <w:adjustRightInd/>
              <w:textAlignment w:val="auto"/>
              <w:rPr>
                <w:rFonts w:ascii="Arial" w:hAnsi="Arial" w:cs="Arial"/>
                <w:color w:val="000000"/>
              </w:rPr>
            </w:pPr>
            <w:r w:rsidRPr="000F0D3C">
              <w:rPr>
                <w:rFonts w:ascii="Arial" w:hAnsi="Arial" w:cs="Arial"/>
                <w:color w:val="000000"/>
              </w:rPr>
              <w:t>$41.81</w:t>
            </w:r>
          </w:p>
        </w:tc>
        <w:tc>
          <w:tcPr>
            <w:tcW w:w="590" w:type="pct"/>
            <w:shd w:val="clear" w:color="auto" w:fill="auto"/>
            <w:noWrap/>
            <w:hideMark/>
          </w:tcPr>
          <w:p w:rsidR="00C8582A" w:rsidRPr="000F0D3C" w:rsidRDefault="00C8582A" w:rsidP="00AB6BF2">
            <w:pPr>
              <w:overflowPunct/>
              <w:autoSpaceDE/>
              <w:autoSpaceDN/>
              <w:adjustRightInd/>
              <w:textAlignment w:val="auto"/>
              <w:rPr>
                <w:rFonts w:ascii="Arial" w:hAnsi="Arial" w:cs="Arial"/>
                <w:color w:val="000000"/>
              </w:rPr>
            </w:pPr>
            <w:r w:rsidRPr="000F0D3C">
              <w:rPr>
                <w:rFonts w:ascii="Arial" w:hAnsi="Arial" w:cs="Arial"/>
                <w:color w:val="000000"/>
              </w:rPr>
              <w:t>$41.81</w:t>
            </w:r>
          </w:p>
        </w:tc>
        <w:tc>
          <w:tcPr>
            <w:tcW w:w="858" w:type="pct"/>
            <w:shd w:val="clear" w:color="auto" w:fill="auto"/>
            <w:noWrap/>
            <w:hideMark/>
          </w:tcPr>
          <w:p w:rsidR="00C8582A" w:rsidRPr="000F0D3C" w:rsidRDefault="00C8582A" w:rsidP="00AB6BF2">
            <w:pPr>
              <w:overflowPunct/>
              <w:autoSpaceDE/>
              <w:autoSpaceDN/>
              <w:adjustRightInd/>
              <w:textAlignment w:val="auto"/>
              <w:rPr>
                <w:rFonts w:ascii="Arial" w:hAnsi="Arial" w:cs="Arial"/>
                <w:color w:val="000000"/>
              </w:rPr>
            </w:pPr>
            <w:r w:rsidRPr="000F0D3C">
              <w:rPr>
                <w:rFonts w:ascii="Arial" w:hAnsi="Arial" w:cs="Arial"/>
                <w:color w:val="000000"/>
              </w:rPr>
              <w:t>$41.81</w:t>
            </w:r>
          </w:p>
        </w:tc>
        <w:tc>
          <w:tcPr>
            <w:tcW w:w="594" w:type="pct"/>
            <w:shd w:val="clear" w:color="auto" w:fill="auto"/>
            <w:noWrap/>
            <w:hideMark/>
          </w:tcPr>
          <w:p w:rsidR="00C8582A" w:rsidRPr="000F0D3C" w:rsidRDefault="00C8582A" w:rsidP="00AB6BF2">
            <w:pPr>
              <w:overflowPunct/>
              <w:autoSpaceDE/>
              <w:autoSpaceDN/>
              <w:adjustRightInd/>
              <w:textAlignment w:val="auto"/>
              <w:rPr>
                <w:rFonts w:ascii="Arial" w:hAnsi="Arial" w:cs="Arial"/>
                <w:color w:val="000000"/>
              </w:rPr>
            </w:pPr>
            <w:r w:rsidRPr="000F0D3C">
              <w:rPr>
                <w:rFonts w:ascii="Arial" w:hAnsi="Arial" w:cs="Arial"/>
                <w:color w:val="000000"/>
              </w:rPr>
              <w:t>$41.81</w:t>
            </w:r>
          </w:p>
        </w:tc>
        <w:tc>
          <w:tcPr>
            <w:tcW w:w="724" w:type="pct"/>
          </w:tcPr>
          <w:p w:rsidR="00C8582A" w:rsidRPr="000F0D3C" w:rsidRDefault="00C8582A" w:rsidP="00AB6BF2">
            <w:pPr>
              <w:overflowPunct/>
              <w:autoSpaceDE/>
              <w:autoSpaceDN/>
              <w:adjustRightInd/>
              <w:textAlignment w:val="auto"/>
              <w:rPr>
                <w:rFonts w:ascii="Arial" w:hAnsi="Arial" w:cs="Arial"/>
                <w:color w:val="000000"/>
              </w:rPr>
            </w:pPr>
            <w:r w:rsidRPr="000F0D3C">
              <w:rPr>
                <w:rFonts w:ascii="Arial" w:hAnsi="Arial" w:cs="Arial"/>
                <w:color w:val="000000"/>
              </w:rPr>
              <w:t>$41.81</w:t>
            </w:r>
          </w:p>
        </w:tc>
        <w:tc>
          <w:tcPr>
            <w:tcW w:w="545" w:type="pct"/>
            <w:shd w:val="clear" w:color="auto" w:fill="auto"/>
            <w:noWrap/>
            <w:hideMark/>
          </w:tcPr>
          <w:p w:rsidR="00C8582A" w:rsidRPr="006173D1" w:rsidRDefault="00C8582A" w:rsidP="00472178">
            <w:pPr>
              <w:overflowPunct/>
              <w:autoSpaceDE/>
              <w:autoSpaceDN/>
              <w:adjustRightInd/>
              <w:textAlignment w:val="auto"/>
              <w:rPr>
                <w:rFonts w:ascii="Arial" w:hAnsi="Arial" w:cs="Arial"/>
                <w:color w:val="000000"/>
              </w:rPr>
            </w:pPr>
          </w:p>
        </w:tc>
      </w:tr>
      <w:tr w:rsidR="008E36FC" w:rsidRPr="006173D1" w:rsidTr="001F3074">
        <w:trPr>
          <w:trHeight w:val="255"/>
        </w:trPr>
        <w:tc>
          <w:tcPr>
            <w:tcW w:w="963" w:type="pct"/>
            <w:shd w:val="clear" w:color="auto" w:fill="auto"/>
            <w:noWrap/>
            <w:hideMark/>
          </w:tcPr>
          <w:p w:rsidR="00C8582A" w:rsidRPr="006173D1" w:rsidRDefault="00C8582A" w:rsidP="00472178">
            <w:pPr>
              <w:overflowPunct/>
              <w:autoSpaceDE/>
              <w:autoSpaceDN/>
              <w:adjustRightInd/>
              <w:textAlignment w:val="auto"/>
              <w:rPr>
                <w:rFonts w:ascii="Arial" w:hAnsi="Arial" w:cs="Arial"/>
                <w:color w:val="000000"/>
              </w:rPr>
            </w:pPr>
          </w:p>
        </w:tc>
        <w:tc>
          <w:tcPr>
            <w:tcW w:w="725" w:type="pct"/>
            <w:shd w:val="clear" w:color="auto" w:fill="auto"/>
            <w:noWrap/>
            <w:hideMark/>
          </w:tcPr>
          <w:p w:rsidR="00C8582A" w:rsidRPr="006173D1" w:rsidRDefault="00C8582A" w:rsidP="00AB6BF2">
            <w:pPr>
              <w:overflowPunct/>
              <w:autoSpaceDE/>
              <w:autoSpaceDN/>
              <w:adjustRightInd/>
              <w:textAlignment w:val="auto"/>
              <w:rPr>
                <w:rFonts w:ascii="Arial" w:hAnsi="Arial" w:cs="Arial"/>
                <w:color w:val="000000"/>
              </w:rPr>
            </w:pPr>
          </w:p>
        </w:tc>
        <w:tc>
          <w:tcPr>
            <w:tcW w:w="590" w:type="pct"/>
            <w:shd w:val="clear" w:color="auto" w:fill="auto"/>
            <w:noWrap/>
            <w:hideMark/>
          </w:tcPr>
          <w:p w:rsidR="00C8582A" w:rsidRPr="006173D1" w:rsidRDefault="00C8582A" w:rsidP="00AB6BF2">
            <w:pPr>
              <w:overflowPunct/>
              <w:autoSpaceDE/>
              <w:autoSpaceDN/>
              <w:adjustRightInd/>
              <w:textAlignment w:val="auto"/>
              <w:rPr>
                <w:rFonts w:ascii="Arial" w:hAnsi="Arial" w:cs="Arial"/>
                <w:color w:val="000000"/>
              </w:rPr>
            </w:pPr>
          </w:p>
        </w:tc>
        <w:tc>
          <w:tcPr>
            <w:tcW w:w="858" w:type="pct"/>
            <w:shd w:val="clear" w:color="auto" w:fill="auto"/>
            <w:noWrap/>
            <w:hideMark/>
          </w:tcPr>
          <w:p w:rsidR="00C8582A" w:rsidRPr="006173D1" w:rsidRDefault="00C8582A" w:rsidP="00AB6BF2">
            <w:pPr>
              <w:overflowPunct/>
              <w:autoSpaceDE/>
              <w:autoSpaceDN/>
              <w:adjustRightInd/>
              <w:textAlignment w:val="auto"/>
              <w:rPr>
                <w:rFonts w:ascii="Arial" w:hAnsi="Arial" w:cs="Arial"/>
                <w:color w:val="000000"/>
              </w:rPr>
            </w:pPr>
          </w:p>
        </w:tc>
        <w:tc>
          <w:tcPr>
            <w:tcW w:w="594" w:type="pct"/>
            <w:shd w:val="clear" w:color="auto" w:fill="auto"/>
            <w:noWrap/>
            <w:hideMark/>
          </w:tcPr>
          <w:p w:rsidR="00C8582A" w:rsidRPr="006173D1" w:rsidRDefault="00C8582A" w:rsidP="00AB6BF2">
            <w:pPr>
              <w:overflowPunct/>
              <w:autoSpaceDE/>
              <w:autoSpaceDN/>
              <w:adjustRightInd/>
              <w:textAlignment w:val="auto"/>
              <w:rPr>
                <w:rFonts w:ascii="Arial" w:hAnsi="Arial" w:cs="Arial"/>
                <w:color w:val="000000"/>
              </w:rPr>
            </w:pPr>
          </w:p>
        </w:tc>
        <w:tc>
          <w:tcPr>
            <w:tcW w:w="724" w:type="pct"/>
          </w:tcPr>
          <w:p w:rsidR="00C8582A" w:rsidRPr="006173D1" w:rsidRDefault="00C8582A" w:rsidP="00AB6BF2">
            <w:pPr>
              <w:overflowPunct/>
              <w:autoSpaceDE/>
              <w:autoSpaceDN/>
              <w:adjustRightInd/>
              <w:textAlignment w:val="auto"/>
              <w:rPr>
                <w:rFonts w:ascii="Arial" w:hAnsi="Arial" w:cs="Arial"/>
                <w:color w:val="000000"/>
              </w:rPr>
            </w:pPr>
          </w:p>
        </w:tc>
        <w:tc>
          <w:tcPr>
            <w:tcW w:w="545" w:type="pct"/>
            <w:shd w:val="clear" w:color="auto" w:fill="auto"/>
            <w:noWrap/>
            <w:hideMark/>
          </w:tcPr>
          <w:p w:rsidR="00C8582A" w:rsidRPr="006173D1" w:rsidRDefault="00C8582A" w:rsidP="00472178">
            <w:pPr>
              <w:overflowPunct/>
              <w:autoSpaceDE/>
              <w:autoSpaceDN/>
              <w:adjustRightInd/>
              <w:textAlignment w:val="auto"/>
              <w:rPr>
                <w:rFonts w:ascii="Arial" w:hAnsi="Arial" w:cs="Arial"/>
                <w:color w:val="000000"/>
              </w:rPr>
            </w:pPr>
          </w:p>
        </w:tc>
      </w:tr>
      <w:tr w:rsidR="008E36FC" w:rsidRPr="006173D1" w:rsidTr="001F3074">
        <w:trPr>
          <w:trHeight w:val="270"/>
        </w:trPr>
        <w:tc>
          <w:tcPr>
            <w:tcW w:w="963" w:type="pct"/>
            <w:shd w:val="clear" w:color="auto" w:fill="auto"/>
            <w:noWrap/>
            <w:hideMark/>
          </w:tcPr>
          <w:p w:rsidR="00C8582A" w:rsidRPr="006173D1" w:rsidRDefault="00C8582A" w:rsidP="009137D2">
            <w:pPr>
              <w:overflowPunct/>
              <w:autoSpaceDE/>
              <w:autoSpaceDN/>
              <w:adjustRightInd/>
              <w:textAlignment w:val="auto"/>
              <w:rPr>
                <w:rFonts w:ascii="Arial" w:hAnsi="Arial" w:cs="Arial"/>
                <w:b/>
                <w:bCs/>
                <w:color w:val="000000"/>
              </w:rPr>
            </w:pPr>
            <w:r w:rsidRPr="006173D1">
              <w:rPr>
                <w:rFonts w:ascii="Arial" w:hAnsi="Arial" w:cs="Arial"/>
                <w:b/>
                <w:bCs/>
                <w:color w:val="000000"/>
              </w:rPr>
              <w:t xml:space="preserve">Total Cost to </w:t>
            </w:r>
            <w:r>
              <w:rPr>
                <w:rFonts w:ascii="Arial" w:hAnsi="Arial" w:cs="Arial"/>
                <w:b/>
                <w:bCs/>
                <w:color w:val="000000"/>
              </w:rPr>
              <w:t>Government</w:t>
            </w:r>
          </w:p>
        </w:tc>
        <w:tc>
          <w:tcPr>
            <w:tcW w:w="725" w:type="pct"/>
            <w:shd w:val="clear" w:color="auto" w:fill="auto"/>
            <w:noWrap/>
            <w:hideMark/>
          </w:tcPr>
          <w:p w:rsidR="00C8582A" w:rsidRPr="006173D1" w:rsidRDefault="00C8582A" w:rsidP="006203C3">
            <w:pPr>
              <w:overflowPunct/>
              <w:autoSpaceDE/>
              <w:autoSpaceDN/>
              <w:adjustRightInd/>
              <w:textAlignment w:val="auto"/>
              <w:rPr>
                <w:rFonts w:ascii="Arial" w:hAnsi="Arial" w:cs="Arial"/>
                <w:color w:val="000000"/>
              </w:rPr>
            </w:pPr>
            <w:r w:rsidRPr="006173D1">
              <w:rPr>
                <w:rFonts w:ascii="Arial" w:hAnsi="Arial" w:cs="Arial"/>
                <w:color w:val="000000"/>
              </w:rPr>
              <w:t>$</w:t>
            </w:r>
            <w:r w:rsidR="006203C3">
              <w:rPr>
                <w:rFonts w:ascii="Arial" w:hAnsi="Arial" w:cs="Arial"/>
                <w:color w:val="000000"/>
              </w:rPr>
              <w:t>17,868</w:t>
            </w:r>
          </w:p>
        </w:tc>
        <w:tc>
          <w:tcPr>
            <w:tcW w:w="590" w:type="pct"/>
            <w:shd w:val="clear" w:color="auto" w:fill="auto"/>
            <w:noWrap/>
            <w:hideMark/>
          </w:tcPr>
          <w:p w:rsidR="00C8582A" w:rsidRPr="006173D1" w:rsidRDefault="00C8582A" w:rsidP="006203C3">
            <w:pPr>
              <w:overflowPunct/>
              <w:autoSpaceDE/>
              <w:autoSpaceDN/>
              <w:adjustRightInd/>
              <w:textAlignment w:val="auto"/>
              <w:rPr>
                <w:rFonts w:ascii="Arial" w:hAnsi="Arial" w:cs="Arial"/>
                <w:color w:val="000000"/>
              </w:rPr>
            </w:pPr>
            <w:r w:rsidRPr="006173D1">
              <w:rPr>
                <w:rFonts w:ascii="Arial" w:hAnsi="Arial" w:cs="Arial"/>
                <w:color w:val="000000"/>
              </w:rPr>
              <w:t>$</w:t>
            </w:r>
            <w:r w:rsidR="006203C3">
              <w:rPr>
                <w:rFonts w:ascii="Arial" w:hAnsi="Arial" w:cs="Arial"/>
                <w:color w:val="000000"/>
              </w:rPr>
              <w:t>134,634</w:t>
            </w:r>
          </w:p>
        </w:tc>
        <w:tc>
          <w:tcPr>
            <w:tcW w:w="858" w:type="pct"/>
            <w:shd w:val="clear" w:color="auto" w:fill="auto"/>
            <w:noWrap/>
            <w:hideMark/>
          </w:tcPr>
          <w:p w:rsidR="00C8582A" w:rsidRPr="006173D1" w:rsidRDefault="00C8582A" w:rsidP="006203C3">
            <w:pPr>
              <w:overflowPunct/>
              <w:autoSpaceDE/>
              <w:autoSpaceDN/>
              <w:adjustRightInd/>
              <w:textAlignment w:val="auto"/>
              <w:rPr>
                <w:rFonts w:ascii="Arial" w:hAnsi="Arial" w:cs="Arial"/>
                <w:color w:val="000000"/>
              </w:rPr>
            </w:pPr>
            <w:r w:rsidRPr="006173D1">
              <w:rPr>
                <w:rFonts w:ascii="Arial" w:hAnsi="Arial" w:cs="Arial"/>
                <w:color w:val="000000"/>
              </w:rPr>
              <w:t>$</w:t>
            </w:r>
            <w:r w:rsidR="006203C3">
              <w:rPr>
                <w:rFonts w:ascii="Arial" w:hAnsi="Arial" w:cs="Arial"/>
                <w:color w:val="000000"/>
              </w:rPr>
              <w:t>22,431</w:t>
            </w:r>
          </w:p>
        </w:tc>
        <w:tc>
          <w:tcPr>
            <w:tcW w:w="594" w:type="pct"/>
            <w:shd w:val="clear" w:color="auto" w:fill="auto"/>
            <w:noWrap/>
            <w:hideMark/>
          </w:tcPr>
          <w:p w:rsidR="00C8582A" w:rsidRPr="006173D1" w:rsidRDefault="00C8582A" w:rsidP="006203C3">
            <w:pPr>
              <w:overflowPunct/>
              <w:autoSpaceDE/>
              <w:autoSpaceDN/>
              <w:adjustRightInd/>
              <w:textAlignment w:val="auto"/>
              <w:rPr>
                <w:rFonts w:ascii="Arial" w:hAnsi="Arial" w:cs="Arial"/>
                <w:color w:val="000000"/>
              </w:rPr>
            </w:pPr>
            <w:r w:rsidRPr="006173D1">
              <w:rPr>
                <w:rFonts w:ascii="Arial" w:hAnsi="Arial" w:cs="Arial"/>
                <w:color w:val="000000"/>
              </w:rPr>
              <w:t>$</w:t>
            </w:r>
            <w:r w:rsidR="006203C3">
              <w:rPr>
                <w:rFonts w:ascii="Arial" w:hAnsi="Arial" w:cs="Arial"/>
                <w:color w:val="000000"/>
              </w:rPr>
              <w:t>26,036</w:t>
            </w:r>
          </w:p>
        </w:tc>
        <w:tc>
          <w:tcPr>
            <w:tcW w:w="724" w:type="pct"/>
          </w:tcPr>
          <w:p w:rsidR="00C8582A" w:rsidRPr="006173D1" w:rsidRDefault="00C8582A" w:rsidP="006203C3">
            <w:pPr>
              <w:overflowPunct/>
              <w:autoSpaceDE/>
              <w:autoSpaceDN/>
              <w:adjustRightInd/>
              <w:textAlignment w:val="auto"/>
              <w:rPr>
                <w:rFonts w:ascii="Arial" w:hAnsi="Arial" w:cs="Arial"/>
                <w:color w:val="000000"/>
              </w:rPr>
            </w:pPr>
            <w:r>
              <w:rPr>
                <w:rFonts w:ascii="Arial" w:hAnsi="Arial" w:cs="Arial"/>
                <w:color w:val="000000"/>
              </w:rPr>
              <w:t>$</w:t>
            </w:r>
            <w:r w:rsidR="006203C3">
              <w:rPr>
                <w:rFonts w:ascii="Arial" w:hAnsi="Arial" w:cs="Arial"/>
                <w:color w:val="000000"/>
              </w:rPr>
              <w:t>19,799</w:t>
            </w:r>
          </w:p>
        </w:tc>
        <w:tc>
          <w:tcPr>
            <w:tcW w:w="545" w:type="pct"/>
            <w:shd w:val="clear" w:color="auto" w:fill="auto"/>
            <w:noWrap/>
            <w:hideMark/>
          </w:tcPr>
          <w:p w:rsidR="00C8582A" w:rsidRPr="006173D1" w:rsidRDefault="00C8582A" w:rsidP="006203C3">
            <w:pPr>
              <w:overflowPunct/>
              <w:autoSpaceDE/>
              <w:autoSpaceDN/>
              <w:adjustRightInd/>
              <w:textAlignment w:val="auto"/>
              <w:rPr>
                <w:rFonts w:ascii="Arial" w:hAnsi="Arial" w:cs="Arial"/>
                <w:color w:val="000000"/>
              </w:rPr>
            </w:pPr>
            <w:r w:rsidRPr="006173D1">
              <w:rPr>
                <w:rFonts w:ascii="Arial" w:hAnsi="Arial" w:cs="Arial"/>
                <w:color w:val="000000"/>
              </w:rPr>
              <w:t>$</w:t>
            </w:r>
            <w:r w:rsidR="006203C3">
              <w:rPr>
                <w:rFonts w:ascii="Arial" w:hAnsi="Arial" w:cs="Arial"/>
                <w:color w:val="000000"/>
              </w:rPr>
              <w:t>220,767</w:t>
            </w:r>
          </w:p>
        </w:tc>
      </w:tr>
      <w:tr w:rsidR="008E36FC" w:rsidRPr="006173D1" w:rsidTr="001F3074">
        <w:trPr>
          <w:trHeight w:val="255"/>
        </w:trPr>
        <w:tc>
          <w:tcPr>
            <w:tcW w:w="963" w:type="pct"/>
            <w:shd w:val="clear" w:color="auto" w:fill="auto"/>
            <w:noWrap/>
            <w:hideMark/>
          </w:tcPr>
          <w:p w:rsidR="00C8582A" w:rsidRPr="006173D1" w:rsidRDefault="00C8582A" w:rsidP="00472178">
            <w:pPr>
              <w:overflowPunct/>
              <w:autoSpaceDE/>
              <w:autoSpaceDN/>
              <w:adjustRightInd/>
              <w:textAlignment w:val="auto"/>
              <w:rPr>
                <w:rFonts w:ascii="Arial" w:hAnsi="Arial" w:cs="Arial"/>
                <w:color w:val="000000"/>
              </w:rPr>
            </w:pPr>
          </w:p>
        </w:tc>
        <w:tc>
          <w:tcPr>
            <w:tcW w:w="725" w:type="pct"/>
            <w:shd w:val="clear" w:color="auto" w:fill="auto"/>
            <w:noWrap/>
            <w:hideMark/>
          </w:tcPr>
          <w:p w:rsidR="00C8582A" w:rsidRPr="006173D1" w:rsidRDefault="00C8582A" w:rsidP="00AB6BF2">
            <w:pPr>
              <w:overflowPunct/>
              <w:autoSpaceDE/>
              <w:autoSpaceDN/>
              <w:adjustRightInd/>
              <w:textAlignment w:val="auto"/>
              <w:rPr>
                <w:rFonts w:ascii="Arial" w:hAnsi="Arial" w:cs="Arial"/>
                <w:color w:val="000000"/>
              </w:rPr>
            </w:pPr>
          </w:p>
        </w:tc>
        <w:tc>
          <w:tcPr>
            <w:tcW w:w="590" w:type="pct"/>
            <w:shd w:val="clear" w:color="auto" w:fill="auto"/>
            <w:noWrap/>
            <w:hideMark/>
          </w:tcPr>
          <w:p w:rsidR="00C8582A" w:rsidRPr="006173D1" w:rsidRDefault="00C8582A" w:rsidP="00AB6BF2">
            <w:pPr>
              <w:overflowPunct/>
              <w:autoSpaceDE/>
              <w:autoSpaceDN/>
              <w:adjustRightInd/>
              <w:textAlignment w:val="auto"/>
              <w:rPr>
                <w:rFonts w:ascii="Arial" w:hAnsi="Arial" w:cs="Arial"/>
                <w:color w:val="000000"/>
              </w:rPr>
            </w:pPr>
          </w:p>
        </w:tc>
        <w:tc>
          <w:tcPr>
            <w:tcW w:w="858" w:type="pct"/>
            <w:shd w:val="clear" w:color="auto" w:fill="auto"/>
            <w:noWrap/>
            <w:hideMark/>
          </w:tcPr>
          <w:p w:rsidR="00C8582A" w:rsidRPr="006173D1" w:rsidRDefault="00C8582A" w:rsidP="00AB6BF2">
            <w:pPr>
              <w:overflowPunct/>
              <w:autoSpaceDE/>
              <w:autoSpaceDN/>
              <w:adjustRightInd/>
              <w:textAlignment w:val="auto"/>
              <w:rPr>
                <w:rFonts w:ascii="Arial" w:hAnsi="Arial" w:cs="Arial"/>
                <w:color w:val="000000"/>
              </w:rPr>
            </w:pPr>
          </w:p>
        </w:tc>
        <w:tc>
          <w:tcPr>
            <w:tcW w:w="594" w:type="pct"/>
            <w:shd w:val="clear" w:color="auto" w:fill="auto"/>
            <w:noWrap/>
            <w:hideMark/>
          </w:tcPr>
          <w:p w:rsidR="00C8582A" w:rsidRPr="006173D1" w:rsidRDefault="00C8582A" w:rsidP="00AB6BF2">
            <w:pPr>
              <w:overflowPunct/>
              <w:autoSpaceDE/>
              <w:autoSpaceDN/>
              <w:adjustRightInd/>
              <w:textAlignment w:val="auto"/>
              <w:rPr>
                <w:rFonts w:ascii="Arial" w:hAnsi="Arial" w:cs="Arial"/>
                <w:color w:val="000000"/>
              </w:rPr>
            </w:pPr>
          </w:p>
        </w:tc>
        <w:tc>
          <w:tcPr>
            <w:tcW w:w="724" w:type="pct"/>
          </w:tcPr>
          <w:p w:rsidR="00C8582A" w:rsidRPr="006173D1" w:rsidRDefault="00C8582A" w:rsidP="00472178">
            <w:pPr>
              <w:overflowPunct/>
              <w:autoSpaceDE/>
              <w:autoSpaceDN/>
              <w:adjustRightInd/>
              <w:textAlignment w:val="auto"/>
              <w:rPr>
                <w:rFonts w:ascii="Arial" w:hAnsi="Arial" w:cs="Arial"/>
                <w:color w:val="000000"/>
              </w:rPr>
            </w:pPr>
          </w:p>
        </w:tc>
        <w:tc>
          <w:tcPr>
            <w:tcW w:w="545" w:type="pct"/>
            <w:shd w:val="clear" w:color="auto" w:fill="auto"/>
            <w:noWrap/>
            <w:hideMark/>
          </w:tcPr>
          <w:p w:rsidR="00C8582A" w:rsidRPr="006173D1" w:rsidRDefault="00C8582A" w:rsidP="00472178">
            <w:pPr>
              <w:overflowPunct/>
              <w:autoSpaceDE/>
              <w:autoSpaceDN/>
              <w:adjustRightInd/>
              <w:textAlignment w:val="auto"/>
              <w:rPr>
                <w:rFonts w:ascii="Arial" w:hAnsi="Arial" w:cs="Arial"/>
                <w:color w:val="000000"/>
              </w:rPr>
            </w:pPr>
          </w:p>
        </w:tc>
      </w:tr>
    </w:tbl>
    <w:p w:rsidR="00A258D6" w:rsidRDefault="00A258D6" w:rsidP="00A258D6">
      <w:pPr>
        <w:numPr>
          <w:ilvl w:val="12"/>
          <w:numId w:val="0"/>
        </w:numPr>
        <w:rPr>
          <w:sz w:val="24"/>
        </w:rPr>
      </w:pPr>
    </w:p>
    <w:p w:rsidR="00A258D6" w:rsidRDefault="00A258D6" w:rsidP="00A258D6">
      <w:pPr>
        <w:numPr>
          <w:ilvl w:val="12"/>
          <w:numId w:val="0"/>
        </w:numPr>
        <w:rPr>
          <w:sz w:val="24"/>
        </w:rPr>
      </w:pPr>
    </w:p>
    <w:p w:rsidR="00A258D6" w:rsidRDefault="00A258D6" w:rsidP="00A258D6">
      <w:pPr>
        <w:tabs>
          <w:tab w:val="right" w:leader="dot" w:pos="7200"/>
        </w:tabs>
        <w:rPr>
          <w:sz w:val="24"/>
        </w:rPr>
      </w:pPr>
      <w:r w:rsidRPr="00A258D6">
        <w:rPr>
          <w:sz w:val="24"/>
        </w:rPr>
        <w:t>Estimated respondents per year</w:t>
      </w:r>
      <w:r w:rsidRPr="00A258D6">
        <w:rPr>
          <w:sz w:val="24"/>
        </w:rPr>
        <w:tab/>
      </w:r>
      <w:r w:rsidR="003D4058">
        <w:rPr>
          <w:sz w:val="24"/>
        </w:rPr>
        <w:t>544</w:t>
      </w:r>
    </w:p>
    <w:p w:rsidR="00C8582A" w:rsidRDefault="00C8582A" w:rsidP="00A258D6">
      <w:pPr>
        <w:tabs>
          <w:tab w:val="right" w:leader="dot" w:pos="7200"/>
        </w:tabs>
        <w:rPr>
          <w:sz w:val="24"/>
        </w:rPr>
      </w:pPr>
      <w:r>
        <w:rPr>
          <w:sz w:val="24"/>
        </w:rPr>
        <w:t>Estimated responses per respondent (weighted average)</w:t>
      </w:r>
      <w:r>
        <w:rPr>
          <w:sz w:val="24"/>
        </w:rPr>
        <w:tab/>
        <w:t>2.</w:t>
      </w:r>
      <w:r w:rsidR="003D4058">
        <w:rPr>
          <w:sz w:val="24"/>
        </w:rPr>
        <w:t>98</w:t>
      </w:r>
    </w:p>
    <w:p w:rsidR="00C8582A" w:rsidRPr="00A258D6" w:rsidRDefault="00C8582A" w:rsidP="00A258D6">
      <w:pPr>
        <w:tabs>
          <w:tab w:val="right" w:leader="dot" w:pos="7200"/>
        </w:tabs>
        <w:rPr>
          <w:sz w:val="24"/>
        </w:rPr>
      </w:pPr>
      <w:r>
        <w:rPr>
          <w:sz w:val="24"/>
        </w:rPr>
        <w:t>Estimated total responses</w:t>
      </w:r>
      <w:r>
        <w:rPr>
          <w:sz w:val="24"/>
        </w:rPr>
        <w:tab/>
      </w:r>
      <w:r w:rsidR="003D4058">
        <w:rPr>
          <w:sz w:val="24"/>
        </w:rPr>
        <w:t>1,623</w:t>
      </w:r>
    </w:p>
    <w:p w:rsidR="00A258D6" w:rsidRPr="00A258D6" w:rsidRDefault="009137D2" w:rsidP="00A258D6">
      <w:pPr>
        <w:tabs>
          <w:tab w:val="right" w:leader="dot" w:pos="7200"/>
        </w:tabs>
        <w:rPr>
          <w:sz w:val="24"/>
        </w:rPr>
      </w:pPr>
      <w:r>
        <w:rPr>
          <w:sz w:val="24"/>
        </w:rPr>
        <w:t>Review time</w:t>
      </w:r>
      <w:r w:rsidR="00A258D6" w:rsidRPr="00A258D6">
        <w:rPr>
          <w:sz w:val="24"/>
        </w:rPr>
        <w:t xml:space="preserve"> per response (weighted average)</w:t>
      </w:r>
      <w:r w:rsidR="00A258D6" w:rsidRPr="00A258D6">
        <w:rPr>
          <w:sz w:val="24"/>
        </w:rPr>
        <w:tab/>
      </w:r>
      <w:r w:rsidR="007F16C0">
        <w:rPr>
          <w:sz w:val="24"/>
        </w:rPr>
        <w:t>3.25</w:t>
      </w:r>
    </w:p>
    <w:p w:rsidR="00A258D6" w:rsidRPr="00A258D6" w:rsidRDefault="009137D2" w:rsidP="00A258D6">
      <w:pPr>
        <w:tabs>
          <w:tab w:val="right" w:leader="dot" w:pos="7200"/>
        </w:tabs>
        <w:rPr>
          <w:sz w:val="24"/>
        </w:rPr>
      </w:pPr>
      <w:r>
        <w:rPr>
          <w:sz w:val="24"/>
        </w:rPr>
        <w:t>Total review time</w:t>
      </w:r>
      <w:r w:rsidR="00A258D6" w:rsidRPr="00A258D6">
        <w:rPr>
          <w:sz w:val="24"/>
        </w:rPr>
        <w:tab/>
      </w:r>
      <w:r w:rsidR="007F16C0">
        <w:rPr>
          <w:sz w:val="24"/>
        </w:rPr>
        <w:t>5,280</w:t>
      </w:r>
    </w:p>
    <w:p w:rsidR="00A258D6" w:rsidRPr="00A258D6" w:rsidRDefault="00A258D6" w:rsidP="00A258D6">
      <w:pPr>
        <w:tabs>
          <w:tab w:val="right" w:leader="dot" w:pos="7200"/>
        </w:tabs>
        <w:rPr>
          <w:sz w:val="24"/>
          <w:u w:val="single"/>
        </w:rPr>
      </w:pPr>
      <w:r w:rsidRPr="00A258D6">
        <w:rPr>
          <w:sz w:val="24"/>
        </w:rPr>
        <w:t>Cost per hour</w:t>
      </w:r>
      <w:r w:rsidRPr="00A258D6">
        <w:rPr>
          <w:sz w:val="24"/>
        </w:rPr>
        <w:tab/>
        <w:t>$</w:t>
      </w:r>
      <w:r w:rsidR="009137D2">
        <w:rPr>
          <w:sz w:val="24"/>
        </w:rPr>
        <w:t>4</w:t>
      </w:r>
      <w:r w:rsidRPr="00A258D6">
        <w:rPr>
          <w:sz w:val="24"/>
        </w:rPr>
        <w:t>1.</w:t>
      </w:r>
      <w:r w:rsidR="009137D2">
        <w:rPr>
          <w:sz w:val="24"/>
        </w:rPr>
        <w:t>8</w:t>
      </w:r>
      <w:r w:rsidRPr="00A258D6">
        <w:rPr>
          <w:sz w:val="24"/>
        </w:rPr>
        <w:t>1</w:t>
      </w:r>
    </w:p>
    <w:p w:rsidR="00A258D6" w:rsidRPr="008C360C" w:rsidRDefault="009137D2" w:rsidP="00A258D6">
      <w:pPr>
        <w:tabs>
          <w:tab w:val="right" w:leader="dot" w:pos="7200"/>
        </w:tabs>
        <w:rPr>
          <w:sz w:val="24"/>
        </w:rPr>
      </w:pPr>
      <w:r>
        <w:rPr>
          <w:sz w:val="24"/>
        </w:rPr>
        <w:t>Total Annual Government Cost</w:t>
      </w:r>
      <w:r w:rsidR="00A258D6" w:rsidRPr="00A258D6">
        <w:rPr>
          <w:sz w:val="24"/>
        </w:rPr>
        <w:tab/>
        <w:t>$</w:t>
      </w:r>
      <w:r w:rsidR="007F16C0">
        <w:rPr>
          <w:sz w:val="24"/>
        </w:rPr>
        <w:t>220,767</w:t>
      </w:r>
    </w:p>
    <w:p w:rsidR="00A258D6" w:rsidRDefault="00A258D6" w:rsidP="00A258D6">
      <w:pPr>
        <w:numPr>
          <w:ilvl w:val="12"/>
          <w:numId w:val="0"/>
        </w:numPr>
        <w:rPr>
          <w:sz w:val="24"/>
        </w:rPr>
      </w:pPr>
    </w:p>
    <w:p w:rsidR="00A83E7D" w:rsidRDefault="00A83E7D">
      <w:pPr>
        <w:rPr>
          <w:sz w:val="24"/>
        </w:rPr>
      </w:pPr>
    </w:p>
    <w:p w:rsidR="00EA6C6B" w:rsidRDefault="00EA6C6B" w:rsidP="00EA6C6B">
      <w:pPr>
        <w:rPr>
          <w:b/>
          <w:sz w:val="24"/>
        </w:rPr>
      </w:pPr>
      <w:r w:rsidRPr="00C85211">
        <w:rPr>
          <w:b/>
          <w:bCs/>
          <w:sz w:val="24"/>
        </w:rPr>
        <w:t>15.</w:t>
      </w:r>
      <w:r w:rsidRPr="00C85211">
        <w:rPr>
          <w:b/>
          <w:sz w:val="24"/>
        </w:rPr>
        <w:t xml:space="preserve">  </w:t>
      </w:r>
      <w:r>
        <w:rPr>
          <w:b/>
          <w:sz w:val="24"/>
        </w:rPr>
        <w:t>Explain the reasons for any program changes or adjustments reported.</w:t>
      </w:r>
    </w:p>
    <w:p w:rsidR="00EA6C6B" w:rsidRDefault="00EA6C6B">
      <w:pPr>
        <w:rPr>
          <w:sz w:val="24"/>
        </w:rPr>
      </w:pPr>
    </w:p>
    <w:p w:rsidR="00AA6B9F" w:rsidRPr="000F0D3C" w:rsidRDefault="00D46024" w:rsidP="00AA6B9F">
      <w:pPr>
        <w:rPr>
          <w:sz w:val="24"/>
          <w:szCs w:val="24"/>
        </w:rPr>
      </w:pPr>
      <w:r w:rsidRPr="001260B3">
        <w:rPr>
          <w:sz w:val="24"/>
        </w:rPr>
        <w:t>The estimated burden to the public</w:t>
      </w:r>
      <w:r w:rsidR="00D451F5" w:rsidRPr="001260B3">
        <w:rPr>
          <w:sz w:val="24"/>
        </w:rPr>
        <w:t xml:space="preserve"> and the estimated cost to the Government</w:t>
      </w:r>
      <w:r w:rsidRPr="001260B3">
        <w:rPr>
          <w:sz w:val="24"/>
        </w:rPr>
        <w:t xml:space="preserve"> ha</w:t>
      </w:r>
      <w:r w:rsidR="00D451F5" w:rsidRPr="001260B3">
        <w:rPr>
          <w:sz w:val="24"/>
        </w:rPr>
        <w:t>ve</w:t>
      </w:r>
      <w:r w:rsidRPr="001260B3">
        <w:rPr>
          <w:sz w:val="24"/>
        </w:rPr>
        <w:t xml:space="preserve"> changed.</w:t>
      </w:r>
      <w:r w:rsidR="00D451F5" w:rsidRPr="001260B3">
        <w:rPr>
          <w:sz w:val="24"/>
        </w:rPr>
        <w:t xml:space="preserve">  </w:t>
      </w:r>
      <w:r w:rsidRPr="001260B3">
        <w:rPr>
          <w:sz w:val="24"/>
        </w:rPr>
        <w:t xml:space="preserve">  The number of projects and offers per project has increased since the last information collection renewal.  In addition, the cost</w:t>
      </w:r>
      <w:r w:rsidR="00D451F5" w:rsidRPr="001260B3">
        <w:rPr>
          <w:sz w:val="24"/>
        </w:rPr>
        <w:t>s</w:t>
      </w:r>
      <w:r w:rsidRPr="001260B3">
        <w:rPr>
          <w:sz w:val="24"/>
        </w:rPr>
        <w:t xml:space="preserve"> per hour used for the calculation</w:t>
      </w:r>
      <w:r w:rsidR="00D451F5" w:rsidRPr="001260B3">
        <w:rPr>
          <w:sz w:val="24"/>
        </w:rPr>
        <w:t>s</w:t>
      </w:r>
      <w:r w:rsidRPr="001260B3">
        <w:rPr>
          <w:sz w:val="24"/>
        </w:rPr>
        <w:t xml:space="preserve"> w</w:t>
      </w:r>
      <w:r w:rsidR="00D451F5" w:rsidRPr="001260B3">
        <w:rPr>
          <w:sz w:val="24"/>
        </w:rPr>
        <w:t>ere</w:t>
      </w:r>
      <w:r w:rsidRPr="001260B3">
        <w:rPr>
          <w:sz w:val="24"/>
        </w:rPr>
        <w:t xml:space="preserve"> increased to reflect current wage rates.</w:t>
      </w:r>
      <w:r w:rsidR="00A37CF3" w:rsidRPr="001260B3">
        <w:rPr>
          <w:sz w:val="24"/>
        </w:rPr>
        <w:t xml:space="preserve">  </w:t>
      </w:r>
      <w:r w:rsidR="00AA6B9F" w:rsidRPr="000F0D3C">
        <w:rPr>
          <w:sz w:val="24"/>
          <w:szCs w:val="24"/>
        </w:rPr>
        <w:t>The estimated number of respondents is based on the number of projects and number of offers received per project for the different lease models in 2015</w:t>
      </w:r>
      <w:r w:rsidR="00CF2C7F">
        <w:rPr>
          <w:sz w:val="24"/>
          <w:szCs w:val="24"/>
        </w:rPr>
        <w:t xml:space="preserve"> that decreased</w:t>
      </w:r>
      <w:r w:rsidR="00AA6B9F" w:rsidRPr="000F0D3C">
        <w:rPr>
          <w:sz w:val="24"/>
          <w:szCs w:val="24"/>
        </w:rPr>
        <w:t>.</w:t>
      </w:r>
    </w:p>
    <w:p w:rsidR="00AA6B9F" w:rsidRPr="000F0D3C" w:rsidRDefault="00AA6B9F" w:rsidP="00AA6B9F">
      <w:pPr>
        <w:rPr>
          <w:sz w:val="24"/>
          <w:szCs w:val="24"/>
        </w:rPr>
      </w:pPr>
    </w:p>
    <w:p w:rsidR="00AA6B9F" w:rsidRPr="000F0D3C" w:rsidRDefault="00AA6B9F" w:rsidP="00AA6B9F">
      <w:pPr>
        <w:rPr>
          <w:sz w:val="24"/>
          <w:szCs w:val="24"/>
        </w:rPr>
      </w:pPr>
      <w:r w:rsidRPr="000F0D3C">
        <w:rPr>
          <w:sz w:val="24"/>
          <w:szCs w:val="24"/>
        </w:rPr>
        <w:t>The burden hours are based on the number of preparation hours estimated per offer to complete the forms associated with the different lease models in 2015.  The burden hours estimated includes the time for reviewing instructions, search existing data sources, gathering and maintaining the data needed, and completing and reviewing various responses.</w:t>
      </w:r>
    </w:p>
    <w:p w:rsidR="00AA6B9F" w:rsidRPr="000F0D3C" w:rsidRDefault="00AA6B9F" w:rsidP="00AA6B9F">
      <w:pPr>
        <w:rPr>
          <w:sz w:val="24"/>
          <w:szCs w:val="24"/>
        </w:rPr>
      </w:pPr>
    </w:p>
    <w:p w:rsidR="00D46024" w:rsidRDefault="00A37CF3" w:rsidP="00D46024">
      <w:pPr>
        <w:rPr>
          <w:sz w:val="24"/>
        </w:rPr>
      </w:pPr>
      <w:r w:rsidRPr="001260B3">
        <w:rPr>
          <w:sz w:val="24"/>
        </w:rPr>
        <w:t>Finally</w:t>
      </w:r>
      <w:r>
        <w:rPr>
          <w:sz w:val="24"/>
        </w:rPr>
        <w:t>, t</w:t>
      </w:r>
      <w:r w:rsidRPr="00A37CF3">
        <w:rPr>
          <w:sz w:val="24"/>
        </w:rPr>
        <w:t>he GSA Form 1217 was not included in the previous information collection.  The previous omission was an error that is corrected by inclusion in this information collection request.</w:t>
      </w:r>
    </w:p>
    <w:p w:rsidR="001B7B91" w:rsidRPr="001B7B91" w:rsidRDefault="001B7B91">
      <w:pPr>
        <w:rPr>
          <w:sz w:val="24"/>
          <w:szCs w:val="24"/>
        </w:rPr>
      </w:pPr>
    </w:p>
    <w:p w:rsidR="001B7B91" w:rsidRPr="001B7B91" w:rsidRDefault="001B7B91" w:rsidP="001B7B91">
      <w:pPr>
        <w:rPr>
          <w:b/>
          <w:sz w:val="24"/>
          <w:szCs w:val="24"/>
        </w:rPr>
      </w:pPr>
      <w:r w:rsidRPr="001B7B91">
        <w:rPr>
          <w:b/>
          <w:bCs/>
          <w:sz w:val="24"/>
          <w:szCs w:val="24"/>
        </w:rPr>
        <w:t>16.</w:t>
      </w:r>
      <w:r w:rsidRPr="001B7B91">
        <w:rPr>
          <w:b/>
          <w:sz w:val="24"/>
          <w:szCs w:val="24"/>
        </w:rPr>
        <w:t xml:space="preserve">  For collections of information whose results will be published, outline plans for tabulation and publication. </w:t>
      </w:r>
    </w:p>
    <w:p w:rsidR="001B7B91" w:rsidRPr="001B7B91" w:rsidRDefault="001B7B91" w:rsidP="001B7B91">
      <w:pPr>
        <w:tabs>
          <w:tab w:val="center" w:pos="0"/>
        </w:tabs>
        <w:rPr>
          <w:sz w:val="24"/>
          <w:szCs w:val="24"/>
        </w:rPr>
      </w:pPr>
    </w:p>
    <w:p w:rsidR="00A83E7D" w:rsidRDefault="00A83E7D" w:rsidP="001B7B91">
      <w:pPr>
        <w:tabs>
          <w:tab w:val="center" w:pos="0"/>
        </w:tabs>
        <w:rPr>
          <w:sz w:val="24"/>
        </w:rPr>
      </w:pPr>
      <w:r w:rsidRPr="001B7B91">
        <w:rPr>
          <w:sz w:val="24"/>
          <w:szCs w:val="24"/>
        </w:rPr>
        <w:t>Results</w:t>
      </w:r>
      <w:r w:rsidRPr="00F65B5E">
        <w:rPr>
          <w:sz w:val="24"/>
        </w:rPr>
        <w:t xml:space="preserve"> </w:t>
      </w:r>
      <w:r w:rsidR="001B7B91">
        <w:rPr>
          <w:sz w:val="24"/>
        </w:rPr>
        <w:t xml:space="preserve">of this collection </w:t>
      </w:r>
      <w:r w:rsidRPr="00F65B5E">
        <w:rPr>
          <w:sz w:val="24"/>
        </w:rPr>
        <w:t xml:space="preserve">will not be tabulated or published.  </w:t>
      </w:r>
      <w:r w:rsidR="001B7B91">
        <w:rPr>
          <w:sz w:val="24"/>
        </w:rPr>
        <w:t>Information</w:t>
      </w:r>
      <w:r w:rsidRPr="00F65B5E">
        <w:rPr>
          <w:sz w:val="24"/>
        </w:rPr>
        <w:t xml:space="preserve"> collected will be used for internal administration of contracts. </w:t>
      </w:r>
    </w:p>
    <w:p w:rsidR="004C54EC" w:rsidRDefault="004C54EC" w:rsidP="001B7B91">
      <w:pPr>
        <w:tabs>
          <w:tab w:val="center" w:pos="0"/>
        </w:tabs>
        <w:rPr>
          <w:sz w:val="24"/>
        </w:rPr>
      </w:pPr>
    </w:p>
    <w:p w:rsidR="004C54EC" w:rsidRPr="004C54EC" w:rsidRDefault="004C54EC" w:rsidP="004C54EC">
      <w:pPr>
        <w:tabs>
          <w:tab w:val="center" w:pos="0"/>
        </w:tabs>
        <w:rPr>
          <w:b/>
          <w:sz w:val="24"/>
        </w:rPr>
      </w:pPr>
      <w:r w:rsidRPr="004C54EC">
        <w:rPr>
          <w:b/>
          <w:sz w:val="24"/>
        </w:rPr>
        <w:t>17.  If seeking approval to not display the expiration date for OMB approval of the information collection, explain the reasons that display would be inappropriate.</w:t>
      </w:r>
    </w:p>
    <w:p w:rsidR="004C54EC" w:rsidRPr="004C54EC" w:rsidRDefault="004C54EC" w:rsidP="004C54EC">
      <w:pPr>
        <w:tabs>
          <w:tab w:val="center" w:pos="0"/>
        </w:tabs>
        <w:rPr>
          <w:sz w:val="24"/>
        </w:rPr>
      </w:pPr>
    </w:p>
    <w:p w:rsidR="004C54EC" w:rsidRPr="004C54EC" w:rsidRDefault="004C54EC" w:rsidP="004C54EC">
      <w:pPr>
        <w:tabs>
          <w:tab w:val="center" w:pos="0"/>
        </w:tabs>
        <w:rPr>
          <w:sz w:val="24"/>
        </w:rPr>
      </w:pPr>
      <w:r w:rsidRPr="004C54EC">
        <w:rPr>
          <w:sz w:val="24"/>
        </w:rPr>
        <w:t>Not applicable.</w:t>
      </w:r>
    </w:p>
    <w:p w:rsidR="004C54EC" w:rsidRPr="004C54EC" w:rsidRDefault="004C54EC" w:rsidP="004C54EC">
      <w:pPr>
        <w:tabs>
          <w:tab w:val="center" w:pos="0"/>
        </w:tabs>
        <w:rPr>
          <w:sz w:val="24"/>
        </w:rPr>
      </w:pPr>
    </w:p>
    <w:p w:rsidR="004C54EC" w:rsidRPr="004C54EC" w:rsidRDefault="004C54EC" w:rsidP="004C54EC">
      <w:pPr>
        <w:tabs>
          <w:tab w:val="center" w:pos="0"/>
        </w:tabs>
        <w:rPr>
          <w:b/>
          <w:sz w:val="24"/>
        </w:rPr>
      </w:pPr>
      <w:r w:rsidRPr="004C54EC">
        <w:rPr>
          <w:b/>
          <w:sz w:val="24"/>
        </w:rPr>
        <w:t xml:space="preserve">18.  Explain each exception to the certification statement identified in the “Certification for Paperwork Reduction Act Submissions”.  </w:t>
      </w:r>
    </w:p>
    <w:p w:rsidR="004C54EC" w:rsidRPr="004C54EC" w:rsidRDefault="004C54EC" w:rsidP="004C54EC">
      <w:pPr>
        <w:tabs>
          <w:tab w:val="center" w:pos="0"/>
        </w:tabs>
        <w:rPr>
          <w:sz w:val="24"/>
        </w:rPr>
      </w:pPr>
    </w:p>
    <w:p w:rsidR="004C54EC" w:rsidRPr="004C54EC" w:rsidRDefault="004C54EC" w:rsidP="004C54EC">
      <w:pPr>
        <w:tabs>
          <w:tab w:val="center" w:pos="0"/>
        </w:tabs>
        <w:rPr>
          <w:sz w:val="24"/>
        </w:rPr>
      </w:pPr>
      <w:r w:rsidRPr="004C54EC">
        <w:rPr>
          <w:sz w:val="24"/>
        </w:rPr>
        <w:t>Not applicable.</w:t>
      </w:r>
    </w:p>
    <w:p w:rsidR="00A83E7D" w:rsidRDefault="00A83E7D">
      <w:pPr>
        <w:rPr>
          <w:sz w:val="24"/>
        </w:rPr>
      </w:pPr>
    </w:p>
    <w:p w:rsidR="004C54EC" w:rsidRPr="00575703" w:rsidRDefault="004C54EC" w:rsidP="004C54EC">
      <w:pPr>
        <w:numPr>
          <w:ilvl w:val="0"/>
          <w:numId w:val="6"/>
        </w:numPr>
        <w:tabs>
          <w:tab w:val="left" w:pos="360"/>
        </w:tabs>
        <w:overflowPunct/>
        <w:autoSpaceDE/>
        <w:autoSpaceDN/>
        <w:adjustRightInd/>
        <w:textAlignment w:val="auto"/>
        <w:rPr>
          <w:b/>
          <w:sz w:val="24"/>
          <w:szCs w:val="24"/>
        </w:rPr>
      </w:pPr>
      <w:r>
        <w:rPr>
          <w:b/>
          <w:sz w:val="24"/>
        </w:rPr>
        <w:t>Collections of Information Employing Statistical Methods.</w:t>
      </w:r>
    </w:p>
    <w:p w:rsidR="004C54EC" w:rsidRDefault="004C54EC">
      <w:pPr>
        <w:rPr>
          <w:sz w:val="24"/>
        </w:rPr>
      </w:pPr>
    </w:p>
    <w:p w:rsidR="005D339A" w:rsidRPr="0035655C" w:rsidRDefault="004321BB" w:rsidP="004C54EC">
      <w:pPr>
        <w:pStyle w:val="BodyText2"/>
        <w:rPr>
          <w:b w:val="0"/>
        </w:rPr>
      </w:pPr>
      <w:r w:rsidRPr="0035655C">
        <w:rPr>
          <w:b w:val="0"/>
        </w:rPr>
        <w:t xml:space="preserve">GSA </w:t>
      </w:r>
      <w:r w:rsidR="000F4AE1" w:rsidRPr="0035655C">
        <w:rPr>
          <w:b w:val="0"/>
        </w:rPr>
        <w:t>r</w:t>
      </w:r>
      <w:r w:rsidR="00AC41CA" w:rsidRPr="0035655C">
        <w:rPr>
          <w:b w:val="0"/>
        </w:rPr>
        <w:t>egional</w:t>
      </w:r>
      <w:r w:rsidR="000F4AE1" w:rsidRPr="0035655C">
        <w:rPr>
          <w:b w:val="0"/>
        </w:rPr>
        <w:t xml:space="preserve"> leasing services officers </w:t>
      </w:r>
      <w:r w:rsidR="00AC41CA" w:rsidRPr="0035655C">
        <w:rPr>
          <w:b w:val="0"/>
        </w:rPr>
        <w:t>estimate</w:t>
      </w:r>
      <w:r w:rsidR="000F4AE1" w:rsidRPr="0035655C">
        <w:rPr>
          <w:b w:val="0"/>
        </w:rPr>
        <w:t>d</w:t>
      </w:r>
      <w:r w:rsidR="00D20360" w:rsidRPr="0035655C">
        <w:rPr>
          <w:b w:val="0"/>
        </w:rPr>
        <w:t xml:space="preserve"> the average </w:t>
      </w:r>
      <w:r w:rsidR="00AC41CA" w:rsidRPr="0035655C">
        <w:rPr>
          <w:b w:val="0"/>
        </w:rPr>
        <w:t xml:space="preserve">number </w:t>
      </w:r>
      <w:r w:rsidR="00D20360" w:rsidRPr="0035655C">
        <w:rPr>
          <w:b w:val="0"/>
        </w:rPr>
        <w:t xml:space="preserve">of </w:t>
      </w:r>
      <w:r w:rsidR="000F4AE1" w:rsidRPr="0035655C">
        <w:rPr>
          <w:b w:val="0"/>
        </w:rPr>
        <w:t xml:space="preserve">responses and </w:t>
      </w:r>
      <w:r w:rsidR="00D20360" w:rsidRPr="0035655C">
        <w:rPr>
          <w:b w:val="0"/>
        </w:rPr>
        <w:t>hours</w:t>
      </w:r>
      <w:r w:rsidR="000F4AE1" w:rsidRPr="0035655C">
        <w:rPr>
          <w:b w:val="0"/>
        </w:rPr>
        <w:t xml:space="preserve"> required by the public and the government</w:t>
      </w:r>
      <w:r w:rsidR="00D20360" w:rsidRPr="0035655C">
        <w:rPr>
          <w:b w:val="0"/>
        </w:rPr>
        <w:t xml:space="preserve"> </w:t>
      </w:r>
      <w:r w:rsidR="000F4AE1" w:rsidRPr="0035655C">
        <w:rPr>
          <w:b w:val="0"/>
        </w:rPr>
        <w:t>to complete, review, and evaluate the information submitted on</w:t>
      </w:r>
      <w:r w:rsidR="00D20360" w:rsidRPr="0035655C">
        <w:rPr>
          <w:b w:val="0"/>
        </w:rPr>
        <w:t xml:space="preserve"> each form.  </w:t>
      </w:r>
      <w:r w:rsidR="00AC41CA" w:rsidRPr="0035655C">
        <w:rPr>
          <w:b w:val="0"/>
        </w:rPr>
        <w:t>Forecasting i</w:t>
      </w:r>
      <w:r w:rsidR="00D20360" w:rsidRPr="0035655C">
        <w:rPr>
          <w:b w:val="0"/>
        </w:rPr>
        <w:t>s based</w:t>
      </w:r>
      <w:r w:rsidR="00AC41CA" w:rsidRPr="0035655C">
        <w:rPr>
          <w:b w:val="0"/>
        </w:rPr>
        <w:t xml:space="preserve"> on</w:t>
      </w:r>
      <w:r w:rsidR="00D20360" w:rsidRPr="0035655C">
        <w:rPr>
          <w:b w:val="0"/>
        </w:rPr>
        <w:t xml:space="preserve"> empirical data for number of actions and salaries.</w:t>
      </w:r>
    </w:p>
    <w:p w:rsidR="00A83E7D" w:rsidRDefault="00A83E7D">
      <w:pPr>
        <w:rPr>
          <w:sz w:val="24"/>
        </w:rPr>
      </w:pPr>
    </w:p>
    <w:sectPr w:rsidR="00A83E7D" w:rsidSect="008519C6">
      <w:headerReference w:type="default" r:id="rId9"/>
      <w:footerReference w:type="default" r:id="rId10"/>
      <w:pgSz w:w="12240" w:h="15840"/>
      <w:pgMar w:top="1440" w:right="1440" w:bottom="1440" w:left="1440"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1BB" w:rsidRDefault="004321BB">
      <w:r>
        <w:separator/>
      </w:r>
    </w:p>
  </w:endnote>
  <w:endnote w:type="continuationSeparator" w:id="0">
    <w:p w:rsidR="004321BB" w:rsidRDefault="0043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9C6" w:rsidRPr="008519C6" w:rsidRDefault="008519C6" w:rsidP="008519C6">
    <w:pPr>
      <w:tabs>
        <w:tab w:val="right" w:pos="10080"/>
      </w:tabs>
      <w:ind w:left="-720" w:right="-720"/>
      <w:rPr>
        <w:b/>
      </w:rPr>
    </w:pPr>
  </w:p>
  <w:p w:rsidR="008519C6" w:rsidRPr="008519C6" w:rsidRDefault="008519C6" w:rsidP="008519C6">
    <w:pPr>
      <w:tabs>
        <w:tab w:val="right" w:pos="9360"/>
        <w:tab w:val="right" w:pos="10080"/>
      </w:tabs>
      <w:spacing w:after="720"/>
      <w:ind w:left="-720" w:right="-720"/>
      <w:jc w:val="center"/>
    </w:pPr>
    <w:r w:rsidRPr="008519C6">
      <w:rPr>
        <w:b/>
      </w:rPr>
      <w:t xml:space="preserve">Page </w:t>
    </w:r>
    <w:r w:rsidRPr="008519C6">
      <w:fldChar w:fldCharType="begin"/>
    </w:r>
    <w:r w:rsidRPr="008519C6">
      <w:instrText>PAGE</w:instrText>
    </w:r>
    <w:r w:rsidRPr="008519C6">
      <w:fldChar w:fldCharType="separate"/>
    </w:r>
    <w:r w:rsidR="00BD5B42">
      <w:rPr>
        <w:noProof/>
      </w:rPr>
      <w:t>3</w:t>
    </w:r>
    <w:r w:rsidRPr="008519C6">
      <w:fldChar w:fldCharType="end"/>
    </w:r>
    <w:r w:rsidRPr="008519C6">
      <w:rPr>
        <w:b/>
      </w:rPr>
      <w:t xml:space="preserve"> of </w:t>
    </w:r>
    <w:r w:rsidRPr="008519C6">
      <w:fldChar w:fldCharType="begin"/>
    </w:r>
    <w:r w:rsidRPr="008519C6">
      <w:instrText>NUMPAGES</w:instrText>
    </w:r>
    <w:r w:rsidRPr="008519C6">
      <w:fldChar w:fldCharType="separate"/>
    </w:r>
    <w:r w:rsidR="00BD5B42">
      <w:rPr>
        <w:noProof/>
      </w:rPr>
      <w:t>5</w:t>
    </w:r>
    <w:r w:rsidRPr="008519C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1BB" w:rsidRDefault="004321BB">
      <w:r>
        <w:separator/>
      </w:r>
    </w:p>
  </w:footnote>
  <w:footnote w:type="continuationSeparator" w:id="0">
    <w:p w:rsidR="004321BB" w:rsidRDefault="00432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9C6" w:rsidRPr="008519C6" w:rsidRDefault="008519C6" w:rsidP="008519C6">
    <w:pPr>
      <w:tabs>
        <w:tab w:val="right" w:pos="10080"/>
      </w:tabs>
      <w:spacing w:before="720"/>
      <w:ind w:left="-720" w:right="-720"/>
    </w:pPr>
    <w:r w:rsidRPr="008519C6">
      <w:rPr>
        <w:b/>
      </w:rPr>
      <w:t>Information Collection 3090-0086</w:t>
    </w:r>
    <w:r w:rsidRPr="008519C6">
      <w:rPr>
        <w:b/>
      </w:rPr>
      <w:tab/>
    </w:r>
    <w:r>
      <w:rPr>
        <w:b/>
      </w:rPr>
      <w:t>Supporting Statement</w:t>
    </w:r>
  </w:p>
  <w:p w:rsidR="008519C6" w:rsidRPr="008519C6" w:rsidRDefault="008519C6" w:rsidP="008519C6">
    <w:pPr>
      <w:tabs>
        <w:tab w:val="right" w:pos="10080"/>
      </w:tabs>
      <w:ind w:left="-720" w:right="-720"/>
    </w:pPr>
    <w:r w:rsidRPr="008519C6">
      <w:rPr>
        <w:b/>
      </w:rPr>
      <w:t>Lease</w:t>
    </w:r>
    <w:r w:rsidR="00E279F7">
      <w:rPr>
        <w:b/>
      </w:rPr>
      <w:t>d</w:t>
    </w:r>
    <w:r w:rsidRPr="008519C6">
      <w:rPr>
        <w:b/>
      </w:rPr>
      <w:t xml:space="preserve"> Space</w:t>
    </w:r>
    <w:r w:rsidR="00E279F7">
      <w:rPr>
        <w:b/>
      </w:rPr>
      <w:t>, GSA Forms 1364 and 1217</w:t>
    </w:r>
  </w:p>
  <w:p w:rsidR="008519C6" w:rsidRPr="008519C6" w:rsidRDefault="008519C6" w:rsidP="008519C6">
    <w:pPr>
      <w:pStyle w:val="Header"/>
      <w:tabs>
        <w:tab w:val="right" w:pos="10080"/>
      </w:tabs>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5F4793E"/>
    <w:lvl w:ilvl="0">
      <w:numFmt w:val="bullet"/>
      <w:lvlText w:val="*"/>
      <w:lvlJc w:val="left"/>
    </w:lvl>
  </w:abstractNum>
  <w:abstractNum w:abstractNumId="1">
    <w:nsid w:val="04351B0D"/>
    <w:multiLevelType w:val="hybridMultilevel"/>
    <w:tmpl w:val="D3CCBE6E"/>
    <w:lvl w:ilvl="0" w:tplc="33B61F20">
      <w:start w:val="14"/>
      <w:numFmt w:val="decimal"/>
      <w:lvlText w:val="%1."/>
      <w:lvlJc w:val="left"/>
      <w:pPr>
        <w:tabs>
          <w:tab w:val="num" w:pos="720"/>
        </w:tabs>
        <w:ind w:left="720" w:hanging="720"/>
      </w:pPr>
      <w:rPr>
        <w:rFonts w:ascii="Times New Roman" w:hAnsi="Times New Roman" w:cs="Times New Roman"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9CA3707"/>
    <w:multiLevelType w:val="hybridMultilevel"/>
    <w:tmpl w:val="7D98A8A4"/>
    <w:lvl w:ilvl="0" w:tplc="E7BE1644">
      <w:start w:val="14"/>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89B21D5"/>
    <w:multiLevelType w:val="singleLevel"/>
    <w:tmpl w:val="333CEE88"/>
    <w:lvl w:ilvl="0">
      <w:start w:val="1"/>
      <w:numFmt w:val="upperLetter"/>
      <w:lvlText w:val="%1."/>
      <w:legacy w:legacy="1" w:legacySpace="0" w:legacyIndent="360"/>
      <w:lvlJc w:val="left"/>
      <w:pPr>
        <w:ind w:left="360" w:hanging="360"/>
      </w:pPr>
    </w:lvl>
  </w:abstractNum>
  <w:abstractNum w:abstractNumId="4">
    <w:nsid w:val="3800047F"/>
    <w:multiLevelType w:val="hybridMultilevel"/>
    <w:tmpl w:val="C436F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627C3D"/>
    <w:multiLevelType w:val="hybridMultilevel"/>
    <w:tmpl w:val="7C0A1A40"/>
    <w:lvl w:ilvl="0" w:tplc="2A9AD4E8">
      <w:start w:val="16"/>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5D572C42"/>
    <w:multiLevelType w:val="hybridMultilevel"/>
    <w:tmpl w:val="38C8B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4"/>
  </w:num>
  <w:num w:numId="3">
    <w:abstractNumId w:val="1"/>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C44"/>
    <w:rsid w:val="00012051"/>
    <w:rsid w:val="00015FFC"/>
    <w:rsid w:val="000534DF"/>
    <w:rsid w:val="00064CEA"/>
    <w:rsid w:val="000B79E3"/>
    <w:rsid w:val="000C4EE0"/>
    <w:rsid w:val="000F0D3C"/>
    <w:rsid w:val="000F3367"/>
    <w:rsid w:val="000F4AE1"/>
    <w:rsid w:val="0011134C"/>
    <w:rsid w:val="001260B3"/>
    <w:rsid w:val="00135484"/>
    <w:rsid w:val="00142A05"/>
    <w:rsid w:val="001672BA"/>
    <w:rsid w:val="00195779"/>
    <w:rsid w:val="001B7B91"/>
    <w:rsid w:val="001D6380"/>
    <w:rsid w:val="001F1D09"/>
    <w:rsid w:val="001F3074"/>
    <w:rsid w:val="002143EC"/>
    <w:rsid w:val="00237866"/>
    <w:rsid w:val="002609EC"/>
    <w:rsid w:val="002702F5"/>
    <w:rsid w:val="002837B9"/>
    <w:rsid w:val="002D5BA8"/>
    <w:rsid w:val="002D7723"/>
    <w:rsid w:val="003307E2"/>
    <w:rsid w:val="003410B6"/>
    <w:rsid w:val="00347EAB"/>
    <w:rsid w:val="00355807"/>
    <w:rsid w:val="0035655C"/>
    <w:rsid w:val="003701E0"/>
    <w:rsid w:val="00370CA4"/>
    <w:rsid w:val="0038143A"/>
    <w:rsid w:val="0039626A"/>
    <w:rsid w:val="003B7FE1"/>
    <w:rsid w:val="003D4058"/>
    <w:rsid w:val="003E7476"/>
    <w:rsid w:val="0042517C"/>
    <w:rsid w:val="004321BB"/>
    <w:rsid w:val="00434E80"/>
    <w:rsid w:val="00452DAF"/>
    <w:rsid w:val="00456A3F"/>
    <w:rsid w:val="00457182"/>
    <w:rsid w:val="00492189"/>
    <w:rsid w:val="004B1E0C"/>
    <w:rsid w:val="004C54EC"/>
    <w:rsid w:val="004C65C9"/>
    <w:rsid w:val="004D79F8"/>
    <w:rsid w:val="004E122F"/>
    <w:rsid w:val="004E395C"/>
    <w:rsid w:val="004E464D"/>
    <w:rsid w:val="004E4C44"/>
    <w:rsid w:val="004F1CE1"/>
    <w:rsid w:val="00510AC3"/>
    <w:rsid w:val="00520C68"/>
    <w:rsid w:val="0053229C"/>
    <w:rsid w:val="00534BCA"/>
    <w:rsid w:val="0055232D"/>
    <w:rsid w:val="005A040C"/>
    <w:rsid w:val="005C3196"/>
    <w:rsid w:val="005D339A"/>
    <w:rsid w:val="005E0CAD"/>
    <w:rsid w:val="00607980"/>
    <w:rsid w:val="006173D1"/>
    <w:rsid w:val="006203C3"/>
    <w:rsid w:val="00634900"/>
    <w:rsid w:val="00645684"/>
    <w:rsid w:val="00655727"/>
    <w:rsid w:val="00655F1B"/>
    <w:rsid w:val="00656A6B"/>
    <w:rsid w:val="00661399"/>
    <w:rsid w:val="006A151C"/>
    <w:rsid w:val="006D07D0"/>
    <w:rsid w:val="006E3295"/>
    <w:rsid w:val="007423A9"/>
    <w:rsid w:val="00754851"/>
    <w:rsid w:val="0077369C"/>
    <w:rsid w:val="00786214"/>
    <w:rsid w:val="007A743C"/>
    <w:rsid w:val="007B1A09"/>
    <w:rsid w:val="007D4E92"/>
    <w:rsid w:val="007F16C0"/>
    <w:rsid w:val="008029E2"/>
    <w:rsid w:val="00804E57"/>
    <w:rsid w:val="008257A9"/>
    <w:rsid w:val="008259A4"/>
    <w:rsid w:val="00830DB0"/>
    <w:rsid w:val="008467F5"/>
    <w:rsid w:val="008504F2"/>
    <w:rsid w:val="008519C6"/>
    <w:rsid w:val="00854FAE"/>
    <w:rsid w:val="00870C7F"/>
    <w:rsid w:val="00887B21"/>
    <w:rsid w:val="008A3651"/>
    <w:rsid w:val="008B2B18"/>
    <w:rsid w:val="008E36FC"/>
    <w:rsid w:val="0091363D"/>
    <w:rsid w:val="009137D2"/>
    <w:rsid w:val="009301C5"/>
    <w:rsid w:val="00930513"/>
    <w:rsid w:val="009308F9"/>
    <w:rsid w:val="00950001"/>
    <w:rsid w:val="00950B45"/>
    <w:rsid w:val="009979E3"/>
    <w:rsid w:val="009D70C0"/>
    <w:rsid w:val="009F0889"/>
    <w:rsid w:val="009F4C69"/>
    <w:rsid w:val="00A1144D"/>
    <w:rsid w:val="00A1190E"/>
    <w:rsid w:val="00A258D6"/>
    <w:rsid w:val="00A27207"/>
    <w:rsid w:val="00A3588E"/>
    <w:rsid w:val="00A36E70"/>
    <w:rsid w:val="00A37CF3"/>
    <w:rsid w:val="00A415AD"/>
    <w:rsid w:val="00A57A06"/>
    <w:rsid w:val="00A57E53"/>
    <w:rsid w:val="00A83E7D"/>
    <w:rsid w:val="00A83F78"/>
    <w:rsid w:val="00AA18CE"/>
    <w:rsid w:val="00AA6B9F"/>
    <w:rsid w:val="00AA6DC6"/>
    <w:rsid w:val="00AB02BE"/>
    <w:rsid w:val="00AC41CA"/>
    <w:rsid w:val="00AC759D"/>
    <w:rsid w:val="00AC7854"/>
    <w:rsid w:val="00AC7CC2"/>
    <w:rsid w:val="00B30857"/>
    <w:rsid w:val="00B66700"/>
    <w:rsid w:val="00B703B2"/>
    <w:rsid w:val="00B75DEB"/>
    <w:rsid w:val="00BA20B0"/>
    <w:rsid w:val="00BD09EB"/>
    <w:rsid w:val="00BD5B42"/>
    <w:rsid w:val="00BF0332"/>
    <w:rsid w:val="00C259B4"/>
    <w:rsid w:val="00C8582A"/>
    <w:rsid w:val="00C9715F"/>
    <w:rsid w:val="00CA1DD6"/>
    <w:rsid w:val="00CC0BF7"/>
    <w:rsid w:val="00CD1919"/>
    <w:rsid w:val="00CF2505"/>
    <w:rsid w:val="00CF2C7F"/>
    <w:rsid w:val="00D05494"/>
    <w:rsid w:val="00D14C31"/>
    <w:rsid w:val="00D20360"/>
    <w:rsid w:val="00D20ECD"/>
    <w:rsid w:val="00D2777E"/>
    <w:rsid w:val="00D451F5"/>
    <w:rsid w:val="00D46024"/>
    <w:rsid w:val="00D46F50"/>
    <w:rsid w:val="00D5005A"/>
    <w:rsid w:val="00D6061B"/>
    <w:rsid w:val="00D70A94"/>
    <w:rsid w:val="00D85AF4"/>
    <w:rsid w:val="00D908F8"/>
    <w:rsid w:val="00DC4DAC"/>
    <w:rsid w:val="00DF0BAB"/>
    <w:rsid w:val="00DF29F1"/>
    <w:rsid w:val="00E14556"/>
    <w:rsid w:val="00E279F7"/>
    <w:rsid w:val="00E62B62"/>
    <w:rsid w:val="00E83157"/>
    <w:rsid w:val="00E92C6B"/>
    <w:rsid w:val="00E95CB6"/>
    <w:rsid w:val="00EA6C6B"/>
    <w:rsid w:val="00EB0D57"/>
    <w:rsid w:val="00EC2E4D"/>
    <w:rsid w:val="00EE3997"/>
    <w:rsid w:val="00F65B5E"/>
    <w:rsid w:val="00F85102"/>
    <w:rsid w:val="00FB3BE6"/>
    <w:rsid w:val="00FE03A3"/>
    <w:rsid w:val="00FE0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A05"/>
    <w:pPr>
      <w:overflowPunct w:val="0"/>
      <w:autoSpaceDE w:val="0"/>
      <w:autoSpaceDN w:val="0"/>
      <w:adjustRightInd w:val="0"/>
      <w:textAlignment w:val="baseline"/>
    </w:pPr>
  </w:style>
  <w:style w:type="paragraph" w:styleId="Heading1">
    <w:name w:val="heading 1"/>
    <w:basedOn w:val="Normal"/>
    <w:next w:val="Normal"/>
    <w:qFormat/>
    <w:rsid w:val="00142A05"/>
    <w:pPr>
      <w:keepNext/>
      <w:outlineLvl w:val="0"/>
    </w:pPr>
    <w:rPr>
      <w:b/>
      <w:sz w:val="24"/>
      <w:u w:val="single"/>
    </w:rPr>
  </w:style>
  <w:style w:type="paragraph" w:styleId="Heading2">
    <w:name w:val="heading 2"/>
    <w:basedOn w:val="Normal"/>
    <w:next w:val="Normal"/>
    <w:qFormat/>
    <w:rsid w:val="00142A05"/>
    <w:pPr>
      <w:keepNext/>
      <w:outlineLvl w:val="1"/>
    </w:pPr>
    <w:rPr>
      <w:b/>
      <w:sz w:val="24"/>
    </w:rPr>
  </w:style>
  <w:style w:type="paragraph" w:styleId="Heading3">
    <w:name w:val="heading 3"/>
    <w:basedOn w:val="Normal"/>
    <w:next w:val="Normal"/>
    <w:qFormat/>
    <w:rsid w:val="00142A05"/>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42A05"/>
  </w:style>
  <w:style w:type="character" w:styleId="FootnoteReference">
    <w:name w:val="footnote reference"/>
    <w:basedOn w:val="DefaultParagraphFont"/>
    <w:semiHidden/>
    <w:rsid w:val="00142A05"/>
    <w:rPr>
      <w:vertAlign w:val="superscript"/>
    </w:rPr>
  </w:style>
  <w:style w:type="paragraph" w:styleId="BodyText">
    <w:name w:val="Body Text"/>
    <w:basedOn w:val="Normal"/>
    <w:rsid w:val="00142A05"/>
    <w:pPr>
      <w:jc w:val="center"/>
    </w:pPr>
    <w:rPr>
      <w:rFonts w:ascii="Arial" w:hAnsi="Arial"/>
      <w:b/>
      <w:sz w:val="24"/>
    </w:rPr>
  </w:style>
  <w:style w:type="paragraph" w:styleId="BodyText2">
    <w:name w:val="Body Text 2"/>
    <w:basedOn w:val="Normal"/>
    <w:rsid w:val="00142A05"/>
    <w:rPr>
      <w:b/>
      <w:sz w:val="24"/>
    </w:rPr>
  </w:style>
  <w:style w:type="paragraph" w:styleId="Header">
    <w:name w:val="header"/>
    <w:basedOn w:val="Normal"/>
    <w:rsid w:val="00142A05"/>
    <w:pPr>
      <w:tabs>
        <w:tab w:val="center" w:pos="4320"/>
        <w:tab w:val="right" w:pos="8640"/>
      </w:tabs>
    </w:pPr>
  </w:style>
  <w:style w:type="paragraph" w:styleId="Footer">
    <w:name w:val="footer"/>
    <w:basedOn w:val="Normal"/>
    <w:rsid w:val="00142A05"/>
    <w:pPr>
      <w:tabs>
        <w:tab w:val="center" w:pos="4320"/>
        <w:tab w:val="right" w:pos="8640"/>
      </w:tabs>
    </w:pPr>
  </w:style>
  <w:style w:type="character" w:styleId="PageNumber">
    <w:name w:val="page number"/>
    <w:basedOn w:val="DefaultParagraphFont"/>
    <w:rsid w:val="00142A05"/>
  </w:style>
  <w:style w:type="character" w:styleId="CommentReference">
    <w:name w:val="annotation reference"/>
    <w:basedOn w:val="DefaultParagraphFont"/>
    <w:rsid w:val="00E92C6B"/>
    <w:rPr>
      <w:sz w:val="16"/>
      <w:szCs w:val="16"/>
    </w:rPr>
  </w:style>
  <w:style w:type="paragraph" w:styleId="CommentText">
    <w:name w:val="annotation text"/>
    <w:basedOn w:val="Normal"/>
    <w:link w:val="CommentTextChar"/>
    <w:rsid w:val="00E92C6B"/>
  </w:style>
  <w:style w:type="character" w:customStyle="1" w:styleId="CommentTextChar">
    <w:name w:val="Comment Text Char"/>
    <w:basedOn w:val="DefaultParagraphFont"/>
    <w:link w:val="CommentText"/>
    <w:rsid w:val="00E92C6B"/>
  </w:style>
  <w:style w:type="paragraph" w:styleId="CommentSubject">
    <w:name w:val="annotation subject"/>
    <w:basedOn w:val="CommentText"/>
    <w:next w:val="CommentText"/>
    <w:link w:val="CommentSubjectChar"/>
    <w:rsid w:val="00E92C6B"/>
    <w:rPr>
      <w:b/>
      <w:bCs/>
    </w:rPr>
  </w:style>
  <w:style w:type="character" w:customStyle="1" w:styleId="CommentSubjectChar">
    <w:name w:val="Comment Subject Char"/>
    <w:basedOn w:val="CommentTextChar"/>
    <w:link w:val="CommentSubject"/>
    <w:rsid w:val="00E92C6B"/>
    <w:rPr>
      <w:b/>
      <w:bCs/>
    </w:rPr>
  </w:style>
  <w:style w:type="paragraph" w:styleId="BalloonText">
    <w:name w:val="Balloon Text"/>
    <w:basedOn w:val="Normal"/>
    <w:link w:val="BalloonTextChar"/>
    <w:rsid w:val="00E92C6B"/>
    <w:rPr>
      <w:rFonts w:ascii="Tahoma" w:hAnsi="Tahoma" w:cs="Tahoma"/>
      <w:sz w:val="16"/>
      <w:szCs w:val="16"/>
    </w:rPr>
  </w:style>
  <w:style w:type="character" w:customStyle="1" w:styleId="BalloonTextChar">
    <w:name w:val="Balloon Text Char"/>
    <w:basedOn w:val="DefaultParagraphFont"/>
    <w:link w:val="BalloonText"/>
    <w:rsid w:val="00E92C6B"/>
    <w:rPr>
      <w:rFonts w:ascii="Tahoma" w:hAnsi="Tahoma" w:cs="Tahoma"/>
      <w:sz w:val="16"/>
      <w:szCs w:val="16"/>
    </w:rPr>
  </w:style>
  <w:style w:type="paragraph" w:styleId="Revision">
    <w:name w:val="Revision"/>
    <w:hidden/>
    <w:uiPriority w:val="99"/>
    <w:semiHidden/>
    <w:rsid w:val="009F4C69"/>
  </w:style>
  <w:style w:type="paragraph" w:styleId="ListParagraph">
    <w:name w:val="List Paragraph"/>
    <w:basedOn w:val="Normal"/>
    <w:uiPriority w:val="34"/>
    <w:qFormat/>
    <w:rsid w:val="00950001"/>
    <w:pPr>
      <w:ind w:left="720"/>
      <w:contextualSpacing/>
    </w:pPr>
  </w:style>
  <w:style w:type="paragraph" w:styleId="HTMLPreformatted">
    <w:name w:val="HTML Preformatted"/>
    <w:basedOn w:val="Normal"/>
    <w:link w:val="HTMLPreformattedChar"/>
    <w:rsid w:val="008A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8A3651"/>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A05"/>
    <w:pPr>
      <w:overflowPunct w:val="0"/>
      <w:autoSpaceDE w:val="0"/>
      <w:autoSpaceDN w:val="0"/>
      <w:adjustRightInd w:val="0"/>
      <w:textAlignment w:val="baseline"/>
    </w:pPr>
  </w:style>
  <w:style w:type="paragraph" w:styleId="Heading1">
    <w:name w:val="heading 1"/>
    <w:basedOn w:val="Normal"/>
    <w:next w:val="Normal"/>
    <w:qFormat/>
    <w:rsid w:val="00142A05"/>
    <w:pPr>
      <w:keepNext/>
      <w:outlineLvl w:val="0"/>
    </w:pPr>
    <w:rPr>
      <w:b/>
      <w:sz w:val="24"/>
      <w:u w:val="single"/>
    </w:rPr>
  </w:style>
  <w:style w:type="paragraph" w:styleId="Heading2">
    <w:name w:val="heading 2"/>
    <w:basedOn w:val="Normal"/>
    <w:next w:val="Normal"/>
    <w:qFormat/>
    <w:rsid w:val="00142A05"/>
    <w:pPr>
      <w:keepNext/>
      <w:outlineLvl w:val="1"/>
    </w:pPr>
    <w:rPr>
      <w:b/>
      <w:sz w:val="24"/>
    </w:rPr>
  </w:style>
  <w:style w:type="paragraph" w:styleId="Heading3">
    <w:name w:val="heading 3"/>
    <w:basedOn w:val="Normal"/>
    <w:next w:val="Normal"/>
    <w:qFormat/>
    <w:rsid w:val="00142A05"/>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42A05"/>
  </w:style>
  <w:style w:type="character" w:styleId="FootnoteReference">
    <w:name w:val="footnote reference"/>
    <w:basedOn w:val="DefaultParagraphFont"/>
    <w:semiHidden/>
    <w:rsid w:val="00142A05"/>
    <w:rPr>
      <w:vertAlign w:val="superscript"/>
    </w:rPr>
  </w:style>
  <w:style w:type="paragraph" w:styleId="BodyText">
    <w:name w:val="Body Text"/>
    <w:basedOn w:val="Normal"/>
    <w:rsid w:val="00142A05"/>
    <w:pPr>
      <w:jc w:val="center"/>
    </w:pPr>
    <w:rPr>
      <w:rFonts w:ascii="Arial" w:hAnsi="Arial"/>
      <w:b/>
      <w:sz w:val="24"/>
    </w:rPr>
  </w:style>
  <w:style w:type="paragraph" w:styleId="BodyText2">
    <w:name w:val="Body Text 2"/>
    <w:basedOn w:val="Normal"/>
    <w:rsid w:val="00142A05"/>
    <w:rPr>
      <w:b/>
      <w:sz w:val="24"/>
    </w:rPr>
  </w:style>
  <w:style w:type="paragraph" w:styleId="Header">
    <w:name w:val="header"/>
    <w:basedOn w:val="Normal"/>
    <w:rsid w:val="00142A05"/>
    <w:pPr>
      <w:tabs>
        <w:tab w:val="center" w:pos="4320"/>
        <w:tab w:val="right" w:pos="8640"/>
      </w:tabs>
    </w:pPr>
  </w:style>
  <w:style w:type="paragraph" w:styleId="Footer">
    <w:name w:val="footer"/>
    <w:basedOn w:val="Normal"/>
    <w:rsid w:val="00142A05"/>
    <w:pPr>
      <w:tabs>
        <w:tab w:val="center" w:pos="4320"/>
        <w:tab w:val="right" w:pos="8640"/>
      </w:tabs>
    </w:pPr>
  </w:style>
  <w:style w:type="character" w:styleId="PageNumber">
    <w:name w:val="page number"/>
    <w:basedOn w:val="DefaultParagraphFont"/>
    <w:rsid w:val="00142A05"/>
  </w:style>
  <w:style w:type="character" w:styleId="CommentReference">
    <w:name w:val="annotation reference"/>
    <w:basedOn w:val="DefaultParagraphFont"/>
    <w:rsid w:val="00E92C6B"/>
    <w:rPr>
      <w:sz w:val="16"/>
      <w:szCs w:val="16"/>
    </w:rPr>
  </w:style>
  <w:style w:type="paragraph" w:styleId="CommentText">
    <w:name w:val="annotation text"/>
    <w:basedOn w:val="Normal"/>
    <w:link w:val="CommentTextChar"/>
    <w:rsid w:val="00E92C6B"/>
  </w:style>
  <w:style w:type="character" w:customStyle="1" w:styleId="CommentTextChar">
    <w:name w:val="Comment Text Char"/>
    <w:basedOn w:val="DefaultParagraphFont"/>
    <w:link w:val="CommentText"/>
    <w:rsid w:val="00E92C6B"/>
  </w:style>
  <w:style w:type="paragraph" w:styleId="CommentSubject">
    <w:name w:val="annotation subject"/>
    <w:basedOn w:val="CommentText"/>
    <w:next w:val="CommentText"/>
    <w:link w:val="CommentSubjectChar"/>
    <w:rsid w:val="00E92C6B"/>
    <w:rPr>
      <w:b/>
      <w:bCs/>
    </w:rPr>
  </w:style>
  <w:style w:type="character" w:customStyle="1" w:styleId="CommentSubjectChar">
    <w:name w:val="Comment Subject Char"/>
    <w:basedOn w:val="CommentTextChar"/>
    <w:link w:val="CommentSubject"/>
    <w:rsid w:val="00E92C6B"/>
    <w:rPr>
      <w:b/>
      <w:bCs/>
    </w:rPr>
  </w:style>
  <w:style w:type="paragraph" w:styleId="BalloonText">
    <w:name w:val="Balloon Text"/>
    <w:basedOn w:val="Normal"/>
    <w:link w:val="BalloonTextChar"/>
    <w:rsid w:val="00E92C6B"/>
    <w:rPr>
      <w:rFonts w:ascii="Tahoma" w:hAnsi="Tahoma" w:cs="Tahoma"/>
      <w:sz w:val="16"/>
      <w:szCs w:val="16"/>
    </w:rPr>
  </w:style>
  <w:style w:type="character" w:customStyle="1" w:styleId="BalloonTextChar">
    <w:name w:val="Balloon Text Char"/>
    <w:basedOn w:val="DefaultParagraphFont"/>
    <w:link w:val="BalloonText"/>
    <w:rsid w:val="00E92C6B"/>
    <w:rPr>
      <w:rFonts w:ascii="Tahoma" w:hAnsi="Tahoma" w:cs="Tahoma"/>
      <w:sz w:val="16"/>
      <w:szCs w:val="16"/>
    </w:rPr>
  </w:style>
  <w:style w:type="paragraph" w:styleId="Revision">
    <w:name w:val="Revision"/>
    <w:hidden/>
    <w:uiPriority w:val="99"/>
    <w:semiHidden/>
    <w:rsid w:val="009F4C69"/>
  </w:style>
  <w:style w:type="paragraph" w:styleId="ListParagraph">
    <w:name w:val="List Paragraph"/>
    <w:basedOn w:val="Normal"/>
    <w:uiPriority w:val="34"/>
    <w:qFormat/>
    <w:rsid w:val="00950001"/>
    <w:pPr>
      <w:ind w:left="720"/>
      <w:contextualSpacing/>
    </w:pPr>
  </w:style>
  <w:style w:type="paragraph" w:styleId="HTMLPreformatted">
    <w:name w:val="HTML Preformatted"/>
    <w:basedOn w:val="Normal"/>
    <w:link w:val="HTMLPreformattedChar"/>
    <w:rsid w:val="008A3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8A365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001221">
      <w:bodyDiv w:val="1"/>
      <w:marLeft w:val="0"/>
      <w:marRight w:val="0"/>
      <w:marTop w:val="0"/>
      <w:marBottom w:val="0"/>
      <w:divBdr>
        <w:top w:val="none" w:sz="0" w:space="0" w:color="auto"/>
        <w:left w:val="none" w:sz="0" w:space="0" w:color="auto"/>
        <w:bottom w:val="none" w:sz="0" w:space="0" w:color="auto"/>
        <w:right w:val="none" w:sz="0" w:space="0" w:color="auto"/>
      </w:divBdr>
    </w:div>
    <w:div w:id="1553619410">
      <w:bodyDiv w:val="1"/>
      <w:marLeft w:val="0"/>
      <w:marRight w:val="0"/>
      <w:marTop w:val="0"/>
      <w:marBottom w:val="0"/>
      <w:divBdr>
        <w:top w:val="none" w:sz="0" w:space="0" w:color="auto"/>
        <w:left w:val="none" w:sz="0" w:space="0" w:color="auto"/>
        <w:bottom w:val="none" w:sz="0" w:space="0" w:color="auto"/>
        <w:right w:val="none" w:sz="0" w:space="0" w:color="auto"/>
      </w:divBdr>
    </w:div>
    <w:div w:id="158834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306929-1BBF-464C-AC9C-3E0C9283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1393</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Information Collection: GSA Form 1364, Proposal to Lease Space</vt:lpstr>
    </vt:vector>
  </TitlesOfParts>
  <Company>Litton/PRC, Inc.</Company>
  <LinksUpToDate>false</LinksUpToDate>
  <CharactersWithSpaces>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GSA Form 1364, Proposal to Lease Space</dc:title>
  <dc:creator>GSA Seat Management</dc:creator>
  <cp:lastModifiedBy>NicoleDBynum</cp:lastModifiedBy>
  <cp:revision>23</cp:revision>
  <cp:lastPrinted>2016-05-10T19:46:00Z</cp:lastPrinted>
  <dcterms:created xsi:type="dcterms:W3CDTF">2016-02-24T17:31:00Z</dcterms:created>
  <dcterms:modified xsi:type="dcterms:W3CDTF">2016-07-25T11:57:00Z</dcterms:modified>
</cp:coreProperties>
</file>