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6BD3A" w14:textId="77777777" w:rsidR="008934CC" w:rsidRDefault="005E4E00" w:rsidP="00A4521F">
      <w:pPr>
        <w:rPr>
          <w:b/>
        </w:rPr>
      </w:pPr>
      <w:r>
        <w:rPr>
          <w:b/>
        </w:rPr>
        <w:t xml:space="preserve">Section 64.1903, Obligations of </w:t>
      </w:r>
      <w:r w:rsidR="002E6283">
        <w:rPr>
          <w:b/>
        </w:rPr>
        <w:t>Independent</w:t>
      </w:r>
      <w:r w:rsidR="008934CC">
        <w:rPr>
          <w:b/>
        </w:rPr>
        <w:t xml:space="preserve"> </w:t>
      </w:r>
      <w:r>
        <w:rPr>
          <w:b/>
        </w:rPr>
        <w:t>Incumbent</w:t>
      </w:r>
      <w:r w:rsidR="008934CC">
        <w:rPr>
          <w:b/>
        </w:rPr>
        <w:tab/>
      </w:r>
      <w:r w:rsidR="008934CC">
        <w:rPr>
          <w:b/>
        </w:rPr>
        <w:tab/>
      </w:r>
      <w:r w:rsidR="008934CC">
        <w:rPr>
          <w:b/>
        </w:rPr>
        <w:tab/>
        <w:t>3060-0775</w:t>
      </w:r>
    </w:p>
    <w:p w14:paraId="4AD61C28" w14:textId="77777777" w:rsidR="008934CC" w:rsidRPr="004B62AF" w:rsidRDefault="008934CC" w:rsidP="00A4521F">
      <w:pPr>
        <w:rPr>
          <w:b/>
        </w:rPr>
      </w:pPr>
      <w:r w:rsidRPr="004B62AF">
        <w:rPr>
          <w:b/>
        </w:rPr>
        <w:t xml:space="preserve">Local Exchange Carriers (LECs) Subject to Rate of </w:t>
      </w:r>
      <w:r w:rsidRPr="004B62AF">
        <w:rPr>
          <w:b/>
        </w:rPr>
        <w:tab/>
      </w:r>
      <w:r w:rsidRPr="004B62AF">
        <w:rPr>
          <w:b/>
        </w:rPr>
        <w:tab/>
      </w:r>
      <w:r w:rsidRPr="004B62AF">
        <w:rPr>
          <w:b/>
        </w:rPr>
        <w:tab/>
        <w:t>June 2016</w:t>
      </w:r>
    </w:p>
    <w:p w14:paraId="13030C51" w14:textId="77777777" w:rsidR="008934CC" w:rsidRDefault="008934CC" w:rsidP="00A4521F">
      <w:pPr>
        <w:rPr>
          <w:b/>
        </w:rPr>
      </w:pPr>
      <w:r w:rsidRPr="004B62AF">
        <w:rPr>
          <w:b/>
        </w:rPr>
        <w:t xml:space="preserve">Return Regulation  </w:t>
      </w:r>
      <w:r w:rsidRPr="004B62AF">
        <w:rPr>
          <w:b/>
        </w:rPr>
        <w:tab/>
      </w:r>
      <w:r w:rsidRPr="004B62AF">
        <w:rPr>
          <w:b/>
        </w:rPr>
        <w:tab/>
      </w:r>
    </w:p>
    <w:p w14:paraId="76FC3479" w14:textId="77777777" w:rsidR="00190EE8" w:rsidRPr="00F54FD8" w:rsidRDefault="005E4E00" w:rsidP="00A4521F">
      <w:r>
        <w:rPr>
          <w:b/>
        </w:rPr>
        <w:t xml:space="preserve"> </w:t>
      </w:r>
      <w:r>
        <w:rPr>
          <w:b/>
        </w:rPr>
        <w:tab/>
      </w:r>
      <w:r>
        <w:rPr>
          <w:b/>
        </w:rPr>
        <w:tab/>
      </w:r>
      <w:r>
        <w:rPr>
          <w:b/>
        </w:rPr>
        <w:tab/>
      </w:r>
      <w:r>
        <w:rPr>
          <w:b/>
        </w:rPr>
        <w:tab/>
        <w:t xml:space="preserve">  </w:t>
      </w:r>
      <w:r w:rsidR="00BD525E">
        <w:rPr>
          <w:b/>
        </w:rPr>
        <w:t xml:space="preserve"> </w:t>
      </w:r>
      <w:r w:rsidR="00FA1D80" w:rsidRPr="004B62AF">
        <w:rPr>
          <w:b/>
        </w:rPr>
        <w:tab/>
      </w:r>
      <w:r w:rsidR="00FA1D80" w:rsidRPr="004B62AF">
        <w:rPr>
          <w:b/>
        </w:rPr>
        <w:tab/>
      </w:r>
      <w:r w:rsidR="00FA1D80" w:rsidRPr="004B62AF">
        <w:rPr>
          <w:b/>
        </w:rPr>
        <w:tab/>
      </w:r>
    </w:p>
    <w:p w14:paraId="4475F6E0" w14:textId="77777777" w:rsidR="00190EE8" w:rsidRDefault="00190EE8" w:rsidP="00190EE8">
      <w:pPr>
        <w:jc w:val="center"/>
      </w:pPr>
    </w:p>
    <w:p w14:paraId="7C8CBF05" w14:textId="77777777" w:rsidR="00190EE8" w:rsidRPr="00A4521F" w:rsidRDefault="00190EE8" w:rsidP="00190EE8">
      <w:pPr>
        <w:jc w:val="center"/>
        <w:rPr>
          <w:b/>
          <w:szCs w:val="24"/>
        </w:rPr>
      </w:pPr>
      <w:r w:rsidRPr="00A4521F">
        <w:rPr>
          <w:b/>
          <w:szCs w:val="24"/>
        </w:rPr>
        <w:t>SUPPORTING STATEMENT</w:t>
      </w:r>
    </w:p>
    <w:p w14:paraId="3E89263E" w14:textId="77777777" w:rsidR="00584F06" w:rsidRDefault="00584F06" w:rsidP="00081F5B">
      <w:pPr>
        <w:rPr>
          <w:b/>
          <w:szCs w:val="24"/>
          <w:u w:val="single"/>
        </w:rPr>
      </w:pPr>
    </w:p>
    <w:p w14:paraId="2E8CE314" w14:textId="77777777" w:rsidR="00584F06" w:rsidRDefault="00584F06" w:rsidP="00081F5B">
      <w:pPr>
        <w:rPr>
          <w:b/>
          <w:szCs w:val="24"/>
          <w:u w:val="single"/>
        </w:rPr>
      </w:pPr>
      <w:r w:rsidRPr="00584F06">
        <w:rPr>
          <w:szCs w:val="24"/>
        </w:rPr>
        <w:t>This collection is being submitted to</w:t>
      </w:r>
      <w:r w:rsidR="004C2365">
        <w:rPr>
          <w:szCs w:val="24"/>
        </w:rPr>
        <w:t xml:space="preserve"> the Office of Management and Budget (OMB) for approval for an extension of</w:t>
      </w:r>
      <w:r w:rsidRPr="00584F06">
        <w:rPr>
          <w:szCs w:val="24"/>
        </w:rPr>
        <w:t xml:space="preserve"> an existing collection.   </w:t>
      </w:r>
      <w:r w:rsidR="00890518" w:rsidRPr="00890518">
        <w:rPr>
          <w:color w:val="FF0000"/>
          <w:szCs w:val="24"/>
        </w:rPr>
        <w:t xml:space="preserve"> </w:t>
      </w:r>
      <w:r w:rsidR="00890518" w:rsidRPr="00890518">
        <w:rPr>
          <w:szCs w:val="24"/>
        </w:rPr>
        <w:t xml:space="preserve">In May of 2013, the Commission granted, in part, a petition for forbearance from the separate affiliate requirement, </w:t>
      </w:r>
      <w:hyperlink r:id="rId8" w:history="1">
        <w:r w:rsidR="00890518" w:rsidRPr="00890518">
          <w:rPr>
            <w:rStyle w:val="Hyperlink"/>
            <w:szCs w:val="24"/>
          </w:rPr>
          <w:t xml:space="preserve">47 C.F.R. § </w:t>
        </w:r>
        <w:r w:rsidR="00890518" w:rsidRPr="00890518">
          <w:rPr>
            <w:rStyle w:val="Hyperlink"/>
            <w:bCs/>
            <w:szCs w:val="24"/>
          </w:rPr>
          <w:t>64</w:t>
        </w:r>
        <w:r w:rsidR="00890518" w:rsidRPr="00890518">
          <w:rPr>
            <w:rStyle w:val="Hyperlink"/>
            <w:szCs w:val="24"/>
          </w:rPr>
          <w:t>.</w:t>
        </w:r>
        <w:r w:rsidR="00890518" w:rsidRPr="00890518">
          <w:rPr>
            <w:rStyle w:val="Hyperlink"/>
            <w:bCs/>
            <w:szCs w:val="24"/>
          </w:rPr>
          <w:t>1903</w:t>
        </w:r>
      </w:hyperlink>
      <w:r w:rsidR="00890518" w:rsidRPr="00890518">
        <w:rPr>
          <w:szCs w:val="24"/>
        </w:rPr>
        <w:t xml:space="preserve">, for independent incumbent local exchange carriers (LECs) that are subject to price cap regulation and adopted a Second Further Notice of Proposed Rulemaking to consider modifying or eliminating the separate affiliate requirement for independent incumbent LECs that are subject to rate-of-return regulation, </w:t>
      </w:r>
      <w:r w:rsidR="00890518" w:rsidRPr="00890518">
        <w:rPr>
          <w:i/>
          <w:szCs w:val="24"/>
        </w:rPr>
        <w:t xml:space="preserve">see </w:t>
      </w:r>
      <w:r w:rsidR="00890518" w:rsidRPr="00A4521F">
        <w:rPr>
          <w:szCs w:val="24"/>
          <w:u w:val="single"/>
        </w:rPr>
        <w:t xml:space="preserve">Petition of USTelecom for Forbearance Under </w:t>
      </w:r>
      <w:r w:rsidR="00890518" w:rsidRPr="007D4943">
        <w:rPr>
          <w:szCs w:val="24"/>
          <w:u w:val="single"/>
        </w:rPr>
        <w:t>47 U.S.C. § 160(C) From Enforcement of Certain Legacy Telecommunications Regulations</w:t>
      </w:r>
      <w:r w:rsidR="00890518" w:rsidRPr="00890518">
        <w:rPr>
          <w:szCs w:val="24"/>
        </w:rPr>
        <w:t>, 28 FCC Rcd 7627 (2013).  Accordingly, there has been a change to recordkeeping requirement and the Commission’s previous burden estimates.</w:t>
      </w:r>
    </w:p>
    <w:p w14:paraId="6DF045D6" w14:textId="77777777" w:rsidR="004B62AF" w:rsidRDefault="004B62AF" w:rsidP="00081F5B">
      <w:pPr>
        <w:rPr>
          <w:b/>
          <w:szCs w:val="24"/>
          <w:u w:val="single"/>
        </w:rPr>
      </w:pPr>
    </w:p>
    <w:p w14:paraId="35B41F33" w14:textId="77777777" w:rsidR="00081F5B" w:rsidRPr="006803C5" w:rsidRDefault="00081F5B" w:rsidP="00081F5B">
      <w:pPr>
        <w:rPr>
          <w:szCs w:val="24"/>
          <w:u w:val="single"/>
        </w:rPr>
      </w:pPr>
      <w:r w:rsidRPr="006803C5">
        <w:rPr>
          <w:b/>
          <w:szCs w:val="24"/>
          <w:u w:val="single"/>
        </w:rPr>
        <w:t>A. Justification:</w:t>
      </w:r>
    </w:p>
    <w:p w14:paraId="5A1DB620" w14:textId="77777777" w:rsidR="00081F5B" w:rsidRDefault="00081F5B" w:rsidP="00081F5B">
      <w:pPr>
        <w:rPr>
          <w:szCs w:val="24"/>
        </w:rPr>
      </w:pPr>
    </w:p>
    <w:p w14:paraId="40E0D838" w14:textId="77777777" w:rsidR="00584F06" w:rsidRDefault="006803C5" w:rsidP="00584F06">
      <w:pPr>
        <w:numPr>
          <w:ilvl w:val="0"/>
          <w:numId w:val="1"/>
        </w:numPr>
        <w:rPr>
          <w:szCs w:val="24"/>
        </w:rPr>
      </w:pPr>
      <w:r>
        <w:rPr>
          <w:szCs w:val="24"/>
        </w:rPr>
        <w:t xml:space="preserve">In CC Docket Nos. </w:t>
      </w:r>
      <w:r w:rsidR="00081F5B">
        <w:rPr>
          <w:szCs w:val="24"/>
        </w:rPr>
        <w:t>9</w:t>
      </w:r>
      <w:r w:rsidR="007B6883">
        <w:rPr>
          <w:szCs w:val="24"/>
        </w:rPr>
        <w:t>6-149,</w:t>
      </w:r>
      <w:r w:rsidR="00081F5B">
        <w:rPr>
          <w:szCs w:val="24"/>
        </w:rPr>
        <w:t xml:space="preserve"> 96-61</w:t>
      </w:r>
      <w:r w:rsidR="007B6883">
        <w:rPr>
          <w:szCs w:val="24"/>
        </w:rPr>
        <w:t xml:space="preserve"> and </w:t>
      </w:r>
      <w:r w:rsidR="007B6883" w:rsidRPr="004B62AF">
        <w:rPr>
          <w:szCs w:val="24"/>
        </w:rPr>
        <w:t>00-175</w:t>
      </w:r>
      <w:r w:rsidR="00081F5B">
        <w:rPr>
          <w:szCs w:val="24"/>
        </w:rPr>
        <w:t>,</w:t>
      </w:r>
      <w:r w:rsidR="0048091F">
        <w:rPr>
          <w:szCs w:val="24"/>
        </w:rPr>
        <w:t xml:space="preserve"> </w:t>
      </w:r>
      <w:r w:rsidR="00081F5B">
        <w:rPr>
          <w:szCs w:val="24"/>
        </w:rPr>
        <w:t>the Commission imposed recordkeeping requirements on independent local exchange ca</w:t>
      </w:r>
      <w:r w:rsidR="00676A18">
        <w:rPr>
          <w:szCs w:val="24"/>
        </w:rPr>
        <w:t xml:space="preserve">rriers (LECs).  Independent </w:t>
      </w:r>
      <w:r w:rsidR="00F54FD8">
        <w:rPr>
          <w:szCs w:val="24"/>
        </w:rPr>
        <w:t xml:space="preserve">incumbent </w:t>
      </w:r>
      <w:r w:rsidR="00676A18">
        <w:rPr>
          <w:szCs w:val="24"/>
        </w:rPr>
        <w:t>LEC</w:t>
      </w:r>
      <w:r w:rsidR="00081F5B">
        <w:rPr>
          <w:szCs w:val="24"/>
        </w:rPr>
        <w:t xml:space="preserve">s </w:t>
      </w:r>
      <w:r w:rsidR="00285445" w:rsidRPr="004B62AF">
        <w:rPr>
          <w:szCs w:val="24"/>
        </w:rPr>
        <w:t>subject to rate-or-return regulations and</w:t>
      </w:r>
      <w:r w:rsidR="00285445">
        <w:rPr>
          <w:szCs w:val="24"/>
        </w:rPr>
        <w:t xml:space="preserve"> </w:t>
      </w:r>
      <w:r w:rsidR="00081F5B">
        <w:rPr>
          <w:szCs w:val="24"/>
        </w:rPr>
        <w:t xml:space="preserve">wishing to offer international, interexchange services must comply with the requirements of the </w:t>
      </w:r>
      <w:r w:rsidR="00081F5B">
        <w:rPr>
          <w:szCs w:val="24"/>
          <w:u w:val="single"/>
        </w:rPr>
        <w:t>Competitive Carrier Fifth Report and Order</w:t>
      </w:r>
      <w:r w:rsidR="00081F5B">
        <w:rPr>
          <w:szCs w:val="24"/>
        </w:rPr>
        <w:t xml:space="preserve"> in order to do so.  One of these requirements is that the inde</w:t>
      </w:r>
      <w:r w:rsidR="00F54FD8">
        <w:rPr>
          <w:szCs w:val="24"/>
        </w:rPr>
        <w:t>pendent incumbent LEC</w:t>
      </w:r>
      <w:r w:rsidR="00081F5B">
        <w:rPr>
          <w:szCs w:val="24"/>
        </w:rPr>
        <w:t>’s international, interexchange affiliate</w:t>
      </w:r>
      <w:r w:rsidR="0056192A">
        <w:rPr>
          <w:szCs w:val="24"/>
        </w:rPr>
        <w:t xml:space="preserve"> (for facilities-based providers of international, interexchange services) or division (for resellers of international, interexchange services) </w:t>
      </w:r>
      <w:r w:rsidR="00081F5B">
        <w:rPr>
          <w:szCs w:val="24"/>
        </w:rPr>
        <w:t>must maintain books of</w:t>
      </w:r>
      <w:r w:rsidR="00676A18">
        <w:rPr>
          <w:szCs w:val="24"/>
        </w:rPr>
        <w:t xml:space="preserve"> account separate from such LEC</w:t>
      </w:r>
      <w:r w:rsidR="00081F5B">
        <w:rPr>
          <w:szCs w:val="24"/>
        </w:rPr>
        <w:t>’</w:t>
      </w:r>
      <w:r w:rsidR="00676A18">
        <w:rPr>
          <w:szCs w:val="24"/>
        </w:rPr>
        <w:t>s</w:t>
      </w:r>
      <w:r w:rsidR="00081F5B">
        <w:rPr>
          <w:szCs w:val="24"/>
        </w:rPr>
        <w:t xml:space="preserve"> local exchange and other activities.  See 47 CFR Section 64.1903</w:t>
      </w:r>
      <w:r w:rsidR="006421E4">
        <w:rPr>
          <w:szCs w:val="24"/>
        </w:rPr>
        <w:t xml:space="preserve"> for specific recordkeeping requirements</w:t>
      </w:r>
      <w:r w:rsidR="00081F5B">
        <w:rPr>
          <w:szCs w:val="24"/>
        </w:rPr>
        <w:t>.</w:t>
      </w:r>
    </w:p>
    <w:p w14:paraId="0CD3BA15" w14:textId="77777777" w:rsidR="00630A85" w:rsidRDefault="00630A85" w:rsidP="00630A85">
      <w:pPr>
        <w:ind w:left="360"/>
        <w:rPr>
          <w:szCs w:val="24"/>
        </w:rPr>
      </w:pPr>
    </w:p>
    <w:p w14:paraId="31967406" w14:textId="77777777" w:rsidR="00584F06" w:rsidRPr="00584F06" w:rsidRDefault="003A66C5" w:rsidP="00584F06">
      <w:pPr>
        <w:ind w:left="720"/>
        <w:rPr>
          <w:bCs/>
          <w:szCs w:val="24"/>
        </w:rPr>
      </w:pPr>
      <w:r>
        <w:rPr>
          <w:bCs/>
          <w:szCs w:val="24"/>
        </w:rPr>
        <w:t>T</w:t>
      </w:r>
      <w:r w:rsidR="00584F06" w:rsidRPr="00584F06">
        <w:rPr>
          <w:bCs/>
          <w:szCs w:val="24"/>
        </w:rPr>
        <w:t>his information collection does not affect individuals or households; thus, there are no impacts under the Privacy Act.</w:t>
      </w:r>
    </w:p>
    <w:p w14:paraId="73EDCD16" w14:textId="77777777" w:rsidR="00584F06" w:rsidRDefault="00584F06" w:rsidP="006803C5">
      <w:pPr>
        <w:ind w:left="720"/>
        <w:rPr>
          <w:szCs w:val="24"/>
        </w:rPr>
      </w:pPr>
    </w:p>
    <w:p w14:paraId="04E1CD11" w14:textId="77777777" w:rsidR="006803C5" w:rsidRDefault="006803C5" w:rsidP="006803C5">
      <w:pPr>
        <w:ind w:left="720"/>
        <w:rPr>
          <w:szCs w:val="24"/>
        </w:rPr>
      </w:pPr>
      <w:r>
        <w:rPr>
          <w:szCs w:val="24"/>
        </w:rPr>
        <w:t>Statutory authority for this information collection is:  Sections 1, 2, 4, 201, 202, 251, 271, 272, and 303(r) of the Communications Act as amended, 47 U.S.C. §§</w:t>
      </w:r>
      <w:r w:rsidR="006B5DC5">
        <w:rPr>
          <w:szCs w:val="24"/>
        </w:rPr>
        <w:t> </w:t>
      </w:r>
      <w:r>
        <w:rPr>
          <w:szCs w:val="24"/>
        </w:rPr>
        <w:t>151, 152, 154, 201, 202, 251, 271, 272, and 303(r).</w:t>
      </w:r>
    </w:p>
    <w:p w14:paraId="6584B341" w14:textId="77777777" w:rsidR="006803C5" w:rsidRDefault="006803C5" w:rsidP="006803C5">
      <w:pPr>
        <w:ind w:left="720"/>
        <w:rPr>
          <w:szCs w:val="24"/>
        </w:rPr>
      </w:pPr>
    </w:p>
    <w:p w14:paraId="2EDDB9A7" w14:textId="77777777" w:rsidR="00081F5B" w:rsidRDefault="00081F5B" w:rsidP="00081F5B">
      <w:pPr>
        <w:numPr>
          <w:ilvl w:val="0"/>
          <w:numId w:val="1"/>
        </w:numPr>
        <w:rPr>
          <w:szCs w:val="24"/>
        </w:rPr>
      </w:pPr>
      <w:r>
        <w:rPr>
          <w:szCs w:val="24"/>
        </w:rPr>
        <w:t xml:space="preserve">This recordkeeping </w:t>
      </w:r>
      <w:r w:rsidR="00C54CFD">
        <w:rPr>
          <w:szCs w:val="24"/>
        </w:rPr>
        <w:t>requirement</w:t>
      </w:r>
      <w:r>
        <w:rPr>
          <w:szCs w:val="24"/>
        </w:rPr>
        <w:t xml:space="preserve"> is used by the Commission to ensure that inde</w:t>
      </w:r>
      <w:r w:rsidR="00F54FD8">
        <w:rPr>
          <w:szCs w:val="24"/>
        </w:rPr>
        <w:t xml:space="preserve">pendent </w:t>
      </w:r>
      <w:r w:rsidR="006B5DC5">
        <w:rPr>
          <w:szCs w:val="24"/>
        </w:rPr>
        <w:t>incumbent</w:t>
      </w:r>
      <w:r w:rsidR="00F54FD8">
        <w:rPr>
          <w:szCs w:val="24"/>
        </w:rPr>
        <w:t xml:space="preserve"> LEC</w:t>
      </w:r>
      <w:r>
        <w:rPr>
          <w:szCs w:val="24"/>
        </w:rPr>
        <w:t xml:space="preserve">s </w:t>
      </w:r>
      <w:r w:rsidR="000F556E" w:rsidRPr="004B62AF">
        <w:rPr>
          <w:szCs w:val="24"/>
        </w:rPr>
        <w:t xml:space="preserve">subject to rate-or-return regulations </w:t>
      </w:r>
      <w:r w:rsidR="006B5DC5" w:rsidRPr="004B62AF">
        <w:rPr>
          <w:szCs w:val="24"/>
        </w:rPr>
        <w:t>t</w:t>
      </w:r>
      <w:r w:rsidR="006B5DC5">
        <w:rPr>
          <w:szCs w:val="24"/>
        </w:rPr>
        <w:t xml:space="preserve">hat </w:t>
      </w:r>
      <w:r>
        <w:rPr>
          <w:szCs w:val="24"/>
        </w:rPr>
        <w:t>provid</w:t>
      </w:r>
      <w:r w:rsidR="006B5DC5">
        <w:rPr>
          <w:szCs w:val="24"/>
        </w:rPr>
        <w:t xml:space="preserve">e </w:t>
      </w:r>
      <w:r>
        <w:rPr>
          <w:szCs w:val="24"/>
        </w:rPr>
        <w:t xml:space="preserve">international, interexchange services </w:t>
      </w:r>
      <w:r w:rsidR="006B5DC5">
        <w:rPr>
          <w:szCs w:val="24"/>
        </w:rPr>
        <w:t xml:space="preserve">do so </w:t>
      </w:r>
      <w:r>
        <w:rPr>
          <w:szCs w:val="24"/>
        </w:rPr>
        <w:t xml:space="preserve">in compliance with the </w:t>
      </w:r>
      <w:r w:rsidR="0084203F">
        <w:rPr>
          <w:szCs w:val="24"/>
        </w:rPr>
        <w:t>C</w:t>
      </w:r>
      <w:r>
        <w:rPr>
          <w:szCs w:val="24"/>
        </w:rPr>
        <w:t>ommunications Act, as amended, and with Commission policies and regulations.</w:t>
      </w:r>
    </w:p>
    <w:p w14:paraId="0B280ADF" w14:textId="77777777" w:rsidR="006803C5" w:rsidRDefault="006803C5" w:rsidP="006803C5">
      <w:pPr>
        <w:ind w:left="360"/>
        <w:rPr>
          <w:szCs w:val="24"/>
        </w:rPr>
      </w:pPr>
    </w:p>
    <w:p w14:paraId="1A35C044" w14:textId="77777777" w:rsidR="00081F5B" w:rsidRDefault="00081F5B" w:rsidP="00081F5B">
      <w:pPr>
        <w:numPr>
          <w:ilvl w:val="0"/>
          <w:numId w:val="1"/>
        </w:numPr>
        <w:rPr>
          <w:szCs w:val="24"/>
        </w:rPr>
      </w:pPr>
      <w:r>
        <w:rPr>
          <w:szCs w:val="24"/>
        </w:rPr>
        <w:lastRenderedPageBreak/>
        <w:t>This recordkeeping collection requires no more than conventional accounting methods, some of which may include automated, electronic, mechanical, or other technological collection techniques, at the discretion of the carrier.</w:t>
      </w:r>
    </w:p>
    <w:p w14:paraId="1B1DAD79" w14:textId="77777777" w:rsidR="006803C5" w:rsidRDefault="006803C5" w:rsidP="006803C5">
      <w:pPr>
        <w:rPr>
          <w:szCs w:val="24"/>
        </w:rPr>
      </w:pPr>
    </w:p>
    <w:p w14:paraId="5C94BA58" w14:textId="77777777" w:rsidR="00081F5B" w:rsidRDefault="00081F5B" w:rsidP="00081F5B">
      <w:pPr>
        <w:numPr>
          <w:ilvl w:val="0"/>
          <w:numId w:val="1"/>
        </w:numPr>
        <w:rPr>
          <w:szCs w:val="24"/>
        </w:rPr>
      </w:pPr>
      <w:r>
        <w:rPr>
          <w:szCs w:val="24"/>
        </w:rPr>
        <w:t>There will be no duplication of information.  The information sought is unique to each carrier.</w:t>
      </w:r>
    </w:p>
    <w:p w14:paraId="50BDB56F" w14:textId="77777777" w:rsidR="006803C5" w:rsidRDefault="006803C5" w:rsidP="006803C5">
      <w:pPr>
        <w:ind w:left="360"/>
        <w:rPr>
          <w:szCs w:val="24"/>
        </w:rPr>
      </w:pPr>
    </w:p>
    <w:p w14:paraId="18E639A5" w14:textId="77777777" w:rsidR="00081F5B" w:rsidRDefault="00081F5B" w:rsidP="00081F5B">
      <w:pPr>
        <w:numPr>
          <w:ilvl w:val="0"/>
          <w:numId w:val="1"/>
        </w:numPr>
        <w:rPr>
          <w:szCs w:val="24"/>
        </w:rPr>
      </w:pPr>
      <w:r>
        <w:rPr>
          <w:szCs w:val="24"/>
        </w:rPr>
        <w:t xml:space="preserve">The collection of information will </w:t>
      </w:r>
      <w:r w:rsidR="00103B90" w:rsidRPr="004B62AF">
        <w:rPr>
          <w:szCs w:val="24"/>
        </w:rPr>
        <w:t xml:space="preserve">affect </w:t>
      </w:r>
      <w:r w:rsidRPr="004B62AF">
        <w:rPr>
          <w:szCs w:val="24"/>
        </w:rPr>
        <w:t>all</w:t>
      </w:r>
      <w:r w:rsidR="00285445" w:rsidRPr="004B62AF">
        <w:rPr>
          <w:szCs w:val="24"/>
        </w:rPr>
        <w:t xml:space="preserve"> rate-of return,</w:t>
      </w:r>
      <w:r>
        <w:rPr>
          <w:szCs w:val="24"/>
        </w:rPr>
        <w:t xml:space="preserve"> inde</w:t>
      </w:r>
      <w:r w:rsidR="00F54FD8">
        <w:rPr>
          <w:szCs w:val="24"/>
        </w:rPr>
        <w:t xml:space="preserve">pendent </w:t>
      </w:r>
      <w:r w:rsidR="006B5DC5">
        <w:rPr>
          <w:szCs w:val="24"/>
        </w:rPr>
        <w:t>incumbent</w:t>
      </w:r>
      <w:r w:rsidR="00F54FD8">
        <w:rPr>
          <w:szCs w:val="24"/>
        </w:rPr>
        <w:t xml:space="preserve"> LEC</w:t>
      </w:r>
      <w:r>
        <w:rPr>
          <w:szCs w:val="24"/>
        </w:rPr>
        <w:t>s providing international, interexchange services, some of which may be small incumbent LECs.</w:t>
      </w:r>
    </w:p>
    <w:p w14:paraId="533E2C02" w14:textId="77777777" w:rsidR="006803C5" w:rsidRDefault="006803C5" w:rsidP="006803C5">
      <w:pPr>
        <w:rPr>
          <w:szCs w:val="24"/>
        </w:rPr>
      </w:pPr>
    </w:p>
    <w:p w14:paraId="132B23FE" w14:textId="77777777" w:rsidR="00081F5B" w:rsidRDefault="00081F5B" w:rsidP="00081F5B">
      <w:pPr>
        <w:numPr>
          <w:ilvl w:val="0"/>
          <w:numId w:val="1"/>
        </w:numPr>
        <w:rPr>
          <w:szCs w:val="24"/>
        </w:rPr>
      </w:pPr>
      <w:r>
        <w:rPr>
          <w:szCs w:val="24"/>
        </w:rPr>
        <w:t xml:space="preserve">This is a recordkeeping requirement.  If the collection </w:t>
      </w:r>
      <w:r w:rsidR="0084203F">
        <w:rPr>
          <w:szCs w:val="24"/>
        </w:rPr>
        <w:t>were not</w:t>
      </w:r>
      <w:r>
        <w:rPr>
          <w:szCs w:val="24"/>
        </w:rPr>
        <w:t xml:space="preserve"> conducted, </w:t>
      </w:r>
      <w:r w:rsidR="00676A18">
        <w:rPr>
          <w:szCs w:val="24"/>
        </w:rPr>
        <w:t>or were</w:t>
      </w:r>
      <w:r w:rsidR="0084203F">
        <w:rPr>
          <w:szCs w:val="24"/>
        </w:rPr>
        <w:t xml:space="preserve"> not </w:t>
      </w:r>
      <w:r w:rsidR="00676A18">
        <w:rPr>
          <w:szCs w:val="24"/>
        </w:rPr>
        <w:t>conducted frequently, it might</w:t>
      </w:r>
      <w:r>
        <w:rPr>
          <w:szCs w:val="24"/>
        </w:rPr>
        <w:t xml:space="preserve"> be more difficult for the Commission to promote the development of competition and protect against anticompetitive practices in the international, interexchange market, in accordance with the Communications Act, as amended, and with Commission policies and regulations.</w:t>
      </w:r>
    </w:p>
    <w:p w14:paraId="791083E3" w14:textId="77777777" w:rsidR="006803C5" w:rsidRDefault="006803C5" w:rsidP="006803C5">
      <w:pPr>
        <w:rPr>
          <w:szCs w:val="24"/>
        </w:rPr>
      </w:pPr>
    </w:p>
    <w:p w14:paraId="09A099A6" w14:textId="77777777" w:rsidR="00081F5B" w:rsidRDefault="00081F5B" w:rsidP="00081F5B">
      <w:pPr>
        <w:numPr>
          <w:ilvl w:val="0"/>
          <w:numId w:val="1"/>
        </w:numPr>
        <w:rPr>
          <w:szCs w:val="24"/>
        </w:rPr>
      </w:pPr>
      <w:r>
        <w:rPr>
          <w:szCs w:val="24"/>
        </w:rPr>
        <w:t>There are no special circumstances</w:t>
      </w:r>
      <w:r w:rsidR="00FA1D80">
        <w:rPr>
          <w:szCs w:val="24"/>
        </w:rPr>
        <w:t xml:space="preserve"> associated with this information collection</w:t>
      </w:r>
      <w:r>
        <w:rPr>
          <w:szCs w:val="24"/>
        </w:rPr>
        <w:t>.</w:t>
      </w:r>
    </w:p>
    <w:p w14:paraId="71332448" w14:textId="77777777" w:rsidR="006421E4" w:rsidRDefault="006421E4" w:rsidP="006421E4">
      <w:pPr>
        <w:rPr>
          <w:szCs w:val="24"/>
        </w:rPr>
      </w:pPr>
    </w:p>
    <w:p w14:paraId="5203DA16" w14:textId="12D44875" w:rsidR="00081F5B" w:rsidRPr="006B5DC5" w:rsidRDefault="006421E4" w:rsidP="006421E4">
      <w:pPr>
        <w:ind w:left="360"/>
        <w:rPr>
          <w:szCs w:val="24"/>
          <w:highlight w:val="yellow"/>
        </w:rPr>
      </w:pPr>
      <w:r>
        <w:rPr>
          <w:szCs w:val="24"/>
        </w:rPr>
        <w:t>8.   P</w:t>
      </w:r>
      <w:r w:rsidR="00081F5B" w:rsidRPr="00103B90">
        <w:rPr>
          <w:szCs w:val="24"/>
        </w:rPr>
        <w:t>ursuant to 5 CFR 1320.8</w:t>
      </w:r>
      <w:r w:rsidR="0048091F">
        <w:rPr>
          <w:szCs w:val="24"/>
        </w:rPr>
        <w:t>(d)</w:t>
      </w:r>
      <w:r w:rsidR="00081F5B" w:rsidRPr="00103B90">
        <w:rPr>
          <w:szCs w:val="24"/>
        </w:rPr>
        <w:t xml:space="preserve">, the </w:t>
      </w:r>
      <w:r w:rsidR="00103B90" w:rsidRPr="00103B90">
        <w:rPr>
          <w:szCs w:val="24"/>
        </w:rPr>
        <w:t>C</w:t>
      </w:r>
      <w:r w:rsidR="00081F5B" w:rsidRPr="00103B90">
        <w:rPr>
          <w:szCs w:val="24"/>
        </w:rPr>
        <w:t>ommission p</w:t>
      </w:r>
      <w:r w:rsidR="00066CED">
        <w:rPr>
          <w:szCs w:val="24"/>
        </w:rPr>
        <w:t>ublished</w:t>
      </w:r>
      <w:r w:rsidR="00081F5B" w:rsidRPr="00103B90">
        <w:rPr>
          <w:szCs w:val="24"/>
        </w:rPr>
        <w:t xml:space="preserve"> a notice</w:t>
      </w:r>
      <w:r w:rsidR="00494797" w:rsidRPr="00103B90">
        <w:rPr>
          <w:szCs w:val="24"/>
        </w:rPr>
        <w:t xml:space="preserve"> in the Federal Register. </w:t>
      </w:r>
      <w:r w:rsidR="00676A18" w:rsidRPr="00103B90">
        <w:rPr>
          <w:szCs w:val="24"/>
        </w:rPr>
        <w:t xml:space="preserve"> </w:t>
      </w:r>
      <w:r w:rsidR="00494797" w:rsidRPr="00103B90">
        <w:rPr>
          <w:szCs w:val="24"/>
        </w:rPr>
        <w:t>See</w:t>
      </w:r>
      <w:r w:rsidR="00584F06" w:rsidRPr="00103B90">
        <w:rPr>
          <w:szCs w:val="24"/>
        </w:rPr>
        <w:t xml:space="preserve"> </w:t>
      </w:r>
      <w:r w:rsidR="0050382B">
        <w:rPr>
          <w:szCs w:val="24"/>
        </w:rPr>
        <w:t>81</w:t>
      </w:r>
      <w:r w:rsidR="00D143EA" w:rsidRPr="004B62AF">
        <w:rPr>
          <w:szCs w:val="24"/>
        </w:rPr>
        <w:t xml:space="preserve"> </w:t>
      </w:r>
      <w:r w:rsidR="00103B90" w:rsidRPr="004B62AF">
        <w:rPr>
          <w:szCs w:val="24"/>
        </w:rPr>
        <w:t xml:space="preserve">FR </w:t>
      </w:r>
      <w:r w:rsidR="0050382B">
        <w:rPr>
          <w:szCs w:val="24"/>
        </w:rPr>
        <w:t>11563</w:t>
      </w:r>
      <w:r w:rsidR="004C2365" w:rsidRPr="004B62AF">
        <w:rPr>
          <w:szCs w:val="24"/>
        </w:rPr>
        <w:t>,</w:t>
      </w:r>
      <w:r w:rsidR="00103B90">
        <w:rPr>
          <w:szCs w:val="24"/>
        </w:rPr>
        <w:t xml:space="preserve"> </w:t>
      </w:r>
      <w:r w:rsidR="00584F06" w:rsidRPr="00103B90">
        <w:rPr>
          <w:szCs w:val="24"/>
        </w:rPr>
        <w:t xml:space="preserve">dated </w:t>
      </w:r>
      <w:r w:rsidR="00FA1D80">
        <w:rPr>
          <w:szCs w:val="24"/>
        </w:rPr>
        <w:t xml:space="preserve">March </w:t>
      </w:r>
      <w:r w:rsidR="0050382B">
        <w:rPr>
          <w:szCs w:val="24"/>
        </w:rPr>
        <w:t>4</w:t>
      </w:r>
      <w:r w:rsidR="00D143EA" w:rsidRPr="004B62AF">
        <w:rPr>
          <w:szCs w:val="24"/>
        </w:rPr>
        <w:t>, 201</w:t>
      </w:r>
      <w:r w:rsidR="008C039C" w:rsidRPr="004B62AF">
        <w:rPr>
          <w:szCs w:val="24"/>
        </w:rPr>
        <w:t>6</w:t>
      </w:r>
      <w:r w:rsidR="009875C9">
        <w:rPr>
          <w:szCs w:val="24"/>
        </w:rPr>
        <w:t xml:space="preserve">.  </w:t>
      </w:r>
      <w:bookmarkStart w:id="0" w:name="_GoBack"/>
      <w:bookmarkEnd w:id="0"/>
      <w:r w:rsidR="00081F5B" w:rsidRPr="00103B90">
        <w:rPr>
          <w:szCs w:val="24"/>
        </w:rPr>
        <w:t xml:space="preserve">No </w:t>
      </w:r>
      <w:r w:rsidR="004C2365">
        <w:rPr>
          <w:szCs w:val="24"/>
        </w:rPr>
        <w:t xml:space="preserve">PRA </w:t>
      </w:r>
      <w:r w:rsidR="00081F5B" w:rsidRPr="00103B90">
        <w:rPr>
          <w:szCs w:val="24"/>
        </w:rPr>
        <w:t>comments were received.</w:t>
      </w:r>
      <w:r w:rsidR="00103B90" w:rsidRPr="00103B90">
        <w:rPr>
          <w:szCs w:val="24"/>
        </w:rPr>
        <w:t xml:space="preserve">  </w:t>
      </w:r>
    </w:p>
    <w:p w14:paraId="78D2689D" w14:textId="77777777" w:rsidR="006803C5" w:rsidRDefault="006803C5" w:rsidP="006803C5">
      <w:pPr>
        <w:rPr>
          <w:szCs w:val="24"/>
        </w:rPr>
      </w:pPr>
    </w:p>
    <w:p w14:paraId="3B043B15" w14:textId="77777777" w:rsidR="00081F5B" w:rsidRDefault="006421E4" w:rsidP="006421E4">
      <w:pPr>
        <w:ind w:left="360"/>
        <w:rPr>
          <w:szCs w:val="24"/>
        </w:rPr>
      </w:pPr>
      <w:r>
        <w:rPr>
          <w:szCs w:val="24"/>
        </w:rPr>
        <w:t xml:space="preserve">9.   </w:t>
      </w:r>
      <w:r w:rsidR="00494797">
        <w:rPr>
          <w:szCs w:val="24"/>
        </w:rPr>
        <w:t>The</w:t>
      </w:r>
      <w:r w:rsidR="00081F5B">
        <w:rPr>
          <w:szCs w:val="24"/>
        </w:rPr>
        <w:t xml:space="preserve"> Commission does not anticipate providing any</w:t>
      </w:r>
      <w:r w:rsidR="006803C5">
        <w:rPr>
          <w:szCs w:val="24"/>
        </w:rPr>
        <w:t xml:space="preserve"> payment or gift to respondents.</w:t>
      </w:r>
    </w:p>
    <w:p w14:paraId="2C5B6BC6" w14:textId="77777777" w:rsidR="006803C5" w:rsidRDefault="006803C5" w:rsidP="006803C5">
      <w:pPr>
        <w:rPr>
          <w:szCs w:val="24"/>
        </w:rPr>
      </w:pPr>
    </w:p>
    <w:p w14:paraId="4A4247EC" w14:textId="77777777" w:rsidR="00081F5B" w:rsidRDefault="006421E4" w:rsidP="006421E4">
      <w:pPr>
        <w:ind w:left="360"/>
        <w:rPr>
          <w:szCs w:val="24"/>
        </w:rPr>
      </w:pPr>
      <w:r>
        <w:rPr>
          <w:szCs w:val="24"/>
        </w:rPr>
        <w:t xml:space="preserve">10.  </w:t>
      </w:r>
      <w:r w:rsidR="00494797">
        <w:rPr>
          <w:szCs w:val="24"/>
        </w:rPr>
        <w:t>The</w:t>
      </w:r>
      <w:r w:rsidR="00081F5B">
        <w:rPr>
          <w:szCs w:val="24"/>
        </w:rPr>
        <w:t xml:space="preserve"> Commission is not requesting respondents to submit confidential information to the Commission.  This is a recordkeeping requirement.</w:t>
      </w:r>
    </w:p>
    <w:p w14:paraId="6BCDFD07" w14:textId="77777777" w:rsidR="006803C5" w:rsidRDefault="006803C5" w:rsidP="006803C5">
      <w:pPr>
        <w:rPr>
          <w:szCs w:val="24"/>
        </w:rPr>
      </w:pPr>
    </w:p>
    <w:p w14:paraId="5870DCA5" w14:textId="77777777" w:rsidR="00081F5B" w:rsidRDefault="006421E4" w:rsidP="006421E4">
      <w:pPr>
        <w:ind w:left="360"/>
        <w:rPr>
          <w:szCs w:val="24"/>
        </w:rPr>
      </w:pPr>
      <w:r>
        <w:rPr>
          <w:szCs w:val="24"/>
        </w:rPr>
        <w:t xml:space="preserve">11.  </w:t>
      </w:r>
      <w:r w:rsidR="00081F5B">
        <w:rPr>
          <w:szCs w:val="24"/>
        </w:rPr>
        <w:t>There are no questions of a sensitive nature with respect to the information collected.</w:t>
      </w:r>
    </w:p>
    <w:p w14:paraId="7CCD7D61" w14:textId="77777777" w:rsidR="006803C5" w:rsidRDefault="006803C5" w:rsidP="006803C5">
      <w:pPr>
        <w:rPr>
          <w:szCs w:val="24"/>
        </w:rPr>
      </w:pPr>
    </w:p>
    <w:p w14:paraId="724FF177" w14:textId="77777777" w:rsidR="00A55F7E" w:rsidRDefault="00A55F7E" w:rsidP="00A55F7E">
      <w:pPr>
        <w:numPr>
          <w:ilvl w:val="0"/>
          <w:numId w:val="3"/>
        </w:numPr>
        <w:rPr>
          <w:szCs w:val="24"/>
        </w:rPr>
      </w:pPr>
      <w:r>
        <w:rPr>
          <w:szCs w:val="24"/>
        </w:rPr>
        <w:t xml:space="preserve">Respondent Burden:  </w:t>
      </w:r>
    </w:p>
    <w:p w14:paraId="7FEF4C8D" w14:textId="77777777" w:rsidR="00A55F7E" w:rsidRDefault="00A55F7E" w:rsidP="00A55F7E">
      <w:pPr>
        <w:ind w:left="360"/>
        <w:rPr>
          <w:szCs w:val="24"/>
        </w:rPr>
      </w:pPr>
    </w:p>
    <w:p w14:paraId="1A58B3D6" w14:textId="77777777" w:rsidR="007A7120" w:rsidRDefault="00081F5B" w:rsidP="00A55F7E">
      <w:pPr>
        <w:ind w:left="360"/>
        <w:rPr>
          <w:szCs w:val="24"/>
        </w:rPr>
      </w:pPr>
      <w:r>
        <w:rPr>
          <w:szCs w:val="24"/>
        </w:rPr>
        <w:t>The following represents the estimates of hour burden of the recordkeeping</w:t>
      </w:r>
      <w:r w:rsidR="00B70CE1">
        <w:rPr>
          <w:szCs w:val="24"/>
        </w:rPr>
        <w:t xml:space="preserve"> requirement</w:t>
      </w:r>
      <w:r w:rsidR="006421E4">
        <w:rPr>
          <w:szCs w:val="24"/>
        </w:rPr>
        <w:t>s</w:t>
      </w:r>
      <w:r w:rsidR="00A342CC">
        <w:rPr>
          <w:szCs w:val="24"/>
        </w:rPr>
        <w:t xml:space="preserve">.  </w:t>
      </w:r>
      <w:r w:rsidR="0056192A">
        <w:rPr>
          <w:szCs w:val="24"/>
        </w:rPr>
        <w:t xml:space="preserve">We note that these costs may vary depending on whether the independent incumbent LEC provides international interexchange services on a facilities-based, as opposed to resale, basis.  </w:t>
      </w:r>
      <w:r w:rsidR="00502C02">
        <w:rPr>
          <w:szCs w:val="24"/>
        </w:rPr>
        <w:t xml:space="preserve">We </w:t>
      </w:r>
      <w:r w:rsidR="0056192A">
        <w:rPr>
          <w:szCs w:val="24"/>
        </w:rPr>
        <w:t xml:space="preserve">also </w:t>
      </w:r>
      <w:r w:rsidR="00502C02">
        <w:rPr>
          <w:szCs w:val="24"/>
        </w:rPr>
        <w:t>note that the Commission does not collect data tracking the number of independent incumbent LECs that enter, or participate in, the market for international, interexchange services</w:t>
      </w:r>
      <w:r w:rsidR="0056192A">
        <w:rPr>
          <w:szCs w:val="24"/>
        </w:rPr>
        <w:t xml:space="preserve">, or on the extent to which that entry, or participation, is on a facilities-based, as opposed to resale, basis.  </w:t>
      </w:r>
    </w:p>
    <w:p w14:paraId="57F7E0E6" w14:textId="77777777" w:rsidR="007A7120" w:rsidRDefault="007A7120" w:rsidP="007A7120">
      <w:pPr>
        <w:rPr>
          <w:szCs w:val="24"/>
        </w:rPr>
      </w:pPr>
    </w:p>
    <w:p w14:paraId="5B7BAE52" w14:textId="77777777" w:rsidR="00B70CE1" w:rsidRDefault="00B70CE1" w:rsidP="00982226">
      <w:pPr>
        <w:rPr>
          <w:szCs w:val="24"/>
        </w:rPr>
      </w:pPr>
    </w:p>
    <w:p w14:paraId="32DB66AB" w14:textId="77777777" w:rsidR="00B70CE1" w:rsidRDefault="00C236CE" w:rsidP="00A4521F">
      <w:pPr>
        <w:ind w:firstLine="360"/>
        <w:rPr>
          <w:szCs w:val="24"/>
        </w:rPr>
      </w:pPr>
      <w:r>
        <w:rPr>
          <w:szCs w:val="24"/>
        </w:rPr>
        <w:t xml:space="preserve">1.   </w:t>
      </w:r>
      <w:r w:rsidR="00B70CE1">
        <w:rPr>
          <w:szCs w:val="24"/>
        </w:rPr>
        <w:t>(a)</w:t>
      </w:r>
      <w:r w:rsidR="00B70CE1">
        <w:rPr>
          <w:szCs w:val="24"/>
        </w:rPr>
        <w:tab/>
        <w:t xml:space="preserve">Number of respondents:  Approximately </w:t>
      </w:r>
      <w:r>
        <w:rPr>
          <w:szCs w:val="24"/>
        </w:rPr>
        <w:t>5</w:t>
      </w:r>
    </w:p>
    <w:p w14:paraId="25FE70A9" w14:textId="77777777" w:rsidR="00B70CE1" w:rsidRDefault="00B70CE1" w:rsidP="00B70CE1">
      <w:pPr>
        <w:ind w:left="360" w:firstLine="360"/>
        <w:rPr>
          <w:szCs w:val="24"/>
        </w:rPr>
      </w:pPr>
      <w:r>
        <w:rPr>
          <w:szCs w:val="24"/>
        </w:rPr>
        <w:t>(b)</w:t>
      </w:r>
      <w:r>
        <w:rPr>
          <w:szCs w:val="24"/>
        </w:rPr>
        <w:tab/>
        <w:t xml:space="preserve">Frequency of response:  </w:t>
      </w:r>
      <w:r w:rsidR="006803C5">
        <w:rPr>
          <w:szCs w:val="24"/>
        </w:rPr>
        <w:t>Re</w:t>
      </w:r>
      <w:r>
        <w:rPr>
          <w:szCs w:val="24"/>
        </w:rPr>
        <w:t>cordkeeping requirement.</w:t>
      </w:r>
    </w:p>
    <w:p w14:paraId="2D34C243" w14:textId="77777777" w:rsidR="00B70CE1" w:rsidRPr="006B5DC5" w:rsidRDefault="00B70CE1" w:rsidP="00B70CE1">
      <w:pPr>
        <w:ind w:left="360" w:firstLine="360"/>
        <w:rPr>
          <w:szCs w:val="24"/>
        </w:rPr>
      </w:pPr>
      <w:r>
        <w:rPr>
          <w:szCs w:val="24"/>
        </w:rPr>
        <w:t>(c)</w:t>
      </w:r>
      <w:r>
        <w:rPr>
          <w:szCs w:val="24"/>
        </w:rPr>
        <w:tab/>
        <w:t xml:space="preserve">Annual hour burden:  6,056 </w:t>
      </w:r>
      <w:r w:rsidR="00C54CFD">
        <w:rPr>
          <w:szCs w:val="24"/>
        </w:rPr>
        <w:t xml:space="preserve">hours </w:t>
      </w:r>
      <w:r>
        <w:rPr>
          <w:szCs w:val="24"/>
        </w:rPr>
        <w:t xml:space="preserve">per respondent; </w:t>
      </w:r>
      <w:r w:rsidR="00C54CFD">
        <w:rPr>
          <w:szCs w:val="24"/>
        </w:rPr>
        <w:t xml:space="preserve"> </w:t>
      </w:r>
      <w:r w:rsidR="00C54CFD" w:rsidRPr="007A7120">
        <w:rPr>
          <w:szCs w:val="24"/>
        </w:rPr>
        <w:t xml:space="preserve"> 6,056 x </w:t>
      </w:r>
      <w:r w:rsidR="00C236CE">
        <w:rPr>
          <w:szCs w:val="24"/>
        </w:rPr>
        <w:t xml:space="preserve">5 </w:t>
      </w:r>
      <w:r w:rsidR="00C54CFD" w:rsidRPr="006B5DC5">
        <w:rPr>
          <w:szCs w:val="24"/>
        </w:rPr>
        <w:t xml:space="preserve">= </w:t>
      </w:r>
      <w:r w:rsidR="00C236CE">
        <w:rPr>
          <w:b/>
          <w:szCs w:val="24"/>
        </w:rPr>
        <w:t>30,280</w:t>
      </w:r>
      <w:r w:rsidR="00C54CFD" w:rsidRPr="000A67F8">
        <w:rPr>
          <w:b/>
          <w:szCs w:val="24"/>
        </w:rPr>
        <w:t xml:space="preserve"> hours</w:t>
      </w:r>
      <w:r w:rsidR="00C54CFD" w:rsidRPr="006B5DC5">
        <w:rPr>
          <w:szCs w:val="24"/>
        </w:rPr>
        <w:t xml:space="preserve"> total annual burden</w:t>
      </w:r>
      <w:r w:rsidRPr="006B5DC5">
        <w:rPr>
          <w:szCs w:val="24"/>
        </w:rPr>
        <w:t xml:space="preserve"> for all respondents.</w:t>
      </w:r>
    </w:p>
    <w:p w14:paraId="5C0D4706" w14:textId="77777777" w:rsidR="00B70CE1" w:rsidRDefault="00B70CE1" w:rsidP="00B70CE1">
      <w:pPr>
        <w:ind w:left="360" w:firstLine="360"/>
        <w:rPr>
          <w:szCs w:val="24"/>
        </w:rPr>
      </w:pPr>
      <w:r>
        <w:rPr>
          <w:szCs w:val="24"/>
        </w:rPr>
        <w:lastRenderedPageBreak/>
        <w:t>(d)</w:t>
      </w:r>
      <w:r w:rsidR="00676A18">
        <w:rPr>
          <w:szCs w:val="24"/>
        </w:rPr>
        <w:tab/>
      </w:r>
      <w:r>
        <w:rPr>
          <w:szCs w:val="24"/>
        </w:rPr>
        <w:t>Method of estimation of burden</w:t>
      </w:r>
      <w:r w:rsidR="000850CE">
        <w:rPr>
          <w:szCs w:val="24"/>
        </w:rPr>
        <w:t>:</w:t>
      </w:r>
      <w:r>
        <w:rPr>
          <w:szCs w:val="24"/>
        </w:rPr>
        <w:t xml:space="preserve">  In estimating the burd</w:t>
      </w:r>
      <w:r w:rsidR="000850CE">
        <w:rPr>
          <w:szCs w:val="24"/>
        </w:rPr>
        <w:t xml:space="preserve">en </w:t>
      </w:r>
      <w:r>
        <w:rPr>
          <w:szCs w:val="24"/>
        </w:rPr>
        <w:t>we used information contained in the</w:t>
      </w:r>
      <w:r w:rsidR="000850CE">
        <w:rPr>
          <w:szCs w:val="24"/>
        </w:rPr>
        <w:t xml:space="preserve"> </w:t>
      </w:r>
      <w:r w:rsidR="00B37BE3">
        <w:rPr>
          <w:szCs w:val="24"/>
        </w:rPr>
        <w:t>Part 32 Uniform System of Accounts (</w:t>
      </w:r>
      <w:r w:rsidR="00587A73">
        <w:rPr>
          <w:szCs w:val="24"/>
        </w:rPr>
        <w:t>“</w:t>
      </w:r>
      <w:r w:rsidR="00B37BE3">
        <w:rPr>
          <w:szCs w:val="24"/>
        </w:rPr>
        <w:t>USOA</w:t>
      </w:r>
      <w:r w:rsidR="00587A73">
        <w:rPr>
          <w:szCs w:val="24"/>
        </w:rPr>
        <w:t>”</w:t>
      </w:r>
      <w:r w:rsidR="00B37BE3">
        <w:rPr>
          <w:szCs w:val="24"/>
        </w:rPr>
        <w:t>)</w:t>
      </w:r>
      <w:r w:rsidR="000850CE">
        <w:rPr>
          <w:szCs w:val="24"/>
        </w:rPr>
        <w:t xml:space="preserve"> collection (3060-0</w:t>
      </w:r>
      <w:r w:rsidR="00C54CFD">
        <w:rPr>
          <w:szCs w:val="24"/>
        </w:rPr>
        <w:t xml:space="preserve">370).  We anticipate the recordkeeping </w:t>
      </w:r>
      <w:r w:rsidR="000850CE">
        <w:rPr>
          <w:szCs w:val="24"/>
        </w:rPr>
        <w:t>requirement not to</w:t>
      </w:r>
      <w:r w:rsidR="00B37BE3">
        <w:rPr>
          <w:szCs w:val="24"/>
        </w:rPr>
        <w:t xml:space="preserve"> exceed 25% of the burden associated with Part 32 Class B recor</w:t>
      </w:r>
      <w:r w:rsidR="000850CE">
        <w:rPr>
          <w:szCs w:val="24"/>
        </w:rPr>
        <w:t>d requirements.  W</w:t>
      </w:r>
      <w:r w:rsidR="00B37BE3">
        <w:rPr>
          <w:szCs w:val="24"/>
        </w:rPr>
        <w:t>e estimate</w:t>
      </w:r>
      <w:r w:rsidR="000850CE">
        <w:rPr>
          <w:szCs w:val="24"/>
        </w:rPr>
        <w:t xml:space="preserve"> that</w:t>
      </w:r>
      <w:r w:rsidR="00B37BE3">
        <w:rPr>
          <w:szCs w:val="24"/>
        </w:rPr>
        <w:t xml:space="preserve"> </w:t>
      </w:r>
      <w:r w:rsidR="00630A85">
        <w:rPr>
          <w:szCs w:val="24"/>
        </w:rPr>
        <w:t>10</w:t>
      </w:r>
      <w:r w:rsidR="00B37BE3">
        <w:rPr>
          <w:szCs w:val="24"/>
        </w:rPr>
        <w:t xml:space="preserve"> inde</w:t>
      </w:r>
      <w:r w:rsidR="00F54FD8">
        <w:rPr>
          <w:szCs w:val="24"/>
        </w:rPr>
        <w:t xml:space="preserve">pendent </w:t>
      </w:r>
      <w:r w:rsidR="006B5DC5">
        <w:rPr>
          <w:szCs w:val="24"/>
        </w:rPr>
        <w:t>incumbent</w:t>
      </w:r>
      <w:r w:rsidR="00F54FD8">
        <w:rPr>
          <w:szCs w:val="24"/>
        </w:rPr>
        <w:t xml:space="preserve"> LEC</w:t>
      </w:r>
      <w:r w:rsidR="00B37BE3">
        <w:rPr>
          <w:szCs w:val="24"/>
        </w:rPr>
        <w:t xml:space="preserve">s will enter the international, interexchange market </w:t>
      </w:r>
      <w:r w:rsidR="007A7120">
        <w:rPr>
          <w:szCs w:val="24"/>
        </w:rPr>
        <w:t xml:space="preserve">each year </w:t>
      </w:r>
      <w:r w:rsidR="00B37BE3">
        <w:rPr>
          <w:szCs w:val="24"/>
        </w:rPr>
        <w:t>by forming a separat</w:t>
      </w:r>
      <w:r w:rsidR="000850CE">
        <w:rPr>
          <w:szCs w:val="24"/>
        </w:rPr>
        <w:t>e</w:t>
      </w:r>
      <w:r w:rsidR="007A7120">
        <w:rPr>
          <w:szCs w:val="24"/>
        </w:rPr>
        <w:t xml:space="preserve"> </w:t>
      </w:r>
      <w:r w:rsidR="000850CE">
        <w:rPr>
          <w:szCs w:val="24"/>
        </w:rPr>
        <w:t>affiliate</w:t>
      </w:r>
      <w:r w:rsidR="006B5DC5">
        <w:rPr>
          <w:szCs w:val="24"/>
        </w:rPr>
        <w:t xml:space="preserve"> or division</w:t>
      </w:r>
      <w:r w:rsidR="0056192A">
        <w:rPr>
          <w:szCs w:val="24"/>
        </w:rPr>
        <w:t>.</w:t>
      </w:r>
    </w:p>
    <w:p w14:paraId="046AA459" w14:textId="77777777" w:rsidR="00B37BE3" w:rsidRDefault="00B37BE3" w:rsidP="00B70CE1">
      <w:pPr>
        <w:ind w:left="360" w:firstLine="360"/>
        <w:rPr>
          <w:szCs w:val="24"/>
        </w:rPr>
      </w:pPr>
      <w:r>
        <w:rPr>
          <w:szCs w:val="24"/>
        </w:rPr>
        <w:tab/>
        <w:t>(</w:t>
      </w:r>
      <w:r w:rsidR="00C236CE">
        <w:rPr>
          <w:szCs w:val="24"/>
        </w:rPr>
        <w:t>5</w:t>
      </w:r>
      <w:r>
        <w:rPr>
          <w:szCs w:val="24"/>
        </w:rPr>
        <w:t xml:space="preserve"> </w:t>
      </w:r>
      <w:r w:rsidR="006B5DC5">
        <w:rPr>
          <w:szCs w:val="24"/>
        </w:rPr>
        <w:t>entrants</w:t>
      </w:r>
      <w:r>
        <w:rPr>
          <w:szCs w:val="24"/>
        </w:rPr>
        <w:t xml:space="preserve">) x </w:t>
      </w:r>
      <w:r w:rsidR="000850CE">
        <w:rPr>
          <w:szCs w:val="24"/>
        </w:rPr>
        <w:t>6</w:t>
      </w:r>
      <w:r w:rsidR="000850CE" w:rsidRPr="00502C02">
        <w:rPr>
          <w:szCs w:val="24"/>
        </w:rPr>
        <w:t>,056</w:t>
      </w:r>
      <w:r w:rsidR="0084203F" w:rsidRPr="00502C02">
        <w:rPr>
          <w:szCs w:val="24"/>
        </w:rPr>
        <w:t xml:space="preserve"> = </w:t>
      </w:r>
      <w:r w:rsidR="00C236CE">
        <w:rPr>
          <w:szCs w:val="24"/>
        </w:rPr>
        <w:t>30,280</w:t>
      </w:r>
      <w:r w:rsidR="0084203F" w:rsidRPr="00502C02">
        <w:rPr>
          <w:szCs w:val="24"/>
        </w:rPr>
        <w:t xml:space="preserve"> </w:t>
      </w:r>
      <w:r w:rsidRPr="00502C02">
        <w:rPr>
          <w:szCs w:val="24"/>
        </w:rPr>
        <w:t xml:space="preserve">total </w:t>
      </w:r>
      <w:r w:rsidR="0084203F" w:rsidRPr="00502C02">
        <w:rPr>
          <w:szCs w:val="24"/>
        </w:rPr>
        <w:t xml:space="preserve">annual burden </w:t>
      </w:r>
      <w:r w:rsidRPr="00502C02">
        <w:rPr>
          <w:szCs w:val="24"/>
        </w:rPr>
        <w:t>hours</w:t>
      </w:r>
    </w:p>
    <w:p w14:paraId="0A2FA4C8" w14:textId="77777777" w:rsidR="00B37BE3" w:rsidRDefault="00B37BE3" w:rsidP="00B70CE1">
      <w:pPr>
        <w:ind w:left="360" w:firstLine="360"/>
        <w:rPr>
          <w:szCs w:val="24"/>
        </w:rPr>
      </w:pPr>
      <w:r>
        <w:rPr>
          <w:szCs w:val="24"/>
        </w:rPr>
        <w:t xml:space="preserve">(e) </w:t>
      </w:r>
      <w:r>
        <w:rPr>
          <w:szCs w:val="24"/>
        </w:rPr>
        <w:tab/>
      </w:r>
      <w:r>
        <w:rPr>
          <w:szCs w:val="24"/>
          <w:u w:val="single"/>
        </w:rPr>
        <w:t xml:space="preserve">Total estimates of </w:t>
      </w:r>
      <w:r w:rsidR="0018404B">
        <w:rPr>
          <w:szCs w:val="24"/>
          <w:u w:val="single"/>
        </w:rPr>
        <w:t xml:space="preserve">in-house </w:t>
      </w:r>
      <w:r>
        <w:rPr>
          <w:szCs w:val="24"/>
          <w:u w:val="single"/>
        </w:rPr>
        <w:t>cost to respondents for the hour burdens for collection of information</w:t>
      </w:r>
      <w:r w:rsidR="009B10C3">
        <w:rPr>
          <w:szCs w:val="24"/>
          <w:u w:val="single"/>
        </w:rPr>
        <w:t xml:space="preserve"> associated with initial compliance</w:t>
      </w:r>
      <w:r>
        <w:rPr>
          <w:szCs w:val="24"/>
          <w:u w:val="single"/>
        </w:rPr>
        <w:t>:</w:t>
      </w:r>
      <w:r>
        <w:rPr>
          <w:szCs w:val="24"/>
        </w:rPr>
        <w:t xml:space="preserve">  Assuming the affiliated companies use person</w:t>
      </w:r>
      <w:r w:rsidR="00D11F37">
        <w:rPr>
          <w:szCs w:val="24"/>
        </w:rPr>
        <w:t xml:space="preserve">nel comparable in pay to a </w:t>
      </w:r>
      <w:r w:rsidR="00D11F37" w:rsidRPr="004B62AF">
        <w:rPr>
          <w:szCs w:val="24"/>
        </w:rPr>
        <w:t>GS-12/Step 5 ($42.08),</w:t>
      </w:r>
      <w:r>
        <w:rPr>
          <w:szCs w:val="24"/>
        </w:rPr>
        <w:t xml:space="preserve"> Federal employee</w:t>
      </w:r>
      <w:r w:rsidR="009B10C3">
        <w:rPr>
          <w:szCs w:val="24"/>
        </w:rPr>
        <w:t>,</w:t>
      </w:r>
      <w:r w:rsidR="007A7120">
        <w:rPr>
          <w:szCs w:val="24"/>
        </w:rPr>
        <w:t xml:space="preserve"> including 30% for overhead</w:t>
      </w:r>
      <w:r>
        <w:rPr>
          <w:szCs w:val="24"/>
        </w:rPr>
        <w:t>, the cost estimate is as follows:</w:t>
      </w:r>
    </w:p>
    <w:p w14:paraId="60D133D8" w14:textId="77777777" w:rsidR="00B37BE3" w:rsidRDefault="000850CE" w:rsidP="00B70CE1">
      <w:pPr>
        <w:ind w:left="360" w:firstLine="360"/>
        <w:rPr>
          <w:szCs w:val="24"/>
        </w:rPr>
      </w:pPr>
      <w:r>
        <w:rPr>
          <w:szCs w:val="24"/>
        </w:rPr>
        <w:tab/>
      </w:r>
      <w:r w:rsidRPr="004B62AF">
        <w:rPr>
          <w:szCs w:val="24"/>
        </w:rPr>
        <w:t>(</w:t>
      </w:r>
      <w:r w:rsidR="00C236CE" w:rsidRPr="004B62AF">
        <w:rPr>
          <w:szCs w:val="24"/>
        </w:rPr>
        <w:t>5</w:t>
      </w:r>
      <w:r w:rsidRPr="004B62AF">
        <w:rPr>
          <w:szCs w:val="24"/>
        </w:rPr>
        <w:t xml:space="preserve"> </w:t>
      </w:r>
      <w:r w:rsidR="006B5DC5" w:rsidRPr="004B62AF">
        <w:rPr>
          <w:szCs w:val="24"/>
        </w:rPr>
        <w:t>entrant</w:t>
      </w:r>
      <w:r w:rsidR="00D928F7" w:rsidRPr="004B62AF">
        <w:rPr>
          <w:szCs w:val="24"/>
        </w:rPr>
        <w:t>s</w:t>
      </w:r>
      <w:r w:rsidRPr="004B62AF">
        <w:rPr>
          <w:szCs w:val="24"/>
        </w:rPr>
        <w:t>) x (6,056</w:t>
      </w:r>
      <w:r w:rsidR="00B37BE3" w:rsidRPr="004B62AF">
        <w:rPr>
          <w:szCs w:val="24"/>
        </w:rPr>
        <w:t xml:space="preserve"> hours</w:t>
      </w:r>
      <w:r w:rsidR="006B5DC5" w:rsidRPr="004B62AF">
        <w:rPr>
          <w:szCs w:val="24"/>
        </w:rPr>
        <w:t xml:space="preserve"> per entrant</w:t>
      </w:r>
      <w:r w:rsidR="00B37BE3" w:rsidRPr="004B62AF">
        <w:rPr>
          <w:szCs w:val="24"/>
        </w:rPr>
        <w:t>) x</w:t>
      </w:r>
      <w:r w:rsidRPr="004B62AF">
        <w:rPr>
          <w:szCs w:val="24"/>
        </w:rPr>
        <w:t xml:space="preserve"> ($</w:t>
      </w:r>
      <w:r w:rsidR="00D11F37" w:rsidRPr="004B62AF">
        <w:rPr>
          <w:szCs w:val="24"/>
        </w:rPr>
        <w:t>54.70</w:t>
      </w:r>
      <w:r w:rsidRPr="004B62AF">
        <w:rPr>
          <w:szCs w:val="24"/>
        </w:rPr>
        <w:t xml:space="preserve"> per hour) </w:t>
      </w:r>
      <w:r w:rsidR="00676A18" w:rsidRPr="004B62AF">
        <w:rPr>
          <w:szCs w:val="24"/>
        </w:rPr>
        <w:t xml:space="preserve">= </w:t>
      </w:r>
      <w:r w:rsidR="00676A18" w:rsidRPr="004B62AF">
        <w:rPr>
          <w:b/>
          <w:szCs w:val="24"/>
        </w:rPr>
        <w:t>$</w:t>
      </w:r>
      <w:r w:rsidR="00C236CE" w:rsidRPr="004B62AF">
        <w:rPr>
          <w:b/>
          <w:szCs w:val="24"/>
        </w:rPr>
        <w:t>1,656,316</w:t>
      </w:r>
    </w:p>
    <w:p w14:paraId="54BEBF3B" w14:textId="77777777" w:rsidR="003B0B53" w:rsidRDefault="003B0B53" w:rsidP="00420B3E">
      <w:pPr>
        <w:ind w:left="720"/>
        <w:rPr>
          <w:szCs w:val="24"/>
        </w:rPr>
      </w:pPr>
    </w:p>
    <w:p w14:paraId="34BB2B80" w14:textId="77777777" w:rsidR="00A342CC" w:rsidRDefault="00A342CC" w:rsidP="00A342CC">
      <w:pPr>
        <w:rPr>
          <w:b/>
          <w:szCs w:val="24"/>
        </w:rPr>
      </w:pPr>
    </w:p>
    <w:p w14:paraId="0B80AB04" w14:textId="77777777" w:rsidR="00A342CC" w:rsidRDefault="001E0B8A" w:rsidP="00A4521F">
      <w:pPr>
        <w:ind w:firstLine="360"/>
        <w:rPr>
          <w:szCs w:val="24"/>
        </w:rPr>
      </w:pPr>
      <w:r>
        <w:rPr>
          <w:szCs w:val="24"/>
        </w:rPr>
        <w:t xml:space="preserve">2.   </w:t>
      </w:r>
      <w:r w:rsidR="00A342CC">
        <w:rPr>
          <w:szCs w:val="24"/>
        </w:rPr>
        <w:t>(a)</w:t>
      </w:r>
      <w:r w:rsidR="00A342CC">
        <w:rPr>
          <w:szCs w:val="24"/>
        </w:rPr>
        <w:tab/>
        <w:t xml:space="preserve">Number of respondents:  Approximately </w:t>
      </w:r>
      <w:r w:rsidR="00C236CE">
        <w:rPr>
          <w:szCs w:val="24"/>
        </w:rPr>
        <w:t>250</w:t>
      </w:r>
      <w:r w:rsidR="00A342CC">
        <w:rPr>
          <w:szCs w:val="24"/>
        </w:rPr>
        <w:t>.</w:t>
      </w:r>
    </w:p>
    <w:p w14:paraId="622D5FF0" w14:textId="77777777" w:rsidR="00A342CC" w:rsidRDefault="00A342CC" w:rsidP="00A342CC">
      <w:pPr>
        <w:ind w:left="360" w:firstLine="360"/>
        <w:rPr>
          <w:szCs w:val="24"/>
        </w:rPr>
      </w:pPr>
      <w:r>
        <w:rPr>
          <w:szCs w:val="24"/>
        </w:rPr>
        <w:t>(b)</w:t>
      </w:r>
      <w:r>
        <w:rPr>
          <w:szCs w:val="24"/>
        </w:rPr>
        <w:tab/>
        <w:t>Frequency of response:  Recordkeeping requirement.</w:t>
      </w:r>
    </w:p>
    <w:p w14:paraId="01C66FD4" w14:textId="77777777" w:rsidR="00A342CC" w:rsidRPr="007A7120" w:rsidRDefault="00A342CC" w:rsidP="00A342CC">
      <w:pPr>
        <w:ind w:left="360" w:firstLine="360"/>
        <w:rPr>
          <w:szCs w:val="24"/>
        </w:rPr>
      </w:pPr>
      <w:r>
        <w:rPr>
          <w:szCs w:val="24"/>
        </w:rPr>
        <w:t>(c)</w:t>
      </w:r>
      <w:r>
        <w:rPr>
          <w:szCs w:val="24"/>
        </w:rPr>
        <w:tab/>
        <w:t xml:space="preserve">Annual hour burden:  </w:t>
      </w:r>
      <w:r w:rsidR="006B5DC5">
        <w:rPr>
          <w:szCs w:val="24"/>
        </w:rPr>
        <w:t>5</w:t>
      </w:r>
      <w:r>
        <w:rPr>
          <w:szCs w:val="24"/>
        </w:rPr>
        <w:t xml:space="preserve">00 hours per respondent;  </w:t>
      </w:r>
      <w:r w:rsidRPr="007A7120">
        <w:rPr>
          <w:szCs w:val="24"/>
        </w:rPr>
        <w:t xml:space="preserve"> </w:t>
      </w:r>
      <w:r w:rsidR="00C236CE">
        <w:rPr>
          <w:szCs w:val="24"/>
        </w:rPr>
        <w:t>250</w:t>
      </w:r>
      <w:r w:rsidRPr="007A7120">
        <w:rPr>
          <w:szCs w:val="24"/>
        </w:rPr>
        <w:t xml:space="preserve"> x </w:t>
      </w:r>
      <w:r>
        <w:rPr>
          <w:szCs w:val="24"/>
        </w:rPr>
        <w:t>50</w:t>
      </w:r>
      <w:r w:rsidRPr="007A7120">
        <w:rPr>
          <w:szCs w:val="24"/>
        </w:rPr>
        <w:t xml:space="preserve">0 = </w:t>
      </w:r>
      <w:r w:rsidR="00C236CE">
        <w:rPr>
          <w:b/>
          <w:szCs w:val="24"/>
        </w:rPr>
        <w:t>125,000</w:t>
      </w:r>
      <w:r w:rsidRPr="000A67F8">
        <w:rPr>
          <w:b/>
          <w:szCs w:val="24"/>
        </w:rPr>
        <w:t xml:space="preserve"> hours</w:t>
      </w:r>
      <w:r w:rsidRPr="007A7120">
        <w:rPr>
          <w:szCs w:val="24"/>
        </w:rPr>
        <w:t xml:space="preserve"> total annual burden for all respondents.</w:t>
      </w:r>
    </w:p>
    <w:p w14:paraId="34BCD23C" w14:textId="77777777" w:rsidR="00A342CC" w:rsidRDefault="00A342CC" w:rsidP="00A342CC">
      <w:pPr>
        <w:ind w:left="360" w:firstLine="360"/>
        <w:rPr>
          <w:szCs w:val="24"/>
        </w:rPr>
      </w:pPr>
      <w:r>
        <w:rPr>
          <w:szCs w:val="24"/>
        </w:rPr>
        <w:t>(d)</w:t>
      </w:r>
      <w:r>
        <w:rPr>
          <w:szCs w:val="24"/>
        </w:rPr>
        <w:tab/>
        <w:t>Method of estimation of burden:  We estimate that the burden of maintaining separate books of account is significantly less than the burden of initial implementation, particularly since many of the independent incumbent LECs that provide international, interexchange services do so through resale, which imposes lesser accounting burdens than does facilities-based operations.  We also estimate that approximately half of the companies that provide international, interexchange services are affiliated with incumbent LECs.</w:t>
      </w:r>
    </w:p>
    <w:p w14:paraId="4ADA26CF" w14:textId="77777777" w:rsidR="00A342CC" w:rsidRPr="009B10C3" w:rsidRDefault="00D928F7" w:rsidP="00D928F7">
      <w:pPr>
        <w:rPr>
          <w:szCs w:val="24"/>
        </w:rPr>
      </w:pPr>
      <w:r>
        <w:rPr>
          <w:szCs w:val="24"/>
        </w:rPr>
        <w:t xml:space="preserve">      </w:t>
      </w:r>
      <w:r w:rsidR="00A342CC">
        <w:rPr>
          <w:szCs w:val="24"/>
        </w:rPr>
        <w:t>(</w:t>
      </w:r>
      <w:r w:rsidR="00C236CE">
        <w:rPr>
          <w:szCs w:val="24"/>
        </w:rPr>
        <w:t>250</w:t>
      </w:r>
      <w:r w:rsidR="00A342CC">
        <w:rPr>
          <w:szCs w:val="24"/>
        </w:rPr>
        <w:t xml:space="preserve"> </w:t>
      </w:r>
      <w:r w:rsidR="006B5DC5">
        <w:rPr>
          <w:szCs w:val="24"/>
        </w:rPr>
        <w:t>providers</w:t>
      </w:r>
      <w:r w:rsidR="00A342CC">
        <w:rPr>
          <w:szCs w:val="24"/>
        </w:rPr>
        <w:t xml:space="preserve">) x </w:t>
      </w:r>
      <w:r w:rsidR="006B5DC5">
        <w:rPr>
          <w:szCs w:val="24"/>
        </w:rPr>
        <w:t>(5</w:t>
      </w:r>
      <w:r w:rsidR="00A342CC">
        <w:rPr>
          <w:szCs w:val="24"/>
        </w:rPr>
        <w:t xml:space="preserve">00 </w:t>
      </w:r>
      <w:r w:rsidR="006B5DC5">
        <w:rPr>
          <w:szCs w:val="24"/>
        </w:rPr>
        <w:t xml:space="preserve">hours per provider) </w:t>
      </w:r>
      <w:r w:rsidR="00A342CC">
        <w:rPr>
          <w:szCs w:val="24"/>
        </w:rPr>
        <w:t xml:space="preserve">= </w:t>
      </w:r>
      <w:r w:rsidR="00C236CE">
        <w:rPr>
          <w:szCs w:val="24"/>
        </w:rPr>
        <w:t>125,000</w:t>
      </w:r>
      <w:r w:rsidR="00A342CC" w:rsidRPr="009B10C3">
        <w:rPr>
          <w:szCs w:val="24"/>
        </w:rPr>
        <w:t xml:space="preserve"> total annual burden hours</w:t>
      </w:r>
    </w:p>
    <w:p w14:paraId="2E0FA9F8" w14:textId="77777777" w:rsidR="00A342CC" w:rsidRDefault="00A342CC" w:rsidP="00A342CC">
      <w:pPr>
        <w:ind w:left="360" w:firstLine="360"/>
        <w:rPr>
          <w:szCs w:val="24"/>
        </w:rPr>
      </w:pPr>
      <w:r>
        <w:rPr>
          <w:szCs w:val="24"/>
        </w:rPr>
        <w:t xml:space="preserve">(e) </w:t>
      </w:r>
      <w:r>
        <w:rPr>
          <w:szCs w:val="24"/>
        </w:rPr>
        <w:tab/>
      </w:r>
      <w:r>
        <w:rPr>
          <w:szCs w:val="24"/>
          <w:u w:val="single"/>
        </w:rPr>
        <w:t xml:space="preserve">Total estimate of </w:t>
      </w:r>
      <w:r w:rsidR="0018404B">
        <w:rPr>
          <w:szCs w:val="24"/>
          <w:u w:val="single"/>
        </w:rPr>
        <w:t xml:space="preserve">in-house </w:t>
      </w:r>
      <w:r>
        <w:rPr>
          <w:szCs w:val="24"/>
          <w:u w:val="single"/>
        </w:rPr>
        <w:t>cost to respondents for the hour burdens for collection of information associated with maintenance over time:</w:t>
      </w:r>
      <w:r>
        <w:rPr>
          <w:szCs w:val="24"/>
        </w:rPr>
        <w:t xml:space="preserve">  Assuming the affiliated companies use personnel comparable in pay to a </w:t>
      </w:r>
      <w:r w:rsidR="00D11F37" w:rsidRPr="004B62AF">
        <w:rPr>
          <w:szCs w:val="24"/>
        </w:rPr>
        <w:t>GS-12/Step 5 ($42.08),</w:t>
      </w:r>
      <w:r w:rsidR="00D11F37">
        <w:rPr>
          <w:szCs w:val="24"/>
        </w:rPr>
        <w:t xml:space="preserve"> </w:t>
      </w:r>
      <w:r>
        <w:rPr>
          <w:szCs w:val="24"/>
        </w:rPr>
        <w:t>Federal employee, including 30% for overhead, the cost estimate is as follows:</w:t>
      </w:r>
    </w:p>
    <w:p w14:paraId="29F84F9C" w14:textId="77777777" w:rsidR="00A55F7E" w:rsidRDefault="00A55F7E" w:rsidP="00A342CC">
      <w:pPr>
        <w:ind w:left="360" w:firstLine="360"/>
        <w:rPr>
          <w:szCs w:val="24"/>
        </w:rPr>
      </w:pPr>
    </w:p>
    <w:p w14:paraId="3612D636" w14:textId="77777777" w:rsidR="00A342CC" w:rsidRPr="008934CC" w:rsidRDefault="00A55F7E" w:rsidP="00A55F7E">
      <w:pPr>
        <w:ind w:left="720"/>
        <w:rPr>
          <w:szCs w:val="24"/>
        </w:rPr>
      </w:pPr>
      <w:r>
        <w:rPr>
          <w:szCs w:val="24"/>
        </w:rPr>
        <w:t>Respondent Cost</w:t>
      </w:r>
      <w:r w:rsidRPr="004B62AF">
        <w:rPr>
          <w:szCs w:val="24"/>
        </w:rPr>
        <w:t xml:space="preserve">:  </w:t>
      </w:r>
      <w:r w:rsidR="00D928F7" w:rsidRPr="004B62AF">
        <w:rPr>
          <w:szCs w:val="24"/>
        </w:rPr>
        <w:t xml:space="preserve">   </w:t>
      </w:r>
      <w:r w:rsidR="00A342CC" w:rsidRPr="004B62AF">
        <w:rPr>
          <w:szCs w:val="24"/>
        </w:rPr>
        <w:t>(</w:t>
      </w:r>
      <w:r w:rsidR="00C236CE" w:rsidRPr="004B62AF">
        <w:rPr>
          <w:szCs w:val="24"/>
        </w:rPr>
        <w:t>250</w:t>
      </w:r>
      <w:r w:rsidR="006B5DC5" w:rsidRPr="004B62AF">
        <w:rPr>
          <w:szCs w:val="24"/>
        </w:rPr>
        <w:t xml:space="preserve"> providers</w:t>
      </w:r>
      <w:r w:rsidR="00A342CC" w:rsidRPr="004B62AF">
        <w:rPr>
          <w:szCs w:val="24"/>
        </w:rPr>
        <w:t>) x (</w:t>
      </w:r>
      <w:r w:rsidR="006B5DC5" w:rsidRPr="004B62AF">
        <w:rPr>
          <w:szCs w:val="24"/>
        </w:rPr>
        <w:t>5</w:t>
      </w:r>
      <w:r w:rsidR="00A342CC" w:rsidRPr="004B62AF">
        <w:rPr>
          <w:szCs w:val="24"/>
        </w:rPr>
        <w:t>00 hours</w:t>
      </w:r>
      <w:r w:rsidR="006B5DC5" w:rsidRPr="004B62AF">
        <w:rPr>
          <w:szCs w:val="24"/>
        </w:rPr>
        <w:t xml:space="preserve"> per provider</w:t>
      </w:r>
      <w:r w:rsidR="00D11F37" w:rsidRPr="004B62AF">
        <w:rPr>
          <w:szCs w:val="24"/>
        </w:rPr>
        <w:t>) x ($54.70</w:t>
      </w:r>
      <w:r w:rsidR="00A342CC" w:rsidRPr="004B62AF">
        <w:rPr>
          <w:szCs w:val="24"/>
        </w:rPr>
        <w:t xml:space="preserve"> per hour) = $</w:t>
      </w:r>
      <w:r w:rsidR="00C236CE" w:rsidRPr="004B62AF">
        <w:rPr>
          <w:szCs w:val="24"/>
        </w:rPr>
        <w:t>6,837,500</w:t>
      </w:r>
      <w:r w:rsidR="00D11F37" w:rsidRPr="008934CC">
        <w:rPr>
          <w:szCs w:val="24"/>
        </w:rPr>
        <w:t xml:space="preserve"> </w:t>
      </w:r>
      <w:r w:rsidRPr="008934CC" w:rsidDel="00A55F7E">
        <w:rPr>
          <w:szCs w:val="24"/>
        </w:rPr>
        <w:t xml:space="preserve"> </w:t>
      </w:r>
    </w:p>
    <w:p w14:paraId="0BB0947C" w14:textId="77777777" w:rsidR="003A0DD2" w:rsidRPr="0055108C" w:rsidRDefault="003A0DD2" w:rsidP="00A55F7E">
      <w:pPr>
        <w:ind w:left="720"/>
        <w:rPr>
          <w:szCs w:val="24"/>
        </w:rPr>
      </w:pPr>
    </w:p>
    <w:p w14:paraId="103D1BBC" w14:textId="77777777" w:rsidR="0018404B" w:rsidRPr="004B62AF" w:rsidRDefault="0018404B" w:rsidP="00A55F7E">
      <w:pPr>
        <w:ind w:left="720"/>
        <w:rPr>
          <w:szCs w:val="24"/>
        </w:rPr>
      </w:pPr>
      <w:r w:rsidRPr="004B62AF">
        <w:rPr>
          <w:szCs w:val="24"/>
        </w:rPr>
        <w:t xml:space="preserve">Total Respondents:  </w:t>
      </w:r>
      <w:r w:rsidR="00C236CE" w:rsidRPr="004B62AF">
        <w:rPr>
          <w:szCs w:val="24"/>
        </w:rPr>
        <w:t xml:space="preserve">5 </w:t>
      </w:r>
      <w:r w:rsidRPr="004B62AF">
        <w:rPr>
          <w:szCs w:val="24"/>
        </w:rPr>
        <w:t>+</w:t>
      </w:r>
      <w:r w:rsidR="00C236CE" w:rsidRPr="004B62AF">
        <w:rPr>
          <w:szCs w:val="24"/>
        </w:rPr>
        <w:t xml:space="preserve"> 250</w:t>
      </w:r>
      <w:r w:rsidRPr="004B62AF">
        <w:rPr>
          <w:szCs w:val="24"/>
        </w:rPr>
        <w:t xml:space="preserve"> = </w:t>
      </w:r>
      <w:r w:rsidR="00C236CE" w:rsidRPr="004B62AF">
        <w:rPr>
          <w:b/>
          <w:szCs w:val="24"/>
        </w:rPr>
        <w:t>255</w:t>
      </w:r>
      <w:r w:rsidRPr="004B62AF">
        <w:rPr>
          <w:b/>
          <w:szCs w:val="24"/>
        </w:rPr>
        <w:t xml:space="preserve"> Respondents</w:t>
      </w:r>
      <w:r w:rsidRPr="004B62AF">
        <w:rPr>
          <w:szCs w:val="24"/>
        </w:rPr>
        <w:t xml:space="preserve"> </w:t>
      </w:r>
    </w:p>
    <w:p w14:paraId="135DC81A" w14:textId="77777777" w:rsidR="0018404B" w:rsidRPr="004B62AF" w:rsidRDefault="0018404B" w:rsidP="00A55F7E">
      <w:pPr>
        <w:ind w:left="720"/>
        <w:rPr>
          <w:szCs w:val="24"/>
        </w:rPr>
      </w:pPr>
    </w:p>
    <w:p w14:paraId="0FD247E5" w14:textId="77777777" w:rsidR="0018404B" w:rsidRPr="004B62AF" w:rsidRDefault="0018404B" w:rsidP="00A55F7E">
      <w:pPr>
        <w:ind w:left="720"/>
        <w:rPr>
          <w:szCs w:val="24"/>
        </w:rPr>
      </w:pPr>
      <w:r w:rsidRPr="004B62AF">
        <w:rPr>
          <w:szCs w:val="24"/>
        </w:rPr>
        <w:t xml:space="preserve">Total Responses:  </w:t>
      </w:r>
      <w:r w:rsidR="00C236CE" w:rsidRPr="004B62AF">
        <w:rPr>
          <w:szCs w:val="24"/>
        </w:rPr>
        <w:t>5</w:t>
      </w:r>
      <w:r w:rsidRPr="004B62AF">
        <w:rPr>
          <w:szCs w:val="24"/>
        </w:rPr>
        <w:t xml:space="preserve"> + </w:t>
      </w:r>
      <w:r w:rsidR="00C236CE" w:rsidRPr="004B62AF">
        <w:rPr>
          <w:szCs w:val="24"/>
        </w:rPr>
        <w:t>250</w:t>
      </w:r>
      <w:r w:rsidRPr="004B62AF">
        <w:rPr>
          <w:szCs w:val="24"/>
        </w:rPr>
        <w:t xml:space="preserve"> = </w:t>
      </w:r>
      <w:r w:rsidR="00C236CE" w:rsidRPr="004B62AF">
        <w:rPr>
          <w:b/>
          <w:szCs w:val="24"/>
        </w:rPr>
        <w:t>255</w:t>
      </w:r>
      <w:r w:rsidRPr="004B62AF">
        <w:rPr>
          <w:b/>
          <w:szCs w:val="24"/>
        </w:rPr>
        <w:t xml:space="preserve"> Responses</w:t>
      </w:r>
      <w:r w:rsidRPr="004B62AF">
        <w:rPr>
          <w:szCs w:val="24"/>
        </w:rPr>
        <w:t xml:space="preserve"> </w:t>
      </w:r>
    </w:p>
    <w:p w14:paraId="111CC362" w14:textId="77777777" w:rsidR="0018404B" w:rsidRPr="004B62AF" w:rsidRDefault="0018404B" w:rsidP="00A55F7E">
      <w:pPr>
        <w:ind w:left="720"/>
        <w:rPr>
          <w:szCs w:val="24"/>
        </w:rPr>
      </w:pPr>
    </w:p>
    <w:p w14:paraId="17803A01" w14:textId="77777777" w:rsidR="00595DD3" w:rsidRPr="003A0DD2" w:rsidRDefault="003A0DD2" w:rsidP="00A55F7E">
      <w:pPr>
        <w:ind w:left="720"/>
        <w:rPr>
          <w:szCs w:val="24"/>
        </w:rPr>
      </w:pPr>
      <w:r w:rsidRPr="004B62AF">
        <w:rPr>
          <w:szCs w:val="24"/>
        </w:rPr>
        <w:t xml:space="preserve">Total </w:t>
      </w:r>
      <w:r w:rsidR="0018404B" w:rsidRPr="004B62AF">
        <w:rPr>
          <w:szCs w:val="24"/>
        </w:rPr>
        <w:t xml:space="preserve">in-house </w:t>
      </w:r>
      <w:r w:rsidRPr="004B62AF">
        <w:rPr>
          <w:szCs w:val="24"/>
        </w:rPr>
        <w:t>cost to respondents is: $</w:t>
      </w:r>
      <w:r w:rsidR="00C236CE" w:rsidRPr="004B62AF">
        <w:rPr>
          <w:szCs w:val="24"/>
        </w:rPr>
        <w:t xml:space="preserve">1,656,316 </w:t>
      </w:r>
      <w:r w:rsidRPr="004B62AF">
        <w:rPr>
          <w:szCs w:val="24"/>
        </w:rPr>
        <w:t>+ $</w:t>
      </w:r>
      <w:r w:rsidR="00C236CE" w:rsidRPr="004B62AF">
        <w:rPr>
          <w:szCs w:val="24"/>
        </w:rPr>
        <w:t>6,837,500</w:t>
      </w:r>
      <w:r w:rsidRPr="004B62AF">
        <w:rPr>
          <w:szCs w:val="24"/>
        </w:rPr>
        <w:t xml:space="preserve"> = </w:t>
      </w:r>
      <w:r w:rsidRPr="004B62AF">
        <w:rPr>
          <w:b/>
          <w:szCs w:val="24"/>
        </w:rPr>
        <w:t>$</w:t>
      </w:r>
      <w:r w:rsidR="00C236CE" w:rsidRPr="004B62AF">
        <w:rPr>
          <w:b/>
          <w:szCs w:val="24"/>
        </w:rPr>
        <w:t>8,493,816</w:t>
      </w:r>
      <w:r w:rsidR="004B62AF">
        <w:rPr>
          <w:b/>
          <w:szCs w:val="24"/>
        </w:rPr>
        <w:t xml:space="preserve"> in-house cost</w:t>
      </w:r>
    </w:p>
    <w:p w14:paraId="2D3E0311" w14:textId="77777777" w:rsidR="003A0DD2" w:rsidRDefault="003A0DD2" w:rsidP="00A55F7E">
      <w:pPr>
        <w:ind w:left="720"/>
        <w:rPr>
          <w:szCs w:val="24"/>
          <w:u w:val="single"/>
        </w:rPr>
      </w:pPr>
    </w:p>
    <w:p w14:paraId="3F0880B0" w14:textId="77777777" w:rsidR="00011AB6" w:rsidRPr="004B62AF" w:rsidRDefault="00011AB6" w:rsidP="00A55F7E">
      <w:pPr>
        <w:ind w:left="720"/>
        <w:rPr>
          <w:szCs w:val="24"/>
        </w:rPr>
      </w:pPr>
      <w:r w:rsidRPr="004B62AF">
        <w:rPr>
          <w:szCs w:val="24"/>
        </w:rPr>
        <w:t>Total annual burden hours for this submission is</w:t>
      </w:r>
      <w:r w:rsidR="00285445" w:rsidRPr="004B62AF">
        <w:rPr>
          <w:szCs w:val="24"/>
        </w:rPr>
        <w:t>:</w:t>
      </w:r>
      <w:r w:rsidR="000D335E" w:rsidRPr="004B62AF">
        <w:rPr>
          <w:szCs w:val="24"/>
        </w:rPr>
        <w:t xml:space="preserve"> </w:t>
      </w:r>
      <w:r w:rsidR="001E0B8A" w:rsidRPr="004B62AF">
        <w:rPr>
          <w:szCs w:val="24"/>
        </w:rPr>
        <w:t>30,280</w:t>
      </w:r>
      <w:r w:rsidR="000D335E" w:rsidRPr="004B62AF">
        <w:rPr>
          <w:szCs w:val="24"/>
        </w:rPr>
        <w:t xml:space="preserve"> + </w:t>
      </w:r>
      <w:r w:rsidR="008809EE" w:rsidRPr="004B62AF">
        <w:rPr>
          <w:szCs w:val="24"/>
        </w:rPr>
        <w:t>125,000</w:t>
      </w:r>
      <w:r w:rsidR="000D335E" w:rsidRPr="004B62AF">
        <w:rPr>
          <w:szCs w:val="24"/>
        </w:rPr>
        <w:t xml:space="preserve"> = </w:t>
      </w:r>
      <w:r w:rsidR="00321A26" w:rsidRPr="004B62AF">
        <w:rPr>
          <w:b/>
          <w:szCs w:val="24"/>
        </w:rPr>
        <w:t>155,280</w:t>
      </w:r>
      <w:r w:rsidR="004B62AF">
        <w:rPr>
          <w:b/>
          <w:szCs w:val="24"/>
        </w:rPr>
        <w:t xml:space="preserve"> hours</w:t>
      </w:r>
    </w:p>
    <w:p w14:paraId="443DADCA" w14:textId="77777777" w:rsidR="003A0DD2" w:rsidRPr="004B62AF" w:rsidRDefault="003A0DD2" w:rsidP="00A55F7E">
      <w:pPr>
        <w:ind w:left="720"/>
        <w:rPr>
          <w:szCs w:val="24"/>
        </w:rPr>
      </w:pPr>
    </w:p>
    <w:p w14:paraId="0D40EDA9" w14:textId="77777777" w:rsidR="0018404B" w:rsidRPr="004B62AF" w:rsidRDefault="0018404B" w:rsidP="00A55F7E">
      <w:pPr>
        <w:ind w:left="720"/>
        <w:rPr>
          <w:szCs w:val="24"/>
        </w:rPr>
      </w:pPr>
    </w:p>
    <w:p w14:paraId="0EEA269E" w14:textId="77777777" w:rsidR="00A36468" w:rsidRPr="004B62AF" w:rsidRDefault="00A36468" w:rsidP="00A55F7E">
      <w:pPr>
        <w:ind w:left="720"/>
        <w:rPr>
          <w:szCs w:val="24"/>
        </w:rPr>
      </w:pPr>
    </w:p>
    <w:p w14:paraId="47D8340B" w14:textId="77777777" w:rsidR="0018404B" w:rsidRPr="004B62AF" w:rsidRDefault="0018404B" w:rsidP="00A55F7E">
      <w:pPr>
        <w:ind w:left="720"/>
        <w:rPr>
          <w:szCs w:val="24"/>
        </w:rPr>
      </w:pPr>
    </w:p>
    <w:p w14:paraId="4C51701F" w14:textId="0C148AD0" w:rsidR="00C236CE" w:rsidRPr="004B62AF" w:rsidRDefault="003E6258" w:rsidP="003E6258">
      <w:pPr>
        <w:pStyle w:val="ListParagraph"/>
        <w:ind w:left="0"/>
        <w:rPr>
          <w:rFonts w:eastAsia="Calibri"/>
          <w:szCs w:val="24"/>
        </w:rPr>
      </w:pPr>
      <w:r>
        <w:rPr>
          <w:szCs w:val="24"/>
        </w:rPr>
        <w:t xml:space="preserve">      </w:t>
      </w:r>
      <w:r w:rsidR="00925594" w:rsidRPr="004B62AF">
        <w:rPr>
          <w:szCs w:val="24"/>
        </w:rPr>
        <w:t xml:space="preserve">13.  </w:t>
      </w:r>
      <w:r w:rsidR="00C236CE" w:rsidRPr="004B62AF">
        <w:rPr>
          <w:rFonts w:eastAsia="Calibri"/>
          <w:szCs w:val="24"/>
        </w:rPr>
        <w:t>There are no outside costs to the respondent:</w:t>
      </w:r>
    </w:p>
    <w:p w14:paraId="6B474534" w14:textId="77777777" w:rsidR="00C236CE" w:rsidRPr="004B62AF" w:rsidRDefault="00C236CE" w:rsidP="00C236CE">
      <w:pPr>
        <w:numPr>
          <w:ilvl w:val="1"/>
          <w:numId w:val="4"/>
        </w:numPr>
        <w:tabs>
          <w:tab w:val="num" w:pos="1440"/>
        </w:tabs>
        <w:ind w:left="1440"/>
        <w:rPr>
          <w:rFonts w:eastAsia="Calibri"/>
          <w:szCs w:val="24"/>
        </w:rPr>
      </w:pPr>
      <w:r w:rsidRPr="004B62AF">
        <w:rPr>
          <w:rFonts w:eastAsia="Calibri"/>
          <w:szCs w:val="24"/>
        </w:rPr>
        <w:t>There are no capital or start-up costs.</w:t>
      </w:r>
    </w:p>
    <w:p w14:paraId="5808C01B" w14:textId="22F42480" w:rsidR="000D335E" w:rsidRPr="003E6258" w:rsidRDefault="00C236CE" w:rsidP="003E6258">
      <w:pPr>
        <w:numPr>
          <w:ilvl w:val="1"/>
          <w:numId w:val="4"/>
        </w:numPr>
        <w:tabs>
          <w:tab w:val="num" w:pos="1440"/>
        </w:tabs>
        <w:ind w:left="1440"/>
        <w:rPr>
          <w:rFonts w:eastAsia="Calibri"/>
          <w:szCs w:val="24"/>
        </w:rPr>
      </w:pPr>
      <w:r w:rsidRPr="004B62AF">
        <w:rPr>
          <w:rFonts w:eastAsia="Calibri"/>
          <w:szCs w:val="24"/>
        </w:rPr>
        <w:t>There are no op</w:t>
      </w:r>
      <w:r w:rsidRPr="003E6258">
        <w:rPr>
          <w:rFonts w:eastAsia="Calibri"/>
          <w:szCs w:val="24"/>
        </w:rPr>
        <w:t>erational or maintenance costs.</w:t>
      </w:r>
    </w:p>
    <w:p w14:paraId="03A911AF" w14:textId="2A3DE402" w:rsidR="00714B7F" w:rsidRPr="007B6883" w:rsidRDefault="003E6258" w:rsidP="003E6258">
      <w:pPr>
        <w:ind w:left="720"/>
        <w:rPr>
          <w:szCs w:val="24"/>
        </w:rPr>
      </w:pPr>
      <w:r>
        <w:rPr>
          <w:szCs w:val="24"/>
        </w:rPr>
        <w:t xml:space="preserve">  </w:t>
      </w:r>
      <w:r>
        <w:rPr>
          <w:szCs w:val="24"/>
        </w:rPr>
        <w:tab/>
      </w:r>
      <w:r>
        <w:rPr>
          <w:szCs w:val="24"/>
        </w:rPr>
        <w:tab/>
      </w:r>
      <w:r>
        <w:rPr>
          <w:szCs w:val="24"/>
        </w:rPr>
        <w:tab/>
      </w:r>
      <w:r w:rsidR="00714B7F" w:rsidRPr="007B6883">
        <w:rPr>
          <w:szCs w:val="24"/>
        </w:rPr>
        <w:tab/>
      </w:r>
    </w:p>
    <w:p w14:paraId="081806B9" w14:textId="77777777" w:rsidR="00496F4A" w:rsidRDefault="00676A18" w:rsidP="00CC11A4">
      <w:pPr>
        <w:ind w:left="360"/>
        <w:rPr>
          <w:szCs w:val="24"/>
        </w:rPr>
      </w:pPr>
      <w:r w:rsidRPr="007B6883">
        <w:rPr>
          <w:szCs w:val="24"/>
        </w:rPr>
        <w:t xml:space="preserve">14.  </w:t>
      </w:r>
      <w:r w:rsidR="00494797" w:rsidRPr="007B6883">
        <w:rPr>
          <w:szCs w:val="24"/>
        </w:rPr>
        <w:t>There</w:t>
      </w:r>
      <w:r w:rsidR="00496F4A" w:rsidRPr="007B6883">
        <w:rPr>
          <w:szCs w:val="24"/>
        </w:rPr>
        <w:t xml:space="preserve"> will be few if any costs to the Commission because the recordkeeping requirements will not require review by the Commission in most instances</w:t>
      </w:r>
      <w:r w:rsidR="00496F4A">
        <w:rPr>
          <w:szCs w:val="24"/>
        </w:rPr>
        <w:t>.</w:t>
      </w:r>
    </w:p>
    <w:p w14:paraId="1CC697C3" w14:textId="77777777" w:rsidR="00496F4A" w:rsidRDefault="00496F4A" w:rsidP="00420B3E">
      <w:pPr>
        <w:ind w:left="720"/>
        <w:rPr>
          <w:szCs w:val="24"/>
        </w:rPr>
      </w:pPr>
    </w:p>
    <w:p w14:paraId="09B8E24B" w14:textId="77777777" w:rsidR="00F67E7A" w:rsidRDefault="008510B6" w:rsidP="00CC11A4">
      <w:pPr>
        <w:ind w:left="360"/>
        <w:rPr>
          <w:szCs w:val="24"/>
        </w:rPr>
      </w:pPr>
      <w:r w:rsidRPr="00CC11A4">
        <w:rPr>
          <w:szCs w:val="24"/>
        </w:rPr>
        <w:t xml:space="preserve">15.  </w:t>
      </w:r>
      <w:r w:rsidR="00F67E7A">
        <w:rPr>
          <w:szCs w:val="24"/>
        </w:rPr>
        <w:t xml:space="preserve">The Commission is reporting adjustments/decreases to the number of respondents and total annual responses from 510 to 255 (-255) and total annual burden hours from 310,560 to 155,280 (-155,280) from the last submission to OMB. </w:t>
      </w:r>
      <w:r w:rsidR="007D4943" w:rsidRPr="007D4943">
        <w:rPr>
          <w:szCs w:val="24"/>
        </w:rPr>
        <w:t>The</w:t>
      </w:r>
      <w:r w:rsidR="00F67E7A">
        <w:rPr>
          <w:szCs w:val="24"/>
        </w:rPr>
        <w:t>se</w:t>
      </w:r>
      <w:r w:rsidR="007D4943" w:rsidRPr="007D4943">
        <w:rPr>
          <w:szCs w:val="24"/>
        </w:rPr>
        <w:t xml:space="preserve"> </w:t>
      </w:r>
      <w:r w:rsidR="00F67E7A">
        <w:rPr>
          <w:szCs w:val="24"/>
        </w:rPr>
        <w:t xml:space="preserve">adjustments/decreases are </w:t>
      </w:r>
      <w:r w:rsidR="007D4943" w:rsidRPr="007D4943">
        <w:rPr>
          <w:szCs w:val="24"/>
        </w:rPr>
        <w:t xml:space="preserve">due to the forbearance of these rules as they apply to Independent ILECs subject to price cap regulation.   </w:t>
      </w:r>
      <w:r w:rsidR="007D4943" w:rsidRPr="007D4943">
        <w:rPr>
          <w:i/>
          <w:iCs/>
          <w:szCs w:val="24"/>
        </w:rPr>
        <w:t xml:space="preserve">See </w:t>
      </w:r>
      <w:r w:rsidR="007D4943" w:rsidRPr="007D4943">
        <w:rPr>
          <w:szCs w:val="24"/>
          <w:u w:val="single"/>
        </w:rPr>
        <w:t xml:space="preserve">Petition of USTelecom for Forbearance Under </w:t>
      </w:r>
      <w:r w:rsidR="007D4943" w:rsidRPr="004B62AF">
        <w:rPr>
          <w:szCs w:val="24"/>
          <w:u w:val="single"/>
        </w:rPr>
        <w:t>47 U.S.C. § 160(C) From Enforcement of Certain Legacy Telecommunications Regulations</w:t>
      </w:r>
      <w:r w:rsidR="007D4943" w:rsidRPr="007D4943">
        <w:rPr>
          <w:szCs w:val="24"/>
        </w:rPr>
        <w:t xml:space="preserve">, 28 FCC Rcd 7627 (2013).  </w:t>
      </w:r>
    </w:p>
    <w:p w14:paraId="14CE118B" w14:textId="77777777" w:rsidR="004B62AF" w:rsidRDefault="004B62AF" w:rsidP="00CC11A4">
      <w:pPr>
        <w:ind w:left="360"/>
        <w:rPr>
          <w:szCs w:val="24"/>
        </w:rPr>
      </w:pPr>
    </w:p>
    <w:p w14:paraId="4083C11C" w14:textId="77777777" w:rsidR="00F67E7A" w:rsidRDefault="00F67E7A" w:rsidP="00CC11A4">
      <w:pPr>
        <w:ind w:left="360"/>
        <w:rPr>
          <w:szCs w:val="24"/>
        </w:rPr>
      </w:pPr>
      <w:r>
        <w:rPr>
          <w:szCs w:val="24"/>
        </w:rPr>
        <w:t>In our previous submissions to OMB, the Commission inadvertently stated that there were outside costs to the respondent; howev</w:t>
      </w:r>
      <w:r w:rsidR="000C13C1">
        <w:rPr>
          <w:szCs w:val="24"/>
        </w:rPr>
        <w:t xml:space="preserve">er, we have determined that the respondent performs the work internally as an in-house cost. Therefore, we have made this correction which is now reflected in </w:t>
      </w:r>
      <w:r w:rsidR="008934CC">
        <w:rPr>
          <w:szCs w:val="24"/>
        </w:rPr>
        <w:t>this submission to OMB</w:t>
      </w:r>
      <w:r w:rsidR="000C13C1">
        <w:rPr>
          <w:szCs w:val="24"/>
        </w:rPr>
        <w:t xml:space="preserve">.  </w:t>
      </w:r>
    </w:p>
    <w:p w14:paraId="1994312E" w14:textId="77777777" w:rsidR="00B4180D" w:rsidRDefault="00B4180D" w:rsidP="004B62AF">
      <w:pPr>
        <w:rPr>
          <w:color w:val="FF0000"/>
          <w:szCs w:val="24"/>
        </w:rPr>
      </w:pPr>
    </w:p>
    <w:p w14:paraId="652F7BAA" w14:textId="77777777" w:rsidR="00496F4A" w:rsidRDefault="00496F4A" w:rsidP="00CC11A4">
      <w:pPr>
        <w:ind w:left="360"/>
        <w:rPr>
          <w:szCs w:val="24"/>
        </w:rPr>
      </w:pPr>
      <w:r>
        <w:rPr>
          <w:szCs w:val="24"/>
        </w:rPr>
        <w:t>16.  The Commission does not anticipate publishing any of the information collected.</w:t>
      </w:r>
    </w:p>
    <w:p w14:paraId="69A80D4F" w14:textId="77777777" w:rsidR="00496F4A" w:rsidRDefault="00496F4A" w:rsidP="00420B3E">
      <w:pPr>
        <w:ind w:left="720"/>
        <w:rPr>
          <w:szCs w:val="24"/>
        </w:rPr>
      </w:pPr>
    </w:p>
    <w:p w14:paraId="6F1386C2" w14:textId="77777777" w:rsidR="00496F4A" w:rsidRDefault="00496F4A" w:rsidP="004B62AF">
      <w:pPr>
        <w:ind w:left="360"/>
        <w:rPr>
          <w:szCs w:val="24"/>
        </w:rPr>
      </w:pPr>
      <w:r>
        <w:rPr>
          <w:szCs w:val="24"/>
        </w:rPr>
        <w:t>17.  The Commission does not intend to seek approval not to display the expiration date for OMB approval of the information collections.</w:t>
      </w:r>
    </w:p>
    <w:p w14:paraId="5B25B25E" w14:textId="77777777" w:rsidR="00496F4A" w:rsidRDefault="00496F4A" w:rsidP="00420B3E">
      <w:pPr>
        <w:ind w:left="720"/>
        <w:rPr>
          <w:szCs w:val="24"/>
        </w:rPr>
      </w:pPr>
    </w:p>
    <w:p w14:paraId="50389D95" w14:textId="77777777" w:rsidR="008510B6" w:rsidRDefault="00496F4A" w:rsidP="004B62AF">
      <w:pPr>
        <w:ind w:left="360"/>
        <w:rPr>
          <w:szCs w:val="24"/>
        </w:rPr>
      </w:pPr>
      <w:r>
        <w:rPr>
          <w:szCs w:val="24"/>
        </w:rPr>
        <w:t xml:space="preserve">18.  </w:t>
      </w:r>
      <w:r w:rsidR="00B4180D">
        <w:rPr>
          <w:szCs w:val="24"/>
        </w:rPr>
        <w:t xml:space="preserve">There </w:t>
      </w:r>
      <w:r w:rsidR="000A67F8">
        <w:rPr>
          <w:szCs w:val="24"/>
        </w:rPr>
        <w:t>are</w:t>
      </w:r>
      <w:r w:rsidR="00B4180D">
        <w:rPr>
          <w:szCs w:val="24"/>
        </w:rPr>
        <w:t xml:space="preserve"> no exceptions to </w:t>
      </w:r>
      <w:r w:rsidR="00FA1D80">
        <w:rPr>
          <w:szCs w:val="24"/>
        </w:rPr>
        <w:t>the Certification Statement</w:t>
      </w:r>
      <w:r w:rsidR="00C54CFD" w:rsidRPr="001132FD">
        <w:rPr>
          <w:szCs w:val="24"/>
        </w:rPr>
        <w:t>.</w:t>
      </w:r>
    </w:p>
    <w:p w14:paraId="27024A60" w14:textId="77777777" w:rsidR="00496F4A" w:rsidRDefault="008510B6" w:rsidP="00420B3E">
      <w:pPr>
        <w:ind w:left="720"/>
        <w:rPr>
          <w:szCs w:val="24"/>
        </w:rPr>
      </w:pPr>
      <w:r>
        <w:rPr>
          <w:szCs w:val="24"/>
        </w:rPr>
        <w:t xml:space="preserve"> </w:t>
      </w:r>
    </w:p>
    <w:p w14:paraId="1DEC1846" w14:textId="77777777" w:rsidR="000A67F8" w:rsidRDefault="000A67F8" w:rsidP="00420B3E">
      <w:pPr>
        <w:ind w:left="720"/>
        <w:rPr>
          <w:b/>
          <w:szCs w:val="24"/>
          <w:u w:val="single"/>
        </w:rPr>
      </w:pPr>
    </w:p>
    <w:p w14:paraId="056BEF47" w14:textId="77777777" w:rsidR="00496F4A" w:rsidRPr="0084203F" w:rsidRDefault="00496F4A" w:rsidP="00420B3E">
      <w:pPr>
        <w:ind w:left="720"/>
        <w:rPr>
          <w:b/>
          <w:szCs w:val="24"/>
          <w:u w:val="single"/>
        </w:rPr>
      </w:pPr>
      <w:r w:rsidRPr="0084203F">
        <w:rPr>
          <w:b/>
          <w:szCs w:val="24"/>
          <w:u w:val="single"/>
        </w:rPr>
        <w:t>B.  Collections of Information Employing Statistical Methods</w:t>
      </w:r>
      <w:r w:rsidR="0084203F">
        <w:rPr>
          <w:b/>
          <w:szCs w:val="24"/>
          <w:u w:val="single"/>
        </w:rPr>
        <w:t>:</w:t>
      </w:r>
    </w:p>
    <w:p w14:paraId="18C732F7" w14:textId="77777777" w:rsidR="00496F4A" w:rsidRDefault="00496F4A" w:rsidP="00420B3E">
      <w:pPr>
        <w:ind w:left="720"/>
        <w:rPr>
          <w:szCs w:val="24"/>
        </w:rPr>
      </w:pPr>
    </w:p>
    <w:p w14:paraId="0B28FD66" w14:textId="77777777" w:rsidR="003E6258" w:rsidRDefault="00496F4A" w:rsidP="00420B3E">
      <w:pPr>
        <w:ind w:left="720"/>
        <w:rPr>
          <w:szCs w:val="24"/>
        </w:rPr>
      </w:pPr>
      <w:r>
        <w:rPr>
          <w:szCs w:val="24"/>
        </w:rPr>
        <w:t xml:space="preserve">The Commission does not anticipate that the collection of information will </w:t>
      </w:r>
    </w:p>
    <w:p w14:paraId="2CFADBBD" w14:textId="3E8DDCB0" w:rsidR="00496F4A" w:rsidRPr="003B0B53" w:rsidRDefault="00496F4A" w:rsidP="003E6258">
      <w:pPr>
        <w:ind w:firstLine="720"/>
        <w:rPr>
          <w:szCs w:val="24"/>
        </w:rPr>
      </w:pPr>
      <w:r>
        <w:rPr>
          <w:szCs w:val="24"/>
        </w:rPr>
        <w:t>employ statistical methods.</w:t>
      </w:r>
    </w:p>
    <w:sectPr w:rsidR="00496F4A" w:rsidRPr="003B0B5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9ED705" w14:textId="77777777" w:rsidR="00D72F8F" w:rsidRDefault="00D72F8F">
      <w:r>
        <w:separator/>
      </w:r>
    </w:p>
  </w:endnote>
  <w:endnote w:type="continuationSeparator" w:id="0">
    <w:p w14:paraId="4E0B278F" w14:textId="77777777" w:rsidR="00D72F8F" w:rsidRDefault="00D72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963D6" w14:textId="77777777" w:rsidR="00D72F8F" w:rsidRDefault="00D72F8F">
      <w:r>
        <w:separator/>
      </w:r>
    </w:p>
  </w:footnote>
  <w:footnote w:type="continuationSeparator" w:id="0">
    <w:p w14:paraId="612B5172" w14:textId="77777777" w:rsidR="00D72F8F" w:rsidRDefault="00D72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409BF"/>
    <w:multiLevelType w:val="hybridMultilevel"/>
    <w:tmpl w:val="0B9A7410"/>
    <w:lvl w:ilvl="0" w:tplc="DCEA968C">
      <w:start w:val="1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9CF3ECF"/>
    <w:multiLevelType w:val="hybridMultilevel"/>
    <w:tmpl w:val="21BCB1D0"/>
    <w:lvl w:ilvl="0" w:tplc="0409000F">
      <w:start w:val="1"/>
      <w:numFmt w:val="decimal"/>
      <w:lvlText w:val="%1."/>
      <w:lvlJc w:val="left"/>
      <w:pPr>
        <w:tabs>
          <w:tab w:val="num" w:pos="720"/>
        </w:tabs>
        <w:ind w:left="720" w:hanging="360"/>
      </w:pPr>
    </w:lvl>
    <w:lvl w:ilvl="1" w:tplc="34BC84DE">
      <w:start w:val="1"/>
      <w:numFmt w:val="upperLetter"/>
      <w:lvlText w:val="%2."/>
      <w:lvlJc w:val="left"/>
      <w:pPr>
        <w:tabs>
          <w:tab w:val="num" w:pos="1440"/>
        </w:tabs>
        <w:ind w:left="1440" w:hanging="360"/>
      </w:pPr>
      <w:rPr>
        <w:rFonts w:hint="default"/>
        <w:b/>
      </w:rPr>
    </w:lvl>
    <w:lvl w:ilvl="2" w:tplc="F9BE8330">
      <w:start w:val="1"/>
      <w:numFmt w:val="lowerRoman"/>
      <w:lvlText w:val="%3."/>
      <w:lvlJc w:val="right"/>
      <w:pPr>
        <w:tabs>
          <w:tab w:val="num" w:pos="2160"/>
        </w:tabs>
        <w:ind w:left="2160" w:hanging="180"/>
      </w:pPr>
      <w:rPr>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E5C6588"/>
    <w:multiLevelType w:val="hybridMultilevel"/>
    <w:tmpl w:val="176E5684"/>
    <w:lvl w:ilvl="0" w:tplc="C3F412D6">
      <w:start w:val="12"/>
      <w:numFmt w:val="decimal"/>
      <w:lvlText w:val="%1."/>
      <w:lvlJc w:val="left"/>
      <w:pPr>
        <w:tabs>
          <w:tab w:val="num" w:pos="780"/>
        </w:tabs>
        <w:ind w:left="780" w:hanging="420"/>
      </w:pPr>
      <w:rPr>
        <w:rFonts w:hint="default"/>
      </w:rPr>
    </w:lvl>
    <w:lvl w:ilvl="1" w:tplc="04090019">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
  </w:num>
  <w:num w:numId="2">
    <w:abstractNumId w:val="0"/>
  </w:num>
  <w:num w:numId="3">
    <w:abstractNumId w:val="2"/>
  </w:num>
  <w:num w:numId="4">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11AB6"/>
    <w:rsid w:val="000623B6"/>
    <w:rsid w:val="00066CED"/>
    <w:rsid w:val="00081F5B"/>
    <w:rsid w:val="000850CE"/>
    <w:rsid w:val="000A67F8"/>
    <w:rsid w:val="000C13C1"/>
    <w:rsid w:val="000C6F9C"/>
    <w:rsid w:val="000D2D51"/>
    <w:rsid w:val="000D335E"/>
    <w:rsid w:val="000F24F4"/>
    <w:rsid w:val="000F556E"/>
    <w:rsid w:val="001008CE"/>
    <w:rsid w:val="0010180B"/>
    <w:rsid w:val="001033C2"/>
    <w:rsid w:val="00103B90"/>
    <w:rsid w:val="001132FD"/>
    <w:rsid w:val="00135830"/>
    <w:rsid w:val="00154115"/>
    <w:rsid w:val="00156323"/>
    <w:rsid w:val="0018404B"/>
    <w:rsid w:val="00186E50"/>
    <w:rsid w:val="00190EE8"/>
    <w:rsid w:val="001D4E67"/>
    <w:rsid w:val="001E0B8A"/>
    <w:rsid w:val="001F5B1A"/>
    <w:rsid w:val="002110BD"/>
    <w:rsid w:val="00223E4D"/>
    <w:rsid w:val="002345DC"/>
    <w:rsid w:val="00246784"/>
    <w:rsid w:val="00257687"/>
    <w:rsid w:val="00280B0E"/>
    <w:rsid w:val="00285445"/>
    <w:rsid w:val="002E6283"/>
    <w:rsid w:val="002F55F7"/>
    <w:rsid w:val="00321A26"/>
    <w:rsid w:val="00345659"/>
    <w:rsid w:val="003A0DD2"/>
    <w:rsid w:val="003A66C5"/>
    <w:rsid w:val="003A792D"/>
    <w:rsid w:val="003B0B53"/>
    <w:rsid w:val="003B73D4"/>
    <w:rsid w:val="003C64BC"/>
    <w:rsid w:val="003E35AA"/>
    <w:rsid w:val="003E6258"/>
    <w:rsid w:val="00420B3E"/>
    <w:rsid w:val="0044149B"/>
    <w:rsid w:val="004467A5"/>
    <w:rsid w:val="004653F2"/>
    <w:rsid w:val="00475CB0"/>
    <w:rsid w:val="0048091F"/>
    <w:rsid w:val="00494797"/>
    <w:rsid w:val="00496F4A"/>
    <w:rsid w:val="004B5D73"/>
    <w:rsid w:val="004B62AF"/>
    <w:rsid w:val="004C2365"/>
    <w:rsid w:val="004D2E7A"/>
    <w:rsid w:val="004E7F54"/>
    <w:rsid w:val="00500258"/>
    <w:rsid w:val="00502C02"/>
    <w:rsid w:val="0050382B"/>
    <w:rsid w:val="005068E3"/>
    <w:rsid w:val="00510CD8"/>
    <w:rsid w:val="005222FD"/>
    <w:rsid w:val="0055108C"/>
    <w:rsid w:val="0056192A"/>
    <w:rsid w:val="00584F06"/>
    <w:rsid w:val="00587A73"/>
    <w:rsid w:val="00592031"/>
    <w:rsid w:val="00595DD3"/>
    <w:rsid w:val="00597986"/>
    <w:rsid w:val="005A2ED7"/>
    <w:rsid w:val="005D7926"/>
    <w:rsid w:val="005E4E00"/>
    <w:rsid w:val="005F76B5"/>
    <w:rsid w:val="00622585"/>
    <w:rsid w:val="006254B9"/>
    <w:rsid w:val="00630A85"/>
    <w:rsid w:val="00632ACF"/>
    <w:rsid w:val="006421E4"/>
    <w:rsid w:val="00645789"/>
    <w:rsid w:val="006613BE"/>
    <w:rsid w:val="00676A18"/>
    <w:rsid w:val="006803C5"/>
    <w:rsid w:val="00681B4A"/>
    <w:rsid w:val="006B5DC5"/>
    <w:rsid w:val="006D2FAB"/>
    <w:rsid w:val="00701A97"/>
    <w:rsid w:val="00714B7F"/>
    <w:rsid w:val="0073029B"/>
    <w:rsid w:val="007632ED"/>
    <w:rsid w:val="0077346C"/>
    <w:rsid w:val="00783454"/>
    <w:rsid w:val="007A0F35"/>
    <w:rsid w:val="007A7120"/>
    <w:rsid w:val="007B6883"/>
    <w:rsid w:val="007B6A2C"/>
    <w:rsid w:val="007C0F5F"/>
    <w:rsid w:val="007D4943"/>
    <w:rsid w:val="007E4E64"/>
    <w:rsid w:val="00813CC0"/>
    <w:rsid w:val="0084203F"/>
    <w:rsid w:val="008510B6"/>
    <w:rsid w:val="008524C8"/>
    <w:rsid w:val="00857F7E"/>
    <w:rsid w:val="00877736"/>
    <w:rsid w:val="008802D5"/>
    <w:rsid w:val="008809EE"/>
    <w:rsid w:val="00890518"/>
    <w:rsid w:val="008934CC"/>
    <w:rsid w:val="008B0BD1"/>
    <w:rsid w:val="008B1E98"/>
    <w:rsid w:val="008C039C"/>
    <w:rsid w:val="008C695B"/>
    <w:rsid w:val="0091464C"/>
    <w:rsid w:val="00925594"/>
    <w:rsid w:val="0093000A"/>
    <w:rsid w:val="00937C55"/>
    <w:rsid w:val="0094248B"/>
    <w:rsid w:val="00950B46"/>
    <w:rsid w:val="00962CD6"/>
    <w:rsid w:val="00975DFE"/>
    <w:rsid w:val="00980FDF"/>
    <w:rsid w:val="00982226"/>
    <w:rsid w:val="009875C9"/>
    <w:rsid w:val="009A2679"/>
    <w:rsid w:val="009B10C3"/>
    <w:rsid w:val="009C353C"/>
    <w:rsid w:val="009F24DA"/>
    <w:rsid w:val="009F7814"/>
    <w:rsid w:val="00A22CB4"/>
    <w:rsid w:val="00A3098B"/>
    <w:rsid w:val="00A342CC"/>
    <w:rsid w:val="00A36468"/>
    <w:rsid w:val="00A4521F"/>
    <w:rsid w:val="00A55F7E"/>
    <w:rsid w:val="00A618E0"/>
    <w:rsid w:val="00A7627F"/>
    <w:rsid w:val="00A86816"/>
    <w:rsid w:val="00A926D4"/>
    <w:rsid w:val="00AA0B12"/>
    <w:rsid w:val="00AB2E96"/>
    <w:rsid w:val="00AB3AF4"/>
    <w:rsid w:val="00AE601E"/>
    <w:rsid w:val="00AF5975"/>
    <w:rsid w:val="00B31DD2"/>
    <w:rsid w:val="00B37BE3"/>
    <w:rsid w:val="00B4180D"/>
    <w:rsid w:val="00B41FC1"/>
    <w:rsid w:val="00B63B95"/>
    <w:rsid w:val="00B70CE1"/>
    <w:rsid w:val="00B964C6"/>
    <w:rsid w:val="00BB23F8"/>
    <w:rsid w:val="00BD525E"/>
    <w:rsid w:val="00BD6911"/>
    <w:rsid w:val="00C12F69"/>
    <w:rsid w:val="00C16D7B"/>
    <w:rsid w:val="00C171CF"/>
    <w:rsid w:val="00C236CE"/>
    <w:rsid w:val="00C54CFD"/>
    <w:rsid w:val="00CB2E93"/>
    <w:rsid w:val="00CC11A4"/>
    <w:rsid w:val="00CE62F9"/>
    <w:rsid w:val="00D11F37"/>
    <w:rsid w:val="00D143EA"/>
    <w:rsid w:val="00D436A5"/>
    <w:rsid w:val="00D4484A"/>
    <w:rsid w:val="00D622EF"/>
    <w:rsid w:val="00D72F8F"/>
    <w:rsid w:val="00D83E7D"/>
    <w:rsid w:val="00D87C4C"/>
    <w:rsid w:val="00D928F7"/>
    <w:rsid w:val="00D972F1"/>
    <w:rsid w:val="00DA0334"/>
    <w:rsid w:val="00DD59F0"/>
    <w:rsid w:val="00DF004F"/>
    <w:rsid w:val="00E035D3"/>
    <w:rsid w:val="00E2703B"/>
    <w:rsid w:val="00E36B64"/>
    <w:rsid w:val="00E44BC7"/>
    <w:rsid w:val="00E52D6F"/>
    <w:rsid w:val="00E77EBA"/>
    <w:rsid w:val="00EC75DF"/>
    <w:rsid w:val="00EF00D9"/>
    <w:rsid w:val="00F10752"/>
    <w:rsid w:val="00F1379F"/>
    <w:rsid w:val="00F54FD8"/>
    <w:rsid w:val="00F67E7A"/>
    <w:rsid w:val="00F737B7"/>
    <w:rsid w:val="00F74BC2"/>
    <w:rsid w:val="00F77089"/>
    <w:rsid w:val="00F90B6C"/>
    <w:rsid w:val="00FA1D80"/>
    <w:rsid w:val="00FB3C7F"/>
    <w:rsid w:val="00FC2C7C"/>
    <w:rsid w:val="00FD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7B797"/>
  <w15:chartTrackingRefBased/>
  <w15:docId w15:val="{28001671-A49B-48C7-A047-CD6900BE9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37BE3"/>
    <w:rPr>
      <w:sz w:val="20"/>
    </w:rPr>
  </w:style>
  <w:style w:type="character" w:styleId="FootnoteReference">
    <w:name w:val="footnote reference"/>
    <w:semiHidden/>
    <w:rsid w:val="00B37BE3"/>
    <w:rPr>
      <w:vertAlign w:val="superscript"/>
    </w:rPr>
  </w:style>
  <w:style w:type="paragraph" w:styleId="BalloonText">
    <w:name w:val="Balloon Text"/>
    <w:basedOn w:val="Normal"/>
    <w:semiHidden/>
    <w:rsid w:val="00F54FD8"/>
    <w:rPr>
      <w:rFonts w:ascii="Tahoma" w:hAnsi="Tahoma" w:cs="Tahoma"/>
      <w:sz w:val="16"/>
      <w:szCs w:val="16"/>
    </w:rPr>
  </w:style>
  <w:style w:type="character" w:styleId="CommentReference">
    <w:name w:val="annotation reference"/>
    <w:rsid w:val="00975DFE"/>
    <w:rPr>
      <w:sz w:val="16"/>
      <w:szCs w:val="16"/>
    </w:rPr>
  </w:style>
  <w:style w:type="paragraph" w:styleId="CommentText">
    <w:name w:val="annotation text"/>
    <w:basedOn w:val="Normal"/>
    <w:link w:val="CommentTextChar"/>
    <w:rsid w:val="00975DFE"/>
    <w:rPr>
      <w:sz w:val="20"/>
    </w:rPr>
  </w:style>
  <w:style w:type="character" w:customStyle="1" w:styleId="CommentTextChar">
    <w:name w:val="Comment Text Char"/>
    <w:basedOn w:val="DefaultParagraphFont"/>
    <w:link w:val="CommentText"/>
    <w:rsid w:val="00975DFE"/>
  </w:style>
  <w:style w:type="paragraph" w:styleId="CommentSubject">
    <w:name w:val="annotation subject"/>
    <w:basedOn w:val="CommentText"/>
    <w:next w:val="CommentText"/>
    <w:link w:val="CommentSubjectChar"/>
    <w:rsid w:val="00975DFE"/>
    <w:rPr>
      <w:b/>
      <w:bCs/>
    </w:rPr>
  </w:style>
  <w:style w:type="character" w:customStyle="1" w:styleId="CommentSubjectChar">
    <w:name w:val="Comment Subject Char"/>
    <w:link w:val="CommentSubject"/>
    <w:rsid w:val="00975DFE"/>
    <w:rPr>
      <w:b/>
      <w:bCs/>
    </w:rPr>
  </w:style>
  <w:style w:type="character" w:styleId="Hyperlink">
    <w:name w:val="Hyperlink"/>
    <w:rsid w:val="00890518"/>
    <w:rPr>
      <w:color w:val="0563C1"/>
      <w:u w:val="single"/>
    </w:rPr>
  </w:style>
  <w:style w:type="paragraph" w:styleId="ListParagraph">
    <w:name w:val="List Paragraph"/>
    <w:basedOn w:val="Normal"/>
    <w:uiPriority w:val="34"/>
    <w:qFormat/>
    <w:rsid w:val="00C236C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16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547&amp;cite=47CFRS64.1903&amp;originatingDoc=I87a61186c26111e28501bda794601919&amp;refType=LQ&amp;originationContext=document&amp;vr=3.0&amp;rs=cblt1.0&amp;transitionType=DocumentItem&amp;contextData=(sc.Searc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DA28E-F012-4390-A313-9CF38FD2D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1278</Words>
  <Characters>7790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3060-0723</vt:lpstr>
    </vt:vector>
  </TitlesOfParts>
  <Company>Federal Communications Commission</Company>
  <LinksUpToDate>false</LinksUpToDate>
  <CharactersWithSpaces>9050</CharactersWithSpaces>
  <SharedDoc>false</SharedDoc>
  <HLinks>
    <vt:vector size="6" baseType="variant">
      <vt:variant>
        <vt:i4>1835100</vt:i4>
      </vt:variant>
      <vt:variant>
        <vt:i4>0</vt:i4>
      </vt:variant>
      <vt:variant>
        <vt:i4>0</vt:i4>
      </vt:variant>
      <vt:variant>
        <vt:i4>5</vt:i4>
      </vt:variant>
      <vt:variant>
        <vt:lpwstr>http://www.westlaw.com/Link/Document/FullText?findType=L&amp;pubNum=1000547&amp;cite=47CFRS64.1903&amp;originatingDoc=I87a61186c26111e28501bda794601919&amp;refType=LQ&amp;originationContext=document&amp;vr=3.0&amp;rs=cblt1.0&amp;transitionType=DocumentItem&amp;contextData=(sc.Searc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3060-0723</dc:title>
  <dc:subject/>
  <dc:creator>Paul.Laurenzano</dc:creator>
  <cp:keywords/>
  <cp:lastModifiedBy>Nicole Ongele</cp:lastModifiedBy>
  <cp:revision>2</cp:revision>
  <cp:lastPrinted>2016-02-22T18:00:00Z</cp:lastPrinted>
  <dcterms:created xsi:type="dcterms:W3CDTF">2016-05-11T13:36:00Z</dcterms:created>
  <dcterms:modified xsi:type="dcterms:W3CDTF">2016-05-11T13:36:00Z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PONSE_SENDER_NAME">
    <vt:lpwstr>sAAA4E8dREqJqIpThGbihYqxSfrVmYwiwhiAOKidEDFN8cE=</vt:lpwstr>
  </property>
  <property fmtid="{D5CDD505-2E9C-101B-9397-08002B2CF9AE}" pid="3" name="MAIL_MSG_ID1">
    <vt:lpwstr>oFAAspTNh41gn7AdietVyDM8yexq9QXAaBrlzKlVN4D8N5pzHwAPS3uTwI0HSpbb/d65a8mLqtQHEcs3_x000d_
IscGeaogYfxRko/TmShF6g+F8asCFCxsK0ZeWBTFzhh3Bt05BhHyIquWTu12OhmtpAhwh+lvaZZN_x000d_
Jh4wRfRrYrFUyNojvIAKE++sCVcqBJDk2CNb+NehiOmo+roiScqltKvy6LyLdyqfXHlxi4af7KTY_x000d_
EdaKXhNq6L3padDOU</vt:lpwstr>
  </property>
  <property fmtid="{D5CDD505-2E9C-101B-9397-08002B2CF9AE}" pid="4" name="MAIL_MSG_ID2">
    <vt:lpwstr>Hrk0iwqdCfVfRVe8ojrLdc6fe49yWdhHG1w/qwXOeTclGtqLc9VE30MwzhH_x000d_
Jec9YwfZgR/aqObcwHNI0+yMQ7qlcoqsNgFbY906pHx/1TR3</vt:lpwstr>
  </property>
  <property fmtid="{D5CDD505-2E9C-101B-9397-08002B2CF9AE}" pid="5" name="EMAIL_OWNER_ADDRESS">
    <vt:lpwstr>4AAAyjQjm0EOGgKHoL5/3JglPhRJEYyUnlD4znVO9tk6jEn1po0sBEWV/g==</vt:lpwstr>
  </property>
</Properties>
</file>