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6762" w14:textId="77777777" w:rsidR="00EF3EC7" w:rsidRPr="00532416" w:rsidRDefault="00EF3EC7">
      <w:pPr>
        <w:rPr>
          <w:sz w:val="24"/>
          <w:szCs w:val="24"/>
        </w:rPr>
      </w:pPr>
      <w:bookmarkStart w:id="0" w:name="_GoBack"/>
      <w:bookmarkEnd w:id="0"/>
    </w:p>
    <w:p w14:paraId="558B6763" w14:textId="77777777" w:rsidR="007017BF" w:rsidRPr="00532416" w:rsidRDefault="007017BF" w:rsidP="007017BF">
      <w:pPr>
        <w:suppressAutoHyphens/>
        <w:spacing w:after="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SUPPORTING STATEMENT FOR NEW AND</w:t>
      </w:r>
    </w:p>
    <w:p w14:paraId="558B6764" w14:textId="77777777" w:rsidR="007017BF" w:rsidRPr="00532416" w:rsidRDefault="007017BF" w:rsidP="007017BF">
      <w:pPr>
        <w:suppressAutoHyphens/>
        <w:spacing w:after="24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REVISED INFORMATION COLLECTIONS</w:t>
      </w:r>
    </w:p>
    <w:p w14:paraId="558B6765" w14:textId="237A4B7F" w:rsidR="007017BF" w:rsidRPr="00532416" w:rsidRDefault="007017BF" w:rsidP="007017BF">
      <w:pPr>
        <w:tabs>
          <w:tab w:val="center" w:pos="4680"/>
        </w:tabs>
        <w:suppressAutoHyphens/>
        <w:spacing w:after="240" w:line="240" w:lineRule="auto"/>
        <w:jc w:val="center"/>
        <w:rPr>
          <w:rFonts w:ascii="Times New Roman" w:eastAsia="Times New Roman" w:hAnsi="Times New Roman" w:cs="Times New Roman"/>
          <w:sz w:val="24"/>
          <w:szCs w:val="24"/>
          <w:u w:val="single"/>
        </w:rPr>
      </w:pPr>
      <w:r w:rsidRPr="00532416">
        <w:rPr>
          <w:rFonts w:ascii="Times New Roman" w:eastAsia="Times New Roman" w:hAnsi="Times New Roman" w:cs="Times New Roman"/>
          <w:sz w:val="24"/>
          <w:szCs w:val="24"/>
          <w:u w:val="single"/>
        </w:rPr>
        <w:t>Clearing Exemption for Swaps Between Certain Affiliated Entities</w:t>
      </w:r>
    </w:p>
    <w:p w14:paraId="558B6766" w14:textId="77777777" w:rsidR="007017BF" w:rsidRPr="00532416" w:rsidRDefault="007017BF"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OMB CONTROL NUMBER 3038-</w:t>
      </w:r>
      <w:r w:rsidR="00FB3E03" w:rsidRPr="00532416">
        <w:rPr>
          <w:rFonts w:ascii="Times New Roman" w:eastAsia="Times New Roman" w:hAnsi="Times New Roman" w:cs="Times New Roman"/>
          <w:b/>
          <w:sz w:val="24"/>
          <w:szCs w:val="24"/>
        </w:rPr>
        <w:t>0104</w:t>
      </w:r>
    </w:p>
    <w:p w14:paraId="558B6767" w14:textId="36F40451" w:rsidR="007017BF" w:rsidRPr="00532416" w:rsidRDefault="00FB3E03"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Rule 50.52 </w:t>
      </w:r>
      <w:r w:rsidR="000020F8" w:rsidRPr="00532416">
        <w:rPr>
          <w:rFonts w:ascii="Times New Roman" w:eastAsia="Times New Roman" w:hAnsi="Times New Roman" w:cs="Times New Roman"/>
          <w:b/>
          <w:sz w:val="24"/>
          <w:szCs w:val="24"/>
        </w:rPr>
        <w:t xml:space="preserve">(Exemption for Swaps Between Affiliates) </w:t>
      </w:r>
    </w:p>
    <w:p w14:paraId="558B6768" w14:textId="77777777" w:rsidR="007017BF" w:rsidRPr="00532416" w:rsidRDefault="007017BF" w:rsidP="007017BF">
      <w:pPr>
        <w:spacing w:after="240" w:line="240" w:lineRule="auto"/>
        <w:outlineLvl w:val="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Justification</w:t>
      </w:r>
    </w:p>
    <w:p w14:paraId="558B6769"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b/>
          <w:sz w:val="24"/>
          <w:szCs w:val="24"/>
        </w:rPr>
        <w:t>1.</w:t>
      </w:r>
      <w:r w:rsidRPr="00532416">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58B676A" w14:textId="4BF5BD5E" w:rsidR="007017BF" w:rsidRPr="00532416" w:rsidRDefault="007017BF" w:rsidP="007017BF">
      <w:pPr>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 xml:space="preserve">Section 2(h)(1)(A) of the Commodity Exchange Act (“CEA”) makes it unlawful for any person to engage in a swap if the </w:t>
      </w:r>
      <w:r w:rsidR="001A1B7C" w:rsidRPr="00532416">
        <w:rPr>
          <w:rFonts w:ascii="Times New Roman" w:eastAsia="Times New Roman" w:hAnsi="Times New Roman" w:cs="Times New Roman"/>
          <w:sz w:val="24"/>
          <w:szCs w:val="24"/>
        </w:rPr>
        <w:t xml:space="preserve">Commodity Futures Trading </w:t>
      </w:r>
      <w:r w:rsidRPr="00532416">
        <w:rPr>
          <w:rFonts w:ascii="Times New Roman" w:eastAsia="Times New Roman" w:hAnsi="Times New Roman" w:cs="Times New Roman"/>
          <w:sz w:val="24"/>
          <w:szCs w:val="24"/>
        </w:rPr>
        <w:t>Commission</w:t>
      </w:r>
      <w:r w:rsidR="001A1B7C" w:rsidRPr="00532416">
        <w:rPr>
          <w:rFonts w:ascii="Times New Roman" w:eastAsia="Times New Roman" w:hAnsi="Times New Roman" w:cs="Times New Roman"/>
          <w:sz w:val="24"/>
          <w:szCs w:val="24"/>
        </w:rPr>
        <w:t xml:space="preserve"> (“Commission”)</w:t>
      </w:r>
      <w:r w:rsidRPr="00532416">
        <w:rPr>
          <w:rFonts w:ascii="Times New Roman" w:eastAsia="Times New Roman" w:hAnsi="Times New Roman" w:cs="Times New Roman"/>
          <w:sz w:val="24"/>
          <w:szCs w:val="24"/>
        </w:rPr>
        <w:t xml:space="preserve"> determines such swap is required to be cleared, unless that person submits the swap for clearing to a registered derivatives clearing organization.  7 U.S.C. 2(h)(1)(A).  By exercising its general exemptive authority in CEA section 4(c)(1), </w:t>
      </w:r>
      <w:r w:rsidR="00CA0322" w:rsidRPr="00532416">
        <w:rPr>
          <w:rFonts w:ascii="Times New Roman" w:eastAsia="Times New Roman" w:hAnsi="Times New Roman" w:cs="Times New Roman"/>
          <w:sz w:val="24"/>
          <w:szCs w:val="24"/>
        </w:rPr>
        <w:t xml:space="preserve">on April 1, 2013, </w:t>
      </w:r>
      <w:r w:rsidRPr="00532416">
        <w:rPr>
          <w:rFonts w:ascii="Times New Roman" w:eastAsia="Times New Roman" w:hAnsi="Times New Roman" w:cs="Times New Roman"/>
          <w:sz w:val="24"/>
          <w:szCs w:val="24"/>
        </w:rPr>
        <w:t xml:space="preserve">the Commission </w:t>
      </w:r>
      <w:r w:rsidR="00CF3D1F" w:rsidRPr="00532416">
        <w:rPr>
          <w:rFonts w:ascii="Times New Roman" w:eastAsia="Times New Roman" w:hAnsi="Times New Roman" w:cs="Times New Roman"/>
          <w:sz w:val="24"/>
          <w:szCs w:val="24"/>
        </w:rPr>
        <w:t>adopted</w:t>
      </w:r>
      <w:r w:rsidR="00CA0322" w:rsidRPr="00532416">
        <w:rPr>
          <w:rFonts w:ascii="Times New Roman" w:eastAsia="Times New Roman" w:hAnsi="Times New Roman" w:cs="Times New Roman"/>
          <w:sz w:val="24"/>
          <w:szCs w:val="24"/>
        </w:rPr>
        <w:t xml:space="preserve"> a final rule</w:t>
      </w:r>
      <w:r w:rsidR="00AB1091"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exempt</w:t>
      </w:r>
      <w:r w:rsidR="00D85506" w:rsidRPr="00532416">
        <w:rPr>
          <w:rFonts w:ascii="Times New Roman" w:eastAsia="Times New Roman" w:hAnsi="Times New Roman" w:cs="Times New Roman"/>
          <w:sz w:val="24"/>
          <w:szCs w:val="24"/>
        </w:rPr>
        <w:t>ing</w:t>
      </w:r>
      <w:r w:rsidRPr="00532416">
        <w:rPr>
          <w:rFonts w:ascii="Times New Roman" w:eastAsia="Times New Roman" w:hAnsi="Times New Roman" w:cs="Times New Roman"/>
          <w:sz w:val="24"/>
          <w:szCs w:val="24"/>
        </w:rPr>
        <w:t xml:space="preserve"> from the statutory clearing requirement swap transactions between certain affiliated entities within a corporate group (“inter-affiliate swaps”), subject to certain conditions.</w:t>
      </w:r>
      <w:r w:rsidRPr="00532416">
        <w:rPr>
          <w:rFonts w:ascii="Times New Roman" w:eastAsia="Times New Roman" w:hAnsi="Times New Roman" w:cs="Times New Roman"/>
          <w:sz w:val="24"/>
          <w:szCs w:val="24"/>
          <w:vertAlign w:val="superscript"/>
        </w:rPr>
        <w:footnoteReference w:id="1"/>
      </w:r>
      <w:r w:rsidRPr="00532416">
        <w:rPr>
          <w:rFonts w:ascii="Times New Roman" w:eastAsia="Times New Roman" w:hAnsi="Times New Roman" w:cs="Times New Roman"/>
          <w:sz w:val="24"/>
          <w:szCs w:val="24"/>
        </w:rPr>
        <w:t xml:space="preserve">  7 U.S.C. 6(c).  </w:t>
      </w:r>
      <w:r w:rsidR="00CA0322" w:rsidRPr="00532416">
        <w:rPr>
          <w:rFonts w:ascii="Times New Roman" w:eastAsia="Times New Roman" w:hAnsi="Times New Roman" w:cs="Times New Roman"/>
          <w:sz w:val="24"/>
          <w:szCs w:val="24"/>
        </w:rPr>
        <w:t xml:space="preserve">Rule 50.52 contains </w:t>
      </w:r>
      <w:r w:rsidRPr="00532416">
        <w:rPr>
          <w:rFonts w:ascii="Times New Roman" w:eastAsia="Times New Roman" w:hAnsi="Times New Roman" w:cs="Times New Roman"/>
          <w:sz w:val="24"/>
          <w:szCs w:val="24"/>
        </w:rPr>
        <w:t xml:space="preserve">the elective exemption and </w:t>
      </w:r>
      <w:r w:rsidR="00CA0322" w:rsidRPr="00532416">
        <w:rPr>
          <w:rFonts w:ascii="Times New Roman" w:eastAsia="Times New Roman" w:hAnsi="Times New Roman" w:cs="Times New Roman"/>
          <w:sz w:val="24"/>
          <w:szCs w:val="24"/>
        </w:rPr>
        <w:t xml:space="preserve">outlines </w:t>
      </w:r>
      <w:r w:rsidRPr="00532416">
        <w:rPr>
          <w:rFonts w:ascii="Times New Roman" w:eastAsia="Times New Roman" w:hAnsi="Times New Roman" w:cs="Times New Roman"/>
          <w:sz w:val="24"/>
          <w:szCs w:val="24"/>
        </w:rPr>
        <w:t xml:space="preserve">the conditions entities must satisfy in order to rely upon it. </w:t>
      </w:r>
      <w:r w:rsidRPr="00532416">
        <w:rPr>
          <w:rFonts w:ascii="Times New Roman" w:eastAsia="Calibri" w:hAnsi="Times New Roman" w:cs="Times New Roman"/>
          <w:sz w:val="24"/>
          <w:szCs w:val="24"/>
        </w:rPr>
        <w:t xml:space="preserve"> </w:t>
      </w:r>
      <w:r w:rsidRPr="00532416">
        <w:rPr>
          <w:rFonts w:ascii="Times New Roman" w:eastAsia="Times New Roman" w:hAnsi="Times New Roman" w:cs="Times New Roman"/>
          <w:sz w:val="24"/>
          <w:szCs w:val="24"/>
        </w:rPr>
        <w:t xml:space="preserve">These conditions are designed </w:t>
      </w:r>
      <w:r w:rsidR="00B66114">
        <w:rPr>
          <w:rFonts w:ascii="Times New Roman" w:eastAsia="Times New Roman" w:hAnsi="Times New Roman" w:cs="Times New Roman"/>
          <w:sz w:val="24"/>
          <w:szCs w:val="24"/>
        </w:rPr>
        <w:t xml:space="preserve">and are necessary </w:t>
      </w:r>
      <w:r w:rsidRPr="00532416">
        <w:rPr>
          <w:rFonts w:ascii="Times New Roman" w:eastAsia="Times New Roman" w:hAnsi="Times New Roman" w:cs="Times New Roman"/>
          <w:sz w:val="24"/>
          <w:szCs w:val="24"/>
        </w:rPr>
        <w:t>to address Commission concerns regarding inter-affiliate swap risk and to provide the Commission with information necessary to regulate swaps markets.</w:t>
      </w:r>
      <w:r w:rsidR="001A1B7C"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 xml:space="preserve"> </w:t>
      </w:r>
    </w:p>
    <w:p w14:paraId="558B676B" w14:textId="7E58E3DE" w:rsidR="006D7DBF" w:rsidRPr="00532416" w:rsidRDefault="007017BF" w:rsidP="004D5E12">
      <w:pPr>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Among the conditions of the exemption is a notification and reporting requirement.  By electing the exemption, affiliated entities</w:t>
      </w:r>
      <w:r w:rsidR="00AB1091" w:rsidRPr="00532416">
        <w:rPr>
          <w:rFonts w:ascii="Times New Roman" w:eastAsia="Times New Roman" w:hAnsi="Times New Roman" w:cs="Times New Roman"/>
          <w:sz w:val="24"/>
          <w:szCs w:val="24"/>
        </w:rPr>
        <w:t xml:space="preserve">, known as “eligible affiliate counterparties” </w:t>
      </w:r>
      <w:r w:rsidR="00D85506" w:rsidRPr="00532416">
        <w:rPr>
          <w:rFonts w:ascii="Times New Roman" w:eastAsia="Times New Roman" w:hAnsi="Times New Roman" w:cs="Times New Roman"/>
          <w:sz w:val="24"/>
          <w:szCs w:val="24"/>
        </w:rPr>
        <w:t xml:space="preserve">will </w:t>
      </w:r>
      <w:r w:rsidRPr="00532416">
        <w:rPr>
          <w:rFonts w:ascii="Times New Roman" w:eastAsia="Times New Roman" w:hAnsi="Times New Roman" w:cs="Times New Roman"/>
          <w:sz w:val="24"/>
          <w:szCs w:val="24"/>
        </w:rPr>
        <w:t xml:space="preserve">be transacting uncleared swaps, transactions </w:t>
      </w:r>
      <w:r w:rsidR="0084182A" w:rsidRPr="00532416">
        <w:rPr>
          <w:rFonts w:ascii="Times New Roman" w:eastAsia="Times New Roman" w:hAnsi="Times New Roman" w:cs="Times New Roman"/>
          <w:sz w:val="24"/>
          <w:szCs w:val="24"/>
        </w:rPr>
        <w:t>that</w:t>
      </w:r>
      <w:r w:rsidRPr="00532416">
        <w:rPr>
          <w:rFonts w:ascii="Times New Roman" w:eastAsia="Times New Roman" w:hAnsi="Times New Roman" w:cs="Times New Roman"/>
          <w:sz w:val="24"/>
          <w:szCs w:val="24"/>
        </w:rPr>
        <w:t xml:space="preserve"> CEA section 4r requires be reported to a swap data repository (“SDR”), or to the Commission if no SDR will accept such information.  7 U.S.C. 6r.  </w:t>
      </w:r>
      <w:r w:rsidR="00CA0322" w:rsidRPr="00532416">
        <w:rPr>
          <w:rFonts w:ascii="Times New Roman" w:eastAsia="Times New Roman" w:hAnsi="Times New Roman" w:cs="Times New Roman"/>
          <w:sz w:val="24"/>
          <w:szCs w:val="24"/>
        </w:rPr>
        <w:t>Rule 50.52(c)</w:t>
      </w:r>
      <w:r w:rsidRPr="00532416">
        <w:rPr>
          <w:rFonts w:ascii="Times New Roman" w:eastAsia="Times New Roman" w:hAnsi="Times New Roman" w:cs="Times New Roman"/>
          <w:sz w:val="24"/>
          <w:szCs w:val="24"/>
        </w:rPr>
        <w:t xml:space="preserve"> implements the reporting requirement in CEA section 4r for these uncleared inter-affiliate swaps and specifies the exact information that must be reported.  CEA section 2(j) further requires issuers of securities under section 12 of the Securities Exchange Act of 1934 (“Exchange Act”) or required to file reports under Exchange Act section 15(d) (</w:t>
      </w:r>
      <w:r w:rsidR="00CA0322" w:rsidRPr="00532416">
        <w:rPr>
          <w:rFonts w:ascii="Times New Roman" w:eastAsia="Times New Roman" w:hAnsi="Times New Roman" w:cs="Times New Roman"/>
          <w:sz w:val="24"/>
          <w:szCs w:val="24"/>
        </w:rPr>
        <w:t xml:space="preserve">collectively, </w:t>
      </w:r>
      <w:r w:rsidRPr="00532416">
        <w:rPr>
          <w:rFonts w:ascii="Times New Roman" w:eastAsia="Times New Roman" w:hAnsi="Times New Roman" w:cs="Times New Roman"/>
          <w:sz w:val="24"/>
          <w:szCs w:val="24"/>
        </w:rPr>
        <w:t>“SEC Filers”) electing</w:t>
      </w:r>
      <w:r w:rsidR="00906D7C" w:rsidRPr="00532416">
        <w:rPr>
          <w:rFonts w:ascii="Times New Roman" w:eastAsia="Times New Roman" w:hAnsi="Times New Roman" w:cs="Times New Roman"/>
          <w:sz w:val="24"/>
          <w:szCs w:val="24"/>
        </w:rPr>
        <w:t xml:space="preserve"> the end-user exception</w:t>
      </w:r>
      <w:r w:rsidRPr="00532416">
        <w:rPr>
          <w:rFonts w:ascii="Times New Roman" w:eastAsia="Times New Roman" w:hAnsi="Times New Roman" w:cs="Times New Roman"/>
          <w:sz w:val="24"/>
          <w:szCs w:val="24"/>
        </w:rPr>
        <w:t xml:space="preserve"> to first have an appropriate committee of the issuer’s board or governing body review and approve its decision to enter into uncleared swaps.  </w:t>
      </w:r>
      <w:r w:rsidRPr="00532416">
        <w:rPr>
          <w:rFonts w:ascii="Times New Roman" w:eastAsia="Times New Roman" w:hAnsi="Times New Roman" w:cs="Times New Roman"/>
          <w:sz w:val="24"/>
          <w:szCs w:val="24"/>
        </w:rPr>
        <w:lastRenderedPageBreak/>
        <w:t xml:space="preserve">7 U.S.C. 2(j).  </w:t>
      </w:r>
      <w:r w:rsidR="002B416D" w:rsidRPr="00532416">
        <w:rPr>
          <w:rFonts w:ascii="Times New Roman" w:eastAsia="Times New Roman" w:hAnsi="Times New Roman" w:cs="Times New Roman"/>
          <w:sz w:val="24"/>
          <w:szCs w:val="24"/>
        </w:rPr>
        <w:t>R</w:t>
      </w:r>
      <w:r w:rsidRPr="00532416">
        <w:rPr>
          <w:rFonts w:ascii="Times New Roman" w:eastAsia="Times New Roman" w:hAnsi="Times New Roman" w:cs="Times New Roman"/>
          <w:sz w:val="24"/>
          <w:szCs w:val="24"/>
        </w:rPr>
        <w:t>ule</w:t>
      </w:r>
      <w:r w:rsidR="00CA0322" w:rsidRPr="00532416">
        <w:rPr>
          <w:rFonts w:ascii="Times New Roman" w:eastAsia="Times New Roman" w:hAnsi="Times New Roman" w:cs="Times New Roman"/>
          <w:sz w:val="24"/>
          <w:szCs w:val="24"/>
        </w:rPr>
        <w:t xml:space="preserve"> 50.52(c)(3) </w:t>
      </w:r>
      <w:r w:rsidRPr="00532416">
        <w:rPr>
          <w:rFonts w:ascii="Times New Roman" w:eastAsia="Times New Roman" w:hAnsi="Times New Roman" w:cs="Times New Roman"/>
          <w:sz w:val="24"/>
          <w:szCs w:val="24"/>
        </w:rPr>
        <w:t>implement</w:t>
      </w:r>
      <w:r w:rsidR="00CA0322" w:rsidRPr="00532416">
        <w:rPr>
          <w:rFonts w:ascii="Times New Roman" w:eastAsia="Times New Roman" w:hAnsi="Times New Roman" w:cs="Times New Roman"/>
          <w:sz w:val="24"/>
          <w:szCs w:val="24"/>
        </w:rPr>
        <w:t>s</w:t>
      </w:r>
      <w:r w:rsidRPr="00532416">
        <w:rPr>
          <w:rFonts w:ascii="Times New Roman" w:eastAsia="Times New Roman" w:hAnsi="Times New Roman" w:cs="Times New Roman"/>
          <w:sz w:val="24"/>
          <w:szCs w:val="24"/>
        </w:rPr>
        <w:t xml:space="preserve"> CEA section 2(j) </w:t>
      </w:r>
      <w:r w:rsidR="00906D7C" w:rsidRPr="00532416">
        <w:rPr>
          <w:rFonts w:ascii="Times New Roman" w:eastAsia="Times New Roman" w:hAnsi="Times New Roman" w:cs="Times New Roman"/>
          <w:sz w:val="24"/>
          <w:szCs w:val="24"/>
        </w:rPr>
        <w:t>with respect to the exemption for swaps between affiliated entities by</w:t>
      </w:r>
      <w:r w:rsidRPr="00532416">
        <w:rPr>
          <w:rFonts w:ascii="Times New Roman" w:eastAsia="Times New Roman" w:hAnsi="Times New Roman" w:cs="Times New Roman"/>
          <w:sz w:val="24"/>
          <w:szCs w:val="24"/>
        </w:rPr>
        <w:t xml:space="preserve"> collect</w:t>
      </w:r>
      <w:r w:rsidR="00906D7C" w:rsidRPr="00532416">
        <w:rPr>
          <w:rFonts w:ascii="Times New Roman" w:eastAsia="Times New Roman" w:hAnsi="Times New Roman" w:cs="Times New Roman"/>
          <w:sz w:val="24"/>
          <w:szCs w:val="24"/>
        </w:rPr>
        <w:t>ing</w:t>
      </w:r>
      <w:r w:rsidRPr="00532416">
        <w:rPr>
          <w:rFonts w:ascii="Times New Roman" w:eastAsia="Times New Roman" w:hAnsi="Times New Roman" w:cs="Times New Roman"/>
          <w:sz w:val="24"/>
          <w:szCs w:val="24"/>
        </w:rPr>
        <w:t xml:space="preserve"> information from SEC Filers necessary to satisfy that requirement.  Additionally, </w:t>
      </w:r>
      <w:r w:rsidR="004554CD" w:rsidRPr="00532416">
        <w:rPr>
          <w:rFonts w:ascii="Times New Roman" w:eastAsia="Times New Roman" w:hAnsi="Times New Roman" w:cs="Times New Roman"/>
          <w:sz w:val="24"/>
          <w:szCs w:val="24"/>
        </w:rPr>
        <w:t xml:space="preserve">rule 50.52(d) </w:t>
      </w:r>
      <w:r w:rsidRPr="00532416">
        <w:rPr>
          <w:rFonts w:ascii="Times New Roman" w:eastAsia="Times New Roman" w:hAnsi="Times New Roman" w:cs="Times New Roman"/>
          <w:sz w:val="24"/>
          <w:szCs w:val="24"/>
        </w:rPr>
        <w:t>allow</w:t>
      </w:r>
      <w:r w:rsidR="004554CD" w:rsidRPr="00532416">
        <w:rPr>
          <w:rFonts w:ascii="Times New Roman" w:eastAsia="Times New Roman" w:hAnsi="Times New Roman" w:cs="Times New Roman"/>
          <w:sz w:val="24"/>
          <w:szCs w:val="24"/>
        </w:rPr>
        <w:t>s</w:t>
      </w:r>
      <w:r w:rsidRPr="00532416">
        <w:rPr>
          <w:rFonts w:ascii="Times New Roman" w:eastAsia="Times New Roman" w:hAnsi="Times New Roman" w:cs="Times New Roman"/>
          <w:sz w:val="24"/>
          <w:szCs w:val="24"/>
        </w:rPr>
        <w:t xml:space="preserve"> entities to submit some information, including the information required by CEA section 2(j), on an annual basis, as opposed to submitting identical information with each qualifying inter-affiliate swap.</w:t>
      </w:r>
    </w:p>
    <w:p w14:paraId="558B676C"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2.</w:t>
      </w:r>
      <w:r w:rsidRPr="00532416">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14:paraId="558B676D" w14:textId="019EC43F"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b/>
          <w:sz w:val="24"/>
          <w:szCs w:val="24"/>
        </w:rPr>
        <w:tab/>
      </w:r>
      <w:r w:rsidR="00CF6142" w:rsidRPr="00532416">
        <w:rPr>
          <w:rFonts w:ascii="Times New Roman" w:eastAsia="Times New Roman" w:hAnsi="Times New Roman" w:cs="Times New Roman"/>
          <w:sz w:val="24"/>
          <w:szCs w:val="24"/>
        </w:rPr>
        <w:t>Since the Commission adopted rule 50.52 in 2013,</w:t>
      </w:r>
      <w:r w:rsidR="00CF6142" w:rsidRPr="00532416">
        <w:rPr>
          <w:rFonts w:ascii="Times New Roman" w:eastAsia="Times New Roman" w:hAnsi="Times New Roman" w:cs="Times New Roman"/>
          <w:b/>
          <w:sz w:val="24"/>
          <w:szCs w:val="24"/>
        </w:rPr>
        <w:t xml:space="preserve"> </w:t>
      </w:r>
      <w:r w:rsidR="00CF6142" w:rsidRPr="00532416">
        <w:rPr>
          <w:rFonts w:ascii="Times New Roman" w:eastAsia="Times New Roman" w:hAnsi="Times New Roman" w:cs="Times New Roman"/>
          <w:sz w:val="24"/>
          <w:szCs w:val="24"/>
        </w:rPr>
        <w:t>t</w:t>
      </w:r>
      <w:r w:rsidRPr="00532416">
        <w:rPr>
          <w:rFonts w:ascii="Times New Roman" w:eastAsia="Times New Roman" w:hAnsi="Times New Roman" w:cs="Times New Roman"/>
          <w:sz w:val="24"/>
          <w:szCs w:val="24"/>
        </w:rPr>
        <w:t xml:space="preserve">he data </w:t>
      </w:r>
      <w:r w:rsidR="00CF6142" w:rsidRPr="00532416">
        <w:rPr>
          <w:rFonts w:ascii="Times New Roman" w:eastAsia="Times New Roman" w:hAnsi="Times New Roman" w:cs="Times New Roman"/>
          <w:sz w:val="24"/>
          <w:szCs w:val="24"/>
        </w:rPr>
        <w:t>has</w:t>
      </w:r>
      <w:r w:rsidR="00D85506"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be</w:t>
      </w:r>
      <w:r w:rsidR="00CF6142" w:rsidRPr="00532416">
        <w:rPr>
          <w:rFonts w:ascii="Times New Roman" w:eastAsia="Times New Roman" w:hAnsi="Times New Roman" w:cs="Times New Roman"/>
          <w:sz w:val="24"/>
          <w:szCs w:val="24"/>
        </w:rPr>
        <w:t>en</w:t>
      </w:r>
      <w:r w:rsidRPr="00532416">
        <w:rPr>
          <w:rFonts w:ascii="Times New Roman" w:eastAsia="Times New Roman" w:hAnsi="Times New Roman" w:cs="Times New Roman"/>
          <w:sz w:val="24"/>
          <w:szCs w:val="24"/>
        </w:rPr>
        <w:t xml:space="preserve"> collected by SDRs.  The Commission </w:t>
      </w:r>
      <w:r w:rsidR="00CF6142" w:rsidRPr="00532416">
        <w:rPr>
          <w:rFonts w:ascii="Times New Roman" w:eastAsia="Times New Roman" w:hAnsi="Times New Roman" w:cs="Times New Roman"/>
          <w:sz w:val="24"/>
          <w:szCs w:val="24"/>
        </w:rPr>
        <w:t xml:space="preserve">has </w:t>
      </w:r>
      <w:r w:rsidRPr="00532416">
        <w:rPr>
          <w:rFonts w:ascii="Times New Roman" w:eastAsia="Times New Roman" w:hAnsi="Times New Roman" w:cs="Times New Roman"/>
          <w:sz w:val="24"/>
          <w:szCs w:val="24"/>
        </w:rPr>
        <w:t>use</w:t>
      </w:r>
      <w:r w:rsidR="00CF6142" w:rsidRPr="00532416">
        <w:rPr>
          <w:rFonts w:ascii="Times New Roman" w:eastAsia="Times New Roman" w:hAnsi="Times New Roman" w:cs="Times New Roman"/>
          <w:sz w:val="24"/>
          <w:szCs w:val="24"/>
        </w:rPr>
        <w:t>d</w:t>
      </w:r>
      <w:r w:rsidRPr="00532416">
        <w:rPr>
          <w:rFonts w:ascii="Times New Roman" w:eastAsia="Times New Roman" w:hAnsi="Times New Roman" w:cs="Times New Roman"/>
          <w:sz w:val="24"/>
          <w:szCs w:val="24"/>
        </w:rPr>
        <w:t xml:space="preserve"> the data to monitor use of the exemption by </w:t>
      </w:r>
      <w:r w:rsidR="00AB1091" w:rsidRPr="00532416">
        <w:rPr>
          <w:rFonts w:ascii="Times New Roman" w:eastAsia="Times New Roman" w:hAnsi="Times New Roman" w:cs="Times New Roman"/>
          <w:sz w:val="24"/>
          <w:szCs w:val="24"/>
        </w:rPr>
        <w:t>eligible affiliate counterparties</w:t>
      </w:r>
      <w:r w:rsidRPr="00532416">
        <w:rPr>
          <w:rFonts w:ascii="Times New Roman" w:eastAsia="Times New Roman" w:hAnsi="Times New Roman" w:cs="Times New Roman"/>
          <w:sz w:val="24"/>
          <w:szCs w:val="24"/>
        </w:rPr>
        <w:t>, to analyze the risk characteristics of uncleared swaps generally, and to enhance the Commission’s ability to identify and reduce potential systemic risk.</w:t>
      </w:r>
    </w:p>
    <w:p w14:paraId="558B676E" w14:textId="77777777" w:rsidR="007017BF" w:rsidRPr="00532416"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3.</w:t>
      </w:r>
      <w:r w:rsidRPr="00532416">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58B676F" w14:textId="31D677B2" w:rsidR="007017BF" w:rsidRPr="00532416"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 xml:space="preserve">The Commission is committed to utilizing technology in order to reduce reporting burdens for respondents.  Information may be submitted electronically to an SDR. The Commission </w:t>
      </w:r>
      <w:r w:rsidR="00B22433" w:rsidRPr="00532416">
        <w:rPr>
          <w:rFonts w:ascii="Times New Roman" w:eastAsia="Times New Roman" w:hAnsi="Times New Roman" w:cs="Times New Roman"/>
          <w:sz w:val="24"/>
          <w:szCs w:val="24"/>
        </w:rPr>
        <w:t xml:space="preserve">understands </w:t>
      </w:r>
      <w:r w:rsidRPr="00532416">
        <w:rPr>
          <w:rFonts w:ascii="Times New Roman" w:eastAsia="Times New Roman" w:hAnsi="Times New Roman" w:cs="Times New Roman"/>
          <w:sz w:val="24"/>
          <w:szCs w:val="24"/>
        </w:rPr>
        <w:t xml:space="preserve">that 100% of the collection of information </w:t>
      </w:r>
      <w:r w:rsidR="00B22433" w:rsidRPr="00532416">
        <w:rPr>
          <w:rFonts w:ascii="Times New Roman" w:eastAsia="Times New Roman" w:hAnsi="Times New Roman" w:cs="Times New Roman"/>
          <w:sz w:val="24"/>
          <w:szCs w:val="24"/>
        </w:rPr>
        <w:t>is</w:t>
      </w:r>
      <w:r w:rsidRPr="00532416">
        <w:rPr>
          <w:rFonts w:ascii="Times New Roman" w:eastAsia="Times New Roman" w:hAnsi="Times New Roman" w:cs="Times New Roman"/>
          <w:sz w:val="24"/>
          <w:szCs w:val="24"/>
        </w:rPr>
        <w:t xml:space="preserve"> submitted electronically.</w:t>
      </w:r>
    </w:p>
    <w:p w14:paraId="558B6770"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4.</w:t>
      </w:r>
      <w:r w:rsidRPr="00532416">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14:paraId="558B6771"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required information is not available from any other source.</w:t>
      </w:r>
    </w:p>
    <w:p w14:paraId="558B6772"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5.</w:t>
      </w:r>
      <w:r w:rsidRPr="00532416">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14:paraId="558B6773"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This collection of information will not have a significant impact on a substantial number of small entities.</w:t>
      </w:r>
    </w:p>
    <w:p w14:paraId="558B6774"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6.</w:t>
      </w:r>
      <w:r w:rsidRPr="00532416">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14:paraId="558B6775" w14:textId="7D17E09F"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If the information required under this collection of information were not collected or was conducted less frequently, the</w:t>
      </w:r>
      <w:r w:rsidR="00864E77" w:rsidRPr="00532416">
        <w:rPr>
          <w:rFonts w:ascii="Times New Roman" w:eastAsia="Times New Roman" w:hAnsi="Times New Roman" w:cs="Times New Roman"/>
          <w:sz w:val="24"/>
          <w:szCs w:val="24"/>
        </w:rPr>
        <w:t>n the</w:t>
      </w:r>
      <w:r w:rsidRPr="00532416">
        <w:rPr>
          <w:rFonts w:ascii="Times New Roman" w:eastAsia="Times New Roman" w:hAnsi="Times New Roman" w:cs="Times New Roman"/>
          <w:sz w:val="24"/>
          <w:szCs w:val="24"/>
        </w:rPr>
        <w:t xml:space="preserve"> Commission’s ability to monitor and enforce the conditions set forth in the exemption </w:t>
      </w:r>
      <w:r w:rsidR="00864E77" w:rsidRPr="00532416">
        <w:rPr>
          <w:rFonts w:ascii="Times New Roman" w:eastAsia="Times New Roman" w:hAnsi="Times New Roman" w:cs="Times New Roman"/>
          <w:sz w:val="24"/>
          <w:szCs w:val="24"/>
        </w:rPr>
        <w:t xml:space="preserve">would </w:t>
      </w:r>
      <w:r w:rsidRPr="00532416">
        <w:rPr>
          <w:rFonts w:ascii="Times New Roman" w:eastAsia="Times New Roman" w:hAnsi="Times New Roman" w:cs="Times New Roman"/>
          <w:sz w:val="24"/>
          <w:szCs w:val="24"/>
        </w:rPr>
        <w:t xml:space="preserve">be hindered.  The Commission would be unable to ensure that only </w:t>
      </w:r>
      <w:r w:rsidR="00AB1091" w:rsidRPr="00532416">
        <w:rPr>
          <w:rFonts w:ascii="Times New Roman" w:eastAsia="Times New Roman" w:hAnsi="Times New Roman" w:cs="Times New Roman"/>
          <w:sz w:val="24"/>
          <w:szCs w:val="24"/>
        </w:rPr>
        <w:t xml:space="preserve">eligible </w:t>
      </w:r>
      <w:r w:rsidRPr="00532416">
        <w:rPr>
          <w:rFonts w:ascii="Times New Roman" w:eastAsia="Times New Roman" w:hAnsi="Times New Roman" w:cs="Times New Roman"/>
          <w:sz w:val="24"/>
          <w:szCs w:val="24"/>
        </w:rPr>
        <w:t>affiliate</w:t>
      </w:r>
      <w:r w:rsidR="00AB1091" w:rsidRPr="00532416">
        <w:rPr>
          <w:rFonts w:ascii="Times New Roman" w:eastAsia="Times New Roman" w:hAnsi="Times New Roman" w:cs="Times New Roman"/>
          <w:sz w:val="24"/>
          <w:szCs w:val="24"/>
        </w:rPr>
        <w:t xml:space="preserve"> counterparties</w:t>
      </w:r>
      <w:r w:rsidRPr="00532416">
        <w:rPr>
          <w:rFonts w:ascii="Times New Roman" w:eastAsia="Times New Roman" w:hAnsi="Times New Roman" w:cs="Times New Roman"/>
          <w:sz w:val="24"/>
          <w:szCs w:val="24"/>
        </w:rPr>
        <w:t xml:space="preserve"> meeting the specified conditions elect the exemption, and the Commission’s ability to evaluate the risks of, and monitor the use of uncleared inter-affiliate swaps </w:t>
      </w:r>
      <w:r w:rsidR="00864E77" w:rsidRPr="00532416">
        <w:rPr>
          <w:rFonts w:ascii="Times New Roman" w:eastAsia="Times New Roman" w:hAnsi="Times New Roman" w:cs="Times New Roman"/>
          <w:sz w:val="24"/>
          <w:szCs w:val="24"/>
        </w:rPr>
        <w:t xml:space="preserve">would </w:t>
      </w:r>
      <w:r w:rsidRPr="00532416">
        <w:rPr>
          <w:rFonts w:ascii="Times New Roman" w:eastAsia="Times New Roman" w:hAnsi="Times New Roman" w:cs="Times New Roman"/>
          <w:sz w:val="24"/>
          <w:szCs w:val="24"/>
        </w:rPr>
        <w:t>be hindered.</w:t>
      </w:r>
      <w:r w:rsidRPr="00532416">
        <w:rPr>
          <w:rFonts w:ascii="Times New Roman" w:eastAsia="Times New Roman" w:hAnsi="Times New Roman" w:cs="Optimum"/>
          <w:color w:val="000000"/>
          <w:sz w:val="24"/>
          <w:szCs w:val="24"/>
        </w:rPr>
        <w:t xml:space="preserve"> </w:t>
      </w:r>
      <w:r w:rsidR="006D7CA7">
        <w:rPr>
          <w:rFonts w:ascii="Times New Roman" w:eastAsia="Times New Roman" w:hAnsi="Times New Roman" w:cs="Optimum"/>
          <w:color w:val="000000"/>
          <w:sz w:val="24"/>
          <w:szCs w:val="24"/>
        </w:rPr>
        <w:t xml:space="preserve"> In addition, failure to obtain the subject information would adv</w:t>
      </w:r>
      <w:r w:rsidR="00B66114">
        <w:rPr>
          <w:rFonts w:ascii="Times New Roman" w:eastAsia="Times New Roman" w:hAnsi="Times New Roman" w:cs="Optimum"/>
          <w:color w:val="000000"/>
          <w:sz w:val="24"/>
          <w:szCs w:val="24"/>
        </w:rPr>
        <w:t>er</w:t>
      </w:r>
      <w:r w:rsidR="006D7CA7">
        <w:rPr>
          <w:rFonts w:ascii="Times New Roman" w:eastAsia="Times New Roman" w:hAnsi="Times New Roman" w:cs="Optimum"/>
          <w:color w:val="000000"/>
          <w:sz w:val="24"/>
          <w:szCs w:val="24"/>
        </w:rPr>
        <w:t xml:space="preserve">sly affect the Commission’s ability to ensure the entities’ compliance with their obligations under </w:t>
      </w:r>
      <w:r w:rsidR="006D7CA7">
        <w:rPr>
          <w:rFonts w:ascii="Times New Roman" w:eastAsia="Times New Roman" w:hAnsi="Times New Roman" w:cs="Optimum"/>
          <w:color w:val="000000"/>
          <w:sz w:val="24"/>
          <w:szCs w:val="24"/>
        </w:rPr>
        <w:lastRenderedPageBreak/>
        <w:t xml:space="preserve">the CEA and Commission regulations related to the clearing requirement.  </w:t>
      </w:r>
      <w:r w:rsidRPr="00532416">
        <w:rPr>
          <w:rFonts w:ascii="Times New Roman" w:eastAsia="Times New Roman" w:hAnsi="Times New Roman" w:cs="Times New Roman"/>
          <w:sz w:val="24"/>
          <w:szCs w:val="24"/>
        </w:rPr>
        <w:t xml:space="preserve">The integrity and efficiency of the swap markets </w:t>
      </w:r>
      <w:r w:rsidR="002C42A0" w:rsidRPr="00532416">
        <w:rPr>
          <w:rFonts w:ascii="Times New Roman" w:eastAsia="Times New Roman" w:hAnsi="Times New Roman" w:cs="Times New Roman"/>
          <w:sz w:val="24"/>
          <w:szCs w:val="24"/>
        </w:rPr>
        <w:t xml:space="preserve">would </w:t>
      </w:r>
      <w:r w:rsidRPr="00532416">
        <w:rPr>
          <w:rFonts w:ascii="Times New Roman" w:eastAsia="Times New Roman" w:hAnsi="Times New Roman" w:cs="Times New Roman"/>
          <w:sz w:val="24"/>
          <w:szCs w:val="24"/>
        </w:rPr>
        <w:t xml:space="preserve">be adversely affected because the information collection allows entities to </w:t>
      </w:r>
      <w:r w:rsidR="00AB1091" w:rsidRPr="00532416">
        <w:rPr>
          <w:rFonts w:ascii="Times New Roman" w:eastAsia="Times New Roman" w:hAnsi="Times New Roman" w:cs="Times New Roman"/>
          <w:sz w:val="24"/>
          <w:szCs w:val="24"/>
        </w:rPr>
        <w:t xml:space="preserve">elect an </w:t>
      </w:r>
      <w:r w:rsidRPr="00532416">
        <w:rPr>
          <w:rFonts w:ascii="Times New Roman" w:eastAsia="Times New Roman" w:hAnsi="Times New Roman" w:cs="Times New Roman"/>
          <w:sz w:val="24"/>
          <w:szCs w:val="24"/>
        </w:rPr>
        <w:t>exempt</w:t>
      </w:r>
      <w:r w:rsidR="00AB1091" w:rsidRPr="00532416">
        <w:rPr>
          <w:rFonts w:ascii="Times New Roman" w:eastAsia="Times New Roman" w:hAnsi="Times New Roman" w:cs="Times New Roman"/>
          <w:sz w:val="24"/>
          <w:szCs w:val="24"/>
        </w:rPr>
        <w:t>ion</w:t>
      </w:r>
      <w:r w:rsidRPr="00532416">
        <w:rPr>
          <w:rFonts w:ascii="Times New Roman" w:eastAsia="Times New Roman" w:hAnsi="Times New Roman" w:cs="Times New Roman"/>
          <w:sz w:val="24"/>
          <w:szCs w:val="24"/>
        </w:rPr>
        <w:t xml:space="preserve"> </w:t>
      </w:r>
      <w:r w:rsidR="00AB1091" w:rsidRPr="00532416">
        <w:rPr>
          <w:rFonts w:ascii="Times New Roman" w:eastAsia="Times New Roman" w:hAnsi="Times New Roman" w:cs="Times New Roman"/>
          <w:sz w:val="24"/>
          <w:szCs w:val="24"/>
        </w:rPr>
        <w:t xml:space="preserve">for certain swaps </w:t>
      </w:r>
      <w:r w:rsidRPr="00532416">
        <w:rPr>
          <w:rFonts w:ascii="Times New Roman" w:eastAsia="Times New Roman" w:hAnsi="Times New Roman" w:cs="Times New Roman"/>
          <w:sz w:val="24"/>
          <w:szCs w:val="24"/>
        </w:rPr>
        <w:t xml:space="preserve">from the clearing requirement. The information collection cannot be conducted less frequently without compromising the accuracy and timeliness of the data.  </w:t>
      </w:r>
    </w:p>
    <w:p w14:paraId="558B6776"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7.</w:t>
      </w:r>
      <w:r w:rsidRPr="00532416">
        <w:rPr>
          <w:rFonts w:ascii="Times New Roman" w:eastAsia="Times New Roman" w:hAnsi="Times New Roman" w:cs="Times New Roman"/>
          <w:b/>
          <w:sz w:val="24"/>
          <w:szCs w:val="24"/>
        </w:rPr>
        <w:tab/>
        <w:t>Explain any special circumstances that require the collection to be conducted in a manner:</w:t>
      </w:r>
    </w:p>
    <w:p w14:paraId="558B6777"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respondents to report information to the agency more often than quarterly;</w:t>
      </w:r>
    </w:p>
    <w:p w14:paraId="558B6778" w14:textId="358528E9"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532416">
        <w:rPr>
          <w:rFonts w:ascii="Times New Roman" w:eastAsia="Times New Roman" w:hAnsi="Times New Roman" w:cs="Times New Roman"/>
          <w:bCs/>
          <w:sz w:val="24"/>
          <w:szCs w:val="24"/>
        </w:rPr>
        <w:tab/>
        <w:t xml:space="preserve">The reporting counterparty </w:t>
      </w:r>
      <w:r w:rsidR="004554CD" w:rsidRPr="00532416">
        <w:rPr>
          <w:rFonts w:ascii="Times New Roman" w:eastAsia="Times New Roman" w:hAnsi="Times New Roman" w:cs="Times New Roman"/>
          <w:bCs/>
          <w:sz w:val="24"/>
          <w:szCs w:val="24"/>
        </w:rPr>
        <w:t>must</w:t>
      </w:r>
      <w:r w:rsidRPr="00532416">
        <w:rPr>
          <w:rFonts w:ascii="Times New Roman" w:eastAsia="Times New Roman" w:hAnsi="Times New Roman" w:cs="Times New Roman"/>
          <w:bCs/>
          <w:sz w:val="24"/>
          <w:szCs w:val="24"/>
        </w:rPr>
        <w:t xml:space="preserve"> report the information required in § </w:t>
      </w:r>
      <w:r w:rsidR="004554CD" w:rsidRPr="00532416">
        <w:rPr>
          <w:rFonts w:ascii="Times New Roman" w:eastAsia="Times New Roman" w:hAnsi="Times New Roman" w:cs="Times New Roman"/>
          <w:bCs/>
          <w:sz w:val="24"/>
          <w:szCs w:val="24"/>
        </w:rPr>
        <w:t xml:space="preserve">50.52(c)(1) </w:t>
      </w:r>
      <w:r w:rsidRPr="00532416">
        <w:rPr>
          <w:rFonts w:ascii="Times New Roman" w:eastAsia="Times New Roman" w:hAnsi="Times New Roman" w:cs="Times New Roman"/>
          <w:bCs/>
          <w:sz w:val="24"/>
          <w:szCs w:val="24"/>
        </w:rPr>
        <w:t xml:space="preserve">for each swap.  It also </w:t>
      </w:r>
      <w:r w:rsidR="004554CD" w:rsidRPr="00532416">
        <w:rPr>
          <w:rFonts w:ascii="Times New Roman" w:eastAsia="Times New Roman" w:hAnsi="Times New Roman" w:cs="Times New Roman"/>
          <w:bCs/>
          <w:sz w:val="24"/>
          <w:szCs w:val="24"/>
        </w:rPr>
        <w:t>must</w:t>
      </w:r>
      <w:r w:rsidRPr="00532416">
        <w:rPr>
          <w:rFonts w:ascii="Times New Roman" w:eastAsia="Times New Roman" w:hAnsi="Times New Roman" w:cs="Times New Roman"/>
          <w:bCs/>
          <w:sz w:val="24"/>
          <w:szCs w:val="24"/>
        </w:rPr>
        <w:t xml:space="preserve"> report the information required in § </w:t>
      </w:r>
      <w:r w:rsidR="004554CD" w:rsidRPr="00532416">
        <w:rPr>
          <w:rFonts w:ascii="Times New Roman" w:eastAsia="Times New Roman" w:hAnsi="Times New Roman" w:cs="Times New Roman"/>
          <w:bCs/>
          <w:sz w:val="24"/>
          <w:szCs w:val="24"/>
        </w:rPr>
        <w:t xml:space="preserve">50.52(c)(2)-(3) </w:t>
      </w:r>
      <w:r w:rsidRPr="00532416">
        <w:rPr>
          <w:rFonts w:ascii="Times New Roman" w:eastAsia="Times New Roman" w:hAnsi="Times New Roman" w:cs="Times New Roman"/>
          <w:bCs/>
          <w:sz w:val="24"/>
          <w:szCs w:val="24"/>
        </w:rPr>
        <w:t xml:space="preserve">for each swap if no annual report had been filed.  However, the Commission has given respondents the option to report the same information on an annual basis instead.  The Commission </w:t>
      </w:r>
      <w:r w:rsidR="002C42A0" w:rsidRPr="00532416">
        <w:rPr>
          <w:rFonts w:ascii="Times New Roman" w:eastAsia="Times New Roman" w:hAnsi="Times New Roman" w:cs="Times New Roman"/>
          <w:bCs/>
          <w:sz w:val="24"/>
          <w:szCs w:val="24"/>
        </w:rPr>
        <w:t xml:space="preserve">understands </w:t>
      </w:r>
      <w:r w:rsidRPr="00532416">
        <w:rPr>
          <w:rFonts w:ascii="Times New Roman" w:eastAsia="Times New Roman" w:hAnsi="Times New Roman" w:cs="Times New Roman"/>
          <w:bCs/>
          <w:sz w:val="24"/>
          <w:szCs w:val="24"/>
        </w:rPr>
        <w:t xml:space="preserve">that </w:t>
      </w:r>
      <w:r w:rsidR="002C42A0" w:rsidRPr="00532416">
        <w:rPr>
          <w:rFonts w:ascii="Times New Roman" w:eastAsia="Times New Roman" w:hAnsi="Times New Roman" w:cs="Times New Roman"/>
          <w:bCs/>
          <w:sz w:val="24"/>
          <w:szCs w:val="24"/>
        </w:rPr>
        <w:t>100</w:t>
      </w:r>
      <w:r w:rsidRPr="00532416">
        <w:rPr>
          <w:rFonts w:ascii="Times New Roman" w:eastAsia="Times New Roman" w:hAnsi="Times New Roman" w:cs="Times New Roman"/>
          <w:bCs/>
          <w:sz w:val="24"/>
          <w:szCs w:val="24"/>
        </w:rPr>
        <w:t xml:space="preserve">% of entities report annually. </w:t>
      </w:r>
    </w:p>
    <w:p w14:paraId="558B6779"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respondents to prepare a written response to a collection of information in fewer than 30 days after receipt of it:</w:t>
      </w:r>
    </w:p>
    <w:p w14:paraId="558B677A" w14:textId="013698F4"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532416">
        <w:rPr>
          <w:rFonts w:ascii="Times New Roman" w:eastAsia="Times New Roman" w:hAnsi="Times New Roman" w:cs="Times New Roman"/>
          <w:bCs/>
          <w:sz w:val="24"/>
          <w:szCs w:val="24"/>
        </w:rPr>
        <w:tab/>
        <w:t xml:space="preserve">The reporting counterparty </w:t>
      </w:r>
      <w:r w:rsidR="004554CD" w:rsidRPr="00532416">
        <w:rPr>
          <w:rFonts w:ascii="Times New Roman" w:eastAsia="Times New Roman" w:hAnsi="Times New Roman" w:cs="Times New Roman"/>
          <w:bCs/>
          <w:sz w:val="24"/>
          <w:szCs w:val="24"/>
        </w:rPr>
        <w:t>must</w:t>
      </w:r>
      <w:r w:rsidRPr="00532416">
        <w:rPr>
          <w:rFonts w:ascii="Times New Roman" w:eastAsia="Times New Roman" w:hAnsi="Times New Roman" w:cs="Times New Roman"/>
          <w:bCs/>
          <w:sz w:val="24"/>
          <w:szCs w:val="24"/>
        </w:rPr>
        <w:t xml:space="preserve"> report the information required in § </w:t>
      </w:r>
      <w:r w:rsidR="004554CD" w:rsidRPr="00532416">
        <w:rPr>
          <w:rFonts w:ascii="Times New Roman" w:eastAsia="Times New Roman" w:hAnsi="Times New Roman" w:cs="Times New Roman"/>
          <w:bCs/>
          <w:sz w:val="24"/>
          <w:szCs w:val="24"/>
        </w:rPr>
        <w:t xml:space="preserve">50.52(c)(1) </w:t>
      </w:r>
      <w:r w:rsidRPr="00532416">
        <w:rPr>
          <w:rFonts w:ascii="Times New Roman" w:eastAsia="Times New Roman" w:hAnsi="Times New Roman" w:cs="Times New Roman"/>
          <w:bCs/>
          <w:sz w:val="24"/>
          <w:szCs w:val="24"/>
        </w:rPr>
        <w:t xml:space="preserve">for each swap.  It also </w:t>
      </w:r>
      <w:r w:rsidR="004554CD" w:rsidRPr="00532416">
        <w:rPr>
          <w:rFonts w:ascii="Times New Roman" w:eastAsia="Times New Roman" w:hAnsi="Times New Roman" w:cs="Times New Roman"/>
          <w:bCs/>
          <w:sz w:val="24"/>
          <w:szCs w:val="24"/>
        </w:rPr>
        <w:t>must</w:t>
      </w:r>
      <w:r w:rsidRPr="00532416">
        <w:rPr>
          <w:rFonts w:ascii="Times New Roman" w:eastAsia="Times New Roman" w:hAnsi="Times New Roman" w:cs="Times New Roman"/>
          <w:bCs/>
          <w:sz w:val="24"/>
          <w:szCs w:val="24"/>
        </w:rPr>
        <w:t xml:space="preserve"> report the information required in § </w:t>
      </w:r>
      <w:r w:rsidR="004554CD" w:rsidRPr="00532416">
        <w:rPr>
          <w:rFonts w:ascii="Times New Roman" w:eastAsia="Times New Roman" w:hAnsi="Times New Roman" w:cs="Times New Roman"/>
          <w:bCs/>
          <w:sz w:val="24"/>
          <w:szCs w:val="24"/>
        </w:rPr>
        <w:t xml:space="preserve">50.52(c)(2)-(3) </w:t>
      </w:r>
      <w:r w:rsidRPr="00532416">
        <w:rPr>
          <w:rFonts w:ascii="Times New Roman" w:eastAsia="Times New Roman" w:hAnsi="Times New Roman" w:cs="Times New Roman"/>
          <w:bCs/>
          <w:sz w:val="24"/>
          <w:szCs w:val="24"/>
        </w:rPr>
        <w:t xml:space="preserve">for each swap if no annual report had been filed.  However, the Commission has given respondents the option to report the same information on an annual basis instead.  The Commission </w:t>
      </w:r>
      <w:r w:rsidR="00793C41" w:rsidRPr="00532416">
        <w:rPr>
          <w:rFonts w:ascii="Times New Roman" w:eastAsia="Times New Roman" w:hAnsi="Times New Roman" w:cs="Times New Roman"/>
          <w:bCs/>
          <w:sz w:val="24"/>
          <w:szCs w:val="24"/>
        </w:rPr>
        <w:t xml:space="preserve">understands </w:t>
      </w:r>
      <w:r w:rsidRPr="00532416">
        <w:rPr>
          <w:rFonts w:ascii="Times New Roman" w:eastAsia="Times New Roman" w:hAnsi="Times New Roman" w:cs="Times New Roman"/>
          <w:bCs/>
          <w:sz w:val="24"/>
          <w:szCs w:val="24"/>
        </w:rPr>
        <w:t xml:space="preserve">that </w:t>
      </w:r>
      <w:r w:rsidR="00793C41" w:rsidRPr="00532416">
        <w:rPr>
          <w:rFonts w:ascii="Times New Roman" w:eastAsia="Times New Roman" w:hAnsi="Times New Roman" w:cs="Times New Roman"/>
          <w:bCs/>
          <w:sz w:val="24"/>
          <w:szCs w:val="24"/>
        </w:rPr>
        <w:t>100</w:t>
      </w:r>
      <w:r w:rsidRPr="00532416">
        <w:rPr>
          <w:rFonts w:ascii="Times New Roman" w:eastAsia="Times New Roman" w:hAnsi="Times New Roman" w:cs="Times New Roman"/>
          <w:bCs/>
          <w:sz w:val="24"/>
          <w:szCs w:val="24"/>
        </w:rPr>
        <w:t xml:space="preserve">% of entities report annually. </w:t>
      </w:r>
    </w:p>
    <w:p w14:paraId="558B677B"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requiring respondents to submit more </w:t>
      </w:r>
      <w:r w:rsidR="00D07531" w:rsidRPr="00532416">
        <w:rPr>
          <w:rFonts w:ascii="Times New Roman" w:eastAsia="Times New Roman" w:hAnsi="Times New Roman" w:cs="Times New Roman"/>
          <w:b/>
          <w:sz w:val="24"/>
          <w:szCs w:val="24"/>
        </w:rPr>
        <w:t xml:space="preserve">than </w:t>
      </w:r>
      <w:r w:rsidRPr="00532416">
        <w:rPr>
          <w:rFonts w:ascii="Times New Roman" w:eastAsia="Times New Roman" w:hAnsi="Times New Roman" w:cs="Times New Roman"/>
          <w:b/>
          <w:sz w:val="24"/>
          <w:szCs w:val="24"/>
        </w:rPr>
        <w:t>an original and two copies of any document;</w:t>
      </w:r>
    </w:p>
    <w:p w14:paraId="558B677C" w14:textId="26968170"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impose any requirements that obligate an applicant to submit more than an original and two copies of any document.</w:t>
      </w:r>
    </w:p>
    <w:p w14:paraId="558B677D"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14:paraId="558B677E" w14:textId="77777777" w:rsidR="007017BF" w:rsidRPr="00532416" w:rsidRDefault="007017BF" w:rsidP="007017BF">
      <w:pPr>
        <w:tabs>
          <w:tab w:val="left" w:pos="-720"/>
          <w:tab w:val="left" w:pos="0"/>
          <w:tab w:val="left" w:pos="720"/>
        </w:tabs>
        <w:spacing w:after="240" w:line="240" w:lineRule="auto"/>
        <w:ind w:right="720"/>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impose any recordkeeping requirements.</w:t>
      </w:r>
    </w:p>
    <w:p w14:paraId="558B677F"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14:paraId="558B6780" w14:textId="77777777"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require nor involve any statistical surveys.</w:t>
      </w:r>
    </w:p>
    <w:p w14:paraId="558B6781"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the use of a statistical data classification that has not been reviewed and approved by OMB;</w:t>
      </w:r>
    </w:p>
    <w:p w14:paraId="558B6782" w14:textId="77777777" w:rsidR="007017BF" w:rsidRPr="00532416" w:rsidRDefault="007017BF" w:rsidP="007017BF">
      <w:pPr>
        <w:tabs>
          <w:tab w:val="left" w:pos="-720"/>
          <w:tab w:val="left" w:pos="0"/>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sz w:val="24"/>
          <w:szCs w:val="24"/>
        </w:rPr>
        <w:tab/>
        <w:t>The exemption does not require nor involve the use of any statistical data classification.</w:t>
      </w:r>
    </w:p>
    <w:p w14:paraId="558B6783"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lastRenderedPageBreak/>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558B6784" w14:textId="77777777"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require a pledge of confidentiality.</w:t>
      </w:r>
    </w:p>
    <w:p w14:paraId="558B6785"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558B6786" w14:textId="4168BAD6"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 xml:space="preserve">The exemption does not specifically require any person to submit data involving confidential information or trade secrets.  </w:t>
      </w:r>
      <w:r w:rsidR="00556071" w:rsidRPr="00556071">
        <w:rPr>
          <w:rFonts w:ascii="Times New Roman" w:eastAsia="Times New Roman" w:hAnsi="Times New Roman" w:cs="Times New Roman"/>
          <w:sz w:val="24"/>
          <w:szCs w:val="24"/>
        </w:rPr>
        <w:t>In any event, the Commission has promulgated regulations to protect the confidentiality of the information collected from respondents.  They are set forth in 17 CFR Part 145.</w:t>
      </w:r>
    </w:p>
    <w:p w14:paraId="558B6787"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b/>
          <w:sz w:val="24"/>
          <w:szCs w:val="24"/>
        </w:rPr>
        <w:t>8.</w:t>
      </w:r>
      <w:r w:rsidRPr="00532416">
        <w:rPr>
          <w:rFonts w:ascii="Times New Roman" w:eastAsia="Times New Roman" w:hAnsi="Times New Roman" w:cs="Times New Roman"/>
          <w:b/>
          <w:sz w:val="24"/>
          <w:szCs w:val="24"/>
        </w:rPr>
        <w:tab/>
        <w:t xml:space="preserve">If applicable, provide a copy and identify the date and page number of publication in the </w:t>
      </w:r>
      <w:r w:rsidRPr="00532416">
        <w:rPr>
          <w:rFonts w:ascii="Times New Roman" w:eastAsia="Times New Roman" w:hAnsi="Times New Roman" w:cs="Times New Roman"/>
          <w:b/>
          <w:i/>
          <w:sz w:val="24"/>
          <w:szCs w:val="24"/>
        </w:rPr>
        <w:t>Federal Register</w:t>
      </w:r>
      <w:r w:rsidRPr="00532416">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32416">
        <w:rPr>
          <w:rFonts w:ascii="Times New Roman" w:eastAsia="Times New Roman" w:hAnsi="Times New Roman" w:cs="Times New Roman"/>
          <w:sz w:val="24"/>
          <w:szCs w:val="24"/>
        </w:rPr>
        <w:tab/>
      </w:r>
    </w:p>
    <w:p w14:paraId="0AEAD879" w14:textId="47EEAF97" w:rsidR="00A74FDC" w:rsidRPr="00532416" w:rsidRDefault="00A74FDC" w:rsidP="00A74FDC">
      <w:pPr>
        <w:tabs>
          <w:tab w:val="left" w:pos="-720"/>
        </w:tabs>
        <w:suppressAutoHyphens/>
        <w:rPr>
          <w:rFonts w:ascii="Times New Roman" w:hAnsi="Times New Roman"/>
          <w:sz w:val="24"/>
          <w:szCs w:val="24"/>
        </w:rPr>
      </w:pPr>
      <w:r w:rsidRPr="00532416">
        <w:rPr>
          <w:rFonts w:ascii="Times New Roman" w:eastAsia="Times New Roman" w:hAnsi="Times New Roman" w:cs="Times New Roman"/>
          <w:sz w:val="24"/>
          <w:szCs w:val="24"/>
        </w:rPr>
        <w:tab/>
      </w:r>
      <w:r w:rsidRPr="00532416">
        <w:rPr>
          <w:rFonts w:ascii="Times New Roman" w:hAnsi="Times New Roman"/>
          <w:sz w:val="24"/>
          <w:szCs w:val="24"/>
        </w:rPr>
        <w:t xml:space="preserve">As part of the rulemaking process, the rule was published in the Federal Register.  </w:t>
      </w:r>
      <w:r w:rsidR="00556071" w:rsidRPr="00556071">
        <w:rPr>
          <w:rFonts w:ascii="Times New Roman" w:hAnsi="Times New Roman"/>
          <w:sz w:val="24"/>
          <w:szCs w:val="24"/>
        </w:rPr>
        <w:t>A copy of the Federal Register notice soliciting comments on this information collection (</w:t>
      </w:r>
      <w:r w:rsidR="00FE390C">
        <w:rPr>
          <w:rFonts w:ascii="Times New Roman" w:hAnsi="Times New Roman"/>
          <w:sz w:val="24"/>
          <w:szCs w:val="24"/>
        </w:rPr>
        <w:t xml:space="preserve">81 </w:t>
      </w:r>
      <w:r w:rsidR="00556071" w:rsidRPr="00556071">
        <w:rPr>
          <w:rFonts w:ascii="Times New Roman" w:hAnsi="Times New Roman"/>
          <w:sz w:val="24"/>
          <w:szCs w:val="24"/>
        </w:rPr>
        <w:t xml:space="preserve">FR </w:t>
      </w:r>
      <w:r w:rsidR="00FE390C">
        <w:rPr>
          <w:rFonts w:ascii="Times New Roman" w:hAnsi="Times New Roman"/>
          <w:sz w:val="24"/>
          <w:szCs w:val="24"/>
        </w:rPr>
        <w:t>11762</w:t>
      </w:r>
      <w:r w:rsidR="00556071" w:rsidRPr="00556071">
        <w:rPr>
          <w:rFonts w:ascii="Times New Roman" w:hAnsi="Times New Roman"/>
          <w:sz w:val="24"/>
          <w:szCs w:val="24"/>
        </w:rPr>
        <w:t>,</w:t>
      </w:r>
      <w:r w:rsidR="00FE390C">
        <w:rPr>
          <w:rFonts w:ascii="Times New Roman" w:hAnsi="Times New Roman"/>
          <w:sz w:val="24"/>
          <w:szCs w:val="24"/>
        </w:rPr>
        <w:t xml:space="preserve"> March 7</w:t>
      </w:r>
      <w:r w:rsidR="00556071" w:rsidRPr="00556071">
        <w:rPr>
          <w:rFonts w:ascii="Times New Roman" w:hAnsi="Times New Roman"/>
          <w:sz w:val="24"/>
          <w:szCs w:val="24"/>
        </w:rPr>
        <w:t>, 201</w:t>
      </w:r>
      <w:r w:rsidR="00556071">
        <w:rPr>
          <w:rFonts w:ascii="Times New Roman" w:hAnsi="Times New Roman"/>
          <w:sz w:val="24"/>
          <w:szCs w:val="24"/>
        </w:rPr>
        <w:t>6</w:t>
      </w:r>
      <w:r w:rsidR="00556071" w:rsidRPr="00556071">
        <w:rPr>
          <w:rFonts w:ascii="Times New Roman" w:hAnsi="Times New Roman"/>
          <w:sz w:val="24"/>
          <w:szCs w:val="24"/>
        </w:rPr>
        <w:t xml:space="preserve">) is attached.  </w:t>
      </w:r>
      <w:r w:rsidR="00FE390C" w:rsidRPr="00FE390C">
        <w:rPr>
          <w:rFonts w:ascii="Times New Roman" w:hAnsi="Times New Roman"/>
          <w:sz w:val="24"/>
          <w:szCs w:val="24"/>
        </w:rPr>
        <w:t>The Commission did not receive any comments on the 60-day Federal Register notice</w:t>
      </w:r>
    </w:p>
    <w:p w14:paraId="558B678E" w14:textId="678726B0"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sz w:val="24"/>
          <w:szCs w:val="24"/>
        </w:rPr>
        <w:tab/>
      </w:r>
      <w:r w:rsidR="00D90DAD"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58B678F" w14:textId="2DC79B6A" w:rsidR="007017BF" w:rsidRPr="00532416" w:rsidRDefault="007017BF" w:rsidP="007017BF">
      <w:pPr>
        <w:tabs>
          <w:tab w:val="left" w:pos="-720"/>
        </w:tabs>
        <w:overflowPunct w:val="0"/>
        <w:autoSpaceDE w:val="0"/>
        <w:autoSpaceDN w:val="0"/>
        <w:adjustRightInd w:val="0"/>
        <w:spacing w:after="240" w:line="240" w:lineRule="auto"/>
        <w:textAlignment w:val="baseline"/>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4E2747" w:rsidRPr="00532416">
        <w:rPr>
          <w:rFonts w:ascii="Times New Roman" w:eastAsia="Times New Roman" w:hAnsi="Times New Roman" w:cs="Times New Roman"/>
          <w:sz w:val="24"/>
          <w:szCs w:val="24"/>
        </w:rPr>
        <w:t xml:space="preserve">In 2016, </w:t>
      </w:r>
      <w:r w:rsidRPr="00532416">
        <w:rPr>
          <w:rFonts w:ascii="Times New Roman" w:eastAsia="Times New Roman" w:hAnsi="Times New Roman" w:cs="Times New Roman"/>
          <w:sz w:val="24"/>
          <w:szCs w:val="24"/>
        </w:rPr>
        <w:t xml:space="preserve"> Commission</w:t>
      </w:r>
      <w:r w:rsidR="0064722F" w:rsidRPr="00532416">
        <w:rPr>
          <w:rFonts w:ascii="Times New Roman" w:eastAsia="Times New Roman" w:hAnsi="Times New Roman" w:cs="Times New Roman"/>
          <w:sz w:val="24"/>
          <w:szCs w:val="24"/>
        </w:rPr>
        <w:t xml:space="preserve"> staff</w:t>
      </w:r>
      <w:r w:rsidRPr="00532416">
        <w:rPr>
          <w:rFonts w:ascii="Times New Roman" w:eastAsia="Times New Roman" w:hAnsi="Times New Roman" w:cs="Times New Roman"/>
          <w:sz w:val="24"/>
          <w:szCs w:val="24"/>
        </w:rPr>
        <w:t xml:space="preserve"> </w:t>
      </w:r>
      <w:r w:rsidR="004E2747" w:rsidRPr="00532416">
        <w:rPr>
          <w:rFonts w:ascii="Times New Roman" w:eastAsia="Times New Roman" w:hAnsi="Times New Roman" w:cs="Times New Roman"/>
          <w:sz w:val="24"/>
          <w:szCs w:val="24"/>
        </w:rPr>
        <w:t>obtained information related to this collection from two SDRs</w:t>
      </w:r>
      <w:r w:rsidR="0064722F" w:rsidRPr="00532416">
        <w:rPr>
          <w:rFonts w:ascii="Times New Roman" w:eastAsia="Times New Roman" w:hAnsi="Times New Roman" w:cs="Times New Roman"/>
          <w:sz w:val="24"/>
          <w:szCs w:val="24"/>
        </w:rPr>
        <w:t xml:space="preserve"> to which entities have submitted election forms, pursuant to rule 50.52</w:t>
      </w:r>
      <w:r w:rsidRPr="00532416">
        <w:rPr>
          <w:rFonts w:ascii="Times New Roman" w:eastAsia="Times New Roman" w:hAnsi="Times New Roman" w:cs="Times New Roman"/>
          <w:sz w:val="24"/>
          <w:szCs w:val="24"/>
        </w:rPr>
        <w:t>.</w:t>
      </w:r>
    </w:p>
    <w:p w14:paraId="558B6790"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58B6791" w14:textId="5DA1FE62"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64722F" w:rsidRPr="00532416">
        <w:rPr>
          <w:rFonts w:ascii="Times New Roman" w:eastAsia="Times New Roman" w:hAnsi="Times New Roman" w:cs="Times New Roman"/>
          <w:sz w:val="24"/>
          <w:szCs w:val="24"/>
        </w:rPr>
        <w:t>In 2015, during the course of reviewing compliance with rule 50.52, Commission staff discussed this collection with swap dealers that have elected the exemption</w:t>
      </w:r>
      <w:r w:rsidRPr="00532416">
        <w:rPr>
          <w:rFonts w:ascii="Times New Roman" w:eastAsia="Times New Roman" w:hAnsi="Times New Roman" w:cs="Times New Roman"/>
          <w:sz w:val="24"/>
          <w:szCs w:val="24"/>
        </w:rPr>
        <w:t xml:space="preserve">.  </w:t>
      </w:r>
    </w:p>
    <w:p w14:paraId="558B6792"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9.</w:t>
      </w:r>
      <w:r w:rsidRPr="00532416">
        <w:rPr>
          <w:rFonts w:ascii="Times New Roman" w:eastAsia="Times New Roman" w:hAnsi="Times New Roman" w:cs="Times New Roman"/>
          <w:b/>
          <w:sz w:val="24"/>
          <w:szCs w:val="24"/>
        </w:rPr>
        <w:tab/>
        <w:t>Explain any decision to provide any payment or gift to respondents, other than remuneration of contractors or grantees.</w:t>
      </w:r>
    </w:p>
    <w:p w14:paraId="558B6793"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lastRenderedPageBreak/>
        <w:tab/>
        <w:t>This question does not apply.</w:t>
      </w:r>
    </w:p>
    <w:p w14:paraId="558B6794"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10.</w:t>
      </w:r>
      <w:r w:rsidRPr="00532416">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14:paraId="558B6795" w14:textId="4729383C"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556071" w:rsidRPr="00556071">
        <w:rPr>
          <w:rFonts w:ascii="Times New Roman" w:eastAsia="Times New Roman" w:hAnsi="Times New Roman" w:cs="Times New Roman"/>
          <w:sz w:val="24"/>
          <w:szCs w:val="24"/>
        </w:rPr>
        <w:t>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532416">
        <w:rPr>
          <w:rFonts w:ascii="Times New Roman" w:eastAsia="Times New Roman" w:hAnsi="Times New Roman" w:cs="Times New Roman"/>
          <w:sz w:val="24"/>
          <w:szCs w:val="24"/>
        </w:rPr>
        <w:t>.</w:t>
      </w:r>
    </w:p>
    <w:p w14:paraId="558B6796"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11.</w:t>
      </w:r>
      <w:r w:rsidRPr="00532416">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58B6797"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require the giving of sensitive information, as that term is used in Question 11.</w:t>
      </w:r>
    </w:p>
    <w:p w14:paraId="558B6798"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12.</w:t>
      </w:r>
      <w:r w:rsidRPr="00532416">
        <w:rPr>
          <w:rFonts w:ascii="Times New Roman" w:eastAsia="Times New Roman" w:hAnsi="Times New Roman" w:cs="Times New Roman"/>
          <w:b/>
          <w:sz w:val="24"/>
          <w:szCs w:val="24"/>
        </w:rPr>
        <w:tab/>
        <w:t>Provide estimates of the hour burden of the collection of information.  The Statement should:</w:t>
      </w:r>
    </w:p>
    <w:p w14:paraId="558B6799"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58B679A"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If the request for approval covers more than one form, provide separate hour burden estimates for each form and aggregate the hour burdens in Item 13 of OMB Form 83-I.</w:t>
      </w:r>
    </w:p>
    <w:p w14:paraId="558B679B"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Provide estimates of annualized cost to respondents for the hours burdens for collections of information, identifying and using appropriate wage rate categories.  The cost of contracting </w:t>
      </w:r>
      <w:r w:rsidR="00695BB7" w:rsidRPr="00532416">
        <w:rPr>
          <w:rFonts w:ascii="Times New Roman" w:eastAsia="Times New Roman" w:hAnsi="Times New Roman" w:cs="Times New Roman"/>
          <w:b/>
          <w:sz w:val="24"/>
          <w:szCs w:val="24"/>
        </w:rPr>
        <w:t>out</w:t>
      </w:r>
      <w:r w:rsidRPr="00532416">
        <w:rPr>
          <w:rFonts w:ascii="Times New Roman" w:eastAsia="Times New Roman" w:hAnsi="Times New Roman" w:cs="Times New Roman"/>
          <w:b/>
          <w:sz w:val="24"/>
          <w:szCs w:val="24"/>
        </w:rPr>
        <w:t xml:space="preserve"> or paying outside parties for information collection activities should not be included here.  Instead, this cost should be included in Item 13.</w:t>
      </w:r>
    </w:p>
    <w:p w14:paraId="558B679C" w14:textId="3CF67F45"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lastRenderedPageBreak/>
        <w:tab/>
        <w:t xml:space="preserve">See Attachment A.  The Commission estimates that </w:t>
      </w:r>
      <w:r w:rsidR="008B5922" w:rsidRPr="00532416">
        <w:rPr>
          <w:rFonts w:ascii="Times New Roman" w:eastAsia="Times New Roman" w:hAnsi="Times New Roman" w:cs="Times New Roman"/>
          <w:sz w:val="24"/>
          <w:szCs w:val="24"/>
        </w:rPr>
        <w:t>75</w:t>
      </w:r>
      <w:r w:rsidRPr="00532416">
        <w:rPr>
          <w:rFonts w:ascii="Times New Roman" w:eastAsia="Times New Roman" w:hAnsi="Times New Roman" w:cs="Times New Roman"/>
          <w:sz w:val="24"/>
          <w:szCs w:val="24"/>
        </w:rPr>
        <w:t xml:space="preserve"> respondents file a total of </w:t>
      </w:r>
      <w:r w:rsidR="008B5922" w:rsidRPr="00532416">
        <w:rPr>
          <w:rFonts w:ascii="Times New Roman" w:eastAsia="Times New Roman" w:hAnsi="Times New Roman" w:cs="Times New Roman"/>
          <w:sz w:val="24"/>
          <w:szCs w:val="24"/>
        </w:rPr>
        <w:t>75</w:t>
      </w:r>
      <w:r w:rsidRPr="00532416">
        <w:rPr>
          <w:rFonts w:ascii="Times New Roman" w:eastAsia="Times New Roman" w:hAnsi="Times New Roman" w:cs="Times New Roman"/>
          <w:sz w:val="24"/>
          <w:szCs w:val="24"/>
        </w:rPr>
        <w:t xml:space="preserve"> responses annually.  The estimated average number of hours required to report each </w:t>
      </w:r>
      <w:r w:rsidR="00CE2633" w:rsidRPr="00532416">
        <w:rPr>
          <w:rFonts w:ascii="Times New Roman" w:eastAsia="Times New Roman" w:hAnsi="Times New Roman" w:cs="Times New Roman"/>
          <w:sz w:val="24"/>
          <w:szCs w:val="24"/>
        </w:rPr>
        <w:t>annual report</w:t>
      </w:r>
      <w:r w:rsidRPr="00532416">
        <w:rPr>
          <w:rFonts w:ascii="Times New Roman" w:eastAsia="Times New Roman" w:hAnsi="Times New Roman" w:cs="Times New Roman"/>
          <w:sz w:val="24"/>
          <w:szCs w:val="24"/>
        </w:rPr>
        <w:t xml:space="preserve"> is </w:t>
      </w:r>
      <w:r w:rsidR="00CE2633" w:rsidRPr="00532416">
        <w:rPr>
          <w:rFonts w:ascii="Times New Roman" w:eastAsia="Times New Roman" w:hAnsi="Times New Roman" w:cs="Times New Roman"/>
          <w:sz w:val="24"/>
          <w:szCs w:val="24"/>
        </w:rPr>
        <w:t>1 hour</w:t>
      </w:r>
      <w:r w:rsidRPr="00532416">
        <w:rPr>
          <w:rFonts w:ascii="Times New Roman" w:eastAsia="Times New Roman" w:hAnsi="Times New Roman" w:cs="Times New Roman"/>
          <w:sz w:val="24"/>
          <w:szCs w:val="24"/>
        </w:rPr>
        <w:t>.  The cost of the hourly burden per</w:t>
      </w:r>
      <w:r w:rsidR="00CE2633" w:rsidRPr="00532416">
        <w:rPr>
          <w:rFonts w:ascii="Times New Roman" w:eastAsia="Times New Roman" w:hAnsi="Times New Roman" w:cs="Times New Roman"/>
          <w:sz w:val="24"/>
          <w:szCs w:val="24"/>
        </w:rPr>
        <w:t xml:space="preserve"> annual report</w:t>
      </w:r>
      <w:r w:rsidRPr="00532416">
        <w:rPr>
          <w:rFonts w:ascii="Times New Roman" w:eastAsia="Times New Roman" w:hAnsi="Times New Roman" w:cs="Times New Roman"/>
          <w:sz w:val="24"/>
          <w:szCs w:val="24"/>
        </w:rPr>
        <w:t xml:space="preserve"> is estimated to be $</w:t>
      </w:r>
      <w:r w:rsidR="00CE2633" w:rsidRPr="00532416">
        <w:rPr>
          <w:rFonts w:ascii="Times New Roman" w:eastAsia="Times New Roman" w:hAnsi="Times New Roman" w:cs="Times New Roman"/>
          <w:sz w:val="24"/>
          <w:szCs w:val="24"/>
        </w:rPr>
        <w:t>60.40</w:t>
      </w:r>
      <w:r w:rsidRPr="00532416">
        <w:rPr>
          <w:rFonts w:ascii="Times New Roman" w:eastAsia="Times New Roman" w:hAnsi="Times New Roman" w:cs="Times New Roman"/>
          <w:sz w:val="24"/>
          <w:szCs w:val="24"/>
        </w:rPr>
        <w:t xml:space="preserve">.    </w:t>
      </w:r>
    </w:p>
    <w:p w14:paraId="558B679D" w14:textId="77777777" w:rsidR="007017BF" w:rsidRPr="00532416"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13.</w:t>
      </w:r>
      <w:r w:rsidRPr="00532416">
        <w:rPr>
          <w:rFonts w:ascii="Times New Roman" w:eastAsia="Times New Roman" w:hAnsi="Times New Roman" w:cs="Times New Roman"/>
          <w:b/>
          <w:sz w:val="24"/>
          <w:szCs w:val="24"/>
        </w:rPr>
        <w:tab/>
        <w:t xml:space="preserve">Provide an estimate of the total annual cost burden to respondents or recordkeepers resulting </w:t>
      </w:r>
      <w:r w:rsidR="00695BB7" w:rsidRPr="00532416">
        <w:rPr>
          <w:rFonts w:ascii="Times New Roman" w:eastAsia="Times New Roman" w:hAnsi="Times New Roman" w:cs="Times New Roman"/>
          <w:b/>
          <w:sz w:val="24"/>
          <w:szCs w:val="24"/>
        </w:rPr>
        <w:t>from</w:t>
      </w:r>
      <w:r w:rsidRPr="00532416">
        <w:rPr>
          <w:rFonts w:ascii="Times New Roman" w:eastAsia="Times New Roman" w:hAnsi="Times New Roman" w:cs="Times New Roman"/>
          <w:b/>
          <w:sz w:val="24"/>
          <w:szCs w:val="24"/>
        </w:rPr>
        <w:t xml:space="preserve"> the collection of information.  (Do not include the cost of any hour burden shown in Items 12 and 14).</w:t>
      </w:r>
    </w:p>
    <w:p w14:paraId="558B679E"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58B679F"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58B67A0"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0E3D556" w14:textId="756C6AB3" w:rsidR="00CE2633" w:rsidRPr="00532416" w:rsidRDefault="007017BF" w:rsidP="006F6C53">
      <w:pPr>
        <w:tabs>
          <w:tab w:val="left" w:pos="-720"/>
        </w:tabs>
        <w:suppressAutoHyphens/>
        <w:ind w:hanging="720"/>
        <w:rPr>
          <w:rFonts w:ascii="Times New Roman" w:hAnsi="Times New Roman"/>
          <w:sz w:val="24"/>
          <w:szCs w:val="24"/>
        </w:rPr>
      </w:pPr>
      <w:r w:rsidRPr="00532416">
        <w:rPr>
          <w:rFonts w:ascii="Times New Roman" w:eastAsia="Times New Roman" w:hAnsi="Times New Roman" w:cs="Times New Roman"/>
          <w:sz w:val="24"/>
          <w:szCs w:val="24"/>
        </w:rPr>
        <w:tab/>
      </w:r>
      <w:r w:rsidR="00CE2633" w:rsidRPr="00532416">
        <w:rPr>
          <w:rFonts w:ascii="Times New Roman" w:hAnsi="Times New Roman"/>
          <w:sz w:val="24"/>
          <w:szCs w:val="24"/>
        </w:rPr>
        <w:tab/>
        <w:t xml:space="preserve">To the extent that the collection is being renewed, the Commission believes that </w:t>
      </w:r>
      <w:r w:rsidR="00556071">
        <w:rPr>
          <w:rFonts w:ascii="Times New Roman" w:hAnsi="Times New Roman"/>
          <w:sz w:val="24"/>
          <w:szCs w:val="24"/>
        </w:rPr>
        <w:t xml:space="preserve">capital and start-up costs have already being incurred and </w:t>
      </w:r>
      <w:r w:rsidR="00CE2633" w:rsidRPr="00532416">
        <w:rPr>
          <w:rFonts w:ascii="Times New Roman" w:hAnsi="Times New Roman"/>
          <w:sz w:val="24"/>
          <w:szCs w:val="24"/>
        </w:rPr>
        <w:t xml:space="preserve">the additional technological infrastructure required to satisfy the reporting responsibility will be minimal.  Rule 50.52 requires the reporting counterparty to report specified information to a registered SDR either on an annual basis or each time a swap relying on the exemption is entered into.  The Commission understands that all reporting counterparties file this report on an annual basis.  The Commission understands that this report is filed by relatively simple means, by accessing website and providing basic information.  </w:t>
      </w:r>
    </w:p>
    <w:p w14:paraId="558B67A2"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14.</w:t>
      </w:r>
      <w:r w:rsidRPr="00532416">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w:t>
      </w:r>
      <w:r w:rsidRPr="00532416">
        <w:rPr>
          <w:rFonts w:ascii="Times New Roman" w:eastAsia="Times New Roman" w:hAnsi="Times New Roman" w:cs="Times New Roman"/>
          <w:b/>
          <w:sz w:val="24"/>
          <w:szCs w:val="24"/>
        </w:rPr>
        <w:lastRenderedPageBreak/>
        <w:t xml:space="preserve">any other expense that would not have been incurred without this collection of information.  Agencies may also aggregate cost estimates from Items 12, 13, and 14 in a single table.  </w:t>
      </w:r>
    </w:p>
    <w:p w14:paraId="3D96FDFC" w14:textId="5365B1E9" w:rsidR="00EE66D4"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EE66D4" w:rsidRPr="00532416">
        <w:rPr>
          <w:rFonts w:ascii="Times New Roman" w:hAnsi="Times New Roman"/>
          <w:sz w:val="24"/>
          <w:szCs w:val="24"/>
        </w:rPr>
        <w:t>No additional costs to the government will result from the renewal of this collection of information.</w:t>
      </w:r>
    </w:p>
    <w:p w14:paraId="558B67A5"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15.</w:t>
      </w:r>
      <w:r w:rsidRPr="00532416">
        <w:rPr>
          <w:rFonts w:ascii="Times New Roman" w:eastAsia="Times New Roman" w:hAnsi="Times New Roman" w:cs="Times New Roman"/>
          <w:b/>
          <w:sz w:val="24"/>
          <w:szCs w:val="24"/>
        </w:rPr>
        <w:tab/>
        <w:t>Explain the reasons for any program changes or adjustments reported in Items 13 or 14 of the OMB Form 83-I.</w:t>
      </w:r>
    </w:p>
    <w:p w14:paraId="4AF1EC87" w14:textId="0E20B475" w:rsidR="00795106" w:rsidRPr="00532416" w:rsidRDefault="007017BF" w:rsidP="00795106">
      <w:pPr>
        <w:tabs>
          <w:tab w:val="left" w:pos="-720"/>
        </w:tabs>
        <w:suppressAutoHyphens/>
        <w:rPr>
          <w:rFonts w:ascii="Times New Roman" w:hAnsi="Times New Roman"/>
          <w:sz w:val="24"/>
          <w:szCs w:val="24"/>
        </w:rPr>
      </w:pPr>
      <w:r w:rsidRPr="00532416">
        <w:rPr>
          <w:rFonts w:ascii="Times New Roman" w:eastAsia="Times New Roman" w:hAnsi="Times New Roman" w:cs="Times New Roman"/>
          <w:sz w:val="24"/>
          <w:szCs w:val="24"/>
        </w:rPr>
        <w:tab/>
      </w:r>
      <w:r w:rsidR="00795106" w:rsidRPr="00532416">
        <w:rPr>
          <w:rFonts w:ascii="Times New Roman" w:hAnsi="Times New Roman"/>
          <w:sz w:val="24"/>
          <w:szCs w:val="24"/>
        </w:rPr>
        <w:t xml:space="preserve">The Commission developed </w:t>
      </w:r>
      <w:r w:rsidR="00F85F61">
        <w:rPr>
          <w:rFonts w:ascii="Times New Roman" w:hAnsi="Times New Roman"/>
          <w:sz w:val="24"/>
          <w:szCs w:val="24"/>
        </w:rPr>
        <w:t xml:space="preserve">and updated </w:t>
      </w:r>
      <w:r w:rsidR="00795106" w:rsidRPr="00532416">
        <w:rPr>
          <w:rFonts w:ascii="Times New Roman" w:hAnsi="Times New Roman"/>
          <w:sz w:val="24"/>
          <w:szCs w:val="24"/>
        </w:rPr>
        <w:t xml:space="preserve">its new estimates using information from two SDRs provisionally  registered with the Commission.  Also, in arriving at the new wage rate for the hourly costs imposed, Commission staff used the Management &amp; Professional Earnings in the Securities Industry Report, published in 2013 by the Securities Industry and Financial Markets Associations.   </w:t>
      </w:r>
    </w:p>
    <w:p w14:paraId="558B67A7"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16.</w:t>
      </w:r>
      <w:r w:rsidRPr="00532416">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58B67A8"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This question does not apply.</w:t>
      </w:r>
    </w:p>
    <w:p w14:paraId="558B67A9"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17.</w:t>
      </w:r>
      <w:r w:rsidRPr="00532416">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14:paraId="558B67AA"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This question does not apply.</w:t>
      </w:r>
    </w:p>
    <w:p w14:paraId="558B67AB" w14:textId="77777777" w:rsidR="007017BF" w:rsidRPr="00532416"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18.</w:t>
      </w:r>
      <w:r w:rsidRPr="00532416">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14:paraId="558B67AC" w14:textId="65801451" w:rsidR="008E0043" w:rsidRPr="00532416" w:rsidRDefault="00672C54" w:rsidP="00672C54">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E10038" w:rsidRPr="00532416">
        <w:rPr>
          <w:rFonts w:ascii="Times New Roman" w:eastAsia="Times New Roman" w:hAnsi="Times New Roman" w:cs="Times New Roman"/>
          <w:sz w:val="24"/>
          <w:szCs w:val="24"/>
        </w:rPr>
        <w:t>No exceptions exist.</w:t>
      </w:r>
    </w:p>
    <w:p w14:paraId="4622D3E4" w14:textId="77777777" w:rsidR="008E0043" w:rsidRPr="00532416" w:rsidRDefault="008E0043">
      <w:pPr>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br w:type="page"/>
      </w:r>
    </w:p>
    <w:p w14:paraId="558B67AD" w14:textId="77777777" w:rsidR="00970BCE" w:rsidRPr="00532416" w:rsidRDefault="00970BCE" w:rsidP="00970BCE">
      <w:pPr>
        <w:spacing w:after="24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lastRenderedPageBreak/>
        <w:t>Attachment A</w:t>
      </w:r>
    </w:p>
    <w:p w14:paraId="558B67AE" w14:textId="13338636" w:rsidR="00A54C56" w:rsidRPr="00532416" w:rsidRDefault="00D934D5" w:rsidP="00970BCE">
      <w:pPr>
        <w:spacing w:after="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Rule 50.52 </w:t>
      </w:r>
      <w:r w:rsidR="008E0043" w:rsidRPr="00532416">
        <w:rPr>
          <w:rFonts w:ascii="Times New Roman" w:eastAsia="Times New Roman" w:hAnsi="Times New Roman" w:cs="Times New Roman"/>
          <w:b/>
          <w:sz w:val="24"/>
          <w:szCs w:val="24"/>
        </w:rPr>
        <w:t>(Exemption for Swaps Between Affiliates)</w:t>
      </w:r>
      <w:r w:rsidRPr="00532416" w:rsidDel="00D934D5">
        <w:rPr>
          <w:rFonts w:ascii="Times New Roman" w:eastAsia="Times New Roman" w:hAnsi="Times New Roman" w:cs="Times New Roman"/>
          <w:b/>
          <w:sz w:val="24"/>
          <w:szCs w:val="24"/>
        </w:rPr>
        <w:t xml:space="preserve"> </w:t>
      </w:r>
    </w:p>
    <w:p w14:paraId="558B67AF" w14:textId="77777777" w:rsidR="00A54C56" w:rsidRPr="00532416" w:rsidRDefault="00A54C56" w:rsidP="00970BCE">
      <w:pPr>
        <w:spacing w:after="0" w:line="240" w:lineRule="auto"/>
        <w:jc w:val="center"/>
        <w:rPr>
          <w:rFonts w:ascii="Times New Roman" w:eastAsia="Times New Roman" w:hAnsi="Times New Roman" w:cs="Times New Roman"/>
          <w:b/>
          <w:sz w:val="24"/>
          <w:szCs w:val="24"/>
        </w:rPr>
      </w:pPr>
    </w:p>
    <w:p w14:paraId="558B67B0" w14:textId="77777777" w:rsidR="00970BCE" w:rsidRPr="00532416" w:rsidRDefault="00970BCE" w:rsidP="00A54C56">
      <w:pPr>
        <w:spacing w:after="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OMB Collection File 3038-</w:t>
      </w:r>
      <w:r w:rsidR="00D934D5" w:rsidRPr="00532416">
        <w:rPr>
          <w:rFonts w:ascii="Times New Roman" w:eastAsia="Times New Roman" w:hAnsi="Times New Roman" w:cs="Times New Roman"/>
          <w:b/>
          <w:sz w:val="24"/>
          <w:szCs w:val="24"/>
        </w:rPr>
        <w:t>0104</w:t>
      </w:r>
    </w:p>
    <w:p w14:paraId="558B67B1" w14:textId="77777777" w:rsidR="00970BCE" w:rsidRPr="00532416" w:rsidRDefault="00970BCE" w:rsidP="00970BCE">
      <w:pPr>
        <w:spacing w:after="0" w:line="240" w:lineRule="auto"/>
        <w:rPr>
          <w:rFonts w:ascii="Times New Roman" w:eastAsia="Times New Roman" w:hAnsi="Times New Roman" w:cs="Times New Roman"/>
          <w:sz w:val="24"/>
          <w:szCs w:val="24"/>
        </w:rPr>
      </w:pPr>
    </w:p>
    <w:p w14:paraId="51998BFC" w14:textId="77777777" w:rsidR="00E10038" w:rsidRPr="00532416" w:rsidRDefault="00E10038" w:rsidP="00970BCE">
      <w:pPr>
        <w:spacing w:after="0" w:line="240" w:lineRule="auto"/>
        <w:rPr>
          <w:rFonts w:ascii="Times New Roman" w:eastAsia="Times New Roman" w:hAnsi="Times New Roman" w:cs="Times New Roman"/>
          <w:sz w:val="24"/>
          <w:szCs w:val="24"/>
        </w:rPr>
      </w:pPr>
    </w:p>
    <w:tbl>
      <w:tblPr>
        <w:tblW w:w="5472"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2"/>
        <w:gridCol w:w="1120"/>
        <w:gridCol w:w="1040"/>
        <w:gridCol w:w="1040"/>
        <w:gridCol w:w="1040"/>
        <w:gridCol w:w="1119"/>
        <w:gridCol w:w="1119"/>
        <w:gridCol w:w="960"/>
        <w:gridCol w:w="792"/>
        <w:gridCol w:w="1048"/>
      </w:tblGrid>
      <w:tr w:rsidR="00E10038" w:rsidRPr="00532416" w:rsidDel="009C6DB4" w14:paraId="20833330" w14:textId="77777777" w:rsidTr="00F85F61">
        <w:trPr>
          <w:trHeight w:val="1458"/>
        </w:trPr>
        <w:tc>
          <w:tcPr>
            <w:tcW w:w="573" w:type="pct"/>
            <w:shd w:val="clear" w:color="auto" w:fill="auto"/>
          </w:tcPr>
          <w:p w14:paraId="0BCB921C"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1.</w:t>
            </w:r>
          </w:p>
          <w:p w14:paraId="1BB0EA55"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Regulation(s)</w:t>
            </w:r>
          </w:p>
        </w:tc>
        <w:tc>
          <w:tcPr>
            <w:tcW w:w="534" w:type="pct"/>
            <w:shd w:val="clear" w:color="auto" w:fill="auto"/>
          </w:tcPr>
          <w:p w14:paraId="6D1A6E28"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w:t>
            </w:r>
          </w:p>
          <w:p w14:paraId="2A00E5F9"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 xml:space="preserve">Estimated Number of Respondents </w:t>
            </w:r>
          </w:p>
          <w:p w14:paraId="7F835B71" w14:textId="77777777" w:rsidR="00E10038" w:rsidRPr="00F85F61" w:rsidRDefault="00E10038" w:rsidP="00EC4EE8">
            <w:pPr>
              <w:tabs>
                <w:tab w:val="left" w:pos="-720"/>
                <w:tab w:val="left" w:pos="0"/>
              </w:tabs>
              <w:suppressAutoHyphens/>
              <w:jc w:val="center"/>
              <w:rPr>
                <w:rFonts w:ascii="Times New Roman" w:hAnsi="Times New Roman"/>
                <w:sz w:val="16"/>
                <w:szCs w:val="16"/>
              </w:rPr>
            </w:pPr>
          </w:p>
        </w:tc>
        <w:tc>
          <w:tcPr>
            <w:tcW w:w="496" w:type="pct"/>
            <w:shd w:val="clear" w:color="auto" w:fill="auto"/>
          </w:tcPr>
          <w:p w14:paraId="6D580405"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3.</w:t>
            </w:r>
          </w:p>
          <w:p w14:paraId="494E0491" w14:textId="1043A114" w:rsidR="00E10038" w:rsidRPr="00F85F61" w:rsidRDefault="00E10038" w:rsidP="00E1003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Number of Reports by Each Respondent</w:t>
            </w:r>
          </w:p>
        </w:tc>
        <w:tc>
          <w:tcPr>
            <w:tcW w:w="496" w:type="pct"/>
            <w:shd w:val="clear" w:color="auto" w:fill="auto"/>
          </w:tcPr>
          <w:p w14:paraId="5111FA5A"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4.</w:t>
            </w:r>
          </w:p>
          <w:p w14:paraId="39BE3A11"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Average Number of Burden Hours per Response</w:t>
            </w:r>
          </w:p>
        </w:tc>
        <w:tc>
          <w:tcPr>
            <w:tcW w:w="496" w:type="pct"/>
            <w:shd w:val="clear" w:color="auto" w:fill="auto"/>
          </w:tcPr>
          <w:p w14:paraId="51C6832E"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5.</w:t>
            </w:r>
          </w:p>
          <w:p w14:paraId="47A34FDB"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Annual  Number of Burden Hours per Respondent</w:t>
            </w:r>
          </w:p>
          <w:p w14:paraId="5F3B5DB9"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(3 x 4)</w:t>
            </w:r>
          </w:p>
        </w:tc>
        <w:tc>
          <w:tcPr>
            <w:tcW w:w="534" w:type="pct"/>
            <w:shd w:val="clear" w:color="auto" w:fill="auto"/>
          </w:tcPr>
          <w:p w14:paraId="038761E5"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 xml:space="preserve">6. </w:t>
            </w:r>
          </w:p>
          <w:p w14:paraId="7BC33FF1"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Average Burden Hour Cost</w:t>
            </w:r>
          </w:p>
          <w:p w14:paraId="0C78F1C5" w14:textId="77777777" w:rsidR="00E10038" w:rsidRPr="00F85F61" w:rsidRDefault="00E10038" w:rsidP="00EC4EE8">
            <w:pPr>
              <w:tabs>
                <w:tab w:val="left" w:pos="-720"/>
                <w:tab w:val="left" w:pos="0"/>
              </w:tabs>
              <w:suppressAutoHyphens/>
              <w:jc w:val="center"/>
              <w:rPr>
                <w:rFonts w:ascii="Times New Roman" w:hAnsi="Times New Roman"/>
                <w:sz w:val="16"/>
                <w:szCs w:val="16"/>
              </w:rPr>
            </w:pPr>
          </w:p>
        </w:tc>
        <w:tc>
          <w:tcPr>
            <w:tcW w:w="534" w:type="pct"/>
            <w:shd w:val="clear" w:color="auto" w:fill="auto"/>
          </w:tcPr>
          <w:p w14:paraId="16DFD7BA" w14:textId="77777777" w:rsidR="00E10038" w:rsidRPr="00F85F61" w:rsidRDefault="00E10038" w:rsidP="00EC4EE8">
            <w:pPr>
              <w:jc w:val="center"/>
              <w:rPr>
                <w:rFonts w:ascii="Times New Roman" w:eastAsia="Calibri" w:hAnsi="Times New Roman"/>
                <w:sz w:val="16"/>
                <w:szCs w:val="16"/>
              </w:rPr>
            </w:pPr>
            <w:r w:rsidRPr="00F85F61">
              <w:rPr>
                <w:rFonts w:ascii="Times New Roman" w:eastAsia="Calibri" w:hAnsi="Times New Roman"/>
                <w:sz w:val="16"/>
                <w:szCs w:val="16"/>
              </w:rPr>
              <w:t>7.</w:t>
            </w:r>
          </w:p>
          <w:p w14:paraId="2463C726" w14:textId="77777777" w:rsidR="00E10038" w:rsidRPr="00F85F61" w:rsidRDefault="00E10038" w:rsidP="00EC4EE8">
            <w:pPr>
              <w:jc w:val="center"/>
              <w:rPr>
                <w:rFonts w:ascii="Times New Roman" w:eastAsia="Calibri" w:hAnsi="Times New Roman"/>
                <w:sz w:val="16"/>
                <w:szCs w:val="16"/>
              </w:rPr>
            </w:pPr>
            <w:r w:rsidRPr="00F85F61">
              <w:rPr>
                <w:rFonts w:ascii="Times New Roman" w:eastAsia="Calibri" w:hAnsi="Times New Roman"/>
                <w:sz w:val="16"/>
                <w:szCs w:val="16"/>
              </w:rPr>
              <w:t>Total Average Hour Burden Cost Per Respondent</w:t>
            </w:r>
          </w:p>
          <w:p w14:paraId="22DBC8B6" w14:textId="77777777" w:rsidR="00E10038" w:rsidRPr="00F85F61" w:rsidRDefault="00E10038" w:rsidP="00EC4EE8">
            <w:pPr>
              <w:jc w:val="center"/>
              <w:rPr>
                <w:rFonts w:ascii="Times New Roman" w:eastAsia="Calibri" w:hAnsi="Times New Roman"/>
                <w:sz w:val="16"/>
                <w:szCs w:val="16"/>
              </w:rPr>
            </w:pPr>
            <w:r w:rsidRPr="00F85F61">
              <w:rPr>
                <w:rFonts w:ascii="Times New Roman" w:eastAsia="Calibri" w:hAnsi="Times New Roman"/>
                <w:sz w:val="16"/>
                <w:szCs w:val="16"/>
              </w:rPr>
              <w:t>(5 x 6)</w:t>
            </w:r>
          </w:p>
        </w:tc>
        <w:tc>
          <w:tcPr>
            <w:tcW w:w="458" w:type="pct"/>
            <w:shd w:val="clear" w:color="auto" w:fill="auto"/>
          </w:tcPr>
          <w:p w14:paraId="64AFA1AA"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8.</w:t>
            </w:r>
          </w:p>
          <w:p w14:paraId="40D9F5C3"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w:t>
            </w:r>
          </w:p>
          <w:p w14:paraId="04B60F1D"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Responses</w:t>
            </w:r>
          </w:p>
          <w:p w14:paraId="576E73C5"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 x 3)</w:t>
            </w:r>
          </w:p>
        </w:tc>
        <w:tc>
          <w:tcPr>
            <w:tcW w:w="378" w:type="pct"/>
            <w:shd w:val="clear" w:color="auto" w:fill="auto"/>
          </w:tcPr>
          <w:p w14:paraId="435C3B29"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9.</w:t>
            </w:r>
          </w:p>
          <w:p w14:paraId="445671A1"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  Number of Burden Hours</w:t>
            </w:r>
          </w:p>
          <w:p w14:paraId="4352103E"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 x 5)</w:t>
            </w:r>
          </w:p>
        </w:tc>
        <w:tc>
          <w:tcPr>
            <w:tcW w:w="500" w:type="pct"/>
            <w:shd w:val="clear" w:color="auto" w:fill="auto"/>
          </w:tcPr>
          <w:p w14:paraId="3E4603CC"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10.</w:t>
            </w:r>
          </w:p>
          <w:p w14:paraId="1F0C8AD1"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 Burden Hour Cost of All Responses</w:t>
            </w:r>
          </w:p>
          <w:p w14:paraId="3F36485F" w14:textId="77777777" w:rsidR="00E10038" w:rsidRPr="00F85F61" w:rsidDel="009C6DB4"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(6 x 9)</w:t>
            </w:r>
          </w:p>
        </w:tc>
      </w:tr>
      <w:tr w:rsidR="00E10038" w:rsidRPr="00532416" w14:paraId="207EF5FD" w14:textId="77777777" w:rsidTr="00F85F61">
        <w:trPr>
          <w:trHeight w:val="998"/>
        </w:trPr>
        <w:tc>
          <w:tcPr>
            <w:tcW w:w="573" w:type="pct"/>
            <w:shd w:val="clear" w:color="auto" w:fill="auto"/>
          </w:tcPr>
          <w:p w14:paraId="5A1351D4" w14:textId="0B5F61FF" w:rsidR="00E10038" w:rsidRPr="00121FD3" w:rsidRDefault="00E10038" w:rsidP="00E1003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50.52(c)-(d)</w:t>
            </w:r>
          </w:p>
        </w:tc>
        <w:tc>
          <w:tcPr>
            <w:tcW w:w="534" w:type="pct"/>
            <w:shd w:val="clear" w:color="auto" w:fill="auto"/>
          </w:tcPr>
          <w:p w14:paraId="06331233" w14:textId="75B664E5"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75</w:t>
            </w:r>
            <w:r w:rsidRPr="00121FD3">
              <w:rPr>
                <w:rStyle w:val="FootnoteReference"/>
                <w:rFonts w:ascii="Times New Roman" w:eastAsia="Times New Roman" w:hAnsi="Times New Roman" w:cs="Times New Roman"/>
                <w:sz w:val="20"/>
                <w:szCs w:val="20"/>
              </w:rPr>
              <w:footnoteReference w:id="2"/>
            </w:r>
          </w:p>
        </w:tc>
        <w:tc>
          <w:tcPr>
            <w:tcW w:w="496" w:type="pct"/>
            <w:shd w:val="clear" w:color="auto" w:fill="auto"/>
          </w:tcPr>
          <w:p w14:paraId="74FB6805" w14:textId="77777777"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496" w:type="pct"/>
            <w:shd w:val="clear" w:color="auto" w:fill="auto"/>
          </w:tcPr>
          <w:p w14:paraId="02692B3A" w14:textId="3426EB6D"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496" w:type="pct"/>
            <w:shd w:val="clear" w:color="auto" w:fill="auto"/>
          </w:tcPr>
          <w:p w14:paraId="3F7DC799" w14:textId="4A5DCBC7"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534" w:type="pct"/>
            <w:shd w:val="clear" w:color="auto" w:fill="auto"/>
          </w:tcPr>
          <w:p w14:paraId="7788D16D" w14:textId="67F96B97" w:rsidR="00E10038" w:rsidRPr="00121FD3" w:rsidRDefault="00E10038" w:rsidP="00E1003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$60.40</w:t>
            </w:r>
            <w:r w:rsidRPr="00121FD3">
              <w:rPr>
                <w:rFonts w:ascii="Times New Roman" w:hAnsi="Times New Roman"/>
                <w:sz w:val="20"/>
                <w:szCs w:val="20"/>
                <w:vertAlign w:val="superscript"/>
              </w:rPr>
              <w:footnoteReference w:id="3"/>
            </w:r>
            <w:r w:rsidRPr="00121FD3">
              <w:rPr>
                <w:rFonts w:ascii="Times New Roman" w:hAnsi="Times New Roman"/>
                <w:sz w:val="20"/>
                <w:szCs w:val="20"/>
              </w:rPr>
              <w:t xml:space="preserve"> </w:t>
            </w:r>
          </w:p>
        </w:tc>
        <w:tc>
          <w:tcPr>
            <w:tcW w:w="534" w:type="pct"/>
            <w:shd w:val="clear" w:color="auto" w:fill="auto"/>
          </w:tcPr>
          <w:p w14:paraId="56D73C21" w14:textId="2BF49B18" w:rsidR="00E10038" w:rsidRPr="00121FD3" w:rsidRDefault="00E10038" w:rsidP="00E10038">
            <w:pPr>
              <w:rPr>
                <w:rFonts w:ascii="Times New Roman" w:eastAsia="Calibri" w:hAnsi="Times New Roman"/>
                <w:sz w:val="20"/>
                <w:szCs w:val="20"/>
              </w:rPr>
            </w:pPr>
            <w:r w:rsidRPr="00121FD3">
              <w:rPr>
                <w:rFonts w:ascii="Times New Roman" w:eastAsia="Calibri" w:hAnsi="Times New Roman"/>
                <w:sz w:val="20"/>
                <w:szCs w:val="20"/>
              </w:rPr>
              <w:t xml:space="preserve"> $60.40</w:t>
            </w:r>
          </w:p>
        </w:tc>
        <w:tc>
          <w:tcPr>
            <w:tcW w:w="458" w:type="pct"/>
            <w:shd w:val="clear" w:color="auto" w:fill="auto"/>
          </w:tcPr>
          <w:p w14:paraId="1A2AAFA8" w14:textId="3DA2C7AF"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75</w:t>
            </w:r>
          </w:p>
        </w:tc>
        <w:tc>
          <w:tcPr>
            <w:tcW w:w="378" w:type="pct"/>
            <w:shd w:val="clear" w:color="auto" w:fill="auto"/>
          </w:tcPr>
          <w:p w14:paraId="72A1888F" w14:textId="5FB53BB6"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75</w:t>
            </w:r>
          </w:p>
        </w:tc>
        <w:tc>
          <w:tcPr>
            <w:tcW w:w="500" w:type="pct"/>
            <w:shd w:val="clear" w:color="auto" w:fill="auto"/>
          </w:tcPr>
          <w:p w14:paraId="4C27734C" w14:textId="76E2018D" w:rsidR="00E10038" w:rsidRPr="00121FD3" w:rsidRDefault="00E10038" w:rsidP="00E1003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$4,530</w:t>
            </w:r>
          </w:p>
        </w:tc>
      </w:tr>
    </w:tbl>
    <w:p w14:paraId="0A9C10C7" w14:textId="77777777" w:rsidR="00E10038" w:rsidRPr="00532416" w:rsidRDefault="00E10038" w:rsidP="00121FD3">
      <w:pPr>
        <w:spacing w:after="0" w:line="240" w:lineRule="auto"/>
        <w:rPr>
          <w:rFonts w:ascii="Times New Roman" w:eastAsia="Times New Roman" w:hAnsi="Times New Roman" w:cs="Times New Roman"/>
          <w:sz w:val="24"/>
          <w:szCs w:val="24"/>
        </w:rPr>
      </w:pPr>
    </w:p>
    <w:sectPr w:rsidR="00E10038" w:rsidRPr="00532416" w:rsidSect="00BF3C2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B6840" w14:textId="77777777" w:rsidR="00FC0D01" w:rsidRDefault="00FC0D01" w:rsidP="007017BF">
      <w:pPr>
        <w:spacing w:after="0" w:line="240" w:lineRule="auto"/>
      </w:pPr>
      <w:r>
        <w:separator/>
      </w:r>
    </w:p>
  </w:endnote>
  <w:endnote w:type="continuationSeparator" w:id="0">
    <w:p w14:paraId="558B6841" w14:textId="77777777" w:rsidR="00FC0D01" w:rsidRDefault="00FC0D01" w:rsidP="0070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79262"/>
      <w:docPartObj>
        <w:docPartGallery w:val="Page Numbers (Bottom of Page)"/>
        <w:docPartUnique/>
      </w:docPartObj>
    </w:sdtPr>
    <w:sdtEndPr>
      <w:rPr>
        <w:rFonts w:ascii="Times New Roman" w:hAnsi="Times New Roman" w:cs="Times New Roman"/>
        <w:noProof/>
      </w:rPr>
    </w:sdtEndPr>
    <w:sdtContent>
      <w:p w14:paraId="75965E63" w14:textId="0C3C2876" w:rsidR="00B22433" w:rsidRPr="00B22433" w:rsidRDefault="00B22433">
        <w:pPr>
          <w:pStyle w:val="Footer"/>
          <w:jc w:val="center"/>
          <w:rPr>
            <w:rFonts w:ascii="Times New Roman" w:hAnsi="Times New Roman" w:cs="Times New Roman"/>
          </w:rPr>
        </w:pPr>
        <w:r w:rsidRPr="00B22433">
          <w:rPr>
            <w:rFonts w:ascii="Times New Roman" w:hAnsi="Times New Roman" w:cs="Times New Roman"/>
          </w:rPr>
          <w:fldChar w:fldCharType="begin"/>
        </w:r>
        <w:r w:rsidRPr="00B22433">
          <w:rPr>
            <w:rFonts w:ascii="Times New Roman" w:hAnsi="Times New Roman" w:cs="Times New Roman"/>
          </w:rPr>
          <w:instrText xml:space="preserve"> PAGE   \* MERGEFORMAT </w:instrText>
        </w:r>
        <w:r w:rsidRPr="00B22433">
          <w:rPr>
            <w:rFonts w:ascii="Times New Roman" w:hAnsi="Times New Roman" w:cs="Times New Roman"/>
          </w:rPr>
          <w:fldChar w:fldCharType="separate"/>
        </w:r>
        <w:r w:rsidR="00054FA4">
          <w:rPr>
            <w:rFonts w:ascii="Times New Roman" w:hAnsi="Times New Roman" w:cs="Times New Roman"/>
            <w:noProof/>
          </w:rPr>
          <w:t>1</w:t>
        </w:r>
        <w:r w:rsidRPr="00B22433">
          <w:rPr>
            <w:rFonts w:ascii="Times New Roman" w:hAnsi="Times New Roman" w:cs="Times New Roman"/>
            <w:noProof/>
          </w:rPr>
          <w:fldChar w:fldCharType="end"/>
        </w:r>
      </w:p>
    </w:sdtContent>
  </w:sdt>
  <w:p w14:paraId="4AAF750E" w14:textId="77777777" w:rsidR="00B22433" w:rsidRDefault="00B22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B683E" w14:textId="77777777" w:rsidR="00FC0D01" w:rsidRDefault="00FC0D01" w:rsidP="007017BF">
      <w:pPr>
        <w:spacing w:after="0" w:line="240" w:lineRule="auto"/>
      </w:pPr>
      <w:r>
        <w:separator/>
      </w:r>
    </w:p>
  </w:footnote>
  <w:footnote w:type="continuationSeparator" w:id="0">
    <w:p w14:paraId="558B683F" w14:textId="77777777" w:rsidR="00FC0D01" w:rsidRDefault="00FC0D01" w:rsidP="007017BF">
      <w:pPr>
        <w:spacing w:after="0" w:line="240" w:lineRule="auto"/>
      </w:pPr>
      <w:r>
        <w:continuationSeparator/>
      </w:r>
    </w:p>
  </w:footnote>
  <w:footnote w:id="1">
    <w:p w14:paraId="558B6842" w14:textId="0EF3E1BC" w:rsidR="00970BCE" w:rsidRPr="00532416" w:rsidRDefault="00970BCE" w:rsidP="007017BF">
      <w:pPr>
        <w:pStyle w:val="FootnoteText"/>
        <w:rPr>
          <w:rFonts w:ascii="Times New Roman" w:hAnsi="Times New Roman"/>
        </w:rPr>
      </w:pPr>
      <w:r w:rsidRPr="00532416">
        <w:rPr>
          <w:rStyle w:val="FootnoteReference"/>
          <w:rFonts w:ascii="Times New Roman" w:hAnsi="Times New Roman"/>
        </w:rPr>
        <w:footnoteRef/>
      </w:r>
      <w:r w:rsidRPr="00532416">
        <w:rPr>
          <w:rFonts w:ascii="Times New Roman" w:hAnsi="Times New Roman"/>
        </w:rPr>
        <w:t xml:space="preserve"> The Commission notes also that other elective exceptions to the clearing requirement are created and contemplated by the CEA, as amended by the Dodd-Frank Act.  </w:t>
      </w:r>
      <w:r w:rsidRPr="00532416">
        <w:rPr>
          <w:rFonts w:ascii="Times New Roman" w:hAnsi="Times New Roman"/>
          <w:i/>
        </w:rPr>
        <w:t>See, e.g.</w:t>
      </w:r>
      <w:r w:rsidRPr="00532416">
        <w:rPr>
          <w:rFonts w:ascii="Times New Roman" w:hAnsi="Times New Roman"/>
        </w:rPr>
        <w:t xml:space="preserve">, CEA sections 2(h)(7)(A) (clearing exception for non-financial entities, commonly known as the “end-user exception”), 2(h)(7)(D) (extension of the end-user exception to qualifying affiliates), and 2(h)(7)(C)(iii) (requiring the Commission to consider whether to exempt certain small banks, savings associations, farm credit institutions, and credit unions from the clearing requirement).  </w:t>
      </w:r>
      <w:r w:rsidR="00C22051" w:rsidRPr="00532416">
        <w:rPr>
          <w:rFonts w:ascii="Times New Roman" w:hAnsi="Times New Roman"/>
        </w:rPr>
        <w:t xml:space="preserve">The Commission has issued </w:t>
      </w:r>
      <w:r w:rsidR="008D695A" w:rsidRPr="00532416">
        <w:rPr>
          <w:rFonts w:ascii="Times New Roman" w:hAnsi="Times New Roman"/>
          <w:lang w:val="en-US"/>
        </w:rPr>
        <w:t>a</w:t>
      </w:r>
      <w:r w:rsidR="008D695A" w:rsidRPr="00532416">
        <w:rPr>
          <w:rFonts w:ascii="Times New Roman" w:hAnsi="Times New Roman"/>
        </w:rPr>
        <w:t xml:space="preserve"> </w:t>
      </w:r>
      <w:r w:rsidR="00C22051" w:rsidRPr="00532416">
        <w:rPr>
          <w:rFonts w:ascii="Times New Roman" w:hAnsi="Times New Roman"/>
        </w:rPr>
        <w:t>final rule addressing the</w:t>
      </w:r>
      <w:r w:rsidR="008D695A" w:rsidRPr="00532416">
        <w:rPr>
          <w:rFonts w:ascii="Times New Roman" w:hAnsi="Times New Roman"/>
          <w:lang w:val="en-US"/>
        </w:rPr>
        <w:t xml:space="preserve"> end-user exception, including a provision for certain small credit institutions.</w:t>
      </w:r>
      <w:r w:rsidR="001A1B7C" w:rsidRPr="00532416">
        <w:rPr>
          <w:rFonts w:ascii="Times New Roman" w:hAnsi="Times New Roman"/>
        </w:rPr>
        <w:t xml:space="preserve">  </w:t>
      </w:r>
      <w:r w:rsidR="001A1B7C" w:rsidRPr="00532416">
        <w:rPr>
          <w:rFonts w:ascii="Times New Roman" w:hAnsi="Times New Roman"/>
          <w:i/>
        </w:rPr>
        <w:t>See</w:t>
      </w:r>
      <w:r w:rsidR="001A1B7C" w:rsidRPr="00532416">
        <w:rPr>
          <w:rFonts w:ascii="Times New Roman" w:hAnsi="Times New Roman"/>
        </w:rPr>
        <w:t xml:space="preserve"> </w:t>
      </w:r>
      <w:r w:rsidR="00C22051" w:rsidRPr="00532416">
        <w:rPr>
          <w:rFonts w:ascii="Times New Roman" w:hAnsi="Times New Roman"/>
        </w:rPr>
        <w:t xml:space="preserve">End-User Exception to the Clearing Requirement for Swaps, 77 FR 44441 (July 19, 2012) (final rule).  </w:t>
      </w:r>
    </w:p>
  </w:footnote>
  <w:footnote w:id="2">
    <w:p w14:paraId="71498C84" w14:textId="77777777" w:rsidR="00E10038" w:rsidRPr="00532416" w:rsidRDefault="00E10038" w:rsidP="00E10038">
      <w:pPr>
        <w:pStyle w:val="FootnoteText"/>
        <w:rPr>
          <w:rFonts w:ascii="Times New Roman" w:hAnsi="Times New Roman"/>
          <w:lang w:val="en-US"/>
        </w:rPr>
      </w:pPr>
      <w:r w:rsidRPr="00532416">
        <w:rPr>
          <w:rStyle w:val="FootnoteReference"/>
        </w:rPr>
        <w:footnoteRef/>
      </w:r>
      <w:r w:rsidRPr="00532416">
        <w:t xml:space="preserve"> </w:t>
      </w:r>
      <w:r w:rsidRPr="00532416">
        <w:rPr>
          <w:rFonts w:ascii="Times New Roman" w:hAnsi="Times New Roman"/>
          <w:lang w:val="en-US"/>
        </w:rPr>
        <w:t>75 is the average number of annual reports filed pursuant to rule 50.52 during 2014 and 2015.  The Commission is not aware of any reports filed on a swap-by-swap basis.</w:t>
      </w:r>
    </w:p>
    <w:p w14:paraId="2DA09060" w14:textId="77777777" w:rsidR="00E10038" w:rsidRPr="00532416" w:rsidRDefault="00E10038" w:rsidP="00E10038">
      <w:pPr>
        <w:pStyle w:val="FootnoteText"/>
        <w:rPr>
          <w:lang w:val="en-US"/>
        </w:rPr>
      </w:pPr>
    </w:p>
  </w:footnote>
  <w:footnote w:id="3">
    <w:p w14:paraId="0D8F1D46" w14:textId="0BB391FF" w:rsidR="00E10038" w:rsidRPr="00532416" w:rsidRDefault="00E10038" w:rsidP="00E10038">
      <w:pPr>
        <w:pStyle w:val="FootnoteText"/>
        <w:rPr>
          <w:rFonts w:ascii="Times New Roman" w:hAnsi="Times New Roman"/>
          <w:lang w:val="en-US"/>
        </w:rPr>
      </w:pPr>
      <w:r w:rsidRPr="00532416">
        <w:rPr>
          <w:rStyle w:val="FootnoteReference"/>
          <w:rFonts w:ascii="Times New Roman" w:hAnsi="Times New Roman"/>
        </w:rPr>
        <w:footnoteRef/>
      </w:r>
      <w:r w:rsidRPr="00532416">
        <w:rPr>
          <w:rFonts w:ascii="Times New Roman" w:hAnsi="Times New Roman"/>
        </w:rPr>
        <w:t xml:space="preserve"> In arriving at a wage rate for the hourly costs imposed, Commission staff used the Management &amp; Professional Earnings in the Securities Industry Report, published in 2013 by the Securities Industry and Financial Markets Associations  (2013 Report).  The wage rate used is a composite (blended) wage rate by averaging the mean annual salaries of an Assistant/Associate General Counsel, an Assistant Compliance Director, and a Programmer (Senior) as published in the 2013 report and dividing that figure by 2</w:t>
      </w:r>
      <w:r w:rsidR="00121FD3">
        <w:rPr>
          <w:rFonts w:ascii="Times New Roman" w:hAnsi="Times New Roman"/>
          <w:lang w:val="en-US"/>
        </w:rPr>
        <w:t>,</w:t>
      </w:r>
      <w:r w:rsidRPr="00532416">
        <w:rPr>
          <w:rFonts w:ascii="Times New Roman" w:hAnsi="Times New Roman"/>
        </w:rPr>
        <w:t xml:space="preserve">000 annual working hours to arrive at the hourly rate of $60.40.  </w:t>
      </w:r>
    </w:p>
    <w:p w14:paraId="66A17677" w14:textId="77777777" w:rsidR="00E10038" w:rsidRPr="00532416" w:rsidRDefault="00E10038" w:rsidP="00E10038">
      <w:pPr>
        <w:pStyle w:val="FootnoteText"/>
        <w:rPr>
          <w:rFonts w:ascii="Times New Roman" w:hAnsi="Times New Roman"/>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BF"/>
    <w:rsid w:val="000020F8"/>
    <w:rsid w:val="00054FA4"/>
    <w:rsid w:val="00106E20"/>
    <w:rsid w:val="00121FD3"/>
    <w:rsid w:val="001A1B7C"/>
    <w:rsid w:val="0021441C"/>
    <w:rsid w:val="002253E2"/>
    <w:rsid w:val="002B416D"/>
    <w:rsid w:val="002C42A0"/>
    <w:rsid w:val="00392E70"/>
    <w:rsid w:val="00415A0D"/>
    <w:rsid w:val="004266EC"/>
    <w:rsid w:val="004554CD"/>
    <w:rsid w:val="004D5E12"/>
    <w:rsid w:val="004E2747"/>
    <w:rsid w:val="00532416"/>
    <w:rsid w:val="00556071"/>
    <w:rsid w:val="006150E6"/>
    <w:rsid w:val="0064722F"/>
    <w:rsid w:val="00663685"/>
    <w:rsid w:val="00672C54"/>
    <w:rsid w:val="00695BB7"/>
    <w:rsid w:val="006A116B"/>
    <w:rsid w:val="006D1C27"/>
    <w:rsid w:val="006D7CA7"/>
    <w:rsid w:val="006D7DBF"/>
    <w:rsid w:val="006F6C53"/>
    <w:rsid w:val="007017BF"/>
    <w:rsid w:val="0073492B"/>
    <w:rsid w:val="0073668A"/>
    <w:rsid w:val="00793C41"/>
    <w:rsid w:val="00795106"/>
    <w:rsid w:val="007F3EAB"/>
    <w:rsid w:val="00830E02"/>
    <w:rsid w:val="00840F3D"/>
    <w:rsid w:val="0084182A"/>
    <w:rsid w:val="00860B78"/>
    <w:rsid w:val="00864505"/>
    <w:rsid w:val="00864E77"/>
    <w:rsid w:val="008751BD"/>
    <w:rsid w:val="008B5922"/>
    <w:rsid w:val="008D695A"/>
    <w:rsid w:val="008E0043"/>
    <w:rsid w:val="008F0342"/>
    <w:rsid w:val="00906D7C"/>
    <w:rsid w:val="00970BCE"/>
    <w:rsid w:val="00994C8E"/>
    <w:rsid w:val="00A34503"/>
    <w:rsid w:val="00A54C56"/>
    <w:rsid w:val="00A74FDC"/>
    <w:rsid w:val="00A758F9"/>
    <w:rsid w:val="00AB1091"/>
    <w:rsid w:val="00AB5274"/>
    <w:rsid w:val="00B22433"/>
    <w:rsid w:val="00B66114"/>
    <w:rsid w:val="00BC1724"/>
    <w:rsid w:val="00BF3C27"/>
    <w:rsid w:val="00C0162B"/>
    <w:rsid w:val="00C06905"/>
    <w:rsid w:val="00C22051"/>
    <w:rsid w:val="00C61A01"/>
    <w:rsid w:val="00CA0322"/>
    <w:rsid w:val="00CB1DD3"/>
    <w:rsid w:val="00CC7D14"/>
    <w:rsid w:val="00CE2633"/>
    <w:rsid w:val="00CF3D1F"/>
    <w:rsid w:val="00CF6142"/>
    <w:rsid w:val="00D07531"/>
    <w:rsid w:val="00D73AAD"/>
    <w:rsid w:val="00D7678A"/>
    <w:rsid w:val="00D85506"/>
    <w:rsid w:val="00D90DAD"/>
    <w:rsid w:val="00D934D5"/>
    <w:rsid w:val="00E10038"/>
    <w:rsid w:val="00E86356"/>
    <w:rsid w:val="00EC3C18"/>
    <w:rsid w:val="00ED3380"/>
    <w:rsid w:val="00EE66D4"/>
    <w:rsid w:val="00EF3EC7"/>
    <w:rsid w:val="00F40707"/>
    <w:rsid w:val="00F579C0"/>
    <w:rsid w:val="00F6144E"/>
    <w:rsid w:val="00F6233F"/>
    <w:rsid w:val="00F6525C"/>
    <w:rsid w:val="00F8542E"/>
    <w:rsid w:val="00F85F61"/>
    <w:rsid w:val="00FB3E03"/>
    <w:rsid w:val="00FC0D01"/>
    <w:rsid w:val="00FE275C"/>
    <w:rsid w:val="00FE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 w:type="paragraph" w:styleId="Header">
    <w:name w:val="header"/>
    <w:basedOn w:val="Normal"/>
    <w:link w:val="HeaderChar"/>
    <w:uiPriority w:val="99"/>
    <w:unhideWhenUsed/>
    <w:rsid w:val="00B2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33"/>
  </w:style>
  <w:style w:type="paragraph" w:styleId="Footer">
    <w:name w:val="footer"/>
    <w:basedOn w:val="Normal"/>
    <w:link w:val="FooterChar"/>
    <w:uiPriority w:val="99"/>
    <w:unhideWhenUsed/>
    <w:rsid w:val="00B2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 w:type="paragraph" w:styleId="Header">
    <w:name w:val="header"/>
    <w:basedOn w:val="Normal"/>
    <w:link w:val="HeaderChar"/>
    <w:uiPriority w:val="99"/>
    <w:unhideWhenUsed/>
    <w:rsid w:val="00B2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33"/>
  </w:style>
  <w:style w:type="paragraph" w:styleId="Footer">
    <w:name w:val="footer"/>
    <w:basedOn w:val="Normal"/>
    <w:link w:val="FooterChar"/>
    <w:uiPriority w:val="99"/>
    <w:unhideWhenUsed/>
    <w:rsid w:val="00B2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684E-C21F-404C-8219-38E50CA06288}">
  <ds:schemaRef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ADAFC6F-4BFF-4CF9-9E56-A7013122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28222A-3F1B-4517-89E3-17E591870F4A}">
  <ds:schemaRefs>
    <ds:schemaRef ds:uri="http://schemas.microsoft.com/sharepoint/v3/contenttype/forms"/>
  </ds:schemaRefs>
</ds:datastoreItem>
</file>

<file path=customXml/itemProps4.xml><?xml version="1.0" encoding="utf-8"?>
<ds:datastoreItem xmlns:ds="http://schemas.openxmlformats.org/officeDocument/2006/customXml" ds:itemID="{25B30EE5-1371-4FE2-927D-525657E2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2770</Words>
  <Characters>15794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Hudson, Sheila</cp:lastModifiedBy>
  <cp:revision>2</cp:revision>
  <cp:lastPrinted>2013-04-03T15:19:00Z</cp:lastPrinted>
  <dcterms:created xsi:type="dcterms:W3CDTF">2016-04-28T12:38:00Z</dcterms:created>
  <dcterms:modified xsi:type="dcterms:W3CDTF">2016-04-28T12:38:00Z</dcterms:modified>
</cp:coreProperties>
</file>