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9BF" w:rsidRDefault="004F40E3" w:rsidP="006B02D6">
      <w:pPr>
        <w:spacing w:after="0" w:line="240" w:lineRule="auto"/>
        <w:rPr>
          <w:rFonts w:asciiTheme="majorHAnsi" w:hAnsiTheme="majorHAnsi"/>
          <w:b/>
          <w:sz w:val="26"/>
          <w:szCs w:val="26"/>
        </w:rPr>
      </w:pPr>
      <w:r w:rsidRPr="004F40E3">
        <w:rPr>
          <w:rFonts w:asciiTheme="majorHAnsi" w:hAnsiTheme="majorHAnsi"/>
          <w:b/>
          <w:sz w:val="26"/>
          <w:szCs w:val="26"/>
        </w:rPr>
        <w:t>Generic Clearance for Citizen Science and Crowdsourcing Projects (New)</w:t>
      </w:r>
    </w:p>
    <w:p w:rsidR="004F40E3" w:rsidRPr="00040880" w:rsidRDefault="004F40E3" w:rsidP="00991AFB">
      <w:pPr>
        <w:spacing w:after="0" w:line="240" w:lineRule="auto"/>
        <w:jc w:val="center"/>
        <w:rPr>
          <w:rFonts w:asciiTheme="majorHAnsi" w:hAnsiTheme="majorHAnsi"/>
          <w:b/>
          <w:sz w:val="26"/>
          <w:szCs w:val="26"/>
        </w:rPr>
      </w:pPr>
    </w:p>
    <w:p w:rsidR="000428F3" w:rsidRPr="00040880" w:rsidRDefault="00DD6776" w:rsidP="00C0475D">
      <w:pPr>
        <w:spacing w:after="0" w:line="240" w:lineRule="auto"/>
        <w:outlineLvl w:val="0"/>
        <w:rPr>
          <w:rFonts w:asciiTheme="majorHAnsi" w:hAnsiTheme="majorHAnsi"/>
          <w:b/>
        </w:rPr>
      </w:pPr>
      <w:r w:rsidRPr="00040880">
        <w:rPr>
          <w:rFonts w:asciiTheme="majorHAnsi" w:hAnsiTheme="majorHAnsi"/>
          <w:b/>
        </w:rPr>
        <w:t>1.</w:t>
      </w:r>
      <w:r w:rsidRPr="00040880">
        <w:rPr>
          <w:rFonts w:asciiTheme="majorHAnsi" w:hAnsiTheme="majorHAnsi"/>
          <w:b/>
        </w:rPr>
        <w:tab/>
        <w:t>Circumstances Making the Collection of Information Necessary</w:t>
      </w:r>
    </w:p>
    <w:p w:rsidR="0046727B" w:rsidRDefault="0046727B" w:rsidP="0046727B">
      <w:pPr>
        <w:spacing w:after="0" w:line="240" w:lineRule="auto"/>
        <w:rPr>
          <w:rFonts w:asciiTheme="majorHAnsi" w:hAnsiTheme="majorHAnsi"/>
        </w:rPr>
      </w:pPr>
    </w:p>
    <w:p w:rsidR="004E1651" w:rsidRPr="00B7621F" w:rsidRDefault="004E1651" w:rsidP="004E1651">
      <w:pPr>
        <w:spacing w:after="0" w:line="240" w:lineRule="auto"/>
        <w:rPr>
          <w:rFonts w:asciiTheme="majorHAnsi" w:hAnsiTheme="majorHAnsi"/>
          <w:i/>
        </w:rPr>
      </w:pPr>
      <w:r>
        <w:rPr>
          <w:rFonts w:asciiTheme="majorHAnsi" w:hAnsiTheme="majorHAnsi"/>
          <w:i/>
        </w:rPr>
        <w:t>Citizen science and crowdsourcing: Innovative research methods that engage the public</w:t>
      </w:r>
    </w:p>
    <w:p w:rsidR="004E1651" w:rsidRDefault="004E1651" w:rsidP="004E1651">
      <w:pPr>
        <w:spacing w:after="0" w:line="240" w:lineRule="auto"/>
        <w:rPr>
          <w:rFonts w:asciiTheme="majorHAnsi" w:hAnsiTheme="majorHAnsi"/>
        </w:rPr>
      </w:pPr>
    </w:p>
    <w:p w:rsidR="006A11D4" w:rsidRDefault="004E1651" w:rsidP="00D07390">
      <w:pPr>
        <w:spacing w:after="0" w:line="240" w:lineRule="auto"/>
        <w:rPr>
          <w:rFonts w:asciiTheme="majorHAnsi" w:hAnsiTheme="majorHAnsi"/>
        </w:rPr>
      </w:pPr>
      <w:r w:rsidRPr="00040880">
        <w:rPr>
          <w:rFonts w:asciiTheme="majorHAnsi" w:hAnsiTheme="majorHAnsi"/>
        </w:rPr>
        <w:t>Citizen science and crowdsourcing are tools that</w:t>
      </w:r>
      <w:r w:rsidR="00587DB9" w:rsidRPr="00040880">
        <w:rPr>
          <w:rFonts w:asciiTheme="majorHAnsi" w:hAnsiTheme="majorHAnsi"/>
        </w:rPr>
        <w:t xml:space="preserve"> engage</w:t>
      </w:r>
      <w:r w:rsidR="00587DB9">
        <w:rPr>
          <w:rFonts w:asciiTheme="majorHAnsi" w:hAnsiTheme="majorHAnsi"/>
        </w:rPr>
        <w:t>,</w:t>
      </w:r>
      <w:r w:rsidR="00587DB9" w:rsidRPr="00040880">
        <w:rPr>
          <w:rFonts w:asciiTheme="majorHAnsi" w:hAnsiTheme="majorHAnsi"/>
        </w:rPr>
        <w:t xml:space="preserve"> </w:t>
      </w:r>
      <w:r w:rsidRPr="00040880">
        <w:rPr>
          <w:rFonts w:asciiTheme="majorHAnsi" w:hAnsiTheme="majorHAnsi"/>
        </w:rPr>
        <w:t xml:space="preserve">educate and empower the public to apply their curiosity and contribute their talents to a wide range of scientific and societal issues. Citizen Science is a form of open collaboration where the public can participate </w:t>
      </w:r>
      <w:r w:rsidR="00587DB9">
        <w:rPr>
          <w:rFonts w:asciiTheme="majorHAnsi" w:hAnsiTheme="majorHAnsi"/>
        </w:rPr>
        <w:t>actively</w:t>
      </w:r>
      <w:r w:rsidRPr="00040880">
        <w:rPr>
          <w:rFonts w:asciiTheme="majorHAnsi" w:hAnsiTheme="majorHAnsi"/>
        </w:rPr>
        <w:t xml:space="preserve"> in the scientific process through methods that include asking research questions, collecting and analyzing data, interpreting results, or engaging in problem solving.</w:t>
      </w:r>
      <w:r w:rsidR="006F38E8">
        <w:rPr>
          <w:rFonts w:asciiTheme="majorHAnsi" w:hAnsiTheme="majorHAnsi"/>
        </w:rPr>
        <w:t xml:space="preserve"> </w:t>
      </w:r>
      <w:r w:rsidRPr="00040880">
        <w:rPr>
          <w:rFonts w:asciiTheme="majorHAnsi" w:hAnsiTheme="majorHAnsi"/>
        </w:rPr>
        <w:t xml:space="preserve">Crowdsourcing is a process where individuals or organizations submit an open call for contributions </w:t>
      </w:r>
      <w:r w:rsidR="008B5A94">
        <w:rPr>
          <w:rFonts w:asciiTheme="majorHAnsi" w:hAnsiTheme="majorHAnsi"/>
        </w:rPr>
        <w:t xml:space="preserve">of information </w:t>
      </w:r>
      <w:r w:rsidRPr="00040880">
        <w:rPr>
          <w:rFonts w:asciiTheme="majorHAnsi" w:hAnsiTheme="majorHAnsi"/>
        </w:rPr>
        <w:t>from a large group of individuals (“the crowd”).</w:t>
      </w:r>
      <w:r w:rsidR="006F38E8">
        <w:rPr>
          <w:rFonts w:asciiTheme="majorHAnsi" w:hAnsiTheme="majorHAnsi"/>
        </w:rPr>
        <w:t xml:space="preserve"> </w:t>
      </w:r>
    </w:p>
    <w:p w:rsidR="009D3D96" w:rsidRDefault="009D3D96" w:rsidP="0046727B">
      <w:pPr>
        <w:spacing w:after="0" w:line="240" w:lineRule="auto"/>
        <w:rPr>
          <w:rFonts w:asciiTheme="majorHAnsi" w:hAnsiTheme="majorHAnsi"/>
          <w:i/>
        </w:rPr>
      </w:pPr>
    </w:p>
    <w:p w:rsidR="00B7621F" w:rsidRPr="00B7621F" w:rsidRDefault="00B7621F" w:rsidP="0046727B">
      <w:pPr>
        <w:spacing w:after="0" w:line="240" w:lineRule="auto"/>
        <w:rPr>
          <w:rFonts w:asciiTheme="majorHAnsi" w:hAnsiTheme="majorHAnsi"/>
          <w:i/>
        </w:rPr>
      </w:pPr>
      <w:r w:rsidRPr="00B7621F">
        <w:rPr>
          <w:rFonts w:asciiTheme="majorHAnsi" w:hAnsiTheme="majorHAnsi"/>
          <w:i/>
        </w:rPr>
        <w:t>EPA’s mission</w:t>
      </w:r>
      <w:r>
        <w:rPr>
          <w:rFonts w:asciiTheme="majorHAnsi" w:hAnsiTheme="majorHAnsi"/>
          <w:i/>
        </w:rPr>
        <w:t xml:space="preserve"> </w:t>
      </w:r>
      <w:r w:rsidR="00631B86">
        <w:rPr>
          <w:rFonts w:asciiTheme="majorHAnsi" w:hAnsiTheme="majorHAnsi"/>
          <w:i/>
        </w:rPr>
        <w:t>to protect human health and the environment</w:t>
      </w:r>
    </w:p>
    <w:p w:rsidR="00B7621F" w:rsidRDefault="00B7621F" w:rsidP="0046727B">
      <w:pPr>
        <w:spacing w:after="0" w:line="240" w:lineRule="auto"/>
        <w:rPr>
          <w:rFonts w:asciiTheme="majorHAnsi" w:hAnsiTheme="majorHAnsi"/>
        </w:rPr>
      </w:pPr>
    </w:p>
    <w:p w:rsidR="00140B46" w:rsidRDefault="00305801" w:rsidP="0046727B">
      <w:pPr>
        <w:spacing w:after="0" w:line="240" w:lineRule="auto"/>
        <w:rPr>
          <w:rFonts w:asciiTheme="majorHAnsi" w:hAnsiTheme="majorHAnsi"/>
        </w:rPr>
      </w:pPr>
      <w:r w:rsidRPr="00305801">
        <w:rPr>
          <w:rFonts w:asciiTheme="majorHAnsi" w:hAnsiTheme="majorHAnsi"/>
        </w:rPr>
        <w:t>The mission of EPA is to protect human health and the environment</w:t>
      </w:r>
      <w:r>
        <w:rPr>
          <w:rFonts w:asciiTheme="majorHAnsi" w:hAnsiTheme="majorHAnsi"/>
        </w:rPr>
        <w:t>.</w:t>
      </w:r>
      <w:r w:rsidRPr="00305801">
        <w:rPr>
          <w:rFonts w:asciiTheme="majorHAnsi" w:hAnsiTheme="majorHAnsi"/>
        </w:rPr>
        <w:t xml:space="preserve"> </w:t>
      </w:r>
      <w:r w:rsidR="00C41C65">
        <w:rPr>
          <w:rFonts w:asciiTheme="majorHAnsi" w:hAnsiTheme="majorHAnsi"/>
        </w:rPr>
        <w:t xml:space="preserve">Citizen science and crowdsourcing can support EPA’s mission and purpose, including </w:t>
      </w:r>
      <w:r w:rsidR="00140B46">
        <w:rPr>
          <w:rFonts w:asciiTheme="majorHAnsi" w:hAnsiTheme="majorHAnsi"/>
        </w:rPr>
        <w:t>ensur</w:t>
      </w:r>
      <w:r w:rsidR="00C41C65">
        <w:rPr>
          <w:rFonts w:asciiTheme="majorHAnsi" w:hAnsiTheme="majorHAnsi"/>
        </w:rPr>
        <w:t>ing</w:t>
      </w:r>
      <w:r w:rsidR="00140B46">
        <w:rPr>
          <w:rFonts w:asciiTheme="majorHAnsi" w:hAnsiTheme="majorHAnsi"/>
        </w:rPr>
        <w:t xml:space="preserve"> that national efforts to reduce environmental </w:t>
      </w:r>
      <w:r w:rsidR="00B87EAE">
        <w:rPr>
          <w:rFonts w:asciiTheme="majorHAnsi" w:hAnsiTheme="majorHAnsi"/>
        </w:rPr>
        <w:t xml:space="preserve">and public health </w:t>
      </w:r>
      <w:r w:rsidR="00140B46">
        <w:rPr>
          <w:rFonts w:asciiTheme="majorHAnsi" w:hAnsiTheme="majorHAnsi"/>
        </w:rPr>
        <w:t>risk</w:t>
      </w:r>
      <w:r w:rsidR="00B87EAE">
        <w:rPr>
          <w:rFonts w:asciiTheme="majorHAnsi" w:hAnsiTheme="majorHAnsi"/>
        </w:rPr>
        <w:t>s</w:t>
      </w:r>
      <w:r w:rsidR="00140B46">
        <w:rPr>
          <w:rFonts w:asciiTheme="majorHAnsi" w:hAnsiTheme="majorHAnsi"/>
        </w:rPr>
        <w:t xml:space="preserve"> are based on the best available scientific information</w:t>
      </w:r>
      <w:r>
        <w:rPr>
          <w:rFonts w:asciiTheme="majorHAnsi" w:hAnsiTheme="majorHAnsi"/>
        </w:rPr>
        <w:t xml:space="preserve"> and</w:t>
      </w:r>
      <w:r w:rsidR="00C41C65">
        <w:rPr>
          <w:rFonts w:asciiTheme="majorHAnsi" w:hAnsiTheme="majorHAnsi"/>
        </w:rPr>
        <w:t xml:space="preserve"> </w:t>
      </w:r>
      <w:r w:rsidR="00140B46">
        <w:rPr>
          <w:rFonts w:asciiTheme="majorHAnsi" w:hAnsiTheme="majorHAnsi"/>
        </w:rPr>
        <w:t>that all parts of society – communities, individuals, businesses, and state, local and tribal governments – have access to accurate information sufficient to effectively participate in managing human health and environmental risks</w:t>
      </w:r>
      <w:r>
        <w:rPr>
          <w:rFonts w:asciiTheme="majorHAnsi" w:hAnsiTheme="majorHAnsi"/>
        </w:rPr>
        <w:t xml:space="preserve">. </w:t>
      </w:r>
      <w:r w:rsidR="00140B46">
        <w:rPr>
          <w:rFonts w:asciiTheme="majorHAnsi" w:hAnsiTheme="majorHAnsi"/>
        </w:rPr>
        <w:t xml:space="preserve">To </w:t>
      </w:r>
      <w:r w:rsidR="00DE507A">
        <w:rPr>
          <w:rFonts w:asciiTheme="majorHAnsi" w:hAnsiTheme="majorHAnsi"/>
        </w:rPr>
        <w:t>meet these goals</w:t>
      </w:r>
      <w:r w:rsidR="00140B46">
        <w:rPr>
          <w:rFonts w:asciiTheme="majorHAnsi" w:hAnsiTheme="majorHAnsi"/>
        </w:rPr>
        <w:t>, EPA fosters the sound use of science and technology and conducts leading-edge research</w:t>
      </w:r>
      <w:r w:rsidR="00472DEF">
        <w:rPr>
          <w:rFonts w:asciiTheme="majorHAnsi" w:hAnsiTheme="majorHAnsi"/>
        </w:rPr>
        <w:t xml:space="preserve">; the Agency </w:t>
      </w:r>
      <w:r w:rsidR="00B87EAE">
        <w:rPr>
          <w:rFonts w:asciiTheme="majorHAnsi" w:hAnsiTheme="majorHAnsi"/>
        </w:rPr>
        <w:t>funds environmental justice and community</w:t>
      </w:r>
      <w:r w:rsidR="000A30DE">
        <w:rPr>
          <w:rFonts w:asciiTheme="majorHAnsi" w:hAnsiTheme="majorHAnsi"/>
        </w:rPr>
        <w:t>-</w:t>
      </w:r>
      <w:r w:rsidR="00B87EAE">
        <w:rPr>
          <w:rFonts w:asciiTheme="majorHAnsi" w:hAnsiTheme="majorHAnsi"/>
        </w:rPr>
        <w:t>driven projects</w:t>
      </w:r>
      <w:r w:rsidR="00DE507A">
        <w:rPr>
          <w:rFonts w:asciiTheme="majorHAnsi" w:hAnsiTheme="majorHAnsi"/>
        </w:rPr>
        <w:t>. Likewise,</w:t>
      </w:r>
      <w:r w:rsidR="008921C7">
        <w:rPr>
          <w:rFonts w:asciiTheme="majorHAnsi" w:hAnsiTheme="majorHAnsi"/>
        </w:rPr>
        <w:t xml:space="preserve"> </w:t>
      </w:r>
      <w:r w:rsidR="00472DEF">
        <w:rPr>
          <w:rFonts w:asciiTheme="majorHAnsi" w:hAnsiTheme="majorHAnsi"/>
        </w:rPr>
        <w:t>the Agency</w:t>
      </w:r>
      <w:r w:rsidR="00140B46">
        <w:rPr>
          <w:rFonts w:asciiTheme="majorHAnsi" w:hAnsiTheme="majorHAnsi"/>
        </w:rPr>
        <w:t xml:space="preserve"> conducts </w:t>
      </w:r>
      <w:r w:rsidR="00955FD0">
        <w:rPr>
          <w:rFonts w:asciiTheme="majorHAnsi" w:hAnsiTheme="majorHAnsi"/>
        </w:rPr>
        <w:t xml:space="preserve">educational </w:t>
      </w:r>
      <w:r w:rsidR="00FD1302">
        <w:rPr>
          <w:rFonts w:asciiTheme="majorHAnsi" w:hAnsiTheme="majorHAnsi"/>
        </w:rPr>
        <w:t xml:space="preserve">activities to </w:t>
      </w:r>
      <w:r w:rsidR="00955FD0">
        <w:rPr>
          <w:rFonts w:asciiTheme="majorHAnsi" w:hAnsiTheme="majorHAnsi"/>
        </w:rPr>
        <w:t xml:space="preserve">increase </w:t>
      </w:r>
      <w:r w:rsidR="00FD1302">
        <w:rPr>
          <w:rFonts w:asciiTheme="majorHAnsi" w:hAnsiTheme="majorHAnsi"/>
        </w:rPr>
        <w:t>the public</w:t>
      </w:r>
      <w:r w:rsidR="00955FD0">
        <w:rPr>
          <w:rFonts w:asciiTheme="majorHAnsi" w:hAnsiTheme="majorHAnsi"/>
        </w:rPr>
        <w:t>’s knowledge and understanding</w:t>
      </w:r>
      <w:r w:rsidR="00FD1302">
        <w:rPr>
          <w:rFonts w:asciiTheme="majorHAnsi" w:hAnsiTheme="majorHAnsi"/>
        </w:rPr>
        <w:t xml:space="preserve"> </w:t>
      </w:r>
      <w:r w:rsidR="00955FD0">
        <w:rPr>
          <w:rFonts w:asciiTheme="majorHAnsi" w:hAnsiTheme="majorHAnsi"/>
        </w:rPr>
        <w:t xml:space="preserve">of </w:t>
      </w:r>
      <w:r w:rsidR="00FD1302">
        <w:rPr>
          <w:rFonts w:asciiTheme="majorHAnsi" w:hAnsiTheme="majorHAnsi"/>
        </w:rPr>
        <w:t>environmental issues</w:t>
      </w:r>
      <w:r w:rsidR="00955FD0">
        <w:rPr>
          <w:rFonts w:asciiTheme="majorHAnsi" w:hAnsiTheme="majorHAnsi"/>
        </w:rPr>
        <w:t xml:space="preserve"> so that they can make appropriate decisions</w:t>
      </w:r>
      <w:r w:rsidR="00140B46">
        <w:rPr>
          <w:rFonts w:asciiTheme="majorHAnsi" w:hAnsiTheme="majorHAnsi"/>
        </w:rPr>
        <w:t>.</w:t>
      </w:r>
      <w:r w:rsidR="00F739B6">
        <w:rPr>
          <w:rFonts w:asciiTheme="majorHAnsi" w:hAnsiTheme="majorHAnsi"/>
        </w:rPr>
        <w:t xml:space="preserve"> See</w:t>
      </w:r>
      <w:r w:rsidR="00D5563B">
        <w:rPr>
          <w:rFonts w:asciiTheme="majorHAnsi" w:hAnsiTheme="majorHAnsi"/>
        </w:rPr>
        <w:t xml:space="preserve"> section C.</w:t>
      </w:r>
      <w:r w:rsidR="00F739B6">
        <w:rPr>
          <w:rFonts w:asciiTheme="majorHAnsi" w:hAnsiTheme="majorHAnsi"/>
        </w:rPr>
        <w:t xml:space="preserve"> Appendix</w:t>
      </w:r>
      <w:r w:rsidR="00D5563B">
        <w:rPr>
          <w:rFonts w:asciiTheme="majorHAnsi" w:hAnsiTheme="majorHAnsi"/>
        </w:rPr>
        <w:t xml:space="preserve"> </w:t>
      </w:r>
      <w:r w:rsidR="00F739B6">
        <w:rPr>
          <w:rFonts w:asciiTheme="majorHAnsi" w:hAnsiTheme="majorHAnsi"/>
        </w:rPr>
        <w:t xml:space="preserve">for EPA’s statutory authority and </w:t>
      </w:r>
      <w:r w:rsidR="00D5563B">
        <w:rPr>
          <w:rFonts w:asciiTheme="majorHAnsi" w:hAnsiTheme="majorHAnsi"/>
        </w:rPr>
        <w:t xml:space="preserve">examples of </w:t>
      </w:r>
      <w:r w:rsidR="00F739B6">
        <w:rPr>
          <w:rFonts w:asciiTheme="majorHAnsi" w:hAnsiTheme="majorHAnsi"/>
        </w:rPr>
        <w:t xml:space="preserve">policy support for </w:t>
      </w:r>
      <w:r w:rsidR="00D5563B">
        <w:rPr>
          <w:rFonts w:asciiTheme="majorHAnsi" w:hAnsiTheme="majorHAnsi"/>
        </w:rPr>
        <w:t xml:space="preserve">incorporating </w:t>
      </w:r>
      <w:r w:rsidR="00F739B6">
        <w:rPr>
          <w:rFonts w:asciiTheme="majorHAnsi" w:hAnsiTheme="majorHAnsi"/>
        </w:rPr>
        <w:t>citizen science and crowdsourcing</w:t>
      </w:r>
      <w:r w:rsidR="00D5563B">
        <w:rPr>
          <w:rFonts w:asciiTheme="majorHAnsi" w:hAnsiTheme="majorHAnsi"/>
        </w:rPr>
        <w:t xml:space="preserve"> methods into Agency </w:t>
      </w:r>
      <w:r w:rsidR="0085376D">
        <w:rPr>
          <w:rFonts w:asciiTheme="majorHAnsi" w:hAnsiTheme="majorHAnsi"/>
        </w:rPr>
        <w:t>scientific endeavors</w:t>
      </w:r>
      <w:r w:rsidR="00F739B6">
        <w:rPr>
          <w:rFonts w:asciiTheme="majorHAnsi" w:hAnsiTheme="majorHAnsi"/>
        </w:rPr>
        <w:t xml:space="preserve">. </w:t>
      </w:r>
    </w:p>
    <w:p w:rsidR="00B30231" w:rsidRDefault="00D07390" w:rsidP="000428F3">
      <w:pPr>
        <w:spacing w:after="0" w:line="240" w:lineRule="auto"/>
        <w:rPr>
          <w:rFonts w:asciiTheme="majorHAnsi" w:hAnsiTheme="majorHAnsi"/>
          <w:i/>
        </w:rPr>
      </w:pPr>
      <w:r>
        <w:rPr>
          <w:rFonts w:asciiTheme="majorHAnsi" w:hAnsiTheme="majorHAnsi"/>
          <w:i/>
        </w:rPr>
        <w:t xml:space="preserve"> </w:t>
      </w:r>
    </w:p>
    <w:p w:rsidR="00B7621F" w:rsidRPr="00B7621F" w:rsidRDefault="00B7621F" w:rsidP="000428F3">
      <w:pPr>
        <w:spacing w:after="0" w:line="240" w:lineRule="auto"/>
        <w:rPr>
          <w:rFonts w:asciiTheme="majorHAnsi" w:hAnsiTheme="majorHAnsi"/>
          <w:i/>
        </w:rPr>
      </w:pPr>
      <w:r w:rsidRPr="00B7621F">
        <w:rPr>
          <w:rFonts w:asciiTheme="majorHAnsi" w:hAnsiTheme="majorHAnsi"/>
          <w:i/>
        </w:rPr>
        <w:t xml:space="preserve">Benefits of research using citizen science and crowdsourcing </w:t>
      </w:r>
      <w:r w:rsidR="002F5610">
        <w:rPr>
          <w:rFonts w:asciiTheme="majorHAnsi" w:hAnsiTheme="majorHAnsi"/>
          <w:i/>
        </w:rPr>
        <w:t>approaches in EPA research</w:t>
      </w:r>
    </w:p>
    <w:p w:rsidR="00B7621F" w:rsidRPr="00040880" w:rsidRDefault="00B7621F" w:rsidP="000428F3">
      <w:pPr>
        <w:spacing w:after="0" w:line="240" w:lineRule="auto"/>
        <w:rPr>
          <w:rFonts w:asciiTheme="majorHAnsi" w:hAnsiTheme="majorHAnsi"/>
        </w:rPr>
      </w:pPr>
    </w:p>
    <w:p w:rsidR="006F6F6C" w:rsidRDefault="00AF0475" w:rsidP="00F17F4F">
      <w:pPr>
        <w:spacing w:after="0" w:line="240" w:lineRule="auto"/>
        <w:rPr>
          <w:rFonts w:asciiTheme="majorHAnsi" w:hAnsiTheme="majorHAnsi"/>
        </w:rPr>
      </w:pPr>
      <w:r w:rsidRPr="00040880">
        <w:rPr>
          <w:rFonts w:asciiTheme="majorHAnsi" w:hAnsiTheme="majorHAnsi"/>
        </w:rPr>
        <w:t>C</w:t>
      </w:r>
      <w:r w:rsidR="003F75F6" w:rsidRPr="00040880">
        <w:rPr>
          <w:rFonts w:asciiTheme="majorHAnsi" w:hAnsiTheme="majorHAnsi"/>
        </w:rPr>
        <w:t>itizen science and crowdsourcing</w:t>
      </w:r>
      <w:r w:rsidR="00F17739" w:rsidRPr="00040880">
        <w:rPr>
          <w:rFonts w:asciiTheme="majorHAnsi" w:hAnsiTheme="majorHAnsi"/>
        </w:rPr>
        <w:t xml:space="preserve"> </w:t>
      </w:r>
      <w:r w:rsidR="003F75F6" w:rsidRPr="00040880">
        <w:rPr>
          <w:rFonts w:asciiTheme="majorHAnsi" w:hAnsiTheme="majorHAnsi"/>
        </w:rPr>
        <w:t xml:space="preserve">can </w:t>
      </w:r>
      <w:r w:rsidRPr="00040880">
        <w:rPr>
          <w:rFonts w:asciiTheme="majorHAnsi" w:hAnsiTheme="majorHAnsi"/>
        </w:rPr>
        <w:t>create</w:t>
      </w:r>
      <w:r w:rsidR="003F75F6" w:rsidRPr="00040880">
        <w:rPr>
          <w:rFonts w:asciiTheme="majorHAnsi" w:hAnsiTheme="majorHAnsi"/>
        </w:rPr>
        <w:t xml:space="preserve"> engaging opportunities for the public to </w:t>
      </w:r>
      <w:r w:rsidR="00B93DA8">
        <w:rPr>
          <w:rFonts w:asciiTheme="majorHAnsi" w:hAnsiTheme="majorHAnsi"/>
        </w:rPr>
        <w:t>experience their environment</w:t>
      </w:r>
      <w:r w:rsidR="006417D3">
        <w:rPr>
          <w:rFonts w:asciiTheme="majorHAnsi" w:hAnsiTheme="majorHAnsi"/>
        </w:rPr>
        <w:t xml:space="preserve">, </w:t>
      </w:r>
      <w:r w:rsidRPr="00040880">
        <w:rPr>
          <w:rFonts w:asciiTheme="majorHAnsi" w:hAnsiTheme="majorHAnsi"/>
        </w:rPr>
        <w:t>contribute</w:t>
      </w:r>
      <w:r w:rsidR="003F75F6" w:rsidRPr="00040880">
        <w:rPr>
          <w:rFonts w:asciiTheme="majorHAnsi" w:hAnsiTheme="majorHAnsi"/>
        </w:rPr>
        <w:t xml:space="preserve"> environmental data</w:t>
      </w:r>
      <w:r w:rsidR="00B87EAE">
        <w:rPr>
          <w:rFonts w:asciiTheme="majorHAnsi" w:hAnsiTheme="majorHAnsi"/>
        </w:rPr>
        <w:t xml:space="preserve"> at a more local level</w:t>
      </w:r>
      <w:r w:rsidR="003F75F6" w:rsidRPr="00040880">
        <w:rPr>
          <w:rFonts w:asciiTheme="majorHAnsi" w:hAnsiTheme="majorHAnsi"/>
        </w:rPr>
        <w:t xml:space="preserve">, </w:t>
      </w:r>
      <w:r w:rsidR="006417D3">
        <w:rPr>
          <w:rFonts w:asciiTheme="majorHAnsi" w:hAnsiTheme="majorHAnsi"/>
        </w:rPr>
        <w:t>and</w:t>
      </w:r>
      <w:r w:rsidR="003F75F6" w:rsidRPr="00040880">
        <w:rPr>
          <w:rFonts w:asciiTheme="majorHAnsi" w:hAnsiTheme="majorHAnsi"/>
        </w:rPr>
        <w:t xml:space="preserve"> provide opportunities to analyze large environmental datasets. </w:t>
      </w:r>
      <w:r w:rsidRPr="00040880">
        <w:rPr>
          <w:rFonts w:asciiTheme="majorHAnsi" w:hAnsiTheme="majorHAnsi"/>
        </w:rPr>
        <w:t>These methods give people t</w:t>
      </w:r>
      <w:r w:rsidR="00B7456C">
        <w:rPr>
          <w:rFonts w:asciiTheme="majorHAnsi" w:hAnsiTheme="majorHAnsi"/>
        </w:rPr>
        <w:t>he ability to easily share data</w:t>
      </w:r>
      <w:r w:rsidRPr="00040880">
        <w:rPr>
          <w:rFonts w:asciiTheme="majorHAnsi" w:hAnsiTheme="majorHAnsi"/>
        </w:rPr>
        <w:t xml:space="preserve"> they encounter</w:t>
      </w:r>
      <w:r w:rsidR="00D42085">
        <w:rPr>
          <w:rFonts w:asciiTheme="majorHAnsi" w:hAnsiTheme="majorHAnsi"/>
        </w:rPr>
        <w:t xml:space="preserve"> </w:t>
      </w:r>
      <w:r w:rsidR="00B71596">
        <w:rPr>
          <w:rFonts w:asciiTheme="majorHAnsi" w:hAnsiTheme="majorHAnsi"/>
        </w:rPr>
        <w:t>in their communities</w:t>
      </w:r>
      <w:r w:rsidR="00C54E0D">
        <w:rPr>
          <w:rFonts w:asciiTheme="majorHAnsi" w:hAnsiTheme="majorHAnsi"/>
        </w:rPr>
        <w:t xml:space="preserve"> and environments</w:t>
      </w:r>
      <w:r w:rsidRPr="00040880">
        <w:rPr>
          <w:rFonts w:asciiTheme="majorHAnsi" w:hAnsiTheme="majorHAnsi"/>
        </w:rPr>
        <w:t>. Whether it is a</w:t>
      </w:r>
      <w:r w:rsidR="00DE507A">
        <w:rPr>
          <w:rFonts w:asciiTheme="majorHAnsi" w:hAnsiTheme="majorHAnsi"/>
        </w:rPr>
        <w:t>n individual</w:t>
      </w:r>
      <w:r w:rsidRPr="00040880">
        <w:rPr>
          <w:rFonts w:asciiTheme="majorHAnsi" w:hAnsiTheme="majorHAnsi"/>
        </w:rPr>
        <w:t xml:space="preserve"> </w:t>
      </w:r>
      <w:r w:rsidR="00DE507A">
        <w:rPr>
          <w:rFonts w:asciiTheme="majorHAnsi" w:hAnsiTheme="majorHAnsi"/>
        </w:rPr>
        <w:t>photographing</w:t>
      </w:r>
      <w:r w:rsidR="007E0E89" w:rsidRPr="00040880">
        <w:rPr>
          <w:rFonts w:asciiTheme="majorHAnsi" w:hAnsiTheme="majorHAnsi"/>
        </w:rPr>
        <w:t xml:space="preserve"> an endangered </w:t>
      </w:r>
      <w:r w:rsidR="00B713EE">
        <w:rPr>
          <w:rFonts w:asciiTheme="majorHAnsi" w:hAnsiTheme="majorHAnsi"/>
        </w:rPr>
        <w:t xml:space="preserve">species </w:t>
      </w:r>
      <w:r w:rsidR="007E0E89" w:rsidRPr="00040880">
        <w:rPr>
          <w:rFonts w:asciiTheme="majorHAnsi" w:hAnsiTheme="majorHAnsi"/>
        </w:rPr>
        <w:t>the</w:t>
      </w:r>
      <w:r w:rsidR="00B713EE">
        <w:rPr>
          <w:rFonts w:asciiTheme="majorHAnsi" w:hAnsiTheme="majorHAnsi"/>
        </w:rPr>
        <w:t xml:space="preserve">y come across on their walk, someone at home </w:t>
      </w:r>
      <w:r w:rsidR="007E0E89" w:rsidRPr="00040880">
        <w:rPr>
          <w:rFonts w:asciiTheme="majorHAnsi" w:hAnsiTheme="majorHAnsi"/>
        </w:rPr>
        <w:t xml:space="preserve">adding in descriptions to </w:t>
      </w:r>
      <w:r w:rsidR="00B713EE">
        <w:rPr>
          <w:rFonts w:asciiTheme="majorHAnsi" w:hAnsiTheme="majorHAnsi"/>
        </w:rPr>
        <w:t xml:space="preserve">online </w:t>
      </w:r>
      <w:r w:rsidR="007E0E89" w:rsidRPr="00040880">
        <w:rPr>
          <w:rFonts w:asciiTheme="majorHAnsi" w:hAnsiTheme="majorHAnsi"/>
        </w:rPr>
        <w:t xml:space="preserve">aerial photographs taken at a disaster site, </w:t>
      </w:r>
      <w:r w:rsidR="00B713EE">
        <w:rPr>
          <w:rFonts w:asciiTheme="majorHAnsi" w:hAnsiTheme="majorHAnsi"/>
        </w:rPr>
        <w:t xml:space="preserve">or owners of personal </w:t>
      </w:r>
      <w:r w:rsidR="00BA6B84">
        <w:rPr>
          <w:rFonts w:asciiTheme="majorHAnsi" w:hAnsiTheme="majorHAnsi"/>
        </w:rPr>
        <w:t xml:space="preserve">health </w:t>
      </w:r>
      <w:r w:rsidR="00B713EE">
        <w:rPr>
          <w:rFonts w:asciiTheme="majorHAnsi" w:hAnsiTheme="majorHAnsi"/>
        </w:rPr>
        <w:t>monitors</w:t>
      </w:r>
      <w:r w:rsidR="00BA6B84">
        <w:rPr>
          <w:rFonts w:asciiTheme="majorHAnsi" w:hAnsiTheme="majorHAnsi"/>
        </w:rPr>
        <w:t xml:space="preserve"> </w:t>
      </w:r>
      <w:r w:rsidR="00B713EE">
        <w:rPr>
          <w:rFonts w:asciiTheme="majorHAnsi" w:hAnsiTheme="majorHAnsi"/>
        </w:rPr>
        <w:t xml:space="preserve">documenting </w:t>
      </w:r>
      <w:r w:rsidR="00BA6B84">
        <w:rPr>
          <w:rFonts w:asciiTheme="majorHAnsi" w:hAnsiTheme="majorHAnsi"/>
        </w:rPr>
        <w:t>their daily activities</w:t>
      </w:r>
      <w:r w:rsidR="00B713EE">
        <w:rPr>
          <w:rFonts w:asciiTheme="majorHAnsi" w:hAnsiTheme="majorHAnsi"/>
        </w:rPr>
        <w:t xml:space="preserve">, </w:t>
      </w:r>
      <w:r w:rsidR="007E0E89" w:rsidRPr="00040880">
        <w:rPr>
          <w:rFonts w:asciiTheme="majorHAnsi" w:hAnsiTheme="majorHAnsi"/>
        </w:rPr>
        <w:t xml:space="preserve">crowdsourcing and citizen science </w:t>
      </w:r>
      <w:r w:rsidR="00880B63">
        <w:rPr>
          <w:rFonts w:asciiTheme="majorHAnsi" w:hAnsiTheme="majorHAnsi"/>
        </w:rPr>
        <w:t>provide</w:t>
      </w:r>
      <w:r w:rsidR="00880B63" w:rsidRPr="00040880">
        <w:rPr>
          <w:rFonts w:asciiTheme="majorHAnsi" w:hAnsiTheme="majorHAnsi"/>
        </w:rPr>
        <w:t xml:space="preserve"> </w:t>
      </w:r>
      <w:r w:rsidR="007E0E89" w:rsidRPr="00040880">
        <w:rPr>
          <w:rFonts w:asciiTheme="majorHAnsi" w:hAnsiTheme="majorHAnsi"/>
        </w:rPr>
        <w:t xml:space="preserve">people a fun and accessible way to contribute to </w:t>
      </w:r>
      <w:r w:rsidR="00B71596" w:rsidRPr="00040880">
        <w:rPr>
          <w:rFonts w:asciiTheme="majorHAnsi" w:hAnsiTheme="majorHAnsi"/>
        </w:rPr>
        <w:t>scien</w:t>
      </w:r>
      <w:r w:rsidR="00B71596">
        <w:rPr>
          <w:rFonts w:asciiTheme="majorHAnsi" w:hAnsiTheme="majorHAnsi"/>
        </w:rPr>
        <w:t xml:space="preserve">ce </w:t>
      </w:r>
      <w:r w:rsidR="00B93DA8">
        <w:rPr>
          <w:rFonts w:asciiTheme="majorHAnsi" w:hAnsiTheme="majorHAnsi"/>
        </w:rPr>
        <w:t xml:space="preserve">or </w:t>
      </w:r>
      <w:r w:rsidR="006417D3">
        <w:rPr>
          <w:rFonts w:asciiTheme="majorHAnsi" w:hAnsiTheme="majorHAnsi"/>
        </w:rPr>
        <w:t>foster</w:t>
      </w:r>
      <w:r w:rsidR="00B93DA8">
        <w:rPr>
          <w:rFonts w:asciiTheme="majorHAnsi" w:hAnsiTheme="majorHAnsi"/>
        </w:rPr>
        <w:t xml:space="preserve"> a greater appreciation of their natural environment</w:t>
      </w:r>
      <w:r w:rsidR="006417D3">
        <w:rPr>
          <w:rFonts w:asciiTheme="majorHAnsi" w:hAnsiTheme="majorHAnsi"/>
        </w:rPr>
        <w:t xml:space="preserve"> </w:t>
      </w:r>
      <w:r w:rsidR="00BA6B84">
        <w:rPr>
          <w:rFonts w:asciiTheme="majorHAnsi" w:hAnsiTheme="majorHAnsi"/>
        </w:rPr>
        <w:t>and</w:t>
      </w:r>
      <w:r w:rsidR="006417D3">
        <w:rPr>
          <w:rFonts w:asciiTheme="majorHAnsi" w:hAnsiTheme="majorHAnsi"/>
        </w:rPr>
        <w:t xml:space="preserve"> community</w:t>
      </w:r>
      <w:r w:rsidR="007E0E89" w:rsidRPr="00040880">
        <w:rPr>
          <w:rFonts w:asciiTheme="majorHAnsi" w:hAnsiTheme="majorHAnsi"/>
        </w:rPr>
        <w:t>.</w:t>
      </w:r>
      <w:r w:rsidR="00285EFA" w:rsidRPr="00040880">
        <w:rPr>
          <w:rFonts w:asciiTheme="majorHAnsi" w:hAnsiTheme="majorHAnsi"/>
        </w:rPr>
        <w:t xml:space="preserve"> </w:t>
      </w:r>
      <w:r w:rsidR="007E0E89" w:rsidRPr="00040880">
        <w:rPr>
          <w:rFonts w:asciiTheme="majorHAnsi" w:hAnsiTheme="majorHAnsi"/>
        </w:rPr>
        <w:t>In addition, c</w:t>
      </w:r>
      <w:r w:rsidR="006F6F6C" w:rsidRPr="00040880">
        <w:rPr>
          <w:rFonts w:asciiTheme="majorHAnsi" w:hAnsiTheme="majorHAnsi"/>
        </w:rPr>
        <w:t xml:space="preserve">itizen science and crowdsourcing projects promote greater openness in the </w:t>
      </w:r>
      <w:r w:rsidR="00B71596">
        <w:rPr>
          <w:rFonts w:asciiTheme="majorHAnsi" w:hAnsiTheme="majorHAnsi"/>
        </w:rPr>
        <w:t>scientific</w:t>
      </w:r>
      <w:r w:rsidR="00B71596" w:rsidRPr="00040880">
        <w:rPr>
          <w:rFonts w:asciiTheme="majorHAnsi" w:hAnsiTheme="majorHAnsi"/>
        </w:rPr>
        <w:t xml:space="preserve"> </w:t>
      </w:r>
      <w:r w:rsidR="006F6F6C" w:rsidRPr="00040880">
        <w:rPr>
          <w:rFonts w:asciiTheme="majorHAnsi" w:hAnsiTheme="majorHAnsi"/>
        </w:rPr>
        <w:t xml:space="preserve">process by actively encouraging participation </w:t>
      </w:r>
      <w:r w:rsidR="009B0892" w:rsidRPr="00040880">
        <w:rPr>
          <w:rFonts w:asciiTheme="majorHAnsi" w:hAnsiTheme="majorHAnsi"/>
        </w:rPr>
        <w:t>in various aspects of research. Researchers using citizen science and crowdsourcing are committed to</w:t>
      </w:r>
      <w:r w:rsidR="006F6F6C" w:rsidRPr="00040880">
        <w:rPr>
          <w:rFonts w:asciiTheme="majorHAnsi" w:hAnsiTheme="majorHAnsi"/>
        </w:rPr>
        <w:t xml:space="preserve"> the dissemination of data and results back to the public.</w:t>
      </w:r>
      <w:r w:rsidR="00AC6C97" w:rsidRPr="00040880">
        <w:rPr>
          <w:rFonts w:asciiTheme="majorHAnsi" w:hAnsiTheme="majorHAnsi"/>
        </w:rPr>
        <w:t xml:space="preserve"> </w:t>
      </w:r>
    </w:p>
    <w:p w:rsidR="00D441F5" w:rsidRDefault="00D441F5" w:rsidP="00F17F4F">
      <w:pPr>
        <w:spacing w:after="0" w:line="240" w:lineRule="auto"/>
        <w:rPr>
          <w:rFonts w:asciiTheme="majorHAnsi" w:hAnsiTheme="majorHAnsi"/>
        </w:rPr>
      </w:pPr>
    </w:p>
    <w:p w:rsidR="00D441F5" w:rsidRPr="00040880" w:rsidRDefault="00D42085" w:rsidP="00D441F5">
      <w:pPr>
        <w:spacing w:after="0" w:line="240" w:lineRule="auto"/>
        <w:rPr>
          <w:rFonts w:asciiTheme="majorHAnsi" w:hAnsiTheme="majorHAnsi"/>
        </w:rPr>
      </w:pPr>
      <w:r>
        <w:rPr>
          <w:rFonts w:asciiTheme="majorHAnsi" w:hAnsiTheme="majorHAnsi"/>
        </w:rPr>
        <w:t>Many f</w:t>
      </w:r>
      <w:r w:rsidR="00D441F5" w:rsidRPr="00040880">
        <w:rPr>
          <w:rFonts w:asciiTheme="majorHAnsi" w:hAnsiTheme="majorHAnsi"/>
        </w:rPr>
        <w:t xml:space="preserve">ederal and non-federal organizations are already using innovative citizen science and crowdsourcing tools to advance their missions. These tools are especially valuable where data are distributed across space and time </w:t>
      </w:r>
      <w:r w:rsidR="00880B63">
        <w:rPr>
          <w:rFonts w:asciiTheme="majorHAnsi" w:hAnsiTheme="majorHAnsi"/>
        </w:rPr>
        <w:t xml:space="preserve">or when </w:t>
      </w:r>
      <w:r w:rsidR="00D441F5" w:rsidRPr="00040880">
        <w:rPr>
          <w:rFonts w:asciiTheme="majorHAnsi" w:hAnsiTheme="majorHAnsi"/>
        </w:rPr>
        <w:t>projects</w:t>
      </w:r>
      <w:r w:rsidR="00880B63">
        <w:rPr>
          <w:rFonts w:asciiTheme="majorHAnsi" w:hAnsiTheme="majorHAnsi"/>
        </w:rPr>
        <w:t xml:space="preserve"> </w:t>
      </w:r>
      <w:r w:rsidR="00D441F5" w:rsidRPr="00040880">
        <w:rPr>
          <w:rFonts w:asciiTheme="majorHAnsi" w:hAnsiTheme="majorHAnsi"/>
        </w:rPr>
        <w:t xml:space="preserve">rely on large datasets. </w:t>
      </w:r>
      <w:r w:rsidR="000E61F7">
        <w:rPr>
          <w:rFonts w:asciiTheme="majorHAnsi" w:hAnsiTheme="majorHAnsi"/>
        </w:rPr>
        <w:t>S</w:t>
      </w:r>
      <w:r w:rsidR="00D441F5" w:rsidRPr="00040880">
        <w:rPr>
          <w:rFonts w:asciiTheme="majorHAnsi" w:hAnsiTheme="majorHAnsi"/>
        </w:rPr>
        <w:t xml:space="preserve">uccessful </w:t>
      </w:r>
      <w:r w:rsidR="000E61F7">
        <w:rPr>
          <w:rFonts w:asciiTheme="majorHAnsi" w:hAnsiTheme="majorHAnsi"/>
        </w:rPr>
        <w:t xml:space="preserve">citizen science and crowdsourcing </w:t>
      </w:r>
      <w:r w:rsidR="00D441F5" w:rsidRPr="00040880">
        <w:rPr>
          <w:rFonts w:asciiTheme="majorHAnsi" w:hAnsiTheme="majorHAnsi"/>
        </w:rPr>
        <w:t>projects usually result from iteration of the design based on feedback from the participants. Also, there could be</w:t>
      </w:r>
      <w:r w:rsidR="00D441F5">
        <w:rPr>
          <w:rFonts w:asciiTheme="majorHAnsi" w:hAnsiTheme="majorHAnsi"/>
        </w:rPr>
        <w:t xml:space="preserve"> </w:t>
      </w:r>
      <w:r w:rsidR="00D441F5" w:rsidRPr="00040880">
        <w:rPr>
          <w:rFonts w:asciiTheme="majorHAnsi" w:hAnsiTheme="majorHAnsi"/>
        </w:rPr>
        <w:t>uncertainty about whether the time and effort to create a project</w:t>
      </w:r>
      <w:r w:rsidR="00D441F5">
        <w:rPr>
          <w:rFonts w:asciiTheme="majorHAnsi" w:hAnsiTheme="majorHAnsi"/>
        </w:rPr>
        <w:t xml:space="preserve"> will </w:t>
      </w:r>
      <w:r w:rsidR="00D441F5" w:rsidRPr="00040880">
        <w:rPr>
          <w:rFonts w:asciiTheme="majorHAnsi" w:hAnsiTheme="majorHAnsi"/>
        </w:rPr>
        <w:t>captur</w:t>
      </w:r>
      <w:r w:rsidR="00D441F5">
        <w:rPr>
          <w:rFonts w:asciiTheme="majorHAnsi" w:hAnsiTheme="majorHAnsi"/>
        </w:rPr>
        <w:t xml:space="preserve">e the interest of the public and yield </w:t>
      </w:r>
      <w:r w:rsidR="00D441F5" w:rsidRPr="00040880">
        <w:rPr>
          <w:rFonts w:asciiTheme="majorHAnsi" w:hAnsiTheme="majorHAnsi"/>
        </w:rPr>
        <w:t>meaningful public participation. Speed and flexibility are</w:t>
      </w:r>
      <w:r w:rsidR="00D441F5">
        <w:rPr>
          <w:rFonts w:asciiTheme="majorHAnsi" w:hAnsiTheme="majorHAnsi"/>
        </w:rPr>
        <w:t xml:space="preserve"> </w:t>
      </w:r>
      <w:r w:rsidR="00D441F5">
        <w:rPr>
          <w:rFonts w:asciiTheme="majorHAnsi" w:hAnsiTheme="majorHAnsi"/>
        </w:rPr>
        <w:lastRenderedPageBreak/>
        <w:t xml:space="preserve">beneficial </w:t>
      </w:r>
      <w:r w:rsidR="00D441F5" w:rsidRPr="00040880">
        <w:rPr>
          <w:rFonts w:asciiTheme="majorHAnsi" w:hAnsiTheme="majorHAnsi"/>
        </w:rPr>
        <w:t>to develop, test, and implement good citizen science and crowdsourcing projects to allow</w:t>
      </w:r>
      <w:r w:rsidR="00D441F5">
        <w:rPr>
          <w:rFonts w:asciiTheme="majorHAnsi" w:hAnsiTheme="majorHAnsi"/>
        </w:rPr>
        <w:t xml:space="preserve">, for example, </w:t>
      </w:r>
      <w:r w:rsidR="00D441F5" w:rsidRPr="00040880">
        <w:rPr>
          <w:rFonts w:asciiTheme="majorHAnsi" w:hAnsiTheme="majorHAnsi"/>
        </w:rPr>
        <w:t>internet-based activities to evolve with technology and variable participation over time.</w:t>
      </w:r>
      <w:r w:rsidR="00D441F5">
        <w:rPr>
          <w:rFonts w:asciiTheme="majorHAnsi" w:hAnsiTheme="majorHAnsi"/>
        </w:rPr>
        <w:t xml:space="preserve"> </w:t>
      </w:r>
      <w:r w:rsidR="00D441F5" w:rsidRPr="00040880">
        <w:rPr>
          <w:rFonts w:asciiTheme="majorHAnsi" w:hAnsiTheme="majorHAnsi"/>
        </w:rPr>
        <w:t>An expedited approval process could facilitate incorporation of citizen science and crowdsourcing methods into</w:t>
      </w:r>
      <w:r w:rsidR="00DF3A5A">
        <w:rPr>
          <w:rFonts w:asciiTheme="majorHAnsi" w:hAnsiTheme="majorHAnsi"/>
        </w:rPr>
        <w:t xml:space="preserve"> EPA’s </w:t>
      </w:r>
      <w:r w:rsidR="006F2437">
        <w:rPr>
          <w:rFonts w:asciiTheme="majorHAnsi" w:hAnsiTheme="majorHAnsi"/>
        </w:rPr>
        <w:t>research and scientific initiatives</w:t>
      </w:r>
      <w:r w:rsidR="000E61F7">
        <w:rPr>
          <w:rFonts w:asciiTheme="majorHAnsi" w:hAnsiTheme="majorHAnsi"/>
        </w:rPr>
        <w:t>, which will provide large datasets with diverse information that can provide a mo</w:t>
      </w:r>
      <w:r w:rsidR="00123A2B">
        <w:rPr>
          <w:rFonts w:asciiTheme="majorHAnsi" w:hAnsiTheme="majorHAnsi"/>
        </w:rPr>
        <w:t xml:space="preserve">re </w:t>
      </w:r>
      <w:r w:rsidR="00CC7A5F">
        <w:rPr>
          <w:rFonts w:asciiTheme="majorHAnsi" w:hAnsiTheme="majorHAnsi"/>
        </w:rPr>
        <w:t>thorough</w:t>
      </w:r>
      <w:r w:rsidR="00123A2B">
        <w:rPr>
          <w:rFonts w:asciiTheme="majorHAnsi" w:hAnsiTheme="majorHAnsi"/>
        </w:rPr>
        <w:t xml:space="preserve"> understanding of</w:t>
      </w:r>
      <w:r w:rsidR="000E61F7">
        <w:rPr>
          <w:rFonts w:asciiTheme="majorHAnsi" w:hAnsiTheme="majorHAnsi"/>
        </w:rPr>
        <w:t xml:space="preserve"> environmental issue</w:t>
      </w:r>
      <w:r w:rsidR="00123A2B">
        <w:rPr>
          <w:rFonts w:asciiTheme="majorHAnsi" w:hAnsiTheme="majorHAnsi"/>
        </w:rPr>
        <w:t>s</w:t>
      </w:r>
      <w:r w:rsidR="00D441F5" w:rsidRPr="00040880">
        <w:rPr>
          <w:rFonts w:asciiTheme="majorHAnsi" w:hAnsiTheme="majorHAnsi"/>
        </w:rPr>
        <w:t>.</w:t>
      </w:r>
      <w:r w:rsidR="009B437E">
        <w:rPr>
          <w:rFonts w:asciiTheme="majorHAnsi" w:hAnsiTheme="majorHAnsi"/>
        </w:rPr>
        <w:t xml:space="preserve"> </w:t>
      </w:r>
      <w:r w:rsidR="00D441F5" w:rsidRPr="00040880">
        <w:rPr>
          <w:rFonts w:asciiTheme="majorHAnsi" w:hAnsiTheme="majorHAnsi"/>
        </w:rPr>
        <w:t xml:space="preserve"> </w:t>
      </w:r>
    </w:p>
    <w:p w:rsidR="00D441F5" w:rsidRPr="00040880" w:rsidRDefault="00D441F5" w:rsidP="00D441F5">
      <w:pPr>
        <w:spacing w:after="0" w:line="240" w:lineRule="auto"/>
        <w:rPr>
          <w:rFonts w:asciiTheme="majorHAnsi" w:hAnsiTheme="majorHAnsi"/>
        </w:rPr>
      </w:pPr>
    </w:p>
    <w:p w:rsidR="00D441F5" w:rsidRPr="00040880" w:rsidRDefault="00D441F5" w:rsidP="00D441F5">
      <w:pPr>
        <w:spacing w:after="0" w:line="240" w:lineRule="auto"/>
        <w:rPr>
          <w:rFonts w:asciiTheme="majorHAnsi" w:hAnsiTheme="majorHAnsi"/>
        </w:rPr>
      </w:pPr>
      <w:r w:rsidRPr="00040880">
        <w:rPr>
          <w:rFonts w:asciiTheme="majorHAnsi" w:hAnsiTheme="majorHAnsi"/>
        </w:rPr>
        <w:t xml:space="preserve">The growth and success of citizen science and crowdsourcing is tied closely with advances in technology. Enhanced tools and methods are constantly making citizen science and crowdsourcing more feasible and effective. EPA researchers want to respond to and interact with industries through technology development. For example, the ability to quickly involve new technologies could allow EPA researchers to contribute to low-cost sensor testing and use. In addition, an expedited approval process </w:t>
      </w:r>
      <w:r w:rsidR="00D42085">
        <w:rPr>
          <w:rFonts w:asciiTheme="majorHAnsi" w:hAnsiTheme="majorHAnsi"/>
        </w:rPr>
        <w:t>is</w:t>
      </w:r>
      <w:r w:rsidRPr="00040880">
        <w:rPr>
          <w:rFonts w:asciiTheme="majorHAnsi" w:hAnsiTheme="majorHAnsi"/>
        </w:rPr>
        <w:t xml:space="preserve"> consistent with OMB Memo M-10-06</w:t>
      </w:r>
      <w:r w:rsidR="00F015CD">
        <w:rPr>
          <w:rStyle w:val="FootnoteReference"/>
          <w:rFonts w:asciiTheme="majorHAnsi" w:hAnsiTheme="majorHAnsi"/>
        </w:rPr>
        <w:footnoteReference w:id="2"/>
      </w:r>
      <w:r w:rsidRPr="00040880">
        <w:rPr>
          <w:rFonts w:asciiTheme="majorHAnsi" w:hAnsiTheme="majorHAnsi"/>
        </w:rPr>
        <w:t>, which promote</w:t>
      </w:r>
      <w:r w:rsidR="00DF3A5A">
        <w:rPr>
          <w:rFonts w:asciiTheme="majorHAnsi" w:hAnsiTheme="majorHAnsi"/>
        </w:rPr>
        <w:t>s the use of new technologies and</w:t>
      </w:r>
      <w:r w:rsidRPr="00040880">
        <w:rPr>
          <w:rFonts w:asciiTheme="majorHAnsi" w:hAnsiTheme="majorHAnsi"/>
        </w:rPr>
        <w:t xml:space="preserve"> greater openness in government.</w:t>
      </w:r>
    </w:p>
    <w:p w:rsidR="0046727B" w:rsidRDefault="0046727B" w:rsidP="00F17F4F">
      <w:pPr>
        <w:spacing w:after="0" w:line="240" w:lineRule="auto"/>
        <w:rPr>
          <w:rFonts w:asciiTheme="majorHAnsi" w:hAnsiTheme="majorHAnsi"/>
        </w:rPr>
      </w:pPr>
    </w:p>
    <w:p w:rsidR="002F5610" w:rsidRPr="002F5610" w:rsidRDefault="002F5610" w:rsidP="00F17F4F">
      <w:pPr>
        <w:spacing w:after="0" w:line="240" w:lineRule="auto"/>
        <w:rPr>
          <w:rFonts w:asciiTheme="majorHAnsi" w:hAnsiTheme="majorHAnsi"/>
          <w:i/>
        </w:rPr>
      </w:pPr>
      <w:r w:rsidRPr="002F5610">
        <w:rPr>
          <w:rFonts w:asciiTheme="majorHAnsi" w:hAnsiTheme="majorHAnsi"/>
          <w:i/>
        </w:rPr>
        <w:t>Federal support for citizen science and crowdsourcing</w:t>
      </w:r>
    </w:p>
    <w:p w:rsidR="002F5610" w:rsidRDefault="002F5610" w:rsidP="00F17F4F">
      <w:pPr>
        <w:spacing w:after="0" w:line="240" w:lineRule="auto"/>
        <w:rPr>
          <w:rFonts w:asciiTheme="majorHAnsi" w:hAnsiTheme="majorHAnsi"/>
        </w:rPr>
      </w:pPr>
    </w:p>
    <w:p w:rsidR="0046727B" w:rsidRPr="00040880" w:rsidRDefault="0046727B" w:rsidP="00F17F4F">
      <w:pPr>
        <w:spacing w:after="0" w:line="240" w:lineRule="auto"/>
        <w:rPr>
          <w:rFonts w:asciiTheme="majorHAnsi" w:hAnsiTheme="majorHAnsi"/>
        </w:rPr>
      </w:pPr>
      <w:r w:rsidRPr="00040880">
        <w:rPr>
          <w:rFonts w:asciiTheme="majorHAnsi" w:hAnsiTheme="majorHAnsi"/>
        </w:rPr>
        <w:t>In the 2013 Second Open Government National Action Plan</w:t>
      </w:r>
      <w:r w:rsidRPr="00040880">
        <w:rPr>
          <w:rStyle w:val="FootnoteReference"/>
          <w:rFonts w:asciiTheme="majorHAnsi" w:hAnsiTheme="majorHAnsi"/>
        </w:rPr>
        <w:footnoteReference w:id="3"/>
      </w:r>
      <w:r w:rsidRPr="00040880">
        <w:rPr>
          <w:rFonts w:asciiTheme="majorHAnsi" w:hAnsiTheme="majorHAnsi"/>
        </w:rPr>
        <w:t xml:space="preserve">, President Obama called on agencies to harness the ingenuity of the public by accelerating and scaling the use of open innovation methods such as citizen science and crowdsourcing. </w:t>
      </w:r>
      <w:r>
        <w:rPr>
          <w:rFonts w:asciiTheme="majorHAnsi" w:hAnsiTheme="majorHAnsi"/>
        </w:rPr>
        <w:t>C</w:t>
      </w:r>
      <w:r w:rsidRPr="00040880">
        <w:rPr>
          <w:rFonts w:asciiTheme="majorHAnsi" w:hAnsiTheme="majorHAnsi"/>
        </w:rPr>
        <w:t>itizen science and crowdsourcing are in line with the Paperwork Reduction Act’s intent to “ensure the greatest possible public benefit from and maximize the utility of information created, collected, maintained, used, shared, and disseminated by or for the Federal Government.</w:t>
      </w:r>
      <w:r w:rsidRPr="00040880">
        <w:rPr>
          <w:rStyle w:val="FootnoteReference"/>
          <w:rFonts w:asciiTheme="majorHAnsi" w:hAnsiTheme="majorHAnsi"/>
        </w:rPr>
        <w:footnoteReference w:id="4"/>
      </w:r>
      <w:r w:rsidRPr="00040880">
        <w:rPr>
          <w:rFonts w:asciiTheme="majorHAnsi" w:hAnsiTheme="majorHAnsi"/>
        </w:rPr>
        <w:t xml:space="preserve">” </w:t>
      </w:r>
    </w:p>
    <w:p w:rsidR="009B0892" w:rsidRDefault="009B0892" w:rsidP="00F17F4F">
      <w:pPr>
        <w:spacing w:after="0" w:line="240" w:lineRule="auto"/>
        <w:rPr>
          <w:rFonts w:asciiTheme="majorHAnsi" w:hAnsiTheme="majorHAnsi"/>
        </w:rPr>
      </w:pPr>
    </w:p>
    <w:p w:rsidR="00D07390" w:rsidRDefault="00D07390" w:rsidP="00F17F4F">
      <w:pPr>
        <w:spacing w:after="0" w:line="240" w:lineRule="auto"/>
        <w:rPr>
          <w:rFonts w:asciiTheme="majorHAnsi" w:hAnsiTheme="majorHAnsi"/>
          <w:i/>
        </w:rPr>
      </w:pPr>
      <w:r>
        <w:rPr>
          <w:rFonts w:asciiTheme="majorHAnsi" w:hAnsiTheme="majorHAnsi"/>
          <w:i/>
        </w:rPr>
        <w:t>Design p</w:t>
      </w:r>
      <w:r w:rsidRPr="00D07390">
        <w:rPr>
          <w:rFonts w:asciiTheme="majorHAnsi" w:hAnsiTheme="majorHAnsi"/>
          <w:i/>
        </w:rPr>
        <w:t xml:space="preserve">rinciples for citizen science </w:t>
      </w:r>
      <w:r>
        <w:rPr>
          <w:rFonts w:asciiTheme="majorHAnsi" w:hAnsiTheme="majorHAnsi"/>
          <w:i/>
        </w:rPr>
        <w:t>and crowdsourcing projects</w:t>
      </w:r>
    </w:p>
    <w:p w:rsidR="00D07390" w:rsidRPr="00D07390" w:rsidRDefault="00D07390" w:rsidP="00F17F4F">
      <w:pPr>
        <w:spacing w:after="0" w:line="240" w:lineRule="auto"/>
        <w:rPr>
          <w:rFonts w:asciiTheme="majorHAnsi" w:hAnsiTheme="majorHAnsi"/>
          <w:i/>
        </w:rPr>
      </w:pPr>
    </w:p>
    <w:p w:rsidR="00D07390" w:rsidRDefault="00D07390" w:rsidP="00D07390">
      <w:pPr>
        <w:spacing w:after="0" w:line="240" w:lineRule="auto"/>
        <w:rPr>
          <w:rFonts w:asciiTheme="majorHAnsi" w:hAnsiTheme="majorHAnsi"/>
        </w:rPr>
      </w:pPr>
      <w:r>
        <w:rPr>
          <w:rFonts w:asciiTheme="majorHAnsi" w:hAnsiTheme="majorHAnsi"/>
        </w:rPr>
        <w:t xml:space="preserve">Citizen science and crowdsourcing projects under this generic ICR will include the following design principles: </w:t>
      </w:r>
    </w:p>
    <w:p w:rsidR="00D07390" w:rsidRDefault="00D07390" w:rsidP="00D07390">
      <w:pPr>
        <w:spacing w:after="0" w:line="240" w:lineRule="auto"/>
        <w:rPr>
          <w:rFonts w:asciiTheme="majorHAnsi" w:hAnsiTheme="majorHAnsi"/>
        </w:rPr>
      </w:pPr>
    </w:p>
    <w:p w:rsidR="00D07390" w:rsidRDefault="00D07390" w:rsidP="00D07390">
      <w:pPr>
        <w:pStyle w:val="ListParagraph"/>
        <w:numPr>
          <w:ilvl w:val="0"/>
          <w:numId w:val="21"/>
        </w:numPr>
        <w:spacing w:after="0" w:line="240" w:lineRule="auto"/>
        <w:rPr>
          <w:rFonts w:asciiTheme="majorHAnsi" w:hAnsiTheme="majorHAnsi"/>
        </w:rPr>
      </w:pPr>
      <w:r>
        <w:rPr>
          <w:rFonts w:asciiTheme="majorHAnsi" w:hAnsiTheme="majorHAnsi"/>
        </w:rPr>
        <w:t xml:space="preserve">Participants have a meaningful role in the research project, and can act as contributors or collaborators. </w:t>
      </w:r>
    </w:p>
    <w:p w:rsidR="00D07390" w:rsidRDefault="00D07390" w:rsidP="00D07390">
      <w:pPr>
        <w:pStyle w:val="ListParagraph"/>
        <w:numPr>
          <w:ilvl w:val="0"/>
          <w:numId w:val="21"/>
        </w:numPr>
        <w:spacing w:after="0" w:line="240" w:lineRule="auto"/>
        <w:rPr>
          <w:rFonts w:asciiTheme="majorHAnsi" w:hAnsiTheme="majorHAnsi"/>
        </w:rPr>
      </w:pPr>
      <w:r>
        <w:rPr>
          <w:rFonts w:asciiTheme="majorHAnsi" w:hAnsiTheme="majorHAnsi"/>
        </w:rPr>
        <w:t xml:space="preserve">Projects have a genuine scientific question or goal. </w:t>
      </w:r>
    </w:p>
    <w:p w:rsidR="00D07390" w:rsidRDefault="00D07390" w:rsidP="00D07390">
      <w:pPr>
        <w:pStyle w:val="ListParagraph"/>
        <w:numPr>
          <w:ilvl w:val="0"/>
          <w:numId w:val="21"/>
        </w:numPr>
        <w:spacing w:after="0" w:line="240" w:lineRule="auto"/>
        <w:rPr>
          <w:rFonts w:asciiTheme="majorHAnsi" w:hAnsiTheme="majorHAnsi"/>
        </w:rPr>
      </w:pPr>
      <w:r>
        <w:rPr>
          <w:rFonts w:asciiTheme="majorHAnsi" w:hAnsiTheme="majorHAnsi"/>
        </w:rPr>
        <w:t xml:space="preserve">Projects are low-burden for participants. </w:t>
      </w:r>
    </w:p>
    <w:p w:rsidR="00D07390" w:rsidRDefault="00D07390" w:rsidP="00D07390">
      <w:pPr>
        <w:pStyle w:val="ListParagraph"/>
        <w:numPr>
          <w:ilvl w:val="0"/>
          <w:numId w:val="21"/>
        </w:numPr>
        <w:spacing w:after="0" w:line="240" w:lineRule="auto"/>
        <w:rPr>
          <w:rFonts w:asciiTheme="majorHAnsi" w:hAnsiTheme="majorHAnsi"/>
        </w:rPr>
      </w:pPr>
      <w:r>
        <w:rPr>
          <w:rFonts w:asciiTheme="majorHAnsi" w:hAnsiTheme="majorHAnsi"/>
        </w:rPr>
        <w:t>Projects include active management of data and data quality, including a data quality assurance plan and ongoing evaluation of data quality and data management.</w:t>
      </w:r>
    </w:p>
    <w:p w:rsidR="00D07390" w:rsidRPr="00381010" w:rsidRDefault="00D07390" w:rsidP="00D07390">
      <w:pPr>
        <w:pStyle w:val="ListParagraph"/>
        <w:numPr>
          <w:ilvl w:val="0"/>
          <w:numId w:val="21"/>
        </w:numPr>
        <w:spacing w:after="0" w:line="240" w:lineRule="auto"/>
        <w:rPr>
          <w:rFonts w:asciiTheme="majorHAnsi" w:hAnsiTheme="majorHAnsi"/>
        </w:rPr>
      </w:pPr>
      <w:r>
        <w:rPr>
          <w:rFonts w:asciiTheme="majorHAnsi" w:hAnsiTheme="majorHAnsi"/>
        </w:rPr>
        <w:t xml:space="preserve">Projects are opt-in and participants have full control over the extent that they participate. </w:t>
      </w:r>
    </w:p>
    <w:p w:rsidR="00D07390" w:rsidRPr="005D5C84" w:rsidRDefault="00D07390" w:rsidP="00D07390">
      <w:pPr>
        <w:pStyle w:val="ListParagraph"/>
        <w:numPr>
          <w:ilvl w:val="0"/>
          <w:numId w:val="21"/>
        </w:numPr>
        <w:spacing w:after="0" w:line="240" w:lineRule="auto"/>
        <w:rPr>
          <w:rFonts w:asciiTheme="majorHAnsi" w:hAnsiTheme="majorHAnsi"/>
        </w:rPr>
      </w:pPr>
      <w:r>
        <w:rPr>
          <w:rFonts w:asciiTheme="majorHAnsi" w:hAnsiTheme="majorHAnsi"/>
        </w:rPr>
        <w:t xml:space="preserve">The data gathered and/or analyzed are shared with participants and generally made publicly available, unless there are security or privacy concerns that prevent this.  </w:t>
      </w:r>
    </w:p>
    <w:p w:rsidR="00D07390" w:rsidRDefault="00D07390" w:rsidP="00D07390">
      <w:pPr>
        <w:pStyle w:val="ListParagraph"/>
        <w:numPr>
          <w:ilvl w:val="0"/>
          <w:numId w:val="21"/>
        </w:numPr>
        <w:spacing w:after="0" w:line="240" w:lineRule="auto"/>
        <w:rPr>
          <w:rFonts w:asciiTheme="majorHAnsi" w:hAnsiTheme="majorHAnsi"/>
        </w:rPr>
      </w:pPr>
      <w:r>
        <w:rPr>
          <w:rFonts w:asciiTheme="majorHAnsi" w:hAnsiTheme="majorHAnsi"/>
        </w:rPr>
        <w:t xml:space="preserve">Participants receive feedback on how their contribution adds to the project, e.g. how their data will be used and what the research findings are. </w:t>
      </w:r>
    </w:p>
    <w:p w:rsidR="00D07390" w:rsidRDefault="00D07390" w:rsidP="00D07390">
      <w:pPr>
        <w:pStyle w:val="ListParagraph"/>
        <w:numPr>
          <w:ilvl w:val="0"/>
          <w:numId w:val="21"/>
        </w:numPr>
        <w:spacing w:after="0" w:line="240" w:lineRule="auto"/>
        <w:rPr>
          <w:rFonts w:asciiTheme="majorHAnsi" w:hAnsiTheme="majorHAnsi"/>
        </w:rPr>
      </w:pPr>
      <w:r>
        <w:rPr>
          <w:rFonts w:asciiTheme="majorHAnsi" w:hAnsiTheme="majorHAnsi"/>
        </w:rPr>
        <w:t>Project leads will evaluate scientific output, data quality, and the impact on participants.</w:t>
      </w:r>
    </w:p>
    <w:p w:rsidR="00D07390" w:rsidRDefault="00D07390" w:rsidP="00D07390">
      <w:pPr>
        <w:pStyle w:val="ListParagraph"/>
        <w:numPr>
          <w:ilvl w:val="0"/>
          <w:numId w:val="21"/>
        </w:numPr>
        <w:spacing w:after="0" w:line="240" w:lineRule="auto"/>
        <w:rPr>
          <w:rFonts w:asciiTheme="majorHAnsi" w:hAnsiTheme="majorHAnsi"/>
        </w:rPr>
      </w:pPr>
      <w:r>
        <w:rPr>
          <w:rFonts w:asciiTheme="majorHAnsi" w:hAnsiTheme="majorHAnsi"/>
        </w:rPr>
        <w:t xml:space="preserve">Projects are designed to contribute to research and science, not to inform Agency regulations or policies. </w:t>
      </w:r>
    </w:p>
    <w:p w:rsidR="00D07390" w:rsidRDefault="00D07390" w:rsidP="00F17F4F">
      <w:pPr>
        <w:spacing w:after="0" w:line="240" w:lineRule="auto"/>
        <w:rPr>
          <w:rFonts w:asciiTheme="majorHAnsi" w:hAnsiTheme="majorHAnsi"/>
        </w:rPr>
      </w:pPr>
    </w:p>
    <w:p w:rsidR="00D07390" w:rsidRPr="00040880" w:rsidRDefault="00D07390" w:rsidP="00F17F4F">
      <w:pPr>
        <w:spacing w:after="0" w:line="240" w:lineRule="auto"/>
        <w:rPr>
          <w:rFonts w:asciiTheme="majorHAnsi" w:hAnsiTheme="majorHAnsi"/>
        </w:rPr>
      </w:pPr>
    </w:p>
    <w:p w:rsidR="00B02ABD" w:rsidRDefault="00DD6776" w:rsidP="00C0475D">
      <w:pPr>
        <w:spacing w:after="0" w:line="240" w:lineRule="auto"/>
        <w:outlineLvl w:val="0"/>
        <w:rPr>
          <w:rFonts w:asciiTheme="majorHAnsi" w:hAnsiTheme="majorHAnsi"/>
          <w:b/>
        </w:rPr>
      </w:pPr>
      <w:r w:rsidRPr="00040880">
        <w:rPr>
          <w:rFonts w:asciiTheme="majorHAnsi" w:hAnsiTheme="majorHAnsi"/>
          <w:b/>
        </w:rPr>
        <w:lastRenderedPageBreak/>
        <w:t>2.</w:t>
      </w:r>
      <w:r w:rsidRPr="00040880">
        <w:rPr>
          <w:rFonts w:asciiTheme="majorHAnsi" w:hAnsiTheme="majorHAnsi"/>
          <w:b/>
        </w:rPr>
        <w:tab/>
        <w:t>Purpose and Use of the Information Collection</w:t>
      </w:r>
    </w:p>
    <w:p w:rsidR="000B51E0" w:rsidRPr="00040880" w:rsidRDefault="000B51E0" w:rsidP="00C0475D">
      <w:pPr>
        <w:spacing w:after="0" w:line="240" w:lineRule="auto"/>
        <w:outlineLvl w:val="0"/>
        <w:rPr>
          <w:rFonts w:asciiTheme="majorHAnsi" w:hAnsiTheme="majorHAnsi"/>
          <w:b/>
        </w:rPr>
      </w:pPr>
    </w:p>
    <w:p w:rsidR="00852ED8" w:rsidRDefault="004C4FFF" w:rsidP="00BF5579">
      <w:pPr>
        <w:spacing w:after="0" w:line="240" w:lineRule="auto"/>
        <w:rPr>
          <w:rFonts w:asciiTheme="majorHAnsi" w:hAnsiTheme="majorHAnsi"/>
        </w:rPr>
      </w:pPr>
      <w:r>
        <w:rPr>
          <w:rFonts w:asciiTheme="majorHAnsi" w:hAnsiTheme="majorHAnsi"/>
        </w:rPr>
        <w:t xml:space="preserve">EPA relies on scientific information. </w:t>
      </w:r>
      <w:r w:rsidR="00E87986">
        <w:rPr>
          <w:rFonts w:asciiTheme="majorHAnsi" w:hAnsiTheme="majorHAnsi"/>
        </w:rPr>
        <w:t>C</w:t>
      </w:r>
      <w:r w:rsidR="00F84771">
        <w:rPr>
          <w:rFonts w:asciiTheme="majorHAnsi" w:hAnsiTheme="majorHAnsi"/>
        </w:rPr>
        <w:t xml:space="preserve">itizen science and crowdsourcing </w:t>
      </w:r>
      <w:r w:rsidR="00BF5579" w:rsidRPr="00BF5579">
        <w:rPr>
          <w:rFonts w:asciiTheme="majorHAnsi" w:hAnsiTheme="majorHAnsi"/>
        </w:rPr>
        <w:t>techniques</w:t>
      </w:r>
      <w:r w:rsidR="00BF5579">
        <w:rPr>
          <w:rFonts w:asciiTheme="majorHAnsi" w:hAnsiTheme="majorHAnsi"/>
        </w:rPr>
        <w:t xml:space="preserve"> will allow </w:t>
      </w:r>
      <w:r w:rsidR="00BF5579" w:rsidRPr="00BF5579">
        <w:rPr>
          <w:rFonts w:asciiTheme="majorHAnsi" w:hAnsiTheme="majorHAnsi"/>
        </w:rPr>
        <w:t>the Agency</w:t>
      </w:r>
      <w:r w:rsidR="00BF5579">
        <w:rPr>
          <w:rFonts w:asciiTheme="majorHAnsi" w:hAnsiTheme="majorHAnsi"/>
        </w:rPr>
        <w:t xml:space="preserve"> </w:t>
      </w:r>
      <w:r w:rsidR="00BF5579" w:rsidRPr="00BF5579">
        <w:rPr>
          <w:rFonts w:asciiTheme="majorHAnsi" w:hAnsiTheme="majorHAnsi"/>
        </w:rPr>
        <w:t>to collect qualitative and quantitative data that might help</w:t>
      </w:r>
      <w:r w:rsidR="00BF5579">
        <w:rPr>
          <w:rFonts w:asciiTheme="majorHAnsi" w:hAnsiTheme="majorHAnsi"/>
        </w:rPr>
        <w:t xml:space="preserve"> i</w:t>
      </w:r>
      <w:r w:rsidR="00BF5579" w:rsidRPr="00BF5579">
        <w:rPr>
          <w:rFonts w:asciiTheme="majorHAnsi" w:hAnsiTheme="majorHAnsi"/>
        </w:rPr>
        <w:t xml:space="preserve">nform scientific research, assessments, or environmental </w:t>
      </w:r>
      <w:r w:rsidR="00BF5579">
        <w:rPr>
          <w:rFonts w:asciiTheme="majorHAnsi" w:hAnsiTheme="majorHAnsi"/>
        </w:rPr>
        <w:t>screening; v</w:t>
      </w:r>
      <w:r w:rsidR="00BF5579" w:rsidRPr="00BF5579">
        <w:rPr>
          <w:rFonts w:asciiTheme="majorHAnsi" w:hAnsiTheme="majorHAnsi"/>
        </w:rPr>
        <w:t>alidate</w:t>
      </w:r>
      <w:r w:rsidR="00692E86">
        <w:rPr>
          <w:rFonts w:asciiTheme="majorHAnsi" w:hAnsiTheme="majorHAnsi"/>
        </w:rPr>
        <w:t xml:space="preserve"> environmental models or tools; </w:t>
      </w:r>
      <w:r w:rsidR="00BF5579" w:rsidRPr="00BF5579">
        <w:rPr>
          <w:rFonts w:asciiTheme="majorHAnsi" w:hAnsiTheme="majorHAnsi"/>
        </w:rPr>
        <w:t>or</w:t>
      </w:r>
      <w:r w:rsidR="00692E86">
        <w:rPr>
          <w:rFonts w:asciiTheme="majorHAnsi" w:hAnsiTheme="majorHAnsi"/>
        </w:rPr>
        <w:t xml:space="preserve"> </w:t>
      </w:r>
      <w:r w:rsidR="00BF5579">
        <w:rPr>
          <w:rFonts w:asciiTheme="majorHAnsi" w:hAnsiTheme="majorHAnsi"/>
        </w:rPr>
        <w:t>e</w:t>
      </w:r>
      <w:r w:rsidR="00BF5579" w:rsidRPr="00BF5579">
        <w:rPr>
          <w:rFonts w:asciiTheme="majorHAnsi" w:hAnsiTheme="majorHAnsi"/>
        </w:rPr>
        <w:t>nhance the quantity and quality of data collected across the country’s diverse communities and ecosystems</w:t>
      </w:r>
      <w:r w:rsidR="00852ED8">
        <w:rPr>
          <w:rFonts w:asciiTheme="majorHAnsi" w:hAnsiTheme="majorHAnsi"/>
        </w:rPr>
        <w:t xml:space="preserve"> to support the Agency’s mission</w:t>
      </w:r>
      <w:r w:rsidR="00F81A79">
        <w:rPr>
          <w:rFonts w:asciiTheme="majorHAnsi" w:hAnsiTheme="majorHAnsi"/>
        </w:rPr>
        <w:t xml:space="preserve">. </w:t>
      </w:r>
      <w:r w:rsidR="00852ED8" w:rsidRPr="008048D1">
        <w:rPr>
          <w:rFonts w:asciiTheme="majorHAnsi" w:hAnsiTheme="majorHAnsi"/>
        </w:rPr>
        <w:t xml:space="preserve">Information gathered </w:t>
      </w:r>
      <w:r w:rsidR="00852ED8">
        <w:rPr>
          <w:rFonts w:asciiTheme="majorHAnsi" w:hAnsiTheme="majorHAnsi"/>
        </w:rPr>
        <w:t xml:space="preserve">under this generic clearance </w:t>
      </w:r>
      <w:r w:rsidR="00852ED8" w:rsidRPr="008048D1">
        <w:rPr>
          <w:rFonts w:asciiTheme="majorHAnsi" w:hAnsiTheme="majorHAnsi"/>
        </w:rPr>
        <w:t>will be used by the Agency to support</w:t>
      </w:r>
      <w:r w:rsidR="00852ED8">
        <w:rPr>
          <w:rFonts w:asciiTheme="majorHAnsi" w:hAnsiTheme="majorHAnsi"/>
        </w:rPr>
        <w:t xml:space="preserve"> the </w:t>
      </w:r>
      <w:r w:rsidR="00816627">
        <w:rPr>
          <w:rFonts w:asciiTheme="majorHAnsi" w:hAnsiTheme="majorHAnsi"/>
        </w:rPr>
        <w:t>activities</w:t>
      </w:r>
      <w:r w:rsidR="00852ED8">
        <w:rPr>
          <w:rFonts w:asciiTheme="majorHAnsi" w:hAnsiTheme="majorHAnsi"/>
        </w:rPr>
        <w:t xml:space="preserve"> listed above</w:t>
      </w:r>
      <w:r w:rsidR="00DE507A">
        <w:rPr>
          <w:rFonts w:asciiTheme="majorHAnsi" w:hAnsiTheme="majorHAnsi"/>
        </w:rPr>
        <w:t xml:space="preserve"> and might provide unprecedented avenues for conducting breakthrough research.</w:t>
      </w:r>
    </w:p>
    <w:p w:rsidR="00676BA1" w:rsidRDefault="00676BA1" w:rsidP="00BF5579">
      <w:pPr>
        <w:spacing w:after="0" w:line="240" w:lineRule="auto"/>
        <w:rPr>
          <w:rFonts w:asciiTheme="majorHAnsi" w:hAnsiTheme="majorHAnsi"/>
        </w:rPr>
      </w:pPr>
    </w:p>
    <w:p w:rsidR="009C10BF" w:rsidRDefault="00A3488D" w:rsidP="00676BA1">
      <w:pPr>
        <w:spacing w:after="0" w:line="240" w:lineRule="auto"/>
        <w:rPr>
          <w:rFonts w:asciiTheme="majorHAnsi" w:hAnsiTheme="majorHAnsi"/>
        </w:rPr>
      </w:pPr>
      <w:r>
        <w:rPr>
          <w:rFonts w:asciiTheme="majorHAnsi" w:hAnsiTheme="majorHAnsi"/>
        </w:rPr>
        <w:t>C</w:t>
      </w:r>
      <w:r w:rsidR="00D71826" w:rsidRPr="00D71826">
        <w:rPr>
          <w:rFonts w:asciiTheme="majorHAnsi" w:hAnsiTheme="majorHAnsi"/>
        </w:rPr>
        <w:t>ollections will be from participants who actively seek to participate</w:t>
      </w:r>
      <w:r w:rsidR="00AA07FD">
        <w:rPr>
          <w:rFonts w:asciiTheme="majorHAnsi" w:hAnsiTheme="majorHAnsi"/>
        </w:rPr>
        <w:t xml:space="preserve"> </w:t>
      </w:r>
      <w:r w:rsidR="0067457D">
        <w:rPr>
          <w:rFonts w:asciiTheme="majorHAnsi" w:hAnsiTheme="majorHAnsi"/>
        </w:rPr>
        <w:t xml:space="preserve">on their own initiative </w:t>
      </w:r>
      <w:r w:rsidR="00AA07FD">
        <w:rPr>
          <w:rFonts w:asciiTheme="majorHAnsi" w:hAnsiTheme="majorHAnsi"/>
        </w:rPr>
        <w:t>through an open</w:t>
      </w:r>
      <w:r w:rsidR="00013702">
        <w:rPr>
          <w:rFonts w:asciiTheme="majorHAnsi" w:hAnsiTheme="majorHAnsi"/>
        </w:rPr>
        <w:t xml:space="preserve"> and </w:t>
      </w:r>
      <w:r w:rsidR="0067457D">
        <w:rPr>
          <w:rFonts w:asciiTheme="majorHAnsi" w:hAnsiTheme="majorHAnsi"/>
        </w:rPr>
        <w:t>transparent</w:t>
      </w:r>
      <w:r w:rsidR="00AA07FD">
        <w:rPr>
          <w:rFonts w:asciiTheme="majorHAnsi" w:hAnsiTheme="majorHAnsi"/>
        </w:rPr>
        <w:t xml:space="preserve"> process</w:t>
      </w:r>
      <w:r w:rsidR="00E40E58">
        <w:rPr>
          <w:rFonts w:asciiTheme="majorHAnsi" w:hAnsiTheme="majorHAnsi"/>
        </w:rPr>
        <w:t xml:space="preserve"> (the Agency does not select participants or require participation)</w:t>
      </w:r>
      <w:r w:rsidR="00C02FC0">
        <w:rPr>
          <w:rFonts w:asciiTheme="majorHAnsi" w:hAnsiTheme="majorHAnsi"/>
        </w:rPr>
        <w:t>; t</w:t>
      </w:r>
      <w:r w:rsidR="00F6059F" w:rsidRPr="008048D1">
        <w:rPr>
          <w:rFonts w:asciiTheme="majorHAnsi" w:hAnsiTheme="majorHAnsi"/>
        </w:rPr>
        <w:t>he collections</w:t>
      </w:r>
      <w:r w:rsidR="00890501" w:rsidRPr="008048D1">
        <w:rPr>
          <w:rFonts w:asciiTheme="majorHAnsi" w:hAnsiTheme="majorHAnsi"/>
        </w:rPr>
        <w:t xml:space="preserve"> </w:t>
      </w:r>
      <w:r w:rsidR="004E7D30" w:rsidRPr="008048D1">
        <w:rPr>
          <w:rFonts w:asciiTheme="majorHAnsi" w:hAnsiTheme="majorHAnsi"/>
        </w:rPr>
        <w:t xml:space="preserve">will </w:t>
      </w:r>
      <w:r w:rsidR="00F926EB" w:rsidRPr="008048D1">
        <w:rPr>
          <w:rFonts w:asciiTheme="majorHAnsi" w:hAnsiTheme="majorHAnsi"/>
        </w:rPr>
        <w:t xml:space="preserve">be </w:t>
      </w:r>
      <w:r w:rsidR="00F6059F" w:rsidRPr="008048D1">
        <w:rPr>
          <w:rFonts w:asciiTheme="majorHAnsi" w:hAnsiTheme="majorHAnsi"/>
        </w:rPr>
        <w:t xml:space="preserve">low-burden for </w:t>
      </w:r>
      <w:r w:rsidR="00A616D0">
        <w:rPr>
          <w:rFonts w:asciiTheme="majorHAnsi" w:hAnsiTheme="majorHAnsi"/>
        </w:rPr>
        <w:t>participants</w:t>
      </w:r>
      <w:r w:rsidR="00DC62E2">
        <w:rPr>
          <w:rFonts w:asciiTheme="majorHAnsi" w:hAnsiTheme="majorHAnsi"/>
        </w:rPr>
        <w:t>; collection</w:t>
      </w:r>
      <w:r w:rsidR="00E40E58">
        <w:rPr>
          <w:rFonts w:asciiTheme="majorHAnsi" w:hAnsiTheme="majorHAnsi"/>
        </w:rPr>
        <w:t>s</w:t>
      </w:r>
      <w:r w:rsidR="00DC62E2">
        <w:rPr>
          <w:rFonts w:asciiTheme="majorHAnsi" w:hAnsiTheme="majorHAnsi"/>
        </w:rPr>
        <w:t xml:space="preserve"> </w:t>
      </w:r>
      <w:r w:rsidR="004E7D30" w:rsidRPr="008048D1">
        <w:rPr>
          <w:rFonts w:asciiTheme="majorHAnsi" w:hAnsiTheme="majorHAnsi"/>
        </w:rPr>
        <w:t xml:space="preserve">will </w:t>
      </w:r>
      <w:r w:rsidR="00815A0F" w:rsidRPr="008048D1">
        <w:rPr>
          <w:rFonts w:asciiTheme="majorHAnsi" w:hAnsiTheme="majorHAnsi"/>
        </w:rPr>
        <w:t>be</w:t>
      </w:r>
      <w:r w:rsidR="00F6059F" w:rsidRPr="008048D1">
        <w:rPr>
          <w:rFonts w:asciiTheme="majorHAnsi" w:hAnsiTheme="majorHAnsi"/>
        </w:rPr>
        <w:t xml:space="preserve"> low-cost for both the </w:t>
      </w:r>
      <w:r w:rsidR="00A616D0">
        <w:rPr>
          <w:rFonts w:asciiTheme="majorHAnsi" w:hAnsiTheme="majorHAnsi"/>
        </w:rPr>
        <w:t>participants</w:t>
      </w:r>
      <w:r w:rsidR="00A616D0" w:rsidRPr="008048D1">
        <w:rPr>
          <w:rFonts w:asciiTheme="majorHAnsi" w:hAnsiTheme="majorHAnsi"/>
        </w:rPr>
        <w:t xml:space="preserve"> </w:t>
      </w:r>
      <w:r w:rsidR="00F6059F" w:rsidRPr="008048D1">
        <w:rPr>
          <w:rFonts w:asciiTheme="majorHAnsi" w:hAnsiTheme="majorHAnsi"/>
        </w:rPr>
        <w:t>and the Federal Government</w:t>
      </w:r>
      <w:r w:rsidR="0006336B">
        <w:rPr>
          <w:rFonts w:asciiTheme="majorHAnsi" w:hAnsiTheme="majorHAnsi"/>
        </w:rPr>
        <w:t xml:space="preserve">; and </w:t>
      </w:r>
      <w:r w:rsidR="006331D9">
        <w:rPr>
          <w:rFonts w:asciiTheme="majorHAnsi" w:hAnsiTheme="majorHAnsi"/>
        </w:rPr>
        <w:t>data will be</w:t>
      </w:r>
      <w:r w:rsidR="00C23C40">
        <w:rPr>
          <w:rFonts w:asciiTheme="majorHAnsi" w:hAnsiTheme="majorHAnsi"/>
        </w:rPr>
        <w:t xml:space="preserve"> </w:t>
      </w:r>
      <w:r w:rsidR="006331D9">
        <w:rPr>
          <w:rFonts w:asciiTheme="majorHAnsi" w:hAnsiTheme="majorHAnsi"/>
        </w:rPr>
        <w:t>available to support the scientific research (including assessments, environmental screening, tools, models, etc.)</w:t>
      </w:r>
      <w:r w:rsidR="00CB0ECD">
        <w:rPr>
          <w:rFonts w:asciiTheme="majorHAnsi" w:hAnsiTheme="majorHAnsi"/>
        </w:rPr>
        <w:t xml:space="preserve"> of the </w:t>
      </w:r>
      <w:r w:rsidR="006331D9">
        <w:rPr>
          <w:rFonts w:asciiTheme="majorHAnsi" w:hAnsiTheme="majorHAnsi"/>
        </w:rPr>
        <w:t>Agency, states, tribal or local entities where data collection occurs</w:t>
      </w:r>
      <w:r w:rsidR="00C02FC0">
        <w:rPr>
          <w:rFonts w:asciiTheme="majorHAnsi" w:hAnsiTheme="majorHAnsi"/>
        </w:rPr>
        <w:t xml:space="preserve">. </w:t>
      </w:r>
      <w:r w:rsidR="000B5908" w:rsidRPr="000B5908">
        <w:rPr>
          <w:rFonts w:asciiTheme="majorHAnsi" w:hAnsiTheme="majorHAnsi"/>
        </w:rPr>
        <w:t>EPA may</w:t>
      </w:r>
      <w:r w:rsidR="00DE507A">
        <w:rPr>
          <w:rFonts w:asciiTheme="majorHAnsi" w:hAnsiTheme="majorHAnsi"/>
        </w:rPr>
        <w:t xml:space="preserve">, </w:t>
      </w:r>
      <w:r w:rsidR="000B5908" w:rsidRPr="000B5908">
        <w:rPr>
          <w:rFonts w:asciiTheme="majorHAnsi" w:hAnsiTheme="majorHAnsi"/>
        </w:rPr>
        <w:t xml:space="preserve">by virtue of collaborating with </w:t>
      </w:r>
      <w:r w:rsidR="000B5908">
        <w:rPr>
          <w:rFonts w:asciiTheme="majorHAnsi" w:hAnsiTheme="majorHAnsi"/>
        </w:rPr>
        <w:t>non-federal entities</w:t>
      </w:r>
      <w:r w:rsidR="0094480F">
        <w:rPr>
          <w:rFonts w:asciiTheme="majorHAnsi" w:hAnsiTheme="majorHAnsi"/>
        </w:rPr>
        <w:t xml:space="preserve">, </w:t>
      </w:r>
      <w:r w:rsidR="0094480F" w:rsidRPr="000B5908">
        <w:rPr>
          <w:rFonts w:asciiTheme="majorHAnsi" w:hAnsiTheme="majorHAnsi"/>
        </w:rPr>
        <w:t>sponsor</w:t>
      </w:r>
      <w:r w:rsidR="000B5908" w:rsidRPr="000B5908">
        <w:rPr>
          <w:rFonts w:asciiTheme="majorHAnsi" w:hAnsiTheme="majorHAnsi"/>
        </w:rPr>
        <w:t xml:space="preserve"> the collection of this type of information in connection with citizen science projects.</w:t>
      </w:r>
      <w:r w:rsidR="0094480F">
        <w:rPr>
          <w:rFonts w:asciiTheme="majorHAnsi" w:hAnsiTheme="majorHAnsi"/>
        </w:rPr>
        <w:t xml:space="preserve"> </w:t>
      </w:r>
      <w:r w:rsidR="0094480F" w:rsidRPr="0094480F">
        <w:rPr>
          <w:rFonts w:asciiTheme="majorHAnsi" w:hAnsiTheme="majorHAnsi"/>
        </w:rPr>
        <w:t>To the extent applicable, all such collections will accord</w:t>
      </w:r>
      <w:r w:rsidR="0094480F">
        <w:rPr>
          <w:rFonts w:asciiTheme="majorHAnsi" w:hAnsiTheme="majorHAnsi"/>
        </w:rPr>
        <w:t xml:space="preserve"> </w:t>
      </w:r>
      <w:r w:rsidR="00146F12" w:rsidRPr="00B243A9">
        <w:rPr>
          <w:rFonts w:asciiTheme="majorHAnsi" w:hAnsiTheme="majorHAnsi"/>
        </w:rPr>
        <w:t>with</w:t>
      </w:r>
      <w:r w:rsidR="0094480F">
        <w:rPr>
          <w:rFonts w:asciiTheme="majorHAnsi" w:hAnsiTheme="majorHAnsi"/>
        </w:rPr>
        <w:t xml:space="preserve"> </w:t>
      </w:r>
      <w:r w:rsidR="00146F12">
        <w:rPr>
          <w:rFonts w:asciiTheme="majorHAnsi" w:hAnsiTheme="majorHAnsi"/>
        </w:rPr>
        <w:t>A</w:t>
      </w:r>
      <w:r w:rsidR="00146F12" w:rsidRPr="00B243A9">
        <w:rPr>
          <w:rFonts w:asciiTheme="majorHAnsi" w:hAnsiTheme="majorHAnsi"/>
        </w:rPr>
        <w:t>gency policies and regulations related to human subjects research and will follow the established approval paths through the Human Subjects Research Review Official</w:t>
      </w:r>
      <w:r w:rsidR="00146F12">
        <w:rPr>
          <w:rFonts w:asciiTheme="majorHAnsi" w:hAnsiTheme="majorHAnsi"/>
        </w:rPr>
        <w:t xml:space="preserve">. </w:t>
      </w:r>
      <w:r w:rsidR="00C02FC0">
        <w:rPr>
          <w:rFonts w:asciiTheme="majorHAnsi" w:hAnsiTheme="majorHAnsi"/>
        </w:rPr>
        <w:t>Finally, p</w:t>
      </w:r>
      <w:r w:rsidR="00F6059F" w:rsidRPr="008048D1">
        <w:rPr>
          <w:rFonts w:asciiTheme="majorHAnsi" w:hAnsiTheme="majorHAnsi"/>
        </w:rPr>
        <w:t>ersonally identifiable information (PII)</w:t>
      </w:r>
      <w:r w:rsidR="00D13476">
        <w:rPr>
          <w:rFonts w:asciiTheme="majorHAnsi" w:hAnsiTheme="majorHAnsi"/>
        </w:rPr>
        <w:t xml:space="preserve"> will only be collected when necessary and </w:t>
      </w:r>
      <w:r w:rsidR="00052FF2">
        <w:rPr>
          <w:rFonts w:asciiTheme="majorHAnsi" w:hAnsiTheme="majorHAnsi"/>
        </w:rPr>
        <w:t xml:space="preserve">in accordance with applicable federal procedures and policies. </w:t>
      </w:r>
      <w:r w:rsidR="00A82976" w:rsidRPr="00040880">
        <w:rPr>
          <w:rFonts w:asciiTheme="majorHAnsi" w:hAnsiTheme="majorHAnsi"/>
        </w:rPr>
        <w:t xml:space="preserve">If a new collection </w:t>
      </w:r>
      <w:r w:rsidR="00AA6B57" w:rsidRPr="00040880">
        <w:rPr>
          <w:rFonts w:asciiTheme="majorHAnsi" w:hAnsiTheme="majorHAnsi"/>
        </w:rPr>
        <w:t xml:space="preserve">is not within </w:t>
      </w:r>
      <w:r w:rsidR="00C62862">
        <w:rPr>
          <w:rFonts w:asciiTheme="majorHAnsi" w:hAnsiTheme="majorHAnsi"/>
        </w:rPr>
        <w:t>the</w:t>
      </w:r>
      <w:r w:rsidR="00C62862" w:rsidRPr="00040880">
        <w:rPr>
          <w:rFonts w:asciiTheme="majorHAnsi" w:hAnsiTheme="majorHAnsi"/>
        </w:rPr>
        <w:t xml:space="preserve"> </w:t>
      </w:r>
      <w:r w:rsidR="00AA6B57" w:rsidRPr="00040880">
        <w:rPr>
          <w:rFonts w:asciiTheme="majorHAnsi" w:hAnsiTheme="majorHAnsi"/>
        </w:rPr>
        <w:t>parameters</w:t>
      </w:r>
      <w:r w:rsidR="00052FF2">
        <w:rPr>
          <w:rFonts w:asciiTheme="majorHAnsi" w:hAnsiTheme="majorHAnsi"/>
        </w:rPr>
        <w:t xml:space="preserve"> </w:t>
      </w:r>
      <w:r w:rsidR="00C62862">
        <w:rPr>
          <w:rFonts w:asciiTheme="majorHAnsi" w:hAnsiTheme="majorHAnsi"/>
        </w:rPr>
        <w:t>of this generic ICR</w:t>
      </w:r>
      <w:r w:rsidR="00A82976" w:rsidRPr="00040880">
        <w:rPr>
          <w:rFonts w:asciiTheme="majorHAnsi" w:hAnsiTheme="majorHAnsi"/>
        </w:rPr>
        <w:t xml:space="preserve">, </w:t>
      </w:r>
      <w:r w:rsidR="00F6059F" w:rsidRPr="00040880">
        <w:rPr>
          <w:rFonts w:asciiTheme="majorHAnsi" w:hAnsiTheme="majorHAnsi"/>
        </w:rPr>
        <w:t xml:space="preserve">the Agency </w:t>
      </w:r>
      <w:r w:rsidR="00984EA5" w:rsidRPr="00040880">
        <w:rPr>
          <w:rFonts w:asciiTheme="majorHAnsi" w:hAnsiTheme="majorHAnsi"/>
        </w:rPr>
        <w:t>w</w:t>
      </w:r>
      <w:r w:rsidR="00984EA5">
        <w:rPr>
          <w:rFonts w:asciiTheme="majorHAnsi" w:hAnsiTheme="majorHAnsi"/>
        </w:rPr>
        <w:t>ill</w:t>
      </w:r>
      <w:r w:rsidR="00984EA5" w:rsidRPr="00040880">
        <w:rPr>
          <w:rFonts w:asciiTheme="majorHAnsi" w:hAnsiTheme="majorHAnsi"/>
        </w:rPr>
        <w:t xml:space="preserve"> </w:t>
      </w:r>
      <w:r w:rsidR="00F6059F" w:rsidRPr="00040880">
        <w:rPr>
          <w:rFonts w:asciiTheme="majorHAnsi" w:hAnsiTheme="majorHAnsi"/>
        </w:rPr>
        <w:t>submit a</w:t>
      </w:r>
      <w:r w:rsidR="00052FF2">
        <w:rPr>
          <w:rFonts w:asciiTheme="majorHAnsi" w:hAnsiTheme="majorHAnsi"/>
        </w:rPr>
        <w:t xml:space="preserve"> separate </w:t>
      </w:r>
      <w:r w:rsidR="00F6059F" w:rsidRPr="00040880">
        <w:rPr>
          <w:rFonts w:asciiTheme="majorHAnsi" w:hAnsiTheme="majorHAnsi"/>
        </w:rPr>
        <w:t xml:space="preserve">information collection request to OMB for approval.  </w:t>
      </w:r>
    </w:p>
    <w:p w:rsidR="00566404" w:rsidRDefault="00566404" w:rsidP="00676BA1">
      <w:pPr>
        <w:spacing w:after="0" w:line="240" w:lineRule="auto"/>
        <w:rPr>
          <w:rFonts w:asciiTheme="majorHAnsi" w:hAnsiTheme="majorHAnsi"/>
        </w:rPr>
      </w:pPr>
    </w:p>
    <w:p w:rsidR="00566404" w:rsidRDefault="00566404" w:rsidP="00676BA1">
      <w:pPr>
        <w:spacing w:after="0" w:line="240" w:lineRule="auto"/>
        <w:rPr>
          <w:rFonts w:asciiTheme="majorHAnsi" w:hAnsiTheme="majorHAnsi"/>
        </w:rPr>
      </w:pPr>
      <w:r w:rsidRPr="00566404">
        <w:rPr>
          <w:rFonts w:asciiTheme="majorHAnsi" w:hAnsiTheme="majorHAnsi"/>
        </w:rPr>
        <w:t xml:space="preserve">As with any scientific endeavor at EPA, citizen science and crowdsourcing projects </w:t>
      </w:r>
      <w:r w:rsidR="00C62862">
        <w:rPr>
          <w:rFonts w:asciiTheme="majorHAnsi" w:hAnsiTheme="majorHAnsi"/>
        </w:rPr>
        <w:t>will</w:t>
      </w:r>
      <w:r w:rsidR="00C62862" w:rsidRPr="00566404">
        <w:rPr>
          <w:rFonts w:asciiTheme="majorHAnsi" w:hAnsiTheme="majorHAnsi"/>
        </w:rPr>
        <w:t xml:space="preserve"> </w:t>
      </w:r>
      <w:r w:rsidRPr="00566404">
        <w:rPr>
          <w:rFonts w:asciiTheme="majorHAnsi" w:hAnsiTheme="majorHAnsi"/>
        </w:rPr>
        <w:t>have approved data quality and data management plans as part of their project design</w:t>
      </w:r>
      <w:r w:rsidR="004E3263">
        <w:rPr>
          <w:rFonts w:asciiTheme="majorHAnsi" w:hAnsiTheme="majorHAnsi"/>
        </w:rPr>
        <w:t xml:space="preserve"> before implementation</w:t>
      </w:r>
      <w:r w:rsidRPr="00566404">
        <w:rPr>
          <w:rFonts w:asciiTheme="majorHAnsi" w:hAnsiTheme="majorHAnsi"/>
        </w:rPr>
        <w:t>. EPA provides employee</w:t>
      </w:r>
      <w:r w:rsidR="008C4778">
        <w:rPr>
          <w:rFonts w:asciiTheme="majorHAnsi" w:hAnsiTheme="majorHAnsi"/>
        </w:rPr>
        <w:t>s</w:t>
      </w:r>
      <w:r w:rsidRPr="00566404">
        <w:rPr>
          <w:rFonts w:asciiTheme="majorHAnsi" w:hAnsiTheme="majorHAnsi"/>
        </w:rPr>
        <w:t xml:space="preserve"> resources for developing data quality and data management plans</w:t>
      </w:r>
      <w:r>
        <w:rPr>
          <w:rStyle w:val="FootnoteReference"/>
          <w:rFonts w:asciiTheme="majorHAnsi" w:hAnsiTheme="majorHAnsi"/>
        </w:rPr>
        <w:footnoteReference w:id="5"/>
      </w:r>
      <w:r w:rsidRPr="00566404">
        <w:rPr>
          <w:rFonts w:asciiTheme="majorHAnsi" w:hAnsiTheme="majorHAnsi"/>
        </w:rPr>
        <w:t>.</w:t>
      </w:r>
      <w:r w:rsidR="00D9560F">
        <w:rPr>
          <w:rFonts w:asciiTheme="majorHAnsi" w:hAnsiTheme="majorHAnsi"/>
        </w:rPr>
        <w:t xml:space="preserve"> </w:t>
      </w:r>
    </w:p>
    <w:p w:rsidR="005D1415" w:rsidRPr="00040880" w:rsidRDefault="005D1415" w:rsidP="00A43690">
      <w:pPr>
        <w:spacing w:after="0" w:line="240" w:lineRule="auto"/>
        <w:rPr>
          <w:rFonts w:asciiTheme="majorHAnsi" w:hAnsiTheme="majorHAnsi"/>
        </w:rPr>
      </w:pPr>
    </w:p>
    <w:p w:rsidR="005A3D73" w:rsidRPr="00676BA1" w:rsidRDefault="00BC6FC9" w:rsidP="00DC4CFB">
      <w:pPr>
        <w:rPr>
          <w:rFonts w:asciiTheme="majorHAnsi" w:hAnsiTheme="majorHAnsi"/>
        </w:rPr>
      </w:pPr>
      <w:r>
        <w:rPr>
          <w:rFonts w:asciiTheme="majorHAnsi" w:hAnsiTheme="majorHAnsi"/>
        </w:rPr>
        <w:t xml:space="preserve">The popularity and application of citizen </w:t>
      </w:r>
      <w:r w:rsidR="00A50E5C">
        <w:rPr>
          <w:rFonts w:asciiTheme="majorHAnsi" w:hAnsiTheme="majorHAnsi"/>
        </w:rPr>
        <w:t>s</w:t>
      </w:r>
      <w:r>
        <w:rPr>
          <w:rFonts w:asciiTheme="majorHAnsi" w:hAnsiTheme="majorHAnsi"/>
        </w:rPr>
        <w:t xml:space="preserve">cience and crowdsourcing methods </w:t>
      </w:r>
      <w:r w:rsidR="00CE35EB">
        <w:rPr>
          <w:rFonts w:asciiTheme="majorHAnsi" w:hAnsiTheme="majorHAnsi"/>
        </w:rPr>
        <w:t>continues to</w:t>
      </w:r>
      <w:r>
        <w:rPr>
          <w:rFonts w:asciiTheme="majorHAnsi" w:hAnsiTheme="majorHAnsi"/>
        </w:rPr>
        <w:t xml:space="preserve"> grow with new </w:t>
      </w:r>
      <w:r w:rsidR="00676BA1">
        <w:rPr>
          <w:rFonts w:asciiTheme="majorHAnsi" w:hAnsiTheme="majorHAnsi"/>
        </w:rPr>
        <w:t xml:space="preserve">and </w:t>
      </w:r>
      <w:r w:rsidR="00676BA1" w:rsidRPr="00676BA1">
        <w:rPr>
          <w:rFonts w:asciiTheme="majorHAnsi" w:hAnsiTheme="majorHAnsi"/>
        </w:rPr>
        <w:t xml:space="preserve">low-cost </w:t>
      </w:r>
      <w:r w:rsidR="00CE35EB">
        <w:rPr>
          <w:rFonts w:asciiTheme="majorHAnsi" w:hAnsiTheme="majorHAnsi"/>
        </w:rPr>
        <w:t xml:space="preserve">portable </w:t>
      </w:r>
      <w:r w:rsidRPr="00676BA1">
        <w:rPr>
          <w:rFonts w:asciiTheme="majorHAnsi" w:hAnsiTheme="majorHAnsi"/>
        </w:rPr>
        <w:t xml:space="preserve">technologies. </w:t>
      </w:r>
      <w:r w:rsidR="00E27412">
        <w:rPr>
          <w:rFonts w:asciiTheme="majorHAnsi" w:hAnsiTheme="majorHAnsi"/>
        </w:rPr>
        <w:t>Therefore, t</w:t>
      </w:r>
      <w:r w:rsidR="005A3D73" w:rsidRPr="00676BA1">
        <w:rPr>
          <w:rFonts w:asciiTheme="majorHAnsi" w:hAnsiTheme="majorHAnsi"/>
        </w:rPr>
        <w:t>he modes of</w:t>
      </w:r>
      <w:r w:rsidR="00A50E5C" w:rsidRPr="00676BA1">
        <w:rPr>
          <w:rFonts w:asciiTheme="majorHAnsi" w:hAnsiTheme="majorHAnsi"/>
        </w:rPr>
        <w:t xml:space="preserve"> </w:t>
      </w:r>
      <w:r w:rsidR="00310917" w:rsidRPr="00676BA1">
        <w:rPr>
          <w:rFonts w:asciiTheme="majorHAnsi" w:hAnsiTheme="majorHAnsi"/>
        </w:rPr>
        <w:t xml:space="preserve">data </w:t>
      </w:r>
      <w:r w:rsidR="005A3D73" w:rsidRPr="00676BA1">
        <w:rPr>
          <w:rFonts w:asciiTheme="majorHAnsi" w:hAnsiTheme="majorHAnsi"/>
        </w:rPr>
        <w:t xml:space="preserve">collection </w:t>
      </w:r>
      <w:r w:rsidR="00A50E5C" w:rsidRPr="00676BA1">
        <w:rPr>
          <w:rFonts w:asciiTheme="majorHAnsi" w:hAnsiTheme="majorHAnsi"/>
        </w:rPr>
        <w:t xml:space="preserve">under this generic clearance </w:t>
      </w:r>
      <w:r w:rsidR="00E27412">
        <w:rPr>
          <w:rFonts w:asciiTheme="majorHAnsi" w:hAnsiTheme="majorHAnsi"/>
        </w:rPr>
        <w:t>may</w:t>
      </w:r>
      <w:r w:rsidR="00A50E5C" w:rsidRPr="00676BA1">
        <w:rPr>
          <w:rFonts w:asciiTheme="majorHAnsi" w:hAnsiTheme="majorHAnsi"/>
        </w:rPr>
        <w:t xml:space="preserve"> </w:t>
      </w:r>
      <w:r w:rsidR="005A3D73" w:rsidRPr="00676BA1">
        <w:rPr>
          <w:rFonts w:asciiTheme="majorHAnsi" w:hAnsiTheme="majorHAnsi"/>
        </w:rPr>
        <w:t>include:</w:t>
      </w:r>
      <w:r w:rsidR="00862738" w:rsidRPr="00676BA1">
        <w:rPr>
          <w:rFonts w:asciiTheme="majorHAnsi" w:hAnsiTheme="majorHAnsi"/>
        </w:rPr>
        <w:t xml:space="preserve"> </w:t>
      </w:r>
      <w:r w:rsidR="005F5205">
        <w:rPr>
          <w:rFonts w:asciiTheme="majorHAnsi" w:hAnsiTheme="majorHAnsi"/>
        </w:rPr>
        <w:t xml:space="preserve">paper or digital questionnaires, data forms, </w:t>
      </w:r>
      <w:r w:rsidR="00FD3890">
        <w:rPr>
          <w:rFonts w:asciiTheme="majorHAnsi" w:hAnsiTheme="majorHAnsi"/>
        </w:rPr>
        <w:t xml:space="preserve">surveys, focus groups or interviews; </w:t>
      </w:r>
      <w:r w:rsidR="00862738" w:rsidRPr="00676BA1">
        <w:rPr>
          <w:rFonts w:asciiTheme="majorHAnsi" w:hAnsiTheme="majorHAnsi"/>
        </w:rPr>
        <w:t xml:space="preserve">new and existing online collaboration tools; </w:t>
      </w:r>
      <w:r w:rsidR="00E019D0" w:rsidRPr="00676BA1">
        <w:rPr>
          <w:rFonts w:asciiTheme="majorHAnsi" w:hAnsiTheme="majorHAnsi"/>
        </w:rPr>
        <w:t xml:space="preserve">fields in a </w:t>
      </w:r>
      <w:r w:rsidR="00862738" w:rsidRPr="00676BA1">
        <w:rPr>
          <w:rFonts w:asciiTheme="majorHAnsi" w:hAnsiTheme="majorHAnsi"/>
        </w:rPr>
        <w:t xml:space="preserve">cell </w:t>
      </w:r>
      <w:r w:rsidR="00FD3890">
        <w:rPr>
          <w:rFonts w:asciiTheme="majorHAnsi" w:hAnsiTheme="majorHAnsi"/>
        </w:rPr>
        <w:t xml:space="preserve">or smart </w:t>
      </w:r>
      <w:r w:rsidR="00862738" w:rsidRPr="00676BA1">
        <w:rPr>
          <w:rFonts w:asciiTheme="majorHAnsi" w:hAnsiTheme="majorHAnsi"/>
        </w:rPr>
        <w:t xml:space="preserve">phone applications (apps); online web-based forms or </w:t>
      </w:r>
      <w:r w:rsidR="000845CE">
        <w:rPr>
          <w:rFonts w:asciiTheme="majorHAnsi" w:hAnsiTheme="majorHAnsi"/>
        </w:rPr>
        <w:t>interactive computer interfaces</w:t>
      </w:r>
      <w:r w:rsidR="00862738" w:rsidRPr="00676BA1">
        <w:rPr>
          <w:rFonts w:asciiTheme="majorHAnsi" w:hAnsiTheme="majorHAnsi"/>
        </w:rPr>
        <w:t xml:space="preserve"> that elicit information; social media platforms; text or SMS messages; </w:t>
      </w:r>
      <w:r w:rsidR="00E019D0" w:rsidRPr="00676BA1">
        <w:rPr>
          <w:rFonts w:asciiTheme="majorHAnsi" w:hAnsiTheme="majorHAnsi"/>
        </w:rPr>
        <w:t xml:space="preserve">readings </w:t>
      </w:r>
      <w:r w:rsidR="000F0808">
        <w:rPr>
          <w:rFonts w:asciiTheme="majorHAnsi" w:hAnsiTheme="majorHAnsi"/>
        </w:rPr>
        <w:t>from</w:t>
      </w:r>
      <w:r w:rsidR="00E019D0" w:rsidRPr="00676BA1">
        <w:rPr>
          <w:rFonts w:asciiTheme="majorHAnsi" w:hAnsiTheme="majorHAnsi"/>
        </w:rPr>
        <w:t xml:space="preserve"> </w:t>
      </w:r>
      <w:r w:rsidR="00862738" w:rsidRPr="00676BA1">
        <w:rPr>
          <w:rFonts w:asciiTheme="majorHAnsi" w:hAnsiTheme="majorHAnsi"/>
        </w:rPr>
        <w:t>sensors (</w:t>
      </w:r>
      <w:r w:rsidR="00D72E80">
        <w:rPr>
          <w:rFonts w:asciiTheme="majorHAnsi" w:hAnsiTheme="majorHAnsi"/>
        </w:rPr>
        <w:t xml:space="preserve">personal, </w:t>
      </w:r>
      <w:r w:rsidR="00862738" w:rsidRPr="00676BA1">
        <w:rPr>
          <w:rFonts w:asciiTheme="majorHAnsi" w:hAnsiTheme="majorHAnsi"/>
        </w:rPr>
        <w:t>mobile, stationary or portable)</w:t>
      </w:r>
      <w:r w:rsidR="00E019D0" w:rsidRPr="00676BA1">
        <w:rPr>
          <w:rFonts w:asciiTheme="majorHAnsi" w:hAnsiTheme="majorHAnsi"/>
        </w:rPr>
        <w:t xml:space="preserve"> or other mobile, portable or stationary instruments– readings either sent back to the Agency in real-time</w:t>
      </w:r>
      <w:r w:rsidR="00D72E80">
        <w:rPr>
          <w:rFonts w:asciiTheme="majorHAnsi" w:hAnsiTheme="majorHAnsi"/>
        </w:rPr>
        <w:t xml:space="preserve">, through an online data collection site, or </w:t>
      </w:r>
      <w:r w:rsidR="00E019D0" w:rsidRPr="00676BA1">
        <w:rPr>
          <w:rFonts w:asciiTheme="majorHAnsi" w:hAnsiTheme="majorHAnsi"/>
        </w:rPr>
        <w:t>through another acceptable mode listed here;</w:t>
      </w:r>
      <w:r w:rsidR="005A3D73" w:rsidRPr="00676BA1">
        <w:rPr>
          <w:rFonts w:asciiTheme="majorHAnsi" w:hAnsiTheme="majorHAnsi"/>
        </w:rPr>
        <w:t xml:space="preserve"> </w:t>
      </w:r>
      <w:r w:rsidR="008F47C5" w:rsidRPr="00676BA1">
        <w:rPr>
          <w:rFonts w:asciiTheme="majorHAnsi" w:hAnsiTheme="majorHAnsi"/>
        </w:rPr>
        <w:t xml:space="preserve">analog or digital audio or video recordings; </w:t>
      </w:r>
      <w:r w:rsidR="00573291" w:rsidRPr="00676BA1">
        <w:rPr>
          <w:rFonts w:asciiTheme="majorHAnsi" w:hAnsiTheme="majorHAnsi"/>
        </w:rPr>
        <w:t xml:space="preserve">digital or analog photographs; </w:t>
      </w:r>
      <w:r w:rsidR="00254F37" w:rsidRPr="00676BA1">
        <w:rPr>
          <w:rFonts w:asciiTheme="majorHAnsi" w:hAnsiTheme="majorHAnsi"/>
        </w:rPr>
        <w:t>and information collected automatically through a</w:t>
      </w:r>
      <w:r w:rsidR="00CF410B" w:rsidRPr="00676BA1">
        <w:rPr>
          <w:rFonts w:asciiTheme="majorHAnsi" w:hAnsiTheme="majorHAnsi"/>
        </w:rPr>
        <w:t xml:space="preserve">n </w:t>
      </w:r>
      <w:r w:rsidR="00254F37" w:rsidRPr="00676BA1">
        <w:rPr>
          <w:rFonts w:asciiTheme="majorHAnsi" w:hAnsiTheme="majorHAnsi"/>
        </w:rPr>
        <w:t>app, computer, the metadata accompanying a digital photograph, or a mobile sensor.</w:t>
      </w:r>
      <w:r w:rsidR="00573291" w:rsidRPr="00676BA1">
        <w:rPr>
          <w:rFonts w:asciiTheme="majorHAnsi" w:hAnsiTheme="majorHAnsi"/>
        </w:rPr>
        <w:t xml:space="preserve"> </w:t>
      </w:r>
      <w:r w:rsidR="008F47C5" w:rsidRPr="00676BA1">
        <w:rPr>
          <w:rFonts w:asciiTheme="majorHAnsi" w:hAnsiTheme="majorHAnsi"/>
        </w:rPr>
        <w:t xml:space="preserve"> </w:t>
      </w:r>
      <w:r w:rsidR="005A3D73" w:rsidRPr="00676BA1">
        <w:rPr>
          <w:rFonts w:asciiTheme="majorHAnsi" w:hAnsiTheme="majorHAnsi"/>
        </w:rPr>
        <w:t xml:space="preserve"> </w:t>
      </w:r>
    </w:p>
    <w:p w:rsidR="00697B28" w:rsidRDefault="00697B28" w:rsidP="008048D1">
      <w:r w:rsidRPr="00676BA1">
        <w:rPr>
          <w:rFonts w:asciiTheme="majorHAnsi" w:hAnsiTheme="majorHAnsi"/>
        </w:rPr>
        <w:t>Information</w:t>
      </w:r>
      <w:r w:rsidR="00A8253C">
        <w:rPr>
          <w:rFonts w:asciiTheme="majorHAnsi" w:hAnsiTheme="majorHAnsi"/>
        </w:rPr>
        <w:t xml:space="preserve"> </w:t>
      </w:r>
      <w:r w:rsidRPr="00676BA1">
        <w:rPr>
          <w:rFonts w:asciiTheme="majorHAnsi" w:hAnsiTheme="majorHAnsi"/>
        </w:rPr>
        <w:t xml:space="preserve">may </w:t>
      </w:r>
      <w:r w:rsidR="00A8253C">
        <w:rPr>
          <w:rFonts w:asciiTheme="majorHAnsi" w:hAnsiTheme="majorHAnsi"/>
        </w:rPr>
        <w:t>be</w:t>
      </w:r>
      <w:r w:rsidRPr="00676BA1">
        <w:rPr>
          <w:rFonts w:asciiTheme="majorHAnsi" w:hAnsiTheme="majorHAnsi"/>
        </w:rPr>
        <w:t xml:space="preserve"> actively collected and actively submitted information (such as descriptions, measurements,</w:t>
      </w:r>
      <w:r w:rsidR="004F0A62">
        <w:rPr>
          <w:rFonts w:asciiTheme="majorHAnsi" w:hAnsiTheme="majorHAnsi"/>
        </w:rPr>
        <w:t xml:space="preserve"> </w:t>
      </w:r>
      <w:r w:rsidRPr="00676BA1">
        <w:rPr>
          <w:rFonts w:asciiTheme="majorHAnsi" w:hAnsiTheme="majorHAnsi"/>
        </w:rPr>
        <w:t>photographs</w:t>
      </w:r>
      <w:r w:rsidR="004F0A62">
        <w:rPr>
          <w:rFonts w:asciiTheme="majorHAnsi" w:hAnsiTheme="majorHAnsi"/>
        </w:rPr>
        <w:t>, etc.</w:t>
      </w:r>
      <w:r w:rsidR="00ED596B" w:rsidRPr="00676BA1">
        <w:rPr>
          <w:rFonts w:asciiTheme="majorHAnsi" w:hAnsiTheme="majorHAnsi"/>
        </w:rPr>
        <w:t>) as well as passively submitted information (such as the metadata accompanying actively submitted information, e.g. date, time, and location stamps automatically included with apps and digital photographs</w:t>
      </w:r>
      <w:r w:rsidR="00A8253C">
        <w:rPr>
          <w:rFonts w:asciiTheme="majorHAnsi" w:hAnsiTheme="majorHAnsi"/>
        </w:rPr>
        <w:t>, etc.</w:t>
      </w:r>
      <w:r w:rsidR="00ED596B" w:rsidRPr="00676BA1">
        <w:rPr>
          <w:rFonts w:asciiTheme="majorHAnsi" w:hAnsiTheme="majorHAnsi"/>
        </w:rPr>
        <w:t xml:space="preserve">). </w:t>
      </w:r>
    </w:p>
    <w:p w:rsidR="001C6F92" w:rsidRDefault="00CA52AC" w:rsidP="0021219F">
      <w:r w:rsidRPr="00FD3890">
        <w:rPr>
          <w:rFonts w:asciiTheme="majorHAnsi" w:hAnsiTheme="majorHAnsi"/>
        </w:rPr>
        <w:lastRenderedPageBreak/>
        <w:t>Citizen science and crowdsourcing collections submitted under this generic clearance can be stand-alone projects or the methods may be incorporated into an existing or new project, including, but not limited to, projects in the following typology</w:t>
      </w:r>
      <w:r w:rsidRPr="00FD3890">
        <w:rPr>
          <w:rStyle w:val="FootnoteReference"/>
          <w:rFonts w:asciiTheme="majorHAnsi" w:hAnsiTheme="majorHAnsi"/>
        </w:rPr>
        <w:footnoteReference w:id="6"/>
      </w:r>
      <w:r w:rsidR="0046114D" w:rsidRPr="00FD3890">
        <w:rPr>
          <w:rFonts w:asciiTheme="majorHAnsi" w:hAnsiTheme="majorHAnsi"/>
        </w:rPr>
        <w:t xml:space="preserve">:  </w:t>
      </w:r>
    </w:p>
    <w:p w:rsidR="0080105E" w:rsidRPr="00F663DE" w:rsidRDefault="00B151FE" w:rsidP="007A1443">
      <w:pPr>
        <w:pStyle w:val="ListParagraph"/>
        <w:numPr>
          <w:ilvl w:val="0"/>
          <w:numId w:val="4"/>
        </w:numPr>
        <w:rPr>
          <w:rFonts w:asciiTheme="majorHAnsi" w:hAnsiTheme="majorHAnsi"/>
        </w:rPr>
      </w:pPr>
      <w:r w:rsidRPr="00794FE7">
        <w:rPr>
          <w:rFonts w:asciiTheme="majorHAnsi" w:hAnsiTheme="majorHAnsi"/>
          <w:b/>
        </w:rPr>
        <w:t>Data gathering projects</w:t>
      </w:r>
      <w:r w:rsidR="00BB0AEE" w:rsidRPr="00794FE7">
        <w:rPr>
          <w:rFonts w:asciiTheme="majorHAnsi" w:hAnsiTheme="majorHAnsi"/>
          <w:b/>
        </w:rPr>
        <w:t>.</w:t>
      </w:r>
      <w:r w:rsidR="00BB0AEE">
        <w:rPr>
          <w:rFonts w:asciiTheme="majorHAnsi" w:hAnsiTheme="majorHAnsi"/>
        </w:rPr>
        <w:t xml:space="preserve"> These projects may include 1) observation</w:t>
      </w:r>
      <w:r w:rsidR="006331D9">
        <w:rPr>
          <w:rFonts w:asciiTheme="majorHAnsi" w:hAnsiTheme="majorHAnsi"/>
        </w:rPr>
        <w:t>, characterization</w:t>
      </w:r>
      <w:r w:rsidR="00BB0AEE">
        <w:rPr>
          <w:rFonts w:asciiTheme="majorHAnsi" w:hAnsiTheme="majorHAnsi"/>
        </w:rPr>
        <w:t xml:space="preserve"> </w:t>
      </w:r>
      <w:r w:rsidR="00C92F75">
        <w:rPr>
          <w:rFonts w:asciiTheme="majorHAnsi" w:hAnsiTheme="majorHAnsi"/>
        </w:rPr>
        <w:t xml:space="preserve">and documentation </w:t>
      </w:r>
      <w:r w:rsidR="00BB0AEE">
        <w:rPr>
          <w:rFonts w:asciiTheme="majorHAnsi" w:hAnsiTheme="majorHAnsi"/>
        </w:rPr>
        <w:t>of natural phenomena</w:t>
      </w:r>
      <w:r w:rsidR="004C5C2A">
        <w:rPr>
          <w:rFonts w:asciiTheme="majorHAnsi" w:hAnsiTheme="majorHAnsi"/>
        </w:rPr>
        <w:t xml:space="preserve"> or</w:t>
      </w:r>
      <w:r w:rsidR="006331D9">
        <w:rPr>
          <w:rFonts w:asciiTheme="majorHAnsi" w:hAnsiTheme="majorHAnsi"/>
        </w:rPr>
        <w:t xml:space="preserve"> </w:t>
      </w:r>
      <w:r w:rsidR="003278E2">
        <w:rPr>
          <w:rFonts w:asciiTheme="majorHAnsi" w:hAnsiTheme="majorHAnsi"/>
        </w:rPr>
        <w:t>general environmental health observations</w:t>
      </w:r>
      <w:r w:rsidR="004C5C2A">
        <w:rPr>
          <w:rFonts w:asciiTheme="majorHAnsi" w:hAnsiTheme="majorHAnsi"/>
        </w:rPr>
        <w:t xml:space="preserve">, </w:t>
      </w:r>
      <w:r w:rsidR="006331D9">
        <w:rPr>
          <w:rFonts w:asciiTheme="majorHAnsi" w:hAnsiTheme="majorHAnsi"/>
        </w:rPr>
        <w:t>opinions</w:t>
      </w:r>
      <w:r w:rsidR="004C5C2A">
        <w:rPr>
          <w:rFonts w:asciiTheme="majorHAnsi" w:hAnsiTheme="majorHAnsi"/>
        </w:rPr>
        <w:t xml:space="preserve">, or preferences </w:t>
      </w:r>
      <w:r w:rsidR="00BB0AEE">
        <w:rPr>
          <w:rFonts w:asciiTheme="majorHAnsi" w:hAnsiTheme="majorHAnsi"/>
        </w:rPr>
        <w:t xml:space="preserve">or 2) </w:t>
      </w:r>
      <w:r w:rsidR="00C92F75">
        <w:rPr>
          <w:rFonts w:asciiTheme="majorHAnsi" w:hAnsiTheme="majorHAnsi"/>
        </w:rPr>
        <w:t xml:space="preserve">surveying </w:t>
      </w:r>
      <w:r w:rsidR="00761E88">
        <w:rPr>
          <w:rFonts w:asciiTheme="majorHAnsi" w:hAnsiTheme="majorHAnsi"/>
        </w:rPr>
        <w:t xml:space="preserve">participants </w:t>
      </w:r>
      <w:r w:rsidR="00C92F75">
        <w:rPr>
          <w:rFonts w:asciiTheme="majorHAnsi" w:hAnsiTheme="majorHAnsi"/>
        </w:rPr>
        <w:t xml:space="preserve">or </w:t>
      </w:r>
      <w:r w:rsidR="00FD573B">
        <w:rPr>
          <w:rFonts w:asciiTheme="majorHAnsi" w:hAnsiTheme="majorHAnsi"/>
        </w:rPr>
        <w:t xml:space="preserve">screening </w:t>
      </w:r>
      <w:r w:rsidR="00BB0AEE">
        <w:rPr>
          <w:rFonts w:asciiTheme="majorHAnsi" w:hAnsiTheme="majorHAnsi"/>
        </w:rPr>
        <w:t xml:space="preserve">environmental conditions, including using specialized equipment provided by project leaders to record and submit data, or submitting samples </w:t>
      </w:r>
      <w:r w:rsidR="00761E88">
        <w:rPr>
          <w:rFonts w:asciiTheme="majorHAnsi" w:hAnsiTheme="majorHAnsi"/>
        </w:rPr>
        <w:t xml:space="preserve">plus descriptors </w:t>
      </w:r>
      <w:r w:rsidR="00BB0AEE">
        <w:rPr>
          <w:rFonts w:asciiTheme="majorHAnsi" w:hAnsiTheme="majorHAnsi"/>
        </w:rPr>
        <w:t>(e.g. of air or water) for testing.</w:t>
      </w:r>
      <w:r w:rsidR="004C5C2A" w:rsidRPr="00B53150">
        <w:rPr>
          <w:rFonts w:asciiTheme="majorHAnsi" w:hAnsiTheme="majorHAnsi"/>
        </w:rPr>
        <w:t xml:space="preserve"> </w:t>
      </w:r>
      <w:r w:rsidR="004C5C2A">
        <w:rPr>
          <w:rFonts w:asciiTheme="majorHAnsi" w:hAnsiTheme="majorHAnsi"/>
        </w:rPr>
        <w:t xml:space="preserve">Data may be collected using </w:t>
      </w:r>
      <w:r w:rsidR="006101D6">
        <w:rPr>
          <w:rFonts w:asciiTheme="majorHAnsi" w:hAnsiTheme="majorHAnsi"/>
        </w:rPr>
        <w:t>technologies mentioned above</w:t>
      </w:r>
      <w:r w:rsidR="004828B7">
        <w:rPr>
          <w:rFonts w:asciiTheme="majorHAnsi" w:hAnsiTheme="majorHAnsi"/>
        </w:rPr>
        <w:t xml:space="preserve">, </w:t>
      </w:r>
      <w:r w:rsidR="006101D6">
        <w:rPr>
          <w:rFonts w:asciiTheme="majorHAnsi" w:hAnsiTheme="majorHAnsi"/>
        </w:rPr>
        <w:t xml:space="preserve">through </w:t>
      </w:r>
      <w:r w:rsidR="004C5C2A">
        <w:rPr>
          <w:rFonts w:asciiTheme="majorHAnsi" w:hAnsiTheme="majorHAnsi"/>
        </w:rPr>
        <w:t>structured data forms,</w:t>
      </w:r>
      <w:r w:rsidR="00A13A35">
        <w:rPr>
          <w:rFonts w:asciiTheme="majorHAnsi" w:hAnsiTheme="majorHAnsi"/>
        </w:rPr>
        <w:t xml:space="preserve"> surveys, focus groups or interviews, </w:t>
      </w:r>
      <w:r w:rsidR="004C5C2A">
        <w:rPr>
          <w:rFonts w:asciiTheme="majorHAnsi" w:hAnsiTheme="majorHAnsi"/>
        </w:rPr>
        <w:t>submitting photographs or other media,</w:t>
      </w:r>
      <w:r w:rsidR="006101D6">
        <w:rPr>
          <w:rFonts w:asciiTheme="majorHAnsi" w:hAnsiTheme="majorHAnsi"/>
        </w:rPr>
        <w:t xml:space="preserve"> </w:t>
      </w:r>
      <w:r w:rsidR="004C5C2A">
        <w:rPr>
          <w:rFonts w:asciiTheme="majorHAnsi" w:hAnsiTheme="majorHAnsi"/>
        </w:rPr>
        <w:t>surveys or questionnaires, or providing written observations</w:t>
      </w:r>
      <w:r w:rsidR="006101D6">
        <w:rPr>
          <w:rFonts w:asciiTheme="majorHAnsi" w:hAnsiTheme="majorHAnsi"/>
        </w:rPr>
        <w:t>.</w:t>
      </w:r>
      <w:r w:rsidR="004C5C2A">
        <w:rPr>
          <w:rFonts w:asciiTheme="majorHAnsi" w:hAnsiTheme="majorHAnsi"/>
        </w:rPr>
        <w:t xml:space="preserve"> </w:t>
      </w:r>
      <w:r w:rsidR="004C5C2A" w:rsidRPr="00B53150">
        <w:rPr>
          <w:rFonts w:asciiTheme="majorHAnsi" w:hAnsiTheme="majorHAnsi"/>
        </w:rPr>
        <w:t xml:space="preserve">   </w:t>
      </w:r>
    </w:p>
    <w:p w:rsidR="00370136" w:rsidRDefault="00BB0AEE" w:rsidP="0080105E">
      <w:pPr>
        <w:pStyle w:val="ListParagraph"/>
        <w:numPr>
          <w:ilvl w:val="0"/>
          <w:numId w:val="4"/>
        </w:numPr>
      </w:pPr>
      <w:r w:rsidRPr="0080105E">
        <w:rPr>
          <w:rFonts w:asciiTheme="majorHAnsi" w:hAnsiTheme="majorHAnsi"/>
          <w:b/>
        </w:rPr>
        <w:t>Classification/problem solving projects.</w:t>
      </w:r>
      <w:r w:rsidRPr="0080105E">
        <w:rPr>
          <w:rFonts w:asciiTheme="majorHAnsi" w:hAnsiTheme="majorHAnsi"/>
        </w:rPr>
        <w:t xml:space="preserve"> </w:t>
      </w:r>
      <w:r w:rsidR="00073E78" w:rsidRPr="0080105E">
        <w:rPr>
          <w:rFonts w:asciiTheme="majorHAnsi" w:hAnsiTheme="majorHAnsi"/>
        </w:rPr>
        <w:t>Participants’ t</w:t>
      </w:r>
      <w:r w:rsidRPr="0080105E">
        <w:rPr>
          <w:rFonts w:asciiTheme="majorHAnsi" w:hAnsiTheme="majorHAnsi"/>
        </w:rPr>
        <w:t>asks may include</w:t>
      </w:r>
      <w:r w:rsidR="00C441E6" w:rsidRPr="0080105E">
        <w:rPr>
          <w:rFonts w:asciiTheme="majorHAnsi" w:hAnsiTheme="majorHAnsi"/>
        </w:rPr>
        <w:t>:</w:t>
      </w:r>
      <w:r w:rsidRPr="0080105E">
        <w:rPr>
          <w:rFonts w:asciiTheme="majorHAnsi" w:hAnsiTheme="majorHAnsi"/>
        </w:rPr>
        <w:t xml:space="preserve"> 1) observation of recorded materials provided by project organizers (images, video, etc</w:t>
      </w:r>
      <w:r w:rsidR="00142ADA" w:rsidRPr="0080105E">
        <w:rPr>
          <w:rFonts w:asciiTheme="majorHAnsi" w:hAnsiTheme="majorHAnsi"/>
        </w:rPr>
        <w:t>.</w:t>
      </w:r>
      <w:r w:rsidRPr="0080105E">
        <w:rPr>
          <w:rFonts w:asciiTheme="majorHAnsi" w:hAnsiTheme="majorHAnsi"/>
        </w:rPr>
        <w:t>) through structured data submission forms</w:t>
      </w:r>
      <w:r w:rsidR="00860284" w:rsidRPr="00A762F2">
        <w:rPr>
          <w:rFonts w:asciiTheme="majorHAnsi" w:hAnsiTheme="majorHAnsi"/>
        </w:rPr>
        <w:t xml:space="preserve">, surveys or questionnaires </w:t>
      </w:r>
      <w:r w:rsidR="00073E78" w:rsidRPr="0080105E">
        <w:rPr>
          <w:rFonts w:asciiTheme="majorHAnsi" w:hAnsiTheme="majorHAnsi"/>
        </w:rPr>
        <w:t>in an online or computer program,</w:t>
      </w:r>
      <w:r w:rsidRPr="0080105E">
        <w:rPr>
          <w:rFonts w:asciiTheme="majorHAnsi" w:hAnsiTheme="majorHAnsi"/>
        </w:rPr>
        <w:t xml:space="preserve"> clicking boxes, highlighting parts of text or image, </w:t>
      </w:r>
      <w:r w:rsidR="00142ADA" w:rsidRPr="0080105E">
        <w:rPr>
          <w:rFonts w:asciiTheme="majorHAnsi" w:hAnsiTheme="majorHAnsi"/>
        </w:rPr>
        <w:t xml:space="preserve">and </w:t>
      </w:r>
      <w:r w:rsidRPr="0080105E">
        <w:rPr>
          <w:rFonts w:asciiTheme="majorHAnsi" w:hAnsiTheme="majorHAnsi"/>
        </w:rPr>
        <w:t>providing</w:t>
      </w:r>
      <w:r w:rsidR="00073E78" w:rsidRPr="0080105E">
        <w:rPr>
          <w:rFonts w:asciiTheme="majorHAnsi" w:hAnsiTheme="majorHAnsi"/>
        </w:rPr>
        <w:t xml:space="preserve"> </w:t>
      </w:r>
      <w:r w:rsidRPr="0080105E">
        <w:rPr>
          <w:rFonts w:asciiTheme="majorHAnsi" w:hAnsiTheme="majorHAnsi"/>
        </w:rPr>
        <w:t>comment</w:t>
      </w:r>
      <w:r w:rsidR="0093074F" w:rsidRPr="0080105E">
        <w:rPr>
          <w:rFonts w:asciiTheme="majorHAnsi" w:hAnsiTheme="majorHAnsi"/>
        </w:rPr>
        <w:t>s and/or annotations; 2) Classification of images or sounds using structured data submission forms or clicking boxes</w:t>
      </w:r>
      <w:r w:rsidR="00073E78" w:rsidRPr="0080105E">
        <w:rPr>
          <w:rFonts w:asciiTheme="majorHAnsi" w:hAnsiTheme="majorHAnsi"/>
        </w:rPr>
        <w:t xml:space="preserve"> in an online or computer program</w:t>
      </w:r>
      <w:r w:rsidR="0093074F" w:rsidRPr="0080105E">
        <w:rPr>
          <w:rFonts w:asciiTheme="majorHAnsi" w:hAnsiTheme="majorHAnsi"/>
        </w:rPr>
        <w:t xml:space="preserve">; 3) Transcribing information, by typing handwritten logs or notes; 4) </w:t>
      </w:r>
      <w:r w:rsidR="00070DBB" w:rsidRPr="0080105E">
        <w:rPr>
          <w:rFonts w:asciiTheme="majorHAnsi" w:hAnsiTheme="majorHAnsi"/>
        </w:rPr>
        <w:t>Performing a function</w:t>
      </w:r>
      <w:r w:rsidR="00701ADA" w:rsidRPr="0080105E">
        <w:rPr>
          <w:rFonts w:asciiTheme="majorHAnsi" w:hAnsiTheme="majorHAnsi"/>
        </w:rPr>
        <w:t xml:space="preserve"> meant </w:t>
      </w:r>
      <w:r w:rsidR="0093074F" w:rsidRPr="0080105E">
        <w:rPr>
          <w:rFonts w:asciiTheme="majorHAnsi" w:hAnsiTheme="majorHAnsi"/>
        </w:rPr>
        <w:t xml:space="preserve">to generate human behavior data; </w:t>
      </w:r>
      <w:r w:rsidR="00794FE7" w:rsidRPr="0080105E">
        <w:rPr>
          <w:rFonts w:asciiTheme="majorHAnsi" w:hAnsiTheme="majorHAnsi"/>
        </w:rPr>
        <w:t xml:space="preserve">or </w:t>
      </w:r>
      <w:r w:rsidR="0093074F" w:rsidRPr="0080105E">
        <w:rPr>
          <w:rFonts w:asciiTheme="majorHAnsi" w:hAnsiTheme="majorHAnsi"/>
        </w:rPr>
        <w:t>5) Problem-solving or manipulation of data</w:t>
      </w:r>
      <w:r w:rsidR="00070DBB" w:rsidRPr="0080105E">
        <w:rPr>
          <w:rFonts w:asciiTheme="majorHAnsi" w:hAnsiTheme="majorHAnsi"/>
        </w:rPr>
        <w:t xml:space="preserve">. Tasks 1-5 may be conducted via structured actions or instructions or through the use of “human-based computational game” or “game with a purpose”, a human-based computational technique in which a computational process performs its function by presenting certain steps to humans in an entertaining way. </w:t>
      </w:r>
    </w:p>
    <w:p w:rsidR="00370136" w:rsidRPr="00F663DE" w:rsidRDefault="000D0511" w:rsidP="00F663DE">
      <w:pPr>
        <w:rPr>
          <w:rFonts w:asciiTheme="majorHAnsi" w:hAnsiTheme="majorHAnsi"/>
        </w:rPr>
      </w:pPr>
      <w:r>
        <w:rPr>
          <w:rFonts w:asciiTheme="majorHAnsi" w:hAnsiTheme="majorHAnsi"/>
        </w:rPr>
        <w:t>D</w:t>
      </w:r>
      <w:r w:rsidR="00A13A35" w:rsidRPr="00F663DE">
        <w:rPr>
          <w:rFonts w:asciiTheme="majorHAnsi" w:hAnsiTheme="majorHAnsi"/>
        </w:rPr>
        <w:t xml:space="preserve">ata gathering and classification/problem solving projects may include </w:t>
      </w:r>
      <w:r w:rsidR="008245E1">
        <w:rPr>
          <w:rFonts w:asciiTheme="majorHAnsi" w:hAnsiTheme="majorHAnsi"/>
        </w:rPr>
        <w:t xml:space="preserve">participants </w:t>
      </w:r>
      <w:r w:rsidR="00A13A35" w:rsidRPr="00F663DE">
        <w:rPr>
          <w:rFonts w:asciiTheme="majorHAnsi" w:hAnsiTheme="majorHAnsi"/>
        </w:rPr>
        <w:t>providing health information, opinions or observations about a research subject’s environmental surroundings</w:t>
      </w:r>
      <w:r w:rsidR="008245E1">
        <w:rPr>
          <w:rFonts w:asciiTheme="majorHAnsi" w:hAnsiTheme="majorHAnsi"/>
        </w:rPr>
        <w:t xml:space="preserve">. </w:t>
      </w:r>
      <w:r w:rsidR="00A13A35" w:rsidRPr="00F663DE">
        <w:rPr>
          <w:rFonts w:asciiTheme="majorHAnsi" w:hAnsiTheme="majorHAnsi"/>
        </w:rPr>
        <w:t>T</w:t>
      </w:r>
      <w:r w:rsidR="002C68C2">
        <w:rPr>
          <w:rFonts w:asciiTheme="majorHAnsi" w:hAnsiTheme="majorHAnsi"/>
        </w:rPr>
        <w:t>o the extent applicable, t</w:t>
      </w:r>
      <w:r w:rsidR="00A13A35" w:rsidRPr="00F663DE">
        <w:rPr>
          <w:rFonts w:asciiTheme="majorHAnsi" w:hAnsiTheme="majorHAnsi"/>
        </w:rPr>
        <w:t xml:space="preserve">hese projects will accord with all </w:t>
      </w:r>
      <w:r w:rsidR="00A13A35" w:rsidRPr="0080105E">
        <w:rPr>
          <w:rFonts w:asciiTheme="majorHAnsi" w:hAnsiTheme="majorHAnsi"/>
        </w:rPr>
        <w:t xml:space="preserve">Agency </w:t>
      </w:r>
      <w:r w:rsidR="00A13A35" w:rsidRPr="00A762F2">
        <w:rPr>
          <w:rFonts w:asciiTheme="majorHAnsi" w:hAnsiTheme="majorHAnsi"/>
        </w:rPr>
        <w:t>policies and regulations related to human subjects research and will follow the established approval paths through the Human Subjects Research Review Official</w:t>
      </w:r>
      <w:r w:rsidR="00A13A35" w:rsidRPr="00B243A9">
        <w:rPr>
          <w:rStyle w:val="FootnoteReference"/>
          <w:rFonts w:asciiTheme="majorHAnsi" w:hAnsiTheme="majorHAnsi"/>
        </w:rPr>
        <w:footnoteReference w:id="7"/>
      </w:r>
      <w:r w:rsidR="00A13A35" w:rsidRPr="00F663DE">
        <w:rPr>
          <w:rFonts w:asciiTheme="majorHAnsi" w:hAnsiTheme="majorHAnsi"/>
        </w:rPr>
        <w:t>.</w:t>
      </w:r>
    </w:p>
    <w:p w:rsidR="00F61283" w:rsidRDefault="008C1E5C" w:rsidP="009E125E">
      <w:pPr>
        <w:pStyle w:val="ListParagraph"/>
        <w:ind w:left="0"/>
        <w:rPr>
          <w:rFonts w:asciiTheme="majorHAnsi" w:hAnsiTheme="majorHAnsi"/>
        </w:rPr>
      </w:pPr>
      <w:r w:rsidRPr="0021219F">
        <w:rPr>
          <w:rFonts w:asciiTheme="majorHAnsi" w:hAnsiTheme="majorHAnsi"/>
        </w:rPr>
        <w:t>C</w:t>
      </w:r>
      <w:r w:rsidR="00F6059F" w:rsidRPr="0021219F">
        <w:rPr>
          <w:rFonts w:asciiTheme="majorHAnsi" w:hAnsiTheme="majorHAnsi"/>
        </w:rPr>
        <w:t xml:space="preserve">itizen science and crowdsourcing </w:t>
      </w:r>
      <w:r w:rsidR="0021219F">
        <w:rPr>
          <w:rFonts w:asciiTheme="majorHAnsi" w:hAnsiTheme="majorHAnsi"/>
        </w:rPr>
        <w:t>collection</w:t>
      </w:r>
      <w:r w:rsidR="0021219F" w:rsidRPr="0021219F">
        <w:rPr>
          <w:rFonts w:asciiTheme="majorHAnsi" w:hAnsiTheme="majorHAnsi"/>
        </w:rPr>
        <w:t xml:space="preserve">s </w:t>
      </w:r>
      <w:r w:rsidR="0021219F">
        <w:rPr>
          <w:rFonts w:asciiTheme="majorHAnsi" w:hAnsiTheme="majorHAnsi"/>
        </w:rPr>
        <w:t xml:space="preserve">under this </w:t>
      </w:r>
      <w:r w:rsidR="00F20DAB">
        <w:rPr>
          <w:rFonts w:asciiTheme="majorHAnsi" w:hAnsiTheme="majorHAnsi"/>
        </w:rPr>
        <w:t xml:space="preserve">generic </w:t>
      </w:r>
      <w:r w:rsidR="0021219F">
        <w:rPr>
          <w:rFonts w:asciiTheme="majorHAnsi" w:hAnsiTheme="majorHAnsi"/>
        </w:rPr>
        <w:t xml:space="preserve">clearance </w:t>
      </w:r>
      <w:r w:rsidR="00652650" w:rsidRPr="0021219F">
        <w:rPr>
          <w:rFonts w:asciiTheme="majorHAnsi" w:hAnsiTheme="majorHAnsi"/>
        </w:rPr>
        <w:t>may</w:t>
      </w:r>
      <w:r w:rsidR="00F61283" w:rsidRPr="0021219F">
        <w:rPr>
          <w:rFonts w:asciiTheme="majorHAnsi" w:hAnsiTheme="majorHAnsi"/>
        </w:rPr>
        <w:t xml:space="preserve"> </w:t>
      </w:r>
      <w:r w:rsidR="00F6059F" w:rsidRPr="0021219F">
        <w:rPr>
          <w:rFonts w:asciiTheme="majorHAnsi" w:hAnsiTheme="majorHAnsi"/>
        </w:rPr>
        <w:t>include the following</w:t>
      </w:r>
      <w:r w:rsidR="0021219F">
        <w:rPr>
          <w:rFonts w:asciiTheme="majorHAnsi" w:hAnsiTheme="majorHAnsi"/>
        </w:rPr>
        <w:t xml:space="preserve"> types</w:t>
      </w:r>
      <w:r w:rsidR="00F80449">
        <w:rPr>
          <w:rFonts w:asciiTheme="majorHAnsi" w:hAnsiTheme="majorHAnsi"/>
        </w:rPr>
        <w:t xml:space="preserve"> of</w:t>
      </w:r>
      <w:r w:rsidR="00F6059F" w:rsidRPr="0021219F">
        <w:rPr>
          <w:rFonts w:asciiTheme="majorHAnsi" w:hAnsiTheme="majorHAnsi"/>
        </w:rPr>
        <w:t xml:space="preserve"> questions or requests </w:t>
      </w:r>
      <w:r w:rsidR="00F17DE3" w:rsidRPr="0021219F">
        <w:rPr>
          <w:rFonts w:asciiTheme="majorHAnsi" w:hAnsiTheme="majorHAnsi"/>
        </w:rPr>
        <w:t xml:space="preserve">of </w:t>
      </w:r>
      <w:r w:rsidR="00F6059F" w:rsidRPr="0021219F">
        <w:rPr>
          <w:rFonts w:asciiTheme="majorHAnsi" w:hAnsiTheme="majorHAnsi"/>
        </w:rPr>
        <w:t>participants:</w:t>
      </w:r>
    </w:p>
    <w:p w:rsidR="00370136" w:rsidRPr="0021219F" w:rsidRDefault="00370136" w:rsidP="00F663DE">
      <w:pPr>
        <w:pStyle w:val="ListParagraph"/>
        <w:ind w:left="360"/>
        <w:rPr>
          <w:rFonts w:asciiTheme="majorHAnsi" w:hAnsiTheme="majorHAnsi"/>
        </w:rPr>
      </w:pPr>
    </w:p>
    <w:p w:rsidR="00F61283" w:rsidRPr="00352283" w:rsidRDefault="00352283" w:rsidP="00352283">
      <w:pPr>
        <w:pStyle w:val="ListParagraph"/>
        <w:numPr>
          <w:ilvl w:val="0"/>
          <w:numId w:val="4"/>
        </w:numPr>
        <w:rPr>
          <w:rFonts w:asciiTheme="majorHAnsi" w:hAnsiTheme="majorHAnsi"/>
        </w:rPr>
      </w:pPr>
      <w:r w:rsidRPr="00352283">
        <w:rPr>
          <w:rFonts w:asciiTheme="majorHAnsi" w:hAnsiTheme="majorHAnsi"/>
          <w:b/>
        </w:rPr>
        <w:t xml:space="preserve">Profile/Preference information. </w:t>
      </w:r>
      <w:r w:rsidRPr="00352283">
        <w:rPr>
          <w:rFonts w:asciiTheme="majorHAnsi" w:hAnsiTheme="majorHAnsi"/>
        </w:rPr>
        <w:t>Projects may request a username and/or password as well as user preference information to facilitate or customize the user experience.</w:t>
      </w:r>
      <w:r>
        <w:rPr>
          <w:rFonts w:asciiTheme="majorHAnsi" w:hAnsiTheme="majorHAnsi"/>
        </w:rPr>
        <w:t xml:space="preserve"> </w:t>
      </w:r>
      <w:r w:rsidR="00B327D7" w:rsidRPr="00352283">
        <w:rPr>
          <w:rFonts w:asciiTheme="majorHAnsi" w:hAnsiTheme="majorHAnsi"/>
        </w:rPr>
        <w:t xml:space="preserve">Participants may be </w:t>
      </w:r>
      <w:r w:rsidR="004F0A62" w:rsidRPr="00352283">
        <w:rPr>
          <w:rFonts w:asciiTheme="majorHAnsi" w:hAnsiTheme="majorHAnsi"/>
        </w:rPr>
        <w:t xml:space="preserve">asked </w:t>
      </w:r>
      <w:r w:rsidR="00B327D7" w:rsidRPr="00352283">
        <w:rPr>
          <w:rFonts w:asciiTheme="majorHAnsi" w:hAnsiTheme="majorHAnsi"/>
        </w:rPr>
        <w:t>to submit a</w:t>
      </w:r>
      <w:r w:rsidRPr="00352283">
        <w:rPr>
          <w:rFonts w:asciiTheme="majorHAnsi" w:hAnsiTheme="majorHAnsi"/>
        </w:rPr>
        <w:t>n</w:t>
      </w:r>
      <w:r w:rsidR="00B327D7" w:rsidRPr="00352283">
        <w:rPr>
          <w:rFonts w:asciiTheme="majorHAnsi" w:hAnsiTheme="majorHAnsi"/>
        </w:rPr>
        <w:t xml:space="preserve"> email address, name, </w:t>
      </w:r>
      <w:r w:rsidR="00125DCA" w:rsidRPr="00352283">
        <w:rPr>
          <w:rFonts w:asciiTheme="majorHAnsi" w:hAnsiTheme="majorHAnsi"/>
        </w:rPr>
        <w:t xml:space="preserve">and zip code, </w:t>
      </w:r>
      <w:r w:rsidR="00B327D7" w:rsidRPr="00352283">
        <w:rPr>
          <w:rFonts w:asciiTheme="majorHAnsi" w:hAnsiTheme="majorHAnsi"/>
        </w:rPr>
        <w:t xml:space="preserve">as well as acknowledge a privacy </w:t>
      </w:r>
      <w:r w:rsidR="003902A3" w:rsidRPr="00352283">
        <w:rPr>
          <w:rFonts w:asciiTheme="majorHAnsi" w:hAnsiTheme="majorHAnsi"/>
        </w:rPr>
        <w:t xml:space="preserve">policy </w:t>
      </w:r>
      <w:r w:rsidR="00217191" w:rsidRPr="00352283">
        <w:rPr>
          <w:rFonts w:asciiTheme="majorHAnsi" w:hAnsiTheme="majorHAnsi"/>
        </w:rPr>
        <w:t>or terms agreement. Participants may also be presented with a</w:t>
      </w:r>
      <w:r w:rsidR="000826B6" w:rsidRPr="00352283">
        <w:rPr>
          <w:rFonts w:asciiTheme="majorHAnsi" w:hAnsiTheme="majorHAnsi"/>
        </w:rPr>
        <w:t>n opportunity</w:t>
      </w:r>
      <w:r w:rsidR="003902A3" w:rsidRPr="00352283">
        <w:rPr>
          <w:rFonts w:asciiTheme="majorHAnsi" w:hAnsiTheme="majorHAnsi"/>
        </w:rPr>
        <w:t xml:space="preserve"> to be placed on a mailing list for the project</w:t>
      </w:r>
      <w:r w:rsidR="00B327D7" w:rsidRPr="00352283">
        <w:rPr>
          <w:rFonts w:asciiTheme="majorHAnsi" w:hAnsiTheme="majorHAnsi"/>
        </w:rPr>
        <w:t xml:space="preserve">. </w:t>
      </w:r>
      <w:r>
        <w:rPr>
          <w:rFonts w:asciiTheme="majorHAnsi" w:hAnsiTheme="majorHAnsi"/>
        </w:rPr>
        <w:t>This includes p</w:t>
      </w:r>
      <w:r w:rsidRPr="00352283">
        <w:rPr>
          <w:rFonts w:asciiTheme="majorHAnsi" w:hAnsiTheme="majorHAnsi"/>
        </w:rPr>
        <w:t>rojects administered through a web form or mobile application.</w:t>
      </w:r>
    </w:p>
    <w:p w:rsidR="00254F37" w:rsidRPr="00256D42" w:rsidRDefault="00FF1989" w:rsidP="0021219F">
      <w:pPr>
        <w:pStyle w:val="ListParagraph"/>
        <w:numPr>
          <w:ilvl w:val="0"/>
          <w:numId w:val="4"/>
        </w:numPr>
        <w:rPr>
          <w:rFonts w:asciiTheme="majorHAnsi" w:hAnsiTheme="majorHAnsi"/>
        </w:rPr>
      </w:pPr>
      <w:r w:rsidRPr="00256D42">
        <w:rPr>
          <w:rFonts w:asciiTheme="majorHAnsi" w:hAnsiTheme="majorHAnsi"/>
          <w:b/>
        </w:rPr>
        <w:lastRenderedPageBreak/>
        <w:t>Personal and Contact Information</w:t>
      </w:r>
      <w:r w:rsidR="007B617D" w:rsidRPr="00256D42">
        <w:rPr>
          <w:rFonts w:asciiTheme="majorHAnsi" w:hAnsiTheme="majorHAnsi"/>
          <w:b/>
        </w:rPr>
        <w:t>.</w:t>
      </w:r>
      <w:r w:rsidR="00F53809" w:rsidRPr="00256D42">
        <w:rPr>
          <w:rFonts w:asciiTheme="majorHAnsi" w:hAnsiTheme="majorHAnsi"/>
          <w:b/>
        </w:rPr>
        <w:t xml:space="preserve"> </w:t>
      </w:r>
      <w:r w:rsidR="002500A2">
        <w:rPr>
          <w:rFonts w:asciiTheme="majorHAnsi" w:hAnsiTheme="majorHAnsi"/>
        </w:rPr>
        <w:t>C</w:t>
      </w:r>
      <w:r w:rsidR="0039408D" w:rsidRPr="00256D42">
        <w:rPr>
          <w:rFonts w:asciiTheme="majorHAnsi" w:hAnsiTheme="majorHAnsi"/>
        </w:rPr>
        <w:t xml:space="preserve">itizen science and crowdsourcing projects may </w:t>
      </w:r>
      <w:r w:rsidR="000826B6" w:rsidRPr="00256D42">
        <w:rPr>
          <w:rFonts w:asciiTheme="majorHAnsi" w:hAnsiTheme="majorHAnsi"/>
        </w:rPr>
        <w:t xml:space="preserve">solicit </w:t>
      </w:r>
      <w:r w:rsidR="0039408D" w:rsidRPr="00256D42">
        <w:rPr>
          <w:rFonts w:asciiTheme="majorHAnsi" w:hAnsiTheme="majorHAnsi"/>
        </w:rPr>
        <w:t>contact information. This information may be necessary</w:t>
      </w:r>
      <w:r w:rsidR="0022098D">
        <w:rPr>
          <w:rFonts w:asciiTheme="majorHAnsi" w:hAnsiTheme="majorHAnsi"/>
        </w:rPr>
        <w:t xml:space="preserve"> </w:t>
      </w:r>
      <w:r w:rsidR="0039408D" w:rsidRPr="00256D42">
        <w:rPr>
          <w:rFonts w:asciiTheme="majorHAnsi" w:hAnsiTheme="majorHAnsi"/>
        </w:rPr>
        <w:t xml:space="preserve">to organize </w:t>
      </w:r>
      <w:r w:rsidR="003902A3" w:rsidRPr="00256D42">
        <w:rPr>
          <w:rFonts w:asciiTheme="majorHAnsi" w:hAnsiTheme="majorHAnsi"/>
        </w:rPr>
        <w:t xml:space="preserve">and analyze data (i.e., it may be necessary to know which data points are from the same observer). </w:t>
      </w:r>
      <w:r w:rsidR="00217191" w:rsidRPr="00256D42">
        <w:rPr>
          <w:rFonts w:asciiTheme="majorHAnsi" w:hAnsiTheme="majorHAnsi"/>
        </w:rPr>
        <w:t>P</w:t>
      </w:r>
      <w:r w:rsidR="00312E35" w:rsidRPr="00256D42">
        <w:rPr>
          <w:rFonts w:asciiTheme="majorHAnsi" w:hAnsiTheme="majorHAnsi"/>
        </w:rPr>
        <w:t xml:space="preserve">rojects </w:t>
      </w:r>
      <w:r w:rsidR="00732444">
        <w:rPr>
          <w:rFonts w:asciiTheme="majorHAnsi" w:hAnsiTheme="majorHAnsi"/>
        </w:rPr>
        <w:t>may</w:t>
      </w:r>
      <w:r w:rsidR="00217191" w:rsidRPr="00256D42">
        <w:rPr>
          <w:rFonts w:asciiTheme="majorHAnsi" w:hAnsiTheme="majorHAnsi"/>
        </w:rPr>
        <w:t xml:space="preserve"> </w:t>
      </w:r>
      <w:r w:rsidR="00017293">
        <w:rPr>
          <w:rFonts w:asciiTheme="majorHAnsi" w:hAnsiTheme="majorHAnsi"/>
        </w:rPr>
        <w:t>request</w:t>
      </w:r>
      <w:r w:rsidR="00017293" w:rsidRPr="00256D42">
        <w:rPr>
          <w:rFonts w:asciiTheme="majorHAnsi" w:hAnsiTheme="majorHAnsi"/>
        </w:rPr>
        <w:t xml:space="preserve"> </w:t>
      </w:r>
      <w:r w:rsidR="00312E35" w:rsidRPr="00256D42">
        <w:rPr>
          <w:rFonts w:asciiTheme="majorHAnsi" w:hAnsiTheme="majorHAnsi"/>
        </w:rPr>
        <w:t xml:space="preserve">contact information (name and email address, </w:t>
      </w:r>
      <w:r w:rsidR="00C92F75">
        <w:rPr>
          <w:rFonts w:asciiTheme="majorHAnsi" w:hAnsiTheme="majorHAnsi"/>
        </w:rPr>
        <w:t>zip code</w:t>
      </w:r>
      <w:r w:rsidR="00675A16">
        <w:rPr>
          <w:rFonts w:asciiTheme="majorHAnsi" w:hAnsiTheme="majorHAnsi"/>
        </w:rPr>
        <w:t>,</w:t>
      </w:r>
      <w:r w:rsidR="00312E35" w:rsidRPr="00256D42">
        <w:rPr>
          <w:rFonts w:asciiTheme="majorHAnsi" w:hAnsiTheme="majorHAnsi"/>
        </w:rPr>
        <w:t xml:space="preserve"> address and phone number) to </w:t>
      </w:r>
      <w:r w:rsidR="00217191" w:rsidRPr="00256D42">
        <w:rPr>
          <w:rFonts w:asciiTheme="majorHAnsi" w:hAnsiTheme="majorHAnsi"/>
        </w:rPr>
        <w:t xml:space="preserve">provide </w:t>
      </w:r>
      <w:r w:rsidR="00312E35" w:rsidRPr="00256D42">
        <w:rPr>
          <w:rFonts w:asciiTheme="majorHAnsi" w:hAnsiTheme="majorHAnsi"/>
        </w:rPr>
        <w:t xml:space="preserve">participants </w:t>
      </w:r>
      <w:r w:rsidR="00217191" w:rsidRPr="00256D42">
        <w:rPr>
          <w:rFonts w:asciiTheme="majorHAnsi" w:hAnsiTheme="majorHAnsi"/>
        </w:rPr>
        <w:t xml:space="preserve">with </w:t>
      </w:r>
      <w:r w:rsidR="00972DAB" w:rsidRPr="00256D42">
        <w:rPr>
          <w:rFonts w:asciiTheme="majorHAnsi" w:hAnsiTheme="majorHAnsi"/>
        </w:rPr>
        <w:t>project updates</w:t>
      </w:r>
      <w:r w:rsidR="00F35E64" w:rsidRPr="00256D42">
        <w:rPr>
          <w:rFonts w:asciiTheme="majorHAnsi" w:hAnsiTheme="majorHAnsi"/>
        </w:rPr>
        <w:t xml:space="preserve"> </w:t>
      </w:r>
      <w:r w:rsidR="00217191" w:rsidRPr="00256D42">
        <w:rPr>
          <w:rFonts w:asciiTheme="majorHAnsi" w:hAnsiTheme="majorHAnsi"/>
        </w:rPr>
        <w:t>a</w:t>
      </w:r>
      <w:r w:rsidR="00312E35" w:rsidRPr="00256D42">
        <w:rPr>
          <w:rFonts w:asciiTheme="majorHAnsi" w:hAnsiTheme="majorHAnsi"/>
        </w:rPr>
        <w:t>nd shar</w:t>
      </w:r>
      <w:r w:rsidR="00217191" w:rsidRPr="00256D42">
        <w:rPr>
          <w:rFonts w:asciiTheme="majorHAnsi" w:hAnsiTheme="majorHAnsi"/>
        </w:rPr>
        <w:t xml:space="preserve">e </w:t>
      </w:r>
      <w:r w:rsidR="00312E35" w:rsidRPr="00256D42">
        <w:rPr>
          <w:rFonts w:asciiTheme="majorHAnsi" w:hAnsiTheme="majorHAnsi"/>
        </w:rPr>
        <w:t xml:space="preserve">data. </w:t>
      </w:r>
      <w:r w:rsidR="004F0A62">
        <w:rPr>
          <w:rFonts w:asciiTheme="majorHAnsi" w:hAnsiTheme="majorHAnsi"/>
        </w:rPr>
        <w:t xml:space="preserve">Participants </w:t>
      </w:r>
      <w:r w:rsidR="00C62862">
        <w:rPr>
          <w:rFonts w:asciiTheme="majorHAnsi" w:hAnsiTheme="majorHAnsi"/>
        </w:rPr>
        <w:t>would</w:t>
      </w:r>
      <w:r w:rsidR="004F0A62">
        <w:rPr>
          <w:rFonts w:asciiTheme="majorHAnsi" w:hAnsiTheme="majorHAnsi"/>
        </w:rPr>
        <w:t xml:space="preserve"> be made aware that the public</w:t>
      </w:r>
      <w:r w:rsidR="004F6AC0">
        <w:rPr>
          <w:rFonts w:asciiTheme="majorHAnsi" w:hAnsiTheme="majorHAnsi"/>
        </w:rPr>
        <w:t xml:space="preserve">ally available </w:t>
      </w:r>
      <w:r w:rsidR="004F0A62">
        <w:rPr>
          <w:rFonts w:asciiTheme="majorHAnsi" w:hAnsiTheme="majorHAnsi"/>
        </w:rPr>
        <w:t>data</w:t>
      </w:r>
      <w:r w:rsidR="004F6AC0">
        <w:rPr>
          <w:rFonts w:asciiTheme="majorHAnsi" w:hAnsiTheme="majorHAnsi"/>
        </w:rPr>
        <w:t xml:space="preserve"> </w:t>
      </w:r>
      <w:r w:rsidR="004F0A62">
        <w:rPr>
          <w:rFonts w:asciiTheme="majorHAnsi" w:hAnsiTheme="majorHAnsi"/>
        </w:rPr>
        <w:t>on contact information will be anonymized and aggregated, for example, by census tract, zip code, city, or some other higher level than individual addresses.</w:t>
      </w:r>
    </w:p>
    <w:p w:rsidR="00254F37" w:rsidRPr="00256D42" w:rsidRDefault="00FF1989" w:rsidP="0021219F">
      <w:pPr>
        <w:pStyle w:val="ListParagraph"/>
        <w:numPr>
          <w:ilvl w:val="0"/>
          <w:numId w:val="4"/>
        </w:numPr>
        <w:rPr>
          <w:rFonts w:asciiTheme="majorHAnsi" w:hAnsiTheme="majorHAnsi"/>
        </w:rPr>
      </w:pPr>
      <w:r w:rsidRPr="00445E6A">
        <w:rPr>
          <w:b/>
        </w:rPr>
        <w:t>E</w:t>
      </w:r>
      <w:r w:rsidRPr="003E6DF1">
        <w:rPr>
          <w:b/>
        </w:rPr>
        <w:t>xperience a</w:t>
      </w:r>
      <w:r w:rsidRPr="00256D42">
        <w:rPr>
          <w:rFonts w:asciiTheme="majorHAnsi" w:hAnsiTheme="majorHAnsi"/>
          <w:b/>
        </w:rPr>
        <w:t>nd Expertise</w:t>
      </w:r>
      <w:r w:rsidR="00217191" w:rsidRPr="00256D42">
        <w:rPr>
          <w:rFonts w:asciiTheme="majorHAnsi" w:hAnsiTheme="majorHAnsi"/>
          <w:b/>
        </w:rPr>
        <w:t>.</w:t>
      </w:r>
      <w:r w:rsidR="00217191" w:rsidRPr="00256D42">
        <w:rPr>
          <w:rFonts w:asciiTheme="majorHAnsi" w:hAnsiTheme="majorHAnsi"/>
        </w:rPr>
        <w:t xml:space="preserve"> </w:t>
      </w:r>
      <w:r w:rsidR="000826B6" w:rsidRPr="00256D42">
        <w:rPr>
          <w:rFonts w:asciiTheme="majorHAnsi" w:hAnsiTheme="majorHAnsi"/>
        </w:rPr>
        <w:t>For data quality purposes, c</w:t>
      </w:r>
      <w:r w:rsidR="003E5D4E" w:rsidRPr="00256D42">
        <w:rPr>
          <w:rFonts w:asciiTheme="majorHAnsi" w:hAnsiTheme="majorHAnsi"/>
        </w:rPr>
        <w:t xml:space="preserve">itizen science and crowdsourcing projects may </w:t>
      </w:r>
      <w:r w:rsidR="00C62862">
        <w:rPr>
          <w:rFonts w:asciiTheme="majorHAnsi" w:hAnsiTheme="majorHAnsi"/>
        </w:rPr>
        <w:t xml:space="preserve">request information to </w:t>
      </w:r>
      <w:r w:rsidR="003E5D4E" w:rsidRPr="00256D42">
        <w:rPr>
          <w:rFonts w:asciiTheme="majorHAnsi" w:hAnsiTheme="majorHAnsi"/>
        </w:rPr>
        <w:t xml:space="preserve">evaluate the skill level of the participant by asking about their experience with the project topic. Questions may be about a person’s </w:t>
      </w:r>
      <w:r w:rsidR="000826B6" w:rsidRPr="00256D42">
        <w:rPr>
          <w:rFonts w:asciiTheme="majorHAnsi" w:hAnsiTheme="majorHAnsi"/>
        </w:rPr>
        <w:t>age</w:t>
      </w:r>
      <w:r w:rsidR="00751C8E">
        <w:rPr>
          <w:rFonts w:asciiTheme="majorHAnsi" w:hAnsiTheme="majorHAnsi"/>
        </w:rPr>
        <w:t xml:space="preserve"> range</w:t>
      </w:r>
      <w:r w:rsidR="000826B6" w:rsidRPr="00256D42">
        <w:rPr>
          <w:rFonts w:asciiTheme="majorHAnsi" w:hAnsiTheme="majorHAnsi"/>
        </w:rPr>
        <w:t xml:space="preserve">, </w:t>
      </w:r>
      <w:r w:rsidR="00751C8E">
        <w:rPr>
          <w:rFonts w:asciiTheme="majorHAnsi" w:hAnsiTheme="majorHAnsi"/>
        </w:rPr>
        <w:t xml:space="preserve">level or topic of </w:t>
      </w:r>
      <w:r w:rsidR="003E5D4E" w:rsidRPr="00256D42">
        <w:rPr>
          <w:rFonts w:asciiTheme="majorHAnsi" w:hAnsiTheme="majorHAnsi"/>
        </w:rPr>
        <w:t xml:space="preserve">education, participation in organizations, or professional experience. </w:t>
      </w:r>
    </w:p>
    <w:p w:rsidR="00254F37" w:rsidRDefault="00FF1989" w:rsidP="0021219F">
      <w:pPr>
        <w:pStyle w:val="ListParagraph"/>
        <w:numPr>
          <w:ilvl w:val="0"/>
          <w:numId w:val="4"/>
        </w:numPr>
        <w:rPr>
          <w:rFonts w:asciiTheme="majorHAnsi" w:hAnsiTheme="majorHAnsi"/>
        </w:rPr>
      </w:pPr>
      <w:r w:rsidRPr="00256D42">
        <w:rPr>
          <w:rFonts w:asciiTheme="majorHAnsi" w:hAnsiTheme="majorHAnsi"/>
          <w:b/>
        </w:rPr>
        <w:t xml:space="preserve">Information </w:t>
      </w:r>
      <w:r w:rsidR="00972DAB" w:rsidRPr="00256D42">
        <w:rPr>
          <w:rFonts w:asciiTheme="majorHAnsi" w:hAnsiTheme="majorHAnsi"/>
          <w:b/>
        </w:rPr>
        <w:t>a</w:t>
      </w:r>
      <w:r w:rsidR="00217191" w:rsidRPr="00256D42">
        <w:rPr>
          <w:rFonts w:asciiTheme="majorHAnsi" w:hAnsiTheme="majorHAnsi"/>
          <w:b/>
        </w:rPr>
        <w:t xml:space="preserve">bout </w:t>
      </w:r>
      <w:r w:rsidRPr="00256D42">
        <w:rPr>
          <w:rFonts w:asciiTheme="majorHAnsi" w:hAnsiTheme="majorHAnsi"/>
          <w:b/>
        </w:rPr>
        <w:t>Observation</w:t>
      </w:r>
      <w:r w:rsidR="00254F37">
        <w:rPr>
          <w:rFonts w:asciiTheme="majorHAnsi" w:hAnsiTheme="majorHAnsi"/>
          <w:b/>
        </w:rPr>
        <w:t>s</w:t>
      </w:r>
      <w:r w:rsidR="00217191" w:rsidRPr="00256D42">
        <w:rPr>
          <w:rFonts w:asciiTheme="majorHAnsi" w:hAnsiTheme="majorHAnsi"/>
          <w:b/>
        </w:rPr>
        <w:t xml:space="preserve">. </w:t>
      </w:r>
      <w:r w:rsidR="00995766" w:rsidRPr="00995766">
        <w:rPr>
          <w:rFonts w:asciiTheme="majorHAnsi" w:hAnsiTheme="majorHAnsi"/>
        </w:rPr>
        <w:t xml:space="preserve">Projects </w:t>
      </w:r>
      <w:r w:rsidR="003E5D4E" w:rsidRPr="00256D42">
        <w:rPr>
          <w:rFonts w:asciiTheme="majorHAnsi" w:hAnsiTheme="majorHAnsi"/>
        </w:rPr>
        <w:t xml:space="preserve">may </w:t>
      </w:r>
      <w:r w:rsidR="00995766" w:rsidRPr="00256D42">
        <w:rPr>
          <w:rFonts w:asciiTheme="majorHAnsi" w:hAnsiTheme="majorHAnsi"/>
        </w:rPr>
        <w:t>requ</w:t>
      </w:r>
      <w:r w:rsidR="00995766">
        <w:rPr>
          <w:rFonts w:asciiTheme="majorHAnsi" w:hAnsiTheme="majorHAnsi"/>
        </w:rPr>
        <w:t>est</w:t>
      </w:r>
      <w:r w:rsidR="00995766" w:rsidRPr="00256D42">
        <w:rPr>
          <w:rFonts w:asciiTheme="majorHAnsi" w:hAnsiTheme="majorHAnsi"/>
        </w:rPr>
        <w:t xml:space="preserve"> </w:t>
      </w:r>
      <w:r w:rsidR="003E5D4E" w:rsidRPr="00256D42">
        <w:rPr>
          <w:rFonts w:asciiTheme="majorHAnsi" w:hAnsiTheme="majorHAnsi"/>
        </w:rPr>
        <w:t>accompanying information, such as the date and time of the activity, the location (</w:t>
      </w:r>
      <w:r w:rsidR="00751C8E">
        <w:rPr>
          <w:rFonts w:asciiTheme="majorHAnsi" w:hAnsiTheme="majorHAnsi"/>
        </w:rPr>
        <w:t xml:space="preserve">e.g., </w:t>
      </w:r>
      <w:r w:rsidR="003E5D4E" w:rsidRPr="00256D42">
        <w:rPr>
          <w:rFonts w:asciiTheme="majorHAnsi" w:hAnsiTheme="majorHAnsi"/>
        </w:rPr>
        <w:t>GPS coordinates</w:t>
      </w:r>
      <w:r w:rsidR="000428F3" w:rsidRPr="00256D42">
        <w:rPr>
          <w:rFonts w:asciiTheme="majorHAnsi" w:hAnsiTheme="majorHAnsi"/>
        </w:rPr>
        <w:t xml:space="preserve">, </w:t>
      </w:r>
      <w:r w:rsidR="003E5D4E" w:rsidRPr="00256D42">
        <w:rPr>
          <w:rFonts w:asciiTheme="majorHAnsi" w:hAnsiTheme="majorHAnsi"/>
        </w:rPr>
        <w:t>address</w:t>
      </w:r>
      <w:r w:rsidR="000428F3" w:rsidRPr="00256D42">
        <w:rPr>
          <w:rFonts w:asciiTheme="majorHAnsi" w:hAnsiTheme="majorHAnsi"/>
        </w:rPr>
        <w:t xml:space="preserve">, </w:t>
      </w:r>
      <w:r w:rsidR="00751C8E">
        <w:rPr>
          <w:rFonts w:asciiTheme="majorHAnsi" w:hAnsiTheme="majorHAnsi"/>
        </w:rPr>
        <w:t xml:space="preserve">zip code, </w:t>
      </w:r>
      <w:r w:rsidR="000428F3" w:rsidRPr="00256D42">
        <w:rPr>
          <w:rFonts w:asciiTheme="majorHAnsi" w:hAnsiTheme="majorHAnsi"/>
        </w:rPr>
        <w:t>etc.</w:t>
      </w:r>
      <w:r w:rsidR="003E5D4E" w:rsidRPr="00256D42">
        <w:rPr>
          <w:rFonts w:asciiTheme="majorHAnsi" w:hAnsiTheme="majorHAnsi"/>
        </w:rPr>
        <w:t>)</w:t>
      </w:r>
      <w:r w:rsidR="000D6E8A" w:rsidRPr="00256D42">
        <w:rPr>
          <w:rFonts w:asciiTheme="majorHAnsi" w:hAnsiTheme="majorHAnsi"/>
        </w:rPr>
        <w:t>, the weather (e.g.</w:t>
      </w:r>
      <w:r w:rsidR="000826B6" w:rsidRPr="00256D42">
        <w:rPr>
          <w:rFonts w:asciiTheme="majorHAnsi" w:hAnsiTheme="majorHAnsi"/>
        </w:rPr>
        <w:t>,</w:t>
      </w:r>
      <w:r w:rsidR="000D6E8A" w:rsidRPr="00256D42">
        <w:rPr>
          <w:rFonts w:asciiTheme="majorHAnsi" w:hAnsiTheme="majorHAnsi"/>
        </w:rPr>
        <w:t xml:space="preserve"> temperature, precipitation, wind, humidity</w:t>
      </w:r>
      <w:r w:rsidR="00751C8E">
        <w:rPr>
          <w:rFonts w:asciiTheme="majorHAnsi" w:hAnsiTheme="majorHAnsi"/>
        </w:rPr>
        <w:t xml:space="preserve">, </w:t>
      </w:r>
      <w:r w:rsidR="00D235AF">
        <w:rPr>
          <w:rFonts w:asciiTheme="majorHAnsi" w:hAnsiTheme="majorHAnsi"/>
        </w:rPr>
        <w:t xml:space="preserve">visibility, </w:t>
      </w:r>
      <w:r w:rsidR="00751C8E">
        <w:rPr>
          <w:rFonts w:asciiTheme="majorHAnsi" w:hAnsiTheme="majorHAnsi"/>
        </w:rPr>
        <w:t>etc.</w:t>
      </w:r>
      <w:r w:rsidR="000D6E8A" w:rsidRPr="00256D42">
        <w:rPr>
          <w:rFonts w:asciiTheme="majorHAnsi" w:hAnsiTheme="majorHAnsi"/>
        </w:rPr>
        <w:t xml:space="preserve">), </w:t>
      </w:r>
      <w:r w:rsidR="00D86C47">
        <w:rPr>
          <w:rFonts w:asciiTheme="majorHAnsi" w:hAnsiTheme="majorHAnsi"/>
        </w:rPr>
        <w:t xml:space="preserve">and </w:t>
      </w:r>
      <w:r w:rsidR="00217191" w:rsidRPr="00256D42">
        <w:rPr>
          <w:rFonts w:asciiTheme="majorHAnsi" w:hAnsiTheme="majorHAnsi"/>
        </w:rPr>
        <w:t xml:space="preserve">a </w:t>
      </w:r>
      <w:r w:rsidR="000D6E8A" w:rsidRPr="00256D42">
        <w:rPr>
          <w:rFonts w:asciiTheme="majorHAnsi" w:hAnsiTheme="majorHAnsi"/>
        </w:rPr>
        <w:t xml:space="preserve">description </w:t>
      </w:r>
      <w:r w:rsidR="00D86C47">
        <w:rPr>
          <w:rFonts w:asciiTheme="majorHAnsi" w:hAnsiTheme="majorHAnsi"/>
        </w:rPr>
        <w:t xml:space="preserve">or characterization </w:t>
      </w:r>
      <w:r w:rsidR="000D6E8A" w:rsidRPr="00256D42">
        <w:rPr>
          <w:rFonts w:asciiTheme="majorHAnsi" w:hAnsiTheme="majorHAnsi"/>
        </w:rPr>
        <w:t>of the location (e.g.</w:t>
      </w:r>
      <w:r w:rsidR="000826B6" w:rsidRPr="00256D42">
        <w:rPr>
          <w:rFonts w:asciiTheme="majorHAnsi" w:hAnsiTheme="majorHAnsi"/>
        </w:rPr>
        <w:t>,</w:t>
      </w:r>
      <w:r w:rsidR="000D6E8A" w:rsidRPr="00256D42">
        <w:rPr>
          <w:rFonts w:asciiTheme="majorHAnsi" w:hAnsiTheme="majorHAnsi"/>
        </w:rPr>
        <w:t xml:space="preserve"> vegetation type, type of water body, environmental condition</w:t>
      </w:r>
      <w:r w:rsidR="00751C8E">
        <w:rPr>
          <w:rFonts w:asciiTheme="majorHAnsi" w:hAnsiTheme="majorHAnsi"/>
        </w:rPr>
        <w:t>, etc</w:t>
      </w:r>
      <w:r w:rsidR="00D86C47">
        <w:rPr>
          <w:rFonts w:asciiTheme="majorHAnsi" w:hAnsiTheme="majorHAnsi"/>
        </w:rPr>
        <w:t>.</w:t>
      </w:r>
      <w:r w:rsidR="00D86C47" w:rsidRPr="00256D42">
        <w:rPr>
          <w:rFonts w:asciiTheme="majorHAnsi" w:hAnsiTheme="majorHAnsi"/>
        </w:rPr>
        <w:t>)</w:t>
      </w:r>
      <w:r w:rsidR="00D86C47">
        <w:rPr>
          <w:rFonts w:asciiTheme="majorHAnsi" w:hAnsiTheme="majorHAnsi"/>
        </w:rPr>
        <w:t xml:space="preserve"> </w:t>
      </w:r>
      <w:r w:rsidR="00E30AD6">
        <w:rPr>
          <w:rFonts w:asciiTheme="majorHAnsi" w:hAnsiTheme="majorHAnsi"/>
        </w:rPr>
        <w:t>or personal senses (e.g. smell, visual cues, sound, etc.)</w:t>
      </w:r>
      <w:r w:rsidR="000D6E8A" w:rsidRPr="00256D42">
        <w:rPr>
          <w:rFonts w:asciiTheme="majorHAnsi" w:hAnsiTheme="majorHAnsi"/>
        </w:rPr>
        <w:t>.</w:t>
      </w:r>
      <w:r w:rsidR="00874B46" w:rsidRPr="00256D42">
        <w:rPr>
          <w:rFonts w:asciiTheme="majorHAnsi" w:hAnsiTheme="majorHAnsi"/>
        </w:rPr>
        <w:t xml:space="preserve"> </w:t>
      </w:r>
    </w:p>
    <w:p w:rsidR="00B327D7" w:rsidRDefault="00FF1989" w:rsidP="0021219F">
      <w:pPr>
        <w:pStyle w:val="ListParagraph"/>
        <w:numPr>
          <w:ilvl w:val="0"/>
          <w:numId w:val="4"/>
        </w:numPr>
        <w:rPr>
          <w:rFonts w:asciiTheme="majorHAnsi" w:hAnsiTheme="majorHAnsi"/>
        </w:rPr>
      </w:pPr>
      <w:r w:rsidRPr="00256D42">
        <w:rPr>
          <w:rFonts w:asciiTheme="majorHAnsi" w:hAnsiTheme="majorHAnsi"/>
          <w:b/>
        </w:rPr>
        <w:t>Project Evaluation</w:t>
      </w:r>
      <w:r w:rsidR="00217191" w:rsidRPr="00256D42">
        <w:rPr>
          <w:rFonts w:asciiTheme="majorHAnsi" w:hAnsiTheme="majorHAnsi"/>
          <w:b/>
        </w:rPr>
        <w:t xml:space="preserve">. </w:t>
      </w:r>
      <w:r w:rsidR="000D6E8A" w:rsidRPr="00256D42">
        <w:rPr>
          <w:rFonts w:asciiTheme="majorHAnsi" w:hAnsiTheme="majorHAnsi"/>
        </w:rPr>
        <w:t>Citizen science and</w:t>
      </w:r>
      <w:r w:rsidR="000D6E8A" w:rsidRPr="00256D42">
        <w:rPr>
          <w:rFonts w:asciiTheme="majorHAnsi" w:hAnsiTheme="majorHAnsi"/>
          <w:b/>
        </w:rPr>
        <w:t xml:space="preserve"> </w:t>
      </w:r>
      <w:r w:rsidR="000D6E8A" w:rsidRPr="00256D42">
        <w:rPr>
          <w:rFonts w:asciiTheme="majorHAnsi" w:hAnsiTheme="majorHAnsi"/>
        </w:rPr>
        <w:t xml:space="preserve">crowdsourcing projects may collect information on the participant’s experience for </w:t>
      </w:r>
      <w:r w:rsidR="00194EBA">
        <w:rPr>
          <w:rFonts w:asciiTheme="majorHAnsi" w:hAnsiTheme="majorHAnsi"/>
        </w:rPr>
        <w:t>project</w:t>
      </w:r>
      <w:r w:rsidR="00194EBA" w:rsidRPr="00256D42">
        <w:rPr>
          <w:rFonts w:asciiTheme="majorHAnsi" w:hAnsiTheme="majorHAnsi"/>
        </w:rPr>
        <w:t xml:space="preserve"> </w:t>
      </w:r>
      <w:r w:rsidR="000D6E8A" w:rsidRPr="00256D42">
        <w:rPr>
          <w:rFonts w:asciiTheme="majorHAnsi" w:hAnsiTheme="majorHAnsi"/>
        </w:rPr>
        <w:t>evaluation and development.</w:t>
      </w:r>
      <w:r w:rsidR="00E02764" w:rsidRPr="00256D42">
        <w:rPr>
          <w:rFonts w:asciiTheme="majorHAnsi" w:hAnsiTheme="majorHAnsi"/>
        </w:rPr>
        <w:t xml:space="preserve"> This may include questions on</w:t>
      </w:r>
      <w:r w:rsidR="00DA447E" w:rsidRPr="00256D42">
        <w:rPr>
          <w:rFonts w:asciiTheme="majorHAnsi" w:hAnsiTheme="majorHAnsi"/>
        </w:rPr>
        <w:t xml:space="preserve"> how the participant found out about the project,</w:t>
      </w:r>
      <w:r w:rsidR="00E02764" w:rsidRPr="00256D42">
        <w:rPr>
          <w:rFonts w:asciiTheme="majorHAnsi" w:hAnsiTheme="majorHAnsi"/>
        </w:rPr>
        <w:t xml:space="preserve"> the amount of time spent, </w:t>
      </w:r>
      <w:r w:rsidR="00880BA5">
        <w:rPr>
          <w:rFonts w:asciiTheme="majorHAnsi" w:hAnsiTheme="majorHAnsi"/>
        </w:rPr>
        <w:t>distance</w:t>
      </w:r>
      <w:r w:rsidR="00DC2DF9" w:rsidRPr="00256D42">
        <w:rPr>
          <w:rFonts w:asciiTheme="majorHAnsi" w:hAnsiTheme="majorHAnsi"/>
        </w:rPr>
        <w:t xml:space="preserve"> traveled, </w:t>
      </w:r>
      <w:r w:rsidR="00E02764" w:rsidRPr="00256D42">
        <w:rPr>
          <w:rFonts w:asciiTheme="majorHAnsi" w:hAnsiTheme="majorHAnsi"/>
        </w:rPr>
        <w:t>how difficult the ta</w:t>
      </w:r>
      <w:r w:rsidR="00AE3357" w:rsidRPr="00256D42">
        <w:rPr>
          <w:rFonts w:asciiTheme="majorHAnsi" w:hAnsiTheme="majorHAnsi"/>
        </w:rPr>
        <w:t xml:space="preserve">sk was for the participant, </w:t>
      </w:r>
      <w:r w:rsidR="00E02764" w:rsidRPr="00256D42">
        <w:rPr>
          <w:rFonts w:asciiTheme="majorHAnsi" w:hAnsiTheme="majorHAnsi"/>
        </w:rPr>
        <w:t>whether the participant enjoyed the experience</w:t>
      </w:r>
      <w:r w:rsidR="00AE3357" w:rsidRPr="00256D42">
        <w:rPr>
          <w:rFonts w:asciiTheme="majorHAnsi" w:hAnsiTheme="majorHAnsi"/>
        </w:rPr>
        <w:t>, and if they will participate again</w:t>
      </w:r>
      <w:r w:rsidR="00E02764" w:rsidRPr="00256D42">
        <w:rPr>
          <w:rFonts w:asciiTheme="majorHAnsi" w:hAnsiTheme="majorHAnsi"/>
        </w:rPr>
        <w:t>.</w:t>
      </w:r>
      <w:r w:rsidR="000D6E8A" w:rsidRPr="00256D42">
        <w:rPr>
          <w:rFonts w:asciiTheme="majorHAnsi" w:hAnsiTheme="majorHAnsi"/>
        </w:rPr>
        <w:t xml:space="preserve"> Projects may also </w:t>
      </w:r>
      <w:r w:rsidR="00C62862">
        <w:rPr>
          <w:rFonts w:asciiTheme="majorHAnsi" w:hAnsiTheme="majorHAnsi"/>
        </w:rPr>
        <w:t>request information to</w:t>
      </w:r>
      <w:r w:rsidR="000D6E8A" w:rsidRPr="00256D42">
        <w:rPr>
          <w:rFonts w:asciiTheme="majorHAnsi" w:hAnsiTheme="majorHAnsi"/>
        </w:rPr>
        <w:t xml:space="preserve"> eval</w:t>
      </w:r>
      <w:r w:rsidR="00777A9F" w:rsidRPr="00256D42">
        <w:rPr>
          <w:rFonts w:asciiTheme="majorHAnsi" w:hAnsiTheme="majorHAnsi"/>
        </w:rPr>
        <w:t>uate participant outcomes, such as changes in the participant’s under</w:t>
      </w:r>
      <w:r w:rsidR="004A5846" w:rsidRPr="00256D42">
        <w:rPr>
          <w:rFonts w:asciiTheme="majorHAnsi" w:hAnsiTheme="majorHAnsi"/>
        </w:rPr>
        <w:t xml:space="preserve">standing of the scientific process or project topic, through survey questions before and after participation. </w:t>
      </w:r>
      <w:r w:rsidR="000D6E8A" w:rsidRPr="00256D42">
        <w:rPr>
          <w:rFonts w:asciiTheme="majorHAnsi" w:hAnsiTheme="majorHAnsi"/>
        </w:rPr>
        <w:t xml:space="preserve"> </w:t>
      </w:r>
    </w:p>
    <w:p w:rsidR="00F81A79" w:rsidRDefault="00F17DE3" w:rsidP="0021219F">
      <w:pPr>
        <w:pStyle w:val="ListParagraph"/>
        <w:numPr>
          <w:ilvl w:val="0"/>
          <w:numId w:val="4"/>
        </w:numPr>
        <w:rPr>
          <w:rFonts w:asciiTheme="majorHAnsi" w:hAnsiTheme="majorHAnsi"/>
        </w:rPr>
      </w:pPr>
      <w:r>
        <w:rPr>
          <w:rFonts w:asciiTheme="majorHAnsi" w:hAnsiTheme="majorHAnsi"/>
          <w:b/>
        </w:rPr>
        <w:t>Training.</w:t>
      </w:r>
      <w:r>
        <w:rPr>
          <w:rFonts w:asciiTheme="majorHAnsi" w:hAnsiTheme="majorHAnsi"/>
        </w:rPr>
        <w:t xml:space="preserve"> </w:t>
      </w:r>
      <w:r w:rsidR="00B7514E">
        <w:rPr>
          <w:rFonts w:asciiTheme="majorHAnsi" w:hAnsiTheme="majorHAnsi"/>
        </w:rPr>
        <w:t>C</w:t>
      </w:r>
      <w:r w:rsidR="004A1A6C">
        <w:rPr>
          <w:rFonts w:asciiTheme="majorHAnsi" w:hAnsiTheme="majorHAnsi"/>
        </w:rPr>
        <w:t>itizen sci</w:t>
      </w:r>
      <w:r w:rsidR="009E66AA">
        <w:rPr>
          <w:rFonts w:asciiTheme="majorHAnsi" w:hAnsiTheme="majorHAnsi"/>
        </w:rPr>
        <w:t xml:space="preserve">ence and crowdsourcing projects </w:t>
      </w:r>
      <w:r w:rsidR="00B7514E">
        <w:rPr>
          <w:rFonts w:asciiTheme="majorHAnsi" w:hAnsiTheme="majorHAnsi"/>
        </w:rPr>
        <w:t xml:space="preserve">may </w:t>
      </w:r>
      <w:r w:rsidR="004A1A6C">
        <w:rPr>
          <w:rFonts w:asciiTheme="majorHAnsi" w:hAnsiTheme="majorHAnsi"/>
        </w:rPr>
        <w:t xml:space="preserve">need to </w:t>
      </w:r>
      <w:r w:rsidR="00B7514E">
        <w:rPr>
          <w:rFonts w:asciiTheme="majorHAnsi" w:hAnsiTheme="majorHAnsi"/>
        </w:rPr>
        <w:t>train participants for the purpose of soliciting quality data</w:t>
      </w:r>
      <w:r w:rsidR="00123A2B">
        <w:rPr>
          <w:rFonts w:asciiTheme="majorHAnsi" w:hAnsiTheme="majorHAnsi"/>
        </w:rPr>
        <w:t xml:space="preserve"> and increasing participant benefits including education and engagement</w:t>
      </w:r>
      <w:r w:rsidR="00B7514E">
        <w:rPr>
          <w:rFonts w:asciiTheme="majorHAnsi" w:hAnsiTheme="majorHAnsi"/>
        </w:rPr>
        <w:t xml:space="preserve">. </w:t>
      </w:r>
      <w:r>
        <w:rPr>
          <w:rFonts w:asciiTheme="majorHAnsi" w:hAnsiTheme="majorHAnsi"/>
        </w:rPr>
        <w:t xml:space="preserve">Participants may be asked to read materials, watch training videos, or attend training sessions in-person or virtually via a webinar. </w:t>
      </w:r>
      <w:r w:rsidR="00B71667">
        <w:rPr>
          <w:rFonts w:asciiTheme="majorHAnsi" w:hAnsiTheme="majorHAnsi"/>
        </w:rPr>
        <w:t>To ensure that participants understand the training, they may be assessed through testing instruments like a questionnaire</w:t>
      </w:r>
      <w:r w:rsidR="005F516A">
        <w:rPr>
          <w:rFonts w:asciiTheme="majorHAnsi" w:hAnsiTheme="majorHAnsi"/>
        </w:rPr>
        <w:t xml:space="preserve"> or survey</w:t>
      </w:r>
      <w:r w:rsidR="00216E1C">
        <w:rPr>
          <w:rFonts w:asciiTheme="majorHAnsi" w:hAnsiTheme="majorHAnsi"/>
        </w:rPr>
        <w:t>, which may be administered online</w:t>
      </w:r>
      <w:r w:rsidR="00207C9A">
        <w:rPr>
          <w:rFonts w:asciiTheme="majorHAnsi" w:hAnsiTheme="majorHAnsi"/>
        </w:rPr>
        <w:t xml:space="preserve"> or through a computer program</w:t>
      </w:r>
      <w:r w:rsidR="00216E1C">
        <w:rPr>
          <w:rFonts w:asciiTheme="majorHAnsi" w:hAnsiTheme="majorHAnsi"/>
        </w:rPr>
        <w:t xml:space="preserve">, </w:t>
      </w:r>
      <w:r w:rsidR="00207C9A">
        <w:rPr>
          <w:rFonts w:asciiTheme="majorHAnsi" w:hAnsiTheme="majorHAnsi"/>
        </w:rPr>
        <w:t>on</w:t>
      </w:r>
      <w:r w:rsidR="00216E1C">
        <w:rPr>
          <w:rFonts w:asciiTheme="majorHAnsi" w:hAnsiTheme="majorHAnsi"/>
        </w:rPr>
        <w:t xml:space="preserve"> paper, in cell </w:t>
      </w:r>
      <w:r w:rsidR="005F516A">
        <w:rPr>
          <w:rFonts w:asciiTheme="majorHAnsi" w:hAnsiTheme="majorHAnsi"/>
        </w:rPr>
        <w:t xml:space="preserve">a </w:t>
      </w:r>
      <w:r w:rsidR="00216E1C">
        <w:rPr>
          <w:rFonts w:asciiTheme="majorHAnsi" w:hAnsiTheme="majorHAnsi"/>
        </w:rPr>
        <w:t>phone app, or in-person.</w:t>
      </w:r>
      <w:r w:rsidR="00B71667">
        <w:rPr>
          <w:rFonts w:asciiTheme="majorHAnsi" w:hAnsiTheme="majorHAnsi"/>
        </w:rPr>
        <w:t xml:space="preserve"> </w:t>
      </w:r>
      <w:r>
        <w:rPr>
          <w:rFonts w:asciiTheme="majorHAnsi" w:hAnsiTheme="majorHAnsi"/>
        </w:rPr>
        <w:t xml:space="preserve"> </w:t>
      </w:r>
    </w:p>
    <w:p w:rsidR="005E7C31" w:rsidRDefault="005E7C31" w:rsidP="00FF63D7">
      <w:pPr>
        <w:spacing w:after="0" w:line="240" w:lineRule="auto"/>
        <w:outlineLvl w:val="0"/>
        <w:rPr>
          <w:rFonts w:asciiTheme="majorHAnsi" w:hAnsiTheme="majorHAnsi"/>
          <w:b/>
        </w:rPr>
      </w:pPr>
      <w:r>
        <w:rPr>
          <w:rFonts w:asciiTheme="majorHAnsi" w:hAnsiTheme="majorHAnsi"/>
          <w:b/>
        </w:rPr>
        <w:t xml:space="preserve">3. </w:t>
      </w:r>
      <w:r w:rsidR="00983608">
        <w:rPr>
          <w:rFonts w:asciiTheme="majorHAnsi" w:hAnsiTheme="majorHAnsi"/>
          <w:b/>
        </w:rPr>
        <w:tab/>
      </w:r>
      <w:r w:rsidRPr="005E7C31">
        <w:rPr>
          <w:rFonts w:asciiTheme="majorHAnsi" w:hAnsiTheme="majorHAnsi"/>
          <w:b/>
        </w:rPr>
        <w:t>Consideration Given to Information Technology</w:t>
      </w:r>
    </w:p>
    <w:p w:rsidR="00FF63D7" w:rsidRPr="00FF63D7" w:rsidRDefault="00FF63D7" w:rsidP="00FF63D7">
      <w:pPr>
        <w:spacing w:after="0" w:line="240" w:lineRule="auto"/>
        <w:outlineLvl w:val="0"/>
        <w:rPr>
          <w:rFonts w:asciiTheme="majorHAnsi" w:hAnsiTheme="majorHAnsi"/>
          <w:b/>
        </w:rPr>
      </w:pPr>
    </w:p>
    <w:p w:rsidR="005E7C31" w:rsidRDefault="00286061" w:rsidP="00256D42">
      <w:pPr>
        <w:rPr>
          <w:rFonts w:asciiTheme="majorHAnsi" w:hAnsiTheme="majorHAnsi"/>
        </w:rPr>
      </w:pPr>
      <w:r>
        <w:rPr>
          <w:rFonts w:asciiTheme="majorHAnsi" w:hAnsiTheme="majorHAnsi"/>
        </w:rPr>
        <w:t>In order to encourage participation and reduce burden on participants, c</w:t>
      </w:r>
      <w:r w:rsidR="00C91746">
        <w:rPr>
          <w:rFonts w:asciiTheme="majorHAnsi" w:hAnsiTheme="majorHAnsi"/>
        </w:rPr>
        <w:t xml:space="preserve">itizen science and crowdsourcing efforts </w:t>
      </w:r>
      <w:r>
        <w:rPr>
          <w:rFonts w:asciiTheme="majorHAnsi" w:hAnsiTheme="majorHAnsi"/>
        </w:rPr>
        <w:t xml:space="preserve">often </w:t>
      </w:r>
      <w:r w:rsidR="00C91746">
        <w:rPr>
          <w:rFonts w:asciiTheme="majorHAnsi" w:hAnsiTheme="majorHAnsi"/>
        </w:rPr>
        <w:t>utilize information technology</w:t>
      </w:r>
      <w:r>
        <w:rPr>
          <w:rFonts w:asciiTheme="majorHAnsi" w:hAnsiTheme="majorHAnsi"/>
        </w:rPr>
        <w:t xml:space="preserve"> that is available to a number of potential participants</w:t>
      </w:r>
      <w:r w:rsidR="005F516A">
        <w:rPr>
          <w:rFonts w:asciiTheme="majorHAnsi" w:hAnsiTheme="majorHAnsi"/>
        </w:rPr>
        <w:t xml:space="preserve"> (cell phones, personal computers, tablets, etc.)</w:t>
      </w:r>
      <w:r w:rsidR="002E57D2">
        <w:rPr>
          <w:rFonts w:asciiTheme="majorHAnsi" w:hAnsiTheme="majorHAnsi"/>
        </w:rPr>
        <w:t xml:space="preserve">. </w:t>
      </w:r>
      <w:r w:rsidR="00C91746">
        <w:rPr>
          <w:rFonts w:asciiTheme="majorHAnsi" w:hAnsiTheme="majorHAnsi"/>
        </w:rPr>
        <w:t>T</w:t>
      </w:r>
      <w:r w:rsidR="00A27B43">
        <w:rPr>
          <w:rFonts w:asciiTheme="majorHAnsi" w:hAnsiTheme="majorHAnsi"/>
        </w:rPr>
        <w:t xml:space="preserve">he </w:t>
      </w:r>
      <w:r w:rsidR="002B03EA">
        <w:rPr>
          <w:rFonts w:asciiTheme="majorHAnsi" w:hAnsiTheme="majorHAnsi"/>
        </w:rPr>
        <w:t>projects submitted under this generic clearance may</w:t>
      </w:r>
      <w:r w:rsidR="005E7C31" w:rsidRPr="00256D42">
        <w:rPr>
          <w:rFonts w:asciiTheme="majorHAnsi" w:hAnsiTheme="majorHAnsi"/>
        </w:rPr>
        <w:t xml:space="preserve"> collect information electronically</w:t>
      </w:r>
      <w:r w:rsidR="002E57D2">
        <w:rPr>
          <w:rFonts w:asciiTheme="majorHAnsi" w:hAnsiTheme="majorHAnsi"/>
        </w:rPr>
        <w:t xml:space="preserve"> through </w:t>
      </w:r>
      <w:r w:rsidR="009A131E">
        <w:rPr>
          <w:rFonts w:asciiTheme="majorHAnsi" w:hAnsiTheme="majorHAnsi"/>
        </w:rPr>
        <w:t xml:space="preserve">new and existing </w:t>
      </w:r>
      <w:r w:rsidR="005E7C31" w:rsidRPr="00256D42">
        <w:rPr>
          <w:rFonts w:asciiTheme="majorHAnsi" w:hAnsiTheme="majorHAnsi"/>
        </w:rPr>
        <w:t>online collaboration tools</w:t>
      </w:r>
      <w:r w:rsidR="00A27B43">
        <w:rPr>
          <w:rFonts w:asciiTheme="majorHAnsi" w:hAnsiTheme="majorHAnsi"/>
        </w:rPr>
        <w:t xml:space="preserve">, </w:t>
      </w:r>
      <w:r w:rsidR="002E57D2">
        <w:rPr>
          <w:rFonts w:asciiTheme="majorHAnsi" w:hAnsiTheme="majorHAnsi"/>
        </w:rPr>
        <w:t>cell phone app</w:t>
      </w:r>
      <w:r w:rsidR="009A131E">
        <w:rPr>
          <w:rFonts w:asciiTheme="majorHAnsi" w:hAnsiTheme="majorHAnsi"/>
        </w:rPr>
        <w:t>lication</w:t>
      </w:r>
      <w:r w:rsidR="002E57D2">
        <w:rPr>
          <w:rFonts w:asciiTheme="majorHAnsi" w:hAnsiTheme="majorHAnsi"/>
        </w:rPr>
        <w:t>s</w:t>
      </w:r>
      <w:r w:rsidR="009A131E">
        <w:rPr>
          <w:rFonts w:asciiTheme="majorHAnsi" w:hAnsiTheme="majorHAnsi"/>
        </w:rPr>
        <w:t xml:space="preserve"> (apps)</w:t>
      </w:r>
      <w:r w:rsidR="00802DE6">
        <w:rPr>
          <w:rFonts w:asciiTheme="majorHAnsi" w:hAnsiTheme="majorHAnsi"/>
        </w:rPr>
        <w:t xml:space="preserve"> or SMS</w:t>
      </w:r>
      <w:r w:rsidR="002E57D2">
        <w:rPr>
          <w:rFonts w:asciiTheme="majorHAnsi" w:hAnsiTheme="majorHAnsi"/>
        </w:rPr>
        <w:t>,</w:t>
      </w:r>
      <w:r w:rsidR="000D59B1">
        <w:rPr>
          <w:rFonts w:asciiTheme="majorHAnsi" w:hAnsiTheme="majorHAnsi"/>
        </w:rPr>
        <w:t xml:space="preserve"> </w:t>
      </w:r>
      <w:r w:rsidR="002E57D2">
        <w:rPr>
          <w:rFonts w:asciiTheme="majorHAnsi" w:hAnsiTheme="majorHAnsi"/>
        </w:rPr>
        <w:t>web-based forms, online computer programs</w:t>
      </w:r>
      <w:r w:rsidR="000E3F72">
        <w:rPr>
          <w:rFonts w:asciiTheme="majorHAnsi" w:hAnsiTheme="majorHAnsi"/>
        </w:rPr>
        <w:t xml:space="preserve"> or forms</w:t>
      </w:r>
      <w:r w:rsidR="002E57D2">
        <w:rPr>
          <w:rFonts w:asciiTheme="majorHAnsi" w:hAnsiTheme="majorHAnsi"/>
        </w:rPr>
        <w:t xml:space="preserve">, </w:t>
      </w:r>
      <w:r w:rsidR="003D61DB">
        <w:rPr>
          <w:rFonts w:asciiTheme="majorHAnsi" w:hAnsiTheme="majorHAnsi"/>
        </w:rPr>
        <w:t xml:space="preserve">social media platforms, </w:t>
      </w:r>
      <w:r w:rsidR="002B03EA">
        <w:rPr>
          <w:rFonts w:asciiTheme="majorHAnsi" w:hAnsiTheme="majorHAnsi"/>
        </w:rPr>
        <w:t xml:space="preserve">or </w:t>
      </w:r>
      <w:r w:rsidR="003D61DB">
        <w:rPr>
          <w:rFonts w:asciiTheme="majorHAnsi" w:hAnsiTheme="majorHAnsi"/>
        </w:rPr>
        <w:t>sensors (</w:t>
      </w:r>
      <w:r w:rsidR="000E3F72">
        <w:rPr>
          <w:rFonts w:asciiTheme="majorHAnsi" w:hAnsiTheme="majorHAnsi"/>
        </w:rPr>
        <w:t xml:space="preserve">personal, </w:t>
      </w:r>
      <w:r w:rsidR="003D61DB">
        <w:rPr>
          <w:rFonts w:asciiTheme="majorHAnsi" w:hAnsiTheme="majorHAnsi"/>
        </w:rPr>
        <w:t xml:space="preserve">mobile, </w:t>
      </w:r>
      <w:r w:rsidR="00A27B43">
        <w:rPr>
          <w:rFonts w:asciiTheme="majorHAnsi" w:hAnsiTheme="majorHAnsi"/>
        </w:rPr>
        <w:t>stationary</w:t>
      </w:r>
      <w:r w:rsidR="00C91746">
        <w:rPr>
          <w:rFonts w:asciiTheme="majorHAnsi" w:hAnsiTheme="majorHAnsi"/>
        </w:rPr>
        <w:t xml:space="preserve"> or portable</w:t>
      </w:r>
      <w:r w:rsidR="003D61DB">
        <w:rPr>
          <w:rFonts w:asciiTheme="majorHAnsi" w:hAnsiTheme="majorHAnsi"/>
        </w:rPr>
        <w:t>)</w:t>
      </w:r>
      <w:r w:rsidR="005E7C31" w:rsidRPr="00256D42">
        <w:rPr>
          <w:rFonts w:asciiTheme="majorHAnsi" w:hAnsiTheme="majorHAnsi"/>
        </w:rPr>
        <w:t>.</w:t>
      </w:r>
    </w:p>
    <w:p w:rsidR="00983608" w:rsidRDefault="00983608" w:rsidP="00256D42">
      <w:pPr>
        <w:rPr>
          <w:rFonts w:asciiTheme="majorHAnsi" w:hAnsiTheme="majorHAnsi"/>
          <w:b/>
        </w:rPr>
      </w:pPr>
      <w:r w:rsidRPr="00256D42">
        <w:rPr>
          <w:rFonts w:asciiTheme="majorHAnsi" w:hAnsiTheme="majorHAnsi"/>
          <w:b/>
        </w:rPr>
        <w:t>4.</w:t>
      </w:r>
      <w:r w:rsidRPr="00256D42">
        <w:rPr>
          <w:rFonts w:asciiTheme="majorHAnsi" w:hAnsiTheme="majorHAnsi"/>
          <w:b/>
        </w:rPr>
        <w:tab/>
        <w:t xml:space="preserve"> Duplication of Information</w:t>
      </w:r>
    </w:p>
    <w:p w:rsidR="009462BB" w:rsidRDefault="00F6389C" w:rsidP="00256D42">
      <w:pPr>
        <w:rPr>
          <w:rFonts w:asciiTheme="majorHAnsi" w:hAnsiTheme="majorHAnsi"/>
        </w:rPr>
      </w:pPr>
      <w:r w:rsidRPr="00F6389C">
        <w:rPr>
          <w:rFonts w:asciiTheme="majorHAnsi" w:hAnsiTheme="majorHAnsi"/>
        </w:rPr>
        <w:lastRenderedPageBreak/>
        <w:t>No similar data are gathered or maintained by the Agency or are available from other sources known to the Agency.</w:t>
      </w:r>
    </w:p>
    <w:p w:rsidR="00983608" w:rsidRDefault="00983608" w:rsidP="00256D42">
      <w:pPr>
        <w:rPr>
          <w:rFonts w:asciiTheme="majorHAnsi" w:hAnsiTheme="majorHAnsi"/>
          <w:b/>
        </w:rPr>
      </w:pPr>
      <w:r w:rsidRPr="00256D42">
        <w:rPr>
          <w:rFonts w:asciiTheme="majorHAnsi" w:hAnsiTheme="majorHAnsi"/>
          <w:b/>
        </w:rPr>
        <w:t>5.</w:t>
      </w:r>
      <w:r w:rsidRPr="00256D42">
        <w:rPr>
          <w:rFonts w:asciiTheme="majorHAnsi" w:hAnsiTheme="majorHAnsi"/>
          <w:b/>
        </w:rPr>
        <w:tab/>
        <w:t xml:space="preserve">Reducing the Burden on Small Entities </w:t>
      </w:r>
    </w:p>
    <w:p w:rsidR="005C2F9D" w:rsidRPr="00256D42" w:rsidRDefault="000D25B0" w:rsidP="00256D42">
      <w:pPr>
        <w:rPr>
          <w:rFonts w:asciiTheme="majorHAnsi" w:hAnsiTheme="majorHAnsi"/>
        </w:rPr>
      </w:pPr>
      <w:r>
        <w:rPr>
          <w:rFonts w:asciiTheme="majorHAnsi" w:hAnsiTheme="majorHAnsi"/>
        </w:rPr>
        <w:t xml:space="preserve">The collection tools for citizen science activities will be presented in a way that is quick and simple for users to enter in data. All activities will be voluntary and thus respondents will not face any burden if the activity does not interest them. </w:t>
      </w:r>
    </w:p>
    <w:p w:rsidR="00EC78B7" w:rsidRDefault="005C2F9D" w:rsidP="00256D42">
      <w:pPr>
        <w:rPr>
          <w:rFonts w:asciiTheme="majorHAnsi" w:hAnsiTheme="majorHAnsi"/>
          <w:b/>
        </w:rPr>
      </w:pPr>
      <w:r>
        <w:rPr>
          <w:rFonts w:asciiTheme="majorHAnsi" w:hAnsiTheme="majorHAnsi"/>
          <w:b/>
        </w:rPr>
        <w:t>6.</w:t>
      </w:r>
      <w:r>
        <w:rPr>
          <w:rFonts w:asciiTheme="majorHAnsi" w:hAnsiTheme="majorHAnsi"/>
          <w:b/>
        </w:rPr>
        <w:tab/>
        <w:t>Consequences of not Conducting Collection</w:t>
      </w:r>
    </w:p>
    <w:p w:rsidR="006B131D" w:rsidRDefault="00DC7588" w:rsidP="00256D42">
      <w:pPr>
        <w:rPr>
          <w:rFonts w:asciiTheme="majorHAnsi" w:hAnsiTheme="majorHAnsi"/>
        </w:rPr>
      </w:pPr>
      <w:r>
        <w:rPr>
          <w:rFonts w:asciiTheme="majorHAnsi" w:hAnsiTheme="majorHAnsi"/>
        </w:rPr>
        <w:t>If unable to</w:t>
      </w:r>
      <w:r w:rsidR="00446CB7">
        <w:rPr>
          <w:rFonts w:asciiTheme="majorHAnsi" w:hAnsiTheme="majorHAnsi"/>
        </w:rPr>
        <w:t xml:space="preserve"> </w:t>
      </w:r>
      <w:r w:rsidR="00CA1D18" w:rsidRPr="00CA1D18">
        <w:rPr>
          <w:rFonts w:asciiTheme="majorHAnsi" w:hAnsiTheme="majorHAnsi"/>
        </w:rPr>
        <w:t>collect</w:t>
      </w:r>
      <w:r w:rsidR="00F11E02">
        <w:rPr>
          <w:rFonts w:asciiTheme="majorHAnsi" w:hAnsiTheme="majorHAnsi"/>
        </w:rPr>
        <w:t xml:space="preserve"> </w:t>
      </w:r>
      <w:r w:rsidR="00CA1D18" w:rsidRPr="00CA1D18">
        <w:rPr>
          <w:rFonts w:asciiTheme="majorHAnsi" w:hAnsiTheme="majorHAnsi"/>
        </w:rPr>
        <w:t xml:space="preserve">information </w:t>
      </w:r>
      <w:r w:rsidR="00F11E02">
        <w:rPr>
          <w:rFonts w:asciiTheme="majorHAnsi" w:hAnsiTheme="majorHAnsi"/>
        </w:rPr>
        <w:t xml:space="preserve">through citizen science or crowdsourcing methods </w:t>
      </w:r>
      <w:r w:rsidR="00653E37">
        <w:rPr>
          <w:rFonts w:asciiTheme="majorHAnsi" w:hAnsiTheme="majorHAnsi"/>
        </w:rPr>
        <w:t xml:space="preserve">under a </w:t>
      </w:r>
      <w:r w:rsidR="00446CB7">
        <w:rPr>
          <w:rFonts w:asciiTheme="majorHAnsi" w:hAnsiTheme="majorHAnsi"/>
        </w:rPr>
        <w:t xml:space="preserve">generic </w:t>
      </w:r>
      <w:r w:rsidR="00653E37">
        <w:rPr>
          <w:rFonts w:asciiTheme="majorHAnsi" w:hAnsiTheme="majorHAnsi"/>
        </w:rPr>
        <w:t>ICR</w:t>
      </w:r>
      <w:r>
        <w:rPr>
          <w:rFonts w:asciiTheme="majorHAnsi" w:hAnsiTheme="majorHAnsi"/>
        </w:rPr>
        <w:t>,</w:t>
      </w:r>
      <w:r w:rsidR="00653E37">
        <w:rPr>
          <w:rFonts w:asciiTheme="majorHAnsi" w:hAnsiTheme="majorHAnsi"/>
        </w:rPr>
        <w:t xml:space="preserve"> </w:t>
      </w:r>
      <w:r w:rsidR="00CA1D18" w:rsidRPr="00CA1D18">
        <w:rPr>
          <w:rFonts w:asciiTheme="majorHAnsi" w:hAnsiTheme="majorHAnsi"/>
        </w:rPr>
        <w:t xml:space="preserve">the </w:t>
      </w:r>
      <w:r w:rsidR="00CB1FE0">
        <w:rPr>
          <w:rFonts w:asciiTheme="majorHAnsi" w:hAnsiTheme="majorHAnsi"/>
        </w:rPr>
        <w:t xml:space="preserve">Agency </w:t>
      </w:r>
      <w:r>
        <w:rPr>
          <w:rFonts w:asciiTheme="majorHAnsi" w:hAnsiTheme="majorHAnsi"/>
        </w:rPr>
        <w:t>would be</w:t>
      </w:r>
      <w:r w:rsidR="00CB1FE0">
        <w:rPr>
          <w:rFonts w:asciiTheme="majorHAnsi" w:hAnsiTheme="majorHAnsi"/>
        </w:rPr>
        <w:t xml:space="preserve"> </w:t>
      </w:r>
      <w:r w:rsidR="00CA1D18" w:rsidRPr="00CA1D18">
        <w:rPr>
          <w:rFonts w:asciiTheme="majorHAnsi" w:hAnsiTheme="majorHAnsi"/>
        </w:rPr>
        <w:t>unable to</w:t>
      </w:r>
      <w:r w:rsidR="006B131D">
        <w:rPr>
          <w:rFonts w:asciiTheme="majorHAnsi" w:hAnsiTheme="majorHAnsi"/>
        </w:rPr>
        <w:t xml:space="preserve"> </w:t>
      </w:r>
      <w:r w:rsidR="002C0BEB">
        <w:rPr>
          <w:rFonts w:asciiTheme="majorHAnsi" w:hAnsiTheme="majorHAnsi"/>
        </w:rPr>
        <w:t xml:space="preserve">adapt and </w:t>
      </w:r>
      <w:r w:rsidR="006B131D">
        <w:rPr>
          <w:rFonts w:asciiTheme="majorHAnsi" w:hAnsiTheme="majorHAnsi"/>
        </w:rPr>
        <w:t>utilize</w:t>
      </w:r>
      <w:r w:rsidR="00F11E02">
        <w:rPr>
          <w:rFonts w:asciiTheme="majorHAnsi" w:hAnsiTheme="majorHAnsi"/>
        </w:rPr>
        <w:t xml:space="preserve"> these </w:t>
      </w:r>
      <w:r w:rsidR="006B131D">
        <w:rPr>
          <w:rFonts w:asciiTheme="majorHAnsi" w:hAnsiTheme="majorHAnsi"/>
        </w:rPr>
        <w:t>innovative tools</w:t>
      </w:r>
      <w:r w:rsidR="002C0BEB">
        <w:rPr>
          <w:rFonts w:asciiTheme="majorHAnsi" w:hAnsiTheme="majorHAnsi"/>
        </w:rPr>
        <w:t xml:space="preserve"> </w:t>
      </w:r>
      <w:r w:rsidR="00F811D0">
        <w:rPr>
          <w:rFonts w:asciiTheme="majorHAnsi" w:hAnsiTheme="majorHAnsi"/>
        </w:rPr>
        <w:t xml:space="preserve">in a timely manner </w:t>
      </w:r>
      <w:r w:rsidR="006B131D" w:rsidRPr="00040880">
        <w:rPr>
          <w:rFonts w:asciiTheme="majorHAnsi" w:hAnsiTheme="majorHAnsi"/>
        </w:rPr>
        <w:t>to engage the public in Agency science. With these methods, EPA</w:t>
      </w:r>
      <w:r w:rsidR="00BF0D5A">
        <w:rPr>
          <w:rFonts w:asciiTheme="majorHAnsi" w:hAnsiTheme="majorHAnsi"/>
        </w:rPr>
        <w:t xml:space="preserve"> </w:t>
      </w:r>
      <w:r w:rsidR="00D2715B">
        <w:rPr>
          <w:rFonts w:asciiTheme="majorHAnsi" w:hAnsiTheme="majorHAnsi"/>
        </w:rPr>
        <w:t>benefit</w:t>
      </w:r>
      <w:r w:rsidR="00BF0D5A">
        <w:rPr>
          <w:rFonts w:asciiTheme="majorHAnsi" w:hAnsiTheme="majorHAnsi"/>
        </w:rPr>
        <w:t>s</w:t>
      </w:r>
      <w:r w:rsidR="006B131D" w:rsidRPr="00040880">
        <w:rPr>
          <w:rFonts w:asciiTheme="majorHAnsi" w:hAnsiTheme="majorHAnsi"/>
        </w:rPr>
        <w:t xml:space="preserve"> </w:t>
      </w:r>
      <w:r w:rsidR="00D2715B">
        <w:rPr>
          <w:rFonts w:asciiTheme="majorHAnsi" w:hAnsiTheme="majorHAnsi"/>
        </w:rPr>
        <w:t>from</w:t>
      </w:r>
      <w:r w:rsidR="006B131D" w:rsidRPr="00040880">
        <w:rPr>
          <w:rFonts w:asciiTheme="majorHAnsi" w:hAnsiTheme="majorHAnsi"/>
        </w:rPr>
        <w:t xml:space="preserve"> the public’s knowledge, expertise, and willingness to contribute to scientific </w:t>
      </w:r>
      <w:r w:rsidR="00446CB7">
        <w:rPr>
          <w:rFonts w:asciiTheme="majorHAnsi" w:hAnsiTheme="majorHAnsi"/>
        </w:rPr>
        <w:t>endeavors</w:t>
      </w:r>
      <w:r w:rsidR="00446CB7" w:rsidRPr="00040880">
        <w:rPr>
          <w:rFonts w:asciiTheme="majorHAnsi" w:hAnsiTheme="majorHAnsi"/>
        </w:rPr>
        <w:t xml:space="preserve"> </w:t>
      </w:r>
      <w:r w:rsidR="006B131D" w:rsidRPr="00040880">
        <w:rPr>
          <w:rFonts w:asciiTheme="majorHAnsi" w:hAnsiTheme="majorHAnsi"/>
        </w:rPr>
        <w:t xml:space="preserve">that </w:t>
      </w:r>
      <w:r w:rsidR="00BF0D5A">
        <w:rPr>
          <w:rFonts w:asciiTheme="majorHAnsi" w:hAnsiTheme="majorHAnsi"/>
        </w:rPr>
        <w:t>rely on</w:t>
      </w:r>
      <w:r w:rsidR="006B131D" w:rsidRPr="00040880">
        <w:rPr>
          <w:rFonts w:asciiTheme="majorHAnsi" w:hAnsiTheme="majorHAnsi"/>
        </w:rPr>
        <w:t xml:space="preserve"> large and geographically comprehensive datasets. The public and other organizations are beginning to capture and organize data with smartphones and portable sensors; </w:t>
      </w:r>
      <w:r w:rsidR="00B6596E">
        <w:rPr>
          <w:rFonts w:asciiTheme="majorHAnsi" w:hAnsiTheme="majorHAnsi"/>
        </w:rPr>
        <w:t xml:space="preserve">the Agency’s </w:t>
      </w:r>
      <w:r w:rsidR="00F34590">
        <w:rPr>
          <w:rFonts w:asciiTheme="majorHAnsi" w:hAnsiTheme="majorHAnsi"/>
        </w:rPr>
        <w:t xml:space="preserve">involvement will allow </w:t>
      </w:r>
      <w:r w:rsidR="006B131D" w:rsidRPr="00040880">
        <w:rPr>
          <w:rFonts w:asciiTheme="majorHAnsi" w:hAnsiTheme="majorHAnsi"/>
        </w:rPr>
        <w:t xml:space="preserve">for </w:t>
      </w:r>
      <w:r w:rsidR="00F34590">
        <w:rPr>
          <w:rFonts w:asciiTheme="majorHAnsi" w:hAnsiTheme="majorHAnsi"/>
        </w:rPr>
        <w:t>publically</w:t>
      </w:r>
      <w:r w:rsidR="006B131D" w:rsidRPr="00040880">
        <w:rPr>
          <w:rFonts w:asciiTheme="majorHAnsi" w:hAnsiTheme="majorHAnsi"/>
        </w:rPr>
        <w:t xml:space="preserve">-generated data to effectively support EPA research, including initiating data collection, developing innovative methods for data processing, and managing data quality. </w:t>
      </w:r>
      <w:r w:rsidR="00D33212" w:rsidRPr="00D33212">
        <w:rPr>
          <w:rFonts w:asciiTheme="majorHAnsi" w:hAnsiTheme="majorHAnsi"/>
        </w:rPr>
        <w:t xml:space="preserve">EPA research innovation </w:t>
      </w:r>
      <w:r w:rsidR="00760864">
        <w:rPr>
          <w:rFonts w:asciiTheme="majorHAnsi" w:hAnsiTheme="majorHAnsi"/>
        </w:rPr>
        <w:t xml:space="preserve">significantly </w:t>
      </w:r>
      <w:r w:rsidR="00AE3FCF">
        <w:rPr>
          <w:rFonts w:asciiTheme="majorHAnsi" w:hAnsiTheme="majorHAnsi"/>
        </w:rPr>
        <w:t>benefits</w:t>
      </w:r>
      <w:r w:rsidR="00760864">
        <w:rPr>
          <w:rFonts w:asciiTheme="majorHAnsi" w:hAnsiTheme="majorHAnsi"/>
        </w:rPr>
        <w:t xml:space="preserve"> by</w:t>
      </w:r>
      <w:r w:rsidR="00D33212" w:rsidRPr="00D33212">
        <w:rPr>
          <w:rFonts w:asciiTheme="majorHAnsi" w:hAnsiTheme="majorHAnsi"/>
        </w:rPr>
        <w:t xml:space="preserve"> EPA researchers hav</w:t>
      </w:r>
      <w:r w:rsidR="00760864">
        <w:rPr>
          <w:rFonts w:asciiTheme="majorHAnsi" w:hAnsiTheme="majorHAnsi"/>
        </w:rPr>
        <w:t>ing</w:t>
      </w:r>
      <w:r w:rsidR="00AE3FCF">
        <w:rPr>
          <w:rFonts w:asciiTheme="majorHAnsi" w:hAnsiTheme="majorHAnsi"/>
        </w:rPr>
        <w:t xml:space="preserve"> </w:t>
      </w:r>
      <w:r w:rsidR="00D33212" w:rsidRPr="00D33212">
        <w:rPr>
          <w:rFonts w:asciiTheme="majorHAnsi" w:hAnsiTheme="majorHAnsi"/>
        </w:rPr>
        <w:t>access to the newest technologies affording the opportunity to contribute meaningfully to low-cost sensor testing and use.</w:t>
      </w:r>
      <w:r w:rsidR="006B131D" w:rsidRPr="00040880">
        <w:rPr>
          <w:rFonts w:asciiTheme="majorHAnsi" w:hAnsiTheme="majorHAnsi"/>
        </w:rPr>
        <w:t xml:space="preserve"> Moreover, members of the public</w:t>
      </w:r>
      <w:r w:rsidR="00E40EF1">
        <w:rPr>
          <w:rFonts w:asciiTheme="majorHAnsi" w:hAnsiTheme="majorHAnsi"/>
        </w:rPr>
        <w:t xml:space="preserve"> </w:t>
      </w:r>
      <w:r w:rsidR="006B131D" w:rsidRPr="00040880">
        <w:rPr>
          <w:rFonts w:asciiTheme="majorHAnsi" w:hAnsiTheme="majorHAnsi"/>
        </w:rPr>
        <w:t xml:space="preserve">enjoy participating in citizen science and crowdsourcing projects, which are fun, educational, engaging, and </w:t>
      </w:r>
      <w:r w:rsidR="00E40EF1">
        <w:rPr>
          <w:rFonts w:asciiTheme="majorHAnsi" w:hAnsiTheme="majorHAnsi"/>
        </w:rPr>
        <w:t xml:space="preserve">will </w:t>
      </w:r>
      <w:r w:rsidR="006B131D" w:rsidRPr="00040880">
        <w:rPr>
          <w:rFonts w:asciiTheme="majorHAnsi" w:hAnsiTheme="majorHAnsi"/>
        </w:rPr>
        <w:t xml:space="preserve">allow for more open communication between EPA and the public; citizen science projects in other agencies have gathered millions of data points contributed by hundreds of thousands of interested individuals. These projects are always voluntary, low-burden, and rely on the </w:t>
      </w:r>
      <w:r w:rsidR="00C441E6">
        <w:rPr>
          <w:rFonts w:asciiTheme="majorHAnsi" w:hAnsiTheme="majorHAnsi"/>
        </w:rPr>
        <w:t xml:space="preserve">interest and </w:t>
      </w:r>
      <w:r w:rsidR="006B131D" w:rsidRPr="00040880">
        <w:rPr>
          <w:rFonts w:asciiTheme="majorHAnsi" w:hAnsiTheme="majorHAnsi"/>
        </w:rPr>
        <w:t>self-motivation of the participants.</w:t>
      </w:r>
      <w:r w:rsidR="00E81F12">
        <w:rPr>
          <w:rFonts w:asciiTheme="majorHAnsi" w:hAnsiTheme="majorHAnsi"/>
        </w:rPr>
        <w:t xml:space="preserve"> Finally, projects under this </w:t>
      </w:r>
      <w:r w:rsidR="0030171E">
        <w:rPr>
          <w:rFonts w:asciiTheme="majorHAnsi" w:hAnsiTheme="majorHAnsi"/>
        </w:rPr>
        <w:t>generic clearance</w:t>
      </w:r>
      <w:r w:rsidR="00E81F12">
        <w:rPr>
          <w:rFonts w:asciiTheme="majorHAnsi" w:hAnsiTheme="majorHAnsi"/>
        </w:rPr>
        <w:t xml:space="preserve"> w</w:t>
      </w:r>
      <w:r w:rsidR="00162E75">
        <w:rPr>
          <w:rFonts w:asciiTheme="majorHAnsi" w:hAnsiTheme="majorHAnsi"/>
        </w:rPr>
        <w:t>ill</w:t>
      </w:r>
      <w:r w:rsidR="006B131D" w:rsidRPr="00040880">
        <w:rPr>
          <w:rFonts w:asciiTheme="majorHAnsi" w:hAnsiTheme="majorHAnsi"/>
        </w:rPr>
        <w:t xml:space="preserve"> allow</w:t>
      </w:r>
      <w:r w:rsidR="0011683C">
        <w:rPr>
          <w:rFonts w:asciiTheme="majorHAnsi" w:hAnsiTheme="majorHAnsi"/>
        </w:rPr>
        <w:t xml:space="preserve"> </w:t>
      </w:r>
      <w:r w:rsidR="00E81F12">
        <w:rPr>
          <w:rFonts w:asciiTheme="majorHAnsi" w:hAnsiTheme="majorHAnsi"/>
        </w:rPr>
        <w:t xml:space="preserve">Agency </w:t>
      </w:r>
      <w:r w:rsidR="006B131D" w:rsidRPr="00040880">
        <w:rPr>
          <w:rFonts w:asciiTheme="majorHAnsi" w:hAnsiTheme="majorHAnsi"/>
        </w:rPr>
        <w:t>researchers to test ideas more quickly, respond to the project’s needs as they evolve, and incorporate feedback from participants</w:t>
      </w:r>
      <w:r w:rsidR="00162E75">
        <w:rPr>
          <w:rFonts w:asciiTheme="majorHAnsi" w:hAnsiTheme="majorHAnsi"/>
        </w:rPr>
        <w:t xml:space="preserve"> for </w:t>
      </w:r>
      <w:r w:rsidR="006B131D" w:rsidRPr="00040880">
        <w:rPr>
          <w:rFonts w:asciiTheme="majorHAnsi" w:hAnsiTheme="majorHAnsi"/>
        </w:rPr>
        <w:t xml:space="preserve">flexible, innovative research methods </w:t>
      </w:r>
      <w:r w:rsidR="00162E75">
        <w:rPr>
          <w:rFonts w:asciiTheme="majorHAnsi" w:hAnsiTheme="majorHAnsi"/>
        </w:rPr>
        <w:t>that</w:t>
      </w:r>
      <w:r w:rsidR="006B131D" w:rsidRPr="00040880">
        <w:rPr>
          <w:rFonts w:asciiTheme="majorHAnsi" w:hAnsiTheme="majorHAnsi"/>
        </w:rPr>
        <w:t xml:space="preserve"> involv</w:t>
      </w:r>
      <w:r w:rsidR="00162E75">
        <w:rPr>
          <w:rFonts w:asciiTheme="majorHAnsi" w:hAnsiTheme="majorHAnsi"/>
        </w:rPr>
        <w:t>es</w:t>
      </w:r>
      <w:r w:rsidR="006B131D" w:rsidRPr="00040880">
        <w:rPr>
          <w:rFonts w:asciiTheme="majorHAnsi" w:hAnsiTheme="majorHAnsi"/>
        </w:rPr>
        <w:t xml:space="preserve"> the public in a variety of aspects of scientific research</w:t>
      </w:r>
      <w:r w:rsidR="0011683C">
        <w:rPr>
          <w:rFonts w:asciiTheme="majorHAnsi" w:hAnsiTheme="majorHAnsi"/>
        </w:rPr>
        <w:t>.</w:t>
      </w:r>
    </w:p>
    <w:p w:rsidR="007B636D" w:rsidRDefault="005C2F9D" w:rsidP="00256D42">
      <w:pPr>
        <w:rPr>
          <w:rFonts w:asciiTheme="majorHAnsi" w:hAnsiTheme="majorHAnsi"/>
          <w:b/>
        </w:rPr>
      </w:pPr>
      <w:r>
        <w:rPr>
          <w:rFonts w:asciiTheme="majorHAnsi" w:hAnsiTheme="majorHAnsi"/>
          <w:b/>
        </w:rPr>
        <w:t xml:space="preserve">7. </w:t>
      </w:r>
      <w:r>
        <w:rPr>
          <w:rFonts w:asciiTheme="majorHAnsi" w:hAnsiTheme="majorHAnsi"/>
          <w:b/>
        </w:rPr>
        <w:tab/>
        <w:t>Special Circumstances</w:t>
      </w:r>
    </w:p>
    <w:p w:rsidR="002E07A9" w:rsidRDefault="002E07A9" w:rsidP="00256D42">
      <w:pPr>
        <w:rPr>
          <w:rFonts w:asciiTheme="majorHAnsi" w:hAnsiTheme="majorHAnsi"/>
        </w:rPr>
      </w:pPr>
      <w:r w:rsidRPr="002E07A9">
        <w:rPr>
          <w:rFonts w:asciiTheme="majorHAnsi" w:hAnsiTheme="majorHAnsi"/>
        </w:rPr>
        <w:t xml:space="preserve">There are no special circumstances. </w:t>
      </w:r>
      <w:r>
        <w:rPr>
          <w:rFonts w:asciiTheme="majorHAnsi" w:hAnsiTheme="majorHAnsi"/>
        </w:rPr>
        <w:t xml:space="preserve"> </w:t>
      </w:r>
    </w:p>
    <w:p w:rsidR="005C2F9D" w:rsidRDefault="005C2F9D" w:rsidP="00256D42">
      <w:pPr>
        <w:rPr>
          <w:rFonts w:asciiTheme="majorHAnsi" w:hAnsiTheme="majorHAnsi"/>
          <w:b/>
        </w:rPr>
      </w:pPr>
      <w:r>
        <w:rPr>
          <w:rFonts w:asciiTheme="majorHAnsi" w:hAnsiTheme="majorHAnsi"/>
          <w:b/>
        </w:rPr>
        <w:t>8.</w:t>
      </w:r>
      <w:r>
        <w:rPr>
          <w:rFonts w:asciiTheme="majorHAnsi" w:hAnsiTheme="majorHAnsi"/>
          <w:b/>
        </w:rPr>
        <w:tab/>
        <w:t xml:space="preserve">Consultations with Persons </w:t>
      </w:r>
      <w:r w:rsidR="0090509C">
        <w:rPr>
          <w:rFonts w:asciiTheme="majorHAnsi" w:hAnsiTheme="majorHAnsi"/>
          <w:b/>
        </w:rPr>
        <w:t>outside</w:t>
      </w:r>
      <w:r>
        <w:rPr>
          <w:rFonts w:asciiTheme="majorHAnsi" w:hAnsiTheme="majorHAnsi"/>
          <w:b/>
        </w:rPr>
        <w:t xml:space="preserve"> the Agency</w:t>
      </w:r>
    </w:p>
    <w:p w:rsidR="005C2F9D" w:rsidRPr="00256D42" w:rsidRDefault="005C2F9D" w:rsidP="00256D42">
      <w:pPr>
        <w:rPr>
          <w:rFonts w:asciiTheme="majorHAnsi" w:hAnsiTheme="majorHAnsi"/>
        </w:rPr>
      </w:pPr>
      <w:r w:rsidRPr="00256D42">
        <w:rPr>
          <w:rFonts w:asciiTheme="majorHAnsi" w:hAnsiTheme="majorHAnsi"/>
        </w:rPr>
        <w:t xml:space="preserve">In accordance with 5 CFR 1320.8(d), a notice for public comment </w:t>
      </w:r>
      <w:r w:rsidR="000D25B0">
        <w:rPr>
          <w:rFonts w:asciiTheme="majorHAnsi" w:hAnsiTheme="majorHAnsi"/>
        </w:rPr>
        <w:t>was</w:t>
      </w:r>
      <w:r w:rsidRPr="00256D42">
        <w:rPr>
          <w:rFonts w:asciiTheme="majorHAnsi" w:hAnsiTheme="majorHAnsi"/>
        </w:rPr>
        <w:t xml:space="preserve"> published in the Federal Register</w:t>
      </w:r>
      <w:r w:rsidR="00AC3989">
        <w:rPr>
          <w:rFonts w:asciiTheme="majorHAnsi" w:hAnsiTheme="majorHAnsi"/>
        </w:rPr>
        <w:t xml:space="preserve"> (</w:t>
      </w:r>
      <w:r w:rsidR="000D25B0">
        <w:rPr>
          <w:rFonts w:asciiTheme="majorHAnsi" w:hAnsiTheme="majorHAnsi"/>
        </w:rPr>
        <w:t>80 FR 59148</w:t>
      </w:r>
      <w:r w:rsidR="00AC3989">
        <w:rPr>
          <w:rFonts w:asciiTheme="majorHAnsi" w:hAnsiTheme="majorHAnsi"/>
        </w:rPr>
        <w:t>)</w:t>
      </w:r>
      <w:r w:rsidR="000D5246">
        <w:rPr>
          <w:rFonts w:asciiTheme="majorHAnsi" w:hAnsiTheme="majorHAnsi"/>
        </w:rPr>
        <w:t xml:space="preserve"> on October 1, 2015. No comments were received. </w:t>
      </w:r>
      <w:r w:rsidR="004D11F4">
        <w:rPr>
          <w:rFonts w:asciiTheme="majorHAnsi" w:hAnsiTheme="majorHAnsi"/>
        </w:rPr>
        <w:t>The Agency consulted with representatives</w:t>
      </w:r>
      <w:r w:rsidR="00B455AE">
        <w:rPr>
          <w:rFonts w:asciiTheme="majorHAnsi" w:hAnsiTheme="majorHAnsi"/>
        </w:rPr>
        <w:t xml:space="preserve"> at federal </w:t>
      </w:r>
      <w:r w:rsidR="00B455AE" w:rsidRPr="0006336B">
        <w:rPr>
          <w:rFonts w:asciiTheme="majorHAnsi" w:hAnsiTheme="majorHAnsi"/>
        </w:rPr>
        <w:t>agencies with citizen science and crowdsourcing efforts</w:t>
      </w:r>
      <w:r w:rsidR="00B455AE" w:rsidRPr="001F32E4">
        <w:rPr>
          <w:rFonts w:asciiTheme="majorHAnsi" w:hAnsiTheme="majorHAnsi"/>
        </w:rPr>
        <w:t>: USGS, HHS and USDA/</w:t>
      </w:r>
      <w:r w:rsidR="00B455AE">
        <w:rPr>
          <w:rFonts w:asciiTheme="majorHAnsi" w:hAnsiTheme="majorHAnsi"/>
        </w:rPr>
        <w:t>USFS</w:t>
      </w:r>
      <w:r w:rsidR="008E0C65">
        <w:rPr>
          <w:rFonts w:asciiTheme="majorHAnsi" w:hAnsiTheme="majorHAnsi"/>
        </w:rPr>
        <w:t>. The federal representatives are</w:t>
      </w:r>
      <w:r w:rsidR="008B1091">
        <w:rPr>
          <w:rFonts w:asciiTheme="majorHAnsi" w:hAnsiTheme="majorHAnsi"/>
        </w:rPr>
        <w:t xml:space="preserve"> </w:t>
      </w:r>
      <w:r w:rsidR="004D11F4">
        <w:rPr>
          <w:rFonts w:asciiTheme="majorHAnsi" w:hAnsiTheme="majorHAnsi"/>
        </w:rPr>
        <w:t xml:space="preserve">associated with the Federal Community of Practice </w:t>
      </w:r>
      <w:r w:rsidR="00D54561">
        <w:rPr>
          <w:rFonts w:asciiTheme="majorHAnsi" w:hAnsiTheme="majorHAnsi"/>
        </w:rPr>
        <w:t>on</w:t>
      </w:r>
      <w:r w:rsidR="004D11F4">
        <w:rPr>
          <w:rFonts w:asciiTheme="majorHAnsi" w:hAnsiTheme="majorHAnsi"/>
        </w:rPr>
        <w:t xml:space="preserve"> Crowdsourcing and Citizen Science (FCPCCS). Representatives reviewed a draft of this </w:t>
      </w:r>
      <w:r w:rsidR="0030171E">
        <w:rPr>
          <w:rFonts w:asciiTheme="majorHAnsi" w:hAnsiTheme="majorHAnsi"/>
        </w:rPr>
        <w:t>generic clearance</w:t>
      </w:r>
      <w:r w:rsidR="00C70D1A">
        <w:rPr>
          <w:rFonts w:asciiTheme="majorHAnsi" w:hAnsiTheme="majorHAnsi"/>
        </w:rPr>
        <w:t>. This document reflects the feedback an</w:t>
      </w:r>
      <w:r w:rsidR="003F4D8D">
        <w:rPr>
          <w:rFonts w:asciiTheme="majorHAnsi" w:hAnsiTheme="majorHAnsi"/>
        </w:rPr>
        <w:t>d</w:t>
      </w:r>
      <w:r w:rsidR="00C70D1A">
        <w:rPr>
          <w:rFonts w:asciiTheme="majorHAnsi" w:hAnsiTheme="majorHAnsi"/>
        </w:rPr>
        <w:t xml:space="preserve"> comments</w:t>
      </w:r>
      <w:r w:rsidR="003F4D8D">
        <w:rPr>
          <w:rFonts w:asciiTheme="majorHAnsi" w:hAnsiTheme="majorHAnsi"/>
        </w:rPr>
        <w:t xml:space="preserve"> from this community</w:t>
      </w:r>
      <w:r w:rsidR="00C70D1A">
        <w:rPr>
          <w:rFonts w:asciiTheme="majorHAnsi" w:hAnsiTheme="majorHAnsi"/>
        </w:rPr>
        <w:t>.</w:t>
      </w:r>
    </w:p>
    <w:p w:rsidR="005C2F9D" w:rsidRDefault="005C2F9D" w:rsidP="00256D42">
      <w:pPr>
        <w:rPr>
          <w:rFonts w:asciiTheme="majorHAnsi" w:hAnsiTheme="majorHAnsi"/>
          <w:b/>
        </w:rPr>
      </w:pPr>
      <w:r>
        <w:rPr>
          <w:rFonts w:asciiTheme="majorHAnsi" w:hAnsiTheme="majorHAnsi"/>
          <w:b/>
        </w:rPr>
        <w:t>9.</w:t>
      </w:r>
      <w:r>
        <w:rPr>
          <w:rFonts w:asciiTheme="majorHAnsi" w:hAnsiTheme="majorHAnsi"/>
          <w:b/>
        </w:rPr>
        <w:tab/>
      </w:r>
      <w:r w:rsidR="002442AE">
        <w:rPr>
          <w:rFonts w:asciiTheme="majorHAnsi" w:hAnsiTheme="majorHAnsi"/>
          <w:b/>
        </w:rPr>
        <w:t>Payment of Gift</w:t>
      </w:r>
    </w:p>
    <w:p w:rsidR="00E44D3B" w:rsidRPr="00256D42" w:rsidRDefault="00E44D3B" w:rsidP="00E44D3B">
      <w:pPr>
        <w:rPr>
          <w:rFonts w:asciiTheme="majorHAnsi" w:hAnsiTheme="majorHAnsi"/>
        </w:rPr>
      </w:pPr>
      <w:r w:rsidRPr="00256D42">
        <w:rPr>
          <w:rFonts w:asciiTheme="majorHAnsi" w:hAnsiTheme="majorHAnsi"/>
        </w:rPr>
        <w:t xml:space="preserve">The Agency will not provide payment or other forms of remuneration to </w:t>
      </w:r>
      <w:r>
        <w:rPr>
          <w:rFonts w:asciiTheme="majorHAnsi" w:hAnsiTheme="majorHAnsi"/>
        </w:rPr>
        <w:t>participants</w:t>
      </w:r>
      <w:r w:rsidRPr="00256D42">
        <w:rPr>
          <w:rFonts w:asciiTheme="majorHAnsi" w:hAnsiTheme="majorHAnsi"/>
        </w:rPr>
        <w:t xml:space="preserve">.  </w:t>
      </w:r>
    </w:p>
    <w:p w:rsidR="00983608" w:rsidRDefault="00422033" w:rsidP="00256D42">
      <w:pPr>
        <w:rPr>
          <w:rFonts w:asciiTheme="majorHAnsi" w:hAnsiTheme="majorHAnsi"/>
          <w:b/>
        </w:rPr>
      </w:pPr>
      <w:r>
        <w:rPr>
          <w:rFonts w:asciiTheme="majorHAnsi" w:hAnsiTheme="majorHAnsi"/>
          <w:b/>
        </w:rPr>
        <w:t xml:space="preserve">10. </w:t>
      </w:r>
      <w:r>
        <w:rPr>
          <w:rFonts w:asciiTheme="majorHAnsi" w:hAnsiTheme="majorHAnsi"/>
          <w:b/>
        </w:rPr>
        <w:tab/>
        <w:t>Confidentiality</w:t>
      </w:r>
    </w:p>
    <w:p w:rsidR="003E6DF1" w:rsidRPr="00256D42" w:rsidRDefault="003E6DF1" w:rsidP="003E6DF1">
      <w:pPr>
        <w:spacing w:after="0" w:line="240" w:lineRule="auto"/>
        <w:rPr>
          <w:rFonts w:asciiTheme="majorHAnsi" w:hAnsiTheme="majorHAnsi"/>
        </w:rPr>
      </w:pPr>
      <w:r w:rsidRPr="00256D42">
        <w:rPr>
          <w:rFonts w:asciiTheme="majorHAnsi" w:hAnsiTheme="majorHAnsi"/>
        </w:rPr>
        <w:lastRenderedPageBreak/>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3E6DF1" w:rsidRPr="003E6DF1" w:rsidRDefault="003E6DF1" w:rsidP="00256D42">
      <w:pPr>
        <w:rPr>
          <w:rFonts w:asciiTheme="majorHAnsi" w:hAnsiTheme="majorHAnsi"/>
          <w:b/>
        </w:rPr>
      </w:pPr>
    </w:p>
    <w:p w:rsidR="00422033" w:rsidRPr="008F244E" w:rsidRDefault="00422033" w:rsidP="00256D42">
      <w:pPr>
        <w:rPr>
          <w:rFonts w:asciiTheme="majorHAnsi" w:hAnsiTheme="majorHAnsi"/>
          <w:b/>
        </w:rPr>
      </w:pPr>
      <w:r w:rsidRPr="008F244E">
        <w:rPr>
          <w:rFonts w:asciiTheme="majorHAnsi" w:hAnsiTheme="majorHAnsi"/>
          <w:b/>
        </w:rPr>
        <w:t xml:space="preserve">11. </w:t>
      </w:r>
      <w:r w:rsidRPr="008F244E">
        <w:rPr>
          <w:rFonts w:asciiTheme="majorHAnsi" w:hAnsiTheme="majorHAnsi"/>
          <w:b/>
        </w:rPr>
        <w:tab/>
        <w:t>Sensitive Nature</w:t>
      </w:r>
    </w:p>
    <w:p w:rsidR="002E07A9" w:rsidRPr="002E07A9" w:rsidRDefault="002E07A9" w:rsidP="00B0677C">
      <w:pPr>
        <w:rPr>
          <w:rFonts w:asciiTheme="majorHAnsi" w:hAnsiTheme="majorHAnsi"/>
        </w:rPr>
      </w:pPr>
      <w:r w:rsidRPr="008F244E">
        <w:rPr>
          <w:rFonts w:asciiTheme="majorHAnsi" w:hAnsiTheme="majorHAnsi"/>
        </w:rPr>
        <w:t>No questions will be asked that are of a personal or sensitive nature</w:t>
      </w:r>
      <w:r w:rsidR="00877A9B">
        <w:rPr>
          <w:rFonts w:asciiTheme="majorHAnsi" w:hAnsiTheme="majorHAnsi"/>
        </w:rPr>
        <w:t xml:space="preserve"> as defined by OMB</w:t>
      </w:r>
      <w:r w:rsidRPr="008F244E">
        <w:rPr>
          <w:rFonts w:asciiTheme="majorHAnsi" w:hAnsiTheme="majorHAnsi"/>
        </w:rPr>
        <w:t>.</w:t>
      </w:r>
    </w:p>
    <w:p w:rsidR="00422033" w:rsidRDefault="00422033" w:rsidP="00256D42">
      <w:pPr>
        <w:rPr>
          <w:rFonts w:asciiTheme="majorHAnsi" w:hAnsiTheme="majorHAnsi"/>
          <w:b/>
        </w:rPr>
      </w:pPr>
      <w:r>
        <w:rPr>
          <w:rFonts w:asciiTheme="majorHAnsi" w:hAnsiTheme="majorHAnsi"/>
          <w:b/>
        </w:rPr>
        <w:t>12.</w:t>
      </w:r>
      <w:r>
        <w:rPr>
          <w:rFonts w:asciiTheme="majorHAnsi" w:hAnsiTheme="majorHAnsi"/>
          <w:b/>
        </w:rPr>
        <w:tab/>
        <w:t xml:space="preserve">Burden of Information Collection </w:t>
      </w:r>
    </w:p>
    <w:p w:rsidR="00822161" w:rsidRDefault="003E6DF1" w:rsidP="003E6DF1">
      <w:pPr>
        <w:tabs>
          <w:tab w:val="left" w:pos="-1080"/>
          <w:tab w:val="left" w:pos="-720"/>
          <w:tab w:val="left" w:pos="0"/>
          <w:tab w:val="left" w:pos="450"/>
          <w:tab w:val="left" w:pos="720"/>
          <w:tab w:val="left" w:pos="2160"/>
        </w:tabs>
        <w:spacing w:after="0" w:line="240" w:lineRule="auto"/>
        <w:rPr>
          <w:rFonts w:asciiTheme="majorHAnsi" w:hAnsiTheme="majorHAnsi"/>
        </w:rPr>
      </w:pPr>
      <w:r w:rsidRPr="00256D42">
        <w:rPr>
          <w:rFonts w:asciiTheme="majorHAnsi" w:hAnsiTheme="majorHAnsi"/>
        </w:rPr>
        <w:t>A variety of</w:t>
      </w:r>
      <w:r w:rsidR="000E592A">
        <w:rPr>
          <w:rFonts w:asciiTheme="majorHAnsi" w:hAnsiTheme="majorHAnsi"/>
        </w:rPr>
        <w:t xml:space="preserve"> </w:t>
      </w:r>
      <w:r w:rsidRPr="00256D42">
        <w:rPr>
          <w:rFonts w:asciiTheme="majorHAnsi" w:hAnsiTheme="majorHAnsi"/>
        </w:rPr>
        <w:t xml:space="preserve">platforms </w:t>
      </w:r>
      <w:r w:rsidR="000E592A">
        <w:rPr>
          <w:rFonts w:asciiTheme="majorHAnsi" w:hAnsiTheme="majorHAnsi"/>
        </w:rPr>
        <w:t xml:space="preserve">and media </w:t>
      </w:r>
      <w:r w:rsidRPr="00256D42">
        <w:rPr>
          <w:rFonts w:asciiTheme="majorHAnsi" w:hAnsiTheme="majorHAnsi"/>
        </w:rPr>
        <w:t>will be used to collect information from respondents</w:t>
      </w:r>
      <w:r w:rsidR="006046E9">
        <w:rPr>
          <w:rFonts w:asciiTheme="majorHAnsi" w:hAnsiTheme="majorHAnsi"/>
        </w:rPr>
        <w:t>. We expect that there will be a range of burden hours depending on the details of the citizen science and crowdsourcing method</w:t>
      </w:r>
      <w:r w:rsidR="00E2140A">
        <w:rPr>
          <w:rFonts w:asciiTheme="majorHAnsi" w:hAnsiTheme="majorHAnsi"/>
        </w:rPr>
        <w:t xml:space="preserve"> employed</w:t>
      </w:r>
      <w:r w:rsidRPr="00256D42">
        <w:rPr>
          <w:rFonts w:asciiTheme="majorHAnsi" w:hAnsiTheme="majorHAnsi"/>
        </w:rPr>
        <w:t xml:space="preserve">.  The </w:t>
      </w:r>
      <w:r w:rsidR="004A1CD0">
        <w:rPr>
          <w:rFonts w:asciiTheme="majorHAnsi" w:hAnsiTheme="majorHAnsi"/>
        </w:rPr>
        <w:t xml:space="preserve">total </w:t>
      </w:r>
      <w:r w:rsidR="00F37684">
        <w:rPr>
          <w:rFonts w:asciiTheme="majorHAnsi" w:hAnsiTheme="majorHAnsi"/>
        </w:rPr>
        <w:t xml:space="preserve">range of </w:t>
      </w:r>
      <w:r w:rsidRPr="00256D42">
        <w:rPr>
          <w:rFonts w:asciiTheme="majorHAnsi" w:hAnsiTheme="majorHAnsi"/>
        </w:rPr>
        <w:t xml:space="preserve">annual burden hours requested </w:t>
      </w:r>
      <w:r w:rsidR="00B612A6">
        <w:rPr>
          <w:rFonts w:asciiTheme="majorHAnsi" w:hAnsiTheme="majorHAnsi"/>
        </w:rPr>
        <w:t>is</w:t>
      </w:r>
      <w:r w:rsidR="004A1CD0">
        <w:rPr>
          <w:rFonts w:asciiTheme="majorHAnsi" w:hAnsiTheme="majorHAnsi"/>
        </w:rPr>
        <w:t xml:space="preserve"> </w:t>
      </w:r>
      <w:r w:rsidR="0041621D" w:rsidRPr="0041621D">
        <w:rPr>
          <w:rFonts w:asciiTheme="majorHAnsi" w:hAnsiTheme="majorHAnsi"/>
        </w:rPr>
        <w:t>351,150 to 402,750</w:t>
      </w:r>
      <w:r w:rsidR="0041621D">
        <w:rPr>
          <w:rFonts w:asciiTheme="majorHAnsi" w:hAnsiTheme="majorHAnsi"/>
        </w:rPr>
        <w:t xml:space="preserve"> </w:t>
      </w:r>
      <w:r w:rsidR="00B612A6">
        <w:rPr>
          <w:rFonts w:asciiTheme="majorHAnsi" w:hAnsiTheme="majorHAnsi"/>
        </w:rPr>
        <w:t xml:space="preserve">hours </w:t>
      </w:r>
      <w:r w:rsidRPr="00256D42">
        <w:rPr>
          <w:rFonts w:asciiTheme="majorHAnsi" w:hAnsiTheme="majorHAnsi"/>
        </w:rPr>
        <w:t xml:space="preserve">based on the number of collections we expect to conduct over the requested period for this clearance. </w:t>
      </w:r>
    </w:p>
    <w:p w:rsidR="00822161" w:rsidRDefault="00822161" w:rsidP="003E6DF1">
      <w:pPr>
        <w:tabs>
          <w:tab w:val="left" w:pos="-1080"/>
          <w:tab w:val="left" w:pos="-720"/>
          <w:tab w:val="left" w:pos="0"/>
          <w:tab w:val="left" w:pos="450"/>
          <w:tab w:val="left" w:pos="720"/>
          <w:tab w:val="left" w:pos="2160"/>
        </w:tabs>
        <w:spacing w:after="0" w:line="240" w:lineRule="auto"/>
        <w:rPr>
          <w:rFonts w:asciiTheme="majorHAnsi" w:hAnsiTheme="majorHAnsi"/>
        </w:rPr>
      </w:pPr>
    </w:p>
    <w:p w:rsidR="00822161" w:rsidRDefault="00822161" w:rsidP="003E6DF1">
      <w:pPr>
        <w:tabs>
          <w:tab w:val="left" w:pos="-1080"/>
          <w:tab w:val="left" w:pos="-720"/>
          <w:tab w:val="left" w:pos="0"/>
          <w:tab w:val="left" w:pos="450"/>
          <w:tab w:val="left" w:pos="720"/>
          <w:tab w:val="left" w:pos="2160"/>
        </w:tabs>
        <w:spacing w:after="0" w:line="240" w:lineRule="auto"/>
        <w:rPr>
          <w:rFonts w:asciiTheme="majorHAnsi" w:hAnsiTheme="majorHAnsi"/>
        </w:rPr>
      </w:pPr>
      <w:r>
        <w:rPr>
          <w:rFonts w:asciiTheme="majorHAnsi" w:hAnsiTheme="majorHAnsi"/>
        </w:rPr>
        <w:t>T</w:t>
      </w:r>
      <w:r w:rsidRPr="0093036F">
        <w:rPr>
          <w:rFonts w:asciiTheme="majorHAnsi" w:hAnsiTheme="majorHAnsi"/>
        </w:rPr>
        <w:t xml:space="preserve">he </w:t>
      </w:r>
      <w:r w:rsidR="00B612A6">
        <w:rPr>
          <w:rFonts w:asciiTheme="majorHAnsi" w:hAnsiTheme="majorHAnsi"/>
        </w:rPr>
        <w:t xml:space="preserve">total </w:t>
      </w:r>
      <w:r w:rsidRPr="0093036F">
        <w:rPr>
          <w:rFonts w:asciiTheme="majorHAnsi" w:hAnsiTheme="majorHAnsi"/>
        </w:rPr>
        <w:t>dollar value of the annual burden hours</w:t>
      </w:r>
      <w:r>
        <w:rPr>
          <w:rFonts w:asciiTheme="majorHAnsi" w:hAnsiTheme="majorHAnsi"/>
        </w:rPr>
        <w:t xml:space="preserve"> is </w:t>
      </w:r>
      <w:r w:rsidRPr="0093036F">
        <w:rPr>
          <w:rFonts w:asciiTheme="majorHAnsi" w:hAnsiTheme="majorHAnsi"/>
        </w:rPr>
        <w:t>based on the National Compensation Survey: Occupational Wages in the United States May 201</w:t>
      </w:r>
      <w:r>
        <w:rPr>
          <w:rFonts w:asciiTheme="majorHAnsi" w:hAnsiTheme="majorHAnsi"/>
        </w:rPr>
        <w:t>4</w:t>
      </w:r>
      <w:r w:rsidRPr="0093036F">
        <w:rPr>
          <w:rFonts w:asciiTheme="majorHAnsi" w:hAnsiTheme="majorHAnsi"/>
        </w:rPr>
        <w:t xml:space="preserve"> published by the Bureau of Labor Standards Occupation and Wages, May 201</w:t>
      </w:r>
      <w:r>
        <w:rPr>
          <w:rFonts w:asciiTheme="majorHAnsi" w:hAnsiTheme="majorHAnsi"/>
        </w:rPr>
        <w:t>4</w:t>
      </w:r>
      <w:r w:rsidRPr="0093036F">
        <w:rPr>
          <w:rFonts w:asciiTheme="majorHAnsi" w:hAnsiTheme="majorHAnsi"/>
        </w:rPr>
        <w:t xml:space="preserve"> (</w:t>
      </w:r>
      <w:r w:rsidR="00E131C1" w:rsidRPr="00FD22CC">
        <w:t>http://www.bls.gov/oes/current/oes_nat.htm</w:t>
      </w:r>
      <w:r w:rsidR="00E131C1">
        <w:rPr>
          <w:rFonts w:asciiTheme="majorHAnsi" w:hAnsiTheme="majorHAnsi"/>
        </w:rPr>
        <w:t xml:space="preserve">). </w:t>
      </w:r>
      <w:r w:rsidR="00FA1DD3">
        <w:rPr>
          <w:rFonts w:asciiTheme="majorHAnsi" w:hAnsiTheme="majorHAnsi"/>
        </w:rPr>
        <w:t>We</w:t>
      </w:r>
      <w:r>
        <w:rPr>
          <w:rFonts w:asciiTheme="majorHAnsi" w:hAnsiTheme="majorHAnsi"/>
        </w:rPr>
        <w:t xml:space="preserve"> use</w:t>
      </w:r>
      <w:r w:rsidR="00FA1DD3">
        <w:rPr>
          <w:rFonts w:asciiTheme="majorHAnsi" w:hAnsiTheme="majorHAnsi"/>
        </w:rPr>
        <w:t xml:space="preserve"> the value</w:t>
      </w:r>
      <w:r>
        <w:rPr>
          <w:rFonts w:asciiTheme="majorHAnsi" w:hAnsiTheme="majorHAnsi"/>
        </w:rPr>
        <w:t xml:space="preserve"> for </w:t>
      </w:r>
      <w:r w:rsidRPr="001E3991">
        <w:rPr>
          <w:rFonts w:asciiTheme="majorHAnsi" w:hAnsiTheme="majorHAnsi"/>
          <w:u w:val="single"/>
        </w:rPr>
        <w:t>All Occupations</w:t>
      </w:r>
      <w:r>
        <w:rPr>
          <w:rFonts w:asciiTheme="majorHAnsi" w:hAnsiTheme="majorHAnsi"/>
        </w:rPr>
        <w:t>, a</w:t>
      </w:r>
      <w:r w:rsidRPr="00BE288B">
        <w:rPr>
          <w:rFonts w:asciiTheme="majorHAnsi" w:hAnsiTheme="majorHAnsi"/>
        </w:rPr>
        <w:t>verage hourly wage</w:t>
      </w:r>
      <w:r>
        <w:rPr>
          <w:rFonts w:asciiTheme="majorHAnsi" w:hAnsiTheme="majorHAnsi"/>
        </w:rPr>
        <w:t xml:space="preserve"> of </w:t>
      </w:r>
      <w:r w:rsidRPr="00BE288B">
        <w:rPr>
          <w:rFonts w:asciiTheme="majorHAnsi" w:hAnsiTheme="majorHAnsi"/>
        </w:rPr>
        <w:t>$2</w:t>
      </w:r>
      <w:r>
        <w:rPr>
          <w:rFonts w:asciiTheme="majorHAnsi" w:hAnsiTheme="majorHAnsi"/>
        </w:rPr>
        <w:t>2</w:t>
      </w:r>
      <w:r w:rsidRPr="00BE288B">
        <w:rPr>
          <w:rFonts w:asciiTheme="majorHAnsi" w:hAnsiTheme="majorHAnsi"/>
        </w:rPr>
        <w:t>.7</w:t>
      </w:r>
      <w:r>
        <w:rPr>
          <w:rFonts w:asciiTheme="majorHAnsi" w:hAnsiTheme="majorHAnsi"/>
        </w:rPr>
        <w:t>1</w:t>
      </w:r>
      <w:r w:rsidRPr="00BE288B">
        <w:rPr>
          <w:rFonts w:asciiTheme="majorHAnsi" w:hAnsiTheme="majorHAnsi"/>
        </w:rPr>
        <w:t xml:space="preserve"> multiplied by 1.4 to account for benefits</w:t>
      </w:r>
      <w:r>
        <w:rPr>
          <w:rFonts w:asciiTheme="majorHAnsi" w:hAnsiTheme="majorHAnsi"/>
        </w:rPr>
        <w:t xml:space="preserve">, </w:t>
      </w:r>
      <w:r w:rsidRPr="00BE288B">
        <w:rPr>
          <w:rFonts w:asciiTheme="majorHAnsi" w:hAnsiTheme="majorHAnsi"/>
        </w:rPr>
        <w:t>$</w:t>
      </w:r>
      <w:r>
        <w:rPr>
          <w:rFonts w:asciiTheme="majorHAnsi" w:hAnsiTheme="majorHAnsi"/>
        </w:rPr>
        <w:t xml:space="preserve">31.79. </w:t>
      </w:r>
    </w:p>
    <w:p w:rsidR="00D17156" w:rsidRDefault="00D17156" w:rsidP="003E6DF1">
      <w:pPr>
        <w:tabs>
          <w:tab w:val="left" w:pos="-1080"/>
          <w:tab w:val="left" w:pos="-720"/>
          <w:tab w:val="left" w:pos="0"/>
          <w:tab w:val="left" w:pos="450"/>
          <w:tab w:val="left" w:pos="720"/>
          <w:tab w:val="left" w:pos="2160"/>
        </w:tabs>
        <w:spacing w:after="0" w:line="240" w:lineRule="auto"/>
        <w:rPr>
          <w:rFonts w:asciiTheme="majorHAnsi" w:hAnsiTheme="majorHAnsi"/>
        </w:rPr>
      </w:pPr>
    </w:p>
    <w:p w:rsidR="002C7EE0" w:rsidRDefault="00D17156" w:rsidP="005E6658">
      <w:pPr>
        <w:pStyle w:val="ListParagraph"/>
        <w:numPr>
          <w:ilvl w:val="0"/>
          <w:numId w:val="18"/>
        </w:numPr>
        <w:tabs>
          <w:tab w:val="left" w:pos="-1080"/>
          <w:tab w:val="left" w:pos="-720"/>
          <w:tab w:val="left" w:pos="0"/>
          <w:tab w:val="left" w:pos="450"/>
          <w:tab w:val="left" w:pos="720"/>
          <w:tab w:val="left" w:pos="2160"/>
        </w:tabs>
        <w:spacing w:after="0" w:line="240" w:lineRule="auto"/>
        <w:rPr>
          <w:rFonts w:asciiTheme="majorHAnsi" w:hAnsiTheme="majorHAnsi"/>
        </w:rPr>
      </w:pPr>
      <w:r w:rsidRPr="005E6658">
        <w:rPr>
          <w:rFonts w:asciiTheme="majorHAnsi" w:hAnsiTheme="majorHAnsi"/>
          <w:b/>
        </w:rPr>
        <w:t>Data gathering projects:</w:t>
      </w:r>
      <w:r w:rsidR="00A0271C" w:rsidRPr="005E6658">
        <w:rPr>
          <w:rFonts w:asciiTheme="majorHAnsi" w:hAnsiTheme="majorHAnsi"/>
        </w:rPr>
        <w:t xml:space="preserve"> </w:t>
      </w:r>
      <w:r w:rsidR="00E163C2" w:rsidRPr="005E6658">
        <w:rPr>
          <w:rFonts w:asciiTheme="majorHAnsi" w:hAnsiTheme="majorHAnsi"/>
        </w:rPr>
        <w:t xml:space="preserve">We estimate </w:t>
      </w:r>
      <w:r w:rsidR="00A0271C" w:rsidRPr="005E6658">
        <w:rPr>
          <w:rFonts w:asciiTheme="majorHAnsi" w:hAnsiTheme="majorHAnsi"/>
        </w:rPr>
        <w:t>2</w:t>
      </w:r>
      <w:r w:rsidR="0005090D" w:rsidRPr="005E6658">
        <w:rPr>
          <w:rFonts w:asciiTheme="majorHAnsi" w:hAnsiTheme="majorHAnsi"/>
        </w:rPr>
        <w:t>,</w:t>
      </w:r>
      <w:r w:rsidR="00A0271C" w:rsidRPr="005E6658">
        <w:rPr>
          <w:rFonts w:asciiTheme="majorHAnsi" w:hAnsiTheme="majorHAnsi"/>
        </w:rPr>
        <w:t>000</w:t>
      </w:r>
      <w:r w:rsidRPr="005E6658">
        <w:rPr>
          <w:rFonts w:asciiTheme="majorHAnsi" w:hAnsiTheme="majorHAnsi"/>
        </w:rPr>
        <w:t xml:space="preserve"> participants </w:t>
      </w:r>
      <w:r w:rsidR="00A0271C" w:rsidRPr="005E6658">
        <w:rPr>
          <w:rFonts w:asciiTheme="majorHAnsi" w:hAnsiTheme="majorHAnsi"/>
        </w:rPr>
        <w:t xml:space="preserve">per year per </w:t>
      </w:r>
      <w:r w:rsidR="0005090D" w:rsidRPr="005E6658">
        <w:rPr>
          <w:rFonts w:asciiTheme="majorHAnsi" w:hAnsiTheme="majorHAnsi"/>
        </w:rPr>
        <w:t xml:space="preserve">data </w:t>
      </w:r>
      <w:r w:rsidR="00E94CD8" w:rsidRPr="005E6658">
        <w:rPr>
          <w:rFonts w:asciiTheme="majorHAnsi" w:hAnsiTheme="majorHAnsi"/>
        </w:rPr>
        <w:t xml:space="preserve">gathering </w:t>
      </w:r>
      <w:r w:rsidR="0005090D" w:rsidRPr="005E6658">
        <w:rPr>
          <w:rFonts w:asciiTheme="majorHAnsi" w:hAnsiTheme="majorHAnsi"/>
        </w:rPr>
        <w:t>collection under this generic clearance</w:t>
      </w:r>
      <w:r w:rsidR="00390D0B">
        <w:rPr>
          <w:rFonts w:asciiTheme="majorHAnsi" w:hAnsiTheme="majorHAnsi"/>
        </w:rPr>
        <w:t>. This number</w:t>
      </w:r>
      <w:r w:rsidR="00A0271C" w:rsidRPr="005E6658">
        <w:rPr>
          <w:rFonts w:asciiTheme="majorHAnsi" w:hAnsiTheme="majorHAnsi"/>
        </w:rPr>
        <w:t xml:space="preserve"> is </w:t>
      </w:r>
      <w:r w:rsidRPr="005E6658">
        <w:rPr>
          <w:rFonts w:asciiTheme="majorHAnsi" w:hAnsiTheme="majorHAnsi"/>
        </w:rPr>
        <w:t xml:space="preserve">based on the </w:t>
      </w:r>
      <w:r w:rsidR="00A0271C" w:rsidRPr="005E6658">
        <w:rPr>
          <w:rFonts w:asciiTheme="majorHAnsi" w:hAnsiTheme="majorHAnsi"/>
        </w:rPr>
        <w:t xml:space="preserve">maximum </w:t>
      </w:r>
      <w:r w:rsidR="002C7EE0" w:rsidRPr="005E6658">
        <w:rPr>
          <w:rFonts w:asciiTheme="majorHAnsi" w:hAnsiTheme="majorHAnsi"/>
        </w:rPr>
        <w:t xml:space="preserve">annual </w:t>
      </w:r>
      <w:r w:rsidRPr="005E6658">
        <w:rPr>
          <w:rFonts w:asciiTheme="majorHAnsi" w:hAnsiTheme="majorHAnsi"/>
        </w:rPr>
        <w:t xml:space="preserve">number of </w:t>
      </w:r>
      <w:r w:rsidR="00A0271C" w:rsidRPr="005E6658">
        <w:rPr>
          <w:rFonts w:asciiTheme="majorHAnsi" w:hAnsiTheme="majorHAnsi"/>
        </w:rPr>
        <w:t>registrants</w:t>
      </w:r>
      <w:r w:rsidRPr="005E6658">
        <w:rPr>
          <w:rFonts w:asciiTheme="majorHAnsi" w:hAnsiTheme="majorHAnsi"/>
        </w:rPr>
        <w:t xml:space="preserve"> </w:t>
      </w:r>
      <w:r w:rsidR="0005090D" w:rsidRPr="005E6658">
        <w:rPr>
          <w:rFonts w:asciiTheme="majorHAnsi" w:hAnsiTheme="majorHAnsi"/>
        </w:rPr>
        <w:t xml:space="preserve">(2,153) </w:t>
      </w:r>
      <w:r w:rsidR="002C7EE0" w:rsidRPr="005E6658">
        <w:rPr>
          <w:rFonts w:asciiTheme="majorHAnsi" w:hAnsiTheme="majorHAnsi"/>
        </w:rPr>
        <w:t xml:space="preserve">over </w:t>
      </w:r>
      <w:r w:rsidRPr="005E6658">
        <w:rPr>
          <w:rFonts w:asciiTheme="majorHAnsi" w:hAnsiTheme="majorHAnsi"/>
        </w:rPr>
        <w:t xml:space="preserve">four years </w:t>
      </w:r>
      <w:r w:rsidR="00283A36" w:rsidRPr="005E6658">
        <w:rPr>
          <w:rFonts w:asciiTheme="majorHAnsi" w:hAnsiTheme="majorHAnsi"/>
        </w:rPr>
        <w:t xml:space="preserve">of data from </w:t>
      </w:r>
      <w:r w:rsidRPr="005E6658">
        <w:rPr>
          <w:rFonts w:asciiTheme="majorHAnsi" w:hAnsiTheme="majorHAnsi"/>
        </w:rPr>
        <w:t>USGS’s citizen science program, the National Phenology Network</w:t>
      </w:r>
      <w:r w:rsidR="00A0271C" w:rsidRPr="005E6658">
        <w:rPr>
          <w:rFonts w:asciiTheme="majorHAnsi" w:hAnsiTheme="majorHAnsi"/>
        </w:rPr>
        <w:t xml:space="preserve"> </w:t>
      </w:r>
      <w:r w:rsidR="00551D82" w:rsidRPr="005E6658">
        <w:rPr>
          <w:rFonts w:asciiTheme="majorHAnsi" w:hAnsiTheme="majorHAnsi"/>
        </w:rPr>
        <w:t xml:space="preserve">(NPN) </w:t>
      </w:r>
      <w:r w:rsidR="00A0271C" w:rsidRPr="005E6658">
        <w:rPr>
          <w:rFonts w:asciiTheme="majorHAnsi" w:hAnsiTheme="majorHAnsi"/>
        </w:rPr>
        <w:t>(OMB Control Number 1028-NEW)</w:t>
      </w:r>
      <w:r w:rsidR="00A43D62" w:rsidRPr="005E6658">
        <w:rPr>
          <w:rFonts w:asciiTheme="majorHAnsi" w:hAnsiTheme="majorHAnsi"/>
        </w:rPr>
        <w:t>.</w:t>
      </w:r>
      <w:r w:rsidRPr="005E6658">
        <w:rPr>
          <w:rFonts w:asciiTheme="majorHAnsi" w:hAnsiTheme="majorHAnsi"/>
        </w:rPr>
        <w:t xml:space="preserve"> </w:t>
      </w:r>
      <w:r w:rsidR="00A43D62" w:rsidRPr="005E6658">
        <w:rPr>
          <w:rFonts w:asciiTheme="majorHAnsi" w:hAnsiTheme="majorHAnsi"/>
        </w:rPr>
        <w:t xml:space="preserve">NPN estimated 13 minutes for registration, login and reading guidelines. </w:t>
      </w:r>
      <w:r w:rsidR="00AF1B75" w:rsidRPr="005E6658">
        <w:rPr>
          <w:rFonts w:asciiTheme="majorHAnsi" w:hAnsiTheme="majorHAnsi"/>
        </w:rPr>
        <w:t xml:space="preserve">Under this generic clearance, we estimate </w:t>
      </w:r>
      <w:r w:rsidR="002E3784">
        <w:rPr>
          <w:rFonts w:asciiTheme="majorHAnsi" w:hAnsiTheme="majorHAnsi"/>
          <w:u w:val="single"/>
        </w:rPr>
        <w:t>7</w:t>
      </w:r>
      <w:r w:rsidR="002E3784" w:rsidRPr="005E6658">
        <w:rPr>
          <w:rFonts w:asciiTheme="majorHAnsi" w:hAnsiTheme="majorHAnsi"/>
        </w:rPr>
        <w:t xml:space="preserve"> </w:t>
      </w:r>
      <w:r w:rsidR="00AF1B75" w:rsidRPr="005E6658">
        <w:rPr>
          <w:rFonts w:asciiTheme="majorHAnsi" w:hAnsiTheme="majorHAnsi"/>
        </w:rPr>
        <w:t>data gathering projects per year (</w:t>
      </w:r>
      <w:r w:rsidR="002E3784" w:rsidRPr="005E6658">
        <w:rPr>
          <w:rFonts w:asciiTheme="majorHAnsi" w:hAnsiTheme="majorHAnsi"/>
        </w:rPr>
        <w:t>1</w:t>
      </w:r>
      <w:r w:rsidR="002E3784">
        <w:rPr>
          <w:rFonts w:asciiTheme="majorHAnsi" w:hAnsiTheme="majorHAnsi"/>
        </w:rPr>
        <w:t>4</w:t>
      </w:r>
      <w:r w:rsidR="00AF1B75" w:rsidRPr="005E6658">
        <w:rPr>
          <w:rFonts w:asciiTheme="majorHAnsi" w:hAnsiTheme="majorHAnsi"/>
        </w:rPr>
        <w:t>,000</w:t>
      </w:r>
      <w:r w:rsidR="000875AC" w:rsidRPr="005E6658">
        <w:rPr>
          <w:rFonts w:asciiTheme="majorHAnsi" w:hAnsiTheme="majorHAnsi"/>
        </w:rPr>
        <w:t xml:space="preserve"> </w:t>
      </w:r>
      <w:r w:rsidR="00AF1B75" w:rsidRPr="005E6658">
        <w:rPr>
          <w:rFonts w:asciiTheme="majorHAnsi" w:hAnsiTheme="majorHAnsi"/>
        </w:rPr>
        <w:t>regist</w:t>
      </w:r>
      <w:r w:rsidR="000875AC" w:rsidRPr="005E6658">
        <w:rPr>
          <w:rFonts w:asciiTheme="majorHAnsi" w:hAnsiTheme="majorHAnsi"/>
        </w:rPr>
        <w:t>rants</w:t>
      </w:r>
      <w:r w:rsidR="00AF1B75" w:rsidRPr="005E6658">
        <w:rPr>
          <w:rFonts w:asciiTheme="majorHAnsi" w:hAnsiTheme="majorHAnsi"/>
        </w:rPr>
        <w:t>)</w:t>
      </w:r>
      <w:r w:rsidR="00822161" w:rsidRPr="005E6658">
        <w:rPr>
          <w:rFonts w:asciiTheme="majorHAnsi" w:hAnsiTheme="majorHAnsi"/>
        </w:rPr>
        <w:t xml:space="preserve">. </w:t>
      </w:r>
      <w:r w:rsidR="0020761D" w:rsidRPr="005E6658">
        <w:rPr>
          <w:rFonts w:asciiTheme="majorHAnsi" w:hAnsiTheme="majorHAnsi"/>
        </w:rPr>
        <w:t>We estimate t</w:t>
      </w:r>
      <w:r w:rsidR="006C2201" w:rsidRPr="005E6658">
        <w:rPr>
          <w:rFonts w:asciiTheme="majorHAnsi" w:hAnsiTheme="majorHAnsi"/>
        </w:rPr>
        <w:t>he number of participant</w:t>
      </w:r>
      <w:r w:rsidR="00E163C2" w:rsidRPr="005E6658">
        <w:rPr>
          <w:rFonts w:asciiTheme="majorHAnsi" w:hAnsiTheme="majorHAnsi"/>
        </w:rPr>
        <w:t>s completing</w:t>
      </w:r>
      <w:r w:rsidR="006C2201" w:rsidRPr="005E6658">
        <w:rPr>
          <w:rFonts w:asciiTheme="majorHAnsi" w:hAnsiTheme="majorHAnsi"/>
        </w:rPr>
        <w:t xml:space="preserve"> training</w:t>
      </w:r>
      <w:r w:rsidR="0020761D" w:rsidRPr="005E6658">
        <w:rPr>
          <w:rFonts w:asciiTheme="majorHAnsi" w:hAnsiTheme="majorHAnsi"/>
        </w:rPr>
        <w:t xml:space="preserve"> will be </w:t>
      </w:r>
      <w:r w:rsidR="006C2201" w:rsidRPr="005E6658">
        <w:rPr>
          <w:rFonts w:asciiTheme="majorHAnsi" w:hAnsiTheme="majorHAnsi"/>
        </w:rPr>
        <w:t>80% of registrants</w:t>
      </w:r>
      <w:r w:rsidR="004B3894" w:rsidRPr="005E6658">
        <w:rPr>
          <w:rFonts w:asciiTheme="majorHAnsi" w:hAnsiTheme="majorHAnsi"/>
        </w:rPr>
        <w:t xml:space="preserve"> (</w:t>
      </w:r>
      <w:r w:rsidR="00266D15">
        <w:rPr>
          <w:rFonts w:asciiTheme="majorHAnsi" w:hAnsiTheme="majorHAnsi"/>
        </w:rPr>
        <w:t>11</w:t>
      </w:r>
      <w:r w:rsidR="00176CF4" w:rsidRPr="005E6658">
        <w:rPr>
          <w:rFonts w:asciiTheme="majorHAnsi" w:hAnsiTheme="majorHAnsi"/>
        </w:rPr>
        <w:t>,</w:t>
      </w:r>
      <w:r w:rsidR="00266D15">
        <w:rPr>
          <w:rFonts w:asciiTheme="majorHAnsi" w:hAnsiTheme="majorHAnsi"/>
        </w:rPr>
        <w:t>2</w:t>
      </w:r>
      <w:r w:rsidR="00266D15" w:rsidRPr="005E6658">
        <w:rPr>
          <w:rFonts w:asciiTheme="majorHAnsi" w:hAnsiTheme="majorHAnsi"/>
        </w:rPr>
        <w:t xml:space="preserve">00 </w:t>
      </w:r>
      <w:r w:rsidR="004B3894" w:rsidRPr="005E6658">
        <w:rPr>
          <w:rFonts w:asciiTheme="majorHAnsi" w:hAnsiTheme="majorHAnsi"/>
        </w:rPr>
        <w:t>participants)</w:t>
      </w:r>
      <w:r w:rsidR="006C2201" w:rsidRPr="005E6658">
        <w:rPr>
          <w:rFonts w:asciiTheme="majorHAnsi" w:hAnsiTheme="majorHAnsi"/>
        </w:rPr>
        <w:t>.</w:t>
      </w:r>
      <w:r w:rsidR="001140B1" w:rsidRPr="005E6658">
        <w:rPr>
          <w:rFonts w:asciiTheme="majorHAnsi" w:hAnsiTheme="majorHAnsi"/>
        </w:rPr>
        <w:t xml:space="preserve"> Training modules will vary by data collection; </w:t>
      </w:r>
      <w:r w:rsidR="00E163C2" w:rsidRPr="005E6658">
        <w:rPr>
          <w:rFonts w:asciiTheme="majorHAnsi" w:hAnsiTheme="majorHAnsi"/>
        </w:rPr>
        <w:t xml:space="preserve">we estimate a </w:t>
      </w:r>
      <w:r w:rsidR="001140B1" w:rsidRPr="005E6658">
        <w:rPr>
          <w:rFonts w:asciiTheme="majorHAnsi" w:hAnsiTheme="majorHAnsi"/>
        </w:rPr>
        <w:t xml:space="preserve">range </w:t>
      </w:r>
      <w:r w:rsidR="00E163C2" w:rsidRPr="005E6658">
        <w:rPr>
          <w:rFonts w:asciiTheme="majorHAnsi" w:hAnsiTheme="majorHAnsi"/>
        </w:rPr>
        <w:t xml:space="preserve">of </w:t>
      </w:r>
      <w:r w:rsidR="001140B1" w:rsidRPr="005E6658">
        <w:rPr>
          <w:rFonts w:asciiTheme="majorHAnsi" w:hAnsiTheme="majorHAnsi"/>
        </w:rPr>
        <w:t xml:space="preserve">one hour to </w:t>
      </w:r>
      <w:r w:rsidR="00DC1E77" w:rsidRPr="005E6658">
        <w:rPr>
          <w:rFonts w:asciiTheme="majorHAnsi" w:hAnsiTheme="majorHAnsi"/>
        </w:rPr>
        <w:t>four</w:t>
      </w:r>
      <w:r w:rsidR="001140B1" w:rsidRPr="005E6658">
        <w:rPr>
          <w:rFonts w:asciiTheme="majorHAnsi" w:hAnsiTheme="majorHAnsi"/>
        </w:rPr>
        <w:t xml:space="preserve"> hours. </w:t>
      </w:r>
      <w:r w:rsidR="00123A2B">
        <w:rPr>
          <w:rFonts w:asciiTheme="majorHAnsi" w:hAnsiTheme="majorHAnsi"/>
        </w:rPr>
        <w:t>F</w:t>
      </w:r>
      <w:r w:rsidR="004977DD" w:rsidRPr="005E6658">
        <w:rPr>
          <w:rFonts w:asciiTheme="majorHAnsi" w:hAnsiTheme="majorHAnsi"/>
        </w:rPr>
        <w:t xml:space="preserve">or this estimate </w:t>
      </w:r>
      <w:r w:rsidR="00E163C2" w:rsidRPr="005E6658">
        <w:rPr>
          <w:rFonts w:asciiTheme="majorHAnsi" w:hAnsiTheme="majorHAnsi"/>
        </w:rPr>
        <w:t xml:space="preserve">we assume </w:t>
      </w:r>
      <w:r w:rsidR="004977DD" w:rsidRPr="005E6658">
        <w:rPr>
          <w:rFonts w:asciiTheme="majorHAnsi" w:hAnsiTheme="majorHAnsi"/>
        </w:rPr>
        <w:t>that each trained participant will collect the same number of observations in the same amount of time</w:t>
      </w:r>
      <w:r w:rsidR="00704ED6" w:rsidRPr="005E6658">
        <w:rPr>
          <w:rFonts w:asciiTheme="majorHAnsi" w:hAnsiTheme="majorHAnsi"/>
        </w:rPr>
        <w:t>.</w:t>
      </w:r>
      <w:r w:rsidR="004977DD" w:rsidRPr="005E6658">
        <w:rPr>
          <w:rFonts w:asciiTheme="majorHAnsi" w:hAnsiTheme="majorHAnsi"/>
        </w:rPr>
        <w:t xml:space="preserve"> </w:t>
      </w:r>
      <w:r w:rsidR="007F0AE8" w:rsidRPr="005E6658">
        <w:rPr>
          <w:rFonts w:asciiTheme="majorHAnsi" w:hAnsiTheme="majorHAnsi"/>
        </w:rPr>
        <w:t>USGS’s N</w:t>
      </w:r>
      <w:r w:rsidR="00551D82" w:rsidRPr="005E6658">
        <w:rPr>
          <w:rFonts w:asciiTheme="majorHAnsi" w:hAnsiTheme="majorHAnsi"/>
        </w:rPr>
        <w:t>PN</w:t>
      </w:r>
      <w:r w:rsidR="00BE1048" w:rsidRPr="005E6658">
        <w:rPr>
          <w:rFonts w:asciiTheme="majorHAnsi" w:hAnsiTheme="majorHAnsi"/>
        </w:rPr>
        <w:t xml:space="preserve"> </w:t>
      </w:r>
      <w:r w:rsidR="007F0AE8" w:rsidRPr="005E6658">
        <w:rPr>
          <w:rFonts w:asciiTheme="majorHAnsi" w:hAnsiTheme="majorHAnsi"/>
        </w:rPr>
        <w:t>estimated 500,000 observations per year</w:t>
      </w:r>
      <w:r w:rsidR="007E7F73" w:rsidRPr="005E6658">
        <w:rPr>
          <w:rFonts w:asciiTheme="majorHAnsi" w:hAnsiTheme="majorHAnsi"/>
        </w:rPr>
        <w:t xml:space="preserve"> at 2 minutes per observation</w:t>
      </w:r>
      <w:r w:rsidR="004977DD" w:rsidRPr="005E6658">
        <w:rPr>
          <w:rFonts w:asciiTheme="majorHAnsi" w:hAnsiTheme="majorHAnsi"/>
        </w:rPr>
        <w:t xml:space="preserve"> for plant phenology, which is a relatively quick observation. For this generic clearance</w:t>
      </w:r>
      <w:r w:rsidR="00170E8D" w:rsidRPr="005E6658">
        <w:rPr>
          <w:rFonts w:asciiTheme="majorHAnsi" w:hAnsiTheme="majorHAnsi"/>
        </w:rPr>
        <w:t xml:space="preserve">, </w:t>
      </w:r>
      <w:r w:rsidR="00E163C2" w:rsidRPr="005E6658">
        <w:rPr>
          <w:rFonts w:asciiTheme="majorHAnsi" w:hAnsiTheme="majorHAnsi"/>
        </w:rPr>
        <w:t xml:space="preserve">we estimate that </w:t>
      </w:r>
      <w:r w:rsidR="00170E8D" w:rsidRPr="005E6658">
        <w:rPr>
          <w:rFonts w:asciiTheme="majorHAnsi" w:hAnsiTheme="majorHAnsi"/>
        </w:rPr>
        <w:t xml:space="preserve">the </w:t>
      </w:r>
      <w:r w:rsidR="004977DD" w:rsidRPr="005E6658">
        <w:rPr>
          <w:rFonts w:asciiTheme="majorHAnsi" w:hAnsiTheme="majorHAnsi"/>
        </w:rPr>
        <w:t>same number of “trained” participants</w:t>
      </w:r>
      <w:r w:rsidR="00833B7B" w:rsidRPr="005E6658">
        <w:rPr>
          <w:rFonts w:asciiTheme="majorHAnsi" w:hAnsiTheme="majorHAnsi"/>
        </w:rPr>
        <w:t xml:space="preserve"> (</w:t>
      </w:r>
      <w:r w:rsidR="00266D15">
        <w:rPr>
          <w:rFonts w:asciiTheme="majorHAnsi" w:hAnsiTheme="majorHAnsi"/>
        </w:rPr>
        <w:t>11</w:t>
      </w:r>
      <w:r w:rsidR="00833B7B" w:rsidRPr="005E6658">
        <w:rPr>
          <w:rFonts w:asciiTheme="majorHAnsi" w:hAnsiTheme="majorHAnsi"/>
        </w:rPr>
        <w:t>,</w:t>
      </w:r>
      <w:r w:rsidR="00266D15">
        <w:rPr>
          <w:rFonts w:asciiTheme="majorHAnsi" w:hAnsiTheme="majorHAnsi"/>
        </w:rPr>
        <w:t>2</w:t>
      </w:r>
      <w:r w:rsidR="00266D15" w:rsidRPr="005E6658">
        <w:rPr>
          <w:rFonts w:asciiTheme="majorHAnsi" w:hAnsiTheme="majorHAnsi"/>
        </w:rPr>
        <w:t>00</w:t>
      </w:r>
      <w:r w:rsidR="00833B7B" w:rsidRPr="005E6658">
        <w:rPr>
          <w:rFonts w:asciiTheme="majorHAnsi" w:hAnsiTheme="majorHAnsi"/>
        </w:rPr>
        <w:t>)</w:t>
      </w:r>
      <w:r w:rsidR="004977DD" w:rsidRPr="005E6658">
        <w:rPr>
          <w:rFonts w:asciiTheme="majorHAnsi" w:hAnsiTheme="majorHAnsi"/>
        </w:rPr>
        <w:t xml:space="preserve"> </w:t>
      </w:r>
      <w:r w:rsidR="001478CD" w:rsidRPr="005E6658">
        <w:rPr>
          <w:rFonts w:asciiTheme="majorHAnsi" w:hAnsiTheme="majorHAnsi"/>
        </w:rPr>
        <w:t xml:space="preserve">will collect </w:t>
      </w:r>
      <w:r w:rsidR="00170E8D" w:rsidRPr="005E6658">
        <w:rPr>
          <w:rFonts w:asciiTheme="majorHAnsi" w:hAnsiTheme="majorHAnsi"/>
        </w:rPr>
        <w:t xml:space="preserve">a total of </w:t>
      </w:r>
      <w:r w:rsidR="004977DD" w:rsidRPr="005E6658">
        <w:rPr>
          <w:rFonts w:asciiTheme="majorHAnsi" w:hAnsiTheme="majorHAnsi"/>
        </w:rPr>
        <w:t xml:space="preserve">500,000 observations at 5 minutes </w:t>
      </w:r>
      <w:r w:rsidR="00023011" w:rsidRPr="005E6658">
        <w:rPr>
          <w:rFonts w:asciiTheme="majorHAnsi" w:hAnsiTheme="majorHAnsi"/>
        </w:rPr>
        <w:t xml:space="preserve">per observation </w:t>
      </w:r>
      <w:r w:rsidR="00170E8D" w:rsidRPr="005E6658">
        <w:rPr>
          <w:rFonts w:asciiTheme="majorHAnsi" w:hAnsiTheme="majorHAnsi"/>
        </w:rPr>
        <w:t xml:space="preserve">= </w:t>
      </w:r>
      <w:r w:rsidR="00266D15">
        <w:rPr>
          <w:rFonts w:asciiTheme="majorHAnsi" w:hAnsiTheme="majorHAnsi"/>
        </w:rPr>
        <w:t>3.7</w:t>
      </w:r>
      <w:r w:rsidR="00590DEE" w:rsidRPr="005E6658">
        <w:rPr>
          <w:rFonts w:asciiTheme="majorHAnsi" w:hAnsiTheme="majorHAnsi"/>
        </w:rPr>
        <w:t xml:space="preserve"> </w:t>
      </w:r>
      <w:r w:rsidR="00112AFC" w:rsidRPr="005E6658">
        <w:rPr>
          <w:rFonts w:asciiTheme="majorHAnsi" w:hAnsiTheme="majorHAnsi"/>
        </w:rPr>
        <w:t>hours</w:t>
      </w:r>
      <w:r w:rsidR="00170E8D" w:rsidRPr="005E6658">
        <w:rPr>
          <w:rFonts w:asciiTheme="majorHAnsi" w:hAnsiTheme="majorHAnsi"/>
        </w:rPr>
        <w:t>/participant on an annual basis</w:t>
      </w:r>
      <w:r w:rsidR="00833B7B" w:rsidRPr="005E6658">
        <w:rPr>
          <w:rFonts w:asciiTheme="majorHAnsi" w:hAnsiTheme="majorHAnsi"/>
        </w:rPr>
        <w:t xml:space="preserve">. The </w:t>
      </w:r>
      <w:r w:rsidR="00CE3768" w:rsidRPr="005E6658">
        <w:rPr>
          <w:rFonts w:asciiTheme="majorHAnsi" w:hAnsiTheme="majorHAnsi"/>
        </w:rPr>
        <w:t>estimated range of</w:t>
      </w:r>
      <w:r w:rsidR="00833B7B" w:rsidRPr="005E6658">
        <w:rPr>
          <w:rFonts w:asciiTheme="majorHAnsi" w:hAnsiTheme="majorHAnsi"/>
        </w:rPr>
        <w:t xml:space="preserve"> annual burden</w:t>
      </w:r>
      <w:r w:rsidR="00CE3768" w:rsidRPr="005E6658">
        <w:rPr>
          <w:rFonts w:asciiTheme="majorHAnsi" w:hAnsiTheme="majorHAnsi"/>
        </w:rPr>
        <w:t xml:space="preserve"> for </w:t>
      </w:r>
      <w:r w:rsidR="00266D15">
        <w:rPr>
          <w:rFonts w:asciiTheme="majorHAnsi" w:hAnsiTheme="majorHAnsi"/>
        </w:rPr>
        <w:t>7</w:t>
      </w:r>
      <w:r w:rsidR="00266D15" w:rsidRPr="005E6658">
        <w:rPr>
          <w:rFonts w:asciiTheme="majorHAnsi" w:hAnsiTheme="majorHAnsi"/>
        </w:rPr>
        <w:t xml:space="preserve"> </w:t>
      </w:r>
      <w:r w:rsidR="00CE3768" w:rsidRPr="005E6658">
        <w:rPr>
          <w:rFonts w:asciiTheme="majorHAnsi" w:hAnsiTheme="majorHAnsi"/>
        </w:rPr>
        <w:t xml:space="preserve">data gathering projects is </w:t>
      </w:r>
      <w:r w:rsidR="00266D15" w:rsidRPr="005E6658">
        <w:rPr>
          <w:rFonts w:asciiTheme="majorHAnsi" w:hAnsiTheme="majorHAnsi"/>
        </w:rPr>
        <w:t>5</w:t>
      </w:r>
      <w:r w:rsidR="00266D15">
        <w:rPr>
          <w:rFonts w:asciiTheme="majorHAnsi" w:hAnsiTheme="majorHAnsi"/>
        </w:rPr>
        <w:t>5</w:t>
      </w:r>
      <w:r w:rsidR="00CE3768" w:rsidRPr="005E6658">
        <w:rPr>
          <w:rFonts w:asciiTheme="majorHAnsi" w:hAnsiTheme="majorHAnsi"/>
        </w:rPr>
        <w:t>,</w:t>
      </w:r>
      <w:r w:rsidR="00266D15">
        <w:rPr>
          <w:rFonts w:asciiTheme="majorHAnsi" w:hAnsiTheme="majorHAnsi"/>
        </w:rPr>
        <w:t>900</w:t>
      </w:r>
      <w:r w:rsidR="00266D15" w:rsidRPr="005E6658">
        <w:rPr>
          <w:rFonts w:asciiTheme="majorHAnsi" w:hAnsiTheme="majorHAnsi"/>
        </w:rPr>
        <w:t xml:space="preserve"> </w:t>
      </w:r>
      <w:r w:rsidR="00CE3768" w:rsidRPr="005E6658">
        <w:rPr>
          <w:rFonts w:asciiTheme="majorHAnsi" w:hAnsiTheme="majorHAnsi"/>
        </w:rPr>
        <w:t xml:space="preserve">to </w:t>
      </w:r>
      <w:r w:rsidR="00266D15">
        <w:rPr>
          <w:rFonts w:asciiTheme="majorHAnsi" w:hAnsiTheme="majorHAnsi"/>
        </w:rPr>
        <w:t>89,500</w:t>
      </w:r>
      <w:r w:rsidR="00CE3768" w:rsidRPr="005E6658">
        <w:rPr>
          <w:rFonts w:asciiTheme="majorHAnsi" w:hAnsiTheme="majorHAnsi"/>
        </w:rPr>
        <w:t xml:space="preserve"> hours. </w:t>
      </w:r>
      <w:r w:rsidR="00833B7B" w:rsidRPr="005E6658">
        <w:rPr>
          <w:rFonts w:asciiTheme="majorHAnsi" w:hAnsiTheme="majorHAnsi"/>
        </w:rPr>
        <w:t xml:space="preserve"> </w:t>
      </w:r>
      <w:r w:rsidR="00704ED6" w:rsidRPr="005E6658">
        <w:rPr>
          <w:rFonts w:asciiTheme="majorHAnsi" w:hAnsiTheme="majorHAnsi"/>
        </w:rPr>
        <w:t xml:space="preserve"> </w:t>
      </w:r>
    </w:p>
    <w:p w:rsidR="002C7EE0" w:rsidRDefault="002C7EE0" w:rsidP="003E6DF1">
      <w:pPr>
        <w:tabs>
          <w:tab w:val="left" w:pos="-1080"/>
          <w:tab w:val="left" w:pos="-720"/>
          <w:tab w:val="left" w:pos="0"/>
          <w:tab w:val="left" w:pos="450"/>
          <w:tab w:val="left" w:pos="720"/>
          <w:tab w:val="left" w:pos="2160"/>
        </w:tabs>
        <w:spacing w:after="0" w:line="240" w:lineRule="auto"/>
        <w:rPr>
          <w:rFonts w:asciiTheme="majorHAnsi" w:hAnsiTheme="majorHAnsi"/>
        </w:rPr>
      </w:pPr>
    </w:p>
    <w:p w:rsidR="00BE69D9" w:rsidRPr="005E6658" w:rsidRDefault="00157BD0" w:rsidP="005E6658">
      <w:pPr>
        <w:pStyle w:val="ListParagraph"/>
        <w:numPr>
          <w:ilvl w:val="0"/>
          <w:numId w:val="18"/>
        </w:numPr>
        <w:tabs>
          <w:tab w:val="left" w:pos="-1080"/>
          <w:tab w:val="left" w:pos="-720"/>
          <w:tab w:val="left" w:pos="0"/>
          <w:tab w:val="left" w:pos="450"/>
          <w:tab w:val="left" w:pos="720"/>
          <w:tab w:val="left" w:pos="2160"/>
        </w:tabs>
        <w:spacing w:after="0" w:line="240" w:lineRule="auto"/>
        <w:rPr>
          <w:rFonts w:asciiTheme="majorHAnsi" w:hAnsiTheme="majorHAnsi"/>
        </w:rPr>
      </w:pPr>
      <w:r w:rsidRPr="005E6658">
        <w:rPr>
          <w:rFonts w:asciiTheme="majorHAnsi" w:hAnsiTheme="majorHAnsi"/>
          <w:b/>
        </w:rPr>
        <w:t>Classification/problem-solving project:</w:t>
      </w:r>
      <w:r w:rsidRPr="005E6658">
        <w:rPr>
          <w:rFonts w:asciiTheme="majorHAnsi" w:hAnsiTheme="majorHAnsi"/>
        </w:rPr>
        <w:t xml:space="preserve"> </w:t>
      </w:r>
      <w:r w:rsidR="00FF5A18" w:rsidRPr="005E6658">
        <w:rPr>
          <w:rFonts w:asciiTheme="majorHAnsi" w:hAnsiTheme="majorHAnsi"/>
        </w:rPr>
        <w:t xml:space="preserve">We estimate </w:t>
      </w:r>
      <w:r w:rsidR="0036661D" w:rsidRPr="005E6658">
        <w:rPr>
          <w:rFonts w:asciiTheme="majorHAnsi" w:hAnsiTheme="majorHAnsi"/>
        </w:rPr>
        <w:t xml:space="preserve">2,500 participants per year per </w:t>
      </w:r>
      <w:r w:rsidR="00E94CD8" w:rsidRPr="005E6658">
        <w:rPr>
          <w:rFonts w:asciiTheme="majorHAnsi" w:hAnsiTheme="majorHAnsi"/>
        </w:rPr>
        <w:t xml:space="preserve">classification/problem solving data </w:t>
      </w:r>
      <w:r w:rsidR="0036661D" w:rsidRPr="005E6658">
        <w:rPr>
          <w:rFonts w:asciiTheme="majorHAnsi" w:hAnsiTheme="majorHAnsi"/>
        </w:rPr>
        <w:t>collection under this generic clearance</w:t>
      </w:r>
      <w:r w:rsidR="00FF5A18" w:rsidRPr="005E6658">
        <w:rPr>
          <w:rFonts w:asciiTheme="majorHAnsi" w:hAnsiTheme="majorHAnsi"/>
        </w:rPr>
        <w:t xml:space="preserve"> </w:t>
      </w:r>
      <w:r w:rsidR="0036661D" w:rsidRPr="005E6658">
        <w:rPr>
          <w:rFonts w:asciiTheme="majorHAnsi" w:hAnsiTheme="majorHAnsi"/>
        </w:rPr>
        <w:t xml:space="preserve">based on estimates from </w:t>
      </w:r>
      <w:r w:rsidR="00F15194">
        <w:rPr>
          <w:rFonts w:asciiTheme="majorHAnsi" w:hAnsiTheme="majorHAnsi"/>
        </w:rPr>
        <w:t>an example of a classification/problem-solving</w:t>
      </w:r>
      <w:r w:rsidR="00FF5A18" w:rsidRPr="005E6658">
        <w:rPr>
          <w:rFonts w:asciiTheme="majorHAnsi" w:hAnsiTheme="majorHAnsi"/>
        </w:rPr>
        <w:t xml:space="preserve"> project</w:t>
      </w:r>
      <w:r w:rsidR="00F15194">
        <w:rPr>
          <w:rFonts w:asciiTheme="majorHAnsi" w:hAnsiTheme="majorHAnsi"/>
        </w:rPr>
        <w:t xml:space="preserve"> at USGS</w:t>
      </w:r>
      <w:r w:rsidR="00FF5A18" w:rsidRPr="005E6658">
        <w:rPr>
          <w:rFonts w:asciiTheme="majorHAnsi" w:hAnsiTheme="majorHAnsi"/>
        </w:rPr>
        <w:t xml:space="preserve">, </w:t>
      </w:r>
      <w:r w:rsidR="00F15194">
        <w:rPr>
          <w:rFonts w:asciiTheme="majorHAnsi" w:hAnsiTheme="majorHAnsi"/>
        </w:rPr>
        <w:t>the</w:t>
      </w:r>
      <w:r w:rsidR="00F15194" w:rsidRPr="005E6658">
        <w:rPr>
          <w:rFonts w:asciiTheme="majorHAnsi" w:hAnsiTheme="majorHAnsi"/>
        </w:rPr>
        <w:t xml:space="preserve"> </w:t>
      </w:r>
      <w:r w:rsidR="0036661D" w:rsidRPr="005E6658">
        <w:rPr>
          <w:rFonts w:asciiTheme="majorHAnsi" w:hAnsiTheme="majorHAnsi"/>
        </w:rPr>
        <w:t>citizen science program</w:t>
      </w:r>
      <w:r w:rsidR="00FF5A18" w:rsidRPr="005E6658">
        <w:rPr>
          <w:rFonts w:asciiTheme="majorHAnsi" w:hAnsiTheme="majorHAnsi"/>
        </w:rPr>
        <w:t xml:space="preserve"> </w:t>
      </w:r>
      <w:r w:rsidR="0036661D" w:rsidRPr="005E6658">
        <w:rPr>
          <w:rFonts w:asciiTheme="majorHAnsi" w:hAnsiTheme="majorHAnsi"/>
        </w:rPr>
        <w:t xml:space="preserve">iCoast (OMB Control Number 1028-NEW). </w:t>
      </w:r>
      <w:r w:rsidR="00202EC4" w:rsidRPr="005E6658">
        <w:rPr>
          <w:rFonts w:asciiTheme="majorHAnsi" w:hAnsiTheme="majorHAnsi"/>
        </w:rPr>
        <w:t xml:space="preserve">iCoast estimated 10 minutes for registration, login and reading guidelines. </w:t>
      </w:r>
      <w:r w:rsidR="00FF5A18" w:rsidRPr="005E6658">
        <w:rPr>
          <w:rFonts w:asciiTheme="majorHAnsi" w:hAnsiTheme="majorHAnsi"/>
        </w:rPr>
        <w:t xml:space="preserve">We </w:t>
      </w:r>
      <w:r w:rsidR="0036661D" w:rsidRPr="005E6658">
        <w:rPr>
          <w:rFonts w:asciiTheme="majorHAnsi" w:hAnsiTheme="majorHAnsi"/>
        </w:rPr>
        <w:t>estimate</w:t>
      </w:r>
      <w:r w:rsidR="00FF5A18" w:rsidRPr="005E6658">
        <w:rPr>
          <w:rFonts w:asciiTheme="majorHAnsi" w:hAnsiTheme="majorHAnsi"/>
        </w:rPr>
        <w:t xml:space="preserve"> </w:t>
      </w:r>
      <w:r w:rsidR="00FF5A18" w:rsidRPr="005E6658">
        <w:rPr>
          <w:rFonts w:asciiTheme="majorHAnsi" w:hAnsiTheme="majorHAnsi"/>
          <w:u w:val="single"/>
        </w:rPr>
        <w:t>3</w:t>
      </w:r>
      <w:r w:rsidR="00FF5A18" w:rsidRPr="005E6658">
        <w:rPr>
          <w:rFonts w:asciiTheme="majorHAnsi" w:hAnsiTheme="majorHAnsi"/>
        </w:rPr>
        <w:t xml:space="preserve"> </w:t>
      </w:r>
      <w:r w:rsidR="0036661D" w:rsidRPr="005E6658">
        <w:rPr>
          <w:rFonts w:asciiTheme="majorHAnsi" w:hAnsiTheme="majorHAnsi"/>
        </w:rPr>
        <w:t xml:space="preserve">data gathering projects </w:t>
      </w:r>
      <w:r w:rsidR="00FF5A18" w:rsidRPr="005E6658">
        <w:rPr>
          <w:rFonts w:asciiTheme="majorHAnsi" w:hAnsiTheme="majorHAnsi"/>
        </w:rPr>
        <w:t xml:space="preserve">annually </w:t>
      </w:r>
      <w:r w:rsidR="0036661D" w:rsidRPr="005E6658">
        <w:rPr>
          <w:rFonts w:asciiTheme="majorHAnsi" w:hAnsiTheme="majorHAnsi"/>
        </w:rPr>
        <w:t xml:space="preserve">under this generic clearance. </w:t>
      </w:r>
      <w:r w:rsidR="00FF5A18" w:rsidRPr="005E6658">
        <w:rPr>
          <w:rFonts w:asciiTheme="majorHAnsi" w:hAnsiTheme="majorHAnsi"/>
        </w:rPr>
        <w:t>We estimate the number of participants completing training will be 80% of registrants</w:t>
      </w:r>
      <w:r w:rsidR="0036661D" w:rsidRPr="005E6658">
        <w:rPr>
          <w:rFonts w:asciiTheme="majorHAnsi" w:hAnsiTheme="majorHAnsi"/>
        </w:rPr>
        <w:t xml:space="preserve">. Training modules will vary by data collection; the range is one hour to </w:t>
      </w:r>
      <w:r w:rsidR="00DC1E77" w:rsidRPr="005E6658">
        <w:rPr>
          <w:rFonts w:asciiTheme="majorHAnsi" w:hAnsiTheme="majorHAnsi"/>
        </w:rPr>
        <w:t>four</w:t>
      </w:r>
      <w:r w:rsidR="0036661D" w:rsidRPr="005E6658">
        <w:rPr>
          <w:rFonts w:asciiTheme="majorHAnsi" w:hAnsiTheme="majorHAnsi"/>
        </w:rPr>
        <w:t xml:space="preserve"> hours.</w:t>
      </w:r>
      <w:r w:rsidR="007B795D" w:rsidRPr="005E6658">
        <w:rPr>
          <w:rFonts w:asciiTheme="majorHAnsi" w:hAnsiTheme="majorHAnsi"/>
        </w:rPr>
        <w:t xml:space="preserve"> </w:t>
      </w:r>
      <w:r w:rsidR="005C3164" w:rsidRPr="005E6658">
        <w:rPr>
          <w:rFonts w:asciiTheme="majorHAnsi" w:hAnsiTheme="majorHAnsi"/>
        </w:rPr>
        <w:t>The estimated number of participants that will spend time on the website, app, or computer program engaged in the activities</w:t>
      </w:r>
      <w:r w:rsidR="00220F82" w:rsidRPr="005E6658">
        <w:rPr>
          <w:rFonts w:asciiTheme="majorHAnsi" w:hAnsiTheme="majorHAnsi"/>
        </w:rPr>
        <w:t xml:space="preserve"> </w:t>
      </w:r>
      <w:r w:rsidR="00827732" w:rsidRPr="005E6658">
        <w:rPr>
          <w:rFonts w:asciiTheme="majorHAnsi" w:hAnsiTheme="majorHAnsi"/>
        </w:rPr>
        <w:t>will vary</w:t>
      </w:r>
      <w:r w:rsidR="00220F82" w:rsidRPr="005E6658">
        <w:rPr>
          <w:rFonts w:asciiTheme="majorHAnsi" w:hAnsiTheme="majorHAnsi"/>
        </w:rPr>
        <w:t>,</w:t>
      </w:r>
      <w:r w:rsidR="00A206B9" w:rsidRPr="005E6658">
        <w:rPr>
          <w:rFonts w:asciiTheme="majorHAnsi" w:hAnsiTheme="majorHAnsi"/>
        </w:rPr>
        <w:t xml:space="preserve"> and </w:t>
      </w:r>
      <w:r w:rsidR="003C7D54" w:rsidRPr="005E6658">
        <w:rPr>
          <w:rFonts w:asciiTheme="majorHAnsi" w:hAnsiTheme="majorHAnsi"/>
        </w:rPr>
        <w:t xml:space="preserve">it </w:t>
      </w:r>
      <w:r w:rsidR="00A206B9" w:rsidRPr="005E6658">
        <w:rPr>
          <w:rFonts w:asciiTheme="majorHAnsi" w:hAnsiTheme="majorHAnsi"/>
        </w:rPr>
        <w:t>is difficult to predict</w:t>
      </w:r>
      <w:r w:rsidR="003C7D54" w:rsidRPr="005E6658">
        <w:rPr>
          <w:rFonts w:asciiTheme="majorHAnsi" w:hAnsiTheme="majorHAnsi"/>
        </w:rPr>
        <w:t>. P</w:t>
      </w:r>
      <w:r w:rsidR="00A206B9" w:rsidRPr="005E6658">
        <w:rPr>
          <w:rFonts w:asciiTheme="majorHAnsi" w:hAnsiTheme="majorHAnsi"/>
        </w:rPr>
        <w:t xml:space="preserve">articipants will </w:t>
      </w:r>
      <w:r w:rsidR="003C7D54" w:rsidRPr="005E6658">
        <w:rPr>
          <w:rFonts w:asciiTheme="majorHAnsi" w:hAnsiTheme="majorHAnsi"/>
        </w:rPr>
        <w:t xml:space="preserve">continue to engage with the site based on their interest and </w:t>
      </w:r>
      <w:r w:rsidR="00E70F4C" w:rsidRPr="005E6658">
        <w:rPr>
          <w:rFonts w:asciiTheme="majorHAnsi" w:hAnsiTheme="majorHAnsi"/>
        </w:rPr>
        <w:t xml:space="preserve">submit data until the task is complete. For this estimate, </w:t>
      </w:r>
      <w:r w:rsidR="00FF5A18" w:rsidRPr="005E6658">
        <w:rPr>
          <w:rFonts w:asciiTheme="majorHAnsi" w:hAnsiTheme="majorHAnsi"/>
        </w:rPr>
        <w:t xml:space="preserve">we assume </w:t>
      </w:r>
      <w:r w:rsidR="00E70F4C" w:rsidRPr="005E6658">
        <w:rPr>
          <w:rFonts w:asciiTheme="majorHAnsi" w:hAnsiTheme="majorHAnsi"/>
        </w:rPr>
        <w:t xml:space="preserve">data collection tasks </w:t>
      </w:r>
      <w:r w:rsidR="00F03FEF" w:rsidRPr="005E6658">
        <w:rPr>
          <w:rFonts w:asciiTheme="majorHAnsi" w:hAnsiTheme="majorHAnsi"/>
        </w:rPr>
        <w:t xml:space="preserve">(classification/problem solving) </w:t>
      </w:r>
      <w:r w:rsidR="00E70F4C" w:rsidRPr="005E6658">
        <w:rPr>
          <w:rFonts w:asciiTheme="majorHAnsi" w:hAnsiTheme="majorHAnsi"/>
        </w:rPr>
        <w:t>will</w:t>
      </w:r>
      <w:r w:rsidR="00FF5A18" w:rsidRPr="005E6658">
        <w:rPr>
          <w:rFonts w:asciiTheme="majorHAnsi" w:hAnsiTheme="majorHAnsi"/>
        </w:rPr>
        <w:t xml:space="preserve"> </w:t>
      </w:r>
      <w:r w:rsidR="00E70F4C" w:rsidRPr="005E6658">
        <w:rPr>
          <w:rFonts w:asciiTheme="majorHAnsi" w:hAnsiTheme="majorHAnsi"/>
        </w:rPr>
        <w:t xml:space="preserve">be completed with 50% of the trained </w:t>
      </w:r>
      <w:r w:rsidR="00E70F4C" w:rsidRPr="005E6658">
        <w:rPr>
          <w:rFonts w:asciiTheme="majorHAnsi" w:hAnsiTheme="majorHAnsi"/>
        </w:rPr>
        <w:lastRenderedPageBreak/>
        <w:t>participants engaged by the sites for 8 hours per month</w:t>
      </w:r>
      <w:r w:rsidR="00550F49">
        <w:rPr>
          <w:rFonts w:asciiTheme="majorHAnsi" w:hAnsiTheme="majorHAnsi"/>
        </w:rPr>
        <w:t xml:space="preserve"> or 96 hours per year</w:t>
      </w:r>
      <w:r w:rsidR="00E70F4C" w:rsidRPr="005E6658">
        <w:rPr>
          <w:rFonts w:asciiTheme="majorHAnsi" w:hAnsiTheme="majorHAnsi"/>
        </w:rPr>
        <w:t xml:space="preserve">. </w:t>
      </w:r>
      <w:r w:rsidR="00BE69D9" w:rsidRPr="005E6658">
        <w:rPr>
          <w:rFonts w:asciiTheme="majorHAnsi" w:hAnsiTheme="majorHAnsi"/>
        </w:rPr>
        <w:t xml:space="preserve">The estimated range of annual burden for 3 classification/problem solving projects is </w:t>
      </w:r>
      <w:r w:rsidR="00535EE8" w:rsidRPr="005E6658">
        <w:rPr>
          <w:rFonts w:asciiTheme="majorHAnsi" w:hAnsiTheme="majorHAnsi"/>
        </w:rPr>
        <w:t>295,250</w:t>
      </w:r>
      <w:r w:rsidR="00535EE8">
        <w:rPr>
          <w:rFonts w:asciiTheme="majorHAnsi" w:hAnsiTheme="majorHAnsi"/>
        </w:rPr>
        <w:t xml:space="preserve"> to </w:t>
      </w:r>
      <w:r w:rsidR="00BE69D9" w:rsidRPr="005E6658">
        <w:rPr>
          <w:rFonts w:asciiTheme="majorHAnsi" w:hAnsiTheme="majorHAnsi"/>
        </w:rPr>
        <w:t xml:space="preserve">313,250 hours.   </w:t>
      </w:r>
    </w:p>
    <w:p w:rsidR="003E4E7B" w:rsidRDefault="003E4E7B" w:rsidP="007F5975">
      <w:pPr>
        <w:tabs>
          <w:tab w:val="left" w:pos="-1080"/>
          <w:tab w:val="left" w:pos="-720"/>
          <w:tab w:val="left" w:pos="0"/>
          <w:tab w:val="left" w:pos="450"/>
          <w:tab w:val="left" w:pos="720"/>
          <w:tab w:val="left" w:pos="2160"/>
        </w:tabs>
        <w:spacing w:after="0" w:line="240" w:lineRule="auto"/>
        <w:rPr>
          <w:b/>
          <w:bCs/>
          <w:szCs w:val="24"/>
          <w:lang w:val="en-CA"/>
        </w:rPr>
      </w:pPr>
    </w:p>
    <w:p w:rsidR="003E4E7B" w:rsidRDefault="003E4E7B" w:rsidP="007F5975">
      <w:pPr>
        <w:tabs>
          <w:tab w:val="left" w:pos="-1080"/>
          <w:tab w:val="left" w:pos="-720"/>
          <w:tab w:val="left" w:pos="0"/>
          <w:tab w:val="left" w:pos="450"/>
          <w:tab w:val="left" w:pos="720"/>
          <w:tab w:val="left" w:pos="2160"/>
        </w:tabs>
        <w:spacing w:after="0" w:line="240" w:lineRule="auto"/>
        <w:rPr>
          <w:b/>
          <w:bCs/>
          <w:szCs w:val="24"/>
          <w:lang w:val="en-CA"/>
        </w:rPr>
      </w:pPr>
    </w:p>
    <w:p w:rsidR="00C25474" w:rsidRDefault="00C25474" w:rsidP="007F5975">
      <w:pPr>
        <w:tabs>
          <w:tab w:val="left" w:pos="-1080"/>
          <w:tab w:val="left" w:pos="-720"/>
          <w:tab w:val="left" w:pos="0"/>
          <w:tab w:val="left" w:pos="450"/>
          <w:tab w:val="left" w:pos="720"/>
          <w:tab w:val="left" w:pos="2160"/>
        </w:tabs>
        <w:spacing w:after="0" w:line="240" w:lineRule="auto"/>
        <w:rPr>
          <w:b/>
          <w:bCs/>
          <w:szCs w:val="24"/>
          <w:lang w:val="en-CA"/>
        </w:rPr>
      </w:pPr>
    </w:p>
    <w:p w:rsidR="00C25474" w:rsidRDefault="00C25474" w:rsidP="007F5975">
      <w:pPr>
        <w:tabs>
          <w:tab w:val="left" w:pos="-1080"/>
          <w:tab w:val="left" w:pos="-720"/>
          <w:tab w:val="left" w:pos="0"/>
          <w:tab w:val="left" w:pos="450"/>
          <w:tab w:val="left" w:pos="720"/>
          <w:tab w:val="left" w:pos="2160"/>
        </w:tabs>
        <w:spacing w:after="0" w:line="240" w:lineRule="auto"/>
        <w:rPr>
          <w:b/>
          <w:bCs/>
          <w:szCs w:val="24"/>
          <w:lang w:val="en-CA"/>
        </w:rPr>
      </w:pPr>
    </w:p>
    <w:p w:rsidR="007F5975" w:rsidRPr="002C435E" w:rsidRDefault="007F5975" w:rsidP="007F5975">
      <w:pPr>
        <w:tabs>
          <w:tab w:val="left" w:pos="-1080"/>
          <w:tab w:val="left" w:pos="-720"/>
          <w:tab w:val="left" w:pos="0"/>
          <w:tab w:val="left" w:pos="450"/>
          <w:tab w:val="left" w:pos="720"/>
          <w:tab w:val="left" w:pos="2160"/>
        </w:tabs>
        <w:spacing w:after="0" w:line="240" w:lineRule="auto"/>
        <w:rPr>
          <w:rFonts w:asciiTheme="majorHAnsi" w:hAnsiTheme="majorHAnsi"/>
          <w:b/>
        </w:rPr>
      </w:pPr>
      <w:r w:rsidRPr="002C435E">
        <w:rPr>
          <w:b/>
          <w:bCs/>
          <w:szCs w:val="24"/>
          <w:lang w:val="en-CA"/>
        </w:rPr>
        <w:t>Burden</w:t>
      </w:r>
      <w:r w:rsidRPr="002C435E">
        <w:rPr>
          <w:rFonts w:asciiTheme="majorHAnsi" w:hAnsiTheme="majorHAnsi"/>
          <w:b/>
        </w:rPr>
        <w:t xml:space="preserve"> of information collection request table </w:t>
      </w:r>
    </w:p>
    <w:tbl>
      <w:tblPr>
        <w:tblW w:w="9445" w:type="dxa"/>
        <w:tblLook w:val="04A0" w:firstRow="1" w:lastRow="0" w:firstColumn="1" w:lastColumn="0" w:noHBand="0" w:noVBand="1"/>
      </w:tblPr>
      <w:tblGrid>
        <w:gridCol w:w="2695"/>
        <w:gridCol w:w="1440"/>
        <w:gridCol w:w="2520"/>
        <w:gridCol w:w="2790"/>
      </w:tblGrid>
      <w:tr w:rsidR="00386DB3" w:rsidRPr="00386DB3" w:rsidTr="00A40D18">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Estimated Annual Reporting Burden</w:t>
            </w:r>
          </w:p>
        </w:tc>
      </w:tr>
      <w:tr w:rsidR="006E4506" w:rsidRPr="00386DB3" w:rsidTr="00A40D18">
        <w:trPr>
          <w:trHeight w:val="300"/>
        </w:trPr>
        <w:tc>
          <w:tcPr>
            <w:tcW w:w="2695" w:type="dxa"/>
            <w:vMerge w:val="restart"/>
            <w:tcBorders>
              <w:top w:val="nil"/>
              <w:left w:val="single" w:sz="4" w:space="0" w:color="auto"/>
              <w:bottom w:val="single" w:sz="4" w:space="0" w:color="auto"/>
              <w:right w:val="single" w:sz="4" w:space="0" w:color="auto"/>
            </w:tcBorders>
            <w:shd w:val="clear" w:color="000000" w:fill="BFBFBF"/>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Type of Collection</w:t>
            </w:r>
          </w:p>
        </w:tc>
        <w:tc>
          <w:tcPr>
            <w:tcW w:w="1440" w:type="dxa"/>
            <w:vMerge w:val="restart"/>
            <w:tcBorders>
              <w:top w:val="nil"/>
              <w:left w:val="single" w:sz="4" w:space="0" w:color="auto"/>
              <w:bottom w:val="single" w:sz="4" w:space="0" w:color="auto"/>
              <w:right w:val="single" w:sz="4" w:space="0" w:color="auto"/>
            </w:tcBorders>
            <w:shd w:val="clear" w:color="000000" w:fill="BFBFBF"/>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000000" w:fill="BFBFBF"/>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Estimated Time per Participant (hours unless otherwise noted)</w:t>
            </w:r>
          </w:p>
        </w:tc>
        <w:tc>
          <w:tcPr>
            <w:tcW w:w="2790" w:type="dxa"/>
            <w:vMerge w:val="restart"/>
            <w:tcBorders>
              <w:top w:val="nil"/>
              <w:left w:val="single" w:sz="4" w:space="0" w:color="auto"/>
              <w:bottom w:val="single" w:sz="4" w:space="0" w:color="auto"/>
              <w:right w:val="single" w:sz="4" w:space="0" w:color="auto"/>
            </w:tcBorders>
            <w:shd w:val="clear" w:color="000000" w:fill="BFBFBF"/>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Total Annual Burden Hours</w:t>
            </w:r>
          </w:p>
        </w:tc>
      </w:tr>
      <w:tr w:rsidR="005A451E" w:rsidRPr="00386DB3" w:rsidTr="00A40D18">
        <w:trPr>
          <w:trHeight w:val="300"/>
        </w:trPr>
        <w:tc>
          <w:tcPr>
            <w:tcW w:w="2695" w:type="dxa"/>
            <w:vMerge/>
            <w:tcBorders>
              <w:top w:val="nil"/>
              <w:left w:val="single" w:sz="4" w:space="0" w:color="auto"/>
              <w:bottom w:val="single" w:sz="4" w:space="0" w:color="auto"/>
              <w:right w:val="single" w:sz="4" w:space="0" w:color="auto"/>
            </w:tcBorders>
            <w:vAlign w:val="center"/>
            <w:hideMark/>
          </w:tcPr>
          <w:p w:rsidR="00386DB3" w:rsidRPr="00386DB3" w:rsidRDefault="00386DB3" w:rsidP="00386DB3">
            <w:pPr>
              <w:spacing w:after="0" w:line="240" w:lineRule="auto"/>
              <w:rPr>
                <w:rFonts w:ascii="Calibri" w:eastAsia="Times New Roman" w:hAnsi="Calibri" w:cs="Times New Roman"/>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386DB3" w:rsidRPr="00386DB3" w:rsidRDefault="00386DB3" w:rsidP="00386DB3">
            <w:pPr>
              <w:spacing w:after="0" w:line="240" w:lineRule="auto"/>
              <w:rPr>
                <w:rFonts w:ascii="Calibri" w:eastAsia="Times New Roman" w:hAnsi="Calibri" w:cs="Times New Roman"/>
                <w:b/>
                <w:bCs/>
                <w:color w:val="000000"/>
              </w:rPr>
            </w:pPr>
          </w:p>
        </w:tc>
        <w:tc>
          <w:tcPr>
            <w:tcW w:w="2520" w:type="dxa"/>
            <w:vMerge/>
            <w:tcBorders>
              <w:top w:val="nil"/>
              <w:left w:val="single" w:sz="4" w:space="0" w:color="auto"/>
              <w:bottom w:val="single" w:sz="4" w:space="0" w:color="auto"/>
              <w:right w:val="single" w:sz="4" w:space="0" w:color="auto"/>
            </w:tcBorders>
            <w:vAlign w:val="center"/>
            <w:hideMark/>
          </w:tcPr>
          <w:p w:rsidR="00386DB3" w:rsidRPr="00386DB3" w:rsidRDefault="00386DB3" w:rsidP="00386DB3">
            <w:pPr>
              <w:spacing w:after="0" w:line="240" w:lineRule="auto"/>
              <w:rPr>
                <w:rFonts w:ascii="Calibri" w:eastAsia="Times New Roman" w:hAnsi="Calibri" w:cs="Times New Roman"/>
                <w:b/>
                <w:bCs/>
                <w:color w:val="000000"/>
              </w:rPr>
            </w:pPr>
          </w:p>
        </w:tc>
        <w:tc>
          <w:tcPr>
            <w:tcW w:w="2790" w:type="dxa"/>
            <w:vMerge/>
            <w:tcBorders>
              <w:top w:val="nil"/>
              <w:left w:val="single" w:sz="4" w:space="0" w:color="auto"/>
              <w:bottom w:val="single" w:sz="4" w:space="0" w:color="auto"/>
              <w:right w:val="single" w:sz="4" w:space="0" w:color="auto"/>
            </w:tcBorders>
            <w:vAlign w:val="center"/>
            <w:hideMark/>
          </w:tcPr>
          <w:p w:rsidR="00386DB3" w:rsidRPr="00386DB3" w:rsidRDefault="00386DB3" w:rsidP="00386DB3">
            <w:pPr>
              <w:spacing w:after="0" w:line="240" w:lineRule="auto"/>
              <w:rPr>
                <w:rFonts w:ascii="Calibri" w:eastAsia="Times New Roman" w:hAnsi="Calibri" w:cs="Times New Roman"/>
                <w:b/>
                <w:bCs/>
                <w:color w:val="000000"/>
              </w:rPr>
            </w:pPr>
          </w:p>
        </w:tc>
      </w:tr>
      <w:tr w:rsidR="00386DB3" w:rsidRPr="00386DB3" w:rsidTr="00A40D18">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A. Data gathering projects</w:t>
            </w:r>
          </w:p>
        </w:tc>
      </w:tr>
      <w:tr w:rsidR="00123FAE" w:rsidRPr="00386DB3" w:rsidTr="00713F01">
        <w:trPr>
          <w:trHeight w:val="12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Participant  registration, initial login &amp; reading guidelines</w:t>
            </w:r>
          </w:p>
        </w:tc>
        <w:tc>
          <w:tcPr>
            <w:tcW w:w="144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10,000</w:t>
            </w:r>
          </w:p>
        </w:tc>
        <w:tc>
          <w:tcPr>
            <w:tcW w:w="252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13 minutes</w:t>
            </w:r>
          </w:p>
        </w:tc>
        <w:tc>
          <w:tcPr>
            <w:tcW w:w="279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2,167 hours</w:t>
            </w:r>
          </w:p>
        </w:tc>
      </w:tr>
      <w:tr w:rsidR="00123FAE" w:rsidRPr="00386DB3" w:rsidTr="00713F01">
        <w:trPr>
          <w:trHeight w:val="12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Participant training (estimate 80% of those who register will undergo training)</w:t>
            </w:r>
          </w:p>
        </w:tc>
        <w:tc>
          <w:tcPr>
            <w:tcW w:w="144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770682">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8,000</w:t>
            </w:r>
          </w:p>
        </w:tc>
        <w:tc>
          <w:tcPr>
            <w:tcW w:w="252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770682">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1 to 4 hours</w:t>
            </w:r>
          </w:p>
        </w:tc>
        <w:tc>
          <w:tcPr>
            <w:tcW w:w="279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770682">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8,000 to 32,000 hours</w:t>
            </w:r>
          </w:p>
        </w:tc>
      </w:tr>
      <w:tr w:rsidR="00386DB3" w:rsidRPr="00386DB3" w:rsidTr="00A40D18">
        <w:trPr>
          <w:trHeight w:val="1520"/>
        </w:trPr>
        <w:tc>
          <w:tcPr>
            <w:tcW w:w="2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Participants contributing observations (estimate all "trained")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8,000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5.2 hours (500,000 observations at 5 minutes each)</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41,667</w:t>
            </w:r>
          </w:p>
        </w:tc>
      </w:tr>
      <w:tr w:rsidR="006E4506" w:rsidRPr="00386DB3" w:rsidTr="00A40D18">
        <w:trPr>
          <w:trHeight w:val="600"/>
        </w:trPr>
        <w:tc>
          <w:tcPr>
            <w:tcW w:w="269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86DB3" w:rsidRPr="00386DB3" w:rsidRDefault="00386DB3" w:rsidP="00386DB3">
            <w:pPr>
              <w:spacing w:after="0" w:line="240" w:lineRule="auto"/>
              <w:rPr>
                <w:rFonts w:ascii="Calibri" w:eastAsia="Times New Roman" w:hAnsi="Calibri" w:cs="Times New Roman"/>
                <w:b/>
                <w:bCs/>
                <w:color w:val="000000"/>
              </w:rPr>
            </w:pPr>
            <w:r w:rsidRPr="00386DB3">
              <w:rPr>
                <w:rFonts w:ascii="Calibri" w:eastAsia="Times New Roman" w:hAnsi="Calibri" w:cs="Times New Roman"/>
                <w:b/>
                <w:bCs/>
                <w:color w:val="000000"/>
              </w:rPr>
              <w:t>Total burden hours</w:t>
            </w:r>
          </w:p>
        </w:tc>
        <w:tc>
          <w:tcPr>
            <w:tcW w:w="1440" w:type="dxa"/>
            <w:tcBorders>
              <w:top w:val="single" w:sz="4" w:space="0" w:color="auto"/>
              <w:left w:val="nil"/>
              <w:bottom w:val="single" w:sz="4" w:space="0" w:color="auto"/>
              <w:right w:val="single" w:sz="4" w:space="0" w:color="auto"/>
            </w:tcBorders>
            <w:shd w:val="clear" w:color="000000" w:fill="F2F2F2"/>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 </w:t>
            </w:r>
          </w:p>
        </w:tc>
        <w:tc>
          <w:tcPr>
            <w:tcW w:w="2520" w:type="dxa"/>
            <w:tcBorders>
              <w:top w:val="single" w:sz="4" w:space="0" w:color="auto"/>
              <w:left w:val="nil"/>
              <w:bottom w:val="single" w:sz="4" w:space="0" w:color="auto"/>
              <w:right w:val="single" w:sz="4" w:space="0" w:color="auto"/>
            </w:tcBorders>
            <w:shd w:val="clear" w:color="000000" w:fill="F2F2F2"/>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 </w:t>
            </w:r>
          </w:p>
        </w:tc>
        <w:tc>
          <w:tcPr>
            <w:tcW w:w="2790" w:type="dxa"/>
            <w:tcBorders>
              <w:top w:val="single" w:sz="4" w:space="0" w:color="auto"/>
              <w:left w:val="nil"/>
              <w:bottom w:val="single" w:sz="4" w:space="0" w:color="auto"/>
              <w:right w:val="single" w:sz="4" w:space="0" w:color="auto"/>
            </w:tcBorders>
            <w:shd w:val="clear" w:color="000000" w:fill="F2F2F2"/>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51,833 to 75,833 hours</w:t>
            </w:r>
          </w:p>
        </w:tc>
      </w:tr>
      <w:tr w:rsidR="00123FAE" w:rsidRPr="00386DB3" w:rsidTr="005A451E">
        <w:trPr>
          <w:trHeight w:val="615"/>
        </w:trPr>
        <w:tc>
          <w:tcPr>
            <w:tcW w:w="2695" w:type="dxa"/>
            <w:tcBorders>
              <w:top w:val="nil"/>
              <w:left w:val="single" w:sz="4" w:space="0" w:color="auto"/>
              <w:bottom w:val="double" w:sz="6" w:space="0" w:color="auto"/>
              <w:right w:val="single" w:sz="4" w:space="0" w:color="auto"/>
            </w:tcBorders>
            <w:shd w:val="clear" w:color="000000" w:fill="F2F2F2"/>
            <w:vAlign w:val="center"/>
            <w:hideMark/>
          </w:tcPr>
          <w:p w:rsidR="00386DB3" w:rsidRPr="00386DB3" w:rsidRDefault="00386DB3" w:rsidP="00C25474">
            <w:pPr>
              <w:spacing w:after="0" w:line="240" w:lineRule="auto"/>
              <w:rPr>
                <w:rFonts w:ascii="Calibri" w:eastAsia="Times New Roman" w:hAnsi="Calibri" w:cs="Times New Roman"/>
                <w:b/>
                <w:bCs/>
                <w:color w:val="000000"/>
              </w:rPr>
            </w:pPr>
            <w:r w:rsidRPr="00386DB3">
              <w:rPr>
                <w:rFonts w:ascii="Calibri" w:eastAsia="Times New Roman" w:hAnsi="Calibri" w:cs="Times New Roman"/>
                <w:b/>
                <w:bCs/>
                <w:color w:val="000000"/>
              </w:rPr>
              <w:t xml:space="preserve">Total </w:t>
            </w:r>
            <w:r w:rsidR="00C25474">
              <w:rPr>
                <w:rFonts w:ascii="Calibri" w:eastAsia="Times New Roman" w:hAnsi="Calibri" w:cs="Times New Roman"/>
                <w:b/>
                <w:bCs/>
                <w:color w:val="000000"/>
              </w:rPr>
              <w:t>annual labor costs</w:t>
            </w:r>
          </w:p>
        </w:tc>
        <w:tc>
          <w:tcPr>
            <w:tcW w:w="1440" w:type="dxa"/>
            <w:tcBorders>
              <w:top w:val="nil"/>
              <w:left w:val="nil"/>
              <w:bottom w:val="double" w:sz="6" w:space="0" w:color="auto"/>
              <w:right w:val="single" w:sz="4" w:space="0" w:color="auto"/>
            </w:tcBorders>
            <w:shd w:val="clear" w:color="000000" w:fill="F2F2F2"/>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 </w:t>
            </w:r>
          </w:p>
        </w:tc>
        <w:tc>
          <w:tcPr>
            <w:tcW w:w="2520" w:type="dxa"/>
            <w:tcBorders>
              <w:top w:val="nil"/>
              <w:left w:val="nil"/>
              <w:bottom w:val="double" w:sz="6" w:space="0" w:color="auto"/>
              <w:right w:val="single" w:sz="4" w:space="0" w:color="auto"/>
            </w:tcBorders>
            <w:shd w:val="clear" w:color="000000" w:fill="F2F2F2"/>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hourly rate inc</w:t>
            </w:r>
            <w:r w:rsidR="00AE64B0">
              <w:rPr>
                <w:rFonts w:ascii="Calibri" w:eastAsia="Times New Roman" w:hAnsi="Calibri" w:cs="Times New Roman"/>
                <w:color w:val="000000"/>
              </w:rPr>
              <w:t>luding</w:t>
            </w:r>
            <w:r w:rsidRPr="00386DB3">
              <w:rPr>
                <w:rFonts w:ascii="Calibri" w:eastAsia="Times New Roman" w:hAnsi="Calibri" w:cs="Times New Roman"/>
                <w:color w:val="000000"/>
              </w:rPr>
              <w:t>. benefits,$31.79</w:t>
            </w:r>
          </w:p>
        </w:tc>
        <w:tc>
          <w:tcPr>
            <w:tcW w:w="2790" w:type="dxa"/>
            <w:tcBorders>
              <w:top w:val="nil"/>
              <w:left w:val="nil"/>
              <w:bottom w:val="double" w:sz="6" w:space="0" w:color="auto"/>
              <w:right w:val="single" w:sz="4" w:space="0" w:color="auto"/>
            </w:tcBorders>
            <w:shd w:val="clear" w:color="000000" w:fill="F2F2F2"/>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$1,647,78</w:t>
            </w:r>
            <w:r w:rsidR="00C83F2F">
              <w:rPr>
                <w:rFonts w:ascii="Calibri" w:eastAsia="Times New Roman" w:hAnsi="Calibri" w:cs="Times New Roman"/>
                <w:color w:val="000000"/>
              </w:rPr>
              <w:t>2</w:t>
            </w:r>
            <w:r w:rsidRPr="00386DB3">
              <w:rPr>
                <w:rFonts w:ascii="Calibri" w:eastAsia="Times New Roman" w:hAnsi="Calibri" w:cs="Times New Roman"/>
                <w:color w:val="000000"/>
              </w:rPr>
              <w:t xml:space="preserve"> to $2,410,74</w:t>
            </w:r>
            <w:r w:rsidR="00C83F2F">
              <w:rPr>
                <w:rFonts w:ascii="Calibri" w:eastAsia="Times New Roman" w:hAnsi="Calibri" w:cs="Times New Roman"/>
                <w:color w:val="000000"/>
              </w:rPr>
              <w:t>2</w:t>
            </w:r>
          </w:p>
        </w:tc>
      </w:tr>
      <w:tr w:rsidR="00386DB3" w:rsidRPr="00386DB3" w:rsidTr="00A40D18">
        <w:trPr>
          <w:trHeight w:val="300"/>
        </w:trPr>
        <w:tc>
          <w:tcPr>
            <w:tcW w:w="9445" w:type="dxa"/>
            <w:gridSpan w:val="4"/>
            <w:tcBorders>
              <w:top w:val="nil"/>
              <w:left w:val="single" w:sz="4" w:space="0" w:color="auto"/>
              <w:bottom w:val="single" w:sz="4" w:space="0" w:color="auto"/>
              <w:right w:val="single" w:sz="4" w:space="0" w:color="000000"/>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B. Classification/problem-solving project</w:t>
            </w:r>
            <w:r w:rsidR="00286B7F">
              <w:rPr>
                <w:rFonts w:ascii="Calibri" w:eastAsia="Times New Roman" w:hAnsi="Calibri" w:cs="Times New Roman"/>
                <w:b/>
                <w:bCs/>
                <w:color w:val="000000"/>
              </w:rPr>
              <w:t>s</w:t>
            </w:r>
          </w:p>
        </w:tc>
      </w:tr>
      <w:tr w:rsidR="006E4506" w:rsidRPr="00386DB3" w:rsidTr="00A40D18">
        <w:trPr>
          <w:trHeight w:val="300"/>
        </w:trPr>
        <w:tc>
          <w:tcPr>
            <w:tcW w:w="2695" w:type="dxa"/>
            <w:vMerge w:val="restart"/>
            <w:tcBorders>
              <w:top w:val="nil"/>
              <w:left w:val="single" w:sz="4" w:space="0" w:color="auto"/>
              <w:bottom w:val="single" w:sz="4" w:space="0" w:color="auto"/>
              <w:right w:val="single" w:sz="4" w:space="0" w:color="auto"/>
            </w:tcBorders>
            <w:shd w:val="clear" w:color="000000" w:fill="BFBFBF"/>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Type of Collection</w:t>
            </w:r>
          </w:p>
        </w:tc>
        <w:tc>
          <w:tcPr>
            <w:tcW w:w="1440" w:type="dxa"/>
            <w:vMerge w:val="restart"/>
            <w:tcBorders>
              <w:top w:val="nil"/>
              <w:left w:val="single" w:sz="4" w:space="0" w:color="auto"/>
              <w:bottom w:val="single" w:sz="4" w:space="0" w:color="auto"/>
              <w:right w:val="single" w:sz="4" w:space="0" w:color="auto"/>
            </w:tcBorders>
            <w:shd w:val="clear" w:color="000000" w:fill="BFBFBF"/>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000000" w:fill="BFBFBF"/>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 xml:space="preserve">Estimated Time per Participant </w:t>
            </w:r>
          </w:p>
        </w:tc>
        <w:tc>
          <w:tcPr>
            <w:tcW w:w="2790" w:type="dxa"/>
            <w:vMerge w:val="restart"/>
            <w:tcBorders>
              <w:top w:val="nil"/>
              <w:left w:val="single" w:sz="4" w:space="0" w:color="auto"/>
              <w:bottom w:val="single" w:sz="4" w:space="0" w:color="auto"/>
              <w:right w:val="single" w:sz="4" w:space="0" w:color="auto"/>
            </w:tcBorders>
            <w:shd w:val="clear" w:color="000000" w:fill="BFBFBF"/>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Total Annual Burden Hours</w:t>
            </w:r>
          </w:p>
        </w:tc>
      </w:tr>
      <w:tr w:rsidR="005A451E" w:rsidRPr="00386DB3" w:rsidTr="00A40D18">
        <w:trPr>
          <w:trHeight w:val="300"/>
        </w:trPr>
        <w:tc>
          <w:tcPr>
            <w:tcW w:w="2695" w:type="dxa"/>
            <w:vMerge/>
            <w:tcBorders>
              <w:top w:val="nil"/>
              <w:left w:val="single" w:sz="4" w:space="0" w:color="auto"/>
              <w:bottom w:val="single" w:sz="4" w:space="0" w:color="auto"/>
              <w:right w:val="single" w:sz="4" w:space="0" w:color="auto"/>
            </w:tcBorders>
            <w:vAlign w:val="center"/>
            <w:hideMark/>
          </w:tcPr>
          <w:p w:rsidR="00386DB3" w:rsidRPr="00386DB3" w:rsidRDefault="00386DB3" w:rsidP="00386DB3">
            <w:pPr>
              <w:spacing w:after="0" w:line="240" w:lineRule="auto"/>
              <w:rPr>
                <w:rFonts w:ascii="Calibri" w:eastAsia="Times New Roman" w:hAnsi="Calibri" w:cs="Times New Roman"/>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386DB3" w:rsidRPr="00386DB3" w:rsidRDefault="00386DB3" w:rsidP="00386DB3">
            <w:pPr>
              <w:spacing w:after="0" w:line="240" w:lineRule="auto"/>
              <w:rPr>
                <w:rFonts w:ascii="Calibri" w:eastAsia="Times New Roman" w:hAnsi="Calibri" w:cs="Times New Roman"/>
                <w:b/>
                <w:bCs/>
                <w:color w:val="000000"/>
              </w:rPr>
            </w:pPr>
          </w:p>
        </w:tc>
        <w:tc>
          <w:tcPr>
            <w:tcW w:w="2520" w:type="dxa"/>
            <w:vMerge/>
            <w:tcBorders>
              <w:top w:val="nil"/>
              <w:left w:val="single" w:sz="4" w:space="0" w:color="auto"/>
              <w:bottom w:val="single" w:sz="4" w:space="0" w:color="auto"/>
              <w:right w:val="single" w:sz="4" w:space="0" w:color="auto"/>
            </w:tcBorders>
            <w:vAlign w:val="center"/>
            <w:hideMark/>
          </w:tcPr>
          <w:p w:rsidR="00386DB3" w:rsidRPr="00386DB3" w:rsidRDefault="00386DB3" w:rsidP="00386DB3">
            <w:pPr>
              <w:spacing w:after="0" w:line="240" w:lineRule="auto"/>
              <w:rPr>
                <w:rFonts w:ascii="Calibri" w:eastAsia="Times New Roman" w:hAnsi="Calibri" w:cs="Times New Roman"/>
                <w:b/>
                <w:bCs/>
                <w:color w:val="000000"/>
              </w:rPr>
            </w:pPr>
          </w:p>
        </w:tc>
        <w:tc>
          <w:tcPr>
            <w:tcW w:w="2790" w:type="dxa"/>
            <w:vMerge/>
            <w:tcBorders>
              <w:top w:val="nil"/>
              <w:left w:val="single" w:sz="4" w:space="0" w:color="auto"/>
              <w:bottom w:val="single" w:sz="4" w:space="0" w:color="auto"/>
              <w:right w:val="single" w:sz="4" w:space="0" w:color="auto"/>
            </w:tcBorders>
            <w:vAlign w:val="center"/>
            <w:hideMark/>
          </w:tcPr>
          <w:p w:rsidR="00386DB3" w:rsidRPr="00386DB3" w:rsidRDefault="00386DB3" w:rsidP="00386DB3">
            <w:pPr>
              <w:spacing w:after="0" w:line="240" w:lineRule="auto"/>
              <w:rPr>
                <w:rFonts w:ascii="Calibri" w:eastAsia="Times New Roman" w:hAnsi="Calibri" w:cs="Times New Roman"/>
                <w:b/>
                <w:bCs/>
                <w:color w:val="000000"/>
              </w:rPr>
            </w:pPr>
          </w:p>
        </w:tc>
      </w:tr>
      <w:tr w:rsidR="00123FAE" w:rsidRPr="00386DB3" w:rsidTr="00713F01">
        <w:trPr>
          <w:trHeight w:val="12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Participant  registration, initial login &amp; reading guidelines</w:t>
            </w:r>
          </w:p>
        </w:tc>
        <w:tc>
          <w:tcPr>
            <w:tcW w:w="144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7,500</w:t>
            </w:r>
          </w:p>
        </w:tc>
        <w:tc>
          <w:tcPr>
            <w:tcW w:w="252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10 minutes</w:t>
            </w:r>
          </w:p>
        </w:tc>
        <w:tc>
          <w:tcPr>
            <w:tcW w:w="279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1,250 hours</w:t>
            </w:r>
          </w:p>
        </w:tc>
      </w:tr>
      <w:tr w:rsidR="00123FAE" w:rsidRPr="00386DB3" w:rsidTr="00713F01">
        <w:trPr>
          <w:trHeight w:val="6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Participant training</w:t>
            </w:r>
          </w:p>
        </w:tc>
        <w:tc>
          <w:tcPr>
            <w:tcW w:w="144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6,000</w:t>
            </w:r>
          </w:p>
        </w:tc>
        <w:tc>
          <w:tcPr>
            <w:tcW w:w="2520" w:type="dxa"/>
            <w:tcBorders>
              <w:top w:val="nil"/>
              <w:left w:val="nil"/>
              <w:bottom w:val="single" w:sz="4" w:space="0" w:color="auto"/>
              <w:right w:val="single" w:sz="4" w:space="0" w:color="auto"/>
            </w:tcBorders>
            <w:shd w:val="clear" w:color="auto" w:fill="auto"/>
            <w:noWrap/>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1 to 4 hours</w:t>
            </w:r>
          </w:p>
        </w:tc>
        <w:tc>
          <w:tcPr>
            <w:tcW w:w="279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6,000 - 24,000 hours</w:t>
            </w:r>
          </w:p>
        </w:tc>
      </w:tr>
      <w:tr w:rsidR="00123FAE" w:rsidRPr="00386DB3" w:rsidTr="00713F01">
        <w:trPr>
          <w:trHeight w:val="90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Participants completing data collection tasks</w:t>
            </w:r>
          </w:p>
        </w:tc>
        <w:tc>
          <w:tcPr>
            <w:tcW w:w="144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3,000</w:t>
            </w:r>
          </w:p>
        </w:tc>
        <w:tc>
          <w:tcPr>
            <w:tcW w:w="252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96 hours (8 hours/month)</w:t>
            </w:r>
          </w:p>
        </w:tc>
        <w:tc>
          <w:tcPr>
            <w:tcW w:w="2790" w:type="dxa"/>
            <w:tcBorders>
              <w:top w:val="nil"/>
              <w:left w:val="nil"/>
              <w:bottom w:val="single" w:sz="4" w:space="0" w:color="auto"/>
              <w:right w:val="single" w:sz="4" w:space="0" w:color="auto"/>
            </w:tcBorders>
            <w:shd w:val="clear" w:color="auto" w:fill="auto"/>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288,000 hours</w:t>
            </w:r>
          </w:p>
        </w:tc>
      </w:tr>
      <w:tr w:rsidR="006E4506" w:rsidRPr="00386DB3" w:rsidTr="00A40D18">
        <w:trPr>
          <w:trHeight w:val="600"/>
        </w:trPr>
        <w:tc>
          <w:tcPr>
            <w:tcW w:w="2695" w:type="dxa"/>
            <w:tcBorders>
              <w:top w:val="nil"/>
              <w:left w:val="single" w:sz="4" w:space="0" w:color="auto"/>
              <w:bottom w:val="single" w:sz="4" w:space="0" w:color="auto"/>
              <w:right w:val="single" w:sz="4" w:space="0" w:color="auto"/>
            </w:tcBorders>
            <w:shd w:val="clear" w:color="000000" w:fill="E7E6E6"/>
            <w:vAlign w:val="center"/>
            <w:hideMark/>
          </w:tcPr>
          <w:p w:rsidR="00386DB3" w:rsidRPr="00386DB3" w:rsidRDefault="00386DB3" w:rsidP="00386DB3">
            <w:pPr>
              <w:spacing w:after="0" w:line="240" w:lineRule="auto"/>
              <w:rPr>
                <w:rFonts w:ascii="Calibri" w:eastAsia="Times New Roman" w:hAnsi="Calibri" w:cs="Times New Roman"/>
                <w:b/>
                <w:bCs/>
                <w:color w:val="000000"/>
              </w:rPr>
            </w:pPr>
            <w:r w:rsidRPr="00386DB3">
              <w:rPr>
                <w:rFonts w:ascii="Calibri" w:eastAsia="Times New Roman" w:hAnsi="Calibri" w:cs="Times New Roman"/>
                <w:b/>
                <w:bCs/>
                <w:color w:val="000000"/>
              </w:rPr>
              <w:t>Total burden hours</w:t>
            </w:r>
          </w:p>
        </w:tc>
        <w:tc>
          <w:tcPr>
            <w:tcW w:w="1440" w:type="dxa"/>
            <w:tcBorders>
              <w:top w:val="nil"/>
              <w:left w:val="nil"/>
              <w:bottom w:val="single" w:sz="4" w:space="0" w:color="auto"/>
              <w:right w:val="single" w:sz="4" w:space="0" w:color="auto"/>
            </w:tcBorders>
            <w:shd w:val="clear" w:color="000000" w:fill="E7E6E6"/>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 </w:t>
            </w:r>
          </w:p>
        </w:tc>
        <w:tc>
          <w:tcPr>
            <w:tcW w:w="2520" w:type="dxa"/>
            <w:tcBorders>
              <w:top w:val="nil"/>
              <w:left w:val="nil"/>
              <w:bottom w:val="single" w:sz="4" w:space="0" w:color="auto"/>
              <w:right w:val="single" w:sz="4" w:space="0" w:color="auto"/>
            </w:tcBorders>
            <w:shd w:val="clear" w:color="000000" w:fill="E7E6E6"/>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 </w:t>
            </w:r>
          </w:p>
        </w:tc>
        <w:tc>
          <w:tcPr>
            <w:tcW w:w="2790" w:type="dxa"/>
            <w:tcBorders>
              <w:top w:val="nil"/>
              <w:left w:val="nil"/>
              <w:bottom w:val="single" w:sz="4" w:space="0" w:color="auto"/>
              <w:right w:val="single" w:sz="4" w:space="0" w:color="auto"/>
            </w:tcBorders>
            <w:shd w:val="clear" w:color="000000" w:fill="E7E6E6"/>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295,250 to 313,250 hours</w:t>
            </w:r>
          </w:p>
        </w:tc>
      </w:tr>
      <w:tr w:rsidR="00123FAE" w:rsidRPr="00386DB3" w:rsidTr="005A451E">
        <w:trPr>
          <w:trHeight w:val="615"/>
        </w:trPr>
        <w:tc>
          <w:tcPr>
            <w:tcW w:w="2695" w:type="dxa"/>
            <w:tcBorders>
              <w:top w:val="nil"/>
              <w:left w:val="single" w:sz="4" w:space="0" w:color="auto"/>
              <w:bottom w:val="double" w:sz="6" w:space="0" w:color="auto"/>
              <w:right w:val="single" w:sz="4" w:space="0" w:color="auto"/>
            </w:tcBorders>
            <w:shd w:val="clear" w:color="000000" w:fill="E7E6E6"/>
            <w:vAlign w:val="center"/>
            <w:hideMark/>
          </w:tcPr>
          <w:p w:rsidR="00386DB3" w:rsidRPr="00386DB3" w:rsidRDefault="00C25474" w:rsidP="00386DB3">
            <w:pPr>
              <w:spacing w:after="0" w:line="240" w:lineRule="auto"/>
              <w:rPr>
                <w:rFonts w:ascii="Calibri" w:eastAsia="Times New Roman" w:hAnsi="Calibri" w:cs="Times New Roman"/>
                <w:b/>
                <w:bCs/>
                <w:color w:val="000000"/>
              </w:rPr>
            </w:pPr>
            <w:r w:rsidRPr="00386DB3">
              <w:rPr>
                <w:rFonts w:ascii="Calibri" w:eastAsia="Times New Roman" w:hAnsi="Calibri" w:cs="Times New Roman"/>
                <w:b/>
                <w:bCs/>
                <w:color w:val="000000"/>
              </w:rPr>
              <w:lastRenderedPageBreak/>
              <w:t xml:space="preserve">Total </w:t>
            </w:r>
            <w:r>
              <w:rPr>
                <w:rFonts w:ascii="Calibri" w:eastAsia="Times New Roman" w:hAnsi="Calibri" w:cs="Times New Roman"/>
                <w:b/>
                <w:bCs/>
                <w:color w:val="000000"/>
              </w:rPr>
              <w:t>annual labor costs</w:t>
            </w:r>
          </w:p>
        </w:tc>
        <w:tc>
          <w:tcPr>
            <w:tcW w:w="1440" w:type="dxa"/>
            <w:tcBorders>
              <w:top w:val="nil"/>
              <w:left w:val="nil"/>
              <w:bottom w:val="double" w:sz="6" w:space="0" w:color="auto"/>
              <w:right w:val="single" w:sz="4" w:space="0" w:color="auto"/>
            </w:tcBorders>
            <w:shd w:val="clear" w:color="000000" w:fill="E7E6E6"/>
            <w:vAlign w:val="center"/>
            <w:hideMark/>
          </w:tcPr>
          <w:p w:rsidR="00386DB3" w:rsidRPr="00386DB3" w:rsidRDefault="00386DB3" w:rsidP="00386DB3">
            <w:pPr>
              <w:spacing w:after="0" w:line="240" w:lineRule="auto"/>
              <w:jc w:val="center"/>
              <w:rPr>
                <w:rFonts w:ascii="Calibri" w:eastAsia="Times New Roman" w:hAnsi="Calibri" w:cs="Times New Roman"/>
                <w:b/>
                <w:bCs/>
                <w:color w:val="000000"/>
              </w:rPr>
            </w:pPr>
            <w:r w:rsidRPr="00386DB3">
              <w:rPr>
                <w:rFonts w:ascii="Calibri" w:eastAsia="Times New Roman" w:hAnsi="Calibri" w:cs="Times New Roman"/>
                <w:b/>
                <w:bCs/>
                <w:color w:val="000000"/>
              </w:rPr>
              <w:t> </w:t>
            </w:r>
          </w:p>
        </w:tc>
        <w:tc>
          <w:tcPr>
            <w:tcW w:w="2520" w:type="dxa"/>
            <w:tcBorders>
              <w:top w:val="nil"/>
              <w:left w:val="nil"/>
              <w:bottom w:val="double" w:sz="6" w:space="0" w:color="auto"/>
              <w:right w:val="single" w:sz="4" w:space="0" w:color="auto"/>
            </w:tcBorders>
            <w:shd w:val="clear" w:color="000000" w:fill="E7E6E6"/>
            <w:vAlign w:val="center"/>
            <w:hideMark/>
          </w:tcPr>
          <w:p w:rsidR="00386DB3" w:rsidRPr="00386DB3" w:rsidRDefault="00AE64B0" w:rsidP="00386DB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hourly rate including</w:t>
            </w:r>
            <w:r w:rsidR="00386DB3" w:rsidRPr="00386DB3">
              <w:rPr>
                <w:rFonts w:ascii="Calibri" w:eastAsia="Times New Roman" w:hAnsi="Calibri" w:cs="Times New Roman"/>
                <w:color w:val="000000"/>
              </w:rPr>
              <w:t xml:space="preserve"> benefits,$31.79</w:t>
            </w:r>
          </w:p>
        </w:tc>
        <w:tc>
          <w:tcPr>
            <w:tcW w:w="2790" w:type="dxa"/>
            <w:tcBorders>
              <w:top w:val="nil"/>
              <w:left w:val="nil"/>
              <w:bottom w:val="double" w:sz="6" w:space="0" w:color="auto"/>
              <w:right w:val="single" w:sz="4" w:space="0" w:color="auto"/>
            </w:tcBorders>
            <w:shd w:val="clear" w:color="000000" w:fill="E7E6E6"/>
            <w:vAlign w:val="center"/>
            <w:hideMark/>
          </w:tcPr>
          <w:p w:rsidR="00386DB3" w:rsidRPr="00386DB3" w:rsidRDefault="00386DB3" w:rsidP="00386DB3">
            <w:pPr>
              <w:spacing w:after="0" w:line="240" w:lineRule="auto"/>
              <w:jc w:val="center"/>
              <w:rPr>
                <w:rFonts w:ascii="Calibri" w:eastAsia="Times New Roman" w:hAnsi="Calibri" w:cs="Times New Roman"/>
                <w:color w:val="000000"/>
              </w:rPr>
            </w:pPr>
            <w:r w:rsidRPr="00386DB3">
              <w:rPr>
                <w:rFonts w:ascii="Calibri" w:eastAsia="Times New Roman" w:hAnsi="Calibri" w:cs="Times New Roman"/>
                <w:color w:val="000000"/>
              </w:rPr>
              <w:t>$9,385,99</w:t>
            </w:r>
            <w:r w:rsidR="009153C7">
              <w:rPr>
                <w:rFonts w:ascii="Calibri" w:eastAsia="Times New Roman" w:hAnsi="Calibri" w:cs="Times New Roman"/>
                <w:color w:val="000000"/>
              </w:rPr>
              <w:t>8</w:t>
            </w:r>
            <w:r w:rsidRPr="00386DB3">
              <w:rPr>
                <w:rFonts w:ascii="Calibri" w:eastAsia="Times New Roman" w:hAnsi="Calibri" w:cs="Times New Roman"/>
                <w:color w:val="000000"/>
              </w:rPr>
              <w:t xml:space="preserve"> to $9,958,21</w:t>
            </w:r>
            <w:r w:rsidR="00C83F2F">
              <w:rPr>
                <w:rFonts w:ascii="Calibri" w:eastAsia="Times New Roman" w:hAnsi="Calibri" w:cs="Times New Roman"/>
                <w:color w:val="000000"/>
              </w:rPr>
              <w:t>8</w:t>
            </w:r>
          </w:p>
        </w:tc>
      </w:tr>
      <w:tr w:rsidR="006E4506" w:rsidRPr="00386DB3" w:rsidTr="00A40D18">
        <w:trPr>
          <w:trHeight w:val="615"/>
        </w:trPr>
        <w:tc>
          <w:tcPr>
            <w:tcW w:w="2695"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386DB3" w:rsidRPr="00386DB3" w:rsidRDefault="00386DB3" w:rsidP="00386DB3">
            <w:pPr>
              <w:spacing w:after="0" w:line="240" w:lineRule="auto"/>
              <w:rPr>
                <w:rFonts w:ascii="Calibri" w:eastAsia="Times New Roman" w:hAnsi="Calibri" w:cs="Times New Roman"/>
                <w:b/>
                <w:bCs/>
                <w:color w:val="000000"/>
              </w:rPr>
            </w:pPr>
            <w:r w:rsidRPr="00386DB3">
              <w:rPr>
                <w:rFonts w:ascii="Calibri" w:eastAsia="Times New Roman" w:hAnsi="Calibri" w:cs="Times New Roman"/>
                <w:b/>
                <w:bCs/>
                <w:color w:val="000000"/>
              </w:rPr>
              <w:t xml:space="preserve">Grand total, </w:t>
            </w:r>
            <w:r w:rsidR="00713F01">
              <w:rPr>
                <w:rFonts w:ascii="Calibri" w:eastAsia="Times New Roman" w:hAnsi="Calibri" w:cs="Times New Roman"/>
                <w:b/>
                <w:bCs/>
                <w:color w:val="000000"/>
              </w:rPr>
              <w:t xml:space="preserve">annual </w:t>
            </w:r>
            <w:r w:rsidRPr="00386DB3">
              <w:rPr>
                <w:rFonts w:ascii="Calibri" w:eastAsia="Times New Roman" w:hAnsi="Calibri" w:cs="Times New Roman"/>
                <w:b/>
                <w:bCs/>
                <w:color w:val="000000"/>
              </w:rPr>
              <w:t>burden hours</w:t>
            </w:r>
          </w:p>
        </w:tc>
        <w:tc>
          <w:tcPr>
            <w:tcW w:w="1440" w:type="dxa"/>
            <w:tcBorders>
              <w:top w:val="single" w:sz="4" w:space="0" w:color="auto"/>
              <w:left w:val="nil"/>
              <w:bottom w:val="single" w:sz="4" w:space="0" w:color="auto"/>
              <w:right w:val="single" w:sz="4" w:space="0" w:color="auto"/>
            </w:tcBorders>
            <w:shd w:val="clear" w:color="000000" w:fill="A6A6A6"/>
            <w:noWrap/>
            <w:vAlign w:val="bottom"/>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 </w:t>
            </w:r>
          </w:p>
        </w:tc>
        <w:tc>
          <w:tcPr>
            <w:tcW w:w="2520" w:type="dxa"/>
            <w:tcBorders>
              <w:top w:val="single" w:sz="4" w:space="0" w:color="auto"/>
              <w:left w:val="nil"/>
              <w:bottom w:val="single" w:sz="4" w:space="0" w:color="auto"/>
              <w:right w:val="single" w:sz="4" w:space="0" w:color="auto"/>
            </w:tcBorders>
            <w:shd w:val="clear" w:color="000000" w:fill="A6A6A6"/>
            <w:noWrap/>
            <w:vAlign w:val="bottom"/>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 </w:t>
            </w:r>
          </w:p>
        </w:tc>
        <w:tc>
          <w:tcPr>
            <w:tcW w:w="2790" w:type="dxa"/>
            <w:tcBorders>
              <w:top w:val="single" w:sz="4" w:space="0" w:color="auto"/>
              <w:left w:val="nil"/>
              <w:bottom w:val="single" w:sz="4" w:space="0" w:color="auto"/>
              <w:right w:val="single" w:sz="4" w:space="0" w:color="auto"/>
            </w:tcBorders>
            <w:shd w:val="clear" w:color="000000" w:fill="A6A6A6"/>
            <w:vAlign w:val="bottom"/>
            <w:hideMark/>
          </w:tcPr>
          <w:p w:rsidR="00386DB3" w:rsidRPr="00386DB3" w:rsidRDefault="00C83F2F" w:rsidP="009153C7">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347,083</w:t>
            </w:r>
            <w:r w:rsidR="00386DB3" w:rsidRPr="00386DB3">
              <w:rPr>
                <w:rFonts w:ascii="Calibri" w:eastAsia="Times New Roman" w:hAnsi="Calibri" w:cs="Times New Roman"/>
                <w:b/>
                <w:bCs/>
                <w:color w:val="000000"/>
              </w:rPr>
              <w:t xml:space="preserve"> to </w:t>
            </w:r>
            <w:r w:rsidR="009153C7">
              <w:rPr>
                <w:rFonts w:ascii="Calibri" w:eastAsia="Times New Roman" w:hAnsi="Calibri" w:cs="Times New Roman"/>
                <w:b/>
                <w:bCs/>
                <w:color w:val="000000"/>
              </w:rPr>
              <w:t>389,083</w:t>
            </w:r>
            <w:r w:rsidR="00386DB3" w:rsidRPr="00386DB3">
              <w:rPr>
                <w:rFonts w:ascii="Calibri" w:eastAsia="Times New Roman" w:hAnsi="Calibri" w:cs="Times New Roman"/>
                <w:b/>
                <w:bCs/>
                <w:color w:val="000000"/>
              </w:rPr>
              <w:t xml:space="preserve"> hours</w:t>
            </w:r>
          </w:p>
        </w:tc>
      </w:tr>
      <w:tr w:rsidR="006E4506" w:rsidRPr="00386DB3" w:rsidTr="00A40D18">
        <w:trPr>
          <w:trHeight w:val="900"/>
        </w:trPr>
        <w:tc>
          <w:tcPr>
            <w:tcW w:w="2695"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386DB3" w:rsidRPr="00386DB3" w:rsidRDefault="00386DB3" w:rsidP="00C25474">
            <w:pPr>
              <w:spacing w:after="0" w:line="240" w:lineRule="auto"/>
              <w:rPr>
                <w:rFonts w:ascii="Calibri" w:eastAsia="Times New Roman" w:hAnsi="Calibri" w:cs="Times New Roman"/>
                <w:b/>
                <w:bCs/>
                <w:color w:val="000000"/>
              </w:rPr>
            </w:pPr>
            <w:r w:rsidRPr="00386DB3">
              <w:rPr>
                <w:rFonts w:ascii="Calibri" w:eastAsia="Times New Roman" w:hAnsi="Calibri" w:cs="Times New Roman"/>
                <w:b/>
                <w:bCs/>
                <w:color w:val="000000"/>
              </w:rPr>
              <w:t>Grand total,</w:t>
            </w:r>
            <w:r w:rsidR="00C25474">
              <w:rPr>
                <w:rFonts w:ascii="Calibri" w:eastAsia="Times New Roman" w:hAnsi="Calibri" w:cs="Times New Roman"/>
                <w:b/>
                <w:bCs/>
                <w:color w:val="000000"/>
              </w:rPr>
              <w:t xml:space="preserve"> annual labor costs</w:t>
            </w:r>
          </w:p>
        </w:tc>
        <w:tc>
          <w:tcPr>
            <w:tcW w:w="1440" w:type="dxa"/>
            <w:tcBorders>
              <w:top w:val="single" w:sz="4" w:space="0" w:color="auto"/>
              <w:left w:val="nil"/>
              <w:bottom w:val="single" w:sz="4" w:space="0" w:color="auto"/>
              <w:right w:val="single" w:sz="4" w:space="0" w:color="auto"/>
            </w:tcBorders>
            <w:shd w:val="clear" w:color="000000" w:fill="A6A6A6"/>
            <w:noWrap/>
            <w:vAlign w:val="bottom"/>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 </w:t>
            </w:r>
          </w:p>
        </w:tc>
        <w:tc>
          <w:tcPr>
            <w:tcW w:w="2520" w:type="dxa"/>
            <w:tcBorders>
              <w:top w:val="single" w:sz="4" w:space="0" w:color="auto"/>
              <w:left w:val="nil"/>
              <w:bottom w:val="single" w:sz="4" w:space="0" w:color="auto"/>
              <w:right w:val="single" w:sz="4" w:space="0" w:color="auto"/>
            </w:tcBorders>
            <w:shd w:val="clear" w:color="000000" w:fill="A6A6A6"/>
            <w:noWrap/>
            <w:vAlign w:val="bottom"/>
            <w:hideMark/>
          </w:tcPr>
          <w:p w:rsidR="00386DB3" w:rsidRPr="00386DB3" w:rsidRDefault="00386DB3" w:rsidP="00386DB3">
            <w:pPr>
              <w:spacing w:after="0" w:line="240" w:lineRule="auto"/>
              <w:rPr>
                <w:rFonts w:ascii="Calibri" w:eastAsia="Times New Roman" w:hAnsi="Calibri" w:cs="Times New Roman"/>
                <w:color w:val="000000"/>
              </w:rPr>
            </w:pPr>
            <w:r w:rsidRPr="00386DB3">
              <w:rPr>
                <w:rFonts w:ascii="Calibri" w:eastAsia="Times New Roman" w:hAnsi="Calibri" w:cs="Times New Roman"/>
                <w:color w:val="000000"/>
              </w:rPr>
              <w:t> </w:t>
            </w:r>
          </w:p>
        </w:tc>
        <w:tc>
          <w:tcPr>
            <w:tcW w:w="2790" w:type="dxa"/>
            <w:tcBorders>
              <w:top w:val="single" w:sz="4" w:space="0" w:color="auto"/>
              <w:left w:val="nil"/>
              <w:bottom w:val="single" w:sz="4" w:space="0" w:color="auto"/>
              <w:right w:val="single" w:sz="4" w:space="0" w:color="auto"/>
            </w:tcBorders>
            <w:shd w:val="clear" w:color="000000" w:fill="A6A6A6"/>
            <w:vAlign w:val="bottom"/>
            <w:hideMark/>
          </w:tcPr>
          <w:p w:rsidR="00386DB3" w:rsidRPr="00386DB3" w:rsidRDefault="00266D15" w:rsidP="00C83F2F">
            <w:pPr>
              <w:spacing w:after="0" w:line="240" w:lineRule="auto"/>
              <w:jc w:val="center"/>
              <w:rPr>
                <w:rFonts w:ascii="Calibri" w:eastAsia="Times New Roman" w:hAnsi="Calibri" w:cs="Times New Roman"/>
                <w:b/>
                <w:bCs/>
                <w:color w:val="000000"/>
              </w:rPr>
            </w:pPr>
            <w:r w:rsidRPr="00266D15">
              <w:rPr>
                <w:rFonts w:ascii="Calibri" w:eastAsia="Times New Roman" w:hAnsi="Calibri" w:cs="Times New Roman"/>
                <w:b/>
                <w:bCs/>
                <w:color w:val="000000"/>
              </w:rPr>
              <w:t>$</w:t>
            </w:r>
            <w:r w:rsidR="00C83F2F">
              <w:rPr>
                <w:rFonts w:ascii="Calibri" w:eastAsia="Times New Roman" w:hAnsi="Calibri" w:cs="Times New Roman"/>
                <w:b/>
                <w:bCs/>
                <w:color w:val="000000"/>
              </w:rPr>
              <w:t>11,033,779</w:t>
            </w:r>
            <w:r w:rsidRPr="00266D15">
              <w:rPr>
                <w:rFonts w:ascii="Calibri" w:eastAsia="Times New Roman" w:hAnsi="Calibri" w:cs="Times New Roman"/>
                <w:b/>
                <w:bCs/>
                <w:color w:val="000000"/>
              </w:rPr>
              <w:t xml:space="preserve"> to $</w:t>
            </w:r>
            <w:r w:rsidR="009153C7">
              <w:rPr>
                <w:rFonts w:ascii="Calibri" w:eastAsia="Times New Roman" w:hAnsi="Calibri" w:cs="Times New Roman"/>
                <w:b/>
                <w:bCs/>
                <w:color w:val="000000"/>
              </w:rPr>
              <w:t>12,368,959</w:t>
            </w:r>
          </w:p>
        </w:tc>
      </w:tr>
      <w:tr w:rsidR="006E4506" w:rsidRPr="00386DB3" w:rsidTr="00A40D18">
        <w:trPr>
          <w:trHeight w:val="900"/>
        </w:trPr>
        <w:tc>
          <w:tcPr>
            <w:tcW w:w="2695" w:type="dxa"/>
            <w:tcBorders>
              <w:top w:val="single" w:sz="4" w:space="0" w:color="auto"/>
              <w:left w:val="single" w:sz="4" w:space="0" w:color="auto"/>
              <w:bottom w:val="single" w:sz="4" w:space="0" w:color="auto"/>
              <w:right w:val="single" w:sz="4" w:space="0" w:color="auto"/>
            </w:tcBorders>
            <w:shd w:val="clear" w:color="000000" w:fill="A6A6A6"/>
            <w:vAlign w:val="bottom"/>
          </w:tcPr>
          <w:p w:rsidR="00C32D6B" w:rsidRDefault="00C32D6B" w:rsidP="00CA4ACD">
            <w:pPr>
              <w:spacing w:after="0" w:line="240" w:lineRule="auto"/>
              <w:rPr>
                <w:rFonts w:ascii="Calibri" w:eastAsia="Times New Roman" w:hAnsi="Calibri" w:cs="Times New Roman"/>
                <w:b/>
                <w:bCs/>
                <w:color w:val="000000"/>
              </w:rPr>
            </w:pPr>
            <w:r w:rsidRPr="00386DB3">
              <w:rPr>
                <w:rFonts w:ascii="Calibri" w:eastAsia="Times New Roman" w:hAnsi="Calibri" w:cs="Times New Roman"/>
                <w:b/>
                <w:bCs/>
                <w:color w:val="000000"/>
              </w:rPr>
              <w:t>Grand total, burden hours</w:t>
            </w:r>
            <w:r>
              <w:rPr>
                <w:rFonts w:ascii="Calibri" w:eastAsia="Times New Roman" w:hAnsi="Calibri" w:cs="Times New Roman"/>
                <w:b/>
                <w:bCs/>
                <w:color w:val="000000"/>
              </w:rPr>
              <w:t xml:space="preserve"> over 3 years</w:t>
            </w:r>
          </w:p>
        </w:tc>
        <w:tc>
          <w:tcPr>
            <w:tcW w:w="1440" w:type="dxa"/>
            <w:tcBorders>
              <w:top w:val="single" w:sz="4" w:space="0" w:color="auto"/>
              <w:left w:val="nil"/>
              <w:bottom w:val="single" w:sz="4" w:space="0" w:color="auto"/>
              <w:right w:val="single" w:sz="4" w:space="0" w:color="auto"/>
            </w:tcBorders>
            <w:shd w:val="clear" w:color="000000" w:fill="A6A6A6"/>
            <w:noWrap/>
            <w:vAlign w:val="bottom"/>
          </w:tcPr>
          <w:p w:rsidR="00C32D6B" w:rsidRPr="00386DB3" w:rsidRDefault="00C32D6B" w:rsidP="00CA4ACD">
            <w:pPr>
              <w:spacing w:after="0" w:line="240" w:lineRule="auto"/>
              <w:rPr>
                <w:rFonts w:ascii="Calibri" w:eastAsia="Times New Roman" w:hAnsi="Calibri" w:cs="Times New Roman"/>
                <w:color w:val="000000"/>
              </w:rPr>
            </w:pPr>
          </w:p>
        </w:tc>
        <w:tc>
          <w:tcPr>
            <w:tcW w:w="2520" w:type="dxa"/>
            <w:tcBorders>
              <w:top w:val="single" w:sz="4" w:space="0" w:color="auto"/>
              <w:left w:val="nil"/>
              <w:bottom w:val="single" w:sz="4" w:space="0" w:color="auto"/>
              <w:right w:val="single" w:sz="4" w:space="0" w:color="auto"/>
            </w:tcBorders>
            <w:shd w:val="clear" w:color="000000" w:fill="A6A6A6"/>
            <w:noWrap/>
            <w:vAlign w:val="bottom"/>
          </w:tcPr>
          <w:p w:rsidR="00C32D6B" w:rsidRPr="00386DB3" w:rsidRDefault="00C32D6B" w:rsidP="00CA4ACD">
            <w:pPr>
              <w:spacing w:after="0" w:line="240" w:lineRule="auto"/>
              <w:rPr>
                <w:rFonts w:ascii="Calibri" w:eastAsia="Times New Roman" w:hAnsi="Calibri" w:cs="Times New Roman"/>
                <w:color w:val="000000"/>
              </w:rPr>
            </w:pPr>
          </w:p>
        </w:tc>
        <w:tc>
          <w:tcPr>
            <w:tcW w:w="2790" w:type="dxa"/>
            <w:tcBorders>
              <w:top w:val="single" w:sz="4" w:space="0" w:color="auto"/>
              <w:left w:val="nil"/>
              <w:bottom w:val="single" w:sz="4" w:space="0" w:color="auto"/>
              <w:right w:val="single" w:sz="4" w:space="0" w:color="auto"/>
            </w:tcBorders>
            <w:shd w:val="clear" w:color="000000" w:fill="A6A6A6"/>
            <w:vAlign w:val="bottom"/>
          </w:tcPr>
          <w:p w:rsidR="00C32D6B" w:rsidRPr="00386DB3" w:rsidRDefault="00C83F2F" w:rsidP="009153C7">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1,041,250</w:t>
            </w:r>
            <w:r w:rsidR="00266D15" w:rsidRPr="00266D15">
              <w:rPr>
                <w:rFonts w:ascii="Calibri" w:eastAsia="Times New Roman" w:hAnsi="Calibri" w:cs="Times New Roman"/>
                <w:b/>
                <w:bCs/>
                <w:color w:val="000000"/>
              </w:rPr>
              <w:t xml:space="preserve"> to </w:t>
            </w:r>
            <w:r w:rsidR="009153C7">
              <w:rPr>
                <w:rFonts w:ascii="Calibri" w:eastAsia="Times New Roman" w:hAnsi="Calibri" w:cs="Times New Roman"/>
                <w:b/>
                <w:bCs/>
                <w:color w:val="000000"/>
              </w:rPr>
              <w:t>1,167,250</w:t>
            </w:r>
          </w:p>
        </w:tc>
      </w:tr>
      <w:tr w:rsidR="006E4506" w:rsidRPr="00386DB3" w:rsidTr="00A40D18">
        <w:trPr>
          <w:trHeight w:val="900"/>
        </w:trPr>
        <w:tc>
          <w:tcPr>
            <w:tcW w:w="2695" w:type="dxa"/>
            <w:tcBorders>
              <w:top w:val="single" w:sz="4" w:space="0" w:color="auto"/>
              <w:left w:val="single" w:sz="4" w:space="0" w:color="auto"/>
              <w:bottom w:val="single" w:sz="4" w:space="0" w:color="auto"/>
              <w:right w:val="single" w:sz="4" w:space="0" w:color="auto"/>
            </w:tcBorders>
            <w:shd w:val="clear" w:color="000000" w:fill="A6A6A6"/>
            <w:vAlign w:val="bottom"/>
          </w:tcPr>
          <w:p w:rsidR="00C32D6B" w:rsidRPr="00386DB3" w:rsidRDefault="00C32D6B" w:rsidP="00C25474">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Grand total,</w:t>
            </w:r>
            <w:r w:rsidR="00C25474">
              <w:rPr>
                <w:rFonts w:ascii="Calibri" w:eastAsia="Times New Roman" w:hAnsi="Calibri" w:cs="Times New Roman"/>
                <w:b/>
                <w:bCs/>
                <w:color w:val="000000"/>
              </w:rPr>
              <w:t xml:space="preserve"> </w:t>
            </w:r>
            <w:r>
              <w:rPr>
                <w:rFonts w:ascii="Calibri" w:eastAsia="Times New Roman" w:hAnsi="Calibri" w:cs="Times New Roman"/>
                <w:b/>
                <w:bCs/>
                <w:color w:val="000000"/>
              </w:rPr>
              <w:t>3 year</w:t>
            </w:r>
            <w:r w:rsidR="00C25474">
              <w:rPr>
                <w:rFonts w:ascii="Calibri" w:eastAsia="Times New Roman" w:hAnsi="Calibri" w:cs="Times New Roman"/>
                <w:b/>
                <w:bCs/>
                <w:color w:val="000000"/>
              </w:rPr>
              <w:t xml:space="preserve"> labor costs</w:t>
            </w:r>
          </w:p>
        </w:tc>
        <w:tc>
          <w:tcPr>
            <w:tcW w:w="1440" w:type="dxa"/>
            <w:tcBorders>
              <w:top w:val="single" w:sz="4" w:space="0" w:color="auto"/>
              <w:left w:val="nil"/>
              <w:bottom w:val="single" w:sz="4" w:space="0" w:color="auto"/>
              <w:right w:val="single" w:sz="4" w:space="0" w:color="auto"/>
            </w:tcBorders>
            <w:shd w:val="clear" w:color="000000" w:fill="A6A6A6"/>
            <w:noWrap/>
            <w:vAlign w:val="bottom"/>
          </w:tcPr>
          <w:p w:rsidR="00C32D6B" w:rsidRPr="00386DB3" w:rsidRDefault="00C32D6B" w:rsidP="00386DB3">
            <w:pPr>
              <w:spacing w:after="0" w:line="240" w:lineRule="auto"/>
              <w:rPr>
                <w:rFonts w:ascii="Calibri" w:eastAsia="Times New Roman" w:hAnsi="Calibri" w:cs="Times New Roman"/>
                <w:color w:val="000000"/>
              </w:rPr>
            </w:pPr>
          </w:p>
        </w:tc>
        <w:tc>
          <w:tcPr>
            <w:tcW w:w="2520" w:type="dxa"/>
            <w:tcBorders>
              <w:top w:val="single" w:sz="4" w:space="0" w:color="auto"/>
              <w:left w:val="nil"/>
              <w:bottom w:val="single" w:sz="4" w:space="0" w:color="auto"/>
              <w:right w:val="single" w:sz="4" w:space="0" w:color="auto"/>
            </w:tcBorders>
            <w:shd w:val="clear" w:color="000000" w:fill="A6A6A6"/>
            <w:noWrap/>
            <w:vAlign w:val="bottom"/>
          </w:tcPr>
          <w:p w:rsidR="00C32D6B" w:rsidRPr="00386DB3" w:rsidRDefault="00C32D6B" w:rsidP="00386DB3">
            <w:pPr>
              <w:spacing w:after="0" w:line="240" w:lineRule="auto"/>
              <w:rPr>
                <w:rFonts w:ascii="Calibri" w:eastAsia="Times New Roman" w:hAnsi="Calibri" w:cs="Times New Roman"/>
                <w:color w:val="000000"/>
              </w:rPr>
            </w:pPr>
          </w:p>
        </w:tc>
        <w:tc>
          <w:tcPr>
            <w:tcW w:w="2790" w:type="dxa"/>
            <w:tcBorders>
              <w:top w:val="single" w:sz="4" w:space="0" w:color="auto"/>
              <w:left w:val="nil"/>
              <w:bottom w:val="single" w:sz="4" w:space="0" w:color="auto"/>
              <w:right w:val="single" w:sz="4" w:space="0" w:color="auto"/>
            </w:tcBorders>
            <w:shd w:val="clear" w:color="000000" w:fill="A6A6A6"/>
            <w:vAlign w:val="bottom"/>
          </w:tcPr>
          <w:p w:rsidR="00C32D6B" w:rsidRPr="00386DB3" w:rsidRDefault="00266D15" w:rsidP="00C83F2F">
            <w:pPr>
              <w:spacing w:after="0" w:line="240" w:lineRule="auto"/>
              <w:jc w:val="center"/>
              <w:rPr>
                <w:rFonts w:ascii="Calibri" w:eastAsia="Times New Roman" w:hAnsi="Calibri" w:cs="Times New Roman"/>
                <w:b/>
                <w:bCs/>
                <w:color w:val="000000"/>
              </w:rPr>
            </w:pPr>
            <w:r w:rsidRPr="00266D15">
              <w:rPr>
                <w:rFonts w:ascii="Calibri" w:eastAsia="Times New Roman" w:hAnsi="Calibri" w:cs="Times New Roman"/>
                <w:b/>
                <w:bCs/>
                <w:color w:val="000000"/>
              </w:rPr>
              <w:t>$</w:t>
            </w:r>
            <w:r w:rsidR="00C83F2F">
              <w:rPr>
                <w:rFonts w:ascii="Calibri" w:eastAsia="Times New Roman" w:hAnsi="Calibri" w:cs="Times New Roman"/>
                <w:b/>
                <w:bCs/>
                <w:color w:val="000000"/>
              </w:rPr>
              <w:t>33,101,338</w:t>
            </w:r>
            <w:r w:rsidRPr="00266D15">
              <w:rPr>
                <w:rFonts w:ascii="Calibri" w:eastAsia="Times New Roman" w:hAnsi="Calibri" w:cs="Times New Roman"/>
                <w:b/>
                <w:bCs/>
                <w:color w:val="000000"/>
              </w:rPr>
              <w:t xml:space="preserve"> to $</w:t>
            </w:r>
            <w:r w:rsidR="009153C7">
              <w:rPr>
                <w:rFonts w:ascii="Calibri" w:eastAsia="Times New Roman" w:hAnsi="Calibri" w:cs="Times New Roman"/>
                <w:b/>
                <w:bCs/>
                <w:color w:val="000000"/>
              </w:rPr>
              <w:t>37,106,878</w:t>
            </w:r>
          </w:p>
        </w:tc>
      </w:tr>
    </w:tbl>
    <w:p w:rsidR="005D7E94" w:rsidRPr="00FE4DD4" w:rsidRDefault="005D7E94" w:rsidP="00256D42">
      <w:pPr>
        <w:rPr>
          <w:rFonts w:asciiTheme="majorHAnsi" w:hAnsiTheme="majorHAnsi"/>
          <w:b/>
        </w:rPr>
      </w:pPr>
    </w:p>
    <w:p w:rsidR="00422033" w:rsidRDefault="00422033" w:rsidP="00256D42">
      <w:pPr>
        <w:rPr>
          <w:rFonts w:asciiTheme="majorHAnsi" w:hAnsiTheme="majorHAnsi"/>
          <w:b/>
        </w:rPr>
      </w:pPr>
      <w:r>
        <w:rPr>
          <w:rFonts w:asciiTheme="majorHAnsi" w:hAnsiTheme="majorHAnsi"/>
          <w:b/>
        </w:rPr>
        <w:t>13.</w:t>
      </w:r>
      <w:r>
        <w:rPr>
          <w:rFonts w:asciiTheme="majorHAnsi" w:hAnsiTheme="majorHAnsi"/>
          <w:b/>
        </w:rPr>
        <w:tab/>
        <w:t>Costs to Respondents</w:t>
      </w:r>
    </w:p>
    <w:p w:rsidR="005D5BC8" w:rsidRDefault="00980BE9" w:rsidP="00256D42">
      <w:pPr>
        <w:rPr>
          <w:rFonts w:asciiTheme="majorHAnsi" w:hAnsiTheme="majorHAnsi"/>
        </w:rPr>
      </w:pPr>
      <w:r w:rsidRPr="00980BE9">
        <w:rPr>
          <w:rFonts w:asciiTheme="majorHAnsi" w:hAnsiTheme="majorHAnsi"/>
        </w:rPr>
        <w:t xml:space="preserve">There </w:t>
      </w:r>
      <w:r>
        <w:rPr>
          <w:rFonts w:asciiTheme="majorHAnsi" w:hAnsiTheme="majorHAnsi"/>
        </w:rPr>
        <w:t xml:space="preserve">will not be </w:t>
      </w:r>
      <w:r w:rsidRPr="00980BE9">
        <w:rPr>
          <w:rFonts w:asciiTheme="majorHAnsi" w:hAnsiTheme="majorHAnsi"/>
        </w:rPr>
        <w:t xml:space="preserve">fees associated with </w:t>
      </w:r>
      <w:r>
        <w:rPr>
          <w:rFonts w:asciiTheme="majorHAnsi" w:hAnsiTheme="majorHAnsi"/>
        </w:rPr>
        <w:t>participation</w:t>
      </w:r>
      <w:r w:rsidR="00254CA0">
        <w:rPr>
          <w:rFonts w:asciiTheme="majorHAnsi" w:hAnsiTheme="majorHAnsi"/>
        </w:rPr>
        <w:t xml:space="preserve"> in the data collections under this generic clearance</w:t>
      </w:r>
      <w:r w:rsidRPr="00980BE9">
        <w:rPr>
          <w:rFonts w:asciiTheme="majorHAnsi" w:hAnsiTheme="majorHAnsi"/>
        </w:rPr>
        <w:t>.</w:t>
      </w:r>
      <w:r>
        <w:rPr>
          <w:rFonts w:asciiTheme="majorHAnsi" w:hAnsiTheme="majorHAnsi"/>
        </w:rPr>
        <w:t xml:space="preserve"> </w:t>
      </w:r>
      <w:r w:rsidR="00254CA0">
        <w:rPr>
          <w:rFonts w:asciiTheme="majorHAnsi" w:hAnsiTheme="majorHAnsi"/>
        </w:rPr>
        <w:t xml:space="preserve">Participants will not be required to purchase any equipment to </w:t>
      </w:r>
      <w:r w:rsidR="008504F5">
        <w:rPr>
          <w:rFonts w:asciiTheme="majorHAnsi" w:hAnsiTheme="majorHAnsi"/>
        </w:rPr>
        <w:t>collect</w:t>
      </w:r>
      <w:r w:rsidR="00254CA0">
        <w:rPr>
          <w:rFonts w:asciiTheme="majorHAnsi" w:hAnsiTheme="majorHAnsi"/>
        </w:rPr>
        <w:t xml:space="preserve"> data, but some low-</w:t>
      </w:r>
      <w:r w:rsidR="008504F5">
        <w:rPr>
          <w:rFonts w:asciiTheme="majorHAnsi" w:hAnsiTheme="majorHAnsi"/>
        </w:rPr>
        <w:t xml:space="preserve">cost sensors or other technical or low-tech </w:t>
      </w:r>
      <w:r w:rsidR="00254CA0">
        <w:rPr>
          <w:rFonts w:asciiTheme="majorHAnsi" w:hAnsiTheme="majorHAnsi"/>
        </w:rPr>
        <w:t>supplies may be necessary to complete all of the data collection tasks</w:t>
      </w:r>
      <w:r w:rsidR="00CC3E7B">
        <w:rPr>
          <w:rFonts w:asciiTheme="majorHAnsi" w:hAnsiTheme="majorHAnsi"/>
        </w:rPr>
        <w:t xml:space="preserve"> should the participants decide to complete all tasks</w:t>
      </w:r>
      <w:r w:rsidR="00254CA0">
        <w:rPr>
          <w:rFonts w:asciiTheme="majorHAnsi" w:hAnsiTheme="majorHAnsi"/>
        </w:rPr>
        <w:t xml:space="preserve">. </w:t>
      </w:r>
      <w:r w:rsidRPr="0038253F">
        <w:rPr>
          <w:rFonts w:asciiTheme="majorHAnsi" w:hAnsiTheme="majorHAnsi"/>
        </w:rPr>
        <w:t>The costs</w:t>
      </w:r>
      <w:r>
        <w:rPr>
          <w:rFonts w:asciiTheme="majorHAnsi" w:hAnsiTheme="majorHAnsi"/>
        </w:rPr>
        <w:t xml:space="preserve"> to </w:t>
      </w:r>
      <w:r w:rsidR="00536BD9">
        <w:rPr>
          <w:rFonts w:asciiTheme="majorHAnsi" w:hAnsiTheme="majorHAnsi"/>
        </w:rPr>
        <w:t xml:space="preserve">participants </w:t>
      </w:r>
      <w:r>
        <w:rPr>
          <w:rFonts w:asciiTheme="majorHAnsi" w:hAnsiTheme="majorHAnsi"/>
        </w:rPr>
        <w:t>for materials will vary based on the data collection type</w:t>
      </w:r>
      <w:r w:rsidR="00286B7F">
        <w:rPr>
          <w:rFonts w:asciiTheme="majorHAnsi" w:hAnsiTheme="majorHAnsi"/>
        </w:rPr>
        <w:t xml:space="preserve"> </w:t>
      </w:r>
      <w:r w:rsidR="00D835F2">
        <w:rPr>
          <w:rFonts w:asciiTheme="majorHAnsi" w:hAnsiTheme="majorHAnsi"/>
        </w:rPr>
        <w:t>(data gathering, classification/problem solving, or research subject participation)</w:t>
      </w:r>
      <w:r w:rsidR="001E031A">
        <w:rPr>
          <w:rFonts w:asciiTheme="majorHAnsi" w:hAnsiTheme="majorHAnsi"/>
        </w:rPr>
        <w:t xml:space="preserve"> </w:t>
      </w:r>
      <w:r w:rsidR="00D835F2">
        <w:rPr>
          <w:rFonts w:asciiTheme="majorHAnsi" w:hAnsiTheme="majorHAnsi"/>
        </w:rPr>
        <w:t>and</w:t>
      </w:r>
      <w:r w:rsidR="001E031A">
        <w:rPr>
          <w:rFonts w:asciiTheme="majorHAnsi" w:hAnsiTheme="majorHAnsi"/>
        </w:rPr>
        <w:t xml:space="preserve"> medium (</w:t>
      </w:r>
      <w:r w:rsidR="00D835F2">
        <w:rPr>
          <w:rFonts w:asciiTheme="majorHAnsi" w:hAnsiTheme="majorHAnsi"/>
        </w:rPr>
        <w:t xml:space="preserve">i.e. sensors, </w:t>
      </w:r>
      <w:r w:rsidR="001E031A">
        <w:rPr>
          <w:rFonts w:asciiTheme="majorHAnsi" w:hAnsiTheme="majorHAnsi"/>
        </w:rPr>
        <w:t>apps</w:t>
      </w:r>
      <w:r w:rsidR="00D835F2">
        <w:rPr>
          <w:rFonts w:asciiTheme="majorHAnsi" w:hAnsiTheme="majorHAnsi"/>
        </w:rPr>
        <w:t>, or paper forms</w:t>
      </w:r>
      <w:r w:rsidR="001E031A">
        <w:rPr>
          <w:rFonts w:asciiTheme="majorHAnsi" w:hAnsiTheme="majorHAnsi"/>
        </w:rPr>
        <w:t>)</w:t>
      </w:r>
      <w:r>
        <w:rPr>
          <w:rFonts w:asciiTheme="majorHAnsi" w:hAnsiTheme="majorHAnsi"/>
        </w:rPr>
        <w:t xml:space="preserve">. </w:t>
      </w:r>
      <w:r w:rsidR="00286B7F">
        <w:rPr>
          <w:rFonts w:asciiTheme="majorHAnsi" w:hAnsiTheme="majorHAnsi"/>
        </w:rPr>
        <w:t xml:space="preserve">The Agency does not expect participants to make purchases specifically for citizen science and crowdsourcing projects under this generic clearance. </w:t>
      </w:r>
      <w:r w:rsidR="00C65C71">
        <w:rPr>
          <w:rFonts w:asciiTheme="majorHAnsi" w:hAnsiTheme="majorHAnsi"/>
        </w:rPr>
        <w:t>However, t</w:t>
      </w:r>
      <w:r w:rsidR="00286B7F">
        <w:rPr>
          <w:rFonts w:asciiTheme="majorHAnsi" w:hAnsiTheme="majorHAnsi"/>
        </w:rPr>
        <w:t>he table below reflects an annual</w:t>
      </w:r>
      <w:r w:rsidR="0079400D">
        <w:rPr>
          <w:rFonts w:asciiTheme="majorHAnsi" w:hAnsiTheme="majorHAnsi"/>
        </w:rPr>
        <w:t xml:space="preserve"> </w:t>
      </w:r>
      <w:r w:rsidR="00286B7F">
        <w:rPr>
          <w:rFonts w:asciiTheme="majorHAnsi" w:hAnsiTheme="majorHAnsi"/>
        </w:rPr>
        <w:t xml:space="preserve">3-year estimate for </w:t>
      </w:r>
      <w:r w:rsidR="00C65C71" w:rsidRPr="00C65C71">
        <w:rPr>
          <w:rFonts w:asciiTheme="majorHAnsi" w:hAnsiTheme="majorHAnsi"/>
        </w:rPr>
        <w:t xml:space="preserve">Operations </w:t>
      </w:r>
      <w:r w:rsidR="00C65C71">
        <w:rPr>
          <w:rFonts w:asciiTheme="majorHAnsi" w:hAnsiTheme="majorHAnsi"/>
        </w:rPr>
        <w:t>and</w:t>
      </w:r>
      <w:r w:rsidR="00C65C71" w:rsidRPr="00C65C71">
        <w:rPr>
          <w:rFonts w:asciiTheme="majorHAnsi" w:hAnsiTheme="majorHAnsi"/>
        </w:rPr>
        <w:t xml:space="preserve"> Maintenance Costs</w:t>
      </w:r>
      <w:r w:rsidR="00C65C71">
        <w:rPr>
          <w:rFonts w:asciiTheme="majorHAnsi" w:hAnsiTheme="majorHAnsi"/>
        </w:rPr>
        <w:t xml:space="preserve"> (O&amp;M) that participants might incur should they </w:t>
      </w:r>
      <w:r w:rsidR="00C25D9D">
        <w:rPr>
          <w:rFonts w:asciiTheme="majorHAnsi" w:hAnsiTheme="majorHAnsi"/>
        </w:rPr>
        <w:t xml:space="preserve">decide to </w:t>
      </w:r>
      <w:r w:rsidR="00C65C71">
        <w:rPr>
          <w:rFonts w:asciiTheme="majorHAnsi" w:hAnsiTheme="majorHAnsi"/>
        </w:rPr>
        <w:t xml:space="preserve">purchase equipment to </w:t>
      </w:r>
      <w:r w:rsidR="00C25D9D">
        <w:rPr>
          <w:rFonts w:asciiTheme="majorHAnsi" w:hAnsiTheme="majorHAnsi"/>
        </w:rPr>
        <w:t xml:space="preserve">fully </w:t>
      </w:r>
      <w:r w:rsidR="00C65C71">
        <w:rPr>
          <w:rFonts w:asciiTheme="majorHAnsi" w:hAnsiTheme="majorHAnsi"/>
        </w:rPr>
        <w:t xml:space="preserve">participate in a citizen science or crowdsourcing collection under this generic clearance. </w:t>
      </w:r>
      <w:r w:rsidR="00817618">
        <w:rPr>
          <w:rFonts w:asciiTheme="majorHAnsi" w:hAnsiTheme="majorHAnsi"/>
        </w:rPr>
        <w:t xml:space="preserve">The estimate is based on </w:t>
      </w:r>
      <w:r w:rsidR="001E732D">
        <w:rPr>
          <w:rFonts w:asciiTheme="majorHAnsi" w:hAnsiTheme="majorHAnsi"/>
        </w:rPr>
        <w:t>the</w:t>
      </w:r>
      <w:r w:rsidR="005A5AC1">
        <w:rPr>
          <w:rFonts w:asciiTheme="majorHAnsi" w:hAnsiTheme="majorHAnsi"/>
        </w:rPr>
        <w:t xml:space="preserve"> </w:t>
      </w:r>
      <w:r w:rsidR="00D247BC">
        <w:rPr>
          <w:rFonts w:asciiTheme="majorHAnsi" w:hAnsiTheme="majorHAnsi"/>
        </w:rPr>
        <w:t xml:space="preserve">following </w:t>
      </w:r>
      <w:r w:rsidR="001E732D">
        <w:rPr>
          <w:rFonts w:asciiTheme="majorHAnsi" w:hAnsiTheme="majorHAnsi"/>
        </w:rPr>
        <w:t>assumption</w:t>
      </w:r>
      <w:r w:rsidR="00D247BC">
        <w:rPr>
          <w:rFonts w:asciiTheme="majorHAnsi" w:hAnsiTheme="majorHAnsi"/>
        </w:rPr>
        <w:t xml:space="preserve">s: </w:t>
      </w:r>
      <w:r w:rsidR="001E732D">
        <w:rPr>
          <w:rFonts w:asciiTheme="majorHAnsi" w:hAnsiTheme="majorHAnsi"/>
        </w:rPr>
        <w:t xml:space="preserve">one </w:t>
      </w:r>
      <w:r w:rsidR="00D247BC">
        <w:rPr>
          <w:rFonts w:asciiTheme="majorHAnsi" w:hAnsiTheme="majorHAnsi"/>
        </w:rPr>
        <w:t>eighth</w:t>
      </w:r>
      <w:r w:rsidR="001E732D">
        <w:rPr>
          <w:rFonts w:asciiTheme="majorHAnsi" w:hAnsiTheme="majorHAnsi"/>
        </w:rPr>
        <w:t xml:space="preserve"> of the expected participants in the </w:t>
      </w:r>
      <w:r w:rsidR="00C71969">
        <w:rPr>
          <w:rFonts w:asciiTheme="majorHAnsi" w:hAnsiTheme="majorHAnsi"/>
        </w:rPr>
        <w:t>“data gathering projects” purchase</w:t>
      </w:r>
      <w:r w:rsidR="00D247BC">
        <w:rPr>
          <w:rFonts w:asciiTheme="majorHAnsi" w:hAnsiTheme="majorHAnsi"/>
        </w:rPr>
        <w:t xml:space="preserve">s low-tech </w:t>
      </w:r>
      <w:r w:rsidR="00C71969">
        <w:rPr>
          <w:rFonts w:asciiTheme="majorHAnsi" w:hAnsiTheme="majorHAnsi"/>
        </w:rPr>
        <w:t xml:space="preserve">equipment </w:t>
      </w:r>
      <w:r w:rsidR="00D247BC">
        <w:rPr>
          <w:rFonts w:asciiTheme="majorHAnsi" w:hAnsiTheme="majorHAnsi"/>
        </w:rPr>
        <w:t>with a maximum cost of</w:t>
      </w:r>
      <w:r w:rsidR="00C71969">
        <w:rPr>
          <w:rFonts w:asciiTheme="majorHAnsi" w:hAnsiTheme="majorHAnsi"/>
        </w:rPr>
        <w:t xml:space="preserve"> </w:t>
      </w:r>
      <w:r w:rsidR="005A5AC1">
        <w:rPr>
          <w:rFonts w:asciiTheme="majorHAnsi" w:hAnsiTheme="majorHAnsi"/>
        </w:rPr>
        <w:t>$25</w:t>
      </w:r>
      <w:r w:rsidR="00D247BC">
        <w:rPr>
          <w:rFonts w:asciiTheme="majorHAnsi" w:hAnsiTheme="majorHAnsi"/>
        </w:rPr>
        <w:t xml:space="preserve"> per person (i.e. </w:t>
      </w:r>
      <w:r w:rsidR="00A40D18">
        <w:rPr>
          <w:rFonts w:asciiTheme="majorHAnsi" w:hAnsiTheme="majorHAnsi"/>
        </w:rPr>
        <w:t xml:space="preserve">use of already owned </w:t>
      </w:r>
      <w:r w:rsidR="00EB1436">
        <w:rPr>
          <w:rFonts w:asciiTheme="majorHAnsi" w:hAnsiTheme="majorHAnsi"/>
        </w:rPr>
        <w:t xml:space="preserve">internet or data plans; or purchase of low-technology equipment like </w:t>
      </w:r>
      <w:r w:rsidR="00D247BC">
        <w:rPr>
          <w:rFonts w:asciiTheme="majorHAnsi" w:hAnsiTheme="majorHAnsi"/>
        </w:rPr>
        <w:t xml:space="preserve">water monitoring kits) and one eighth of the expected participants in the “data gathering projects” purchases </w:t>
      </w:r>
      <w:r w:rsidR="00BB3557">
        <w:rPr>
          <w:rFonts w:asciiTheme="majorHAnsi" w:hAnsiTheme="majorHAnsi"/>
        </w:rPr>
        <w:t xml:space="preserve">high-tech equipment (i.e. personal health monitors, portable/personal air sensors, or other higher-technology equipment) with a maximum cost of </w:t>
      </w:r>
      <w:r w:rsidR="005A5AC1">
        <w:rPr>
          <w:rFonts w:asciiTheme="majorHAnsi" w:hAnsiTheme="majorHAnsi"/>
        </w:rPr>
        <w:t>$500</w:t>
      </w:r>
      <w:r w:rsidR="00D247BC">
        <w:rPr>
          <w:rFonts w:asciiTheme="majorHAnsi" w:hAnsiTheme="majorHAnsi"/>
        </w:rPr>
        <w:t xml:space="preserve"> </w:t>
      </w:r>
      <w:r w:rsidR="00BB3557">
        <w:rPr>
          <w:rFonts w:asciiTheme="majorHAnsi" w:hAnsiTheme="majorHAnsi"/>
        </w:rPr>
        <w:t>per person</w:t>
      </w:r>
      <w:r w:rsidR="00D247BC">
        <w:rPr>
          <w:rFonts w:asciiTheme="majorHAnsi" w:hAnsiTheme="majorHAnsi"/>
        </w:rPr>
        <w:t>.</w:t>
      </w:r>
    </w:p>
    <w:tbl>
      <w:tblPr>
        <w:tblStyle w:val="TableGrid"/>
        <w:tblW w:w="0" w:type="auto"/>
        <w:tblLook w:val="04A0" w:firstRow="1" w:lastRow="0" w:firstColumn="1" w:lastColumn="0" w:noHBand="0" w:noVBand="1"/>
      </w:tblPr>
      <w:tblGrid>
        <w:gridCol w:w="4685"/>
        <w:gridCol w:w="1362"/>
        <w:gridCol w:w="1747"/>
        <w:gridCol w:w="1556"/>
      </w:tblGrid>
      <w:tr w:rsidR="009811DD" w:rsidRPr="009F399D" w:rsidTr="00397EBF">
        <w:trPr>
          <w:trHeight w:val="330"/>
        </w:trPr>
        <w:tc>
          <w:tcPr>
            <w:tcW w:w="9350" w:type="dxa"/>
            <w:gridSpan w:val="4"/>
            <w:hideMark/>
          </w:tcPr>
          <w:p w:rsidR="009811DD" w:rsidRPr="009F399D" w:rsidRDefault="0079400D" w:rsidP="009811DD">
            <w:pPr>
              <w:rPr>
                <w:rFonts w:asciiTheme="majorHAnsi" w:hAnsiTheme="majorHAnsi"/>
                <w:b/>
              </w:rPr>
            </w:pPr>
            <w:r>
              <w:rPr>
                <w:rFonts w:asciiTheme="majorHAnsi" w:hAnsiTheme="majorHAnsi"/>
                <w:b/>
              </w:rPr>
              <w:t>Oper</w:t>
            </w:r>
            <w:bookmarkStart w:id="0" w:name="_GoBack"/>
            <w:bookmarkEnd w:id="0"/>
            <w:r>
              <w:rPr>
                <w:rFonts w:asciiTheme="majorHAnsi" w:hAnsiTheme="majorHAnsi"/>
                <w:b/>
              </w:rPr>
              <w:t xml:space="preserve">ations &amp; Maintenance (O&amp;M) Costs </w:t>
            </w:r>
          </w:p>
        </w:tc>
      </w:tr>
      <w:tr w:rsidR="009811DD" w:rsidRPr="009811DD" w:rsidTr="00397EBF">
        <w:trPr>
          <w:trHeight w:val="960"/>
        </w:trPr>
        <w:tc>
          <w:tcPr>
            <w:tcW w:w="4685" w:type="dxa"/>
            <w:hideMark/>
          </w:tcPr>
          <w:p w:rsidR="009811DD" w:rsidRPr="009811DD" w:rsidRDefault="009811DD">
            <w:pPr>
              <w:rPr>
                <w:rFonts w:asciiTheme="majorHAnsi" w:hAnsiTheme="majorHAnsi"/>
              </w:rPr>
            </w:pPr>
            <w:r w:rsidRPr="009811DD">
              <w:rPr>
                <w:rFonts w:asciiTheme="majorHAnsi" w:hAnsiTheme="majorHAnsi"/>
              </w:rPr>
              <w:t> </w:t>
            </w:r>
          </w:p>
        </w:tc>
        <w:tc>
          <w:tcPr>
            <w:tcW w:w="1362" w:type="dxa"/>
            <w:hideMark/>
          </w:tcPr>
          <w:p w:rsidR="009811DD" w:rsidRPr="009811DD" w:rsidRDefault="009811DD">
            <w:pPr>
              <w:rPr>
                <w:rFonts w:asciiTheme="majorHAnsi" w:hAnsiTheme="majorHAnsi"/>
              </w:rPr>
            </w:pPr>
            <w:r w:rsidRPr="009811DD">
              <w:rPr>
                <w:rFonts w:asciiTheme="majorHAnsi" w:hAnsiTheme="majorHAnsi"/>
              </w:rPr>
              <w:t>Estimated maximum cost per participant</w:t>
            </w:r>
          </w:p>
        </w:tc>
        <w:tc>
          <w:tcPr>
            <w:tcW w:w="1747" w:type="dxa"/>
            <w:hideMark/>
          </w:tcPr>
          <w:p w:rsidR="009811DD" w:rsidRPr="009811DD" w:rsidRDefault="009811DD">
            <w:pPr>
              <w:rPr>
                <w:rFonts w:asciiTheme="majorHAnsi" w:hAnsiTheme="majorHAnsi"/>
              </w:rPr>
            </w:pPr>
            <w:r w:rsidRPr="009811DD">
              <w:rPr>
                <w:rFonts w:asciiTheme="majorHAnsi" w:hAnsiTheme="majorHAnsi"/>
              </w:rPr>
              <w:t>Estimated number of participants expected to use</w:t>
            </w:r>
          </w:p>
        </w:tc>
        <w:tc>
          <w:tcPr>
            <w:tcW w:w="1556" w:type="dxa"/>
            <w:hideMark/>
          </w:tcPr>
          <w:p w:rsidR="009811DD" w:rsidRPr="009811DD" w:rsidRDefault="0079400D" w:rsidP="0079400D">
            <w:pPr>
              <w:rPr>
                <w:rFonts w:asciiTheme="majorHAnsi" w:hAnsiTheme="majorHAnsi"/>
              </w:rPr>
            </w:pPr>
            <w:r>
              <w:rPr>
                <w:rFonts w:asciiTheme="majorHAnsi" w:hAnsiTheme="majorHAnsi"/>
              </w:rPr>
              <w:t xml:space="preserve">O&amp;M </w:t>
            </w:r>
            <w:r w:rsidR="009811DD" w:rsidRPr="009811DD">
              <w:rPr>
                <w:rFonts w:asciiTheme="majorHAnsi" w:hAnsiTheme="majorHAnsi"/>
              </w:rPr>
              <w:t>cost</w:t>
            </w:r>
            <w:r>
              <w:rPr>
                <w:rFonts w:asciiTheme="majorHAnsi" w:hAnsiTheme="majorHAnsi"/>
              </w:rPr>
              <w:t>s</w:t>
            </w:r>
          </w:p>
        </w:tc>
      </w:tr>
      <w:tr w:rsidR="009811DD" w:rsidRPr="009811DD" w:rsidTr="00397EBF">
        <w:trPr>
          <w:trHeight w:val="330"/>
        </w:trPr>
        <w:tc>
          <w:tcPr>
            <w:tcW w:w="4685" w:type="dxa"/>
            <w:hideMark/>
          </w:tcPr>
          <w:p w:rsidR="009811DD" w:rsidRPr="009F399D" w:rsidRDefault="009811DD">
            <w:pPr>
              <w:rPr>
                <w:rFonts w:asciiTheme="majorHAnsi" w:hAnsiTheme="majorHAnsi"/>
                <w:b/>
              </w:rPr>
            </w:pPr>
            <w:r w:rsidRPr="009F399D">
              <w:rPr>
                <w:rFonts w:asciiTheme="majorHAnsi" w:hAnsiTheme="majorHAnsi"/>
                <w:b/>
              </w:rPr>
              <w:t xml:space="preserve">Low-tech equipment </w:t>
            </w:r>
          </w:p>
        </w:tc>
        <w:tc>
          <w:tcPr>
            <w:tcW w:w="1362" w:type="dxa"/>
            <w:hideMark/>
          </w:tcPr>
          <w:p w:rsidR="009811DD" w:rsidRPr="009811DD" w:rsidRDefault="009811DD" w:rsidP="009811DD">
            <w:pPr>
              <w:rPr>
                <w:rFonts w:asciiTheme="majorHAnsi" w:hAnsiTheme="majorHAnsi"/>
              </w:rPr>
            </w:pPr>
            <w:r w:rsidRPr="009811DD">
              <w:rPr>
                <w:rFonts w:asciiTheme="majorHAnsi" w:hAnsiTheme="majorHAnsi"/>
              </w:rPr>
              <w:t xml:space="preserve">$25.00 </w:t>
            </w:r>
          </w:p>
        </w:tc>
        <w:tc>
          <w:tcPr>
            <w:tcW w:w="1747" w:type="dxa"/>
            <w:hideMark/>
          </w:tcPr>
          <w:p w:rsidR="009811DD" w:rsidRPr="009811DD" w:rsidRDefault="009811DD" w:rsidP="009811DD">
            <w:pPr>
              <w:rPr>
                <w:rFonts w:asciiTheme="majorHAnsi" w:hAnsiTheme="majorHAnsi"/>
              </w:rPr>
            </w:pPr>
            <w:r w:rsidRPr="009811DD">
              <w:rPr>
                <w:rFonts w:asciiTheme="majorHAnsi" w:hAnsiTheme="majorHAnsi"/>
              </w:rPr>
              <w:t>1000</w:t>
            </w:r>
          </w:p>
        </w:tc>
        <w:tc>
          <w:tcPr>
            <w:tcW w:w="1556" w:type="dxa"/>
            <w:hideMark/>
          </w:tcPr>
          <w:p w:rsidR="009811DD" w:rsidRPr="009811DD" w:rsidRDefault="009811DD" w:rsidP="009811DD">
            <w:pPr>
              <w:rPr>
                <w:rFonts w:asciiTheme="majorHAnsi" w:hAnsiTheme="majorHAnsi"/>
              </w:rPr>
            </w:pPr>
            <w:r w:rsidRPr="009811DD">
              <w:rPr>
                <w:rFonts w:asciiTheme="majorHAnsi" w:hAnsiTheme="majorHAnsi"/>
              </w:rPr>
              <w:t xml:space="preserve">$25,000 </w:t>
            </w:r>
          </w:p>
        </w:tc>
      </w:tr>
      <w:tr w:rsidR="009811DD" w:rsidRPr="009811DD" w:rsidTr="00397EBF">
        <w:trPr>
          <w:trHeight w:val="645"/>
        </w:trPr>
        <w:tc>
          <w:tcPr>
            <w:tcW w:w="4685" w:type="dxa"/>
            <w:hideMark/>
          </w:tcPr>
          <w:p w:rsidR="009811DD" w:rsidRPr="009F399D" w:rsidRDefault="009811DD">
            <w:pPr>
              <w:rPr>
                <w:rFonts w:asciiTheme="majorHAnsi" w:hAnsiTheme="majorHAnsi"/>
                <w:b/>
              </w:rPr>
            </w:pPr>
            <w:r w:rsidRPr="009F399D">
              <w:rPr>
                <w:rFonts w:asciiTheme="majorHAnsi" w:hAnsiTheme="majorHAnsi"/>
                <w:b/>
              </w:rPr>
              <w:t>Low-cost personal or portable technology</w:t>
            </w:r>
          </w:p>
        </w:tc>
        <w:tc>
          <w:tcPr>
            <w:tcW w:w="1362" w:type="dxa"/>
            <w:hideMark/>
          </w:tcPr>
          <w:p w:rsidR="009811DD" w:rsidRPr="009811DD" w:rsidRDefault="009811DD" w:rsidP="009811DD">
            <w:pPr>
              <w:rPr>
                <w:rFonts w:asciiTheme="majorHAnsi" w:hAnsiTheme="majorHAnsi"/>
              </w:rPr>
            </w:pPr>
            <w:r w:rsidRPr="009811DD">
              <w:rPr>
                <w:rFonts w:asciiTheme="majorHAnsi" w:hAnsiTheme="majorHAnsi"/>
              </w:rPr>
              <w:t xml:space="preserve">$500.00 </w:t>
            </w:r>
          </w:p>
        </w:tc>
        <w:tc>
          <w:tcPr>
            <w:tcW w:w="1747" w:type="dxa"/>
            <w:hideMark/>
          </w:tcPr>
          <w:p w:rsidR="009811DD" w:rsidRPr="009811DD" w:rsidRDefault="009811DD" w:rsidP="009811DD">
            <w:pPr>
              <w:rPr>
                <w:rFonts w:asciiTheme="majorHAnsi" w:hAnsiTheme="majorHAnsi"/>
              </w:rPr>
            </w:pPr>
            <w:r w:rsidRPr="009811DD">
              <w:rPr>
                <w:rFonts w:asciiTheme="majorHAnsi" w:hAnsiTheme="majorHAnsi"/>
              </w:rPr>
              <w:t>1000</w:t>
            </w:r>
          </w:p>
        </w:tc>
        <w:tc>
          <w:tcPr>
            <w:tcW w:w="1556" w:type="dxa"/>
            <w:hideMark/>
          </w:tcPr>
          <w:p w:rsidR="009811DD" w:rsidRPr="009811DD" w:rsidRDefault="009811DD" w:rsidP="009811DD">
            <w:pPr>
              <w:rPr>
                <w:rFonts w:asciiTheme="majorHAnsi" w:hAnsiTheme="majorHAnsi"/>
              </w:rPr>
            </w:pPr>
            <w:r w:rsidRPr="009811DD">
              <w:rPr>
                <w:rFonts w:asciiTheme="majorHAnsi" w:hAnsiTheme="majorHAnsi"/>
              </w:rPr>
              <w:t xml:space="preserve">$500,000 </w:t>
            </w:r>
          </w:p>
        </w:tc>
      </w:tr>
      <w:tr w:rsidR="009F399D" w:rsidRPr="009811DD" w:rsidTr="00397EBF">
        <w:trPr>
          <w:trHeight w:val="645"/>
        </w:trPr>
        <w:tc>
          <w:tcPr>
            <w:tcW w:w="7794" w:type="dxa"/>
            <w:gridSpan w:val="3"/>
            <w:hideMark/>
          </w:tcPr>
          <w:p w:rsidR="009F399D" w:rsidRPr="009F399D" w:rsidRDefault="009F399D" w:rsidP="000D5246">
            <w:pPr>
              <w:rPr>
                <w:rFonts w:asciiTheme="majorHAnsi" w:hAnsiTheme="majorHAnsi"/>
                <w:b/>
              </w:rPr>
            </w:pPr>
            <w:r w:rsidRPr="009F399D">
              <w:rPr>
                <w:rFonts w:asciiTheme="majorHAnsi" w:hAnsiTheme="majorHAnsi"/>
                <w:b/>
              </w:rPr>
              <w:t xml:space="preserve">Total </w:t>
            </w:r>
            <w:r w:rsidR="001929D6">
              <w:rPr>
                <w:rFonts w:asciiTheme="majorHAnsi" w:hAnsiTheme="majorHAnsi"/>
                <w:b/>
              </w:rPr>
              <w:t>annual n</w:t>
            </w:r>
            <w:r w:rsidRPr="009F399D">
              <w:rPr>
                <w:rFonts w:asciiTheme="majorHAnsi" w:hAnsiTheme="majorHAnsi"/>
                <w:b/>
              </w:rPr>
              <w:t>on-</w:t>
            </w:r>
            <w:r w:rsidR="000D5246">
              <w:rPr>
                <w:rFonts w:asciiTheme="majorHAnsi" w:hAnsiTheme="majorHAnsi"/>
                <w:b/>
              </w:rPr>
              <w:t>labor</w:t>
            </w:r>
            <w:r w:rsidR="000D5246" w:rsidRPr="009F399D">
              <w:rPr>
                <w:rFonts w:asciiTheme="majorHAnsi" w:hAnsiTheme="majorHAnsi"/>
                <w:b/>
              </w:rPr>
              <w:t xml:space="preserve"> </w:t>
            </w:r>
            <w:r w:rsidR="001929D6">
              <w:rPr>
                <w:rFonts w:asciiTheme="majorHAnsi" w:hAnsiTheme="majorHAnsi"/>
                <w:b/>
              </w:rPr>
              <w:t>b</w:t>
            </w:r>
            <w:r w:rsidRPr="009F399D">
              <w:rPr>
                <w:rFonts w:asciiTheme="majorHAnsi" w:hAnsiTheme="majorHAnsi"/>
                <w:b/>
              </w:rPr>
              <w:t xml:space="preserve">urden </w:t>
            </w:r>
            <w:r w:rsidR="001929D6">
              <w:rPr>
                <w:rFonts w:asciiTheme="majorHAnsi" w:hAnsiTheme="majorHAnsi"/>
                <w:b/>
              </w:rPr>
              <w:t>c</w:t>
            </w:r>
            <w:r w:rsidRPr="009F399D">
              <w:rPr>
                <w:rFonts w:asciiTheme="majorHAnsi" w:hAnsiTheme="majorHAnsi"/>
                <w:b/>
              </w:rPr>
              <w:t>ost</w:t>
            </w:r>
          </w:p>
        </w:tc>
        <w:tc>
          <w:tcPr>
            <w:tcW w:w="1556" w:type="dxa"/>
            <w:hideMark/>
          </w:tcPr>
          <w:p w:rsidR="009F399D" w:rsidRPr="009811DD" w:rsidRDefault="009F399D" w:rsidP="009811DD">
            <w:pPr>
              <w:rPr>
                <w:rFonts w:asciiTheme="majorHAnsi" w:hAnsiTheme="majorHAnsi"/>
              </w:rPr>
            </w:pPr>
            <w:r w:rsidRPr="009811DD">
              <w:rPr>
                <w:rFonts w:asciiTheme="majorHAnsi" w:hAnsiTheme="majorHAnsi"/>
              </w:rPr>
              <w:t xml:space="preserve">$525,000 </w:t>
            </w:r>
          </w:p>
        </w:tc>
      </w:tr>
      <w:tr w:rsidR="001929D6" w:rsidRPr="009811DD" w:rsidTr="00397EBF">
        <w:trPr>
          <w:trHeight w:val="645"/>
        </w:trPr>
        <w:tc>
          <w:tcPr>
            <w:tcW w:w="7794" w:type="dxa"/>
            <w:gridSpan w:val="3"/>
          </w:tcPr>
          <w:p w:rsidR="001929D6" w:rsidRPr="009F399D" w:rsidRDefault="007C48D7" w:rsidP="007C48D7">
            <w:pPr>
              <w:rPr>
                <w:rFonts w:asciiTheme="majorHAnsi" w:hAnsiTheme="majorHAnsi"/>
                <w:b/>
              </w:rPr>
            </w:pPr>
            <w:r>
              <w:rPr>
                <w:rFonts w:asciiTheme="majorHAnsi" w:hAnsiTheme="majorHAnsi"/>
                <w:b/>
              </w:rPr>
              <w:lastRenderedPageBreak/>
              <w:t>O&amp;M</w:t>
            </w:r>
            <w:r w:rsidR="001929D6">
              <w:rPr>
                <w:rFonts w:asciiTheme="majorHAnsi" w:hAnsiTheme="majorHAnsi"/>
                <w:b/>
              </w:rPr>
              <w:t xml:space="preserve"> cost</w:t>
            </w:r>
            <w:r>
              <w:rPr>
                <w:rFonts w:asciiTheme="majorHAnsi" w:hAnsiTheme="majorHAnsi"/>
                <w:b/>
              </w:rPr>
              <w:t>s</w:t>
            </w:r>
            <w:r w:rsidR="001929D6">
              <w:rPr>
                <w:rFonts w:asciiTheme="majorHAnsi" w:hAnsiTheme="majorHAnsi"/>
                <w:b/>
              </w:rPr>
              <w:t xml:space="preserve"> over 3 years</w:t>
            </w:r>
          </w:p>
        </w:tc>
        <w:tc>
          <w:tcPr>
            <w:tcW w:w="1556" w:type="dxa"/>
          </w:tcPr>
          <w:p w:rsidR="001929D6" w:rsidRPr="009811DD" w:rsidRDefault="001929D6" w:rsidP="009811DD">
            <w:pPr>
              <w:rPr>
                <w:rFonts w:asciiTheme="majorHAnsi" w:hAnsiTheme="majorHAnsi"/>
              </w:rPr>
            </w:pPr>
            <w:r w:rsidRPr="001929D6">
              <w:rPr>
                <w:rFonts w:asciiTheme="majorHAnsi" w:hAnsiTheme="majorHAnsi"/>
              </w:rPr>
              <w:t>$1,575,000</w:t>
            </w:r>
          </w:p>
        </w:tc>
      </w:tr>
    </w:tbl>
    <w:p w:rsidR="00980BE9" w:rsidRPr="0038253F" w:rsidRDefault="00980BE9" w:rsidP="00256D42">
      <w:pPr>
        <w:rPr>
          <w:rFonts w:asciiTheme="majorHAnsi" w:hAnsiTheme="majorHAnsi"/>
        </w:rPr>
      </w:pPr>
    </w:p>
    <w:p w:rsidR="00422033" w:rsidRDefault="00422033" w:rsidP="00256D42">
      <w:pPr>
        <w:rPr>
          <w:rFonts w:asciiTheme="majorHAnsi" w:hAnsiTheme="majorHAnsi"/>
          <w:b/>
        </w:rPr>
      </w:pPr>
      <w:r>
        <w:rPr>
          <w:rFonts w:asciiTheme="majorHAnsi" w:hAnsiTheme="majorHAnsi"/>
          <w:b/>
        </w:rPr>
        <w:t xml:space="preserve">14. </w:t>
      </w:r>
      <w:r>
        <w:rPr>
          <w:rFonts w:asciiTheme="majorHAnsi" w:hAnsiTheme="majorHAnsi"/>
          <w:b/>
        </w:rPr>
        <w:tab/>
        <w:t>Costs to Federal Government</w:t>
      </w:r>
    </w:p>
    <w:p w:rsidR="007628C9" w:rsidRDefault="0038253F" w:rsidP="00256D42">
      <w:pPr>
        <w:rPr>
          <w:rFonts w:asciiTheme="majorHAnsi" w:hAnsiTheme="majorHAnsi"/>
        </w:rPr>
      </w:pPr>
      <w:r w:rsidRPr="0038253F">
        <w:rPr>
          <w:rFonts w:asciiTheme="majorHAnsi" w:hAnsiTheme="majorHAnsi"/>
        </w:rPr>
        <w:t>The anticipated cost to the Federal Government is approximately $</w:t>
      </w:r>
      <w:r w:rsidR="00D94B3B">
        <w:rPr>
          <w:rFonts w:asciiTheme="majorHAnsi" w:hAnsiTheme="majorHAnsi"/>
        </w:rPr>
        <w:t>144,164</w:t>
      </w:r>
      <w:r w:rsidR="00E51D1D">
        <w:rPr>
          <w:rFonts w:asciiTheme="majorHAnsi" w:hAnsiTheme="majorHAnsi"/>
        </w:rPr>
        <w:t xml:space="preserve"> </w:t>
      </w:r>
      <w:r w:rsidRPr="0038253F">
        <w:rPr>
          <w:rFonts w:asciiTheme="majorHAnsi" w:hAnsiTheme="majorHAnsi"/>
        </w:rPr>
        <w:t xml:space="preserve">annually.  These costs are comprised of: </w:t>
      </w:r>
      <w:r w:rsidR="00A721E2">
        <w:rPr>
          <w:rFonts w:asciiTheme="majorHAnsi" w:hAnsiTheme="majorHAnsi"/>
        </w:rPr>
        <w:t>project administration</w:t>
      </w:r>
      <w:r w:rsidRPr="0038253F">
        <w:rPr>
          <w:rFonts w:asciiTheme="majorHAnsi" w:hAnsiTheme="majorHAnsi"/>
        </w:rPr>
        <w:t xml:space="preserve"> and </w:t>
      </w:r>
      <w:r w:rsidR="000C2F15">
        <w:rPr>
          <w:rFonts w:asciiTheme="majorHAnsi" w:hAnsiTheme="majorHAnsi"/>
        </w:rPr>
        <w:t xml:space="preserve">estimated </w:t>
      </w:r>
      <w:r w:rsidRPr="0038253F">
        <w:rPr>
          <w:rFonts w:asciiTheme="majorHAnsi" w:hAnsiTheme="majorHAnsi"/>
        </w:rPr>
        <w:t>contractor payments.</w:t>
      </w:r>
      <w:r w:rsidR="00090C77">
        <w:rPr>
          <w:rFonts w:asciiTheme="majorHAnsi" w:hAnsiTheme="majorHAnsi"/>
        </w:rPr>
        <w:t xml:space="preserve"> </w:t>
      </w:r>
      <w:r w:rsidR="00090C77" w:rsidRPr="00090C77">
        <w:rPr>
          <w:rFonts w:asciiTheme="majorHAnsi" w:hAnsiTheme="majorHAnsi"/>
        </w:rPr>
        <w:t xml:space="preserve">EPA person-costs are estimated using an hourly rate for a GS-14 (step 1) </w:t>
      </w:r>
      <w:r w:rsidR="00390D0B">
        <w:rPr>
          <w:rFonts w:asciiTheme="majorHAnsi" w:hAnsiTheme="majorHAnsi"/>
        </w:rPr>
        <w:t xml:space="preserve">including an additional </w:t>
      </w:r>
      <w:r w:rsidR="00D94B3B">
        <w:rPr>
          <w:rFonts w:asciiTheme="majorHAnsi" w:hAnsiTheme="majorHAnsi"/>
        </w:rPr>
        <w:t xml:space="preserve">60% </w:t>
      </w:r>
      <w:r w:rsidR="00390D0B">
        <w:rPr>
          <w:rFonts w:asciiTheme="majorHAnsi" w:hAnsiTheme="majorHAnsi"/>
        </w:rPr>
        <w:t>for</w:t>
      </w:r>
      <w:r w:rsidR="00D94B3B">
        <w:rPr>
          <w:rFonts w:asciiTheme="majorHAnsi" w:hAnsiTheme="majorHAnsi"/>
        </w:rPr>
        <w:t xml:space="preserve"> benefits </w:t>
      </w:r>
      <w:r w:rsidR="00090C77" w:rsidRPr="00090C77">
        <w:rPr>
          <w:rFonts w:asciiTheme="majorHAnsi" w:hAnsiTheme="majorHAnsi"/>
        </w:rPr>
        <w:t>based in Washington, DC.</w:t>
      </w:r>
      <w:r w:rsidR="0027267C">
        <w:rPr>
          <w:rFonts w:asciiTheme="majorHAnsi" w:hAnsiTheme="majorHAnsi"/>
        </w:rPr>
        <w:t xml:space="preserve"> </w:t>
      </w:r>
      <w:r w:rsidR="00090C77" w:rsidRPr="00090C77">
        <w:rPr>
          <w:rFonts w:asciiTheme="majorHAnsi" w:hAnsiTheme="majorHAnsi"/>
        </w:rPr>
        <w:t>Time spent on each step may vary</w:t>
      </w:r>
      <w:r w:rsidR="00D94B3B">
        <w:rPr>
          <w:rFonts w:asciiTheme="majorHAnsi" w:hAnsiTheme="majorHAnsi"/>
        </w:rPr>
        <w:t>,</w:t>
      </w:r>
      <w:r w:rsidR="00090C77" w:rsidRPr="00090C77">
        <w:rPr>
          <w:rFonts w:asciiTheme="majorHAnsi" w:hAnsiTheme="majorHAnsi"/>
        </w:rPr>
        <w:t xml:space="preserve"> as well as the GS-level of the employees involved.</w:t>
      </w:r>
      <w:r w:rsidR="00EC1946">
        <w:rPr>
          <w:rFonts w:asciiTheme="majorHAnsi" w:hAnsiTheme="majorHAnsi"/>
        </w:rPr>
        <w:t xml:space="preserve"> The estimate for project administration is based on </w:t>
      </w:r>
      <w:r w:rsidR="00482216">
        <w:rPr>
          <w:rFonts w:asciiTheme="majorHAnsi" w:hAnsiTheme="majorHAnsi"/>
        </w:rPr>
        <w:t>1</w:t>
      </w:r>
      <w:r w:rsidR="007C48D7">
        <w:rPr>
          <w:rFonts w:asciiTheme="majorHAnsi" w:hAnsiTheme="majorHAnsi"/>
        </w:rPr>
        <w:t>0</w:t>
      </w:r>
      <w:r w:rsidR="00482216">
        <w:rPr>
          <w:rFonts w:asciiTheme="majorHAnsi" w:hAnsiTheme="majorHAnsi"/>
        </w:rPr>
        <w:t xml:space="preserve"> </w:t>
      </w:r>
      <w:r w:rsidR="00EC1946">
        <w:rPr>
          <w:rFonts w:asciiTheme="majorHAnsi" w:hAnsiTheme="majorHAnsi"/>
        </w:rPr>
        <w:t xml:space="preserve">projects </w:t>
      </w:r>
      <w:r w:rsidR="00FF588C">
        <w:rPr>
          <w:rFonts w:asciiTheme="majorHAnsi" w:hAnsiTheme="majorHAnsi"/>
        </w:rPr>
        <w:t>per year</w:t>
      </w:r>
      <w:r w:rsidR="00EC1946">
        <w:rPr>
          <w:rFonts w:asciiTheme="majorHAnsi" w:hAnsiTheme="majorHAnsi"/>
        </w:rPr>
        <w:t xml:space="preserve"> at 5% time given </w:t>
      </w:r>
      <w:r w:rsidR="00EC1946" w:rsidRPr="00EC1946">
        <w:rPr>
          <w:rFonts w:asciiTheme="majorHAnsi" w:hAnsiTheme="majorHAnsi"/>
        </w:rPr>
        <w:t>2,087-hour</w:t>
      </w:r>
      <w:r w:rsidR="00EC1946">
        <w:rPr>
          <w:rFonts w:asciiTheme="majorHAnsi" w:hAnsiTheme="majorHAnsi"/>
        </w:rPr>
        <w:t xml:space="preserve"> divisor</w:t>
      </w:r>
      <w:r w:rsidR="00B36278">
        <w:rPr>
          <w:rStyle w:val="FootnoteReference"/>
          <w:rFonts w:asciiTheme="majorHAnsi" w:hAnsiTheme="majorHAnsi"/>
        </w:rPr>
        <w:footnoteReference w:id="8"/>
      </w:r>
      <w:r w:rsidR="00EC1946">
        <w:rPr>
          <w:rFonts w:asciiTheme="majorHAnsi" w:hAnsiTheme="majorHAnsi"/>
        </w:rPr>
        <w:t xml:space="preserve"> for an employee’s annual rate of pay.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37"/>
        <w:gridCol w:w="2070"/>
        <w:gridCol w:w="3420"/>
      </w:tblGrid>
      <w:tr w:rsidR="00123FAE" w:rsidRPr="00CE7AE1" w:rsidTr="005B75A8">
        <w:trPr>
          <w:cantSplit/>
        </w:trPr>
        <w:tc>
          <w:tcPr>
            <w:tcW w:w="2093" w:type="dxa"/>
            <w:vMerge w:val="restart"/>
          </w:tcPr>
          <w:p w:rsidR="00A11A2D" w:rsidRPr="00CE7AE1" w:rsidRDefault="00A11A2D" w:rsidP="00A11A2D">
            <w:pPr>
              <w:rPr>
                <w:rFonts w:asciiTheme="majorHAnsi" w:hAnsiTheme="majorHAnsi"/>
                <w:b/>
              </w:rPr>
            </w:pPr>
          </w:p>
          <w:p w:rsidR="00A11A2D" w:rsidRPr="00CE7AE1" w:rsidRDefault="00A11A2D" w:rsidP="00A11A2D">
            <w:pPr>
              <w:rPr>
                <w:rFonts w:asciiTheme="majorHAnsi" w:hAnsiTheme="majorHAnsi"/>
                <w:b/>
              </w:rPr>
            </w:pPr>
          </w:p>
          <w:p w:rsidR="00A11A2D" w:rsidRPr="00CE7AE1" w:rsidRDefault="00A11A2D" w:rsidP="00A11A2D">
            <w:pPr>
              <w:rPr>
                <w:rFonts w:asciiTheme="majorHAnsi" w:hAnsiTheme="majorHAnsi"/>
                <w:b/>
              </w:rPr>
            </w:pPr>
            <w:r w:rsidRPr="00CE7AE1">
              <w:rPr>
                <w:rFonts w:asciiTheme="majorHAnsi" w:hAnsiTheme="majorHAnsi"/>
                <w:b/>
              </w:rPr>
              <w:t>Task</w:t>
            </w:r>
          </w:p>
        </w:tc>
        <w:tc>
          <w:tcPr>
            <w:tcW w:w="4207" w:type="dxa"/>
            <w:gridSpan w:val="2"/>
            <w:hideMark/>
          </w:tcPr>
          <w:p w:rsidR="00A11A2D" w:rsidRPr="00CE7AE1" w:rsidRDefault="00A11A2D" w:rsidP="00A11A2D">
            <w:pPr>
              <w:rPr>
                <w:rFonts w:asciiTheme="majorHAnsi" w:hAnsiTheme="majorHAnsi"/>
                <w:b/>
              </w:rPr>
            </w:pPr>
            <w:r w:rsidRPr="00CE7AE1">
              <w:rPr>
                <w:rFonts w:asciiTheme="majorHAnsi" w:hAnsiTheme="majorHAnsi"/>
                <w:b/>
              </w:rPr>
              <w:t>Costs (and Person-hours) Per Project</w:t>
            </w:r>
          </w:p>
        </w:tc>
        <w:tc>
          <w:tcPr>
            <w:tcW w:w="3420" w:type="dxa"/>
            <w:hideMark/>
          </w:tcPr>
          <w:p w:rsidR="00A11A2D" w:rsidRPr="00CE7AE1" w:rsidRDefault="00A11A2D" w:rsidP="00A11A2D">
            <w:pPr>
              <w:rPr>
                <w:rFonts w:asciiTheme="majorHAnsi" w:hAnsiTheme="majorHAnsi"/>
                <w:b/>
              </w:rPr>
            </w:pPr>
            <w:r w:rsidRPr="00CE7AE1">
              <w:rPr>
                <w:rFonts w:asciiTheme="majorHAnsi" w:hAnsiTheme="majorHAnsi"/>
                <w:b/>
              </w:rPr>
              <w:t>Total Hours and Cost</w:t>
            </w:r>
          </w:p>
        </w:tc>
      </w:tr>
      <w:tr w:rsidR="00123FAE" w:rsidRPr="00CE7AE1" w:rsidTr="005B75A8">
        <w:tc>
          <w:tcPr>
            <w:tcW w:w="2093" w:type="dxa"/>
            <w:vMerge/>
            <w:vAlign w:val="center"/>
            <w:hideMark/>
          </w:tcPr>
          <w:p w:rsidR="00A11A2D" w:rsidRPr="00CE7AE1" w:rsidRDefault="00A11A2D" w:rsidP="00A11A2D">
            <w:pPr>
              <w:rPr>
                <w:rFonts w:asciiTheme="majorHAnsi" w:hAnsiTheme="majorHAnsi"/>
                <w:b/>
              </w:rPr>
            </w:pPr>
          </w:p>
        </w:tc>
        <w:tc>
          <w:tcPr>
            <w:tcW w:w="2137" w:type="dxa"/>
            <w:hideMark/>
          </w:tcPr>
          <w:p w:rsidR="00A11A2D" w:rsidRPr="00CE7AE1" w:rsidRDefault="00A11A2D" w:rsidP="00A11A2D">
            <w:pPr>
              <w:rPr>
                <w:rFonts w:asciiTheme="majorHAnsi" w:hAnsiTheme="majorHAnsi"/>
                <w:b/>
              </w:rPr>
            </w:pPr>
            <w:r w:rsidRPr="00CE7AE1">
              <w:rPr>
                <w:rFonts w:asciiTheme="majorHAnsi" w:hAnsiTheme="majorHAnsi"/>
                <w:b/>
              </w:rPr>
              <w:t>EPA</w:t>
            </w:r>
          </w:p>
          <w:p w:rsidR="00A11A2D" w:rsidRPr="00CE7AE1" w:rsidRDefault="00A11A2D" w:rsidP="00A11A2D">
            <w:pPr>
              <w:rPr>
                <w:rFonts w:asciiTheme="majorHAnsi" w:hAnsiTheme="majorHAnsi"/>
                <w:b/>
              </w:rPr>
            </w:pPr>
            <w:r w:rsidRPr="00CE7AE1">
              <w:rPr>
                <w:rFonts w:asciiTheme="majorHAnsi" w:hAnsiTheme="majorHAnsi"/>
                <w:b/>
              </w:rPr>
              <w:t>($50.41/</w:t>
            </w:r>
          </w:p>
          <w:p w:rsidR="00A11A2D" w:rsidRPr="00CE7AE1" w:rsidRDefault="00A11A2D" w:rsidP="00A11A2D">
            <w:pPr>
              <w:rPr>
                <w:rFonts w:asciiTheme="majorHAnsi" w:hAnsiTheme="majorHAnsi"/>
                <w:b/>
              </w:rPr>
            </w:pPr>
            <w:r w:rsidRPr="00CE7AE1">
              <w:rPr>
                <w:rFonts w:asciiTheme="majorHAnsi" w:hAnsiTheme="majorHAnsi"/>
                <w:b/>
              </w:rPr>
              <w:t>Hour)</w:t>
            </w:r>
          </w:p>
        </w:tc>
        <w:tc>
          <w:tcPr>
            <w:tcW w:w="2070" w:type="dxa"/>
            <w:hideMark/>
          </w:tcPr>
          <w:p w:rsidR="00A11A2D" w:rsidRPr="00CE7AE1" w:rsidRDefault="00F40374" w:rsidP="00A11A2D">
            <w:pPr>
              <w:rPr>
                <w:rFonts w:asciiTheme="majorHAnsi" w:hAnsiTheme="majorHAnsi"/>
                <w:b/>
              </w:rPr>
            </w:pPr>
            <w:r w:rsidRPr="00F40374">
              <w:rPr>
                <w:rFonts w:asciiTheme="majorHAnsi" w:hAnsiTheme="majorHAnsi"/>
                <w:b/>
              </w:rPr>
              <w:t>Estimated contractor costs</w:t>
            </w:r>
          </w:p>
        </w:tc>
        <w:tc>
          <w:tcPr>
            <w:tcW w:w="3420" w:type="dxa"/>
            <w:hideMark/>
          </w:tcPr>
          <w:p w:rsidR="00A11A2D" w:rsidRPr="00CE7AE1" w:rsidRDefault="00A11A2D" w:rsidP="007C48D7">
            <w:pPr>
              <w:rPr>
                <w:rFonts w:asciiTheme="majorHAnsi" w:hAnsiTheme="majorHAnsi"/>
                <w:b/>
              </w:rPr>
            </w:pPr>
            <w:r w:rsidRPr="00CE7AE1">
              <w:rPr>
                <w:rFonts w:asciiTheme="majorHAnsi" w:hAnsiTheme="majorHAnsi"/>
                <w:b/>
              </w:rPr>
              <w:t>Total Cost/Year</w:t>
            </w:r>
            <w:r w:rsidR="00F65D4D">
              <w:rPr>
                <w:rFonts w:asciiTheme="majorHAnsi" w:hAnsiTheme="majorHAnsi"/>
                <w:b/>
              </w:rPr>
              <w:t xml:space="preserve"> </w:t>
            </w:r>
            <w:r w:rsidR="00E51D1D">
              <w:rPr>
                <w:rFonts w:asciiTheme="majorHAnsi" w:hAnsiTheme="majorHAnsi"/>
                <w:b/>
              </w:rPr>
              <w:t>(estimate</w:t>
            </w:r>
            <w:r w:rsidR="00435322">
              <w:rPr>
                <w:rFonts w:asciiTheme="majorHAnsi" w:hAnsiTheme="majorHAnsi"/>
                <w:b/>
              </w:rPr>
              <w:t>d</w:t>
            </w:r>
            <w:r w:rsidR="00E51D1D">
              <w:rPr>
                <w:rFonts w:asciiTheme="majorHAnsi" w:hAnsiTheme="majorHAnsi"/>
                <w:b/>
              </w:rPr>
              <w:t xml:space="preserve"> for </w:t>
            </w:r>
            <w:r w:rsidR="00BE7683">
              <w:rPr>
                <w:rFonts w:asciiTheme="majorHAnsi" w:hAnsiTheme="majorHAnsi"/>
                <w:b/>
              </w:rPr>
              <w:t>1</w:t>
            </w:r>
            <w:r w:rsidR="007C48D7">
              <w:rPr>
                <w:rFonts w:asciiTheme="majorHAnsi" w:hAnsiTheme="majorHAnsi"/>
                <w:b/>
              </w:rPr>
              <w:t>0</w:t>
            </w:r>
            <w:r w:rsidR="00BE7683">
              <w:rPr>
                <w:rFonts w:asciiTheme="majorHAnsi" w:hAnsiTheme="majorHAnsi"/>
                <w:b/>
              </w:rPr>
              <w:t xml:space="preserve"> </w:t>
            </w:r>
            <w:r w:rsidR="00E51D1D">
              <w:rPr>
                <w:rFonts w:asciiTheme="majorHAnsi" w:hAnsiTheme="majorHAnsi"/>
                <w:b/>
              </w:rPr>
              <w:t>projects per year)</w:t>
            </w:r>
          </w:p>
        </w:tc>
      </w:tr>
      <w:tr w:rsidR="00A11A2D" w:rsidRPr="00A11A2D" w:rsidTr="005B75A8">
        <w:tc>
          <w:tcPr>
            <w:tcW w:w="2093" w:type="dxa"/>
            <w:hideMark/>
          </w:tcPr>
          <w:p w:rsidR="00A11A2D" w:rsidRPr="00CE7AE1" w:rsidRDefault="00A11A2D" w:rsidP="00A11A2D">
            <w:pPr>
              <w:rPr>
                <w:rFonts w:asciiTheme="majorHAnsi" w:hAnsiTheme="majorHAnsi"/>
                <w:b/>
                <w:lang w:val="en-GB"/>
              </w:rPr>
            </w:pPr>
            <w:r w:rsidRPr="00CE7AE1">
              <w:rPr>
                <w:rFonts w:asciiTheme="majorHAnsi" w:hAnsiTheme="majorHAnsi"/>
                <w:b/>
                <w:lang w:val="en-GB"/>
              </w:rPr>
              <w:t>Project Administration</w:t>
            </w:r>
          </w:p>
        </w:tc>
        <w:tc>
          <w:tcPr>
            <w:tcW w:w="2137" w:type="dxa"/>
          </w:tcPr>
          <w:p w:rsidR="00A11A2D" w:rsidRPr="00A11A2D" w:rsidRDefault="00F40374" w:rsidP="00555BCE">
            <w:pPr>
              <w:rPr>
                <w:rFonts w:asciiTheme="majorHAnsi" w:hAnsiTheme="majorHAnsi"/>
              </w:rPr>
            </w:pPr>
            <w:r>
              <w:rPr>
                <w:rFonts w:asciiTheme="majorHAnsi" w:hAnsiTheme="majorHAnsi"/>
              </w:rPr>
              <w:t>$</w:t>
            </w:r>
            <w:r w:rsidR="00555BCE">
              <w:rPr>
                <w:rFonts w:asciiTheme="majorHAnsi" w:hAnsiTheme="majorHAnsi"/>
              </w:rPr>
              <w:t>8,416</w:t>
            </w:r>
          </w:p>
        </w:tc>
        <w:tc>
          <w:tcPr>
            <w:tcW w:w="2070" w:type="dxa"/>
          </w:tcPr>
          <w:p w:rsidR="00A11A2D" w:rsidRPr="00A11A2D" w:rsidRDefault="00A11A2D" w:rsidP="00A11A2D">
            <w:pPr>
              <w:rPr>
                <w:rFonts w:asciiTheme="majorHAnsi" w:hAnsiTheme="majorHAnsi"/>
              </w:rPr>
            </w:pPr>
          </w:p>
        </w:tc>
        <w:tc>
          <w:tcPr>
            <w:tcW w:w="3420" w:type="dxa"/>
          </w:tcPr>
          <w:p w:rsidR="00BE7683" w:rsidRDefault="00BE7683" w:rsidP="00BE7683">
            <w:pPr>
              <w:rPr>
                <w:rFonts w:ascii="Calibri Light" w:hAnsi="Calibri Light"/>
                <w:color w:val="000000"/>
              </w:rPr>
            </w:pPr>
            <w:r>
              <w:rPr>
                <w:rFonts w:ascii="Calibri Light" w:hAnsi="Calibri Light"/>
                <w:color w:val="000000"/>
              </w:rPr>
              <w:t>$</w:t>
            </w:r>
            <w:r w:rsidR="00555BCE">
              <w:rPr>
                <w:rFonts w:ascii="Calibri Light" w:hAnsi="Calibri Light"/>
                <w:color w:val="000000"/>
              </w:rPr>
              <w:t>84,164</w:t>
            </w:r>
          </w:p>
          <w:p w:rsidR="00A11A2D" w:rsidRPr="00A11A2D" w:rsidRDefault="00BE7683" w:rsidP="00BE7683">
            <w:pPr>
              <w:tabs>
                <w:tab w:val="center" w:pos="1602"/>
              </w:tabs>
              <w:rPr>
                <w:rFonts w:asciiTheme="majorHAnsi" w:hAnsiTheme="majorHAnsi"/>
              </w:rPr>
            </w:pPr>
            <w:r>
              <w:rPr>
                <w:rFonts w:asciiTheme="majorHAnsi" w:hAnsiTheme="majorHAnsi"/>
              </w:rPr>
              <w:tab/>
            </w:r>
          </w:p>
        </w:tc>
      </w:tr>
      <w:tr w:rsidR="00A721E2" w:rsidRPr="00A11A2D" w:rsidTr="005B75A8">
        <w:tc>
          <w:tcPr>
            <w:tcW w:w="2093" w:type="dxa"/>
          </w:tcPr>
          <w:p w:rsidR="00A721E2" w:rsidRPr="00CE7AE1" w:rsidRDefault="00A721E2" w:rsidP="00A11A2D">
            <w:pPr>
              <w:rPr>
                <w:rFonts w:asciiTheme="majorHAnsi" w:hAnsiTheme="majorHAnsi"/>
                <w:b/>
                <w:lang w:val="en-GB"/>
              </w:rPr>
            </w:pPr>
            <w:r w:rsidRPr="00CE7AE1">
              <w:rPr>
                <w:rFonts w:asciiTheme="majorHAnsi" w:hAnsiTheme="majorHAnsi"/>
                <w:b/>
                <w:lang w:val="en-GB"/>
              </w:rPr>
              <w:t>Contractor costs</w:t>
            </w:r>
          </w:p>
        </w:tc>
        <w:tc>
          <w:tcPr>
            <w:tcW w:w="2137" w:type="dxa"/>
          </w:tcPr>
          <w:p w:rsidR="00A721E2" w:rsidRPr="00A11A2D" w:rsidRDefault="00A721E2" w:rsidP="00A11A2D">
            <w:pPr>
              <w:rPr>
                <w:rFonts w:asciiTheme="majorHAnsi" w:hAnsiTheme="majorHAnsi"/>
              </w:rPr>
            </w:pPr>
          </w:p>
        </w:tc>
        <w:tc>
          <w:tcPr>
            <w:tcW w:w="2070" w:type="dxa"/>
          </w:tcPr>
          <w:p w:rsidR="00A721E2" w:rsidRPr="00A11A2D" w:rsidRDefault="00A721E2" w:rsidP="00A11A2D">
            <w:pPr>
              <w:rPr>
                <w:rFonts w:asciiTheme="majorHAnsi" w:hAnsiTheme="majorHAnsi"/>
              </w:rPr>
            </w:pPr>
            <w:r>
              <w:rPr>
                <w:rFonts w:asciiTheme="majorHAnsi" w:hAnsiTheme="majorHAnsi"/>
              </w:rPr>
              <w:t>$60,000</w:t>
            </w:r>
          </w:p>
        </w:tc>
        <w:tc>
          <w:tcPr>
            <w:tcW w:w="3420" w:type="dxa"/>
          </w:tcPr>
          <w:p w:rsidR="00A721E2" w:rsidRPr="00A11A2D" w:rsidRDefault="00A721E2" w:rsidP="00A11A2D">
            <w:pPr>
              <w:rPr>
                <w:rFonts w:asciiTheme="majorHAnsi" w:hAnsiTheme="majorHAnsi"/>
              </w:rPr>
            </w:pPr>
          </w:p>
        </w:tc>
      </w:tr>
      <w:tr w:rsidR="00A11A2D" w:rsidRPr="00A11A2D" w:rsidTr="005B75A8">
        <w:tc>
          <w:tcPr>
            <w:tcW w:w="2093" w:type="dxa"/>
          </w:tcPr>
          <w:p w:rsidR="00A11A2D" w:rsidRPr="00CE7AE1" w:rsidRDefault="00A11A2D" w:rsidP="00A11A2D">
            <w:pPr>
              <w:rPr>
                <w:rFonts w:asciiTheme="majorHAnsi" w:hAnsiTheme="majorHAnsi"/>
                <w:b/>
                <w:lang w:val="en-GB"/>
              </w:rPr>
            </w:pPr>
          </w:p>
          <w:p w:rsidR="00A11A2D" w:rsidRPr="00CE7AE1" w:rsidRDefault="00A11A2D" w:rsidP="00A11A2D">
            <w:pPr>
              <w:rPr>
                <w:rFonts w:asciiTheme="majorHAnsi" w:hAnsiTheme="majorHAnsi"/>
                <w:b/>
                <w:lang w:val="en-GB"/>
              </w:rPr>
            </w:pPr>
            <w:r w:rsidRPr="00CE7AE1">
              <w:rPr>
                <w:rFonts w:asciiTheme="majorHAnsi" w:hAnsiTheme="majorHAnsi"/>
                <w:b/>
                <w:lang w:val="en-GB"/>
              </w:rPr>
              <w:t>Total</w:t>
            </w:r>
          </w:p>
          <w:p w:rsidR="00A11A2D" w:rsidRPr="00CE7AE1" w:rsidRDefault="00A11A2D" w:rsidP="00A11A2D">
            <w:pPr>
              <w:rPr>
                <w:rFonts w:asciiTheme="majorHAnsi" w:hAnsiTheme="majorHAnsi"/>
                <w:b/>
                <w:lang w:val="en-GB"/>
              </w:rPr>
            </w:pPr>
          </w:p>
        </w:tc>
        <w:tc>
          <w:tcPr>
            <w:tcW w:w="2137" w:type="dxa"/>
          </w:tcPr>
          <w:p w:rsidR="00A11A2D" w:rsidRPr="00A11A2D" w:rsidRDefault="00A11A2D" w:rsidP="00A11A2D">
            <w:pPr>
              <w:rPr>
                <w:rFonts w:asciiTheme="majorHAnsi" w:hAnsiTheme="majorHAnsi"/>
              </w:rPr>
            </w:pPr>
          </w:p>
        </w:tc>
        <w:tc>
          <w:tcPr>
            <w:tcW w:w="2070" w:type="dxa"/>
          </w:tcPr>
          <w:p w:rsidR="00A11A2D" w:rsidRPr="00A11A2D" w:rsidRDefault="00A11A2D" w:rsidP="00A11A2D">
            <w:pPr>
              <w:rPr>
                <w:rFonts w:asciiTheme="majorHAnsi" w:hAnsiTheme="majorHAnsi"/>
              </w:rPr>
            </w:pPr>
          </w:p>
        </w:tc>
        <w:tc>
          <w:tcPr>
            <w:tcW w:w="3420" w:type="dxa"/>
          </w:tcPr>
          <w:p w:rsidR="00BE7683" w:rsidRPr="00BE7683" w:rsidRDefault="00BE7683" w:rsidP="00BE7683">
            <w:pPr>
              <w:rPr>
                <w:rFonts w:asciiTheme="majorHAnsi" w:hAnsiTheme="majorHAnsi"/>
              </w:rPr>
            </w:pPr>
            <w:r w:rsidRPr="00BE7683">
              <w:rPr>
                <w:rFonts w:asciiTheme="majorHAnsi" w:hAnsiTheme="majorHAnsi"/>
              </w:rPr>
              <w:t>$</w:t>
            </w:r>
            <w:r w:rsidR="00555BCE">
              <w:rPr>
                <w:rFonts w:asciiTheme="majorHAnsi" w:hAnsiTheme="majorHAnsi"/>
              </w:rPr>
              <w:t>144,164</w:t>
            </w:r>
          </w:p>
          <w:p w:rsidR="00BE7683" w:rsidRPr="00BE7683" w:rsidRDefault="00BE7683" w:rsidP="00BE7683">
            <w:pPr>
              <w:rPr>
                <w:rFonts w:asciiTheme="majorHAnsi" w:hAnsiTheme="majorHAnsi"/>
              </w:rPr>
            </w:pPr>
          </w:p>
          <w:p w:rsidR="00A11A2D" w:rsidRPr="00A11A2D" w:rsidRDefault="00A11A2D" w:rsidP="00A11A2D">
            <w:pPr>
              <w:rPr>
                <w:rFonts w:asciiTheme="majorHAnsi" w:hAnsiTheme="majorHAnsi"/>
              </w:rPr>
            </w:pPr>
          </w:p>
        </w:tc>
      </w:tr>
    </w:tbl>
    <w:p w:rsidR="00A11A2D" w:rsidRPr="0038253F" w:rsidRDefault="00A11A2D" w:rsidP="00256D42">
      <w:pPr>
        <w:rPr>
          <w:rFonts w:asciiTheme="majorHAnsi" w:hAnsiTheme="majorHAnsi"/>
        </w:rPr>
      </w:pPr>
    </w:p>
    <w:p w:rsidR="00B01BAF" w:rsidRDefault="00422033" w:rsidP="00256D42">
      <w:pPr>
        <w:rPr>
          <w:rFonts w:asciiTheme="majorHAnsi" w:hAnsiTheme="majorHAnsi"/>
          <w:b/>
        </w:rPr>
      </w:pPr>
      <w:r>
        <w:rPr>
          <w:rFonts w:asciiTheme="majorHAnsi" w:hAnsiTheme="majorHAnsi"/>
          <w:b/>
        </w:rPr>
        <w:t xml:space="preserve">15. </w:t>
      </w:r>
      <w:r>
        <w:rPr>
          <w:rFonts w:asciiTheme="majorHAnsi" w:hAnsiTheme="majorHAnsi"/>
          <w:b/>
        </w:rPr>
        <w:tab/>
        <w:t>Reason for Change</w:t>
      </w:r>
    </w:p>
    <w:p w:rsidR="00B01BAF" w:rsidRPr="00F056A2" w:rsidRDefault="00A834D6" w:rsidP="009320E1">
      <w:pPr>
        <w:rPr>
          <w:rFonts w:asciiTheme="majorHAnsi" w:hAnsiTheme="majorHAnsi"/>
        </w:rPr>
      </w:pPr>
      <w:r>
        <w:rPr>
          <w:rFonts w:asciiTheme="majorHAnsi" w:hAnsiTheme="majorHAnsi"/>
        </w:rPr>
        <w:t>This is a new collection</w:t>
      </w:r>
      <w:r w:rsidR="00B01BAF">
        <w:rPr>
          <w:rFonts w:asciiTheme="majorHAnsi" w:hAnsiTheme="majorHAnsi"/>
        </w:rPr>
        <w:t xml:space="preserve">. </w:t>
      </w:r>
    </w:p>
    <w:p w:rsidR="00422033" w:rsidRDefault="00422033" w:rsidP="00256D42">
      <w:pPr>
        <w:rPr>
          <w:rFonts w:asciiTheme="majorHAnsi" w:hAnsiTheme="majorHAnsi"/>
          <w:b/>
        </w:rPr>
      </w:pPr>
      <w:r>
        <w:rPr>
          <w:rFonts w:asciiTheme="majorHAnsi" w:hAnsiTheme="majorHAnsi"/>
          <w:b/>
        </w:rPr>
        <w:t xml:space="preserve">16. </w:t>
      </w:r>
      <w:r>
        <w:rPr>
          <w:rFonts w:asciiTheme="majorHAnsi" w:hAnsiTheme="majorHAnsi"/>
          <w:b/>
        </w:rPr>
        <w:tab/>
        <w:t>Tabulation of Results, Schedule, Analysis Plans</w:t>
      </w:r>
    </w:p>
    <w:p w:rsidR="00106B04" w:rsidRDefault="00106B04" w:rsidP="00106B04">
      <w:pPr>
        <w:spacing w:after="0" w:line="240" w:lineRule="auto"/>
      </w:pPr>
    </w:p>
    <w:p w:rsidR="00AC747C" w:rsidRDefault="00215165" w:rsidP="00106B04">
      <w:pPr>
        <w:spacing w:after="0" w:line="240" w:lineRule="auto"/>
        <w:rPr>
          <w:rFonts w:asciiTheme="majorHAnsi" w:hAnsiTheme="majorHAnsi"/>
        </w:rPr>
      </w:pPr>
      <w:r w:rsidRPr="00F056A2">
        <w:rPr>
          <w:rFonts w:asciiTheme="majorHAnsi" w:hAnsiTheme="majorHAnsi"/>
        </w:rPr>
        <w:t>The tabulation, timeline, analysis, and publication of i</w:t>
      </w:r>
      <w:r w:rsidR="0030171E" w:rsidRPr="00F056A2">
        <w:rPr>
          <w:rFonts w:asciiTheme="majorHAnsi" w:hAnsiTheme="majorHAnsi"/>
        </w:rPr>
        <w:t>nformation</w:t>
      </w:r>
      <w:r w:rsidR="00106B04" w:rsidRPr="00F056A2">
        <w:rPr>
          <w:rFonts w:asciiTheme="majorHAnsi" w:hAnsiTheme="majorHAnsi"/>
        </w:rPr>
        <w:t xml:space="preserve"> collected under this </w:t>
      </w:r>
      <w:r w:rsidR="0030171E" w:rsidRPr="00F056A2">
        <w:rPr>
          <w:rFonts w:asciiTheme="majorHAnsi" w:hAnsiTheme="majorHAnsi"/>
        </w:rPr>
        <w:t>g</w:t>
      </w:r>
      <w:r w:rsidR="00106B04" w:rsidRPr="00F056A2">
        <w:rPr>
          <w:rFonts w:asciiTheme="majorHAnsi" w:hAnsiTheme="majorHAnsi"/>
        </w:rPr>
        <w:t>eneric clearance</w:t>
      </w:r>
      <w:r w:rsidRPr="00F056A2">
        <w:rPr>
          <w:rFonts w:asciiTheme="majorHAnsi" w:hAnsiTheme="majorHAnsi"/>
        </w:rPr>
        <w:t xml:space="preserve"> will vary by </w:t>
      </w:r>
      <w:r w:rsidR="000848A4">
        <w:rPr>
          <w:rFonts w:asciiTheme="majorHAnsi" w:hAnsiTheme="majorHAnsi"/>
        </w:rPr>
        <w:t>submission</w:t>
      </w:r>
      <w:r w:rsidRPr="00F056A2">
        <w:rPr>
          <w:rFonts w:asciiTheme="majorHAnsi" w:hAnsiTheme="majorHAnsi"/>
        </w:rPr>
        <w:t>.</w:t>
      </w:r>
      <w:r w:rsidR="002A6595" w:rsidRPr="00F056A2">
        <w:rPr>
          <w:rFonts w:asciiTheme="majorHAnsi" w:hAnsiTheme="majorHAnsi"/>
        </w:rPr>
        <w:t xml:space="preserve"> </w:t>
      </w:r>
    </w:p>
    <w:p w:rsidR="00AC747C" w:rsidRDefault="00AC747C" w:rsidP="00106B04">
      <w:pPr>
        <w:spacing w:after="0" w:line="240" w:lineRule="auto"/>
        <w:rPr>
          <w:rFonts w:asciiTheme="majorHAnsi" w:hAnsiTheme="majorHAnsi"/>
        </w:rPr>
      </w:pPr>
    </w:p>
    <w:p w:rsidR="00786239" w:rsidRPr="00F056A2" w:rsidRDefault="00A916E2" w:rsidP="00106B04">
      <w:pPr>
        <w:spacing w:after="0" w:line="240" w:lineRule="auto"/>
        <w:rPr>
          <w:rFonts w:asciiTheme="majorHAnsi" w:hAnsiTheme="majorHAnsi"/>
        </w:rPr>
      </w:pPr>
      <w:r w:rsidRPr="00F056A2">
        <w:rPr>
          <w:rFonts w:asciiTheme="majorHAnsi" w:hAnsiTheme="majorHAnsi"/>
        </w:rPr>
        <w:t xml:space="preserve">In accordance with </w:t>
      </w:r>
      <w:r w:rsidR="00554283" w:rsidRPr="00F056A2">
        <w:rPr>
          <w:rFonts w:asciiTheme="majorHAnsi" w:hAnsiTheme="majorHAnsi"/>
        </w:rPr>
        <w:t>the Presidential Memorandum on Transparency and Open Government</w:t>
      </w:r>
      <w:r w:rsidR="00554283" w:rsidRPr="00F056A2">
        <w:rPr>
          <w:rStyle w:val="FootnoteReference"/>
          <w:rFonts w:asciiTheme="majorHAnsi" w:hAnsiTheme="majorHAnsi"/>
        </w:rPr>
        <w:footnoteReference w:id="9"/>
      </w:r>
      <w:r w:rsidR="00F056A2" w:rsidRPr="00F056A2">
        <w:rPr>
          <w:rFonts w:asciiTheme="majorHAnsi" w:hAnsiTheme="majorHAnsi"/>
        </w:rPr>
        <w:t>, information collected under this generic clearance will disclose information rapidly in forms that the public can readily find and use</w:t>
      </w:r>
      <w:r w:rsidR="004B1952">
        <w:rPr>
          <w:rFonts w:asciiTheme="majorHAnsi" w:hAnsiTheme="majorHAnsi"/>
        </w:rPr>
        <w:t xml:space="preserve"> and in compliance with </w:t>
      </w:r>
      <w:r w:rsidR="000848A4">
        <w:rPr>
          <w:rFonts w:asciiTheme="majorHAnsi" w:hAnsiTheme="majorHAnsi"/>
        </w:rPr>
        <w:t xml:space="preserve">the </w:t>
      </w:r>
      <w:r w:rsidR="004B1952">
        <w:rPr>
          <w:rFonts w:asciiTheme="majorHAnsi" w:hAnsiTheme="majorHAnsi"/>
        </w:rPr>
        <w:t>data policies outlined on Data.Gov</w:t>
      </w:r>
      <w:r w:rsidR="004B1952">
        <w:rPr>
          <w:rStyle w:val="FootnoteReference"/>
          <w:rFonts w:asciiTheme="majorHAnsi" w:hAnsiTheme="majorHAnsi"/>
        </w:rPr>
        <w:footnoteReference w:id="10"/>
      </w:r>
      <w:r w:rsidR="00AC747C">
        <w:rPr>
          <w:rFonts w:asciiTheme="majorHAnsi" w:hAnsiTheme="majorHAnsi"/>
        </w:rPr>
        <w:t xml:space="preserve">. </w:t>
      </w:r>
    </w:p>
    <w:p w:rsidR="00786239" w:rsidRPr="00F056A2" w:rsidRDefault="00786239" w:rsidP="00106B04">
      <w:pPr>
        <w:spacing w:after="0" w:line="240" w:lineRule="auto"/>
        <w:rPr>
          <w:rFonts w:asciiTheme="majorHAnsi" w:hAnsiTheme="majorHAnsi"/>
        </w:rPr>
      </w:pPr>
    </w:p>
    <w:p w:rsidR="00106B04" w:rsidRDefault="00ED385A" w:rsidP="00106B04">
      <w:pPr>
        <w:spacing w:after="0" w:line="240" w:lineRule="auto"/>
        <w:rPr>
          <w:rFonts w:asciiTheme="majorHAnsi" w:hAnsiTheme="majorHAnsi"/>
        </w:rPr>
      </w:pPr>
      <w:r w:rsidRPr="00F056A2">
        <w:rPr>
          <w:rFonts w:asciiTheme="majorHAnsi" w:hAnsiTheme="majorHAnsi"/>
        </w:rPr>
        <w:t xml:space="preserve">Each project submitted under this generic clearance will specify the </w:t>
      </w:r>
      <w:r w:rsidR="00CF5E98">
        <w:rPr>
          <w:rFonts w:asciiTheme="majorHAnsi" w:hAnsiTheme="majorHAnsi"/>
        </w:rPr>
        <w:t xml:space="preserve">tabulation, </w:t>
      </w:r>
      <w:r w:rsidRPr="00F056A2">
        <w:rPr>
          <w:rFonts w:asciiTheme="majorHAnsi" w:hAnsiTheme="majorHAnsi"/>
        </w:rPr>
        <w:t xml:space="preserve">timeline and analysis of </w:t>
      </w:r>
      <w:r w:rsidR="007514B8" w:rsidRPr="00F056A2">
        <w:rPr>
          <w:rFonts w:asciiTheme="majorHAnsi" w:hAnsiTheme="majorHAnsi"/>
        </w:rPr>
        <w:t xml:space="preserve">the </w:t>
      </w:r>
      <w:r w:rsidRPr="00F056A2">
        <w:rPr>
          <w:rFonts w:asciiTheme="majorHAnsi" w:hAnsiTheme="majorHAnsi"/>
        </w:rPr>
        <w:t>information</w:t>
      </w:r>
      <w:r w:rsidR="007514B8" w:rsidRPr="00F056A2">
        <w:rPr>
          <w:rFonts w:asciiTheme="majorHAnsi" w:hAnsiTheme="majorHAnsi"/>
        </w:rPr>
        <w:t xml:space="preserve"> collection</w:t>
      </w:r>
      <w:r w:rsidRPr="00F056A2">
        <w:rPr>
          <w:rFonts w:asciiTheme="majorHAnsi" w:hAnsiTheme="majorHAnsi"/>
        </w:rPr>
        <w:t xml:space="preserve">. </w:t>
      </w:r>
      <w:r w:rsidR="00496C2E" w:rsidRPr="00F056A2">
        <w:rPr>
          <w:rFonts w:asciiTheme="majorHAnsi" w:hAnsiTheme="majorHAnsi"/>
        </w:rPr>
        <w:t>T</w:t>
      </w:r>
      <w:r w:rsidR="000D6BCC" w:rsidRPr="00F056A2">
        <w:rPr>
          <w:rFonts w:asciiTheme="majorHAnsi" w:hAnsiTheme="majorHAnsi"/>
        </w:rPr>
        <w:t xml:space="preserve">he information collected is </w:t>
      </w:r>
      <w:r w:rsidR="00496C2E" w:rsidRPr="00F056A2">
        <w:rPr>
          <w:rFonts w:asciiTheme="majorHAnsi" w:hAnsiTheme="majorHAnsi"/>
        </w:rPr>
        <w:t xml:space="preserve">for Agency scientific purposes, </w:t>
      </w:r>
      <w:r w:rsidR="004C60B9" w:rsidRPr="00F056A2">
        <w:rPr>
          <w:rFonts w:asciiTheme="majorHAnsi" w:hAnsiTheme="majorHAnsi"/>
        </w:rPr>
        <w:t>thus a number of projects are likely to publish the results of analyzed data</w:t>
      </w:r>
      <w:r w:rsidR="00786239" w:rsidRPr="00F056A2">
        <w:rPr>
          <w:rFonts w:asciiTheme="majorHAnsi" w:hAnsiTheme="majorHAnsi"/>
        </w:rPr>
        <w:t>,</w:t>
      </w:r>
      <w:r w:rsidR="004C60B9" w:rsidRPr="00F056A2">
        <w:rPr>
          <w:rFonts w:asciiTheme="majorHAnsi" w:hAnsiTheme="majorHAnsi"/>
        </w:rPr>
        <w:t xml:space="preserve"> in peer-reviewed scientific </w:t>
      </w:r>
      <w:r w:rsidR="004C60B9" w:rsidRPr="000A5EDE">
        <w:rPr>
          <w:rFonts w:asciiTheme="majorHAnsi" w:hAnsiTheme="majorHAnsi"/>
        </w:rPr>
        <w:t>journals, white-papers</w:t>
      </w:r>
      <w:r w:rsidR="00280BFF" w:rsidRPr="000A5EDE">
        <w:rPr>
          <w:rFonts w:asciiTheme="majorHAnsi" w:hAnsiTheme="majorHAnsi"/>
        </w:rPr>
        <w:t xml:space="preserve">, </w:t>
      </w:r>
      <w:r w:rsidR="004C60B9" w:rsidRPr="000A5EDE">
        <w:rPr>
          <w:rFonts w:asciiTheme="majorHAnsi" w:hAnsiTheme="majorHAnsi"/>
        </w:rPr>
        <w:t>Agency reports</w:t>
      </w:r>
      <w:r w:rsidR="006F600D" w:rsidRPr="000A5EDE">
        <w:rPr>
          <w:rFonts w:asciiTheme="majorHAnsi" w:hAnsiTheme="majorHAnsi"/>
        </w:rPr>
        <w:t xml:space="preserve">, </w:t>
      </w:r>
      <w:r w:rsidR="00280BFF" w:rsidRPr="000A5EDE">
        <w:rPr>
          <w:rFonts w:asciiTheme="majorHAnsi" w:hAnsiTheme="majorHAnsi"/>
        </w:rPr>
        <w:t xml:space="preserve">or Agency strategic research plans, </w:t>
      </w:r>
      <w:r w:rsidR="006F600D" w:rsidRPr="000A5EDE">
        <w:rPr>
          <w:rFonts w:asciiTheme="majorHAnsi" w:hAnsiTheme="majorHAnsi"/>
        </w:rPr>
        <w:t>which will be available for</w:t>
      </w:r>
      <w:r w:rsidR="006F600D">
        <w:rPr>
          <w:rFonts w:asciiTheme="majorHAnsi" w:hAnsiTheme="majorHAnsi"/>
        </w:rPr>
        <w:t xml:space="preserve"> public consumption</w:t>
      </w:r>
      <w:r w:rsidR="004C60B9" w:rsidRPr="00F056A2">
        <w:rPr>
          <w:rFonts w:asciiTheme="majorHAnsi" w:hAnsiTheme="majorHAnsi"/>
        </w:rPr>
        <w:t xml:space="preserve">. </w:t>
      </w:r>
      <w:r w:rsidR="000D6BCC" w:rsidRPr="00F056A2">
        <w:rPr>
          <w:rFonts w:asciiTheme="majorHAnsi" w:hAnsiTheme="majorHAnsi"/>
        </w:rPr>
        <w:t xml:space="preserve"> </w:t>
      </w:r>
      <w:r w:rsidR="00215165" w:rsidRPr="00F056A2">
        <w:rPr>
          <w:rFonts w:asciiTheme="majorHAnsi" w:hAnsiTheme="majorHAnsi"/>
        </w:rPr>
        <w:t xml:space="preserve"> </w:t>
      </w:r>
      <w:r w:rsidR="00106B04" w:rsidRPr="00F056A2">
        <w:rPr>
          <w:rFonts w:asciiTheme="majorHAnsi" w:hAnsiTheme="majorHAnsi"/>
        </w:rPr>
        <w:t xml:space="preserve">  </w:t>
      </w:r>
    </w:p>
    <w:p w:rsidR="009320E1" w:rsidRPr="00F056A2" w:rsidRDefault="009320E1" w:rsidP="00106B04">
      <w:pPr>
        <w:spacing w:after="0" w:line="240" w:lineRule="auto"/>
        <w:rPr>
          <w:rFonts w:asciiTheme="majorHAnsi" w:hAnsiTheme="majorHAnsi"/>
        </w:rPr>
      </w:pPr>
    </w:p>
    <w:p w:rsidR="00422033" w:rsidRDefault="00422033" w:rsidP="00256D42">
      <w:pPr>
        <w:rPr>
          <w:rFonts w:asciiTheme="majorHAnsi" w:hAnsiTheme="majorHAnsi"/>
          <w:b/>
        </w:rPr>
      </w:pPr>
      <w:r>
        <w:rPr>
          <w:rFonts w:asciiTheme="majorHAnsi" w:hAnsiTheme="majorHAnsi"/>
          <w:b/>
        </w:rPr>
        <w:t>17.</w:t>
      </w:r>
      <w:r>
        <w:rPr>
          <w:rFonts w:asciiTheme="majorHAnsi" w:hAnsiTheme="majorHAnsi"/>
          <w:b/>
        </w:rPr>
        <w:tab/>
        <w:t>Display of OMB Approval Date</w:t>
      </w:r>
    </w:p>
    <w:p w:rsidR="00E855B4" w:rsidRPr="00F056A2" w:rsidRDefault="00E855B4" w:rsidP="00256D42">
      <w:pPr>
        <w:rPr>
          <w:rFonts w:asciiTheme="majorHAnsi" w:hAnsiTheme="majorHAnsi"/>
        </w:rPr>
      </w:pPr>
      <w:r w:rsidRPr="00F056A2">
        <w:rPr>
          <w:rFonts w:asciiTheme="majorHAnsi" w:hAnsiTheme="majorHAnsi"/>
        </w:rPr>
        <w:t>Not applicable for this request.</w:t>
      </w:r>
    </w:p>
    <w:p w:rsidR="00422033" w:rsidRDefault="00422033" w:rsidP="00256D42">
      <w:pPr>
        <w:rPr>
          <w:rFonts w:asciiTheme="majorHAnsi" w:hAnsiTheme="majorHAnsi"/>
          <w:b/>
        </w:rPr>
      </w:pPr>
      <w:r>
        <w:rPr>
          <w:rFonts w:asciiTheme="majorHAnsi" w:hAnsiTheme="majorHAnsi"/>
          <w:b/>
        </w:rPr>
        <w:t xml:space="preserve">18. </w:t>
      </w:r>
      <w:r>
        <w:rPr>
          <w:rFonts w:asciiTheme="majorHAnsi" w:hAnsiTheme="majorHAnsi"/>
          <w:b/>
        </w:rPr>
        <w:tab/>
        <w:t>Exceptions to Certification for Paperwork Reduction Act Submissions</w:t>
      </w:r>
    </w:p>
    <w:p w:rsidR="00E855B4" w:rsidRPr="009320E1" w:rsidRDefault="00E855B4" w:rsidP="00E855B4">
      <w:pPr>
        <w:spacing w:after="0" w:line="240" w:lineRule="auto"/>
        <w:rPr>
          <w:rFonts w:asciiTheme="majorHAnsi" w:hAnsiTheme="majorHAnsi"/>
        </w:rPr>
      </w:pPr>
      <w:r w:rsidRPr="009320E1">
        <w:rPr>
          <w:rFonts w:asciiTheme="majorHAnsi" w:hAnsiTheme="majorHAnsi"/>
        </w:rPr>
        <w:t>These activities comply with the requirements in 5 CFR 1320.9.</w:t>
      </w:r>
    </w:p>
    <w:p w:rsidR="00983608" w:rsidRDefault="00983608" w:rsidP="00256D42">
      <w:pPr>
        <w:rPr>
          <w:rFonts w:asciiTheme="majorHAnsi" w:hAnsiTheme="majorHAnsi"/>
          <w:b/>
        </w:rPr>
      </w:pPr>
    </w:p>
    <w:p w:rsidR="00422033" w:rsidRDefault="00422033" w:rsidP="00422033">
      <w:pPr>
        <w:pStyle w:val="BodyTextIndent3"/>
        <w:tabs>
          <w:tab w:val="clear" w:pos="360"/>
        </w:tabs>
        <w:ind w:left="0"/>
        <w:rPr>
          <w:b/>
        </w:rPr>
      </w:pPr>
      <w:r>
        <w:rPr>
          <w:b/>
        </w:rPr>
        <w:t>B.</w:t>
      </w:r>
      <w:r>
        <w:rPr>
          <w:b/>
        </w:rPr>
        <w:tab/>
        <w:t>STATISTICAL METHODS</w:t>
      </w:r>
    </w:p>
    <w:p w:rsidR="00AC5D75" w:rsidRPr="00256D42" w:rsidRDefault="00AC5D75" w:rsidP="00AC5D75">
      <w:pPr>
        <w:spacing w:after="0" w:line="240" w:lineRule="auto"/>
        <w:rPr>
          <w:rFonts w:asciiTheme="majorHAnsi" w:hAnsiTheme="majorHAnsi"/>
          <w:b/>
        </w:rPr>
      </w:pPr>
      <w:r w:rsidRPr="00256D42">
        <w:rPr>
          <w:rFonts w:asciiTheme="majorHAnsi" w:hAnsiTheme="majorHAnsi"/>
        </w:rPr>
        <w:t xml:space="preserve">Data collection methods and procedures will vary; however, the primary purpose of these collections will be </w:t>
      </w:r>
      <w:r w:rsidR="00B01BAF" w:rsidRPr="00256D42">
        <w:rPr>
          <w:rFonts w:asciiTheme="majorHAnsi" w:hAnsiTheme="majorHAnsi"/>
        </w:rPr>
        <w:t>for</w:t>
      </w:r>
      <w:r w:rsidR="00EC2B20">
        <w:rPr>
          <w:rFonts w:asciiTheme="majorHAnsi" w:hAnsiTheme="majorHAnsi"/>
        </w:rPr>
        <w:t xml:space="preserve"> </w:t>
      </w:r>
      <w:r w:rsidR="00EC2B20" w:rsidRPr="00BF5579">
        <w:rPr>
          <w:rFonts w:asciiTheme="majorHAnsi" w:hAnsiTheme="majorHAnsi"/>
        </w:rPr>
        <w:t xml:space="preserve">qualitative and quantitative data </w:t>
      </w:r>
      <w:r w:rsidR="00EC2B20">
        <w:rPr>
          <w:rFonts w:asciiTheme="majorHAnsi" w:hAnsiTheme="majorHAnsi"/>
        </w:rPr>
        <w:t xml:space="preserve">collections </w:t>
      </w:r>
      <w:r w:rsidR="00EC2B20" w:rsidRPr="00BF5579">
        <w:rPr>
          <w:rFonts w:asciiTheme="majorHAnsi" w:hAnsiTheme="majorHAnsi"/>
        </w:rPr>
        <w:t>that might help</w:t>
      </w:r>
      <w:r w:rsidR="00EC2B20">
        <w:rPr>
          <w:rFonts w:asciiTheme="majorHAnsi" w:hAnsiTheme="majorHAnsi"/>
        </w:rPr>
        <w:t xml:space="preserve"> i</w:t>
      </w:r>
      <w:r w:rsidR="00EC2B20" w:rsidRPr="00BF5579">
        <w:rPr>
          <w:rFonts w:asciiTheme="majorHAnsi" w:hAnsiTheme="majorHAnsi"/>
        </w:rPr>
        <w:t xml:space="preserve">nform scientific research, assessments, or environmental </w:t>
      </w:r>
      <w:r w:rsidR="00EC2B20">
        <w:rPr>
          <w:rFonts w:asciiTheme="majorHAnsi" w:hAnsiTheme="majorHAnsi"/>
        </w:rPr>
        <w:t>screening; v</w:t>
      </w:r>
      <w:r w:rsidR="00EC2B20" w:rsidRPr="00BF5579">
        <w:rPr>
          <w:rFonts w:asciiTheme="majorHAnsi" w:hAnsiTheme="majorHAnsi"/>
        </w:rPr>
        <w:t>alidate environmental models or tools, or</w:t>
      </w:r>
      <w:r w:rsidR="00EC2B20">
        <w:rPr>
          <w:rFonts w:asciiTheme="majorHAnsi" w:hAnsiTheme="majorHAnsi"/>
        </w:rPr>
        <w:t>; e</w:t>
      </w:r>
      <w:r w:rsidR="00EC2B20" w:rsidRPr="00BF5579">
        <w:rPr>
          <w:rFonts w:asciiTheme="majorHAnsi" w:hAnsiTheme="majorHAnsi"/>
        </w:rPr>
        <w:t>nhance the quantity and quality of data collected across the country’s diverse communities and ecosystems</w:t>
      </w:r>
      <w:r w:rsidR="00EC2B20">
        <w:rPr>
          <w:rFonts w:asciiTheme="majorHAnsi" w:hAnsiTheme="majorHAnsi"/>
        </w:rPr>
        <w:t xml:space="preserve"> to support the Agency’s mission.</w:t>
      </w:r>
      <w:r w:rsidRPr="00256D42">
        <w:rPr>
          <w:rFonts w:asciiTheme="majorHAnsi" w:hAnsiTheme="majorHAnsi"/>
        </w:rPr>
        <w:t xml:space="preserve"> </w:t>
      </w:r>
    </w:p>
    <w:p w:rsidR="00AC5D75" w:rsidRDefault="00AC5D75" w:rsidP="00AC5D75">
      <w:pPr>
        <w:spacing w:after="0" w:line="240" w:lineRule="auto"/>
        <w:rPr>
          <w:b/>
        </w:rPr>
      </w:pPr>
    </w:p>
    <w:p w:rsidR="006E0B83" w:rsidRDefault="00AC5D75" w:rsidP="006E0B83">
      <w:pPr>
        <w:pStyle w:val="ListParagraph"/>
        <w:numPr>
          <w:ilvl w:val="0"/>
          <w:numId w:val="14"/>
        </w:numPr>
        <w:spacing w:after="0" w:line="240" w:lineRule="auto"/>
        <w:rPr>
          <w:b/>
        </w:rPr>
      </w:pPr>
      <w:r>
        <w:rPr>
          <w:b/>
        </w:rPr>
        <w:t>Universe and Respondent Selection</w:t>
      </w:r>
    </w:p>
    <w:p w:rsidR="006E0B83" w:rsidRDefault="006E0B83" w:rsidP="00D90CFA">
      <w:pPr>
        <w:pStyle w:val="ListParagraph"/>
        <w:spacing w:after="0" w:line="240" w:lineRule="auto"/>
        <w:ind w:left="360"/>
        <w:rPr>
          <w:b/>
        </w:rPr>
      </w:pPr>
    </w:p>
    <w:p w:rsidR="006B6BC5" w:rsidRDefault="006E0B83" w:rsidP="00D90CFA">
      <w:pPr>
        <w:pStyle w:val="ListParagraph"/>
        <w:spacing w:after="0" w:line="240" w:lineRule="auto"/>
        <w:ind w:left="360"/>
        <w:rPr>
          <w:rFonts w:asciiTheme="majorHAnsi" w:hAnsiTheme="majorHAnsi"/>
        </w:rPr>
      </w:pPr>
      <w:r w:rsidRPr="00D90CFA">
        <w:rPr>
          <w:rFonts w:asciiTheme="majorHAnsi" w:hAnsiTheme="majorHAnsi"/>
        </w:rPr>
        <w:t xml:space="preserve">Statistical methods </w:t>
      </w:r>
      <w:r w:rsidR="00182AE2">
        <w:rPr>
          <w:rFonts w:asciiTheme="majorHAnsi" w:hAnsiTheme="majorHAnsi"/>
        </w:rPr>
        <w:t>will</w:t>
      </w:r>
      <w:r w:rsidRPr="00D90CFA">
        <w:rPr>
          <w:rFonts w:asciiTheme="majorHAnsi" w:hAnsiTheme="majorHAnsi"/>
        </w:rPr>
        <w:t xml:space="preserve"> not </w:t>
      </w:r>
      <w:r w:rsidR="00182AE2">
        <w:rPr>
          <w:rFonts w:asciiTheme="majorHAnsi" w:hAnsiTheme="majorHAnsi"/>
        </w:rPr>
        <w:t xml:space="preserve">be </w:t>
      </w:r>
      <w:r w:rsidRPr="00D90CFA">
        <w:rPr>
          <w:rFonts w:asciiTheme="majorHAnsi" w:hAnsiTheme="majorHAnsi"/>
        </w:rPr>
        <w:t xml:space="preserve">used in the selection of respondents. </w:t>
      </w:r>
      <w:r w:rsidR="00452BC7">
        <w:rPr>
          <w:rFonts w:asciiTheme="majorHAnsi" w:hAnsiTheme="majorHAnsi"/>
        </w:rPr>
        <w:t xml:space="preserve">Participants in citizen science and crowdsourcing projects are </w:t>
      </w:r>
      <w:r w:rsidRPr="00D90CFA">
        <w:rPr>
          <w:rFonts w:asciiTheme="majorHAnsi" w:hAnsiTheme="majorHAnsi"/>
        </w:rPr>
        <w:t>self-selected</w:t>
      </w:r>
      <w:r w:rsidR="00452BC7">
        <w:rPr>
          <w:rFonts w:asciiTheme="majorHAnsi" w:hAnsiTheme="majorHAnsi"/>
        </w:rPr>
        <w:t xml:space="preserve">. </w:t>
      </w:r>
      <w:r w:rsidR="00452BC7" w:rsidRPr="00FD4E05">
        <w:rPr>
          <w:rFonts w:asciiTheme="majorHAnsi" w:hAnsiTheme="majorHAnsi"/>
        </w:rPr>
        <w:t>The</w:t>
      </w:r>
      <w:r w:rsidR="00452BC7">
        <w:rPr>
          <w:rFonts w:asciiTheme="majorHAnsi" w:hAnsiTheme="majorHAnsi"/>
        </w:rPr>
        <w:t xml:space="preserve"> </w:t>
      </w:r>
      <w:r w:rsidR="00452BC7" w:rsidRPr="00FD4E05">
        <w:rPr>
          <w:rFonts w:asciiTheme="majorHAnsi" w:hAnsiTheme="majorHAnsi"/>
        </w:rPr>
        <w:t>method for soliciting participation will be described ful</w:t>
      </w:r>
      <w:r w:rsidR="00452BC7">
        <w:rPr>
          <w:rFonts w:asciiTheme="majorHAnsi" w:hAnsiTheme="majorHAnsi"/>
        </w:rPr>
        <w:t xml:space="preserve">ly in each collection request, but participation may be advertised through </w:t>
      </w:r>
      <w:r w:rsidRPr="00D90CFA">
        <w:rPr>
          <w:rFonts w:asciiTheme="majorHAnsi" w:hAnsiTheme="majorHAnsi"/>
        </w:rPr>
        <w:t xml:space="preserve">targeted </w:t>
      </w:r>
      <w:r w:rsidR="00600571" w:rsidRPr="00D90CFA">
        <w:rPr>
          <w:rFonts w:asciiTheme="majorHAnsi" w:hAnsiTheme="majorHAnsi"/>
        </w:rPr>
        <w:t xml:space="preserve">outreach and engagement methods like </w:t>
      </w:r>
      <w:r w:rsidR="003D08A0">
        <w:rPr>
          <w:rFonts w:asciiTheme="majorHAnsi" w:hAnsiTheme="majorHAnsi"/>
        </w:rPr>
        <w:t xml:space="preserve">standard and social </w:t>
      </w:r>
      <w:r w:rsidRPr="00D90CFA">
        <w:rPr>
          <w:rFonts w:asciiTheme="majorHAnsi" w:hAnsiTheme="majorHAnsi"/>
        </w:rPr>
        <w:t>media outlets, collaborations with on-the-ground partners, public talks</w:t>
      </w:r>
      <w:r w:rsidR="007C3346">
        <w:rPr>
          <w:rFonts w:asciiTheme="majorHAnsi" w:hAnsiTheme="majorHAnsi"/>
        </w:rPr>
        <w:t>,</w:t>
      </w:r>
      <w:r w:rsidRPr="00D90CFA">
        <w:rPr>
          <w:rFonts w:asciiTheme="majorHAnsi" w:hAnsiTheme="majorHAnsi"/>
        </w:rPr>
        <w:t xml:space="preserve"> and word-of-mouth.</w:t>
      </w:r>
      <w:r w:rsidR="00F23D98" w:rsidRPr="00D90CFA">
        <w:rPr>
          <w:rFonts w:asciiTheme="majorHAnsi" w:hAnsiTheme="majorHAnsi"/>
        </w:rPr>
        <w:t xml:space="preserve"> </w:t>
      </w:r>
    </w:p>
    <w:p w:rsidR="006B6BC5" w:rsidRDefault="006B6BC5" w:rsidP="00D90CFA">
      <w:pPr>
        <w:pStyle w:val="ListParagraph"/>
        <w:spacing w:after="0" w:line="240" w:lineRule="auto"/>
        <w:ind w:left="360"/>
        <w:rPr>
          <w:rFonts w:asciiTheme="majorHAnsi" w:hAnsiTheme="majorHAnsi"/>
        </w:rPr>
      </w:pPr>
    </w:p>
    <w:p w:rsidR="00FD4E05" w:rsidRPr="00D90CFA" w:rsidRDefault="00F23D98" w:rsidP="00D90CFA">
      <w:pPr>
        <w:pStyle w:val="ListParagraph"/>
        <w:spacing w:after="0" w:line="240" w:lineRule="auto"/>
        <w:ind w:left="360"/>
        <w:rPr>
          <w:b/>
        </w:rPr>
      </w:pPr>
      <w:r w:rsidRPr="00D90CFA">
        <w:rPr>
          <w:rFonts w:asciiTheme="majorHAnsi" w:hAnsiTheme="majorHAnsi"/>
        </w:rPr>
        <w:t>The number of participants will vary by project submitted under this generic clearance.</w:t>
      </w:r>
      <w:r w:rsidR="006B6BC5" w:rsidRPr="00D90CFA">
        <w:rPr>
          <w:rFonts w:asciiTheme="majorHAnsi" w:hAnsiTheme="majorHAnsi"/>
        </w:rPr>
        <w:t xml:space="preserve"> </w:t>
      </w:r>
      <w:r w:rsidR="00DF5AAE" w:rsidRPr="00D90CFA">
        <w:rPr>
          <w:rFonts w:asciiTheme="majorHAnsi" w:hAnsiTheme="majorHAnsi"/>
        </w:rPr>
        <w:t>The variation in participation</w:t>
      </w:r>
      <w:r w:rsidR="00303F69" w:rsidRPr="00D90CFA">
        <w:rPr>
          <w:rFonts w:asciiTheme="majorHAnsi" w:hAnsiTheme="majorHAnsi"/>
        </w:rPr>
        <w:t xml:space="preserve"> is </w:t>
      </w:r>
      <w:r w:rsidR="00635D46" w:rsidRPr="00D90CFA">
        <w:rPr>
          <w:rFonts w:asciiTheme="majorHAnsi" w:hAnsiTheme="majorHAnsi"/>
        </w:rPr>
        <w:t xml:space="preserve">likely due to </w:t>
      </w:r>
      <w:r w:rsidR="00DF5AAE" w:rsidRPr="00D90CFA">
        <w:rPr>
          <w:rFonts w:asciiTheme="majorHAnsi" w:hAnsiTheme="majorHAnsi"/>
        </w:rPr>
        <w:t>multiple factors like personal interests, accessibility, perceived burden,</w:t>
      </w:r>
      <w:r w:rsidR="006679C8" w:rsidRPr="00D90CFA">
        <w:rPr>
          <w:rFonts w:asciiTheme="majorHAnsi" w:hAnsiTheme="majorHAnsi"/>
        </w:rPr>
        <w:t xml:space="preserve"> </w:t>
      </w:r>
      <w:r w:rsidR="00DF5AAE" w:rsidRPr="00D90CFA">
        <w:rPr>
          <w:rFonts w:asciiTheme="majorHAnsi" w:hAnsiTheme="majorHAnsi"/>
        </w:rPr>
        <w:t>outreach by the Agency</w:t>
      </w:r>
      <w:r w:rsidR="006679C8" w:rsidRPr="00D90CFA">
        <w:rPr>
          <w:rFonts w:asciiTheme="majorHAnsi" w:hAnsiTheme="majorHAnsi"/>
        </w:rPr>
        <w:t>, and success over time</w:t>
      </w:r>
      <w:r w:rsidR="00DF5AAE" w:rsidRPr="00D90CFA">
        <w:rPr>
          <w:rFonts w:asciiTheme="majorHAnsi" w:hAnsiTheme="majorHAnsi"/>
        </w:rPr>
        <w:t xml:space="preserve">. </w:t>
      </w:r>
      <w:r w:rsidR="006679C8" w:rsidRPr="00D90CFA">
        <w:rPr>
          <w:rFonts w:asciiTheme="majorHAnsi" w:hAnsiTheme="majorHAnsi"/>
        </w:rPr>
        <w:t xml:space="preserve">For example, </w:t>
      </w:r>
      <w:r w:rsidR="001B63DA" w:rsidRPr="00D90CFA">
        <w:rPr>
          <w:rFonts w:asciiTheme="majorHAnsi" w:hAnsiTheme="majorHAnsi"/>
        </w:rPr>
        <w:t xml:space="preserve">the citizen science program </w:t>
      </w:r>
      <w:r w:rsidR="00423AFC" w:rsidRPr="00D90CFA">
        <w:rPr>
          <w:rFonts w:asciiTheme="majorHAnsi" w:hAnsiTheme="majorHAnsi"/>
        </w:rPr>
        <w:t xml:space="preserve">Nature’s Notebook (USGS, OMB Control Number 1028-NEW) </w:t>
      </w:r>
      <w:r w:rsidR="006679C8" w:rsidRPr="00D90CFA">
        <w:rPr>
          <w:rFonts w:asciiTheme="majorHAnsi" w:hAnsiTheme="majorHAnsi"/>
        </w:rPr>
        <w:t xml:space="preserve">reported </w:t>
      </w:r>
      <w:r w:rsidR="001B63DA" w:rsidRPr="00D90CFA">
        <w:rPr>
          <w:rFonts w:asciiTheme="majorHAnsi" w:hAnsiTheme="majorHAnsi"/>
        </w:rPr>
        <w:t xml:space="preserve">that </w:t>
      </w:r>
      <w:r w:rsidR="006679C8" w:rsidRPr="00D90CFA">
        <w:rPr>
          <w:rFonts w:asciiTheme="majorHAnsi" w:hAnsiTheme="majorHAnsi"/>
        </w:rPr>
        <w:t xml:space="preserve">participation </w:t>
      </w:r>
      <w:r w:rsidR="001B63DA" w:rsidRPr="00D90CFA">
        <w:rPr>
          <w:rFonts w:asciiTheme="majorHAnsi" w:hAnsiTheme="majorHAnsi"/>
        </w:rPr>
        <w:t>increased from 40 registered observers in 2008 to 530 registered observers in 2011.</w:t>
      </w:r>
    </w:p>
    <w:p w:rsidR="00FD4E05" w:rsidRDefault="00FD4E05" w:rsidP="00D90CFA">
      <w:pPr>
        <w:pStyle w:val="ListParagraph"/>
        <w:spacing w:after="0" w:line="240" w:lineRule="auto"/>
        <w:ind w:left="360"/>
        <w:rPr>
          <w:rFonts w:asciiTheme="majorHAnsi" w:hAnsiTheme="majorHAnsi"/>
        </w:rPr>
      </w:pPr>
    </w:p>
    <w:p w:rsidR="006E0B83" w:rsidRPr="00D90CFA" w:rsidRDefault="00FD4E05" w:rsidP="00D90CFA">
      <w:pPr>
        <w:pStyle w:val="ListParagraph"/>
        <w:spacing w:after="0" w:line="240" w:lineRule="auto"/>
        <w:ind w:left="360"/>
        <w:rPr>
          <w:b/>
        </w:rPr>
      </w:pPr>
      <w:r w:rsidRPr="00FD4E05">
        <w:rPr>
          <w:rFonts w:asciiTheme="majorHAnsi" w:hAnsiTheme="majorHAnsi"/>
        </w:rPr>
        <w:t xml:space="preserve">Results will not be used to </w:t>
      </w:r>
      <w:r>
        <w:rPr>
          <w:rFonts w:asciiTheme="majorHAnsi" w:hAnsiTheme="majorHAnsi"/>
        </w:rPr>
        <w:t xml:space="preserve">directly inform Agency regulations or policies. </w:t>
      </w:r>
      <w:r w:rsidR="00E63B12">
        <w:rPr>
          <w:rFonts w:asciiTheme="majorHAnsi" w:hAnsiTheme="majorHAnsi"/>
        </w:rPr>
        <w:t>Data also will not be</w:t>
      </w:r>
      <w:r>
        <w:rPr>
          <w:rFonts w:asciiTheme="majorHAnsi" w:hAnsiTheme="majorHAnsi"/>
        </w:rPr>
        <w:t xml:space="preserve"> g</w:t>
      </w:r>
      <w:r w:rsidRPr="00FD4E05">
        <w:rPr>
          <w:rFonts w:asciiTheme="majorHAnsi" w:hAnsiTheme="majorHAnsi"/>
        </w:rPr>
        <w:t>eneralize</w:t>
      </w:r>
      <w:r w:rsidR="00E63B12">
        <w:rPr>
          <w:rFonts w:asciiTheme="majorHAnsi" w:hAnsiTheme="majorHAnsi"/>
        </w:rPr>
        <w:t xml:space="preserve">d </w:t>
      </w:r>
      <w:r w:rsidRPr="00FD4E05">
        <w:rPr>
          <w:rFonts w:asciiTheme="majorHAnsi" w:hAnsiTheme="majorHAnsi"/>
        </w:rPr>
        <w:t xml:space="preserve">beyond the scope of the </w:t>
      </w:r>
      <w:r w:rsidR="00EE003A">
        <w:rPr>
          <w:rFonts w:asciiTheme="majorHAnsi" w:hAnsiTheme="majorHAnsi"/>
        </w:rPr>
        <w:t>sample</w:t>
      </w:r>
      <w:r w:rsidRPr="00FD4E05">
        <w:rPr>
          <w:rFonts w:asciiTheme="majorHAnsi" w:hAnsiTheme="majorHAnsi"/>
        </w:rPr>
        <w:t>.</w:t>
      </w:r>
      <w:r w:rsidR="00DD5866">
        <w:rPr>
          <w:rFonts w:asciiTheme="majorHAnsi" w:hAnsiTheme="majorHAnsi"/>
        </w:rPr>
        <w:t xml:space="preserve"> </w:t>
      </w:r>
    </w:p>
    <w:p w:rsidR="00445E6A" w:rsidRDefault="00445E6A" w:rsidP="00256D42">
      <w:pPr>
        <w:pStyle w:val="ListParagraph"/>
        <w:spacing w:after="0" w:line="240" w:lineRule="auto"/>
        <w:ind w:left="360"/>
        <w:rPr>
          <w:b/>
        </w:rPr>
      </w:pPr>
    </w:p>
    <w:p w:rsidR="00200457" w:rsidRDefault="00200457" w:rsidP="00200457">
      <w:pPr>
        <w:pStyle w:val="ListParagraph"/>
        <w:numPr>
          <w:ilvl w:val="0"/>
          <w:numId w:val="14"/>
        </w:numPr>
        <w:spacing w:after="0" w:line="240" w:lineRule="auto"/>
        <w:rPr>
          <w:b/>
        </w:rPr>
      </w:pPr>
      <w:r>
        <w:rPr>
          <w:b/>
        </w:rPr>
        <w:t>Procedures for Collecting Information</w:t>
      </w:r>
    </w:p>
    <w:p w:rsidR="00391994" w:rsidRDefault="00391994" w:rsidP="00D90CFA">
      <w:pPr>
        <w:pStyle w:val="ListParagraph"/>
        <w:spacing w:after="0" w:line="240" w:lineRule="auto"/>
        <w:ind w:left="360"/>
        <w:rPr>
          <w:b/>
        </w:rPr>
      </w:pPr>
    </w:p>
    <w:p w:rsidR="00873173" w:rsidRDefault="00391994" w:rsidP="00D90CFA">
      <w:pPr>
        <w:pStyle w:val="ListParagraph"/>
        <w:spacing w:after="0" w:line="240" w:lineRule="auto"/>
        <w:ind w:left="360"/>
        <w:rPr>
          <w:rFonts w:asciiTheme="majorHAnsi" w:hAnsiTheme="majorHAnsi"/>
        </w:rPr>
      </w:pPr>
      <w:r w:rsidRPr="00D90CFA">
        <w:rPr>
          <w:rFonts w:asciiTheme="majorHAnsi" w:hAnsiTheme="majorHAnsi"/>
        </w:rPr>
        <w:t xml:space="preserve">Data collection methods and procedures will vary and the specifics of these will be provided with each collection request. </w:t>
      </w:r>
      <w:r w:rsidR="00455CE6">
        <w:rPr>
          <w:rFonts w:asciiTheme="majorHAnsi" w:hAnsiTheme="majorHAnsi"/>
        </w:rPr>
        <w:t>Each request under this generic collection</w:t>
      </w:r>
      <w:r w:rsidR="00C97278">
        <w:rPr>
          <w:rFonts w:asciiTheme="majorHAnsi" w:hAnsiTheme="majorHAnsi"/>
        </w:rPr>
        <w:t xml:space="preserve"> will include details on the statistical methodology for stratification and sample selection (if applicable to the collection – this is not applicable to the selection of participants</w:t>
      </w:r>
      <w:r w:rsidR="00AE689B">
        <w:rPr>
          <w:rFonts w:asciiTheme="majorHAnsi" w:hAnsiTheme="majorHAnsi"/>
        </w:rPr>
        <w:t>)</w:t>
      </w:r>
      <w:r w:rsidR="00C97278">
        <w:rPr>
          <w:rFonts w:asciiTheme="majorHAnsi" w:hAnsiTheme="majorHAnsi"/>
        </w:rPr>
        <w:t>, estimation procedure, degree of accuracy needed for the research purpose described</w:t>
      </w:r>
      <w:r w:rsidR="001B063A">
        <w:rPr>
          <w:rFonts w:asciiTheme="majorHAnsi" w:hAnsiTheme="majorHAnsi"/>
        </w:rPr>
        <w:t xml:space="preserve"> in the justification, unusual problems requiring specialized sampling procedures, and any use of periodic data collection cycles (less frequent than annual) to reduce burden. </w:t>
      </w:r>
      <w:r w:rsidR="00C97278">
        <w:rPr>
          <w:rFonts w:asciiTheme="majorHAnsi" w:hAnsiTheme="majorHAnsi"/>
        </w:rPr>
        <w:t xml:space="preserve">  </w:t>
      </w:r>
      <w:r w:rsidR="00455CE6">
        <w:rPr>
          <w:rFonts w:asciiTheme="majorHAnsi" w:hAnsiTheme="majorHAnsi"/>
        </w:rPr>
        <w:t xml:space="preserve"> </w:t>
      </w:r>
    </w:p>
    <w:p w:rsidR="00445E6A" w:rsidRPr="00D90CFA" w:rsidRDefault="00445E6A" w:rsidP="00D90CFA">
      <w:pPr>
        <w:pStyle w:val="ListParagraph"/>
        <w:rPr>
          <w:rFonts w:asciiTheme="majorHAnsi" w:hAnsiTheme="majorHAnsi"/>
          <w:b/>
        </w:rPr>
      </w:pPr>
    </w:p>
    <w:p w:rsidR="00200457" w:rsidRDefault="00200457" w:rsidP="00200457">
      <w:pPr>
        <w:pStyle w:val="ListParagraph"/>
        <w:numPr>
          <w:ilvl w:val="0"/>
          <w:numId w:val="14"/>
        </w:numPr>
        <w:spacing w:after="0" w:line="240" w:lineRule="auto"/>
        <w:rPr>
          <w:b/>
        </w:rPr>
      </w:pPr>
      <w:r>
        <w:rPr>
          <w:b/>
        </w:rPr>
        <w:t>Methods to Maximize Response</w:t>
      </w:r>
    </w:p>
    <w:p w:rsidR="00445E6A" w:rsidRPr="00D90CFA" w:rsidRDefault="00445E6A" w:rsidP="00256D42">
      <w:pPr>
        <w:pStyle w:val="ListParagraph"/>
        <w:spacing w:after="0" w:line="240" w:lineRule="auto"/>
        <w:ind w:left="360"/>
        <w:rPr>
          <w:rFonts w:asciiTheme="majorHAnsi" w:hAnsiTheme="majorHAnsi"/>
          <w:b/>
        </w:rPr>
      </w:pPr>
    </w:p>
    <w:p w:rsidR="00594DE7" w:rsidRDefault="00871CBF" w:rsidP="00594DE7">
      <w:pPr>
        <w:pStyle w:val="ListParagraph"/>
        <w:spacing w:after="0" w:line="240" w:lineRule="auto"/>
        <w:ind w:left="360"/>
        <w:rPr>
          <w:rFonts w:asciiTheme="majorHAnsi" w:hAnsiTheme="majorHAnsi"/>
        </w:rPr>
      </w:pPr>
      <w:r>
        <w:rPr>
          <w:rFonts w:asciiTheme="majorHAnsi" w:hAnsiTheme="majorHAnsi"/>
        </w:rPr>
        <w:t>Participants will have complete control over their participation in citizen science or crowdsourcing projects. Participants will need to proactively seek out opportunities, respond to an email, or actively sign up for a project in order to participate. Outreach and advertising materials will provide information on how to participate but will not assume participation from anyone.</w:t>
      </w:r>
      <w:r w:rsidR="00594DE7">
        <w:rPr>
          <w:rFonts w:asciiTheme="majorHAnsi" w:hAnsiTheme="majorHAnsi"/>
        </w:rPr>
        <w:t xml:space="preserve"> </w:t>
      </w:r>
      <w:r w:rsidR="00594DE7" w:rsidRPr="00D90CFA">
        <w:rPr>
          <w:rFonts w:asciiTheme="majorHAnsi" w:hAnsiTheme="majorHAnsi"/>
        </w:rPr>
        <w:t xml:space="preserve">Several </w:t>
      </w:r>
      <w:r w:rsidR="00594DE7">
        <w:rPr>
          <w:rFonts w:asciiTheme="majorHAnsi" w:hAnsiTheme="majorHAnsi"/>
        </w:rPr>
        <w:t xml:space="preserve">existing citizen science and crowdsourcing projects employ </w:t>
      </w:r>
      <w:r w:rsidR="00594DE7" w:rsidRPr="00D90CFA">
        <w:rPr>
          <w:rFonts w:asciiTheme="majorHAnsi" w:hAnsiTheme="majorHAnsi"/>
        </w:rPr>
        <w:t xml:space="preserve">engagement tactics </w:t>
      </w:r>
      <w:r w:rsidR="00594DE7">
        <w:rPr>
          <w:rFonts w:asciiTheme="majorHAnsi" w:hAnsiTheme="majorHAnsi"/>
        </w:rPr>
        <w:t xml:space="preserve">to </w:t>
      </w:r>
      <w:r w:rsidR="00594DE7" w:rsidRPr="00D90CFA">
        <w:rPr>
          <w:rFonts w:asciiTheme="majorHAnsi" w:hAnsiTheme="majorHAnsi"/>
        </w:rPr>
        <w:t>support continued participation, and reduce non-response including newsletters with appreciation, motivation and results delivered to participants, and optional bi-weekly reminders to observe.</w:t>
      </w:r>
      <w:r w:rsidR="00594DE7">
        <w:rPr>
          <w:rFonts w:asciiTheme="majorHAnsi" w:hAnsiTheme="majorHAnsi"/>
        </w:rPr>
        <w:t xml:space="preserve"> The collection requests under this generic clearance may utilize some of these techniques while acknowledging that participants have full control over whether to participate or not. </w:t>
      </w:r>
    </w:p>
    <w:p w:rsidR="004D1F4C" w:rsidRDefault="004D1F4C" w:rsidP="00256D42">
      <w:pPr>
        <w:pStyle w:val="ListParagraph"/>
        <w:spacing w:after="0" w:line="240" w:lineRule="auto"/>
        <w:ind w:left="360"/>
        <w:rPr>
          <w:rStyle w:val="CommentReference"/>
          <w:rFonts w:eastAsiaTheme="minorHAnsi"/>
        </w:rPr>
      </w:pPr>
    </w:p>
    <w:p w:rsidR="00A211A3" w:rsidRDefault="00BF1C3D" w:rsidP="00256D42">
      <w:pPr>
        <w:pStyle w:val="ListParagraph"/>
        <w:spacing w:after="0" w:line="240" w:lineRule="auto"/>
        <w:ind w:left="360"/>
        <w:rPr>
          <w:rFonts w:asciiTheme="majorHAnsi" w:hAnsiTheme="majorHAnsi"/>
        </w:rPr>
      </w:pPr>
      <w:r>
        <w:rPr>
          <w:rFonts w:asciiTheme="majorHAnsi" w:hAnsiTheme="majorHAnsi"/>
        </w:rPr>
        <w:t xml:space="preserve">Each collection request </w:t>
      </w:r>
      <w:r w:rsidR="00104A30">
        <w:rPr>
          <w:rFonts w:asciiTheme="majorHAnsi" w:hAnsiTheme="majorHAnsi"/>
        </w:rPr>
        <w:t xml:space="preserve">under this generic clearance </w:t>
      </w:r>
      <w:r>
        <w:rPr>
          <w:rFonts w:asciiTheme="majorHAnsi" w:hAnsiTheme="majorHAnsi"/>
        </w:rPr>
        <w:t>will specify methods to track and increase</w:t>
      </w:r>
      <w:r w:rsidR="002C1B35">
        <w:rPr>
          <w:rFonts w:asciiTheme="majorHAnsi" w:hAnsiTheme="majorHAnsi"/>
        </w:rPr>
        <w:t xml:space="preserve"> </w:t>
      </w:r>
      <w:r w:rsidR="008413FE" w:rsidRPr="00D90CFA">
        <w:rPr>
          <w:rFonts w:asciiTheme="majorHAnsi" w:hAnsiTheme="majorHAnsi"/>
        </w:rPr>
        <w:t>response rates</w:t>
      </w:r>
      <w:r>
        <w:rPr>
          <w:rFonts w:asciiTheme="majorHAnsi" w:hAnsiTheme="majorHAnsi"/>
        </w:rPr>
        <w:t xml:space="preserve">. Some collection requests </w:t>
      </w:r>
      <w:r w:rsidR="009B561E">
        <w:rPr>
          <w:rFonts w:asciiTheme="majorHAnsi" w:hAnsiTheme="majorHAnsi"/>
        </w:rPr>
        <w:t>will</w:t>
      </w:r>
      <w:r>
        <w:rPr>
          <w:rFonts w:asciiTheme="majorHAnsi" w:hAnsiTheme="majorHAnsi"/>
        </w:rPr>
        <w:t xml:space="preserve"> provide opportunities for participants to submit negative data</w:t>
      </w:r>
      <w:r w:rsidR="002C1B35">
        <w:rPr>
          <w:rFonts w:asciiTheme="majorHAnsi" w:hAnsiTheme="majorHAnsi"/>
        </w:rPr>
        <w:t>, for example, information on</w:t>
      </w:r>
      <w:r w:rsidR="009B561E">
        <w:rPr>
          <w:rFonts w:asciiTheme="majorHAnsi" w:hAnsiTheme="majorHAnsi"/>
        </w:rPr>
        <w:t xml:space="preserve"> the time</w:t>
      </w:r>
      <w:r w:rsidR="00FA2A57">
        <w:rPr>
          <w:rFonts w:asciiTheme="majorHAnsi" w:hAnsiTheme="majorHAnsi"/>
        </w:rPr>
        <w:t xml:space="preserve"> and </w:t>
      </w:r>
      <w:r w:rsidR="009B561E">
        <w:rPr>
          <w:rFonts w:asciiTheme="majorHAnsi" w:hAnsiTheme="majorHAnsi"/>
        </w:rPr>
        <w:t>effort to attempt to obtain an observation</w:t>
      </w:r>
      <w:r w:rsidR="008459F7">
        <w:rPr>
          <w:rFonts w:asciiTheme="majorHAnsi" w:hAnsiTheme="majorHAnsi"/>
        </w:rPr>
        <w:t xml:space="preserve"> in the event of no observation. </w:t>
      </w:r>
    </w:p>
    <w:p w:rsidR="008413FE" w:rsidRPr="00D90CFA" w:rsidRDefault="008413FE" w:rsidP="00D90CFA">
      <w:pPr>
        <w:spacing w:after="0" w:line="240" w:lineRule="auto"/>
        <w:rPr>
          <w:rFonts w:asciiTheme="majorHAnsi" w:hAnsiTheme="majorHAnsi"/>
        </w:rPr>
      </w:pPr>
    </w:p>
    <w:p w:rsidR="00445E6A" w:rsidRDefault="00200457" w:rsidP="00FF63D7">
      <w:pPr>
        <w:pStyle w:val="ListParagraph"/>
        <w:numPr>
          <w:ilvl w:val="0"/>
          <w:numId w:val="14"/>
        </w:numPr>
        <w:spacing w:after="0" w:line="240" w:lineRule="auto"/>
        <w:rPr>
          <w:b/>
        </w:rPr>
      </w:pPr>
      <w:r>
        <w:rPr>
          <w:b/>
        </w:rPr>
        <w:t>Testing of Procedures</w:t>
      </w:r>
    </w:p>
    <w:p w:rsidR="000B4C1F" w:rsidRDefault="000B4C1F" w:rsidP="000B4C1F">
      <w:pPr>
        <w:pStyle w:val="ListParagraph"/>
        <w:spacing w:after="0" w:line="240" w:lineRule="auto"/>
        <w:ind w:left="360"/>
        <w:rPr>
          <w:b/>
        </w:rPr>
      </w:pPr>
    </w:p>
    <w:p w:rsidR="00D90CFA" w:rsidRPr="00D90CFA" w:rsidRDefault="00D90CFA" w:rsidP="00D90CFA">
      <w:pPr>
        <w:pStyle w:val="ListParagraph"/>
        <w:spacing w:after="0" w:line="240" w:lineRule="auto"/>
        <w:ind w:left="360"/>
        <w:rPr>
          <w:rFonts w:asciiTheme="majorHAnsi" w:hAnsiTheme="majorHAnsi"/>
        </w:rPr>
      </w:pPr>
      <w:r w:rsidRPr="00D90CFA">
        <w:rPr>
          <w:rFonts w:asciiTheme="majorHAnsi" w:hAnsiTheme="majorHAnsi"/>
        </w:rPr>
        <w:t>Pretesting may be done with internal staff</w:t>
      </w:r>
      <w:r w:rsidR="00390D0B">
        <w:rPr>
          <w:rFonts w:asciiTheme="majorHAnsi" w:hAnsiTheme="majorHAnsi"/>
        </w:rPr>
        <w:t xml:space="preserve"> or</w:t>
      </w:r>
      <w:r w:rsidRPr="00D90CFA">
        <w:rPr>
          <w:rFonts w:asciiTheme="majorHAnsi" w:hAnsiTheme="majorHAnsi"/>
        </w:rPr>
        <w:t xml:space="preserve"> a limited number of external colleagues</w:t>
      </w:r>
      <w:r w:rsidR="00AD325D">
        <w:rPr>
          <w:rFonts w:asciiTheme="majorHAnsi" w:hAnsiTheme="majorHAnsi"/>
        </w:rPr>
        <w:t xml:space="preserve"> (less than 10)</w:t>
      </w:r>
      <w:r w:rsidRPr="00D90CFA">
        <w:rPr>
          <w:rFonts w:asciiTheme="majorHAnsi" w:hAnsiTheme="majorHAnsi"/>
        </w:rPr>
        <w:t>.  If the number of pretest respondents exceeds nine members of the public, the Agency will submit the pretest instruments for review under this generic clearance.</w:t>
      </w:r>
    </w:p>
    <w:p w:rsidR="00445E6A" w:rsidRDefault="00445E6A" w:rsidP="00256D42">
      <w:pPr>
        <w:pStyle w:val="ListParagraph"/>
        <w:spacing w:after="0" w:line="240" w:lineRule="auto"/>
        <w:ind w:left="360"/>
        <w:rPr>
          <w:b/>
        </w:rPr>
      </w:pPr>
    </w:p>
    <w:p w:rsidR="00200457" w:rsidRDefault="00200457" w:rsidP="00200457">
      <w:pPr>
        <w:pStyle w:val="ListParagraph"/>
        <w:numPr>
          <w:ilvl w:val="0"/>
          <w:numId w:val="14"/>
        </w:numPr>
        <w:spacing w:after="0" w:line="240" w:lineRule="auto"/>
        <w:rPr>
          <w:b/>
        </w:rPr>
      </w:pPr>
      <w:r>
        <w:rPr>
          <w:b/>
        </w:rPr>
        <w:t>Contacts for Statistical Aspects and Data Collection</w:t>
      </w:r>
    </w:p>
    <w:p w:rsidR="00983608" w:rsidRPr="006C419B" w:rsidRDefault="00983608" w:rsidP="00256D42">
      <w:pPr>
        <w:rPr>
          <w:rFonts w:asciiTheme="majorHAnsi" w:hAnsiTheme="majorHAnsi"/>
          <w:b/>
        </w:rPr>
      </w:pPr>
    </w:p>
    <w:p w:rsidR="006C419B" w:rsidRPr="006C419B" w:rsidRDefault="000A3429" w:rsidP="006C419B">
      <w:pPr>
        <w:pStyle w:val="ListParagraph"/>
        <w:spacing w:after="0" w:line="240" w:lineRule="auto"/>
        <w:ind w:left="360"/>
        <w:rPr>
          <w:rFonts w:asciiTheme="majorHAnsi" w:hAnsiTheme="majorHAnsi"/>
        </w:rPr>
      </w:pPr>
      <w:r>
        <w:rPr>
          <w:rFonts w:asciiTheme="majorHAnsi" w:hAnsiTheme="majorHAnsi"/>
        </w:rPr>
        <w:t>P</w:t>
      </w:r>
      <w:r w:rsidR="00216FFC">
        <w:rPr>
          <w:rFonts w:asciiTheme="majorHAnsi" w:hAnsiTheme="majorHAnsi"/>
        </w:rPr>
        <w:t>roject</w:t>
      </w:r>
      <w:r w:rsidR="005C1DA2">
        <w:rPr>
          <w:rFonts w:asciiTheme="majorHAnsi" w:hAnsiTheme="majorHAnsi"/>
        </w:rPr>
        <w:t>s</w:t>
      </w:r>
      <w:r w:rsidR="00216FFC">
        <w:rPr>
          <w:rFonts w:asciiTheme="majorHAnsi" w:hAnsiTheme="majorHAnsi"/>
        </w:rPr>
        <w:t xml:space="preserve"> submitted under this generic </w:t>
      </w:r>
      <w:r w:rsidR="00CB2095">
        <w:rPr>
          <w:rFonts w:asciiTheme="majorHAnsi" w:hAnsiTheme="majorHAnsi"/>
        </w:rPr>
        <w:t xml:space="preserve">clearance </w:t>
      </w:r>
      <w:r w:rsidR="005C1DA2">
        <w:rPr>
          <w:rFonts w:asciiTheme="majorHAnsi" w:hAnsiTheme="majorHAnsi"/>
        </w:rPr>
        <w:t>can</w:t>
      </w:r>
      <w:r w:rsidR="005C1DA2" w:rsidRPr="006C419B">
        <w:rPr>
          <w:rFonts w:asciiTheme="majorHAnsi" w:hAnsiTheme="majorHAnsi"/>
        </w:rPr>
        <w:t xml:space="preserve"> </w:t>
      </w:r>
      <w:r w:rsidR="005C1DA2">
        <w:rPr>
          <w:rFonts w:asciiTheme="majorHAnsi" w:hAnsiTheme="majorHAnsi"/>
        </w:rPr>
        <w:t>co</w:t>
      </w:r>
      <w:r w:rsidR="00CF0CF3">
        <w:rPr>
          <w:rFonts w:asciiTheme="majorHAnsi" w:hAnsiTheme="majorHAnsi"/>
        </w:rPr>
        <w:t>nsult</w:t>
      </w:r>
      <w:r w:rsidR="005C1DA2">
        <w:rPr>
          <w:rFonts w:asciiTheme="majorHAnsi" w:hAnsiTheme="majorHAnsi"/>
        </w:rPr>
        <w:t xml:space="preserve"> with </w:t>
      </w:r>
      <w:r w:rsidR="006C419B" w:rsidRPr="006C419B">
        <w:rPr>
          <w:rFonts w:asciiTheme="majorHAnsi" w:hAnsiTheme="majorHAnsi"/>
        </w:rPr>
        <w:t xml:space="preserve">statisticians in the development, design, conduct, and analysis of </w:t>
      </w:r>
      <w:r w:rsidR="00F67AF6">
        <w:rPr>
          <w:rFonts w:asciiTheme="majorHAnsi" w:hAnsiTheme="majorHAnsi"/>
        </w:rPr>
        <w:t>the data</w:t>
      </w:r>
      <w:r w:rsidR="00731893">
        <w:rPr>
          <w:rFonts w:asciiTheme="majorHAnsi" w:hAnsiTheme="majorHAnsi"/>
        </w:rPr>
        <w:t xml:space="preserve"> collection</w:t>
      </w:r>
      <w:r w:rsidR="006C419B" w:rsidRPr="006C419B">
        <w:rPr>
          <w:rFonts w:asciiTheme="majorHAnsi" w:hAnsiTheme="majorHAnsi"/>
        </w:rPr>
        <w:t>.</w:t>
      </w:r>
      <w:r w:rsidR="00731893">
        <w:rPr>
          <w:rFonts w:asciiTheme="majorHAnsi" w:hAnsiTheme="majorHAnsi"/>
        </w:rPr>
        <w:t xml:space="preserve"> </w:t>
      </w:r>
      <w:r w:rsidR="00E535BD">
        <w:rPr>
          <w:rFonts w:asciiTheme="majorHAnsi" w:hAnsiTheme="majorHAnsi"/>
        </w:rPr>
        <w:t>S</w:t>
      </w:r>
      <w:r w:rsidR="006C419B" w:rsidRPr="006C419B">
        <w:rPr>
          <w:rFonts w:asciiTheme="majorHAnsi" w:hAnsiTheme="majorHAnsi"/>
        </w:rPr>
        <w:t xml:space="preserve">tatistical expertise </w:t>
      </w:r>
      <w:r w:rsidR="00E535BD">
        <w:rPr>
          <w:rFonts w:asciiTheme="majorHAnsi" w:hAnsiTheme="majorHAnsi"/>
        </w:rPr>
        <w:t>is</w:t>
      </w:r>
      <w:r w:rsidR="006C419B" w:rsidRPr="006C419B">
        <w:rPr>
          <w:rFonts w:asciiTheme="majorHAnsi" w:hAnsiTheme="majorHAnsi"/>
        </w:rPr>
        <w:t xml:space="preserve"> available from agency statisticians or</w:t>
      </w:r>
      <w:r w:rsidR="00E535BD">
        <w:rPr>
          <w:rFonts w:asciiTheme="majorHAnsi" w:hAnsiTheme="majorHAnsi"/>
        </w:rPr>
        <w:t xml:space="preserve"> </w:t>
      </w:r>
      <w:r w:rsidR="006C419B" w:rsidRPr="006C419B">
        <w:rPr>
          <w:rFonts w:asciiTheme="majorHAnsi" w:hAnsiTheme="majorHAnsi"/>
        </w:rPr>
        <w:t>contractors and the Agency will include the names and contact information of persons consulted in the specific information collection requests submitted under this generic clearance</w:t>
      </w:r>
      <w:r w:rsidR="00E535BD">
        <w:rPr>
          <w:rFonts w:asciiTheme="majorHAnsi" w:hAnsiTheme="majorHAnsi"/>
        </w:rPr>
        <w:t xml:space="preserve"> as needed</w:t>
      </w:r>
      <w:r w:rsidR="006C419B" w:rsidRPr="006C419B">
        <w:rPr>
          <w:rFonts w:asciiTheme="majorHAnsi" w:hAnsiTheme="majorHAnsi"/>
        </w:rPr>
        <w:t xml:space="preserve">.  </w:t>
      </w:r>
    </w:p>
    <w:p w:rsidR="006C419B" w:rsidRPr="000178A2" w:rsidRDefault="006C419B" w:rsidP="00256D42">
      <w:pPr>
        <w:rPr>
          <w:rFonts w:asciiTheme="majorHAnsi" w:hAnsiTheme="majorHAnsi"/>
        </w:rPr>
      </w:pPr>
    </w:p>
    <w:p w:rsidR="002427C5" w:rsidRDefault="002427C5" w:rsidP="002427C5">
      <w:pPr>
        <w:pStyle w:val="BodyTextIndent3"/>
        <w:tabs>
          <w:tab w:val="clear" w:pos="360"/>
        </w:tabs>
        <w:ind w:left="0"/>
        <w:rPr>
          <w:b/>
        </w:rPr>
      </w:pPr>
      <w:r>
        <w:rPr>
          <w:b/>
        </w:rPr>
        <w:t>C.</w:t>
      </w:r>
      <w:r>
        <w:rPr>
          <w:b/>
        </w:rPr>
        <w:tab/>
      </w:r>
      <w:r w:rsidRPr="002427C5">
        <w:rPr>
          <w:b/>
          <w:caps/>
        </w:rPr>
        <w:t>Appendix</w:t>
      </w:r>
    </w:p>
    <w:p w:rsidR="002427C5" w:rsidRDefault="002427C5" w:rsidP="002427C5">
      <w:pPr>
        <w:pStyle w:val="BodyTextIndent3"/>
        <w:tabs>
          <w:tab w:val="clear" w:pos="360"/>
        </w:tabs>
        <w:ind w:left="0"/>
        <w:rPr>
          <w:b/>
        </w:rPr>
      </w:pPr>
    </w:p>
    <w:p w:rsidR="00993BA0" w:rsidRDefault="00993BA0" w:rsidP="00993BA0">
      <w:pPr>
        <w:spacing w:after="0" w:line="240" w:lineRule="auto"/>
        <w:rPr>
          <w:rFonts w:asciiTheme="majorHAnsi" w:hAnsiTheme="majorHAnsi"/>
          <w:i/>
        </w:rPr>
      </w:pPr>
      <w:r>
        <w:rPr>
          <w:rFonts w:asciiTheme="majorHAnsi" w:hAnsiTheme="majorHAnsi"/>
          <w:i/>
        </w:rPr>
        <w:t>EPA Statutory Authorities</w:t>
      </w:r>
    </w:p>
    <w:p w:rsidR="00993BA0" w:rsidRDefault="00993BA0" w:rsidP="00993BA0">
      <w:pPr>
        <w:spacing w:after="0" w:line="240" w:lineRule="auto"/>
        <w:rPr>
          <w:rFonts w:asciiTheme="majorHAnsi" w:hAnsiTheme="majorHAnsi"/>
        </w:rPr>
      </w:pPr>
    </w:p>
    <w:p w:rsidR="00626995" w:rsidRDefault="00846B5A">
      <w:pPr>
        <w:pStyle w:val="ListParagraph"/>
        <w:numPr>
          <w:ilvl w:val="0"/>
          <w:numId w:val="15"/>
        </w:numPr>
        <w:spacing w:after="0" w:line="240" w:lineRule="auto"/>
        <w:rPr>
          <w:rFonts w:asciiTheme="majorHAnsi" w:hAnsiTheme="majorHAnsi"/>
        </w:rPr>
      </w:pPr>
      <w:r w:rsidRPr="00846B5A">
        <w:rPr>
          <w:rFonts w:asciiTheme="majorHAnsi" w:hAnsiTheme="majorHAnsi"/>
        </w:rPr>
        <w:t xml:space="preserve">Clean Air Act </w:t>
      </w:r>
      <w:r>
        <w:rPr>
          <w:rFonts w:asciiTheme="majorHAnsi" w:hAnsiTheme="majorHAnsi"/>
        </w:rPr>
        <w:t>§ 103, 42 U.S.C. § 7403</w:t>
      </w:r>
      <w:r w:rsidR="00E13822">
        <w:rPr>
          <w:rFonts w:asciiTheme="majorHAnsi" w:hAnsiTheme="majorHAnsi"/>
        </w:rPr>
        <w:t>, authorizes</w:t>
      </w:r>
      <w:r w:rsidR="00626995">
        <w:rPr>
          <w:rFonts w:asciiTheme="majorHAnsi" w:hAnsiTheme="majorHAnsi"/>
        </w:rPr>
        <w:t xml:space="preserve"> research into techniques for monitoring and controlling air pollution. </w:t>
      </w:r>
    </w:p>
    <w:p w:rsidR="008758C9" w:rsidRDefault="00F47EA2" w:rsidP="00775783">
      <w:pPr>
        <w:pStyle w:val="ListParagraph"/>
        <w:numPr>
          <w:ilvl w:val="0"/>
          <w:numId w:val="15"/>
        </w:numPr>
        <w:spacing w:after="0" w:line="240" w:lineRule="auto"/>
        <w:rPr>
          <w:rFonts w:asciiTheme="majorHAnsi" w:hAnsiTheme="majorHAnsi"/>
        </w:rPr>
      </w:pPr>
      <w:r>
        <w:rPr>
          <w:rFonts w:asciiTheme="majorHAnsi" w:hAnsiTheme="majorHAnsi"/>
        </w:rPr>
        <w:t xml:space="preserve">Clean Water Act § 104, 33 U.S.C. § 1254, </w:t>
      </w:r>
      <w:r w:rsidR="00775783" w:rsidRPr="00775783">
        <w:rPr>
          <w:rFonts w:asciiTheme="majorHAnsi" w:hAnsiTheme="majorHAnsi"/>
        </w:rPr>
        <w:t>authorize</w:t>
      </w:r>
      <w:r w:rsidR="00775783">
        <w:rPr>
          <w:rFonts w:asciiTheme="majorHAnsi" w:hAnsiTheme="majorHAnsi"/>
        </w:rPr>
        <w:t>s</w:t>
      </w:r>
      <w:r w:rsidR="00775783" w:rsidRPr="00775783">
        <w:rPr>
          <w:rFonts w:asciiTheme="majorHAnsi" w:hAnsiTheme="majorHAnsi"/>
        </w:rPr>
        <w:t xml:space="preserve"> EPA to encourage, cooperate with and render technical services to individuals, including the general public,</w:t>
      </w:r>
      <w:r w:rsidR="00775783">
        <w:rPr>
          <w:rFonts w:asciiTheme="majorHAnsi" w:hAnsiTheme="majorHAnsi"/>
        </w:rPr>
        <w:t xml:space="preserve"> </w:t>
      </w:r>
      <w:r w:rsidR="00775783" w:rsidRPr="00775783">
        <w:rPr>
          <w:rFonts w:asciiTheme="majorHAnsi" w:hAnsiTheme="majorHAnsi"/>
        </w:rPr>
        <w:t>to promote the coordination and acceleration of demonstrations, studies and training relating to the causes, effects, prevention and elimination of water pollution.</w:t>
      </w:r>
    </w:p>
    <w:p w:rsidR="00843CAD" w:rsidRDefault="00843CAD" w:rsidP="00843CAD">
      <w:pPr>
        <w:pStyle w:val="ListParagraph"/>
        <w:numPr>
          <w:ilvl w:val="0"/>
          <w:numId w:val="15"/>
        </w:numPr>
        <w:spacing w:after="0" w:line="240" w:lineRule="auto"/>
        <w:rPr>
          <w:rFonts w:asciiTheme="majorHAnsi" w:hAnsiTheme="majorHAnsi"/>
        </w:rPr>
      </w:pPr>
      <w:r>
        <w:rPr>
          <w:rFonts w:asciiTheme="majorHAnsi" w:hAnsiTheme="majorHAnsi"/>
        </w:rPr>
        <w:t>Solid Waste Disposal Act</w:t>
      </w:r>
      <w:r w:rsidR="00F47EA2">
        <w:rPr>
          <w:rFonts w:asciiTheme="majorHAnsi" w:hAnsiTheme="majorHAnsi"/>
        </w:rPr>
        <w:t xml:space="preserve"> § 8001, 42 U.S.C. § 6981</w:t>
      </w:r>
      <w:r>
        <w:rPr>
          <w:rFonts w:asciiTheme="majorHAnsi" w:hAnsiTheme="majorHAnsi"/>
        </w:rPr>
        <w:t xml:space="preserve">, </w:t>
      </w:r>
      <w:r w:rsidRPr="00843CAD">
        <w:rPr>
          <w:rFonts w:asciiTheme="majorHAnsi" w:hAnsiTheme="majorHAnsi"/>
        </w:rPr>
        <w:t xml:space="preserve">authorizes EPA to encourage, cooperate with and render technical services to individuals as well as public and private sector entities to promote the coordination and acceleration of demonstrations, studies, training and public education programs relating to, among other things: adverse health and welfare effects of the release of solid waste into the environment; operation and financing of solid waste management </w:t>
      </w:r>
      <w:r w:rsidRPr="00843CAD">
        <w:rPr>
          <w:rFonts w:asciiTheme="majorHAnsi" w:hAnsiTheme="majorHAnsi"/>
        </w:rPr>
        <w:lastRenderedPageBreak/>
        <w:t>programs; planning and operation of resource recovery and conservation systems and hazardous waste management systems; production and marketing of recovered resources; reductions in the amount of solid and hazardous waste and unsalvageable waste materials; and, the development and application of improved methods of collecting and disposing of solid wastes to recover and market materials and energy from these wastes.</w:t>
      </w:r>
    </w:p>
    <w:p w:rsidR="005F53A4" w:rsidRDefault="005545B3" w:rsidP="00C670C0">
      <w:pPr>
        <w:pStyle w:val="ListParagraph"/>
        <w:numPr>
          <w:ilvl w:val="0"/>
          <w:numId w:val="15"/>
        </w:numPr>
        <w:spacing w:after="0" w:line="240" w:lineRule="auto"/>
        <w:rPr>
          <w:rFonts w:asciiTheme="majorHAnsi" w:hAnsiTheme="majorHAnsi"/>
        </w:rPr>
      </w:pPr>
      <w:r>
        <w:rPr>
          <w:rFonts w:asciiTheme="majorHAnsi" w:hAnsiTheme="majorHAnsi"/>
        </w:rPr>
        <w:t xml:space="preserve">Marine </w:t>
      </w:r>
      <w:r w:rsidRPr="005545B3">
        <w:rPr>
          <w:rFonts w:asciiTheme="majorHAnsi" w:hAnsiTheme="majorHAnsi"/>
        </w:rPr>
        <w:t>Protection, Research and Sanctuaries Act</w:t>
      </w:r>
      <w:r w:rsidR="00F47EA2">
        <w:rPr>
          <w:rFonts w:asciiTheme="majorHAnsi" w:hAnsiTheme="majorHAnsi"/>
        </w:rPr>
        <w:t xml:space="preserve"> § 203</w:t>
      </w:r>
      <w:r>
        <w:rPr>
          <w:rFonts w:asciiTheme="majorHAnsi" w:hAnsiTheme="majorHAnsi"/>
        </w:rPr>
        <w:t xml:space="preserve">, </w:t>
      </w:r>
      <w:r w:rsidR="00F47EA2">
        <w:rPr>
          <w:rFonts w:asciiTheme="majorHAnsi" w:hAnsiTheme="majorHAnsi"/>
        </w:rPr>
        <w:t xml:space="preserve">33 U.S.C. § 1443, </w:t>
      </w:r>
      <w:r w:rsidR="00C670C0" w:rsidRPr="00C670C0">
        <w:rPr>
          <w:rFonts w:asciiTheme="majorHAnsi" w:hAnsiTheme="majorHAnsi"/>
        </w:rPr>
        <w:t>authorizes EPA to encourage, cooperate with, and render technical assistance to public and private sector entities, including individuals, to promote the coordination of demonstrations, studies and training to minimize dumping of materials into the ocean that may unreasonably degrade or endanger human health, welfare, or the marine environment and economic potential.</w:t>
      </w:r>
    </w:p>
    <w:p w:rsidR="005545B3" w:rsidRDefault="005F53A4" w:rsidP="005F53A4">
      <w:pPr>
        <w:pStyle w:val="ListParagraph"/>
        <w:numPr>
          <w:ilvl w:val="0"/>
          <w:numId w:val="15"/>
        </w:numPr>
        <w:spacing w:after="0" w:line="240" w:lineRule="auto"/>
        <w:rPr>
          <w:rFonts w:asciiTheme="majorHAnsi" w:hAnsiTheme="majorHAnsi"/>
        </w:rPr>
      </w:pPr>
      <w:r>
        <w:rPr>
          <w:rFonts w:asciiTheme="majorHAnsi" w:hAnsiTheme="majorHAnsi"/>
        </w:rPr>
        <w:t>Safe Drinking Water Act</w:t>
      </w:r>
      <w:r w:rsidR="007F225B">
        <w:rPr>
          <w:rFonts w:asciiTheme="majorHAnsi" w:hAnsiTheme="majorHAnsi"/>
        </w:rPr>
        <w:t xml:space="preserve"> § </w:t>
      </w:r>
      <w:r w:rsidR="00F86F89">
        <w:rPr>
          <w:rFonts w:asciiTheme="majorHAnsi" w:hAnsiTheme="majorHAnsi"/>
        </w:rPr>
        <w:t>1442, 42 U.S.</w:t>
      </w:r>
      <w:r w:rsidR="007F225B">
        <w:rPr>
          <w:rFonts w:asciiTheme="majorHAnsi" w:hAnsiTheme="majorHAnsi"/>
        </w:rPr>
        <w:t>C. § 300j-1</w:t>
      </w:r>
      <w:r>
        <w:rPr>
          <w:rFonts w:asciiTheme="majorHAnsi" w:hAnsiTheme="majorHAnsi"/>
        </w:rPr>
        <w:t xml:space="preserve">, </w:t>
      </w:r>
      <w:r w:rsidRPr="005F53A4">
        <w:rPr>
          <w:rFonts w:asciiTheme="majorHAnsi" w:hAnsiTheme="majorHAnsi"/>
        </w:rPr>
        <w:t xml:space="preserve">authorizes the Administrator to conduct research, studies, and demonstrations relating to the causes, diagnosis, treatment, control, and prevention of risks to human health related to drinking water supply, and to share information and make recommendations based on this research and investigation.  </w:t>
      </w:r>
      <w:r>
        <w:rPr>
          <w:rFonts w:asciiTheme="majorHAnsi" w:hAnsiTheme="majorHAnsi"/>
        </w:rPr>
        <w:t xml:space="preserve"> </w:t>
      </w:r>
      <w:r w:rsidR="00C670C0" w:rsidRPr="00C670C0">
        <w:rPr>
          <w:rFonts w:asciiTheme="majorHAnsi" w:hAnsiTheme="majorHAnsi"/>
        </w:rPr>
        <w:t xml:space="preserve">   </w:t>
      </w:r>
    </w:p>
    <w:p w:rsidR="00993BA0" w:rsidRDefault="00993BA0" w:rsidP="00993BA0">
      <w:pPr>
        <w:pStyle w:val="ListParagraph"/>
        <w:numPr>
          <w:ilvl w:val="0"/>
          <w:numId w:val="15"/>
        </w:numPr>
        <w:spacing w:after="0" w:line="240" w:lineRule="auto"/>
        <w:rPr>
          <w:rFonts w:asciiTheme="majorHAnsi" w:hAnsiTheme="majorHAnsi"/>
        </w:rPr>
      </w:pPr>
      <w:r>
        <w:rPr>
          <w:rFonts w:asciiTheme="majorHAnsi" w:hAnsiTheme="majorHAnsi"/>
        </w:rPr>
        <w:t>The National Environmental Education Act</w:t>
      </w:r>
      <w:r w:rsidR="00D04353">
        <w:rPr>
          <w:rFonts w:asciiTheme="majorHAnsi" w:hAnsiTheme="majorHAnsi"/>
        </w:rPr>
        <w:t>, § 4, 20 U.S.C. § 5503</w:t>
      </w:r>
      <w:r w:rsidR="0016027F">
        <w:rPr>
          <w:rFonts w:asciiTheme="majorHAnsi" w:hAnsiTheme="majorHAnsi"/>
        </w:rPr>
        <w:t xml:space="preserve"> </w:t>
      </w:r>
      <w:r w:rsidR="0011206F">
        <w:rPr>
          <w:rFonts w:asciiTheme="majorHAnsi" w:hAnsiTheme="majorHAnsi"/>
        </w:rPr>
        <w:t>authorizes</w:t>
      </w:r>
      <w:r w:rsidR="0011206F" w:rsidRPr="009C2B60">
        <w:rPr>
          <w:rFonts w:asciiTheme="majorHAnsi" w:hAnsiTheme="majorHAnsi"/>
        </w:rPr>
        <w:t xml:space="preserve"> </w:t>
      </w:r>
      <w:r w:rsidRPr="009C2B60">
        <w:rPr>
          <w:rFonts w:asciiTheme="majorHAnsi" w:hAnsiTheme="majorHAnsi"/>
        </w:rPr>
        <w:t xml:space="preserve">EPA to </w:t>
      </w:r>
      <w:r w:rsidR="0011206F">
        <w:rPr>
          <w:rFonts w:asciiTheme="majorHAnsi" w:hAnsiTheme="majorHAnsi"/>
        </w:rPr>
        <w:t>develop and support programs</w:t>
      </w:r>
      <w:r w:rsidRPr="009C2B60">
        <w:rPr>
          <w:rFonts w:asciiTheme="majorHAnsi" w:hAnsiTheme="majorHAnsi"/>
        </w:rPr>
        <w:t xml:space="preserve"> to increase environmental literacy.</w:t>
      </w:r>
    </w:p>
    <w:p w:rsidR="00060101" w:rsidRDefault="00BD289A" w:rsidP="00060101">
      <w:pPr>
        <w:pStyle w:val="ListParagraph"/>
        <w:numPr>
          <w:ilvl w:val="0"/>
          <w:numId w:val="15"/>
        </w:numPr>
        <w:spacing w:after="0" w:line="240" w:lineRule="auto"/>
        <w:rPr>
          <w:rFonts w:asciiTheme="majorHAnsi" w:hAnsiTheme="majorHAnsi"/>
        </w:rPr>
      </w:pPr>
      <w:r w:rsidRPr="00E13822">
        <w:rPr>
          <w:rFonts w:asciiTheme="majorHAnsi" w:hAnsiTheme="majorHAnsi"/>
        </w:rPr>
        <w:t>107-118</w:t>
      </w:r>
      <w:r w:rsidR="00E13822">
        <w:rPr>
          <w:rFonts w:asciiTheme="majorHAnsi" w:hAnsiTheme="majorHAnsi"/>
        </w:rPr>
        <w:t xml:space="preserve"> </w:t>
      </w:r>
      <w:r w:rsidR="00060101" w:rsidRPr="00E13822">
        <w:rPr>
          <w:rFonts w:asciiTheme="majorHAnsi" w:hAnsiTheme="majorHAnsi"/>
        </w:rPr>
        <w:t>Comprehensive Environmental Response, Compensation and Liability Act</w:t>
      </w:r>
      <w:r w:rsidR="00C2585A" w:rsidRPr="00E13822">
        <w:rPr>
          <w:rFonts w:asciiTheme="majorHAnsi" w:hAnsiTheme="majorHAnsi"/>
        </w:rPr>
        <w:t xml:space="preserve"> § 311, 42 U.S.C.</w:t>
      </w:r>
      <w:r w:rsidR="00C2585A">
        <w:rPr>
          <w:rFonts w:asciiTheme="majorHAnsi" w:hAnsiTheme="majorHAnsi"/>
        </w:rPr>
        <w:t xml:space="preserve"> § 9660</w:t>
      </w:r>
      <w:r w:rsidR="00060101">
        <w:rPr>
          <w:rFonts w:asciiTheme="majorHAnsi" w:hAnsiTheme="majorHAnsi"/>
        </w:rPr>
        <w:t xml:space="preserve">, </w:t>
      </w:r>
      <w:r w:rsidR="00060101" w:rsidRPr="00060101">
        <w:rPr>
          <w:rFonts w:asciiTheme="majorHAnsi" w:hAnsiTheme="majorHAnsi"/>
        </w:rPr>
        <w:t xml:space="preserve">authorizes EPA to </w:t>
      </w:r>
      <w:r w:rsidR="005A4C83">
        <w:rPr>
          <w:rFonts w:asciiTheme="majorHAnsi" w:hAnsiTheme="majorHAnsi"/>
        </w:rPr>
        <w:t xml:space="preserve">conduct research, </w:t>
      </w:r>
      <w:r w:rsidR="007D4F3D">
        <w:rPr>
          <w:rFonts w:asciiTheme="majorHAnsi" w:hAnsiTheme="majorHAnsi"/>
        </w:rPr>
        <w:t xml:space="preserve">and </w:t>
      </w:r>
      <w:r w:rsidR="00060101" w:rsidRPr="00060101">
        <w:rPr>
          <w:rFonts w:asciiTheme="majorHAnsi" w:hAnsiTheme="majorHAnsi"/>
        </w:rPr>
        <w:t>provide training and technical assistance to individuals and organizations</w:t>
      </w:r>
      <w:r w:rsidR="005A4C83">
        <w:rPr>
          <w:rFonts w:asciiTheme="majorHAnsi" w:hAnsiTheme="majorHAnsi"/>
        </w:rPr>
        <w:t>,</w:t>
      </w:r>
      <w:r w:rsidR="00060101" w:rsidRPr="00060101">
        <w:rPr>
          <w:rFonts w:asciiTheme="majorHAnsi" w:hAnsiTheme="majorHAnsi"/>
        </w:rPr>
        <w:t xml:space="preserve"> to facilitate the inventory, assessment, preparation and remediation of brownfields sites, including associated community involvement.</w:t>
      </w:r>
    </w:p>
    <w:p w:rsidR="00E37D8A" w:rsidRDefault="00E37D8A" w:rsidP="00256D42">
      <w:pPr>
        <w:rPr>
          <w:rFonts w:asciiTheme="majorHAnsi" w:hAnsiTheme="majorHAnsi"/>
          <w:b/>
        </w:rPr>
      </w:pPr>
    </w:p>
    <w:p w:rsidR="00993BA0" w:rsidRDefault="00E37D8A" w:rsidP="00256D42">
      <w:pPr>
        <w:rPr>
          <w:rFonts w:asciiTheme="majorHAnsi" w:hAnsiTheme="majorHAnsi"/>
          <w:i/>
        </w:rPr>
      </w:pPr>
      <w:r w:rsidRPr="00E37D8A">
        <w:rPr>
          <w:rFonts w:asciiTheme="majorHAnsi" w:hAnsiTheme="majorHAnsi"/>
          <w:i/>
        </w:rPr>
        <w:t>Policy support</w:t>
      </w:r>
    </w:p>
    <w:p w:rsidR="00E25397" w:rsidRDefault="00E25397" w:rsidP="00604024">
      <w:pPr>
        <w:pStyle w:val="ListParagraph"/>
        <w:numPr>
          <w:ilvl w:val="0"/>
          <w:numId w:val="15"/>
        </w:numPr>
        <w:spacing w:after="0" w:line="240" w:lineRule="auto"/>
        <w:rPr>
          <w:rFonts w:asciiTheme="majorHAnsi" w:hAnsiTheme="majorHAnsi"/>
        </w:rPr>
      </w:pPr>
      <w:r w:rsidRPr="00040880">
        <w:rPr>
          <w:rFonts w:asciiTheme="majorHAnsi" w:hAnsiTheme="majorHAnsi"/>
        </w:rPr>
        <w:t>2013 Second Open Government National Action Plan</w:t>
      </w:r>
      <w:r w:rsidR="00604024">
        <w:rPr>
          <w:rFonts w:asciiTheme="majorHAnsi" w:hAnsiTheme="majorHAnsi"/>
        </w:rPr>
        <w:t xml:space="preserve"> - encourages</w:t>
      </w:r>
      <w:r>
        <w:rPr>
          <w:rFonts w:asciiTheme="majorHAnsi" w:hAnsiTheme="majorHAnsi"/>
        </w:rPr>
        <w:t xml:space="preserve"> Federal A</w:t>
      </w:r>
      <w:r w:rsidRPr="00040880">
        <w:rPr>
          <w:rFonts w:asciiTheme="majorHAnsi" w:hAnsiTheme="majorHAnsi"/>
        </w:rPr>
        <w:t>gencies to harness the ingenuity of the public by accelerating and scaling the use of open innovation methods such as citizen science and crowdsourcing</w:t>
      </w:r>
      <w:r w:rsidR="00B9088A">
        <w:rPr>
          <w:rFonts w:asciiTheme="majorHAnsi" w:hAnsiTheme="majorHAnsi"/>
        </w:rPr>
        <w:t xml:space="preserve">: </w:t>
      </w:r>
      <w:hyperlink r:id="rId8" w:history="1">
        <w:r w:rsidR="007947D4" w:rsidRPr="00E720A4">
          <w:rPr>
            <w:rStyle w:val="Hyperlink"/>
            <w:rFonts w:asciiTheme="majorHAnsi" w:hAnsiTheme="majorHAnsi"/>
          </w:rPr>
          <w:t>https://www.whitehouse.gov/sites/default/files/docs/us_national_action_plan_6p.pdf</w:t>
        </w:r>
      </w:hyperlink>
    </w:p>
    <w:p w:rsidR="007947D4" w:rsidRDefault="007947D4" w:rsidP="007947D4">
      <w:pPr>
        <w:pStyle w:val="ListParagraph"/>
        <w:numPr>
          <w:ilvl w:val="0"/>
          <w:numId w:val="15"/>
        </w:numPr>
        <w:spacing w:after="0" w:line="240" w:lineRule="auto"/>
        <w:rPr>
          <w:rFonts w:asciiTheme="majorHAnsi" w:hAnsiTheme="majorHAnsi"/>
        </w:rPr>
      </w:pPr>
      <w:r w:rsidRPr="007947D4">
        <w:rPr>
          <w:rFonts w:asciiTheme="majorHAnsi" w:hAnsiTheme="majorHAnsi"/>
        </w:rPr>
        <w:t>OMB Memo M-11-07. Facilitating Scientific Research by Streamlining the Paperwork Reduction Act Process. December 9, 2010</w:t>
      </w:r>
      <w:r>
        <w:rPr>
          <w:rFonts w:asciiTheme="majorHAnsi" w:hAnsiTheme="majorHAnsi"/>
        </w:rPr>
        <w:t>. C</w:t>
      </w:r>
      <w:r w:rsidRPr="00040880">
        <w:rPr>
          <w:rFonts w:asciiTheme="majorHAnsi" w:hAnsiTheme="majorHAnsi"/>
        </w:rPr>
        <w:t>itizen science and crowdsourcing are in line with the Paperwork Reduction Act’s intent to “ensure the greatest possible public benefit from and maximize the utility of information created, collected, maintained, used, shared, and disseminated by or for the Federal Government.</w:t>
      </w:r>
      <w:r>
        <w:rPr>
          <w:rFonts w:asciiTheme="majorHAnsi" w:hAnsiTheme="majorHAnsi"/>
        </w:rPr>
        <w:t>”</w:t>
      </w:r>
    </w:p>
    <w:p w:rsidR="007947D4" w:rsidRDefault="007947D4" w:rsidP="007947D4">
      <w:pPr>
        <w:pStyle w:val="ListParagraph"/>
        <w:numPr>
          <w:ilvl w:val="0"/>
          <w:numId w:val="15"/>
        </w:numPr>
        <w:spacing w:after="0" w:line="240" w:lineRule="auto"/>
        <w:rPr>
          <w:rFonts w:asciiTheme="majorHAnsi" w:hAnsiTheme="majorHAnsi"/>
        </w:rPr>
      </w:pPr>
      <w:r w:rsidRPr="007A326A">
        <w:rPr>
          <w:rFonts w:asciiTheme="majorHAnsi" w:hAnsiTheme="majorHAnsi"/>
        </w:rPr>
        <w:t>OMB Memo M-10-06</w:t>
      </w:r>
      <w:r>
        <w:rPr>
          <w:rFonts w:asciiTheme="majorHAnsi" w:hAnsiTheme="majorHAnsi"/>
        </w:rPr>
        <w:t>. Open Government Directive. December 8, 2009. Promotes o</w:t>
      </w:r>
      <w:r w:rsidRPr="007A326A">
        <w:rPr>
          <w:rFonts w:asciiTheme="majorHAnsi" w:hAnsiTheme="majorHAnsi"/>
        </w:rPr>
        <w:t>pen government</w:t>
      </w:r>
      <w:r>
        <w:rPr>
          <w:rFonts w:asciiTheme="majorHAnsi" w:hAnsiTheme="majorHAnsi"/>
        </w:rPr>
        <w:t xml:space="preserve"> and the use of new technologies. </w:t>
      </w:r>
    </w:p>
    <w:p w:rsidR="00583C9C" w:rsidRPr="007A326A" w:rsidRDefault="00583C9C" w:rsidP="00583C9C">
      <w:pPr>
        <w:pStyle w:val="ListParagraph"/>
        <w:numPr>
          <w:ilvl w:val="0"/>
          <w:numId w:val="15"/>
        </w:numPr>
        <w:spacing w:after="0" w:line="240" w:lineRule="auto"/>
        <w:rPr>
          <w:rFonts w:asciiTheme="majorHAnsi" w:hAnsiTheme="majorHAnsi"/>
        </w:rPr>
      </w:pPr>
      <w:r>
        <w:rPr>
          <w:rFonts w:asciiTheme="majorHAnsi" w:hAnsiTheme="majorHAnsi"/>
        </w:rPr>
        <w:t>OMB Memo M-15-16. Multi-Agency Science and Technology Priorities for the FY 2017 Budget. July 9</w:t>
      </w:r>
      <w:r w:rsidRPr="000845CE">
        <w:rPr>
          <w:rFonts w:asciiTheme="majorHAnsi" w:hAnsiTheme="majorHAnsi"/>
          <w:vertAlign w:val="superscript"/>
        </w:rPr>
        <w:t>th</w:t>
      </w:r>
      <w:r>
        <w:rPr>
          <w:rFonts w:asciiTheme="majorHAnsi" w:hAnsiTheme="majorHAnsi"/>
        </w:rPr>
        <w:t>, 2015. “</w:t>
      </w:r>
      <w:r w:rsidRPr="00583C9C">
        <w:rPr>
          <w:rFonts w:asciiTheme="majorHAnsi" w:hAnsiTheme="majorHAnsi"/>
        </w:rPr>
        <w:t>Agencies are encouraged to use approaches to foster innovation such as Grand Challenges, incentive prizes, citizen science, and collaboration with members of the Maker Movement.</w:t>
      </w:r>
      <w:r>
        <w:rPr>
          <w:rFonts w:asciiTheme="majorHAnsi" w:hAnsiTheme="majorHAnsi"/>
        </w:rPr>
        <w:t>”</w:t>
      </w:r>
    </w:p>
    <w:p w:rsidR="00FA36D1" w:rsidRPr="006331CC" w:rsidRDefault="00FA36D1" w:rsidP="00256D42">
      <w:pPr>
        <w:spacing w:after="120" w:line="240" w:lineRule="auto"/>
        <w:jc w:val="center"/>
        <w:rPr>
          <w:rFonts w:asciiTheme="majorHAnsi" w:hAnsiTheme="majorHAnsi"/>
        </w:rPr>
      </w:pPr>
    </w:p>
    <w:p w:rsidR="009A652C" w:rsidRPr="006331CC" w:rsidRDefault="009A652C">
      <w:pPr>
        <w:spacing w:after="120" w:line="240" w:lineRule="auto"/>
        <w:jc w:val="center"/>
        <w:rPr>
          <w:rFonts w:asciiTheme="majorHAnsi" w:hAnsiTheme="majorHAnsi"/>
        </w:rPr>
      </w:pPr>
    </w:p>
    <w:sectPr w:rsidR="009A652C" w:rsidRPr="006331CC" w:rsidSect="00DD67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97" w:rsidRDefault="00C41697" w:rsidP="00F6059F">
      <w:pPr>
        <w:spacing w:after="0" w:line="240" w:lineRule="auto"/>
      </w:pPr>
      <w:r>
        <w:separator/>
      </w:r>
    </w:p>
  </w:endnote>
  <w:endnote w:type="continuationSeparator" w:id="0">
    <w:p w:rsidR="00C41697" w:rsidRDefault="00C41697" w:rsidP="00F6059F">
      <w:pPr>
        <w:spacing w:after="0" w:line="240" w:lineRule="auto"/>
      </w:pPr>
      <w:r>
        <w:continuationSeparator/>
      </w:r>
    </w:p>
  </w:endnote>
  <w:endnote w:type="continuationNotice" w:id="1">
    <w:p w:rsidR="00C41697" w:rsidRDefault="00C41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734521"/>
      <w:docPartObj>
        <w:docPartGallery w:val="Page Numbers (Bottom of Page)"/>
        <w:docPartUnique/>
      </w:docPartObj>
    </w:sdtPr>
    <w:sdtEndPr>
      <w:rPr>
        <w:noProof/>
      </w:rPr>
    </w:sdtEndPr>
    <w:sdtContent>
      <w:p w:rsidR="006B02D6" w:rsidRDefault="006B02D6" w:rsidP="0098537D">
        <w:pPr>
          <w:pStyle w:val="Footer"/>
        </w:pPr>
        <w:r w:rsidRPr="00815A0F">
          <w:rPr>
            <w:sz w:val="20"/>
            <w:szCs w:val="20"/>
          </w:rPr>
          <w:fldChar w:fldCharType="begin"/>
        </w:r>
        <w:r w:rsidRPr="00815A0F">
          <w:rPr>
            <w:sz w:val="20"/>
            <w:szCs w:val="20"/>
          </w:rPr>
          <w:instrText xml:space="preserve"> PAGE   \* MERGEFORMAT </w:instrText>
        </w:r>
        <w:r w:rsidRPr="00815A0F">
          <w:rPr>
            <w:sz w:val="20"/>
            <w:szCs w:val="20"/>
          </w:rPr>
          <w:fldChar w:fldCharType="separate"/>
        </w:r>
        <w:r w:rsidR="00165AC6">
          <w:rPr>
            <w:noProof/>
            <w:sz w:val="20"/>
            <w:szCs w:val="20"/>
          </w:rPr>
          <w:t>10</w:t>
        </w:r>
        <w:r w:rsidRPr="00815A0F">
          <w:rPr>
            <w:noProof/>
            <w:sz w:val="20"/>
            <w:szCs w:val="20"/>
          </w:rPr>
          <w:fldChar w:fldCharType="end"/>
        </w:r>
        <w:r>
          <w:rPr>
            <w:noProof/>
            <w:sz w:val="20"/>
            <w:szCs w:val="20"/>
          </w:rPr>
          <w:t xml:space="preserve"> </w:t>
        </w:r>
        <w:r>
          <w:rPr>
            <w:noProof/>
            <w:sz w:val="20"/>
            <w:szCs w:val="20"/>
          </w:rPr>
          <w:tab/>
        </w:r>
      </w:p>
    </w:sdtContent>
  </w:sdt>
  <w:p w:rsidR="006B02D6" w:rsidRDefault="006B0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97" w:rsidRDefault="00C41697" w:rsidP="00F6059F">
      <w:pPr>
        <w:spacing w:after="0" w:line="240" w:lineRule="auto"/>
      </w:pPr>
      <w:r>
        <w:separator/>
      </w:r>
    </w:p>
  </w:footnote>
  <w:footnote w:type="continuationSeparator" w:id="0">
    <w:p w:rsidR="00C41697" w:rsidRDefault="00C41697" w:rsidP="00F6059F">
      <w:pPr>
        <w:spacing w:after="0" w:line="240" w:lineRule="auto"/>
      </w:pPr>
      <w:r>
        <w:continuationSeparator/>
      </w:r>
    </w:p>
  </w:footnote>
  <w:footnote w:type="continuationNotice" w:id="1">
    <w:p w:rsidR="00C41697" w:rsidRDefault="00C41697">
      <w:pPr>
        <w:spacing w:after="0" w:line="240" w:lineRule="auto"/>
      </w:pPr>
    </w:p>
  </w:footnote>
  <w:footnote w:id="2">
    <w:p w:rsidR="006B02D6" w:rsidRPr="00041641" w:rsidRDefault="006B02D6">
      <w:pPr>
        <w:pStyle w:val="FootnoteText"/>
        <w:rPr>
          <w:sz w:val="16"/>
        </w:rPr>
      </w:pPr>
      <w:r w:rsidRPr="00041641">
        <w:rPr>
          <w:rStyle w:val="FootnoteReference"/>
          <w:sz w:val="16"/>
        </w:rPr>
        <w:footnoteRef/>
      </w:r>
      <w:r w:rsidRPr="00041641">
        <w:rPr>
          <w:sz w:val="16"/>
        </w:rPr>
        <w:t xml:space="preserve"> OMB Memo M-10-0</w:t>
      </w:r>
      <w:r>
        <w:rPr>
          <w:sz w:val="16"/>
        </w:rPr>
        <w:t xml:space="preserve">. Open Government Directive. December 8, 2009. </w:t>
      </w:r>
      <w:r w:rsidRPr="00F015CD">
        <w:rPr>
          <w:sz w:val="16"/>
        </w:rPr>
        <w:t>https://www.whitehouse.gov/sites/default/files/omb/assets/memoranda_2010/m10-06.pdf</w:t>
      </w:r>
      <w:r>
        <w:rPr>
          <w:sz w:val="16"/>
        </w:rPr>
        <w:t xml:space="preserve"> </w:t>
      </w:r>
    </w:p>
  </w:footnote>
  <w:footnote w:id="3">
    <w:p w:rsidR="006B02D6" w:rsidRPr="00F35E64" w:rsidRDefault="006B02D6" w:rsidP="0046727B">
      <w:pPr>
        <w:pStyle w:val="FootnoteText"/>
        <w:rPr>
          <w:sz w:val="16"/>
          <w:szCs w:val="16"/>
        </w:rPr>
      </w:pPr>
      <w:r w:rsidRPr="00F35E64">
        <w:rPr>
          <w:rStyle w:val="FootnoteReference"/>
          <w:sz w:val="16"/>
          <w:szCs w:val="16"/>
        </w:rPr>
        <w:footnoteRef/>
      </w:r>
      <w:r w:rsidRPr="00F35E64">
        <w:rPr>
          <w:sz w:val="16"/>
          <w:szCs w:val="16"/>
        </w:rPr>
        <w:t xml:space="preserve"> https://www.whitehouse.gov/sites/default/files/docs/us_national_action_plan_6p.pdf</w:t>
      </w:r>
    </w:p>
  </w:footnote>
  <w:footnote w:id="4">
    <w:p w:rsidR="006B02D6" w:rsidRDefault="006B02D6" w:rsidP="0046727B">
      <w:pPr>
        <w:pStyle w:val="FootnoteText"/>
      </w:pPr>
      <w:r w:rsidRPr="00F35E64">
        <w:rPr>
          <w:rStyle w:val="FootnoteReference"/>
          <w:sz w:val="16"/>
          <w:szCs w:val="16"/>
        </w:rPr>
        <w:footnoteRef/>
      </w:r>
      <w:r w:rsidRPr="00F35E64">
        <w:rPr>
          <w:sz w:val="16"/>
          <w:szCs w:val="16"/>
        </w:rPr>
        <w:t xml:space="preserve"> OMB Memo M-11-07. Facilitating Scientific Research by Streamlining the Paperwork Reduction </w:t>
      </w:r>
      <w:r>
        <w:rPr>
          <w:sz w:val="16"/>
          <w:szCs w:val="16"/>
        </w:rPr>
        <w:t xml:space="preserve">Act Process. December 9, 2010. </w:t>
      </w:r>
    </w:p>
  </w:footnote>
  <w:footnote w:id="5">
    <w:p w:rsidR="006B02D6" w:rsidRDefault="006B02D6">
      <w:pPr>
        <w:pStyle w:val="FootnoteText"/>
      </w:pPr>
      <w:r w:rsidRPr="00566404">
        <w:rPr>
          <w:rStyle w:val="FootnoteReference"/>
          <w:sz w:val="16"/>
          <w:szCs w:val="16"/>
        </w:rPr>
        <w:footnoteRef/>
      </w:r>
      <w:r w:rsidRPr="00566404">
        <w:rPr>
          <w:sz w:val="16"/>
          <w:szCs w:val="16"/>
        </w:rPr>
        <w:t xml:space="preserve"> http://www.epa.gov/quality/</w:t>
      </w:r>
    </w:p>
  </w:footnote>
  <w:footnote w:id="6">
    <w:p w:rsidR="006B02D6" w:rsidRPr="00794FE7" w:rsidRDefault="006B02D6" w:rsidP="00CA52AC">
      <w:pPr>
        <w:pStyle w:val="FootnoteText"/>
        <w:rPr>
          <w:sz w:val="16"/>
          <w:szCs w:val="16"/>
        </w:rPr>
      </w:pPr>
      <w:r w:rsidRPr="00794FE7">
        <w:rPr>
          <w:rStyle w:val="FootnoteReference"/>
          <w:sz w:val="16"/>
          <w:szCs w:val="16"/>
        </w:rPr>
        <w:footnoteRef/>
      </w:r>
      <w:r>
        <w:rPr>
          <w:sz w:val="16"/>
          <w:szCs w:val="16"/>
        </w:rPr>
        <w:t xml:space="preserve"> Typology adapted from: </w:t>
      </w:r>
      <w:r w:rsidRPr="00794FE7">
        <w:rPr>
          <w:sz w:val="16"/>
          <w:szCs w:val="16"/>
        </w:rPr>
        <w:t xml:space="preserve">Teresa Scassa and Haewon Chung. 2015. Typology of citizen science projects from an intellectual property perspective: Invention and Authorship Between Researchers and Participants. Wilson Center, Commons Lab, Case Study Series, Vol. 5. </w:t>
      </w:r>
    </w:p>
  </w:footnote>
  <w:footnote w:id="7">
    <w:p w:rsidR="006B02D6" w:rsidRPr="001C772B" w:rsidRDefault="006B02D6" w:rsidP="00A13A35">
      <w:pPr>
        <w:pStyle w:val="FootnoteText"/>
        <w:rPr>
          <w:sz w:val="16"/>
        </w:rPr>
      </w:pPr>
      <w:r w:rsidRPr="00214A8F">
        <w:rPr>
          <w:rStyle w:val="FootnoteReference"/>
          <w:sz w:val="16"/>
        </w:rPr>
        <w:footnoteRef/>
      </w:r>
      <w:r w:rsidRPr="00214A8F">
        <w:rPr>
          <w:sz w:val="16"/>
        </w:rPr>
        <w:t xml:space="preserve"> http://www2.epa.gov/osa/basic-information-about-human-subjects-research</w:t>
      </w:r>
    </w:p>
  </w:footnote>
  <w:footnote w:id="8">
    <w:p w:rsidR="006B02D6" w:rsidRPr="001C772B" w:rsidRDefault="006B02D6">
      <w:pPr>
        <w:pStyle w:val="FootnoteText"/>
        <w:rPr>
          <w:sz w:val="16"/>
          <w:szCs w:val="16"/>
        </w:rPr>
      </w:pPr>
      <w:r w:rsidRPr="001C772B">
        <w:rPr>
          <w:rStyle w:val="FootnoteReference"/>
          <w:sz w:val="16"/>
        </w:rPr>
        <w:footnoteRef/>
      </w:r>
      <w:r w:rsidRPr="001C772B">
        <w:rPr>
          <w:sz w:val="16"/>
        </w:rPr>
        <w:t xml:space="preserve"> http://www.opm.gov/policy-data-oversight/pay-leave/pay-administration/fact-sheets/computing-hourly-rates-of-pay-using-the-2087-hour-divisor/</w:t>
      </w:r>
    </w:p>
  </w:footnote>
  <w:footnote w:id="9">
    <w:p w:rsidR="006B02D6" w:rsidRPr="001C772B" w:rsidRDefault="006B02D6">
      <w:pPr>
        <w:pStyle w:val="FootnoteText"/>
        <w:rPr>
          <w:sz w:val="16"/>
          <w:szCs w:val="16"/>
        </w:rPr>
      </w:pPr>
      <w:r w:rsidRPr="001C772B">
        <w:rPr>
          <w:rStyle w:val="FootnoteReference"/>
          <w:sz w:val="16"/>
          <w:szCs w:val="16"/>
        </w:rPr>
        <w:footnoteRef/>
      </w:r>
      <w:r w:rsidRPr="001C772B">
        <w:rPr>
          <w:sz w:val="16"/>
          <w:szCs w:val="16"/>
        </w:rPr>
        <w:t xml:space="preserve"> FR Doc. E9-1777, Presidential Memorandum for the Heads of Executive Departments and Agencies 01/26/2009. </w:t>
      </w:r>
    </w:p>
  </w:footnote>
  <w:footnote w:id="10">
    <w:p w:rsidR="006B02D6" w:rsidRPr="00D90CFA" w:rsidRDefault="006B02D6">
      <w:pPr>
        <w:pStyle w:val="FootnoteText"/>
        <w:rPr>
          <w:sz w:val="18"/>
        </w:rPr>
      </w:pPr>
      <w:r w:rsidRPr="001C772B">
        <w:rPr>
          <w:rStyle w:val="FootnoteReference"/>
          <w:sz w:val="16"/>
          <w:szCs w:val="16"/>
        </w:rPr>
        <w:footnoteRef/>
      </w:r>
      <w:r w:rsidRPr="001C772B">
        <w:rPr>
          <w:sz w:val="16"/>
          <w:szCs w:val="16"/>
        </w:rPr>
        <w:t xml:space="preserve"> https://www.data.gov/data-policy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D6" w:rsidRPr="00026F40" w:rsidRDefault="006B02D6">
    <w:pPr>
      <w:pStyle w:val="Header"/>
    </w:pPr>
    <w:r>
      <w:t xml:space="preserve">ICR number </w:t>
    </w:r>
    <w:r w:rsidRPr="00026F40">
      <w:t>2521.01</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7678"/>
    <w:multiLevelType w:val="hybridMultilevel"/>
    <w:tmpl w:val="506CD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94A91"/>
    <w:multiLevelType w:val="hybridMultilevel"/>
    <w:tmpl w:val="4BD4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13E8F"/>
    <w:multiLevelType w:val="hybridMultilevel"/>
    <w:tmpl w:val="F112DE86"/>
    <w:lvl w:ilvl="0" w:tplc="57E43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165C"/>
    <w:multiLevelType w:val="hybridMultilevel"/>
    <w:tmpl w:val="D904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F4DB9"/>
    <w:multiLevelType w:val="hybridMultilevel"/>
    <w:tmpl w:val="8B6066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E7541C"/>
    <w:multiLevelType w:val="hybridMultilevel"/>
    <w:tmpl w:val="19622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806B1"/>
    <w:multiLevelType w:val="hybridMultilevel"/>
    <w:tmpl w:val="17403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8283B"/>
    <w:multiLevelType w:val="hybridMultilevel"/>
    <w:tmpl w:val="1DEC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A1A59"/>
    <w:multiLevelType w:val="hybridMultilevel"/>
    <w:tmpl w:val="E640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C6AFD"/>
    <w:multiLevelType w:val="hybridMultilevel"/>
    <w:tmpl w:val="78A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72466"/>
    <w:multiLevelType w:val="hybridMultilevel"/>
    <w:tmpl w:val="3B4AF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CD6A01"/>
    <w:multiLevelType w:val="hybridMultilevel"/>
    <w:tmpl w:val="F634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D01FE"/>
    <w:multiLevelType w:val="hybridMultilevel"/>
    <w:tmpl w:val="55506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AE4869"/>
    <w:multiLevelType w:val="hybridMultilevel"/>
    <w:tmpl w:val="706E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E86E58"/>
    <w:multiLevelType w:val="hybridMultilevel"/>
    <w:tmpl w:val="DFA0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2391A"/>
    <w:multiLevelType w:val="hybridMultilevel"/>
    <w:tmpl w:val="B38455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10"/>
  </w:num>
  <w:num w:numId="5">
    <w:abstractNumId w:val="19"/>
  </w:num>
  <w:num w:numId="6">
    <w:abstractNumId w:val="7"/>
  </w:num>
  <w:num w:numId="7">
    <w:abstractNumId w:val="9"/>
  </w:num>
  <w:num w:numId="8">
    <w:abstractNumId w:val="0"/>
  </w:num>
  <w:num w:numId="9">
    <w:abstractNumId w:val="20"/>
  </w:num>
  <w:num w:numId="10">
    <w:abstractNumId w:val="14"/>
  </w:num>
  <w:num w:numId="11">
    <w:abstractNumId w:val="4"/>
  </w:num>
  <w:num w:numId="12">
    <w:abstractNumId w:val="18"/>
  </w:num>
  <w:num w:numId="13">
    <w:abstractNumId w:val="5"/>
  </w:num>
  <w:num w:numId="14">
    <w:abstractNumId w:val="6"/>
  </w:num>
  <w:num w:numId="15">
    <w:abstractNumId w:val="17"/>
  </w:num>
  <w:num w:numId="16">
    <w:abstractNumId w:val="12"/>
  </w:num>
  <w:num w:numId="17">
    <w:abstractNumId w:val="16"/>
  </w:num>
  <w:num w:numId="18">
    <w:abstractNumId w:val="2"/>
  </w:num>
  <w:num w:numId="19">
    <w:abstractNumId w:val="8"/>
  </w:num>
  <w:num w:numId="20">
    <w:abstractNumId w:val="1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89"/>
    <w:rsid w:val="00001563"/>
    <w:rsid w:val="00003F67"/>
    <w:rsid w:val="0001060F"/>
    <w:rsid w:val="00010DE6"/>
    <w:rsid w:val="00012025"/>
    <w:rsid w:val="000124E9"/>
    <w:rsid w:val="00012C76"/>
    <w:rsid w:val="00013702"/>
    <w:rsid w:val="00015EA0"/>
    <w:rsid w:val="00016E3A"/>
    <w:rsid w:val="00017293"/>
    <w:rsid w:val="000178A2"/>
    <w:rsid w:val="00017F6F"/>
    <w:rsid w:val="00020751"/>
    <w:rsid w:val="00023011"/>
    <w:rsid w:val="000254C3"/>
    <w:rsid w:val="00026F40"/>
    <w:rsid w:val="00031415"/>
    <w:rsid w:val="00033384"/>
    <w:rsid w:val="00033508"/>
    <w:rsid w:val="000370FC"/>
    <w:rsid w:val="00040880"/>
    <w:rsid w:val="00041641"/>
    <w:rsid w:val="000416B7"/>
    <w:rsid w:val="000428F3"/>
    <w:rsid w:val="0004460D"/>
    <w:rsid w:val="00046292"/>
    <w:rsid w:val="0005090D"/>
    <w:rsid w:val="00051DEC"/>
    <w:rsid w:val="000522E9"/>
    <w:rsid w:val="00052FF2"/>
    <w:rsid w:val="000550E2"/>
    <w:rsid w:val="00060101"/>
    <w:rsid w:val="0006118A"/>
    <w:rsid w:val="00062FB4"/>
    <w:rsid w:val="0006336B"/>
    <w:rsid w:val="000635B6"/>
    <w:rsid w:val="0006423B"/>
    <w:rsid w:val="00064D92"/>
    <w:rsid w:val="000664B2"/>
    <w:rsid w:val="00067B5D"/>
    <w:rsid w:val="00070CFC"/>
    <w:rsid w:val="00070DBB"/>
    <w:rsid w:val="00072693"/>
    <w:rsid w:val="00073E78"/>
    <w:rsid w:val="00075364"/>
    <w:rsid w:val="000826B6"/>
    <w:rsid w:val="000845CE"/>
    <w:rsid w:val="000848A4"/>
    <w:rsid w:val="00086BF2"/>
    <w:rsid w:val="000875AC"/>
    <w:rsid w:val="00090C77"/>
    <w:rsid w:val="00092966"/>
    <w:rsid w:val="00094B48"/>
    <w:rsid w:val="00095F54"/>
    <w:rsid w:val="000A30DE"/>
    <w:rsid w:val="000A3429"/>
    <w:rsid w:val="000A4BAB"/>
    <w:rsid w:val="000A58BF"/>
    <w:rsid w:val="000A5EDE"/>
    <w:rsid w:val="000A689A"/>
    <w:rsid w:val="000B376D"/>
    <w:rsid w:val="000B499E"/>
    <w:rsid w:val="000B4B7F"/>
    <w:rsid w:val="000B4C1F"/>
    <w:rsid w:val="000B51E0"/>
    <w:rsid w:val="000B5908"/>
    <w:rsid w:val="000B6D0B"/>
    <w:rsid w:val="000B7E11"/>
    <w:rsid w:val="000C2F15"/>
    <w:rsid w:val="000C2FB7"/>
    <w:rsid w:val="000C4B82"/>
    <w:rsid w:val="000C4E13"/>
    <w:rsid w:val="000C4EB1"/>
    <w:rsid w:val="000C6BD3"/>
    <w:rsid w:val="000C7603"/>
    <w:rsid w:val="000D0511"/>
    <w:rsid w:val="000D0F4B"/>
    <w:rsid w:val="000D25B0"/>
    <w:rsid w:val="000D3D91"/>
    <w:rsid w:val="000D3E25"/>
    <w:rsid w:val="000D4F6B"/>
    <w:rsid w:val="000D5246"/>
    <w:rsid w:val="000D5793"/>
    <w:rsid w:val="000D59B1"/>
    <w:rsid w:val="000D6BCC"/>
    <w:rsid w:val="000D6E8A"/>
    <w:rsid w:val="000E3F72"/>
    <w:rsid w:val="000E40E2"/>
    <w:rsid w:val="000E592A"/>
    <w:rsid w:val="000E60CF"/>
    <w:rsid w:val="000E61F7"/>
    <w:rsid w:val="000E6DFE"/>
    <w:rsid w:val="000F0808"/>
    <w:rsid w:val="000F1D55"/>
    <w:rsid w:val="000F2607"/>
    <w:rsid w:val="00100B7B"/>
    <w:rsid w:val="00103D91"/>
    <w:rsid w:val="00104A30"/>
    <w:rsid w:val="00106B04"/>
    <w:rsid w:val="00106F37"/>
    <w:rsid w:val="00110781"/>
    <w:rsid w:val="00111E10"/>
    <w:rsid w:val="0011206F"/>
    <w:rsid w:val="00112AFC"/>
    <w:rsid w:val="001140B1"/>
    <w:rsid w:val="00114FC6"/>
    <w:rsid w:val="00115506"/>
    <w:rsid w:val="0011683C"/>
    <w:rsid w:val="00120CC1"/>
    <w:rsid w:val="0012159C"/>
    <w:rsid w:val="001227E4"/>
    <w:rsid w:val="00123A2B"/>
    <w:rsid w:val="00123C71"/>
    <w:rsid w:val="00123FAE"/>
    <w:rsid w:val="00125DCA"/>
    <w:rsid w:val="00126223"/>
    <w:rsid w:val="001303BA"/>
    <w:rsid w:val="001308FD"/>
    <w:rsid w:val="0013442F"/>
    <w:rsid w:val="00134DDB"/>
    <w:rsid w:val="00137040"/>
    <w:rsid w:val="0013720F"/>
    <w:rsid w:val="00140AA1"/>
    <w:rsid w:val="00140B46"/>
    <w:rsid w:val="00142ADA"/>
    <w:rsid w:val="00145F13"/>
    <w:rsid w:val="00146F12"/>
    <w:rsid w:val="001478CD"/>
    <w:rsid w:val="0015080D"/>
    <w:rsid w:val="00152E43"/>
    <w:rsid w:val="00153F35"/>
    <w:rsid w:val="00154CC5"/>
    <w:rsid w:val="00155A8D"/>
    <w:rsid w:val="00157BD0"/>
    <w:rsid w:val="0016027F"/>
    <w:rsid w:val="00162E75"/>
    <w:rsid w:val="0016488B"/>
    <w:rsid w:val="00164F07"/>
    <w:rsid w:val="00165648"/>
    <w:rsid w:val="00165AC6"/>
    <w:rsid w:val="001665A3"/>
    <w:rsid w:val="00170E8D"/>
    <w:rsid w:val="00173A67"/>
    <w:rsid w:val="001761CA"/>
    <w:rsid w:val="00176CF4"/>
    <w:rsid w:val="00182AE2"/>
    <w:rsid w:val="0019059C"/>
    <w:rsid w:val="00191108"/>
    <w:rsid w:val="001929D6"/>
    <w:rsid w:val="00194EBA"/>
    <w:rsid w:val="001A2D82"/>
    <w:rsid w:val="001A39FC"/>
    <w:rsid w:val="001A41C9"/>
    <w:rsid w:val="001A4468"/>
    <w:rsid w:val="001A541F"/>
    <w:rsid w:val="001B063A"/>
    <w:rsid w:val="001B0806"/>
    <w:rsid w:val="001B63DA"/>
    <w:rsid w:val="001C0EBC"/>
    <w:rsid w:val="001C17C0"/>
    <w:rsid w:val="001C2EC5"/>
    <w:rsid w:val="001C35C7"/>
    <w:rsid w:val="001C4371"/>
    <w:rsid w:val="001C48C6"/>
    <w:rsid w:val="001C6F92"/>
    <w:rsid w:val="001C772B"/>
    <w:rsid w:val="001C7E37"/>
    <w:rsid w:val="001D2294"/>
    <w:rsid w:val="001D46B1"/>
    <w:rsid w:val="001D53BB"/>
    <w:rsid w:val="001D6ABE"/>
    <w:rsid w:val="001E031A"/>
    <w:rsid w:val="001E1BC6"/>
    <w:rsid w:val="001E3573"/>
    <w:rsid w:val="001E3772"/>
    <w:rsid w:val="001E6929"/>
    <w:rsid w:val="001E694E"/>
    <w:rsid w:val="001E732D"/>
    <w:rsid w:val="001F2C2C"/>
    <w:rsid w:val="001F2FA4"/>
    <w:rsid w:val="001F32E4"/>
    <w:rsid w:val="001F4C0E"/>
    <w:rsid w:val="00200457"/>
    <w:rsid w:val="00200D0B"/>
    <w:rsid w:val="00202EC4"/>
    <w:rsid w:val="00204C6E"/>
    <w:rsid w:val="00206600"/>
    <w:rsid w:val="0020761D"/>
    <w:rsid w:val="00207A13"/>
    <w:rsid w:val="00207C9A"/>
    <w:rsid w:val="0021219F"/>
    <w:rsid w:val="00214A8F"/>
    <w:rsid w:val="00215165"/>
    <w:rsid w:val="00216E1C"/>
    <w:rsid w:val="00216FFC"/>
    <w:rsid w:val="00217191"/>
    <w:rsid w:val="002206DE"/>
    <w:rsid w:val="002207A7"/>
    <w:rsid w:val="0022098D"/>
    <w:rsid w:val="00220F82"/>
    <w:rsid w:val="00222778"/>
    <w:rsid w:val="00224080"/>
    <w:rsid w:val="0022435B"/>
    <w:rsid w:val="00226E0D"/>
    <w:rsid w:val="00227749"/>
    <w:rsid w:val="002344BF"/>
    <w:rsid w:val="00237291"/>
    <w:rsid w:val="0024092F"/>
    <w:rsid w:val="00240D7E"/>
    <w:rsid w:val="0024113D"/>
    <w:rsid w:val="00241B8F"/>
    <w:rsid w:val="002427C5"/>
    <w:rsid w:val="0024331C"/>
    <w:rsid w:val="002442AE"/>
    <w:rsid w:val="00244340"/>
    <w:rsid w:val="00247190"/>
    <w:rsid w:val="002500A2"/>
    <w:rsid w:val="002508BE"/>
    <w:rsid w:val="002517D9"/>
    <w:rsid w:val="00251BA7"/>
    <w:rsid w:val="00254CA0"/>
    <w:rsid w:val="00254F37"/>
    <w:rsid w:val="00256D42"/>
    <w:rsid w:val="00260019"/>
    <w:rsid w:val="002609A7"/>
    <w:rsid w:val="00260FB2"/>
    <w:rsid w:val="00264786"/>
    <w:rsid w:val="00266D15"/>
    <w:rsid w:val="00267C43"/>
    <w:rsid w:val="00267F81"/>
    <w:rsid w:val="0027267C"/>
    <w:rsid w:val="00280BFF"/>
    <w:rsid w:val="002831B5"/>
    <w:rsid w:val="00283A36"/>
    <w:rsid w:val="00283E2F"/>
    <w:rsid w:val="00285A20"/>
    <w:rsid w:val="00285EFA"/>
    <w:rsid w:val="00286061"/>
    <w:rsid w:val="00286B7F"/>
    <w:rsid w:val="00287E99"/>
    <w:rsid w:val="00292A9C"/>
    <w:rsid w:val="00295D22"/>
    <w:rsid w:val="00296A47"/>
    <w:rsid w:val="002A0279"/>
    <w:rsid w:val="002A1E73"/>
    <w:rsid w:val="002A3CB2"/>
    <w:rsid w:val="002A6595"/>
    <w:rsid w:val="002B03EA"/>
    <w:rsid w:val="002B2AD4"/>
    <w:rsid w:val="002B4AAE"/>
    <w:rsid w:val="002C0BEB"/>
    <w:rsid w:val="002C1B35"/>
    <w:rsid w:val="002C435E"/>
    <w:rsid w:val="002C4DE0"/>
    <w:rsid w:val="002C6644"/>
    <w:rsid w:val="002C68C2"/>
    <w:rsid w:val="002C7EE0"/>
    <w:rsid w:val="002D05F4"/>
    <w:rsid w:val="002D0BFD"/>
    <w:rsid w:val="002D7081"/>
    <w:rsid w:val="002E07A9"/>
    <w:rsid w:val="002E0A0D"/>
    <w:rsid w:val="002E0A74"/>
    <w:rsid w:val="002E36C4"/>
    <w:rsid w:val="002E3784"/>
    <w:rsid w:val="002E4B63"/>
    <w:rsid w:val="002E57D2"/>
    <w:rsid w:val="002E7431"/>
    <w:rsid w:val="002F5610"/>
    <w:rsid w:val="002F78AF"/>
    <w:rsid w:val="002F7BEC"/>
    <w:rsid w:val="0030100B"/>
    <w:rsid w:val="0030171E"/>
    <w:rsid w:val="00301D1E"/>
    <w:rsid w:val="00303F69"/>
    <w:rsid w:val="00305801"/>
    <w:rsid w:val="00307D87"/>
    <w:rsid w:val="00310117"/>
    <w:rsid w:val="00310189"/>
    <w:rsid w:val="00310917"/>
    <w:rsid w:val="0031105D"/>
    <w:rsid w:val="00312E35"/>
    <w:rsid w:val="0031692C"/>
    <w:rsid w:val="00323D27"/>
    <w:rsid w:val="003278E2"/>
    <w:rsid w:val="00331062"/>
    <w:rsid w:val="00334568"/>
    <w:rsid w:val="0033529F"/>
    <w:rsid w:val="00340109"/>
    <w:rsid w:val="00340400"/>
    <w:rsid w:val="00344A83"/>
    <w:rsid w:val="0034558C"/>
    <w:rsid w:val="00352283"/>
    <w:rsid w:val="0035430E"/>
    <w:rsid w:val="0035728E"/>
    <w:rsid w:val="003609D6"/>
    <w:rsid w:val="00361023"/>
    <w:rsid w:val="003616B2"/>
    <w:rsid w:val="00364D87"/>
    <w:rsid w:val="0036661D"/>
    <w:rsid w:val="00370136"/>
    <w:rsid w:val="0037098B"/>
    <w:rsid w:val="00374575"/>
    <w:rsid w:val="0037638F"/>
    <w:rsid w:val="00377B1C"/>
    <w:rsid w:val="00381010"/>
    <w:rsid w:val="00381D6C"/>
    <w:rsid w:val="0038253F"/>
    <w:rsid w:val="00385197"/>
    <w:rsid w:val="003855EE"/>
    <w:rsid w:val="003863B9"/>
    <w:rsid w:val="00386DB3"/>
    <w:rsid w:val="0038702E"/>
    <w:rsid w:val="00387691"/>
    <w:rsid w:val="003902A3"/>
    <w:rsid w:val="00390D0B"/>
    <w:rsid w:val="00390DFB"/>
    <w:rsid w:val="00391994"/>
    <w:rsid w:val="0039408D"/>
    <w:rsid w:val="00397EBF"/>
    <w:rsid w:val="003A39D3"/>
    <w:rsid w:val="003A39F4"/>
    <w:rsid w:val="003A477B"/>
    <w:rsid w:val="003A4CEB"/>
    <w:rsid w:val="003B0861"/>
    <w:rsid w:val="003B60D0"/>
    <w:rsid w:val="003C39FB"/>
    <w:rsid w:val="003C7D54"/>
    <w:rsid w:val="003D08A0"/>
    <w:rsid w:val="003D61DB"/>
    <w:rsid w:val="003D656F"/>
    <w:rsid w:val="003E30DC"/>
    <w:rsid w:val="003E4E7B"/>
    <w:rsid w:val="003E5D4E"/>
    <w:rsid w:val="003E6397"/>
    <w:rsid w:val="003E6DF1"/>
    <w:rsid w:val="003F4D8D"/>
    <w:rsid w:val="003F6504"/>
    <w:rsid w:val="003F75F6"/>
    <w:rsid w:val="00413A10"/>
    <w:rsid w:val="0041602D"/>
    <w:rsid w:val="0041621D"/>
    <w:rsid w:val="00422033"/>
    <w:rsid w:val="00423AFC"/>
    <w:rsid w:val="00423BEE"/>
    <w:rsid w:val="00426E01"/>
    <w:rsid w:val="00430F9F"/>
    <w:rsid w:val="004332B4"/>
    <w:rsid w:val="00434BF9"/>
    <w:rsid w:val="00435322"/>
    <w:rsid w:val="004367EE"/>
    <w:rsid w:val="00443383"/>
    <w:rsid w:val="00444E96"/>
    <w:rsid w:val="00445E6A"/>
    <w:rsid w:val="00446CB7"/>
    <w:rsid w:val="00447F16"/>
    <w:rsid w:val="00450396"/>
    <w:rsid w:val="004508B1"/>
    <w:rsid w:val="004517B3"/>
    <w:rsid w:val="00452BC7"/>
    <w:rsid w:val="00454D0B"/>
    <w:rsid w:val="00455CE6"/>
    <w:rsid w:val="004579F1"/>
    <w:rsid w:val="00461057"/>
    <w:rsid w:val="0046114D"/>
    <w:rsid w:val="00462679"/>
    <w:rsid w:val="004642CD"/>
    <w:rsid w:val="0046727B"/>
    <w:rsid w:val="00472DEF"/>
    <w:rsid w:val="00476F0D"/>
    <w:rsid w:val="00477D5E"/>
    <w:rsid w:val="00482216"/>
    <w:rsid w:val="004828B7"/>
    <w:rsid w:val="00484C2E"/>
    <w:rsid w:val="0048785A"/>
    <w:rsid w:val="00491E76"/>
    <w:rsid w:val="00496B42"/>
    <w:rsid w:val="00496C2E"/>
    <w:rsid w:val="004977DD"/>
    <w:rsid w:val="004A1A6C"/>
    <w:rsid w:val="004A1CD0"/>
    <w:rsid w:val="004A3EFC"/>
    <w:rsid w:val="004A5846"/>
    <w:rsid w:val="004B0A18"/>
    <w:rsid w:val="004B1952"/>
    <w:rsid w:val="004B3894"/>
    <w:rsid w:val="004B74C3"/>
    <w:rsid w:val="004C1684"/>
    <w:rsid w:val="004C3AC2"/>
    <w:rsid w:val="004C4D7B"/>
    <w:rsid w:val="004C4FFF"/>
    <w:rsid w:val="004C5C2A"/>
    <w:rsid w:val="004C60B9"/>
    <w:rsid w:val="004C663C"/>
    <w:rsid w:val="004D0D2E"/>
    <w:rsid w:val="004D11F4"/>
    <w:rsid w:val="004D1F4C"/>
    <w:rsid w:val="004E1651"/>
    <w:rsid w:val="004E3263"/>
    <w:rsid w:val="004E4C3B"/>
    <w:rsid w:val="004E56FF"/>
    <w:rsid w:val="004E6D5D"/>
    <w:rsid w:val="004E7286"/>
    <w:rsid w:val="004E7D30"/>
    <w:rsid w:val="004F0A62"/>
    <w:rsid w:val="004F3282"/>
    <w:rsid w:val="004F3F95"/>
    <w:rsid w:val="004F40E3"/>
    <w:rsid w:val="004F6AC0"/>
    <w:rsid w:val="00502E18"/>
    <w:rsid w:val="00504E66"/>
    <w:rsid w:val="00513548"/>
    <w:rsid w:val="00516679"/>
    <w:rsid w:val="005232A2"/>
    <w:rsid w:val="005321D9"/>
    <w:rsid w:val="00532BAF"/>
    <w:rsid w:val="00535EE8"/>
    <w:rsid w:val="00536BD9"/>
    <w:rsid w:val="005408D5"/>
    <w:rsid w:val="005425C3"/>
    <w:rsid w:val="00543417"/>
    <w:rsid w:val="00544F14"/>
    <w:rsid w:val="00547752"/>
    <w:rsid w:val="005506D3"/>
    <w:rsid w:val="00550F49"/>
    <w:rsid w:val="00551D82"/>
    <w:rsid w:val="00552549"/>
    <w:rsid w:val="00554283"/>
    <w:rsid w:val="005545B3"/>
    <w:rsid w:val="00554A88"/>
    <w:rsid w:val="005556C5"/>
    <w:rsid w:val="00555BCE"/>
    <w:rsid w:val="00566404"/>
    <w:rsid w:val="00566D1F"/>
    <w:rsid w:val="00570B00"/>
    <w:rsid w:val="00573291"/>
    <w:rsid w:val="005756AD"/>
    <w:rsid w:val="0057721F"/>
    <w:rsid w:val="00580816"/>
    <w:rsid w:val="00581D4B"/>
    <w:rsid w:val="00581EFE"/>
    <w:rsid w:val="00583C9C"/>
    <w:rsid w:val="005847E8"/>
    <w:rsid w:val="00585F21"/>
    <w:rsid w:val="00587BED"/>
    <w:rsid w:val="00587DB9"/>
    <w:rsid w:val="00590DEE"/>
    <w:rsid w:val="00591CB7"/>
    <w:rsid w:val="00591D3E"/>
    <w:rsid w:val="00594DE7"/>
    <w:rsid w:val="005957DD"/>
    <w:rsid w:val="005A3D73"/>
    <w:rsid w:val="005A451E"/>
    <w:rsid w:val="005A4C83"/>
    <w:rsid w:val="005A5AC1"/>
    <w:rsid w:val="005A65F4"/>
    <w:rsid w:val="005A6633"/>
    <w:rsid w:val="005A68C3"/>
    <w:rsid w:val="005A69BA"/>
    <w:rsid w:val="005A6C32"/>
    <w:rsid w:val="005B09F4"/>
    <w:rsid w:val="005B31A8"/>
    <w:rsid w:val="005B50AE"/>
    <w:rsid w:val="005B75A8"/>
    <w:rsid w:val="005B787A"/>
    <w:rsid w:val="005C0D60"/>
    <w:rsid w:val="005C1DA2"/>
    <w:rsid w:val="005C2F9D"/>
    <w:rsid w:val="005C3164"/>
    <w:rsid w:val="005C3F54"/>
    <w:rsid w:val="005C4337"/>
    <w:rsid w:val="005C7D56"/>
    <w:rsid w:val="005D1415"/>
    <w:rsid w:val="005D157D"/>
    <w:rsid w:val="005D4E4C"/>
    <w:rsid w:val="005D5BC8"/>
    <w:rsid w:val="005D5C84"/>
    <w:rsid w:val="005D627B"/>
    <w:rsid w:val="005D7354"/>
    <w:rsid w:val="005D73AF"/>
    <w:rsid w:val="005D7E94"/>
    <w:rsid w:val="005E1FF2"/>
    <w:rsid w:val="005E3169"/>
    <w:rsid w:val="005E3AC3"/>
    <w:rsid w:val="005E6658"/>
    <w:rsid w:val="005E7C31"/>
    <w:rsid w:val="005F21DA"/>
    <w:rsid w:val="005F22E7"/>
    <w:rsid w:val="005F516A"/>
    <w:rsid w:val="005F5205"/>
    <w:rsid w:val="005F53A4"/>
    <w:rsid w:val="005F7042"/>
    <w:rsid w:val="00600571"/>
    <w:rsid w:val="00601310"/>
    <w:rsid w:val="00604024"/>
    <w:rsid w:val="0060439C"/>
    <w:rsid w:val="006046E9"/>
    <w:rsid w:val="006048A9"/>
    <w:rsid w:val="006052DD"/>
    <w:rsid w:val="006101D6"/>
    <w:rsid w:val="006136EF"/>
    <w:rsid w:val="00620B3F"/>
    <w:rsid w:val="00622ED8"/>
    <w:rsid w:val="00623478"/>
    <w:rsid w:val="00626995"/>
    <w:rsid w:val="00630347"/>
    <w:rsid w:val="00631388"/>
    <w:rsid w:val="00631B86"/>
    <w:rsid w:val="006325DA"/>
    <w:rsid w:val="006331CC"/>
    <w:rsid w:val="006331D9"/>
    <w:rsid w:val="00634112"/>
    <w:rsid w:val="00635D46"/>
    <w:rsid w:val="00637E6A"/>
    <w:rsid w:val="00641064"/>
    <w:rsid w:val="006417D3"/>
    <w:rsid w:val="00641C1B"/>
    <w:rsid w:val="006424EE"/>
    <w:rsid w:val="006451E8"/>
    <w:rsid w:val="00645C79"/>
    <w:rsid w:val="00650403"/>
    <w:rsid w:val="00652650"/>
    <w:rsid w:val="00653E37"/>
    <w:rsid w:val="006559DA"/>
    <w:rsid w:val="0065737B"/>
    <w:rsid w:val="00663BB5"/>
    <w:rsid w:val="0066422E"/>
    <w:rsid w:val="0066593F"/>
    <w:rsid w:val="006679C8"/>
    <w:rsid w:val="00673F32"/>
    <w:rsid w:val="0067457D"/>
    <w:rsid w:val="00675A16"/>
    <w:rsid w:val="00675D70"/>
    <w:rsid w:val="00676BA1"/>
    <w:rsid w:val="0067712A"/>
    <w:rsid w:val="00680EFC"/>
    <w:rsid w:val="00684BF6"/>
    <w:rsid w:val="006854F4"/>
    <w:rsid w:val="00691122"/>
    <w:rsid w:val="00692E86"/>
    <w:rsid w:val="00693753"/>
    <w:rsid w:val="00697408"/>
    <w:rsid w:val="00697B28"/>
    <w:rsid w:val="006A11D4"/>
    <w:rsid w:val="006A195B"/>
    <w:rsid w:val="006A1E0F"/>
    <w:rsid w:val="006A2710"/>
    <w:rsid w:val="006A37F0"/>
    <w:rsid w:val="006B02D6"/>
    <w:rsid w:val="006B0EA5"/>
    <w:rsid w:val="006B131D"/>
    <w:rsid w:val="006B3375"/>
    <w:rsid w:val="006B6BC5"/>
    <w:rsid w:val="006C2201"/>
    <w:rsid w:val="006C419B"/>
    <w:rsid w:val="006C5941"/>
    <w:rsid w:val="006D77BC"/>
    <w:rsid w:val="006D7CBA"/>
    <w:rsid w:val="006E0B83"/>
    <w:rsid w:val="006E2690"/>
    <w:rsid w:val="006E333D"/>
    <w:rsid w:val="006E4506"/>
    <w:rsid w:val="006E4609"/>
    <w:rsid w:val="006E6949"/>
    <w:rsid w:val="006F2437"/>
    <w:rsid w:val="006F38E8"/>
    <w:rsid w:val="006F3F19"/>
    <w:rsid w:val="006F600D"/>
    <w:rsid w:val="006F6F6C"/>
    <w:rsid w:val="00701ADA"/>
    <w:rsid w:val="007030B2"/>
    <w:rsid w:val="00704335"/>
    <w:rsid w:val="00704ED6"/>
    <w:rsid w:val="00712269"/>
    <w:rsid w:val="00713F01"/>
    <w:rsid w:val="007149DC"/>
    <w:rsid w:val="00716348"/>
    <w:rsid w:val="007167BC"/>
    <w:rsid w:val="00716861"/>
    <w:rsid w:val="0072192B"/>
    <w:rsid w:val="007239D7"/>
    <w:rsid w:val="00723D6A"/>
    <w:rsid w:val="007258DD"/>
    <w:rsid w:val="007271C6"/>
    <w:rsid w:val="00731893"/>
    <w:rsid w:val="00732444"/>
    <w:rsid w:val="007336DC"/>
    <w:rsid w:val="00734ED8"/>
    <w:rsid w:val="007409E5"/>
    <w:rsid w:val="0075039F"/>
    <w:rsid w:val="007514B8"/>
    <w:rsid w:val="00751C8E"/>
    <w:rsid w:val="00751CB7"/>
    <w:rsid w:val="00751F87"/>
    <w:rsid w:val="00760864"/>
    <w:rsid w:val="00761E88"/>
    <w:rsid w:val="0076280E"/>
    <w:rsid w:val="007628C9"/>
    <w:rsid w:val="00763005"/>
    <w:rsid w:val="00765E0D"/>
    <w:rsid w:val="00770682"/>
    <w:rsid w:val="00771D13"/>
    <w:rsid w:val="00772A18"/>
    <w:rsid w:val="00774C8A"/>
    <w:rsid w:val="00775783"/>
    <w:rsid w:val="0077678C"/>
    <w:rsid w:val="00776D27"/>
    <w:rsid w:val="00777A9F"/>
    <w:rsid w:val="007859B8"/>
    <w:rsid w:val="00786239"/>
    <w:rsid w:val="007879D3"/>
    <w:rsid w:val="00791F46"/>
    <w:rsid w:val="0079400D"/>
    <w:rsid w:val="007947D4"/>
    <w:rsid w:val="00794F34"/>
    <w:rsid w:val="00794FE7"/>
    <w:rsid w:val="007A1443"/>
    <w:rsid w:val="007A30B5"/>
    <w:rsid w:val="007A326A"/>
    <w:rsid w:val="007A329A"/>
    <w:rsid w:val="007A5120"/>
    <w:rsid w:val="007B011D"/>
    <w:rsid w:val="007B02A8"/>
    <w:rsid w:val="007B2BAD"/>
    <w:rsid w:val="007B3FCE"/>
    <w:rsid w:val="007B561E"/>
    <w:rsid w:val="007B617D"/>
    <w:rsid w:val="007B636D"/>
    <w:rsid w:val="007B795D"/>
    <w:rsid w:val="007C1F30"/>
    <w:rsid w:val="007C3346"/>
    <w:rsid w:val="007C35AA"/>
    <w:rsid w:val="007C48D7"/>
    <w:rsid w:val="007C51D0"/>
    <w:rsid w:val="007C60C0"/>
    <w:rsid w:val="007C79FA"/>
    <w:rsid w:val="007C7FF2"/>
    <w:rsid w:val="007D4F3D"/>
    <w:rsid w:val="007E0052"/>
    <w:rsid w:val="007E0E89"/>
    <w:rsid w:val="007E3BFE"/>
    <w:rsid w:val="007E4533"/>
    <w:rsid w:val="007E4C32"/>
    <w:rsid w:val="007E7F73"/>
    <w:rsid w:val="007F0697"/>
    <w:rsid w:val="007F0AE8"/>
    <w:rsid w:val="007F1ACF"/>
    <w:rsid w:val="007F204B"/>
    <w:rsid w:val="007F225B"/>
    <w:rsid w:val="007F4476"/>
    <w:rsid w:val="007F484F"/>
    <w:rsid w:val="007F5975"/>
    <w:rsid w:val="007F75FC"/>
    <w:rsid w:val="0080105E"/>
    <w:rsid w:val="008012C3"/>
    <w:rsid w:val="0080138E"/>
    <w:rsid w:val="00802DE6"/>
    <w:rsid w:val="008045A1"/>
    <w:rsid w:val="008048D1"/>
    <w:rsid w:val="00804B45"/>
    <w:rsid w:val="00811432"/>
    <w:rsid w:val="00813D81"/>
    <w:rsid w:val="00815A0F"/>
    <w:rsid w:val="008162FD"/>
    <w:rsid w:val="00816627"/>
    <w:rsid w:val="00816B2E"/>
    <w:rsid w:val="00817030"/>
    <w:rsid w:val="00817618"/>
    <w:rsid w:val="00817B7E"/>
    <w:rsid w:val="00817C02"/>
    <w:rsid w:val="00820929"/>
    <w:rsid w:val="00820E3C"/>
    <w:rsid w:val="00822161"/>
    <w:rsid w:val="00822E80"/>
    <w:rsid w:val="008245E1"/>
    <w:rsid w:val="00825239"/>
    <w:rsid w:val="00827732"/>
    <w:rsid w:val="0082788D"/>
    <w:rsid w:val="00833B7B"/>
    <w:rsid w:val="008346F6"/>
    <w:rsid w:val="008364F5"/>
    <w:rsid w:val="00840425"/>
    <w:rsid w:val="008413FE"/>
    <w:rsid w:val="00843CAD"/>
    <w:rsid w:val="00845291"/>
    <w:rsid w:val="008459F7"/>
    <w:rsid w:val="00845DD8"/>
    <w:rsid w:val="00846B5A"/>
    <w:rsid w:val="008504F5"/>
    <w:rsid w:val="008525BD"/>
    <w:rsid w:val="00852880"/>
    <w:rsid w:val="00852C3D"/>
    <w:rsid w:val="00852ED8"/>
    <w:rsid w:val="00853767"/>
    <w:rsid w:val="0085376D"/>
    <w:rsid w:val="00854064"/>
    <w:rsid w:val="00856196"/>
    <w:rsid w:val="008578C8"/>
    <w:rsid w:val="00860284"/>
    <w:rsid w:val="008610C6"/>
    <w:rsid w:val="00862738"/>
    <w:rsid w:val="008628F4"/>
    <w:rsid w:val="0086656D"/>
    <w:rsid w:val="00871CBF"/>
    <w:rsid w:val="00873173"/>
    <w:rsid w:val="008748D4"/>
    <w:rsid w:val="00874B46"/>
    <w:rsid w:val="008758C9"/>
    <w:rsid w:val="00875CF7"/>
    <w:rsid w:val="00877A9B"/>
    <w:rsid w:val="00880B63"/>
    <w:rsid w:val="00880BA5"/>
    <w:rsid w:val="00883548"/>
    <w:rsid w:val="00883AE2"/>
    <w:rsid w:val="00887524"/>
    <w:rsid w:val="00890501"/>
    <w:rsid w:val="008911E2"/>
    <w:rsid w:val="008918FD"/>
    <w:rsid w:val="008921C7"/>
    <w:rsid w:val="00897491"/>
    <w:rsid w:val="008A0660"/>
    <w:rsid w:val="008A2743"/>
    <w:rsid w:val="008A2760"/>
    <w:rsid w:val="008A7D0A"/>
    <w:rsid w:val="008B1091"/>
    <w:rsid w:val="008B11DE"/>
    <w:rsid w:val="008B2A67"/>
    <w:rsid w:val="008B3A96"/>
    <w:rsid w:val="008B3F74"/>
    <w:rsid w:val="008B5A94"/>
    <w:rsid w:val="008B6D75"/>
    <w:rsid w:val="008B752E"/>
    <w:rsid w:val="008C1E5C"/>
    <w:rsid w:val="008C44F1"/>
    <w:rsid w:val="008C4778"/>
    <w:rsid w:val="008C58B0"/>
    <w:rsid w:val="008D11CF"/>
    <w:rsid w:val="008D24EC"/>
    <w:rsid w:val="008D67A2"/>
    <w:rsid w:val="008E0C65"/>
    <w:rsid w:val="008E133E"/>
    <w:rsid w:val="008E2E6B"/>
    <w:rsid w:val="008E4CCF"/>
    <w:rsid w:val="008E6238"/>
    <w:rsid w:val="008F166F"/>
    <w:rsid w:val="008F1D8E"/>
    <w:rsid w:val="008F244E"/>
    <w:rsid w:val="008F3223"/>
    <w:rsid w:val="008F47C5"/>
    <w:rsid w:val="008F4B7C"/>
    <w:rsid w:val="008F5FBD"/>
    <w:rsid w:val="008F754E"/>
    <w:rsid w:val="008F7F1E"/>
    <w:rsid w:val="0090148B"/>
    <w:rsid w:val="00901E3E"/>
    <w:rsid w:val="009028ED"/>
    <w:rsid w:val="00903515"/>
    <w:rsid w:val="0090509C"/>
    <w:rsid w:val="0090574F"/>
    <w:rsid w:val="009153C7"/>
    <w:rsid w:val="00916E2C"/>
    <w:rsid w:val="00920834"/>
    <w:rsid w:val="009227E6"/>
    <w:rsid w:val="00924B35"/>
    <w:rsid w:val="0093036F"/>
    <w:rsid w:val="0093074F"/>
    <w:rsid w:val="0093075C"/>
    <w:rsid w:val="009320E1"/>
    <w:rsid w:val="00932A76"/>
    <w:rsid w:val="00932AE8"/>
    <w:rsid w:val="00943FD0"/>
    <w:rsid w:val="0094480F"/>
    <w:rsid w:val="00944E39"/>
    <w:rsid w:val="009462BB"/>
    <w:rsid w:val="00950D09"/>
    <w:rsid w:val="009510D1"/>
    <w:rsid w:val="0095397A"/>
    <w:rsid w:val="00954926"/>
    <w:rsid w:val="00955FD0"/>
    <w:rsid w:val="00956C38"/>
    <w:rsid w:val="00960397"/>
    <w:rsid w:val="00961614"/>
    <w:rsid w:val="00963913"/>
    <w:rsid w:val="00967888"/>
    <w:rsid w:val="00971569"/>
    <w:rsid w:val="00972DAB"/>
    <w:rsid w:val="00974E26"/>
    <w:rsid w:val="009752EB"/>
    <w:rsid w:val="00980BE9"/>
    <w:rsid w:val="009811DD"/>
    <w:rsid w:val="009812D6"/>
    <w:rsid w:val="00983608"/>
    <w:rsid w:val="00984AD7"/>
    <w:rsid w:val="00984EA5"/>
    <w:rsid w:val="0098537D"/>
    <w:rsid w:val="0098584B"/>
    <w:rsid w:val="0098621A"/>
    <w:rsid w:val="009906D0"/>
    <w:rsid w:val="009910A6"/>
    <w:rsid w:val="009911D6"/>
    <w:rsid w:val="009913C2"/>
    <w:rsid w:val="00991AFB"/>
    <w:rsid w:val="00993BA0"/>
    <w:rsid w:val="0099559A"/>
    <w:rsid w:val="00995766"/>
    <w:rsid w:val="009A1029"/>
    <w:rsid w:val="009A111B"/>
    <w:rsid w:val="009A131E"/>
    <w:rsid w:val="009A1CB7"/>
    <w:rsid w:val="009A611D"/>
    <w:rsid w:val="009A652C"/>
    <w:rsid w:val="009B03D7"/>
    <w:rsid w:val="009B0892"/>
    <w:rsid w:val="009B19E3"/>
    <w:rsid w:val="009B437E"/>
    <w:rsid w:val="009B52BC"/>
    <w:rsid w:val="009B561E"/>
    <w:rsid w:val="009B5C3D"/>
    <w:rsid w:val="009B5D0B"/>
    <w:rsid w:val="009B6A7A"/>
    <w:rsid w:val="009B76C2"/>
    <w:rsid w:val="009C0FFF"/>
    <w:rsid w:val="009C10BF"/>
    <w:rsid w:val="009C2B60"/>
    <w:rsid w:val="009D0F04"/>
    <w:rsid w:val="009D3D96"/>
    <w:rsid w:val="009D5487"/>
    <w:rsid w:val="009D6257"/>
    <w:rsid w:val="009E125E"/>
    <w:rsid w:val="009E232D"/>
    <w:rsid w:val="009E3621"/>
    <w:rsid w:val="009E3A0B"/>
    <w:rsid w:val="009E66AA"/>
    <w:rsid w:val="009F399D"/>
    <w:rsid w:val="009F5324"/>
    <w:rsid w:val="00A01149"/>
    <w:rsid w:val="00A0271C"/>
    <w:rsid w:val="00A03FFE"/>
    <w:rsid w:val="00A04BD8"/>
    <w:rsid w:val="00A07337"/>
    <w:rsid w:val="00A117D9"/>
    <w:rsid w:val="00A11A2D"/>
    <w:rsid w:val="00A1223B"/>
    <w:rsid w:val="00A13418"/>
    <w:rsid w:val="00A13A35"/>
    <w:rsid w:val="00A16E12"/>
    <w:rsid w:val="00A206B9"/>
    <w:rsid w:val="00A211A3"/>
    <w:rsid w:val="00A22143"/>
    <w:rsid w:val="00A27B43"/>
    <w:rsid w:val="00A3488D"/>
    <w:rsid w:val="00A36102"/>
    <w:rsid w:val="00A36971"/>
    <w:rsid w:val="00A40D18"/>
    <w:rsid w:val="00A42CC5"/>
    <w:rsid w:val="00A43690"/>
    <w:rsid w:val="00A43D62"/>
    <w:rsid w:val="00A44CD6"/>
    <w:rsid w:val="00A45671"/>
    <w:rsid w:val="00A47807"/>
    <w:rsid w:val="00A5007E"/>
    <w:rsid w:val="00A50E5C"/>
    <w:rsid w:val="00A5250B"/>
    <w:rsid w:val="00A55F7B"/>
    <w:rsid w:val="00A56811"/>
    <w:rsid w:val="00A569E0"/>
    <w:rsid w:val="00A57986"/>
    <w:rsid w:val="00A6069D"/>
    <w:rsid w:val="00A60744"/>
    <w:rsid w:val="00A6100A"/>
    <w:rsid w:val="00A616D0"/>
    <w:rsid w:val="00A64898"/>
    <w:rsid w:val="00A66AB3"/>
    <w:rsid w:val="00A70DFB"/>
    <w:rsid w:val="00A721D8"/>
    <w:rsid w:val="00A721E2"/>
    <w:rsid w:val="00A73B93"/>
    <w:rsid w:val="00A73C49"/>
    <w:rsid w:val="00A762F2"/>
    <w:rsid w:val="00A81EE3"/>
    <w:rsid w:val="00A8253C"/>
    <w:rsid w:val="00A82976"/>
    <w:rsid w:val="00A8333C"/>
    <w:rsid w:val="00A834D6"/>
    <w:rsid w:val="00A83C61"/>
    <w:rsid w:val="00A85378"/>
    <w:rsid w:val="00A86B00"/>
    <w:rsid w:val="00A877D2"/>
    <w:rsid w:val="00A87C44"/>
    <w:rsid w:val="00A916E2"/>
    <w:rsid w:val="00A934CB"/>
    <w:rsid w:val="00A97D3A"/>
    <w:rsid w:val="00AA07FD"/>
    <w:rsid w:val="00AA0E5E"/>
    <w:rsid w:val="00AA3475"/>
    <w:rsid w:val="00AA56FC"/>
    <w:rsid w:val="00AA5A3E"/>
    <w:rsid w:val="00AA6B57"/>
    <w:rsid w:val="00AB1F2F"/>
    <w:rsid w:val="00AB24C9"/>
    <w:rsid w:val="00AB3F05"/>
    <w:rsid w:val="00AB45AC"/>
    <w:rsid w:val="00AB4C00"/>
    <w:rsid w:val="00AC0D44"/>
    <w:rsid w:val="00AC3989"/>
    <w:rsid w:val="00AC5D75"/>
    <w:rsid w:val="00AC5E2A"/>
    <w:rsid w:val="00AC6C97"/>
    <w:rsid w:val="00AC747C"/>
    <w:rsid w:val="00AD075B"/>
    <w:rsid w:val="00AD1606"/>
    <w:rsid w:val="00AD325D"/>
    <w:rsid w:val="00AD4F34"/>
    <w:rsid w:val="00AE0261"/>
    <w:rsid w:val="00AE3357"/>
    <w:rsid w:val="00AE3DFA"/>
    <w:rsid w:val="00AE3FCF"/>
    <w:rsid w:val="00AE4ADF"/>
    <w:rsid w:val="00AE64B0"/>
    <w:rsid w:val="00AE689B"/>
    <w:rsid w:val="00AE7A03"/>
    <w:rsid w:val="00AF0475"/>
    <w:rsid w:val="00AF1B75"/>
    <w:rsid w:val="00AF1C47"/>
    <w:rsid w:val="00AF3063"/>
    <w:rsid w:val="00AF34D4"/>
    <w:rsid w:val="00AF420A"/>
    <w:rsid w:val="00B013D8"/>
    <w:rsid w:val="00B01BAF"/>
    <w:rsid w:val="00B02020"/>
    <w:rsid w:val="00B02ABD"/>
    <w:rsid w:val="00B05655"/>
    <w:rsid w:val="00B066C2"/>
    <w:rsid w:val="00B0677C"/>
    <w:rsid w:val="00B06A8E"/>
    <w:rsid w:val="00B151FE"/>
    <w:rsid w:val="00B15509"/>
    <w:rsid w:val="00B200CB"/>
    <w:rsid w:val="00B20C65"/>
    <w:rsid w:val="00B221AD"/>
    <w:rsid w:val="00B227BC"/>
    <w:rsid w:val="00B23894"/>
    <w:rsid w:val="00B243A9"/>
    <w:rsid w:val="00B256A1"/>
    <w:rsid w:val="00B26B2A"/>
    <w:rsid w:val="00B26F05"/>
    <w:rsid w:val="00B27A15"/>
    <w:rsid w:val="00B30231"/>
    <w:rsid w:val="00B327D7"/>
    <w:rsid w:val="00B36278"/>
    <w:rsid w:val="00B365CD"/>
    <w:rsid w:val="00B3665A"/>
    <w:rsid w:val="00B41911"/>
    <w:rsid w:val="00B455AE"/>
    <w:rsid w:val="00B51C93"/>
    <w:rsid w:val="00B52908"/>
    <w:rsid w:val="00B53150"/>
    <w:rsid w:val="00B53E7A"/>
    <w:rsid w:val="00B57F22"/>
    <w:rsid w:val="00B61224"/>
    <w:rsid w:val="00B612A6"/>
    <w:rsid w:val="00B64AFD"/>
    <w:rsid w:val="00B65625"/>
    <w:rsid w:val="00B6596E"/>
    <w:rsid w:val="00B65D1C"/>
    <w:rsid w:val="00B65DC9"/>
    <w:rsid w:val="00B66CCA"/>
    <w:rsid w:val="00B713EE"/>
    <w:rsid w:val="00B71596"/>
    <w:rsid w:val="00B71667"/>
    <w:rsid w:val="00B724C3"/>
    <w:rsid w:val="00B73E5F"/>
    <w:rsid w:val="00B73F45"/>
    <w:rsid w:val="00B7456C"/>
    <w:rsid w:val="00B7514E"/>
    <w:rsid w:val="00B7621F"/>
    <w:rsid w:val="00B8057A"/>
    <w:rsid w:val="00B810BE"/>
    <w:rsid w:val="00B83EE1"/>
    <w:rsid w:val="00B863DD"/>
    <w:rsid w:val="00B87EAE"/>
    <w:rsid w:val="00B9088A"/>
    <w:rsid w:val="00B91703"/>
    <w:rsid w:val="00B93DA8"/>
    <w:rsid w:val="00B9517C"/>
    <w:rsid w:val="00B96286"/>
    <w:rsid w:val="00B963A6"/>
    <w:rsid w:val="00B96DA4"/>
    <w:rsid w:val="00BA3CCD"/>
    <w:rsid w:val="00BA4C94"/>
    <w:rsid w:val="00BA51B8"/>
    <w:rsid w:val="00BA6B84"/>
    <w:rsid w:val="00BB052D"/>
    <w:rsid w:val="00BB0AEE"/>
    <w:rsid w:val="00BB3557"/>
    <w:rsid w:val="00BB4CF9"/>
    <w:rsid w:val="00BB6402"/>
    <w:rsid w:val="00BB7E41"/>
    <w:rsid w:val="00BC473E"/>
    <w:rsid w:val="00BC6FC9"/>
    <w:rsid w:val="00BD289A"/>
    <w:rsid w:val="00BE0FAF"/>
    <w:rsid w:val="00BE1048"/>
    <w:rsid w:val="00BE1327"/>
    <w:rsid w:val="00BE288B"/>
    <w:rsid w:val="00BE54B7"/>
    <w:rsid w:val="00BE5FE8"/>
    <w:rsid w:val="00BE69D9"/>
    <w:rsid w:val="00BE7683"/>
    <w:rsid w:val="00BF0D5A"/>
    <w:rsid w:val="00BF1C3D"/>
    <w:rsid w:val="00BF5579"/>
    <w:rsid w:val="00BF5CC0"/>
    <w:rsid w:val="00C00ABA"/>
    <w:rsid w:val="00C028EF"/>
    <w:rsid w:val="00C02AD0"/>
    <w:rsid w:val="00C02FC0"/>
    <w:rsid w:val="00C03242"/>
    <w:rsid w:val="00C0475D"/>
    <w:rsid w:val="00C06E9E"/>
    <w:rsid w:val="00C07764"/>
    <w:rsid w:val="00C11764"/>
    <w:rsid w:val="00C136A6"/>
    <w:rsid w:val="00C14275"/>
    <w:rsid w:val="00C17940"/>
    <w:rsid w:val="00C21950"/>
    <w:rsid w:val="00C22EE6"/>
    <w:rsid w:val="00C23C40"/>
    <w:rsid w:val="00C24C7F"/>
    <w:rsid w:val="00C25474"/>
    <w:rsid w:val="00C2585A"/>
    <w:rsid w:val="00C25D9D"/>
    <w:rsid w:val="00C265D0"/>
    <w:rsid w:val="00C31A3D"/>
    <w:rsid w:val="00C32D6B"/>
    <w:rsid w:val="00C33A08"/>
    <w:rsid w:val="00C36761"/>
    <w:rsid w:val="00C36EBA"/>
    <w:rsid w:val="00C41697"/>
    <w:rsid w:val="00C41C65"/>
    <w:rsid w:val="00C4399C"/>
    <w:rsid w:val="00C441E6"/>
    <w:rsid w:val="00C44351"/>
    <w:rsid w:val="00C51347"/>
    <w:rsid w:val="00C514D5"/>
    <w:rsid w:val="00C54E0D"/>
    <w:rsid w:val="00C574D6"/>
    <w:rsid w:val="00C575A3"/>
    <w:rsid w:val="00C6194A"/>
    <w:rsid w:val="00C62862"/>
    <w:rsid w:val="00C6585B"/>
    <w:rsid w:val="00C65C71"/>
    <w:rsid w:val="00C670C0"/>
    <w:rsid w:val="00C70D1A"/>
    <w:rsid w:val="00C71969"/>
    <w:rsid w:val="00C75A99"/>
    <w:rsid w:val="00C80E59"/>
    <w:rsid w:val="00C80EEF"/>
    <w:rsid w:val="00C83F2F"/>
    <w:rsid w:val="00C902A7"/>
    <w:rsid w:val="00C91091"/>
    <w:rsid w:val="00C91542"/>
    <w:rsid w:val="00C91746"/>
    <w:rsid w:val="00C92F75"/>
    <w:rsid w:val="00C95607"/>
    <w:rsid w:val="00C9632C"/>
    <w:rsid w:val="00C97278"/>
    <w:rsid w:val="00CA0824"/>
    <w:rsid w:val="00CA1D18"/>
    <w:rsid w:val="00CA328E"/>
    <w:rsid w:val="00CA36AA"/>
    <w:rsid w:val="00CA4ACD"/>
    <w:rsid w:val="00CA4E65"/>
    <w:rsid w:val="00CA52AC"/>
    <w:rsid w:val="00CA5337"/>
    <w:rsid w:val="00CA778E"/>
    <w:rsid w:val="00CB0ECD"/>
    <w:rsid w:val="00CB14AC"/>
    <w:rsid w:val="00CB1FE0"/>
    <w:rsid w:val="00CB2095"/>
    <w:rsid w:val="00CB399E"/>
    <w:rsid w:val="00CB5CA3"/>
    <w:rsid w:val="00CB6D59"/>
    <w:rsid w:val="00CC0D9A"/>
    <w:rsid w:val="00CC26DB"/>
    <w:rsid w:val="00CC3066"/>
    <w:rsid w:val="00CC3E7B"/>
    <w:rsid w:val="00CC4084"/>
    <w:rsid w:val="00CC68E1"/>
    <w:rsid w:val="00CC7A5F"/>
    <w:rsid w:val="00CD3561"/>
    <w:rsid w:val="00CE0150"/>
    <w:rsid w:val="00CE0B31"/>
    <w:rsid w:val="00CE2F77"/>
    <w:rsid w:val="00CE35EB"/>
    <w:rsid w:val="00CE3768"/>
    <w:rsid w:val="00CE7AE1"/>
    <w:rsid w:val="00CF0CF3"/>
    <w:rsid w:val="00CF0D8A"/>
    <w:rsid w:val="00CF13C6"/>
    <w:rsid w:val="00CF1F69"/>
    <w:rsid w:val="00CF26A6"/>
    <w:rsid w:val="00CF410B"/>
    <w:rsid w:val="00CF5E98"/>
    <w:rsid w:val="00CF6643"/>
    <w:rsid w:val="00D00A5A"/>
    <w:rsid w:val="00D0110C"/>
    <w:rsid w:val="00D04353"/>
    <w:rsid w:val="00D07390"/>
    <w:rsid w:val="00D103AA"/>
    <w:rsid w:val="00D10443"/>
    <w:rsid w:val="00D105BC"/>
    <w:rsid w:val="00D13317"/>
    <w:rsid w:val="00D13476"/>
    <w:rsid w:val="00D13D3E"/>
    <w:rsid w:val="00D1523B"/>
    <w:rsid w:val="00D16597"/>
    <w:rsid w:val="00D17156"/>
    <w:rsid w:val="00D21D49"/>
    <w:rsid w:val="00D22A72"/>
    <w:rsid w:val="00D235AF"/>
    <w:rsid w:val="00D23A7F"/>
    <w:rsid w:val="00D2430E"/>
    <w:rsid w:val="00D247BC"/>
    <w:rsid w:val="00D269FF"/>
    <w:rsid w:val="00D2715B"/>
    <w:rsid w:val="00D30EC7"/>
    <w:rsid w:val="00D3273A"/>
    <w:rsid w:val="00D33212"/>
    <w:rsid w:val="00D370B3"/>
    <w:rsid w:val="00D42085"/>
    <w:rsid w:val="00D441F5"/>
    <w:rsid w:val="00D467A5"/>
    <w:rsid w:val="00D472C0"/>
    <w:rsid w:val="00D4776A"/>
    <w:rsid w:val="00D5357C"/>
    <w:rsid w:val="00D5414D"/>
    <w:rsid w:val="00D54561"/>
    <w:rsid w:val="00D5563B"/>
    <w:rsid w:val="00D57F80"/>
    <w:rsid w:val="00D60C8D"/>
    <w:rsid w:val="00D64A25"/>
    <w:rsid w:val="00D6591D"/>
    <w:rsid w:val="00D678B5"/>
    <w:rsid w:val="00D67E20"/>
    <w:rsid w:val="00D71826"/>
    <w:rsid w:val="00D72E80"/>
    <w:rsid w:val="00D748B7"/>
    <w:rsid w:val="00D82DC4"/>
    <w:rsid w:val="00D835F2"/>
    <w:rsid w:val="00D83E98"/>
    <w:rsid w:val="00D86C47"/>
    <w:rsid w:val="00D870A7"/>
    <w:rsid w:val="00D87E8E"/>
    <w:rsid w:val="00D90CFA"/>
    <w:rsid w:val="00D92D88"/>
    <w:rsid w:val="00D93319"/>
    <w:rsid w:val="00D9368D"/>
    <w:rsid w:val="00D94B3B"/>
    <w:rsid w:val="00D9560F"/>
    <w:rsid w:val="00D95D92"/>
    <w:rsid w:val="00D9625D"/>
    <w:rsid w:val="00DA1450"/>
    <w:rsid w:val="00DA1E45"/>
    <w:rsid w:val="00DA447E"/>
    <w:rsid w:val="00DA51E0"/>
    <w:rsid w:val="00DB21C3"/>
    <w:rsid w:val="00DB47AB"/>
    <w:rsid w:val="00DB5FD9"/>
    <w:rsid w:val="00DB705F"/>
    <w:rsid w:val="00DB7169"/>
    <w:rsid w:val="00DB7B35"/>
    <w:rsid w:val="00DB7EC9"/>
    <w:rsid w:val="00DC0BC1"/>
    <w:rsid w:val="00DC17A7"/>
    <w:rsid w:val="00DC1AF1"/>
    <w:rsid w:val="00DC1E77"/>
    <w:rsid w:val="00DC2DF9"/>
    <w:rsid w:val="00DC4CFB"/>
    <w:rsid w:val="00DC62E2"/>
    <w:rsid w:val="00DC7588"/>
    <w:rsid w:val="00DD04F8"/>
    <w:rsid w:val="00DD49B4"/>
    <w:rsid w:val="00DD5866"/>
    <w:rsid w:val="00DD6776"/>
    <w:rsid w:val="00DD7A56"/>
    <w:rsid w:val="00DE507A"/>
    <w:rsid w:val="00DE7138"/>
    <w:rsid w:val="00DF019B"/>
    <w:rsid w:val="00DF1048"/>
    <w:rsid w:val="00DF11DA"/>
    <w:rsid w:val="00DF2FA3"/>
    <w:rsid w:val="00DF344D"/>
    <w:rsid w:val="00DF3A5A"/>
    <w:rsid w:val="00DF5AAE"/>
    <w:rsid w:val="00DF5C7C"/>
    <w:rsid w:val="00DF606D"/>
    <w:rsid w:val="00DF77B7"/>
    <w:rsid w:val="00E00CFA"/>
    <w:rsid w:val="00E015EC"/>
    <w:rsid w:val="00E019D0"/>
    <w:rsid w:val="00E02764"/>
    <w:rsid w:val="00E02894"/>
    <w:rsid w:val="00E117D9"/>
    <w:rsid w:val="00E131C1"/>
    <w:rsid w:val="00E132B5"/>
    <w:rsid w:val="00E13822"/>
    <w:rsid w:val="00E163C2"/>
    <w:rsid w:val="00E177C6"/>
    <w:rsid w:val="00E20E68"/>
    <w:rsid w:val="00E2140A"/>
    <w:rsid w:val="00E216AF"/>
    <w:rsid w:val="00E25397"/>
    <w:rsid w:val="00E27412"/>
    <w:rsid w:val="00E27EA1"/>
    <w:rsid w:val="00E30AD6"/>
    <w:rsid w:val="00E36223"/>
    <w:rsid w:val="00E37D8A"/>
    <w:rsid w:val="00E40E58"/>
    <w:rsid w:val="00E40EF1"/>
    <w:rsid w:val="00E43271"/>
    <w:rsid w:val="00E43E09"/>
    <w:rsid w:val="00E44D3B"/>
    <w:rsid w:val="00E45281"/>
    <w:rsid w:val="00E47378"/>
    <w:rsid w:val="00E502CF"/>
    <w:rsid w:val="00E504B9"/>
    <w:rsid w:val="00E50E46"/>
    <w:rsid w:val="00E51BED"/>
    <w:rsid w:val="00E51D1D"/>
    <w:rsid w:val="00E527BF"/>
    <w:rsid w:val="00E535BD"/>
    <w:rsid w:val="00E554CF"/>
    <w:rsid w:val="00E55ADC"/>
    <w:rsid w:val="00E57D2D"/>
    <w:rsid w:val="00E61E61"/>
    <w:rsid w:val="00E630B7"/>
    <w:rsid w:val="00E63B12"/>
    <w:rsid w:val="00E6538F"/>
    <w:rsid w:val="00E6560C"/>
    <w:rsid w:val="00E70F4C"/>
    <w:rsid w:val="00E7189D"/>
    <w:rsid w:val="00E758D6"/>
    <w:rsid w:val="00E76180"/>
    <w:rsid w:val="00E7627C"/>
    <w:rsid w:val="00E766B6"/>
    <w:rsid w:val="00E76D89"/>
    <w:rsid w:val="00E80103"/>
    <w:rsid w:val="00E81F12"/>
    <w:rsid w:val="00E834EA"/>
    <w:rsid w:val="00E855B4"/>
    <w:rsid w:val="00E87986"/>
    <w:rsid w:val="00E90318"/>
    <w:rsid w:val="00E90494"/>
    <w:rsid w:val="00E912A6"/>
    <w:rsid w:val="00E91F65"/>
    <w:rsid w:val="00E94CD8"/>
    <w:rsid w:val="00EA61E4"/>
    <w:rsid w:val="00EA7010"/>
    <w:rsid w:val="00EB1436"/>
    <w:rsid w:val="00EB152C"/>
    <w:rsid w:val="00EB16C9"/>
    <w:rsid w:val="00EB5C39"/>
    <w:rsid w:val="00EC1946"/>
    <w:rsid w:val="00EC2B20"/>
    <w:rsid w:val="00EC6F93"/>
    <w:rsid w:val="00EC78B7"/>
    <w:rsid w:val="00ED1FC6"/>
    <w:rsid w:val="00ED385A"/>
    <w:rsid w:val="00ED596B"/>
    <w:rsid w:val="00ED7983"/>
    <w:rsid w:val="00EE003A"/>
    <w:rsid w:val="00EE1999"/>
    <w:rsid w:val="00EE3E08"/>
    <w:rsid w:val="00EE5EE3"/>
    <w:rsid w:val="00EE6523"/>
    <w:rsid w:val="00EE712D"/>
    <w:rsid w:val="00EF19BF"/>
    <w:rsid w:val="00EF2F12"/>
    <w:rsid w:val="00EF4E97"/>
    <w:rsid w:val="00F015CD"/>
    <w:rsid w:val="00F02C9E"/>
    <w:rsid w:val="00F03FEF"/>
    <w:rsid w:val="00F0473D"/>
    <w:rsid w:val="00F056A2"/>
    <w:rsid w:val="00F1195D"/>
    <w:rsid w:val="00F11E02"/>
    <w:rsid w:val="00F15194"/>
    <w:rsid w:val="00F1606E"/>
    <w:rsid w:val="00F17739"/>
    <w:rsid w:val="00F17DE3"/>
    <w:rsid w:val="00F17F4F"/>
    <w:rsid w:val="00F20DAB"/>
    <w:rsid w:val="00F2264E"/>
    <w:rsid w:val="00F23AD2"/>
    <w:rsid w:val="00F23BA2"/>
    <w:rsid w:val="00F23D98"/>
    <w:rsid w:val="00F26C6C"/>
    <w:rsid w:val="00F30987"/>
    <w:rsid w:val="00F333F7"/>
    <w:rsid w:val="00F34442"/>
    <w:rsid w:val="00F34590"/>
    <w:rsid w:val="00F35E64"/>
    <w:rsid w:val="00F35E7C"/>
    <w:rsid w:val="00F37684"/>
    <w:rsid w:val="00F40374"/>
    <w:rsid w:val="00F40C15"/>
    <w:rsid w:val="00F42080"/>
    <w:rsid w:val="00F47EA2"/>
    <w:rsid w:val="00F47F45"/>
    <w:rsid w:val="00F5070F"/>
    <w:rsid w:val="00F517FF"/>
    <w:rsid w:val="00F51E11"/>
    <w:rsid w:val="00F52DE9"/>
    <w:rsid w:val="00F53809"/>
    <w:rsid w:val="00F53DE3"/>
    <w:rsid w:val="00F54ACE"/>
    <w:rsid w:val="00F55017"/>
    <w:rsid w:val="00F6059F"/>
    <w:rsid w:val="00F606ED"/>
    <w:rsid w:val="00F61283"/>
    <w:rsid w:val="00F616D0"/>
    <w:rsid w:val="00F63095"/>
    <w:rsid w:val="00F6389C"/>
    <w:rsid w:val="00F644B1"/>
    <w:rsid w:val="00F65639"/>
    <w:rsid w:val="00F65CBA"/>
    <w:rsid w:val="00F65D4D"/>
    <w:rsid w:val="00F663DE"/>
    <w:rsid w:val="00F67AF6"/>
    <w:rsid w:val="00F734C1"/>
    <w:rsid w:val="00F739B6"/>
    <w:rsid w:val="00F80449"/>
    <w:rsid w:val="00F80799"/>
    <w:rsid w:val="00F811D0"/>
    <w:rsid w:val="00F81A79"/>
    <w:rsid w:val="00F81C08"/>
    <w:rsid w:val="00F837B1"/>
    <w:rsid w:val="00F84771"/>
    <w:rsid w:val="00F85D8E"/>
    <w:rsid w:val="00F86719"/>
    <w:rsid w:val="00F86F89"/>
    <w:rsid w:val="00F91EB2"/>
    <w:rsid w:val="00F926EB"/>
    <w:rsid w:val="00F95FBB"/>
    <w:rsid w:val="00F97BBA"/>
    <w:rsid w:val="00FA1DD3"/>
    <w:rsid w:val="00FA22D9"/>
    <w:rsid w:val="00FA2A57"/>
    <w:rsid w:val="00FA36D1"/>
    <w:rsid w:val="00FA59B9"/>
    <w:rsid w:val="00FA64FA"/>
    <w:rsid w:val="00FA7C77"/>
    <w:rsid w:val="00FB06C5"/>
    <w:rsid w:val="00FB157A"/>
    <w:rsid w:val="00FB192A"/>
    <w:rsid w:val="00FB23EE"/>
    <w:rsid w:val="00FB46E8"/>
    <w:rsid w:val="00FB51C3"/>
    <w:rsid w:val="00FC373D"/>
    <w:rsid w:val="00FC3800"/>
    <w:rsid w:val="00FC485F"/>
    <w:rsid w:val="00FD1302"/>
    <w:rsid w:val="00FD1971"/>
    <w:rsid w:val="00FD22CC"/>
    <w:rsid w:val="00FD28CD"/>
    <w:rsid w:val="00FD3890"/>
    <w:rsid w:val="00FD3A52"/>
    <w:rsid w:val="00FD4E05"/>
    <w:rsid w:val="00FD573B"/>
    <w:rsid w:val="00FE1C19"/>
    <w:rsid w:val="00FE3179"/>
    <w:rsid w:val="00FE4DD4"/>
    <w:rsid w:val="00FF09AA"/>
    <w:rsid w:val="00FF1118"/>
    <w:rsid w:val="00FF1989"/>
    <w:rsid w:val="00FF26C2"/>
    <w:rsid w:val="00FF307B"/>
    <w:rsid w:val="00FF36D6"/>
    <w:rsid w:val="00FF3BC5"/>
    <w:rsid w:val="00FF588C"/>
    <w:rsid w:val="00FF5A18"/>
    <w:rsid w:val="00FF63D7"/>
    <w:rsid w:val="2982D1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BD853B-3E95-4A0C-8AEF-C55EF592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59F"/>
    <w:pPr>
      <w:spacing w:after="200" w:line="276" w:lineRule="auto"/>
      <w:ind w:left="720"/>
      <w:contextualSpacing/>
    </w:pPr>
    <w:rPr>
      <w:rFonts w:eastAsiaTheme="minorEastAsia"/>
    </w:rPr>
  </w:style>
  <w:style w:type="paragraph" w:styleId="FootnoteText">
    <w:name w:val="footnote text"/>
    <w:basedOn w:val="Normal"/>
    <w:link w:val="FootnoteTextChar"/>
    <w:uiPriority w:val="99"/>
    <w:semiHidden/>
    <w:unhideWhenUsed/>
    <w:rsid w:val="00F6059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6059F"/>
    <w:rPr>
      <w:rFonts w:eastAsiaTheme="minorEastAsia"/>
      <w:sz w:val="20"/>
      <w:szCs w:val="20"/>
    </w:rPr>
  </w:style>
  <w:style w:type="character" w:styleId="FootnoteReference">
    <w:name w:val="footnote reference"/>
    <w:basedOn w:val="DefaultParagraphFont"/>
    <w:uiPriority w:val="99"/>
    <w:semiHidden/>
    <w:unhideWhenUsed/>
    <w:rsid w:val="00F6059F"/>
    <w:rPr>
      <w:vertAlign w:val="superscript"/>
    </w:rPr>
  </w:style>
  <w:style w:type="character" w:styleId="CommentReference">
    <w:name w:val="annotation reference"/>
    <w:basedOn w:val="DefaultParagraphFont"/>
    <w:uiPriority w:val="99"/>
    <w:semiHidden/>
    <w:unhideWhenUsed/>
    <w:rsid w:val="00EF19BF"/>
    <w:rPr>
      <w:sz w:val="16"/>
      <w:szCs w:val="16"/>
    </w:rPr>
  </w:style>
  <w:style w:type="paragraph" w:styleId="CommentText">
    <w:name w:val="annotation text"/>
    <w:basedOn w:val="Normal"/>
    <w:link w:val="CommentTextChar"/>
    <w:uiPriority w:val="99"/>
    <w:semiHidden/>
    <w:unhideWhenUsed/>
    <w:rsid w:val="00EF19BF"/>
    <w:pPr>
      <w:spacing w:line="240" w:lineRule="auto"/>
    </w:pPr>
    <w:rPr>
      <w:sz w:val="20"/>
      <w:szCs w:val="20"/>
    </w:rPr>
  </w:style>
  <w:style w:type="character" w:customStyle="1" w:styleId="CommentTextChar">
    <w:name w:val="Comment Text Char"/>
    <w:basedOn w:val="DefaultParagraphFont"/>
    <w:link w:val="CommentText"/>
    <w:uiPriority w:val="99"/>
    <w:semiHidden/>
    <w:rsid w:val="00EF19BF"/>
    <w:rPr>
      <w:sz w:val="20"/>
      <w:szCs w:val="20"/>
    </w:rPr>
  </w:style>
  <w:style w:type="paragraph" w:styleId="CommentSubject">
    <w:name w:val="annotation subject"/>
    <w:basedOn w:val="CommentText"/>
    <w:next w:val="CommentText"/>
    <w:link w:val="CommentSubjectChar"/>
    <w:uiPriority w:val="99"/>
    <w:semiHidden/>
    <w:unhideWhenUsed/>
    <w:rsid w:val="00EF19BF"/>
    <w:rPr>
      <w:b/>
      <w:bCs/>
    </w:rPr>
  </w:style>
  <w:style w:type="character" w:customStyle="1" w:styleId="CommentSubjectChar">
    <w:name w:val="Comment Subject Char"/>
    <w:basedOn w:val="CommentTextChar"/>
    <w:link w:val="CommentSubject"/>
    <w:uiPriority w:val="99"/>
    <w:semiHidden/>
    <w:rsid w:val="00EF19BF"/>
    <w:rPr>
      <w:b/>
      <w:bCs/>
      <w:sz w:val="20"/>
      <w:szCs w:val="20"/>
    </w:rPr>
  </w:style>
  <w:style w:type="paragraph" w:styleId="BalloonText">
    <w:name w:val="Balloon Text"/>
    <w:basedOn w:val="Normal"/>
    <w:link w:val="BalloonTextChar"/>
    <w:uiPriority w:val="99"/>
    <w:semiHidden/>
    <w:unhideWhenUsed/>
    <w:rsid w:val="00EF1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9BF"/>
    <w:rPr>
      <w:rFonts w:ascii="Segoe UI" w:hAnsi="Segoe UI" w:cs="Segoe UI"/>
      <w:sz w:val="18"/>
      <w:szCs w:val="18"/>
    </w:rPr>
  </w:style>
  <w:style w:type="paragraph" w:customStyle="1" w:styleId="Default">
    <w:name w:val="Default"/>
    <w:rsid w:val="009913C2"/>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Header">
    <w:name w:val="header"/>
    <w:basedOn w:val="Normal"/>
    <w:link w:val="HeaderChar"/>
    <w:uiPriority w:val="99"/>
    <w:unhideWhenUsed/>
    <w:rsid w:val="00EA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10"/>
  </w:style>
  <w:style w:type="paragraph" w:styleId="Footer">
    <w:name w:val="footer"/>
    <w:basedOn w:val="Normal"/>
    <w:link w:val="FooterChar"/>
    <w:uiPriority w:val="99"/>
    <w:unhideWhenUsed/>
    <w:rsid w:val="00EA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10"/>
  </w:style>
  <w:style w:type="paragraph" w:styleId="BodyTextIndent3">
    <w:name w:val="Body Text Indent 3"/>
    <w:basedOn w:val="Normal"/>
    <w:link w:val="BodyTextIndent3Char"/>
    <w:semiHidden/>
    <w:rsid w:val="0042203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22033"/>
    <w:rPr>
      <w:rFonts w:ascii="Tahoma" w:eastAsia="Times New Roman" w:hAnsi="Tahoma" w:cs="Times New Roman"/>
      <w:sz w:val="20"/>
      <w:szCs w:val="20"/>
    </w:rPr>
  </w:style>
  <w:style w:type="character" w:styleId="Hyperlink">
    <w:name w:val="Hyperlink"/>
    <w:basedOn w:val="DefaultParagraphFont"/>
    <w:uiPriority w:val="99"/>
    <w:unhideWhenUsed/>
    <w:rsid w:val="009C2B60"/>
    <w:rPr>
      <w:color w:val="0563C1" w:themeColor="hyperlink"/>
      <w:u w:val="single"/>
    </w:rPr>
  </w:style>
  <w:style w:type="paragraph" w:styleId="Revision">
    <w:name w:val="Revision"/>
    <w:hidden/>
    <w:uiPriority w:val="99"/>
    <w:semiHidden/>
    <w:rsid w:val="00544F14"/>
    <w:pPr>
      <w:spacing w:after="0" w:line="240" w:lineRule="auto"/>
    </w:pPr>
  </w:style>
  <w:style w:type="table" w:styleId="TableGrid">
    <w:name w:val="Table Grid"/>
    <w:basedOn w:val="TableNormal"/>
    <w:uiPriority w:val="39"/>
    <w:rsid w:val="0098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3FAE"/>
  </w:style>
  <w:style w:type="character" w:styleId="FollowedHyperlink">
    <w:name w:val="FollowedHyperlink"/>
    <w:basedOn w:val="DefaultParagraphFont"/>
    <w:uiPriority w:val="99"/>
    <w:semiHidden/>
    <w:unhideWhenUsed/>
    <w:rsid w:val="000D2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8022">
      <w:bodyDiv w:val="1"/>
      <w:marLeft w:val="0"/>
      <w:marRight w:val="0"/>
      <w:marTop w:val="0"/>
      <w:marBottom w:val="0"/>
      <w:divBdr>
        <w:top w:val="none" w:sz="0" w:space="0" w:color="auto"/>
        <w:left w:val="none" w:sz="0" w:space="0" w:color="auto"/>
        <w:bottom w:val="none" w:sz="0" w:space="0" w:color="auto"/>
        <w:right w:val="none" w:sz="0" w:space="0" w:color="auto"/>
      </w:divBdr>
      <w:divsChild>
        <w:div w:id="176357909">
          <w:marLeft w:val="0"/>
          <w:marRight w:val="0"/>
          <w:marTop w:val="0"/>
          <w:marBottom w:val="0"/>
          <w:divBdr>
            <w:top w:val="none" w:sz="0" w:space="0" w:color="auto"/>
            <w:left w:val="none" w:sz="0" w:space="0" w:color="auto"/>
            <w:bottom w:val="none" w:sz="0" w:space="0" w:color="auto"/>
            <w:right w:val="none" w:sz="0" w:space="0" w:color="auto"/>
          </w:divBdr>
        </w:div>
        <w:div w:id="2032294978">
          <w:marLeft w:val="0"/>
          <w:marRight w:val="0"/>
          <w:marTop w:val="0"/>
          <w:marBottom w:val="0"/>
          <w:divBdr>
            <w:top w:val="none" w:sz="0" w:space="0" w:color="auto"/>
            <w:left w:val="none" w:sz="0" w:space="0" w:color="auto"/>
            <w:bottom w:val="none" w:sz="0" w:space="0" w:color="auto"/>
            <w:right w:val="none" w:sz="0" w:space="0" w:color="auto"/>
          </w:divBdr>
        </w:div>
        <w:div w:id="2132746280">
          <w:marLeft w:val="0"/>
          <w:marRight w:val="0"/>
          <w:marTop w:val="0"/>
          <w:marBottom w:val="0"/>
          <w:divBdr>
            <w:top w:val="none" w:sz="0" w:space="0" w:color="auto"/>
            <w:left w:val="none" w:sz="0" w:space="0" w:color="auto"/>
            <w:bottom w:val="none" w:sz="0" w:space="0" w:color="auto"/>
            <w:right w:val="none" w:sz="0" w:space="0" w:color="auto"/>
          </w:divBdr>
        </w:div>
        <w:div w:id="551314133">
          <w:marLeft w:val="0"/>
          <w:marRight w:val="0"/>
          <w:marTop w:val="0"/>
          <w:marBottom w:val="0"/>
          <w:divBdr>
            <w:top w:val="none" w:sz="0" w:space="0" w:color="auto"/>
            <w:left w:val="none" w:sz="0" w:space="0" w:color="auto"/>
            <w:bottom w:val="none" w:sz="0" w:space="0" w:color="auto"/>
            <w:right w:val="none" w:sz="0" w:space="0" w:color="auto"/>
          </w:divBdr>
        </w:div>
        <w:div w:id="405104327">
          <w:marLeft w:val="0"/>
          <w:marRight w:val="0"/>
          <w:marTop w:val="0"/>
          <w:marBottom w:val="0"/>
          <w:divBdr>
            <w:top w:val="none" w:sz="0" w:space="0" w:color="auto"/>
            <w:left w:val="none" w:sz="0" w:space="0" w:color="auto"/>
            <w:bottom w:val="none" w:sz="0" w:space="0" w:color="auto"/>
            <w:right w:val="none" w:sz="0" w:space="0" w:color="auto"/>
          </w:divBdr>
        </w:div>
        <w:div w:id="131824389">
          <w:marLeft w:val="0"/>
          <w:marRight w:val="0"/>
          <w:marTop w:val="0"/>
          <w:marBottom w:val="0"/>
          <w:divBdr>
            <w:top w:val="none" w:sz="0" w:space="0" w:color="auto"/>
            <w:left w:val="none" w:sz="0" w:space="0" w:color="auto"/>
            <w:bottom w:val="none" w:sz="0" w:space="0" w:color="auto"/>
            <w:right w:val="none" w:sz="0" w:space="0" w:color="auto"/>
          </w:divBdr>
        </w:div>
        <w:div w:id="227613024">
          <w:marLeft w:val="0"/>
          <w:marRight w:val="0"/>
          <w:marTop w:val="0"/>
          <w:marBottom w:val="0"/>
          <w:divBdr>
            <w:top w:val="none" w:sz="0" w:space="0" w:color="auto"/>
            <w:left w:val="none" w:sz="0" w:space="0" w:color="auto"/>
            <w:bottom w:val="none" w:sz="0" w:space="0" w:color="auto"/>
            <w:right w:val="none" w:sz="0" w:space="0" w:color="auto"/>
          </w:divBdr>
        </w:div>
        <w:div w:id="2057242990">
          <w:marLeft w:val="0"/>
          <w:marRight w:val="0"/>
          <w:marTop w:val="0"/>
          <w:marBottom w:val="0"/>
          <w:divBdr>
            <w:top w:val="none" w:sz="0" w:space="0" w:color="auto"/>
            <w:left w:val="none" w:sz="0" w:space="0" w:color="auto"/>
            <w:bottom w:val="none" w:sz="0" w:space="0" w:color="auto"/>
            <w:right w:val="none" w:sz="0" w:space="0" w:color="auto"/>
          </w:divBdr>
        </w:div>
        <w:div w:id="1134106517">
          <w:marLeft w:val="0"/>
          <w:marRight w:val="0"/>
          <w:marTop w:val="0"/>
          <w:marBottom w:val="0"/>
          <w:divBdr>
            <w:top w:val="none" w:sz="0" w:space="0" w:color="auto"/>
            <w:left w:val="none" w:sz="0" w:space="0" w:color="auto"/>
            <w:bottom w:val="none" w:sz="0" w:space="0" w:color="auto"/>
            <w:right w:val="none" w:sz="0" w:space="0" w:color="auto"/>
          </w:divBdr>
        </w:div>
        <w:div w:id="1287200256">
          <w:marLeft w:val="0"/>
          <w:marRight w:val="0"/>
          <w:marTop w:val="0"/>
          <w:marBottom w:val="0"/>
          <w:divBdr>
            <w:top w:val="none" w:sz="0" w:space="0" w:color="auto"/>
            <w:left w:val="none" w:sz="0" w:space="0" w:color="auto"/>
            <w:bottom w:val="none" w:sz="0" w:space="0" w:color="auto"/>
            <w:right w:val="none" w:sz="0" w:space="0" w:color="auto"/>
          </w:divBdr>
        </w:div>
      </w:divsChild>
    </w:div>
    <w:div w:id="170025491">
      <w:bodyDiv w:val="1"/>
      <w:marLeft w:val="0"/>
      <w:marRight w:val="0"/>
      <w:marTop w:val="0"/>
      <w:marBottom w:val="0"/>
      <w:divBdr>
        <w:top w:val="none" w:sz="0" w:space="0" w:color="auto"/>
        <w:left w:val="none" w:sz="0" w:space="0" w:color="auto"/>
        <w:bottom w:val="none" w:sz="0" w:space="0" w:color="auto"/>
        <w:right w:val="none" w:sz="0" w:space="0" w:color="auto"/>
      </w:divBdr>
    </w:div>
    <w:div w:id="399207750">
      <w:bodyDiv w:val="1"/>
      <w:marLeft w:val="0"/>
      <w:marRight w:val="0"/>
      <w:marTop w:val="0"/>
      <w:marBottom w:val="0"/>
      <w:divBdr>
        <w:top w:val="none" w:sz="0" w:space="0" w:color="auto"/>
        <w:left w:val="none" w:sz="0" w:space="0" w:color="auto"/>
        <w:bottom w:val="none" w:sz="0" w:space="0" w:color="auto"/>
        <w:right w:val="none" w:sz="0" w:space="0" w:color="auto"/>
      </w:divBdr>
    </w:div>
    <w:div w:id="476070827">
      <w:bodyDiv w:val="1"/>
      <w:marLeft w:val="0"/>
      <w:marRight w:val="0"/>
      <w:marTop w:val="0"/>
      <w:marBottom w:val="0"/>
      <w:divBdr>
        <w:top w:val="none" w:sz="0" w:space="0" w:color="auto"/>
        <w:left w:val="none" w:sz="0" w:space="0" w:color="auto"/>
        <w:bottom w:val="none" w:sz="0" w:space="0" w:color="auto"/>
        <w:right w:val="none" w:sz="0" w:space="0" w:color="auto"/>
      </w:divBdr>
    </w:div>
    <w:div w:id="480579154">
      <w:bodyDiv w:val="1"/>
      <w:marLeft w:val="0"/>
      <w:marRight w:val="0"/>
      <w:marTop w:val="0"/>
      <w:marBottom w:val="0"/>
      <w:divBdr>
        <w:top w:val="none" w:sz="0" w:space="0" w:color="auto"/>
        <w:left w:val="none" w:sz="0" w:space="0" w:color="auto"/>
        <w:bottom w:val="none" w:sz="0" w:space="0" w:color="auto"/>
        <w:right w:val="none" w:sz="0" w:space="0" w:color="auto"/>
      </w:divBdr>
    </w:div>
    <w:div w:id="494417196">
      <w:bodyDiv w:val="1"/>
      <w:marLeft w:val="0"/>
      <w:marRight w:val="0"/>
      <w:marTop w:val="0"/>
      <w:marBottom w:val="0"/>
      <w:divBdr>
        <w:top w:val="none" w:sz="0" w:space="0" w:color="auto"/>
        <w:left w:val="none" w:sz="0" w:space="0" w:color="auto"/>
        <w:bottom w:val="none" w:sz="0" w:space="0" w:color="auto"/>
        <w:right w:val="none" w:sz="0" w:space="0" w:color="auto"/>
      </w:divBdr>
    </w:div>
    <w:div w:id="697973714">
      <w:bodyDiv w:val="1"/>
      <w:marLeft w:val="0"/>
      <w:marRight w:val="0"/>
      <w:marTop w:val="0"/>
      <w:marBottom w:val="0"/>
      <w:divBdr>
        <w:top w:val="none" w:sz="0" w:space="0" w:color="auto"/>
        <w:left w:val="none" w:sz="0" w:space="0" w:color="auto"/>
        <w:bottom w:val="none" w:sz="0" w:space="0" w:color="auto"/>
        <w:right w:val="none" w:sz="0" w:space="0" w:color="auto"/>
      </w:divBdr>
    </w:div>
    <w:div w:id="796993288">
      <w:bodyDiv w:val="1"/>
      <w:marLeft w:val="0"/>
      <w:marRight w:val="0"/>
      <w:marTop w:val="0"/>
      <w:marBottom w:val="0"/>
      <w:divBdr>
        <w:top w:val="none" w:sz="0" w:space="0" w:color="auto"/>
        <w:left w:val="none" w:sz="0" w:space="0" w:color="auto"/>
        <w:bottom w:val="none" w:sz="0" w:space="0" w:color="auto"/>
        <w:right w:val="none" w:sz="0" w:space="0" w:color="auto"/>
      </w:divBdr>
    </w:div>
    <w:div w:id="1089426484">
      <w:bodyDiv w:val="1"/>
      <w:marLeft w:val="0"/>
      <w:marRight w:val="0"/>
      <w:marTop w:val="0"/>
      <w:marBottom w:val="0"/>
      <w:divBdr>
        <w:top w:val="none" w:sz="0" w:space="0" w:color="auto"/>
        <w:left w:val="none" w:sz="0" w:space="0" w:color="auto"/>
        <w:bottom w:val="none" w:sz="0" w:space="0" w:color="auto"/>
        <w:right w:val="none" w:sz="0" w:space="0" w:color="auto"/>
      </w:divBdr>
    </w:div>
    <w:div w:id="1130511743">
      <w:bodyDiv w:val="1"/>
      <w:marLeft w:val="0"/>
      <w:marRight w:val="0"/>
      <w:marTop w:val="0"/>
      <w:marBottom w:val="0"/>
      <w:divBdr>
        <w:top w:val="none" w:sz="0" w:space="0" w:color="auto"/>
        <w:left w:val="none" w:sz="0" w:space="0" w:color="auto"/>
        <w:bottom w:val="none" w:sz="0" w:space="0" w:color="auto"/>
        <w:right w:val="none" w:sz="0" w:space="0" w:color="auto"/>
      </w:divBdr>
    </w:div>
    <w:div w:id="1194926580">
      <w:bodyDiv w:val="1"/>
      <w:marLeft w:val="0"/>
      <w:marRight w:val="0"/>
      <w:marTop w:val="0"/>
      <w:marBottom w:val="0"/>
      <w:divBdr>
        <w:top w:val="none" w:sz="0" w:space="0" w:color="auto"/>
        <w:left w:val="none" w:sz="0" w:space="0" w:color="auto"/>
        <w:bottom w:val="none" w:sz="0" w:space="0" w:color="auto"/>
        <w:right w:val="none" w:sz="0" w:space="0" w:color="auto"/>
      </w:divBdr>
    </w:div>
    <w:div w:id="1208025408">
      <w:bodyDiv w:val="1"/>
      <w:marLeft w:val="0"/>
      <w:marRight w:val="0"/>
      <w:marTop w:val="0"/>
      <w:marBottom w:val="0"/>
      <w:divBdr>
        <w:top w:val="none" w:sz="0" w:space="0" w:color="auto"/>
        <w:left w:val="none" w:sz="0" w:space="0" w:color="auto"/>
        <w:bottom w:val="none" w:sz="0" w:space="0" w:color="auto"/>
        <w:right w:val="none" w:sz="0" w:space="0" w:color="auto"/>
      </w:divBdr>
    </w:div>
    <w:div w:id="1226641037">
      <w:bodyDiv w:val="1"/>
      <w:marLeft w:val="0"/>
      <w:marRight w:val="0"/>
      <w:marTop w:val="0"/>
      <w:marBottom w:val="0"/>
      <w:divBdr>
        <w:top w:val="none" w:sz="0" w:space="0" w:color="auto"/>
        <w:left w:val="none" w:sz="0" w:space="0" w:color="auto"/>
        <w:bottom w:val="none" w:sz="0" w:space="0" w:color="auto"/>
        <w:right w:val="none" w:sz="0" w:space="0" w:color="auto"/>
      </w:divBdr>
    </w:div>
    <w:div w:id="1313296519">
      <w:bodyDiv w:val="1"/>
      <w:marLeft w:val="0"/>
      <w:marRight w:val="0"/>
      <w:marTop w:val="0"/>
      <w:marBottom w:val="0"/>
      <w:divBdr>
        <w:top w:val="none" w:sz="0" w:space="0" w:color="auto"/>
        <w:left w:val="none" w:sz="0" w:space="0" w:color="auto"/>
        <w:bottom w:val="none" w:sz="0" w:space="0" w:color="auto"/>
        <w:right w:val="none" w:sz="0" w:space="0" w:color="auto"/>
      </w:divBdr>
    </w:div>
    <w:div w:id="1389301932">
      <w:bodyDiv w:val="1"/>
      <w:marLeft w:val="0"/>
      <w:marRight w:val="0"/>
      <w:marTop w:val="0"/>
      <w:marBottom w:val="0"/>
      <w:divBdr>
        <w:top w:val="none" w:sz="0" w:space="0" w:color="auto"/>
        <w:left w:val="none" w:sz="0" w:space="0" w:color="auto"/>
        <w:bottom w:val="none" w:sz="0" w:space="0" w:color="auto"/>
        <w:right w:val="none" w:sz="0" w:space="0" w:color="auto"/>
      </w:divBdr>
    </w:div>
    <w:div w:id="1393696723">
      <w:bodyDiv w:val="1"/>
      <w:marLeft w:val="0"/>
      <w:marRight w:val="0"/>
      <w:marTop w:val="0"/>
      <w:marBottom w:val="0"/>
      <w:divBdr>
        <w:top w:val="none" w:sz="0" w:space="0" w:color="auto"/>
        <w:left w:val="none" w:sz="0" w:space="0" w:color="auto"/>
        <w:bottom w:val="none" w:sz="0" w:space="0" w:color="auto"/>
        <w:right w:val="none" w:sz="0" w:space="0" w:color="auto"/>
      </w:divBdr>
    </w:div>
    <w:div w:id="1412121835">
      <w:bodyDiv w:val="1"/>
      <w:marLeft w:val="0"/>
      <w:marRight w:val="0"/>
      <w:marTop w:val="0"/>
      <w:marBottom w:val="0"/>
      <w:divBdr>
        <w:top w:val="none" w:sz="0" w:space="0" w:color="auto"/>
        <w:left w:val="none" w:sz="0" w:space="0" w:color="auto"/>
        <w:bottom w:val="none" w:sz="0" w:space="0" w:color="auto"/>
        <w:right w:val="none" w:sz="0" w:space="0" w:color="auto"/>
      </w:divBdr>
    </w:div>
    <w:div w:id="1455097341">
      <w:bodyDiv w:val="1"/>
      <w:marLeft w:val="0"/>
      <w:marRight w:val="0"/>
      <w:marTop w:val="0"/>
      <w:marBottom w:val="0"/>
      <w:divBdr>
        <w:top w:val="none" w:sz="0" w:space="0" w:color="auto"/>
        <w:left w:val="none" w:sz="0" w:space="0" w:color="auto"/>
        <w:bottom w:val="none" w:sz="0" w:space="0" w:color="auto"/>
        <w:right w:val="none" w:sz="0" w:space="0" w:color="auto"/>
      </w:divBdr>
    </w:div>
    <w:div w:id="1496415796">
      <w:bodyDiv w:val="1"/>
      <w:marLeft w:val="0"/>
      <w:marRight w:val="0"/>
      <w:marTop w:val="0"/>
      <w:marBottom w:val="0"/>
      <w:divBdr>
        <w:top w:val="none" w:sz="0" w:space="0" w:color="auto"/>
        <w:left w:val="none" w:sz="0" w:space="0" w:color="auto"/>
        <w:bottom w:val="none" w:sz="0" w:space="0" w:color="auto"/>
        <w:right w:val="none" w:sz="0" w:space="0" w:color="auto"/>
      </w:divBdr>
    </w:div>
    <w:div w:id="1609310966">
      <w:bodyDiv w:val="1"/>
      <w:marLeft w:val="0"/>
      <w:marRight w:val="0"/>
      <w:marTop w:val="0"/>
      <w:marBottom w:val="0"/>
      <w:divBdr>
        <w:top w:val="none" w:sz="0" w:space="0" w:color="auto"/>
        <w:left w:val="none" w:sz="0" w:space="0" w:color="auto"/>
        <w:bottom w:val="none" w:sz="0" w:space="0" w:color="auto"/>
        <w:right w:val="none" w:sz="0" w:space="0" w:color="auto"/>
      </w:divBdr>
    </w:div>
    <w:div w:id="1728648311">
      <w:bodyDiv w:val="1"/>
      <w:marLeft w:val="0"/>
      <w:marRight w:val="0"/>
      <w:marTop w:val="0"/>
      <w:marBottom w:val="0"/>
      <w:divBdr>
        <w:top w:val="none" w:sz="0" w:space="0" w:color="auto"/>
        <w:left w:val="none" w:sz="0" w:space="0" w:color="auto"/>
        <w:bottom w:val="none" w:sz="0" w:space="0" w:color="auto"/>
        <w:right w:val="none" w:sz="0" w:space="0" w:color="auto"/>
      </w:divBdr>
    </w:div>
    <w:div w:id="1732607043">
      <w:bodyDiv w:val="1"/>
      <w:marLeft w:val="0"/>
      <w:marRight w:val="0"/>
      <w:marTop w:val="0"/>
      <w:marBottom w:val="0"/>
      <w:divBdr>
        <w:top w:val="none" w:sz="0" w:space="0" w:color="auto"/>
        <w:left w:val="none" w:sz="0" w:space="0" w:color="auto"/>
        <w:bottom w:val="none" w:sz="0" w:space="0" w:color="auto"/>
        <w:right w:val="none" w:sz="0" w:space="0" w:color="auto"/>
      </w:divBdr>
    </w:div>
    <w:div w:id="1782257905">
      <w:bodyDiv w:val="1"/>
      <w:marLeft w:val="0"/>
      <w:marRight w:val="0"/>
      <w:marTop w:val="0"/>
      <w:marBottom w:val="0"/>
      <w:divBdr>
        <w:top w:val="none" w:sz="0" w:space="0" w:color="auto"/>
        <w:left w:val="none" w:sz="0" w:space="0" w:color="auto"/>
        <w:bottom w:val="none" w:sz="0" w:space="0" w:color="auto"/>
        <w:right w:val="none" w:sz="0" w:space="0" w:color="auto"/>
      </w:divBdr>
    </w:div>
    <w:div w:id="1792287498">
      <w:bodyDiv w:val="1"/>
      <w:marLeft w:val="0"/>
      <w:marRight w:val="0"/>
      <w:marTop w:val="0"/>
      <w:marBottom w:val="0"/>
      <w:divBdr>
        <w:top w:val="none" w:sz="0" w:space="0" w:color="auto"/>
        <w:left w:val="none" w:sz="0" w:space="0" w:color="auto"/>
        <w:bottom w:val="none" w:sz="0" w:space="0" w:color="auto"/>
        <w:right w:val="none" w:sz="0" w:space="0" w:color="auto"/>
      </w:divBdr>
    </w:div>
    <w:div w:id="18376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default/files/docs/us_national_action_plan_6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CD0F6-1DAD-4699-84F6-22A4A8DB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5503</Words>
  <Characters>31371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Kulschinsky</dc:creator>
  <cp:keywords/>
  <dc:description/>
  <cp:lastModifiedBy>Suzuki, Judy</cp:lastModifiedBy>
  <cp:revision>2</cp:revision>
  <cp:lastPrinted>2015-07-21T19:53:00Z</cp:lastPrinted>
  <dcterms:created xsi:type="dcterms:W3CDTF">2016-04-18T18:58:00Z</dcterms:created>
  <dcterms:modified xsi:type="dcterms:W3CDTF">2016-04-18T18:58:00Z</dcterms:modified>
</cp:coreProperties>
</file>