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F1" w:rsidRDefault="00F06866" w:rsidP="004827F1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B816C4" w:rsidRDefault="00516374" w:rsidP="00EF6F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701E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B816C4" w:rsidRDefault="00B816C4" w:rsidP="00EF6FBD">
      <w:r>
        <w:rPr>
          <w:b/>
        </w:rPr>
        <w:t xml:space="preserve">TITLE </w:t>
      </w:r>
      <w:r w:rsidR="005E714A" w:rsidRPr="00434E33">
        <w:rPr>
          <w:b/>
        </w:rPr>
        <w:t>OF INFORMATION COLLECTION:</w:t>
      </w:r>
      <w:r w:rsidR="00EF6FBD">
        <w:t xml:space="preserve">  Participant Evaluation of the </w:t>
      </w:r>
      <w:r>
        <w:t xml:space="preserve">January 26, 2017 Webinar on the TRI-MEweb 2.0 </w:t>
      </w:r>
    </w:p>
    <w:p w:rsidR="00B816C4" w:rsidRDefault="00F15956" w:rsidP="00B816C4">
      <w:pPr>
        <w:pStyle w:val="NormalWeb"/>
        <w:spacing w:before="210" w:beforeAutospacing="0" w:after="210" w:afterAutospacing="0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F6FBD" w:rsidRPr="00EF6FBD">
        <w:t xml:space="preserve">The purpose of this webinar </w:t>
      </w:r>
      <w:r w:rsidR="00B61DC0">
        <w:t xml:space="preserve">is to </w:t>
      </w:r>
      <w:r w:rsidR="00B816C4">
        <w:t>help participants:</w:t>
      </w:r>
    </w:p>
    <w:p w:rsidR="00B816C4" w:rsidRDefault="00B816C4" w:rsidP="00B816C4">
      <w:pPr>
        <w:pStyle w:val="NormalWeb"/>
        <w:numPr>
          <w:ilvl w:val="0"/>
          <w:numId w:val="20"/>
        </w:numPr>
        <w:spacing w:before="210" w:after="210"/>
      </w:pPr>
      <w:r>
        <w:t>Become more familiar with using TRI-MEweb to submit TRI reporting forms</w:t>
      </w:r>
    </w:p>
    <w:p w:rsidR="00B816C4" w:rsidRDefault="00B816C4" w:rsidP="00B816C4">
      <w:pPr>
        <w:pStyle w:val="NormalWeb"/>
        <w:numPr>
          <w:ilvl w:val="0"/>
          <w:numId w:val="20"/>
        </w:numPr>
        <w:spacing w:before="210" w:after="210"/>
      </w:pPr>
      <w:r>
        <w:t>Learn about new TRI-MEweb features that will streamline TRI (EPCRA Section 313) reporting</w:t>
      </w:r>
    </w:p>
    <w:p w:rsidR="00B816C4" w:rsidRDefault="00B816C4" w:rsidP="00B816C4">
      <w:pPr>
        <w:pStyle w:val="NormalWeb"/>
        <w:numPr>
          <w:ilvl w:val="0"/>
          <w:numId w:val="20"/>
        </w:numPr>
        <w:spacing w:before="210" w:after="210"/>
      </w:pPr>
      <w:r>
        <w:t>Learn time-saving tips for filling out the Reporting Form R and the Form A Certification Statement</w:t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B5DE1" w:rsidRDefault="00BD6CB1">
      <w:pPr>
        <w:rPr>
          <w:color w:val="000000"/>
        </w:rPr>
      </w:pPr>
      <w:r>
        <w:rPr>
          <w:color w:val="000000"/>
        </w:rPr>
        <w:t xml:space="preserve">The respondents for the </w:t>
      </w:r>
      <w:r w:rsidR="00EF6FBD">
        <w:rPr>
          <w:color w:val="000000"/>
        </w:rPr>
        <w:t>information collection include webinar partic</w:t>
      </w:r>
      <w:r w:rsidR="00B816C4">
        <w:rPr>
          <w:color w:val="000000"/>
        </w:rPr>
        <w:t xml:space="preserve">ipants from diverse backgrounds, with the majority from industry but since it is open to the public, other participants could include </w:t>
      </w:r>
      <w:r w:rsidR="00EF6FBD">
        <w:rPr>
          <w:color w:val="000000"/>
        </w:rPr>
        <w:t>f</w:t>
      </w:r>
      <w:r w:rsidR="00CB5DE1">
        <w:rPr>
          <w:color w:val="000000"/>
        </w:rPr>
        <w:t xml:space="preserve">ederal, state, local, </w:t>
      </w:r>
      <w:r w:rsidR="00CC5E83">
        <w:rPr>
          <w:color w:val="000000"/>
        </w:rPr>
        <w:t xml:space="preserve">and </w:t>
      </w:r>
      <w:r w:rsidR="00CB5DE1">
        <w:rPr>
          <w:color w:val="000000"/>
        </w:rPr>
        <w:t>tribal government agencies,</w:t>
      </w:r>
      <w:r w:rsidR="00CC5E83">
        <w:rPr>
          <w:color w:val="000000"/>
        </w:rPr>
        <w:t xml:space="preserve"> academia</w:t>
      </w:r>
      <w:r w:rsidR="00CB5DE1">
        <w:rPr>
          <w:color w:val="000000"/>
        </w:rPr>
        <w:t xml:space="preserve">, </w:t>
      </w:r>
      <w:r w:rsidR="002306C2">
        <w:rPr>
          <w:color w:val="000000"/>
        </w:rPr>
        <w:t>non-profit organizations</w:t>
      </w:r>
      <w:r w:rsidR="00CB5DE1">
        <w:rPr>
          <w:color w:val="000000"/>
        </w:rPr>
        <w:t xml:space="preserve">, </w:t>
      </w:r>
      <w:r w:rsidR="005F12BB">
        <w:rPr>
          <w:color w:val="000000"/>
        </w:rPr>
        <w:t xml:space="preserve">concerned citizens, </w:t>
      </w:r>
      <w:r w:rsidR="00CB5DE1">
        <w:rPr>
          <w:color w:val="000000"/>
        </w:rPr>
        <w:t xml:space="preserve">industry, technical and legal </w:t>
      </w:r>
      <w:r w:rsidR="00CC5E83">
        <w:rPr>
          <w:color w:val="000000"/>
        </w:rPr>
        <w:t>consulting firms, and international organizations</w:t>
      </w:r>
      <w:r w:rsidR="00CB5DE1">
        <w:rPr>
          <w:color w:val="000000"/>
        </w:rPr>
        <w:t xml:space="preserve">. 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A4F4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</w:t>
      </w:r>
      <w:r w:rsidR="005C5BA0">
        <w:t xml:space="preserve">Guy Tomassoni   </w:t>
      </w:r>
      <w:r w:rsidR="00B816C4">
        <w:t>1/11/17</w:t>
      </w:r>
      <w:r>
        <w:t>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E51B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9E51BD">
        <w:t>x</w:t>
      </w:r>
      <w:r>
        <w:t>] No</w:t>
      </w:r>
    </w:p>
    <w:p w:rsidR="003E65E9" w:rsidRDefault="003E65E9" w:rsidP="00C86E91">
      <w:pPr>
        <w:pStyle w:val="ListParagraph"/>
        <w:ind w:left="0"/>
        <w:rPr>
          <w:b/>
        </w:rPr>
      </w:pPr>
    </w:p>
    <w:p w:rsidR="003E65E9" w:rsidRDefault="003E65E9" w:rsidP="00C86E91">
      <w:pPr>
        <w:pStyle w:val="ListParagraph"/>
        <w:ind w:left="0"/>
        <w:rPr>
          <w:b/>
        </w:rPr>
      </w:pPr>
    </w:p>
    <w:p w:rsidR="00E86D09" w:rsidRDefault="00E86D0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9E51BD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895" w:type="dxa"/>
        <w:tblLayout w:type="fixed"/>
        <w:tblLook w:val="01E0" w:firstRow="1" w:lastRow="1" w:firstColumn="1" w:lastColumn="1" w:noHBand="0" w:noVBand="0"/>
      </w:tblPr>
      <w:tblGrid>
        <w:gridCol w:w="4428"/>
        <w:gridCol w:w="1890"/>
        <w:gridCol w:w="1800"/>
        <w:gridCol w:w="1777"/>
      </w:tblGrid>
      <w:tr w:rsidR="00EF2095" w:rsidTr="00B816C4">
        <w:trPr>
          <w:trHeight w:val="647"/>
        </w:trPr>
        <w:tc>
          <w:tcPr>
            <w:tcW w:w="442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7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C0745E" w:rsidTr="00B816C4">
        <w:trPr>
          <w:trHeight w:val="274"/>
        </w:trPr>
        <w:tc>
          <w:tcPr>
            <w:tcW w:w="4428" w:type="dxa"/>
          </w:tcPr>
          <w:p w:rsidR="00C0745E" w:rsidRPr="009E51BD" w:rsidRDefault="00EF6FBD" w:rsidP="00EF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Webinar participants from categories identified above.  </w:t>
            </w:r>
            <w:r w:rsidR="002E3A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C0745E" w:rsidRPr="009E51BD" w:rsidRDefault="00B816C4" w:rsidP="00B8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 </w:t>
            </w:r>
            <w:r w:rsidR="000F1DAF">
              <w:rPr>
                <w:sz w:val="16"/>
                <w:szCs w:val="16"/>
              </w:rPr>
              <w:t xml:space="preserve">(20% of total </w:t>
            </w:r>
            <w:r w:rsidR="00EF6FBD">
              <w:rPr>
                <w:sz w:val="16"/>
                <w:szCs w:val="16"/>
              </w:rPr>
              <w:t>anticipated webinar  participants</w:t>
            </w:r>
            <w:r w:rsidR="000F1DAF"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C0745E" w:rsidRPr="009E51BD" w:rsidRDefault="00EF6FBD" w:rsidP="00E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0745E">
              <w:rPr>
                <w:sz w:val="16"/>
                <w:szCs w:val="16"/>
              </w:rPr>
              <w:t xml:space="preserve"> </w:t>
            </w:r>
            <w:r w:rsidR="00765A6D">
              <w:rPr>
                <w:sz w:val="16"/>
                <w:szCs w:val="16"/>
              </w:rPr>
              <w:t>minutes</w:t>
            </w:r>
            <w:r w:rsidR="001B082F">
              <w:rPr>
                <w:sz w:val="16"/>
                <w:szCs w:val="16"/>
              </w:rPr>
              <w:t xml:space="preserve"> per evaluation </w:t>
            </w:r>
          </w:p>
        </w:tc>
        <w:tc>
          <w:tcPr>
            <w:tcW w:w="1777" w:type="dxa"/>
          </w:tcPr>
          <w:p w:rsidR="00C0745E" w:rsidRPr="009E51BD" w:rsidRDefault="00B816C4" w:rsidP="00B81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="00C6470C">
              <w:rPr>
                <w:sz w:val="16"/>
                <w:szCs w:val="16"/>
              </w:rPr>
              <w:t xml:space="preserve"> </w:t>
            </w:r>
            <w:r w:rsidR="00C0745E">
              <w:rPr>
                <w:sz w:val="16"/>
                <w:szCs w:val="16"/>
              </w:rPr>
              <w:t>min</w:t>
            </w:r>
            <w:r w:rsidR="00C6470C">
              <w:rPr>
                <w:sz w:val="16"/>
                <w:szCs w:val="16"/>
              </w:rPr>
              <w:t>s</w:t>
            </w:r>
            <w:r w:rsidR="00C0745E">
              <w:rPr>
                <w:sz w:val="16"/>
                <w:szCs w:val="16"/>
              </w:rPr>
              <w:t>. or</w:t>
            </w:r>
            <w:r w:rsidR="00B47D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16.7 </w:t>
            </w:r>
            <w:r w:rsidR="00EF6FBD">
              <w:rPr>
                <w:sz w:val="16"/>
                <w:szCs w:val="16"/>
              </w:rPr>
              <w:t>hours</w:t>
            </w:r>
          </w:p>
        </w:tc>
      </w:tr>
      <w:tr w:rsidR="00B47DB9" w:rsidTr="00B816C4">
        <w:trPr>
          <w:trHeight w:val="260"/>
        </w:trPr>
        <w:tc>
          <w:tcPr>
            <w:tcW w:w="4428" w:type="dxa"/>
          </w:tcPr>
          <w:p w:rsidR="00B47DB9" w:rsidRPr="00F6240A" w:rsidRDefault="00B47DB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47DB9" w:rsidRPr="00F6240A" w:rsidRDefault="00B816C4" w:rsidP="00B816C4">
            <w:pPr>
              <w:rPr>
                <w:b/>
              </w:rPr>
            </w:pPr>
            <w:r>
              <w:rPr>
                <w:b/>
              </w:rPr>
              <w:t>2</w:t>
            </w:r>
            <w:r w:rsidR="00EF6FBD">
              <w:rPr>
                <w:b/>
              </w:rPr>
              <w:t>00</w:t>
            </w:r>
          </w:p>
        </w:tc>
        <w:tc>
          <w:tcPr>
            <w:tcW w:w="1800" w:type="dxa"/>
          </w:tcPr>
          <w:p w:rsidR="00B47DB9" w:rsidRPr="00936410" w:rsidRDefault="00EF6FBD" w:rsidP="00843796">
            <w:pPr>
              <w:rPr>
                <w:b/>
              </w:rPr>
            </w:pPr>
            <w:r>
              <w:rPr>
                <w:b/>
              </w:rPr>
              <w:t xml:space="preserve">5 minutes per </w:t>
            </w:r>
          </w:p>
        </w:tc>
        <w:tc>
          <w:tcPr>
            <w:tcW w:w="1777" w:type="dxa"/>
          </w:tcPr>
          <w:p w:rsidR="00B47DB9" w:rsidRPr="00F6240A" w:rsidRDefault="00B816C4" w:rsidP="00B816C4">
            <w:pPr>
              <w:rPr>
                <w:b/>
              </w:rPr>
            </w:pPr>
            <w:r>
              <w:rPr>
                <w:b/>
              </w:rPr>
              <w:t>16.7</w:t>
            </w:r>
            <w:r w:rsidR="00EF6FBD">
              <w:rPr>
                <w:b/>
              </w:rPr>
              <w:t xml:space="preserve"> </w:t>
            </w:r>
            <w:r w:rsidR="001B082F">
              <w:rPr>
                <w:b/>
              </w:rPr>
              <w:t>HOURS</w:t>
            </w:r>
          </w:p>
        </w:tc>
      </w:tr>
    </w:tbl>
    <w:p w:rsidR="00F3170F" w:rsidRDefault="00F3170F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5E1872">
        <w:t>It will take a</w:t>
      </w:r>
      <w:r w:rsidR="00DE37B9">
        <w:t xml:space="preserve">pproximately </w:t>
      </w:r>
      <w:r w:rsidR="00B816C4">
        <w:t>8</w:t>
      </w:r>
      <w:r w:rsidR="0074209E">
        <w:t xml:space="preserve"> </w:t>
      </w:r>
      <w:r w:rsidR="00DE37B9">
        <w:t>h</w:t>
      </w:r>
      <w:r w:rsidR="00C5067A">
        <w:t>ou</w:t>
      </w:r>
      <w:r w:rsidR="00DE37B9">
        <w:t xml:space="preserve">rs </w:t>
      </w:r>
      <w:r w:rsidR="00642E82">
        <w:t xml:space="preserve">for a federal employee </w:t>
      </w:r>
      <w:r w:rsidR="00DE37B9">
        <w:t>to review results</w:t>
      </w:r>
      <w:r w:rsidR="00642E82">
        <w:t xml:space="preserve"> of the </w:t>
      </w:r>
      <w:r w:rsidR="00EF6FBD">
        <w:t xml:space="preserve">webinar </w:t>
      </w:r>
      <w:r w:rsidR="00642E82">
        <w:t>evaluations</w:t>
      </w:r>
      <w:r w:rsidR="00DE37B9">
        <w:t xml:space="preserve">.  </w:t>
      </w:r>
    </w:p>
    <w:p w:rsidR="004827F1" w:rsidRPr="00133087" w:rsidRDefault="004827F1">
      <w:pPr>
        <w:rPr>
          <w:b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590A60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E020AB">
        <w:t xml:space="preserve">  </w:t>
      </w:r>
    </w:p>
    <w:p w:rsidR="0044414F" w:rsidRDefault="0044414F" w:rsidP="001B0AAA"/>
    <w:p w:rsidR="0044414F" w:rsidRPr="0044414F" w:rsidRDefault="002E38AD" w:rsidP="0044414F">
      <w:pPr>
        <w:rPr>
          <w:color w:val="000000" w:themeColor="text1"/>
        </w:rPr>
      </w:pPr>
      <w:r>
        <w:rPr>
          <w:color w:val="000000" w:themeColor="text1"/>
        </w:rPr>
        <w:t xml:space="preserve">There will be </w:t>
      </w:r>
      <w:r w:rsidR="00A87522">
        <w:rPr>
          <w:color w:val="000000" w:themeColor="text1"/>
        </w:rPr>
        <w:t xml:space="preserve">approximately </w:t>
      </w:r>
      <w:r w:rsidR="00006BBA">
        <w:rPr>
          <w:color w:val="000000" w:themeColor="text1"/>
        </w:rPr>
        <w:t xml:space="preserve">1000 </w:t>
      </w:r>
      <w:r w:rsidR="00EF6FBD">
        <w:rPr>
          <w:color w:val="000000" w:themeColor="text1"/>
        </w:rPr>
        <w:t>webinar participants</w:t>
      </w:r>
      <w:r w:rsidR="00E573B0">
        <w:rPr>
          <w:color w:val="000000" w:themeColor="text1"/>
        </w:rPr>
        <w:t xml:space="preserve">.  </w:t>
      </w:r>
      <w:r w:rsidR="00A87522">
        <w:rPr>
          <w:color w:val="000000" w:themeColor="text1"/>
        </w:rPr>
        <w:t xml:space="preserve">All </w:t>
      </w:r>
      <w:r w:rsidR="00EF6FBD">
        <w:rPr>
          <w:color w:val="000000" w:themeColor="text1"/>
        </w:rPr>
        <w:t xml:space="preserve">participants will </w:t>
      </w:r>
      <w:r w:rsidR="00A87522">
        <w:rPr>
          <w:color w:val="000000" w:themeColor="text1"/>
        </w:rPr>
        <w:t xml:space="preserve">be emailed </w:t>
      </w:r>
      <w:r w:rsidR="005C5BA0">
        <w:rPr>
          <w:color w:val="000000" w:themeColor="text1"/>
        </w:rPr>
        <w:t xml:space="preserve">a link to the </w:t>
      </w:r>
      <w:r w:rsidR="00FD0851">
        <w:rPr>
          <w:color w:val="000000" w:themeColor="text1"/>
        </w:rPr>
        <w:t>webinar evaluation to fill out and submit electronically.  W</w:t>
      </w:r>
      <w:r w:rsidR="00E573B0">
        <w:rPr>
          <w:color w:val="000000" w:themeColor="text1"/>
        </w:rPr>
        <w:t>e</w:t>
      </w:r>
      <w:r w:rsidR="0044414F" w:rsidRPr="0044414F">
        <w:rPr>
          <w:color w:val="000000" w:themeColor="text1"/>
        </w:rPr>
        <w:t xml:space="preserve"> anticipate about a 20% response rate</w:t>
      </w:r>
      <w:r w:rsidR="00FD0851">
        <w:rPr>
          <w:color w:val="000000" w:themeColor="text1"/>
        </w:rPr>
        <w:t>.</w:t>
      </w:r>
      <w:r w:rsidR="001B082F">
        <w:rPr>
          <w:color w:val="000000" w:themeColor="text1"/>
        </w:rPr>
        <w:t xml:space="preserve">  </w:t>
      </w:r>
    </w:p>
    <w:p w:rsidR="0044414F" w:rsidRDefault="0044414F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ED5EC1">
        <w:t xml:space="preserve"> 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ED5EC1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Other, Explain</w:t>
      </w:r>
      <w:r w:rsidR="00A87522">
        <w:t xml:space="preserve"> (see above)</w:t>
      </w:r>
    </w:p>
    <w:p w:rsidR="00133087" w:rsidRDefault="0013308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133087">
        <w:t>] Yes [</w:t>
      </w:r>
      <w:r w:rsidR="00A87522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bookmarkStart w:id="0" w:name="_GoBack"/>
      <w:bookmarkEnd w:id="0"/>
    </w:p>
    <w:sectPr w:rsidR="005E714A" w:rsidRPr="000C06EF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D8" w:rsidRDefault="00E81FD8">
      <w:r>
        <w:separator/>
      </w:r>
    </w:p>
  </w:endnote>
  <w:endnote w:type="continuationSeparator" w:id="0">
    <w:p w:rsidR="00E81FD8" w:rsidRDefault="00E8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0AB" w:rsidRDefault="0053217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020AB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6E4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D8" w:rsidRDefault="00E81FD8">
      <w:r>
        <w:separator/>
      </w:r>
    </w:p>
  </w:footnote>
  <w:footnote w:type="continuationSeparator" w:id="0">
    <w:p w:rsidR="00E81FD8" w:rsidRDefault="00E8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0739B0"/>
    <w:multiLevelType w:val="multilevel"/>
    <w:tmpl w:val="A7D2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E3220"/>
    <w:multiLevelType w:val="hybridMultilevel"/>
    <w:tmpl w:val="5DD6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3D15"/>
    <w:rsid w:val="00006BBA"/>
    <w:rsid w:val="00023A57"/>
    <w:rsid w:val="00026E4D"/>
    <w:rsid w:val="000475F1"/>
    <w:rsid w:val="00047A64"/>
    <w:rsid w:val="00067329"/>
    <w:rsid w:val="00095E1B"/>
    <w:rsid w:val="000A6E2C"/>
    <w:rsid w:val="000B035E"/>
    <w:rsid w:val="000B2838"/>
    <w:rsid w:val="000C06EF"/>
    <w:rsid w:val="000D44CA"/>
    <w:rsid w:val="000E200B"/>
    <w:rsid w:val="000E3D0B"/>
    <w:rsid w:val="000E649A"/>
    <w:rsid w:val="000F1DAF"/>
    <w:rsid w:val="000F68BE"/>
    <w:rsid w:val="00125DA1"/>
    <w:rsid w:val="00133087"/>
    <w:rsid w:val="00144229"/>
    <w:rsid w:val="0018038E"/>
    <w:rsid w:val="00180DD7"/>
    <w:rsid w:val="001927A4"/>
    <w:rsid w:val="00194AC6"/>
    <w:rsid w:val="001A23B0"/>
    <w:rsid w:val="001A25CC"/>
    <w:rsid w:val="001B082F"/>
    <w:rsid w:val="001B0AAA"/>
    <w:rsid w:val="001C39F7"/>
    <w:rsid w:val="001C3A79"/>
    <w:rsid w:val="002306C2"/>
    <w:rsid w:val="00237B48"/>
    <w:rsid w:val="00240F00"/>
    <w:rsid w:val="0024455B"/>
    <w:rsid w:val="0024521E"/>
    <w:rsid w:val="0026384E"/>
    <w:rsid w:val="00263C3D"/>
    <w:rsid w:val="00274D0B"/>
    <w:rsid w:val="002B3C95"/>
    <w:rsid w:val="002D0B92"/>
    <w:rsid w:val="002E38AD"/>
    <w:rsid w:val="002E3A7E"/>
    <w:rsid w:val="003365AD"/>
    <w:rsid w:val="003D5BBE"/>
    <w:rsid w:val="003E2717"/>
    <w:rsid w:val="003E3C61"/>
    <w:rsid w:val="003E65E9"/>
    <w:rsid w:val="003F1C5B"/>
    <w:rsid w:val="00434E33"/>
    <w:rsid w:val="00441434"/>
    <w:rsid w:val="0044414F"/>
    <w:rsid w:val="00445137"/>
    <w:rsid w:val="0045264C"/>
    <w:rsid w:val="00473187"/>
    <w:rsid w:val="004827F1"/>
    <w:rsid w:val="004876EC"/>
    <w:rsid w:val="00496118"/>
    <w:rsid w:val="004C17E0"/>
    <w:rsid w:val="004D6E14"/>
    <w:rsid w:val="004D79E3"/>
    <w:rsid w:val="005009B0"/>
    <w:rsid w:val="00500D7E"/>
    <w:rsid w:val="00516374"/>
    <w:rsid w:val="00532174"/>
    <w:rsid w:val="00532239"/>
    <w:rsid w:val="00572099"/>
    <w:rsid w:val="00590A60"/>
    <w:rsid w:val="00597CFF"/>
    <w:rsid w:val="005A1006"/>
    <w:rsid w:val="005C5BA0"/>
    <w:rsid w:val="005E1872"/>
    <w:rsid w:val="005E714A"/>
    <w:rsid w:val="005F12BB"/>
    <w:rsid w:val="006140A0"/>
    <w:rsid w:val="006335B2"/>
    <w:rsid w:val="00636621"/>
    <w:rsid w:val="00642B49"/>
    <w:rsid w:val="00642E82"/>
    <w:rsid w:val="00657F89"/>
    <w:rsid w:val="006832D9"/>
    <w:rsid w:val="0069403B"/>
    <w:rsid w:val="006C7689"/>
    <w:rsid w:val="006F3DDE"/>
    <w:rsid w:val="00704678"/>
    <w:rsid w:val="00736F17"/>
    <w:rsid w:val="0074209E"/>
    <w:rsid w:val="007425E7"/>
    <w:rsid w:val="007626AC"/>
    <w:rsid w:val="00765A6D"/>
    <w:rsid w:val="00767512"/>
    <w:rsid w:val="007D7115"/>
    <w:rsid w:val="00802607"/>
    <w:rsid w:val="008060A6"/>
    <w:rsid w:val="008101A5"/>
    <w:rsid w:val="00822664"/>
    <w:rsid w:val="00843796"/>
    <w:rsid w:val="00873C5A"/>
    <w:rsid w:val="00895229"/>
    <w:rsid w:val="008D65DC"/>
    <w:rsid w:val="008F0203"/>
    <w:rsid w:val="008F1317"/>
    <w:rsid w:val="008F50D4"/>
    <w:rsid w:val="009239AA"/>
    <w:rsid w:val="00925034"/>
    <w:rsid w:val="00935ADA"/>
    <w:rsid w:val="00936410"/>
    <w:rsid w:val="00946B6C"/>
    <w:rsid w:val="00955A71"/>
    <w:rsid w:val="00957FCE"/>
    <w:rsid w:val="0096108F"/>
    <w:rsid w:val="009B721F"/>
    <w:rsid w:val="009C13B9"/>
    <w:rsid w:val="009C3BF2"/>
    <w:rsid w:val="009D01A2"/>
    <w:rsid w:val="009E0948"/>
    <w:rsid w:val="009E51BD"/>
    <w:rsid w:val="009F5923"/>
    <w:rsid w:val="00A403BB"/>
    <w:rsid w:val="00A674DF"/>
    <w:rsid w:val="00A70B40"/>
    <w:rsid w:val="00A724A6"/>
    <w:rsid w:val="00A832A1"/>
    <w:rsid w:val="00A83AA6"/>
    <w:rsid w:val="00A87522"/>
    <w:rsid w:val="00AE1809"/>
    <w:rsid w:val="00B25E25"/>
    <w:rsid w:val="00B42BFE"/>
    <w:rsid w:val="00B47DB9"/>
    <w:rsid w:val="00B61DC0"/>
    <w:rsid w:val="00B71A1C"/>
    <w:rsid w:val="00B80D76"/>
    <w:rsid w:val="00B816C4"/>
    <w:rsid w:val="00B878CD"/>
    <w:rsid w:val="00B92820"/>
    <w:rsid w:val="00BA2105"/>
    <w:rsid w:val="00BA7E06"/>
    <w:rsid w:val="00BB43B5"/>
    <w:rsid w:val="00BB6219"/>
    <w:rsid w:val="00BC181F"/>
    <w:rsid w:val="00BD290F"/>
    <w:rsid w:val="00BD6CB1"/>
    <w:rsid w:val="00BF42B7"/>
    <w:rsid w:val="00C0745E"/>
    <w:rsid w:val="00C14CC4"/>
    <w:rsid w:val="00C33C52"/>
    <w:rsid w:val="00C40D8B"/>
    <w:rsid w:val="00C5067A"/>
    <w:rsid w:val="00C51782"/>
    <w:rsid w:val="00C6470C"/>
    <w:rsid w:val="00C8407A"/>
    <w:rsid w:val="00C8488C"/>
    <w:rsid w:val="00C86E91"/>
    <w:rsid w:val="00CA2650"/>
    <w:rsid w:val="00CA4F4B"/>
    <w:rsid w:val="00CA7B97"/>
    <w:rsid w:val="00CB1078"/>
    <w:rsid w:val="00CB5DE1"/>
    <w:rsid w:val="00CC5E83"/>
    <w:rsid w:val="00CC6FAF"/>
    <w:rsid w:val="00CE32DE"/>
    <w:rsid w:val="00D24698"/>
    <w:rsid w:val="00D55560"/>
    <w:rsid w:val="00D6383F"/>
    <w:rsid w:val="00D70789"/>
    <w:rsid w:val="00DB59D0"/>
    <w:rsid w:val="00DC33D3"/>
    <w:rsid w:val="00DE37B9"/>
    <w:rsid w:val="00DF4AC3"/>
    <w:rsid w:val="00DF553C"/>
    <w:rsid w:val="00E020AB"/>
    <w:rsid w:val="00E14126"/>
    <w:rsid w:val="00E24FCD"/>
    <w:rsid w:val="00E26329"/>
    <w:rsid w:val="00E40854"/>
    <w:rsid w:val="00E40B50"/>
    <w:rsid w:val="00E50293"/>
    <w:rsid w:val="00E573B0"/>
    <w:rsid w:val="00E65FFC"/>
    <w:rsid w:val="00E80951"/>
    <w:rsid w:val="00E81FD8"/>
    <w:rsid w:val="00E86CC6"/>
    <w:rsid w:val="00E86D09"/>
    <w:rsid w:val="00EB56B3"/>
    <w:rsid w:val="00ED5EC1"/>
    <w:rsid w:val="00ED6492"/>
    <w:rsid w:val="00EF2095"/>
    <w:rsid w:val="00EF5062"/>
    <w:rsid w:val="00EF6FBD"/>
    <w:rsid w:val="00F06866"/>
    <w:rsid w:val="00F15956"/>
    <w:rsid w:val="00F24CFC"/>
    <w:rsid w:val="00F3170F"/>
    <w:rsid w:val="00F34D69"/>
    <w:rsid w:val="00F6092E"/>
    <w:rsid w:val="00F67D7D"/>
    <w:rsid w:val="00F976B0"/>
    <w:rsid w:val="00FA6DE7"/>
    <w:rsid w:val="00FC0A8E"/>
    <w:rsid w:val="00FD085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3CB228-992A-4261-96EA-4731609C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Kerwin, Courtney</cp:lastModifiedBy>
  <cp:revision>2</cp:revision>
  <cp:lastPrinted>2013-04-09T15:42:00Z</cp:lastPrinted>
  <dcterms:created xsi:type="dcterms:W3CDTF">2017-01-18T01:50:00Z</dcterms:created>
  <dcterms:modified xsi:type="dcterms:W3CDTF">2017-01-18T01:50:00Z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