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7A5" w:rsidRPr="009B6386" w:rsidRDefault="00AE37A5" w:rsidP="00AE37A5">
      <w:pPr>
        <w:pStyle w:val="Title"/>
        <w:rPr>
          <w:b w:val="0"/>
          <w:bCs w:val="0"/>
          <w:color w:val="000000" w:themeColor="text1"/>
          <w:szCs w:val="24"/>
        </w:rPr>
      </w:pPr>
      <w:bookmarkStart w:id="0" w:name="_GoBack"/>
      <w:bookmarkEnd w:id="0"/>
      <w:r w:rsidRPr="009B6386">
        <w:rPr>
          <w:color w:val="000000" w:themeColor="text1"/>
          <w:szCs w:val="24"/>
        </w:rPr>
        <w:t>Supporting Statement</w:t>
      </w:r>
    </w:p>
    <w:p w:rsidR="009B6386" w:rsidRDefault="007D39C9" w:rsidP="00AE37A5">
      <w:pPr>
        <w:jc w:val="center"/>
        <w:rPr>
          <w:b/>
          <w:color w:val="000000" w:themeColor="text1"/>
          <w:szCs w:val="24"/>
        </w:rPr>
      </w:pPr>
      <w:r>
        <w:rPr>
          <w:b/>
          <w:color w:val="000000" w:themeColor="text1"/>
          <w:szCs w:val="24"/>
        </w:rPr>
        <w:t xml:space="preserve">Description:  </w:t>
      </w:r>
      <w:r w:rsidR="00015EF6" w:rsidRPr="009B6386">
        <w:rPr>
          <w:b/>
          <w:color w:val="000000" w:themeColor="text1"/>
          <w:szCs w:val="24"/>
        </w:rPr>
        <w:t>Risk Management Guidance for High</w:t>
      </w:r>
      <w:r w:rsidR="0072058F">
        <w:rPr>
          <w:b/>
          <w:color w:val="000000" w:themeColor="text1"/>
          <w:szCs w:val="24"/>
        </w:rPr>
        <w:t>er</w:t>
      </w:r>
      <w:r w:rsidR="00015EF6" w:rsidRPr="009B6386">
        <w:rPr>
          <w:b/>
          <w:color w:val="000000" w:themeColor="text1"/>
          <w:szCs w:val="24"/>
        </w:rPr>
        <w:t xml:space="preserve"> Loan-to-Value Lending </w:t>
      </w:r>
      <w:r w:rsidR="00FA36F3">
        <w:rPr>
          <w:b/>
          <w:color w:val="000000" w:themeColor="text1"/>
          <w:szCs w:val="24"/>
        </w:rPr>
        <w:t xml:space="preserve">Programs </w:t>
      </w:r>
      <w:r w:rsidR="00015EF6" w:rsidRPr="009B6386">
        <w:rPr>
          <w:b/>
          <w:color w:val="000000" w:themeColor="text1"/>
          <w:szCs w:val="24"/>
        </w:rPr>
        <w:t xml:space="preserve">in Communities Targeted for Revitalization </w:t>
      </w:r>
    </w:p>
    <w:p w:rsidR="00AE37A5" w:rsidRDefault="00AE37A5" w:rsidP="00AE37A5">
      <w:pPr>
        <w:jc w:val="center"/>
        <w:rPr>
          <w:b/>
          <w:bCs/>
          <w:color w:val="000000" w:themeColor="text1"/>
          <w:szCs w:val="24"/>
        </w:rPr>
      </w:pPr>
      <w:r w:rsidRPr="009B6386">
        <w:rPr>
          <w:b/>
          <w:bCs/>
          <w:color w:val="000000" w:themeColor="text1"/>
          <w:szCs w:val="24"/>
        </w:rPr>
        <w:t xml:space="preserve">OMB Control No. </w:t>
      </w:r>
      <w:r w:rsidR="001947B8">
        <w:rPr>
          <w:b/>
          <w:bCs/>
          <w:color w:val="000000" w:themeColor="text1"/>
          <w:szCs w:val="24"/>
        </w:rPr>
        <w:t>1557</w:t>
      </w:r>
      <w:r w:rsidRPr="009B6386">
        <w:rPr>
          <w:b/>
          <w:bCs/>
          <w:color w:val="000000" w:themeColor="text1"/>
          <w:szCs w:val="24"/>
        </w:rPr>
        <w:t>-NEW</w:t>
      </w:r>
    </w:p>
    <w:p w:rsidR="00AE37A5" w:rsidRPr="009B6386" w:rsidRDefault="00AE37A5" w:rsidP="00AE37A5">
      <w:pPr>
        <w:rPr>
          <w:b/>
          <w:bCs/>
          <w:color w:val="000000" w:themeColor="text1"/>
          <w:szCs w:val="24"/>
        </w:rPr>
      </w:pPr>
    </w:p>
    <w:p w:rsidR="00AE37A5" w:rsidRPr="009B6386" w:rsidRDefault="00AE37A5" w:rsidP="00AE37A5">
      <w:pPr>
        <w:rPr>
          <w:b/>
          <w:bCs/>
          <w:color w:val="000000" w:themeColor="text1"/>
          <w:szCs w:val="24"/>
        </w:rPr>
      </w:pPr>
    </w:p>
    <w:p w:rsidR="00AE37A5" w:rsidRPr="009B6386" w:rsidRDefault="00AE37A5" w:rsidP="00AE37A5">
      <w:pPr>
        <w:rPr>
          <w:b/>
          <w:bCs/>
          <w:color w:val="000000" w:themeColor="text1"/>
          <w:szCs w:val="24"/>
        </w:rPr>
      </w:pPr>
      <w:r w:rsidRPr="009B6386">
        <w:rPr>
          <w:b/>
          <w:bCs/>
          <w:color w:val="000000" w:themeColor="text1"/>
          <w:szCs w:val="24"/>
        </w:rPr>
        <w:t>A.  Justification.</w:t>
      </w:r>
    </w:p>
    <w:p w:rsidR="00AE37A5" w:rsidRPr="009B6386" w:rsidRDefault="00AE37A5" w:rsidP="00AE37A5">
      <w:pPr>
        <w:rPr>
          <w:color w:val="000000" w:themeColor="text1"/>
          <w:szCs w:val="24"/>
        </w:rPr>
      </w:pPr>
    </w:p>
    <w:p w:rsidR="00AE37A5" w:rsidRDefault="00AE37A5" w:rsidP="005658C0">
      <w:pPr>
        <w:spacing w:after="120"/>
        <w:rPr>
          <w:b/>
          <w:bCs/>
          <w:i/>
          <w:iCs/>
          <w:color w:val="000000" w:themeColor="text1"/>
          <w:szCs w:val="24"/>
        </w:rPr>
      </w:pPr>
      <w:r w:rsidRPr="009B6386">
        <w:rPr>
          <w:b/>
          <w:bCs/>
          <w:i/>
          <w:iCs/>
          <w:color w:val="000000" w:themeColor="text1"/>
          <w:szCs w:val="24"/>
        </w:rPr>
        <w:t>1.  Circumstances that make the collection necessary:</w:t>
      </w:r>
    </w:p>
    <w:p w:rsidR="00F7098B" w:rsidRPr="009B6386" w:rsidRDefault="00F7098B" w:rsidP="005658C0">
      <w:pPr>
        <w:spacing w:after="120"/>
        <w:rPr>
          <w:b/>
          <w:bCs/>
          <w:i/>
          <w:iCs/>
          <w:color w:val="000000" w:themeColor="text1"/>
          <w:szCs w:val="24"/>
        </w:rPr>
      </w:pPr>
    </w:p>
    <w:p w:rsidR="00957F5B" w:rsidRPr="009B6386" w:rsidRDefault="00C277E7" w:rsidP="00A40112">
      <w:pPr>
        <w:pStyle w:val="ListParagraph"/>
        <w:spacing w:after="240"/>
        <w:ind w:left="0"/>
        <w:contextualSpacing w:val="0"/>
        <w:rPr>
          <w:color w:val="000000" w:themeColor="text1"/>
        </w:rPr>
      </w:pPr>
      <w:r w:rsidRPr="009B6386">
        <w:rPr>
          <w:color w:val="000000" w:themeColor="text1"/>
        </w:rPr>
        <w:tab/>
      </w:r>
      <w:r w:rsidR="00A40112" w:rsidRPr="009B6386">
        <w:rPr>
          <w:color w:val="000000" w:themeColor="text1"/>
        </w:rPr>
        <w:t>C</w:t>
      </w:r>
      <w:r w:rsidR="005658C0" w:rsidRPr="009B6386">
        <w:rPr>
          <w:color w:val="000000" w:themeColor="text1"/>
        </w:rPr>
        <w:t>ommunities across America continue to confront lagging home values</w:t>
      </w:r>
      <w:r w:rsidR="00A40112" w:rsidRPr="009B6386">
        <w:rPr>
          <w:color w:val="000000" w:themeColor="text1"/>
        </w:rPr>
        <w:t xml:space="preserve">, particularly those </w:t>
      </w:r>
      <w:r w:rsidR="005658C0" w:rsidRPr="009B6386">
        <w:rPr>
          <w:color w:val="000000" w:themeColor="text1"/>
        </w:rPr>
        <w:t>significantly affected by the financial crisis and the housing market decline.</w:t>
      </w:r>
      <w:r w:rsidR="00A40112" w:rsidRPr="009B6386">
        <w:rPr>
          <w:color w:val="000000" w:themeColor="text1"/>
        </w:rPr>
        <w:t xml:space="preserve">  </w:t>
      </w:r>
      <w:r w:rsidR="005658C0" w:rsidRPr="009B6386">
        <w:rPr>
          <w:color w:val="000000" w:themeColor="text1"/>
        </w:rPr>
        <w:t>As these areas work to stabilize home ownership and home values, the rehabilitation of abandoned or distressed housing stock is an important component of broader efforts to strengthen communities.</w:t>
      </w:r>
      <w:r w:rsidR="00A40112" w:rsidRPr="009B6386">
        <w:rPr>
          <w:color w:val="000000" w:themeColor="text1"/>
        </w:rPr>
        <w:t xml:space="preserve">  However, obtaining mortgage loan financing has been a major challenge for buyers in many of these communities</w:t>
      </w:r>
      <w:r w:rsidR="001402F8" w:rsidRPr="009B6386">
        <w:rPr>
          <w:color w:val="000000" w:themeColor="text1"/>
        </w:rPr>
        <w:t>, including because of depressed home values.</w:t>
      </w:r>
      <w:r w:rsidR="004618A5" w:rsidRPr="009B6386">
        <w:rPr>
          <w:color w:val="000000" w:themeColor="text1"/>
        </w:rPr>
        <w:t xml:space="preserve">  </w:t>
      </w:r>
      <w:r w:rsidR="00413051" w:rsidRPr="009B6386">
        <w:rPr>
          <w:color w:val="000000" w:themeColor="text1"/>
        </w:rPr>
        <w:t xml:space="preserve">National </w:t>
      </w:r>
      <w:r w:rsidR="004618A5" w:rsidRPr="009B6386">
        <w:rPr>
          <w:color w:val="000000" w:themeColor="text1"/>
        </w:rPr>
        <w:t xml:space="preserve">banks and federal savings associations </w:t>
      </w:r>
      <w:r w:rsidR="007F1643" w:rsidRPr="009B6386">
        <w:rPr>
          <w:color w:val="000000" w:themeColor="text1"/>
        </w:rPr>
        <w:t>(collectively “</w:t>
      </w:r>
      <w:r w:rsidR="007D39C9">
        <w:rPr>
          <w:color w:val="000000" w:themeColor="text1"/>
        </w:rPr>
        <w:t>banks”</w:t>
      </w:r>
      <w:r w:rsidR="007F1643" w:rsidRPr="009B6386">
        <w:rPr>
          <w:color w:val="000000" w:themeColor="text1"/>
        </w:rPr>
        <w:t xml:space="preserve">) </w:t>
      </w:r>
      <w:r w:rsidR="00835D9B" w:rsidRPr="009B6386">
        <w:rPr>
          <w:color w:val="000000" w:themeColor="text1"/>
        </w:rPr>
        <w:t xml:space="preserve">already </w:t>
      </w:r>
      <w:r w:rsidR="00413051" w:rsidRPr="009B6386">
        <w:rPr>
          <w:color w:val="000000" w:themeColor="text1"/>
        </w:rPr>
        <w:t xml:space="preserve">are working with various </w:t>
      </w:r>
      <w:r w:rsidR="00835D9B" w:rsidRPr="009B6386">
        <w:rPr>
          <w:color w:val="000000" w:themeColor="text1"/>
        </w:rPr>
        <w:t>third parties</w:t>
      </w:r>
      <w:r w:rsidR="00413051" w:rsidRPr="009B6386">
        <w:rPr>
          <w:color w:val="000000" w:themeColor="text1"/>
        </w:rPr>
        <w:t xml:space="preserve"> to support </w:t>
      </w:r>
      <w:r w:rsidR="00835D9B" w:rsidRPr="009B6386">
        <w:rPr>
          <w:color w:val="000000" w:themeColor="text1"/>
        </w:rPr>
        <w:t>rehabilitation and stabilization efforts</w:t>
      </w:r>
      <w:r w:rsidR="00413051" w:rsidRPr="009B6386">
        <w:rPr>
          <w:color w:val="000000" w:themeColor="text1"/>
        </w:rPr>
        <w:t xml:space="preserve"> </w:t>
      </w:r>
      <w:r w:rsidR="00835D9B" w:rsidRPr="009B6386">
        <w:rPr>
          <w:color w:val="000000" w:themeColor="text1"/>
        </w:rPr>
        <w:t xml:space="preserve">in distressed communities </w:t>
      </w:r>
      <w:r w:rsidR="00413051" w:rsidRPr="009B6386">
        <w:rPr>
          <w:color w:val="000000" w:themeColor="text1"/>
        </w:rPr>
        <w:t xml:space="preserve">and </w:t>
      </w:r>
      <w:r w:rsidR="004618A5" w:rsidRPr="009B6386">
        <w:rPr>
          <w:color w:val="000000" w:themeColor="text1"/>
        </w:rPr>
        <w:t xml:space="preserve">have expressed </w:t>
      </w:r>
      <w:r w:rsidR="00413051" w:rsidRPr="009B6386">
        <w:rPr>
          <w:color w:val="000000" w:themeColor="text1"/>
        </w:rPr>
        <w:t xml:space="preserve">a </w:t>
      </w:r>
      <w:r w:rsidR="004618A5" w:rsidRPr="009B6386">
        <w:rPr>
          <w:color w:val="000000" w:themeColor="text1"/>
        </w:rPr>
        <w:t xml:space="preserve">desire to </w:t>
      </w:r>
      <w:r w:rsidR="00835D9B" w:rsidRPr="009B6386">
        <w:rPr>
          <w:color w:val="000000" w:themeColor="text1"/>
        </w:rPr>
        <w:t xml:space="preserve">further </w:t>
      </w:r>
      <w:r w:rsidR="004618A5" w:rsidRPr="009B6386">
        <w:rPr>
          <w:color w:val="000000" w:themeColor="text1"/>
        </w:rPr>
        <w:t xml:space="preserve">support </w:t>
      </w:r>
      <w:r w:rsidR="00835D9B" w:rsidRPr="009B6386">
        <w:rPr>
          <w:color w:val="000000" w:themeColor="text1"/>
        </w:rPr>
        <w:t xml:space="preserve">such </w:t>
      </w:r>
      <w:r w:rsidR="00413051" w:rsidRPr="009B6386">
        <w:rPr>
          <w:color w:val="000000" w:themeColor="text1"/>
        </w:rPr>
        <w:t xml:space="preserve">efforts </w:t>
      </w:r>
      <w:r w:rsidR="004618A5" w:rsidRPr="009B6386">
        <w:rPr>
          <w:color w:val="000000" w:themeColor="text1"/>
        </w:rPr>
        <w:t>through</w:t>
      </w:r>
      <w:r w:rsidR="00B21A02">
        <w:rPr>
          <w:color w:val="000000" w:themeColor="text1"/>
        </w:rPr>
        <w:t xml:space="preserve"> their own</w:t>
      </w:r>
      <w:r w:rsidR="004618A5" w:rsidRPr="009B6386">
        <w:rPr>
          <w:color w:val="000000" w:themeColor="text1"/>
        </w:rPr>
        <w:t xml:space="preserve"> </w:t>
      </w:r>
      <w:r w:rsidR="00413051" w:rsidRPr="009B6386">
        <w:rPr>
          <w:color w:val="000000" w:themeColor="text1"/>
        </w:rPr>
        <w:t xml:space="preserve">mortgage </w:t>
      </w:r>
      <w:r w:rsidR="004618A5" w:rsidRPr="009B6386">
        <w:rPr>
          <w:color w:val="000000" w:themeColor="text1"/>
        </w:rPr>
        <w:t xml:space="preserve">lending </w:t>
      </w:r>
      <w:r w:rsidR="00B21A02">
        <w:rPr>
          <w:color w:val="000000" w:themeColor="text1"/>
        </w:rPr>
        <w:t>programs</w:t>
      </w:r>
      <w:r w:rsidR="0044784F" w:rsidRPr="009B6386">
        <w:rPr>
          <w:color w:val="000000" w:themeColor="text1"/>
        </w:rPr>
        <w:t xml:space="preserve">.  However, these </w:t>
      </w:r>
      <w:r w:rsidR="008C4D1B">
        <w:rPr>
          <w:color w:val="000000" w:themeColor="text1"/>
        </w:rPr>
        <w:t>banks</w:t>
      </w:r>
      <w:r w:rsidR="008C4D1B" w:rsidRPr="009B6386">
        <w:rPr>
          <w:color w:val="000000" w:themeColor="text1"/>
        </w:rPr>
        <w:t xml:space="preserve"> </w:t>
      </w:r>
      <w:r w:rsidR="0044784F" w:rsidRPr="009B6386">
        <w:rPr>
          <w:color w:val="000000" w:themeColor="text1"/>
        </w:rPr>
        <w:t xml:space="preserve">also have expressed </w:t>
      </w:r>
      <w:r w:rsidR="004618A5" w:rsidRPr="009B6386">
        <w:rPr>
          <w:color w:val="000000" w:themeColor="text1"/>
        </w:rPr>
        <w:t>concern about how to do so within the existing regulatory framework and supervisory expectations.</w:t>
      </w:r>
    </w:p>
    <w:p w:rsidR="001402F8" w:rsidRPr="009B6386" w:rsidRDefault="00C277E7" w:rsidP="001402F8">
      <w:pPr>
        <w:pStyle w:val="ListParagraph"/>
        <w:spacing w:after="240"/>
        <w:ind w:left="0"/>
        <w:contextualSpacing w:val="0"/>
        <w:rPr>
          <w:color w:val="000000" w:themeColor="text1"/>
        </w:rPr>
      </w:pPr>
      <w:r w:rsidRPr="009B6386">
        <w:rPr>
          <w:color w:val="000000" w:themeColor="text1"/>
        </w:rPr>
        <w:tab/>
      </w:r>
      <w:r w:rsidR="001402F8" w:rsidRPr="009B6386">
        <w:rPr>
          <w:color w:val="000000" w:themeColor="text1"/>
        </w:rPr>
        <w:t xml:space="preserve">Existing regulations and guidance recognize that it may be appropriate in individual cases for </w:t>
      </w:r>
      <w:r w:rsidR="008C4D1B">
        <w:rPr>
          <w:color w:val="000000" w:themeColor="text1"/>
        </w:rPr>
        <w:t>banks</w:t>
      </w:r>
      <w:r w:rsidR="008C4D1B" w:rsidRPr="009B6386">
        <w:rPr>
          <w:color w:val="000000" w:themeColor="text1"/>
        </w:rPr>
        <w:t xml:space="preserve"> </w:t>
      </w:r>
      <w:r w:rsidR="001402F8" w:rsidRPr="009B6386">
        <w:rPr>
          <w:color w:val="000000" w:themeColor="text1"/>
        </w:rPr>
        <w:t xml:space="preserve">to make </w:t>
      </w:r>
      <w:r w:rsidR="000E1170">
        <w:rPr>
          <w:color w:val="000000" w:themeColor="text1"/>
        </w:rPr>
        <w:t xml:space="preserve">mortgage </w:t>
      </w:r>
      <w:r w:rsidR="001402F8" w:rsidRPr="009B6386">
        <w:rPr>
          <w:color w:val="000000" w:themeColor="text1"/>
        </w:rPr>
        <w:t xml:space="preserve">loans in excess of the </w:t>
      </w:r>
      <w:r w:rsidR="004D23ED" w:rsidRPr="009B6386">
        <w:rPr>
          <w:color w:val="000000" w:themeColor="text1"/>
        </w:rPr>
        <w:t>supervisory loan to value (SLTV) limitations</w:t>
      </w:r>
      <w:r w:rsidR="001402F8" w:rsidRPr="009B6386">
        <w:rPr>
          <w:color w:val="000000" w:themeColor="text1"/>
        </w:rPr>
        <w:t>, based on support provided by other credit factors.</w:t>
      </w:r>
      <w:r w:rsidR="001402F8" w:rsidRPr="009B6386">
        <w:rPr>
          <w:rStyle w:val="FootnoteReference"/>
          <w:color w:val="000000" w:themeColor="text1"/>
        </w:rPr>
        <w:footnoteReference w:id="1"/>
      </w:r>
      <w:r w:rsidR="00226F42" w:rsidRPr="009B6386">
        <w:rPr>
          <w:color w:val="000000" w:themeColor="text1"/>
        </w:rPr>
        <w:t xml:space="preserve">  These credit factors </w:t>
      </w:r>
      <w:r w:rsidR="00B21A02">
        <w:rPr>
          <w:color w:val="000000" w:themeColor="text1"/>
        </w:rPr>
        <w:t xml:space="preserve">may </w:t>
      </w:r>
      <w:r w:rsidR="00226F42" w:rsidRPr="009B6386">
        <w:rPr>
          <w:color w:val="000000" w:themeColor="text1"/>
        </w:rPr>
        <w:t>include the capacity of the borrower to adequately service the debt as well as the borrower’s overall creditworthiness.</w:t>
      </w:r>
      <w:r w:rsidR="001402F8" w:rsidRPr="009B6386">
        <w:rPr>
          <w:color w:val="000000" w:themeColor="text1"/>
        </w:rPr>
        <w:t xml:space="preserve">  </w:t>
      </w:r>
      <w:r w:rsidR="000E1170" w:rsidRPr="000E1170">
        <w:rPr>
          <w:color w:val="000000" w:themeColor="text1"/>
        </w:rPr>
        <w:t>The regulations and guidelines also recognize that banks may make prudent</w:t>
      </w:r>
      <w:r w:rsidR="00FA36F3">
        <w:rPr>
          <w:color w:val="000000" w:themeColor="text1"/>
        </w:rPr>
        <w:t>ly</w:t>
      </w:r>
      <w:r w:rsidR="000E1170" w:rsidRPr="000E1170">
        <w:rPr>
          <w:color w:val="000000" w:themeColor="text1"/>
        </w:rPr>
        <w:t xml:space="preserve"> underwrit</w:t>
      </w:r>
      <w:r w:rsidR="00FA36F3">
        <w:rPr>
          <w:color w:val="000000" w:themeColor="text1"/>
        </w:rPr>
        <w:t>ten</w:t>
      </w:r>
      <w:r w:rsidR="000E1170" w:rsidRPr="000E1170">
        <w:rPr>
          <w:color w:val="000000" w:themeColor="text1"/>
        </w:rPr>
        <w:t xml:space="preserve"> exceptions for creditworthy borrowers whose needs do not fit within the banks’ general lending policies, including SLTV limits, on a loan-by-loan basis under certain conditions.</w:t>
      </w:r>
      <w:r w:rsidR="000E1170">
        <w:rPr>
          <w:color w:val="000000" w:themeColor="text1"/>
        </w:rPr>
        <w:t xml:space="preserve">  </w:t>
      </w:r>
      <w:r w:rsidR="001402F8" w:rsidRPr="009B6386">
        <w:rPr>
          <w:color w:val="000000" w:themeColor="text1"/>
        </w:rPr>
        <w:t>T</w:t>
      </w:r>
      <w:r w:rsidR="007F1643" w:rsidRPr="009B6386">
        <w:rPr>
          <w:color w:val="000000" w:themeColor="text1"/>
        </w:rPr>
        <w:t xml:space="preserve">he Office of the Comptroller of the Currency (OCC) has </w:t>
      </w:r>
      <w:r w:rsidR="00F766CC" w:rsidRPr="009B6386">
        <w:rPr>
          <w:color w:val="000000" w:themeColor="text1"/>
        </w:rPr>
        <w:t xml:space="preserve">undertaken </w:t>
      </w:r>
      <w:r w:rsidR="007F1643" w:rsidRPr="009B6386">
        <w:rPr>
          <w:color w:val="000000" w:themeColor="text1"/>
        </w:rPr>
        <w:t xml:space="preserve">efforts to </w:t>
      </w:r>
      <w:r w:rsidR="007F1616" w:rsidRPr="009B6386">
        <w:rPr>
          <w:color w:val="000000" w:themeColor="text1"/>
        </w:rPr>
        <w:t xml:space="preserve">clarify </w:t>
      </w:r>
      <w:r w:rsidR="001402F8" w:rsidRPr="009B6386">
        <w:rPr>
          <w:color w:val="000000" w:themeColor="text1"/>
        </w:rPr>
        <w:t xml:space="preserve">these </w:t>
      </w:r>
      <w:r w:rsidR="007F1616" w:rsidRPr="009B6386">
        <w:rPr>
          <w:color w:val="000000" w:themeColor="text1"/>
        </w:rPr>
        <w:t xml:space="preserve">existing standards and its supervisory expectations.  </w:t>
      </w:r>
    </w:p>
    <w:p w:rsidR="007F1643" w:rsidRPr="009B6386" w:rsidRDefault="00C277E7" w:rsidP="00550A89">
      <w:pPr>
        <w:spacing w:after="240"/>
        <w:rPr>
          <w:color w:val="000000" w:themeColor="text1"/>
          <w:szCs w:val="24"/>
        </w:rPr>
      </w:pPr>
      <w:r w:rsidRPr="009B6386">
        <w:rPr>
          <w:color w:val="000000" w:themeColor="text1"/>
          <w:szCs w:val="24"/>
        </w:rPr>
        <w:tab/>
      </w:r>
      <w:r w:rsidR="00DC5B13" w:rsidRPr="009B6386">
        <w:rPr>
          <w:color w:val="000000" w:themeColor="text1"/>
          <w:szCs w:val="24"/>
        </w:rPr>
        <w:t xml:space="preserve">As part of these efforts, the OCC has developed guidance for </w:t>
      </w:r>
      <w:r w:rsidR="007D39C9">
        <w:rPr>
          <w:color w:val="000000" w:themeColor="text1"/>
          <w:szCs w:val="24"/>
        </w:rPr>
        <w:t>banks</w:t>
      </w:r>
      <w:r w:rsidR="00DC5B13" w:rsidRPr="009B6386">
        <w:rPr>
          <w:color w:val="000000" w:themeColor="text1"/>
          <w:szCs w:val="24"/>
        </w:rPr>
        <w:t xml:space="preserve"> setting forth: (i) the circumstances under which </w:t>
      </w:r>
      <w:r w:rsidR="007D39C9">
        <w:rPr>
          <w:color w:val="000000" w:themeColor="text1"/>
          <w:szCs w:val="24"/>
        </w:rPr>
        <w:t>banks</w:t>
      </w:r>
      <w:r w:rsidR="00F766CC" w:rsidRPr="009B6386">
        <w:rPr>
          <w:color w:val="000000" w:themeColor="text1"/>
          <w:szCs w:val="24"/>
        </w:rPr>
        <w:t xml:space="preserve"> </w:t>
      </w:r>
      <w:r w:rsidR="00DC5B13" w:rsidRPr="009B6386">
        <w:rPr>
          <w:color w:val="000000" w:themeColor="text1"/>
          <w:szCs w:val="24"/>
        </w:rPr>
        <w:t xml:space="preserve">may establish a program to originate certain owner-occupied residential </w:t>
      </w:r>
      <w:r w:rsidR="000E1170">
        <w:rPr>
          <w:color w:val="000000" w:themeColor="text1"/>
          <w:szCs w:val="24"/>
        </w:rPr>
        <w:t xml:space="preserve">mortgage </w:t>
      </w:r>
      <w:r w:rsidR="00DC5B13" w:rsidRPr="009B6386">
        <w:rPr>
          <w:color w:val="000000" w:themeColor="text1"/>
          <w:szCs w:val="24"/>
        </w:rPr>
        <w:t xml:space="preserve">loans </w:t>
      </w:r>
      <w:r w:rsidR="0027520C">
        <w:rPr>
          <w:color w:val="000000" w:themeColor="text1"/>
          <w:szCs w:val="24"/>
        </w:rPr>
        <w:t xml:space="preserve">where the loan-to-value (LTV) ratio at origination </w:t>
      </w:r>
      <w:r w:rsidR="00DC5B13" w:rsidRPr="009B6386">
        <w:rPr>
          <w:color w:val="000000" w:themeColor="text1"/>
          <w:szCs w:val="24"/>
        </w:rPr>
        <w:t>exceed</w:t>
      </w:r>
      <w:r w:rsidR="0027520C">
        <w:rPr>
          <w:color w:val="000000" w:themeColor="text1"/>
          <w:szCs w:val="24"/>
        </w:rPr>
        <w:t>s</w:t>
      </w:r>
      <w:r w:rsidR="00DC5B13" w:rsidRPr="009B6386">
        <w:rPr>
          <w:color w:val="000000" w:themeColor="text1"/>
          <w:szCs w:val="24"/>
        </w:rPr>
        <w:t xml:space="preserve"> </w:t>
      </w:r>
      <w:r w:rsidR="0027520C">
        <w:rPr>
          <w:color w:val="000000" w:themeColor="text1"/>
          <w:szCs w:val="24"/>
        </w:rPr>
        <w:t>100 percent</w:t>
      </w:r>
      <w:r w:rsidR="00DC5B13" w:rsidRPr="009B6386">
        <w:rPr>
          <w:color w:val="000000" w:themeColor="text1"/>
          <w:szCs w:val="24"/>
        </w:rPr>
        <w:t xml:space="preserve">; and (ii) the OCC’s supervisory considerations regarding such programs.  </w:t>
      </w:r>
      <w:r w:rsidR="001B7355">
        <w:rPr>
          <w:color w:val="000000" w:themeColor="text1"/>
          <w:szCs w:val="24"/>
        </w:rPr>
        <w:t>The guidance defines a</w:t>
      </w:r>
      <w:r w:rsidR="00F828E7">
        <w:rPr>
          <w:color w:val="000000" w:themeColor="text1"/>
          <w:szCs w:val="24"/>
        </w:rPr>
        <w:t xml:space="preserve"> “program</w:t>
      </w:r>
      <w:r w:rsidR="001B7355">
        <w:rPr>
          <w:color w:val="000000" w:themeColor="text1"/>
          <w:szCs w:val="24"/>
        </w:rPr>
        <w:t xml:space="preserve"> loan” and an “eligible community.”  Further, t</w:t>
      </w:r>
      <w:r w:rsidR="007C198F" w:rsidRPr="009B6386">
        <w:rPr>
          <w:color w:val="000000" w:themeColor="text1"/>
          <w:szCs w:val="24"/>
        </w:rPr>
        <w:t>he guidance provides</w:t>
      </w:r>
      <w:r w:rsidR="008E1E1F" w:rsidRPr="009B6386">
        <w:rPr>
          <w:color w:val="000000" w:themeColor="text1"/>
          <w:szCs w:val="24"/>
        </w:rPr>
        <w:t>, in part,</w:t>
      </w:r>
      <w:r w:rsidR="007C198F" w:rsidRPr="009B6386">
        <w:rPr>
          <w:color w:val="000000" w:themeColor="text1"/>
          <w:szCs w:val="24"/>
        </w:rPr>
        <w:t xml:space="preserve"> that </w:t>
      </w:r>
      <w:r w:rsidR="008C4D1B">
        <w:rPr>
          <w:color w:val="000000" w:themeColor="text1"/>
          <w:szCs w:val="24"/>
        </w:rPr>
        <w:t>banks</w:t>
      </w:r>
      <w:r w:rsidR="007C198F" w:rsidRPr="009B6386">
        <w:rPr>
          <w:color w:val="000000" w:themeColor="text1"/>
          <w:szCs w:val="24"/>
        </w:rPr>
        <w:t xml:space="preserve"> should have policies and procedures </w:t>
      </w:r>
      <w:r w:rsidR="00DC5B13" w:rsidRPr="009B6386">
        <w:rPr>
          <w:color w:val="000000" w:themeColor="text1"/>
          <w:szCs w:val="24"/>
        </w:rPr>
        <w:t xml:space="preserve">approved by the </w:t>
      </w:r>
      <w:r w:rsidR="00420EA3" w:rsidRPr="009B6386">
        <w:rPr>
          <w:color w:val="000000" w:themeColor="text1"/>
          <w:szCs w:val="24"/>
        </w:rPr>
        <w:t>B</w:t>
      </w:r>
      <w:r w:rsidR="00DC5B13" w:rsidRPr="009B6386">
        <w:rPr>
          <w:color w:val="000000" w:themeColor="text1"/>
          <w:szCs w:val="24"/>
        </w:rPr>
        <w:t>oard</w:t>
      </w:r>
      <w:r w:rsidR="007E4D33" w:rsidRPr="009B6386">
        <w:rPr>
          <w:color w:val="000000" w:themeColor="text1"/>
          <w:szCs w:val="24"/>
        </w:rPr>
        <w:t xml:space="preserve"> of Directors (Board)</w:t>
      </w:r>
      <w:r w:rsidR="00F828E7">
        <w:rPr>
          <w:color w:val="000000" w:themeColor="text1"/>
          <w:szCs w:val="24"/>
        </w:rPr>
        <w:t>, or</w:t>
      </w:r>
      <w:r w:rsidR="00F828E7" w:rsidRPr="00F828E7">
        <w:rPr>
          <w:color w:val="000000" w:themeColor="text1"/>
          <w:szCs w:val="24"/>
        </w:rPr>
        <w:t xml:space="preserve"> an appropriately designated committee,</w:t>
      </w:r>
      <w:r w:rsidR="007E4D33" w:rsidRPr="009B6386">
        <w:rPr>
          <w:color w:val="000000" w:themeColor="text1"/>
          <w:szCs w:val="24"/>
        </w:rPr>
        <w:t xml:space="preserve"> </w:t>
      </w:r>
      <w:r w:rsidR="007C198F" w:rsidRPr="009B6386">
        <w:rPr>
          <w:color w:val="000000" w:themeColor="text1"/>
          <w:szCs w:val="24"/>
        </w:rPr>
        <w:t>that address the loan portfolio management</w:t>
      </w:r>
      <w:r w:rsidR="000E1170">
        <w:rPr>
          <w:color w:val="000000" w:themeColor="text1"/>
          <w:szCs w:val="24"/>
        </w:rPr>
        <w:t xml:space="preserve">, </w:t>
      </w:r>
      <w:r w:rsidR="007C198F" w:rsidRPr="009B6386">
        <w:rPr>
          <w:color w:val="000000" w:themeColor="text1"/>
          <w:szCs w:val="24"/>
        </w:rPr>
        <w:t>underwriting</w:t>
      </w:r>
      <w:r w:rsidR="000E1170">
        <w:rPr>
          <w:color w:val="000000" w:themeColor="text1"/>
          <w:szCs w:val="24"/>
        </w:rPr>
        <w:t>, and other relevant</w:t>
      </w:r>
      <w:r w:rsidR="007C198F" w:rsidRPr="009B6386">
        <w:rPr>
          <w:color w:val="000000" w:themeColor="text1"/>
          <w:szCs w:val="24"/>
        </w:rPr>
        <w:t xml:space="preserve"> </w:t>
      </w:r>
      <w:r w:rsidR="007C198F" w:rsidRPr="009B6386">
        <w:rPr>
          <w:color w:val="000000" w:themeColor="text1"/>
          <w:szCs w:val="24"/>
        </w:rPr>
        <w:lastRenderedPageBreak/>
        <w:t xml:space="preserve">considerations for </w:t>
      </w:r>
      <w:r w:rsidR="00F828E7">
        <w:rPr>
          <w:color w:val="000000" w:themeColor="text1"/>
          <w:szCs w:val="24"/>
        </w:rPr>
        <w:t xml:space="preserve">program </w:t>
      </w:r>
      <w:r w:rsidR="001B7355">
        <w:rPr>
          <w:color w:val="000000" w:themeColor="text1"/>
          <w:szCs w:val="24"/>
        </w:rPr>
        <w:t>loans</w:t>
      </w:r>
      <w:r w:rsidR="007958AB" w:rsidRPr="009B6386">
        <w:rPr>
          <w:color w:val="000000" w:themeColor="text1"/>
          <w:szCs w:val="24"/>
        </w:rPr>
        <w:t>,</w:t>
      </w:r>
      <w:r w:rsidR="007C198F" w:rsidRPr="009B6386">
        <w:rPr>
          <w:color w:val="000000" w:themeColor="text1"/>
          <w:szCs w:val="24"/>
        </w:rPr>
        <w:t xml:space="preserve"> and sets out </w:t>
      </w:r>
      <w:r w:rsidR="005439AD" w:rsidRPr="009B6386">
        <w:rPr>
          <w:color w:val="000000" w:themeColor="text1"/>
          <w:szCs w:val="24"/>
        </w:rPr>
        <w:t xml:space="preserve">specific elements </w:t>
      </w:r>
      <w:r w:rsidR="007958AB" w:rsidRPr="009B6386">
        <w:rPr>
          <w:color w:val="000000" w:themeColor="text1"/>
          <w:szCs w:val="24"/>
        </w:rPr>
        <w:t xml:space="preserve">that the </w:t>
      </w:r>
      <w:r w:rsidR="007C198F" w:rsidRPr="009B6386">
        <w:rPr>
          <w:color w:val="000000" w:themeColor="text1"/>
          <w:szCs w:val="24"/>
        </w:rPr>
        <w:t>policies and procedures should include.</w:t>
      </w:r>
      <w:r w:rsidR="00DC5B13" w:rsidRPr="009B6386">
        <w:rPr>
          <w:color w:val="000000" w:themeColor="text1"/>
          <w:szCs w:val="24"/>
        </w:rPr>
        <w:t xml:space="preserve">  Additionally, the guidance provides that </w:t>
      </w:r>
      <w:r w:rsidR="007D39C9">
        <w:rPr>
          <w:color w:val="000000" w:themeColor="text1"/>
          <w:szCs w:val="24"/>
        </w:rPr>
        <w:t>banks</w:t>
      </w:r>
      <w:r w:rsidR="00DC5B13" w:rsidRPr="009B6386">
        <w:rPr>
          <w:color w:val="000000" w:themeColor="text1"/>
          <w:szCs w:val="24"/>
        </w:rPr>
        <w:t xml:space="preserve"> should notify the appropriate OCC supervisory office in writing at least 30 days prior to </w:t>
      </w:r>
      <w:r w:rsidR="0027520C">
        <w:rPr>
          <w:color w:val="000000" w:themeColor="text1"/>
          <w:szCs w:val="24"/>
        </w:rPr>
        <w:t xml:space="preserve">the date the bank intends to begin </w:t>
      </w:r>
      <w:r w:rsidR="00DC5B13" w:rsidRPr="009B6386">
        <w:rPr>
          <w:color w:val="000000" w:themeColor="text1"/>
          <w:szCs w:val="24"/>
        </w:rPr>
        <w:t>originating residential loans pursuant to a</w:t>
      </w:r>
      <w:r w:rsidR="00F828E7">
        <w:rPr>
          <w:color w:val="000000" w:themeColor="text1"/>
          <w:szCs w:val="24"/>
        </w:rPr>
        <w:t>n</w:t>
      </w:r>
      <w:r w:rsidR="00DC5B13" w:rsidRPr="009B6386">
        <w:rPr>
          <w:color w:val="000000" w:themeColor="text1"/>
          <w:szCs w:val="24"/>
        </w:rPr>
        <w:t xml:space="preserve"> </w:t>
      </w:r>
      <w:r w:rsidR="007E4D33" w:rsidRPr="009B6386">
        <w:rPr>
          <w:color w:val="000000" w:themeColor="text1"/>
          <w:szCs w:val="24"/>
        </w:rPr>
        <w:t>approved program</w:t>
      </w:r>
      <w:r w:rsidR="005439AD" w:rsidRPr="009B6386">
        <w:rPr>
          <w:color w:val="000000" w:themeColor="text1"/>
          <w:szCs w:val="24"/>
        </w:rPr>
        <w:t>,</w:t>
      </w:r>
      <w:r w:rsidR="007E4D33" w:rsidRPr="009B6386">
        <w:rPr>
          <w:color w:val="000000" w:themeColor="text1"/>
          <w:szCs w:val="24"/>
        </w:rPr>
        <w:t xml:space="preserve"> </w:t>
      </w:r>
      <w:r w:rsidR="00DC5B13" w:rsidRPr="009B6386">
        <w:rPr>
          <w:color w:val="000000" w:themeColor="text1"/>
          <w:szCs w:val="24"/>
        </w:rPr>
        <w:t xml:space="preserve">or </w:t>
      </w:r>
      <w:r w:rsidR="008E1E1F" w:rsidRPr="009B6386">
        <w:rPr>
          <w:color w:val="000000" w:themeColor="text1"/>
          <w:szCs w:val="24"/>
        </w:rPr>
        <w:t>implementing</w:t>
      </w:r>
      <w:r w:rsidR="000E1170">
        <w:rPr>
          <w:color w:val="000000" w:themeColor="text1"/>
          <w:szCs w:val="24"/>
        </w:rPr>
        <w:t xml:space="preserve"> any</w:t>
      </w:r>
      <w:r w:rsidR="008E1E1F" w:rsidRPr="009B6386">
        <w:rPr>
          <w:color w:val="000000" w:themeColor="text1"/>
          <w:szCs w:val="24"/>
        </w:rPr>
        <w:t xml:space="preserve"> </w:t>
      </w:r>
      <w:r w:rsidR="00DC5B13" w:rsidRPr="009B6386">
        <w:rPr>
          <w:color w:val="000000" w:themeColor="text1"/>
          <w:szCs w:val="24"/>
        </w:rPr>
        <w:t xml:space="preserve">substantive change to a previously submitted </w:t>
      </w:r>
      <w:r w:rsidR="008E1E1F" w:rsidRPr="009B6386">
        <w:rPr>
          <w:color w:val="000000" w:themeColor="text1"/>
          <w:szCs w:val="24"/>
        </w:rPr>
        <w:t>p</w:t>
      </w:r>
      <w:r w:rsidR="00DC5B13" w:rsidRPr="009B6386">
        <w:rPr>
          <w:color w:val="000000" w:themeColor="text1"/>
          <w:szCs w:val="24"/>
        </w:rPr>
        <w:t>rogram</w:t>
      </w:r>
      <w:r w:rsidR="005439AD" w:rsidRPr="009B6386">
        <w:rPr>
          <w:color w:val="000000" w:themeColor="text1"/>
          <w:szCs w:val="24"/>
        </w:rPr>
        <w:t>,</w:t>
      </w:r>
      <w:r w:rsidR="00133ECB" w:rsidRPr="009B6386">
        <w:rPr>
          <w:color w:val="000000" w:themeColor="text1"/>
          <w:szCs w:val="24"/>
        </w:rPr>
        <w:t xml:space="preserve"> and provide a copy of the approved policies and procedures.</w:t>
      </w:r>
    </w:p>
    <w:p w:rsidR="003250A3" w:rsidRDefault="00A56131" w:rsidP="003250A3">
      <w:pPr>
        <w:spacing w:after="240"/>
        <w:rPr>
          <w:color w:val="000000" w:themeColor="text1"/>
          <w:szCs w:val="24"/>
        </w:rPr>
      </w:pPr>
      <w:r>
        <w:rPr>
          <w:color w:val="000000" w:themeColor="text1"/>
          <w:szCs w:val="24"/>
        </w:rPr>
        <w:tab/>
      </w:r>
      <w:r w:rsidR="003250A3">
        <w:rPr>
          <w:color w:val="000000" w:themeColor="text1"/>
        </w:rPr>
        <w:t xml:space="preserve">The </w:t>
      </w:r>
      <w:r w:rsidR="007D39C9">
        <w:rPr>
          <w:color w:val="000000" w:themeColor="text1"/>
        </w:rPr>
        <w:t xml:space="preserve">guidance </w:t>
      </w:r>
      <w:r w:rsidR="003250A3">
        <w:rPr>
          <w:color w:val="000000" w:themeColor="text1"/>
        </w:rPr>
        <w:t xml:space="preserve">supports </w:t>
      </w:r>
      <w:r w:rsidR="003250A3" w:rsidRPr="003250A3">
        <w:rPr>
          <w:color w:val="000000" w:themeColor="text1"/>
        </w:rPr>
        <w:t xml:space="preserve">efforts by </w:t>
      </w:r>
      <w:r w:rsidR="007D39C9">
        <w:rPr>
          <w:color w:val="000000" w:themeColor="text1"/>
        </w:rPr>
        <w:t>banks</w:t>
      </w:r>
      <w:r w:rsidR="003250A3" w:rsidRPr="003250A3">
        <w:rPr>
          <w:color w:val="000000" w:themeColor="text1"/>
        </w:rPr>
        <w:t xml:space="preserve"> to participate in revitalization efforts </w:t>
      </w:r>
      <w:r w:rsidR="003250A3">
        <w:rPr>
          <w:color w:val="000000" w:themeColor="text1"/>
        </w:rPr>
        <w:t xml:space="preserve">in distressed communities </w:t>
      </w:r>
      <w:r w:rsidR="003250A3" w:rsidRPr="003250A3">
        <w:rPr>
          <w:color w:val="000000" w:themeColor="text1"/>
        </w:rPr>
        <w:t>by offering</w:t>
      </w:r>
      <w:r w:rsidR="003250A3">
        <w:rPr>
          <w:color w:val="000000" w:themeColor="text1"/>
        </w:rPr>
        <w:t xml:space="preserve"> </w:t>
      </w:r>
      <w:r w:rsidR="003250A3" w:rsidRPr="003250A3">
        <w:rPr>
          <w:color w:val="000000" w:themeColor="text1"/>
        </w:rPr>
        <w:t xml:space="preserve">mortgage </w:t>
      </w:r>
      <w:r w:rsidR="003375B7">
        <w:rPr>
          <w:color w:val="000000" w:themeColor="text1"/>
        </w:rPr>
        <w:t xml:space="preserve">loan </w:t>
      </w:r>
      <w:r w:rsidR="003250A3" w:rsidRPr="003250A3">
        <w:rPr>
          <w:color w:val="000000" w:themeColor="text1"/>
        </w:rPr>
        <w:t>products for purchasing</w:t>
      </w:r>
      <w:r w:rsidR="003375B7">
        <w:rPr>
          <w:color w:val="000000" w:themeColor="text1"/>
        </w:rPr>
        <w:t>,</w:t>
      </w:r>
      <w:r w:rsidR="003250A3" w:rsidRPr="003250A3">
        <w:rPr>
          <w:color w:val="000000" w:themeColor="text1"/>
        </w:rPr>
        <w:t xml:space="preserve"> or purchasing and rehabilitating</w:t>
      </w:r>
      <w:r w:rsidR="003375B7">
        <w:rPr>
          <w:color w:val="000000" w:themeColor="text1"/>
        </w:rPr>
        <w:t>,</w:t>
      </w:r>
      <w:r w:rsidR="003250A3" w:rsidRPr="003250A3">
        <w:rPr>
          <w:color w:val="000000" w:themeColor="text1"/>
        </w:rPr>
        <w:t xml:space="preserve"> one-to-four unit residential properties.</w:t>
      </w:r>
      <w:r w:rsidR="003250A3">
        <w:rPr>
          <w:color w:val="000000" w:themeColor="text1"/>
        </w:rPr>
        <w:t xml:space="preserve"> </w:t>
      </w:r>
      <w:r w:rsidR="009A2F88">
        <w:rPr>
          <w:color w:val="000000" w:themeColor="text1"/>
        </w:rPr>
        <w:t xml:space="preserve"> </w:t>
      </w:r>
      <w:r w:rsidR="003250A3">
        <w:rPr>
          <w:color w:val="000000" w:themeColor="text1"/>
          <w:szCs w:val="24"/>
        </w:rPr>
        <w:t xml:space="preserve">Increasing the availability of credit in distressed communities is a vital component of broader efforts to stimulate the local housing market and encourage positive economic growth. </w:t>
      </w:r>
    </w:p>
    <w:p w:rsidR="00AE37A5" w:rsidRPr="009B6386" w:rsidRDefault="00AE37A5" w:rsidP="009B6386">
      <w:pPr>
        <w:spacing w:after="240"/>
        <w:rPr>
          <w:b/>
          <w:bCs/>
          <w:color w:val="000000" w:themeColor="text1"/>
          <w:szCs w:val="24"/>
        </w:rPr>
      </w:pPr>
      <w:r w:rsidRPr="009B6386">
        <w:rPr>
          <w:b/>
          <w:bCs/>
          <w:color w:val="000000" w:themeColor="text1"/>
          <w:szCs w:val="24"/>
        </w:rPr>
        <w:t>2.  Use of the information:</w:t>
      </w:r>
    </w:p>
    <w:p w:rsidR="00DC5B13" w:rsidRPr="009B6386" w:rsidRDefault="007E4D33" w:rsidP="009520E6">
      <w:pPr>
        <w:spacing w:after="240"/>
        <w:rPr>
          <w:color w:val="000000" w:themeColor="text1"/>
          <w:szCs w:val="24"/>
        </w:rPr>
      </w:pPr>
      <w:r w:rsidRPr="009B6386" w:rsidDel="007E4D33">
        <w:rPr>
          <w:color w:val="000000" w:themeColor="text1"/>
          <w:szCs w:val="24"/>
        </w:rPr>
        <w:t xml:space="preserve"> </w:t>
      </w:r>
      <w:r w:rsidR="00C277E7" w:rsidRPr="009B6386">
        <w:rPr>
          <w:color w:val="000000" w:themeColor="text1"/>
          <w:szCs w:val="24"/>
        </w:rPr>
        <w:tab/>
      </w:r>
      <w:r w:rsidR="00F2536B" w:rsidRPr="009B6386">
        <w:rPr>
          <w:color w:val="000000" w:themeColor="text1"/>
          <w:szCs w:val="24"/>
        </w:rPr>
        <w:t xml:space="preserve">The OCC will use the </w:t>
      </w:r>
      <w:r w:rsidR="005C6DDD" w:rsidRPr="009B6386">
        <w:rPr>
          <w:color w:val="000000" w:themeColor="text1"/>
          <w:szCs w:val="24"/>
        </w:rPr>
        <w:t xml:space="preserve">information </w:t>
      </w:r>
      <w:r w:rsidR="00F2536B" w:rsidRPr="009B6386">
        <w:rPr>
          <w:color w:val="000000" w:themeColor="text1"/>
          <w:szCs w:val="24"/>
        </w:rPr>
        <w:t xml:space="preserve">submitted by </w:t>
      </w:r>
      <w:r w:rsidR="008C4D1B">
        <w:rPr>
          <w:color w:val="000000" w:themeColor="text1"/>
          <w:szCs w:val="24"/>
        </w:rPr>
        <w:t>a bank</w:t>
      </w:r>
      <w:r w:rsidR="00F2536B" w:rsidRPr="009B6386">
        <w:rPr>
          <w:color w:val="000000" w:themeColor="text1"/>
          <w:szCs w:val="24"/>
        </w:rPr>
        <w:t xml:space="preserve"> to assess whether </w:t>
      </w:r>
      <w:r w:rsidR="00F828E7">
        <w:rPr>
          <w:color w:val="000000" w:themeColor="text1"/>
          <w:szCs w:val="24"/>
        </w:rPr>
        <w:t xml:space="preserve">the bank’s </w:t>
      </w:r>
      <w:r w:rsidR="00F2536B" w:rsidRPr="009B6386">
        <w:rPr>
          <w:color w:val="000000" w:themeColor="text1"/>
          <w:szCs w:val="24"/>
        </w:rPr>
        <w:t>program is consistent with safe and sound lending practices</w:t>
      </w:r>
      <w:r w:rsidR="000D260F" w:rsidRPr="009B6386">
        <w:rPr>
          <w:color w:val="000000" w:themeColor="text1"/>
          <w:szCs w:val="24"/>
        </w:rPr>
        <w:t xml:space="preserve"> </w:t>
      </w:r>
      <w:r w:rsidR="00F2536B" w:rsidRPr="009B6386">
        <w:rPr>
          <w:color w:val="000000" w:themeColor="text1"/>
          <w:szCs w:val="24"/>
        </w:rPr>
        <w:t>and the requirements of applicable laws regulations, guidelines, and guidance</w:t>
      </w:r>
      <w:r w:rsidR="000D260F" w:rsidRPr="009B6386">
        <w:rPr>
          <w:color w:val="000000" w:themeColor="text1"/>
          <w:szCs w:val="24"/>
        </w:rPr>
        <w:t xml:space="preserve"> (including the guidance discussed herein)</w:t>
      </w:r>
      <w:r w:rsidR="00F2536B" w:rsidRPr="009B6386">
        <w:rPr>
          <w:color w:val="000000" w:themeColor="text1"/>
          <w:szCs w:val="24"/>
        </w:rPr>
        <w:t xml:space="preserve">.    </w:t>
      </w:r>
    </w:p>
    <w:p w:rsidR="002C589E" w:rsidRPr="009B6386" w:rsidRDefault="00C277E7" w:rsidP="002C589E">
      <w:pPr>
        <w:rPr>
          <w:color w:val="000000" w:themeColor="text1"/>
          <w:szCs w:val="24"/>
        </w:rPr>
      </w:pPr>
      <w:r w:rsidRPr="009B6386">
        <w:rPr>
          <w:color w:val="000000" w:themeColor="text1"/>
          <w:szCs w:val="24"/>
        </w:rPr>
        <w:tab/>
      </w:r>
      <w:r w:rsidR="00C41A8D" w:rsidRPr="009B6386">
        <w:rPr>
          <w:color w:val="000000" w:themeColor="text1"/>
          <w:szCs w:val="24"/>
        </w:rPr>
        <w:t xml:space="preserve">The </w:t>
      </w:r>
      <w:r w:rsidR="007D39C9">
        <w:rPr>
          <w:color w:val="000000" w:themeColor="text1"/>
          <w:szCs w:val="24"/>
        </w:rPr>
        <w:t>guidance</w:t>
      </w:r>
      <w:r w:rsidR="007D39C9" w:rsidRPr="009B6386">
        <w:rPr>
          <w:color w:val="000000" w:themeColor="text1"/>
          <w:szCs w:val="24"/>
        </w:rPr>
        <w:t xml:space="preserve"> </w:t>
      </w:r>
      <w:r w:rsidR="00C41A8D" w:rsidRPr="009B6386">
        <w:rPr>
          <w:color w:val="000000" w:themeColor="text1"/>
          <w:szCs w:val="24"/>
        </w:rPr>
        <w:t xml:space="preserve">states that </w:t>
      </w:r>
      <w:r w:rsidR="002C589E" w:rsidRPr="009B6386">
        <w:rPr>
          <w:color w:val="000000" w:themeColor="text1"/>
          <w:szCs w:val="24"/>
        </w:rPr>
        <w:t xml:space="preserve">banks should have specific policies and procedures approved by the board of directors, or appropriately designated committee, that address the loan portfolio management, underwriting, and other relevant considerations for </w:t>
      </w:r>
      <w:r w:rsidR="00FA36F3">
        <w:rPr>
          <w:color w:val="000000" w:themeColor="text1"/>
          <w:szCs w:val="24"/>
        </w:rPr>
        <w:t>program</w:t>
      </w:r>
      <w:r w:rsidR="00FA36F3" w:rsidRPr="009B6386">
        <w:rPr>
          <w:color w:val="000000" w:themeColor="text1"/>
          <w:szCs w:val="24"/>
        </w:rPr>
        <w:t xml:space="preserve"> </w:t>
      </w:r>
      <w:r w:rsidR="002C589E" w:rsidRPr="009B6386">
        <w:rPr>
          <w:color w:val="000000" w:themeColor="text1"/>
          <w:szCs w:val="24"/>
        </w:rPr>
        <w:t>loans. These approved policies and procedures should include provisions that address the</w:t>
      </w:r>
      <w:r w:rsidRPr="009B6386">
        <w:rPr>
          <w:color w:val="000000" w:themeColor="text1"/>
          <w:szCs w:val="24"/>
        </w:rPr>
        <w:t>:</w:t>
      </w:r>
    </w:p>
    <w:p w:rsidR="002C589E" w:rsidRPr="009B6386" w:rsidRDefault="002C589E" w:rsidP="002C589E">
      <w:pPr>
        <w:rPr>
          <w:color w:val="000000" w:themeColor="text1"/>
          <w:szCs w:val="24"/>
        </w:rPr>
      </w:pPr>
    </w:p>
    <w:p w:rsidR="002C589E" w:rsidRPr="009B6386" w:rsidRDefault="000C1442" w:rsidP="002C589E">
      <w:pPr>
        <w:pStyle w:val="ListParagraph"/>
        <w:numPr>
          <w:ilvl w:val="0"/>
          <w:numId w:val="1"/>
        </w:numPr>
        <w:contextualSpacing w:val="0"/>
        <w:rPr>
          <w:color w:val="000000" w:themeColor="text1"/>
        </w:rPr>
      </w:pPr>
      <w:r>
        <w:rPr>
          <w:color w:val="000000" w:themeColor="text1"/>
        </w:rPr>
        <w:t xml:space="preserve">defined geographies of </w:t>
      </w:r>
      <w:r w:rsidR="002C589E" w:rsidRPr="009B6386">
        <w:rPr>
          <w:color w:val="000000" w:themeColor="text1"/>
        </w:rPr>
        <w:t xml:space="preserve">eligible community(s) where the bank will consider making </w:t>
      </w:r>
      <w:r w:rsidR="00F828E7">
        <w:rPr>
          <w:color w:val="000000" w:themeColor="text1"/>
        </w:rPr>
        <w:t xml:space="preserve">program </w:t>
      </w:r>
      <w:r w:rsidR="002C589E" w:rsidRPr="009B6386">
        <w:rPr>
          <w:color w:val="000000" w:themeColor="text1"/>
        </w:rPr>
        <w:t xml:space="preserve">loans and a description of how the </w:t>
      </w:r>
      <w:r w:rsidR="00F828E7">
        <w:rPr>
          <w:color w:val="000000" w:themeColor="text1"/>
        </w:rPr>
        <w:t xml:space="preserve">program </w:t>
      </w:r>
      <w:r w:rsidR="002C589E" w:rsidRPr="009B6386">
        <w:rPr>
          <w:color w:val="000000" w:themeColor="text1"/>
        </w:rPr>
        <w:t>loans are intended to support revitalization  efforts in the eligible community</w:t>
      </w:r>
      <w:r w:rsidR="002C589E" w:rsidRPr="009B6386" w:rsidDel="00B90A80">
        <w:rPr>
          <w:color w:val="000000" w:themeColor="text1"/>
        </w:rPr>
        <w:t xml:space="preserve"> </w:t>
      </w:r>
      <w:r w:rsidR="002C589E" w:rsidRPr="009B6386">
        <w:rPr>
          <w:color w:val="000000" w:themeColor="text1"/>
        </w:rPr>
        <w:t xml:space="preserve"> (e.g., how origination of </w:t>
      </w:r>
      <w:r w:rsidR="00FA36F3">
        <w:rPr>
          <w:color w:val="000000" w:themeColor="text1"/>
        </w:rPr>
        <w:t>program</w:t>
      </w:r>
      <w:r w:rsidR="00FA36F3" w:rsidRPr="009B6386">
        <w:rPr>
          <w:color w:val="000000" w:themeColor="text1"/>
        </w:rPr>
        <w:t xml:space="preserve"> </w:t>
      </w:r>
      <w:r w:rsidR="002C589E" w:rsidRPr="009B6386">
        <w:rPr>
          <w:color w:val="000000" w:themeColor="text1"/>
        </w:rPr>
        <w:t>loans is expected to contribute to the normalization of a distressed housing market).</w:t>
      </w:r>
    </w:p>
    <w:p w:rsidR="002C589E" w:rsidRPr="009B6386" w:rsidRDefault="00315885" w:rsidP="002C589E">
      <w:pPr>
        <w:pStyle w:val="ListParagraph"/>
        <w:numPr>
          <w:ilvl w:val="0"/>
          <w:numId w:val="1"/>
        </w:numPr>
        <w:contextualSpacing w:val="0"/>
        <w:rPr>
          <w:color w:val="000000" w:themeColor="text1"/>
        </w:rPr>
      </w:pPr>
      <w:r>
        <w:rPr>
          <w:color w:val="000000" w:themeColor="text1"/>
        </w:rPr>
        <w:t xml:space="preserve">Amount, and duration, of the bank’s </w:t>
      </w:r>
      <w:r w:rsidR="002C589E" w:rsidRPr="009B6386">
        <w:rPr>
          <w:color w:val="000000" w:themeColor="text1"/>
        </w:rPr>
        <w:t xml:space="preserve">financial commitment </w:t>
      </w:r>
      <w:r>
        <w:rPr>
          <w:color w:val="000000" w:themeColor="text1"/>
        </w:rPr>
        <w:t>to</w:t>
      </w:r>
      <w:r w:rsidR="002C589E" w:rsidRPr="009B6386">
        <w:rPr>
          <w:color w:val="000000" w:themeColor="text1"/>
        </w:rPr>
        <w:t xml:space="preserve"> the program.</w:t>
      </w:r>
    </w:p>
    <w:p w:rsidR="002C589E" w:rsidRPr="009B6386" w:rsidRDefault="002C589E" w:rsidP="002C589E">
      <w:pPr>
        <w:pStyle w:val="ListParagraph"/>
        <w:numPr>
          <w:ilvl w:val="0"/>
          <w:numId w:val="1"/>
        </w:numPr>
        <w:contextualSpacing w:val="0"/>
        <w:rPr>
          <w:i/>
          <w:color w:val="000000" w:themeColor="text1"/>
          <w:u w:val="single"/>
        </w:rPr>
      </w:pPr>
      <w:r w:rsidRPr="009B6386">
        <w:rPr>
          <w:color w:val="000000" w:themeColor="text1"/>
        </w:rPr>
        <w:t xml:space="preserve">limitation on the aggregate level of </w:t>
      </w:r>
      <w:r w:rsidR="00315885">
        <w:rPr>
          <w:color w:val="000000" w:themeColor="text1"/>
        </w:rPr>
        <w:t xml:space="preserve">committed </w:t>
      </w:r>
      <w:r w:rsidR="00F828E7">
        <w:rPr>
          <w:color w:val="000000" w:themeColor="text1"/>
        </w:rPr>
        <w:t xml:space="preserve">program </w:t>
      </w:r>
      <w:r w:rsidRPr="009B6386">
        <w:rPr>
          <w:color w:val="000000" w:themeColor="text1"/>
        </w:rPr>
        <w:t>loans as a percentage of tier 1 Capital, which should not exceed 10 percent.</w:t>
      </w:r>
    </w:p>
    <w:p w:rsidR="002C589E" w:rsidRPr="009B6386" w:rsidRDefault="002C589E" w:rsidP="00F828E7">
      <w:pPr>
        <w:pStyle w:val="ListParagraph"/>
        <w:numPr>
          <w:ilvl w:val="0"/>
          <w:numId w:val="1"/>
        </w:numPr>
        <w:contextualSpacing w:val="0"/>
        <w:rPr>
          <w:color w:val="000000" w:themeColor="text1"/>
        </w:rPr>
      </w:pPr>
      <w:r w:rsidRPr="009B6386">
        <w:rPr>
          <w:color w:val="000000" w:themeColor="text1"/>
        </w:rPr>
        <w:t>loan characteristics, including loan structure, credit terms, interest rate and fees, and maximum loan size</w:t>
      </w:r>
      <w:r w:rsidR="00F828E7">
        <w:rPr>
          <w:color w:val="000000" w:themeColor="text1"/>
        </w:rPr>
        <w:t xml:space="preserve">, </w:t>
      </w:r>
      <w:r w:rsidR="00F828E7" w:rsidRPr="00F828E7">
        <w:rPr>
          <w:color w:val="000000" w:themeColor="text1"/>
        </w:rPr>
        <w:t>which should not exceed $200,000</w:t>
      </w:r>
      <w:r w:rsidRPr="009B6386">
        <w:rPr>
          <w:color w:val="000000" w:themeColor="text1"/>
        </w:rPr>
        <w:t>.</w:t>
      </w:r>
    </w:p>
    <w:p w:rsidR="002C589E" w:rsidRPr="009B6386" w:rsidRDefault="002C589E" w:rsidP="002C589E">
      <w:pPr>
        <w:pStyle w:val="ListParagraph"/>
        <w:numPr>
          <w:ilvl w:val="0"/>
          <w:numId w:val="1"/>
        </w:numPr>
        <w:contextualSpacing w:val="0"/>
        <w:rPr>
          <w:color w:val="000000" w:themeColor="text1"/>
        </w:rPr>
      </w:pPr>
      <w:r w:rsidRPr="009B6386">
        <w:rPr>
          <w:color w:val="000000" w:themeColor="text1"/>
        </w:rPr>
        <w:t>underwriting standards and approval processes, including appropriate documentation of relevant credit factors and document retention standards.</w:t>
      </w:r>
    </w:p>
    <w:p w:rsidR="002C589E" w:rsidRPr="009B6386" w:rsidRDefault="002C589E" w:rsidP="000C1442">
      <w:pPr>
        <w:pStyle w:val="ListParagraph"/>
        <w:numPr>
          <w:ilvl w:val="0"/>
          <w:numId w:val="1"/>
        </w:numPr>
        <w:contextualSpacing w:val="0"/>
        <w:rPr>
          <w:color w:val="000000" w:themeColor="text1"/>
        </w:rPr>
      </w:pPr>
      <w:r w:rsidRPr="009B6386">
        <w:rPr>
          <w:color w:val="000000" w:themeColor="text1"/>
        </w:rPr>
        <w:t>real estate appraisal and evaluation criteria</w:t>
      </w:r>
      <w:r w:rsidR="000C1442">
        <w:rPr>
          <w:color w:val="000000" w:themeColor="text1"/>
        </w:rPr>
        <w:t xml:space="preserve"> </w:t>
      </w:r>
      <w:r w:rsidR="000C1442" w:rsidRPr="000C1442">
        <w:rPr>
          <w:color w:val="000000" w:themeColor="text1"/>
        </w:rPr>
        <w:t xml:space="preserve">applicable to </w:t>
      </w:r>
      <w:r w:rsidR="00F828E7">
        <w:rPr>
          <w:color w:val="000000" w:themeColor="text1"/>
        </w:rPr>
        <w:t xml:space="preserve">program </w:t>
      </w:r>
      <w:r w:rsidR="000C1442" w:rsidRPr="000C1442">
        <w:rPr>
          <w:color w:val="000000" w:themeColor="text1"/>
        </w:rPr>
        <w:t>loans</w:t>
      </w:r>
      <w:r w:rsidRPr="009B6386">
        <w:rPr>
          <w:color w:val="000000" w:themeColor="text1"/>
        </w:rPr>
        <w:t>.</w:t>
      </w:r>
    </w:p>
    <w:p w:rsidR="002C589E" w:rsidRPr="009B6386" w:rsidRDefault="002C589E" w:rsidP="002C589E">
      <w:pPr>
        <w:pStyle w:val="ListParagraph"/>
        <w:numPr>
          <w:ilvl w:val="0"/>
          <w:numId w:val="1"/>
        </w:numPr>
        <w:contextualSpacing w:val="0"/>
        <w:rPr>
          <w:color w:val="000000" w:themeColor="text1"/>
        </w:rPr>
      </w:pPr>
      <w:r w:rsidRPr="009B6386">
        <w:rPr>
          <w:color w:val="000000" w:themeColor="text1"/>
        </w:rPr>
        <w:t xml:space="preserve">credit administration requirements for </w:t>
      </w:r>
      <w:r w:rsidR="00F828E7">
        <w:rPr>
          <w:color w:val="000000" w:themeColor="text1"/>
        </w:rPr>
        <w:t xml:space="preserve">program </w:t>
      </w:r>
      <w:r w:rsidR="004F4AEC">
        <w:rPr>
          <w:color w:val="000000" w:themeColor="text1"/>
        </w:rPr>
        <w:t>loans</w:t>
      </w:r>
      <w:r w:rsidRPr="009B6386">
        <w:rPr>
          <w:color w:val="000000" w:themeColor="text1"/>
        </w:rPr>
        <w:t>, including detailed guidelines regarding oversight of the rehabilitation process, including controls over contracts, disbursements, inspections, and project management.</w:t>
      </w:r>
    </w:p>
    <w:p w:rsidR="002C589E" w:rsidRPr="009B6386" w:rsidRDefault="002C589E" w:rsidP="002C589E">
      <w:pPr>
        <w:pStyle w:val="ListParagraph"/>
        <w:numPr>
          <w:ilvl w:val="0"/>
          <w:numId w:val="1"/>
        </w:numPr>
        <w:contextualSpacing w:val="0"/>
        <w:rPr>
          <w:color w:val="000000" w:themeColor="text1"/>
        </w:rPr>
      </w:pPr>
      <w:r w:rsidRPr="009B6386">
        <w:rPr>
          <w:color w:val="000000" w:themeColor="text1"/>
        </w:rPr>
        <w:t>compliance with all applicable laws and regulations, including the “Ability to Repay” and other requirements of</w:t>
      </w:r>
      <w:r w:rsidRPr="009B6386">
        <w:rPr>
          <w:i/>
          <w:color w:val="000000" w:themeColor="text1"/>
        </w:rPr>
        <w:t xml:space="preserve"> </w:t>
      </w:r>
      <w:r w:rsidRPr="009B6386">
        <w:rPr>
          <w:color w:val="000000" w:themeColor="text1"/>
        </w:rPr>
        <w:t>12 CFR 1026, anti-discrimination laws, and section 5 of the Federal Trade Commission Act.</w:t>
      </w:r>
    </w:p>
    <w:p w:rsidR="002C589E" w:rsidRPr="009B6386" w:rsidRDefault="002C589E" w:rsidP="002C589E">
      <w:pPr>
        <w:pStyle w:val="ListParagraph"/>
        <w:numPr>
          <w:ilvl w:val="0"/>
          <w:numId w:val="1"/>
        </w:numPr>
        <w:contextualSpacing w:val="0"/>
        <w:rPr>
          <w:color w:val="000000" w:themeColor="text1"/>
        </w:rPr>
      </w:pPr>
      <w:r w:rsidRPr="009B6386">
        <w:rPr>
          <w:color w:val="000000" w:themeColor="text1"/>
        </w:rPr>
        <w:lastRenderedPageBreak/>
        <w:t xml:space="preserve">content, form, and timing of notice(s) the bank will provide to clearly inform the borrower </w:t>
      </w:r>
      <w:r w:rsidR="00315885">
        <w:rPr>
          <w:color w:val="000000" w:themeColor="text1"/>
        </w:rPr>
        <w:t>that</w:t>
      </w:r>
    </w:p>
    <w:p w:rsidR="00F828E7" w:rsidRPr="00F828E7" w:rsidRDefault="00F828E7" w:rsidP="00F828E7">
      <w:pPr>
        <w:pStyle w:val="ListParagraph"/>
        <w:numPr>
          <w:ilvl w:val="0"/>
          <w:numId w:val="3"/>
        </w:numPr>
        <w:rPr>
          <w:color w:val="000000" w:themeColor="text1"/>
        </w:rPr>
      </w:pPr>
      <w:r w:rsidRPr="00F828E7">
        <w:rPr>
          <w:color w:val="000000" w:themeColor="text1"/>
        </w:rPr>
        <w:t>the market value of a property securing a higher LTV loan is less than the loan amount at origination.</w:t>
      </w:r>
    </w:p>
    <w:p w:rsidR="002C589E" w:rsidRPr="009B6386" w:rsidRDefault="002C589E" w:rsidP="00EF1C93">
      <w:pPr>
        <w:pStyle w:val="ListParagraph"/>
        <w:numPr>
          <w:ilvl w:val="0"/>
          <w:numId w:val="3"/>
        </w:numPr>
        <w:rPr>
          <w:color w:val="000000" w:themeColor="text1"/>
        </w:rPr>
      </w:pPr>
      <w:r w:rsidRPr="009B6386">
        <w:rPr>
          <w:color w:val="000000" w:themeColor="text1"/>
        </w:rPr>
        <w:t xml:space="preserve">the market value of a rehabilitated property </w:t>
      </w:r>
      <w:r w:rsidR="00315885">
        <w:rPr>
          <w:color w:val="000000" w:themeColor="text1"/>
        </w:rPr>
        <w:t xml:space="preserve">likely </w:t>
      </w:r>
      <w:r w:rsidRPr="009B6386">
        <w:rPr>
          <w:color w:val="000000" w:themeColor="text1"/>
        </w:rPr>
        <w:t>will be less than the original loan amount upon completion of the rehabilitation.</w:t>
      </w:r>
    </w:p>
    <w:p w:rsidR="002C589E" w:rsidRPr="009B6386" w:rsidRDefault="002C589E" w:rsidP="00EF1C93">
      <w:pPr>
        <w:pStyle w:val="ListParagraph"/>
        <w:numPr>
          <w:ilvl w:val="0"/>
          <w:numId w:val="3"/>
        </w:numPr>
        <w:rPr>
          <w:color w:val="000000" w:themeColor="text1"/>
        </w:rPr>
      </w:pPr>
      <w:r w:rsidRPr="009B6386">
        <w:rPr>
          <w:color w:val="000000" w:themeColor="text1"/>
        </w:rPr>
        <w:t xml:space="preserve">the market value </w:t>
      </w:r>
      <w:r w:rsidR="00315885">
        <w:rPr>
          <w:color w:val="000000" w:themeColor="text1"/>
        </w:rPr>
        <w:t xml:space="preserve">may </w:t>
      </w:r>
      <w:r w:rsidRPr="009B6386">
        <w:rPr>
          <w:color w:val="000000" w:themeColor="text1"/>
        </w:rPr>
        <w:t>continue to be less than the original loan amount thereafter and for the duration of the loan</w:t>
      </w:r>
      <w:r w:rsidRPr="009B6386">
        <w:rPr>
          <w:bCs/>
          <w:color w:val="000000" w:themeColor="text1"/>
        </w:rPr>
        <w:t>.</w:t>
      </w:r>
    </w:p>
    <w:p w:rsidR="002C589E" w:rsidRPr="009B6386" w:rsidRDefault="00315885" w:rsidP="00EF1C93">
      <w:pPr>
        <w:pStyle w:val="ListParagraph"/>
        <w:numPr>
          <w:ilvl w:val="0"/>
          <w:numId w:val="3"/>
        </w:numPr>
        <w:rPr>
          <w:color w:val="000000" w:themeColor="text1"/>
        </w:rPr>
      </w:pPr>
      <w:r>
        <w:rPr>
          <w:bCs/>
          <w:color w:val="000000" w:themeColor="text1"/>
        </w:rPr>
        <w:t xml:space="preserve">there may be </w:t>
      </w:r>
      <w:r w:rsidR="002C589E" w:rsidRPr="009B6386">
        <w:rPr>
          <w:bCs/>
          <w:color w:val="000000" w:themeColor="text1"/>
        </w:rPr>
        <w:t>financial implications if the borrower seeks to sell the property after rehabilitation and the sale price of such rehabilitated property is less than the outstanding loan balance at the time of such sale</w:t>
      </w:r>
      <w:r>
        <w:rPr>
          <w:bCs/>
          <w:color w:val="000000" w:themeColor="text1"/>
        </w:rPr>
        <w:t>, and explain the implications</w:t>
      </w:r>
      <w:r w:rsidR="002C589E" w:rsidRPr="009B6386">
        <w:rPr>
          <w:bCs/>
          <w:color w:val="000000" w:themeColor="text1"/>
        </w:rPr>
        <w:t>.</w:t>
      </w:r>
    </w:p>
    <w:p w:rsidR="002C589E" w:rsidRPr="009B6386" w:rsidRDefault="002C589E" w:rsidP="00F828E7">
      <w:pPr>
        <w:pStyle w:val="ListParagraph"/>
        <w:numPr>
          <w:ilvl w:val="0"/>
          <w:numId w:val="1"/>
        </w:numPr>
        <w:contextualSpacing w:val="0"/>
        <w:rPr>
          <w:color w:val="000000" w:themeColor="text1"/>
        </w:rPr>
      </w:pPr>
      <w:r w:rsidRPr="009B6386">
        <w:rPr>
          <w:color w:val="000000" w:themeColor="text1"/>
        </w:rPr>
        <w:t>incentives that may be available to qualifying program home buyers (e.g., assistance or grants for down payments, fees, and closing costs; at or below market interest rates; or rewards for long-term occupancy)</w:t>
      </w:r>
      <w:r w:rsidR="00F828E7">
        <w:rPr>
          <w:color w:val="000000" w:themeColor="text1"/>
        </w:rPr>
        <w:t xml:space="preserve"> </w:t>
      </w:r>
      <w:r w:rsidR="00F828E7" w:rsidRPr="00F828E7">
        <w:rPr>
          <w:color w:val="000000" w:themeColor="text1"/>
        </w:rPr>
        <w:t>and home buyer education or other counseling that may be provided by or through the bank or its third-party partners</w:t>
      </w:r>
      <w:r w:rsidRPr="009B6386">
        <w:rPr>
          <w:color w:val="000000" w:themeColor="text1"/>
        </w:rPr>
        <w:t>.</w:t>
      </w:r>
    </w:p>
    <w:p w:rsidR="002C589E" w:rsidRPr="009B6386" w:rsidRDefault="002C589E" w:rsidP="00F828E7">
      <w:pPr>
        <w:pStyle w:val="ListParagraph"/>
        <w:numPr>
          <w:ilvl w:val="0"/>
          <w:numId w:val="1"/>
        </w:numPr>
        <w:contextualSpacing w:val="0"/>
        <w:rPr>
          <w:color w:val="000000" w:themeColor="text1"/>
        </w:rPr>
      </w:pPr>
      <w:r w:rsidRPr="009B6386">
        <w:rPr>
          <w:color w:val="000000" w:themeColor="text1"/>
        </w:rPr>
        <w:t xml:space="preserve">monitoring and internal reporting requirements sufficient to: (1) assess the </w:t>
      </w:r>
      <w:r w:rsidR="00F828E7">
        <w:rPr>
          <w:color w:val="000000" w:themeColor="text1"/>
        </w:rPr>
        <w:t xml:space="preserve">program </w:t>
      </w:r>
      <w:r w:rsidRPr="009B6386">
        <w:rPr>
          <w:color w:val="000000" w:themeColor="text1"/>
        </w:rPr>
        <w:t>performance</w:t>
      </w:r>
      <w:r w:rsidR="00F828E7">
        <w:rPr>
          <w:color w:val="000000" w:themeColor="text1"/>
        </w:rPr>
        <w:t xml:space="preserve"> and</w:t>
      </w:r>
      <w:r w:rsidRPr="009B6386">
        <w:rPr>
          <w:color w:val="000000" w:themeColor="text1"/>
        </w:rPr>
        <w:t xml:space="preserve"> </w:t>
      </w:r>
      <w:r w:rsidR="00FB300A">
        <w:rPr>
          <w:color w:val="000000" w:themeColor="text1"/>
        </w:rPr>
        <w:t>trends</w:t>
      </w:r>
      <w:r w:rsidRPr="009B6386">
        <w:rPr>
          <w:color w:val="000000" w:themeColor="text1"/>
        </w:rPr>
        <w:t>; and (2) inform the board</w:t>
      </w:r>
      <w:r w:rsidR="00F828E7" w:rsidRPr="00F828E7">
        <w:rPr>
          <w:color w:val="000000" w:themeColor="text1"/>
        </w:rPr>
        <w:t>, or appropriately designated committee,</w:t>
      </w:r>
      <w:r w:rsidRPr="009B6386">
        <w:rPr>
          <w:color w:val="000000" w:themeColor="text1"/>
        </w:rPr>
        <w:t xml:space="preserve"> </w:t>
      </w:r>
      <w:r w:rsidR="00FB300A" w:rsidRPr="009B6386">
        <w:rPr>
          <w:color w:val="000000" w:themeColor="text1"/>
        </w:rPr>
        <w:t xml:space="preserve">on at least a quarterly basis </w:t>
      </w:r>
      <w:r w:rsidRPr="009B6386">
        <w:rPr>
          <w:color w:val="000000" w:themeColor="text1"/>
        </w:rPr>
        <w:t xml:space="preserve">of the aggregate </w:t>
      </w:r>
      <w:r w:rsidR="00FB300A">
        <w:rPr>
          <w:color w:val="000000" w:themeColor="text1"/>
        </w:rPr>
        <w:t xml:space="preserve">dollar </w:t>
      </w:r>
      <w:r w:rsidRPr="009B6386">
        <w:rPr>
          <w:color w:val="000000" w:themeColor="text1"/>
        </w:rPr>
        <w:t>amount</w:t>
      </w:r>
      <w:r w:rsidR="00FB300A">
        <w:rPr>
          <w:color w:val="000000" w:themeColor="text1"/>
        </w:rPr>
        <w:t>, and percentage of tier 1 capital,</w:t>
      </w:r>
      <w:r w:rsidRPr="009B6386">
        <w:rPr>
          <w:color w:val="000000" w:themeColor="text1"/>
        </w:rPr>
        <w:t xml:space="preserve"> of </w:t>
      </w:r>
      <w:r w:rsidR="00FB300A">
        <w:rPr>
          <w:color w:val="000000" w:themeColor="text1"/>
        </w:rPr>
        <w:t xml:space="preserve">committed </w:t>
      </w:r>
      <w:r w:rsidR="00F828E7">
        <w:rPr>
          <w:color w:val="000000" w:themeColor="text1"/>
        </w:rPr>
        <w:t xml:space="preserve">program </w:t>
      </w:r>
      <w:r w:rsidRPr="009B6386">
        <w:rPr>
          <w:color w:val="000000" w:themeColor="text1"/>
        </w:rPr>
        <w:t xml:space="preserve">loans </w:t>
      </w:r>
      <w:r w:rsidR="00FB300A">
        <w:rPr>
          <w:color w:val="000000" w:themeColor="text1"/>
        </w:rPr>
        <w:t>in relat</w:t>
      </w:r>
      <w:r w:rsidR="00F828E7">
        <w:rPr>
          <w:color w:val="000000" w:themeColor="text1"/>
        </w:rPr>
        <w:t>ion</w:t>
      </w:r>
      <w:r w:rsidR="00FB300A">
        <w:rPr>
          <w:color w:val="000000" w:themeColor="text1"/>
        </w:rPr>
        <w:t xml:space="preserve"> to the </w:t>
      </w:r>
      <w:r w:rsidR="00F828E7">
        <w:rPr>
          <w:color w:val="000000" w:themeColor="text1"/>
        </w:rPr>
        <w:t xml:space="preserve">program </w:t>
      </w:r>
      <w:r w:rsidR="00FB300A">
        <w:rPr>
          <w:color w:val="000000" w:themeColor="text1"/>
        </w:rPr>
        <w:t>limitation</w:t>
      </w:r>
      <w:r w:rsidRPr="009B6386">
        <w:rPr>
          <w:color w:val="000000" w:themeColor="text1"/>
        </w:rPr>
        <w:t>.</w:t>
      </w:r>
    </w:p>
    <w:p w:rsidR="002C589E" w:rsidRPr="009B6386" w:rsidRDefault="002C589E" w:rsidP="002C589E">
      <w:pPr>
        <w:rPr>
          <w:color w:val="000000" w:themeColor="text1"/>
          <w:szCs w:val="24"/>
        </w:rPr>
      </w:pPr>
    </w:p>
    <w:p w:rsidR="002C589E" w:rsidRPr="009B6386" w:rsidRDefault="00C277E7" w:rsidP="009520E6">
      <w:pPr>
        <w:spacing w:after="240"/>
        <w:rPr>
          <w:color w:val="000000" w:themeColor="text1"/>
          <w:szCs w:val="24"/>
        </w:rPr>
      </w:pPr>
      <w:r w:rsidRPr="009B6386">
        <w:rPr>
          <w:color w:val="000000" w:themeColor="text1"/>
          <w:szCs w:val="24"/>
        </w:rPr>
        <w:tab/>
      </w:r>
      <w:r w:rsidR="002C589E" w:rsidRPr="009B6386">
        <w:rPr>
          <w:color w:val="000000" w:themeColor="text1"/>
          <w:szCs w:val="24"/>
        </w:rPr>
        <w:t>Banks should retain documentation indicating: (1) the eligible community is one that is targeted for revitalization by a government entity</w:t>
      </w:r>
      <w:r w:rsidR="00AE71D4">
        <w:rPr>
          <w:color w:val="000000" w:themeColor="text1"/>
          <w:szCs w:val="24"/>
        </w:rPr>
        <w:t xml:space="preserve"> </w:t>
      </w:r>
      <w:r w:rsidR="00AE71D4" w:rsidRPr="00AE71D4">
        <w:rPr>
          <w:color w:val="000000" w:themeColor="text1"/>
          <w:szCs w:val="24"/>
        </w:rPr>
        <w:t>or agency</w:t>
      </w:r>
      <w:r w:rsidR="002C589E" w:rsidRPr="009B6386">
        <w:rPr>
          <w:color w:val="000000" w:themeColor="text1"/>
          <w:szCs w:val="24"/>
        </w:rPr>
        <w:t>; (2) the specific revitalization criteria</w:t>
      </w:r>
      <w:r w:rsidR="00AE71D4">
        <w:rPr>
          <w:color w:val="000000" w:themeColor="text1"/>
          <w:szCs w:val="24"/>
        </w:rPr>
        <w:t xml:space="preserve"> used by the </w:t>
      </w:r>
      <w:r w:rsidR="00AE71D4" w:rsidRPr="009B6386">
        <w:rPr>
          <w:color w:val="000000" w:themeColor="text1"/>
          <w:szCs w:val="24"/>
        </w:rPr>
        <w:t>government entity</w:t>
      </w:r>
      <w:r w:rsidR="00AE71D4">
        <w:rPr>
          <w:color w:val="000000" w:themeColor="text1"/>
          <w:szCs w:val="24"/>
        </w:rPr>
        <w:t xml:space="preserve"> </w:t>
      </w:r>
      <w:r w:rsidR="00AE71D4" w:rsidRPr="00AE71D4">
        <w:rPr>
          <w:color w:val="000000" w:themeColor="text1"/>
          <w:szCs w:val="24"/>
        </w:rPr>
        <w:t>or agency</w:t>
      </w:r>
      <w:r w:rsidR="002C589E" w:rsidRPr="009B6386">
        <w:rPr>
          <w:color w:val="000000" w:themeColor="text1"/>
          <w:szCs w:val="24"/>
        </w:rPr>
        <w:t xml:space="preserve">; and (3) the type of financing and other support that the governmental entity </w:t>
      </w:r>
      <w:r w:rsidR="00AE71D4">
        <w:rPr>
          <w:color w:val="000000" w:themeColor="text1"/>
          <w:szCs w:val="24"/>
        </w:rPr>
        <w:t xml:space="preserve">or agency </w:t>
      </w:r>
      <w:r w:rsidR="002C589E" w:rsidRPr="009B6386">
        <w:rPr>
          <w:color w:val="000000" w:themeColor="text1"/>
          <w:szCs w:val="24"/>
        </w:rPr>
        <w:t>provides to the community</w:t>
      </w:r>
      <w:r w:rsidR="002C589E" w:rsidRPr="0082288B">
        <w:rPr>
          <w:color w:val="000000" w:themeColor="text1"/>
          <w:szCs w:val="24"/>
        </w:rPr>
        <w:t>.</w:t>
      </w:r>
      <w:r w:rsidR="0082288B" w:rsidRPr="0082288B">
        <w:rPr>
          <w:color w:val="000000" w:themeColor="text1"/>
          <w:szCs w:val="24"/>
        </w:rPr>
        <w:t xml:space="preserve">  </w:t>
      </w:r>
      <w:r w:rsidR="0082288B" w:rsidRPr="00E51EDA">
        <w:rPr>
          <w:szCs w:val="24"/>
        </w:rPr>
        <w:t>The general expectation is that the bank will maintain the referenced documentation for the life of the loan program or, if the program is amended, the time period during which the defined geographies were part of the program, plus a reasonable time period after termination or amendment of a program, typically one OCC examination cycle for the bank.</w:t>
      </w:r>
    </w:p>
    <w:p w:rsidR="002C589E" w:rsidRDefault="00C277E7" w:rsidP="002C589E">
      <w:pPr>
        <w:rPr>
          <w:color w:val="000000" w:themeColor="text1"/>
          <w:szCs w:val="24"/>
        </w:rPr>
      </w:pPr>
      <w:r w:rsidRPr="009B6386">
        <w:rPr>
          <w:color w:val="000000" w:themeColor="text1"/>
          <w:szCs w:val="24"/>
        </w:rPr>
        <w:tab/>
        <w:t>A</w:t>
      </w:r>
      <w:r w:rsidR="002C589E" w:rsidRPr="009B6386">
        <w:rPr>
          <w:color w:val="000000" w:themeColor="text1"/>
          <w:szCs w:val="24"/>
        </w:rPr>
        <w:t xml:space="preserve"> bank should notify the appropriate OCC supervisory office in writing at least 30 days </w:t>
      </w:r>
      <w:r w:rsidRPr="009B6386">
        <w:rPr>
          <w:color w:val="000000" w:themeColor="text1"/>
          <w:szCs w:val="24"/>
        </w:rPr>
        <w:t>before</w:t>
      </w:r>
      <w:r w:rsidR="00F828E7" w:rsidRPr="00F828E7">
        <w:rPr>
          <w:color w:val="000000" w:themeColor="text1"/>
          <w:szCs w:val="24"/>
        </w:rPr>
        <w:t xml:space="preserve"> the bank intends to begin</w:t>
      </w:r>
      <w:r w:rsidRPr="009B6386">
        <w:rPr>
          <w:color w:val="000000" w:themeColor="text1"/>
          <w:szCs w:val="24"/>
        </w:rPr>
        <w:t xml:space="preserve"> </w:t>
      </w:r>
      <w:r w:rsidR="002C589E" w:rsidRPr="009B6386">
        <w:rPr>
          <w:color w:val="000000" w:themeColor="text1"/>
          <w:szCs w:val="24"/>
        </w:rPr>
        <w:t>originati</w:t>
      </w:r>
      <w:r w:rsidR="00F828E7">
        <w:rPr>
          <w:color w:val="000000" w:themeColor="text1"/>
          <w:szCs w:val="24"/>
        </w:rPr>
        <w:t>ng</w:t>
      </w:r>
      <w:r w:rsidR="002C589E" w:rsidRPr="009B6386">
        <w:rPr>
          <w:color w:val="000000" w:themeColor="text1"/>
          <w:szCs w:val="24"/>
        </w:rPr>
        <w:t xml:space="preserve"> </w:t>
      </w:r>
      <w:r w:rsidR="00F828E7">
        <w:rPr>
          <w:color w:val="000000" w:themeColor="text1"/>
          <w:szCs w:val="24"/>
        </w:rPr>
        <w:t>program</w:t>
      </w:r>
      <w:r w:rsidR="00F828E7" w:rsidRPr="009B6386">
        <w:rPr>
          <w:color w:val="000000" w:themeColor="text1"/>
          <w:szCs w:val="24"/>
        </w:rPr>
        <w:t xml:space="preserve"> </w:t>
      </w:r>
      <w:r w:rsidR="002C589E" w:rsidRPr="009B6386">
        <w:rPr>
          <w:color w:val="000000" w:themeColor="text1"/>
          <w:szCs w:val="24"/>
        </w:rPr>
        <w:t xml:space="preserve">loans or the bank’s </w:t>
      </w:r>
      <w:r w:rsidR="00D40ED1">
        <w:rPr>
          <w:color w:val="000000" w:themeColor="text1"/>
          <w:szCs w:val="24"/>
        </w:rPr>
        <w:t xml:space="preserve">making </w:t>
      </w:r>
      <w:r w:rsidR="002C589E" w:rsidRPr="009B6386">
        <w:rPr>
          <w:color w:val="000000" w:themeColor="text1"/>
          <w:szCs w:val="24"/>
        </w:rPr>
        <w:t xml:space="preserve">of </w:t>
      </w:r>
      <w:r w:rsidR="00D40ED1">
        <w:rPr>
          <w:color w:val="000000" w:themeColor="text1"/>
          <w:szCs w:val="24"/>
        </w:rPr>
        <w:t xml:space="preserve">any </w:t>
      </w:r>
      <w:r w:rsidR="002C589E" w:rsidRPr="009B6386">
        <w:rPr>
          <w:color w:val="000000" w:themeColor="text1"/>
          <w:szCs w:val="24"/>
        </w:rPr>
        <w:t>substantive change to a previously submitted program (e.g., the addition of a new eligible community, an increase in the financial commitment or duration of a program, or material changes to the loan characteristics or underwriting standards). Such notice should include</w:t>
      </w:r>
      <w:r w:rsidRPr="009B6386">
        <w:rPr>
          <w:color w:val="000000" w:themeColor="text1"/>
          <w:szCs w:val="24"/>
        </w:rPr>
        <w:t>:</w:t>
      </w:r>
    </w:p>
    <w:p w:rsidR="00EF1C93" w:rsidRPr="009B6386" w:rsidRDefault="00EF1C93" w:rsidP="002C589E">
      <w:pPr>
        <w:rPr>
          <w:color w:val="000000" w:themeColor="text1"/>
          <w:szCs w:val="24"/>
        </w:rPr>
      </w:pPr>
    </w:p>
    <w:p w:rsidR="002C589E" w:rsidRPr="009B6386" w:rsidRDefault="002C589E" w:rsidP="002C589E">
      <w:pPr>
        <w:pStyle w:val="ListParagraph"/>
        <w:numPr>
          <w:ilvl w:val="0"/>
          <w:numId w:val="1"/>
        </w:numPr>
        <w:contextualSpacing w:val="0"/>
        <w:rPr>
          <w:i/>
          <w:color w:val="000000" w:themeColor="text1"/>
          <w:u w:val="single"/>
        </w:rPr>
      </w:pPr>
      <w:r w:rsidRPr="009B6386">
        <w:rPr>
          <w:color w:val="000000" w:themeColor="text1"/>
        </w:rPr>
        <w:t>the date the bank’s board (or appropriately designated committee) approved the program’s policies and procedures.</w:t>
      </w:r>
    </w:p>
    <w:p w:rsidR="002C589E" w:rsidRPr="009B6386" w:rsidRDefault="002C589E" w:rsidP="002C589E">
      <w:pPr>
        <w:pStyle w:val="ListParagraph"/>
        <w:numPr>
          <w:ilvl w:val="0"/>
          <w:numId w:val="1"/>
        </w:numPr>
        <w:contextualSpacing w:val="0"/>
        <w:rPr>
          <w:color w:val="000000" w:themeColor="text1"/>
        </w:rPr>
      </w:pPr>
      <w:r w:rsidRPr="009B6386">
        <w:rPr>
          <w:color w:val="000000" w:themeColor="text1"/>
        </w:rPr>
        <w:t>a written copy of the board-approved policies and procedures</w:t>
      </w:r>
      <w:r w:rsidR="00AD3F6F">
        <w:rPr>
          <w:color w:val="000000" w:themeColor="text1"/>
        </w:rPr>
        <w:t xml:space="preserve"> for the new program</w:t>
      </w:r>
      <w:r w:rsidRPr="009B6386">
        <w:rPr>
          <w:color w:val="000000" w:themeColor="text1"/>
        </w:rPr>
        <w:t>.</w:t>
      </w:r>
    </w:p>
    <w:p w:rsidR="002C589E" w:rsidRPr="009B6386" w:rsidRDefault="002C589E" w:rsidP="009520E6">
      <w:pPr>
        <w:spacing w:after="240"/>
        <w:rPr>
          <w:color w:val="000000" w:themeColor="text1"/>
          <w:szCs w:val="24"/>
        </w:rPr>
      </w:pPr>
    </w:p>
    <w:p w:rsidR="00AE37A5" w:rsidRPr="009B6386" w:rsidRDefault="00AE37A5" w:rsidP="00F35A03">
      <w:pPr>
        <w:spacing w:after="120"/>
        <w:rPr>
          <w:b/>
          <w:bCs/>
          <w:i/>
          <w:iCs/>
          <w:color w:val="000000" w:themeColor="text1"/>
          <w:szCs w:val="24"/>
        </w:rPr>
      </w:pPr>
      <w:r w:rsidRPr="009B6386">
        <w:rPr>
          <w:b/>
          <w:bCs/>
          <w:i/>
          <w:iCs/>
          <w:color w:val="000000" w:themeColor="text1"/>
          <w:szCs w:val="24"/>
        </w:rPr>
        <w:lastRenderedPageBreak/>
        <w:t>3.  Consideration of the use of improved information technology:</w:t>
      </w:r>
    </w:p>
    <w:p w:rsidR="00F7098B" w:rsidRDefault="00C8228B" w:rsidP="00F35A03">
      <w:pPr>
        <w:spacing w:after="120"/>
        <w:rPr>
          <w:b/>
          <w:bCs/>
          <w:i/>
          <w:iCs/>
          <w:color w:val="000000" w:themeColor="text1"/>
          <w:szCs w:val="24"/>
        </w:rPr>
      </w:pPr>
      <w:r>
        <w:rPr>
          <w:color w:val="000000" w:themeColor="text1"/>
          <w:szCs w:val="24"/>
        </w:rPr>
        <w:tab/>
      </w:r>
      <w:r w:rsidR="007D39C9">
        <w:rPr>
          <w:color w:val="000000" w:themeColor="text1"/>
          <w:szCs w:val="24"/>
        </w:rPr>
        <w:t>Banks</w:t>
      </w:r>
      <w:r w:rsidR="007E4D33" w:rsidRPr="009B6386">
        <w:rPr>
          <w:color w:val="000000" w:themeColor="text1"/>
          <w:szCs w:val="24"/>
        </w:rPr>
        <w:t xml:space="preserve"> may use any improved information technology that allows them to meet the requirements of the collection.</w:t>
      </w:r>
      <w:r w:rsidR="00CF44F3">
        <w:rPr>
          <w:color w:val="000000" w:themeColor="text1"/>
          <w:szCs w:val="24"/>
        </w:rPr>
        <w:t xml:space="preserve">  </w:t>
      </w:r>
      <w:r w:rsidR="00CF44F3" w:rsidRPr="00CF44F3">
        <w:rPr>
          <w:color w:val="000000" w:themeColor="text1"/>
          <w:szCs w:val="24"/>
        </w:rPr>
        <w:t>A bank could make its program submission in writing, by email, or in other forms that are typical for supervisory communications (e.g., fax).</w:t>
      </w:r>
    </w:p>
    <w:p w:rsidR="00AE37A5" w:rsidRPr="009B6386" w:rsidRDefault="00AE37A5" w:rsidP="00F35A03">
      <w:pPr>
        <w:spacing w:after="120"/>
        <w:rPr>
          <w:b/>
          <w:bCs/>
          <w:i/>
          <w:iCs/>
          <w:color w:val="000000" w:themeColor="text1"/>
          <w:szCs w:val="24"/>
        </w:rPr>
      </w:pPr>
      <w:r w:rsidRPr="009B6386">
        <w:rPr>
          <w:b/>
          <w:bCs/>
          <w:i/>
          <w:iCs/>
          <w:color w:val="000000" w:themeColor="text1"/>
          <w:szCs w:val="24"/>
        </w:rPr>
        <w:t>4.  Efforts to identify duplication:</w:t>
      </w:r>
    </w:p>
    <w:p w:rsidR="00AE37A5" w:rsidRPr="009B6386" w:rsidRDefault="00C8228B" w:rsidP="00D47831">
      <w:pPr>
        <w:spacing w:after="240"/>
        <w:rPr>
          <w:color w:val="000000" w:themeColor="text1"/>
          <w:szCs w:val="24"/>
        </w:rPr>
      </w:pPr>
      <w:r>
        <w:rPr>
          <w:color w:val="000000" w:themeColor="text1"/>
          <w:szCs w:val="24"/>
        </w:rPr>
        <w:tab/>
      </w:r>
      <w:r w:rsidR="00AF3F89" w:rsidRPr="009B6386">
        <w:rPr>
          <w:color w:val="000000" w:themeColor="text1"/>
          <w:szCs w:val="24"/>
        </w:rPr>
        <w:t>The information is unique and not duplicative of any other information already collected.</w:t>
      </w:r>
    </w:p>
    <w:p w:rsidR="00AE37A5" w:rsidRPr="009B6386" w:rsidRDefault="00AE37A5" w:rsidP="00D47831">
      <w:pPr>
        <w:autoSpaceDE w:val="0"/>
        <w:autoSpaceDN w:val="0"/>
        <w:adjustRightInd w:val="0"/>
        <w:spacing w:after="120"/>
        <w:rPr>
          <w:color w:val="000000" w:themeColor="text1"/>
          <w:szCs w:val="24"/>
        </w:rPr>
      </w:pPr>
      <w:r w:rsidRPr="009B6386">
        <w:rPr>
          <w:b/>
          <w:bCs/>
          <w:i/>
          <w:color w:val="000000" w:themeColor="text1"/>
          <w:szCs w:val="24"/>
        </w:rPr>
        <w:t>5</w:t>
      </w:r>
      <w:r w:rsidRPr="009B6386">
        <w:rPr>
          <w:b/>
          <w:bCs/>
          <w:color w:val="000000" w:themeColor="text1"/>
          <w:szCs w:val="24"/>
        </w:rPr>
        <w:t xml:space="preserve">.  </w:t>
      </w:r>
      <w:r w:rsidRPr="009B6386">
        <w:rPr>
          <w:b/>
          <w:i/>
          <w:color w:val="000000" w:themeColor="text1"/>
          <w:szCs w:val="24"/>
        </w:rPr>
        <w:t>If the collection of information impacts small businesses or other small entities, describe any methods used to minimize burden:</w:t>
      </w:r>
    </w:p>
    <w:p w:rsidR="00AE37A5" w:rsidRPr="009B6386" w:rsidRDefault="00C8228B" w:rsidP="00D47831">
      <w:pPr>
        <w:spacing w:after="240"/>
        <w:rPr>
          <w:color w:val="000000" w:themeColor="text1"/>
          <w:szCs w:val="24"/>
        </w:rPr>
      </w:pPr>
      <w:r>
        <w:rPr>
          <w:color w:val="000000" w:themeColor="text1"/>
          <w:szCs w:val="24"/>
        </w:rPr>
        <w:tab/>
      </w:r>
      <w:r w:rsidR="007D39C9">
        <w:rPr>
          <w:color w:val="000000" w:themeColor="text1"/>
          <w:szCs w:val="24"/>
        </w:rPr>
        <w:t>Banks</w:t>
      </w:r>
      <w:r w:rsidR="00AF3F89" w:rsidRPr="009B6386">
        <w:rPr>
          <w:color w:val="000000" w:themeColor="text1"/>
          <w:szCs w:val="24"/>
        </w:rPr>
        <w:t xml:space="preserve"> of all sizes may use the guidance. </w:t>
      </w:r>
      <w:r w:rsidR="00E5409B" w:rsidRPr="009B6386">
        <w:rPr>
          <w:color w:val="000000" w:themeColor="text1"/>
          <w:szCs w:val="24"/>
        </w:rPr>
        <w:t xml:space="preserve"> The OCC has </w:t>
      </w:r>
      <w:r w:rsidR="009F3661" w:rsidRPr="009B6386">
        <w:rPr>
          <w:color w:val="000000" w:themeColor="text1"/>
          <w:szCs w:val="24"/>
        </w:rPr>
        <w:t xml:space="preserve">requested the minimum amount of information necessary </w:t>
      </w:r>
      <w:r w:rsidR="006D0170" w:rsidRPr="009B6386">
        <w:rPr>
          <w:color w:val="000000" w:themeColor="text1"/>
          <w:szCs w:val="24"/>
        </w:rPr>
        <w:t xml:space="preserve">to undertake its assessment </w:t>
      </w:r>
      <w:r w:rsidR="009F3661" w:rsidRPr="009B6386">
        <w:rPr>
          <w:color w:val="000000" w:themeColor="text1"/>
          <w:szCs w:val="24"/>
        </w:rPr>
        <w:t xml:space="preserve">and the collection </w:t>
      </w:r>
      <w:r w:rsidR="00E5409B" w:rsidRPr="009B6386">
        <w:rPr>
          <w:color w:val="000000" w:themeColor="text1"/>
          <w:szCs w:val="24"/>
        </w:rPr>
        <w:t xml:space="preserve">should be no more burdensome on small </w:t>
      </w:r>
      <w:r w:rsidR="008C4D1B">
        <w:rPr>
          <w:color w:val="000000" w:themeColor="text1"/>
          <w:szCs w:val="24"/>
        </w:rPr>
        <w:t>banks</w:t>
      </w:r>
      <w:r w:rsidR="008C4D1B" w:rsidRPr="009B6386">
        <w:rPr>
          <w:color w:val="000000" w:themeColor="text1"/>
          <w:szCs w:val="24"/>
        </w:rPr>
        <w:t xml:space="preserve"> </w:t>
      </w:r>
      <w:r w:rsidR="00E5409B" w:rsidRPr="009B6386">
        <w:rPr>
          <w:color w:val="000000" w:themeColor="text1"/>
          <w:szCs w:val="24"/>
        </w:rPr>
        <w:t xml:space="preserve">than large </w:t>
      </w:r>
      <w:r w:rsidR="008C4D1B">
        <w:rPr>
          <w:color w:val="000000" w:themeColor="text1"/>
          <w:szCs w:val="24"/>
        </w:rPr>
        <w:t>banks</w:t>
      </w:r>
      <w:r w:rsidR="00E5409B" w:rsidRPr="009B6386">
        <w:rPr>
          <w:color w:val="000000" w:themeColor="text1"/>
          <w:szCs w:val="24"/>
        </w:rPr>
        <w:t>.  Further, the collection is not mandatory.</w:t>
      </w:r>
    </w:p>
    <w:p w:rsidR="00AE37A5" w:rsidRPr="009B6386" w:rsidRDefault="00AE37A5" w:rsidP="00D47831">
      <w:pPr>
        <w:pStyle w:val="BodyText"/>
        <w:spacing w:after="120"/>
        <w:rPr>
          <w:b/>
          <w:bCs/>
          <w:color w:val="000000" w:themeColor="text1"/>
          <w:szCs w:val="24"/>
        </w:rPr>
      </w:pPr>
      <w:r w:rsidRPr="009B6386">
        <w:rPr>
          <w:b/>
          <w:bCs/>
          <w:color w:val="000000" w:themeColor="text1"/>
          <w:szCs w:val="24"/>
        </w:rPr>
        <w:t>6.  Consequences to the Federal program if the collection were conducted less frequently:</w:t>
      </w:r>
    </w:p>
    <w:p w:rsidR="00AE37A5" w:rsidRPr="009B6386" w:rsidRDefault="00C8228B" w:rsidP="00D47831">
      <w:pPr>
        <w:spacing w:after="240"/>
        <w:rPr>
          <w:color w:val="000000" w:themeColor="text1"/>
          <w:szCs w:val="24"/>
        </w:rPr>
      </w:pPr>
      <w:r>
        <w:rPr>
          <w:color w:val="000000" w:themeColor="text1"/>
          <w:szCs w:val="24"/>
        </w:rPr>
        <w:tab/>
      </w:r>
      <w:r w:rsidR="00C96968" w:rsidRPr="009B6386">
        <w:rPr>
          <w:color w:val="000000" w:themeColor="text1"/>
          <w:szCs w:val="24"/>
        </w:rPr>
        <w:t xml:space="preserve">The information will be collected at the minimum level of frequency.  </w:t>
      </w:r>
      <w:r w:rsidR="00622F4A" w:rsidRPr="009B6386">
        <w:rPr>
          <w:color w:val="000000" w:themeColor="text1"/>
          <w:szCs w:val="24"/>
        </w:rPr>
        <w:t xml:space="preserve">A less frequent collection could undermine </w:t>
      </w:r>
      <w:r w:rsidR="008C4D1B">
        <w:rPr>
          <w:color w:val="000000" w:themeColor="text1"/>
          <w:szCs w:val="24"/>
        </w:rPr>
        <w:t>banks’</w:t>
      </w:r>
      <w:r w:rsidR="008C4D1B" w:rsidRPr="009B6386">
        <w:rPr>
          <w:color w:val="000000" w:themeColor="text1"/>
          <w:szCs w:val="24"/>
        </w:rPr>
        <w:t xml:space="preserve"> </w:t>
      </w:r>
      <w:r w:rsidR="00622F4A" w:rsidRPr="009B6386">
        <w:rPr>
          <w:color w:val="000000" w:themeColor="text1"/>
          <w:szCs w:val="24"/>
        </w:rPr>
        <w:t xml:space="preserve">commitment to lending in economically distressed areas because of uncertainty about how to do so within </w:t>
      </w:r>
      <w:r w:rsidR="006D0170" w:rsidRPr="009B6386">
        <w:rPr>
          <w:color w:val="000000" w:themeColor="text1"/>
          <w:szCs w:val="24"/>
        </w:rPr>
        <w:t xml:space="preserve">existing </w:t>
      </w:r>
      <w:r w:rsidR="00420EA3" w:rsidRPr="009B6386">
        <w:rPr>
          <w:color w:val="000000" w:themeColor="text1"/>
          <w:szCs w:val="24"/>
        </w:rPr>
        <w:t>legal requirements</w:t>
      </w:r>
      <w:r w:rsidR="006D0170" w:rsidRPr="009B6386">
        <w:rPr>
          <w:color w:val="000000" w:themeColor="text1"/>
          <w:szCs w:val="24"/>
        </w:rPr>
        <w:t xml:space="preserve"> and </w:t>
      </w:r>
      <w:r w:rsidR="00622F4A" w:rsidRPr="009B6386">
        <w:rPr>
          <w:color w:val="000000" w:themeColor="text1"/>
          <w:szCs w:val="24"/>
        </w:rPr>
        <w:t>supervisory expectations.</w:t>
      </w:r>
    </w:p>
    <w:p w:rsidR="00AE37A5" w:rsidRPr="009B6386" w:rsidRDefault="00AE37A5" w:rsidP="00D47831">
      <w:pPr>
        <w:pStyle w:val="BodyText"/>
        <w:spacing w:after="120"/>
        <w:rPr>
          <w:b/>
          <w:bCs/>
          <w:color w:val="000000" w:themeColor="text1"/>
          <w:szCs w:val="24"/>
        </w:rPr>
      </w:pPr>
      <w:r w:rsidRPr="009B6386">
        <w:rPr>
          <w:b/>
          <w:bCs/>
          <w:color w:val="000000" w:themeColor="text1"/>
          <w:szCs w:val="24"/>
        </w:rPr>
        <w:t>7.  Special circumstances that would cause an information collection to be conducted in a manner inconsistent with 5 CFR Part 132</w:t>
      </w:r>
      <w:r w:rsidR="00F7098B">
        <w:rPr>
          <w:b/>
          <w:bCs/>
          <w:color w:val="000000" w:themeColor="text1"/>
          <w:szCs w:val="24"/>
        </w:rPr>
        <w:t>0</w:t>
      </w:r>
      <w:r w:rsidRPr="009B6386">
        <w:rPr>
          <w:b/>
          <w:bCs/>
          <w:color w:val="000000" w:themeColor="text1"/>
          <w:szCs w:val="24"/>
        </w:rPr>
        <w:t>:</w:t>
      </w:r>
    </w:p>
    <w:p w:rsidR="00AE37A5" w:rsidRPr="009B6386" w:rsidRDefault="00C8228B" w:rsidP="00D47831">
      <w:pPr>
        <w:spacing w:after="240"/>
        <w:rPr>
          <w:color w:val="000000" w:themeColor="text1"/>
          <w:szCs w:val="24"/>
        </w:rPr>
      </w:pPr>
      <w:r>
        <w:rPr>
          <w:color w:val="000000" w:themeColor="text1"/>
          <w:szCs w:val="24"/>
        </w:rPr>
        <w:tab/>
      </w:r>
      <w:r w:rsidR="00AE37A5" w:rsidRPr="009B6386">
        <w:rPr>
          <w:color w:val="000000" w:themeColor="text1"/>
          <w:szCs w:val="24"/>
        </w:rPr>
        <w:t xml:space="preserve">The information collection will be conducted in a manner consistent with 5 CFR </w:t>
      </w:r>
      <w:r w:rsidR="00F7098B">
        <w:rPr>
          <w:color w:val="000000" w:themeColor="text1"/>
          <w:szCs w:val="24"/>
        </w:rPr>
        <w:t>part</w:t>
      </w:r>
      <w:r w:rsidR="00C70B81">
        <w:rPr>
          <w:color w:val="000000" w:themeColor="text1"/>
          <w:szCs w:val="24"/>
        </w:rPr>
        <w:t xml:space="preserve"> </w:t>
      </w:r>
      <w:r w:rsidR="00AE37A5" w:rsidRPr="009B6386">
        <w:rPr>
          <w:color w:val="000000" w:themeColor="text1"/>
          <w:szCs w:val="24"/>
        </w:rPr>
        <w:t>1320.</w:t>
      </w:r>
    </w:p>
    <w:p w:rsidR="007568E2" w:rsidRDefault="00AE37A5" w:rsidP="00D47831">
      <w:pPr>
        <w:pStyle w:val="BodyText"/>
        <w:spacing w:after="120"/>
        <w:rPr>
          <w:b/>
          <w:bCs/>
          <w:color w:val="000000" w:themeColor="text1"/>
          <w:szCs w:val="24"/>
        </w:rPr>
      </w:pPr>
      <w:r w:rsidRPr="009B6386">
        <w:rPr>
          <w:b/>
          <w:bCs/>
          <w:color w:val="000000" w:themeColor="text1"/>
          <w:szCs w:val="24"/>
        </w:rPr>
        <w:t>8. Efforts to consult with persons outside the agency:</w:t>
      </w:r>
    </w:p>
    <w:p w:rsidR="00026437" w:rsidRPr="00026437" w:rsidRDefault="00026437" w:rsidP="00D47831">
      <w:pPr>
        <w:pStyle w:val="BodyText"/>
        <w:spacing w:after="120"/>
        <w:rPr>
          <w:b/>
          <w:bCs/>
          <w:i w:val="0"/>
          <w:color w:val="000000" w:themeColor="text1"/>
          <w:szCs w:val="24"/>
          <w:u w:val="single"/>
        </w:rPr>
      </w:pPr>
      <w:r>
        <w:rPr>
          <w:b/>
          <w:bCs/>
          <w:color w:val="000000" w:themeColor="text1"/>
          <w:szCs w:val="24"/>
        </w:rPr>
        <w:tab/>
      </w:r>
      <w:r w:rsidRPr="00026437">
        <w:rPr>
          <w:b/>
          <w:bCs/>
          <w:i w:val="0"/>
          <w:color w:val="000000" w:themeColor="text1"/>
          <w:szCs w:val="24"/>
          <w:u w:val="single"/>
        </w:rPr>
        <w:t>60-day FRN</w:t>
      </w:r>
    </w:p>
    <w:p w:rsidR="007568E2" w:rsidRPr="007568E2" w:rsidRDefault="007568E2" w:rsidP="00D47831">
      <w:pPr>
        <w:pStyle w:val="BodyText"/>
        <w:spacing w:after="120"/>
        <w:rPr>
          <w:i w:val="0"/>
          <w:color w:val="000000"/>
          <w:szCs w:val="24"/>
        </w:rPr>
      </w:pPr>
      <w:r>
        <w:rPr>
          <w:rStyle w:val="documentbody1"/>
          <w:rFonts w:ascii="Times New Roman" w:hAnsi="Times New Roman"/>
          <w:i w:val="0"/>
          <w:color w:val="000000"/>
          <w:szCs w:val="24"/>
        </w:rPr>
        <w:tab/>
      </w:r>
      <w:r w:rsidRPr="007568E2">
        <w:rPr>
          <w:rStyle w:val="documentbody1"/>
          <w:rFonts w:ascii="Times New Roman" w:hAnsi="Times New Roman"/>
          <w:i w:val="0"/>
          <w:color w:val="000000"/>
          <w:szCs w:val="24"/>
        </w:rPr>
        <w:t>The OCC issued a 60-day Federal Register notice regarding the collection on December 24, 2015, 80 FR 80458.</w:t>
      </w:r>
    </w:p>
    <w:p w:rsidR="007568E2" w:rsidRDefault="00C8228B" w:rsidP="007568E2">
      <w:pPr>
        <w:pStyle w:val="Default"/>
        <w:rPr>
          <w:rFonts w:ascii="Times New Roman" w:hAnsi="Times New Roman" w:cs="Times New Roman"/>
        </w:rPr>
      </w:pPr>
      <w:r>
        <w:rPr>
          <w:color w:val="000000" w:themeColor="text1"/>
        </w:rPr>
        <w:tab/>
      </w:r>
      <w:r w:rsidR="007568E2">
        <w:rPr>
          <w:rFonts w:ascii="Times New Roman" w:hAnsi="Times New Roman" w:cs="Times New Roman"/>
        </w:rPr>
        <w:t>The OCC received five comment letters on the information collection requirements contained in the bulletin, one from a group of three trade associations, two from community advocacy and homeownership non-profit organizations, one from a non-profit research and policy organization, and one from an individual.</w:t>
      </w:r>
    </w:p>
    <w:p w:rsidR="007568E2" w:rsidRDefault="007568E2" w:rsidP="007568E2">
      <w:pPr>
        <w:pStyle w:val="Default"/>
        <w:rPr>
          <w:rFonts w:ascii="Times New Roman" w:hAnsi="Times New Roman" w:cs="Times New Roman"/>
        </w:rPr>
      </w:pPr>
    </w:p>
    <w:p w:rsidR="007568E2" w:rsidRDefault="007568E2" w:rsidP="007568E2">
      <w:pPr>
        <w:pStyle w:val="Default"/>
        <w:rPr>
          <w:rFonts w:ascii="Times New Roman" w:hAnsi="Times New Roman" w:cs="Times New Roman"/>
        </w:rPr>
      </w:pPr>
      <w:r>
        <w:rPr>
          <w:rFonts w:ascii="Times New Roman" w:hAnsi="Times New Roman" w:cs="Times New Roman"/>
        </w:rPr>
        <w:tab/>
        <w:t>The trade associations believed that t</w:t>
      </w:r>
      <w:r w:rsidRPr="003A352C">
        <w:rPr>
          <w:rFonts w:ascii="Times New Roman" w:hAnsi="Times New Roman" w:cs="Times New Roman"/>
        </w:rPr>
        <w:t>he required processes</w:t>
      </w:r>
      <w:r>
        <w:rPr>
          <w:rFonts w:ascii="Times New Roman" w:hAnsi="Times New Roman" w:cs="Times New Roman"/>
        </w:rPr>
        <w:t xml:space="preserve"> explained in the proposed bulletin</w:t>
      </w:r>
      <w:r w:rsidRPr="003A352C">
        <w:rPr>
          <w:rFonts w:ascii="Times New Roman" w:hAnsi="Times New Roman" w:cs="Times New Roman"/>
        </w:rPr>
        <w:t xml:space="preserve"> would be disproportionately burdensome for a</w:t>
      </w:r>
      <w:r>
        <w:rPr>
          <w:rFonts w:ascii="Times New Roman" w:hAnsi="Times New Roman" w:cs="Times New Roman"/>
          <w:iCs/>
        </w:rPr>
        <w:t xml:space="preserve"> </w:t>
      </w:r>
      <w:r w:rsidRPr="001B26A8">
        <w:rPr>
          <w:rFonts w:ascii="Times New Roman" w:hAnsi="Times New Roman" w:cs="Times New Roman"/>
          <w:i/>
          <w:iCs/>
        </w:rPr>
        <w:t>de minimus</w:t>
      </w:r>
      <w:r w:rsidRPr="003A352C">
        <w:rPr>
          <w:rFonts w:ascii="Times New Roman" w:hAnsi="Times New Roman" w:cs="Times New Roman"/>
        </w:rPr>
        <w:t xml:space="preserve"> </w:t>
      </w:r>
      <w:r>
        <w:rPr>
          <w:rFonts w:ascii="Times New Roman" w:hAnsi="Times New Roman" w:cs="Times New Roman"/>
        </w:rPr>
        <w:t xml:space="preserve">volume </w:t>
      </w:r>
      <w:r w:rsidRPr="003A352C">
        <w:rPr>
          <w:rFonts w:ascii="Times New Roman" w:hAnsi="Times New Roman" w:cs="Times New Roman"/>
        </w:rPr>
        <w:t>of activity</w:t>
      </w:r>
      <w:r>
        <w:rPr>
          <w:rFonts w:ascii="Times New Roman" w:hAnsi="Times New Roman" w:cs="Times New Roman"/>
        </w:rPr>
        <w:t xml:space="preserve"> and that it </w:t>
      </w:r>
      <w:r w:rsidRPr="003A352C">
        <w:rPr>
          <w:rFonts w:ascii="Times New Roman" w:hAnsi="Times New Roman" w:cs="Times New Roman"/>
        </w:rPr>
        <w:t>would be impractical and unn</w:t>
      </w:r>
      <w:r>
        <w:rPr>
          <w:rFonts w:ascii="Times New Roman" w:hAnsi="Times New Roman" w:cs="Times New Roman"/>
        </w:rPr>
        <w:t xml:space="preserve">ecessary for banks to get board or </w:t>
      </w:r>
      <w:r w:rsidRPr="003A352C">
        <w:rPr>
          <w:rFonts w:ascii="Times New Roman" w:hAnsi="Times New Roman" w:cs="Times New Roman"/>
        </w:rPr>
        <w:t>committee approval of detailed policies</w:t>
      </w:r>
      <w:r>
        <w:rPr>
          <w:rFonts w:ascii="Times New Roman" w:hAnsi="Times New Roman" w:cs="Times New Roman"/>
        </w:rPr>
        <w:t xml:space="preserve"> in addition to</w:t>
      </w:r>
      <w:r w:rsidRPr="003A352C">
        <w:rPr>
          <w:rFonts w:ascii="Times New Roman" w:hAnsi="Times New Roman" w:cs="Times New Roman"/>
        </w:rPr>
        <w:t xml:space="preserve"> quarterly reporting. </w:t>
      </w:r>
    </w:p>
    <w:p w:rsidR="007568E2" w:rsidRDefault="007568E2" w:rsidP="007568E2">
      <w:pPr>
        <w:pStyle w:val="Default"/>
        <w:rPr>
          <w:rFonts w:ascii="Times New Roman" w:hAnsi="Times New Roman" w:cs="Times New Roman"/>
        </w:rPr>
      </w:pPr>
    </w:p>
    <w:p w:rsidR="007568E2" w:rsidRPr="00C04E5D" w:rsidRDefault="007568E2" w:rsidP="007568E2">
      <w:pPr>
        <w:pStyle w:val="Default"/>
        <w:ind w:firstLine="720"/>
        <w:rPr>
          <w:rFonts w:ascii="Times New Roman" w:hAnsi="Times New Roman" w:cs="Times New Roman"/>
        </w:rPr>
      </w:pPr>
      <w:r>
        <w:rPr>
          <w:rFonts w:ascii="Times New Roman" w:hAnsi="Times New Roman" w:cs="Times New Roman"/>
        </w:rPr>
        <w:t>T</w:t>
      </w:r>
      <w:r w:rsidRPr="00C04E5D">
        <w:rPr>
          <w:rFonts w:ascii="Times New Roman" w:hAnsi="Times New Roman" w:cs="Times New Roman"/>
        </w:rPr>
        <w:t xml:space="preserve">he OCC notes that existing regulations and guidelines permit </w:t>
      </w:r>
      <w:r w:rsidR="008C4D1B">
        <w:rPr>
          <w:rFonts w:ascii="Times New Roman" w:hAnsi="Times New Roman" w:cs="Times New Roman"/>
        </w:rPr>
        <w:t>a bank</w:t>
      </w:r>
      <w:r w:rsidRPr="00C04E5D">
        <w:rPr>
          <w:rFonts w:ascii="Times New Roman" w:hAnsi="Times New Roman" w:cs="Times New Roman"/>
        </w:rPr>
        <w:t xml:space="preserve"> to make loans in excess of the supervisory loan-to-value ratio on an individual basis under </w:t>
      </w:r>
      <w:r w:rsidRPr="00C04E5D">
        <w:rPr>
          <w:rFonts w:ascii="Times New Roman" w:hAnsi="Times New Roman" w:cs="Times New Roman"/>
        </w:rPr>
        <w:lastRenderedPageBreak/>
        <w:t xml:space="preserve">specified conditions.  The OCC is revising the </w:t>
      </w:r>
      <w:r w:rsidR="00FA36F3">
        <w:rPr>
          <w:rFonts w:ascii="Times New Roman" w:hAnsi="Times New Roman" w:cs="Times New Roman"/>
        </w:rPr>
        <w:t>b</w:t>
      </w:r>
      <w:r w:rsidRPr="00C04E5D">
        <w:rPr>
          <w:rFonts w:ascii="Times New Roman" w:hAnsi="Times New Roman" w:cs="Times New Roman"/>
        </w:rPr>
        <w:t xml:space="preserve">ulletin to clarify that it applies to residential mortgage loans where the loan-to-value ratio at origination exceeds 100 per cent.  Accordingly, some loans that exceed the supervisory loan-to-value (SLTV) ratio will be outside the scope of the </w:t>
      </w:r>
      <w:r w:rsidR="00FA36F3">
        <w:rPr>
          <w:rFonts w:ascii="Times New Roman" w:hAnsi="Times New Roman" w:cs="Times New Roman"/>
        </w:rPr>
        <w:t>b</w:t>
      </w:r>
      <w:r w:rsidR="00FA36F3" w:rsidRPr="00C04E5D">
        <w:rPr>
          <w:rFonts w:ascii="Times New Roman" w:hAnsi="Times New Roman" w:cs="Times New Roman"/>
        </w:rPr>
        <w:t>ulletin</w:t>
      </w:r>
      <w:r w:rsidRPr="00C04E5D">
        <w:rPr>
          <w:rFonts w:ascii="Times New Roman" w:hAnsi="Times New Roman" w:cs="Times New Roman"/>
        </w:rPr>
        <w:t xml:space="preserve">.  Additionally, the OCC is amending the </w:t>
      </w:r>
      <w:r w:rsidR="00FA36F3">
        <w:rPr>
          <w:rFonts w:ascii="Times New Roman" w:hAnsi="Times New Roman" w:cs="Times New Roman"/>
        </w:rPr>
        <w:t>b</w:t>
      </w:r>
      <w:r w:rsidR="00FA36F3" w:rsidRPr="00C04E5D">
        <w:rPr>
          <w:rFonts w:ascii="Times New Roman" w:hAnsi="Times New Roman" w:cs="Times New Roman"/>
        </w:rPr>
        <w:t xml:space="preserve">ulletin </w:t>
      </w:r>
      <w:r w:rsidRPr="00C04E5D">
        <w:rPr>
          <w:rFonts w:ascii="Times New Roman" w:hAnsi="Times New Roman" w:cs="Times New Roman"/>
        </w:rPr>
        <w:t xml:space="preserve">to clarify that approval of the program policies and procedures should be by the board or “appropriately designated committee.”  </w:t>
      </w:r>
    </w:p>
    <w:p w:rsidR="007568E2" w:rsidRDefault="007568E2" w:rsidP="007568E2">
      <w:pPr>
        <w:pStyle w:val="Default"/>
        <w:rPr>
          <w:rFonts w:ascii="Times New Roman" w:hAnsi="Times New Roman" w:cs="Times New Roman"/>
        </w:rPr>
      </w:pPr>
    </w:p>
    <w:p w:rsidR="007568E2" w:rsidRDefault="007568E2" w:rsidP="007568E2">
      <w:pPr>
        <w:pStyle w:val="Default"/>
        <w:ind w:firstLine="720"/>
        <w:rPr>
          <w:rFonts w:ascii="Times New Roman" w:hAnsi="Times New Roman" w:cs="Times New Roman"/>
        </w:rPr>
      </w:pPr>
      <w:r>
        <w:rPr>
          <w:rFonts w:ascii="Times New Roman" w:hAnsi="Times New Roman" w:cs="Times New Roman"/>
        </w:rPr>
        <w:t>The trade associations stated that the information currently provided to b</w:t>
      </w:r>
      <w:r w:rsidRPr="003A352C">
        <w:rPr>
          <w:rFonts w:ascii="Times New Roman" w:hAnsi="Times New Roman" w:cs="Times New Roman"/>
        </w:rPr>
        <w:t xml:space="preserve">anks’ internal risk management structures should be sufficient to oversee this lending. </w:t>
      </w:r>
      <w:r>
        <w:rPr>
          <w:rFonts w:ascii="Times New Roman" w:hAnsi="Times New Roman" w:cs="Times New Roman"/>
        </w:rPr>
        <w:t xml:space="preserve">The commenters asserted that the reporting requirements should provide </w:t>
      </w:r>
      <w:r w:rsidRPr="003A352C">
        <w:rPr>
          <w:rFonts w:ascii="Times New Roman" w:hAnsi="Times New Roman" w:cs="Times New Roman"/>
        </w:rPr>
        <w:t xml:space="preserve">OCC </w:t>
      </w:r>
      <w:r>
        <w:rPr>
          <w:rFonts w:ascii="Times New Roman" w:hAnsi="Times New Roman" w:cs="Times New Roman"/>
        </w:rPr>
        <w:t xml:space="preserve">with </w:t>
      </w:r>
      <w:r w:rsidRPr="003A352C">
        <w:rPr>
          <w:rFonts w:ascii="Times New Roman" w:hAnsi="Times New Roman" w:cs="Times New Roman"/>
        </w:rPr>
        <w:t>sufficient data to track performance without requiring banks to make data system</w:t>
      </w:r>
      <w:r>
        <w:rPr>
          <w:rFonts w:ascii="Times New Roman" w:hAnsi="Times New Roman" w:cs="Times New Roman"/>
        </w:rPr>
        <w:t xml:space="preserve"> </w:t>
      </w:r>
      <w:r w:rsidRPr="003A352C">
        <w:rPr>
          <w:rFonts w:ascii="Times New Roman" w:hAnsi="Times New Roman" w:cs="Times New Roman"/>
        </w:rPr>
        <w:t xml:space="preserve">changes that would be time-consuming and not cost-effective. </w:t>
      </w:r>
    </w:p>
    <w:p w:rsidR="007568E2" w:rsidRDefault="007568E2" w:rsidP="007568E2">
      <w:pPr>
        <w:pStyle w:val="Default"/>
        <w:rPr>
          <w:rFonts w:ascii="Times New Roman" w:hAnsi="Times New Roman" w:cs="Times New Roman"/>
        </w:rPr>
      </w:pPr>
    </w:p>
    <w:p w:rsidR="007568E2" w:rsidRPr="00C04E5D" w:rsidRDefault="007568E2" w:rsidP="007568E2">
      <w:pPr>
        <w:pStyle w:val="Default"/>
        <w:ind w:firstLine="720"/>
        <w:rPr>
          <w:rFonts w:ascii="Times New Roman" w:hAnsi="Times New Roman" w:cs="Times New Roman"/>
        </w:rPr>
      </w:pPr>
      <w:r w:rsidRPr="00C04E5D">
        <w:rPr>
          <w:rFonts w:ascii="Times New Roman" w:hAnsi="Times New Roman" w:cs="Times New Roman"/>
        </w:rPr>
        <w:t xml:space="preserve">The OCC does not intend that banks will be required to change their data systems in order to offer a program under the </w:t>
      </w:r>
      <w:r w:rsidR="00FA36F3">
        <w:rPr>
          <w:rFonts w:ascii="Times New Roman" w:hAnsi="Times New Roman" w:cs="Times New Roman"/>
        </w:rPr>
        <w:t>b</w:t>
      </w:r>
      <w:r w:rsidRPr="00C04E5D">
        <w:rPr>
          <w:rFonts w:ascii="Times New Roman" w:hAnsi="Times New Roman" w:cs="Times New Roman"/>
        </w:rPr>
        <w:t xml:space="preserve">ulletin.  In describing the supervision of individual banks, the draft </w:t>
      </w:r>
      <w:r w:rsidR="006C79D3">
        <w:rPr>
          <w:rFonts w:ascii="Times New Roman" w:hAnsi="Times New Roman" w:cs="Times New Roman"/>
        </w:rPr>
        <w:t>b</w:t>
      </w:r>
      <w:r w:rsidRPr="00C04E5D">
        <w:rPr>
          <w:rFonts w:ascii="Times New Roman" w:hAnsi="Times New Roman" w:cs="Times New Roman"/>
        </w:rPr>
        <w:t>ulletin referred to consideration of “bank</w:t>
      </w:r>
      <w:r>
        <w:rPr>
          <w:rFonts w:ascii="Times New Roman" w:hAnsi="Times New Roman" w:cs="Times New Roman"/>
        </w:rPr>
        <w:t>’</w:t>
      </w:r>
      <w:r w:rsidRPr="00C04E5D">
        <w:rPr>
          <w:rFonts w:ascii="Times New Roman" w:hAnsi="Times New Roman" w:cs="Times New Roman"/>
        </w:rPr>
        <w:t>s internal reporting.”  After considering the comments suggesting con</w:t>
      </w:r>
      <w:r>
        <w:rPr>
          <w:rFonts w:ascii="Times New Roman" w:hAnsi="Times New Roman" w:cs="Times New Roman"/>
        </w:rPr>
        <w:t>cern</w:t>
      </w:r>
      <w:r w:rsidRPr="00C04E5D">
        <w:rPr>
          <w:rFonts w:ascii="Times New Roman" w:hAnsi="Times New Roman" w:cs="Times New Roman"/>
        </w:rPr>
        <w:t xml:space="preserve"> about the </w:t>
      </w:r>
      <w:r>
        <w:rPr>
          <w:rFonts w:ascii="Times New Roman" w:hAnsi="Times New Roman" w:cs="Times New Roman"/>
        </w:rPr>
        <w:t xml:space="preserve">OCC’s </w:t>
      </w:r>
      <w:r w:rsidRPr="00C04E5D">
        <w:rPr>
          <w:rFonts w:ascii="Times New Roman" w:hAnsi="Times New Roman" w:cs="Times New Roman"/>
        </w:rPr>
        <w:t>anticipated data</w:t>
      </w:r>
      <w:r>
        <w:rPr>
          <w:rFonts w:ascii="Times New Roman" w:hAnsi="Times New Roman" w:cs="Times New Roman"/>
        </w:rPr>
        <w:t xml:space="preserve"> needs</w:t>
      </w:r>
      <w:r w:rsidRPr="00C04E5D">
        <w:rPr>
          <w:rFonts w:ascii="Times New Roman" w:hAnsi="Times New Roman" w:cs="Times New Roman"/>
        </w:rPr>
        <w:t xml:space="preserve">, the OCC has revised the </w:t>
      </w:r>
      <w:r w:rsidR="00FA36F3">
        <w:rPr>
          <w:rFonts w:ascii="Times New Roman" w:hAnsi="Times New Roman" w:cs="Times New Roman"/>
        </w:rPr>
        <w:t>b</w:t>
      </w:r>
      <w:r w:rsidR="00FA36F3" w:rsidRPr="00C04E5D">
        <w:rPr>
          <w:rFonts w:ascii="Times New Roman" w:hAnsi="Times New Roman" w:cs="Times New Roman"/>
        </w:rPr>
        <w:t xml:space="preserve">ulletin </w:t>
      </w:r>
      <w:r w:rsidRPr="00C04E5D">
        <w:rPr>
          <w:rFonts w:ascii="Times New Roman" w:hAnsi="Times New Roman" w:cs="Times New Roman"/>
        </w:rPr>
        <w:t xml:space="preserve">to reiterate its intent to rely on bank-maintained data and to clarify that the supervisory focus will be on information about program performance and trends. </w:t>
      </w:r>
    </w:p>
    <w:p w:rsidR="007568E2" w:rsidRDefault="007568E2" w:rsidP="007568E2">
      <w:pPr>
        <w:pStyle w:val="Default"/>
        <w:rPr>
          <w:rFonts w:ascii="Times New Roman" w:hAnsi="Times New Roman" w:cs="Times New Roman"/>
        </w:rPr>
      </w:pPr>
    </w:p>
    <w:p w:rsidR="007568E2" w:rsidRPr="00EA2F23" w:rsidRDefault="007568E2" w:rsidP="007568E2">
      <w:pPr>
        <w:pStyle w:val="Default"/>
        <w:tabs>
          <w:tab w:val="left" w:pos="720"/>
        </w:tabs>
        <w:rPr>
          <w:rFonts w:ascii="Times New Roman" w:hAnsi="Times New Roman" w:cs="Times New Roman"/>
        </w:rPr>
      </w:pPr>
      <w:r>
        <w:rPr>
          <w:rFonts w:ascii="Times New Roman" w:hAnsi="Times New Roman" w:cs="Times New Roman"/>
        </w:rPr>
        <w:t xml:space="preserve">            The trade association commenters </w:t>
      </w:r>
      <w:r w:rsidRPr="00EA2F23">
        <w:rPr>
          <w:rFonts w:ascii="Times New Roman" w:hAnsi="Times New Roman" w:cs="Times New Roman"/>
        </w:rPr>
        <w:t xml:space="preserve">also stated that excessive burdensome requirements undermine the goal of the proposed </w:t>
      </w:r>
      <w:r w:rsidRPr="00F34B2E">
        <w:rPr>
          <w:rFonts w:ascii="Times New Roman" w:hAnsi="Times New Roman"/>
        </w:rPr>
        <w:t>b</w:t>
      </w:r>
      <w:r w:rsidRPr="00EA2F23">
        <w:rPr>
          <w:rFonts w:ascii="Times New Roman" w:hAnsi="Times New Roman" w:cs="Times New Roman"/>
        </w:rPr>
        <w:t>ulletin, which is to support bank efforts to make loans with LTVs greater than 90% in communities targeted for revitalization. They requested clarification that the OCC’s annual review is of the overall guidance set forth in the proposed bulletin, not individual bank programs. They believe the OCC should rely on regular exam cycles to determine the program’s continued viability and not subject the participating banks to another layer of supervision.</w:t>
      </w:r>
    </w:p>
    <w:p w:rsidR="007568E2" w:rsidRDefault="007568E2" w:rsidP="007568E2">
      <w:pPr>
        <w:pStyle w:val="Default"/>
        <w:rPr>
          <w:rFonts w:ascii="Times New Roman" w:hAnsi="Times New Roman" w:cs="Times New Roman"/>
        </w:rPr>
      </w:pPr>
    </w:p>
    <w:p w:rsidR="00B7626E" w:rsidRDefault="007568E2" w:rsidP="00A57234">
      <w:pPr>
        <w:pStyle w:val="Default"/>
        <w:ind w:firstLine="720"/>
        <w:rPr>
          <w:rFonts w:ascii="Times New Roman" w:hAnsi="Times New Roman" w:cs="Times New Roman"/>
        </w:rPr>
      </w:pPr>
      <w:r w:rsidRPr="00C04E5D">
        <w:rPr>
          <w:rFonts w:ascii="Times New Roman" w:hAnsi="Times New Roman" w:cs="Times New Roman"/>
        </w:rPr>
        <w:t xml:space="preserve">As noted above, the OCC is revising the </w:t>
      </w:r>
      <w:r w:rsidR="00FA36F3">
        <w:rPr>
          <w:rFonts w:ascii="Times New Roman" w:hAnsi="Times New Roman" w:cs="Times New Roman"/>
        </w:rPr>
        <w:t>b</w:t>
      </w:r>
      <w:r w:rsidRPr="00C04E5D">
        <w:rPr>
          <w:rFonts w:ascii="Times New Roman" w:hAnsi="Times New Roman" w:cs="Times New Roman"/>
        </w:rPr>
        <w:t xml:space="preserve">ulletin to clarify that it applies to residential mortgage loans where the loan-to-value ratio at origination exceeds 100 per cent.  </w:t>
      </w:r>
      <w:r w:rsidR="00B7626E" w:rsidRPr="002E479C">
        <w:rPr>
          <w:rFonts w:ascii="Times New Roman" w:hAnsi="Times New Roman" w:cs="Times New Roman"/>
        </w:rPr>
        <w:t xml:space="preserve">In response to comments suggesting confusion about the annual review, the OCC revised the </w:t>
      </w:r>
      <w:r w:rsidR="00B7626E">
        <w:rPr>
          <w:rFonts w:ascii="Times New Roman" w:hAnsi="Times New Roman" w:cs="Times New Roman"/>
        </w:rPr>
        <w:t>b</w:t>
      </w:r>
      <w:r w:rsidR="00B7626E" w:rsidRPr="002E479C">
        <w:rPr>
          <w:rFonts w:ascii="Times New Roman" w:hAnsi="Times New Roman" w:cs="Times New Roman"/>
        </w:rPr>
        <w:t>ulletin</w:t>
      </w:r>
      <w:r w:rsidR="00B7626E">
        <w:rPr>
          <w:rFonts w:ascii="Times New Roman" w:hAnsi="Times New Roman" w:cs="Times New Roman"/>
        </w:rPr>
        <w:t xml:space="preserve"> to clarify that the overall evaluation of programs that will occur at least annually will focus on banks’ programs as a whole.  </w:t>
      </w:r>
      <w:r w:rsidR="00B7626E" w:rsidRPr="002E479C">
        <w:rPr>
          <w:rFonts w:ascii="Times New Roman" w:hAnsi="Times New Roman" w:cs="Times New Roman"/>
        </w:rPr>
        <w:t xml:space="preserve">Finally, the OCC is revising the </w:t>
      </w:r>
      <w:r w:rsidR="00B7626E">
        <w:rPr>
          <w:rFonts w:ascii="Times New Roman" w:hAnsi="Times New Roman" w:cs="Times New Roman"/>
        </w:rPr>
        <w:t>b</w:t>
      </w:r>
      <w:r w:rsidR="00B7626E" w:rsidRPr="002E479C">
        <w:rPr>
          <w:rFonts w:ascii="Times New Roman" w:hAnsi="Times New Roman" w:cs="Times New Roman"/>
        </w:rPr>
        <w:t xml:space="preserve">ulletin to clarify that </w:t>
      </w:r>
      <w:r w:rsidR="00B7626E">
        <w:rPr>
          <w:rFonts w:ascii="Times New Roman" w:hAnsi="Times New Roman" w:cs="Times New Roman"/>
        </w:rPr>
        <w:t xml:space="preserve">for the supervision of individual banks, </w:t>
      </w:r>
      <w:r w:rsidR="00B7626E" w:rsidRPr="002E479C">
        <w:rPr>
          <w:rFonts w:ascii="Times New Roman" w:hAnsi="Times New Roman" w:cs="Times New Roman"/>
        </w:rPr>
        <w:t>examiners will monitor and evaluate a program offered by a bank during scheduled supervisory activities</w:t>
      </w:r>
      <w:r w:rsidR="00B7626E">
        <w:rPr>
          <w:rFonts w:ascii="Times New Roman" w:hAnsi="Times New Roman" w:cs="Times New Roman"/>
        </w:rPr>
        <w:t>, which should not add an additional layer of supervision</w:t>
      </w:r>
      <w:r w:rsidR="00B7626E" w:rsidRPr="002E479C">
        <w:rPr>
          <w:rFonts w:ascii="Times New Roman" w:hAnsi="Times New Roman" w:cs="Times New Roman"/>
        </w:rPr>
        <w:t xml:space="preserve">. </w:t>
      </w:r>
    </w:p>
    <w:p w:rsidR="00EA2F0A" w:rsidRPr="002E479C" w:rsidRDefault="00EA2F0A" w:rsidP="00A57234">
      <w:pPr>
        <w:pStyle w:val="Default"/>
        <w:ind w:firstLine="720"/>
        <w:rPr>
          <w:rFonts w:ascii="Times New Roman" w:hAnsi="Times New Roman" w:cs="Times New Roman"/>
        </w:rPr>
      </w:pPr>
    </w:p>
    <w:p w:rsidR="00B7626E" w:rsidRDefault="00B7626E" w:rsidP="00A57234">
      <w:pPr>
        <w:rPr>
          <w:szCs w:val="24"/>
        </w:rPr>
      </w:pPr>
      <w:r w:rsidRPr="002E479C">
        <w:rPr>
          <w:szCs w:val="24"/>
        </w:rPr>
        <w:tab/>
      </w:r>
      <w:r w:rsidR="00DF42C4">
        <w:rPr>
          <w:szCs w:val="24"/>
        </w:rPr>
        <w:t>O</w:t>
      </w:r>
      <w:r w:rsidRPr="002E479C">
        <w:rPr>
          <w:szCs w:val="24"/>
        </w:rPr>
        <w:t>ne non-profit community advocacy group explained that through its experience working with financial institutions, clients, and community development organizations, it has determined that the burden of implementing this policy would be minimal. They suggested that if the OCC’s policy contained in the draft bulletin avoids the unintended consequences of harming portfolio lending,</w:t>
      </w:r>
      <w:r>
        <w:rPr>
          <w:rStyle w:val="FootnoteReference"/>
          <w:szCs w:val="24"/>
        </w:rPr>
        <w:footnoteReference w:id="2"/>
      </w:r>
      <w:r w:rsidRPr="002E479C">
        <w:rPr>
          <w:szCs w:val="24"/>
        </w:rPr>
        <w:t xml:space="preserve"> then there would be no burdens associated with this action.</w:t>
      </w:r>
    </w:p>
    <w:p w:rsidR="00EA2F0A" w:rsidRPr="002E479C" w:rsidRDefault="00EA2F0A" w:rsidP="00A57234">
      <w:pPr>
        <w:rPr>
          <w:szCs w:val="24"/>
        </w:rPr>
      </w:pPr>
    </w:p>
    <w:p w:rsidR="00B7626E" w:rsidRDefault="00B7626E" w:rsidP="00A57234">
      <w:pPr>
        <w:rPr>
          <w:szCs w:val="24"/>
        </w:rPr>
      </w:pPr>
      <w:r w:rsidRPr="002E479C">
        <w:rPr>
          <w:szCs w:val="24"/>
        </w:rPr>
        <w:lastRenderedPageBreak/>
        <w:tab/>
        <w:t xml:space="preserve">A second non-profit community advocacy group noted the processes to be developed by the banks to facilitate the goals of the </w:t>
      </w:r>
      <w:r>
        <w:rPr>
          <w:szCs w:val="24"/>
        </w:rPr>
        <w:t>d</w:t>
      </w:r>
      <w:r w:rsidRPr="002E479C">
        <w:rPr>
          <w:szCs w:val="24"/>
        </w:rPr>
        <w:t xml:space="preserve">raft </w:t>
      </w:r>
      <w:r>
        <w:rPr>
          <w:szCs w:val="24"/>
        </w:rPr>
        <w:t>b</w:t>
      </w:r>
      <w:r w:rsidRPr="002E479C">
        <w:rPr>
          <w:szCs w:val="24"/>
        </w:rPr>
        <w:t>ulletin should make the analysis/approval processes of the institutions’ policies commensurate with the risk of the mortgages and the small volume of lending likely to take place in each individual institution.</w:t>
      </w:r>
    </w:p>
    <w:p w:rsidR="00EA2F0A" w:rsidRPr="002E479C" w:rsidRDefault="00EA2F0A" w:rsidP="00A57234">
      <w:pPr>
        <w:rPr>
          <w:szCs w:val="24"/>
        </w:rPr>
      </w:pPr>
    </w:p>
    <w:p w:rsidR="00B7626E" w:rsidRDefault="00B7626E" w:rsidP="00A57234">
      <w:pPr>
        <w:autoSpaceDE w:val="0"/>
        <w:autoSpaceDN w:val="0"/>
        <w:adjustRightInd w:val="0"/>
        <w:rPr>
          <w:szCs w:val="24"/>
        </w:rPr>
      </w:pPr>
      <w:r w:rsidRPr="002E479C">
        <w:rPr>
          <w:szCs w:val="24"/>
        </w:rPr>
        <w:tab/>
        <w:t xml:space="preserve">The non-profit research and policy organization believed that the proposed collection of information is necessary for the proper performance of the functions of the OCC and that the information has practical utility. </w:t>
      </w:r>
    </w:p>
    <w:p w:rsidR="00EA2F0A" w:rsidRPr="002E479C" w:rsidRDefault="00EA2F0A" w:rsidP="00A57234">
      <w:pPr>
        <w:autoSpaceDE w:val="0"/>
        <w:autoSpaceDN w:val="0"/>
        <w:adjustRightInd w:val="0"/>
        <w:rPr>
          <w:szCs w:val="24"/>
        </w:rPr>
      </w:pPr>
    </w:p>
    <w:p w:rsidR="00B7626E" w:rsidRDefault="00B7626E" w:rsidP="00A57234">
      <w:pPr>
        <w:autoSpaceDE w:val="0"/>
        <w:autoSpaceDN w:val="0"/>
        <w:adjustRightInd w:val="0"/>
        <w:rPr>
          <w:szCs w:val="24"/>
        </w:rPr>
      </w:pPr>
      <w:r w:rsidRPr="002E479C">
        <w:rPr>
          <w:szCs w:val="24"/>
        </w:rPr>
        <w:tab/>
        <w:t>The individual commenter stated that the collection of information has no practical utility in terms of supporting long-term community revitalization because it sets new, unjustified constraints on lending that contravene the White House-led Neighborhood Revitalization strategy.</w:t>
      </w:r>
    </w:p>
    <w:p w:rsidR="00EA2F0A" w:rsidRPr="002E479C" w:rsidRDefault="00EA2F0A" w:rsidP="00A57234">
      <w:pPr>
        <w:autoSpaceDE w:val="0"/>
        <w:autoSpaceDN w:val="0"/>
        <w:adjustRightInd w:val="0"/>
        <w:rPr>
          <w:szCs w:val="24"/>
        </w:rPr>
      </w:pPr>
    </w:p>
    <w:p w:rsidR="00B7626E" w:rsidRPr="005E4EF5" w:rsidRDefault="00B7626E" w:rsidP="00A57234">
      <w:pPr>
        <w:tabs>
          <w:tab w:val="left" w:pos="720"/>
        </w:tabs>
        <w:autoSpaceDE w:val="0"/>
        <w:autoSpaceDN w:val="0"/>
        <w:adjustRightInd w:val="0"/>
        <w:rPr>
          <w:szCs w:val="24"/>
        </w:rPr>
      </w:pPr>
      <w:r w:rsidRPr="002E479C">
        <w:rPr>
          <w:szCs w:val="24"/>
        </w:rPr>
        <w:t xml:space="preserve">            The OCC believes that the </w:t>
      </w:r>
      <w:r>
        <w:rPr>
          <w:szCs w:val="24"/>
        </w:rPr>
        <w:t>b</w:t>
      </w:r>
      <w:r w:rsidRPr="002E479C">
        <w:rPr>
          <w:szCs w:val="24"/>
        </w:rPr>
        <w:t>ulletin encourages responsible, innovative lending and strikes an appropriate balance between the desire to encourage mortgage financing in distressed communities and the risks such financing may present to banks and mortgage loan borrowers.</w:t>
      </w:r>
      <w:r w:rsidRPr="00370CDD">
        <w:rPr>
          <w:rFonts w:ascii="Century" w:hAnsi="Century"/>
          <w:color w:val="44546A"/>
          <w:sz w:val="28"/>
          <w:szCs w:val="28"/>
        </w:rPr>
        <w:t xml:space="preserve"> </w:t>
      </w:r>
      <w:r w:rsidRPr="00E3784C">
        <w:rPr>
          <w:szCs w:val="24"/>
        </w:rPr>
        <w:t>The programs contemplated by the bulletin offer market-based solutions by private lenders, and, therefore, should not contravene the White House’s Neighborhood Revitalization Initiative, which involves federal programs.</w:t>
      </w:r>
    </w:p>
    <w:p w:rsidR="007568E2" w:rsidRDefault="007568E2" w:rsidP="00A57234">
      <w:pPr>
        <w:pStyle w:val="Default"/>
        <w:ind w:firstLine="720"/>
      </w:pPr>
    </w:p>
    <w:p w:rsidR="00026437" w:rsidRPr="00026437" w:rsidRDefault="00026437" w:rsidP="00A57234">
      <w:pPr>
        <w:pStyle w:val="Default"/>
        <w:ind w:firstLine="720"/>
        <w:rPr>
          <w:rFonts w:ascii="Times New Roman" w:hAnsi="Times New Roman" w:cs="Times New Roman"/>
          <w:b/>
          <w:u w:val="single"/>
        </w:rPr>
      </w:pPr>
      <w:r w:rsidRPr="00026437">
        <w:rPr>
          <w:rFonts w:ascii="Times New Roman" w:hAnsi="Times New Roman" w:cs="Times New Roman"/>
          <w:b/>
          <w:u w:val="single"/>
        </w:rPr>
        <w:t>30-Day FRN</w:t>
      </w:r>
    </w:p>
    <w:p w:rsidR="00026437" w:rsidRPr="00C04E5D" w:rsidRDefault="00026437" w:rsidP="00A57234">
      <w:pPr>
        <w:pStyle w:val="Default"/>
        <w:ind w:firstLine="720"/>
      </w:pPr>
    </w:p>
    <w:p w:rsidR="00026437" w:rsidRDefault="00026437" w:rsidP="00026437">
      <w:pPr>
        <w:autoSpaceDE w:val="0"/>
        <w:autoSpaceDN w:val="0"/>
        <w:ind w:firstLine="720"/>
        <w:rPr>
          <w:szCs w:val="24"/>
        </w:rPr>
      </w:pPr>
      <w:r>
        <w:rPr>
          <w:szCs w:val="24"/>
        </w:rPr>
        <w:t>On June 20, 2016, the OCC issued a 30-day notice soliciting comment on the information collection, 81 FR 39998.  Two comments were received, one from a partnership of community advocacy groups, financial institutions, and nonprofit organizations; and one from an individual.</w:t>
      </w:r>
    </w:p>
    <w:p w:rsidR="00026437" w:rsidRDefault="00026437" w:rsidP="00026437">
      <w:pPr>
        <w:autoSpaceDE w:val="0"/>
        <w:autoSpaceDN w:val="0"/>
        <w:ind w:firstLine="720"/>
        <w:rPr>
          <w:szCs w:val="24"/>
        </w:rPr>
      </w:pPr>
    </w:p>
    <w:p w:rsidR="00026437" w:rsidRDefault="00026437" w:rsidP="00026437">
      <w:pPr>
        <w:autoSpaceDE w:val="0"/>
        <w:autoSpaceDN w:val="0"/>
        <w:ind w:firstLine="720"/>
        <w:rPr>
          <w:szCs w:val="24"/>
        </w:rPr>
      </w:pPr>
      <w:r>
        <w:rPr>
          <w:szCs w:val="24"/>
        </w:rPr>
        <w:t xml:space="preserve">The individual commenter stated that the OCC’s instructions to community banks wishing to fund loans for neighborhood revitalization are excessive, which will deter higher LTV lending in communities needing revitalization and result in few banks adopting high LTV programs and the funding of very few loans.  The commenter believed that the more prescriptive a lending program is, the fewer the number of consumers will be eligible.  The commenter felt that the OCC’s approach to high LTV lending would inhibit the creation of robust revitalization programs.  The commenter suggested that limiting the amount of bank capital exposed to high LTV loans would be the best way of ensuring safety and soundness; and instructing banks to assume a high probability of default and a high loss given default, and requiring them to limit their aggregate exposure under these assumptions to a small percent of capital, would allow revitalization programs to be customized to the needs of local communities and the programs would meet the needs of more consumers. </w:t>
      </w:r>
    </w:p>
    <w:p w:rsidR="00026437" w:rsidRDefault="00026437" w:rsidP="00026437">
      <w:pPr>
        <w:autoSpaceDE w:val="0"/>
        <w:autoSpaceDN w:val="0"/>
        <w:rPr>
          <w:szCs w:val="24"/>
        </w:rPr>
      </w:pPr>
    </w:p>
    <w:p w:rsidR="00026437" w:rsidRPr="00103EA3" w:rsidRDefault="00026437" w:rsidP="00026437">
      <w:pPr>
        <w:autoSpaceDE w:val="0"/>
        <w:autoSpaceDN w:val="0"/>
        <w:ind w:firstLine="720"/>
        <w:rPr>
          <w:szCs w:val="24"/>
        </w:rPr>
      </w:pPr>
      <w:r w:rsidRPr="00103EA3">
        <w:rPr>
          <w:szCs w:val="24"/>
        </w:rPr>
        <w:t xml:space="preserve">The OCC does not believe that the policy and procedure provision, which the commenter refers to as “instructions,” are excessive or overly prescriptive.  The provisions outlined in the bulletin are intended to address risks to </w:t>
      </w:r>
      <w:r w:rsidRPr="00103EA3">
        <w:rPr>
          <w:i/>
          <w:szCs w:val="24"/>
        </w:rPr>
        <w:t>both</w:t>
      </w:r>
      <w:r w:rsidRPr="00103EA3">
        <w:rPr>
          <w:szCs w:val="24"/>
        </w:rPr>
        <w:t xml:space="preserve"> institutions and </w:t>
      </w:r>
      <w:r w:rsidRPr="00103EA3">
        <w:rPr>
          <w:szCs w:val="24"/>
        </w:rPr>
        <w:lastRenderedPageBreak/>
        <w:t xml:space="preserve">borrowers and to balance those risks with bank efforts to participate in revitalization efforts in distressed communities.  </w:t>
      </w:r>
    </w:p>
    <w:p w:rsidR="00026437" w:rsidRPr="00103EA3" w:rsidRDefault="00026437" w:rsidP="00026437">
      <w:pPr>
        <w:autoSpaceDE w:val="0"/>
        <w:autoSpaceDN w:val="0"/>
        <w:rPr>
          <w:szCs w:val="24"/>
        </w:rPr>
      </w:pPr>
    </w:p>
    <w:p w:rsidR="00026437" w:rsidRPr="00103EA3" w:rsidRDefault="00026437" w:rsidP="00026437">
      <w:pPr>
        <w:autoSpaceDE w:val="0"/>
        <w:autoSpaceDN w:val="0"/>
        <w:ind w:firstLine="720"/>
        <w:rPr>
          <w:szCs w:val="24"/>
        </w:rPr>
      </w:pPr>
      <w:r w:rsidRPr="00103EA3">
        <w:rPr>
          <w:szCs w:val="24"/>
        </w:rPr>
        <w:t xml:space="preserve">The policy and procedures include a limit on the amount of capital that will be exposed to higher LTV loans, which the commenter recognized is an important safety and soundness control. However, the OCC does not believe that a capital-based limitation should be the sole safety and soundness consideration. </w:t>
      </w:r>
      <w:r>
        <w:rPr>
          <w:szCs w:val="24"/>
        </w:rPr>
        <w:t xml:space="preserve"> </w:t>
      </w:r>
      <w:r w:rsidRPr="00103EA3">
        <w:rPr>
          <w:szCs w:val="24"/>
        </w:rPr>
        <w:t xml:space="preserve">Accordingly, the policy and procedure discussion includes other provisions intended to address risks that programmatic Higher LTV lending may pose to OCC institutions (e.g., underwriting, credit administration, and reporting standards).  These institution-focused provisions generally are consistent with existing standards that apply when an institution makes individual exceptions to the supervisory loan-to-value limits.  </w:t>
      </w:r>
    </w:p>
    <w:p w:rsidR="00026437" w:rsidRPr="00103EA3" w:rsidRDefault="00026437" w:rsidP="00026437">
      <w:pPr>
        <w:autoSpaceDE w:val="0"/>
        <w:autoSpaceDN w:val="0"/>
        <w:rPr>
          <w:szCs w:val="24"/>
        </w:rPr>
      </w:pPr>
    </w:p>
    <w:p w:rsidR="00026437" w:rsidRPr="00103EA3" w:rsidRDefault="00026437" w:rsidP="00026437">
      <w:pPr>
        <w:autoSpaceDE w:val="0"/>
        <w:autoSpaceDN w:val="0"/>
        <w:ind w:firstLine="720"/>
        <w:rPr>
          <w:szCs w:val="24"/>
        </w:rPr>
      </w:pPr>
      <w:r w:rsidRPr="00103EA3">
        <w:rPr>
          <w:szCs w:val="24"/>
        </w:rPr>
        <w:t xml:space="preserve">Additionally, in response to the unique risks programmatic higher LTV lending may pose to consumer borrowers, the policy and procedure provisions also include a customer notice provision designed to highlight for the borrower that there may be a negative relationship between the amount of his or her loan and the market value of the property, even after rehabilitation.  However, the guidance does not establish any particular credit parameters or otherwise direct the credit requirements for any institution’s lending program.  Accordingly, the guidance should not affect the number of consumers that will be eligible should a bank elect to establish a program pursuant to the guidance.    </w:t>
      </w:r>
    </w:p>
    <w:p w:rsidR="00026437" w:rsidRPr="00103EA3" w:rsidRDefault="00026437" w:rsidP="00026437">
      <w:pPr>
        <w:autoSpaceDE w:val="0"/>
        <w:autoSpaceDN w:val="0"/>
        <w:rPr>
          <w:szCs w:val="24"/>
        </w:rPr>
      </w:pPr>
    </w:p>
    <w:p w:rsidR="00026437" w:rsidRPr="00103EA3" w:rsidRDefault="00026437" w:rsidP="00026437">
      <w:pPr>
        <w:autoSpaceDE w:val="0"/>
        <w:autoSpaceDN w:val="0"/>
        <w:ind w:firstLine="720"/>
        <w:rPr>
          <w:szCs w:val="24"/>
        </w:rPr>
      </w:pPr>
      <w:r w:rsidRPr="00103EA3">
        <w:rPr>
          <w:szCs w:val="24"/>
        </w:rPr>
        <w:t xml:space="preserve">Similarly, the OCC does not believe that the program outlined in the guidance will inhibit robust revitalization programs. The discussion of “program loan” and “eligible community” in the guidance is intended to offer basic parameters while retaining flexibility for institutions to establish a program within a particular geography. For instance, the guidance does not specify a finite list of eligible communities. Instead, it suggest that in order to be an “eligible community,” there be targeted revitalization efforts at some government level. </w:t>
      </w:r>
    </w:p>
    <w:p w:rsidR="00026437" w:rsidRPr="00103EA3" w:rsidRDefault="00026437" w:rsidP="00026437">
      <w:pPr>
        <w:autoSpaceDE w:val="0"/>
        <w:autoSpaceDN w:val="0"/>
        <w:rPr>
          <w:szCs w:val="24"/>
        </w:rPr>
      </w:pPr>
    </w:p>
    <w:p w:rsidR="00026437" w:rsidRPr="00103EA3" w:rsidRDefault="00026437" w:rsidP="00026437">
      <w:pPr>
        <w:autoSpaceDE w:val="0"/>
        <w:autoSpaceDN w:val="0"/>
        <w:ind w:firstLine="720"/>
        <w:rPr>
          <w:szCs w:val="24"/>
        </w:rPr>
      </w:pPr>
      <w:r w:rsidRPr="00103EA3">
        <w:rPr>
          <w:szCs w:val="24"/>
        </w:rPr>
        <w:t xml:space="preserve">Finally, the OCC does not believe that the guidance will deter responsible higher LTV lending.  In fact, the </w:t>
      </w:r>
      <w:r>
        <w:rPr>
          <w:szCs w:val="24"/>
        </w:rPr>
        <w:t>comment from the partnership of community advocacy groups, financial institutions, and nonprofit organizations</w:t>
      </w:r>
      <w:r w:rsidRPr="00103EA3">
        <w:rPr>
          <w:szCs w:val="24"/>
        </w:rPr>
        <w:t xml:space="preserve"> stated that the proposed guidance would “enable banks to offer innovative mortgage financing.”  This letter offered its “strong support” for the proposal and noted that it supports the OCC’s oversight and monitoring of the policies and procedures set out in the guidance.  </w:t>
      </w:r>
    </w:p>
    <w:p w:rsidR="007568E2" w:rsidRPr="003A352C" w:rsidRDefault="007568E2" w:rsidP="00026437"/>
    <w:p w:rsidR="00AE37A5" w:rsidRPr="009B6386" w:rsidRDefault="00AE37A5" w:rsidP="007568E2">
      <w:pPr>
        <w:spacing w:after="240"/>
        <w:rPr>
          <w:b/>
          <w:bCs/>
          <w:color w:val="000000" w:themeColor="text1"/>
          <w:szCs w:val="24"/>
        </w:rPr>
      </w:pPr>
      <w:r w:rsidRPr="009B6386">
        <w:rPr>
          <w:b/>
          <w:bCs/>
          <w:color w:val="000000" w:themeColor="text1"/>
          <w:szCs w:val="24"/>
        </w:rPr>
        <w:t>9.  Payment or gift to respondents:</w:t>
      </w:r>
    </w:p>
    <w:p w:rsidR="00AE37A5" w:rsidRPr="009B6386" w:rsidRDefault="00C8228B" w:rsidP="00C8228B">
      <w:pPr>
        <w:spacing w:after="240"/>
        <w:rPr>
          <w:color w:val="000000" w:themeColor="text1"/>
          <w:szCs w:val="24"/>
        </w:rPr>
      </w:pPr>
      <w:r>
        <w:rPr>
          <w:color w:val="000000" w:themeColor="text1"/>
          <w:szCs w:val="24"/>
        </w:rPr>
        <w:tab/>
      </w:r>
      <w:r w:rsidR="00AE37A5" w:rsidRPr="009B6386">
        <w:rPr>
          <w:color w:val="000000" w:themeColor="text1"/>
          <w:szCs w:val="24"/>
        </w:rPr>
        <w:t>None.</w:t>
      </w:r>
    </w:p>
    <w:p w:rsidR="00AE37A5" w:rsidRPr="009B6386" w:rsidRDefault="00AE37A5" w:rsidP="00D47831">
      <w:pPr>
        <w:pStyle w:val="BodyText"/>
        <w:spacing w:after="120"/>
        <w:rPr>
          <w:b/>
          <w:bCs/>
          <w:color w:val="000000" w:themeColor="text1"/>
          <w:szCs w:val="24"/>
        </w:rPr>
      </w:pPr>
      <w:r w:rsidRPr="009B6386">
        <w:rPr>
          <w:b/>
          <w:bCs/>
          <w:color w:val="000000" w:themeColor="text1"/>
          <w:szCs w:val="24"/>
        </w:rPr>
        <w:t>10.  Any assurance of confidentiality:</w:t>
      </w:r>
      <w:r w:rsidRPr="009B6386">
        <w:rPr>
          <w:b/>
          <w:bCs/>
          <w:color w:val="000000" w:themeColor="text1"/>
          <w:szCs w:val="24"/>
        </w:rPr>
        <w:tab/>
      </w:r>
    </w:p>
    <w:p w:rsidR="00AE37A5" w:rsidRPr="009B6386" w:rsidRDefault="00C8228B" w:rsidP="00D47831">
      <w:pPr>
        <w:pStyle w:val="BodyText"/>
        <w:keepNext/>
        <w:widowControl w:val="0"/>
        <w:tabs>
          <w:tab w:val="left" w:pos="460"/>
        </w:tabs>
        <w:spacing w:after="240"/>
        <w:ind w:right="202"/>
        <w:rPr>
          <w:bCs/>
          <w:i w:val="0"/>
          <w:color w:val="000000" w:themeColor="text1"/>
          <w:szCs w:val="24"/>
        </w:rPr>
      </w:pPr>
      <w:r>
        <w:rPr>
          <w:bCs/>
          <w:i w:val="0"/>
          <w:color w:val="000000" w:themeColor="text1"/>
          <w:szCs w:val="24"/>
        </w:rPr>
        <w:tab/>
      </w:r>
      <w:r w:rsidR="0079083C" w:rsidRPr="009B6386">
        <w:rPr>
          <w:bCs/>
          <w:i w:val="0"/>
          <w:color w:val="000000" w:themeColor="text1"/>
          <w:szCs w:val="24"/>
        </w:rPr>
        <w:t>The information is kept private to the extent permitted by law.</w:t>
      </w:r>
    </w:p>
    <w:p w:rsidR="00AE37A5" w:rsidRPr="009B6386" w:rsidRDefault="00AE37A5" w:rsidP="00D47831">
      <w:pPr>
        <w:pStyle w:val="BodyText"/>
        <w:spacing w:after="120"/>
        <w:rPr>
          <w:color w:val="000000" w:themeColor="text1"/>
          <w:szCs w:val="24"/>
        </w:rPr>
      </w:pPr>
      <w:r w:rsidRPr="009B6386">
        <w:rPr>
          <w:b/>
          <w:bCs/>
          <w:color w:val="000000" w:themeColor="text1"/>
          <w:szCs w:val="24"/>
        </w:rPr>
        <w:t>11.  Justification for questions of a sensitive nature:</w:t>
      </w:r>
    </w:p>
    <w:p w:rsidR="00AE37A5" w:rsidRPr="009B6386" w:rsidRDefault="00C8228B" w:rsidP="00D47831">
      <w:pPr>
        <w:spacing w:after="240"/>
        <w:rPr>
          <w:color w:val="000000" w:themeColor="text1"/>
          <w:szCs w:val="24"/>
        </w:rPr>
      </w:pPr>
      <w:r>
        <w:rPr>
          <w:color w:val="000000" w:themeColor="text1"/>
          <w:szCs w:val="24"/>
        </w:rPr>
        <w:lastRenderedPageBreak/>
        <w:tab/>
      </w:r>
      <w:r w:rsidR="00AE37A5" w:rsidRPr="009B6386">
        <w:rPr>
          <w:color w:val="000000" w:themeColor="text1"/>
          <w:szCs w:val="24"/>
        </w:rPr>
        <w:t xml:space="preserve">Not applicable.  No personally identifiable information is collected.  </w:t>
      </w:r>
    </w:p>
    <w:p w:rsidR="00AE37A5" w:rsidRPr="009B6386" w:rsidRDefault="00AE37A5" w:rsidP="00AE37A5">
      <w:pPr>
        <w:pStyle w:val="BodyText"/>
        <w:rPr>
          <w:b/>
          <w:bCs/>
          <w:i w:val="0"/>
          <w:color w:val="000000" w:themeColor="text1"/>
          <w:szCs w:val="24"/>
        </w:rPr>
      </w:pPr>
      <w:r w:rsidRPr="009B6386">
        <w:rPr>
          <w:b/>
          <w:bCs/>
          <w:color w:val="000000" w:themeColor="text1"/>
          <w:szCs w:val="24"/>
        </w:rPr>
        <w:t>12.  Burden estimate:</w:t>
      </w:r>
    </w:p>
    <w:p w:rsidR="00AE37A5" w:rsidRPr="009B6386" w:rsidRDefault="00AE37A5" w:rsidP="00AE37A5">
      <w:pPr>
        <w:pStyle w:val="BodyText"/>
        <w:tabs>
          <w:tab w:val="left" w:pos="4845"/>
        </w:tabs>
        <w:rPr>
          <w:b/>
          <w:bCs/>
          <w:color w:val="000000" w:themeColor="text1"/>
          <w:szCs w:val="24"/>
        </w:rPr>
      </w:pPr>
    </w:p>
    <w:p w:rsidR="00AE37A5" w:rsidRPr="009B6386" w:rsidRDefault="00E61FEC" w:rsidP="00AE37A5">
      <w:pPr>
        <w:rPr>
          <w:rStyle w:val="a"/>
          <w:color w:val="000000" w:themeColor="text1"/>
          <w:szCs w:val="24"/>
        </w:rPr>
      </w:pPr>
      <w:r>
        <w:rPr>
          <w:rStyle w:val="a"/>
          <w:color w:val="000000" w:themeColor="text1"/>
          <w:szCs w:val="24"/>
        </w:rPr>
        <w:tab/>
      </w:r>
      <w:r w:rsidR="00AE37A5" w:rsidRPr="009B6386">
        <w:rPr>
          <w:rStyle w:val="a"/>
          <w:color w:val="000000" w:themeColor="text1"/>
          <w:szCs w:val="24"/>
        </w:rPr>
        <w:t xml:space="preserve">Estimated Number of Respondents:  </w:t>
      </w:r>
      <w:r w:rsidR="00F93E79">
        <w:rPr>
          <w:rStyle w:val="a"/>
          <w:color w:val="000000" w:themeColor="text1"/>
          <w:szCs w:val="24"/>
        </w:rPr>
        <w:t>20.</w:t>
      </w:r>
    </w:p>
    <w:p w:rsidR="00AE37A5" w:rsidRPr="009B6386" w:rsidRDefault="00AE37A5" w:rsidP="00AE37A5">
      <w:pPr>
        <w:rPr>
          <w:rStyle w:val="a"/>
          <w:color w:val="000000" w:themeColor="text1"/>
          <w:szCs w:val="24"/>
        </w:rPr>
      </w:pPr>
    </w:p>
    <w:p w:rsidR="00AE37A5" w:rsidRPr="009B6386" w:rsidRDefault="00E61FEC" w:rsidP="00AE37A5">
      <w:pPr>
        <w:rPr>
          <w:rStyle w:val="a"/>
          <w:color w:val="000000" w:themeColor="text1"/>
          <w:szCs w:val="24"/>
        </w:rPr>
      </w:pPr>
      <w:r>
        <w:rPr>
          <w:rStyle w:val="a"/>
          <w:color w:val="000000" w:themeColor="text1"/>
          <w:szCs w:val="24"/>
        </w:rPr>
        <w:tab/>
      </w:r>
      <w:r w:rsidR="00AE37A5" w:rsidRPr="009B6386">
        <w:rPr>
          <w:rStyle w:val="a"/>
          <w:color w:val="000000" w:themeColor="text1"/>
          <w:szCs w:val="24"/>
        </w:rPr>
        <w:t>Estimated Burden per Respon</w:t>
      </w:r>
      <w:r w:rsidR="00F93E79">
        <w:rPr>
          <w:rStyle w:val="a"/>
          <w:color w:val="000000" w:themeColor="text1"/>
          <w:szCs w:val="24"/>
        </w:rPr>
        <w:t>dent</w:t>
      </w:r>
      <w:r w:rsidR="00AE37A5" w:rsidRPr="009B6386">
        <w:rPr>
          <w:rStyle w:val="a"/>
          <w:color w:val="000000" w:themeColor="text1"/>
          <w:szCs w:val="24"/>
        </w:rPr>
        <w:t xml:space="preserve">: </w:t>
      </w:r>
      <w:r w:rsidR="00F93E79">
        <w:rPr>
          <w:rStyle w:val="a"/>
          <w:color w:val="000000" w:themeColor="text1"/>
          <w:szCs w:val="24"/>
        </w:rPr>
        <w:t xml:space="preserve"> Drafting Policies 200 hours; Document Performance 10 hours per quarter</w:t>
      </w:r>
      <w:r w:rsidR="00CE4196">
        <w:rPr>
          <w:rStyle w:val="a"/>
          <w:color w:val="000000" w:themeColor="text1"/>
          <w:szCs w:val="24"/>
        </w:rPr>
        <w:t xml:space="preserve"> (</w:t>
      </w:r>
      <w:r w:rsidR="00CE4196">
        <w:rPr>
          <w:rStyle w:val="a"/>
          <w:color w:val="000000" w:themeColor="text1"/>
          <w:szCs w:val="24"/>
          <w:u w:val="single"/>
        </w:rPr>
        <w:t>i.e.</w:t>
      </w:r>
      <w:r w:rsidR="00CE4196">
        <w:rPr>
          <w:rStyle w:val="a"/>
          <w:color w:val="000000" w:themeColor="text1"/>
          <w:szCs w:val="24"/>
        </w:rPr>
        <w:t>, 40 hours)</w:t>
      </w:r>
      <w:r w:rsidR="00F93E79">
        <w:rPr>
          <w:rStyle w:val="a"/>
          <w:color w:val="000000" w:themeColor="text1"/>
          <w:szCs w:val="24"/>
        </w:rPr>
        <w:t>; Reporting 10 hours.</w:t>
      </w:r>
    </w:p>
    <w:p w:rsidR="00AE37A5" w:rsidRPr="009B6386" w:rsidRDefault="00AE37A5" w:rsidP="00AE37A5">
      <w:pPr>
        <w:rPr>
          <w:rStyle w:val="a"/>
          <w:color w:val="000000" w:themeColor="text1"/>
          <w:szCs w:val="24"/>
        </w:rPr>
      </w:pPr>
    </w:p>
    <w:p w:rsidR="00AE37A5" w:rsidRPr="009B6386" w:rsidRDefault="00E61FEC" w:rsidP="00AE37A5">
      <w:pPr>
        <w:rPr>
          <w:color w:val="000000" w:themeColor="text1"/>
          <w:szCs w:val="24"/>
        </w:rPr>
      </w:pPr>
      <w:r>
        <w:rPr>
          <w:rStyle w:val="a"/>
          <w:color w:val="000000" w:themeColor="text1"/>
          <w:szCs w:val="24"/>
        </w:rPr>
        <w:tab/>
      </w:r>
      <w:r w:rsidR="00AE37A5" w:rsidRPr="009B6386">
        <w:rPr>
          <w:rStyle w:val="a"/>
          <w:color w:val="000000" w:themeColor="text1"/>
          <w:szCs w:val="24"/>
        </w:rPr>
        <w:t xml:space="preserve">Total Estimated Burden: </w:t>
      </w:r>
      <w:r w:rsidR="00F93E79">
        <w:rPr>
          <w:rStyle w:val="a"/>
          <w:color w:val="000000" w:themeColor="text1"/>
          <w:szCs w:val="24"/>
        </w:rPr>
        <w:t xml:space="preserve"> 5,000 hours.</w:t>
      </w:r>
      <w:r w:rsidR="00AE37A5" w:rsidRPr="009B6386">
        <w:rPr>
          <w:rStyle w:val="a"/>
          <w:color w:val="000000" w:themeColor="text1"/>
          <w:szCs w:val="24"/>
        </w:rPr>
        <w:t xml:space="preserve"> </w:t>
      </w:r>
    </w:p>
    <w:p w:rsidR="00AB37CA" w:rsidRPr="009B6386" w:rsidRDefault="00AB37CA">
      <w:pPr>
        <w:rPr>
          <w:color w:val="000000" w:themeColor="text1"/>
          <w:szCs w:val="24"/>
        </w:rPr>
      </w:pPr>
    </w:p>
    <w:p w:rsidR="00AB37CA" w:rsidRPr="009B6386" w:rsidRDefault="00AB37CA" w:rsidP="00AB37CA">
      <w:pPr>
        <w:pStyle w:val="BodyText"/>
        <w:rPr>
          <w:b/>
          <w:bCs/>
          <w:color w:val="000000" w:themeColor="text1"/>
          <w:szCs w:val="24"/>
        </w:rPr>
      </w:pPr>
      <w:r w:rsidRPr="009B6386">
        <w:rPr>
          <w:b/>
          <w:bCs/>
          <w:color w:val="000000" w:themeColor="text1"/>
          <w:szCs w:val="24"/>
        </w:rPr>
        <w:t>13.  Estimate of total annual startup and annual capital costs to respondents (excluding cost of hour burden in Item #12):</w:t>
      </w:r>
    </w:p>
    <w:p w:rsidR="00AB37CA" w:rsidRPr="009B6386" w:rsidRDefault="00AB37CA" w:rsidP="00AB37CA">
      <w:pPr>
        <w:rPr>
          <w:color w:val="000000" w:themeColor="text1"/>
          <w:szCs w:val="24"/>
        </w:rPr>
      </w:pPr>
    </w:p>
    <w:p w:rsidR="00AB37CA" w:rsidRPr="009B6386" w:rsidRDefault="00C8228B" w:rsidP="00AB37CA">
      <w:pPr>
        <w:rPr>
          <w:color w:val="000000" w:themeColor="text1"/>
          <w:szCs w:val="24"/>
        </w:rPr>
      </w:pPr>
      <w:r>
        <w:rPr>
          <w:color w:val="000000" w:themeColor="text1"/>
          <w:szCs w:val="24"/>
        </w:rPr>
        <w:tab/>
        <w:t>Not applicable.</w:t>
      </w:r>
    </w:p>
    <w:p w:rsidR="00AB37CA" w:rsidRPr="009B6386" w:rsidRDefault="00AB37CA" w:rsidP="00AB37CA">
      <w:pPr>
        <w:rPr>
          <w:color w:val="000000" w:themeColor="text1"/>
          <w:szCs w:val="24"/>
        </w:rPr>
      </w:pPr>
    </w:p>
    <w:p w:rsidR="00AB37CA" w:rsidRPr="009B6386" w:rsidRDefault="00AB37CA" w:rsidP="00AB37CA">
      <w:pPr>
        <w:pStyle w:val="BodyText"/>
        <w:rPr>
          <w:b/>
          <w:bCs/>
          <w:color w:val="000000" w:themeColor="text1"/>
          <w:szCs w:val="24"/>
        </w:rPr>
      </w:pPr>
      <w:r w:rsidRPr="009B6386">
        <w:rPr>
          <w:b/>
          <w:bCs/>
          <w:color w:val="000000" w:themeColor="text1"/>
          <w:szCs w:val="24"/>
        </w:rPr>
        <w:t>14.  Estimate of annualized costs to the Federal government:</w:t>
      </w:r>
    </w:p>
    <w:p w:rsidR="00AB37CA" w:rsidRPr="009B6386" w:rsidRDefault="00AB37CA" w:rsidP="00AB37CA">
      <w:pPr>
        <w:pStyle w:val="Footer"/>
        <w:tabs>
          <w:tab w:val="clear" w:pos="4320"/>
          <w:tab w:val="clear" w:pos="8640"/>
        </w:tabs>
        <w:rPr>
          <w:color w:val="000000" w:themeColor="text1"/>
          <w:szCs w:val="24"/>
        </w:rPr>
      </w:pPr>
    </w:p>
    <w:p w:rsidR="00AB37CA" w:rsidRPr="009B6386" w:rsidRDefault="00C8228B" w:rsidP="00AB37CA">
      <w:pPr>
        <w:rPr>
          <w:color w:val="000000" w:themeColor="text1"/>
          <w:szCs w:val="24"/>
        </w:rPr>
      </w:pPr>
      <w:r>
        <w:rPr>
          <w:color w:val="000000" w:themeColor="text1"/>
          <w:szCs w:val="24"/>
        </w:rPr>
        <w:tab/>
        <w:t>Not applicable.</w:t>
      </w:r>
    </w:p>
    <w:p w:rsidR="00AB37CA" w:rsidRPr="009B6386" w:rsidRDefault="00AB37CA" w:rsidP="00AB37CA">
      <w:pPr>
        <w:rPr>
          <w:color w:val="000000" w:themeColor="text1"/>
          <w:szCs w:val="24"/>
        </w:rPr>
      </w:pPr>
    </w:p>
    <w:p w:rsidR="00AB37CA" w:rsidRPr="009B6386" w:rsidRDefault="00AB37CA" w:rsidP="00AB37CA">
      <w:pPr>
        <w:pStyle w:val="BodyText"/>
        <w:rPr>
          <w:b/>
          <w:bCs/>
          <w:color w:val="000000" w:themeColor="text1"/>
          <w:szCs w:val="24"/>
        </w:rPr>
      </w:pPr>
      <w:r w:rsidRPr="009B6386">
        <w:rPr>
          <w:b/>
          <w:bCs/>
          <w:color w:val="000000" w:themeColor="text1"/>
          <w:szCs w:val="24"/>
        </w:rPr>
        <w:t>15.  Change in burden:</w:t>
      </w:r>
    </w:p>
    <w:p w:rsidR="00AB37CA" w:rsidRPr="009B6386" w:rsidRDefault="00AB37CA" w:rsidP="00AB37CA">
      <w:pPr>
        <w:rPr>
          <w:color w:val="000000" w:themeColor="text1"/>
          <w:szCs w:val="24"/>
        </w:rPr>
      </w:pPr>
    </w:p>
    <w:p w:rsidR="00AB37CA" w:rsidRPr="009B6386" w:rsidRDefault="00C8228B" w:rsidP="00AB37CA">
      <w:pPr>
        <w:rPr>
          <w:color w:val="000000" w:themeColor="text1"/>
          <w:szCs w:val="24"/>
        </w:rPr>
      </w:pPr>
      <w:r>
        <w:rPr>
          <w:color w:val="000000" w:themeColor="text1"/>
          <w:szCs w:val="24"/>
        </w:rPr>
        <w:tab/>
      </w:r>
      <w:r w:rsidR="00AB37CA" w:rsidRPr="009B6386">
        <w:rPr>
          <w:color w:val="000000" w:themeColor="text1"/>
          <w:szCs w:val="24"/>
        </w:rPr>
        <w:t>The increase in burden is because this is a new collection.</w:t>
      </w:r>
    </w:p>
    <w:p w:rsidR="00AB37CA" w:rsidRPr="009B6386" w:rsidRDefault="00AB37CA" w:rsidP="00AB37CA">
      <w:pPr>
        <w:rPr>
          <w:color w:val="000000" w:themeColor="text1"/>
          <w:szCs w:val="24"/>
        </w:rPr>
      </w:pPr>
    </w:p>
    <w:p w:rsidR="00AB37CA" w:rsidRPr="009B6386" w:rsidRDefault="00AB37CA" w:rsidP="00AB37CA">
      <w:pPr>
        <w:pStyle w:val="BodyText"/>
        <w:rPr>
          <w:b/>
          <w:bCs/>
          <w:color w:val="000000" w:themeColor="text1"/>
          <w:szCs w:val="24"/>
        </w:rPr>
      </w:pPr>
      <w:r w:rsidRPr="009B6386">
        <w:rPr>
          <w:b/>
          <w:bCs/>
          <w:color w:val="000000" w:themeColor="text1"/>
          <w:szCs w:val="24"/>
        </w:rPr>
        <w:t>16.  Information regarding collections whose results are to be published for statistical use:</w:t>
      </w:r>
    </w:p>
    <w:p w:rsidR="00AB37CA" w:rsidRPr="009B6386" w:rsidRDefault="00AB37CA" w:rsidP="00AB37CA">
      <w:pPr>
        <w:rPr>
          <w:color w:val="000000" w:themeColor="text1"/>
          <w:szCs w:val="24"/>
        </w:rPr>
      </w:pPr>
    </w:p>
    <w:p w:rsidR="00AB37CA" w:rsidRPr="009B6386" w:rsidRDefault="00C8228B" w:rsidP="00AB37CA">
      <w:pPr>
        <w:rPr>
          <w:color w:val="000000" w:themeColor="text1"/>
          <w:szCs w:val="24"/>
        </w:rPr>
      </w:pPr>
      <w:r>
        <w:rPr>
          <w:color w:val="000000" w:themeColor="text1"/>
          <w:szCs w:val="24"/>
        </w:rPr>
        <w:tab/>
      </w:r>
      <w:r w:rsidR="00AB37CA" w:rsidRPr="009B6386">
        <w:rPr>
          <w:color w:val="000000" w:themeColor="text1"/>
          <w:szCs w:val="24"/>
        </w:rPr>
        <w:t>The agencies have no plans to publish the inform</w:t>
      </w:r>
      <w:r>
        <w:rPr>
          <w:color w:val="000000" w:themeColor="text1"/>
          <w:szCs w:val="24"/>
        </w:rPr>
        <w:t>ation for statistical purposes.</w:t>
      </w:r>
    </w:p>
    <w:p w:rsidR="00AB37CA" w:rsidRPr="009B6386" w:rsidRDefault="00AB37CA" w:rsidP="00AB37CA">
      <w:pPr>
        <w:rPr>
          <w:color w:val="000000" w:themeColor="text1"/>
          <w:szCs w:val="24"/>
        </w:rPr>
      </w:pPr>
    </w:p>
    <w:p w:rsidR="00AB37CA" w:rsidRPr="009B6386" w:rsidRDefault="00AB37CA" w:rsidP="00AB37CA">
      <w:pPr>
        <w:pStyle w:val="BodyText"/>
        <w:rPr>
          <w:b/>
          <w:bCs/>
          <w:color w:val="000000" w:themeColor="text1"/>
          <w:szCs w:val="24"/>
        </w:rPr>
      </w:pPr>
      <w:r w:rsidRPr="009B6386">
        <w:rPr>
          <w:b/>
          <w:bCs/>
          <w:color w:val="000000" w:themeColor="text1"/>
          <w:szCs w:val="24"/>
        </w:rPr>
        <w:t>17.  Reasons for not displaying OMB approval expiration date:</w:t>
      </w:r>
    </w:p>
    <w:p w:rsidR="00AB37CA" w:rsidRPr="009B6386" w:rsidRDefault="00AB37CA" w:rsidP="00AB37CA">
      <w:pPr>
        <w:rPr>
          <w:color w:val="000000" w:themeColor="text1"/>
          <w:szCs w:val="24"/>
        </w:rPr>
      </w:pPr>
    </w:p>
    <w:p w:rsidR="00AB37CA" w:rsidRPr="009B6386" w:rsidRDefault="00C8228B" w:rsidP="00AB37CA">
      <w:pPr>
        <w:rPr>
          <w:color w:val="000000" w:themeColor="text1"/>
          <w:szCs w:val="24"/>
        </w:rPr>
      </w:pPr>
      <w:r>
        <w:rPr>
          <w:color w:val="000000" w:themeColor="text1"/>
          <w:szCs w:val="24"/>
        </w:rPr>
        <w:tab/>
      </w:r>
      <w:r w:rsidR="00AB37CA" w:rsidRPr="009B6386">
        <w:rPr>
          <w:color w:val="000000" w:themeColor="text1"/>
          <w:szCs w:val="24"/>
        </w:rPr>
        <w:t>Not applicable.  The agencies will display the OMB approval expiration date.</w:t>
      </w:r>
    </w:p>
    <w:p w:rsidR="00AB37CA" w:rsidRPr="009B6386" w:rsidRDefault="00AB37CA" w:rsidP="00AB37CA">
      <w:pPr>
        <w:rPr>
          <w:color w:val="000000" w:themeColor="text1"/>
          <w:szCs w:val="24"/>
        </w:rPr>
      </w:pPr>
    </w:p>
    <w:p w:rsidR="00AB37CA" w:rsidRPr="009B6386" w:rsidRDefault="00AB37CA" w:rsidP="00AB37CA">
      <w:pPr>
        <w:pStyle w:val="BodyText"/>
        <w:rPr>
          <w:b/>
          <w:bCs/>
          <w:color w:val="000000" w:themeColor="text1"/>
          <w:szCs w:val="24"/>
        </w:rPr>
      </w:pPr>
      <w:r w:rsidRPr="009B6386">
        <w:rPr>
          <w:b/>
          <w:bCs/>
          <w:color w:val="000000" w:themeColor="text1"/>
          <w:szCs w:val="24"/>
        </w:rPr>
        <w:t>18.  Exceptions to the certification statement:</w:t>
      </w:r>
    </w:p>
    <w:p w:rsidR="00AB37CA" w:rsidRPr="009B6386" w:rsidRDefault="00AB37CA" w:rsidP="00AB37CA">
      <w:pPr>
        <w:rPr>
          <w:color w:val="000000" w:themeColor="text1"/>
          <w:szCs w:val="24"/>
        </w:rPr>
      </w:pPr>
    </w:p>
    <w:p w:rsidR="00AB37CA" w:rsidRPr="009B6386" w:rsidRDefault="00C8228B" w:rsidP="00AB37CA">
      <w:pPr>
        <w:rPr>
          <w:color w:val="000000" w:themeColor="text1"/>
          <w:szCs w:val="24"/>
        </w:rPr>
      </w:pPr>
      <w:r>
        <w:rPr>
          <w:color w:val="000000" w:themeColor="text1"/>
          <w:szCs w:val="24"/>
        </w:rPr>
        <w:tab/>
      </w:r>
      <w:r w:rsidR="00AB37CA" w:rsidRPr="009B6386">
        <w:rPr>
          <w:color w:val="000000" w:themeColor="text1"/>
          <w:szCs w:val="24"/>
        </w:rPr>
        <w:t>None</w:t>
      </w:r>
      <w:r>
        <w:rPr>
          <w:color w:val="000000" w:themeColor="text1"/>
          <w:szCs w:val="24"/>
        </w:rPr>
        <w:t>.</w:t>
      </w:r>
    </w:p>
    <w:p w:rsidR="00AB37CA" w:rsidRPr="009B6386" w:rsidRDefault="00AB37CA" w:rsidP="00AB37CA">
      <w:pPr>
        <w:rPr>
          <w:b/>
          <w:bCs/>
          <w:color w:val="000000" w:themeColor="text1"/>
          <w:szCs w:val="24"/>
        </w:rPr>
      </w:pPr>
    </w:p>
    <w:p w:rsidR="00AB37CA" w:rsidRPr="009B6386" w:rsidRDefault="00AB37CA" w:rsidP="00AB37CA">
      <w:pPr>
        <w:rPr>
          <w:color w:val="000000" w:themeColor="text1"/>
          <w:szCs w:val="24"/>
        </w:rPr>
      </w:pPr>
      <w:r w:rsidRPr="009B6386">
        <w:rPr>
          <w:b/>
          <w:bCs/>
          <w:color w:val="000000" w:themeColor="text1"/>
          <w:szCs w:val="24"/>
        </w:rPr>
        <w:t>B.  Collections of Information Employing Statistical Methods.</w:t>
      </w:r>
    </w:p>
    <w:p w:rsidR="00AB37CA" w:rsidRPr="009B6386" w:rsidRDefault="00AB37CA" w:rsidP="00AB37CA">
      <w:pPr>
        <w:rPr>
          <w:color w:val="000000" w:themeColor="text1"/>
          <w:szCs w:val="24"/>
        </w:rPr>
      </w:pPr>
    </w:p>
    <w:p w:rsidR="00AB37CA" w:rsidRPr="009B6386" w:rsidRDefault="00C8228B" w:rsidP="00AB37CA">
      <w:pPr>
        <w:rPr>
          <w:color w:val="000000" w:themeColor="text1"/>
          <w:szCs w:val="24"/>
        </w:rPr>
      </w:pPr>
      <w:r>
        <w:rPr>
          <w:color w:val="000000" w:themeColor="text1"/>
          <w:szCs w:val="24"/>
        </w:rPr>
        <w:tab/>
      </w:r>
      <w:r w:rsidR="00AB37CA" w:rsidRPr="009B6386">
        <w:rPr>
          <w:color w:val="000000" w:themeColor="text1"/>
          <w:szCs w:val="24"/>
        </w:rPr>
        <w:t>Not applicable.</w:t>
      </w:r>
    </w:p>
    <w:p w:rsidR="00AB37CA" w:rsidRPr="009B6386" w:rsidRDefault="00AB37CA">
      <w:pPr>
        <w:rPr>
          <w:color w:val="000000" w:themeColor="text1"/>
          <w:szCs w:val="24"/>
        </w:rPr>
      </w:pPr>
    </w:p>
    <w:sectPr w:rsidR="00AB37CA" w:rsidRPr="009B6386" w:rsidSect="00255B83">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739" w:rsidRDefault="001D4739" w:rsidP="001402F8">
      <w:r>
        <w:separator/>
      </w:r>
    </w:p>
  </w:endnote>
  <w:endnote w:type="continuationSeparator" w:id="0">
    <w:p w:rsidR="001D4739" w:rsidRDefault="001D4739" w:rsidP="00140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F04" w:rsidRDefault="006F3F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7638138"/>
      <w:docPartObj>
        <w:docPartGallery w:val="Page Numbers (Bottom of Page)"/>
        <w:docPartUnique/>
      </w:docPartObj>
    </w:sdtPr>
    <w:sdtEndPr>
      <w:rPr>
        <w:noProof/>
      </w:rPr>
    </w:sdtEndPr>
    <w:sdtContent>
      <w:p w:rsidR="006910C2" w:rsidRDefault="006910C2">
        <w:pPr>
          <w:pStyle w:val="Footer"/>
          <w:jc w:val="center"/>
        </w:pPr>
        <w:r>
          <w:fldChar w:fldCharType="begin"/>
        </w:r>
        <w:r>
          <w:instrText xml:space="preserve"> PAGE   \* MERGEFORMAT </w:instrText>
        </w:r>
        <w:r>
          <w:fldChar w:fldCharType="separate"/>
        </w:r>
        <w:r w:rsidR="00FF6D5D">
          <w:rPr>
            <w:noProof/>
          </w:rPr>
          <w:t>2</w:t>
        </w:r>
        <w:r>
          <w:rPr>
            <w:noProof/>
          </w:rPr>
          <w:fldChar w:fldCharType="end"/>
        </w:r>
      </w:p>
    </w:sdtContent>
  </w:sdt>
  <w:p w:rsidR="0040201D" w:rsidRPr="0040201D" w:rsidRDefault="0040201D">
    <w:pPr>
      <w:pStyle w:val="Footer"/>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F04" w:rsidRDefault="006F3F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739" w:rsidRDefault="001D4739" w:rsidP="001402F8">
      <w:r>
        <w:separator/>
      </w:r>
    </w:p>
  </w:footnote>
  <w:footnote w:type="continuationSeparator" w:id="0">
    <w:p w:rsidR="001D4739" w:rsidRDefault="001D4739" w:rsidP="001402F8">
      <w:r>
        <w:continuationSeparator/>
      </w:r>
    </w:p>
  </w:footnote>
  <w:footnote w:id="1">
    <w:p w:rsidR="00241905" w:rsidRDefault="00241905" w:rsidP="001402F8">
      <w:pPr>
        <w:pStyle w:val="FootnoteText"/>
      </w:pPr>
      <w:r w:rsidRPr="00F25E5F">
        <w:rPr>
          <w:rStyle w:val="FootnoteReference"/>
        </w:rPr>
        <w:footnoteRef/>
      </w:r>
      <w:r w:rsidRPr="00F25E5F">
        <w:t xml:space="preserve"> </w:t>
      </w:r>
      <w:r w:rsidRPr="00F9364F">
        <w:rPr>
          <w:i/>
        </w:rPr>
        <w:t>See</w:t>
      </w:r>
      <w:r w:rsidRPr="00F9364F">
        <w:t xml:space="preserve"> </w:t>
      </w:r>
      <w:r w:rsidRPr="00F25E5F">
        <w:t>12 CFR Part 34</w:t>
      </w:r>
      <w:r w:rsidRPr="00F9364F">
        <w:t xml:space="preserve">; </w:t>
      </w:r>
      <w:r w:rsidRPr="00F25E5F">
        <w:t>Interagency Guidelines for Real Estate Lending Policies</w:t>
      </w:r>
      <w:r w:rsidRPr="00F9364F">
        <w:t xml:space="preserve">; </w:t>
      </w:r>
      <w:r>
        <w:t xml:space="preserve">Appendix A to Subpart D of Part 34 – Interagency Guidelines for Real Estate Lending; 2010 </w:t>
      </w:r>
      <w:r w:rsidRPr="006F1D46">
        <w:t>Interagency Appraisal and Evaluation Guidelines</w:t>
      </w:r>
      <w:r>
        <w:t>, 75 Fed. Reg. 77450, 77460 (Dec. 10, 2010).</w:t>
      </w:r>
    </w:p>
  </w:footnote>
  <w:footnote w:id="2">
    <w:p w:rsidR="00B7626E" w:rsidRDefault="00B7626E" w:rsidP="00B7626E">
      <w:pPr>
        <w:pStyle w:val="FootnoteText"/>
      </w:pPr>
      <w:r>
        <w:rPr>
          <w:rStyle w:val="FootnoteReference"/>
        </w:rPr>
        <w:footnoteRef/>
      </w:r>
      <w:r>
        <w:t xml:space="preserve"> Portfolio lending is lending retained for the lender’s own investment purposes.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F04" w:rsidRDefault="006F3F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554" w:rsidRPr="007C2121" w:rsidRDefault="00A56554" w:rsidP="007C21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F04" w:rsidRDefault="006F3F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04E4B"/>
    <w:multiLevelType w:val="hybridMultilevel"/>
    <w:tmpl w:val="A57646D8"/>
    <w:lvl w:ilvl="0" w:tplc="D988DA2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123A6C"/>
    <w:multiLevelType w:val="hybridMultilevel"/>
    <w:tmpl w:val="61DA7B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892167"/>
    <w:multiLevelType w:val="hybridMultilevel"/>
    <w:tmpl w:val="3C864762"/>
    <w:lvl w:ilvl="0" w:tplc="73E6A246">
      <w:start w:val="1"/>
      <w:numFmt w:val="bullet"/>
      <w:lvlText w:val="–"/>
      <w:lvlJc w:val="left"/>
      <w:pPr>
        <w:ind w:left="1080" w:hanging="360"/>
      </w:pPr>
      <w:rPr>
        <w:rFonts w:ascii="Times New Roman" w:hAnsi="Times New Roman" w:cs="Times New Roman" w:hint="default"/>
        <w:b w:val="0"/>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E627F6B"/>
    <w:multiLevelType w:val="hybridMultilevel"/>
    <w:tmpl w:val="F1503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664E3B"/>
    <w:multiLevelType w:val="hybridMultilevel"/>
    <w:tmpl w:val="DC94D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C956A1"/>
    <w:multiLevelType w:val="hybridMultilevel"/>
    <w:tmpl w:val="37004700"/>
    <w:lvl w:ilvl="0" w:tplc="04090003">
      <w:start w:val="1"/>
      <w:numFmt w:val="bullet"/>
      <w:lvlText w:val="o"/>
      <w:lvlJc w:val="left"/>
      <w:pPr>
        <w:ind w:left="1080" w:hanging="360"/>
      </w:pPr>
      <w:rPr>
        <w:rFonts w:ascii="Courier New" w:hAnsi="Courier New" w:cs="Courier New" w:hint="default"/>
        <w:b w:val="0"/>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7A5"/>
    <w:rsid w:val="00015EF6"/>
    <w:rsid w:val="00026437"/>
    <w:rsid w:val="00027741"/>
    <w:rsid w:val="00041464"/>
    <w:rsid w:val="00042C72"/>
    <w:rsid w:val="00043FDC"/>
    <w:rsid w:val="000441DB"/>
    <w:rsid w:val="00073F20"/>
    <w:rsid w:val="000C1442"/>
    <w:rsid w:val="000D260F"/>
    <w:rsid w:val="000E1170"/>
    <w:rsid w:val="000E253F"/>
    <w:rsid w:val="00133ECB"/>
    <w:rsid w:val="001363B1"/>
    <w:rsid w:val="001402F8"/>
    <w:rsid w:val="00154A8F"/>
    <w:rsid w:val="00161A63"/>
    <w:rsid w:val="001722B9"/>
    <w:rsid w:val="001735BC"/>
    <w:rsid w:val="001810BB"/>
    <w:rsid w:val="001947B8"/>
    <w:rsid w:val="001A2DF5"/>
    <w:rsid w:val="001B7355"/>
    <w:rsid w:val="001C254C"/>
    <w:rsid w:val="001D4739"/>
    <w:rsid w:val="002124B2"/>
    <w:rsid w:val="00223FB7"/>
    <w:rsid w:val="00226F42"/>
    <w:rsid w:val="00231673"/>
    <w:rsid w:val="00240464"/>
    <w:rsid w:val="00241905"/>
    <w:rsid w:val="0024370F"/>
    <w:rsid w:val="00255B83"/>
    <w:rsid w:val="0027520C"/>
    <w:rsid w:val="00275639"/>
    <w:rsid w:val="0029200F"/>
    <w:rsid w:val="00295F66"/>
    <w:rsid w:val="002C589E"/>
    <w:rsid w:val="00315885"/>
    <w:rsid w:val="00322E5E"/>
    <w:rsid w:val="003250A3"/>
    <w:rsid w:val="003344B0"/>
    <w:rsid w:val="003375B7"/>
    <w:rsid w:val="003558A8"/>
    <w:rsid w:val="00390E04"/>
    <w:rsid w:val="003A13D2"/>
    <w:rsid w:val="0040201D"/>
    <w:rsid w:val="00413051"/>
    <w:rsid w:val="00420EA3"/>
    <w:rsid w:val="004437EC"/>
    <w:rsid w:val="00446FA6"/>
    <w:rsid w:val="0044784F"/>
    <w:rsid w:val="004618A5"/>
    <w:rsid w:val="004670DF"/>
    <w:rsid w:val="004A1965"/>
    <w:rsid w:val="004C4ECC"/>
    <w:rsid w:val="004D23ED"/>
    <w:rsid w:val="004F4AEC"/>
    <w:rsid w:val="0053716F"/>
    <w:rsid w:val="005439AD"/>
    <w:rsid w:val="00550A89"/>
    <w:rsid w:val="005658C0"/>
    <w:rsid w:val="005962CC"/>
    <w:rsid w:val="005C6DDD"/>
    <w:rsid w:val="005D3D93"/>
    <w:rsid w:val="005D3E7B"/>
    <w:rsid w:val="005E4EF5"/>
    <w:rsid w:val="0060002E"/>
    <w:rsid w:val="00622F4A"/>
    <w:rsid w:val="006910C2"/>
    <w:rsid w:val="006A6EDC"/>
    <w:rsid w:val="006A7909"/>
    <w:rsid w:val="006B6591"/>
    <w:rsid w:val="006C79D3"/>
    <w:rsid w:val="006D0170"/>
    <w:rsid w:val="006D229D"/>
    <w:rsid w:val="006F3F04"/>
    <w:rsid w:val="006F659F"/>
    <w:rsid w:val="0072058F"/>
    <w:rsid w:val="007452CB"/>
    <w:rsid w:val="007568E2"/>
    <w:rsid w:val="00772A33"/>
    <w:rsid w:val="0079083C"/>
    <w:rsid w:val="007958AB"/>
    <w:rsid w:val="007A4C27"/>
    <w:rsid w:val="007C198F"/>
    <w:rsid w:val="007C2121"/>
    <w:rsid w:val="007D39C9"/>
    <w:rsid w:val="007E4D33"/>
    <w:rsid w:val="007F1616"/>
    <w:rsid w:val="007F1643"/>
    <w:rsid w:val="007F42A0"/>
    <w:rsid w:val="0082288B"/>
    <w:rsid w:val="00835D9B"/>
    <w:rsid w:val="008437D2"/>
    <w:rsid w:val="00855384"/>
    <w:rsid w:val="00895AB0"/>
    <w:rsid w:val="008A0FE5"/>
    <w:rsid w:val="008B58C3"/>
    <w:rsid w:val="008C05E2"/>
    <w:rsid w:val="008C0C51"/>
    <w:rsid w:val="008C1E28"/>
    <w:rsid w:val="008C4D1B"/>
    <w:rsid w:val="008D7F91"/>
    <w:rsid w:val="008E1E1F"/>
    <w:rsid w:val="009354CC"/>
    <w:rsid w:val="009501B4"/>
    <w:rsid w:val="00951B39"/>
    <w:rsid w:val="009520E6"/>
    <w:rsid w:val="00957F5B"/>
    <w:rsid w:val="00973A3C"/>
    <w:rsid w:val="00980327"/>
    <w:rsid w:val="00981371"/>
    <w:rsid w:val="009A2F88"/>
    <w:rsid w:val="009B50D8"/>
    <w:rsid w:val="009B6386"/>
    <w:rsid w:val="009E6461"/>
    <w:rsid w:val="009F3661"/>
    <w:rsid w:val="00A22452"/>
    <w:rsid w:val="00A40112"/>
    <w:rsid w:val="00A542F5"/>
    <w:rsid w:val="00A56131"/>
    <w:rsid w:val="00A56554"/>
    <w:rsid w:val="00A57234"/>
    <w:rsid w:val="00AA2A8A"/>
    <w:rsid w:val="00AA7608"/>
    <w:rsid w:val="00AB37CA"/>
    <w:rsid w:val="00AB44B7"/>
    <w:rsid w:val="00AD3320"/>
    <w:rsid w:val="00AD3F6F"/>
    <w:rsid w:val="00AE37A5"/>
    <w:rsid w:val="00AE71D4"/>
    <w:rsid w:val="00AF3F89"/>
    <w:rsid w:val="00B21A02"/>
    <w:rsid w:val="00B7626E"/>
    <w:rsid w:val="00B874DF"/>
    <w:rsid w:val="00BA77ED"/>
    <w:rsid w:val="00BA78AB"/>
    <w:rsid w:val="00BD5E48"/>
    <w:rsid w:val="00BE6F76"/>
    <w:rsid w:val="00C13AF6"/>
    <w:rsid w:val="00C167E7"/>
    <w:rsid w:val="00C2117C"/>
    <w:rsid w:val="00C277E7"/>
    <w:rsid w:val="00C41A8D"/>
    <w:rsid w:val="00C50018"/>
    <w:rsid w:val="00C606DA"/>
    <w:rsid w:val="00C6488C"/>
    <w:rsid w:val="00C70B81"/>
    <w:rsid w:val="00C8228B"/>
    <w:rsid w:val="00C91EE7"/>
    <w:rsid w:val="00C96968"/>
    <w:rsid w:val="00CA5AFE"/>
    <w:rsid w:val="00CC2827"/>
    <w:rsid w:val="00CC5F07"/>
    <w:rsid w:val="00CE4196"/>
    <w:rsid w:val="00CF44F3"/>
    <w:rsid w:val="00D404BA"/>
    <w:rsid w:val="00D40ED1"/>
    <w:rsid w:val="00D42361"/>
    <w:rsid w:val="00D47831"/>
    <w:rsid w:val="00D65FC7"/>
    <w:rsid w:val="00DA495C"/>
    <w:rsid w:val="00DC5431"/>
    <w:rsid w:val="00DC5B13"/>
    <w:rsid w:val="00DE367C"/>
    <w:rsid w:val="00DF42C4"/>
    <w:rsid w:val="00E32CCE"/>
    <w:rsid w:val="00E3784C"/>
    <w:rsid w:val="00E51EDA"/>
    <w:rsid w:val="00E5409B"/>
    <w:rsid w:val="00E617BE"/>
    <w:rsid w:val="00E61FEC"/>
    <w:rsid w:val="00E71F8A"/>
    <w:rsid w:val="00E76FDE"/>
    <w:rsid w:val="00E77CE5"/>
    <w:rsid w:val="00EA2F0A"/>
    <w:rsid w:val="00EA4519"/>
    <w:rsid w:val="00EF1C93"/>
    <w:rsid w:val="00F0541E"/>
    <w:rsid w:val="00F2536B"/>
    <w:rsid w:val="00F25BE7"/>
    <w:rsid w:val="00F32F04"/>
    <w:rsid w:val="00F35A03"/>
    <w:rsid w:val="00F7098B"/>
    <w:rsid w:val="00F766CC"/>
    <w:rsid w:val="00F828E7"/>
    <w:rsid w:val="00F93E79"/>
    <w:rsid w:val="00FA36F3"/>
    <w:rsid w:val="00FB300A"/>
    <w:rsid w:val="00FB3A85"/>
    <w:rsid w:val="00FF6D5D"/>
    <w:rsid w:val="00FF7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7A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E37A5"/>
    <w:pPr>
      <w:jc w:val="center"/>
    </w:pPr>
    <w:rPr>
      <w:b/>
      <w:bCs/>
    </w:rPr>
  </w:style>
  <w:style w:type="character" w:customStyle="1" w:styleId="TitleChar">
    <w:name w:val="Title Char"/>
    <w:basedOn w:val="DefaultParagraphFont"/>
    <w:link w:val="Title"/>
    <w:rsid w:val="00AE37A5"/>
    <w:rPr>
      <w:b/>
      <w:bCs/>
      <w:sz w:val="24"/>
    </w:rPr>
  </w:style>
  <w:style w:type="character" w:styleId="CommentReference">
    <w:name w:val="annotation reference"/>
    <w:basedOn w:val="DefaultParagraphFont"/>
    <w:uiPriority w:val="99"/>
    <w:rsid w:val="00AE37A5"/>
    <w:rPr>
      <w:sz w:val="16"/>
      <w:szCs w:val="16"/>
    </w:rPr>
  </w:style>
  <w:style w:type="paragraph" w:styleId="CommentText">
    <w:name w:val="annotation text"/>
    <w:basedOn w:val="Normal"/>
    <w:link w:val="CommentTextChar"/>
    <w:uiPriority w:val="99"/>
    <w:rsid w:val="00AE37A5"/>
    <w:rPr>
      <w:sz w:val="20"/>
    </w:rPr>
  </w:style>
  <w:style w:type="character" w:customStyle="1" w:styleId="CommentTextChar">
    <w:name w:val="Comment Text Char"/>
    <w:basedOn w:val="DefaultParagraphFont"/>
    <w:link w:val="CommentText"/>
    <w:uiPriority w:val="99"/>
    <w:rsid w:val="00AE37A5"/>
  </w:style>
  <w:style w:type="paragraph" w:styleId="CommentSubject">
    <w:name w:val="annotation subject"/>
    <w:basedOn w:val="CommentText"/>
    <w:next w:val="CommentText"/>
    <w:link w:val="CommentSubjectChar"/>
    <w:rsid w:val="00AE37A5"/>
    <w:rPr>
      <w:b/>
      <w:bCs/>
    </w:rPr>
  </w:style>
  <w:style w:type="character" w:customStyle="1" w:styleId="CommentSubjectChar">
    <w:name w:val="Comment Subject Char"/>
    <w:basedOn w:val="CommentTextChar"/>
    <w:link w:val="CommentSubject"/>
    <w:rsid w:val="00AE37A5"/>
    <w:rPr>
      <w:b/>
      <w:bCs/>
    </w:rPr>
  </w:style>
  <w:style w:type="paragraph" w:styleId="BalloonText">
    <w:name w:val="Balloon Text"/>
    <w:basedOn w:val="Normal"/>
    <w:link w:val="BalloonTextChar"/>
    <w:rsid w:val="00AE37A5"/>
    <w:rPr>
      <w:rFonts w:ascii="Tahoma" w:hAnsi="Tahoma" w:cs="Tahoma"/>
      <w:sz w:val="16"/>
      <w:szCs w:val="16"/>
    </w:rPr>
  </w:style>
  <w:style w:type="character" w:customStyle="1" w:styleId="BalloonTextChar">
    <w:name w:val="Balloon Text Char"/>
    <w:basedOn w:val="DefaultParagraphFont"/>
    <w:link w:val="BalloonText"/>
    <w:rsid w:val="00AE37A5"/>
    <w:rPr>
      <w:rFonts w:ascii="Tahoma" w:hAnsi="Tahoma" w:cs="Tahoma"/>
      <w:sz w:val="16"/>
      <w:szCs w:val="16"/>
    </w:rPr>
  </w:style>
  <w:style w:type="paragraph" w:styleId="BodyText">
    <w:name w:val="Body Text"/>
    <w:basedOn w:val="Normal"/>
    <w:link w:val="BodyTextChar"/>
    <w:rsid w:val="00AE37A5"/>
    <w:rPr>
      <w:i/>
      <w:iCs/>
    </w:rPr>
  </w:style>
  <w:style w:type="character" w:customStyle="1" w:styleId="BodyTextChar">
    <w:name w:val="Body Text Char"/>
    <w:basedOn w:val="DefaultParagraphFont"/>
    <w:link w:val="BodyText"/>
    <w:rsid w:val="00AE37A5"/>
    <w:rPr>
      <w:i/>
      <w:iCs/>
      <w:sz w:val="24"/>
    </w:rPr>
  </w:style>
  <w:style w:type="character" w:customStyle="1" w:styleId="a">
    <w:name w:val="_"/>
    <w:rsid w:val="00AE37A5"/>
  </w:style>
  <w:style w:type="paragraph" w:styleId="Footer">
    <w:name w:val="footer"/>
    <w:basedOn w:val="Normal"/>
    <w:link w:val="FooterChar"/>
    <w:uiPriority w:val="99"/>
    <w:rsid w:val="00AB37CA"/>
    <w:pPr>
      <w:tabs>
        <w:tab w:val="center" w:pos="4320"/>
        <w:tab w:val="right" w:pos="8640"/>
      </w:tabs>
    </w:pPr>
  </w:style>
  <w:style w:type="character" w:customStyle="1" w:styleId="FooterChar">
    <w:name w:val="Footer Char"/>
    <w:basedOn w:val="DefaultParagraphFont"/>
    <w:link w:val="Footer"/>
    <w:uiPriority w:val="99"/>
    <w:rsid w:val="00AB37CA"/>
    <w:rPr>
      <w:sz w:val="24"/>
    </w:rPr>
  </w:style>
  <w:style w:type="paragraph" w:styleId="ListParagraph">
    <w:name w:val="List Paragraph"/>
    <w:basedOn w:val="Normal"/>
    <w:uiPriority w:val="34"/>
    <w:qFormat/>
    <w:rsid w:val="005658C0"/>
    <w:pPr>
      <w:ind w:left="720"/>
      <w:contextualSpacing/>
    </w:pPr>
    <w:rPr>
      <w:szCs w:val="24"/>
    </w:rPr>
  </w:style>
  <w:style w:type="paragraph" w:styleId="FootnoteText">
    <w:name w:val="footnote text"/>
    <w:basedOn w:val="Normal"/>
    <w:link w:val="FootnoteTextChar"/>
    <w:uiPriority w:val="99"/>
    <w:unhideWhenUsed/>
    <w:rsid w:val="001402F8"/>
    <w:rPr>
      <w:sz w:val="20"/>
    </w:rPr>
  </w:style>
  <w:style w:type="character" w:customStyle="1" w:styleId="FootnoteTextChar">
    <w:name w:val="Footnote Text Char"/>
    <w:basedOn w:val="DefaultParagraphFont"/>
    <w:link w:val="FootnoteText"/>
    <w:uiPriority w:val="99"/>
    <w:rsid w:val="001402F8"/>
  </w:style>
  <w:style w:type="character" w:styleId="FootnoteReference">
    <w:name w:val="footnote reference"/>
    <w:basedOn w:val="DefaultParagraphFont"/>
    <w:uiPriority w:val="99"/>
    <w:unhideWhenUsed/>
    <w:rsid w:val="001402F8"/>
    <w:rPr>
      <w:vertAlign w:val="superscript"/>
    </w:rPr>
  </w:style>
  <w:style w:type="paragraph" w:styleId="Header">
    <w:name w:val="header"/>
    <w:basedOn w:val="Normal"/>
    <w:link w:val="HeaderChar"/>
    <w:rsid w:val="0040201D"/>
    <w:pPr>
      <w:tabs>
        <w:tab w:val="center" w:pos="4680"/>
        <w:tab w:val="right" w:pos="9360"/>
      </w:tabs>
    </w:pPr>
  </w:style>
  <w:style w:type="character" w:customStyle="1" w:styleId="HeaderChar">
    <w:name w:val="Header Char"/>
    <w:basedOn w:val="DefaultParagraphFont"/>
    <w:link w:val="Header"/>
    <w:rsid w:val="0040201D"/>
    <w:rPr>
      <w:sz w:val="24"/>
    </w:rPr>
  </w:style>
  <w:style w:type="paragraph" w:customStyle="1" w:styleId="Default">
    <w:name w:val="Default"/>
    <w:rsid w:val="007568E2"/>
    <w:pPr>
      <w:autoSpaceDE w:val="0"/>
      <w:autoSpaceDN w:val="0"/>
      <w:adjustRightInd w:val="0"/>
    </w:pPr>
    <w:rPr>
      <w:rFonts w:ascii="Calibri" w:hAnsi="Calibri" w:cs="Calibri"/>
      <w:color w:val="000000"/>
      <w:sz w:val="24"/>
      <w:szCs w:val="24"/>
    </w:rPr>
  </w:style>
  <w:style w:type="character" w:customStyle="1" w:styleId="documentbody1">
    <w:name w:val="documentbody1"/>
    <w:basedOn w:val="DefaultParagraphFont"/>
    <w:rsid w:val="007568E2"/>
    <w:rPr>
      <w:rFonts w:ascii="Verdana" w:hAnsi="Verdana"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11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3023</Words>
  <Characters>17592</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2017-06-27T14:32:00Z</dcterms:created>
  <dcterms:modified xsi:type="dcterms:W3CDTF">2017-06-27T14:32:00Z</dcterms:modified>
</cp:coreProperties>
</file>