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40" w:rsidRPr="00957FC1" w:rsidRDefault="00176E6F">
      <w:pPr>
        <w:rPr>
          <w:rFonts w:ascii="Times New Roman" w:hAnsi="Times New Roman" w:cs="Times New Roman"/>
        </w:rPr>
      </w:pPr>
      <w:bookmarkStart w:id="0" w:name="_GoBack"/>
      <w:bookmarkEnd w:id="0"/>
      <w:r w:rsidRPr="00957FC1">
        <w:rPr>
          <w:rFonts w:ascii="Times New Roman" w:hAnsi="Times New Roman" w:cs="Times New Roman"/>
        </w:rPr>
        <w:t>PART B. Statistical Methods</w:t>
      </w:r>
    </w:p>
    <w:p w:rsidR="00957FC1" w:rsidRPr="00957FC1" w:rsidRDefault="00957FC1" w:rsidP="00176E6F">
      <w:pPr>
        <w:pStyle w:val="ListParagraph"/>
        <w:numPr>
          <w:ilvl w:val="0"/>
          <w:numId w:val="1"/>
        </w:numPr>
        <w:rPr>
          <w:rFonts w:ascii="Times New Roman" w:hAnsi="Times New Roman" w:cs="Times New Roman"/>
        </w:rPr>
      </w:pPr>
      <w:r w:rsidRPr="00957FC1">
        <w:rPr>
          <w:rFonts w:ascii="Times New Roman" w:hAnsi="Times New Roman" w:cs="Times New Roman"/>
          <w:u w:val="single"/>
        </w:rPr>
        <w:t>Respondent Universe</w:t>
      </w:r>
    </w:p>
    <w:p w:rsidR="00957FC1" w:rsidRPr="00957FC1" w:rsidRDefault="00957FC1" w:rsidP="00957FC1">
      <w:pPr>
        <w:pStyle w:val="ListParagraph"/>
        <w:rPr>
          <w:rFonts w:ascii="Times New Roman" w:hAnsi="Times New Roman" w:cs="Times New Roman"/>
          <w:u w:val="single"/>
        </w:rPr>
      </w:pPr>
    </w:p>
    <w:p w:rsidR="00176E6F" w:rsidRPr="00957FC1" w:rsidRDefault="00176E6F" w:rsidP="00957FC1">
      <w:pPr>
        <w:pStyle w:val="ListParagraph"/>
        <w:rPr>
          <w:rFonts w:ascii="Times New Roman" w:hAnsi="Times New Roman" w:cs="Times New Roman"/>
        </w:rPr>
      </w:pPr>
      <w:r w:rsidRPr="00957FC1">
        <w:rPr>
          <w:rFonts w:ascii="Times New Roman" w:hAnsi="Times New Roman" w:cs="Times New Roman"/>
        </w:rPr>
        <w:t xml:space="preserve">The </w:t>
      </w:r>
      <w:r w:rsidRPr="00957FC1">
        <w:rPr>
          <w:rFonts w:ascii="Times New Roman" w:hAnsi="Times New Roman" w:cs="Times New Roman"/>
          <w:i/>
        </w:rPr>
        <w:t xml:space="preserve">Cargo Theft Incident Report </w:t>
      </w:r>
      <w:r w:rsidRPr="00957FC1">
        <w:rPr>
          <w:rFonts w:ascii="Times New Roman" w:hAnsi="Times New Roman" w:cs="Times New Roman"/>
        </w:rPr>
        <w:t>(OMB No. 1110-0048) includes respondents from Unites States (U.S.) law enforcement agencies</w:t>
      </w:r>
      <w:r w:rsidR="003F1F84" w:rsidRPr="00957FC1">
        <w:rPr>
          <w:rFonts w:ascii="Times New Roman" w:hAnsi="Times New Roman" w:cs="Times New Roman"/>
        </w:rPr>
        <w:t xml:space="preserve"> (LEAs)</w:t>
      </w:r>
      <w:r w:rsidRPr="00957FC1">
        <w:rPr>
          <w:rFonts w:ascii="Times New Roman" w:hAnsi="Times New Roman" w:cs="Times New Roman"/>
        </w:rPr>
        <w:t xml:space="preserve"> who voluntarily report crimes to the FBI’s Uniform Crime reporting (U</w:t>
      </w:r>
      <w:r w:rsidR="009D50C4" w:rsidRPr="00957FC1">
        <w:rPr>
          <w:rFonts w:ascii="Times New Roman" w:hAnsi="Times New Roman" w:cs="Times New Roman"/>
        </w:rPr>
        <w:t>CR) Program.  Approximately 18,4</w:t>
      </w:r>
      <w:r w:rsidRPr="00957FC1">
        <w:rPr>
          <w:rFonts w:ascii="Times New Roman" w:hAnsi="Times New Roman" w:cs="Times New Roman"/>
        </w:rPr>
        <w:t xml:space="preserve">00 </w:t>
      </w:r>
      <w:r w:rsidR="00AC15F6" w:rsidRPr="00957FC1">
        <w:rPr>
          <w:rFonts w:ascii="Times New Roman" w:hAnsi="Times New Roman" w:cs="Times New Roman"/>
        </w:rPr>
        <w:t>LEAs</w:t>
      </w:r>
      <w:r w:rsidRPr="00957FC1">
        <w:rPr>
          <w:rFonts w:ascii="Times New Roman" w:hAnsi="Times New Roman" w:cs="Times New Roman"/>
        </w:rPr>
        <w:t xml:space="preserve"> partici</w:t>
      </w:r>
      <w:r w:rsidR="00763D79">
        <w:rPr>
          <w:rFonts w:ascii="Times New Roman" w:hAnsi="Times New Roman" w:cs="Times New Roman"/>
        </w:rPr>
        <w:t xml:space="preserve">pate in the FBI UCR Program.  </w:t>
      </w:r>
      <w:r w:rsidR="003F1F84" w:rsidRPr="00957FC1">
        <w:rPr>
          <w:rFonts w:ascii="Times New Roman" w:hAnsi="Times New Roman" w:cs="Times New Roman"/>
        </w:rPr>
        <w:t xml:space="preserve">LEAs </w:t>
      </w:r>
      <w:r w:rsidRPr="00957FC1">
        <w:rPr>
          <w:rFonts w:ascii="Times New Roman" w:hAnsi="Times New Roman" w:cs="Times New Roman"/>
        </w:rPr>
        <w:t>consist of local, county, state, tribal, and federal agencies that correlate to all population group sizes and have many diverse attributes.  These agencies include a mix of population density and degrees of urbanization; various compositions of population particularly youth concentration; population mobility with respect to residents’ mobility, commuting patterns, and transient factors; different economic conditions including median income, poverty level, and job availability; areas with different modes of transportation and highway systems; different cultural factors and educational, recreational, and religious characteristics; family conditions with respect to divorce and family cohesiveness; climate; effective strength of law enforcement; policies of other components of the criminal justice system; citizens’ attitudes toward crime; and crime reporting practices of the citizenry.</w:t>
      </w:r>
    </w:p>
    <w:p w:rsidR="00176E6F" w:rsidRPr="00957FC1" w:rsidRDefault="00176E6F" w:rsidP="00176E6F">
      <w:pPr>
        <w:pStyle w:val="ListParagraph"/>
        <w:rPr>
          <w:rFonts w:ascii="Times New Roman" w:hAnsi="Times New Roman" w:cs="Times New Roman"/>
        </w:rPr>
      </w:pPr>
    </w:p>
    <w:p w:rsidR="00556BC4" w:rsidRDefault="00176E6F" w:rsidP="00583612">
      <w:pPr>
        <w:pStyle w:val="ListParagraph"/>
        <w:rPr>
          <w:rFonts w:ascii="Times New Roman" w:hAnsi="Times New Roman" w:cs="Times New Roman"/>
        </w:rPr>
      </w:pPr>
      <w:r w:rsidRPr="00957FC1">
        <w:rPr>
          <w:rFonts w:ascii="Times New Roman" w:hAnsi="Times New Roman" w:cs="Times New Roman"/>
        </w:rPr>
        <w:t xml:space="preserve">Response rates </w:t>
      </w:r>
      <w:r w:rsidR="00556BC4">
        <w:rPr>
          <w:rFonts w:ascii="Times New Roman" w:hAnsi="Times New Roman" w:cs="Times New Roman"/>
        </w:rPr>
        <w:t>have gradually</w:t>
      </w:r>
      <w:r w:rsidR="00AC15F6" w:rsidRPr="00957FC1">
        <w:rPr>
          <w:rFonts w:ascii="Times New Roman" w:hAnsi="Times New Roman" w:cs="Times New Roman"/>
        </w:rPr>
        <w:t xml:space="preserve"> inc</w:t>
      </w:r>
      <w:r w:rsidR="00556BC4">
        <w:rPr>
          <w:rFonts w:ascii="Times New Roman" w:hAnsi="Times New Roman" w:cs="Times New Roman"/>
        </w:rPr>
        <w:t xml:space="preserve">reased over the last three years. </w:t>
      </w:r>
      <w:r w:rsidR="00421C3F">
        <w:rPr>
          <w:rFonts w:ascii="Times New Roman" w:hAnsi="Times New Roman" w:cs="Times New Roman"/>
        </w:rPr>
        <w:t xml:space="preserve"> </w:t>
      </w:r>
      <w:r w:rsidR="00556BC4">
        <w:rPr>
          <w:rFonts w:ascii="Times New Roman" w:hAnsi="Times New Roman" w:cs="Times New Roman"/>
        </w:rPr>
        <w:t>The table below provides an overview of the</w:t>
      </w:r>
      <w:r w:rsidR="00421C3F">
        <w:rPr>
          <w:rFonts w:ascii="Times New Roman" w:hAnsi="Times New Roman" w:cs="Times New Roman"/>
        </w:rPr>
        <w:t xml:space="preserve"> number of</w:t>
      </w:r>
      <w:r w:rsidR="00556BC4">
        <w:rPr>
          <w:rFonts w:ascii="Times New Roman" w:hAnsi="Times New Roman" w:cs="Times New Roman"/>
        </w:rPr>
        <w:t xml:space="preserve"> respondent/non-res</w:t>
      </w:r>
      <w:r w:rsidR="003020DA">
        <w:rPr>
          <w:rFonts w:ascii="Times New Roman" w:hAnsi="Times New Roman" w:cs="Times New Roman"/>
        </w:rPr>
        <w:t>pondent LEAs</w:t>
      </w:r>
      <w:r w:rsidR="00556BC4">
        <w:rPr>
          <w:rFonts w:ascii="Times New Roman" w:hAnsi="Times New Roman" w:cs="Times New Roman"/>
        </w:rPr>
        <w:t xml:space="preserve">/states. </w:t>
      </w:r>
    </w:p>
    <w:p w:rsidR="00903444" w:rsidRPr="00957FC1" w:rsidRDefault="00556BC4" w:rsidP="00583612">
      <w:pPr>
        <w:pStyle w:val="ListParagraph"/>
        <w:rPr>
          <w:rFonts w:ascii="Times New Roman" w:hAnsi="Times New Roman" w:cs="Times New Roman"/>
        </w:rPr>
      </w:pPr>
      <w:r>
        <w:rPr>
          <w:rFonts w:ascii="Times New Roman" w:hAnsi="Times New Roman" w:cs="Times New Roman"/>
        </w:rPr>
        <w:t xml:space="preserve">  </w:t>
      </w:r>
    </w:p>
    <w:tbl>
      <w:tblPr>
        <w:tblStyle w:val="TableGrid"/>
        <w:tblW w:w="8630" w:type="dxa"/>
        <w:tblInd w:w="720" w:type="dxa"/>
        <w:tblLook w:val="04A0" w:firstRow="1" w:lastRow="0" w:firstColumn="1" w:lastColumn="0" w:noHBand="0" w:noVBand="1"/>
      </w:tblPr>
      <w:tblGrid>
        <w:gridCol w:w="992"/>
        <w:gridCol w:w="1546"/>
        <w:gridCol w:w="1640"/>
        <w:gridCol w:w="1826"/>
        <w:gridCol w:w="1451"/>
        <w:gridCol w:w="1175"/>
      </w:tblGrid>
      <w:tr w:rsidR="00903444" w:rsidRPr="00957FC1" w:rsidTr="009A1D94">
        <w:tc>
          <w:tcPr>
            <w:tcW w:w="1103" w:type="dxa"/>
          </w:tcPr>
          <w:p w:rsidR="009A1D94" w:rsidRPr="00957FC1" w:rsidRDefault="009A1D94" w:rsidP="00583612">
            <w:pPr>
              <w:pStyle w:val="ListParagraph"/>
              <w:ind w:left="0"/>
              <w:rPr>
                <w:rFonts w:ascii="Times New Roman" w:hAnsi="Times New Roman" w:cs="Times New Roman"/>
              </w:rPr>
            </w:pPr>
          </w:p>
        </w:tc>
        <w:tc>
          <w:tcPr>
            <w:tcW w:w="1577" w:type="dxa"/>
          </w:tcPr>
          <w:p w:rsidR="009A1D94" w:rsidRPr="00957FC1" w:rsidRDefault="009A1D94" w:rsidP="009A1D94">
            <w:pPr>
              <w:pStyle w:val="ListParagraph"/>
              <w:ind w:left="0"/>
              <w:jc w:val="center"/>
              <w:rPr>
                <w:rFonts w:ascii="Times New Roman" w:hAnsi="Times New Roman" w:cs="Times New Roman"/>
                <w:b/>
              </w:rPr>
            </w:pPr>
            <w:r w:rsidRPr="00957FC1">
              <w:rPr>
                <w:rFonts w:ascii="Times New Roman" w:hAnsi="Times New Roman" w:cs="Times New Roman"/>
                <w:b/>
              </w:rPr>
              <w:t>Number of LEAs Participating</w:t>
            </w:r>
          </w:p>
        </w:tc>
        <w:tc>
          <w:tcPr>
            <w:tcW w:w="1703" w:type="dxa"/>
          </w:tcPr>
          <w:p w:rsidR="009A1D94" w:rsidRPr="00957FC1" w:rsidRDefault="009A1D94" w:rsidP="009A1D94">
            <w:pPr>
              <w:pStyle w:val="ListParagraph"/>
              <w:ind w:left="0"/>
              <w:jc w:val="center"/>
              <w:rPr>
                <w:rFonts w:ascii="Times New Roman" w:hAnsi="Times New Roman" w:cs="Times New Roman"/>
                <w:b/>
              </w:rPr>
            </w:pPr>
            <w:r w:rsidRPr="00957FC1">
              <w:rPr>
                <w:rFonts w:ascii="Times New Roman" w:hAnsi="Times New Roman" w:cs="Times New Roman"/>
                <w:b/>
              </w:rPr>
              <w:t>Number of Non-Participating Agencies</w:t>
            </w:r>
          </w:p>
        </w:tc>
        <w:tc>
          <w:tcPr>
            <w:tcW w:w="1950" w:type="dxa"/>
          </w:tcPr>
          <w:p w:rsidR="009A1D94" w:rsidRPr="00957FC1" w:rsidRDefault="009A1D94" w:rsidP="00957FC1">
            <w:pPr>
              <w:pStyle w:val="ListParagraph"/>
              <w:ind w:left="0"/>
              <w:jc w:val="center"/>
              <w:rPr>
                <w:rFonts w:ascii="Times New Roman" w:hAnsi="Times New Roman" w:cs="Times New Roman"/>
                <w:b/>
              </w:rPr>
            </w:pPr>
            <w:r w:rsidRPr="00957FC1">
              <w:rPr>
                <w:rFonts w:ascii="Times New Roman" w:hAnsi="Times New Roman" w:cs="Times New Roman"/>
                <w:b/>
              </w:rPr>
              <w:t>Number of States/B</w:t>
            </w:r>
            <w:r w:rsidR="00DC5DC9">
              <w:rPr>
                <w:rFonts w:ascii="Times New Roman" w:hAnsi="Times New Roman" w:cs="Times New Roman"/>
                <w:b/>
              </w:rPr>
              <w:t>IA</w:t>
            </w:r>
            <w:r w:rsidR="00DC5DC9" w:rsidRPr="00DC5DC9">
              <w:rPr>
                <w:rFonts w:ascii="Times New Roman" w:hAnsi="Times New Roman" w:cs="Times New Roman"/>
                <w:b/>
                <w:vertAlign w:val="superscript"/>
              </w:rPr>
              <w:t>*</w:t>
            </w:r>
            <w:r w:rsidR="00957FC1">
              <w:rPr>
                <w:rFonts w:ascii="Times New Roman" w:hAnsi="Times New Roman" w:cs="Times New Roman"/>
                <w:b/>
              </w:rPr>
              <w:t xml:space="preserve">/ </w:t>
            </w:r>
            <w:r w:rsidRPr="00957FC1">
              <w:rPr>
                <w:rFonts w:ascii="Times New Roman" w:hAnsi="Times New Roman" w:cs="Times New Roman"/>
                <w:b/>
              </w:rPr>
              <w:t>U</w:t>
            </w:r>
            <w:r w:rsidR="00957FC1">
              <w:rPr>
                <w:rFonts w:ascii="Times New Roman" w:hAnsi="Times New Roman" w:cs="Times New Roman"/>
                <w:b/>
              </w:rPr>
              <w:t>.</w:t>
            </w:r>
            <w:r w:rsidRPr="00957FC1">
              <w:rPr>
                <w:rFonts w:ascii="Times New Roman" w:hAnsi="Times New Roman" w:cs="Times New Roman"/>
                <w:b/>
              </w:rPr>
              <w:t>S</w:t>
            </w:r>
            <w:r w:rsidR="00957FC1">
              <w:rPr>
                <w:rFonts w:ascii="Times New Roman" w:hAnsi="Times New Roman" w:cs="Times New Roman"/>
                <w:b/>
              </w:rPr>
              <w:t>.</w:t>
            </w:r>
            <w:r w:rsidRPr="00957FC1">
              <w:rPr>
                <w:rFonts w:ascii="Times New Roman" w:hAnsi="Times New Roman" w:cs="Times New Roman"/>
                <w:b/>
              </w:rPr>
              <w:t xml:space="preserve"> Territories Participating</w:t>
            </w:r>
          </w:p>
        </w:tc>
        <w:tc>
          <w:tcPr>
            <w:tcW w:w="1067" w:type="dxa"/>
          </w:tcPr>
          <w:p w:rsidR="009A1D94" w:rsidRPr="00957FC1" w:rsidRDefault="00903444" w:rsidP="009A1D94">
            <w:pPr>
              <w:pStyle w:val="ListParagraph"/>
              <w:ind w:left="0"/>
              <w:jc w:val="center"/>
              <w:rPr>
                <w:rFonts w:ascii="Times New Roman" w:hAnsi="Times New Roman" w:cs="Times New Roman"/>
                <w:b/>
              </w:rPr>
            </w:pPr>
            <w:r w:rsidRPr="00957FC1">
              <w:rPr>
                <w:rFonts w:ascii="Times New Roman" w:hAnsi="Times New Roman" w:cs="Times New Roman"/>
                <w:b/>
              </w:rPr>
              <w:t xml:space="preserve">Participation </w:t>
            </w:r>
            <w:r w:rsidR="009A1D94" w:rsidRPr="00957FC1">
              <w:rPr>
                <w:rFonts w:ascii="Times New Roman" w:hAnsi="Times New Roman" w:cs="Times New Roman"/>
                <w:b/>
              </w:rPr>
              <w:t>Percent</w:t>
            </w:r>
            <w:r w:rsidRPr="00957FC1">
              <w:rPr>
                <w:rFonts w:ascii="Times New Roman" w:hAnsi="Times New Roman" w:cs="Times New Roman"/>
                <w:b/>
              </w:rPr>
              <w:t>age</w:t>
            </w:r>
          </w:p>
        </w:tc>
        <w:tc>
          <w:tcPr>
            <w:tcW w:w="1230" w:type="dxa"/>
          </w:tcPr>
          <w:p w:rsidR="009A1D94" w:rsidRPr="00957FC1" w:rsidRDefault="009A1D94" w:rsidP="009A1D94">
            <w:pPr>
              <w:pStyle w:val="ListParagraph"/>
              <w:ind w:left="0"/>
              <w:jc w:val="center"/>
              <w:rPr>
                <w:rFonts w:ascii="Times New Roman" w:hAnsi="Times New Roman" w:cs="Times New Roman"/>
                <w:b/>
              </w:rPr>
            </w:pPr>
            <w:r w:rsidRPr="00957FC1">
              <w:rPr>
                <w:rFonts w:ascii="Times New Roman" w:hAnsi="Times New Roman" w:cs="Times New Roman"/>
                <w:b/>
              </w:rPr>
              <w:t>Percent Increase</w:t>
            </w:r>
          </w:p>
        </w:tc>
      </w:tr>
      <w:tr w:rsidR="00903444" w:rsidRPr="00957FC1" w:rsidTr="009A1D94">
        <w:tc>
          <w:tcPr>
            <w:tcW w:w="1103" w:type="dxa"/>
          </w:tcPr>
          <w:p w:rsidR="009A1D94" w:rsidRPr="00957FC1" w:rsidRDefault="009A1D94" w:rsidP="00583612">
            <w:pPr>
              <w:pStyle w:val="ListParagraph"/>
              <w:ind w:left="0"/>
              <w:rPr>
                <w:rFonts w:ascii="Times New Roman" w:hAnsi="Times New Roman" w:cs="Times New Roman"/>
                <w:b/>
              </w:rPr>
            </w:pPr>
            <w:r w:rsidRPr="00957FC1">
              <w:rPr>
                <w:rFonts w:ascii="Times New Roman" w:hAnsi="Times New Roman" w:cs="Times New Roman"/>
                <w:b/>
              </w:rPr>
              <w:t>2013</w:t>
            </w:r>
          </w:p>
        </w:tc>
        <w:tc>
          <w:tcPr>
            <w:tcW w:w="1577"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3,022</w:t>
            </w:r>
          </w:p>
        </w:tc>
        <w:tc>
          <w:tcPr>
            <w:tcW w:w="1703"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15,391</w:t>
            </w:r>
          </w:p>
        </w:tc>
        <w:tc>
          <w:tcPr>
            <w:tcW w:w="1950"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11</w:t>
            </w:r>
          </w:p>
        </w:tc>
        <w:tc>
          <w:tcPr>
            <w:tcW w:w="1067"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16%</w:t>
            </w:r>
          </w:p>
        </w:tc>
        <w:tc>
          <w:tcPr>
            <w:tcW w:w="1230" w:type="dxa"/>
          </w:tcPr>
          <w:p w:rsidR="009A1D94" w:rsidRPr="00957FC1" w:rsidRDefault="009A1D94" w:rsidP="009A1D94">
            <w:pPr>
              <w:pStyle w:val="ListParagraph"/>
              <w:ind w:left="0"/>
              <w:jc w:val="center"/>
              <w:rPr>
                <w:rFonts w:ascii="Times New Roman" w:hAnsi="Times New Roman" w:cs="Times New Roman"/>
              </w:rPr>
            </w:pPr>
          </w:p>
        </w:tc>
      </w:tr>
      <w:tr w:rsidR="00903444" w:rsidRPr="00957FC1" w:rsidTr="009A1D94">
        <w:tc>
          <w:tcPr>
            <w:tcW w:w="1103" w:type="dxa"/>
          </w:tcPr>
          <w:p w:rsidR="009A1D94" w:rsidRPr="00957FC1" w:rsidRDefault="009A1D94" w:rsidP="00583612">
            <w:pPr>
              <w:pStyle w:val="ListParagraph"/>
              <w:ind w:left="0"/>
              <w:rPr>
                <w:rFonts w:ascii="Times New Roman" w:hAnsi="Times New Roman" w:cs="Times New Roman"/>
                <w:b/>
              </w:rPr>
            </w:pPr>
            <w:r w:rsidRPr="00957FC1">
              <w:rPr>
                <w:rFonts w:ascii="Times New Roman" w:hAnsi="Times New Roman" w:cs="Times New Roman"/>
                <w:b/>
              </w:rPr>
              <w:t>2014</w:t>
            </w:r>
          </w:p>
        </w:tc>
        <w:tc>
          <w:tcPr>
            <w:tcW w:w="1577"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5,340</w:t>
            </w:r>
          </w:p>
        </w:tc>
        <w:tc>
          <w:tcPr>
            <w:tcW w:w="1703"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13,158</w:t>
            </w:r>
          </w:p>
        </w:tc>
        <w:tc>
          <w:tcPr>
            <w:tcW w:w="1950"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22</w:t>
            </w:r>
          </w:p>
        </w:tc>
        <w:tc>
          <w:tcPr>
            <w:tcW w:w="1067"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29%</w:t>
            </w:r>
          </w:p>
        </w:tc>
        <w:tc>
          <w:tcPr>
            <w:tcW w:w="1230"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13%</w:t>
            </w:r>
          </w:p>
        </w:tc>
      </w:tr>
      <w:tr w:rsidR="00903444" w:rsidRPr="00957FC1" w:rsidTr="009A1D94">
        <w:tc>
          <w:tcPr>
            <w:tcW w:w="1103" w:type="dxa"/>
          </w:tcPr>
          <w:p w:rsidR="009A1D94" w:rsidRPr="00957FC1" w:rsidRDefault="009A1D94" w:rsidP="00583612">
            <w:pPr>
              <w:pStyle w:val="ListParagraph"/>
              <w:ind w:left="0"/>
              <w:rPr>
                <w:rFonts w:ascii="Times New Roman" w:hAnsi="Times New Roman" w:cs="Times New Roman"/>
                <w:b/>
              </w:rPr>
            </w:pPr>
            <w:r w:rsidRPr="00957FC1">
              <w:rPr>
                <w:rFonts w:ascii="Times New Roman" w:hAnsi="Times New Roman" w:cs="Times New Roman"/>
                <w:b/>
              </w:rPr>
              <w:t>2015</w:t>
            </w:r>
          </w:p>
        </w:tc>
        <w:tc>
          <w:tcPr>
            <w:tcW w:w="1577"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8,226</w:t>
            </w:r>
          </w:p>
        </w:tc>
        <w:tc>
          <w:tcPr>
            <w:tcW w:w="1703" w:type="dxa"/>
          </w:tcPr>
          <w:p w:rsidR="009A1D94" w:rsidRPr="00957FC1" w:rsidRDefault="00903444" w:rsidP="009A1D94">
            <w:pPr>
              <w:pStyle w:val="ListParagraph"/>
              <w:ind w:left="0"/>
              <w:jc w:val="center"/>
              <w:rPr>
                <w:rFonts w:ascii="Times New Roman" w:hAnsi="Times New Roman" w:cs="Times New Roman"/>
              </w:rPr>
            </w:pPr>
            <w:r w:rsidRPr="00957FC1">
              <w:rPr>
                <w:rFonts w:ascii="Times New Roman" w:hAnsi="Times New Roman" w:cs="Times New Roman"/>
              </w:rPr>
              <w:t>10,213</w:t>
            </w:r>
          </w:p>
        </w:tc>
        <w:tc>
          <w:tcPr>
            <w:tcW w:w="1950"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32</w:t>
            </w:r>
          </w:p>
        </w:tc>
        <w:tc>
          <w:tcPr>
            <w:tcW w:w="1067"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44%</w:t>
            </w:r>
          </w:p>
        </w:tc>
        <w:tc>
          <w:tcPr>
            <w:tcW w:w="1230" w:type="dxa"/>
          </w:tcPr>
          <w:p w:rsidR="009A1D94" w:rsidRPr="00957FC1" w:rsidRDefault="009A1D94" w:rsidP="009A1D94">
            <w:pPr>
              <w:pStyle w:val="ListParagraph"/>
              <w:ind w:left="0"/>
              <w:jc w:val="center"/>
              <w:rPr>
                <w:rFonts w:ascii="Times New Roman" w:hAnsi="Times New Roman" w:cs="Times New Roman"/>
              </w:rPr>
            </w:pPr>
            <w:r w:rsidRPr="00957FC1">
              <w:rPr>
                <w:rFonts w:ascii="Times New Roman" w:hAnsi="Times New Roman" w:cs="Times New Roman"/>
              </w:rPr>
              <w:t>15%</w:t>
            </w:r>
          </w:p>
        </w:tc>
      </w:tr>
    </w:tbl>
    <w:p w:rsidR="00267272" w:rsidRPr="00DC5DC9" w:rsidRDefault="00267272" w:rsidP="00DC5DC9">
      <w:pPr>
        <w:spacing w:after="0" w:line="240" w:lineRule="auto"/>
        <w:ind w:firstLine="720"/>
        <w:rPr>
          <w:rFonts w:ascii="Times New Roman" w:hAnsi="Times New Roman" w:cs="Times New Roman"/>
          <w:sz w:val="16"/>
          <w:szCs w:val="16"/>
          <w:vertAlign w:val="superscript"/>
        </w:rPr>
      </w:pPr>
    </w:p>
    <w:p w:rsidR="00DC5DC9" w:rsidRDefault="00DC5DC9" w:rsidP="00DC5DC9">
      <w:pPr>
        <w:spacing w:after="0" w:line="240" w:lineRule="auto"/>
        <w:ind w:firstLine="720"/>
        <w:rPr>
          <w:rFonts w:ascii="Times New Roman" w:hAnsi="Times New Roman" w:cs="Times New Roman"/>
          <w:vertAlign w:val="superscript"/>
        </w:rPr>
      </w:pPr>
      <w:r>
        <w:rPr>
          <w:rFonts w:ascii="Times New Roman" w:hAnsi="Times New Roman" w:cs="Times New Roman"/>
          <w:vertAlign w:val="superscript"/>
        </w:rPr>
        <w:t>*Bureau of Indian Affairs</w:t>
      </w:r>
    </w:p>
    <w:p w:rsidR="00DC5DC9" w:rsidRPr="00DC5DC9" w:rsidRDefault="00DC5DC9" w:rsidP="00DC5DC9">
      <w:pPr>
        <w:spacing w:after="0" w:line="240" w:lineRule="auto"/>
        <w:ind w:firstLine="720"/>
        <w:rPr>
          <w:rFonts w:ascii="Times New Roman" w:hAnsi="Times New Roman" w:cs="Times New Roman"/>
          <w:vertAlign w:val="superscript"/>
        </w:rPr>
      </w:pPr>
    </w:p>
    <w:p w:rsidR="00903444" w:rsidRDefault="00556BC4" w:rsidP="00903444">
      <w:pPr>
        <w:pStyle w:val="ListParagraph"/>
        <w:rPr>
          <w:rFonts w:ascii="Times New Roman" w:hAnsi="Times New Roman" w:cs="Times New Roman"/>
        </w:rPr>
      </w:pPr>
      <w:r>
        <w:rPr>
          <w:rFonts w:ascii="Times New Roman" w:hAnsi="Times New Roman" w:cs="Times New Roman"/>
        </w:rPr>
        <w:t>This increase in participation is a positive response to collecting these data, but several factors still affect collection:</w:t>
      </w:r>
    </w:p>
    <w:p w:rsidR="00556BC4" w:rsidRDefault="00556BC4" w:rsidP="00903444">
      <w:pPr>
        <w:pStyle w:val="ListParagraph"/>
        <w:rPr>
          <w:rFonts w:ascii="Times New Roman" w:hAnsi="Times New Roman" w:cs="Times New Roman"/>
        </w:rPr>
      </w:pPr>
    </w:p>
    <w:p w:rsidR="00556BC4" w:rsidRDefault="004F2C34" w:rsidP="00556BC4">
      <w:pPr>
        <w:pStyle w:val="ListParagraph"/>
        <w:numPr>
          <w:ilvl w:val="0"/>
          <w:numId w:val="4"/>
        </w:numPr>
        <w:rPr>
          <w:rFonts w:ascii="Times New Roman" w:hAnsi="Times New Roman" w:cs="Times New Roman"/>
        </w:rPr>
      </w:pPr>
      <w:r>
        <w:rPr>
          <w:rFonts w:ascii="Times New Roman" w:hAnsi="Times New Roman" w:cs="Times New Roman"/>
        </w:rPr>
        <w:t>States do</w:t>
      </w:r>
      <w:r w:rsidR="00556BC4">
        <w:rPr>
          <w:rFonts w:ascii="Times New Roman" w:hAnsi="Times New Roman" w:cs="Times New Roman"/>
        </w:rPr>
        <w:t xml:space="preserve"> not have the resources required to make the necessary technical changes or to align their local and state statutes with federal requirements.</w:t>
      </w:r>
    </w:p>
    <w:p w:rsidR="00556BC4" w:rsidRDefault="00556BC4" w:rsidP="00556BC4">
      <w:pPr>
        <w:pStyle w:val="ListParagraph"/>
        <w:numPr>
          <w:ilvl w:val="0"/>
          <w:numId w:val="4"/>
        </w:numPr>
        <w:rPr>
          <w:rFonts w:ascii="Times New Roman" w:hAnsi="Times New Roman" w:cs="Times New Roman"/>
        </w:rPr>
      </w:pPr>
      <w:r>
        <w:rPr>
          <w:rFonts w:ascii="Times New Roman" w:hAnsi="Times New Roman" w:cs="Times New Roman"/>
        </w:rPr>
        <w:t xml:space="preserve">States </w:t>
      </w:r>
      <w:r w:rsidR="004F2C34">
        <w:rPr>
          <w:rFonts w:ascii="Times New Roman" w:hAnsi="Times New Roman" w:cs="Times New Roman"/>
        </w:rPr>
        <w:t>do</w:t>
      </w:r>
      <w:r>
        <w:rPr>
          <w:rFonts w:ascii="Times New Roman" w:hAnsi="Times New Roman" w:cs="Times New Roman"/>
        </w:rPr>
        <w:t xml:space="preserve"> not have the necessary resources to conduct data quality checks on reported incidents associated with cargo theft, which could result in inaccurate data.</w:t>
      </w:r>
    </w:p>
    <w:p w:rsidR="00556BC4" w:rsidRDefault="00556BC4" w:rsidP="00556BC4">
      <w:pPr>
        <w:pStyle w:val="ListParagraph"/>
        <w:numPr>
          <w:ilvl w:val="0"/>
          <w:numId w:val="4"/>
        </w:numPr>
        <w:rPr>
          <w:rFonts w:ascii="Times New Roman" w:hAnsi="Times New Roman" w:cs="Times New Roman"/>
        </w:rPr>
      </w:pPr>
      <w:r>
        <w:rPr>
          <w:rFonts w:ascii="Times New Roman" w:hAnsi="Times New Roman" w:cs="Times New Roman"/>
        </w:rPr>
        <w:t xml:space="preserve">States </w:t>
      </w:r>
      <w:r w:rsidR="004F2C34">
        <w:rPr>
          <w:rFonts w:ascii="Times New Roman" w:hAnsi="Times New Roman" w:cs="Times New Roman"/>
        </w:rPr>
        <w:t>do</w:t>
      </w:r>
      <w:r>
        <w:rPr>
          <w:rFonts w:ascii="Times New Roman" w:hAnsi="Times New Roman" w:cs="Times New Roman"/>
        </w:rPr>
        <w:t xml:space="preserve"> not have adequate resources to train participants on how to recognize and properly record cargo theft incidents</w:t>
      </w:r>
    </w:p>
    <w:p w:rsidR="00421C3F" w:rsidRPr="00DB7A72" w:rsidRDefault="00556BC4" w:rsidP="00DB7A72">
      <w:pPr>
        <w:pStyle w:val="ListParagraph"/>
        <w:numPr>
          <w:ilvl w:val="0"/>
          <w:numId w:val="4"/>
        </w:numPr>
        <w:rPr>
          <w:rFonts w:ascii="Times New Roman" w:hAnsi="Times New Roman" w:cs="Times New Roman"/>
        </w:rPr>
      </w:pPr>
      <w:r>
        <w:rPr>
          <w:rFonts w:ascii="Times New Roman" w:hAnsi="Times New Roman" w:cs="Times New Roman"/>
        </w:rPr>
        <w:t xml:space="preserve">States </w:t>
      </w:r>
      <w:r w:rsidR="004F2C34">
        <w:rPr>
          <w:rFonts w:ascii="Times New Roman" w:hAnsi="Times New Roman" w:cs="Times New Roman"/>
        </w:rPr>
        <w:t>do</w:t>
      </w:r>
      <w:r>
        <w:rPr>
          <w:rFonts w:ascii="Times New Roman" w:hAnsi="Times New Roman" w:cs="Times New Roman"/>
        </w:rPr>
        <w:t xml:space="preserve"> not perceive cargo theft as a priority or a significant problem within their state.</w:t>
      </w:r>
    </w:p>
    <w:p w:rsidR="004F2C34" w:rsidRPr="00421C3F" w:rsidRDefault="004F2C34" w:rsidP="00421C3F">
      <w:pPr>
        <w:pStyle w:val="ListParagraph"/>
        <w:ind w:left="1440"/>
        <w:rPr>
          <w:rFonts w:ascii="Times New Roman" w:hAnsi="Times New Roman" w:cs="Times New Roman"/>
        </w:rPr>
      </w:pPr>
    </w:p>
    <w:p w:rsidR="00957FC1" w:rsidRPr="00957FC1" w:rsidRDefault="00957FC1" w:rsidP="00AC15F6">
      <w:pPr>
        <w:pStyle w:val="ListParagraph"/>
        <w:numPr>
          <w:ilvl w:val="0"/>
          <w:numId w:val="1"/>
        </w:numPr>
        <w:rPr>
          <w:rFonts w:ascii="Times New Roman" w:hAnsi="Times New Roman" w:cs="Times New Roman"/>
        </w:rPr>
      </w:pPr>
      <w:r>
        <w:rPr>
          <w:rFonts w:ascii="Times New Roman" w:hAnsi="Times New Roman" w:cs="Times New Roman"/>
          <w:u w:val="single"/>
        </w:rPr>
        <w:t>Collection of Information Procedures</w:t>
      </w:r>
    </w:p>
    <w:p w:rsidR="00957FC1" w:rsidRDefault="00957FC1" w:rsidP="00957FC1">
      <w:pPr>
        <w:pStyle w:val="ListParagraph"/>
        <w:rPr>
          <w:rFonts w:ascii="Times New Roman" w:hAnsi="Times New Roman" w:cs="Times New Roman"/>
          <w:u w:val="single"/>
        </w:rPr>
      </w:pPr>
    </w:p>
    <w:p w:rsidR="00176E6F" w:rsidRPr="00957FC1" w:rsidRDefault="004F2C34" w:rsidP="00957FC1">
      <w:pPr>
        <w:pStyle w:val="ListParagraph"/>
        <w:rPr>
          <w:rFonts w:ascii="Times New Roman" w:hAnsi="Times New Roman" w:cs="Times New Roman"/>
        </w:rPr>
      </w:pPr>
      <w:r>
        <w:rPr>
          <w:rFonts w:ascii="Times New Roman" w:hAnsi="Times New Roman" w:cs="Times New Roman"/>
        </w:rPr>
        <w:t>Ideally, a</w:t>
      </w:r>
      <w:r w:rsidR="00852B27" w:rsidRPr="00957FC1">
        <w:rPr>
          <w:rFonts w:ascii="Times New Roman" w:hAnsi="Times New Roman" w:cs="Times New Roman"/>
        </w:rPr>
        <w:t xml:space="preserve">ll data are collected/received from state UCR Program participants on a monthly basis.  The FBI’s UCR Program has established various time frames and deadlines for acquiring the </w:t>
      </w:r>
      <w:r w:rsidR="00852B27" w:rsidRPr="00957FC1">
        <w:rPr>
          <w:rFonts w:ascii="Times New Roman" w:hAnsi="Times New Roman" w:cs="Times New Roman"/>
        </w:rPr>
        <w:lastRenderedPageBreak/>
        <w:t>monthly data.  Monthly reports/submissions should be received at the FBI by the seventh day after the close of each month.  Annual deadlines are also designated in order to collect/assess receipt of monthly submissions.  There are times when special circumstances may cause an agency to request an extension. The FBI’s UCR Program has the authority to grant these extensions.</w:t>
      </w:r>
      <w:r w:rsidR="000D0642" w:rsidRPr="00957FC1">
        <w:rPr>
          <w:rFonts w:ascii="Times New Roman" w:hAnsi="Times New Roman" w:cs="Times New Roman"/>
        </w:rPr>
        <w:t xml:space="preserve"> </w:t>
      </w:r>
      <w:r w:rsidR="00852B27" w:rsidRPr="00957FC1">
        <w:rPr>
          <w:rFonts w:ascii="Times New Roman" w:hAnsi="Times New Roman" w:cs="Times New Roman"/>
        </w:rPr>
        <w:t xml:space="preserve"> Although monthly reports are preferred by agencies, </w:t>
      </w:r>
      <w:r>
        <w:rPr>
          <w:rFonts w:ascii="Times New Roman" w:hAnsi="Times New Roman" w:cs="Times New Roman"/>
        </w:rPr>
        <w:t>u</w:t>
      </w:r>
      <w:r w:rsidRPr="00957FC1">
        <w:rPr>
          <w:rFonts w:ascii="Times New Roman" w:hAnsi="Times New Roman" w:cs="Times New Roman"/>
        </w:rPr>
        <w:t>pon approval</w:t>
      </w:r>
      <w:r>
        <w:rPr>
          <w:rFonts w:ascii="Times New Roman" w:hAnsi="Times New Roman" w:cs="Times New Roman"/>
        </w:rPr>
        <w:t>,</w:t>
      </w:r>
      <w:r w:rsidRPr="00957FC1">
        <w:rPr>
          <w:rFonts w:ascii="Times New Roman" w:hAnsi="Times New Roman" w:cs="Times New Roman"/>
        </w:rPr>
        <w:t xml:space="preserve"> the state UCR Program</w:t>
      </w:r>
      <w:r>
        <w:rPr>
          <w:rFonts w:ascii="Times New Roman" w:hAnsi="Times New Roman" w:cs="Times New Roman"/>
        </w:rPr>
        <w:t xml:space="preserve">s can submit data at intervals, e.g., monthly, </w:t>
      </w:r>
      <w:r w:rsidR="00852B27" w:rsidRPr="00957FC1">
        <w:rPr>
          <w:rFonts w:ascii="Times New Roman" w:hAnsi="Times New Roman" w:cs="Times New Roman"/>
        </w:rPr>
        <w:t xml:space="preserve">quarterly, </w:t>
      </w:r>
      <w:r>
        <w:rPr>
          <w:rFonts w:ascii="Times New Roman" w:hAnsi="Times New Roman" w:cs="Times New Roman"/>
        </w:rPr>
        <w:t>semi-annually</w:t>
      </w:r>
      <w:r w:rsidR="00852B27" w:rsidRPr="00957FC1">
        <w:rPr>
          <w:rFonts w:ascii="Times New Roman" w:hAnsi="Times New Roman" w:cs="Times New Roman"/>
        </w:rPr>
        <w:t xml:space="preserve">, and </w:t>
      </w:r>
      <w:r>
        <w:rPr>
          <w:rFonts w:ascii="Times New Roman" w:hAnsi="Times New Roman" w:cs="Times New Roman"/>
        </w:rPr>
        <w:t>annually;</w:t>
      </w:r>
      <w:r w:rsidR="00AC15F6" w:rsidRPr="00957FC1">
        <w:rPr>
          <w:rFonts w:ascii="Times New Roman" w:hAnsi="Times New Roman" w:cs="Times New Roman"/>
        </w:rPr>
        <w:t xml:space="preserve"> </w:t>
      </w:r>
      <w:r w:rsidR="00852B27" w:rsidRPr="00957FC1">
        <w:rPr>
          <w:rFonts w:ascii="Times New Roman" w:hAnsi="Times New Roman" w:cs="Times New Roman"/>
        </w:rPr>
        <w:t>that minimize</w:t>
      </w:r>
      <w:r>
        <w:rPr>
          <w:rFonts w:ascii="Times New Roman" w:hAnsi="Times New Roman" w:cs="Times New Roman"/>
        </w:rPr>
        <w:t>s the burden</w:t>
      </w:r>
      <w:r w:rsidR="003020DA">
        <w:rPr>
          <w:rFonts w:ascii="Times New Roman" w:hAnsi="Times New Roman" w:cs="Times New Roman"/>
        </w:rPr>
        <w:t xml:space="preserve"> to the agency</w:t>
      </w:r>
      <w:r w:rsidR="00852B27" w:rsidRPr="00957FC1">
        <w:rPr>
          <w:rFonts w:ascii="Times New Roman" w:hAnsi="Times New Roman" w:cs="Times New Roman"/>
        </w:rPr>
        <w:t>.</w:t>
      </w:r>
    </w:p>
    <w:p w:rsidR="00903444" w:rsidRPr="00957FC1" w:rsidRDefault="00903444" w:rsidP="00903444">
      <w:pPr>
        <w:pStyle w:val="ListParagraph"/>
        <w:rPr>
          <w:rFonts w:ascii="Times New Roman" w:hAnsi="Times New Roman" w:cs="Times New Roman"/>
        </w:rPr>
      </w:pPr>
    </w:p>
    <w:p w:rsidR="00852B27" w:rsidRPr="00957FC1" w:rsidRDefault="00AC15F6" w:rsidP="00852B27">
      <w:pPr>
        <w:pStyle w:val="ListParagraph"/>
        <w:rPr>
          <w:rFonts w:ascii="Times New Roman" w:hAnsi="Times New Roman" w:cs="Times New Roman"/>
        </w:rPr>
      </w:pPr>
      <w:r w:rsidRPr="00957FC1">
        <w:rPr>
          <w:rFonts w:ascii="Times New Roman" w:hAnsi="Times New Roman" w:cs="Times New Roman"/>
        </w:rPr>
        <w:t>LEAs</w:t>
      </w:r>
      <w:r w:rsidR="00852B27" w:rsidRPr="00957FC1">
        <w:rPr>
          <w:rFonts w:ascii="Times New Roman" w:hAnsi="Times New Roman" w:cs="Times New Roman"/>
        </w:rPr>
        <w:t xml:space="preserve"> submit cargo theft data to the FBI UCR Program through two reporting mechanisms: the Summary Reporting System (SRS) or the National Incident-Based Reporting System (NIBRS).  The SRS is referred to as the “traditional” FBI UCR Program</w:t>
      </w:r>
      <w:r w:rsidRPr="00957FC1">
        <w:rPr>
          <w:rFonts w:ascii="Times New Roman" w:hAnsi="Times New Roman" w:cs="Times New Roman"/>
        </w:rPr>
        <w:t>;</w:t>
      </w:r>
      <w:r w:rsidR="00852B27" w:rsidRPr="00957FC1">
        <w:rPr>
          <w:rFonts w:ascii="Times New Roman" w:hAnsi="Times New Roman" w:cs="Times New Roman"/>
        </w:rPr>
        <w:t xml:space="preserve"> it began in 1930, and has had few modifications through the years.  Participating agencies submit their data via electronic files or </w:t>
      </w:r>
      <w:r w:rsidRPr="00957FC1">
        <w:rPr>
          <w:rFonts w:ascii="Times New Roman" w:hAnsi="Times New Roman" w:cs="Times New Roman"/>
        </w:rPr>
        <w:t xml:space="preserve">by </w:t>
      </w:r>
      <w:r w:rsidR="00852B27" w:rsidRPr="00957FC1">
        <w:rPr>
          <w:rFonts w:ascii="Times New Roman" w:hAnsi="Times New Roman" w:cs="Times New Roman"/>
        </w:rPr>
        <w:t xml:space="preserve">using the Microsoft Excel Workbook </w:t>
      </w:r>
      <w:r w:rsidRPr="00957FC1">
        <w:rPr>
          <w:rFonts w:ascii="Times New Roman" w:hAnsi="Times New Roman" w:cs="Times New Roman"/>
        </w:rPr>
        <w:t xml:space="preserve">Tool </w:t>
      </w:r>
      <w:r w:rsidR="00852B27" w:rsidRPr="00957FC1">
        <w:rPr>
          <w:rFonts w:ascii="Times New Roman" w:hAnsi="Times New Roman" w:cs="Times New Roman"/>
        </w:rPr>
        <w:t xml:space="preserve">which contains an electronic version of the </w:t>
      </w:r>
      <w:r w:rsidR="00852B27" w:rsidRPr="00957FC1">
        <w:rPr>
          <w:rFonts w:ascii="Times New Roman" w:hAnsi="Times New Roman" w:cs="Times New Roman"/>
          <w:i/>
        </w:rPr>
        <w:t>Cargo Theft Incident Report</w:t>
      </w:r>
      <w:r w:rsidR="00852B27" w:rsidRPr="00957FC1">
        <w:rPr>
          <w:rFonts w:ascii="Times New Roman" w:hAnsi="Times New Roman" w:cs="Times New Roman"/>
        </w:rPr>
        <w:t xml:space="preserve">.  The NIBRS is used by participating </w:t>
      </w:r>
      <w:r w:rsidRPr="00957FC1">
        <w:rPr>
          <w:rFonts w:ascii="Times New Roman" w:hAnsi="Times New Roman" w:cs="Times New Roman"/>
        </w:rPr>
        <w:t>LEAs</w:t>
      </w:r>
      <w:r w:rsidR="00852B27" w:rsidRPr="00957FC1">
        <w:rPr>
          <w:rFonts w:ascii="Times New Roman" w:hAnsi="Times New Roman" w:cs="Times New Roman"/>
        </w:rPr>
        <w:t xml:space="preserve"> to report offenses and relevant details by incident, using up to 59 data elements to collect details about offenses, offenders, victims, property, and arrestees reported to police.  Developed in the late 1980’s, the NIBRS was designed as an automated system to modernize UCR, and includes automated checks to ensure data quality.</w:t>
      </w:r>
    </w:p>
    <w:p w:rsidR="00852B27" w:rsidRPr="00957FC1" w:rsidRDefault="00852B27" w:rsidP="00852B27">
      <w:pPr>
        <w:pStyle w:val="ListParagraph"/>
        <w:rPr>
          <w:rFonts w:ascii="Times New Roman" w:hAnsi="Times New Roman" w:cs="Times New Roman"/>
        </w:rPr>
      </w:pPr>
    </w:p>
    <w:p w:rsidR="000D0642" w:rsidRDefault="00196614" w:rsidP="00876DF4">
      <w:pPr>
        <w:pStyle w:val="ListParagraph"/>
        <w:rPr>
          <w:rFonts w:ascii="Times New Roman" w:hAnsi="Times New Roman" w:cs="Times New Roman"/>
        </w:rPr>
      </w:pPr>
      <w:r>
        <w:rPr>
          <w:rFonts w:ascii="Times New Roman" w:hAnsi="Times New Roman" w:cs="Times New Roman"/>
        </w:rPr>
        <w:t>As the</w:t>
      </w:r>
      <w:r w:rsidR="003020DA">
        <w:rPr>
          <w:rFonts w:ascii="Times New Roman" w:hAnsi="Times New Roman" w:cs="Times New Roman"/>
        </w:rPr>
        <w:t xml:space="preserve"> UCR Cargo Theft Data C</w:t>
      </w:r>
      <w:r w:rsidR="000D0642" w:rsidRPr="00957FC1">
        <w:rPr>
          <w:rFonts w:ascii="Times New Roman" w:hAnsi="Times New Roman" w:cs="Times New Roman"/>
        </w:rPr>
        <w:t xml:space="preserve">ollection is intended to collect all reported cargo thefts from </w:t>
      </w:r>
      <w:r w:rsidR="003020DA">
        <w:rPr>
          <w:rFonts w:ascii="Times New Roman" w:hAnsi="Times New Roman" w:cs="Times New Roman"/>
        </w:rPr>
        <w:t>LEAs</w:t>
      </w:r>
      <w:r w:rsidR="000D0642" w:rsidRPr="00957FC1">
        <w:rPr>
          <w:rFonts w:ascii="Times New Roman" w:hAnsi="Times New Roman" w:cs="Times New Roman"/>
        </w:rPr>
        <w:t xml:space="preserve"> in the U</w:t>
      </w:r>
      <w:r>
        <w:rPr>
          <w:rFonts w:ascii="Times New Roman" w:hAnsi="Times New Roman" w:cs="Times New Roman"/>
        </w:rPr>
        <w:t xml:space="preserve">nited </w:t>
      </w:r>
      <w:r w:rsidR="000D0642" w:rsidRPr="00957FC1">
        <w:rPr>
          <w:rFonts w:ascii="Times New Roman" w:hAnsi="Times New Roman" w:cs="Times New Roman"/>
        </w:rPr>
        <w:t>S</w:t>
      </w:r>
      <w:r>
        <w:rPr>
          <w:rFonts w:ascii="Times New Roman" w:hAnsi="Times New Roman" w:cs="Times New Roman"/>
        </w:rPr>
        <w:t>tates</w:t>
      </w:r>
      <w:r w:rsidR="004F2C34">
        <w:rPr>
          <w:rFonts w:ascii="Times New Roman" w:hAnsi="Times New Roman" w:cs="Times New Roman"/>
        </w:rPr>
        <w:t xml:space="preserve">, </w:t>
      </w:r>
      <w:r w:rsidR="000D0642" w:rsidRPr="00957FC1">
        <w:rPr>
          <w:rFonts w:ascii="Times New Roman" w:hAnsi="Times New Roman" w:cs="Times New Roman"/>
        </w:rPr>
        <w:t>sampling methodologies are not used</w:t>
      </w:r>
      <w:r w:rsidR="00FC1D4D" w:rsidRPr="00957FC1">
        <w:rPr>
          <w:rFonts w:ascii="Times New Roman" w:hAnsi="Times New Roman" w:cs="Times New Roman"/>
        </w:rPr>
        <w:t xml:space="preserve">.  </w:t>
      </w:r>
      <w:r w:rsidR="00876DF4">
        <w:rPr>
          <w:rFonts w:ascii="Times New Roman" w:hAnsi="Times New Roman" w:cs="Times New Roman"/>
        </w:rPr>
        <w:t>Estimation procedures will not be applied due to cargo theft b</w:t>
      </w:r>
      <w:r w:rsidR="00FC1D4D" w:rsidRPr="00957FC1">
        <w:rPr>
          <w:rFonts w:ascii="Times New Roman" w:hAnsi="Times New Roman" w:cs="Times New Roman"/>
        </w:rPr>
        <w:t xml:space="preserve">eing a </w:t>
      </w:r>
      <w:r w:rsidR="00876DF4">
        <w:rPr>
          <w:rFonts w:ascii="Times New Roman" w:hAnsi="Times New Roman" w:cs="Times New Roman"/>
        </w:rPr>
        <w:t xml:space="preserve">relatively </w:t>
      </w:r>
      <w:r w:rsidR="00FC1D4D" w:rsidRPr="00957FC1">
        <w:rPr>
          <w:rFonts w:ascii="Times New Roman" w:hAnsi="Times New Roman" w:cs="Times New Roman"/>
        </w:rPr>
        <w:t>new collection</w:t>
      </w:r>
      <w:r w:rsidR="00876DF4">
        <w:rPr>
          <w:rFonts w:ascii="Times New Roman" w:hAnsi="Times New Roman" w:cs="Times New Roman"/>
        </w:rPr>
        <w:t>.  Although the response rates have increased over the last couple of years, the rates are still low and may not be a true representation of the offense.</w:t>
      </w:r>
      <w:r w:rsidR="000D0642" w:rsidRPr="00876DF4">
        <w:rPr>
          <w:rFonts w:ascii="Times New Roman" w:hAnsi="Times New Roman" w:cs="Times New Roman"/>
        </w:rPr>
        <w:t xml:space="preserve"> </w:t>
      </w:r>
      <w:r w:rsidR="00763D79">
        <w:rPr>
          <w:rFonts w:ascii="Times New Roman" w:hAnsi="Times New Roman" w:cs="Times New Roman"/>
        </w:rPr>
        <w:t xml:space="preserve"> </w:t>
      </w:r>
      <w:r>
        <w:rPr>
          <w:rFonts w:ascii="Times New Roman" w:hAnsi="Times New Roman" w:cs="Times New Roman"/>
        </w:rPr>
        <w:t xml:space="preserve">The LEAs that do not </w:t>
      </w:r>
      <w:r w:rsidR="003020DA">
        <w:rPr>
          <w:rFonts w:ascii="Times New Roman" w:hAnsi="Times New Roman" w:cs="Times New Roman"/>
        </w:rPr>
        <w:t>submit</w:t>
      </w:r>
      <w:r>
        <w:rPr>
          <w:rFonts w:ascii="Times New Roman" w:hAnsi="Times New Roman" w:cs="Times New Roman"/>
        </w:rPr>
        <w:t xml:space="preserve"> cargo theft data are not estimated to compensate for the missing jurisdiction due to the already low occurrence of </w:t>
      </w:r>
      <w:r w:rsidR="00653F40">
        <w:rPr>
          <w:rFonts w:ascii="Times New Roman" w:hAnsi="Times New Roman" w:cs="Times New Roman"/>
        </w:rPr>
        <w:t>cargo theft</w:t>
      </w:r>
      <w:r>
        <w:rPr>
          <w:rFonts w:ascii="Times New Roman" w:hAnsi="Times New Roman" w:cs="Times New Roman"/>
        </w:rPr>
        <w:t xml:space="preserve"> incidents as reported by the 44 percent of participating agencies.</w:t>
      </w:r>
    </w:p>
    <w:p w:rsidR="00196614" w:rsidRDefault="00196614" w:rsidP="00876DF4">
      <w:pPr>
        <w:pStyle w:val="ListParagraph"/>
        <w:rPr>
          <w:rFonts w:ascii="Times New Roman" w:hAnsi="Times New Roman" w:cs="Times New Roman"/>
        </w:rPr>
      </w:pPr>
    </w:p>
    <w:p w:rsidR="00196614" w:rsidRPr="00D819F0" w:rsidRDefault="00196614" w:rsidP="00876DF4">
      <w:pPr>
        <w:pStyle w:val="ListParagraph"/>
        <w:rPr>
          <w:rFonts w:ascii="Times New Roman" w:hAnsi="Times New Roman" w:cs="Times New Roman"/>
          <w:color w:val="FF0000"/>
        </w:rPr>
      </w:pPr>
      <w:r>
        <w:rPr>
          <w:rFonts w:ascii="Times New Roman" w:hAnsi="Times New Roman" w:cs="Times New Roman"/>
        </w:rPr>
        <w:t>At the end of each reporting year, the FBI UCR Program requests for state program and direct contributor personnel to verify all cargo theft incident data submitted</w:t>
      </w:r>
      <w:r w:rsidR="00C26CF6">
        <w:rPr>
          <w:rFonts w:ascii="Times New Roman" w:hAnsi="Times New Roman" w:cs="Times New Roman"/>
        </w:rPr>
        <w:t xml:space="preserve"> to the program. </w:t>
      </w:r>
      <w:r w:rsidR="00763D79">
        <w:rPr>
          <w:rFonts w:ascii="Times New Roman" w:hAnsi="Times New Roman" w:cs="Times New Roman"/>
        </w:rPr>
        <w:t xml:space="preserve"> </w:t>
      </w:r>
      <w:r w:rsidR="00C26CF6">
        <w:rPr>
          <w:rFonts w:ascii="Times New Roman" w:hAnsi="Times New Roman" w:cs="Times New Roman"/>
        </w:rPr>
        <w:t>Currently, a number of</w:t>
      </w:r>
      <w:r>
        <w:rPr>
          <w:rFonts w:ascii="Times New Roman" w:hAnsi="Times New Roman" w:cs="Times New Roman"/>
        </w:rPr>
        <w:t xml:space="preserve"> state programs do not </w:t>
      </w:r>
      <w:r w:rsidR="00C26CF6">
        <w:rPr>
          <w:rFonts w:ascii="Times New Roman" w:hAnsi="Times New Roman" w:cs="Times New Roman"/>
        </w:rPr>
        <w:t xml:space="preserve">verify the data which ultimately results in a loss of potentially valid data. </w:t>
      </w:r>
      <w:r w:rsidR="002919DA">
        <w:rPr>
          <w:rFonts w:ascii="Times New Roman" w:hAnsi="Times New Roman" w:cs="Times New Roman"/>
        </w:rPr>
        <w:t xml:space="preserve">The </w:t>
      </w:r>
      <w:r w:rsidR="00573F2C">
        <w:rPr>
          <w:rFonts w:ascii="Times New Roman" w:hAnsi="Times New Roman" w:cs="Times New Roman"/>
        </w:rPr>
        <w:t xml:space="preserve">New UCR System’s </w:t>
      </w:r>
      <w:r w:rsidR="002919DA">
        <w:rPr>
          <w:rFonts w:ascii="Times New Roman" w:hAnsi="Times New Roman" w:cs="Times New Roman"/>
        </w:rPr>
        <w:t>automat</w:t>
      </w:r>
      <w:r w:rsidR="00573F2C">
        <w:rPr>
          <w:rFonts w:ascii="Times New Roman" w:hAnsi="Times New Roman" w:cs="Times New Roman"/>
        </w:rPr>
        <w:t xml:space="preserve">ion </w:t>
      </w:r>
      <w:r w:rsidR="002919DA">
        <w:rPr>
          <w:rFonts w:ascii="Times New Roman" w:hAnsi="Times New Roman" w:cs="Times New Roman"/>
        </w:rPr>
        <w:t>capabilities</w:t>
      </w:r>
      <w:r w:rsidR="00573F2C">
        <w:rPr>
          <w:rFonts w:ascii="Times New Roman" w:hAnsi="Times New Roman" w:cs="Times New Roman"/>
        </w:rPr>
        <w:t xml:space="preserve"> will improve the current business processes in effect today.</w:t>
      </w:r>
      <w:r w:rsidR="002919DA">
        <w:rPr>
          <w:rFonts w:ascii="Times New Roman" w:hAnsi="Times New Roman" w:cs="Times New Roman"/>
        </w:rPr>
        <w:t xml:space="preserve"> </w:t>
      </w:r>
      <w:r w:rsidR="00C26CF6">
        <w:rPr>
          <w:rFonts w:ascii="Times New Roman" w:hAnsi="Times New Roman" w:cs="Times New Roman"/>
        </w:rPr>
        <w:t xml:space="preserve"> </w:t>
      </w:r>
      <w:r w:rsidR="00D819F0">
        <w:rPr>
          <w:rFonts w:ascii="Times New Roman" w:hAnsi="Times New Roman" w:cs="Times New Roman"/>
          <w:color w:val="FF0000"/>
        </w:rPr>
        <w:t xml:space="preserve"> </w:t>
      </w:r>
    </w:p>
    <w:p w:rsidR="005E52A0" w:rsidRPr="00957FC1" w:rsidRDefault="005E52A0" w:rsidP="005E52A0">
      <w:pPr>
        <w:pStyle w:val="ListParagraph"/>
        <w:rPr>
          <w:rFonts w:ascii="Times New Roman" w:hAnsi="Times New Roman" w:cs="Times New Roman"/>
        </w:rPr>
      </w:pPr>
    </w:p>
    <w:p w:rsidR="00957FC1" w:rsidRPr="00B565CA" w:rsidRDefault="00957FC1" w:rsidP="000D0642">
      <w:pPr>
        <w:pStyle w:val="ListParagraph"/>
        <w:numPr>
          <w:ilvl w:val="0"/>
          <w:numId w:val="1"/>
        </w:numPr>
        <w:rPr>
          <w:rFonts w:ascii="Times New Roman" w:hAnsi="Times New Roman" w:cs="Times New Roman"/>
        </w:rPr>
      </w:pPr>
      <w:r w:rsidRPr="00B565CA">
        <w:rPr>
          <w:rFonts w:ascii="Times New Roman" w:hAnsi="Times New Roman" w:cs="Times New Roman"/>
          <w:u w:val="single"/>
        </w:rPr>
        <w:t>Response Rates/Non-Response</w:t>
      </w:r>
    </w:p>
    <w:p w:rsidR="00957FC1" w:rsidRDefault="00957FC1" w:rsidP="00957FC1">
      <w:pPr>
        <w:pStyle w:val="ListParagraph"/>
        <w:rPr>
          <w:rFonts w:ascii="Times New Roman" w:hAnsi="Times New Roman" w:cs="Times New Roman"/>
          <w:color w:val="FF0000"/>
          <w:u w:val="single"/>
        </w:rPr>
      </w:pPr>
    </w:p>
    <w:p w:rsidR="00B565CA" w:rsidRDefault="00B565CA" w:rsidP="00957FC1">
      <w:pPr>
        <w:pStyle w:val="ListParagraph"/>
        <w:rPr>
          <w:rFonts w:ascii="Times New Roman" w:hAnsi="Times New Roman" w:cs="Times New Roman"/>
        </w:rPr>
      </w:pPr>
      <w:r>
        <w:rPr>
          <w:rFonts w:ascii="Times New Roman" w:hAnsi="Times New Roman" w:cs="Times New Roman"/>
        </w:rPr>
        <w:t xml:space="preserve">The UCR </w:t>
      </w:r>
      <w:r w:rsidR="00C26CF6">
        <w:rPr>
          <w:rFonts w:ascii="Times New Roman" w:hAnsi="Times New Roman" w:cs="Times New Roman"/>
        </w:rPr>
        <w:t xml:space="preserve">Cargo Theft data </w:t>
      </w:r>
      <w:r>
        <w:rPr>
          <w:rFonts w:ascii="Times New Roman" w:hAnsi="Times New Roman" w:cs="Times New Roman"/>
        </w:rPr>
        <w:t xml:space="preserve">collection is </w:t>
      </w:r>
      <w:r w:rsidR="00C26CF6">
        <w:rPr>
          <w:rFonts w:ascii="Times New Roman" w:hAnsi="Times New Roman" w:cs="Times New Roman"/>
        </w:rPr>
        <w:t>relatively</w:t>
      </w:r>
      <w:r>
        <w:rPr>
          <w:rFonts w:ascii="Times New Roman" w:hAnsi="Times New Roman" w:cs="Times New Roman"/>
        </w:rPr>
        <w:t xml:space="preserve"> new with only 3 years of data published, but the n</w:t>
      </w:r>
      <w:r w:rsidR="00CA2D31">
        <w:rPr>
          <w:rFonts w:ascii="Times New Roman" w:hAnsi="Times New Roman" w:cs="Times New Roman"/>
        </w:rPr>
        <w:t>umber of LEAs</w:t>
      </w:r>
      <w:r w:rsidR="00C26CF6">
        <w:rPr>
          <w:rFonts w:ascii="Times New Roman" w:hAnsi="Times New Roman" w:cs="Times New Roman"/>
        </w:rPr>
        <w:t xml:space="preserve"> providing carg</w:t>
      </w:r>
      <w:r>
        <w:rPr>
          <w:rFonts w:ascii="Times New Roman" w:hAnsi="Times New Roman" w:cs="Times New Roman"/>
        </w:rPr>
        <w:t>o theft incidents has increased each year.  As more agencies participate, future ve</w:t>
      </w:r>
      <w:r w:rsidR="004210EC">
        <w:rPr>
          <w:rFonts w:ascii="Times New Roman" w:hAnsi="Times New Roman" w:cs="Times New Roman"/>
        </w:rPr>
        <w:t>rsions of the cargo theft publication</w:t>
      </w:r>
      <w:r>
        <w:rPr>
          <w:rFonts w:ascii="Times New Roman" w:hAnsi="Times New Roman" w:cs="Times New Roman"/>
        </w:rPr>
        <w:t xml:space="preserve"> will depict a more complete account of the occurrences of cargo thefts in the United States.  </w:t>
      </w:r>
    </w:p>
    <w:p w:rsidR="00B565CA" w:rsidRDefault="00B565CA" w:rsidP="00957FC1">
      <w:pPr>
        <w:pStyle w:val="ListParagraph"/>
        <w:rPr>
          <w:rFonts w:ascii="Times New Roman" w:hAnsi="Times New Roman" w:cs="Times New Roman"/>
        </w:rPr>
      </w:pPr>
    </w:p>
    <w:p w:rsidR="009112A7" w:rsidRDefault="00B565CA" w:rsidP="00957FC1">
      <w:pPr>
        <w:pStyle w:val="ListParagraph"/>
        <w:rPr>
          <w:rFonts w:ascii="Times New Roman" w:hAnsi="Times New Roman" w:cs="Times New Roman"/>
        </w:rPr>
      </w:pPr>
      <w:r>
        <w:rPr>
          <w:rFonts w:ascii="Times New Roman" w:hAnsi="Times New Roman" w:cs="Times New Roman"/>
        </w:rPr>
        <w:t xml:space="preserve">The UCR Program plans to monitor the increase/decrease of participation in the data collection for a complete five year cycle in an effort to develop a trend of the data.  Once the five year cycle is finished, and the trend is established, if necessary, the Program will move forward with options for a possible change in the way this data is collected through the Advisory Process of the </w:t>
      </w:r>
      <w:r>
        <w:rPr>
          <w:rFonts w:ascii="Times New Roman" w:hAnsi="Times New Roman" w:cs="Times New Roman"/>
        </w:rPr>
        <w:lastRenderedPageBreak/>
        <w:t xml:space="preserve">Criminal Justice Information Services </w:t>
      </w:r>
      <w:r w:rsidR="003020DA">
        <w:rPr>
          <w:rFonts w:ascii="Times New Roman" w:hAnsi="Times New Roman" w:cs="Times New Roman"/>
        </w:rPr>
        <w:t xml:space="preserve">(CJIS) </w:t>
      </w:r>
      <w:r>
        <w:rPr>
          <w:rFonts w:ascii="Times New Roman" w:hAnsi="Times New Roman" w:cs="Times New Roman"/>
        </w:rPr>
        <w:t xml:space="preserve">Division.  If after the cycle the trend is determined to meet acceptable data standards, the current collection processes will remain in place.  </w:t>
      </w:r>
    </w:p>
    <w:p w:rsidR="009112A7" w:rsidRDefault="009112A7" w:rsidP="00957FC1">
      <w:pPr>
        <w:pStyle w:val="ListParagraph"/>
        <w:rPr>
          <w:rFonts w:ascii="Times New Roman" w:hAnsi="Times New Roman" w:cs="Times New Roman"/>
        </w:rPr>
      </w:pPr>
    </w:p>
    <w:p w:rsidR="000D0642" w:rsidRPr="009112A7" w:rsidRDefault="000D0642" w:rsidP="00957FC1">
      <w:pPr>
        <w:pStyle w:val="ListParagraph"/>
        <w:rPr>
          <w:rFonts w:ascii="Times New Roman" w:hAnsi="Times New Roman" w:cs="Times New Roman"/>
        </w:rPr>
      </w:pPr>
      <w:r w:rsidRPr="009112A7">
        <w:rPr>
          <w:rFonts w:ascii="Times New Roman" w:hAnsi="Times New Roman" w:cs="Times New Roman"/>
        </w:rPr>
        <w:t xml:space="preserve">Response rates are maximized through liaison with </w:t>
      </w:r>
      <w:r w:rsidR="00264419" w:rsidRPr="009112A7">
        <w:rPr>
          <w:rFonts w:ascii="Times New Roman" w:hAnsi="Times New Roman" w:cs="Times New Roman"/>
        </w:rPr>
        <w:t>s</w:t>
      </w:r>
      <w:r w:rsidRPr="009112A7">
        <w:rPr>
          <w:rFonts w:ascii="Times New Roman" w:hAnsi="Times New Roman" w:cs="Times New Roman"/>
        </w:rPr>
        <w:t>tate UCR Programs.  Communications encouraging data submissions occur frequently because of the relationship between FBI UCR staff</w:t>
      </w:r>
      <w:r w:rsidR="00FC1D4D" w:rsidRPr="009112A7">
        <w:rPr>
          <w:rFonts w:ascii="Times New Roman" w:hAnsi="Times New Roman" w:cs="Times New Roman"/>
        </w:rPr>
        <w:t xml:space="preserve"> and</w:t>
      </w:r>
      <w:r w:rsidRPr="009112A7">
        <w:rPr>
          <w:rFonts w:ascii="Times New Roman" w:hAnsi="Times New Roman" w:cs="Times New Roman"/>
        </w:rPr>
        <w:t xml:space="preserve"> </w:t>
      </w:r>
      <w:r w:rsidR="00FC1D4D" w:rsidRPr="009112A7">
        <w:rPr>
          <w:rFonts w:ascii="Times New Roman" w:hAnsi="Times New Roman" w:cs="Times New Roman"/>
        </w:rPr>
        <w:t>LEAs</w:t>
      </w:r>
      <w:r w:rsidR="00AD4E86" w:rsidRPr="009112A7">
        <w:rPr>
          <w:rFonts w:ascii="Times New Roman" w:hAnsi="Times New Roman" w:cs="Times New Roman"/>
        </w:rPr>
        <w:t>.  FBI UCR staff have a</w:t>
      </w:r>
      <w:r w:rsidRPr="009112A7">
        <w:rPr>
          <w:rFonts w:ascii="Times New Roman" w:hAnsi="Times New Roman" w:cs="Times New Roman"/>
        </w:rPr>
        <w:t xml:space="preserve"> strong understanding of contextual challenges agencies face in reporting valid and reliable data and regularly work to overcome nonresponse issues when such challenges occur.  The mission of the cargo theft collection in UCR is to acquire cargo theft data, establish guidelines for the collection of such data, and publish cargo theft data.  Although the FBI makes every </w:t>
      </w:r>
      <w:r w:rsidR="009E2260" w:rsidRPr="009112A7">
        <w:rPr>
          <w:rFonts w:ascii="Times New Roman" w:hAnsi="Times New Roman" w:cs="Times New Roman"/>
        </w:rPr>
        <w:t>effort through its editing procedures, training practices, and correspondence to ensure the validity of the data it receives, the accuracy of the statist</w:t>
      </w:r>
      <w:r w:rsidR="005B2829" w:rsidRPr="009112A7">
        <w:rPr>
          <w:rFonts w:ascii="Times New Roman" w:hAnsi="Times New Roman" w:cs="Times New Roman"/>
        </w:rPr>
        <w:t>ics depends primarily on the adh</w:t>
      </w:r>
      <w:r w:rsidR="009E2260" w:rsidRPr="009112A7">
        <w:rPr>
          <w:rFonts w:ascii="Times New Roman" w:hAnsi="Times New Roman" w:cs="Times New Roman"/>
        </w:rPr>
        <w:t xml:space="preserve">erence of each contributor to the established standards of reporting.  The FBI is working to help </w:t>
      </w:r>
      <w:r w:rsidR="003020DA">
        <w:rPr>
          <w:rFonts w:ascii="Times New Roman" w:hAnsi="Times New Roman" w:cs="Times New Roman"/>
        </w:rPr>
        <w:t>LEAs</w:t>
      </w:r>
      <w:r w:rsidR="009E2260" w:rsidRPr="009112A7">
        <w:rPr>
          <w:rFonts w:ascii="Times New Roman" w:hAnsi="Times New Roman" w:cs="Times New Roman"/>
        </w:rPr>
        <w:t xml:space="preserve"> participate in the cargo theft data collection with the FBI CJIS Division’s creation of the </w:t>
      </w:r>
      <w:r w:rsidR="0092289E">
        <w:rPr>
          <w:rFonts w:ascii="Times New Roman" w:hAnsi="Times New Roman" w:cs="Times New Roman"/>
        </w:rPr>
        <w:t>New UCR system</w:t>
      </w:r>
      <w:r w:rsidR="009E2260" w:rsidRPr="009112A7">
        <w:rPr>
          <w:rFonts w:ascii="Times New Roman" w:hAnsi="Times New Roman" w:cs="Times New Roman"/>
        </w:rPr>
        <w:t xml:space="preserve">.  The </w:t>
      </w:r>
      <w:r w:rsidR="003020DA">
        <w:rPr>
          <w:rFonts w:ascii="Times New Roman" w:hAnsi="Times New Roman" w:cs="Times New Roman"/>
        </w:rPr>
        <w:t>goal of the New UCR S</w:t>
      </w:r>
      <w:r w:rsidR="0092289E">
        <w:rPr>
          <w:rFonts w:ascii="Times New Roman" w:hAnsi="Times New Roman" w:cs="Times New Roman"/>
        </w:rPr>
        <w:t xml:space="preserve">ystem </w:t>
      </w:r>
      <w:r w:rsidR="009E2260" w:rsidRPr="009112A7">
        <w:rPr>
          <w:rFonts w:ascii="Times New Roman" w:hAnsi="Times New Roman" w:cs="Times New Roman"/>
        </w:rPr>
        <w:t>is to</w:t>
      </w:r>
      <w:r w:rsidR="0092289E">
        <w:rPr>
          <w:rFonts w:ascii="Times New Roman" w:hAnsi="Times New Roman" w:cs="Times New Roman"/>
        </w:rPr>
        <w:t xml:space="preserve"> </w:t>
      </w:r>
      <w:r w:rsidR="003020DA">
        <w:rPr>
          <w:rFonts w:ascii="Times New Roman" w:hAnsi="Times New Roman" w:cs="Times New Roman"/>
        </w:rPr>
        <w:t>improve the</w:t>
      </w:r>
      <w:r w:rsidR="007B5EDC">
        <w:rPr>
          <w:rFonts w:ascii="Times New Roman" w:hAnsi="Times New Roman" w:cs="Times New Roman"/>
        </w:rPr>
        <w:t xml:space="preserve"> accuracy and timeliness of the </w:t>
      </w:r>
      <w:r w:rsidR="003020DA">
        <w:rPr>
          <w:rFonts w:ascii="Times New Roman" w:hAnsi="Times New Roman" w:cs="Times New Roman"/>
        </w:rPr>
        <w:t xml:space="preserve">crime data collection and delivery process, </w:t>
      </w:r>
      <w:r w:rsidR="009E2260" w:rsidRPr="009112A7">
        <w:rPr>
          <w:rFonts w:ascii="Times New Roman" w:hAnsi="Times New Roman" w:cs="Times New Roman"/>
        </w:rPr>
        <w:t>while increasing the value to users of UCR products</w:t>
      </w:r>
      <w:r w:rsidR="0092289E">
        <w:rPr>
          <w:rFonts w:ascii="Times New Roman" w:hAnsi="Times New Roman" w:cs="Times New Roman"/>
        </w:rPr>
        <w:t xml:space="preserve"> by making the data available through the Crime Data Explorer (CDE) mechanism</w:t>
      </w:r>
      <w:r w:rsidR="009E2260" w:rsidRPr="009112A7">
        <w:rPr>
          <w:rFonts w:ascii="Times New Roman" w:hAnsi="Times New Roman" w:cs="Times New Roman"/>
        </w:rPr>
        <w:t>.</w:t>
      </w:r>
      <w:r w:rsidR="0092289E">
        <w:rPr>
          <w:rFonts w:ascii="Times New Roman" w:hAnsi="Times New Roman" w:cs="Times New Roman"/>
        </w:rPr>
        <w:t xml:space="preserve"> The CDE is a web-based access system that will modernize the delivery of UCR crime data and information to internal and external users.  The CDE will allow the FBI to more systematically apply methods that have a positive effect on response rates, which will make data available for research and review by the public sector.</w:t>
      </w:r>
      <w:r w:rsidR="009E2260" w:rsidRPr="009112A7">
        <w:rPr>
          <w:rFonts w:ascii="Times New Roman" w:hAnsi="Times New Roman" w:cs="Times New Roman"/>
        </w:rPr>
        <w:t xml:space="preserve">  </w:t>
      </w:r>
    </w:p>
    <w:p w:rsidR="00BB0E40" w:rsidRPr="00957FC1" w:rsidRDefault="00BB0E40" w:rsidP="00BB0E40">
      <w:pPr>
        <w:pStyle w:val="ListParagraph"/>
        <w:rPr>
          <w:rFonts w:ascii="Times New Roman" w:hAnsi="Times New Roman" w:cs="Times New Roman"/>
          <w:color w:val="FF0000"/>
        </w:rPr>
      </w:pPr>
    </w:p>
    <w:p w:rsidR="004564DC" w:rsidRDefault="00887EDE" w:rsidP="009112A7">
      <w:pPr>
        <w:pStyle w:val="ListParagraph"/>
        <w:rPr>
          <w:rFonts w:ascii="Times New Roman" w:hAnsi="Times New Roman" w:cs="Times New Roman"/>
        </w:rPr>
      </w:pPr>
      <w:r>
        <w:rPr>
          <w:rFonts w:ascii="Times New Roman" w:hAnsi="Times New Roman" w:cs="Times New Roman"/>
        </w:rPr>
        <w:t xml:space="preserve">The UCR Program is in the process of transitioning local, state, and tribal </w:t>
      </w:r>
      <w:r w:rsidR="007B5EDC">
        <w:rPr>
          <w:rFonts w:ascii="Times New Roman" w:hAnsi="Times New Roman" w:cs="Times New Roman"/>
        </w:rPr>
        <w:t>LEAs</w:t>
      </w:r>
      <w:r>
        <w:rPr>
          <w:rFonts w:ascii="Times New Roman" w:hAnsi="Times New Roman" w:cs="Times New Roman"/>
        </w:rPr>
        <w:t xml:space="preserve"> from the SRS</w:t>
      </w:r>
      <w:r w:rsidR="00763D79">
        <w:rPr>
          <w:rFonts w:ascii="Times New Roman" w:hAnsi="Times New Roman" w:cs="Times New Roman"/>
        </w:rPr>
        <w:t xml:space="preserve"> to</w:t>
      </w:r>
      <w:r>
        <w:rPr>
          <w:rFonts w:ascii="Times New Roman" w:hAnsi="Times New Roman" w:cs="Times New Roman"/>
        </w:rPr>
        <w:t xml:space="preserve"> NIBRS.  Under this plan, the F</w:t>
      </w:r>
      <w:r w:rsidR="00BB0E40" w:rsidRPr="009112A7">
        <w:rPr>
          <w:rFonts w:ascii="Times New Roman" w:hAnsi="Times New Roman" w:cs="Times New Roman"/>
        </w:rPr>
        <w:t xml:space="preserve">BI </w:t>
      </w:r>
      <w:r>
        <w:rPr>
          <w:rFonts w:ascii="Times New Roman" w:hAnsi="Times New Roman" w:cs="Times New Roman"/>
        </w:rPr>
        <w:t>UCR t</w:t>
      </w:r>
      <w:r w:rsidR="00BB0E40" w:rsidRPr="009112A7">
        <w:rPr>
          <w:rFonts w:ascii="Times New Roman" w:hAnsi="Times New Roman" w:cs="Times New Roman"/>
        </w:rPr>
        <w:t>rain</w:t>
      </w:r>
      <w:r>
        <w:rPr>
          <w:rFonts w:ascii="Times New Roman" w:hAnsi="Times New Roman" w:cs="Times New Roman"/>
        </w:rPr>
        <w:t>ing staff only</w:t>
      </w:r>
      <w:r w:rsidR="00BB0E40" w:rsidRPr="009112A7">
        <w:rPr>
          <w:rFonts w:ascii="Times New Roman" w:hAnsi="Times New Roman" w:cs="Times New Roman"/>
        </w:rPr>
        <w:t xml:space="preserve"> </w:t>
      </w:r>
      <w:r>
        <w:rPr>
          <w:rFonts w:ascii="Times New Roman" w:hAnsi="Times New Roman" w:cs="Times New Roman"/>
        </w:rPr>
        <w:t>provide</w:t>
      </w:r>
      <w:r w:rsidR="00763D79">
        <w:rPr>
          <w:rFonts w:ascii="Times New Roman" w:hAnsi="Times New Roman" w:cs="Times New Roman"/>
        </w:rPr>
        <w:t>s</w:t>
      </w:r>
      <w:r>
        <w:rPr>
          <w:rFonts w:ascii="Times New Roman" w:hAnsi="Times New Roman" w:cs="Times New Roman"/>
        </w:rPr>
        <w:t xml:space="preserve"> on-site training for </w:t>
      </w:r>
      <w:r w:rsidR="00FC1D4D" w:rsidRPr="009112A7">
        <w:rPr>
          <w:rFonts w:ascii="Times New Roman" w:hAnsi="Times New Roman" w:cs="Times New Roman"/>
        </w:rPr>
        <w:t>LEA</w:t>
      </w:r>
      <w:r>
        <w:rPr>
          <w:rFonts w:ascii="Times New Roman" w:hAnsi="Times New Roman" w:cs="Times New Roman"/>
        </w:rPr>
        <w:t xml:space="preserve">s that submit NIBRS data. </w:t>
      </w:r>
      <w:r w:rsidR="00763D79">
        <w:rPr>
          <w:rFonts w:ascii="Times New Roman" w:hAnsi="Times New Roman" w:cs="Times New Roman"/>
        </w:rPr>
        <w:t>However, t</w:t>
      </w:r>
      <w:r>
        <w:rPr>
          <w:rFonts w:ascii="Times New Roman" w:hAnsi="Times New Roman" w:cs="Times New Roman"/>
        </w:rPr>
        <w:t xml:space="preserve">he </w:t>
      </w:r>
      <w:r w:rsidR="00BB0E40" w:rsidRPr="009112A7">
        <w:rPr>
          <w:rFonts w:ascii="Times New Roman" w:hAnsi="Times New Roman" w:cs="Times New Roman"/>
        </w:rPr>
        <w:t>train</w:t>
      </w:r>
      <w:r>
        <w:rPr>
          <w:rFonts w:ascii="Times New Roman" w:hAnsi="Times New Roman" w:cs="Times New Roman"/>
        </w:rPr>
        <w:t xml:space="preserve">ers </w:t>
      </w:r>
      <w:r w:rsidR="00BB0E40" w:rsidRPr="009112A7">
        <w:rPr>
          <w:rFonts w:ascii="Times New Roman" w:hAnsi="Times New Roman" w:cs="Times New Roman"/>
        </w:rPr>
        <w:t xml:space="preserve">are available by telephone or e-mail to provide </w:t>
      </w:r>
      <w:r w:rsidR="00FC1D4D" w:rsidRPr="009112A7">
        <w:rPr>
          <w:rFonts w:ascii="Times New Roman" w:hAnsi="Times New Roman" w:cs="Times New Roman"/>
        </w:rPr>
        <w:t>LEAs</w:t>
      </w:r>
      <w:r w:rsidR="00763D79">
        <w:rPr>
          <w:rFonts w:ascii="Times New Roman" w:hAnsi="Times New Roman" w:cs="Times New Roman"/>
        </w:rPr>
        <w:t xml:space="preserve"> with answers</w:t>
      </w:r>
      <w:r w:rsidR="00BB0E40" w:rsidRPr="009112A7">
        <w:rPr>
          <w:rFonts w:ascii="Times New Roman" w:hAnsi="Times New Roman" w:cs="Times New Roman"/>
        </w:rPr>
        <w:t xml:space="preserve"> about classification</w:t>
      </w:r>
      <w:r>
        <w:rPr>
          <w:rFonts w:ascii="Times New Roman" w:hAnsi="Times New Roman" w:cs="Times New Roman"/>
        </w:rPr>
        <w:t>,</w:t>
      </w:r>
      <w:r w:rsidR="00BB0E40" w:rsidRPr="009112A7">
        <w:rPr>
          <w:rFonts w:ascii="Times New Roman" w:hAnsi="Times New Roman" w:cs="Times New Roman"/>
        </w:rPr>
        <w:t xml:space="preserve"> scoring</w:t>
      </w:r>
      <w:r>
        <w:rPr>
          <w:rFonts w:ascii="Times New Roman" w:hAnsi="Times New Roman" w:cs="Times New Roman"/>
        </w:rPr>
        <w:t>,</w:t>
      </w:r>
      <w:r w:rsidR="00763D79">
        <w:rPr>
          <w:rFonts w:ascii="Times New Roman" w:hAnsi="Times New Roman" w:cs="Times New Roman"/>
        </w:rPr>
        <w:t xml:space="preserve"> and </w:t>
      </w:r>
      <w:r w:rsidR="00BB0E40" w:rsidRPr="009112A7">
        <w:rPr>
          <w:rFonts w:ascii="Times New Roman" w:hAnsi="Times New Roman" w:cs="Times New Roman"/>
        </w:rPr>
        <w:t xml:space="preserve">other </w:t>
      </w:r>
      <w:r w:rsidR="00763D79">
        <w:rPr>
          <w:rFonts w:ascii="Times New Roman" w:hAnsi="Times New Roman" w:cs="Times New Roman"/>
        </w:rPr>
        <w:t xml:space="preserve">UCR-related </w:t>
      </w:r>
      <w:r w:rsidR="00BB0E40" w:rsidRPr="009112A7">
        <w:rPr>
          <w:rFonts w:ascii="Times New Roman" w:hAnsi="Times New Roman" w:cs="Times New Roman"/>
        </w:rPr>
        <w:t>que</w:t>
      </w:r>
      <w:r>
        <w:rPr>
          <w:rFonts w:ascii="Times New Roman" w:hAnsi="Times New Roman" w:cs="Times New Roman"/>
        </w:rPr>
        <w:t>stions for both SRS and NIBRS</w:t>
      </w:r>
      <w:r w:rsidR="00BB0E40" w:rsidRPr="009112A7">
        <w:rPr>
          <w:rFonts w:ascii="Times New Roman" w:hAnsi="Times New Roman" w:cs="Times New Roman"/>
        </w:rPr>
        <w:t>.  The FBI’s UCR Program proactively incorporated cargo theft training into the standard instructional curriculum in 2010.</w:t>
      </w:r>
      <w:r w:rsidR="00CB791D">
        <w:rPr>
          <w:rFonts w:ascii="Times New Roman" w:hAnsi="Times New Roman" w:cs="Times New Roman"/>
        </w:rPr>
        <w:t xml:space="preserve">  Due to</w:t>
      </w:r>
      <w:r w:rsidR="007B5EDC">
        <w:rPr>
          <w:rFonts w:ascii="Times New Roman" w:hAnsi="Times New Roman" w:cs="Times New Roman"/>
        </w:rPr>
        <w:t xml:space="preserve"> budgetary restraints, the </w:t>
      </w:r>
      <w:r w:rsidR="003605FB">
        <w:rPr>
          <w:rFonts w:ascii="Times New Roman" w:hAnsi="Times New Roman" w:cs="Times New Roman"/>
        </w:rPr>
        <w:t>CJIS</w:t>
      </w:r>
      <w:r w:rsidR="00CB791D">
        <w:rPr>
          <w:rFonts w:ascii="Times New Roman" w:hAnsi="Times New Roman" w:cs="Times New Roman"/>
        </w:rPr>
        <w:t xml:space="preserve"> </w:t>
      </w:r>
      <w:r w:rsidR="007B5EDC">
        <w:rPr>
          <w:rFonts w:ascii="Times New Roman" w:hAnsi="Times New Roman" w:cs="Times New Roman"/>
        </w:rPr>
        <w:t xml:space="preserve">Audit Unit’s </w:t>
      </w:r>
      <w:r w:rsidR="00CB791D">
        <w:rPr>
          <w:rFonts w:ascii="Times New Roman" w:hAnsi="Times New Roman" w:cs="Times New Roman"/>
        </w:rPr>
        <w:t xml:space="preserve">UCR Quality Assurance Review </w:t>
      </w:r>
      <w:r w:rsidR="003605FB">
        <w:rPr>
          <w:rFonts w:ascii="Times New Roman" w:hAnsi="Times New Roman" w:cs="Times New Roman"/>
        </w:rPr>
        <w:t xml:space="preserve">(QAR) </w:t>
      </w:r>
      <w:r w:rsidR="007B5EDC">
        <w:rPr>
          <w:rFonts w:ascii="Times New Roman" w:hAnsi="Times New Roman" w:cs="Times New Roman"/>
        </w:rPr>
        <w:t>Team has</w:t>
      </w:r>
      <w:r w:rsidR="00CB791D">
        <w:rPr>
          <w:rFonts w:ascii="Times New Roman" w:hAnsi="Times New Roman" w:cs="Times New Roman"/>
        </w:rPr>
        <w:t xml:space="preserve"> a</w:t>
      </w:r>
      <w:r w:rsidR="003605FB">
        <w:rPr>
          <w:rFonts w:ascii="Times New Roman" w:hAnsi="Times New Roman" w:cs="Times New Roman"/>
        </w:rPr>
        <w:t>lso</w:t>
      </w:r>
      <w:r w:rsidR="007B5EDC">
        <w:rPr>
          <w:rFonts w:ascii="Times New Roman" w:hAnsi="Times New Roman" w:cs="Times New Roman"/>
        </w:rPr>
        <w:t xml:space="preserve"> been</w:t>
      </w:r>
      <w:r w:rsidR="003605FB">
        <w:rPr>
          <w:rFonts w:ascii="Times New Roman" w:hAnsi="Times New Roman" w:cs="Times New Roman"/>
        </w:rPr>
        <w:t xml:space="preserve"> restructured.  The QAR </w:t>
      </w:r>
      <w:r w:rsidR="007B5EDC">
        <w:rPr>
          <w:rFonts w:ascii="Times New Roman" w:hAnsi="Times New Roman" w:cs="Times New Roman"/>
        </w:rPr>
        <w:t xml:space="preserve">Team </w:t>
      </w:r>
      <w:r w:rsidR="003605FB">
        <w:rPr>
          <w:rFonts w:ascii="Times New Roman" w:hAnsi="Times New Roman" w:cs="Times New Roman"/>
        </w:rPr>
        <w:t xml:space="preserve">will only be made available upon a formal request from a </w:t>
      </w:r>
      <w:r w:rsidR="007B5EDC">
        <w:rPr>
          <w:rFonts w:ascii="Times New Roman" w:hAnsi="Times New Roman" w:cs="Times New Roman"/>
        </w:rPr>
        <w:t xml:space="preserve">State </w:t>
      </w:r>
      <w:r w:rsidR="003605FB">
        <w:rPr>
          <w:rFonts w:ascii="Times New Roman" w:hAnsi="Times New Roman" w:cs="Times New Roman"/>
        </w:rPr>
        <w:t xml:space="preserve">UCR Program.  These requests will be reviewed and prioritized based on the availability of the CJIS Audit Unit’s resources. Once approved, the QAR will be tailored to meet the specific needs articulated by the </w:t>
      </w:r>
      <w:r w:rsidR="007B5EDC">
        <w:rPr>
          <w:rFonts w:ascii="Times New Roman" w:hAnsi="Times New Roman" w:cs="Times New Roman"/>
        </w:rPr>
        <w:t>State Pr</w:t>
      </w:r>
      <w:r w:rsidR="003605FB">
        <w:rPr>
          <w:rFonts w:ascii="Times New Roman" w:hAnsi="Times New Roman" w:cs="Times New Roman"/>
        </w:rPr>
        <w:t xml:space="preserve">ogram </w:t>
      </w:r>
      <w:r w:rsidR="007B5EDC">
        <w:rPr>
          <w:rFonts w:ascii="Times New Roman" w:hAnsi="Times New Roman" w:cs="Times New Roman"/>
        </w:rPr>
        <w:t>M</w:t>
      </w:r>
      <w:r w:rsidR="003605FB">
        <w:rPr>
          <w:rFonts w:ascii="Times New Roman" w:hAnsi="Times New Roman" w:cs="Times New Roman"/>
        </w:rPr>
        <w:t>anager.</w:t>
      </w:r>
    </w:p>
    <w:p w:rsidR="00DE7E9B" w:rsidRDefault="00DE7E9B" w:rsidP="009112A7">
      <w:pPr>
        <w:pStyle w:val="ListParagraph"/>
        <w:rPr>
          <w:rFonts w:ascii="Times New Roman" w:hAnsi="Times New Roman" w:cs="Times New Roman"/>
        </w:rPr>
      </w:pPr>
    </w:p>
    <w:p w:rsidR="00FD54CF" w:rsidRPr="00DC5DC9" w:rsidRDefault="00DE7E9B" w:rsidP="00DE7E9B">
      <w:pPr>
        <w:pStyle w:val="ListParagraph"/>
        <w:rPr>
          <w:rFonts w:ascii="Times New Roman" w:hAnsi="Times New Roman" w:cs="Times New Roman"/>
          <w:b/>
          <w:color w:val="FF0000"/>
        </w:rPr>
      </w:pPr>
      <w:r>
        <w:rPr>
          <w:rFonts w:ascii="Times New Roman" w:hAnsi="Times New Roman" w:cs="Times New Roman"/>
        </w:rPr>
        <w:t xml:space="preserve">The </w:t>
      </w:r>
      <w:r w:rsidRPr="00DE7E9B">
        <w:rPr>
          <w:rFonts w:ascii="Times New Roman" w:hAnsi="Times New Roman" w:cs="Times New Roman"/>
          <w:i/>
        </w:rPr>
        <w:t>USA PATRIOT Improvement and Reauthorization Act of 2005</w:t>
      </w:r>
      <w:r>
        <w:rPr>
          <w:rFonts w:ascii="Times New Roman" w:hAnsi="Times New Roman" w:cs="Times New Roman"/>
          <w:i/>
        </w:rPr>
        <w:t xml:space="preserve"> </w:t>
      </w:r>
      <w:r>
        <w:rPr>
          <w:rFonts w:ascii="Times New Roman" w:hAnsi="Times New Roman" w:cs="Times New Roman"/>
        </w:rPr>
        <w:t xml:space="preserve">mandated the FBI’s UCR Program to collect </w:t>
      </w:r>
      <w:r w:rsidR="00FD54CF" w:rsidRPr="00DE7E9B">
        <w:rPr>
          <w:rFonts w:ascii="Times New Roman" w:hAnsi="Times New Roman" w:cs="Times New Roman"/>
        </w:rPr>
        <w:t xml:space="preserve">cargo theft data, </w:t>
      </w:r>
      <w:r>
        <w:rPr>
          <w:rFonts w:ascii="Times New Roman" w:hAnsi="Times New Roman" w:cs="Times New Roman"/>
        </w:rPr>
        <w:t xml:space="preserve">but was </w:t>
      </w:r>
      <w:r w:rsidR="00763D79">
        <w:rPr>
          <w:rFonts w:ascii="Times New Roman" w:hAnsi="Times New Roman" w:cs="Times New Roman"/>
        </w:rPr>
        <w:t>not a mandate for the state</w:t>
      </w:r>
      <w:r w:rsidR="00FD54CF" w:rsidRPr="00DE7E9B">
        <w:rPr>
          <w:rFonts w:ascii="Times New Roman" w:hAnsi="Times New Roman" w:cs="Times New Roman"/>
        </w:rPr>
        <w:t xml:space="preserve"> UCR participating </w:t>
      </w:r>
      <w:r w:rsidR="00B8375C" w:rsidRPr="00DE7E9B">
        <w:rPr>
          <w:rFonts w:ascii="Times New Roman" w:hAnsi="Times New Roman" w:cs="Times New Roman"/>
        </w:rPr>
        <w:t>LEAs</w:t>
      </w:r>
      <w:r w:rsidR="00FD54CF" w:rsidRPr="00DE7E9B">
        <w:rPr>
          <w:rFonts w:ascii="Times New Roman" w:hAnsi="Times New Roman" w:cs="Times New Roman"/>
        </w:rPr>
        <w:t xml:space="preserve">.  </w:t>
      </w:r>
      <w:r w:rsidR="00763D79">
        <w:rPr>
          <w:rFonts w:ascii="Times New Roman" w:hAnsi="Times New Roman" w:cs="Times New Roman"/>
        </w:rPr>
        <w:t>When the FBI is</w:t>
      </w:r>
      <w:r w:rsidR="00FD54CF" w:rsidRPr="00DE7E9B">
        <w:rPr>
          <w:rFonts w:ascii="Times New Roman" w:hAnsi="Times New Roman" w:cs="Times New Roman"/>
        </w:rPr>
        <w:t xml:space="preserve"> tasked to develop new unfunded information collections, the cost</w:t>
      </w:r>
      <w:r w:rsidR="00763D79">
        <w:rPr>
          <w:rFonts w:ascii="Times New Roman" w:hAnsi="Times New Roman" w:cs="Times New Roman"/>
        </w:rPr>
        <w:t>s</w:t>
      </w:r>
      <w:r w:rsidR="00FD54CF" w:rsidRPr="00DE7E9B">
        <w:rPr>
          <w:rFonts w:ascii="Times New Roman" w:hAnsi="Times New Roman" w:cs="Times New Roman"/>
        </w:rPr>
        <w:t xml:space="preserve"> associated with the im</w:t>
      </w:r>
      <w:r w:rsidR="00CB791D">
        <w:rPr>
          <w:rFonts w:ascii="Times New Roman" w:hAnsi="Times New Roman" w:cs="Times New Roman"/>
        </w:rPr>
        <w:t>plementation of the</w:t>
      </w:r>
      <w:r w:rsidR="00763D79">
        <w:rPr>
          <w:rFonts w:ascii="Times New Roman" w:hAnsi="Times New Roman" w:cs="Times New Roman"/>
        </w:rPr>
        <w:t xml:space="preserve"> changes are</w:t>
      </w:r>
      <w:r w:rsidR="00FD54CF" w:rsidRPr="00DE7E9B">
        <w:rPr>
          <w:rFonts w:ascii="Times New Roman" w:hAnsi="Times New Roman" w:cs="Times New Roman"/>
        </w:rPr>
        <w:t xml:space="preserve"> the resp</w:t>
      </w:r>
      <w:r w:rsidR="00763D79">
        <w:rPr>
          <w:rFonts w:ascii="Times New Roman" w:hAnsi="Times New Roman" w:cs="Times New Roman"/>
        </w:rPr>
        <w:t xml:space="preserve">onsibility of law enforcement. </w:t>
      </w:r>
      <w:r w:rsidR="00A84732">
        <w:rPr>
          <w:rFonts w:ascii="Times New Roman" w:hAnsi="Times New Roman" w:cs="Times New Roman"/>
        </w:rPr>
        <w:t xml:space="preserve"> </w:t>
      </w:r>
      <w:r w:rsidR="00FD54CF" w:rsidRPr="00DE7E9B">
        <w:rPr>
          <w:rFonts w:ascii="Times New Roman" w:hAnsi="Times New Roman" w:cs="Times New Roman"/>
        </w:rPr>
        <w:t xml:space="preserve">Historically, this resource issue has hampered the FBI’s ability to collect new </w:t>
      </w:r>
      <w:r w:rsidR="00CB791D">
        <w:rPr>
          <w:rFonts w:ascii="Times New Roman" w:hAnsi="Times New Roman" w:cs="Times New Roman"/>
        </w:rPr>
        <w:t xml:space="preserve">initiative </w:t>
      </w:r>
      <w:r w:rsidR="00FD54CF" w:rsidRPr="00DE7E9B">
        <w:rPr>
          <w:rFonts w:ascii="Times New Roman" w:hAnsi="Times New Roman" w:cs="Times New Roman"/>
        </w:rPr>
        <w:t xml:space="preserve">data from its contributors.  </w:t>
      </w:r>
      <w:r w:rsidR="00FD54CF" w:rsidRPr="00A84732">
        <w:rPr>
          <w:rFonts w:ascii="Times New Roman" w:hAnsi="Times New Roman" w:cs="Times New Roman"/>
        </w:rPr>
        <w:t xml:space="preserve">To deal with non-responsive agencies the FBI UCR Program provides training, liaison, and reference material to </w:t>
      </w:r>
      <w:r w:rsidR="00B8375C" w:rsidRPr="00A84732">
        <w:rPr>
          <w:rFonts w:ascii="Times New Roman" w:hAnsi="Times New Roman" w:cs="Times New Roman"/>
        </w:rPr>
        <w:t>LEAs</w:t>
      </w:r>
      <w:r w:rsidR="00FD54CF" w:rsidRPr="00A84732">
        <w:rPr>
          <w:rFonts w:ascii="Times New Roman" w:hAnsi="Times New Roman" w:cs="Times New Roman"/>
        </w:rPr>
        <w:t xml:space="preserve"> in order to submit data.</w:t>
      </w:r>
      <w:r w:rsidR="00CB791D" w:rsidRPr="00A84732">
        <w:rPr>
          <w:rFonts w:ascii="Times New Roman" w:hAnsi="Times New Roman" w:cs="Times New Roman"/>
        </w:rPr>
        <w:t xml:space="preserve"> </w:t>
      </w:r>
    </w:p>
    <w:p w:rsidR="009112A7" w:rsidRPr="009112A7" w:rsidRDefault="009112A7" w:rsidP="009112A7">
      <w:pPr>
        <w:pStyle w:val="ListParagraph"/>
        <w:rPr>
          <w:rFonts w:ascii="Times New Roman" w:hAnsi="Times New Roman" w:cs="Times New Roman"/>
          <w:color w:val="FF0000"/>
        </w:rPr>
      </w:pPr>
    </w:p>
    <w:p w:rsidR="0090716E" w:rsidRPr="00DE7E9B" w:rsidRDefault="00FD54CF" w:rsidP="005E52A0">
      <w:pPr>
        <w:pStyle w:val="ListParagraph"/>
        <w:rPr>
          <w:rFonts w:ascii="Times New Roman" w:hAnsi="Times New Roman" w:cs="Times New Roman"/>
        </w:rPr>
      </w:pPr>
      <w:r w:rsidRPr="00DE7E9B">
        <w:rPr>
          <w:rFonts w:ascii="Times New Roman" w:hAnsi="Times New Roman" w:cs="Times New Roman"/>
        </w:rPr>
        <w:t>It is very important for the</w:t>
      </w:r>
      <w:r w:rsidR="0090716E" w:rsidRPr="00DE7E9B">
        <w:rPr>
          <w:rFonts w:ascii="Times New Roman" w:hAnsi="Times New Roman" w:cs="Times New Roman"/>
        </w:rPr>
        <w:t xml:space="preserve"> data to be accurate and reliable.  </w:t>
      </w:r>
      <w:r w:rsidR="00B8375C" w:rsidRPr="00DE7E9B">
        <w:rPr>
          <w:rFonts w:ascii="Times New Roman" w:hAnsi="Times New Roman" w:cs="Times New Roman"/>
        </w:rPr>
        <w:t>LEAs</w:t>
      </w:r>
      <w:r w:rsidR="0090716E" w:rsidRPr="00DE7E9B">
        <w:rPr>
          <w:rFonts w:ascii="Times New Roman" w:hAnsi="Times New Roman" w:cs="Times New Roman"/>
        </w:rPr>
        <w:t xml:space="preserve"> </w:t>
      </w:r>
      <w:r w:rsidRPr="00DE7E9B">
        <w:rPr>
          <w:rFonts w:ascii="Times New Roman" w:hAnsi="Times New Roman" w:cs="Times New Roman"/>
        </w:rPr>
        <w:t>use UCR data to track crime, task force placement, staffing levels, and officer placement.</w:t>
      </w:r>
      <w:r w:rsidR="0090716E" w:rsidRPr="00DE7E9B">
        <w:rPr>
          <w:rFonts w:ascii="Times New Roman" w:hAnsi="Times New Roman" w:cs="Times New Roman"/>
        </w:rPr>
        <w:t xml:space="preserve">  The UCR data is also used for administration, operational, and management within </w:t>
      </w:r>
      <w:r w:rsidR="00B8375C" w:rsidRPr="00DE7E9B">
        <w:rPr>
          <w:rFonts w:ascii="Times New Roman" w:hAnsi="Times New Roman" w:cs="Times New Roman"/>
        </w:rPr>
        <w:t>LEAs</w:t>
      </w:r>
      <w:r w:rsidR="0090716E" w:rsidRPr="00DE7E9B">
        <w:rPr>
          <w:rFonts w:ascii="Times New Roman" w:hAnsi="Times New Roman" w:cs="Times New Roman"/>
        </w:rPr>
        <w:t xml:space="preserve">.  Agencies will justify task forces, staffing levels, and officer counts compared to other </w:t>
      </w:r>
      <w:r w:rsidR="00B8375C" w:rsidRPr="00DE7E9B">
        <w:rPr>
          <w:rFonts w:ascii="Times New Roman" w:hAnsi="Times New Roman" w:cs="Times New Roman"/>
        </w:rPr>
        <w:t>LEAs</w:t>
      </w:r>
      <w:r w:rsidR="0090716E" w:rsidRPr="00DE7E9B">
        <w:rPr>
          <w:rFonts w:ascii="Times New Roman" w:hAnsi="Times New Roman" w:cs="Times New Roman"/>
        </w:rPr>
        <w:t xml:space="preserve"> in order to get more staffing levels or </w:t>
      </w:r>
      <w:r w:rsidR="0090716E" w:rsidRPr="00DE7E9B">
        <w:rPr>
          <w:rFonts w:ascii="Times New Roman" w:hAnsi="Times New Roman" w:cs="Times New Roman"/>
        </w:rPr>
        <w:lastRenderedPageBreak/>
        <w:t>equipment.  The agencies use other agencies’ crime statistics and staffing levels to justify their own crime statistics and staffing levels in order to obtain funding.  Cargo theft data is used by law enforcement to identify areas of vulnerability in the transportation of cargo goods,</w:t>
      </w:r>
      <w:r w:rsidR="00B8375C" w:rsidRPr="00DE7E9B">
        <w:rPr>
          <w:rFonts w:ascii="Times New Roman" w:hAnsi="Times New Roman" w:cs="Times New Roman"/>
        </w:rPr>
        <w:t xml:space="preserve"> to </w:t>
      </w:r>
      <w:r w:rsidR="0090716E" w:rsidRPr="00DE7E9B">
        <w:rPr>
          <w:rFonts w:ascii="Times New Roman" w:hAnsi="Times New Roman" w:cs="Times New Roman"/>
        </w:rPr>
        <w:t>identify patterns of cargo theft, and forecast high risk areas for cargo transporters.  The data is also used to study the impact cargo theft has on commerce and the economy.</w:t>
      </w:r>
    </w:p>
    <w:p w:rsidR="005E52A0" w:rsidRPr="00957FC1" w:rsidRDefault="005E52A0" w:rsidP="005E52A0">
      <w:pPr>
        <w:pStyle w:val="ListParagraph"/>
        <w:rPr>
          <w:rFonts w:ascii="Times New Roman" w:hAnsi="Times New Roman" w:cs="Times New Roman"/>
        </w:rPr>
      </w:pPr>
    </w:p>
    <w:p w:rsidR="00957FC1" w:rsidRPr="004210EC" w:rsidRDefault="00957FC1" w:rsidP="0090716E">
      <w:pPr>
        <w:pStyle w:val="ListParagraph"/>
        <w:numPr>
          <w:ilvl w:val="0"/>
          <w:numId w:val="1"/>
        </w:numPr>
        <w:rPr>
          <w:rFonts w:ascii="Times New Roman" w:hAnsi="Times New Roman" w:cs="Times New Roman"/>
        </w:rPr>
      </w:pPr>
      <w:r w:rsidRPr="004210EC">
        <w:rPr>
          <w:rFonts w:ascii="Times New Roman" w:hAnsi="Times New Roman" w:cs="Times New Roman"/>
          <w:u w:val="single"/>
        </w:rPr>
        <w:t>Collection Development</w:t>
      </w:r>
    </w:p>
    <w:p w:rsidR="00957FC1" w:rsidRPr="004210EC" w:rsidRDefault="00957FC1" w:rsidP="00957FC1">
      <w:pPr>
        <w:pStyle w:val="ListParagraph"/>
        <w:rPr>
          <w:rFonts w:ascii="Times New Roman" w:hAnsi="Times New Roman" w:cs="Times New Roman"/>
          <w:u w:val="single"/>
        </w:rPr>
      </w:pPr>
    </w:p>
    <w:p w:rsidR="005D727B" w:rsidRPr="004210EC" w:rsidRDefault="0090716E" w:rsidP="00957FC1">
      <w:pPr>
        <w:pStyle w:val="ListParagraph"/>
        <w:rPr>
          <w:rFonts w:ascii="Times New Roman" w:hAnsi="Times New Roman" w:cs="Times New Roman"/>
        </w:rPr>
      </w:pPr>
      <w:r w:rsidRPr="004210EC">
        <w:rPr>
          <w:rFonts w:ascii="Times New Roman" w:hAnsi="Times New Roman" w:cs="Times New Roman"/>
        </w:rPr>
        <w:t>During implementation of the cargo theft information collection, extensive research regarding the offense of cargo theft was conducted.  Members of the CJIS Division’s Law Enforcement Support Section, FBI UCR Program; CJIS Division’s Information Technology Management Section; and the Criminal Investigative Division (CID), Americas Criminal Enter</w:t>
      </w:r>
      <w:r w:rsidR="00172AC0" w:rsidRPr="004210EC">
        <w:rPr>
          <w:rFonts w:ascii="Times New Roman" w:hAnsi="Times New Roman" w:cs="Times New Roman"/>
        </w:rPr>
        <w:t>prise Section, Major Theft Unit</w:t>
      </w:r>
      <w:r w:rsidRPr="004210EC">
        <w:rPr>
          <w:rFonts w:ascii="Times New Roman" w:hAnsi="Times New Roman" w:cs="Times New Roman"/>
        </w:rPr>
        <w:t xml:space="preserve"> (MTU) discussed the steps necessary to begin the collection of cargo theft information within the scope of the FBI’s UCR Program as mandated.  The MTU took the lead to develop cargo theft into an information collection.  The MTU coordinated with federal, state, and local law enforcement officials and industry experts for input and feedback.  Agencies involved were the Los Angeles Police Department, Burglary Auto Theft Division; International Cargo </w:t>
      </w:r>
      <w:r w:rsidR="005D727B" w:rsidRPr="004210EC">
        <w:rPr>
          <w:rFonts w:ascii="Times New Roman" w:hAnsi="Times New Roman" w:cs="Times New Roman"/>
        </w:rPr>
        <w:t>S</w:t>
      </w:r>
      <w:r w:rsidRPr="004210EC">
        <w:rPr>
          <w:rFonts w:ascii="Times New Roman" w:hAnsi="Times New Roman" w:cs="Times New Roman"/>
        </w:rPr>
        <w:t>ecurity Council; National Retail Federation; Miami-Dade Police Department</w:t>
      </w:r>
      <w:r w:rsidR="005D727B" w:rsidRPr="004210EC">
        <w:rPr>
          <w:rFonts w:ascii="Times New Roman" w:hAnsi="Times New Roman" w:cs="Times New Roman"/>
        </w:rPr>
        <w:t>; FBI Division, Cargo Theft Task Force; Miami Division, Cargo Theft Task Force; American Trucking Association; Memphis Division, Cargo Theft Task Force; Assistant United States Attorney, Miami, Florida; and the United States Department of Justice.</w:t>
      </w:r>
    </w:p>
    <w:p w:rsidR="005D727B" w:rsidRPr="004210EC" w:rsidRDefault="005D727B" w:rsidP="005D727B">
      <w:pPr>
        <w:pStyle w:val="ListParagraph"/>
        <w:rPr>
          <w:rFonts w:ascii="Times New Roman" w:hAnsi="Times New Roman" w:cs="Times New Roman"/>
        </w:rPr>
      </w:pPr>
    </w:p>
    <w:p w:rsidR="0090716E" w:rsidRPr="004210EC" w:rsidRDefault="005D727B" w:rsidP="00A364DA">
      <w:pPr>
        <w:pStyle w:val="ListParagraph"/>
        <w:rPr>
          <w:rFonts w:ascii="Times New Roman" w:hAnsi="Times New Roman" w:cs="Times New Roman"/>
        </w:rPr>
      </w:pPr>
      <w:r w:rsidRPr="004210EC">
        <w:rPr>
          <w:rFonts w:ascii="Times New Roman" w:hAnsi="Times New Roman" w:cs="Times New Roman"/>
        </w:rPr>
        <w:t xml:space="preserve">The primary emphasis in developing an approach for collecting national cargo theft statistics was to meet the requirements of the Patriot Act, and to avoid placing major new reporting burdens on </w:t>
      </w:r>
      <w:r w:rsidR="00073656" w:rsidRPr="004210EC">
        <w:rPr>
          <w:rFonts w:ascii="Times New Roman" w:hAnsi="Times New Roman" w:cs="Times New Roman"/>
        </w:rPr>
        <w:t>LEAs</w:t>
      </w:r>
      <w:r w:rsidRPr="004210EC">
        <w:rPr>
          <w:rFonts w:ascii="Times New Roman" w:hAnsi="Times New Roman" w:cs="Times New Roman"/>
        </w:rPr>
        <w:t xml:space="preserve"> contributing data to the FBI UCR Program.  To accomplish this goal, a data collection was developed based on the programs’ existing reporting systems, the NIBRS and the SRS.  Furthermore, the method by which cargo theft is collected by the FBI UCR Program was fully vetted and approved by the FBI’s CJIS Advisory Policy Board (APB) process.</w:t>
      </w:r>
      <w:r w:rsidR="00A364DA" w:rsidRPr="004210EC">
        <w:rPr>
          <w:rFonts w:ascii="Times New Roman" w:hAnsi="Times New Roman" w:cs="Times New Roman"/>
        </w:rPr>
        <w:t xml:space="preserve">  </w:t>
      </w:r>
      <w:r w:rsidRPr="004210EC">
        <w:rPr>
          <w:rFonts w:ascii="Times New Roman" w:hAnsi="Times New Roman" w:cs="Times New Roman"/>
        </w:rPr>
        <w:t>The APB is chartered under the provisions of the Federal Advisory Committee Act of 1972 and is responsible for reviewing appropriate policy, technical, and operational issues related to CJIS Division programs and for providing appropriate guidance and recommendations to the Director of the FBI.  The Advisory Process is conducted twice each calendar year equating the two “rounds.”  Each round is comprised of Working Group meetings, Subcommittee meetings, and the Board.</w:t>
      </w:r>
    </w:p>
    <w:p w:rsidR="005D727B" w:rsidRPr="004210EC" w:rsidRDefault="005D727B" w:rsidP="005D727B">
      <w:pPr>
        <w:pStyle w:val="ListParagraph"/>
        <w:rPr>
          <w:rFonts w:ascii="Times New Roman" w:hAnsi="Times New Roman" w:cs="Times New Roman"/>
        </w:rPr>
      </w:pPr>
    </w:p>
    <w:p w:rsidR="005D727B" w:rsidRPr="004210EC" w:rsidRDefault="005D727B" w:rsidP="005D727B">
      <w:pPr>
        <w:pStyle w:val="ListParagraph"/>
        <w:rPr>
          <w:rFonts w:ascii="Times New Roman" w:hAnsi="Times New Roman" w:cs="Times New Roman"/>
        </w:rPr>
      </w:pPr>
      <w:r w:rsidRPr="004210EC">
        <w:rPr>
          <w:rFonts w:ascii="Times New Roman" w:hAnsi="Times New Roman" w:cs="Times New Roman"/>
        </w:rPr>
        <w:t>The Working Groups review topic papers on operational, policy, and technical issues related to CJIS Division programs and policies and</w:t>
      </w:r>
      <w:r w:rsidR="006109E1" w:rsidRPr="004210EC">
        <w:rPr>
          <w:rFonts w:ascii="Times New Roman" w:hAnsi="Times New Roman" w:cs="Times New Roman"/>
        </w:rPr>
        <w:t xml:space="preserve"> make recommendations to the APB or one of its Subcommittees.  All fifty states, as well as U.S. territories, federal agencies, tribal representatives, and the Royal Canadian Mounted Police are organized into five Working Groups.  Working Group meetings take place once e</w:t>
      </w:r>
      <w:r w:rsidR="007B5EDC">
        <w:rPr>
          <w:rFonts w:ascii="Times New Roman" w:hAnsi="Times New Roman" w:cs="Times New Roman"/>
        </w:rPr>
        <w:t>ach round and are conducted as</w:t>
      </w:r>
      <w:r w:rsidR="006109E1" w:rsidRPr="004210EC">
        <w:rPr>
          <w:rFonts w:ascii="Times New Roman" w:hAnsi="Times New Roman" w:cs="Times New Roman"/>
        </w:rPr>
        <w:t xml:space="preserve"> closed meetings.</w:t>
      </w:r>
    </w:p>
    <w:p w:rsidR="006109E1" w:rsidRPr="004210EC" w:rsidRDefault="006109E1" w:rsidP="005D727B">
      <w:pPr>
        <w:pStyle w:val="ListParagraph"/>
        <w:rPr>
          <w:rFonts w:ascii="Times New Roman" w:hAnsi="Times New Roman" w:cs="Times New Roman"/>
        </w:rPr>
      </w:pPr>
    </w:p>
    <w:p w:rsidR="006109E1" w:rsidRPr="004210EC" w:rsidRDefault="006109E1" w:rsidP="005D727B">
      <w:pPr>
        <w:pStyle w:val="ListParagraph"/>
        <w:rPr>
          <w:rFonts w:ascii="Times New Roman" w:hAnsi="Times New Roman" w:cs="Times New Roman"/>
        </w:rPr>
      </w:pPr>
      <w:r w:rsidRPr="004210EC">
        <w:rPr>
          <w:rFonts w:ascii="Times New Roman" w:hAnsi="Times New Roman" w:cs="Times New Roman"/>
        </w:rPr>
        <w:t xml:space="preserve">The UCR Subcommittee is comprised of APB members and other UCR subject-matter specialists.  The UCR Subcommittee was established to thoroughly review controversial recommendations for the consideration of the entire APB.  The Chair of the APB, in consultation with the Designated Federal Officer (DFO), may invite any governmental or quasi-governmental </w:t>
      </w:r>
      <w:r w:rsidRPr="004210EC">
        <w:rPr>
          <w:rFonts w:ascii="Times New Roman" w:hAnsi="Times New Roman" w:cs="Times New Roman"/>
        </w:rPr>
        <w:lastRenderedPageBreak/>
        <w:t>entity who is involved in CJIS activities to attend any meeting of the CJIS Subcommittees for the purpose of consultation or providing information.  Subcommittee meetings take place at least once each round.</w:t>
      </w:r>
    </w:p>
    <w:p w:rsidR="006109E1" w:rsidRPr="004210EC" w:rsidRDefault="006109E1" w:rsidP="005D727B">
      <w:pPr>
        <w:pStyle w:val="ListParagraph"/>
        <w:rPr>
          <w:rFonts w:ascii="Times New Roman" w:hAnsi="Times New Roman" w:cs="Times New Roman"/>
        </w:rPr>
      </w:pPr>
    </w:p>
    <w:p w:rsidR="006109E1" w:rsidRPr="004210EC" w:rsidRDefault="006109E1" w:rsidP="006109E1">
      <w:pPr>
        <w:pStyle w:val="ListParagraph"/>
        <w:rPr>
          <w:rFonts w:ascii="Times New Roman" w:hAnsi="Times New Roman" w:cs="Times New Roman"/>
        </w:rPr>
      </w:pPr>
      <w:r w:rsidRPr="004210EC">
        <w:rPr>
          <w:rFonts w:ascii="Times New Roman" w:hAnsi="Times New Roman" w:cs="Times New Roman"/>
        </w:rPr>
        <w:t xml:space="preserve">The APB meets at the end of each round or twice during each calendar year.  A notice of these meetings is published in the </w:t>
      </w:r>
      <w:r w:rsidRPr="004210EC">
        <w:rPr>
          <w:rFonts w:ascii="Times New Roman" w:hAnsi="Times New Roman" w:cs="Times New Roman"/>
          <w:i/>
        </w:rPr>
        <w:t>Federal Register</w:t>
      </w:r>
      <w:r w:rsidRPr="004210EC">
        <w:rPr>
          <w:rFonts w:ascii="Times New Roman" w:hAnsi="Times New Roman" w:cs="Times New Roman"/>
        </w:rPr>
        <w:t xml:space="preserve">, and the meetings are conducted in open session unless determined otherwise by the DFO.  The APB is composed of 34 executive representatives from criminal justice agencies and national security agencies throughout the U.S.  The FBI established the CJIS Advisory Process to obtain the user community’s advice and guidance on the development and operation of all CJIS Programs.  The philosophy underlying the advisory process is one of shared management; that is, the FBI along with local, state, tribal, and federal data providers and system users share responsibility for the operation and management of all systems administered by the FBI for the benefit of the criminal justice community.  It ensures law enforcement has the opportunity to discuss and vote on any policy or procedural changes to CJIS systems affecting law enforcement’s ability to share information to the nation.  </w:t>
      </w:r>
    </w:p>
    <w:p w:rsidR="006109E1" w:rsidRPr="004210EC" w:rsidRDefault="006109E1" w:rsidP="006109E1">
      <w:pPr>
        <w:pStyle w:val="ListParagraph"/>
        <w:rPr>
          <w:rFonts w:ascii="Times New Roman" w:hAnsi="Times New Roman" w:cs="Times New Roman"/>
        </w:rPr>
      </w:pPr>
    </w:p>
    <w:p w:rsidR="006109E1" w:rsidRDefault="006109E1" w:rsidP="00DC5DC9">
      <w:pPr>
        <w:pStyle w:val="ListParagraph"/>
        <w:rPr>
          <w:rFonts w:ascii="Times New Roman" w:hAnsi="Times New Roman" w:cs="Times New Roman"/>
        </w:rPr>
      </w:pPr>
      <w:r w:rsidRPr="004210EC">
        <w:rPr>
          <w:rFonts w:ascii="Times New Roman" w:hAnsi="Times New Roman" w:cs="Times New Roman"/>
        </w:rPr>
        <w:t xml:space="preserve">At the 2009 ASUCRP conference, sessions were conducted to field test the </w:t>
      </w:r>
      <w:r w:rsidRPr="007B5EDC">
        <w:rPr>
          <w:rFonts w:ascii="Times New Roman" w:hAnsi="Times New Roman" w:cs="Times New Roman"/>
          <w:i/>
        </w:rPr>
        <w:t>Cargo Theft Incident Report</w:t>
      </w:r>
      <w:r w:rsidRPr="004210EC">
        <w:rPr>
          <w:rFonts w:ascii="Times New Roman" w:hAnsi="Times New Roman" w:cs="Times New Roman"/>
        </w:rPr>
        <w:t xml:space="preserve"> and the Cargo Theft Instructions.  State UCR Program Managers were given cargo theft test scenarios and were tasked with reading the instructions and filling out the Cargo Theft Incident Report.  From this, the FBI’s UCR Program staff reviewed all the comm</w:t>
      </w:r>
      <w:r w:rsidR="00264419" w:rsidRPr="004210EC">
        <w:rPr>
          <w:rFonts w:ascii="Times New Roman" w:hAnsi="Times New Roman" w:cs="Times New Roman"/>
        </w:rPr>
        <w:t>en</w:t>
      </w:r>
      <w:r w:rsidRPr="004210EC">
        <w:rPr>
          <w:rFonts w:ascii="Times New Roman" w:hAnsi="Times New Roman" w:cs="Times New Roman"/>
        </w:rPr>
        <w:t xml:space="preserve">ts, suggestions, and ideas and reviewed the cargo theft form to incorporate the suggested changes.  During implementation, the FBI received feedback to include on the form offense and location codes, which would assist contributors when reporting cargo theft and also reduce data processing errors.  In addition, grammatical errors were identified and verbiage on the original form was not consistent with other FBI UCR information collections.  Instructions were rewritten to be more easily understood.  The </w:t>
      </w:r>
      <w:r w:rsidR="007B5EDC">
        <w:rPr>
          <w:rFonts w:ascii="Times New Roman" w:hAnsi="Times New Roman" w:cs="Times New Roman"/>
        </w:rPr>
        <w:t>C</w:t>
      </w:r>
      <w:r w:rsidRPr="004210EC">
        <w:rPr>
          <w:rFonts w:ascii="Times New Roman" w:hAnsi="Times New Roman" w:cs="Times New Roman"/>
        </w:rPr>
        <w:t xml:space="preserve">argo </w:t>
      </w:r>
      <w:r w:rsidR="007B5EDC">
        <w:rPr>
          <w:rFonts w:ascii="Times New Roman" w:hAnsi="Times New Roman" w:cs="Times New Roman"/>
        </w:rPr>
        <w:t>T</w:t>
      </w:r>
      <w:r w:rsidRPr="004210EC">
        <w:rPr>
          <w:rFonts w:ascii="Times New Roman" w:hAnsi="Times New Roman" w:cs="Times New Roman"/>
        </w:rPr>
        <w:t xml:space="preserve">heft </w:t>
      </w:r>
      <w:r w:rsidR="007B5EDC">
        <w:rPr>
          <w:rFonts w:ascii="Times New Roman" w:hAnsi="Times New Roman" w:cs="Times New Roman"/>
        </w:rPr>
        <w:t>D</w:t>
      </w:r>
      <w:r w:rsidRPr="004210EC">
        <w:rPr>
          <w:rFonts w:ascii="Times New Roman" w:hAnsi="Times New Roman" w:cs="Times New Roman"/>
        </w:rPr>
        <w:t xml:space="preserve">ata </w:t>
      </w:r>
      <w:r w:rsidR="007B5EDC">
        <w:rPr>
          <w:rFonts w:ascii="Times New Roman" w:hAnsi="Times New Roman" w:cs="Times New Roman"/>
        </w:rPr>
        <w:t>C</w:t>
      </w:r>
      <w:r w:rsidRPr="004210EC">
        <w:rPr>
          <w:rFonts w:ascii="Times New Roman" w:hAnsi="Times New Roman" w:cs="Times New Roman"/>
        </w:rPr>
        <w:t xml:space="preserve">ollection has been refined by the FBI’s UCR staff along with law enforcement involvement, and other entities associated with cargo theft to cause the least impact burden on the </w:t>
      </w:r>
      <w:r w:rsidR="00073656" w:rsidRPr="004210EC">
        <w:rPr>
          <w:rFonts w:ascii="Times New Roman" w:hAnsi="Times New Roman" w:cs="Times New Roman"/>
        </w:rPr>
        <w:t>LEAs</w:t>
      </w:r>
      <w:r w:rsidRPr="004210EC">
        <w:rPr>
          <w:rFonts w:ascii="Times New Roman" w:hAnsi="Times New Roman" w:cs="Times New Roman"/>
        </w:rPr>
        <w:t xml:space="preserve">.   </w:t>
      </w:r>
    </w:p>
    <w:p w:rsidR="00DC5DC9" w:rsidRDefault="00DC5DC9" w:rsidP="00DC5DC9">
      <w:pPr>
        <w:pStyle w:val="ListParagraph"/>
        <w:rPr>
          <w:rFonts w:ascii="Times New Roman" w:hAnsi="Times New Roman" w:cs="Times New Roman"/>
        </w:rPr>
      </w:pPr>
    </w:p>
    <w:p w:rsidR="00DC5DC9" w:rsidRPr="00957FC1" w:rsidRDefault="00DC5DC9" w:rsidP="00DC5DC9">
      <w:pPr>
        <w:pStyle w:val="ListParagraph"/>
        <w:rPr>
          <w:rFonts w:ascii="Times New Roman" w:hAnsi="Times New Roman" w:cs="Times New Roman"/>
        </w:rPr>
      </w:pPr>
    </w:p>
    <w:p w:rsidR="00177837" w:rsidRPr="00DC5DC9" w:rsidRDefault="00177837" w:rsidP="00DC5DC9">
      <w:pPr>
        <w:pStyle w:val="ListParagraph"/>
        <w:numPr>
          <w:ilvl w:val="0"/>
          <w:numId w:val="1"/>
        </w:numPr>
        <w:rPr>
          <w:rFonts w:ascii="Times New Roman" w:hAnsi="Times New Roman" w:cs="Times New Roman"/>
        </w:rPr>
      </w:pPr>
      <w:r>
        <w:rPr>
          <w:rFonts w:ascii="Times New Roman" w:hAnsi="Times New Roman" w:cs="Times New Roman"/>
          <w:u w:val="single"/>
        </w:rPr>
        <w:t>Contact Information</w:t>
      </w:r>
    </w:p>
    <w:p w:rsidR="006109E1" w:rsidRPr="00957FC1" w:rsidRDefault="00903444" w:rsidP="00177837">
      <w:pPr>
        <w:pStyle w:val="ListParagraph"/>
        <w:rPr>
          <w:rFonts w:ascii="Times New Roman" w:hAnsi="Times New Roman" w:cs="Times New Roman"/>
        </w:rPr>
      </w:pPr>
      <w:r w:rsidRPr="00957FC1">
        <w:rPr>
          <w:rFonts w:ascii="Times New Roman" w:hAnsi="Times New Roman" w:cs="Times New Roman"/>
        </w:rPr>
        <w:t>SA Christopher Nicholas</w:t>
      </w:r>
    </w:p>
    <w:p w:rsidR="006109E1" w:rsidRPr="00957FC1" w:rsidRDefault="006109E1" w:rsidP="006109E1">
      <w:pPr>
        <w:pStyle w:val="ListParagraph"/>
        <w:rPr>
          <w:rFonts w:ascii="Times New Roman" w:hAnsi="Times New Roman" w:cs="Times New Roman"/>
        </w:rPr>
      </w:pPr>
      <w:r w:rsidRPr="00957FC1">
        <w:rPr>
          <w:rFonts w:ascii="Times New Roman" w:hAnsi="Times New Roman" w:cs="Times New Roman"/>
        </w:rPr>
        <w:t>LESS Chief</w:t>
      </w:r>
    </w:p>
    <w:p w:rsidR="006109E1" w:rsidRPr="00957FC1" w:rsidRDefault="003B1589" w:rsidP="006109E1">
      <w:pPr>
        <w:pStyle w:val="ListParagraph"/>
        <w:rPr>
          <w:rFonts w:ascii="Times New Roman" w:hAnsi="Times New Roman" w:cs="Times New Roman"/>
        </w:rPr>
      </w:pPr>
      <w:hyperlink r:id="rId8" w:history="1">
        <w:r w:rsidR="00903444" w:rsidRPr="00957FC1">
          <w:rPr>
            <w:rStyle w:val="Hyperlink"/>
            <w:rFonts w:ascii="Times New Roman" w:hAnsi="Times New Roman" w:cs="Times New Roman"/>
          </w:rPr>
          <w:t>christopher.nicholas@ic.fbi.gov</w:t>
        </w:r>
      </w:hyperlink>
    </w:p>
    <w:p w:rsidR="006109E1" w:rsidRPr="00957FC1" w:rsidRDefault="006109E1" w:rsidP="006109E1">
      <w:pPr>
        <w:pStyle w:val="ListParagraph"/>
        <w:rPr>
          <w:rFonts w:ascii="Times New Roman" w:hAnsi="Times New Roman" w:cs="Times New Roman"/>
        </w:rPr>
      </w:pPr>
      <w:r w:rsidRPr="00957FC1">
        <w:rPr>
          <w:rFonts w:ascii="Times New Roman" w:hAnsi="Times New Roman" w:cs="Times New Roman"/>
        </w:rPr>
        <w:t xml:space="preserve">304-625-3690   </w:t>
      </w:r>
    </w:p>
    <w:p w:rsidR="006109E1" w:rsidRPr="00957FC1" w:rsidRDefault="006109E1" w:rsidP="006109E1">
      <w:pPr>
        <w:pStyle w:val="ListParagraph"/>
        <w:rPr>
          <w:rFonts w:ascii="Times New Roman" w:hAnsi="Times New Roman" w:cs="Times New Roman"/>
        </w:rPr>
      </w:pPr>
    </w:p>
    <w:p w:rsidR="006109E1" w:rsidRPr="00957FC1" w:rsidRDefault="006109E1" w:rsidP="006109E1">
      <w:pPr>
        <w:pStyle w:val="ListParagraph"/>
        <w:ind w:left="360"/>
        <w:outlineLvl w:val="0"/>
        <w:rPr>
          <w:rFonts w:ascii="Times New Roman" w:hAnsi="Times New Roman" w:cs="Times New Roman"/>
        </w:rPr>
      </w:pPr>
      <w:r w:rsidRPr="00957FC1">
        <w:rPr>
          <w:rFonts w:ascii="Times New Roman" w:hAnsi="Times New Roman" w:cs="Times New Roman"/>
        </w:rPr>
        <w:t xml:space="preserve">     </w:t>
      </w:r>
      <w:r w:rsidRPr="00957FC1">
        <w:rPr>
          <w:rFonts w:ascii="Times New Roman" w:hAnsi="Times New Roman" w:cs="Times New Roman"/>
        </w:rPr>
        <w:tab/>
        <w:t>Samuel Berhanu</w:t>
      </w:r>
    </w:p>
    <w:p w:rsidR="006109E1" w:rsidRPr="00957FC1" w:rsidRDefault="006109E1" w:rsidP="006109E1">
      <w:pPr>
        <w:pStyle w:val="ListParagraph"/>
        <w:ind w:left="360"/>
        <w:rPr>
          <w:rFonts w:ascii="Times New Roman" w:hAnsi="Times New Roman" w:cs="Times New Roman"/>
        </w:rPr>
      </w:pPr>
      <w:r w:rsidRPr="00957FC1">
        <w:rPr>
          <w:rFonts w:ascii="Times New Roman" w:hAnsi="Times New Roman" w:cs="Times New Roman"/>
        </w:rPr>
        <w:tab/>
        <w:t>CSMU Chief</w:t>
      </w:r>
    </w:p>
    <w:p w:rsidR="006109E1" w:rsidRPr="00957FC1" w:rsidRDefault="003B1589" w:rsidP="006109E1">
      <w:pPr>
        <w:pStyle w:val="ListParagraph"/>
        <w:ind w:left="360" w:firstLine="360"/>
        <w:rPr>
          <w:rFonts w:ascii="Times New Roman" w:hAnsi="Times New Roman" w:cs="Times New Roman"/>
        </w:rPr>
      </w:pPr>
      <w:hyperlink r:id="rId9" w:history="1">
        <w:r w:rsidR="006109E1" w:rsidRPr="00957FC1">
          <w:rPr>
            <w:rStyle w:val="Hyperlink"/>
            <w:rFonts w:ascii="Times New Roman" w:hAnsi="Times New Roman" w:cs="Times New Roman"/>
          </w:rPr>
          <w:t>samuel.berhanu@ic.fbi.gov</w:t>
        </w:r>
      </w:hyperlink>
    </w:p>
    <w:p w:rsidR="006109E1" w:rsidRPr="00DB7A72" w:rsidRDefault="007639A2" w:rsidP="00DB7A72">
      <w:pPr>
        <w:pStyle w:val="ListParagraph"/>
        <w:ind w:left="360"/>
        <w:rPr>
          <w:rFonts w:ascii="Times New Roman" w:hAnsi="Times New Roman" w:cs="Times New Roman"/>
        </w:rPr>
      </w:pPr>
      <w:r w:rsidRPr="00957FC1">
        <w:rPr>
          <w:rFonts w:ascii="Times New Roman" w:hAnsi="Times New Roman" w:cs="Times New Roman"/>
        </w:rPr>
        <w:tab/>
        <w:t>304-625-</w:t>
      </w:r>
      <w:r w:rsidR="00824940" w:rsidRPr="00957FC1">
        <w:rPr>
          <w:rFonts w:ascii="Times New Roman" w:hAnsi="Times New Roman" w:cs="Times New Roman"/>
        </w:rPr>
        <w:t>3692</w:t>
      </w:r>
    </w:p>
    <w:p w:rsidR="00DB7A72" w:rsidRDefault="00903444" w:rsidP="006109E1">
      <w:pPr>
        <w:pStyle w:val="ListParagraph"/>
        <w:ind w:left="360"/>
        <w:outlineLvl w:val="0"/>
        <w:rPr>
          <w:rFonts w:ascii="Times New Roman" w:hAnsi="Times New Roman" w:cs="Times New Roman"/>
        </w:rPr>
      </w:pPr>
      <w:r w:rsidRPr="00957FC1">
        <w:rPr>
          <w:rFonts w:ascii="Times New Roman" w:hAnsi="Times New Roman" w:cs="Times New Roman"/>
        </w:rPr>
        <w:tab/>
      </w:r>
    </w:p>
    <w:p w:rsidR="00DB7A72" w:rsidRDefault="00DB7A72" w:rsidP="00DB7A72">
      <w:pPr>
        <w:pStyle w:val="ListParagraph"/>
        <w:ind w:left="360" w:firstLine="360"/>
        <w:outlineLvl w:val="0"/>
        <w:rPr>
          <w:rFonts w:ascii="Times New Roman" w:hAnsi="Times New Roman" w:cs="Times New Roman"/>
        </w:rPr>
      </w:pPr>
    </w:p>
    <w:p w:rsidR="00DB7A72" w:rsidRDefault="00DB7A72" w:rsidP="00DB7A72">
      <w:pPr>
        <w:pStyle w:val="ListParagraph"/>
        <w:ind w:left="360" w:firstLine="360"/>
        <w:outlineLvl w:val="0"/>
        <w:rPr>
          <w:rFonts w:ascii="Times New Roman" w:hAnsi="Times New Roman" w:cs="Times New Roman"/>
        </w:rPr>
      </w:pPr>
    </w:p>
    <w:p w:rsidR="00DB7A72" w:rsidRDefault="00DB7A72" w:rsidP="00DB7A72">
      <w:pPr>
        <w:pStyle w:val="ListParagraph"/>
        <w:ind w:left="360" w:firstLine="360"/>
        <w:outlineLvl w:val="0"/>
        <w:rPr>
          <w:rFonts w:ascii="Times New Roman" w:hAnsi="Times New Roman" w:cs="Times New Roman"/>
        </w:rPr>
      </w:pPr>
    </w:p>
    <w:p w:rsidR="006109E1" w:rsidRPr="00957FC1" w:rsidRDefault="00903444" w:rsidP="00DB7A72">
      <w:pPr>
        <w:pStyle w:val="ListParagraph"/>
        <w:ind w:left="360" w:firstLine="360"/>
        <w:outlineLvl w:val="0"/>
        <w:rPr>
          <w:rFonts w:ascii="Times New Roman" w:hAnsi="Times New Roman" w:cs="Times New Roman"/>
        </w:rPr>
      </w:pPr>
      <w:r w:rsidRPr="00957FC1">
        <w:rPr>
          <w:rFonts w:ascii="Times New Roman" w:hAnsi="Times New Roman" w:cs="Times New Roman"/>
        </w:rPr>
        <w:lastRenderedPageBreak/>
        <w:t>Sammy Demarco</w:t>
      </w:r>
    </w:p>
    <w:p w:rsidR="006109E1" w:rsidRPr="00957FC1" w:rsidRDefault="006109E1" w:rsidP="006109E1">
      <w:pPr>
        <w:pStyle w:val="ListParagraph"/>
        <w:ind w:left="360"/>
        <w:rPr>
          <w:rFonts w:ascii="Times New Roman" w:hAnsi="Times New Roman" w:cs="Times New Roman"/>
        </w:rPr>
      </w:pPr>
      <w:r w:rsidRPr="00957FC1">
        <w:rPr>
          <w:rFonts w:ascii="Times New Roman" w:hAnsi="Times New Roman" w:cs="Times New Roman"/>
        </w:rPr>
        <w:tab/>
        <w:t xml:space="preserve">Supervisory </w:t>
      </w:r>
      <w:r w:rsidR="007639A2" w:rsidRPr="00957FC1">
        <w:rPr>
          <w:rFonts w:ascii="Times New Roman" w:hAnsi="Times New Roman" w:cs="Times New Roman"/>
        </w:rPr>
        <w:t>Management Analyst and Program Analyst</w:t>
      </w:r>
    </w:p>
    <w:p w:rsidR="006109E1" w:rsidRPr="00957FC1" w:rsidRDefault="003B1589" w:rsidP="006109E1">
      <w:pPr>
        <w:pStyle w:val="ListParagraph"/>
        <w:ind w:left="360" w:firstLine="360"/>
        <w:rPr>
          <w:rFonts w:ascii="Times New Roman" w:hAnsi="Times New Roman" w:cs="Times New Roman"/>
        </w:rPr>
      </w:pPr>
      <w:hyperlink r:id="rId10" w:history="1">
        <w:r w:rsidR="00903444" w:rsidRPr="00957FC1">
          <w:rPr>
            <w:rStyle w:val="Hyperlink"/>
            <w:rFonts w:ascii="Times New Roman" w:hAnsi="Times New Roman" w:cs="Times New Roman"/>
          </w:rPr>
          <w:t>sammy.demarco@ic.fbi.gov</w:t>
        </w:r>
      </w:hyperlink>
    </w:p>
    <w:p w:rsidR="006109E1" w:rsidRPr="00957FC1" w:rsidRDefault="007639A2" w:rsidP="006109E1">
      <w:pPr>
        <w:pStyle w:val="ListParagraph"/>
        <w:ind w:left="360"/>
        <w:rPr>
          <w:rFonts w:ascii="Times New Roman" w:hAnsi="Times New Roman" w:cs="Times New Roman"/>
        </w:rPr>
      </w:pPr>
      <w:r w:rsidRPr="00957FC1">
        <w:rPr>
          <w:rFonts w:ascii="Times New Roman" w:hAnsi="Times New Roman" w:cs="Times New Roman"/>
        </w:rPr>
        <w:tab/>
        <w:t>304-625-</w:t>
      </w:r>
      <w:r w:rsidR="00824940" w:rsidRPr="00957FC1">
        <w:rPr>
          <w:rFonts w:ascii="Times New Roman" w:hAnsi="Times New Roman" w:cs="Times New Roman"/>
        </w:rPr>
        <w:t>3551</w:t>
      </w:r>
    </w:p>
    <w:p w:rsidR="006109E1" w:rsidRPr="00957FC1" w:rsidRDefault="006109E1" w:rsidP="006109E1">
      <w:pPr>
        <w:pStyle w:val="ListParagraph"/>
        <w:ind w:left="360"/>
        <w:rPr>
          <w:rFonts w:ascii="Times New Roman" w:hAnsi="Times New Roman" w:cs="Times New Roman"/>
        </w:rPr>
      </w:pPr>
    </w:p>
    <w:p w:rsidR="00957FC1" w:rsidRDefault="006109E1" w:rsidP="006109E1">
      <w:pPr>
        <w:pStyle w:val="ListParagraph"/>
        <w:ind w:left="360"/>
        <w:outlineLvl w:val="0"/>
        <w:rPr>
          <w:rFonts w:ascii="Times New Roman" w:hAnsi="Times New Roman" w:cs="Times New Roman"/>
        </w:rPr>
      </w:pPr>
      <w:r w:rsidRPr="00957FC1">
        <w:rPr>
          <w:rFonts w:ascii="Times New Roman" w:hAnsi="Times New Roman" w:cs="Times New Roman"/>
        </w:rPr>
        <w:tab/>
      </w:r>
      <w:r w:rsidR="00957FC1">
        <w:rPr>
          <w:rFonts w:ascii="Times New Roman" w:hAnsi="Times New Roman" w:cs="Times New Roman"/>
        </w:rPr>
        <w:t>Lora Klingensmith</w:t>
      </w:r>
    </w:p>
    <w:p w:rsidR="00957FC1" w:rsidRDefault="00957FC1" w:rsidP="00957FC1">
      <w:pPr>
        <w:pStyle w:val="ListParagraph"/>
        <w:ind w:left="360" w:firstLine="360"/>
        <w:outlineLvl w:val="0"/>
        <w:rPr>
          <w:rFonts w:ascii="Times New Roman" w:hAnsi="Times New Roman" w:cs="Times New Roman"/>
        </w:rPr>
      </w:pPr>
      <w:r>
        <w:rPr>
          <w:rFonts w:ascii="Times New Roman" w:hAnsi="Times New Roman" w:cs="Times New Roman"/>
        </w:rPr>
        <w:t>Management Analyst and Program Analyst</w:t>
      </w:r>
    </w:p>
    <w:p w:rsidR="00957FC1" w:rsidRDefault="003B1589" w:rsidP="00957FC1">
      <w:pPr>
        <w:pStyle w:val="ListParagraph"/>
        <w:ind w:left="360" w:firstLine="360"/>
        <w:outlineLvl w:val="0"/>
        <w:rPr>
          <w:rFonts w:ascii="Times New Roman" w:hAnsi="Times New Roman" w:cs="Times New Roman"/>
        </w:rPr>
      </w:pPr>
      <w:hyperlink r:id="rId11" w:history="1">
        <w:r w:rsidR="00957FC1" w:rsidRPr="00442CCB">
          <w:rPr>
            <w:rStyle w:val="Hyperlink"/>
            <w:rFonts w:ascii="Times New Roman" w:hAnsi="Times New Roman" w:cs="Times New Roman"/>
          </w:rPr>
          <w:t>lora.klingensmith@ic.fbi.gov</w:t>
        </w:r>
      </w:hyperlink>
    </w:p>
    <w:p w:rsidR="00957FC1" w:rsidRDefault="00957FC1" w:rsidP="00957FC1">
      <w:pPr>
        <w:pStyle w:val="ListParagraph"/>
        <w:ind w:left="360" w:firstLine="360"/>
        <w:outlineLvl w:val="0"/>
        <w:rPr>
          <w:rFonts w:ascii="Times New Roman" w:hAnsi="Times New Roman" w:cs="Times New Roman"/>
        </w:rPr>
      </w:pPr>
      <w:r>
        <w:rPr>
          <w:rFonts w:ascii="Times New Roman" w:hAnsi="Times New Roman" w:cs="Times New Roman"/>
        </w:rPr>
        <w:t>304-625-</w:t>
      </w:r>
      <w:r w:rsidR="00DC5DC9">
        <w:rPr>
          <w:rFonts w:ascii="Times New Roman" w:hAnsi="Times New Roman" w:cs="Times New Roman"/>
        </w:rPr>
        <w:t>4073</w:t>
      </w:r>
    </w:p>
    <w:p w:rsidR="00957FC1" w:rsidRDefault="00957FC1" w:rsidP="00957FC1">
      <w:pPr>
        <w:pStyle w:val="ListParagraph"/>
        <w:ind w:left="360" w:firstLine="360"/>
        <w:outlineLvl w:val="0"/>
        <w:rPr>
          <w:rFonts w:ascii="Times New Roman" w:hAnsi="Times New Roman" w:cs="Times New Roman"/>
        </w:rPr>
      </w:pPr>
    </w:p>
    <w:p w:rsidR="006109E1" w:rsidRPr="00957FC1" w:rsidRDefault="006109E1" w:rsidP="00957FC1">
      <w:pPr>
        <w:pStyle w:val="ListParagraph"/>
        <w:ind w:left="360" w:firstLine="360"/>
        <w:outlineLvl w:val="0"/>
        <w:rPr>
          <w:rFonts w:ascii="Times New Roman" w:hAnsi="Times New Roman" w:cs="Times New Roman"/>
        </w:rPr>
      </w:pPr>
      <w:r w:rsidRPr="00957FC1">
        <w:rPr>
          <w:rFonts w:ascii="Times New Roman" w:hAnsi="Times New Roman" w:cs="Times New Roman"/>
        </w:rPr>
        <w:t>Kristi L. Donahue</w:t>
      </w:r>
    </w:p>
    <w:p w:rsidR="006109E1" w:rsidRPr="00957FC1" w:rsidRDefault="006109E1" w:rsidP="006109E1">
      <w:pPr>
        <w:pStyle w:val="ListParagraph"/>
        <w:ind w:left="360"/>
        <w:rPr>
          <w:rFonts w:ascii="Times New Roman" w:hAnsi="Times New Roman" w:cs="Times New Roman"/>
        </w:rPr>
      </w:pPr>
      <w:r w:rsidRPr="00957FC1">
        <w:rPr>
          <w:rFonts w:ascii="Times New Roman" w:hAnsi="Times New Roman" w:cs="Times New Roman"/>
        </w:rPr>
        <w:tab/>
        <w:t>Management Analyst and Pro</w:t>
      </w:r>
      <w:r w:rsidR="007639A2" w:rsidRPr="00957FC1">
        <w:rPr>
          <w:rFonts w:ascii="Times New Roman" w:hAnsi="Times New Roman" w:cs="Times New Roman"/>
        </w:rPr>
        <w:t>gram Analyst</w:t>
      </w:r>
      <w:r w:rsidRPr="00957FC1">
        <w:rPr>
          <w:rFonts w:ascii="Times New Roman" w:hAnsi="Times New Roman" w:cs="Times New Roman"/>
        </w:rPr>
        <w:t xml:space="preserve"> </w:t>
      </w:r>
    </w:p>
    <w:p w:rsidR="006109E1" w:rsidRPr="00957FC1" w:rsidRDefault="003B1589" w:rsidP="006109E1">
      <w:pPr>
        <w:pStyle w:val="ListParagraph"/>
        <w:ind w:left="360" w:firstLine="360"/>
        <w:rPr>
          <w:rFonts w:ascii="Times New Roman" w:hAnsi="Times New Roman" w:cs="Times New Roman"/>
        </w:rPr>
      </w:pPr>
      <w:hyperlink r:id="rId12" w:history="1">
        <w:r w:rsidR="00957FC1" w:rsidRPr="00442CCB">
          <w:rPr>
            <w:rStyle w:val="Hyperlink"/>
            <w:rFonts w:ascii="Times New Roman" w:hAnsi="Times New Roman" w:cs="Times New Roman"/>
          </w:rPr>
          <w:t>kristi.donahue@ic.fbi.gov</w:t>
        </w:r>
      </w:hyperlink>
      <w:r w:rsidR="006109E1" w:rsidRPr="00957FC1">
        <w:rPr>
          <w:rFonts w:ascii="Times New Roman" w:hAnsi="Times New Roman" w:cs="Times New Roman"/>
        </w:rPr>
        <w:t xml:space="preserve"> </w:t>
      </w:r>
      <w:r w:rsidR="006109E1" w:rsidRPr="00957FC1">
        <w:rPr>
          <w:rFonts w:ascii="Times New Roman" w:hAnsi="Times New Roman" w:cs="Times New Roman"/>
        </w:rPr>
        <w:tab/>
      </w:r>
    </w:p>
    <w:p w:rsidR="006109E1" w:rsidRPr="00957FC1" w:rsidRDefault="007639A2" w:rsidP="006109E1">
      <w:pPr>
        <w:pStyle w:val="ListParagraph"/>
        <w:ind w:left="360" w:firstLine="360"/>
        <w:rPr>
          <w:rFonts w:ascii="Times New Roman" w:hAnsi="Times New Roman" w:cs="Times New Roman"/>
        </w:rPr>
      </w:pPr>
      <w:r w:rsidRPr="00957FC1">
        <w:rPr>
          <w:rFonts w:ascii="Times New Roman" w:hAnsi="Times New Roman" w:cs="Times New Roman"/>
        </w:rPr>
        <w:t>304-625-2972</w:t>
      </w:r>
    </w:p>
    <w:p w:rsidR="00A33699" w:rsidRPr="00957FC1" w:rsidRDefault="00A33699" w:rsidP="00A33699">
      <w:pPr>
        <w:rPr>
          <w:rFonts w:ascii="Times New Roman" w:hAnsi="Times New Roman" w:cs="Times New Roman"/>
        </w:rPr>
      </w:pPr>
    </w:p>
    <w:sectPr w:rsidR="00A33699" w:rsidRPr="00957FC1" w:rsidSect="00DB7A72">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589" w:rsidRDefault="003B1589" w:rsidP="00DB7A72">
      <w:pPr>
        <w:spacing w:after="0" w:line="240" w:lineRule="auto"/>
      </w:pPr>
      <w:r>
        <w:separator/>
      </w:r>
    </w:p>
  </w:endnote>
  <w:endnote w:type="continuationSeparator" w:id="0">
    <w:p w:rsidR="003B1589" w:rsidRDefault="003B1589" w:rsidP="00DB7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1592828"/>
      <w:docPartObj>
        <w:docPartGallery w:val="Page Numbers (Bottom of Page)"/>
        <w:docPartUnique/>
      </w:docPartObj>
    </w:sdtPr>
    <w:sdtEndPr>
      <w:rPr>
        <w:noProof/>
      </w:rPr>
    </w:sdtEndPr>
    <w:sdtContent>
      <w:p w:rsidR="00DB7A72" w:rsidRDefault="00DB7A72">
        <w:pPr>
          <w:pStyle w:val="Footer"/>
          <w:jc w:val="center"/>
        </w:pPr>
        <w:r>
          <w:fldChar w:fldCharType="begin"/>
        </w:r>
        <w:r>
          <w:instrText xml:space="preserve"> PAGE   \* MERGEFORMAT </w:instrText>
        </w:r>
        <w:r>
          <w:fldChar w:fldCharType="separate"/>
        </w:r>
        <w:r w:rsidR="00554ADE">
          <w:rPr>
            <w:noProof/>
          </w:rPr>
          <w:t>2</w:t>
        </w:r>
        <w:r>
          <w:rPr>
            <w:noProof/>
          </w:rPr>
          <w:fldChar w:fldCharType="end"/>
        </w:r>
      </w:p>
    </w:sdtContent>
  </w:sdt>
  <w:p w:rsidR="00DB7A72" w:rsidRDefault="00DB7A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589" w:rsidRDefault="003B1589" w:rsidP="00DB7A72">
      <w:pPr>
        <w:spacing w:after="0" w:line="240" w:lineRule="auto"/>
      </w:pPr>
      <w:r>
        <w:separator/>
      </w:r>
    </w:p>
  </w:footnote>
  <w:footnote w:type="continuationSeparator" w:id="0">
    <w:p w:rsidR="003B1589" w:rsidRDefault="003B1589" w:rsidP="00DB7A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A10DB"/>
    <w:multiLevelType w:val="hybridMultilevel"/>
    <w:tmpl w:val="99CE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4732EC"/>
    <w:multiLevelType w:val="hybridMultilevel"/>
    <w:tmpl w:val="660683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3915C8"/>
    <w:multiLevelType w:val="hybridMultilevel"/>
    <w:tmpl w:val="92204D3A"/>
    <w:lvl w:ilvl="0" w:tplc="45F8D1C2">
      <w:start w:val="304"/>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149000C"/>
    <w:multiLevelType w:val="hybridMultilevel"/>
    <w:tmpl w:val="13E809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8E031C5"/>
    <w:multiLevelType w:val="hybridMultilevel"/>
    <w:tmpl w:val="BA304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E6F"/>
    <w:rsid w:val="00073656"/>
    <w:rsid w:val="00087684"/>
    <w:rsid w:val="000C0D3A"/>
    <w:rsid w:val="000D0642"/>
    <w:rsid w:val="000D428F"/>
    <w:rsid w:val="000F2DAD"/>
    <w:rsid w:val="00172AC0"/>
    <w:rsid w:val="00176E6F"/>
    <w:rsid w:val="00177837"/>
    <w:rsid w:val="00196614"/>
    <w:rsid w:val="00264419"/>
    <w:rsid w:val="00267272"/>
    <w:rsid w:val="002919DA"/>
    <w:rsid w:val="003020DA"/>
    <w:rsid w:val="00302552"/>
    <w:rsid w:val="003109D9"/>
    <w:rsid w:val="003605FB"/>
    <w:rsid w:val="003607BD"/>
    <w:rsid w:val="00387487"/>
    <w:rsid w:val="003B1589"/>
    <w:rsid w:val="003F1F84"/>
    <w:rsid w:val="004210EC"/>
    <w:rsid w:val="00421C3F"/>
    <w:rsid w:val="004564DC"/>
    <w:rsid w:val="004F2C34"/>
    <w:rsid w:val="00504E68"/>
    <w:rsid w:val="00554ADE"/>
    <w:rsid w:val="00556BC4"/>
    <w:rsid w:val="00573F2C"/>
    <w:rsid w:val="00583612"/>
    <w:rsid w:val="005B2829"/>
    <w:rsid w:val="005D727B"/>
    <w:rsid w:val="005E52A0"/>
    <w:rsid w:val="006109E1"/>
    <w:rsid w:val="00620A3F"/>
    <w:rsid w:val="00653F40"/>
    <w:rsid w:val="006A49AE"/>
    <w:rsid w:val="00704926"/>
    <w:rsid w:val="007639A2"/>
    <w:rsid w:val="00763D79"/>
    <w:rsid w:val="007A4FB0"/>
    <w:rsid w:val="007B172D"/>
    <w:rsid w:val="007B5EDC"/>
    <w:rsid w:val="00824940"/>
    <w:rsid w:val="00852B27"/>
    <w:rsid w:val="00866F0D"/>
    <w:rsid w:val="00867C71"/>
    <w:rsid w:val="00873C6B"/>
    <w:rsid w:val="00876DF4"/>
    <w:rsid w:val="00887EDE"/>
    <w:rsid w:val="008D10FA"/>
    <w:rsid w:val="00903444"/>
    <w:rsid w:val="0090716E"/>
    <w:rsid w:val="009112A7"/>
    <w:rsid w:val="0092289E"/>
    <w:rsid w:val="00957FC1"/>
    <w:rsid w:val="009A1D94"/>
    <w:rsid w:val="009D50C4"/>
    <w:rsid w:val="009E2260"/>
    <w:rsid w:val="00A33699"/>
    <w:rsid w:val="00A364DA"/>
    <w:rsid w:val="00A84732"/>
    <w:rsid w:val="00AC15F6"/>
    <w:rsid w:val="00AD4E86"/>
    <w:rsid w:val="00B13D7C"/>
    <w:rsid w:val="00B565CA"/>
    <w:rsid w:val="00B8375C"/>
    <w:rsid w:val="00BB0E40"/>
    <w:rsid w:val="00C26CF6"/>
    <w:rsid w:val="00C70523"/>
    <w:rsid w:val="00C907DC"/>
    <w:rsid w:val="00CA2D31"/>
    <w:rsid w:val="00CB791D"/>
    <w:rsid w:val="00D5290F"/>
    <w:rsid w:val="00D819F0"/>
    <w:rsid w:val="00DB7A72"/>
    <w:rsid w:val="00DC5DC9"/>
    <w:rsid w:val="00DE3E4E"/>
    <w:rsid w:val="00DE7E9B"/>
    <w:rsid w:val="00E332BD"/>
    <w:rsid w:val="00EE678C"/>
    <w:rsid w:val="00F34320"/>
    <w:rsid w:val="00F70BB4"/>
    <w:rsid w:val="00FC1D4D"/>
    <w:rsid w:val="00FD5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BFF61A-32D1-4732-9B85-66CDE92F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E6F"/>
    <w:pPr>
      <w:ind w:left="720"/>
      <w:contextualSpacing/>
    </w:pPr>
  </w:style>
  <w:style w:type="character" w:styleId="Hyperlink">
    <w:name w:val="Hyperlink"/>
    <w:basedOn w:val="DefaultParagraphFont"/>
    <w:uiPriority w:val="99"/>
    <w:unhideWhenUsed/>
    <w:rsid w:val="006109E1"/>
    <w:rPr>
      <w:color w:val="0000FF"/>
      <w:u w:val="single"/>
    </w:rPr>
  </w:style>
  <w:style w:type="paragraph" w:styleId="BalloonText">
    <w:name w:val="Balloon Text"/>
    <w:basedOn w:val="Normal"/>
    <w:link w:val="BalloonTextChar"/>
    <w:uiPriority w:val="99"/>
    <w:semiHidden/>
    <w:unhideWhenUsed/>
    <w:rsid w:val="003109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9D9"/>
    <w:rPr>
      <w:rFonts w:ascii="Tahoma" w:hAnsi="Tahoma" w:cs="Tahoma"/>
      <w:sz w:val="16"/>
      <w:szCs w:val="16"/>
    </w:rPr>
  </w:style>
  <w:style w:type="table" w:styleId="TableGrid">
    <w:name w:val="Table Grid"/>
    <w:basedOn w:val="TableNormal"/>
    <w:uiPriority w:val="59"/>
    <w:rsid w:val="00267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A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7A72"/>
  </w:style>
  <w:style w:type="paragraph" w:styleId="Footer">
    <w:name w:val="footer"/>
    <w:basedOn w:val="Normal"/>
    <w:link w:val="FooterChar"/>
    <w:uiPriority w:val="99"/>
    <w:unhideWhenUsed/>
    <w:rsid w:val="00DB7A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7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opher.nicholas@ic.fbi.go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risti.donahue@ic.fbi.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a.klingensmith@ic.fbi.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ammy.demarco@ic.fbi.gov" TargetMode="External"/><Relationship Id="rId4" Type="http://schemas.openxmlformats.org/officeDocument/2006/relationships/settings" Target="settings.xml"/><Relationship Id="rId9" Type="http://schemas.openxmlformats.org/officeDocument/2006/relationships/hyperlink" Target="mailto:samuel.berhanu@ic.fbi.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B4A63-81C8-4FE0-A071-29C842B9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2393</Words>
  <Characters>13644</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FBI - CJIS Division</Company>
  <LinksUpToDate>false</LinksUpToDate>
  <CharactersWithSpaces>16005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Donahue, Kristi L</dc:creator>
  <cp:lastModifiedBy>admejiagarcia</cp:lastModifiedBy>
  <cp:revision>3</cp:revision>
  <cp:lastPrinted>2015-08-06T17:49:00Z</cp:lastPrinted>
  <dcterms:created xsi:type="dcterms:W3CDTF">2016-09-19T17:23:00Z</dcterms:created>
  <dcterms:modified xsi:type="dcterms:W3CDTF">2016-09-19T17:23:00Z</dcterms:modified>
</cp:coreProperties>
</file>