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DF" w:rsidRPr="00CD18DF" w:rsidRDefault="00CD18DF" w:rsidP="00CD18DF">
      <w:pPr>
        <w:keepNext/>
        <w:keepLines/>
        <w:spacing w:before="240" w:line="240" w:lineRule="auto"/>
        <w:outlineLvl w:val="0"/>
        <w:rPr>
          <w:rFonts w:ascii="Garamond" w:eastAsiaTheme="majorEastAsia" w:hAnsi="Garamond" w:cs="Times New Roman"/>
          <w:b/>
          <w:spacing w:val="1"/>
          <w:sz w:val="28"/>
          <w:szCs w:val="28"/>
          <w:highlight w:val="yellow"/>
        </w:rPr>
      </w:pPr>
      <w:bookmarkStart w:id="0" w:name="_Toc446341568"/>
      <w:r w:rsidRPr="00CD18DF">
        <w:rPr>
          <w:rFonts w:ascii="Garamond" w:eastAsiaTheme="majorEastAsia" w:hAnsi="Garamond" w:cs="Times New Roman"/>
          <w:b/>
          <w:spacing w:val="1"/>
          <w:sz w:val="28"/>
          <w:szCs w:val="28"/>
        </w:rPr>
        <w:t>B.  COLLECTION OF INFORMATION EMPLOYING STATISTICAL METHODS</w:t>
      </w:r>
      <w:bookmarkEnd w:id="0"/>
      <w:r w:rsidRPr="00CD18DF">
        <w:rPr>
          <w:rFonts w:ascii="Garamond" w:eastAsiaTheme="majorEastAsia" w:hAnsi="Garamond" w:cs="Times New Roman"/>
          <w:b/>
          <w:spacing w:val="1"/>
          <w:sz w:val="28"/>
          <w:szCs w:val="28"/>
        </w:rPr>
        <w:t xml:space="preserve"> </w:t>
      </w:r>
    </w:p>
    <w:p w:rsidR="00CD18DF" w:rsidRPr="00CD18DF" w:rsidRDefault="00CD18DF" w:rsidP="00CD18DF">
      <w:pPr>
        <w:spacing w:line="240" w:lineRule="auto"/>
        <w:jc w:val="both"/>
        <w:rPr>
          <w:rFonts w:ascii="Garamond" w:eastAsia="Times New Roman" w:hAnsi="Garamond" w:cs="Times New Roman"/>
          <w:bCs/>
          <w:sz w:val="24"/>
          <w:szCs w:val="24"/>
        </w:rPr>
      </w:pPr>
      <w:r w:rsidRPr="00CD18DF">
        <w:rPr>
          <w:rFonts w:ascii="Garamond" w:eastAsia="Times New Roman" w:hAnsi="Garamond" w:cs="Times New Roman"/>
          <w:bCs/>
          <w:sz w:val="24"/>
          <w:szCs w:val="24"/>
        </w:rPr>
        <w:t xml:space="preserve">The survey and semi-structured interviews are being administered to collect information about the impact of the </w:t>
      </w:r>
      <w:proofErr w:type="spellStart"/>
      <w:r w:rsidRPr="00CD18DF">
        <w:rPr>
          <w:rFonts w:ascii="Garamond" w:eastAsia="Times New Roman" w:hAnsi="Garamond" w:cs="Times New Roman"/>
          <w:bCs/>
          <w:sz w:val="24"/>
          <w:szCs w:val="24"/>
        </w:rPr>
        <w:t>WHLI</w:t>
      </w:r>
      <w:proofErr w:type="spellEnd"/>
      <w:r w:rsidRPr="00CD18DF">
        <w:rPr>
          <w:rFonts w:ascii="Garamond" w:eastAsia="Times New Roman" w:hAnsi="Garamond" w:cs="Times New Roman"/>
          <w:bCs/>
          <w:sz w:val="24"/>
          <w:szCs w:val="24"/>
        </w:rPr>
        <w:t xml:space="preserve">. The survey will be administered to the </w:t>
      </w:r>
      <w:proofErr w:type="spellStart"/>
      <w:r w:rsidRPr="00CD18DF">
        <w:rPr>
          <w:rFonts w:ascii="Garamond" w:eastAsia="Times New Roman" w:hAnsi="Garamond" w:cs="Times New Roman"/>
          <w:bCs/>
          <w:sz w:val="24"/>
          <w:szCs w:val="24"/>
        </w:rPr>
        <w:t>CHW</w:t>
      </w:r>
      <w:proofErr w:type="spellEnd"/>
      <w:r w:rsidRPr="00CD18DF">
        <w:rPr>
          <w:rFonts w:ascii="Garamond" w:eastAsia="Times New Roman" w:hAnsi="Garamond" w:cs="Times New Roman"/>
          <w:bCs/>
          <w:sz w:val="24"/>
          <w:szCs w:val="24"/>
        </w:rPr>
        <w:t xml:space="preserve"> population, while semi-structured interviews will be conducted with a total of five samples (two groups of </w:t>
      </w:r>
      <w:proofErr w:type="spellStart"/>
      <w:r w:rsidRPr="00CD18DF">
        <w:rPr>
          <w:rFonts w:ascii="Garamond" w:eastAsia="Times New Roman" w:hAnsi="Garamond" w:cs="Times New Roman"/>
          <w:bCs/>
          <w:sz w:val="24"/>
          <w:szCs w:val="24"/>
        </w:rPr>
        <w:t>CHWs</w:t>
      </w:r>
      <w:proofErr w:type="spellEnd"/>
      <w:r w:rsidRPr="00CD18DF">
        <w:rPr>
          <w:rFonts w:ascii="Garamond" w:eastAsia="Times New Roman" w:hAnsi="Garamond" w:cs="Times New Roman"/>
          <w:bCs/>
          <w:sz w:val="24"/>
          <w:szCs w:val="24"/>
        </w:rPr>
        <w:t xml:space="preserve">, MT, supervisors, and stakeholders). </w:t>
      </w:r>
    </w:p>
    <w:p w:rsidR="00CD18DF" w:rsidRPr="00CD18DF" w:rsidRDefault="00CD18DF" w:rsidP="00CD18DF">
      <w:pPr>
        <w:keepNext/>
        <w:keepLines/>
        <w:spacing w:before="240" w:line="240" w:lineRule="auto"/>
        <w:outlineLvl w:val="0"/>
        <w:rPr>
          <w:rFonts w:ascii="Garamond" w:eastAsia="Calibri" w:hAnsi="Garamond" w:cs="Times New Roman"/>
          <w:b/>
          <w:i/>
          <w:spacing w:val="1"/>
          <w:sz w:val="24"/>
          <w:szCs w:val="24"/>
        </w:rPr>
      </w:pPr>
      <w:bookmarkStart w:id="1" w:name="_Toc446341569"/>
      <w:r w:rsidRPr="00CD18DF">
        <w:rPr>
          <w:rFonts w:ascii="Garamond" w:eastAsia="Calibri" w:hAnsi="Garamond" w:cs="Times New Roman"/>
          <w:b/>
          <w:i/>
          <w:spacing w:val="1"/>
          <w:sz w:val="24"/>
          <w:szCs w:val="24"/>
          <w:lang w:val="en"/>
        </w:rPr>
        <w:t>1.</w:t>
      </w:r>
      <w:r w:rsidRPr="00CD18DF">
        <w:rPr>
          <w:rFonts w:ascii="Garamond" w:eastAsia="Calibri" w:hAnsi="Garamond" w:cs="Times New Roman"/>
          <w:b/>
          <w:i/>
          <w:spacing w:val="1"/>
          <w:sz w:val="24"/>
          <w:szCs w:val="24"/>
        </w:rPr>
        <w:t xml:space="preserve">  Respondent Universe and Sampling Methods</w:t>
      </w:r>
      <w:bookmarkEnd w:id="1"/>
    </w:p>
    <w:p w:rsidR="00CD18DF" w:rsidRPr="00CD18DF" w:rsidRDefault="00CD18DF" w:rsidP="00CD18DF">
      <w:pPr>
        <w:spacing w:after="120"/>
        <w:rPr>
          <w:rFonts w:ascii="Garamond" w:eastAsia="Times New Roman" w:hAnsi="Garamond" w:cs="Times New Roman"/>
          <w:sz w:val="24"/>
          <w:szCs w:val="20"/>
        </w:rPr>
      </w:pPr>
      <w:proofErr w:type="gramStart"/>
      <w:r w:rsidRPr="00CD18DF">
        <w:rPr>
          <w:rFonts w:ascii="Garamond" w:eastAsia="Times New Roman" w:hAnsi="Garamond" w:cs="Times New Roman"/>
          <w:sz w:val="24"/>
          <w:szCs w:val="20"/>
          <w:lang w:val="en"/>
        </w:rPr>
        <w:t>Exhibit 4 below presents the respondent groups and number of respondents from each group that will be sampled for both the survey and semi-structured interviews.</w:t>
      </w:r>
      <w:proofErr w:type="gramEnd"/>
    </w:p>
    <w:p w:rsidR="00CD18DF" w:rsidRPr="00CD18DF" w:rsidRDefault="00CD18DF" w:rsidP="00CD18DF">
      <w:pPr>
        <w:spacing w:after="0"/>
        <w:rPr>
          <w:rFonts w:ascii="Garamond" w:eastAsia="Times New Roman" w:hAnsi="Garamond" w:cs="Times New Roman"/>
          <w:i/>
          <w:sz w:val="24"/>
          <w:szCs w:val="20"/>
        </w:rPr>
      </w:pPr>
      <w:r w:rsidRPr="00CD18DF">
        <w:rPr>
          <w:rFonts w:ascii="Garamond" w:eastAsia="Times New Roman" w:hAnsi="Garamond" w:cs="Times New Roman"/>
          <w:i/>
          <w:sz w:val="24"/>
          <w:szCs w:val="20"/>
        </w:rPr>
        <w:t>Online Survey</w:t>
      </w:r>
    </w:p>
    <w:p w:rsidR="00CD18DF" w:rsidRPr="00CD18DF" w:rsidRDefault="00CD18DF" w:rsidP="00CD18DF">
      <w:pPr>
        <w:spacing w:after="120"/>
        <w:rPr>
          <w:rFonts w:ascii="Garamond" w:eastAsia="Times New Roman" w:hAnsi="Garamond" w:cs="Times New Roman"/>
          <w:sz w:val="24"/>
          <w:szCs w:val="20"/>
        </w:rPr>
      </w:pPr>
      <w:r w:rsidRPr="00CD18DF">
        <w:rPr>
          <w:rFonts w:ascii="Garamond" w:eastAsia="Times New Roman" w:hAnsi="Garamond" w:cs="Times New Roman"/>
          <w:sz w:val="24"/>
          <w:szCs w:val="20"/>
        </w:rPr>
        <w:t xml:space="preserve">For the online survey, given the relatively small number of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who participated in the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training and the potential challenges of locating them, we propose to survey the entire population, i.e. all 422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who participated in the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training.  Contact information for approximately half of the 422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who were trained under the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has been provided by </w:t>
      </w:r>
      <w:proofErr w:type="spellStart"/>
      <w:r w:rsidRPr="00CD18DF">
        <w:rPr>
          <w:rFonts w:ascii="Garamond" w:eastAsia="Times New Roman" w:hAnsi="Garamond" w:cs="Times New Roman"/>
          <w:sz w:val="24"/>
          <w:szCs w:val="20"/>
        </w:rPr>
        <w:t>OWH</w:t>
      </w:r>
      <w:proofErr w:type="spellEnd"/>
      <w:r w:rsidRPr="00CD18DF">
        <w:rPr>
          <w:rFonts w:ascii="Garamond" w:eastAsia="Times New Roman" w:hAnsi="Garamond" w:cs="Times New Roman"/>
          <w:sz w:val="24"/>
          <w:szCs w:val="20"/>
        </w:rPr>
        <w:t>. We plan to use locating procedures, i.e., a batch search using LexisNexis Accurint (</w:t>
      </w:r>
      <w:hyperlink r:id="rId7" w:history="1">
        <w:r w:rsidRPr="00CD18DF">
          <w:rPr>
            <w:rFonts w:ascii="Garamond" w:eastAsia="Times New Roman" w:hAnsi="Garamond" w:cs="Times New Roman"/>
            <w:color w:val="0000FF" w:themeColor="hyperlink"/>
            <w:sz w:val="24"/>
            <w:szCs w:val="20"/>
            <w:u w:val="single"/>
          </w:rPr>
          <w:t>http://www.accurint.com/</w:t>
        </w:r>
      </w:hyperlink>
      <w:r w:rsidRPr="00CD18DF">
        <w:rPr>
          <w:rFonts w:ascii="Garamond" w:eastAsia="Times New Roman" w:hAnsi="Garamond" w:cs="Times New Roman"/>
          <w:sz w:val="24"/>
          <w:szCs w:val="20"/>
        </w:rPr>
        <w:t xml:space="preserve">) followed by case-level locating for non-responders, to identify contact information for as many of the remaining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as possible. </w:t>
      </w:r>
    </w:p>
    <w:p w:rsidR="00CD18DF" w:rsidRPr="00CD18DF" w:rsidRDefault="00CD18DF" w:rsidP="00CD18DF">
      <w:pPr>
        <w:spacing w:after="0"/>
        <w:rPr>
          <w:rFonts w:ascii="Garamond" w:eastAsia="Times New Roman" w:hAnsi="Garamond" w:cs="Times New Roman"/>
          <w:i/>
          <w:sz w:val="24"/>
          <w:szCs w:val="20"/>
        </w:rPr>
      </w:pPr>
      <w:r w:rsidRPr="00CD18DF">
        <w:rPr>
          <w:rFonts w:ascii="Garamond" w:eastAsia="Times New Roman" w:hAnsi="Garamond" w:cs="Times New Roman"/>
          <w:i/>
          <w:sz w:val="24"/>
          <w:szCs w:val="20"/>
        </w:rPr>
        <w:t>Semi-structured Interviews</w:t>
      </w:r>
    </w:p>
    <w:p w:rsidR="00CD18DF" w:rsidRPr="00CD18DF" w:rsidRDefault="00CD18DF" w:rsidP="00CD18DF">
      <w:pPr>
        <w:spacing w:after="120"/>
        <w:rPr>
          <w:rFonts w:ascii="Garamond" w:eastAsia="Times New Roman" w:hAnsi="Garamond" w:cs="Times New Roman"/>
          <w:szCs w:val="20"/>
        </w:rPr>
      </w:pPr>
      <w:r w:rsidRPr="00CD18DF">
        <w:rPr>
          <w:rFonts w:ascii="Garamond" w:eastAsia="Times New Roman" w:hAnsi="Garamond" w:cs="Times New Roman"/>
          <w:sz w:val="24"/>
          <w:szCs w:val="20"/>
        </w:rPr>
        <w:t xml:space="preserve">Interviews will be conducted with five different respondent groups: two groups of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t>
      </w:r>
      <w:proofErr w:type="spellStart"/>
      <w:r w:rsidRPr="00CD18DF">
        <w:rPr>
          <w:rFonts w:ascii="Garamond" w:eastAsia="Times New Roman" w:hAnsi="Garamond" w:cs="Times New Roman"/>
          <w:sz w:val="24"/>
          <w:szCs w:val="20"/>
        </w:rPr>
        <w:t>MTs</w:t>
      </w:r>
      <w:proofErr w:type="spellEnd"/>
      <w:r w:rsidRPr="00CD18DF">
        <w:rPr>
          <w:rFonts w:ascii="Garamond" w:eastAsia="Times New Roman" w:hAnsi="Garamond" w:cs="Times New Roman"/>
          <w:sz w:val="24"/>
          <w:szCs w:val="20"/>
        </w:rPr>
        <w:t xml:space="preserve">, </w:t>
      </w:r>
      <w:proofErr w:type="spellStart"/>
      <w:r w:rsidRPr="00CD18DF">
        <w:rPr>
          <w:rFonts w:ascii="Garamond" w:eastAsia="Times New Roman" w:hAnsi="Garamond" w:cs="Times New Roman"/>
          <w:sz w:val="24"/>
          <w:szCs w:val="20"/>
        </w:rPr>
        <w:t>CHW</w:t>
      </w:r>
      <w:proofErr w:type="spellEnd"/>
      <w:r w:rsidRPr="00CD18DF">
        <w:rPr>
          <w:rFonts w:ascii="Garamond" w:eastAsia="Times New Roman" w:hAnsi="Garamond" w:cs="Times New Roman"/>
          <w:sz w:val="24"/>
          <w:szCs w:val="20"/>
        </w:rPr>
        <w:t xml:space="preserve"> worksite supervisors, and community stakeholders. </w:t>
      </w:r>
      <w:proofErr w:type="gramStart"/>
      <w:r w:rsidRPr="00CD18DF">
        <w:rPr>
          <w:rFonts w:ascii="Garamond" w:eastAsia="Times New Roman" w:hAnsi="Garamond" w:cs="Times New Roman"/>
          <w:sz w:val="24"/>
          <w:szCs w:val="20"/>
        </w:rPr>
        <w:t>This section describe</w:t>
      </w:r>
      <w:proofErr w:type="gramEnd"/>
      <w:r w:rsidRPr="00CD18DF">
        <w:rPr>
          <w:rFonts w:ascii="Garamond" w:eastAsia="Times New Roman" w:hAnsi="Garamond" w:cs="Times New Roman"/>
          <w:sz w:val="24"/>
          <w:szCs w:val="20"/>
        </w:rPr>
        <w:t xml:space="preserve"> the sampling strategy for each group, the process for recruiting these groups to participate in interviews; and the process for follow-up with non-responders. </w:t>
      </w:r>
    </w:p>
    <w:p w:rsidR="00CD18DF" w:rsidRPr="00CD18DF" w:rsidRDefault="00CD18DF" w:rsidP="00CD18DF">
      <w:pPr>
        <w:spacing w:after="120"/>
        <w:rPr>
          <w:rFonts w:ascii="Garamond" w:eastAsia="Times New Roman" w:hAnsi="Garamond" w:cs="Times New Roman"/>
          <w:szCs w:val="20"/>
        </w:rPr>
      </w:pPr>
      <w:r w:rsidRPr="00CD18DF">
        <w:rPr>
          <w:rFonts w:ascii="Garamond" w:eastAsia="Times New Roman" w:hAnsi="Garamond" w:cs="Times New Roman"/>
          <w:sz w:val="24"/>
          <w:szCs w:val="20"/>
        </w:rPr>
        <w:t>Proposed sampling strategy and content of the interviews for each of the respondent groups varies. Exhibit 4 provides information about the population and sample for each group.</w:t>
      </w:r>
    </w:p>
    <w:p w:rsidR="00CD18DF" w:rsidRPr="00CD18DF" w:rsidRDefault="00CD18DF" w:rsidP="00CD18DF">
      <w:pPr>
        <w:spacing w:after="120"/>
        <w:rPr>
          <w:rFonts w:ascii="Garamond" w:eastAsia="Times New Roman" w:hAnsi="Garamond" w:cs="Times New Roman"/>
          <w:sz w:val="24"/>
          <w:szCs w:val="20"/>
        </w:rPr>
      </w:pPr>
      <w:r w:rsidRPr="00CD18DF">
        <w:rPr>
          <w:rFonts w:ascii="Garamond" w:eastAsia="Times New Roman" w:hAnsi="Garamond" w:cs="Times New Roman"/>
          <w:b/>
          <w:i/>
          <w:sz w:val="24"/>
          <w:szCs w:val="20"/>
        </w:rPr>
        <w:t>Group 1: Community Health Workers (</w:t>
      </w:r>
      <w:proofErr w:type="spellStart"/>
      <w:r w:rsidRPr="00CD18DF">
        <w:rPr>
          <w:rFonts w:ascii="Garamond" w:eastAsia="Times New Roman" w:hAnsi="Garamond" w:cs="Times New Roman"/>
          <w:b/>
          <w:i/>
          <w:sz w:val="24"/>
          <w:szCs w:val="20"/>
        </w:rPr>
        <w:t>CHWs</w:t>
      </w:r>
      <w:proofErr w:type="spellEnd"/>
      <w:r w:rsidRPr="00CD18DF">
        <w:rPr>
          <w:rFonts w:ascii="Garamond" w:eastAsia="Times New Roman" w:hAnsi="Garamond" w:cs="Times New Roman"/>
          <w:b/>
          <w:i/>
          <w:sz w:val="24"/>
          <w:szCs w:val="20"/>
        </w:rPr>
        <w:t>).</w:t>
      </w:r>
      <w:r w:rsidRPr="00CD18DF">
        <w:rPr>
          <w:rFonts w:ascii="Garamond" w:eastAsia="Times New Roman" w:hAnsi="Garamond" w:cs="Times New Roman"/>
          <w:sz w:val="24"/>
          <w:szCs w:val="20"/>
        </w:rPr>
        <w:t xml:space="preserve"> We plan to contact all 30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who successfully completed a Community Action Project (CAP), according to our record, (regardless whether they completed the online survey) and invite them to participate in an interview. </w:t>
      </w:r>
    </w:p>
    <w:p w:rsidR="00CD18DF" w:rsidRPr="00CD18DF" w:rsidRDefault="00CD18DF" w:rsidP="00CD18DF">
      <w:pPr>
        <w:spacing w:after="120"/>
        <w:rPr>
          <w:rFonts w:ascii="Garamond" w:eastAsia="Times New Roman" w:hAnsi="Garamond" w:cs="Times New Roman"/>
          <w:b/>
          <w:i/>
          <w:sz w:val="24"/>
          <w:szCs w:val="20"/>
        </w:rPr>
      </w:pPr>
      <w:proofErr w:type="gramStart"/>
      <w:r w:rsidRPr="00CD18DF">
        <w:rPr>
          <w:rFonts w:ascii="Garamond" w:eastAsia="Calibri" w:hAnsi="Garamond" w:cs="Times New Roman"/>
          <w:b/>
          <w:i/>
          <w:sz w:val="24"/>
          <w:szCs w:val="24"/>
        </w:rPr>
        <w:t xml:space="preserve">Group 2: </w:t>
      </w:r>
      <w:proofErr w:type="spellStart"/>
      <w:r w:rsidRPr="00CD18DF">
        <w:rPr>
          <w:rFonts w:ascii="Garamond" w:eastAsia="Calibri" w:hAnsi="Garamond" w:cs="Times New Roman"/>
          <w:b/>
          <w:i/>
          <w:sz w:val="24"/>
          <w:szCs w:val="24"/>
        </w:rPr>
        <w:t>CHWs</w:t>
      </w:r>
      <w:proofErr w:type="spellEnd"/>
      <w:r w:rsidRPr="00CD18DF">
        <w:rPr>
          <w:rFonts w:ascii="Garamond" w:eastAsia="Calibri" w:hAnsi="Garamond" w:cs="Times New Roman"/>
          <w:b/>
          <w:i/>
          <w:sz w:val="24"/>
          <w:szCs w:val="24"/>
        </w:rPr>
        <w:t xml:space="preserve"> with non-CAP leadership activities</w:t>
      </w:r>
      <w:r w:rsidRPr="00CD18DF">
        <w:rPr>
          <w:rFonts w:ascii="Garamond" w:eastAsia="Times New Roman" w:hAnsi="Garamond" w:cs="Times New Roman"/>
          <w:b/>
          <w:i/>
          <w:sz w:val="24"/>
          <w:szCs w:val="20"/>
        </w:rPr>
        <w:t>.</w:t>
      </w:r>
      <w:proofErr w:type="gramEnd"/>
      <w:r w:rsidRPr="00CD18DF">
        <w:rPr>
          <w:rFonts w:ascii="Garamond" w:eastAsia="Times New Roman" w:hAnsi="Garamond" w:cs="Times New Roman"/>
          <w:b/>
          <w:i/>
          <w:sz w:val="24"/>
          <w:szCs w:val="20"/>
        </w:rPr>
        <w:t xml:space="preserve"> </w:t>
      </w:r>
      <w:r w:rsidRPr="00CD18DF">
        <w:rPr>
          <w:rFonts w:ascii="Garamond" w:eastAsia="Times New Roman" w:hAnsi="Garamond" w:cs="Times New Roman"/>
          <w:sz w:val="24"/>
          <w:szCs w:val="20"/>
        </w:rPr>
        <w:t xml:space="preserve">We will also contact an additional 10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who were unable to complete a CAP, but have made significant changes in their home organization and/or community, as identified through reviewing their responses to the online survey.</w:t>
      </w:r>
    </w:p>
    <w:p w:rsidR="00CD18DF" w:rsidRPr="00CD18DF" w:rsidRDefault="00CD18DF" w:rsidP="00CD18DF">
      <w:pPr>
        <w:spacing w:after="120"/>
        <w:rPr>
          <w:rFonts w:ascii="Garamond" w:eastAsia="Times New Roman" w:hAnsi="Garamond" w:cs="Times New Roman"/>
          <w:sz w:val="24"/>
          <w:szCs w:val="20"/>
        </w:rPr>
      </w:pPr>
      <w:r w:rsidRPr="00CD18DF">
        <w:rPr>
          <w:rFonts w:ascii="Garamond" w:eastAsia="Times New Roman" w:hAnsi="Garamond" w:cs="Times New Roman"/>
          <w:b/>
          <w:i/>
          <w:sz w:val="24"/>
          <w:szCs w:val="20"/>
        </w:rPr>
        <w:t>Group 3: Master Trainers (</w:t>
      </w:r>
      <w:proofErr w:type="spellStart"/>
      <w:r w:rsidRPr="00CD18DF">
        <w:rPr>
          <w:rFonts w:ascii="Garamond" w:eastAsia="Times New Roman" w:hAnsi="Garamond" w:cs="Times New Roman"/>
          <w:b/>
          <w:i/>
          <w:sz w:val="24"/>
          <w:szCs w:val="20"/>
        </w:rPr>
        <w:t>MTs</w:t>
      </w:r>
      <w:proofErr w:type="spellEnd"/>
      <w:r w:rsidRPr="00CD18DF">
        <w:rPr>
          <w:rFonts w:ascii="Garamond" w:eastAsia="Times New Roman" w:hAnsi="Garamond" w:cs="Times New Roman"/>
          <w:b/>
          <w:i/>
          <w:sz w:val="24"/>
          <w:szCs w:val="20"/>
        </w:rPr>
        <w:t>).</w:t>
      </w:r>
      <w:r w:rsidRPr="00CD18DF">
        <w:rPr>
          <w:rFonts w:ascii="Garamond" w:eastAsia="Times New Roman" w:hAnsi="Garamond" w:cs="Times New Roman"/>
          <w:sz w:val="24"/>
          <w:szCs w:val="20"/>
        </w:rPr>
        <w:t xml:space="preserve"> A total of 18 individuals completed the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Master Trainer training, and were certified as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w:t>
      </w:r>
      <w:proofErr w:type="spellStart"/>
      <w:r w:rsidRPr="00CD18DF">
        <w:rPr>
          <w:rFonts w:ascii="Garamond" w:eastAsia="Times New Roman" w:hAnsi="Garamond" w:cs="Times New Roman"/>
          <w:sz w:val="24"/>
          <w:szCs w:val="20"/>
        </w:rPr>
        <w:t>MTs.</w:t>
      </w:r>
      <w:proofErr w:type="spellEnd"/>
      <w:r w:rsidRPr="00CD18DF">
        <w:rPr>
          <w:rFonts w:ascii="Garamond" w:eastAsia="Times New Roman" w:hAnsi="Garamond" w:cs="Times New Roman"/>
          <w:sz w:val="24"/>
          <w:szCs w:val="20"/>
        </w:rPr>
        <w:t xml:space="preserve"> We will contact all 18 </w:t>
      </w:r>
      <w:proofErr w:type="spellStart"/>
      <w:r w:rsidRPr="00CD18DF">
        <w:rPr>
          <w:rFonts w:ascii="Garamond" w:eastAsia="Times New Roman" w:hAnsi="Garamond" w:cs="Times New Roman"/>
          <w:sz w:val="24"/>
          <w:szCs w:val="20"/>
        </w:rPr>
        <w:t>WHLI</w:t>
      </w:r>
      <w:proofErr w:type="spellEnd"/>
      <w:r w:rsidRPr="00CD18DF">
        <w:rPr>
          <w:rFonts w:ascii="Garamond" w:eastAsia="Times New Roman" w:hAnsi="Garamond" w:cs="Times New Roman"/>
          <w:sz w:val="24"/>
          <w:szCs w:val="20"/>
        </w:rPr>
        <w:t xml:space="preserve"> </w:t>
      </w:r>
      <w:proofErr w:type="spellStart"/>
      <w:r w:rsidRPr="00CD18DF">
        <w:rPr>
          <w:rFonts w:ascii="Garamond" w:eastAsia="Times New Roman" w:hAnsi="Garamond" w:cs="Times New Roman"/>
          <w:sz w:val="24"/>
          <w:szCs w:val="20"/>
        </w:rPr>
        <w:t>MTs</w:t>
      </w:r>
      <w:proofErr w:type="spellEnd"/>
      <w:r w:rsidRPr="00CD18DF">
        <w:rPr>
          <w:rFonts w:ascii="Garamond" w:eastAsia="Times New Roman" w:hAnsi="Garamond" w:cs="Times New Roman"/>
          <w:sz w:val="24"/>
          <w:szCs w:val="20"/>
        </w:rPr>
        <w:t xml:space="preserve"> and invite them to participate in an interview.</w:t>
      </w:r>
    </w:p>
    <w:p w:rsidR="00CD18DF" w:rsidRPr="00CD18DF" w:rsidRDefault="00CD18DF" w:rsidP="00CD18DF">
      <w:pPr>
        <w:spacing w:after="120"/>
        <w:rPr>
          <w:rFonts w:ascii="Garamond" w:eastAsia="Times New Roman" w:hAnsi="Garamond" w:cs="Times New Roman"/>
          <w:sz w:val="24"/>
          <w:szCs w:val="20"/>
        </w:rPr>
      </w:pPr>
      <w:r w:rsidRPr="00CD18DF">
        <w:rPr>
          <w:rFonts w:ascii="Garamond" w:eastAsia="Times New Roman" w:hAnsi="Garamond" w:cs="Times New Roman"/>
          <w:b/>
          <w:i/>
          <w:sz w:val="24"/>
          <w:szCs w:val="20"/>
        </w:rPr>
        <w:t xml:space="preserve">Group 4: </w:t>
      </w:r>
      <w:proofErr w:type="spellStart"/>
      <w:r w:rsidRPr="00CD18DF">
        <w:rPr>
          <w:rFonts w:ascii="Garamond" w:eastAsia="Times New Roman" w:hAnsi="Garamond" w:cs="Times New Roman"/>
          <w:b/>
          <w:i/>
          <w:sz w:val="24"/>
          <w:szCs w:val="20"/>
        </w:rPr>
        <w:t>CHW</w:t>
      </w:r>
      <w:proofErr w:type="spellEnd"/>
      <w:r w:rsidRPr="00CD18DF">
        <w:rPr>
          <w:rFonts w:ascii="Garamond" w:eastAsia="Times New Roman" w:hAnsi="Garamond" w:cs="Times New Roman"/>
          <w:b/>
          <w:i/>
          <w:sz w:val="24"/>
          <w:szCs w:val="20"/>
        </w:rPr>
        <w:t xml:space="preserve"> Worksite Supervisors.</w:t>
      </w:r>
      <w:r w:rsidRPr="00CD18DF">
        <w:rPr>
          <w:rFonts w:ascii="Garamond" w:eastAsia="Times New Roman" w:hAnsi="Garamond" w:cs="Times New Roman"/>
          <w:sz w:val="24"/>
          <w:szCs w:val="20"/>
        </w:rPr>
        <w:t xml:space="preserve"> For semi-structured interviews with </w:t>
      </w:r>
      <w:proofErr w:type="spellStart"/>
      <w:r w:rsidRPr="00CD18DF">
        <w:rPr>
          <w:rFonts w:ascii="Garamond" w:eastAsia="Times New Roman" w:hAnsi="Garamond" w:cs="Times New Roman"/>
          <w:sz w:val="24"/>
          <w:szCs w:val="20"/>
        </w:rPr>
        <w:t>CHW</w:t>
      </w:r>
      <w:proofErr w:type="spellEnd"/>
      <w:r w:rsidRPr="00CD18DF">
        <w:rPr>
          <w:rFonts w:ascii="Garamond" w:eastAsia="Times New Roman" w:hAnsi="Garamond" w:cs="Times New Roman"/>
          <w:sz w:val="24"/>
          <w:szCs w:val="20"/>
        </w:rPr>
        <w:t xml:space="preserve"> worksite supervisors and community stakeholders, we will use snowball sampling, asking the 40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we </w:t>
      </w:r>
      <w:r w:rsidRPr="00CD18DF">
        <w:rPr>
          <w:rFonts w:ascii="Garamond" w:eastAsia="Times New Roman" w:hAnsi="Garamond" w:cs="Times New Roman"/>
          <w:sz w:val="24"/>
          <w:szCs w:val="20"/>
        </w:rPr>
        <w:lastRenderedPageBreak/>
        <w:t xml:space="preserve">interview to identify suitable participants. Worksite supervisors will be contacted if they supervised the </w:t>
      </w:r>
      <w:proofErr w:type="spellStart"/>
      <w:r w:rsidRPr="00CD18DF">
        <w:rPr>
          <w:rFonts w:ascii="Garamond" w:eastAsia="Times New Roman" w:hAnsi="Garamond" w:cs="Times New Roman"/>
          <w:sz w:val="24"/>
          <w:szCs w:val="20"/>
        </w:rPr>
        <w:t>CHW</w:t>
      </w:r>
      <w:proofErr w:type="spellEnd"/>
      <w:r w:rsidRPr="00CD18DF">
        <w:rPr>
          <w:rFonts w:ascii="Garamond" w:eastAsia="Times New Roman" w:hAnsi="Garamond" w:cs="Times New Roman"/>
          <w:sz w:val="24"/>
          <w:szCs w:val="20"/>
        </w:rPr>
        <w:t xml:space="preserve"> during the time of the training and/or post-training. We expect to interview up to 20 worksite supervisors.</w:t>
      </w:r>
    </w:p>
    <w:p w:rsidR="00CD18DF" w:rsidRPr="00CD18DF" w:rsidRDefault="00CD18DF" w:rsidP="00CD18DF">
      <w:pPr>
        <w:spacing w:after="120"/>
        <w:rPr>
          <w:rFonts w:ascii="Garamond" w:eastAsia="Times New Roman" w:hAnsi="Garamond" w:cs="Times New Roman"/>
          <w:sz w:val="24"/>
          <w:szCs w:val="20"/>
        </w:rPr>
      </w:pPr>
      <w:r w:rsidRPr="00CD18DF">
        <w:rPr>
          <w:rFonts w:ascii="Garamond" w:eastAsia="Times New Roman" w:hAnsi="Garamond" w:cs="Times New Roman"/>
          <w:b/>
          <w:i/>
          <w:sz w:val="24"/>
          <w:szCs w:val="20"/>
        </w:rPr>
        <w:t>Group 5: Community Stakeholders.</w:t>
      </w:r>
      <w:r w:rsidRPr="00CD18DF">
        <w:rPr>
          <w:rFonts w:ascii="Garamond" w:eastAsia="Times New Roman" w:hAnsi="Garamond" w:cs="Times New Roman"/>
          <w:sz w:val="24"/>
          <w:szCs w:val="20"/>
        </w:rPr>
        <w:t xml:space="preserve">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will help us to identify community stakeholders. Community stakeholders will be contacted if they were directly impacted by the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CAP or other leadership activity. We expect to interview up to 20 community stakeholders identified by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w:t>
      </w:r>
    </w:p>
    <w:p w:rsidR="00CD18DF" w:rsidRPr="00CD18DF" w:rsidRDefault="00CD18DF" w:rsidP="00CD18DF">
      <w:pPr>
        <w:pBdr>
          <w:bottom w:val="single" w:sz="4" w:space="1" w:color="auto"/>
        </w:pBdr>
        <w:spacing w:before="240" w:after="120" w:line="240" w:lineRule="auto"/>
        <w:ind w:left="1320" w:hanging="1320"/>
        <w:jc w:val="both"/>
        <w:rPr>
          <w:rFonts w:ascii="Garamond" w:eastAsia="Times New Roman" w:hAnsi="Garamond" w:cs="Times New Roman"/>
          <w:b/>
          <w:bCs/>
          <w:smallCaps/>
        </w:rPr>
      </w:pPr>
      <w:proofErr w:type="gramStart"/>
      <w:r w:rsidRPr="00CD18DF">
        <w:rPr>
          <w:rFonts w:ascii="Garamond" w:eastAsia="Times New Roman" w:hAnsi="Garamond" w:cs="Times New Roman"/>
          <w:b/>
          <w:bCs/>
          <w:smallCaps/>
        </w:rPr>
        <w:t>Exhibit 4.</w:t>
      </w:r>
      <w:proofErr w:type="gramEnd"/>
      <w:r w:rsidRPr="00CD18DF">
        <w:rPr>
          <w:rFonts w:ascii="Garamond" w:eastAsia="Times New Roman" w:hAnsi="Garamond" w:cs="Times New Roman"/>
          <w:b/>
          <w:bCs/>
          <w:smallCaps/>
        </w:rPr>
        <w:t xml:space="preserve">  Overview of Sample </w:t>
      </w:r>
    </w:p>
    <w:tbl>
      <w:tblPr>
        <w:tblStyle w:val="TableGrid"/>
        <w:tblW w:w="0" w:type="auto"/>
        <w:tblLook w:val="04A0" w:firstRow="1" w:lastRow="0" w:firstColumn="1" w:lastColumn="0" w:noHBand="0" w:noVBand="1"/>
      </w:tblPr>
      <w:tblGrid>
        <w:gridCol w:w="5366"/>
        <w:gridCol w:w="1332"/>
        <w:gridCol w:w="964"/>
      </w:tblGrid>
      <w:tr w:rsidR="00CD18DF" w:rsidRPr="00CD18DF" w:rsidTr="008562A7">
        <w:trPr>
          <w:trHeight w:val="20"/>
        </w:trPr>
        <w:tc>
          <w:tcPr>
            <w:tcW w:w="0" w:type="auto"/>
          </w:tcPr>
          <w:p w:rsidR="00CD18DF" w:rsidRPr="00CD18DF" w:rsidRDefault="00CD18DF" w:rsidP="00CD18DF">
            <w:pPr>
              <w:rPr>
                <w:rFonts w:ascii="Garamond" w:eastAsia="Calibri" w:hAnsi="Garamond" w:cs="Times New Roman"/>
                <w:b/>
                <w:sz w:val="24"/>
                <w:szCs w:val="24"/>
                <w:lang w:val="en"/>
              </w:rPr>
            </w:pPr>
            <w:r w:rsidRPr="00CD18DF">
              <w:rPr>
                <w:rFonts w:ascii="Garamond" w:eastAsia="Calibri" w:hAnsi="Garamond" w:cs="Times New Roman"/>
                <w:b/>
                <w:sz w:val="24"/>
                <w:szCs w:val="24"/>
                <w:lang w:val="en"/>
              </w:rPr>
              <w:t xml:space="preserve">Respondent group </w:t>
            </w:r>
          </w:p>
        </w:tc>
        <w:tc>
          <w:tcPr>
            <w:tcW w:w="0" w:type="auto"/>
          </w:tcPr>
          <w:p w:rsidR="00CD18DF" w:rsidRPr="00CD18DF" w:rsidRDefault="00CD18DF" w:rsidP="00CD18DF">
            <w:pPr>
              <w:rPr>
                <w:rFonts w:ascii="Garamond" w:eastAsia="Calibri" w:hAnsi="Garamond" w:cs="Times New Roman"/>
                <w:b/>
                <w:sz w:val="24"/>
                <w:szCs w:val="24"/>
                <w:lang w:val="en"/>
              </w:rPr>
            </w:pPr>
            <w:r w:rsidRPr="00CD18DF">
              <w:rPr>
                <w:rFonts w:ascii="Garamond" w:eastAsia="Calibri" w:hAnsi="Garamond" w:cs="Times New Roman"/>
                <w:b/>
                <w:sz w:val="24"/>
                <w:szCs w:val="24"/>
                <w:lang w:val="en"/>
              </w:rPr>
              <w:t xml:space="preserve">Population </w:t>
            </w:r>
          </w:p>
        </w:tc>
        <w:tc>
          <w:tcPr>
            <w:tcW w:w="0" w:type="auto"/>
          </w:tcPr>
          <w:p w:rsidR="00CD18DF" w:rsidRPr="00CD18DF" w:rsidRDefault="00CD18DF" w:rsidP="00CD18DF">
            <w:pPr>
              <w:rPr>
                <w:rFonts w:ascii="Garamond" w:eastAsia="Calibri" w:hAnsi="Garamond" w:cs="Times New Roman"/>
                <w:b/>
                <w:sz w:val="24"/>
                <w:szCs w:val="24"/>
                <w:lang w:val="en"/>
              </w:rPr>
            </w:pPr>
            <w:r w:rsidRPr="00CD18DF">
              <w:rPr>
                <w:rFonts w:ascii="Garamond" w:eastAsia="Calibri" w:hAnsi="Garamond" w:cs="Times New Roman"/>
                <w:b/>
                <w:sz w:val="24"/>
                <w:szCs w:val="24"/>
                <w:lang w:val="en"/>
              </w:rPr>
              <w:t xml:space="preserve">Sample </w:t>
            </w:r>
          </w:p>
        </w:tc>
      </w:tr>
      <w:tr w:rsidR="00CD18DF" w:rsidRPr="00CD18DF" w:rsidTr="008562A7">
        <w:trPr>
          <w:trHeight w:val="20"/>
        </w:trPr>
        <w:tc>
          <w:tcPr>
            <w:tcW w:w="0" w:type="auto"/>
            <w:gridSpan w:val="3"/>
            <w:shd w:val="clear" w:color="auto" w:fill="D9D9D9" w:themeFill="background1" w:themeFillShade="D9"/>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Online survey </w:t>
            </w:r>
          </w:p>
        </w:tc>
      </w:tr>
      <w:tr w:rsidR="00CD18DF" w:rsidRPr="00CD18DF" w:rsidTr="008562A7">
        <w:trPr>
          <w:trHeight w:val="20"/>
        </w:trPr>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Community Health Workers trained by </w:t>
            </w:r>
            <w:proofErr w:type="spellStart"/>
            <w:r w:rsidRPr="00CD18DF">
              <w:rPr>
                <w:rFonts w:ascii="Garamond" w:eastAsia="Calibri" w:hAnsi="Garamond" w:cs="Times New Roman"/>
                <w:sz w:val="24"/>
                <w:szCs w:val="24"/>
                <w:lang w:val="en"/>
              </w:rPr>
              <w:t>WHLI</w:t>
            </w:r>
            <w:proofErr w:type="spellEnd"/>
            <w:r w:rsidRPr="00CD18DF">
              <w:rPr>
                <w:rFonts w:ascii="Garamond" w:eastAsia="Calibri" w:hAnsi="Garamond" w:cs="Times New Roman"/>
                <w:sz w:val="24"/>
                <w:szCs w:val="24"/>
                <w:lang w:val="en"/>
              </w:rPr>
              <w:t xml:space="preserve"> </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422</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422</w:t>
            </w:r>
          </w:p>
        </w:tc>
      </w:tr>
      <w:tr w:rsidR="00CD18DF" w:rsidRPr="00CD18DF" w:rsidTr="008562A7">
        <w:trPr>
          <w:trHeight w:val="20"/>
        </w:trPr>
        <w:tc>
          <w:tcPr>
            <w:tcW w:w="0" w:type="auto"/>
            <w:gridSpan w:val="3"/>
            <w:shd w:val="clear" w:color="auto" w:fill="D9D9D9" w:themeFill="background1" w:themeFillShade="D9"/>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Semi-structured interviews </w:t>
            </w:r>
          </w:p>
        </w:tc>
      </w:tr>
      <w:tr w:rsidR="00CD18DF" w:rsidRPr="00CD18DF" w:rsidTr="008562A7">
        <w:trPr>
          <w:trHeight w:val="20"/>
        </w:trPr>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Groups 1 and 2: </w:t>
            </w:r>
            <w:proofErr w:type="spellStart"/>
            <w:r w:rsidRPr="00CD18DF">
              <w:rPr>
                <w:rFonts w:ascii="Garamond" w:eastAsia="Calibri" w:hAnsi="Garamond" w:cs="Times New Roman"/>
                <w:sz w:val="24"/>
                <w:szCs w:val="24"/>
                <w:lang w:val="en"/>
              </w:rPr>
              <w:t>CHWs</w:t>
            </w:r>
            <w:proofErr w:type="spellEnd"/>
            <w:r w:rsidRPr="00CD18DF">
              <w:rPr>
                <w:rFonts w:ascii="Garamond" w:eastAsia="Calibri" w:hAnsi="Garamond" w:cs="Times New Roman"/>
                <w:sz w:val="24"/>
                <w:szCs w:val="24"/>
                <w:lang w:val="en"/>
              </w:rPr>
              <w:t xml:space="preserve"> with and without CAP  </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422</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40</w:t>
            </w:r>
          </w:p>
        </w:tc>
      </w:tr>
      <w:tr w:rsidR="00CD18DF" w:rsidRPr="00CD18DF" w:rsidTr="008562A7">
        <w:trPr>
          <w:trHeight w:val="20"/>
        </w:trPr>
        <w:tc>
          <w:tcPr>
            <w:tcW w:w="0" w:type="auto"/>
            <w:shd w:val="clear" w:color="auto" w:fill="FFFFFF" w:themeFill="background1"/>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Group 3: </w:t>
            </w:r>
            <w:proofErr w:type="spellStart"/>
            <w:r w:rsidRPr="00CD18DF">
              <w:rPr>
                <w:rFonts w:ascii="Garamond" w:eastAsia="Calibri" w:hAnsi="Garamond" w:cs="Times New Roman"/>
                <w:sz w:val="24"/>
                <w:szCs w:val="24"/>
                <w:lang w:val="en"/>
              </w:rPr>
              <w:t>WHLI</w:t>
            </w:r>
            <w:proofErr w:type="spellEnd"/>
            <w:r w:rsidRPr="00CD18DF">
              <w:rPr>
                <w:rFonts w:ascii="Garamond" w:eastAsia="Calibri" w:hAnsi="Garamond" w:cs="Times New Roman"/>
                <w:sz w:val="24"/>
                <w:szCs w:val="24"/>
                <w:lang w:val="en"/>
              </w:rPr>
              <w:t xml:space="preserve"> master trainers </w:t>
            </w:r>
          </w:p>
        </w:tc>
        <w:tc>
          <w:tcPr>
            <w:tcW w:w="0" w:type="auto"/>
            <w:shd w:val="clear" w:color="auto" w:fill="FFFFFF" w:themeFill="background1"/>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18</w:t>
            </w:r>
          </w:p>
        </w:tc>
        <w:tc>
          <w:tcPr>
            <w:tcW w:w="0" w:type="auto"/>
            <w:shd w:val="clear" w:color="auto" w:fill="FFFFFF" w:themeFill="background1"/>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18</w:t>
            </w:r>
          </w:p>
        </w:tc>
      </w:tr>
      <w:tr w:rsidR="00CD18DF" w:rsidRPr="00CD18DF" w:rsidTr="008562A7">
        <w:trPr>
          <w:trHeight w:val="20"/>
        </w:trPr>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Group 4: </w:t>
            </w:r>
            <w:proofErr w:type="spellStart"/>
            <w:r w:rsidRPr="00CD18DF">
              <w:rPr>
                <w:rFonts w:ascii="Garamond" w:eastAsia="Calibri" w:hAnsi="Garamond" w:cs="Times New Roman"/>
                <w:sz w:val="24"/>
                <w:szCs w:val="24"/>
                <w:lang w:val="en"/>
              </w:rPr>
              <w:t>CHW</w:t>
            </w:r>
            <w:proofErr w:type="spellEnd"/>
            <w:r w:rsidRPr="00CD18DF">
              <w:rPr>
                <w:rFonts w:ascii="Garamond" w:eastAsia="Calibri" w:hAnsi="Garamond" w:cs="Times New Roman"/>
                <w:sz w:val="24"/>
                <w:szCs w:val="24"/>
                <w:lang w:val="en"/>
              </w:rPr>
              <w:t xml:space="preserve"> worksite supervisors </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40</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20</w:t>
            </w:r>
          </w:p>
        </w:tc>
      </w:tr>
      <w:tr w:rsidR="00CD18DF" w:rsidRPr="00CD18DF" w:rsidTr="008562A7">
        <w:trPr>
          <w:trHeight w:val="20"/>
        </w:trPr>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 xml:space="preserve">Group 5: Community stakeholders identified by </w:t>
            </w:r>
            <w:proofErr w:type="spellStart"/>
            <w:r w:rsidRPr="00CD18DF">
              <w:rPr>
                <w:rFonts w:ascii="Garamond" w:eastAsia="Calibri" w:hAnsi="Garamond" w:cs="Times New Roman"/>
                <w:sz w:val="24"/>
                <w:szCs w:val="24"/>
                <w:lang w:val="en"/>
              </w:rPr>
              <w:t>CHWs</w:t>
            </w:r>
            <w:proofErr w:type="spellEnd"/>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40</w:t>
            </w:r>
          </w:p>
        </w:tc>
        <w:tc>
          <w:tcPr>
            <w:tcW w:w="0" w:type="auto"/>
          </w:tcPr>
          <w:p w:rsidR="00CD18DF" w:rsidRPr="00CD18DF" w:rsidRDefault="00CD18DF" w:rsidP="00CD18DF">
            <w:pPr>
              <w:rPr>
                <w:rFonts w:ascii="Garamond" w:eastAsia="Calibri" w:hAnsi="Garamond" w:cs="Times New Roman"/>
                <w:sz w:val="24"/>
                <w:szCs w:val="24"/>
                <w:lang w:val="en"/>
              </w:rPr>
            </w:pPr>
            <w:r w:rsidRPr="00CD18DF">
              <w:rPr>
                <w:rFonts w:ascii="Garamond" w:eastAsia="Calibri" w:hAnsi="Garamond" w:cs="Times New Roman"/>
                <w:sz w:val="24"/>
                <w:szCs w:val="24"/>
                <w:lang w:val="en"/>
              </w:rPr>
              <w:t>20</w:t>
            </w:r>
          </w:p>
        </w:tc>
      </w:tr>
    </w:tbl>
    <w:p w:rsidR="00CD18DF" w:rsidRPr="00CD18DF" w:rsidRDefault="00CD18DF" w:rsidP="00CD18DF">
      <w:pPr>
        <w:keepNext/>
        <w:keepLines/>
        <w:spacing w:before="360" w:line="240" w:lineRule="auto"/>
        <w:outlineLvl w:val="0"/>
        <w:rPr>
          <w:rFonts w:ascii="Garamond" w:eastAsia="Calibri" w:hAnsi="Garamond" w:cs="Times New Roman"/>
          <w:b/>
          <w:i/>
          <w:spacing w:val="1"/>
          <w:sz w:val="24"/>
          <w:szCs w:val="24"/>
        </w:rPr>
      </w:pPr>
      <w:bookmarkStart w:id="2" w:name="_Toc446341570"/>
      <w:r w:rsidRPr="00CD18DF">
        <w:rPr>
          <w:rFonts w:ascii="Garamond" w:eastAsia="Calibri" w:hAnsi="Garamond" w:cs="Times New Roman"/>
          <w:b/>
          <w:i/>
          <w:spacing w:val="1"/>
          <w:sz w:val="24"/>
          <w:szCs w:val="24"/>
        </w:rPr>
        <w:t>2.  Procedures for the Collection of Information</w:t>
      </w:r>
      <w:bookmarkEnd w:id="2"/>
    </w:p>
    <w:p w:rsidR="00CD18DF" w:rsidRPr="00CD18DF" w:rsidRDefault="00CD18DF" w:rsidP="00CD18DF">
      <w:pPr>
        <w:spacing w:after="0"/>
        <w:rPr>
          <w:rFonts w:ascii="Garamond" w:eastAsia="Calibri" w:hAnsi="Garamond" w:cs="Times New Roman"/>
          <w:i/>
          <w:sz w:val="24"/>
          <w:szCs w:val="24"/>
        </w:rPr>
      </w:pPr>
      <w:r w:rsidRPr="00CD18DF">
        <w:rPr>
          <w:rFonts w:ascii="Garamond" w:eastAsia="Calibri" w:hAnsi="Garamond" w:cs="Times New Roman"/>
          <w:i/>
          <w:sz w:val="24"/>
          <w:szCs w:val="24"/>
        </w:rPr>
        <w:t>Online Survey</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sz w:val="24"/>
          <w:szCs w:val="24"/>
        </w:rPr>
        <w:t xml:space="preserve">The online survey will be conducted using a </w:t>
      </w:r>
      <w:proofErr w:type="spellStart"/>
      <w:r w:rsidRPr="00CD18DF">
        <w:rPr>
          <w:rFonts w:ascii="Garamond" w:eastAsia="Calibri" w:hAnsi="Garamond" w:cs="Times New Roman"/>
          <w:sz w:val="24"/>
          <w:szCs w:val="24"/>
        </w:rPr>
        <w:t>CAWI</w:t>
      </w:r>
      <w:proofErr w:type="spellEnd"/>
      <w:r w:rsidRPr="00CD18DF">
        <w:rPr>
          <w:rFonts w:ascii="Garamond" w:eastAsia="Calibri" w:hAnsi="Garamond" w:cs="Times New Roman"/>
          <w:sz w:val="24"/>
          <w:szCs w:val="24"/>
        </w:rPr>
        <w:t xml:space="preserve"> (computer-assisted web interview) system and the fielding of the survey will take approximately three months.  Respondents will be recruited for the online survey using a sequential multi-mode contact approach that utilizes email, mail and telephone. Recruitment will first entail emailing an online survey invitation to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that provides an introduction to the evaluation and contains a link to the online survey (Attachment 12). Two reminder email invitations will then be sent to non-responders over a week’s time (Attachment 13 and 14). We expect that approximately 25 percent of the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with viable email addresses will complete the survey without additional prompting.  Those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who do not respond to the email invitations or do not have a valid email address will be sent a letter through the mail (Attachment 15 and 16) followed by a reminder postcard (Attachment 17).  The mail materials will also provide an introduction to the evaluation and a link to the online survey.</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sz w:val="24"/>
          <w:szCs w:val="24"/>
        </w:rPr>
        <w:t xml:space="preserve">Additional targeted telephone prompting of non-respondents will be used to increase participation. We will make a maximum of five calls to </w:t>
      </w:r>
      <w:proofErr w:type="spellStart"/>
      <w:r w:rsidRPr="00CD18DF">
        <w:rPr>
          <w:rFonts w:ascii="Garamond" w:eastAsia="Calibri" w:hAnsi="Garamond" w:cs="Times New Roman"/>
          <w:sz w:val="24"/>
          <w:szCs w:val="24"/>
        </w:rPr>
        <w:t>CWHs</w:t>
      </w:r>
      <w:proofErr w:type="spellEnd"/>
      <w:r w:rsidRPr="00CD18DF">
        <w:rPr>
          <w:rFonts w:ascii="Garamond" w:eastAsia="Calibri" w:hAnsi="Garamond" w:cs="Times New Roman"/>
          <w:sz w:val="24"/>
          <w:szCs w:val="24"/>
        </w:rPr>
        <w:t xml:space="preserve"> with available telephone numbers that did not respond to either the email or mail contacts. Telephone calls will be made approximately three days apart.  Telephone interviewers will use standard scripts for answering machine messages and when initial contact is made with a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or associated household member. Respondents contacted by telephone will be given the choice to complete the survey by telephone.</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sz w:val="24"/>
          <w:szCs w:val="24"/>
        </w:rPr>
        <w:t>Exhibit 5 below provides an overview of the timeline to be followed in fielding the survey.</w:t>
      </w:r>
    </w:p>
    <w:p w:rsidR="00CD18DF" w:rsidRPr="00CD18DF" w:rsidRDefault="00CD18DF" w:rsidP="00CD18DF">
      <w:pPr>
        <w:pBdr>
          <w:bottom w:val="single" w:sz="4" w:space="1" w:color="auto"/>
        </w:pBdr>
        <w:spacing w:before="240" w:after="120" w:line="240" w:lineRule="auto"/>
        <w:ind w:left="1320" w:hanging="1320"/>
        <w:jc w:val="both"/>
        <w:rPr>
          <w:rFonts w:ascii="Garamond" w:eastAsia="Times New Roman" w:hAnsi="Garamond" w:cs="Times New Roman"/>
          <w:b/>
          <w:bCs/>
          <w:smallCaps/>
        </w:rPr>
      </w:pPr>
      <w:proofErr w:type="gramStart"/>
      <w:r w:rsidRPr="00CD18DF">
        <w:rPr>
          <w:rFonts w:ascii="Garamond" w:eastAsia="Times New Roman" w:hAnsi="Garamond" w:cs="Times New Roman"/>
          <w:b/>
          <w:bCs/>
          <w:smallCaps/>
        </w:rPr>
        <w:t>Exhibit 5.</w:t>
      </w:r>
      <w:proofErr w:type="gramEnd"/>
      <w:r w:rsidRPr="00CD18DF">
        <w:rPr>
          <w:rFonts w:ascii="Garamond" w:eastAsia="Times New Roman" w:hAnsi="Garamond" w:cs="Times New Roman"/>
          <w:b/>
          <w:bCs/>
          <w:smallCaps/>
        </w:rPr>
        <w:t xml:space="preserve">  Timeline for Survey Data Collection </w:t>
      </w:r>
    </w:p>
    <w:tbl>
      <w:tblPr>
        <w:tblStyle w:val="TableGrid"/>
        <w:tblW w:w="0" w:type="auto"/>
        <w:tblLook w:val="04A0" w:firstRow="1" w:lastRow="0" w:firstColumn="1" w:lastColumn="0" w:noHBand="0" w:noVBand="1"/>
      </w:tblPr>
      <w:tblGrid>
        <w:gridCol w:w="3685"/>
        <w:gridCol w:w="5665"/>
      </w:tblGrid>
      <w:tr w:rsidR="00CD18DF" w:rsidRPr="00CD18DF" w:rsidTr="008562A7">
        <w:tc>
          <w:tcPr>
            <w:tcW w:w="3685" w:type="dxa"/>
          </w:tcPr>
          <w:p w:rsidR="00CD18DF" w:rsidRPr="00CD18DF" w:rsidRDefault="00CD18DF" w:rsidP="00CD18DF">
            <w:pPr>
              <w:rPr>
                <w:rFonts w:ascii="Garamond" w:eastAsia="Calibri" w:hAnsi="Garamond" w:cs="Times New Roman"/>
                <w:b/>
                <w:sz w:val="24"/>
                <w:szCs w:val="24"/>
              </w:rPr>
            </w:pPr>
            <w:r w:rsidRPr="00CD18DF">
              <w:rPr>
                <w:rFonts w:ascii="Garamond" w:eastAsia="Calibri" w:hAnsi="Garamond" w:cs="Times New Roman"/>
                <w:b/>
                <w:sz w:val="24"/>
                <w:szCs w:val="24"/>
              </w:rPr>
              <w:lastRenderedPageBreak/>
              <w:t>Action</w:t>
            </w:r>
          </w:p>
        </w:tc>
        <w:tc>
          <w:tcPr>
            <w:tcW w:w="5665" w:type="dxa"/>
          </w:tcPr>
          <w:p w:rsidR="00CD18DF" w:rsidRPr="00CD18DF" w:rsidRDefault="00CD18DF" w:rsidP="00CD18DF">
            <w:pPr>
              <w:rPr>
                <w:rFonts w:ascii="Garamond" w:eastAsia="Calibri" w:hAnsi="Garamond" w:cs="Times New Roman"/>
                <w:b/>
                <w:sz w:val="24"/>
                <w:szCs w:val="24"/>
              </w:rPr>
            </w:pPr>
            <w:r w:rsidRPr="00CD18DF">
              <w:rPr>
                <w:rFonts w:ascii="Garamond" w:eastAsia="Calibri" w:hAnsi="Garamond" w:cs="Times New Roman"/>
                <w:b/>
                <w:sz w:val="24"/>
                <w:szCs w:val="24"/>
              </w:rPr>
              <w:t>Timeframe</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OMB approval</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Dependent upon OMB’s timeline</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First email invitation sent (Attachment 12)</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Start of data collection; beginning of the week</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Second email invitation sent (Attachment 13)</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End of the week (3 days after first email)</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Third email invitation sent (Attachment 14)</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Start of the following week (7 days after first email)</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 xml:space="preserve">First letter sent via </w:t>
            </w:r>
            <w:proofErr w:type="spellStart"/>
            <w:r w:rsidRPr="00CD18DF">
              <w:rPr>
                <w:rFonts w:ascii="Garamond" w:eastAsia="Calibri" w:hAnsi="Garamond" w:cs="Times New Roman"/>
                <w:sz w:val="24"/>
                <w:szCs w:val="24"/>
              </w:rPr>
              <w:t>USPS</w:t>
            </w:r>
            <w:proofErr w:type="spellEnd"/>
            <w:r w:rsidRPr="00CD18DF">
              <w:rPr>
                <w:rFonts w:ascii="Garamond" w:eastAsia="Calibri" w:hAnsi="Garamond" w:cs="Times New Roman"/>
                <w:sz w:val="24"/>
                <w:szCs w:val="24"/>
              </w:rPr>
              <w:t xml:space="preserve"> (Attachment 15)</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End of the following week (11 days after first email)</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 xml:space="preserve">Reminder postcard sent via </w:t>
            </w:r>
            <w:proofErr w:type="spellStart"/>
            <w:r w:rsidRPr="00CD18DF">
              <w:rPr>
                <w:rFonts w:ascii="Garamond" w:eastAsia="Calibri" w:hAnsi="Garamond" w:cs="Times New Roman"/>
                <w:sz w:val="24"/>
                <w:szCs w:val="24"/>
              </w:rPr>
              <w:t>USPS</w:t>
            </w:r>
            <w:proofErr w:type="spellEnd"/>
            <w:r w:rsidRPr="00CD18DF">
              <w:rPr>
                <w:rFonts w:ascii="Garamond" w:eastAsia="Calibri" w:hAnsi="Garamond" w:cs="Times New Roman"/>
                <w:sz w:val="24"/>
                <w:szCs w:val="24"/>
              </w:rPr>
              <w:t xml:space="preserve"> (Attachment 17)</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Approximately a week after first letter is sent (21 days after first email)</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Telephone prompting begins (Attachments 18 and 19)</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A week after reminder postcard is sent (28 days after first email)</w:t>
            </w:r>
          </w:p>
        </w:tc>
      </w:tr>
      <w:tr w:rsidR="00CD18DF" w:rsidRPr="00CD18DF" w:rsidTr="008562A7">
        <w:tc>
          <w:tcPr>
            <w:tcW w:w="3685" w:type="dxa"/>
          </w:tcPr>
          <w:p w:rsidR="00CD18DF" w:rsidRPr="00CD18DF" w:rsidRDefault="00CD18DF" w:rsidP="00CD18DF">
            <w:pPr>
              <w:rPr>
                <w:rFonts w:ascii="Garamond" w:eastAsia="Calibri" w:hAnsi="Garamond" w:cs="Times New Roman"/>
                <w:sz w:val="24"/>
                <w:szCs w:val="24"/>
              </w:rPr>
            </w:pPr>
            <w:r w:rsidRPr="00CD18DF">
              <w:rPr>
                <w:rFonts w:ascii="Garamond" w:eastAsia="Calibri" w:hAnsi="Garamond" w:cs="Times New Roman"/>
                <w:sz w:val="24"/>
                <w:szCs w:val="24"/>
              </w:rPr>
              <w:t>Case-level locating beings</w:t>
            </w:r>
          </w:p>
        </w:tc>
        <w:tc>
          <w:tcPr>
            <w:tcW w:w="5665" w:type="dxa"/>
          </w:tcPr>
          <w:p w:rsidR="00CD18DF" w:rsidRPr="00CD18DF" w:rsidRDefault="00CD18DF" w:rsidP="00CD18DF">
            <w:pPr>
              <w:rPr>
                <w:rFonts w:ascii="Garamond" w:eastAsia="Calibri" w:hAnsi="Garamond" w:cs="Times New Roman"/>
                <w:sz w:val="24"/>
                <w:szCs w:val="24"/>
              </w:rPr>
            </w:pPr>
            <w:r w:rsidRPr="00CD18DF">
              <w:rPr>
                <w:rFonts w:ascii="Garamond" w:eastAsia="Times New Roman" w:hAnsi="Garamond" w:cs="Times New Roman"/>
                <w:sz w:val="24"/>
                <w:szCs w:val="20"/>
              </w:rPr>
              <w:t>Locate non-responders after first telephone call does not reach the desired respondent</w:t>
            </w:r>
          </w:p>
        </w:tc>
      </w:tr>
    </w:tbl>
    <w:p w:rsidR="00CD18DF" w:rsidRPr="00CD18DF" w:rsidRDefault="00CD18DF" w:rsidP="00CD18DF">
      <w:pPr>
        <w:spacing w:before="240" w:after="0"/>
        <w:rPr>
          <w:rFonts w:ascii="Garamond" w:eastAsia="Calibri" w:hAnsi="Garamond" w:cs="Times New Roman"/>
          <w:i/>
          <w:sz w:val="24"/>
          <w:szCs w:val="24"/>
        </w:rPr>
      </w:pPr>
      <w:r w:rsidRPr="00CD18DF">
        <w:rPr>
          <w:rFonts w:ascii="Garamond" w:eastAsia="Calibri" w:hAnsi="Garamond" w:cs="Times New Roman"/>
          <w:i/>
          <w:sz w:val="24"/>
          <w:szCs w:val="24"/>
        </w:rPr>
        <w:t>Semi-structured Interviews</w:t>
      </w:r>
    </w:p>
    <w:p w:rsidR="00CD18DF" w:rsidRPr="00CD18DF" w:rsidRDefault="00CD18DF" w:rsidP="00CD18DF">
      <w:pPr>
        <w:spacing w:after="120"/>
        <w:rPr>
          <w:rFonts w:ascii="Garamond" w:eastAsia="Calibri" w:hAnsi="Garamond" w:cs="Times New Roman"/>
          <w:szCs w:val="24"/>
        </w:rPr>
      </w:pPr>
      <w:r w:rsidRPr="00CD18DF">
        <w:rPr>
          <w:rFonts w:ascii="Garamond" w:eastAsia="Calibri" w:hAnsi="Garamond" w:cs="Times New Roman"/>
          <w:sz w:val="24"/>
          <w:szCs w:val="24"/>
        </w:rPr>
        <w:t xml:space="preserve">Semi-structured interviews will be conducted over a period of four months. Interviews will be recorded and conducted by telephone by one team member, with a second member taking notes. At the start of each interview, respondents will be provided with information on the purpose of the interview and the confidentiality terms, so they may give verbal informed consent for participation (Attachment 5). To ensure consistency, interviewers will use a standardized protocol to direct the conversation during semi-structured interviews (Attachments 8, 9, 10, and 11). </w:t>
      </w:r>
    </w:p>
    <w:p w:rsidR="00CD18DF" w:rsidRPr="00CD18DF" w:rsidRDefault="00CD18DF" w:rsidP="00CD18DF">
      <w:pPr>
        <w:spacing w:after="120"/>
        <w:rPr>
          <w:rFonts w:ascii="Garamond" w:eastAsia="Calibri" w:hAnsi="Garamond" w:cs="Times New Roman"/>
          <w:szCs w:val="24"/>
        </w:rPr>
      </w:pPr>
      <w:r w:rsidRPr="00CD18DF">
        <w:rPr>
          <w:rFonts w:ascii="Garamond" w:eastAsia="Calibri" w:hAnsi="Garamond" w:cs="Times New Roman"/>
          <w:sz w:val="24"/>
          <w:szCs w:val="24"/>
        </w:rPr>
        <w:t>The following paragraphs describe our recruitment strategy for the semi-structured interviews:</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b/>
          <w:sz w:val="24"/>
          <w:szCs w:val="24"/>
          <w:u w:val="single"/>
        </w:rPr>
        <w:t xml:space="preserve">Group 1: </w:t>
      </w:r>
      <w:proofErr w:type="spellStart"/>
      <w:r w:rsidRPr="00CD18DF">
        <w:rPr>
          <w:rFonts w:ascii="Garamond" w:eastAsia="Calibri" w:hAnsi="Garamond" w:cs="Times New Roman"/>
          <w:b/>
          <w:sz w:val="24"/>
          <w:szCs w:val="24"/>
          <w:u w:val="single"/>
        </w:rPr>
        <w:t>CHWs</w:t>
      </w:r>
      <w:proofErr w:type="spellEnd"/>
      <w:r w:rsidRPr="00CD18DF">
        <w:rPr>
          <w:rFonts w:ascii="Garamond" w:eastAsia="Calibri" w:hAnsi="Garamond" w:cs="Times New Roman"/>
          <w:b/>
          <w:sz w:val="24"/>
          <w:szCs w:val="24"/>
          <w:u w:val="single"/>
        </w:rPr>
        <w:t xml:space="preserve"> who completed a CAP project</w:t>
      </w:r>
      <w:r w:rsidRPr="00CD18DF">
        <w:rPr>
          <w:rFonts w:ascii="Garamond" w:eastAsia="Calibri" w:hAnsi="Garamond" w:cs="Times New Roman"/>
          <w:sz w:val="24"/>
          <w:szCs w:val="24"/>
          <w:u w:val="single"/>
        </w:rPr>
        <w:t xml:space="preserve">: </w:t>
      </w:r>
      <w:r w:rsidRPr="00CD18DF">
        <w:rPr>
          <w:rFonts w:ascii="Garamond" w:eastAsia="Calibri" w:hAnsi="Garamond" w:cs="Times New Roman"/>
          <w:sz w:val="24"/>
          <w:szCs w:val="24"/>
        </w:rPr>
        <w:t xml:space="preserve">Once the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complete the online survey we will begin the recruitment process for the interview. The final page of the survey will inform them that they will be contacted to complete a phone interview and they will be given the opportunity to enter their most current phone number and email address. A member of the research team will contact the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via phone (Attachment 20) or email (Attachment 21) to schedule a time for the interview.</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b/>
          <w:sz w:val="24"/>
          <w:szCs w:val="24"/>
          <w:u w:val="single"/>
        </w:rPr>
        <w:t xml:space="preserve">Group 2: </w:t>
      </w:r>
      <w:proofErr w:type="spellStart"/>
      <w:r w:rsidRPr="00CD18DF">
        <w:rPr>
          <w:rFonts w:ascii="Garamond" w:eastAsia="Calibri" w:hAnsi="Garamond" w:cs="Times New Roman"/>
          <w:b/>
          <w:sz w:val="24"/>
          <w:szCs w:val="24"/>
          <w:u w:val="single"/>
        </w:rPr>
        <w:t>CHWs</w:t>
      </w:r>
      <w:proofErr w:type="spellEnd"/>
      <w:r w:rsidRPr="00CD18DF">
        <w:rPr>
          <w:rFonts w:ascii="Garamond" w:eastAsia="Calibri" w:hAnsi="Garamond" w:cs="Times New Roman"/>
          <w:b/>
          <w:sz w:val="24"/>
          <w:szCs w:val="24"/>
          <w:u w:val="single"/>
        </w:rPr>
        <w:t xml:space="preserve"> with non-CAP leadership activities</w:t>
      </w:r>
      <w:r w:rsidRPr="00CD18DF">
        <w:rPr>
          <w:rFonts w:ascii="Garamond" w:eastAsia="Calibri" w:hAnsi="Garamond" w:cs="Times New Roman"/>
          <w:sz w:val="24"/>
          <w:szCs w:val="24"/>
          <w:u w:val="single"/>
        </w:rPr>
        <w:t>:</w:t>
      </w:r>
      <w:r w:rsidRPr="00CD18DF">
        <w:rPr>
          <w:rFonts w:ascii="Garamond" w:eastAsia="Calibri" w:hAnsi="Garamond" w:cs="Times New Roman"/>
          <w:sz w:val="24"/>
          <w:szCs w:val="24"/>
        </w:rPr>
        <w:t xml:space="preserve"> Once the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complete the online survey they will be contacted to complete an interview. The final page of the survey will inform them that they may be contacted to complete a phone interview and they will be given the opportunity to enter their most current phone number and email address. Researchers will review the survey responses to select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who will be invited to participate in an interview. Up to 10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who report that they have made significant impact in the organization or community will be contacted for an interview. A member of the research team will contact the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via phone (Attachment 20) or email (Attachment 21) to schedule a time for the interview.</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b/>
          <w:sz w:val="24"/>
          <w:szCs w:val="24"/>
          <w:u w:val="single"/>
        </w:rPr>
        <w:t>Group 3: Master Trainers</w:t>
      </w:r>
      <w:r w:rsidRPr="00CD18DF">
        <w:rPr>
          <w:rFonts w:ascii="Garamond" w:eastAsia="Calibri" w:hAnsi="Garamond" w:cs="Times New Roman"/>
          <w:sz w:val="24"/>
          <w:szCs w:val="24"/>
          <w:u w:val="single"/>
        </w:rPr>
        <w:t>:</w:t>
      </w:r>
      <w:r w:rsidRPr="00CD18DF">
        <w:rPr>
          <w:rFonts w:ascii="Garamond" w:eastAsia="Calibri" w:hAnsi="Garamond" w:cs="Times New Roman"/>
          <w:sz w:val="24"/>
          <w:szCs w:val="24"/>
        </w:rPr>
        <w:t xml:space="preserve"> A member of the research team will begin contacting Master Trainers by phone (Attachment 22) or email (Attachment 23) to set-up a time for the interview.</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b/>
          <w:sz w:val="24"/>
          <w:szCs w:val="24"/>
          <w:u w:val="single"/>
        </w:rPr>
        <w:lastRenderedPageBreak/>
        <w:t xml:space="preserve">Group 4: </w:t>
      </w:r>
      <w:proofErr w:type="spellStart"/>
      <w:r w:rsidRPr="00CD18DF">
        <w:rPr>
          <w:rFonts w:ascii="Garamond" w:eastAsia="Calibri" w:hAnsi="Garamond" w:cs="Times New Roman"/>
          <w:b/>
          <w:sz w:val="24"/>
          <w:szCs w:val="24"/>
          <w:u w:val="single"/>
        </w:rPr>
        <w:t>CHW</w:t>
      </w:r>
      <w:proofErr w:type="spellEnd"/>
      <w:r w:rsidRPr="00CD18DF">
        <w:rPr>
          <w:rFonts w:ascii="Garamond" w:eastAsia="Calibri" w:hAnsi="Garamond" w:cs="Times New Roman"/>
          <w:b/>
          <w:sz w:val="24"/>
          <w:szCs w:val="24"/>
          <w:u w:val="single"/>
        </w:rPr>
        <w:t xml:space="preserve"> Worksite Supervisors</w:t>
      </w:r>
      <w:r w:rsidRPr="00CD18DF">
        <w:rPr>
          <w:rFonts w:ascii="Garamond" w:eastAsia="Calibri" w:hAnsi="Garamond" w:cs="Times New Roman"/>
          <w:sz w:val="24"/>
          <w:szCs w:val="24"/>
          <w:u w:val="single"/>
        </w:rPr>
        <w:t>:</w:t>
      </w:r>
      <w:r w:rsidRPr="00CD18DF">
        <w:rPr>
          <w:rFonts w:ascii="Garamond" w:eastAsia="Calibri" w:hAnsi="Garamond" w:cs="Times New Roman"/>
          <w:sz w:val="24"/>
          <w:szCs w:val="24"/>
        </w:rPr>
        <w:t xml:space="preserve"> During interviews with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we will ask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for their permission to contact their worksite supervisor (i.e., the supervisor at the time of their training and/ or shortly after).  If permission is granted, we will ask the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to provide the most recent contact information for their supervisor. A member of the research team will then contact the supervisor via phone (Attachment 24) or email (Attachment 25) to schedule a time for the interview.</w:t>
      </w:r>
    </w:p>
    <w:p w:rsidR="00CD18DF" w:rsidRPr="00CD18DF" w:rsidRDefault="00CD18DF" w:rsidP="00CD18DF">
      <w:pPr>
        <w:spacing w:after="120"/>
        <w:rPr>
          <w:rFonts w:ascii="Garamond" w:eastAsia="Calibri" w:hAnsi="Garamond" w:cs="Times New Roman"/>
          <w:sz w:val="24"/>
          <w:szCs w:val="24"/>
        </w:rPr>
      </w:pPr>
      <w:r w:rsidRPr="00CD18DF">
        <w:rPr>
          <w:rFonts w:ascii="Garamond" w:eastAsia="Calibri" w:hAnsi="Garamond" w:cs="Times New Roman"/>
          <w:b/>
          <w:sz w:val="24"/>
          <w:szCs w:val="24"/>
          <w:u w:val="single"/>
        </w:rPr>
        <w:t>Group 5: Community Stakeholders</w:t>
      </w:r>
      <w:r w:rsidRPr="00CD18DF">
        <w:rPr>
          <w:rFonts w:ascii="Garamond" w:eastAsia="Calibri" w:hAnsi="Garamond" w:cs="Times New Roman"/>
          <w:sz w:val="24"/>
          <w:szCs w:val="24"/>
          <w:u w:val="single"/>
        </w:rPr>
        <w:t>:</w:t>
      </w:r>
      <w:r w:rsidRPr="00CD18DF">
        <w:rPr>
          <w:rFonts w:ascii="Garamond" w:eastAsia="Calibri" w:hAnsi="Garamond" w:cs="Times New Roman"/>
          <w:sz w:val="24"/>
          <w:szCs w:val="24"/>
        </w:rPr>
        <w:t xml:space="preserve"> During interviews with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and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worksite supervisors, we will ask for recommendations of stakeholders (community members) that we could interview about the impact of </w:t>
      </w:r>
      <w:proofErr w:type="spellStart"/>
      <w:r w:rsidRPr="00CD18DF">
        <w:rPr>
          <w:rFonts w:ascii="Garamond" w:eastAsia="Calibri" w:hAnsi="Garamond" w:cs="Times New Roman"/>
          <w:sz w:val="24"/>
          <w:szCs w:val="24"/>
        </w:rPr>
        <w:t>CHWs</w:t>
      </w:r>
      <w:proofErr w:type="spellEnd"/>
      <w:r w:rsidRPr="00CD18DF">
        <w:rPr>
          <w:rFonts w:ascii="Garamond" w:eastAsia="Calibri" w:hAnsi="Garamond" w:cs="Times New Roman"/>
          <w:sz w:val="24"/>
          <w:szCs w:val="24"/>
        </w:rPr>
        <w:t xml:space="preserve">’ CAP projects or other leadership activities. We will ask the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and the </w:t>
      </w:r>
      <w:proofErr w:type="spellStart"/>
      <w:r w:rsidRPr="00CD18DF">
        <w:rPr>
          <w:rFonts w:ascii="Garamond" w:eastAsia="Calibri" w:hAnsi="Garamond" w:cs="Times New Roman"/>
          <w:sz w:val="24"/>
          <w:szCs w:val="24"/>
        </w:rPr>
        <w:t>CHW</w:t>
      </w:r>
      <w:proofErr w:type="spellEnd"/>
      <w:r w:rsidRPr="00CD18DF">
        <w:rPr>
          <w:rFonts w:ascii="Garamond" w:eastAsia="Calibri" w:hAnsi="Garamond" w:cs="Times New Roman"/>
          <w:sz w:val="24"/>
          <w:szCs w:val="24"/>
        </w:rPr>
        <w:t xml:space="preserve"> supervisor to provide the most recent contact information for the stakeholder. A member of the research team will then contact the stakeholder via phone (Attachment 26) or email (Attachment 27) to schedule a time for the interview.</w:t>
      </w:r>
    </w:p>
    <w:p w:rsidR="00CD18DF" w:rsidRPr="00CD18DF" w:rsidRDefault="00CD18DF" w:rsidP="00CD18DF">
      <w:pPr>
        <w:keepNext/>
        <w:keepLines/>
        <w:spacing w:before="360" w:line="240" w:lineRule="auto"/>
        <w:outlineLvl w:val="0"/>
        <w:rPr>
          <w:rFonts w:ascii="Garamond" w:eastAsiaTheme="majorEastAsia" w:hAnsi="Garamond" w:cs="Times New Roman"/>
          <w:b/>
          <w:i/>
          <w:spacing w:val="1"/>
          <w:sz w:val="24"/>
          <w:szCs w:val="24"/>
        </w:rPr>
      </w:pPr>
      <w:bookmarkStart w:id="3" w:name="_Toc446341571"/>
      <w:r w:rsidRPr="00CD18DF">
        <w:rPr>
          <w:rFonts w:ascii="Garamond" w:eastAsiaTheme="majorEastAsia" w:hAnsi="Garamond" w:cs="Times New Roman"/>
          <w:b/>
          <w:i/>
          <w:spacing w:val="1"/>
          <w:sz w:val="24"/>
          <w:szCs w:val="24"/>
        </w:rPr>
        <w:t>3.  Methods to Maximize Response Rates and Deal with Nonresponse</w:t>
      </w:r>
      <w:bookmarkEnd w:id="3"/>
    </w:p>
    <w:p w:rsidR="00CD18DF" w:rsidRPr="00CD18DF" w:rsidRDefault="00CD18DF" w:rsidP="00CD18DF">
      <w:pPr>
        <w:spacing w:after="0"/>
        <w:rPr>
          <w:rFonts w:ascii="Garamond" w:eastAsia="Calibri" w:hAnsi="Garamond" w:cs="Times New Roman"/>
          <w:i/>
          <w:sz w:val="24"/>
          <w:szCs w:val="24"/>
        </w:rPr>
      </w:pPr>
      <w:r w:rsidRPr="00CD18DF">
        <w:rPr>
          <w:rFonts w:ascii="Garamond" w:eastAsia="Calibri" w:hAnsi="Garamond" w:cs="Times New Roman"/>
          <w:i/>
          <w:sz w:val="24"/>
          <w:szCs w:val="24"/>
        </w:rPr>
        <w:t>Online Survey</w:t>
      </w:r>
    </w:p>
    <w:p w:rsidR="00CD18DF" w:rsidRPr="00CD18DF" w:rsidRDefault="00CD18DF" w:rsidP="00CD18DF">
      <w:pPr>
        <w:spacing w:after="12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0"/>
        </w:rPr>
        <w:t>Our primary method to maximize response rates and deal with nonresponse is our sequential, multi-mode contact approach described above (email, mail, telephone), which is aimed at directing respondents to complete the survey via a secure web-based reporting system. A</w:t>
      </w:r>
      <w:r w:rsidRPr="00CD18DF">
        <w:rPr>
          <w:rFonts w:ascii="Garamond" w:eastAsia="Times New Roman" w:hAnsi="Garamond" w:cs="Times New Roman"/>
          <w:sz w:val="24"/>
          <w:szCs w:val="24"/>
        </w:rPr>
        <w:t xml:space="preserve">s shown in Exhibit 5 above, if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have not completed the online survey 11 days after the first of three email invitations is sent, other contact methods (mail and telephone) will be utilized. The first mail invitation will be sent at the point where response to the initial email invitation begins to fall off and encourages initial non-responders to complete the questionnaire, as well as reaches respondents who did not receive the email invitations. Similarly, telephone calls will begin after the mail materials have had time to reach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and response begins to taper off. Telephone scripts will be developed by the study team and will be standardized across interviewers. To maximize response rates, telephone interviewers will attempt to complete the survey with respondents over the phone on that call, or at another time that is convenient for the respondents.</w:t>
      </w:r>
      <w:r w:rsidRPr="00CD18DF">
        <w:rPr>
          <w:rFonts w:ascii="Garamond" w:eastAsia="Times New Roman" w:hAnsi="Garamond" w:cs="Times New Roman"/>
          <w:sz w:val="24"/>
          <w:szCs w:val="20"/>
        </w:rPr>
        <w:t xml:space="preserve"> This approach is based on previous project experience and recommendations made by </w:t>
      </w:r>
      <w:proofErr w:type="spellStart"/>
      <w:r w:rsidRPr="00CD18DF">
        <w:rPr>
          <w:rFonts w:ascii="Garamond" w:eastAsia="Times New Roman" w:hAnsi="Garamond" w:cs="Times New Roman"/>
          <w:sz w:val="24"/>
          <w:szCs w:val="20"/>
        </w:rPr>
        <w:t>Dillman</w:t>
      </w:r>
      <w:proofErr w:type="spellEnd"/>
      <w:r w:rsidRPr="00CD18DF">
        <w:rPr>
          <w:rFonts w:ascii="Garamond" w:eastAsia="Times New Roman" w:hAnsi="Garamond" w:cs="Times New Roman"/>
          <w:sz w:val="24"/>
          <w:szCs w:val="20"/>
        </w:rPr>
        <w:t xml:space="preserve"> and colleagues.</w:t>
      </w:r>
      <w:r w:rsidRPr="00CD18DF">
        <w:rPr>
          <w:rFonts w:ascii="Garamond" w:eastAsia="Times New Roman" w:hAnsi="Garamond" w:cs="Times New Roman"/>
          <w:sz w:val="20"/>
          <w:szCs w:val="20"/>
          <w:vertAlign w:val="superscript"/>
        </w:rPr>
        <w:footnoteReference w:id="1"/>
      </w:r>
      <w:r w:rsidRPr="00CD18DF">
        <w:rPr>
          <w:rFonts w:ascii="Garamond" w:eastAsia="Times New Roman" w:hAnsi="Garamond" w:cs="Times New Roman"/>
          <w:sz w:val="24"/>
          <w:szCs w:val="20"/>
        </w:rPr>
        <w:t xml:space="preserve"> We have found a combination of contacting methods to be an effective and efficient means for achieving high response rates. In addition, using multiple contact modes creates opportunities to provide information that a potential respondent can use to confirm that the survey request is legitimate.</w:t>
      </w:r>
    </w:p>
    <w:p w:rsidR="00CD18DF" w:rsidRPr="00CD18DF" w:rsidRDefault="00CD18DF" w:rsidP="00CD18DF">
      <w:pPr>
        <w:spacing w:after="12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 xml:space="preserve">The contact protocol is based on having email addresses, mailing addresses, and telephone numbers for the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however, if information is missing for specific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the contact protocol will be tailored appropriately.  If a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cannot be reached by email, mail or telephone, case-level locating will be conducted in order to identify updated contact information for the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uses a Windows-based locating case management system to manage and track the progress of all cases that are identified as needing locating. Any new contact information returned from locating will undergo similar contact attempts as described above.</w:t>
      </w:r>
    </w:p>
    <w:p w:rsidR="00CD18DF" w:rsidRPr="00CD18DF" w:rsidRDefault="00CD18DF" w:rsidP="00CD18DF">
      <w:pPr>
        <w:spacing w:after="12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will also attempt to maximize response rates by attempting to re-engage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that completed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program using recruitment materials with familiar images (e.g.,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w:t>
      </w:r>
      <w:r w:rsidRPr="00CD18DF">
        <w:rPr>
          <w:rFonts w:ascii="Garamond" w:eastAsia="Times New Roman" w:hAnsi="Garamond" w:cs="Times New Roman"/>
          <w:sz w:val="24"/>
          <w:szCs w:val="24"/>
        </w:rPr>
        <w:lastRenderedPageBreak/>
        <w:t xml:space="preserve">logo) and thanking them for their participation in the program. Emails, letters and postcards will include these consistent images and messaging. </w:t>
      </w:r>
    </w:p>
    <w:p w:rsidR="00CD18DF" w:rsidRPr="00CD18DF" w:rsidRDefault="00CD18DF" w:rsidP="00CD18DF">
      <w:pPr>
        <w:spacing w:after="120" w:line="240" w:lineRule="auto"/>
        <w:jc w:val="both"/>
        <w:rPr>
          <w:rFonts w:ascii="Garamond" w:eastAsia="Times New Roman" w:hAnsi="Garamond" w:cs="Times New Roman"/>
          <w:sz w:val="24"/>
          <w:szCs w:val="20"/>
        </w:rPr>
      </w:pPr>
      <w:r w:rsidRPr="00CD18DF">
        <w:rPr>
          <w:rFonts w:ascii="Garamond" w:eastAsia="Times New Roman" w:hAnsi="Garamond" w:cs="Times New Roman"/>
          <w:sz w:val="24"/>
          <w:szCs w:val="24"/>
        </w:rPr>
        <w:t xml:space="preserve">As discussed in Section A9, another way that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will address non-response is by offering monetary incentives to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that participate in the online survey.  </w:t>
      </w:r>
      <w:r w:rsidRPr="00CD18DF">
        <w:rPr>
          <w:rFonts w:ascii="Garamond" w:eastAsia="Times New Roman" w:hAnsi="Garamond" w:cs="Times New Roman"/>
          <w:sz w:val="24"/>
          <w:szCs w:val="20"/>
        </w:rPr>
        <w:t>Research suggests that incentives increase response rates in surveys and that, as the value of the incentive increases, so do the number of completes.</w:t>
      </w:r>
      <w:r w:rsidRPr="00CD18DF">
        <w:rPr>
          <w:rFonts w:ascii="Garamond" w:eastAsia="Times New Roman" w:hAnsi="Garamond" w:cs="Times New Roman"/>
          <w:sz w:val="24"/>
          <w:szCs w:val="20"/>
          <w:vertAlign w:val="superscript"/>
        </w:rPr>
        <w:footnoteReference w:id="2"/>
      </w:r>
      <w:r w:rsidRPr="00CD18DF">
        <w:rPr>
          <w:rFonts w:ascii="Garamond" w:eastAsia="Times New Roman" w:hAnsi="Garamond" w:cs="Times New Roman"/>
          <w:sz w:val="24"/>
          <w:szCs w:val="20"/>
          <w:vertAlign w:val="superscript"/>
        </w:rPr>
        <w:footnoteReference w:id="3"/>
      </w:r>
      <w:r w:rsidRPr="00CD18DF">
        <w:rPr>
          <w:rFonts w:ascii="Garamond" w:eastAsia="Times New Roman" w:hAnsi="Garamond" w:cs="Times New Roman"/>
          <w:sz w:val="24"/>
          <w:szCs w:val="20"/>
        </w:rPr>
        <w:t xml:space="preserve"> Offering $20 to </w:t>
      </w:r>
      <w:proofErr w:type="spellStart"/>
      <w:r w:rsidRPr="00CD18DF">
        <w:rPr>
          <w:rFonts w:ascii="Garamond" w:eastAsia="Times New Roman" w:hAnsi="Garamond" w:cs="Times New Roman"/>
          <w:sz w:val="24"/>
          <w:szCs w:val="20"/>
        </w:rPr>
        <w:t>CHWs</w:t>
      </w:r>
      <w:proofErr w:type="spellEnd"/>
      <w:r w:rsidRPr="00CD18DF">
        <w:rPr>
          <w:rFonts w:ascii="Garamond" w:eastAsia="Times New Roman" w:hAnsi="Garamond" w:cs="Times New Roman"/>
          <w:sz w:val="24"/>
          <w:szCs w:val="20"/>
        </w:rPr>
        <w:t xml:space="preserve"> for completing the online survey is expected to increase response rates in a similar fashion.</w:t>
      </w:r>
    </w:p>
    <w:p w:rsidR="00CD18DF" w:rsidRPr="00CD18DF" w:rsidRDefault="00CD18DF" w:rsidP="00CD18DF">
      <w:pPr>
        <w:spacing w:after="0"/>
        <w:rPr>
          <w:rFonts w:ascii="Garamond" w:eastAsia="Calibri" w:hAnsi="Garamond" w:cs="Times New Roman"/>
          <w:i/>
          <w:sz w:val="24"/>
          <w:szCs w:val="24"/>
        </w:rPr>
      </w:pPr>
      <w:r w:rsidRPr="00CD18DF">
        <w:rPr>
          <w:rFonts w:ascii="Garamond" w:eastAsia="Calibri" w:hAnsi="Garamond" w:cs="Times New Roman"/>
          <w:i/>
          <w:sz w:val="24"/>
          <w:szCs w:val="24"/>
        </w:rPr>
        <w:t>Semi-structured Interviews</w:t>
      </w:r>
    </w:p>
    <w:p w:rsidR="00CD18DF" w:rsidRPr="00CD18DF" w:rsidRDefault="00CD18DF" w:rsidP="00CD18DF">
      <w:pPr>
        <w:spacing w:after="120" w:line="240" w:lineRule="auto"/>
        <w:jc w:val="both"/>
        <w:rPr>
          <w:rFonts w:ascii="Garamond" w:hAnsi="Garamond" w:cs="Times New Roman"/>
          <w:sz w:val="24"/>
          <w:szCs w:val="24"/>
        </w:rPr>
      </w:pPr>
      <w:r w:rsidRPr="00CD18DF">
        <w:rPr>
          <w:rFonts w:ascii="Garamond" w:eastAsia="Times New Roman" w:hAnsi="Garamond" w:cs="Times New Roman"/>
          <w:sz w:val="24"/>
          <w:szCs w:val="24"/>
        </w:rPr>
        <w:t xml:space="preserve">We expect to interview up to 98 participants, including 40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18 </w:t>
      </w:r>
      <w:proofErr w:type="spellStart"/>
      <w:r w:rsidRPr="00CD18DF">
        <w:rPr>
          <w:rFonts w:ascii="Garamond" w:eastAsia="Times New Roman" w:hAnsi="Garamond" w:cs="Times New Roman"/>
          <w:sz w:val="24"/>
          <w:szCs w:val="24"/>
        </w:rPr>
        <w:t>MTs</w:t>
      </w:r>
      <w:proofErr w:type="spellEnd"/>
      <w:r w:rsidRPr="00CD18DF">
        <w:rPr>
          <w:rFonts w:ascii="Garamond" w:eastAsia="Times New Roman" w:hAnsi="Garamond" w:cs="Times New Roman"/>
          <w:sz w:val="24"/>
          <w:szCs w:val="24"/>
        </w:rPr>
        <w:t xml:space="preserve">, 20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worksite supervisors, and 20 community stakeholders. Potential participants will be offered $20 for completing the in-depth telephone interview.  Similar to the rationale provided for the online survey incentive, offering $20 for completing the interview is expected to increase response rates and will allow us to interview our desired number of respondents. Efforts to maximize response rates and address nonresponse for the semi-structured interviews are also similar to those used for the online survey. A multi-mode contact protocol, tailored based on the availability of contact information for each potential interviewee, will be used to increase response rates. </w:t>
      </w:r>
    </w:p>
    <w:p w:rsidR="00CD18DF" w:rsidRPr="00CD18DF" w:rsidRDefault="00CD18DF" w:rsidP="00CD18DF">
      <w:pPr>
        <w:spacing w:after="12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Follow-up methods for each respondent group are described below:</w:t>
      </w:r>
    </w:p>
    <w:p w:rsidR="00CD18DF" w:rsidRPr="00CD18DF" w:rsidRDefault="00CD18DF" w:rsidP="00CD18DF">
      <w:pPr>
        <w:spacing w:after="120" w:line="240" w:lineRule="auto"/>
        <w:jc w:val="both"/>
        <w:rPr>
          <w:rFonts w:ascii="Garamond" w:eastAsia="Times New Roman" w:hAnsi="Garamond" w:cs="Times New Roman"/>
          <w:b/>
          <w:szCs w:val="24"/>
        </w:rPr>
      </w:pPr>
      <w:r w:rsidRPr="00CD18DF">
        <w:rPr>
          <w:rFonts w:ascii="Garamond" w:eastAsia="Times New Roman" w:hAnsi="Garamond" w:cs="Times New Roman"/>
          <w:b/>
          <w:sz w:val="24"/>
          <w:szCs w:val="24"/>
        </w:rPr>
        <w:t>Groups 1 and 2: Community Health Workers (with or without a CAP)</w:t>
      </w:r>
    </w:p>
    <w:p w:rsidR="00CD18DF" w:rsidRPr="00CD18DF" w:rsidRDefault="00CD18DF" w:rsidP="00CD18DF">
      <w:pPr>
        <w:spacing w:after="12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i/>
          <w:sz w:val="24"/>
          <w:szCs w:val="24"/>
        </w:rPr>
        <w:t>CHWs</w:t>
      </w:r>
      <w:proofErr w:type="spellEnd"/>
      <w:r w:rsidRPr="00CD18DF">
        <w:rPr>
          <w:rFonts w:ascii="Garamond" w:eastAsia="Times New Roman" w:hAnsi="Garamond" w:cs="Times New Roman"/>
          <w:i/>
          <w:sz w:val="24"/>
          <w:szCs w:val="24"/>
        </w:rPr>
        <w:t xml:space="preserve"> for </w:t>
      </w:r>
      <w:proofErr w:type="gramStart"/>
      <w:r w:rsidRPr="00CD18DF">
        <w:rPr>
          <w:rFonts w:ascii="Garamond" w:eastAsia="Times New Roman" w:hAnsi="Garamond" w:cs="Times New Roman"/>
          <w:i/>
          <w:sz w:val="24"/>
          <w:szCs w:val="24"/>
        </w:rPr>
        <w:t>whom</w:t>
      </w:r>
      <w:proofErr w:type="gramEnd"/>
      <w:r w:rsidRPr="00CD18DF">
        <w:rPr>
          <w:rFonts w:ascii="Garamond" w:eastAsia="Times New Roman" w:hAnsi="Garamond" w:cs="Times New Roman"/>
          <w:i/>
          <w:sz w:val="24"/>
          <w:szCs w:val="24"/>
        </w:rPr>
        <w:t xml:space="preserve"> we have a phone number</w:t>
      </w:r>
      <w:r w:rsidRPr="00CD18DF">
        <w:rPr>
          <w:rFonts w:ascii="Garamond" w:eastAsia="Times New Roman" w:hAnsi="Garamond" w:cs="Times New Roman"/>
          <w:sz w:val="24"/>
          <w:szCs w:val="24"/>
        </w:rPr>
        <w:t xml:space="preserv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who do not respond to our initial invitation call will receive an email (if an email is provided) directly after the call and then a follow-up call 2-4 days later. If the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does not answer the second call we will leave a voicemail. If they do not respond to the follow-up call and voicemail, they will receive another email within 1 week after the voicemail is left.  If they do not respond to the email, they will receive two follow-up emails spaced 1 week apart.</w:t>
      </w:r>
    </w:p>
    <w:p w:rsidR="00CD18DF" w:rsidRPr="00CD18DF" w:rsidRDefault="00CD18DF" w:rsidP="00CD18DF">
      <w:pPr>
        <w:spacing w:after="12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i/>
          <w:sz w:val="24"/>
          <w:szCs w:val="24"/>
        </w:rPr>
        <w:t>CHWs</w:t>
      </w:r>
      <w:proofErr w:type="spellEnd"/>
      <w:r w:rsidRPr="00CD18DF">
        <w:rPr>
          <w:rFonts w:ascii="Garamond" w:eastAsia="Times New Roman" w:hAnsi="Garamond" w:cs="Times New Roman"/>
          <w:i/>
          <w:sz w:val="24"/>
          <w:szCs w:val="24"/>
        </w:rPr>
        <w:t xml:space="preserve"> for </w:t>
      </w:r>
      <w:proofErr w:type="gramStart"/>
      <w:r w:rsidRPr="00CD18DF">
        <w:rPr>
          <w:rFonts w:ascii="Garamond" w:eastAsia="Times New Roman" w:hAnsi="Garamond" w:cs="Times New Roman"/>
          <w:i/>
          <w:sz w:val="24"/>
          <w:szCs w:val="24"/>
        </w:rPr>
        <w:t>whom</w:t>
      </w:r>
      <w:proofErr w:type="gramEnd"/>
      <w:r w:rsidRPr="00CD18DF">
        <w:rPr>
          <w:rFonts w:ascii="Garamond" w:eastAsia="Times New Roman" w:hAnsi="Garamond" w:cs="Times New Roman"/>
          <w:i/>
          <w:sz w:val="24"/>
          <w:szCs w:val="24"/>
        </w:rPr>
        <w:t xml:space="preserve"> we not have a phone number</w:t>
      </w:r>
      <w:r w:rsidRPr="00CD18DF">
        <w:rPr>
          <w:rFonts w:ascii="Garamond" w:eastAsia="Times New Roman" w:hAnsi="Garamond" w:cs="Times New Roman"/>
          <w:sz w:val="24"/>
          <w:szCs w:val="24"/>
        </w:rPr>
        <w:t xml:space="preserv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will be sent an email invitation to participate.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who do not respond to our initial email will be sent a follow-up email 4 days after the initial email.  If they still do not respond, they will receive two follow-up emails spaced 1 week apart.</w:t>
      </w:r>
    </w:p>
    <w:p w:rsidR="00CD18DF" w:rsidRPr="00CD18DF" w:rsidRDefault="00CD18DF" w:rsidP="00CD18DF">
      <w:pPr>
        <w:spacing w:after="120" w:line="240" w:lineRule="auto"/>
        <w:jc w:val="both"/>
        <w:rPr>
          <w:rFonts w:ascii="Garamond" w:eastAsia="Times New Roman" w:hAnsi="Garamond" w:cs="Times New Roman"/>
          <w:b/>
          <w:sz w:val="24"/>
          <w:szCs w:val="24"/>
        </w:rPr>
      </w:pPr>
      <w:r w:rsidRPr="00CD18DF">
        <w:rPr>
          <w:rFonts w:ascii="Garamond" w:eastAsia="Times New Roman" w:hAnsi="Garamond" w:cs="Times New Roman"/>
          <w:b/>
          <w:sz w:val="24"/>
          <w:szCs w:val="24"/>
        </w:rPr>
        <w:t>Group 3: Master Trainers</w:t>
      </w:r>
    </w:p>
    <w:p w:rsidR="00CD18DF" w:rsidRPr="00CD18DF" w:rsidRDefault="00CD18DF" w:rsidP="00CD18DF">
      <w:pPr>
        <w:spacing w:after="12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 xml:space="preserve">If </w:t>
      </w:r>
      <w:proofErr w:type="spellStart"/>
      <w:r w:rsidRPr="00CD18DF">
        <w:rPr>
          <w:rFonts w:ascii="Garamond" w:eastAsia="Times New Roman" w:hAnsi="Garamond" w:cs="Times New Roman"/>
          <w:sz w:val="24"/>
          <w:szCs w:val="24"/>
        </w:rPr>
        <w:t>MTs</w:t>
      </w:r>
      <w:proofErr w:type="spellEnd"/>
      <w:r w:rsidRPr="00CD18DF">
        <w:rPr>
          <w:rFonts w:ascii="Garamond" w:eastAsia="Times New Roman" w:hAnsi="Garamond" w:cs="Times New Roman"/>
          <w:sz w:val="24"/>
          <w:szCs w:val="24"/>
        </w:rPr>
        <w:t xml:space="preserve"> do not answer our initial call, we will leave a voicemail and send a follow-up email directly after leaving the voicemail. If they do not respond we will make a follow-up phone call 3-5 days after leaving the voicemail. If they do not answer or respond, we will send another email 2 days later. If they do not respond to the email, we will send two follow-up emails spaced 1 week apart.</w:t>
      </w:r>
    </w:p>
    <w:p w:rsidR="00CD18DF" w:rsidRPr="00CD18DF" w:rsidRDefault="00CD18DF" w:rsidP="00CD18DF">
      <w:pPr>
        <w:spacing w:after="120" w:line="240" w:lineRule="auto"/>
        <w:jc w:val="both"/>
        <w:rPr>
          <w:rFonts w:ascii="Garamond" w:eastAsia="Times New Roman" w:hAnsi="Garamond" w:cs="Times New Roman"/>
          <w:b/>
          <w:sz w:val="24"/>
          <w:szCs w:val="24"/>
        </w:rPr>
      </w:pPr>
      <w:r w:rsidRPr="00CD18DF">
        <w:rPr>
          <w:rFonts w:ascii="Garamond" w:eastAsia="Times New Roman" w:hAnsi="Garamond" w:cs="Times New Roman"/>
          <w:b/>
          <w:sz w:val="24"/>
          <w:szCs w:val="24"/>
        </w:rPr>
        <w:t>Groups 4 and 5: Workplace Supervisors &amp; Stakeholders</w:t>
      </w:r>
    </w:p>
    <w:p w:rsidR="00CD18DF" w:rsidRPr="00CD18DF" w:rsidRDefault="00CD18DF" w:rsidP="00CD18DF">
      <w:pPr>
        <w:spacing w:after="120" w:line="240" w:lineRule="auto"/>
        <w:rPr>
          <w:rFonts w:ascii="Garamond" w:eastAsia="Times New Roman" w:hAnsi="Garamond" w:cs="Times New Roman"/>
          <w:sz w:val="24"/>
          <w:szCs w:val="24"/>
        </w:rPr>
      </w:pPr>
      <w:proofErr w:type="gramStart"/>
      <w:r w:rsidRPr="00CD18DF">
        <w:rPr>
          <w:rFonts w:ascii="Garamond" w:eastAsia="Times New Roman" w:hAnsi="Garamond" w:cs="Times New Roman"/>
          <w:i/>
          <w:sz w:val="24"/>
          <w:szCs w:val="24"/>
        </w:rPr>
        <w:t>Supervisors &amp; Stakeholders for whom we have a phone number</w:t>
      </w:r>
      <w:r w:rsidRPr="00CD18DF">
        <w:rPr>
          <w:rFonts w:ascii="Garamond" w:eastAsia="Times New Roman" w:hAnsi="Garamond" w:cs="Times New Roman"/>
          <w:sz w:val="24"/>
          <w:szCs w:val="24"/>
        </w:rPr>
        <w:t>.</w:t>
      </w:r>
      <w:proofErr w:type="gramEnd"/>
      <w:r w:rsidRPr="00CD18DF">
        <w:rPr>
          <w:rFonts w:ascii="Garamond" w:eastAsia="Times New Roman" w:hAnsi="Garamond" w:cs="Times New Roman"/>
          <w:sz w:val="24"/>
          <w:szCs w:val="24"/>
        </w:rPr>
        <w:t xml:space="preserve"> Supervisors and stakeholders who do not respond to our initial invitation call will receive an email (if an email is provided) directly after the call and then a follow-up call 2-4 days later. If they do not answer on the second call we will leave a voicemail. If they do not respond to the follow-up call and voicemail, they will receive another email within 1 week after the voicemail is left.  If they do not respond to the email, they will receive two follow-up emails spaced 1 week apart.</w:t>
      </w:r>
    </w:p>
    <w:p w:rsidR="00CD18DF" w:rsidRPr="00CD18DF" w:rsidRDefault="00CD18DF" w:rsidP="00CD18DF">
      <w:pPr>
        <w:spacing w:after="120" w:line="240" w:lineRule="auto"/>
        <w:rPr>
          <w:rFonts w:ascii="Garamond" w:eastAsia="Times New Roman" w:hAnsi="Garamond" w:cs="Times New Roman"/>
          <w:sz w:val="24"/>
          <w:szCs w:val="24"/>
        </w:rPr>
      </w:pPr>
      <w:proofErr w:type="gramStart"/>
      <w:r w:rsidRPr="00CD18DF">
        <w:rPr>
          <w:rFonts w:ascii="Garamond" w:eastAsia="Times New Roman" w:hAnsi="Garamond" w:cs="Times New Roman"/>
          <w:i/>
          <w:sz w:val="24"/>
          <w:szCs w:val="24"/>
        </w:rPr>
        <w:lastRenderedPageBreak/>
        <w:t>Supervisors &amp; Stakeholders for whom we not have a phone number</w:t>
      </w:r>
      <w:r w:rsidRPr="00CD18DF">
        <w:rPr>
          <w:rFonts w:ascii="Garamond" w:eastAsia="Times New Roman" w:hAnsi="Garamond" w:cs="Times New Roman"/>
          <w:sz w:val="24"/>
          <w:szCs w:val="24"/>
        </w:rPr>
        <w:t>.</w:t>
      </w:r>
      <w:proofErr w:type="gramEnd"/>
      <w:r w:rsidRPr="00CD18DF">
        <w:rPr>
          <w:rFonts w:ascii="Garamond" w:eastAsia="Times New Roman" w:hAnsi="Garamond" w:cs="Times New Roman"/>
          <w:sz w:val="24"/>
          <w:szCs w:val="24"/>
        </w:rPr>
        <w:t xml:space="preserve"> Supervisors and stakeholders will be sent an email invitation to participate. Supervisors and stakeholders who do not respond to our initial email will be sent a follow-up email 4 days after the initial email.  If they still do not respond, they will receive two follow-up emails spaced 1 week apart.</w:t>
      </w:r>
    </w:p>
    <w:p w:rsidR="00CD18DF" w:rsidRPr="00CD18DF" w:rsidRDefault="00CD18DF" w:rsidP="00CD18DF">
      <w:pPr>
        <w:keepNext/>
        <w:keepLines/>
        <w:spacing w:before="360" w:line="240" w:lineRule="auto"/>
        <w:outlineLvl w:val="0"/>
        <w:rPr>
          <w:rFonts w:ascii="Garamond" w:eastAsiaTheme="majorEastAsia" w:hAnsi="Garamond" w:cs="Times New Roman"/>
          <w:b/>
          <w:i/>
          <w:spacing w:val="1"/>
          <w:sz w:val="24"/>
          <w:szCs w:val="24"/>
        </w:rPr>
      </w:pPr>
      <w:bookmarkStart w:id="4" w:name="_Toc446341572"/>
      <w:r w:rsidRPr="00CD18DF">
        <w:rPr>
          <w:rFonts w:ascii="Garamond" w:eastAsiaTheme="majorEastAsia" w:hAnsi="Garamond" w:cs="Times New Roman"/>
          <w:b/>
          <w:i/>
          <w:spacing w:val="1"/>
          <w:sz w:val="24"/>
          <w:szCs w:val="24"/>
        </w:rPr>
        <w:t xml:space="preserve">4.  Test of Procedures or Methods to be </w:t>
      </w:r>
      <w:proofErr w:type="gramStart"/>
      <w:r w:rsidRPr="00CD18DF">
        <w:rPr>
          <w:rFonts w:ascii="Garamond" w:eastAsiaTheme="majorEastAsia" w:hAnsi="Garamond" w:cs="Times New Roman"/>
          <w:b/>
          <w:i/>
          <w:spacing w:val="1"/>
          <w:sz w:val="24"/>
          <w:szCs w:val="24"/>
        </w:rPr>
        <w:t>Undertaken</w:t>
      </w:r>
      <w:bookmarkEnd w:id="4"/>
      <w:proofErr w:type="gramEnd"/>
    </w:p>
    <w:p w:rsidR="00CD18DF" w:rsidRPr="00CD18DF" w:rsidRDefault="00CD18DF" w:rsidP="00CD18DF">
      <w:pPr>
        <w:spacing w:after="12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 xml:space="preserve">Questions on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competencies incorporated into the survey have been used previously in the short-term evaluation of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Some questions about the impact of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on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work activities,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leadership qualities, skills, and activities, and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engagement in social change were also previously utilized in an evaluation conducted nine months after the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were trained. An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senior survey methodologist, as well as several members of </w:t>
      </w:r>
      <w:proofErr w:type="spellStart"/>
      <w:r w:rsidRPr="00CD18DF">
        <w:rPr>
          <w:rFonts w:ascii="Garamond" w:eastAsia="Times New Roman" w:hAnsi="Garamond" w:cs="Times New Roman"/>
          <w:sz w:val="24"/>
          <w:szCs w:val="24"/>
        </w:rPr>
        <w:t>OWH</w:t>
      </w:r>
      <w:proofErr w:type="spellEnd"/>
      <w:r w:rsidRPr="00CD18DF">
        <w:rPr>
          <w:rFonts w:ascii="Garamond" w:eastAsia="Times New Roman" w:hAnsi="Garamond" w:cs="Times New Roman"/>
          <w:sz w:val="24"/>
          <w:szCs w:val="24"/>
        </w:rPr>
        <w:t xml:space="preserve">, reviewed the survey questions and interview protocols and their comments were incorporated into the final versions. </w:t>
      </w:r>
    </w:p>
    <w:p w:rsidR="00CD18DF" w:rsidRPr="00CD18DF" w:rsidRDefault="00CD18DF" w:rsidP="00CD18DF">
      <w:pPr>
        <w:spacing w:after="0" w:line="240" w:lineRule="auto"/>
        <w:rPr>
          <w:rFonts w:ascii="Garamond" w:eastAsia="Times New Roman" w:hAnsi="Garamond" w:cs="Times New Roman"/>
          <w:sz w:val="24"/>
          <w:szCs w:val="24"/>
        </w:rPr>
      </w:pPr>
      <w:r w:rsidRPr="00CD18DF">
        <w:rPr>
          <w:rFonts w:ascii="Garamond" w:eastAsia="Times New Roman" w:hAnsi="Garamond" w:cs="Times New Roman"/>
          <w:sz w:val="24"/>
          <w:szCs w:val="24"/>
        </w:rPr>
        <w:t xml:space="preserve">In addition, the survey was pilot tested by a group of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and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staff. Please see Attachment 3 which contains the Pilot Report.  Key elements of the pilot testing and the results are summarized here. A random sample of the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who participated in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training were contacted and invited to participate in the pilot study. A Microsoft Word version of the survey was emailed to participants, and they were asked to print it out and complete it. Once the survey was completed, they were invited to participate in a telephone or in-person debriefing with two members of the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evaluation team. Two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and three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staff members completed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survey and the debriefing. </w:t>
      </w:r>
    </w:p>
    <w:p w:rsidR="00CD18DF" w:rsidRPr="00CD18DF" w:rsidRDefault="00CD18DF" w:rsidP="00CD18DF">
      <w:pPr>
        <w:spacing w:after="0" w:line="240" w:lineRule="auto"/>
        <w:rPr>
          <w:rFonts w:ascii="Garamond" w:eastAsia="Times New Roman" w:hAnsi="Garamond" w:cs="Times New Roman"/>
          <w:sz w:val="24"/>
          <w:szCs w:val="24"/>
        </w:rPr>
      </w:pPr>
    </w:p>
    <w:p w:rsidR="00CD18DF" w:rsidRPr="00CD18DF" w:rsidRDefault="00CD18DF" w:rsidP="00CD18DF">
      <w:pPr>
        <w:spacing w:after="0" w:line="240" w:lineRule="auto"/>
        <w:rPr>
          <w:rFonts w:ascii="Garamond" w:eastAsia="Times New Roman" w:hAnsi="Garamond" w:cs="Times New Roman"/>
          <w:sz w:val="24"/>
          <w:szCs w:val="24"/>
        </w:rPr>
      </w:pPr>
      <w:r w:rsidRPr="00CD18DF">
        <w:rPr>
          <w:rFonts w:ascii="Garamond" w:eastAsia="Times New Roman" w:hAnsi="Garamond" w:cs="Times New Roman"/>
          <w:sz w:val="24"/>
          <w:szCs w:val="24"/>
        </w:rPr>
        <w:t xml:space="preserve">The pretest allowed </w:t>
      </w:r>
      <w:proofErr w:type="spellStart"/>
      <w:r w:rsidRPr="00CD18DF">
        <w:rPr>
          <w:rFonts w:ascii="Garamond" w:eastAsia="Times New Roman" w:hAnsi="Garamond" w:cs="Times New Roman"/>
          <w:sz w:val="24"/>
          <w:szCs w:val="24"/>
        </w:rPr>
        <w:t>OWH</w:t>
      </w:r>
      <w:proofErr w:type="spellEnd"/>
      <w:r w:rsidRPr="00CD18DF">
        <w:rPr>
          <w:rFonts w:ascii="Garamond" w:eastAsia="Times New Roman" w:hAnsi="Garamond" w:cs="Times New Roman"/>
          <w:sz w:val="24"/>
          <w:szCs w:val="24"/>
        </w:rPr>
        <w:t xml:space="preserve"> and </w:t>
      </w: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to confirm </w:t>
      </w:r>
      <w:proofErr w:type="spellStart"/>
      <w:proofErr w:type="gram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understanding</w:t>
      </w:r>
      <w:proofErr w:type="gramEnd"/>
      <w:r w:rsidRPr="00CD18DF">
        <w:rPr>
          <w:rFonts w:ascii="Garamond" w:eastAsia="Times New Roman" w:hAnsi="Garamond" w:cs="Times New Roman"/>
          <w:sz w:val="24"/>
          <w:szCs w:val="24"/>
        </w:rPr>
        <w:t xml:space="preserve"> of the survey questions, the flow of the survey, and provided an opportunity for them to make suggestions on survey questions and answer categories. Feedback from the pilot study participants indicated the survey was comprehensive and that the instructions in the survey were generally easy to follow. The time to complete the survey met our expectations of approximately 25 minutes. Feedback provided by pretest responders has been incorporated into the survey. Questions deemed to be repetitive were removed, and questions reported to be ambiguous were clarified.  </w:t>
      </w:r>
    </w:p>
    <w:p w:rsidR="00CD18DF" w:rsidRPr="00CD18DF" w:rsidRDefault="00CD18DF" w:rsidP="00CD18DF">
      <w:pPr>
        <w:spacing w:after="0" w:line="240" w:lineRule="auto"/>
        <w:rPr>
          <w:rFonts w:ascii="Book Antiqua" w:eastAsia="Times New Roman" w:hAnsi="Book Antiqua" w:cs="Times New Roman"/>
          <w:sz w:val="24"/>
          <w:szCs w:val="20"/>
        </w:rPr>
      </w:pPr>
    </w:p>
    <w:p w:rsidR="00CD18DF" w:rsidRPr="00CD18DF" w:rsidRDefault="00CD18DF" w:rsidP="00CD18DF">
      <w:pPr>
        <w:spacing w:after="120" w:line="240" w:lineRule="auto"/>
        <w:rPr>
          <w:rFonts w:ascii="Garamond" w:eastAsia="Times New Roman" w:hAnsi="Garamond" w:cs="Times New Roman"/>
          <w:sz w:val="24"/>
          <w:szCs w:val="24"/>
        </w:rPr>
      </w:pPr>
      <w:r w:rsidRPr="00CD18DF">
        <w:rPr>
          <w:rFonts w:ascii="Garamond" w:eastAsia="Times New Roman" w:hAnsi="Garamond" w:cs="Times New Roman"/>
          <w:sz w:val="24"/>
          <w:szCs w:val="24"/>
        </w:rPr>
        <w:t xml:space="preserve">The </w:t>
      </w:r>
      <w:proofErr w:type="spellStart"/>
      <w:r w:rsidRPr="00CD18DF">
        <w:rPr>
          <w:rFonts w:ascii="Garamond" w:eastAsia="Times New Roman" w:hAnsi="Garamond" w:cs="Times New Roman"/>
          <w:sz w:val="24"/>
          <w:szCs w:val="24"/>
        </w:rPr>
        <w:t>CHW</w:t>
      </w:r>
      <w:proofErr w:type="spellEnd"/>
      <w:r w:rsidRPr="00CD18DF">
        <w:rPr>
          <w:rFonts w:ascii="Garamond" w:eastAsia="Times New Roman" w:hAnsi="Garamond" w:cs="Times New Roman"/>
          <w:sz w:val="24"/>
          <w:szCs w:val="24"/>
        </w:rPr>
        <w:t xml:space="preserve"> survey and semi-structured interview protocols for the </w:t>
      </w:r>
      <w:proofErr w:type="spellStart"/>
      <w:r w:rsidRPr="00CD18DF">
        <w:rPr>
          <w:rFonts w:ascii="Garamond" w:eastAsia="Times New Roman" w:hAnsi="Garamond" w:cs="Times New Roman"/>
          <w:sz w:val="24"/>
          <w:szCs w:val="24"/>
        </w:rPr>
        <w:t>CHWs</w:t>
      </w:r>
      <w:proofErr w:type="spellEnd"/>
      <w:r w:rsidRPr="00CD18DF">
        <w:rPr>
          <w:rFonts w:ascii="Garamond" w:eastAsia="Times New Roman" w:hAnsi="Garamond" w:cs="Times New Roman"/>
          <w:sz w:val="24"/>
          <w:szCs w:val="24"/>
        </w:rPr>
        <w:t xml:space="preserve">, workplace supervisors, and community stakeholders were reviewed by one of the </w:t>
      </w:r>
      <w:proofErr w:type="spellStart"/>
      <w:r w:rsidRPr="00CD18DF">
        <w:rPr>
          <w:rFonts w:ascii="Garamond" w:eastAsia="Times New Roman" w:hAnsi="Garamond" w:cs="Times New Roman"/>
          <w:sz w:val="24"/>
          <w:szCs w:val="24"/>
        </w:rPr>
        <w:t>WHLI</w:t>
      </w:r>
      <w:proofErr w:type="spellEnd"/>
      <w:r w:rsidRPr="00CD18DF">
        <w:rPr>
          <w:rFonts w:ascii="Garamond" w:eastAsia="Times New Roman" w:hAnsi="Garamond" w:cs="Times New Roman"/>
          <w:sz w:val="24"/>
          <w:szCs w:val="24"/>
        </w:rPr>
        <w:t xml:space="preserve"> Master Trainers. Feedback and suggestions for increasing clarity and readability were incorporated. </w:t>
      </w:r>
    </w:p>
    <w:p w:rsidR="00CD18DF" w:rsidRPr="00CD18DF" w:rsidRDefault="00CD18DF" w:rsidP="00CD18DF">
      <w:pPr>
        <w:keepNext/>
        <w:keepLines/>
        <w:spacing w:before="360" w:line="240" w:lineRule="auto"/>
        <w:outlineLvl w:val="0"/>
        <w:rPr>
          <w:rFonts w:ascii="Garamond" w:eastAsiaTheme="majorEastAsia" w:hAnsi="Garamond" w:cs="Times New Roman"/>
          <w:b/>
          <w:i/>
          <w:spacing w:val="1"/>
          <w:sz w:val="24"/>
          <w:szCs w:val="24"/>
        </w:rPr>
      </w:pPr>
      <w:bookmarkStart w:id="5" w:name="_Toc446341573"/>
      <w:r w:rsidRPr="00CD18DF">
        <w:rPr>
          <w:rFonts w:ascii="Garamond" w:eastAsiaTheme="majorEastAsia" w:hAnsi="Garamond" w:cs="Times New Roman"/>
          <w:b/>
          <w:i/>
          <w:spacing w:val="1"/>
          <w:sz w:val="24"/>
          <w:szCs w:val="24"/>
        </w:rPr>
        <w:t>5. Individuals Consulted on Statistical Aspects and Individuals Collecting and/or Analyzing Data</w:t>
      </w:r>
      <w:bookmarkEnd w:id="5"/>
    </w:p>
    <w:p w:rsidR="00CD18DF" w:rsidRPr="00CD18DF" w:rsidRDefault="00CD18DF" w:rsidP="00CD18DF">
      <w:pPr>
        <w:keepNext/>
        <w:spacing w:after="0" w:line="240" w:lineRule="auto"/>
        <w:jc w:val="both"/>
        <w:rPr>
          <w:rFonts w:ascii="Garamond" w:eastAsia="Times New Roman" w:hAnsi="Garamond" w:cs="Times New Roman"/>
          <w:sz w:val="24"/>
          <w:szCs w:val="24"/>
          <w:u w:val="single"/>
        </w:rPr>
      </w:pPr>
      <w:r w:rsidRPr="00CD18DF">
        <w:rPr>
          <w:rFonts w:ascii="Garamond" w:eastAsia="Times New Roman" w:hAnsi="Garamond" w:cs="Times New Roman"/>
          <w:sz w:val="24"/>
          <w:szCs w:val="24"/>
          <w:u w:val="single"/>
        </w:rPr>
        <w:t>Program Development Contact</w:t>
      </w:r>
    </w:p>
    <w:p w:rsidR="00CD18DF" w:rsidRPr="00CD18DF" w:rsidRDefault="00CD18DF" w:rsidP="00CD18DF">
      <w:pPr>
        <w:spacing w:after="0" w:line="240" w:lineRule="auto"/>
        <w:rPr>
          <w:rFonts w:ascii="Times New Roman" w:eastAsia="Arial Unicode MS" w:hAnsi="Times New Roman" w:cs="Times New Roman"/>
          <w:sz w:val="24"/>
          <w:szCs w:val="24"/>
        </w:rPr>
      </w:pPr>
      <w:r w:rsidRPr="00CD18DF">
        <w:rPr>
          <w:rFonts w:ascii="Times New Roman" w:eastAsia="Arial Unicode MS" w:hAnsi="Times New Roman" w:cs="Times New Roman"/>
          <w:sz w:val="24"/>
          <w:szCs w:val="24"/>
        </w:rPr>
        <w:t xml:space="preserve">Adrienne M. Smith, Ph.D. M.S., </w:t>
      </w:r>
      <w:proofErr w:type="spellStart"/>
      <w:r w:rsidRPr="00CD18DF">
        <w:rPr>
          <w:rFonts w:ascii="Times New Roman" w:eastAsia="Arial Unicode MS" w:hAnsi="Times New Roman" w:cs="Times New Roman"/>
          <w:sz w:val="24"/>
          <w:szCs w:val="24"/>
        </w:rPr>
        <w:t>CHES</w:t>
      </w:r>
      <w:proofErr w:type="spellEnd"/>
    </w:p>
    <w:p w:rsidR="00CD18DF" w:rsidRPr="00CD18DF" w:rsidRDefault="00CD18DF" w:rsidP="00CD18DF">
      <w:pPr>
        <w:spacing w:after="0" w:line="240" w:lineRule="auto"/>
        <w:rPr>
          <w:rFonts w:ascii="Garamond" w:eastAsia="Arial Unicode MS" w:hAnsi="Garamond" w:cs="Times New Roman"/>
          <w:color w:val="000000"/>
          <w:sz w:val="24"/>
          <w:szCs w:val="24"/>
        </w:rPr>
      </w:pPr>
      <w:r w:rsidRPr="00CD18DF">
        <w:rPr>
          <w:rFonts w:ascii="Garamond" w:eastAsia="Arial Unicode MS" w:hAnsi="Garamond" w:cs="Times New Roman"/>
          <w:color w:val="000000"/>
          <w:sz w:val="24"/>
          <w:szCs w:val="24"/>
        </w:rPr>
        <w:t>U.S. Department of Health and Human Services</w:t>
      </w:r>
    </w:p>
    <w:p w:rsidR="00CD18DF" w:rsidRPr="00CD18DF" w:rsidRDefault="00CD18DF" w:rsidP="00CD18DF">
      <w:pPr>
        <w:spacing w:after="0" w:line="240" w:lineRule="auto"/>
        <w:rPr>
          <w:rFonts w:ascii="Garamond" w:eastAsia="Arial Unicode MS" w:hAnsi="Garamond" w:cs="Times New Roman"/>
          <w:color w:val="000000"/>
          <w:sz w:val="24"/>
          <w:szCs w:val="24"/>
        </w:rPr>
      </w:pPr>
      <w:r w:rsidRPr="00CD18DF">
        <w:rPr>
          <w:rFonts w:ascii="Garamond" w:eastAsia="Arial Unicode MS" w:hAnsi="Garamond" w:cs="Times New Roman"/>
          <w:color w:val="000000"/>
          <w:sz w:val="24"/>
          <w:szCs w:val="24"/>
        </w:rPr>
        <w:t>Office on Women's Health</w:t>
      </w:r>
    </w:p>
    <w:p w:rsidR="00CD18DF" w:rsidRPr="00CD18DF" w:rsidRDefault="00CD18DF" w:rsidP="00CD18DF">
      <w:pPr>
        <w:autoSpaceDE w:val="0"/>
        <w:autoSpaceDN w:val="0"/>
        <w:spacing w:after="0" w:line="240" w:lineRule="auto"/>
        <w:rPr>
          <w:rFonts w:ascii="Times New Roman" w:eastAsia="Times New Roman" w:hAnsi="Times New Roman" w:cs="Times New Roman"/>
          <w:sz w:val="24"/>
          <w:szCs w:val="24"/>
        </w:rPr>
      </w:pPr>
      <w:r w:rsidRPr="00CD18DF">
        <w:rPr>
          <w:rFonts w:ascii="Times New Roman" w:eastAsia="Times New Roman" w:hAnsi="Times New Roman" w:cs="Times New Roman"/>
          <w:sz w:val="24"/>
          <w:szCs w:val="24"/>
        </w:rPr>
        <w:t>202-205-0270</w:t>
      </w:r>
    </w:p>
    <w:p w:rsidR="00CD18DF" w:rsidRPr="00CD18DF" w:rsidRDefault="00CD18DF" w:rsidP="00CD18DF">
      <w:pPr>
        <w:spacing w:after="0" w:line="240" w:lineRule="auto"/>
        <w:jc w:val="both"/>
        <w:rPr>
          <w:rFonts w:ascii="Garamond" w:eastAsia="Times New Roman" w:hAnsi="Garamond" w:cs="Times New Roman"/>
          <w:color w:val="0000FF" w:themeColor="hyperlink"/>
          <w:sz w:val="24"/>
          <w:szCs w:val="20"/>
          <w:u w:val="single"/>
        </w:rPr>
      </w:pPr>
      <w:hyperlink r:id="rId8" w:history="1">
        <w:r w:rsidRPr="00CD18DF">
          <w:rPr>
            <w:rFonts w:ascii="Garamond" w:eastAsia="Times New Roman" w:hAnsi="Garamond" w:cs="Times New Roman"/>
            <w:color w:val="0000FF" w:themeColor="hyperlink"/>
            <w:sz w:val="24"/>
            <w:szCs w:val="24"/>
            <w:u w:val="single"/>
          </w:rPr>
          <w:t>Adrienne.Smith@hhs.gov</w:t>
        </w:r>
      </w:hyperlink>
    </w:p>
    <w:p w:rsidR="00CD18DF" w:rsidRPr="00CD18DF" w:rsidRDefault="00CD18DF" w:rsidP="00CD18DF">
      <w:pPr>
        <w:keepNext/>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u w:val="single"/>
        </w:rPr>
      </w:pPr>
      <w:r w:rsidRPr="00CD18DF">
        <w:rPr>
          <w:rFonts w:ascii="Garamond" w:eastAsia="Times New Roman" w:hAnsi="Garamond" w:cs="Times New Roman"/>
          <w:sz w:val="24"/>
          <w:szCs w:val="24"/>
          <w:u w:val="single"/>
        </w:rPr>
        <w:t>Instrument Development/Data Collection/Data Analysis Contacts</w:t>
      </w:r>
    </w:p>
    <w:p w:rsidR="00CD18DF" w:rsidRPr="00CD18DF" w:rsidRDefault="00CD18DF" w:rsidP="00CD18DF">
      <w:pPr>
        <w:keepNext/>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Weiwei Liu, Ph.D.</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Senior Research Scientist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lastRenderedPageBreak/>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634-9559</w:t>
      </w:r>
    </w:p>
    <w:p w:rsidR="00CD18DF" w:rsidRPr="00CD18DF" w:rsidRDefault="00CD18DF" w:rsidP="00CD18DF">
      <w:pPr>
        <w:spacing w:after="0" w:line="240" w:lineRule="auto"/>
        <w:jc w:val="both"/>
        <w:rPr>
          <w:rFonts w:ascii="Garamond" w:eastAsia="Times New Roman" w:hAnsi="Garamond" w:cs="Times New Roman"/>
          <w:sz w:val="24"/>
          <w:szCs w:val="24"/>
        </w:rPr>
      </w:pPr>
      <w:hyperlink r:id="rId9" w:history="1">
        <w:r w:rsidRPr="00CD18DF">
          <w:rPr>
            <w:rFonts w:ascii="Garamond" w:eastAsia="Times New Roman" w:hAnsi="Garamond" w:cs="Times New Roman"/>
            <w:color w:val="0000FF" w:themeColor="hyperlink"/>
            <w:sz w:val="24"/>
            <w:szCs w:val="24"/>
            <w:u w:val="single"/>
          </w:rPr>
          <w:t>Liu-Weiwei@norc.org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Britta Anderson, Ph.D.</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Research Scientist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634-9356</w:t>
      </w:r>
    </w:p>
    <w:p w:rsidR="00CD18DF" w:rsidRPr="00CD18DF" w:rsidRDefault="00CD18DF" w:rsidP="00CD18DF">
      <w:pPr>
        <w:spacing w:after="0" w:line="240" w:lineRule="auto"/>
        <w:jc w:val="both"/>
        <w:rPr>
          <w:rFonts w:ascii="Garamond" w:eastAsia="Times New Roman" w:hAnsi="Garamond" w:cs="Times New Roman"/>
          <w:sz w:val="24"/>
          <w:szCs w:val="24"/>
        </w:rPr>
      </w:pPr>
      <w:hyperlink r:id="rId10" w:history="1">
        <w:r w:rsidRPr="00CD18DF">
          <w:rPr>
            <w:rFonts w:ascii="Garamond" w:eastAsia="Times New Roman" w:hAnsi="Garamond" w:cs="Times New Roman"/>
            <w:color w:val="0000FF" w:themeColor="hyperlink"/>
            <w:sz w:val="24"/>
            <w:szCs w:val="24"/>
            <w:u w:val="single"/>
          </w:rPr>
          <w:t>Anderson-Britta@norc.org</w:t>
        </w:r>
      </w:hyperlink>
    </w:p>
    <w:p w:rsidR="00CD18DF" w:rsidRPr="00CD18DF" w:rsidRDefault="00CD18DF" w:rsidP="00CD18DF">
      <w:pPr>
        <w:spacing w:after="0" w:line="240" w:lineRule="auto"/>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Caitlin Oppenheimer, M.P.H.</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Senior Vice President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634-9322</w:t>
      </w:r>
    </w:p>
    <w:p w:rsidR="00CD18DF" w:rsidRPr="00CD18DF" w:rsidRDefault="00CD18DF" w:rsidP="00CD18DF">
      <w:pPr>
        <w:spacing w:after="0" w:line="240" w:lineRule="auto"/>
        <w:jc w:val="both"/>
        <w:rPr>
          <w:rFonts w:ascii="Garamond" w:eastAsia="Times New Roman" w:hAnsi="Garamond" w:cs="Times New Roman"/>
          <w:sz w:val="24"/>
          <w:szCs w:val="24"/>
        </w:rPr>
      </w:pPr>
      <w:hyperlink r:id="rId11" w:history="1">
        <w:r w:rsidRPr="00CD18DF">
          <w:rPr>
            <w:rFonts w:ascii="Garamond" w:eastAsia="Times New Roman" w:hAnsi="Garamond" w:cs="Times New Roman"/>
            <w:color w:val="0000FF" w:themeColor="hyperlink"/>
            <w:sz w:val="24"/>
            <w:szCs w:val="24"/>
            <w:u w:val="single"/>
          </w:rPr>
          <w:t>Oppenheimer-Caitlin@norc.org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Felicia Cerbone, M.A.</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Principal Research Scientist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634-9328</w:t>
      </w:r>
    </w:p>
    <w:p w:rsidR="00CD18DF" w:rsidRPr="00CD18DF" w:rsidRDefault="00CD18DF" w:rsidP="00CD18DF">
      <w:pPr>
        <w:spacing w:after="0" w:line="240" w:lineRule="auto"/>
        <w:jc w:val="both"/>
        <w:rPr>
          <w:rFonts w:ascii="Garamond" w:eastAsia="Times New Roman" w:hAnsi="Garamond" w:cs="Times New Roman"/>
          <w:sz w:val="24"/>
          <w:szCs w:val="24"/>
        </w:rPr>
      </w:pPr>
      <w:hyperlink r:id="rId12" w:history="1">
        <w:r w:rsidRPr="00CD18DF">
          <w:rPr>
            <w:rFonts w:ascii="Garamond" w:eastAsia="Times New Roman" w:hAnsi="Garamond" w:cs="Times New Roman"/>
            <w:color w:val="0000FF" w:themeColor="hyperlink"/>
            <w:sz w:val="24"/>
            <w:szCs w:val="24"/>
            <w:u w:val="single"/>
          </w:rPr>
          <w:t>Cerbone-Felicia@norc.org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Michael Stern, Ph.D.</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Fellow, Center for Excellence in Survey Research</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55 East Monroe, 30th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Chicago, IL 60602 (312) 357-3891</w:t>
      </w:r>
    </w:p>
    <w:p w:rsidR="00CD18DF" w:rsidRPr="00CD18DF" w:rsidRDefault="00CD18DF" w:rsidP="00CD18DF">
      <w:pPr>
        <w:spacing w:after="0" w:line="240" w:lineRule="auto"/>
        <w:jc w:val="both"/>
        <w:rPr>
          <w:rFonts w:ascii="Garamond" w:eastAsia="Times New Roman" w:hAnsi="Garamond" w:cs="Times New Roman"/>
          <w:sz w:val="24"/>
          <w:szCs w:val="24"/>
        </w:rPr>
      </w:pPr>
      <w:hyperlink r:id="rId13" w:history="1">
        <w:r w:rsidRPr="00CD18DF">
          <w:rPr>
            <w:rFonts w:ascii="Garamond" w:eastAsia="Times New Roman" w:hAnsi="Garamond" w:cs="Times New Roman"/>
            <w:color w:val="0000FF" w:themeColor="hyperlink"/>
            <w:sz w:val="24"/>
            <w:szCs w:val="24"/>
            <w:u w:val="single"/>
          </w:rPr>
          <w:t>Stern-Michael@norc.org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Jacquelyn George, B.A.</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Survey Director II</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55 East Monroe, 30</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Chicago, IL 60602</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(312) 325-2573</w:t>
      </w:r>
    </w:p>
    <w:p w:rsidR="00CD18DF" w:rsidRPr="00CD18DF" w:rsidRDefault="00CD18DF" w:rsidP="00CD18DF">
      <w:pPr>
        <w:spacing w:after="0" w:line="240" w:lineRule="auto"/>
        <w:jc w:val="both"/>
        <w:rPr>
          <w:rFonts w:ascii="Garamond" w:eastAsia="Times New Roman" w:hAnsi="Garamond" w:cs="Times New Roman"/>
          <w:sz w:val="24"/>
          <w:szCs w:val="24"/>
        </w:rPr>
      </w:pPr>
      <w:hyperlink r:id="rId14" w:history="1">
        <w:r w:rsidRPr="00CD18DF">
          <w:rPr>
            <w:rFonts w:ascii="Garamond" w:eastAsia="Times New Roman" w:hAnsi="Garamond" w:cs="Times New Roman"/>
            <w:color w:val="0000FF" w:themeColor="hyperlink"/>
            <w:sz w:val="24"/>
            <w:szCs w:val="24"/>
            <w:u w:val="single"/>
          </w:rPr>
          <w:t>George-Jacquelyn@norc.org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Amy Rosenfeld, M.P.H.</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Senior Research Analyst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lastRenderedPageBreak/>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634-9549</w:t>
      </w:r>
    </w:p>
    <w:p w:rsidR="00CD18DF" w:rsidRPr="00CD18DF" w:rsidRDefault="00CD18DF" w:rsidP="00CD18DF">
      <w:pPr>
        <w:spacing w:after="0" w:line="240" w:lineRule="auto"/>
        <w:jc w:val="both"/>
        <w:rPr>
          <w:rFonts w:ascii="Garamond" w:eastAsia="Times New Roman" w:hAnsi="Garamond" w:cs="Times New Roman"/>
          <w:sz w:val="24"/>
          <w:szCs w:val="24"/>
        </w:rPr>
      </w:pPr>
      <w:hyperlink r:id="rId15" w:history="1">
        <w:r w:rsidRPr="00CD18DF">
          <w:rPr>
            <w:rFonts w:ascii="Garamond" w:eastAsia="Times New Roman" w:hAnsi="Garamond" w:cs="Times New Roman"/>
            <w:color w:val="0000FF" w:themeColor="hyperlink"/>
            <w:sz w:val="24"/>
            <w:szCs w:val="24"/>
            <w:u w:val="single"/>
          </w:rPr>
          <w:t>Rosenfeld-Amy@norc.org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 xml:space="preserve">Rachel </w:t>
      </w:r>
      <w:proofErr w:type="spellStart"/>
      <w:r w:rsidRPr="00CD18DF">
        <w:rPr>
          <w:rFonts w:ascii="Garamond" w:eastAsia="Times New Roman" w:hAnsi="Garamond" w:cs="Times New Roman"/>
          <w:sz w:val="24"/>
          <w:szCs w:val="24"/>
        </w:rPr>
        <w:t>Weingart</w:t>
      </w:r>
      <w:proofErr w:type="spellEnd"/>
      <w:r w:rsidRPr="00CD18DF">
        <w:rPr>
          <w:rFonts w:ascii="Garamond" w:eastAsia="Times New Roman" w:hAnsi="Garamond" w:cs="Times New Roman"/>
          <w:sz w:val="24"/>
          <w:szCs w:val="24"/>
        </w:rPr>
        <w:t>, B.A.</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Research Assistant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634-9377</w:t>
      </w:r>
    </w:p>
    <w:p w:rsidR="00CD18DF" w:rsidRPr="00CD18DF" w:rsidRDefault="00CD18DF" w:rsidP="00CD18DF">
      <w:pPr>
        <w:spacing w:after="0" w:line="240" w:lineRule="auto"/>
        <w:jc w:val="both"/>
        <w:rPr>
          <w:rFonts w:ascii="Garamond" w:eastAsia="Times New Roman" w:hAnsi="Garamond" w:cs="Times New Roman"/>
          <w:sz w:val="24"/>
          <w:szCs w:val="24"/>
        </w:rPr>
      </w:pPr>
      <w:hyperlink r:id="rId16" w:history="1">
        <w:r w:rsidRPr="00CD18DF">
          <w:rPr>
            <w:rFonts w:ascii="Garamond" w:eastAsia="Times New Roman" w:hAnsi="Garamond" w:cs="Times New Roman"/>
            <w:color w:val="0000FF" w:themeColor="hyperlink"/>
            <w:sz w:val="24"/>
            <w:szCs w:val="24"/>
            <w:u w:val="single"/>
          </w:rPr>
          <w:t>Weingart-Rachel@norc.org</w:t>
        </w:r>
      </w:hyperlink>
    </w:p>
    <w:p w:rsidR="00CD18DF" w:rsidRPr="00CD18DF" w:rsidRDefault="00CD18DF" w:rsidP="00CD18DF">
      <w:pPr>
        <w:spacing w:after="0" w:line="240" w:lineRule="auto"/>
        <w:jc w:val="both"/>
        <w:rPr>
          <w:rFonts w:ascii="Garamond" w:eastAsia="Times New Roman" w:hAnsi="Garamond" w:cs="Times New Roman"/>
          <w:sz w:val="24"/>
          <w:szCs w:val="24"/>
        </w:rPr>
      </w:pP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Katherine Groesbeck, B.A.</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Research Assistant</w:t>
      </w:r>
    </w:p>
    <w:p w:rsidR="00CD18DF" w:rsidRPr="00CD18DF" w:rsidRDefault="00CD18DF" w:rsidP="00CD18DF">
      <w:pPr>
        <w:spacing w:after="0" w:line="240" w:lineRule="auto"/>
        <w:jc w:val="both"/>
        <w:rPr>
          <w:rFonts w:ascii="Garamond" w:eastAsia="Times New Roman" w:hAnsi="Garamond" w:cs="Times New Roman"/>
          <w:sz w:val="24"/>
          <w:szCs w:val="24"/>
        </w:rPr>
      </w:pPr>
      <w:proofErr w:type="spellStart"/>
      <w:r w:rsidRPr="00CD18DF">
        <w:rPr>
          <w:rFonts w:ascii="Garamond" w:eastAsia="Times New Roman" w:hAnsi="Garamond" w:cs="Times New Roman"/>
          <w:sz w:val="24"/>
          <w:szCs w:val="24"/>
        </w:rPr>
        <w:t>NORC</w:t>
      </w:r>
      <w:proofErr w:type="spellEnd"/>
      <w:r w:rsidRPr="00CD18DF">
        <w:rPr>
          <w:rFonts w:ascii="Garamond" w:eastAsia="Times New Roman" w:hAnsi="Garamond" w:cs="Times New Roman"/>
          <w:sz w:val="24"/>
          <w:szCs w:val="24"/>
        </w:rPr>
        <w:t xml:space="preserve"> at the University of Chicago</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4350 East-West Highway, 8</w:t>
      </w:r>
      <w:r w:rsidRPr="00CD18DF">
        <w:rPr>
          <w:rFonts w:ascii="Garamond" w:eastAsia="Times New Roman" w:hAnsi="Garamond" w:cs="Times New Roman"/>
          <w:sz w:val="24"/>
          <w:szCs w:val="24"/>
          <w:vertAlign w:val="superscript"/>
        </w:rPr>
        <w:t>th</w:t>
      </w:r>
      <w:r w:rsidRPr="00CD18DF">
        <w:rPr>
          <w:rFonts w:ascii="Garamond" w:eastAsia="Times New Roman" w:hAnsi="Garamond" w:cs="Times New Roman"/>
          <w:sz w:val="24"/>
          <w:szCs w:val="24"/>
        </w:rPr>
        <w:t xml:space="preserve"> Floor</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Bethesda MD 20814</w:t>
      </w:r>
    </w:p>
    <w:p w:rsidR="00CD18DF" w:rsidRPr="00CD18DF" w:rsidRDefault="00CD18DF" w:rsidP="00CD18DF">
      <w:pPr>
        <w:spacing w:after="0" w:line="240" w:lineRule="auto"/>
        <w:jc w:val="both"/>
        <w:rPr>
          <w:rFonts w:ascii="Garamond" w:eastAsia="Times New Roman" w:hAnsi="Garamond" w:cs="Times New Roman"/>
          <w:sz w:val="24"/>
          <w:szCs w:val="24"/>
        </w:rPr>
      </w:pPr>
      <w:r w:rsidRPr="00CD18DF">
        <w:rPr>
          <w:rFonts w:ascii="Garamond" w:eastAsia="Times New Roman" w:hAnsi="Garamond" w:cs="Times New Roman"/>
          <w:sz w:val="24"/>
          <w:szCs w:val="24"/>
        </w:rPr>
        <w:t>(301) 634-9450</w:t>
      </w:r>
    </w:p>
    <w:p w:rsidR="00CD18DF" w:rsidRPr="00CD18DF" w:rsidRDefault="00CD18DF" w:rsidP="00CD18DF">
      <w:pPr>
        <w:spacing w:after="0" w:line="240" w:lineRule="auto"/>
        <w:jc w:val="both"/>
        <w:rPr>
          <w:rFonts w:ascii="Garamond" w:eastAsia="Times New Roman" w:hAnsi="Garamond" w:cs="Times New Roman"/>
          <w:color w:val="0000FF" w:themeColor="hyperlink"/>
          <w:sz w:val="24"/>
          <w:szCs w:val="24"/>
          <w:u w:val="single"/>
        </w:rPr>
      </w:pPr>
      <w:hyperlink r:id="rId17" w:history="1">
        <w:r w:rsidRPr="00CD18DF">
          <w:rPr>
            <w:rFonts w:ascii="Garamond" w:eastAsia="Times New Roman" w:hAnsi="Garamond" w:cs="Times New Roman"/>
            <w:color w:val="0000FF" w:themeColor="hyperlink"/>
            <w:sz w:val="24"/>
            <w:szCs w:val="24"/>
            <w:u w:val="single"/>
          </w:rPr>
          <w:t>Groesbeck-Katherine@norc.org</w:t>
        </w:r>
      </w:hyperlink>
    </w:p>
    <w:p w:rsidR="00C53124" w:rsidRDefault="00CD18DF">
      <w:bookmarkStart w:id="6" w:name="_GoBack"/>
      <w:bookmarkEnd w:id="6"/>
    </w:p>
    <w:sectPr w:rsidR="00C53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DF" w:rsidRDefault="00CD18DF" w:rsidP="00CD18DF">
      <w:pPr>
        <w:spacing w:after="0" w:line="240" w:lineRule="auto"/>
      </w:pPr>
      <w:r>
        <w:separator/>
      </w:r>
    </w:p>
  </w:endnote>
  <w:endnote w:type="continuationSeparator" w:id="0">
    <w:p w:rsidR="00CD18DF" w:rsidRDefault="00CD18DF" w:rsidP="00CD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DF" w:rsidRDefault="00CD18DF" w:rsidP="00CD18DF">
      <w:pPr>
        <w:spacing w:after="0" w:line="240" w:lineRule="auto"/>
      </w:pPr>
      <w:r>
        <w:separator/>
      </w:r>
    </w:p>
  </w:footnote>
  <w:footnote w:type="continuationSeparator" w:id="0">
    <w:p w:rsidR="00CD18DF" w:rsidRDefault="00CD18DF" w:rsidP="00CD18DF">
      <w:pPr>
        <w:spacing w:after="0" w:line="240" w:lineRule="auto"/>
      </w:pPr>
      <w:r>
        <w:continuationSeparator/>
      </w:r>
    </w:p>
  </w:footnote>
  <w:footnote w:id="1">
    <w:p w:rsidR="00CD18DF" w:rsidRPr="00915F47" w:rsidRDefault="00CD18DF" w:rsidP="00CD18DF">
      <w:pPr>
        <w:rPr>
          <w:rFonts w:ascii="Times New Roman" w:hAnsi="Times New Roman"/>
          <w:sz w:val="18"/>
          <w:szCs w:val="18"/>
          <w:shd w:val="clear" w:color="auto" w:fill="FFFFFF"/>
        </w:rPr>
      </w:pPr>
      <w:r w:rsidRPr="00915F47">
        <w:rPr>
          <w:rStyle w:val="FootnoteReference"/>
          <w:rFonts w:ascii="Times New Roman" w:hAnsi="Times New Roman"/>
          <w:sz w:val="18"/>
          <w:szCs w:val="18"/>
        </w:rPr>
        <w:footnoteRef/>
      </w:r>
      <w:r w:rsidRPr="00915F47">
        <w:rPr>
          <w:rFonts w:ascii="Times New Roman" w:hAnsi="Times New Roman"/>
          <w:sz w:val="18"/>
          <w:szCs w:val="18"/>
        </w:rPr>
        <w:t xml:space="preserve"> </w:t>
      </w:r>
      <w:proofErr w:type="spellStart"/>
      <w:proofErr w:type="gramStart"/>
      <w:r w:rsidRPr="00F00D52">
        <w:rPr>
          <w:rFonts w:ascii="Times New Roman" w:hAnsi="Times New Roman"/>
          <w:sz w:val="18"/>
          <w:szCs w:val="18"/>
          <w:shd w:val="clear" w:color="auto" w:fill="FFFFFF"/>
        </w:rPr>
        <w:t>Dillman</w:t>
      </w:r>
      <w:proofErr w:type="spellEnd"/>
      <w:r w:rsidRPr="00F00D52">
        <w:rPr>
          <w:rFonts w:ascii="Times New Roman" w:hAnsi="Times New Roman"/>
          <w:sz w:val="18"/>
          <w:szCs w:val="18"/>
          <w:shd w:val="clear" w:color="auto" w:fill="FFFFFF"/>
        </w:rPr>
        <w:t>, DA, Smyth JD, Christian LM.</w:t>
      </w:r>
      <w:proofErr w:type="gramEnd"/>
      <w:r w:rsidRPr="00F00D52">
        <w:rPr>
          <w:rFonts w:ascii="Times New Roman" w:hAnsi="Times New Roman"/>
          <w:sz w:val="18"/>
          <w:szCs w:val="18"/>
          <w:shd w:val="clear" w:color="auto" w:fill="FFFFFF"/>
        </w:rPr>
        <w:t xml:space="preserve"> 2009.</w:t>
      </w:r>
      <w:r w:rsidRPr="00F00D52">
        <w:rPr>
          <w:rFonts w:ascii="Times New Roman" w:eastAsiaTheme="majorEastAsia" w:hAnsi="Times New Roman"/>
          <w:sz w:val="18"/>
          <w:szCs w:val="18"/>
          <w:shd w:val="clear" w:color="auto" w:fill="FFFFFF"/>
        </w:rPr>
        <w:t> </w:t>
      </w:r>
      <w:r w:rsidRPr="00F00D52">
        <w:rPr>
          <w:rFonts w:ascii="Times New Roman" w:hAnsi="Times New Roman"/>
          <w:i/>
          <w:iCs/>
          <w:sz w:val="18"/>
          <w:szCs w:val="18"/>
          <w:shd w:val="clear" w:color="auto" w:fill="FFFFFF"/>
        </w:rPr>
        <w:t>Mail and Internet Surveys: The Tailored Design Method, Third edition</w:t>
      </w:r>
      <w:r w:rsidRPr="00F00D52">
        <w:rPr>
          <w:rFonts w:ascii="Times New Roman" w:hAnsi="Times New Roman"/>
          <w:sz w:val="18"/>
          <w:szCs w:val="18"/>
          <w:shd w:val="clear" w:color="auto" w:fill="FFFFFF"/>
        </w:rPr>
        <w:t>. New York: John Wiley and Sons</w:t>
      </w:r>
    </w:p>
  </w:footnote>
  <w:footnote w:id="2">
    <w:p w:rsidR="00CD18DF" w:rsidRPr="007E7FE3" w:rsidRDefault="00CD18DF" w:rsidP="00CD18DF">
      <w:pPr>
        <w:pStyle w:val="FootnoteText"/>
        <w:rPr>
          <w:sz w:val="18"/>
          <w:szCs w:val="18"/>
        </w:rPr>
      </w:pPr>
      <w:r w:rsidRPr="007E7FE3">
        <w:rPr>
          <w:rStyle w:val="FootnoteReference"/>
          <w:sz w:val="18"/>
          <w:szCs w:val="18"/>
        </w:rPr>
        <w:footnoteRef/>
      </w:r>
      <w:r w:rsidRPr="007E7FE3">
        <w:rPr>
          <w:sz w:val="18"/>
          <w:szCs w:val="18"/>
        </w:rPr>
        <w:t xml:space="preserve"> Stern, </w:t>
      </w:r>
      <w:proofErr w:type="spellStart"/>
      <w:r w:rsidRPr="007E7FE3">
        <w:rPr>
          <w:sz w:val="18"/>
          <w:szCs w:val="18"/>
        </w:rPr>
        <w:t>MJ</w:t>
      </w:r>
      <w:proofErr w:type="spellEnd"/>
      <w:r w:rsidRPr="007E7FE3">
        <w:rPr>
          <w:sz w:val="18"/>
          <w:szCs w:val="18"/>
        </w:rPr>
        <w:t xml:space="preserve">, </w:t>
      </w:r>
      <w:proofErr w:type="spellStart"/>
      <w:r w:rsidRPr="007E7FE3">
        <w:rPr>
          <w:sz w:val="18"/>
          <w:szCs w:val="18"/>
        </w:rPr>
        <w:t>Bilgen</w:t>
      </w:r>
      <w:proofErr w:type="spellEnd"/>
      <w:r w:rsidRPr="007E7FE3">
        <w:rPr>
          <w:sz w:val="18"/>
          <w:szCs w:val="18"/>
        </w:rPr>
        <w:t xml:space="preserve"> I, </w:t>
      </w:r>
      <w:proofErr w:type="spellStart"/>
      <w:r w:rsidRPr="007E7FE3">
        <w:rPr>
          <w:sz w:val="18"/>
          <w:szCs w:val="18"/>
        </w:rPr>
        <w:t>Wolter</w:t>
      </w:r>
      <w:proofErr w:type="spellEnd"/>
      <w:r w:rsidRPr="007E7FE3">
        <w:rPr>
          <w:sz w:val="18"/>
          <w:szCs w:val="18"/>
        </w:rPr>
        <w:t xml:space="preserve"> KM. 2014. Do Sequence and Mode of Contact Impact Response Rates for Web Only Surveys? </w:t>
      </w:r>
      <w:proofErr w:type="gramStart"/>
      <w:r w:rsidRPr="007E7FE3">
        <w:rPr>
          <w:sz w:val="18"/>
          <w:szCs w:val="18"/>
        </w:rPr>
        <w:t>Presented at the 69th Annual Conference of the American Association for Public Opinion Research (</w:t>
      </w:r>
      <w:proofErr w:type="spellStart"/>
      <w:r w:rsidRPr="007E7FE3">
        <w:rPr>
          <w:sz w:val="18"/>
          <w:szCs w:val="18"/>
        </w:rPr>
        <w:t>AAPOR</w:t>
      </w:r>
      <w:proofErr w:type="spellEnd"/>
      <w:r w:rsidRPr="007E7FE3">
        <w:rPr>
          <w:sz w:val="18"/>
          <w:szCs w:val="18"/>
        </w:rPr>
        <w:t>) in Anaheim, CA.</w:t>
      </w:r>
      <w:proofErr w:type="gramEnd"/>
      <w:r w:rsidRPr="007E7FE3">
        <w:rPr>
          <w:sz w:val="18"/>
          <w:szCs w:val="18"/>
        </w:rPr>
        <w:t xml:space="preserve">  </w:t>
      </w:r>
    </w:p>
  </w:footnote>
  <w:footnote w:id="3">
    <w:p w:rsidR="00CD18DF" w:rsidRPr="007E7FE3" w:rsidRDefault="00CD18DF" w:rsidP="00CD18DF">
      <w:pPr>
        <w:pStyle w:val="FootnoteText"/>
        <w:rPr>
          <w:sz w:val="18"/>
          <w:szCs w:val="18"/>
        </w:rPr>
      </w:pPr>
      <w:r w:rsidRPr="007E7FE3">
        <w:rPr>
          <w:rStyle w:val="FootnoteReference"/>
          <w:sz w:val="18"/>
          <w:szCs w:val="18"/>
        </w:rPr>
        <w:footnoteRef/>
      </w:r>
      <w:r w:rsidRPr="007E7FE3">
        <w:rPr>
          <w:sz w:val="18"/>
          <w:szCs w:val="18"/>
        </w:rPr>
        <w:t xml:space="preserve"> </w:t>
      </w:r>
      <w:r w:rsidRPr="007E7FE3">
        <w:rPr>
          <w:rStyle w:val="fieldcontent"/>
          <w:sz w:val="18"/>
          <w:szCs w:val="18"/>
        </w:rPr>
        <w:t xml:space="preserve">Lewis D, Creighton K. 2005. </w:t>
      </w:r>
      <w:proofErr w:type="gramStart"/>
      <w:r w:rsidRPr="007E7FE3">
        <w:rPr>
          <w:rStyle w:val="fieldcontent"/>
          <w:sz w:val="18"/>
          <w:szCs w:val="18"/>
        </w:rPr>
        <w:t>The Use of Monetary Incentives in the Survey of Income and Program Participation.</w:t>
      </w:r>
      <w:proofErr w:type="gramEnd"/>
      <w:r w:rsidRPr="007E7FE3">
        <w:rPr>
          <w:rStyle w:val="fieldcontent"/>
          <w:sz w:val="18"/>
          <w:szCs w:val="18"/>
        </w:rPr>
        <w:t xml:space="preserve"> </w:t>
      </w:r>
      <w:proofErr w:type="gramStart"/>
      <w:r w:rsidRPr="007E7FE3">
        <w:rPr>
          <w:rFonts w:eastAsiaTheme="majorEastAsia"/>
          <w:sz w:val="18"/>
          <w:szCs w:val="18"/>
        </w:rPr>
        <w:t>The American Association for Public Opinion Research (</w:t>
      </w:r>
      <w:proofErr w:type="spellStart"/>
      <w:r w:rsidRPr="007E7FE3">
        <w:rPr>
          <w:rFonts w:eastAsiaTheme="majorEastAsia"/>
          <w:sz w:val="18"/>
          <w:szCs w:val="18"/>
        </w:rPr>
        <w:t>AAPOR</w:t>
      </w:r>
      <w:proofErr w:type="spellEnd"/>
      <w:r w:rsidRPr="007E7FE3">
        <w:rPr>
          <w:rFonts w:eastAsiaTheme="majorEastAsia"/>
          <w:sz w:val="18"/>
          <w:szCs w:val="18"/>
        </w:rPr>
        <w:t>) 60th Annual Conference</w:t>
      </w:r>
      <w:r w:rsidRPr="007E7FE3">
        <w:rPr>
          <w:rStyle w:val="fieldcontent"/>
          <w:sz w:val="18"/>
          <w:szCs w:val="18"/>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DF"/>
    <w:rsid w:val="00610057"/>
    <w:rsid w:val="00952905"/>
    <w:rsid w:val="00CD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D18D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18DF"/>
    <w:rPr>
      <w:rFonts w:ascii="Times New Roman" w:eastAsia="Times New Roman" w:hAnsi="Times New Roman" w:cs="Times New Roman"/>
      <w:sz w:val="20"/>
      <w:szCs w:val="20"/>
    </w:rPr>
  </w:style>
  <w:style w:type="character" w:styleId="FootnoteReference">
    <w:name w:val="footnote reference"/>
    <w:basedOn w:val="DefaultParagraphFont"/>
    <w:unhideWhenUsed/>
    <w:rsid w:val="00CD18DF"/>
    <w:rPr>
      <w:vertAlign w:val="superscript"/>
    </w:rPr>
  </w:style>
  <w:style w:type="character" w:customStyle="1" w:styleId="fieldcontent">
    <w:name w:val="fieldcontent"/>
    <w:basedOn w:val="DefaultParagraphFont"/>
    <w:rsid w:val="00CD1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D18D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18DF"/>
    <w:rPr>
      <w:rFonts w:ascii="Times New Roman" w:eastAsia="Times New Roman" w:hAnsi="Times New Roman" w:cs="Times New Roman"/>
      <w:sz w:val="20"/>
      <w:szCs w:val="20"/>
    </w:rPr>
  </w:style>
  <w:style w:type="character" w:styleId="FootnoteReference">
    <w:name w:val="footnote reference"/>
    <w:basedOn w:val="DefaultParagraphFont"/>
    <w:unhideWhenUsed/>
    <w:rsid w:val="00CD18DF"/>
    <w:rPr>
      <w:vertAlign w:val="superscript"/>
    </w:rPr>
  </w:style>
  <w:style w:type="character" w:customStyle="1" w:styleId="fieldcontent">
    <w:name w:val="fieldcontent"/>
    <w:basedOn w:val="DefaultParagraphFont"/>
    <w:rsid w:val="00CD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enne.Smith@hhs.gov" TargetMode="External"/><Relationship Id="rId13" Type="http://schemas.openxmlformats.org/officeDocument/2006/relationships/hyperlink" Target="mailto:Stern-Michael@norc.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urint.com/" TargetMode="External"/><Relationship Id="rId12" Type="http://schemas.openxmlformats.org/officeDocument/2006/relationships/hyperlink" Target="mailto:Cerbone-Felicia@norc.org" TargetMode="External"/><Relationship Id="rId17" Type="http://schemas.openxmlformats.org/officeDocument/2006/relationships/hyperlink" Target="mailto:Groesbeck-Katherine@norc.org" TargetMode="External"/><Relationship Id="rId2" Type="http://schemas.microsoft.com/office/2007/relationships/stylesWithEffects" Target="stylesWithEffects.xml"/><Relationship Id="rId16" Type="http://schemas.openxmlformats.org/officeDocument/2006/relationships/hyperlink" Target="mailto:Weingart-Rachel@norc.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ppenheimer-Caitlin@norc.org" TargetMode="External"/><Relationship Id="rId5" Type="http://schemas.openxmlformats.org/officeDocument/2006/relationships/footnotes" Target="footnotes.xml"/><Relationship Id="rId15" Type="http://schemas.openxmlformats.org/officeDocument/2006/relationships/hyperlink" Target="mailto:Rosenfeld-Amy@norc.org" TargetMode="External"/><Relationship Id="rId10" Type="http://schemas.openxmlformats.org/officeDocument/2006/relationships/hyperlink" Target="mailto:Anderson-Britta@norc.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u-Weiwei@norc.org" TargetMode="External"/><Relationship Id="rId14" Type="http://schemas.openxmlformats.org/officeDocument/2006/relationships/hyperlink" Target="mailto:George-Jacquelyn@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2016-08-24T20:03:00Z</dcterms:created>
  <dcterms:modified xsi:type="dcterms:W3CDTF">2016-08-24T20:05:00Z</dcterms:modified>
</cp:coreProperties>
</file>