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192" w:rsidRPr="00F14192" w:rsidRDefault="00F14192" w:rsidP="00F14192">
      <w:pPr>
        <w:keepNext/>
        <w:spacing w:after="0" w:line="240" w:lineRule="auto"/>
        <w:jc w:val="both"/>
        <w:outlineLvl w:val="7"/>
        <w:rPr>
          <w:rFonts w:ascii="Arial" w:eastAsia="Times New Roman" w:hAnsi="Arial" w:cs="Arial"/>
          <w:b/>
          <w:bCs/>
          <w:color w:val="FF0000"/>
          <w:sz w:val="24"/>
          <w:szCs w:val="24"/>
        </w:rPr>
      </w:pPr>
      <w:r w:rsidRPr="00F14192">
        <w:rPr>
          <w:rFonts w:ascii="Arial" w:eastAsia="Times New Roman" w:hAnsi="Arial" w:cs="Arial"/>
          <w:b/>
          <w:bCs/>
          <w:sz w:val="24"/>
          <w:szCs w:val="24"/>
        </w:rPr>
        <w:t>B.</w:t>
      </w:r>
      <w:r w:rsidRPr="00F14192">
        <w:rPr>
          <w:rFonts w:ascii="Arial" w:eastAsia="Times New Roman" w:hAnsi="Arial" w:cs="Arial"/>
          <w:b/>
          <w:bCs/>
          <w:sz w:val="24"/>
          <w:szCs w:val="24"/>
        </w:rPr>
        <w:tab/>
        <w:t xml:space="preserve">Collection of Information Employing Statistical Methods. </w:t>
      </w:r>
    </w:p>
    <w:p w:rsidR="00F14192" w:rsidRPr="00F14192" w:rsidRDefault="00F14192" w:rsidP="00F14192">
      <w:pPr>
        <w:spacing w:after="0" w:line="240" w:lineRule="auto"/>
        <w:jc w:val="both"/>
        <w:rPr>
          <w:rFonts w:ascii="Arial" w:eastAsia="Times New Roman" w:hAnsi="Arial" w:cs="Arial"/>
          <w:b/>
          <w:bCs/>
          <w:sz w:val="24"/>
          <w:szCs w:val="24"/>
          <w:highlight w:val="yellow"/>
        </w:rPr>
      </w:pPr>
    </w:p>
    <w:p w:rsidR="00F14192" w:rsidRPr="00F14192" w:rsidRDefault="00F14192" w:rsidP="00F14192">
      <w:pPr>
        <w:rPr>
          <w:rFonts w:ascii="Arial" w:eastAsia="Calibri" w:hAnsi="Arial" w:cs="Arial"/>
          <w:b/>
          <w:bCs/>
          <w:sz w:val="24"/>
          <w:szCs w:val="24"/>
        </w:rPr>
      </w:pPr>
      <w:r w:rsidRPr="00F14192">
        <w:rPr>
          <w:rFonts w:ascii="Arial" w:eastAsia="Calibri" w:hAnsi="Arial" w:cs="Arial"/>
          <w:b/>
          <w:sz w:val="24"/>
          <w:szCs w:val="24"/>
          <w:lang w:val="en"/>
        </w:rPr>
        <w:t xml:space="preserve">B1.  </w:t>
      </w:r>
      <w:r w:rsidRPr="00F14192">
        <w:rPr>
          <w:rFonts w:ascii="Arial" w:eastAsia="Calibri" w:hAnsi="Arial" w:cs="Arial"/>
          <w:b/>
          <w:bCs/>
          <w:sz w:val="24"/>
          <w:szCs w:val="24"/>
        </w:rPr>
        <w:t>Respondent Universe and Sampling Methods</w:t>
      </w:r>
    </w:p>
    <w:p w:rsidR="00F14192" w:rsidRPr="00F14192" w:rsidRDefault="00F14192" w:rsidP="00F14192">
      <w:pPr>
        <w:rPr>
          <w:rFonts w:ascii="Arial" w:eastAsia="Calibri" w:hAnsi="Arial" w:cs="Arial"/>
          <w:sz w:val="24"/>
          <w:szCs w:val="24"/>
          <w:lang w:val="en"/>
        </w:rPr>
      </w:pPr>
      <w:r w:rsidRPr="00F14192">
        <w:rPr>
          <w:rFonts w:ascii="Arial" w:eastAsia="Calibri" w:hAnsi="Arial" w:cs="Arial"/>
          <w:sz w:val="24"/>
          <w:szCs w:val="24"/>
          <w:lang w:val="en"/>
        </w:rPr>
        <w:t xml:space="preserve">Our sample size will be 50. Each grantee is collaborating with up to 10 service providers, and we expect our sample size to be 50. </w:t>
      </w:r>
    </w:p>
    <w:tbl>
      <w:tblPr>
        <w:tblW w:w="7924" w:type="dxa"/>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2"/>
        <w:gridCol w:w="1890"/>
        <w:gridCol w:w="1982"/>
      </w:tblGrid>
      <w:tr w:rsidR="00F14192" w:rsidRPr="00F14192" w:rsidTr="00EF6A5E">
        <w:trPr>
          <w:trHeight w:val="593"/>
          <w:jc w:val="center"/>
        </w:trPr>
        <w:tc>
          <w:tcPr>
            <w:tcW w:w="4052" w:type="dxa"/>
            <w:tcBorders>
              <w:top w:val="single" w:sz="4" w:space="0" w:color="auto"/>
              <w:left w:val="single" w:sz="4" w:space="0" w:color="auto"/>
              <w:bottom w:val="single" w:sz="4" w:space="0" w:color="auto"/>
              <w:right w:val="single" w:sz="4" w:space="0" w:color="auto"/>
            </w:tcBorders>
            <w:vAlign w:val="center"/>
            <w:hideMark/>
          </w:tcPr>
          <w:p w:rsidR="00F14192" w:rsidRPr="00F14192" w:rsidRDefault="00F14192" w:rsidP="00F14192">
            <w:pPr>
              <w:spacing w:after="0" w:line="240" w:lineRule="auto"/>
              <w:jc w:val="center"/>
              <w:rPr>
                <w:rFonts w:ascii="Arial" w:eastAsia="Times New Roman" w:hAnsi="Arial" w:cs="Arial"/>
                <w:b/>
                <w:bCs/>
                <w:color w:val="000000"/>
                <w:sz w:val="20"/>
                <w:szCs w:val="24"/>
              </w:rPr>
            </w:pPr>
            <w:r w:rsidRPr="00F14192">
              <w:rPr>
                <w:rFonts w:ascii="Arial" w:eastAsia="Times New Roman" w:hAnsi="Arial" w:cs="Arial"/>
                <w:b/>
                <w:bCs/>
                <w:color w:val="000000"/>
                <w:sz w:val="20"/>
                <w:szCs w:val="24"/>
              </w:rPr>
              <w:t>Respondent Group</w:t>
            </w:r>
          </w:p>
        </w:tc>
        <w:tc>
          <w:tcPr>
            <w:tcW w:w="1890" w:type="dxa"/>
            <w:tcBorders>
              <w:top w:val="single" w:sz="4" w:space="0" w:color="auto"/>
              <w:left w:val="single" w:sz="4" w:space="0" w:color="auto"/>
              <w:bottom w:val="single" w:sz="4" w:space="0" w:color="auto"/>
              <w:right w:val="single" w:sz="4" w:space="0" w:color="auto"/>
            </w:tcBorders>
            <w:vAlign w:val="center"/>
            <w:hideMark/>
          </w:tcPr>
          <w:p w:rsidR="00F14192" w:rsidRPr="00F14192" w:rsidRDefault="00F14192" w:rsidP="00F14192">
            <w:pPr>
              <w:spacing w:after="0" w:line="240" w:lineRule="auto"/>
              <w:jc w:val="center"/>
              <w:rPr>
                <w:rFonts w:ascii="Arial" w:eastAsia="Times New Roman" w:hAnsi="Arial" w:cs="Arial"/>
                <w:b/>
                <w:bCs/>
                <w:color w:val="000000"/>
                <w:sz w:val="20"/>
                <w:szCs w:val="24"/>
              </w:rPr>
            </w:pPr>
            <w:r w:rsidRPr="00F14192">
              <w:rPr>
                <w:rFonts w:ascii="Arial" w:eastAsia="Times New Roman" w:hAnsi="Arial" w:cs="Arial"/>
                <w:b/>
                <w:bCs/>
                <w:color w:val="000000"/>
                <w:sz w:val="20"/>
                <w:szCs w:val="24"/>
              </w:rPr>
              <w:t>Service Providers</w:t>
            </w:r>
          </w:p>
        </w:tc>
        <w:tc>
          <w:tcPr>
            <w:tcW w:w="1982" w:type="dxa"/>
            <w:tcBorders>
              <w:top w:val="single" w:sz="4" w:space="0" w:color="auto"/>
              <w:left w:val="single" w:sz="4" w:space="0" w:color="auto"/>
              <w:bottom w:val="single" w:sz="4" w:space="0" w:color="auto"/>
              <w:right w:val="single" w:sz="4" w:space="0" w:color="auto"/>
            </w:tcBorders>
            <w:vAlign w:val="center"/>
            <w:hideMark/>
          </w:tcPr>
          <w:p w:rsidR="00F14192" w:rsidRPr="00F14192" w:rsidRDefault="00F14192" w:rsidP="00F14192">
            <w:pPr>
              <w:spacing w:after="0" w:line="240" w:lineRule="auto"/>
              <w:jc w:val="center"/>
              <w:rPr>
                <w:rFonts w:ascii="Arial" w:eastAsia="Times New Roman" w:hAnsi="Arial" w:cs="Arial"/>
                <w:b/>
                <w:bCs/>
                <w:color w:val="000000"/>
                <w:sz w:val="20"/>
                <w:szCs w:val="24"/>
              </w:rPr>
            </w:pPr>
            <w:r w:rsidRPr="00F14192">
              <w:rPr>
                <w:rFonts w:ascii="Arial" w:eastAsia="Times New Roman" w:hAnsi="Arial" w:cs="Arial"/>
                <w:b/>
                <w:bCs/>
                <w:color w:val="000000"/>
                <w:sz w:val="20"/>
                <w:szCs w:val="24"/>
              </w:rPr>
              <w:t>Total Population Estimate</w:t>
            </w:r>
          </w:p>
        </w:tc>
      </w:tr>
      <w:tr w:rsidR="00F14192" w:rsidRPr="00F14192" w:rsidTr="00EF6A5E">
        <w:trPr>
          <w:trHeight w:val="350"/>
          <w:jc w:val="center"/>
        </w:trPr>
        <w:tc>
          <w:tcPr>
            <w:tcW w:w="4052" w:type="dxa"/>
            <w:tcBorders>
              <w:top w:val="single" w:sz="4" w:space="0" w:color="auto"/>
              <w:left w:val="single" w:sz="4" w:space="0" w:color="auto"/>
              <w:bottom w:val="single" w:sz="4" w:space="0" w:color="auto"/>
              <w:right w:val="single" w:sz="4" w:space="0" w:color="auto"/>
            </w:tcBorders>
            <w:vAlign w:val="center"/>
            <w:hideMark/>
          </w:tcPr>
          <w:p w:rsidR="00F14192" w:rsidRPr="00F14192" w:rsidRDefault="00F14192" w:rsidP="00F14192">
            <w:pPr>
              <w:spacing w:after="0" w:line="240" w:lineRule="auto"/>
              <w:rPr>
                <w:rFonts w:ascii="Arial" w:eastAsia="Times New Roman" w:hAnsi="Arial" w:cs="Arial"/>
                <w:color w:val="000000"/>
                <w:szCs w:val="24"/>
              </w:rPr>
            </w:pPr>
            <w:r w:rsidRPr="00F14192">
              <w:rPr>
                <w:rFonts w:ascii="Arial" w:eastAsia="Times New Roman" w:hAnsi="Arial" w:cs="Arial"/>
                <w:color w:val="000000"/>
                <w:szCs w:val="24"/>
              </w:rPr>
              <w:t>Medical and Health Services Managers</w:t>
            </w:r>
          </w:p>
        </w:tc>
        <w:tc>
          <w:tcPr>
            <w:tcW w:w="1890" w:type="dxa"/>
            <w:tcBorders>
              <w:top w:val="single" w:sz="4" w:space="0" w:color="auto"/>
              <w:left w:val="single" w:sz="4" w:space="0" w:color="auto"/>
              <w:bottom w:val="single" w:sz="4" w:space="0" w:color="auto"/>
              <w:right w:val="single" w:sz="4" w:space="0" w:color="auto"/>
            </w:tcBorders>
            <w:noWrap/>
            <w:vAlign w:val="center"/>
          </w:tcPr>
          <w:p w:rsidR="00F14192" w:rsidRPr="00F14192" w:rsidRDefault="00F14192" w:rsidP="00F14192">
            <w:pPr>
              <w:spacing w:after="0" w:line="240" w:lineRule="auto"/>
              <w:jc w:val="center"/>
              <w:rPr>
                <w:rFonts w:ascii="Arial" w:eastAsia="Times New Roman" w:hAnsi="Arial" w:cs="Arial"/>
                <w:color w:val="000000"/>
                <w:szCs w:val="24"/>
              </w:rPr>
            </w:pPr>
            <w:r w:rsidRPr="00F14192">
              <w:rPr>
                <w:rFonts w:ascii="Arial" w:eastAsia="Times New Roman" w:hAnsi="Arial" w:cs="Arial"/>
                <w:color w:val="000000"/>
                <w:szCs w:val="24"/>
              </w:rPr>
              <w:t>5-10 per grantee</w:t>
            </w:r>
          </w:p>
        </w:tc>
        <w:tc>
          <w:tcPr>
            <w:tcW w:w="1982" w:type="dxa"/>
            <w:tcBorders>
              <w:top w:val="single" w:sz="4" w:space="0" w:color="auto"/>
              <w:left w:val="single" w:sz="4" w:space="0" w:color="auto"/>
              <w:bottom w:val="single" w:sz="4" w:space="0" w:color="auto"/>
              <w:right w:val="single" w:sz="4" w:space="0" w:color="auto"/>
            </w:tcBorders>
            <w:vAlign w:val="center"/>
          </w:tcPr>
          <w:p w:rsidR="00F14192" w:rsidRPr="00F14192" w:rsidRDefault="00F14192" w:rsidP="00F14192">
            <w:pPr>
              <w:spacing w:after="0" w:line="240" w:lineRule="auto"/>
              <w:jc w:val="center"/>
              <w:rPr>
                <w:rFonts w:ascii="Arial" w:eastAsia="Times New Roman" w:hAnsi="Arial" w:cs="Arial"/>
                <w:color w:val="000000"/>
                <w:szCs w:val="24"/>
              </w:rPr>
            </w:pPr>
            <w:r w:rsidRPr="00F14192">
              <w:rPr>
                <w:rFonts w:ascii="Arial" w:eastAsia="Times New Roman" w:hAnsi="Arial" w:cs="Arial"/>
                <w:color w:val="000000"/>
                <w:szCs w:val="24"/>
              </w:rPr>
              <w:t>50</w:t>
            </w:r>
          </w:p>
        </w:tc>
      </w:tr>
    </w:tbl>
    <w:p w:rsidR="00F14192" w:rsidRPr="00F14192" w:rsidRDefault="00F14192" w:rsidP="00F14192">
      <w:pPr>
        <w:spacing w:after="0"/>
        <w:rPr>
          <w:rFonts w:ascii="Arial" w:eastAsia="Calibri" w:hAnsi="Arial" w:cs="Arial"/>
          <w:sz w:val="24"/>
          <w:szCs w:val="24"/>
          <w:lang w:val="en"/>
        </w:rPr>
      </w:pPr>
    </w:p>
    <w:p w:rsidR="00F14192" w:rsidRPr="00F14192" w:rsidRDefault="00F14192" w:rsidP="00F14192">
      <w:pPr>
        <w:rPr>
          <w:rFonts w:ascii="Arial" w:eastAsia="Calibri" w:hAnsi="Arial" w:cs="Arial"/>
          <w:b/>
          <w:bCs/>
          <w:sz w:val="24"/>
          <w:szCs w:val="24"/>
        </w:rPr>
      </w:pPr>
      <w:r w:rsidRPr="00F14192">
        <w:rPr>
          <w:rFonts w:ascii="Arial" w:eastAsia="Calibri" w:hAnsi="Arial" w:cs="Arial"/>
          <w:b/>
          <w:bCs/>
          <w:sz w:val="24"/>
          <w:szCs w:val="24"/>
        </w:rPr>
        <w:t>B.2</w:t>
      </w:r>
      <w:r w:rsidRPr="00F14192">
        <w:rPr>
          <w:rFonts w:ascii="Arial" w:eastAsia="Calibri" w:hAnsi="Arial" w:cs="Arial"/>
          <w:b/>
          <w:bCs/>
          <w:sz w:val="24"/>
          <w:szCs w:val="24"/>
        </w:rPr>
        <w:tab/>
        <w:t>Procedures for the Collection of Information</w:t>
      </w:r>
    </w:p>
    <w:p w:rsidR="00F14192" w:rsidRPr="00F14192" w:rsidRDefault="00F14192" w:rsidP="00F14192">
      <w:pPr>
        <w:rPr>
          <w:rFonts w:ascii="Arial" w:eastAsia="Calibri" w:hAnsi="Arial" w:cs="Arial"/>
          <w:b/>
          <w:bCs/>
          <w:sz w:val="24"/>
          <w:szCs w:val="24"/>
        </w:rPr>
      </w:pPr>
      <w:r w:rsidRPr="00F14192">
        <w:rPr>
          <w:rFonts w:ascii="Arial" w:eastAsia="Calibri" w:hAnsi="Arial" w:cs="Arial"/>
          <w:sz w:val="24"/>
          <w:szCs w:val="24"/>
        </w:rPr>
        <w:t>The following presents data collection procedures (see Appendix B) for the project:</w:t>
      </w:r>
    </w:p>
    <w:p w:rsidR="00F14192" w:rsidRPr="00F14192" w:rsidRDefault="00F14192" w:rsidP="00F14192">
      <w:pPr>
        <w:numPr>
          <w:ilvl w:val="0"/>
          <w:numId w:val="1"/>
        </w:numPr>
        <w:spacing w:after="0" w:line="240" w:lineRule="auto"/>
        <w:rPr>
          <w:rFonts w:ascii="Arial" w:eastAsia="Calibri" w:hAnsi="Arial" w:cs="Arial"/>
          <w:sz w:val="24"/>
          <w:szCs w:val="24"/>
        </w:rPr>
      </w:pPr>
      <w:r w:rsidRPr="00F14192">
        <w:rPr>
          <w:rFonts w:ascii="Arial" w:eastAsia="Calibri" w:hAnsi="Arial" w:cs="Arial"/>
          <w:sz w:val="24"/>
          <w:szCs w:val="24"/>
        </w:rPr>
        <w:t>Obtain OMB clearance.</w:t>
      </w:r>
    </w:p>
    <w:p w:rsidR="00F14192" w:rsidRPr="00F14192" w:rsidRDefault="00F14192" w:rsidP="00F14192">
      <w:pPr>
        <w:numPr>
          <w:ilvl w:val="0"/>
          <w:numId w:val="1"/>
        </w:numPr>
        <w:spacing w:after="0" w:line="240" w:lineRule="auto"/>
        <w:rPr>
          <w:rFonts w:ascii="Arial" w:eastAsia="Calibri" w:hAnsi="Arial" w:cs="Arial"/>
          <w:sz w:val="24"/>
          <w:szCs w:val="24"/>
        </w:rPr>
      </w:pPr>
      <w:proofErr w:type="spellStart"/>
      <w:r w:rsidRPr="00F14192">
        <w:rPr>
          <w:rFonts w:ascii="Arial" w:eastAsia="Calibri" w:hAnsi="Arial" w:cs="Arial"/>
          <w:sz w:val="24"/>
          <w:szCs w:val="24"/>
        </w:rPr>
        <w:t>NORC</w:t>
      </w:r>
      <w:proofErr w:type="spellEnd"/>
      <w:r w:rsidRPr="00F14192">
        <w:rPr>
          <w:rFonts w:ascii="Arial" w:eastAsia="Calibri" w:hAnsi="Arial" w:cs="Arial"/>
          <w:sz w:val="24"/>
          <w:szCs w:val="24"/>
        </w:rPr>
        <w:t xml:space="preserve"> will send an introductory email (Attachment B3) to the point of contacts for each service provider partner notifying them that they will receive a link to the secure web survey platform to complete the online survey within the next three to four weeks. The introductory email will also reference the </w:t>
      </w:r>
      <w:proofErr w:type="spellStart"/>
      <w:r w:rsidRPr="00F14192">
        <w:rPr>
          <w:rFonts w:ascii="Arial" w:eastAsia="Calibri" w:hAnsi="Arial" w:cs="Arial"/>
          <w:sz w:val="24"/>
          <w:szCs w:val="24"/>
        </w:rPr>
        <w:t>MOUs</w:t>
      </w:r>
      <w:proofErr w:type="spellEnd"/>
      <w:r w:rsidRPr="00F14192">
        <w:rPr>
          <w:rFonts w:ascii="Arial" w:eastAsia="Calibri" w:hAnsi="Arial" w:cs="Arial"/>
          <w:sz w:val="24"/>
          <w:szCs w:val="24"/>
        </w:rPr>
        <w:t xml:space="preserve"> between the grantees and the service provider partners, thanking them in advance for agreeing to complete the surveys. The introductory email will also notify the service providers that they will have two weeks to complete the online forms. </w:t>
      </w:r>
    </w:p>
    <w:p w:rsidR="00F14192" w:rsidRPr="00F14192" w:rsidRDefault="00F14192" w:rsidP="00F14192">
      <w:pPr>
        <w:numPr>
          <w:ilvl w:val="0"/>
          <w:numId w:val="1"/>
        </w:numPr>
        <w:spacing w:after="0" w:line="240" w:lineRule="auto"/>
        <w:rPr>
          <w:rFonts w:ascii="Arial" w:eastAsia="Calibri" w:hAnsi="Arial" w:cs="Arial"/>
          <w:sz w:val="24"/>
          <w:szCs w:val="24"/>
        </w:rPr>
      </w:pPr>
      <w:r w:rsidRPr="00F14192">
        <w:rPr>
          <w:rFonts w:ascii="Arial" w:eastAsia="Calibri" w:hAnsi="Arial" w:cs="Arial"/>
          <w:sz w:val="24"/>
          <w:szCs w:val="24"/>
        </w:rPr>
        <w:t xml:space="preserve">Finalize all forms by making any changes suggested by OMB. Make sure the OMB clearance number is printed on all forms. </w:t>
      </w:r>
    </w:p>
    <w:p w:rsidR="00F14192" w:rsidRPr="00F14192" w:rsidRDefault="00F14192" w:rsidP="00F14192">
      <w:pPr>
        <w:numPr>
          <w:ilvl w:val="0"/>
          <w:numId w:val="1"/>
        </w:numPr>
        <w:spacing w:after="0" w:line="240" w:lineRule="auto"/>
        <w:rPr>
          <w:rFonts w:ascii="Arial" w:eastAsia="Calibri" w:hAnsi="Arial" w:cs="Arial"/>
          <w:sz w:val="24"/>
          <w:szCs w:val="24"/>
          <w:u w:val="single"/>
        </w:rPr>
      </w:pPr>
      <w:proofErr w:type="spellStart"/>
      <w:r w:rsidRPr="00F14192">
        <w:rPr>
          <w:rFonts w:ascii="Arial" w:eastAsia="Calibri" w:hAnsi="Arial" w:cs="Arial"/>
          <w:sz w:val="24"/>
          <w:szCs w:val="24"/>
        </w:rPr>
        <w:t>NORC</w:t>
      </w:r>
      <w:proofErr w:type="spellEnd"/>
      <w:r w:rsidRPr="00F14192">
        <w:rPr>
          <w:rFonts w:ascii="Arial" w:eastAsia="Calibri" w:hAnsi="Arial" w:cs="Arial"/>
          <w:sz w:val="24"/>
          <w:szCs w:val="24"/>
        </w:rPr>
        <w:t xml:space="preserve"> will send an email (Attachment B4) containing the links to the web survey platform to the specific point of contact for each service provider partner having an </w:t>
      </w:r>
      <w:proofErr w:type="spellStart"/>
      <w:r w:rsidRPr="00F14192">
        <w:rPr>
          <w:rFonts w:ascii="Arial" w:eastAsia="Calibri" w:hAnsi="Arial" w:cs="Arial"/>
          <w:sz w:val="24"/>
          <w:szCs w:val="24"/>
        </w:rPr>
        <w:t>MOU</w:t>
      </w:r>
      <w:proofErr w:type="spellEnd"/>
      <w:r w:rsidRPr="00F14192">
        <w:rPr>
          <w:rFonts w:ascii="Arial" w:eastAsia="Calibri" w:hAnsi="Arial" w:cs="Arial"/>
          <w:sz w:val="24"/>
          <w:szCs w:val="24"/>
        </w:rPr>
        <w:t xml:space="preserve"> with one of the </w:t>
      </w:r>
      <w:proofErr w:type="spellStart"/>
      <w:r w:rsidRPr="00F14192">
        <w:rPr>
          <w:rFonts w:ascii="Arial" w:eastAsia="Calibri" w:hAnsi="Arial" w:cs="Arial"/>
          <w:sz w:val="24"/>
          <w:szCs w:val="24"/>
        </w:rPr>
        <w:t>OWH</w:t>
      </w:r>
      <w:proofErr w:type="spellEnd"/>
      <w:r w:rsidRPr="00F14192">
        <w:rPr>
          <w:rFonts w:ascii="Arial" w:eastAsia="Calibri" w:hAnsi="Arial" w:cs="Arial"/>
          <w:sz w:val="24"/>
          <w:szCs w:val="24"/>
        </w:rPr>
        <w:t xml:space="preserve"> grantees. </w:t>
      </w:r>
    </w:p>
    <w:p w:rsidR="00F14192" w:rsidRPr="00F14192" w:rsidRDefault="00F14192" w:rsidP="00F14192">
      <w:pPr>
        <w:numPr>
          <w:ilvl w:val="0"/>
          <w:numId w:val="1"/>
        </w:numPr>
        <w:spacing w:after="0" w:line="240" w:lineRule="auto"/>
        <w:rPr>
          <w:rFonts w:ascii="Arial" w:eastAsia="Calibri" w:hAnsi="Arial" w:cs="Arial"/>
          <w:sz w:val="24"/>
          <w:szCs w:val="24"/>
          <w:u w:val="single"/>
        </w:rPr>
      </w:pPr>
      <w:proofErr w:type="spellStart"/>
      <w:r w:rsidRPr="00F14192">
        <w:rPr>
          <w:rFonts w:ascii="Arial" w:eastAsia="Calibri" w:hAnsi="Arial" w:cs="Arial"/>
          <w:sz w:val="24"/>
          <w:szCs w:val="24"/>
        </w:rPr>
        <w:t>NORC</w:t>
      </w:r>
      <w:proofErr w:type="spellEnd"/>
      <w:r w:rsidRPr="00F14192">
        <w:rPr>
          <w:rFonts w:ascii="Arial" w:eastAsia="Calibri" w:hAnsi="Arial" w:cs="Arial"/>
          <w:sz w:val="24"/>
          <w:szCs w:val="24"/>
        </w:rPr>
        <w:t xml:space="preserve"> will send one-week and one-day reminders (Attachment B5) during the two-week period.</w:t>
      </w:r>
    </w:p>
    <w:p w:rsidR="00F14192" w:rsidRPr="00F14192" w:rsidRDefault="00F14192" w:rsidP="00F14192">
      <w:pPr>
        <w:keepNext/>
        <w:spacing w:after="0" w:line="240" w:lineRule="auto"/>
        <w:jc w:val="both"/>
        <w:outlineLvl w:val="7"/>
        <w:rPr>
          <w:rFonts w:ascii="Arial" w:eastAsia="Times New Roman" w:hAnsi="Arial" w:cs="Arial"/>
          <w:b/>
          <w:bCs/>
          <w:sz w:val="24"/>
          <w:szCs w:val="24"/>
        </w:rPr>
      </w:pPr>
      <w:r w:rsidRPr="00F14192">
        <w:rPr>
          <w:rFonts w:ascii="Arial" w:eastAsia="Times New Roman" w:hAnsi="Arial" w:cs="Arial"/>
          <w:b/>
          <w:bCs/>
          <w:sz w:val="24"/>
          <w:szCs w:val="24"/>
        </w:rPr>
        <w:t>B.3</w:t>
      </w:r>
      <w:r w:rsidRPr="00F14192">
        <w:rPr>
          <w:rFonts w:ascii="Arial" w:eastAsia="Times New Roman" w:hAnsi="Arial" w:cs="Arial"/>
          <w:b/>
          <w:bCs/>
          <w:sz w:val="24"/>
          <w:szCs w:val="24"/>
        </w:rPr>
        <w:tab/>
        <w:t>Methods to Maximize Response Rates and Deal with Nonresponse</w:t>
      </w:r>
    </w:p>
    <w:p w:rsidR="00F14192" w:rsidRPr="00F14192" w:rsidRDefault="00F14192" w:rsidP="00F14192">
      <w:pPr>
        <w:spacing w:after="0" w:line="240" w:lineRule="auto"/>
        <w:jc w:val="both"/>
        <w:rPr>
          <w:rFonts w:ascii="Arial" w:eastAsia="Times New Roman" w:hAnsi="Arial" w:cs="Arial"/>
          <w:sz w:val="24"/>
          <w:szCs w:val="24"/>
          <w:highlight w:val="red"/>
        </w:rPr>
      </w:pPr>
    </w:p>
    <w:p w:rsidR="00F14192" w:rsidRPr="00F14192" w:rsidRDefault="00F14192" w:rsidP="00F14192">
      <w:pPr>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 xml:space="preserve">Notifications will be sent to service providers when the </w:t>
      </w:r>
      <w:r w:rsidRPr="00F14192">
        <w:rPr>
          <w:rFonts w:ascii="Arial" w:eastAsia="Calibri" w:hAnsi="Arial" w:cs="Arial"/>
          <w:sz w:val="24"/>
          <w:szCs w:val="24"/>
        </w:rPr>
        <w:t xml:space="preserve">web survey </w:t>
      </w:r>
      <w:r w:rsidRPr="00F14192">
        <w:rPr>
          <w:rFonts w:ascii="Arial" w:eastAsia="Times New Roman" w:hAnsi="Arial" w:cs="Arial"/>
          <w:sz w:val="24"/>
          <w:szCs w:val="24"/>
        </w:rPr>
        <w:t xml:space="preserve">system is opened for each biannual survey administration. We will send a reminder after one week to remind the contacts that the online system has been opened for a two-week period.  A second reminder will be sent one day prior to the close of the data collection. </w:t>
      </w:r>
      <w:proofErr w:type="spellStart"/>
      <w:r w:rsidRPr="00F14192">
        <w:rPr>
          <w:rFonts w:ascii="Arial" w:eastAsia="Times New Roman" w:hAnsi="Arial" w:cs="Arial"/>
          <w:sz w:val="24"/>
          <w:szCs w:val="24"/>
        </w:rPr>
        <w:t>MOUs</w:t>
      </w:r>
      <w:proofErr w:type="spellEnd"/>
      <w:r w:rsidRPr="00F14192">
        <w:rPr>
          <w:rFonts w:ascii="Arial" w:eastAsia="Times New Roman" w:hAnsi="Arial" w:cs="Arial"/>
          <w:sz w:val="24"/>
          <w:szCs w:val="24"/>
        </w:rPr>
        <w:t xml:space="preserve"> have been signed between the grantee and the service provider organizations ensuring that the service providers will complete the data collection. For the key informant interviews with each service provider organization, we will schedule according to the respondents’ convenience, encourage brief interviews, be flexible and will be available for any questions or concerns the respondents may have. Drafts of communications (introductory email and email reminders) can be found in Appendix B.</w:t>
      </w:r>
    </w:p>
    <w:p w:rsidR="00F14192" w:rsidRPr="00F14192" w:rsidRDefault="00F14192" w:rsidP="00F14192">
      <w:pPr>
        <w:spacing w:after="0" w:line="240" w:lineRule="auto"/>
        <w:jc w:val="both"/>
        <w:rPr>
          <w:rFonts w:ascii="Arial" w:eastAsia="Times New Roman" w:hAnsi="Arial" w:cs="Arial"/>
          <w:sz w:val="24"/>
          <w:szCs w:val="24"/>
        </w:rPr>
      </w:pPr>
    </w:p>
    <w:p w:rsidR="00F14192" w:rsidRPr="00F14192" w:rsidRDefault="00F14192" w:rsidP="00F14192">
      <w:pPr>
        <w:keepNext/>
        <w:spacing w:after="0" w:line="240" w:lineRule="auto"/>
        <w:jc w:val="both"/>
        <w:outlineLvl w:val="7"/>
        <w:rPr>
          <w:rFonts w:ascii="Arial" w:eastAsia="Times New Roman" w:hAnsi="Arial" w:cs="Arial"/>
          <w:b/>
          <w:bCs/>
          <w:sz w:val="24"/>
          <w:szCs w:val="24"/>
        </w:rPr>
      </w:pPr>
      <w:r w:rsidRPr="00F14192">
        <w:rPr>
          <w:rFonts w:ascii="Arial" w:eastAsia="Times New Roman" w:hAnsi="Arial" w:cs="Arial"/>
          <w:b/>
          <w:bCs/>
          <w:sz w:val="24"/>
          <w:szCs w:val="24"/>
        </w:rPr>
        <w:t>B.4</w:t>
      </w:r>
      <w:r w:rsidRPr="00F14192">
        <w:rPr>
          <w:rFonts w:ascii="Arial" w:eastAsia="Times New Roman" w:hAnsi="Arial" w:cs="Arial"/>
          <w:b/>
          <w:bCs/>
          <w:sz w:val="24"/>
          <w:szCs w:val="24"/>
        </w:rPr>
        <w:tab/>
        <w:t xml:space="preserve">Test of Procedures or Methods to be </w:t>
      </w:r>
      <w:proofErr w:type="gramStart"/>
      <w:r w:rsidRPr="00F14192">
        <w:rPr>
          <w:rFonts w:ascii="Arial" w:eastAsia="Times New Roman" w:hAnsi="Arial" w:cs="Arial"/>
          <w:b/>
          <w:bCs/>
          <w:sz w:val="24"/>
          <w:szCs w:val="24"/>
        </w:rPr>
        <w:t>Undertaken</w:t>
      </w:r>
      <w:proofErr w:type="gramEnd"/>
    </w:p>
    <w:p w:rsidR="00F14192" w:rsidRPr="00F14192" w:rsidRDefault="00F14192" w:rsidP="00F14192">
      <w:pPr>
        <w:spacing w:after="0" w:line="240" w:lineRule="auto"/>
        <w:jc w:val="both"/>
        <w:rPr>
          <w:rFonts w:ascii="Arial" w:eastAsia="Times New Roman" w:hAnsi="Arial" w:cs="Arial"/>
          <w:b/>
          <w:bCs/>
          <w:sz w:val="24"/>
          <w:szCs w:val="24"/>
          <w:highlight w:val="red"/>
        </w:rPr>
      </w:pPr>
    </w:p>
    <w:p w:rsidR="00F14192" w:rsidRPr="00F14192" w:rsidRDefault="00F14192" w:rsidP="00F14192">
      <w:pPr>
        <w:keepNext/>
        <w:spacing w:after="0" w:line="240" w:lineRule="auto"/>
        <w:jc w:val="both"/>
        <w:outlineLvl w:val="7"/>
        <w:rPr>
          <w:rFonts w:ascii="Arial" w:eastAsia="Times New Roman" w:hAnsi="Arial" w:cs="Arial"/>
          <w:bCs/>
          <w:sz w:val="24"/>
          <w:szCs w:val="24"/>
        </w:rPr>
      </w:pPr>
      <w:proofErr w:type="spellStart"/>
      <w:r w:rsidRPr="00F14192">
        <w:rPr>
          <w:rFonts w:ascii="Arial" w:eastAsia="Times New Roman" w:hAnsi="Arial" w:cs="Arial"/>
          <w:bCs/>
          <w:sz w:val="24"/>
          <w:szCs w:val="24"/>
        </w:rPr>
        <w:t>NORC</w:t>
      </w:r>
      <w:proofErr w:type="spellEnd"/>
      <w:r w:rsidRPr="00F14192">
        <w:rPr>
          <w:rFonts w:ascii="Arial" w:eastAsia="Times New Roman" w:hAnsi="Arial" w:cs="Arial"/>
          <w:bCs/>
          <w:sz w:val="24"/>
          <w:szCs w:val="24"/>
        </w:rPr>
        <w:t xml:space="preserve"> will perform a multi-mode cross-grantee analysis utilizing the aggregated quantitative and qualitative data that has been collected. </w:t>
      </w:r>
    </w:p>
    <w:p w:rsidR="00F14192" w:rsidRPr="00F14192" w:rsidRDefault="00F14192" w:rsidP="00F14192">
      <w:pPr>
        <w:spacing w:after="0" w:line="240" w:lineRule="auto"/>
        <w:rPr>
          <w:rFonts w:ascii="Book Antiqua" w:eastAsia="Times New Roman" w:hAnsi="Book Antiqua" w:cs="Times New Roman"/>
          <w:sz w:val="24"/>
          <w:szCs w:val="20"/>
        </w:rPr>
      </w:pPr>
    </w:p>
    <w:p w:rsidR="00F14192" w:rsidRPr="00F14192" w:rsidRDefault="00F14192" w:rsidP="00F14192">
      <w:pPr>
        <w:keepNext/>
        <w:spacing w:after="0" w:line="240" w:lineRule="auto"/>
        <w:jc w:val="both"/>
        <w:outlineLvl w:val="7"/>
        <w:rPr>
          <w:rFonts w:ascii="Arial" w:eastAsia="Times New Roman" w:hAnsi="Arial" w:cs="Arial"/>
          <w:b/>
          <w:bCs/>
          <w:sz w:val="24"/>
          <w:szCs w:val="24"/>
        </w:rPr>
      </w:pPr>
      <w:r w:rsidRPr="00F14192">
        <w:rPr>
          <w:rFonts w:ascii="Arial" w:eastAsia="Times New Roman" w:hAnsi="Arial" w:cs="Arial"/>
          <w:b/>
          <w:bCs/>
          <w:sz w:val="24"/>
          <w:szCs w:val="24"/>
        </w:rPr>
        <w:lastRenderedPageBreak/>
        <w:t>B.5</w:t>
      </w:r>
      <w:r w:rsidRPr="00F14192">
        <w:rPr>
          <w:rFonts w:ascii="Arial" w:eastAsia="Times New Roman" w:hAnsi="Arial" w:cs="Arial"/>
          <w:b/>
          <w:bCs/>
          <w:sz w:val="24"/>
          <w:szCs w:val="24"/>
        </w:rPr>
        <w:tab/>
        <w:t>Individuals Consulted on Statistical Aspects and Individuals Collecting and/or Analyzing Data</w:t>
      </w:r>
    </w:p>
    <w:p w:rsidR="00F14192" w:rsidRPr="00F14192" w:rsidRDefault="00F14192" w:rsidP="00F14192">
      <w:pPr>
        <w:keepNext/>
        <w:spacing w:after="0" w:line="240" w:lineRule="auto"/>
        <w:jc w:val="both"/>
        <w:rPr>
          <w:rFonts w:ascii="Arial" w:eastAsia="Times New Roman" w:hAnsi="Arial" w:cs="Arial"/>
          <w:sz w:val="24"/>
          <w:szCs w:val="24"/>
        </w:rPr>
      </w:pPr>
    </w:p>
    <w:p w:rsidR="00F14192" w:rsidRPr="00F14192" w:rsidRDefault="00F14192" w:rsidP="00F14192">
      <w:pPr>
        <w:keepNext/>
        <w:spacing w:after="0" w:line="240" w:lineRule="auto"/>
        <w:jc w:val="both"/>
        <w:rPr>
          <w:rFonts w:ascii="Arial" w:eastAsia="Times New Roman" w:hAnsi="Arial" w:cs="Arial"/>
          <w:sz w:val="24"/>
          <w:szCs w:val="24"/>
          <w:u w:val="single"/>
        </w:rPr>
      </w:pPr>
      <w:r w:rsidRPr="00F14192">
        <w:rPr>
          <w:rFonts w:ascii="Arial" w:eastAsia="Times New Roman" w:hAnsi="Arial" w:cs="Arial"/>
          <w:sz w:val="24"/>
          <w:szCs w:val="24"/>
          <w:u w:val="single"/>
        </w:rPr>
        <w:t>Program Development Contact</w:t>
      </w:r>
    </w:p>
    <w:p w:rsidR="00F14192" w:rsidRPr="00F14192" w:rsidRDefault="00F14192" w:rsidP="00F14192">
      <w:pPr>
        <w:keepNext/>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 xml:space="preserve">Shavon Artis Dickerson, </w:t>
      </w:r>
      <w:proofErr w:type="spellStart"/>
      <w:r w:rsidRPr="00F14192">
        <w:rPr>
          <w:rFonts w:ascii="Arial" w:eastAsia="Times New Roman" w:hAnsi="Arial" w:cs="Arial"/>
          <w:sz w:val="24"/>
          <w:szCs w:val="24"/>
        </w:rPr>
        <w:t>DrPH</w:t>
      </w:r>
      <w:proofErr w:type="spellEnd"/>
      <w:r w:rsidRPr="00F14192">
        <w:rPr>
          <w:rFonts w:ascii="Arial" w:eastAsia="Times New Roman" w:hAnsi="Arial" w:cs="Arial"/>
          <w:sz w:val="24"/>
          <w:szCs w:val="24"/>
        </w:rPr>
        <w:t>, MPH</w:t>
      </w:r>
    </w:p>
    <w:p w:rsidR="00F14192" w:rsidRPr="00F14192" w:rsidRDefault="00F14192" w:rsidP="00F14192">
      <w:pPr>
        <w:keepNext/>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Health Scientist</w:t>
      </w:r>
    </w:p>
    <w:p w:rsidR="00F14192" w:rsidRPr="00F14192" w:rsidRDefault="00F14192" w:rsidP="00F14192">
      <w:pPr>
        <w:keepNext/>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Office on Women’s Health</w:t>
      </w:r>
    </w:p>
    <w:p w:rsidR="00F14192" w:rsidRPr="00F14192" w:rsidRDefault="00F14192" w:rsidP="00F14192">
      <w:pPr>
        <w:keepNext/>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U.S. Department of Health and Human Services</w:t>
      </w:r>
    </w:p>
    <w:p w:rsidR="00F14192" w:rsidRPr="00F14192" w:rsidRDefault="00F14192" w:rsidP="00F14192">
      <w:pPr>
        <w:keepNext/>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 xml:space="preserve">200 Independence Avenue, S.W., Room 712F </w:t>
      </w:r>
    </w:p>
    <w:p w:rsidR="00F14192" w:rsidRPr="00F14192" w:rsidRDefault="00F14192" w:rsidP="00F14192">
      <w:pPr>
        <w:keepNext/>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Washington, DC 20201</w:t>
      </w:r>
    </w:p>
    <w:p w:rsidR="00F14192" w:rsidRPr="00F14192" w:rsidRDefault="00F14192" w:rsidP="00F14192">
      <w:pPr>
        <w:keepNext/>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202-260-7184</w:t>
      </w:r>
    </w:p>
    <w:p w:rsidR="00F14192" w:rsidRPr="00F14192" w:rsidRDefault="00F14192" w:rsidP="00F14192">
      <w:pPr>
        <w:keepNext/>
        <w:spacing w:after="0" w:line="240" w:lineRule="auto"/>
        <w:jc w:val="both"/>
        <w:rPr>
          <w:rFonts w:ascii="Arial" w:eastAsia="Times New Roman" w:hAnsi="Arial" w:cs="Arial"/>
          <w:sz w:val="24"/>
          <w:szCs w:val="24"/>
        </w:rPr>
      </w:pPr>
      <w:hyperlink r:id="rId6" w:history="1">
        <w:r w:rsidRPr="00F14192">
          <w:rPr>
            <w:rFonts w:ascii="Arial" w:eastAsia="Times New Roman" w:hAnsi="Arial" w:cs="Arial"/>
            <w:color w:val="0000FF"/>
            <w:sz w:val="24"/>
            <w:szCs w:val="24"/>
            <w:u w:val="single"/>
          </w:rPr>
          <w:t>shavon.artis@hhs.gov</w:t>
        </w:r>
      </w:hyperlink>
    </w:p>
    <w:p w:rsidR="00F14192" w:rsidRPr="00F14192" w:rsidRDefault="00F14192" w:rsidP="00F14192">
      <w:pPr>
        <w:spacing w:after="0" w:line="240" w:lineRule="auto"/>
        <w:jc w:val="both"/>
        <w:rPr>
          <w:rFonts w:ascii="Arial" w:eastAsia="Times New Roman" w:hAnsi="Arial" w:cs="Arial"/>
          <w:sz w:val="24"/>
          <w:szCs w:val="24"/>
          <w:u w:val="single"/>
        </w:rPr>
      </w:pPr>
    </w:p>
    <w:p w:rsidR="00F14192" w:rsidRPr="00F14192" w:rsidRDefault="00F14192" w:rsidP="00F14192">
      <w:pPr>
        <w:spacing w:after="0" w:line="240" w:lineRule="auto"/>
        <w:jc w:val="both"/>
        <w:rPr>
          <w:rFonts w:ascii="Arial" w:eastAsia="Times New Roman" w:hAnsi="Arial" w:cs="Arial"/>
          <w:sz w:val="24"/>
          <w:szCs w:val="24"/>
          <w:u w:val="single"/>
        </w:rPr>
      </w:pPr>
      <w:r w:rsidRPr="00F14192">
        <w:rPr>
          <w:rFonts w:ascii="Arial" w:eastAsia="Times New Roman" w:hAnsi="Arial" w:cs="Arial"/>
          <w:sz w:val="24"/>
          <w:szCs w:val="24"/>
          <w:u w:val="single"/>
        </w:rPr>
        <w:t>Data Collection/Analysis and Statistical Contact</w:t>
      </w:r>
    </w:p>
    <w:p w:rsidR="00F14192" w:rsidRPr="00F14192" w:rsidRDefault="00F14192" w:rsidP="00F14192">
      <w:pPr>
        <w:keepNext/>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Elizabeth A. Mumford, PhD</w:t>
      </w:r>
    </w:p>
    <w:p w:rsidR="00F14192" w:rsidRPr="00F14192" w:rsidRDefault="00F14192" w:rsidP="00F14192">
      <w:pPr>
        <w:keepNext/>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Principal Research Scientist</w:t>
      </w:r>
    </w:p>
    <w:p w:rsidR="00F14192" w:rsidRPr="00F14192" w:rsidRDefault="00F14192" w:rsidP="00F14192">
      <w:pPr>
        <w:keepNext/>
        <w:spacing w:after="0" w:line="240" w:lineRule="auto"/>
        <w:jc w:val="both"/>
        <w:rPr>
          <w:rFonts w:ascii="Arial" w:eastAsia="Times New Roman" w:hAnsi="Arial" w:cs="Arial"/>
          <w:sz w:val="24"/>
          <w:szCs w:val="24"/>
        </w:rPr>
      </w:pPr>
      <w:proofErr w:type="spellStart"/>
      <w:r w:rsidRPr="00F14192">
        <w:rPr>
          <w:rFonts w:ascii="Arial" w:eastAsia="Times New Roman" w:hAnsi="Arial" w:cs="Arial"/>
          <w:sz w:val="24"/>
          <w:szCs w:val="24"/>
        </w:rPr>
        <w:t>NORC</w:t>
      </w:r>
      <w:proofErr w:type="spellEnd"/>
      <w:r w:rsidRPr="00F14192">
        <w:rPr>
          <w:rFonts w:ascii="Arial" w:eastAsia="Times New Roman" w:hAnsi="Arial" w:cs="Arial"/>
          <w:sz w:val="24"/>
          <w:szCs w:val="24"/>
        </w:rPr>
        <w:t xml:space="preserve"> at the University of Chicago </w:t>
      </w:r>
    </w:p>
    <w:p w:rsidR="00F14192" w:rsidRPr="00F14192" w:rsidRDefault="00F14192" w:rsidP="00F14192">
      <w:pPr>
        <w:keepNext/>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4350 East-West Highway, 8th Floor</w:t>
      </w:r>
    </w:p>
    <w:p w:rsidR="00F14192" w:rsidRPr="00F14192" w:rsidRDefault="00F14192" w:rsidP="00F14192">
      <w:pPr>
        <w:keepNext/>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 xml:space="preserve">Bethesda MD 20814 </w:t>
      </w:r>
    </w:p>
    <w:p w:rsidR="00F14192" w:rsidRPr="00F14192" w:rsidRDefault="00F14192" w:rsidP="00F14192">
      <w:pPr>
        <w:keepNext/>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301-634-9435</w:t>
      </w:r>
    </w:p>
    <w:p w:rsidR="00F14192" w:rsidRPr="00F14192" w:rsidRDefault="00F14192" w:rsidP="00F14192">
      <w:pPr>
        <w:keepNext/>
        <w:spacing w:after="0" w:line="240" w:lineRule="auto"/>
        <w:jc w:val="both"/>
        <w:rPr>
          <w:rFonts w:ascii="Arial" w:eastAsia="Times New Roman" w:hAnsi="Arial" w:cs="Arial"/>
          <w:sz w:val="24"/>
          <w:szCs w:val="24"/>
        </w:rPr>
      </w:pPr>
      <w:hyperlink r:id="rId7" w:history="1">
        <w:r w:rsidRPr="00F14192">
          <w:rPr>
            <w:rFonts w:ascii="Arial" w:eastAsia="Times New Roman" w:hAnsi="Arial" w:cs="Arial"/>
            <w:color w:val="0000FF"/>
            <w:sz w:val="24"/>
            <w:szCs w:val="24"/>
            <w:u w:val="single"/>
          </w:rPr>
          <w:t>Mumford-Elizabeth@norc.org</w:t>
        </w:r>
      </w:hyperlink>
    </w:p>
    <w:p w:rsidR="00F14192" w:rsidRPr="00F14192" w:rsidRDefault="00F14192" w:rsidP="00F14192">
      <w:pPr>
        <w:keepNext/>
        <w:spacing w:after="0" w:line="240" w:lineRule="auto"/>
        <w:jc w:val="both"/>
        <w:rPr>
          <w:rFonts w:ascii="Arial" w:eastAsia="Times New Roman" w:hAnsi="Arial" w:cs="Arial"/>
          <w:sz w:val="24"/>
          <w:szCs w:val="24"/>
        </w:rPr>
      </w:pPr>
    </w:p>
    <w:p w:rsidR="00F14192" w:rsidRPr="00F14192" w:rsidRDefault="00F14192" w:rsidP="00F14192">
      <w:pPr>
        <w:spacing w:after="0" w:line="240" w:lineRule="auto"/>
        <w:jc w:val="both"/>
        <w:rPr>
          <w:rFonts w:ascii="Arial" w:eastAsia="Times New Roman" w:hAnsi="Arial" w:cs="Arial"/>
          <w:sz w:val="24"/>
          <w:szCs w:val="24"/>
        </w:rPr>
      </w:pPr>
      <w:proofErr w:type="spellStart"/>
      <w:r w:rsidRPr="00F14192">
        <w:rPr>
          <w:rFonts w:ascii="Arial" w:eastAsia="Times New Roman" w:hAnsi="Arial" w:cs="Arial"/>
          <w:sz w:val="24"/>
          <w:szCs w:val="24"/>
        </w:rPr>
        <w:t>Sravanthi</w:t>
      </w:r>
      <w:proofErr w:type="spellEnd"/>
      <w:r w:rsidRPr="00F14192">
        <w:rPr>
          <w:rFonts w:ascii="Arial" w:eastAsia="Times New Roman" w:hAnsi="Arial" w:cs="Arial"/>
          <w:sz w:val="24"/>
          <w:szCs w:val="24"/>
        </w:rPr>
        <w:t xml:space="preserve"> Matta, MS, </w:t>
      </w:r>
      <w:proofErr w:type="spellStart"/>
      <w:r w:rsidRPr="00F14192">
        <w:rPr>
          <w:rFonts w:ascii="Arial" w:eastAsia="Times New Roman" w:hAnsi="Arial" w:cs="Arial"/>
          <w:sz w:val="24"/>
          <w:szCs w:val="24"/>
        </w:rPr>
        <w:t>PMP</w:t>
      </w:r>
      <w:proofErr w:type="spellEnd"/>
    </w:p>
    <w:p w:rsidR="00F14192" w:rsidRPr="00F14192" w:rsidRDefault="00F14192" w:rsidP="00F14192">
      <w:pPr>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Director, Information Technology</w:t>
      </w:r>
    </w:p>
    <w:p w:rsidR="00F14192" w:rsidRPr="00F14192" w:rsidRDefault="00F14192" w:rsidP="00F14192">
      <w:pPr>
        <w:spacing w:after="0" w:line="240" w:lineRule="auto"/>
        <w:jc w:val="both"/>
        <w:rPr>
          <w:rFonts w:ascii="Arial" w:eastAsia="Times New Roman" w:hAnsi="Arial" w:cs="Arial"/>
          <w:sz w:val="24"/>
          <w:szCs w:val="24"/>
        </w:rPr>
      </w:pPr>
      <w:proofErr w:type="spellStart"/>
      <w:r w:rsidRPr="00F14192">
        <w:rPr>
          <w:rFonts w:ascii="Arial" w:eastAsia="Times New Roman" w:hAnsi="Arial" w:cs="Arial"/>
          <w:sz w:val="24"/>
          <w:szCs w:val="24"/>
        </w:rPr>
        <w:t>NORC</w:t>
      </w:r>
      <w:proofErr w:type="spellEnd"/>
      <w:r w:rsidRPr="00F14192">
        <w:rPr>
          <w:rFonts w:ascii="Arial" w:eastAsia="Times New Roman" w:hAnsi="Arial" w:cs="Arial"/>
          <w:sz w:val="24"/>
          <w:szCs w:val="24"/>
        </w:rPr>
        <w:t xml:space="preserve"> at the University of Chicago </w:t>
      </w:r>
    </w:p>
    <w:p w:rsidR="00F14192" w:rsidRPr="00F14192" w:rsidRDefault="00F14192" w:rsidP="00F14192">
      <w:pPr>
        <w:keepNext/>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4350 East-West Highway, 8th Floor</w:t>
      </w:r>
    </w:p>
    <w:p w:rsidR="00F14192" w:rsidRPr="00F14192" w:rsidRDefault="00F14192" w:rsidP="00F14192">
      <w:pPr>
        <w:keepNext/>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 xml:space="preserve">Bethesda MD 20814 </w:t>
      </w:r>
    </w:p>
    <w:p w:rsidR="00F14192" w:rsidRPr="00F14192" w:rsidRDefault="00F14192" w:rsidP="00F14192">
      <w:pPr>
        <w:spacing w:after="0" w:line="240" w:lineRule="auto"/>
        <w:jc w:val="both"/>
        <w:rPr>
          <w:rFonts w:ascii="Arial" w:eastAsia="Times New Roman" w:hAnsi="Arial" w:cs="Arial"/>
          <w:sz w:val="24"/>
          <w:szCs w:val="24"/>
        </w:rPr>
      </w:pPr>
      <w:r w:rsidRPr="00F14192">
        <w:rPr>
          <w:rFonts w:ascii="Arial" w:eastAsia="Times New Roman" w:hAnsi="Arial" w:cs="Arial"/>
          <w:sz w:val="24"/>
          <w:szCs w:val="24"/>
        </w:rPr>
        <w:t>301-634-9426</w:t>
      </w:r>
    </w:p>
    <w:p w:rsidR="00F14192" w:rsidRPr="00F14192" w:rsidRDefault="00F14192" w:rsidP="00F14192">
      <w:pPr>
        <w:spacing w:after="0" w:line="240" w:lineRule="auto"/>
        <w:jc w:val="both"/>
        <w:rPr>
          <w:rFonts w:ascii="Arial" w:eastAsia="Times New Roman" w:hAnsi="Arial" w:cs="Arial"/>
          <w:sz w:val="24"/>
          <w:szCs w:val="24"/>
        </w:rPr>
      </w:pPr>
      <w:hyperlink r:id="rId8" w:history="1">
        <w:r w:rsidRPr="00F14192">
          <w:rPr>
            <w:rFonts w:ascii="Arial" w:eastAsia="Times New Roman" w:hAnsi="Arial" w:cs="Arial"/>
            <w:color w:val="0000FF"/>
            <w:sz w:val="24"/>
            <w:szCs w:val="24"/>
            <w:u w:val="single"/>
          </w:rPr>
          <w:t>matta-sravanthi@norc.org</w:t>
        </w:r>
      </w:hyperlink>
      <w:r w:rsidRPr="00F14192">
        <w:rPr>
          <w:rFonts w:ascii="Arial" w:eastAsia="Times New Roman" w:hAnsi="Arial" w:cs="Arial"/>
          <w:sz w:val="24"/>
          <w:szCs w:val="24"/>
        </w:rPr>
        <w:t xml:space="preserve"> </w:t>
      </w:r>
    </w:p>
    <w:p w:rsidR="00F14192" w:rsidRPr="00F14192" w:rsidRDefault="00F14192" w:rsidP="00F14192">
      <w:pPr>
        <w:spacing w:after="0" w:line="240" w:lineRule="auto"/>
        <w:jc w:val="both"/>
        <w:rPr>
          <w:rFonts w:ascii="Arial" w:eastAsia="Times New Roman" w:hAnsi="Arial" w:cs="Arial"/>
          <w:sz w:val="24"/>
          <w:szCs w:val="24"/>
        </w:rPr>
      </w:pPr>
    </w:p>
    <w:p w:rsidR="00F14192" w:rsidRPr="00F14192" w:rsidRDefault="00F14192" w:rsidP="00F14192">
      <w:pPr>
        <w:spacing w:after="0" w:line="240" w:lineRule="auto"/>
        <w:jc w:val="both"/>
        <w:rPr>
          <w:rFonts w:ascii="Arial" w:eastAsia="Times New Roman" w:hAnsi="Arial" w:cs="Arial"/>
          <w:sz w:val="24"/>
          <w:szCs w:val="24"/>
        </w:rPr>
      </w:pPr>
    </w:p>
    <w:p w:rsidR="00F14192" w:rsidRPr="00F14192" w:rsidRDefault="00F14192" w:rsidP="00F14192">
      <w:pPr>
        <w:spacing w:after="0" w:line="240" w:lineRule="auto"/>
        <w:jc w:val="both"/>
        <w:rPr>
          <w:rFonts w:ascii="Arial" w:eastAsia="Times New Roman" w:hAnsi="Arial" w:cs="Arial"/>
          <w:sz w:val="24"/>
          <w:szCs w:val="24"/>
        </w:rPr>
      </w:pPr>
    </w:p>
    <w:p w:rsidR="00F14192" w:rsidRPr="00F14192" w:rsidRDefault="00F14192" w:rsidP="00F14192">
      <w:pPr>
        <w:spacing w:after="0" w:line="240" w:lineRule="auto"/>
        <w:jc w:val="center"/>
        <w:rPr>
          <w:rFonts w:ascii="Arial" w:eastAsia="Times New Roman" w:hAnsi="Arial" w:cs="Arial"/>
          <w:sz w:val="24"/>
          <w:szCs w:val="24"/>
        </w:rPr>
      </w:pPr>
    </w:p>
    <w:p w:rsidR="00C53124" w:rsidRDefault="00F14192">
      <w:bookmarkStart w:id="0" w:name="_GoBack"/>
      <w:bookmarkEnd w:id="0"/>
    </w:p>
    <w:sectPr w:rsidR="00C53124" w:rsidSect="002C7F12">
      <w:footerReference w:type="default" r:id="rId9"/>
      <w:endnotePr>
        <w:numFmt w:val="decimal"/>
      </w:endnotePr>
      <w:pgSz w:w="12240" w:h="15840" w:code="1"/>
      <w:pgMar w:top="1080" w:right="1440" w:bottom="1080" w:left="1440" w:header="720" w:footer="720"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01" w:rsidRDefault="00F14192" w:rsidP="002C7F12">
    <w:pPr>
      <w:pStyle w:val="Footer"/>
      <w:pBdr>
        <w:top w:val="single" w:sz="4" w:space="0" w:color="auto"/>
      </w:pBdr>
      <w:rPr>
        <w:rStyle w:val="PageNumber"/>
        <w:rFonts w:ascii="Arial" w:hAnsi="Arial" w:cs="Arial"/>
        <w:sz w:val="18"/>
        <w:szCs w:val="18"/>
      </w:rPr>
    </w:pPr>
  </w:p>
  <w:p w:rsidR="008A0401" w:rsidRPr="00283603" w:rsidRDefault="00F14192" w:rsidP="002C7F12">
    <w:pPr>
      <w:pStyle w:val="Footer"/>
      <w:pBdr>
        <w:top w:val="single" w:sz="4" w:space="0" w:color="auto"/>
      </w:pBdr>
      <w:rPr>
        <w:rStyle w:val="PageNumber"/>
        <w:rFonts w:ascii="Arial" w:hAnsi="Arial" w:cs="Arial"/>
        <w:b/>
        <w:sz w:val="18"/>
        <w:szCs w:val="18"/>
      </w:rPr>
    </w:pPr>
    <w:r w:rsidRPr="004D2AC8">
      <w:rPr>
        <w:rStyle w:val="PageNumber"/>
        <w:rFonts w:ascii="Arial" w:hAnsi="Arial" w:cs="Arial"/>
        <w:sz w:val="18"/>
        <w:szCs w:val="18"/>
      </w:rPr>
      <w:t>OMB Clearance Supporting Statement</w:t>
    </w:r>
    <w:r>
      <w:rPr>
        <w:rStyle w:val="PageNumber"/>
        <w:rFonts w:ascii="Arial" w:hAnsi="Arial" w:cs="Arial"/>
        <w:sz w:val="18"/>
        <w:szCs w:val="18"/>
      </w:rPr>
      <w:t xml:space="preserve"> </w:t>
    </w:r>
  </w:p>
  <w:p w:rsidR="008A0401" w:rsidRDefault="00F14192" w:rsidP="004D2AC8">
    <w:pPr>
      <w:pStyle w:val="Footer"/>
      <w:rPr>
        <w:sz w:val="20"/>
      </w:rPr>
    </w:pPr>
    <w:r w:rsidRPr="004D2AC8">
      <w:rPr>
        <w:rStyle w:val="PageNumber"/>
        <w:rFonts w:ascii="Arial" w:hAnsi="Arial" w:cs="Arial"/>
        <w:sz w:val="18"/>
        <w:szCs w:val="18"/>
      </w:rPr>
      <w:t xml:space="preserve">Evaluation of </w:t>
    </w:r>
    <w:proofErr w:type="spellStart"/>
    <w:r>
      <w:rPr>
        <w:rStyle w:val="PageNumber"/>
        <w:rFonts w:ascii="Arial" w:hAnsi="Arial" w:cs="Arial"/>
        <w:sz w:val="18"/>
        <w:szCs w:val="18"/>
      </w:rPr>
      <w:t>OWH</w:t>
    </w:r>
    <w:proofErr w:type="spellEnd"/>
    <w:r>
      <w:rPr>
        <w:rStyle w:val="PageNumber"/>
        <w:rFonts w:ascii="Arial" w:hAnsi="Arial" w:cs="Arial"/>
        <w:sz w:val="18"/>
        <w:szCs w:val="18"/>
      </w:rPr>
      <w:t xml:space="preserve"> </w:t>
    </w:r>
    <w:proofErr w:type="spellStart"/>
    <w:r>
      <w:rPr>
        <w:rStyle w:val="PageNumber"/>
        <w:rFonts w:ascii="Arial" w:hAnsi="Arial" w:cs="Arial"/>
        <w:sz w:val="18"/>
        <w:szCs w:val="18"/>
      </w:rPr>
      <w:t>IPV</w:t>
    </w:r>
    <w:proofErr w:type="spellEnd"/>
    <w:r>
      <w:rPr>
        <w:rStyle w:val="PageNumber"/>
        <w:rFonts w:ascii="Arial" w:hAnsi="Arial" w:cs="Arial"/>
        <w:sz w:val="18"/>
        <w:szCs w:val="18"/>
      </w:rPr>
      <w:t xml:space="preserve"> </w:t>
    </w:r>
    <w:r>
      <w:rPr>
        <w:rStyle w:val="PageNumber"/>
        <w:rFonts w:ascii="Arial" w:hAnsi="Arial" w:cs="Arial"/>
        <w:sz w:val="18"/>
        <w:szCs w:val="18"/>
      </w:rPr>
      <w:t xml:space="preserve">Provider Network </w:t>
    </w:r>
    <w:r>
      <w:rPr>
        <w:rStyle w:val="PageNumber"/>
        <w:rFonts w:ascii="Arial" w:hAnsi="Arial" w:cs="Arial"/>
        <w:sz w:val="18"/>
        <w:szCs w:val="18"/>
      </w:rPr>
      <w:t>Cross-Site Evaluation</w:t>
    </w:r>
    <w:r>
      <w:rPr>
        <w:rStyle w:val="PageNumber"/>
        <w:rFonts w:ascii="Arial" w:hAnsi="Arial" w:cs="Arial"/>
        <w:sz w:val="18"/>
        <w:szCs w:val="18"/>
      </w:rPr>
      <w:tab/>
    </w:r>
    <w:r>
      <w:rPr>
        <w:rStyle w:val="PageNumber"/>
        <w:rFonts w:ascii="Arial" w:hAnsi="Arial" w:cs="Arial"/>
        <w:sz w:val="18"/>
        <w:szCs w:val="18"/>
      </w:rPr>
      <w:tab/>
    </w:r>
    <w:r w:rsidRPr="004D2AC8">
      <w:rPr>
        <w:rStyle w:val="PageNumber"/>
        <w:rFonts w:ascii="Arial" w:hAnsi="Arial" w:cs="Arial"/>
        <w:sz w:val="18"/>
        <w:szCs w:val="18"/>
      </w:rPr>
      <w:t xml:space="preserve">Page </w:t>
    </w:r>
    <w:r w:rsidRPr="004D2AC8">
      <w:rPr>
        <w:rStyle w:val="PageNumber"/>
        <w:rFonts w:ascii="Arial" w:hAnsi="Arial" w:cs="Arial"/>
        <w:sz w:val="18"/>
        <w:szCs w:val="18"/>
      </w:rPr>
      <w:fldChar w:fldCharType="begin"/>
    </w:r>
    <w:r w:rsidRPr="004D2AC8">
      <w:rPr>
        <w:rStyle w:val="PageNumber"/>
        <w:rFonts w:ascii="Arial" w:hAnsi="Arial" w:cs="Arial"/>
        <w:sz w:val="18"/>
        <w:szCs w:val="18"/>
      </w:rPr>
      <w:instrText xml:space="preserve"> PAGE </w:instrText>
    </w:r>
    <w:r w:rsidRPr="004D2AC8">
      <w:rPr>
        <w:rStyle w:val="PageNumber"/>
        <w:rFonts w:ascii="Arial" w:hAnsi="Arial" w:cs="Arial"/>
        <w:sz w:val="18"/>
        <w:szCs w:val="18"/>
      </w:rPr>
      <w:fldChar w:fldCharType="separate"/>
    </w:r>
    <w:r>
      <w:rPr>
        <w:rStyle w:val="PageNumber"/>
        <w:rFonts w:ascii="Arial" w:hAnsi="Arial" w:cs="Arial"/>
        <w:noProof/>
        <w:sz w:val="18"/>
        <w:szCs w:val="18"/>
      </w:rPr>
      <w:t>1</w:t>
    </w:r>
    <w:r w:rsidRPr="004D2AC8">
      <w:rPr>
        <w:rStyle w:val="PageNumber"/>
        <w:rFonts w:ascii="Arial" w:hAnsi="Arial" w:cs="Arial"/>
        <w:sz w:val="18"/>
        <w:szCs w:val="18"/>
      </w:rPr>
      <w:fldChar w:fldCharType="end"/>
    </w:r>
    <w:r>
      <w:rPr>
        <w:rStyle w:val="PageNumber"/>
        <w:rFonts w:ascii="Times New Roman" w:hAnsi="Times New Roman"/>
        <w:sz w:val="20"/>
      </w:rPr>
      <w:tab/>
    </w:r>
    <w:r>
      <w:rPr>
        <w:rStyle w:val="PageNumber"/>
        <w:rFonts w:ascii="Times New Roman" w:hAnsi="Times New Roman"/>
        <w:sz w:val="20"/>
      </w:rPr>
      <w:tab/>
    </w:r>
    <w:r>
      <w:rPr>
        <w:rStyle w:val="PageNumber"/>
        <w:rFonts w:ascii="Times New Roman" w:hAnsi="Times New Roman"/>
        <w:sz w:val="20"/>
      </w:rPr>
      <w:br/>
    </w:r>
    <w:r>
      <w:rPr>
        <w:rStyle w:val="PageNumber"/>
        <w:rFonts w:ascii="Times New Roman" w:hAnsi="Times New Roman"/>
        <w:sz w:val="20"/>
      </w:rPr>
      <w:tab/>
    </w:r>
    <w:r>
      <w:rPr>
        <w:rStyle w:val="PageNumber"/>
        <w:rFonts w:ascii="Times New Roman" w:hAnsi="Times New Roman"/>
        <w:sz w:val="20"/>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11933"/>
    <w:multiLevelType w:val="hybridMultilevel"/>
    <w:tmpl w:val="BE3EF7DA"/>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192"/>
    <w:rsid w:val="00610057"/>
    <w:rsid w:val="00952905"/>
    <w:rsid w:val="00F1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4192"/>
    <w:pPr>
      <w:tabs>
        <w:tab w:val="center" w:pos="4680"/>
        <w:tab w:val="right" w:pos="9360"/>
      </w:tabs>
      <w:spacing w:after="0" w:line="240" w:lineRule="auto"/>
    </w:pPr>
    <w:rPr>
      <w:rFonts w:ascii="Book Antiqua" w:eastAsia="Times New Roman" w:hAnsi="Book Antiqua" w:cs="Times New Roman"/>
      <w:sz w:val="24"/>
      <w:szCs w:val="20"/>
    </w:rPr>
  </w:style>
  <w:style w:type="character" w:customStyle="1" w:styleId="FooterChar">
    <w:name w:val="Footer Char"/>
    <w:basedOn w:val="DefaultParagraphFont"/>
    <w:link w:val="Footer"/>
    <w:uiPriority w:val="99"/>
    <w:rsid w:val="00F14192"/>
    <w:rPr>
      <w:rFonts w:ascii="Book Antiqua" w:eastAsia="Times New Roman" w:hAnsi="Book Antiqua" w:cs="Times New Roman"/>
      <w:sz w:val="24"/>
      <w:szCs w:val="20"/>
    </w:rPr>
  </w:style>
  <w:style w:type="character" w:styleId="PageNumber">
    <w:name w:val="page number"/>
    <w:basedOn w:val="DefaultParagraphFont"/>
    <w:rsid w:val="00F14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4192"/>
    <w:pPr>
      <w:tabs>
        <w:tab w:val="center" w:pos="4680"/>
        <w:tab w:val="right" w:pos="9360"/>
      </w:tabs>
      <w:spacing w:after="0" w:line="240" w:lineRule="auto"/>
    </w:pPr>
    <w:rPr>
      <w:rFonts w:ascii="Book Antiqua" w:eastAsia="Times New Roman" w:hAnsi="Book Antiqua" w:cs="Times New Roman"/>
      <w:sz w:val="24"/>
      <w:szCs w:val="20"/>
    </w:rPr>
  </w:style>
  <w:style w:type="character" w:customStyle="1" w:styleId="FooterChar">
    <w:name w:val="Footer Char"/>
    <w:basedOn w:val="DefaultParagraphFont"/>
    <w:link w:val="Footer"/>
    <w:uiPriority w:val="99"/>
    <w:rsid w:val="00F14192"/>
    <w:rPr>
      <w:rFonts w:ascii="Book Antiqua" w:eastAsia="Times New Roman" w:hAnsi="Book Antiqua" w:cs="Times New Roman"/>
      <w:sz w:val="24"/>
      <w:szCs w:val="20"/>
    </w:rPr>
  </w:style>
  <w:style w:type="character" w:styleId="PageNumber">
    <w:name w:val="page number"/>
    <w:basedOn w:val="DefaultParagraphFont"/>
    <w:rsid w:val="00F14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a-sravanthi@norc.org" TargetMode="External"/><Relationship Id="rId3" Type="http://schemas.microsoft.com/office/2007/relationships/stylesWithEffects" Target="stylesWithEffects.xml"/><Relationship Id="rId7" Type="http://schemas.openxmlformats.org/officeDocument/2006/relationships/hyperlink" Target="Mumford-Elizabeth@no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von.artis@hhs.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2016-08-16T19:34:00Z</dcterms:created>
  <dcterms:modified xsi:type="dcterms:W3CDTF">2016-08-16T19:35:00Z</dcterms:modified>
</cp:coreProperties>
</file>