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4F" w:rsidRPr="00762E22" w:rsidRDefault="002931F5" w:rsidP="00696A02">
      <w:pPr>
        <w:jc w:val="center"/>
        <w:rPr>
          <w:b/>
          <w:szCs w:val="24"/>
        </w:rPr>
      </w:pPr>
      <w:bookmarkStart w:id="0" w:name="_GoBack"/>
      <w:bookmarkEnd w:id="0"/>
      <w:r w:rsidRPr="00762E22">
        <w:rPr>
          <w:b/>
          <w:szCs w:val="24"/>
        </w:rPr>
        <w:t xml:space="preserve">AFCARS </w:t>
      </w:r>
      <w:r w:rsidR="002D0A25" w:rsidRPr="00762E22">
        <w:rPr>
          <w:b/>
          <w:szCs w:val="24"/>
        </w:rPr>
        <w:t xml:space="preserve">Supplemental </w:t>
      </w:r>
      <w:r w:rsidR="009E0D2D" w:rsidRPr="00762E22">
        <w:rPr>
          <w:b/>
          <w:szCs w:val="24"/>
        </w:rPr>
        <w:t>Notice of Proposed Rulemaking (</w:t>
      </w:r>
      <w:r w:rsidR="002D0A25" w:rsidRPr="00762E22">
        <w:rPr>
          <w:b/>
          <w:szCs w:val="24"/>
        </w:rPr>
        <w:t>S</w:t>
      </w:r>
      <w:r w:rsidR="00E0264F" w:rsidRPr="00762E22">
        <w:rPr>
          <w:b/>
          <w:szCs w:val="24"/>
        </w:rPr>
        <w:t>NPRM)</w:t>
      </w:r>
    </w:p>
    <w:p w:rsidR="00103B0A" w:rsidRPr="00762E22" w:rsidRDefault="00983A81" w:rsidP="00696A02">
      <w:pPr>
        <w:jc w:val="center"/>
        <w:rPr>
          <w:b/>
          <w:szCs w:val="24"/>
        </w:rPr>
      </w:pPr>
      <w:r w:rsidRPr="00762E22">
        <w:rPr>
          <w:b/>
          <w:szCs w:val="24"/>
        </w:rPr>
        <w:t>Supporting Statement</w:t>
      </w:r>
      <w:r w:rsidR="00BA0C0C" w:rsidRPr="00762E22">
        <w:rPr>
          <w:b/>
          <w:szCs w:val="24"/>
        </w:rPr>
        <w:fldChar w:fldCharType="begin"/>
      </w:r>
      <w:r w:rsidR="00103B0A" w:rsidRPr="00762E22">
        <w:rPr>
          <w:b/>
          <w:szCs w:val="24"/>
        </w:rPr>
        <w:instrText xml:space="preserve">PRIVATE </w:instrText>
      </w:r>
      <w:r w:rsidR="00BA0C0C" w:rsidRPr="00762E22">
        <w:rPr>
          <w:b/>
          <w:szCs w:val="24"/>
        </w:rPr>
        <w:fldChar w:fldCharType="end"/>
      </w:r>
    </w:p>
    <w:p w:rsidR="001A733C" w:rsidRPr="00762E22" w:rsidRDefault="001A733C" w:rsidP="00103B0A">
      <w:pPr>
        <w:rPr>
          <w:szCs w:val="24"/>
        </w:rPr>
      </w:pPr>
    </w:p>
    <w:p w:rsidR="00103B0A" w:rsidRPr="00762E22" w:rsidRDefault="00103B0A" w:rsidP="00103B0A">
      <w:pPr>
        <w:rPr>
          <w:b/>
          <w:szCs w:val="24"/>
        </w:rPr>
      </w:pPr>
      <w:r w:rsidRPr="00762E22">
        <w:rPr>
          <w:b/>
          <w:szCs w:val="24"/>
        </w:rPr>
        <w:t>A.</w:t>
      </w:r>
      <w:r w:rsidRPr="00762E22">
        <w:rPr>
          <w:b/>
          <w:szCs w:val="24"/>
        </w:rPr>
        <w:tab/>
        <w:t>Justification</w:t>
      </w:r>
    </w:p>
    <w:p w:rsidR="00814A83" w:rsidRPr="00762E22" w:rsidRDefault="00A001AC" w:rsidP="00814A83">
      <w:pPr>
        <w:pStyle w:val="ListParagraph"/>
        <w:numPr>
          <w:ilvl w:val="0"/>
          <w:numId w:val="10"/>
        </w:numPr>
        <w:spacing w:before="100" w:beforeAutospacing="1" w:after="100" w:afterAutospacing="1"/>
        <w:rPr>
          <w:snapToGrid/>
          <w:szCs w:val="24"/>
          <w:u w:val="single"/>
        </w:rPr>
      </w:pPr>
      <w:r w:rsidRPr="00762E22">
        <w:rPr>
          <w:snapToGrid/>
          <w:szCs w:val="24"/>
          <w:u w:val="single"/>
        </w:rPr>
        <w:t>Circumstances Making the Collection of Information Necessary</w:t>
      </w:r>
    </w:p>
    <w:p w:rsidR="000D4572" w:rsidRPr="000D4572" w:rsidRDefault="000D4572" w:rsidP="000D4572">
      <w:pPr>
        <w:widowControl/>
        <w:rPr>
          <w:rFonts w:eastAsiaTheme="minorHAnsi"/>
          <w:iCs/>
          <w:snapToGrid/>
          <w:color w:val="000000"/>
          <w:szCs w:val="24"/>
        </w:rPr>
      </w:pPr>
      <w:r w:rsidRPr="000D4572">
        <w:rPr>
          <w:rFonts w:eastAsiaTheme="minorHAnsi"/>
          <w:iCs/>
          <w:snapToGrid/>
          <w:color w:val="000000"/>
          <w:szCs w:val="24"/>
        </w:rPr>
        <w:t xml:space="preserve">Section 479 of the Social Security Act (the Act) requires that ACF regulate a national data collection system that provides comprehensive demographic and case-specific information on all children who are in foster care and adopted with state or county child welfare agency involvement (42 U.S.C. § 679).  The data collection system is the Adoption and Foster Care Automated Reporting System (AFCARS). </w:t>
      </w:r>
    </w:p>
    <w:p w:rsidR="000D4572" w:rsidRPr="000D4572" w:rsidRDefault="000D4572" w:rsidP="000D4572">
      <w:pPr>
        <w:widowControl/>
        <w:rPr>
          <w:rFonts w:eastAsiaTheme="minorHAnsi"/>
          <w:iCs/>
          <w:snapToGrid/>
          <w:color w:val="000000"/>
          <w:szCs w:val="24"/>
        </w:rPr>
      </w:pPr>
    </w:p>
    <w:p w:rsidR="000D4572" w:rsidRPr="000D4572" w:rsidRDefault="000D4572" w:rsidP="000D4572">
      <w:pPr>
        <w:widowControl/>
        <w:outlineLvl w:val="0"/>
        <w:rPr>
          <w:rFonts w:eastAsiaTheme="minorHAnsi"/>
          <w:iCs/>
          <w:snapToGrid/>
          <w:color w:val="000000"/>
          <w:szCs w:val="24"/>
        </w:rPr>
      </w:pPr>
      <w:r w:rsidRPr="000D4572">
        <w:rPr>
          <w:rFonts w:eastAsiaTheme="minorHAnsi"/>
          <w:iCs/>
          <w:snapToGrid/>
          <w:color w:val="000000"/>
          <w:szCs w:val="24"/>
        </w:rPr>
        <w:t>The specific mandate in the AFCARS statute is to collect information regarding the:</w:t>
      </w:r>
    </w:p>
    <w:p w:rsidR="000D4572" w:rsidRPr="000D4572" w:rsidRDefault="000D4572" w:rsidP="000D4572">
      <w:pPr>
        <w:widowControl/>
        <w:numPr>
          <w:ilvl w:val="0"/>
          <w:numId w:val="24"/>
        </w:numPr>
        <w:contextualSpacing/>
        <w:outlineLvl w:val="0"/>
        <w:rPr>
          <w:rFonts w:eastAsiaTheme="minorHAnsi"/>
          <w:iCs/>
          <w:snapToGrid/>
          <w:color w:val="000000"/>
          <w:szCs w:val="24"/>
        </w:rPr>
      </w:pPr>
      <w:r w:rsidRPr="000D4572">
        <w:rPr>
          <w:rFonts w:eastAsiaTheme="minorHAnsi"/>
          <w:iCs/>
          <w:snapToGrid/>
          <w:color w:val="000000"/>
          <w:szCs w:val="24"/>
        </w:rPr>
        <w:t>demographics of adoptive and foster children, and biological, foster and adoptive parents;</w:t>
      </w:r>
    </w:p>
    <w:p w:rsidR="000D4572" w:rsidRPr="000D4572" w:rsidRDefault="000D4572" w:rsidP="000D4572">
      <w:pPr>
        <w:widowControl/>
        <w:numPr>
          <w:ilvl w:val="0"/>
          <w:numId w:val="24"/>
        </w:numPr>
        <w:contextualSpacing/>
        <w:outlineLvl w:val="0"/>
        <w:rPr>
          <w:rFonts w:eastAsiaTheme="minorHAnsi"/>
          <w:iCs/>
          <w:snapToGrid/>
          <w:color w:val="000000"/>
          <w:szCs w:val="24"/>
        </w:rPr>
      </w:pPr>
      <w:r w:rsidRPr="000D4572">
        <w:rPr>
          <w:rFonts w:eastAsiaTheme="minorHAnsi"/>
          <w:iCs/>
          <w:snapToGrid/>
          <w:color w:val="000000"/>
          <w:szCs w:val="24"/>
        </w:rPr>
        <w:t xml:space="preserve">status of the foster care population, including length and type of placement, availability for adoption, and the permanency goal for the child; </w:t>
      </w:r>
    </w:p>
    <w:p w:rsidR="000D4572" w:rsidRPr="000D4572" w:rsidRDefault="000D4572" w:rsidP="000D4572">
      <w:pPr>
        <w:widowControl/>
        <w:numPr>
          <w:ilvl w:val="0"/>
          <w:numId w:val="24"/>
        </w:numPr>
        <w:contextualSpacing/>
        <w:outlineLvl w:val="0"/>
        <w:rPr>
          <w:rFonts w:eastAsiaTheme="minorHAnsi"/>
          <w:iCs/>
          <w:snapToGrid/>
          <w:color w:val="000000"/>
          <w:szCs w:val="24"/>
        </w:rPr>
      </w:pPr>
      <w:r w:rsidRPr="000D4572">
        <w:rPr>
          <w:rFonts w:eastAsiaTheme="minorHAnsi"/>
          <w:iCs/>
          <w:snapToGrid/>
          <w:color w:val="000000"/>
          <w:szCs w:val="24"/>
        </w:rPr>
        <w:t xml:space="preserve">characteristics of foster and adoptive children; and </w:t>
      </w:r>
    </w:p>
    <w:p w:rsidR="000D4572" w:rsidRPr="000D4572" w:rsidRDefault="000D4572" w:rsidP="000D4572">
      <w:pPr>
        <w:widowControl/>
        <w:numPr>
          <w:ilvl w:val="0"/>
          <w:numId w:val="24"/>
        </w:numPr>
        <w:contextualSpacing/>
        <w:outlineLvl w:val="0"/>
        <w:rPr>
          <w:rFonts w:eastAsiaTheme="minorHAnsi"/>
          <w:iCs/>
          <w:snapToGrid/>
          <w:color w:val="000000"/>
          <w:szCs w:val="24"/>
        </w:rPr>
      </w:pPr>
      <w:proofErr w:type="gramStart"/>
      <w:r w:rsidRPr="000D4572">
        <w:rPr>
          <w:rFonts w:eastAsiaTheme="minorHAnsi"/>
          <w:iCs/>
          <w:snapToGrid/>
          <w:color w:val="000000"/>
          <w:szCs w:val="24"/>
        </w:rPr>
        <w:t>nature</w:t>
      </w:r>
      <w:proofErr w:type="gramEnd"/>
      <w:r w:rsidRPr="000D4572">
        <w:rPr>
          <w:rFonts w:eastAsiaTheme="minorHAnsi"/>
          <w:iCs/>
          <w:snapToGrid/>
          <w:color w:val="000000"/>
          <w:szCs w:val="24"/>
        </w:rPr>
        <w:t xml:space="preserve"> of the assistance provided by federal, state, and local governments to these children.</w:t>
      </w:r>
    </w:p>
    <w:p w:rsidR="000D4572" w:rsidRPr="000D4572" w:rsidRDefault="000D4572" w:rsidP="000D4572">
      <w:pPr>
        <w:widowControl/>
        <w:rPr>
          <w:snapToGrid/>
          <w:szCs w:val="24"/>
        </w:rPr>
      </w:pPr>
    </w:p>
    <w:p w:rsidR="000D4572" w:rsidRPr="000D4572" w:rsidRDefault="000D4572" w:rsidP="000D4572">
      <w:pPr>
        <w:widowControl/>
        <w:rPr>
          <w:snapToGrid/>
          <w:szCs w:val="24"/>
        </w:rPr>
      </w:pPr>
      <w:r w:rsidRPr="000D4572">
        <w:rPr>
          <w:snapToGrid/>
          <w:szCs w:val="24"/>
        </w:rPr>
        <w:t>The Indian Child Welfare Act (ICWA) was enacted by Congress in 1978 in response to alarming numbers of AI/</w:t>
      </w:r>
      <w:proofErr w:type="gramStart"/>
      <w:r w:rsidRPr="000D4572">
        <w:rPr>
          <w:snapToGrid/>
          <w:szCs w:val="24"/>
        </w:rPr>
        <w:t>AN</w:t>
      </w:r>
      <w:proofErr w:type="gramEnd"/>
      <w:r w:rsidRPr="000D4572">
        <w:rPr>
          <w:snapToGrid/>
          <w:szCs w:val="24"/>
        </w:rPr>
        <w:t xml:space="preserve"> children being removed from their families by public and private child welfare agencies, most often being placed in non-Indian homes far from their tribal communities. </w:t>
      </w:r>
      <w:r>
        <w:rPr>
          <w:snapToGrid/>
          <w:szCs w:val="24"/>
        </w:rPr>
        <w:t xml:space="preserve"> </w:t>
      </w:r>
      <w:r w:rsidRPr="000D4572">
        <w:rPr>
          <w:snapToGrid/>
          <w:szCs w:val="24"/>
        </w:rPr>
        <w:t>ICWA was enacted to protect AI/</w:t>
      </w:r>
      <w:proofErr w:type="gramStart"/>
      <w:r w:rsidRPr="000D4572">
        <w:rPr>
          <w:snapToGrid/>
          <w:szCs w:val="24"/>
        </w:rPr>
        <w:t>AN</w:t>
      </w:r>
      <w:proofErr w:type="gramEnd"/>
      <w:r w:rsidRPr="000D4572">
        <w:rPr>
          <w:snapToGrid/>
          <w:szCs w:val="24"/>
        </w:rPr>
        <w:t xml:space="preserve"> families and to give tribes a role in making child welfare decisions for AI/AN children.  ICWA requires that:  (1) tribes be notified and given an opportunity to intervene when the state places a child subject to ICWA in foster care or seeks to terminate parental rights on behalf of such a child, and (2) that children </w:t>
      </w:r>
      <w:proofErr w:type="gramStart"/>
      <w:r w:rsidRPr="000D4572">
        <w:rPr>
          <w:snapToGrid/>
          <w:szCs w:val="24"/>
        </w:rPr>
        <w:t>be</w:t>
      </w:r>
      <w:proofErr w:type="gramEnd"/>
      <w:r w:rsidRPr="000D4572">
        <w:rPr>
          <w:snapToGrid/>
          <w:szCs w:val="24"/>
        </w:rPr>
        <w:t xml:space="preserve"> placed, if possible, with relatives or tribal families. </w:t>
      </w:r>
    </w:p>
    <w:p w:rsidR="000D4572" w:rsidRPr="000D4572" w:rsidRDefault="000D4572" w:rsidP="000D4572">
      <w:pPr>
        <w:widowControl/>
        <w:rPr>
          <w:snapToGrid/>
          <w:szCs w:val="24"/>
        </w:rPr>
      </w:pPr>
    </w:p>
    <w:p w:rsidR="000D4572" w:rsidRPr="000D4572" w:rsidRDefault="000D4572" w:rsidP="000D4572">
      <w:pPr>
        <w:widowControl/>
        <w:rPr>
          <w:snapToGrid/>
          <w:szCs w:val="24"/>
        </w:rPr>
      </w:pPr>
      <w:r w:rsidRPr="000D4572">
        <w:rPr>
          <w:snapToGrid/>
          <w:szCs w:val="24"/>
        </w:rPr>
        <w:t xml:space="preserve">Responsibility for ICWA implementation is dispersed among multiple federal and state agencies. </w:t>
      </w:r>
      <w:r>
        <w:rPr>
          <w:snapToGrid/>
          <w:szCs w:val="24"/>
        </w:rPr>
        <w:t xml:space="preserve"> </w:t>
      </w:r>
      <w:r w:rsidRPr="000D4572">
        <w:rPr>
          <w:snapToGrid/>
          <w:szCs w:val="24"/>
        </w:rPr>
        <w:t>ACF oversees and supports all public child welfare programs, including state efforts to ensure safety, permanence, and wellbeing for AI/</w:t>
      </w:r>
      <w:proofErr w:type="gramStart"/>
      <w:r w:rsidRPr="000D4572">
        <w:rPr>
          <w:snapToGrid/>
          <w:szCs w:val="24"/>
        </w:rPr>
        <w:t>AN</w:t>
      </w:r>
      <w:proofErr w:type="gramEnd"/>
      <w:r w:rsidRPr="000D4572">
        <w:rPr>
          <w:snapToGrid/>
          <w:szCs w:val="24"/>
        </w:rPr>
        <w:t xml:space="preserve"> children.  In addition to foster care payments, ACF provides technical assistance and grants specifically designed to help state agencies and courts build their capacity to properly implement ICWA.  ACF also requires states to report the measures taken to comply with ICWA and requires states to conduct tribal consultations.  The Bureau of Indian Affairs, within the Department of the Interior, administers significant parts of ICWA and issues regulations and guidelines to implement the law.  The Department of Justice enforces ICWA and actively identifies state-court cases where the U.S. can file briefs opposing the unnecessary and illegal removal of AI/</w:t>
      </w:r>
      <w:proofErr w:type="gramStart"/>
      <w:r w:rsidRPr="000D4572">
        <w:rPr>
          <w:snapToGrid/>
          <w:szCs w:val="24"/>
        </w:rPr>
        <w:t>AN</w:t>
      </w:r>
      <w:proofErr w:type="gramEnd"/>
      <w:r w:rsidRPr="000D4572">
        <w:rPr>
          <w:snapToGrid/>
          <w:szCs w:val="24"/>
        </w:rPr>
        <w:t xml:space="preserve"> children from their families and tribes.   </w:t>
      </w:r>
    </w:p>
    <w:p w:rsidR="000D4572" w:rsidRPr="000D4572" w:rsidRDefault="000D4572" w:rsidP="000D4572">
      <w:pPr>
        <w:widowControl/>
        <w:rPr>
          <w:snapToGrid/>
          <w:szCs w:val="24"/>
        </w:rPr>
      </w:pPr>
    </w:p>
    <w:p w:rsidR="000D4572" w:rsidRPr="000D4572" w:rsidRDefault="000D4572" w:rsidP="000D4572">
      <w:pPr>
        <w:widowControl/>
        <w:rPr>
          <w:snapToGrid/>
          <w:szCs w:val="24"/>
        </w:rPr>
      </w:pPr>
      <w:r w:rsidRPr="000D4572">
        <w:rPr>
          <w:snapToGrid/>
          <w:szCs w:val="24"/>
        </w:rPr>
        <w:t>Today, AI/</w:t>
      </w:r>
      <w:proofErr w:type="gramStart"/>
      <w:r w:rsidRPr="000D4572">
        <w:rPr>
          <w:snapToGrid/>
          <w:szCs w:val="24"/>
        </w:rPr>
        <w:t>AN</w:t>
      </w:r>
      <w:proofErr w:type="gramEnd"/>
      <w:r w:rsidRPr="000D4572">
        <w:rPr>
          <w:snapToGrid/>
          <w:szCs w:val="24"/>
        </w:rPr>
        <w:t xml:space="preserve"> children still face obstacles to receiving the full protections provided under the law.  AI/</w:t>
      </w:r>
      <w:proofErr w:type="gramStart"/>
      <w:r w:rsidRPr="000D4572">
        <w:rPr>
          <w:snapToGrid/>
          <w:szCs w:val="24"/>
        </w:rPr>
        <w:t>AN</w:t>
      </w:r>
      <w:proofErr w:type="gramEnd"/>
      <w:r w:rsidRPr="000D4572">
        <w:rPr>
          <w:snapToGrid/>
          <w:szCs w:val="24"/>
        </w:rPr>
        <w:t xml:space="preserve"> children are disproportionately represented in state child welfare systems nationally at two times their population rate and among individual state foster care systems as much as 10 times their population rate.  However, there is very limited data available to help understand this disproportionality. </w:t>
      </w:r>
    </w:p>
    <w:p w:rsidR="00103B0A" w:rsidRPr="00762E22" w:rsidRDefault="00103B0A" w:rsidP="000F7541">
      <w:pPr>
        <w:spacing w:before="100" w:beforeAutospacing="1" w:after="100" w:afterAutospacing="1"/>
        <w:ind w:left="360"/>
        <w:rPr>
          <w:szCs w:val="24"/>
        </w:rPr>
      </w:pPr>
      <w:r w:rsidRPr="00762E22">
        <w:rPr>
          <w:szCs w:val="24"/>
        </w:rPr>
        <w:t xml:space="preserve">2.   </w:t>
      </w:r>
      <w:r w:rsidRPr="00762E22">
        <w:rPr>
          <w:szCs w:val="24"/>
          <w:u w:val="single"/>
        </w:rPr>
        <w:t>Purpose and Use of Information</w:t>
      </w:r>
      <w:r w:rsidR="00A001AC" w:rsidRPr="00762E22">
        <w:rPr>
          <w:szCs w:val="24"/>
          <w:u w:val="single"/>
        </w:rPr>
        <w:t xml:space="preserve"> Collection</w:t>
      </w:r>
    </w:p>
    <w:p w:rsidR="009F38CC" w:rsidRDefault="00103B0A" w:rsidP="005A0CE0">
      <w:pPr>
        <w:spacing w:before="100" w:beforeAutospacing="1"/>
        <w:rPr>
          <w:szCs w:val="24"/>
        </w:rPr>
      </w:pPr>
      <w:r w:rsidRPr="00762E22">
        <w:rPr>
          <w:szCs w:val="24"/>
        </w:rPr>
        <w:t xml:space="preserve">AFCARS is the only nationally mandated collection of data on children in foster care and those who </w:t>
      </w:r>
      <w:r w:rsidRPr="00762E22">
        <w:rPr>
          <w:szCs w:val="24"/>
        </w:rPr>
        <w:lastRenderedPageBreak/>
        <w:t xml:space="preserve">have been adopted </w:t>
      </w:r>
      <w:r w:rsidR="0020233B" w:rsidRPr="00762E22">
        <w:rPr>
          <w:szCs w:val="24"/>
        </w:rPr>
        <w:t>with involvement by state and tribal</w:t>
      </w:r>
      <w:r w:rsidRPr="00762E22">
        <w:rPr>
          <w:szCs w:val="24"/>
        </w:rPr>
        <w:t xml:space="preserve"> child welfare agenc</w:t>
      </w:r>
      <w:r w:rsidR="0020233B" w:rsidRPr="00762E22">
        <w:rPr>
          <w:szCs w:val="24"/>
        </w:rPr>
        <w:t>ies</w:t>
      </w:r>
      <w:r w:rsidRPr="00762E22">
        <w:rPr>
          <w:szCs w:val="24"/>
        </w:rPr>
        <w:t>.  The Department of Health and Human Services (</w:t>
      </w:r>
      <w:r w:rsidR="00CD4AE8" w:rsidRPr="00762E22">
        <w:rPr>
          <w:szCs w:val="24"/>
        </w:rPr>
        <w:t>the Department</w:t>
      </w:r>
      <w:r w:rsidRPr="00762E22">
        <w:rPr>
          <w:szCs w:val="24"/>
        </w:rPr>
        <w:t xml:space="preserve">) uses the information submitted by </w:t>
      </w:r>
      <w:r w:rsidR="00AC7BBD" w:rsidRPr="00762E22">
        <w:rPr>
          <w:szCs w:val="24"/>
        </w:rPr>
        <w:t>child welfare agencies</w:t>
      </w:r>
      <w:r w:rsidRPr="00762E22">
        <w:rPr>
          <w:szCs w:val="24"/>
        </w:rPr>
        <w:t xml:space="preserve"> to </w:t>
      </w:r>
      <w:r w:rsidR="00AC7BBD" w:rsidRPr="00762E22">
        <w:rPr>
          <w:szCs w:val="24"/>
        </w:rPr>
        <w:t xml:space="preserve">address policy development at </w:t>
      </w:r>
      <w:r w:rsidR="00CD4AE8" w:rsidRPr="00762E22">
        <w:rPr>
          <w:szCs w:val="24"/>
        </w:rPr>
        <w:t xml:space="preserve">the </w:t>
      </w:r>
      <w:r w:rsidR="00AC7BBD" w:rsidRPr="00762E22">
        <w:rPr>
          <w:szCs w:val="24"/>
        </w:rPr>
        <w:t>federal level.  The data will</w:t>
      </w:r>
      <w:r w:rsidR="009F38CC">
        <w:rPr>
          <w:szCs w:val="24"/>
        </w:rPr>
        <w:t xml:space="preserve"> allow the Administration to:</w:t>
      </w:r>
    </w:p>
    <w:p w:rsidR="009F38CC" w:rsidRDefault="009F38CC" w:rsidP="009F38CC">
      <w:pPr>
        <w:pStyle w:val="ListParagraph"/>
        <w:numPr>
          <w:ilvl w:val="0"/>
          <w:numId w:val="25"/>
        </w:numPr>
        <w:spacing w:before="100" w:beforeAutospacing="1"/>
        <w:rPr>
          <w:szCs w:val="24"/>
        </w:rPr>
      </w:pPr>
      <w:r w:rsidRPr="009F38CC">
        <w:rPr>
          <w:szCs w:val="24"/>
        </w:rPr>
        <w:t>Assess the current state of adoption and foster care programs as they affect AI/</w:t>
      </w:r>
      <w:proofErr w:type="gramStart"/>
      <w:r w:rsidRPr="009F38CC">
        <w:rPr>
          <w:szCs w:val="24"/>
        </w:rPr>
        <w:t>AN</w:t>
      </w:r>
      <w:proofErr w:type="gramEnd"/>
      <w:r w:rsidRPr="009F38CC">
        <w:rPr>
          <w:szCs w:val="24"/>
        </w:rPr>
        <w:t xml:space="preserve"> families.</w:t>
      </w:r>
    </w:p>
    <w:p w:rsidR="009F38CC" w:rsidRDefault="009F38CC" w:rsidP="009F38CC">
      <w:pPr>
        <w:pStyle w:val="ListParagraph"/>
        <w:numPr>
          <w:ilvl w:val="0"/>
          <w:numId w:val="25"/>
        </w:numPr>
        <w:spacing w:before="100" w:beforeAutospacing="1"/>
        <w:rPr>
          <w:szCs w:val="24"/>
        </w:rPr>
      </w:pPr>
      <w:r w:rsidRPr="009F38CC">
        <w:rPr>
          <w:szCs w:val="24"/>
        </w:rPr>
        <w:t>Develop future national policies concerning its programs.</w:t>
      </w:r>
    </w:p>
    <w:p w:rsidR="009F38CC" w:rsidRDefault="009F38CC" w:rsidP="009F38CC">
      <w:pPr>
        <w:pStyle w:val="ListParagraph"/>
        <w:numPr>
          <w:ilvl w:val="0"/>
          <w:numId w:val="25"/>
        </w:numPr>
        <w:spacing w:before="100" w:beforeAutospacing="1"/>
        <w:rPr>
          <w:szCs w:val="24"/>
        </w:rPr>
      </w:pPr>
      <w:r w:rsidRPr="009F38CC">
        <w:rPr>
          <w:szCs w:val="24"/>
        </w:rPr>
        <w:t xml:space="preserve">Improve training and technical assistance to states seeking to comply with Title IV-E, and Title IV-B of the Social Security Act. </w:t>
      </w:r>
    </w:p>
    <w:p w:rsidR="009F38CC" w:rsidRDefault="009F38CC" w:rsidP="009F38CC">
      <w:pPr>
        <w:pStyle w:val="ListParagraph"/>
        <w:numPr>
          <w:ilvl w:val="0"/>
          <w:numId w:val="25"/>
        </w:numPr>
        <w:spacing w:before="100" w:beforeAutospacing="1"/>
        <w:rPr>
          <w:szCs w:val="24"/>
        </w:rPr>
      </w:pPr>
      <w:r w:rsidRPr="009F38CC">
        <w:rPr>
          <w:szCs w:val="24"/>
        </w:rPr>
        <w:t>Address the unique needs of AI/</w:t>
      </w:r>
      <w:proofErr w:type="gramStart"/>
      <w:r w:rsidRPr="009F38CC">
        <w:rPr>
          <w:szCs w:val="24"/>
        </w:rPr>
        <w:t>AN</w:t>
      </w:r>
      <w:proofErr w:type="gramEnd"/>
      <w:r w:rsidRPr="009F38CC">
        <w:rPr>
          <w:szCs w:val="24"/>
        </w:rPr>
        <w:t xml:space="preserve"> children in foster care and who are adopted and their families.</w:t>
      </w:r>
    </w:p>
    <w:p w:rsidR="009F38CC" w:rsidRPr="009F38CC" w:rsidRDefault="009F38CC" w:rsidP="009F38CC">
      <w:pPr>
        <w:pStyle w:val="ListParagraph"/>
        <w:numPr>
          <w:ilvl w:val="0"/>
          <w:numId w:val="25"/>
        </w:numPr>
        <w:spacing w:before="100" w:beforeAutospacing="1"/>
        <w:rPr>
          <w:szCs w:val="24"/>
        </w:rPr>
      </w:pPr>
      <w:r w:rsidRPr="009F38CC">
        <w:rPr>
          <w:szCs w:val="24"/>
        </w:rPr>
        <w:t>Partner across federal agencies to support Indian families.</w:t>
      </w:r>
    </w:p>
    <w:p w:rsidR="00103B0A" w:rsidRPr="00762E22" w:rsidRDefault="00103B0A" w:rsidP="000F7541">
      <w:pPr>
        <w:spacing w:before="100" w:beforeAutospacing="1" w:after="100" w:afterAutospacing="1"/>
        <w:ind w:left="360"/>
        <w:rPr>
          <w:snapToGrid/>
          <w:szCs w:val="24"/>
        </w:rPr>
      </w:pPr>
      <w:r w:rsidRPr="00762E22">
        <w:rPr>
          <w:szCs w:val="24"/>
        </w:rPr>
        <w:t xml:space="preserve">3.   </w:t>
      </w:r>
      <w:r w:rsidR="00A001AC" w:rsidRPr="00762E22">
        <w:rPr>
          <w:snapToGrid/>
          <w:szCs w:val="24"/>
          <w:u w:val="single"/>
        </w:rPr>
        <w:t>Use of Improved Information Technology and Burden Reduction</w:t>
      </w:r>
    </w:p>
    <w:p w:rsidR="00103B0A" w:rsidRPr="00762E22" w:rsidRDefault="00103B0A" w:rsidP="005A0CE0">
      <w:pPr>
        <w:spacing w:before="100" w:beforeAutospacing="1" w:after="100" w:afterAutospacing="1"/>
        <w:rPr>
          <w:szCs w:val="24"/>
        </w:rPr>
      </w:pPr>
      <w:r w:rsidRPr="00762E22">
        <w:rPr>
          <w:szCs w:val="24"/>
        </w:rPr>
        <w:t>AFCARS data are required to be submitted electronically to the Department on a semi-annual basis</w:t>
      </w:r>
      <w:r w:rsidR="00363D37" w:rsidRPr="00762E22">
        <w:rPr>
          <w:szCs w:val="24"/>
        </w:rPr>
        <w:t xml:space="preserve"> (twice a year)</w:t>
      </w:r>
      <w:r w:rsidR="0090108B" w:rsidRPr="00762E22">
        <w:rPr>
          <w:szCs w:val="24"/>
        </w:rPr>
        <w:t xml:space="preserve">.  </w:t>
      </w:r>
      <w:r w:rsidR="00690457" w:rsidRPr="00762E22">
        <w:rPr>
          <w:szCs w:val="24"/>
        </w:rPr>
        <w:t xml:space="preserve">FISMA approved software is used that allows for secure </w:t>
      </w:r>
      <w:r w:rsidRPr="00762E22">
        <w:rPr>
          <w:szCs w:val="24"/>
        </w:rPr>
        <w:t xml:space="preserve">direct </w:t>
      </w:r>
      <w:r w:rsidR="004E155E" w:rsidRPr="00762E22">
        <w:rPr>
          <w:szCs w:val="24"/>
        </w:rPr>
        <w:t>transmission of data files</w:t>
      </w:r>
      <w:r w:rsidRPr="00762E22">
        <w:rPr>
          <w:szCs w:val="24"/>
        </w:rPr>
        <w:t xml:space="preserve"> between </w:t>
      </w:r>
      <w:r w:rsidR="00363D37" w:rsidRPr="00762E22">
        <w:rPr>
          <w:szCs w:val="24"/>
        </w:rPr>
        <w:t>the title IV-E agencies a</w:t>
      </w:r>
      <w:r w:rsidRPr="00762E22">
        <w:rPr>
          <w:szCs w:val="24"/>
        </w:rPr>
        <w:t xml:space="preserve">nd the Federal Government. </w:t>
      </w:r>
    </w:p>
    <w:p w:rsidR="00103B0A" w:rsidRPr="00762E22" w:rsidRDefault="00103B0A" w:rsidP="000F7541">
      <w:pPr>
        <w:spacing w:before="100" w:beforeAutospacing="1" w:after="100" w:afterAutospacing="1"/>
        <w:ind w:left="360"/>
        <w:rPr>
          <w:szCs w:val="24"/>
        </w:rPr>
      </w:pPr>
      <w:r w:rsidRPr="00762E22">
        <w:rPr>
          <w:szCs w:val="24"/>
        </w:rPr>
        <w:t xml:space="preserve">4.   </w:t>
      </w:r>
      <w:r w:rsidR="006168DD" w:rsidRPr="00762E22">
        <w:rPr>
          <w:snapToGrid/>
          <w:szCs w:val="24"/>
          <w:u w:val="single"/>
        </w:rPr>
        <w:t>Efforts to Identify Duplication and Use of Similar Information</w:t>
      </w:r>
    </w:p>
    <w:p w:rsidR="005A0CE0" w:rsidRPr="005A0CE0" w:rsidRDefault="00A746D9" w:rsidP="00A746D9">
      <w:pPr>
        <w:rPr>
          <w:szCs w:val="24"/>
        </w:rPr>
      </w:pPr>
      <w:r>
        <w:rPr>
          <w:szCs w:val="24"/>
        </w:rPr>
        <w:t xml:space="preserve">ACF </w:t>
      </w:r>
      <w:r w:rsidR="005A0CE0" w:rsidRPr="005A0CE0">
        <w:rPr>
          <w:szCs w:val="24"/>
        </w:rPr>
        <w:t>determined that a regulation is the best and most cost effective way to implement the statutory</w:t>
      </w:r>
      <w:r>
        <w:rPr>
          <w:szCs w:val="24"/>
        </w:rPr>
        <w:t xml:space="preserve"> </w:t>
      </w:r>
      <w:r w:rsidR="005A0CE0" w:rsidRPr="005A0CE0">
        <w:rPr>
          <w:szCs w:val="24"/>
        </w:rPr>
        <w:t>mandate for a data collection system regarding children in foster care and those that are adopted</w:t>
      </w:r>
      <w:r>
        <w:rPr>
          <w:szCs w:val="24"/>
        </w:rPr>
        <w:t xml:space="preserve"> </w:t>
      </w:r>
      <w:r w:rsidR="005A0CE0" w:rsidRPr="005A0CE0">
        <w:rPr>
          <w:szCs w:val="24"/>
        </w:rPr>
        <w:t>and support other statutory obligations to provide oversight of child welfare programs</w:t>
      </w:r>
    </w:p>
    <w:p w:rsidR="005A0CE0" w:rsidRPr="005A0CE0" w:rsidRDefault="005A0CE0" w:rsidP="00A746D9">
      <w:pPr>
        <w:rPr>
          <w:szCs w:val="24"/>
        </w:rPr>
      </w:pPr>
      <w:r w:rsidRPr="005A0CE0">
        <w:rPr>
          <w:szCs w:val="24"/>
        </w:rPr>
        <w:t>ACF considered whether other existing data sets could yield similar information. ACF</w:t>
      </w:r>
      <w:r w:rsidR="00A746D9">
        <w:rPr>
          <w:szCs w:val="24"/>
        </w:rPr>
        <w:t xml:space="preserve"> </w:t>
      </w:r>
      <w:r w:rsidRPr="005A0CE0">
        <w:rPr>
          <w:szCs w:val="24"/>
        </w:rPr>
        <w:t>determined that AFCARS is the only comprehensive case-level data set on the incidence</w:t>
      </w:r>
      <w:r w:rsidR="00A746D9">
        <w:rPr>
          <w:szCs w:val="24"/>
        </w:rPr>
        <w:t xml:space="preserve"> </w:t>
      </w:r>
      <w:r w:rsidRPr="005A0CE0">
        <w:rPr>
          <w:szCs w:val="24"/>
        </w:rPr>
        <w:t>and experiences of children who are in foster care and/or adoption or guardianship with</w:t>
      </w:r>
      <w:r w:rsidR="00A746D9">
        <w:rPr>
          <w:szCs w:val="24"/>
        </w:rPr>
        <w:t xml:space="preserve"> </w:t>
      </w:r>
      <w:r w:rsidRPr="005A0CE0">
        <w:rPr>
          <w:szCs w:val="24"/>
        </w:rPr>
        <w:t>the involvement of the state or tribal title IV–E agency.</w:t>
      </w:r>
    </w:p>
    <w:p w:rsidR="005A0CE0" w:rsidRPr="005A0CE0" w:rsidRDefault="005A0CE0" w:rsidP="00A746D9">
      <w:pPr>
        <w:rPr>
          <w:szCs w:val="24"/>
        </w:rPr>
      </w:pPr>
      <w:r w:rsidRPr="005A0CE0">
        <w:rPr>
          <w:szCs w:val="24"/>
        </w:rPr>
        <w:t>For states that have few Indian children in foster care, ACF</w:t>
      </w:r>
      <w:r w:rsidR="00A746D9">
        <w:rPr>
          <w:szCs w:val="24"/>
        </w:rPr>
        <w:t xml:space="preserve"> </w:t>
      </w:r>
      <w:r w:rsidRPr="005A0CE0">
        <w:rPr>
          <w:szCs w:val="24"/>
        </w:rPr>
        <w:t>considered alternatives to collecting ICWA-related data through AFCARS, such as</w:t>
      </w:r>
      <w:r w:rsidR="00A746D9">
        <w:rPr>
          <w:szCs w:val="24"/>
        </w:rPr>
        <w:t xml:space="preserve"> </w:t>
      </w:r>
      <w:r w:rsidRPr="005A0CE0">
        <w:rPr>
          <w:szCs w:val="24"/>
        </w:rPr>
        <w:t>providing an exemption from reporting, or an alternative submission process or that</w:t>
      </w:r>
      <w:r w:rsidR="00A746D9">
        <w:rPr>
          <w:szCs w:val="24"/>
        </w:rPr>
        <w:t xml:space="preserve"> </w:t>
      </w:r>
      <w:r w:rsidRPr="005A0CE0">
        <w:rPr>
          <w:szCs w:val="24"/>
        </w:rPr>
        <w:t>would be less burdensome. While ACF recognizes collecting the proposed ICWA</w:t>
      </w:r>
      <w:r w:rsidR="00A746D9">
        <w:rPr>
          <w:szCs w:val="24"/>
        </w:rPr>
        <w:t>-</w:t>
      </w:r>
      <w:r w:rsidRPr="005A0CE0">
        <w:rPr>
          <w:szCs w:val="24"/>
        </w:rPr>
        <w:t>related</w:t>
      </w:r>
      <w:r w:rsidR="00A746D9">
        <w:rPr>
          <w:szCs w:val="24"/>
        </w:rPr>
        <w:t xml:space="preserve"> </w:t>
      </w:r>
      <w:r w:rsidRPr="005A0CE0">
        <w:rPr>
          <w:szCs w:val="24"/>
        </w:rPr>
        <w:t>data may be burdensome for states with few Indian children in foster care, the</w:t>
      </w:r>
      <w:r w:rsidR="00A746D9">
        <w:rPr>
          <w:szCs w:val="24"/>
        </w:rPr>
        <w:t xml:space="preserve"> </w:t>
      </w:r>
      <w:r w:rsidRPr="005A0CE0">
        <w:rPr>
          <w:szCs w:val="24"/>
        </w:rPr>
        <w:t>alternative approaches are not feasible due to:</w:t>
      </w:r>
    </w:p>
    <w:p w:rsidR="00A746D9" w:rsidRDefault="005A0CE0" w:rsidP="00A746D9">
      <w:pPr>
        <w:pStyle w:val="ListParagraph"/>
        <w:numPr>
          <w:ilvl w:val="0"/>
          <w:numId w:val="26"/>
        </w:numPr>
        <w:rPr>
          <w:szCs w:val="24"/>
        </w:rPr>
      </w:pPr>
      <w:r w:rsidRPr="00A746D9">
        <w:rPr>
          <w:szCs w:val="24"/>
        </w:rPr>
        <w:t>The statutory requirement that AFCARS data be comprehensive. Section 479(c</w:t>
      </w:r>
      <w:proofErr w:type="gramStart"/>
      <w:r w:rsidRPr="00A746D9">
        <w:rPr>
          <w:szCs w:val="24"/>
        </w:rPr>
        <w:t>)(</w:t>
      </w:r>
      <w:proofErr w:type="gramEnd"/>
      <w:r w:rsidRPr="00A746D9">
        <w:rPr>
          <w:szCs w:val="24"/>
        </w:rPr>
        <w:t>3)</w:t>
      </w:r>
      <w:r w:rsidR="00A746D9" w:rsidRPr="00A746D9">
        <w:rPr>
          <w:szCs w:val="24"/>
        </w:rPr>
        <w:t xml:space="preserve"> </w:t>
      </w:r>
      <w:r w:rsidRPr="00A746D9">
        <w:rPr>
          <w:szCs w:val="24"/>
        </w:rPr>
        <w:t>requires that AFCARS provide “comprehensive national information.” Exempting</w:t>
      </w:r>
      <w:r w:rsidR="00A746D9" w:rsidRPr="00A746D9">
        <w:rPr>
          <w:szCs w:val="24"/>
        </w:rPr>
        <w:t xml:space="preserve"> </w:t>
      </w:r>
      <w:r w:rsidRPr="00A746D9">
        <w:rPr>
          <w:szCs w:val="24"/>
        </w:rPr>
        <w:t>some states from reporting the proposed ICWA-related data elements is not consistent</w:t>
      </w:r>
      <w:r w:rsidR="00A746D9" w:rsidRPr="00A746D9">
        <w:rPr>
          <w:szCs w:val="24"/>
        </w:rPr>
        <w:t xml:space="preserve"> </w:t>
      </w:r>
      <w:r w:rsidRPr="00A746D9">
        <w:rPr>
          <w:szCs w:val="24"/>
        </w:rPr>
        <w:t>with this statutory mandate, and would render it difficult to use this data for</w:t>
      </w:r>
      <w:r w:rsidR="00A746D9">
        <w:rPr>
          <w:szCs w:val="24"/>
        </w:rPr>
        <w:t xml:space="preserve"> </w:t>
      </w:r>
      <w:r w:rsidRPr="00A746D9">
        <w:rPr>
          <w:szCs w:val="24"/>
        </w:rPr>
        <w:t>development of national policies for Indian children.</w:t>
      </w:r>
    </w:p>
    <w:p w:rsidR="00A746D9" w:rsidRDefault="005A0CE0" w:rsidP="00A746D9">
      <w:pPr>
        <w:pStyle w:val="ListParagraph"/>
        <w:numPr>
          <w:ilvl w:val="0"/>
          <w:numId w:val="26"/>
        </w:numPr>
        <w:rPr>
          <w:szCs w:val="24"/>
        </w:rPr>
      </w:pPr>
      <w:r w:rsidRPr="00A746D9">
        <w:rPr>
          <w:szCs w:val="24"/>
        </w:rPr>
        <w:t>The statutory requirement for assessing penalties on AFCARS data. Section 474(f) of</w:t>
      </w:r>
      <w:r w:rsidR="00A746D9" w:rsidRPr="00A746D9">
        <w:rPr>
          <w:szCs w:val="24"/>
        </w:rPr>
        <w:t xml:space="preserve"> the Act penalizes the title IV-E agency for non-compliance based on the total amount expended by the state for administration of foster care activities. The statute provides for mandatory penalties, therefore, we are not authorized to permit some states to be subject to a penalty and not others. In addition, allowing states an alternate submission process would complicate and/or prevent the assessment of penalties as proposed in the February 9, 2015 NPRM in proposed § 1355.46, including penalties for failure to submit data files free of cross-file errors, missing, invalid, or internally</w:t>
      </w:r>
      <w:r w:rsidR="00A746D9">
        <w:rPr>
          <w:szCs w:val="24"/>
        </w:rPr>
        <w:t xml:space="preserve"> </w:t>
      </w:r>
      <w:r w:rsidR="00A746D9" w:rsidRPr="00A746D9">
        <w:rPr>
          <w:szCs w:val="24"/>
        </w:rPr>
        <w:t>inconsistent data, or tardy transactions for each data element of applicable records.</w:t>
      </w:r>
    </w:p>
    <w:p w:rsidR="005A0CE0" w:rsidRPr="00A746D9" w:rsidRDefault="00A746D9" w:rsidP="00A746D9">
      <w:pPr>
        <w:pStyle w:val="ListParagraph"/>
        <w:numPr>
          <w:ilvl w:val="0"/>
          <w:numId w:val="26"/>
        </w:numPr>
        <w:rPr>
          <w:szCs w:val="24"/>
        </w:rPr>
      </w:pPr>
      <w:r w:rsidRPr="00A746D9">
        <w:rPr>
          <w:szCs w:val="24"/>
        </w:rPr>
        <w:t>State agencies that elect to have a SACWIS provide some of the proposed ICWA</w:t>
      </w:r>
      <w:r>
        <w:rPr>
          <w:szCs w:val="24"/>
        </w:rPr>
        <w:t>-</w:t>
      </w:r>
      <w:r w:rsidRPr="00A746D9">
        <w:rPr>
          <w:szCs w:val="24"/>
        </w:rPr>
        <w:t>related</w:t>
      </w:r>
      <w:r>
        <w:rPr>
          <w:szCs w:val="24"/>
        </w:rPr>
        <w:t xml:space="preserve"> </w:t>
      </w:r>
      <w:r w:rsidRPr="00A746D9">
        <w:rPr>
          <w:szCs w:val="24"/>
        </w:rPr>
        <w:t xml:space="preserve">data elements as part of the system requirements will already have systems designed to capture some </w:t>
      </w:r>
      <w:r w:rsidRPr="00A746D9">
        <w:rPr>
          <w:szCs w:val="24"/>
        </w:rPr>
        <w:lastRenderedPageBreak/>
        <w:t>ICWA-related data.</w:t>
      </w:r>
    </w:p>
    <w:p w:rsidR="00103B0A" w:rsidRPr="00762E22" w:rsidRDefault="00103B0A" w:rsidP="000F7541">
      <w:pPr>
        <w:spacing w:before="100" w:beforeAutospacing="1" w:after="100" w:afterAutospacing="1"/>
        <w:ind w:left="360"/>
        <w:rPr>
          <w:szCs w:val="24"/>
        </w:rPr>
      </w:pPr>
      <w:r w:rsidRPr="00762E22">
        <w:rPr>
          <w:szCs w:val="24"/>
        </w:rPr>
        <w:t>5.</w:t>
      </w:r>
      <w:r w:rsidRPr="00762E22">
        <w:rPr>
          <w:szCs w:val="24"/>
        </w:rPr>
        <w:tab/>
      </w:r>
      <w:r w:rsidRPr="00762E22">
        <w:rPr>
          <w:szCs w:val="24"/>
          <w:u w:val="single"/>
        </w:rPr>
        <w:t>Impact on Small Businesses or Other Small Entities</w:t>
      </w:r>
    </w:p>
    <w:p w:rsidR="00103B0A" w:rsidRPr="00762E22" w:rsidRDefault="00103B0A" w:rsidP="00696A02">
      <w:pPr>
        <w:spacing w:before="100" w:beforeAutospacing="1" w:after="100" w:afterAutospacing="1"/>
        <w:rPr>
          <w:szCs w:val="24"/>
        </w:rPr>
      </w:pPr>
      <w:r w:rsidRPr="00762E22">
        <w:rPr>
          <w:szCs w:val="24"/>
        </w:rPr>
        <w:t>This information collection</w:t>
      </w:r>
      <w:r w:rsidR="007D0668" w:rsidRPr="00762E22">
        <w:rPr>
          <w:szCs w:val="24"/>
        </w:rPr>
        <w:t xml:space="preserve"> for the SNPRM</w:t>
      </w:r>
      <w:r w:rsidRPr="00762E22">
        <w:rPr>
          <w:szCs w:val="24"/>
        </w:rPr>
        <w:t xml:space="preserve"> is required of </w:t>
      </w:r>
      <w:r w:rsidR="007D0668" w:rsidRPr="00762E22">
        <w:rPr>
          <w:szCs w:val="24"/>
        </w:rPr>
        <w:t>s</w:t>
      </w:r>
      <w:r w:rsidRPr="00762E22">
        <w:rPr>
          <w:szCs w:val="24"/>
        </w:rPr>
        <w:t xml:space="preserve">tate </w:t>
      </w:r>
      <w:r w:rsidR="007A1A50" w:rsidRPr="00762E22">
        <w:rPr>
          <w:szCs w:val="24"/>
        </w:rPr>
        <w:t xml:space="preserve">title IV-E </w:t>
      </w:r>
      <w:r w:rsidRPr="00762E22">
        <w:rPr>
          <w:szCs w:val="24"/>
        </w:rPr>
        <w:t xml:space="preserve">agencies only and does not impact small businesses or other small entities.  The Department requires reporting only on those children for whom </w:t>
      </w:r>
      <w:r w:rsidR="00C37B35" w:rsidRPr="00762E22">
        <w:rPr>
          <w:szCs w:val="24"/>
        </w:rPr>
        <w:t xml:space="preserve">the </w:t>
      </w:r>
      <w:r w:rsidR="007D0668" w:rsidRPr="00762E22">
        <w:rPr>
          <w:szCs w:val="24"/>
        </w:rPr>
        <w:t xml:space="preserve">state </w:t>
      </w:r>
      <w:r w:rsidR="00C37B35" w:rsidRPr="00762E22">
        <w:rPr>
          <w:szCs w:val="24"/>
        </w:rPr>
        <w:t xml:space="preserve">title IV-E agency has </w:t>
      </w:r>
      <w:r w:rsidRPr="00762E22">
        <w:rPr>
          <w:szCs w:val="24"/>
        </w:rPr>
        <w:t>responsibility for placement and care.</w:t>
      </w:r>
    </w:p>
    <w:p w:rsidR="00103B0A" w:rsidRPr="00762E22" w:rsidRDefault="00103B0A" w:rsidP="000F7541">
      <w:pPr>
        <w:spacing w:before="100" w:beforeAutospacing="1" w:after="100" w:afterAutospacing="1"/>
        <w:ind w:left="360"/>
        <w:rPr>
          <w:szCs w:val="24"/>
        </w:rPr>
      </w:pPr>
      <w:r w:rsidRPr="00762E22">
        <w:rPr>
          <w:szCs w:val="24"/>
        </w:rPr>
        <w:t xml:space="preserve">6.   </w:t>
      </w:r>
      <w:r w:rsidRPr="00762E22">
        <w:rPr>
          <w:szCs w:val="24"/>
          <w:u w:val="single"/>
        </w:rPr>
        <w:t>Consequence</w:t>
      </w:r>
      <w:r w:rsidR="006168DD" w:rsidRPr="00762E22">
        <w:rPr>
          <w:szCs w:val="24"/>
          <w:u w:val="single"/>
        </w:rPr>
        <w:t>s</w:t>
      </w:r>
      <w:r w:rsidRPr="00762E22">
        <w:rPr>
          <w:szCs w:val="24"/>
          <w:u w:val="single"/>
        </w:rPr>
        <w:t xml:space="preserve"> of </w:t>
      </w:r>
      <w:r w:rsidR="006168DD" w:rsidRPr="00762E22">
        <w:rPr>
          <w:szCs w:val="24"/>
          <w:u w:val="single"/>
        </w:rPr>
        <w:t>Collecting the Information Less Frequently</w:t>
      </w:r>
    </w:p>
    <w:p w:rsidR="00103B0A" w:rsidRPr="00762E22" w:rsidRDefault="00103B0A" w:rsidP="00696A02">
      <w:pPr>
        <w:spacing w:before="100" w:beforeAutospacing="1" w:after="100" w:afterAutospacing="1"/>
        <w:rPr>
          <w:szCs w:val="24"/>
        </w:rPr>
      </w:pPr>
      <w:r w:rsidRPr="00762E22">
        <w:rPr>
          <w:szCs w:val="24"/>
        </w:rPr>
        <w:t xml:space="preserve">Information must be collected on an on-going basis in order to provide </w:t>
      </w:r>
      <w:r w:rsidR="0088481F" w:rsidRPr="00762E22">
        <w:rPr>
          <w:szCs w:val="24"/>
        </w:rPr>
        <w:t xml:space="preserve">for </w:t>
      </w:r>
      <w:r w:rsidR="00BE1CA8" w:rsidRPr="00762E22">
        <w:rPr>
          <w:szCs w:val="24"/>
        </w:rPr>
        <w:t>future evaluation</w:t>
      </w:r>
      <w:r w:rsidRPr="00762E22">
        <w:rPr>
          <w:szCs w:val="24"/>
        </w:rPr>
        <w:t xml:space="preserve"> and</w:t>
      </w:r>
      <w:r w:rsidR="00F02211" w:rsidRPr="00762E22">
        <w:rPr>
          <w:szCs w:val="24"/>
        </w:rPr>
        <w:t xml:space="preserve"> other information</w:t>
      </w:r>
      <w:r w:rsidRPr="00762E22">
        <w:rPr>
          <w:szCs w:val="24"/>
        </w:rPr>
        <w:t xml:space="preserve"> for children in foster care.  As the only nationally mandated child welfare information collection system, AFCARS is the primary source of information.  In order to reduce the burden on </w:t>
      </w:r>
      <w:r w:rsidR="0088481F" w:rsidRPr="00762E22">
        <w:rPr>
          <w:szCs w:val="24"/>
        </w:rPr>
        <w:t xml:space="preserve">state </w:t>
      </w:r>
      <w:r w:rsidR="00C37B35" w:rsidRPr="00762E22">
        <w:rPr>
          <w:szCs w:val="24"/>
        </w:rPr>
        <w:t>title IV-agencie</w:t>
      </w:r>
      <w:r w:rsidRPr="00762E22">
        <w:rPr>
          <w:szCs w:val="24"/>
        </w:rPr>
        <w:t>s, and still gather data on a timely basis, a semi-annual reporting period has been required in the regulation.</w:t>
      </w:r>
      <w:r w:rsidR="00D41C25" w:rsidRPr="00762E22">
        <w:rPr>
          <w:szCs w:val="24"/>
        </w:rPr>
        <w:t xml:space="preserve"> </w:t>
      </w:r>
      <w:r w:rsidR="00A15354" w:rsidRPr="00762E22">
        <w:rPr>
          <w:noProof/>
          <w:szCs w:val="24"/>
        </w:rPr>
        <w:t xml:space="preserve"> </w:t>
      </w:r>
    </w:p>
    <w:p w:rsidR="00103B0A" w:rsidRPr="00762E22" w:rsidRDefault="00103B0A" w:rsidP="000F7541">
      <w:pPr>
        <w:spacing w:before="100" w:beforeAutospacing="1" w:after="100" w:afterAutospacing="1"/>
        <w:ind w:left="360"/>
        <w:rPr>
          <w:snapToGrid/>
          <w:szCs w:val="24"/>
        </w:rPr>
      </w:pPr>
      <w:r w:rsidRPr="00762E22">
        <w:rPr>
          <w:szCs w:val="24"/>
        </w:rPr>
        <w:t xml:space="preserve">7.   </w:t>
      </w:r>
      <w:r w:rsidR="006168DD" w:rsidRPr="00762E22">
        <w:rPr>
          <w:snapToGrid/>
          <w:szCs w:val="24"/>
          <w:u w:val="single"/>
        </w:rPr>
        <w:t>Special Circumstances Relating to the Guidelines of 5 CFR 1320.5</w:t>
      </w:r>
    </w:p>
    <w:p w:rsidR="00103B0A" w:rsidRPr="00762E22" w:rsidRDefault="00103B0A" w:rsidP="00696A02">
      <w:pPr>
        <w:spacing w:before="100" w:beforeAutospacing="1" w:after="100" w:afterAutospacing="1"/>
        <w:rPr>
          <w:szCs w:val="24"/>
        </w:rPr>
      </w:pPr>
      <w:r w:rsidRPr="00762E22">
        <w:rPr>
          <w:szCs w:val="24"/>
        </w:rPr>
        <w:t>There are no special circumstances required in the collection of this information in a manner other than that required by OMB.</w:t>
      </w:r>
    </w:p>
    <w:p w:rsidR="00103B0A" w:rsidRPr="00762E22" w:rsidRDefault="00103B0A" w:rsidP="000F7541">
      <w:pPr>
        <w:spacing w:before="100" w:beforeAutospacing="1" w:after="100" w:afterAutospacing="1"/>
        <w:ind w:left="360"/>
        <w:rPr>
          <w:szCs w:val="24"/>
        </w:rPr>
      </w:pPr>
      <w:r w:rsidRPr="00762E22">
        <w:rPr>
          <w:szCs w:val="24"/>
        </w:rPr>
        <w:t xml:space="preserve">8.   </w:t>
      </w:r>
      <w:r w:rsidR="006168DD" w:rsidRPr="00762E22">
        <w:rPr>
          <w:snapToGrid/>
          <w:szCs w:val="24"/>
          <w:u w:val="single"/>
        </w:rPr>
        <w:t>Comments in Response to the Federal Register Notice and Efforts to Consult Outside the Agency</w:t>
      </w:r>
    </w:p>
    <w:p w:rsidR="006E6997" w:rsidRPr="00762E22" w:rsidRDefault="00DC61A6" w:rsidP="006E6997">
      <w:pPr>
        <w:rPr>
          <w:rFonts w:eastAsia="Calibri"/>
          <w:snapToGrid/>
          <w:szCs w:val="24"/>
        </w:rPr>
      </w:pPr>
      <w:r w:rsidRPr="00762E22">
        <w:rPr>
          <w:szCs w:val="24"/>
        </w:rPr>
        <w:t xml:space="preserve">This </w:t>
      </w:r>
      <w:r w:rsidR="00552AA1" w:rsidRPr="00762E22">
        <w:rPr>
          <w:szCs w:val="24"/>
        </w:rPr>
        <w:t>S</w:t>
      </w:r>
      <w:r w:rsidRPr="00762E22">
        <w:rPr>
          <w:szCs w:val="24"/>
        </w:rPr>
        <w:t xml:space="preserve">NPRM </w:t>
      </w:r>
      <w:r w:rsidR="00D41C25" w:rsidRPr="00762E22">
        <w:rPr>
          <w:szCs w:val="24"/>
        </w:rPr>
        <w:t>serves</w:t>
      </w:r>
      <w:r w:rsidRPr="00762E22">
        <w:rPr>
          <w:szCs w:val="24"/>
        </w:rPr>
        <w:t xml:space="preserve"> as the mechanism by which the Department is soliciting comments on proposed changes to AFCARS</w:t>
      </w:r>
      <w:r w:rsidR="00552AA1" w:rsidRPr="00762E22">
        <w:rPr>
          <w:szCs w:val="24"/>
        </w:rPr>
        <w:t xml:space="preserve"> for ICWA-related data elements</w:t>
      </w:r>
      <w:r w:rsidRPr="00762E22">
        <w:rPr>
          <w:szCs w:val="24"/>
        </w:rPr>
        <w:t xml:space="preserve">.  </w:t>
      </w:r>
      <w:r w:rsidR="00D41C25" w:rsidRPr="00762E22">
        <w:rPr>
          <w:szCs w:val="24"/>
        </w:rPr>
        <w:t xml:space="preserve">The Department issued a NPRM </w:t>
      </w:r>
      <w:r w:rsidR="00EE2277" w:rsidRPr="00762E22">
        <w:rPr>
          <w:szCs w:val="24"/>
        </w:rPr>
        <w:t xml:space="preserve">published on </w:t>
      </w:r>
      <w:r w:rsidR="00552AA1" w:rsidRPr="00762E22">
        <w:rPr>
          <w:bCs/>
          <w:szCs w:val="24"/>
        </w:rPr>
        <w:t xml:space="preserve">February 9, 2015 </w:t>
      </w:r>
      <w:r w:rsidR="00D41C25" w:rsidRPr="00762E22">
        <w:rPr>
          <w:szCs w:val="24"/>
        </w:rPr>
        <w:t>that prop</w:t>
      </w:r>
      <w:r w:rsidR="00471FB5" w:rsidRPr="00762E22">
        <w:rPr>
          <w:szCs w:val="24"/>
        </w:rPr>
        <w:t>o</w:t>
      </w:r>
      <w:r w:rsidR="00D41C25" w:rsidRPr="00762E22">
        <w:rPr>
          <w:szCs w:val="24"/>
        </w:rPr>
        <w:t>sed changes to AFCARS</w:t>
      </w:r>
      <w:r w:rsidR="00EE2277" w:rsidRPr="00762E22">
        <w:rPr>
          <w:szCs w:val="24"/>
        </w:rPr>
        <w:t xml:space="preserve"> (</w:t>
      </w:r>
      <w:r w:rsidR="00552AA1" w:rsidRPr="00762E22">
        <w:rPr>
          <w:szCs w:val="24"/>
        </w:rPr>
        <w:t xml:space="preserve">80 </w:t>
      </w:r>
      <w:r w:rsidR="00EE2277" w:rsidRPr="00762E22">
        <w:rPr>
          <w:szCs w:val="24"/>
        </w:rPr>
        <w:t xml:space="preserve">FR </w:t>
      </w:r>
      <w:r w:rsidR="00552AA1" w:rsidRPr="00762E22">
        <w:rPr>
          <w:szCs w:val="24"/>
        </w:rPr>
        <w:t>7132</w:t>
      </w:r>
      <w:r w:rsidR="00EE2277" w:rsidRPr="00762E22">
        <w:rPr>
          <w:szCs w:val="24"/>
        </w:rPr>
        <w:t>)</w:t>
      </w:r>
      <w:r w:rsidR="00D41C25" w:rsidRPr="00762E22">
        <w:rPr>
          <w:szCs w:val="24"/>
        </w:rPr>
        <w:t xml:space="preserve">.  </w:t>
      </w:r>
      <w:r w:rsidR="006E6997" w:rsidRPr="00762E22">
        <w:rPr>
          <w:rFonts w:eastAsia="Calibri"/>
          <w:snapToGrid/>
          <w:szCs w:val="24"/>
        </w:rPr>
        <w:t xml:space="preserve">We decided to issue a supplemental NPRM rather than proceed with a final rule so that we can consider the public comments on this SNPRM (related to ICWA data elements) and the February 9, 2015 NPRM (related to all other data elements) and issue one final rule on AFCARS.  </w:t>
      </w:r>
    </w:p>
    <w:p w:rsidR="006E6997" w:rsidRPr="00762E22" w:rsidRDefault="006E6997" w:rsidP="006E6997">
      <w:pPr>
        <w:rPr>
          <w:rFonts w:eastAsia="Calibri"/>
          <w:snapToGrid/>
          <w:szCs w:val="24"/>
        </w:rPr>
      </w:pPr>
    </w:p>
    <w:p w:rsidR="006E6997" w:rsidRPr="00762E22" w:rsidRDefault="006E6997" w:rsidP="006E6997">
      <w:pPr>
        <w:rPr>
          <w:rFonts w:eastAsia="Calibri"/>
          <w:snapToGrid/>
          <w:szCs w:val="24"/>
        </w:rPr>
      </w:pPr>
      <w:r w:rsidRPr="00762E22">
        <w:rPr>
          <w:rFonts w:eastAsia="Calibri"/>
          <w:snapToGrid/>
          <w:szCs w:val="24"/>
        </w:rPr>
        <w:t xml:space="preserve">To inform our development of this SNPRM, we: </w:t>
      </w:r>
    </w:p>
    <w:p w:rsidR="000414A9" w:rsidRPr="00762E22" w:rsidRDefault="000414A9" w:rsidP="000414A9">
      <w:pPr>
        <w:widowControl/>
        <w:numPr>
          <w:ilvl w:val="0"/>
          <w:numId w:val="19"/>
        </w:numPr>
        <w:rPr>
          <w:iCs/>
          <w:snapToGrid/>
          <w:szCs w:val="24"/>
        </w:rPr>
      </w:pPr>
      <w:r w:rsidRPr="00762E22">
        <w:rPr>
          <w:snapToGrid/>
          <w:szCs w:val="24"/>
        </w:rPr>
        <w:t xml:space="preserve">consulted with federal agency experts from  the Bureau of Indian Affairs at the Department of Interior (DOI), and the Environment and Natural Resources Division at the Department of Justice (DOJ),  </w:t>
      </w:r>
    </w:p>
    <w:p w:rsidR="000414A9" w:rsidRPr="00762E22" w:rsidRDefault="000414A9" w:rsidP="000414A9">
      <w:pPr>
        <w:widowControl/>
        <w:numPr>
          <w:ilvl w:val="0"/>
          <w:numId w:val="19"/>
        </w:numPr>
        <w:rPr>
          <w:iCs/>
          <w:snapToGrid/>
          <w:szCs w:val="24"/>
        </w:rPr>
      </w:pPr>
      <w:r w:rsidRPr="00762E22">
        <w:rPr>
          <w:snapToGrid/>
          <w:szCs w:val="24"/>
        </w:rPr>
        <w:t>analyzed comments to the Feb. 2015 AFCARS NPRM that spoke to</w:t>
      </w:r>
      <w:r w:rsidRPr="00762E22" w:rsidDel="000E72AF">
        <w:rPr>
          <w:snapToGrid/>
          <w:szCs w:val="24"/>
        </w:rPr>
        <w:t xml:space="preserve"> </w:t>
      </w:r>
      <w:r w:rsidRPr="00762E22">
        <w:rPr>
          <w:snapToGrid/>
          <w:szCs w:val="24"/>
        </w:rPr>
        <w:t>ICWA-related data elements,</w:t>
      </w:r>
    </w:p>
    <w:p w:rsidR="000414A9" w:rsidRPr="00762E22" w:rsidRDefault="000414A9" w:rsidP="000414A9">
      <w:pPr>
        <w:widowControl/>
        <w:numPr>
          <w:ilvl w:val="0"/>
          <w:numId w:val="19"/>
        </w:numPr>
        <w:rPr>
          <w:iCs/>
          <w:snapToGrid/>
          <w:szCs w:val="24"/>
        </w:rPr>
      </w:pPr>
      <w:r w:rsidRPr="00762E22">
        <w:rPr>
          <w:snapToGrid/>
          <w:szCs w:val="24"/>
        </w:rPr>
        <w:t xml:space="preserve">held one Tribal consultation session, and </w:t>
      </w:r>
    </w:p>
    <w:p w:rsidR="000414A9" w:rsidRPr="00762E22" w:rsidRDefault="000414A9" w:rsidP="000414A9">
      <w:pPr>
        <w:widowControl/>
        <w:numPr>
          <w:ilvl w:val="0"/>
          <w:numId w:val="19"/>
        </w:numPr>
        <w:rPr>
          <w:iCs/>
          <w:snapToGrid/>
          <w:szCs w:val="24"/>
        </w:rPr>
      </w:pPr>
      <w:proofErr w:type="gramStart"/>
      <w:r w:rsidRPr="00762E22">
        <w:rPr>
          <w:snapToGrid/>
          <w:szCs w:val="24"/>
        </w:rPr>
        <w:t>solicited</w:t>
      </w:r>
      <w:proofErr w:type="gramEnd"/>
      <w:r w:rsidRPr="00762E22">
        <w:rPr>
          <w:snapToGrid/>
          <w:szCs w:val="24"/>
        </w:rPr>
        <w:t xml:space="preserve"> input from members of the </w:t>
      </w:r>
      <w:hyperlink r:id="rId12" w:history="1">
        <w:r w:rsidRPr="00762E22">
          <w:rPr>
            <w:snapToGrid/>
            <w:color w:val="0000FF"/>
            <w:szCs w:val="24"/>
            <w:u w:val="single"/>
            <w:lang w:val="en"/>
          </w:rPr>
          <w:t>National Association of Public Child Welfare Administrators</w:t>
        </w:r>
      </w:hyperlink>
      <w:r w:rsidRPr="00762E22">
        <w:rPr>
          <w:snapToGrid/>
          <w:szCs w:val="24"/>
        </w:rPr>
        <w:t xml:space="preserve"> (NAPCWA).    </w:t>
      </w:r>
    </w:p>
    <w:p w:rsidR="00C10558" w:rsidRPr="00762E22" w:rsidRDefault="00C10558" w:rsidP="006E6997">
      <w:pPr>
        <w:rPr>
          <w:szCs w:val="24"/>
        </w:rPr>
      </w:pPr>
    </w:p>
    <w:p w:rsidR="006E6997" w:rsidRPr="00762E22" w:rsidRDefault="00AD4A44" w:rsidP="00C10558">
      <w:pPr>
        <w:rPr>
          <w:szCs w:val="24"/>
        </w:rPr>
      </w:pPr>
      <w:r w:rsidRPr="00762E22">
        <w:rPr>
          <w:szCs w:val="24"/>
        </w:rPr>
        <w:t xml:space="preserve">In developing this supplemental proposed rule, we considered the input from these groups as well as comments to the Feb. 2015 AFCARS NPRM.  </w:t>
      </w:r>
      <w:r w:rsidRPr="00762E22">
        <w:rPr>
          <w:rFonts w:eastAsia="Calibri"/>
          <w:snapToGrid/>
          <w:szCs w:val="24"/>
        </w:rPr>
        <w:t xml:space="preserve">NAPCWA members, during the conference call, </w:t>
      </w:r>
      <w:r w:rsidRPr="00762E22">
        <w:rPr>
          <w:szCs w:val="24"/>
        </w:rPr>
        <w:t xml:space="preserve">stated that </w:t>
      </w:r>
      <w:r w:rsidR="00AB4B95">
        <w:rPr>
          <w:szCs w:val="24"/>
        </w:rPr>
        <w:t>some</w:t>
      </w:r>
      <w:r w:rsidRPr="00762E22">
        <w:rPr>
          <w:szCs w:val="24"/>
        </w:rPr>
        <w:t xml:space="preserve"> currently collect </w:t>
      </w:r>
      <w:r w:rsidR="00AB4B95">
        <w:rPr>
          <w:szCs w:val="24"/>
        </w:rPr>
        <w:t xml:space="preserve">some </w:t>
      </w:r>
      <w:r w:rsidRPr="00762E22">
        <w:rPr>
          <w:szCs w:val="24"/>
        </w:rPr>
        <w:t xml:space="preserve">information in their information system regarding ICWA such as tribal membership, tribal notification, and tribal enrollment status.  They noted that some of the information about ICWA, such as cultural preferences and active efforts, are in case files and not in their information system and therefore, may not be easily extracted for AFCARS.  </w:t>
      </w:r>
      <w:r w:rsidR="00566702" w:rsidRPr="00762E22">
        <w:rPr>
          <w:rFonts w:eastAsia="Calibri"/>
          <w:snapToGrid/>
          <w:szCs w:val="24"/>
        </w:rPr>
        <w:t xml:space="preserve">Regarding burden and costs, </w:t>
      </w:r>
      <w:r w:rsidR="00C10558" w:rsidRPr="00762E22">
        <w:rPr>
          <w:rFonts w:eastAsia="Calibri"/>
          <w:snapToGrid/>
          <w:szCs w:val="24"/>
        </w:rPr>
        <w:lastRenderedPageBreak/>
        <w:t xml:space="preserve">NAPCWA </w:t>
      </w:r>
      <w:r w:rsidR="00C10558" w:rsidRPr="00762E22">
        <w:rPr>
          <w:szCs w:val="24"/>
        </w:rPr>
        <w:t xml:space="preserve">participants indicated </w:t>
      </w:r>
      <w:r w:rsidR="006E6997" w:rsidRPr="00762E22">
        <w:rPr>
          <w:szCs w:val="24"/>
        </w:rPr>
        <w:t>that the</w:t>
      </w:r>
      <w:r w:rsidR="00C10558" w:rsidRPr="00762E22">
        <w:rPr>
          <w:szCs w:val="24"/>
        </w:rPr>
        <w:t xml:space="preserve">ir information systems must be </w:t>
      </w:r>
      <w:r w:rsidR="006E6997" w:rsidRPr="00762E22">
        <w:rPr>
          <w:szCs w:val="24"/>
        </w:rPr>
        <w:t>chan</w:t>
      </w:r>
      <w:r w:rsidR="00C10558" w:rsidRPr="00762E22">
        <w:rPr>
          <w:szCs w:val="24"/>
        </w:rPr>
        <w:t>ged and upgraded to report ICWA-</w:t>
      </w:r>
      <w:r w:rsidR="006E6997" w:rsidRPr="00762E22">
        <w:rPr>
          <w:szCs w:val="24"/>
        </w:rPr>
        <w:t>r</w:t>
      </w:r>
      <w:r w:rsidR="00C10558" w:rsidRPr="00762E22">
        <w:rPr>
          <w:szCs w:val="24"/>
        </w:rPr>
        <w:t xml:space="preserve">elated data to AFCARS and </w:t>
      </w:r>
      <w:r w:rsidR="006E6997" w:rsidRPr="00762E22">
        <w:rPr>
          <w:szCs w:val="24"/>
        </w:rPr>
        <w:t xml:space="preserve">that funding is necessary for system costs to do this.  Even though title IV-E agencies are engaged in work to comply with ICWA, and may have ICWA information in their files, it will be costly to train workers for accurately and consistency in a new data collection, add data elements, and extract the information for AFCARS.  Ultimately, </w:t>
      </w:r>
      <w:r w:rsidR="008F0510" w:rsidRPr="00762E22">
        <w:rPr>
          <w:szCs w:val="24"/>
        </w:rPr>
        <w:t>NAPCWA members</w:t>
      </w:r>
      <w:r w:rsidR="006E6997" w:rsidRPr="00762E22">
        <w:rPr>
          <w:szCs w:val="24"/>
        </w:rPr>
        <w:t xml:space="preserve"> indicated that the ICWA related data elements they would suggest for AFCARS reporting on children in foster care are: tribal membership/enrollment status, name of tribe(s), and notifications to tribe(s).</w:t>
      </w:r>
    </w:p>
    <w:p w:rsidR="00103B0A" w:rsidRPr="00762E22" w:rsidRDefault="00103B0A" w:rsidP="000F7541">
      <w:pPr>
        <w:spacing w:before="100" w:beforeAutospacing="1" w:after="100" w:afterAutospacing="1"/>
        <w:ind w:left="360"/>
        <w:rPr>
          <w:szCs w:val="24"/>
        </w:rPr>
      </w:pPr>
      <w:r w:rsidRPr="00762E22">
        <w:rPr>
          <w:szCs w:val="24"/>
        </w:rPr>
        <w:t xml:space="preserve">9.  </w:t>
      </w:r>
      <w:r w:rsidR="006168DD" w:rsidRPr="00762E22">
        <w:rPr>
          <w:snapToGrid/>
          <w:szCs w:val="24"/>
          <w:u w:val="single"/>
        </w:rPr>
        <w:t>Explanation of Any Payment or Gift to Respondents</w:t>
      </w:r>
    </w:p>
    <w:p w:rsidR="00103B0A" w:rsidRPr="00762E22" w:rsidRDefault="00103B0A" w:rsidP="00696A02">
      <w:pPr>
        <w:spacing w:before="100" w:beforeAutospacing="1" w:after="100" w:afterAutospacing="1"/>
        <w:rPr>
          <w:szCs w:val="24"/>
        </w:rPr>
      </w:pPr>
      <w:r w:rsidRPr="00762E22">
        <w:rPr>
          <w:szCs w:val="24"/>
        </w:rPr>
        <w:t xml:space="preserve">No payments, other than Federal financial participation (FFP), will be made to </w:t>
      </w:r>
      <w:r w:rsidR="00AE2B02" w:rsidRPr="00762E22">
        <w:rPr>
          <w:szCs w:val="24"/>
        </w:rPr>
        <w:t>s</w:t>
      </w:r>
      <w:r w:rsidRPr="00762E22">
        <w:rPr>
          <w:szCs w:val="24"/>
        </w:rPr>
        <w:t>tates</w:t>
      </w:r>
      <w:r w:rsidR="00BA7F69" w:rsidRPr="00762E22">
        <w:rPr>
          <w:szCs w:val="24"/>
        </w:rPr>
        <w:t xml:space="preserve"> </w:t>
      </w:r>
      <w:r w:rsidRPr="00762E22">
        <w:rPr>
          <w:szCs w:val="24"/>
        </w:rPr>
        <w:t>for the maintenance and development of an information system.</w:t>
      </w:r>
    </w:p>
    <w:p w:rsidR="00103B0A" w:rsidRPr="00762E22" w:rsidRDefault="00103B0A" w:rsidP="000F7541">
      <w:pPr>
        <w:spacing w:before="100" w:beforeAutospacing="1" w:after="100" w:afterAutospacing="1"/>
        <w:ind w:left="360"/>
        <w:rPr>
          <w:szCs w:val="24"/>
        </w:rPr>
      </w:pPr>
      <w:r w:rsidRPr="00762E22">
        <w:rPr>
          <w:szCs w:val="24"/>
        </w:rPr>
        <w:t xml:space="preserve">10.  </w:t>
      </w:r>
      <w:r w:rsidR="006168DD" w:rsidRPr="00762E22">
        <w:rPr>
          <w:snapToGrid/>
          <w:szCs w:val="24"/>
          <w:u w:val="single"/>
        </w:rPr>
        <w:t>Assurance of Confidentiality Provided to Respondents</w:t>
      </w:r>
    </w:p>
    <w:p w:rsidR="00103B0A" w:rsidRPr="00762E22" w:rsidRDefault="00103B0A" w:rsidP="00696A02">
      <w:pPr>
        <w:spacing w:before="100" w:beforeAutospacing="1" w:after="100" w:afterAutospacing="1"/>
        <w:rPr>
          <w:szCs w:val="24"/>
        </w:rPr>
      </w:pPr>
      <w:r w:rsidRPr="00762E22">
        <w:rPr>
          <w:szCs w:val="24"/>
        </w:rPr>
        <w:t xml:space="preserve">All </w:t>
      </w:r>
      <w:r w:rsidR="00AE2B02" w:rsidRPr="00762E22">
        <w:rPr>
          <w:szCs w:val="24"/>
        </w:rPr>
        <w:t xml:space="preserve">ICWA-related </w:t>
      </w:r>
      <w:r w:rsidRPr="00762E22">
        <w:rPr>
          <w:szCs w:val="24"/>
        </w:rPr>
        <w:t>data on</w:t>
      </w:r>
      <w:r w:rsidR="00AE2B02" w:rsidRPr="00762E22">
        <w:rPr>
          <w:szCs w:val="24"/>
        </w:rPr>
        <w:t xml:space="preserve"> children who are in</w:t>
      </w:r>
      <w:r w:rsidR="00DC61A6" w:rsidRPr="00762E22">
        <w:rPr>
          <w:szCs w:val="24"/>
        </w:rPr>
        <w:t xml:space="preserve"> </w:t>
      </w:r>
      <w:r w:rsidRPr="00762E22">
        <w:rPr>
          <w:szCs w:val="24"/>
        </w:rPr>
        <w:t>foster care</w:t>
      </w:r>
      <w:r w:rsidR="00AE2B02" w:rsidRPr="00762E22">
        <w:rPr>
          <w:szCs w:val="24"/>
        </w:rPr>
        <w:t xml:space="preserve"> </w:t>
      </w:r>
      <w:r w:rsidRPr="00762E22">
        <w:rPr>
          <w:szCs w:val="24"/>
        </w:rPr>
        <w:t>will be collected with the assurance of confidentiality.  The data must be kept confidential as the purpose of its collection is to conduct policy analyses and not to track individual children at the national level.  The identity of individual children and families will be known to the reporting</w:t>
      </w:r>
      <w:r w:rsidR="00DC61A6" w:rsidRPr="00762E22">
        <w:rPr>
          <w:szCs w:val="24"/>
        </w:rPr>
        <w:t xml:space="preserve"> </w:t>
      </w:r>
      <w:r w:rsidR="00AE2B02" w:rsidRPr="00762E22">
        <w:rPr>
          <w:szCs w:val="24"/>
        </w:rPr>
        <w:t xml:space="preserve">state </w:t>
      </w:r>
      <w:r w:rsidR="00DC61A6" w:rsidRPr="00762E22">
        <w:rPr>
          <w:szCs w:val="24"/>
        </w:rPr>
        <w:t>title</w:t>
      </w:r>
      <w:r w:rsidRPr="00762E22">
        <w:rPr>
          <w:szCs w:val="24"/>
        </w:rPr>
        <w:t xml:space="preserve"> </w:t>
      </w:r>
      <w:r w:rsidR="00BA7F69" w:rsidRPr="00762E22">
        <w:rPr>
          <w:szCs w:val="24"/>
        </w:rPr>
        <w:t>IV-E agency</w:t>
      </w:r>
      <w:r w:rsidRPr="00762E22">
        <w:rPr>
          <w:szCs w:val="24"/>
        </w:rPr>
        <w:t xml:space="preserve"> only.  ACF has approved two methods for the creation of an AFCARS record number, encryption or sequential numbering.  ACF has assisted</w:t>
      </w:r>
      <w:r w:rsidR="00DC61A6" w:rsidRPr="00762E22">
        <w:rPr>
          <w:szCs w:val="24"/>
        </w:rPr>
        <w:t xml:space="preserve"> title</w:t>
      </w:r>
      <w:r w:rsidRPr="00762E22">
        <w:rPr>
          <w:szCs w:val="24"/>
        </w:rPr>
        <w:t xml:space="preserve"> </w:t>
      </w:r>
      <w:r w:rsidR="00BA7F69" w:rsidRPr="00762E22">
        <w:rPr>
          <w:szCs w:val="24"/>
        </w:rPr>
        <w:t>IV-E agencie</w:t>
      </w:r>
      <w:r w:rsidRPr="00762E22">
        <w:rPr>
          <w:szCs w:val="24"/>
        </w:rPr>
        <w:t xml:space="preserve">s in developing an algorithm to encrypt. </w:t>
      </w:r>
      <w:r w:rsidR="004E155E" w:rsidRPr="00762E22">
        <w:rPr>
          <w:szCs w:val="24"/>
        </w:rPr>
        <w:t xml:space="preserve"> All title IV-E agencies encrypt the record number. </w:t>
      </w:r>
      <w:r w:rsidRPr="00762E22">
        <w:rPr>
          <w:szCs w:val="24"/>
        </w:rPr>
        <w:t xml:space="preserve"> </w:t>
      </w:r>
    </w:p>
    <w:p w:rsidR="00103B0A" w:rsidRPr="00762E22" w:rsidRDefault="00103B0A" w:rsidP="000F7541">
      <w:pPr>
        <w:spacing w:before="100" w:beforeAutospacing="1" w:after="100" w:afterAutospacing="1"/>
        <w:ind w:left="360"/>
        <w:rPr>
          <w:szCs w:val="24"/>
        </w:rPr>
      </w:pPr>
      <w:r w:rsidRPr="00762E22">
        <w:rPr>
          <w:szCs w:val="24"/>
        </w:rPr>
        <w:t xml:space="preserve">11.  </w:t>
      </w:r>
      <w:r w:rsidR="006168DD" w:rsidRPr="00762E22">
        <w:rPr>
          <w:snapToGrid/>
          <w:szCs w:val="24"/>
          <w:u w:val="single"/>
        </w:rPr>
        <w:t>Justification for Sensitive Questions</w:t>
      </w:r>
    </w:p>
    <w:p w:rsidR="00103B0A" w:rsidRPr="00762E22" w:rsidRDefault="00103B0A" w:rsidP="00696A02">
      <w:pPr>
        <w:spacing w:before="100" w:beforeAutospacing="1" w:after="100" w:afterAutospacing="1"/>
        <w:rPr>
          <w:szCs w:val="24"/>
        </w:rPr>
      </w:pPr>
      <w:r w:rsidRPr="00762E22">
        <w:rPr>
          <w:szCs w:val="24"/>
        </w:rPr>
        <w:t>There are no questions of a sensitive nature</w:t>
      </w:r>
      <w:r w:rsidR="00CD4AE8" w:rsidRPr="00762E22">
        <w:rPr>
          <w:szCs w:val="24"/>
        </w:rPr>
        <w:t>.</w:t>
      </w:r>
      <w:r w:rsidRPr="00762E22">
        <w:rPr>
          <w:szCs w:val="24"/>
        </w:rPr>
        <w:t xml:space="preserve"> </w:t>
      </w:r>
    </w:p>
    <w:p w:rsidR="00103B0A" w:rsidRPr="00762E22" w:rsidRDefault="00103B0A" w:rsidP="000F7541">
      <w:pPr>
        <w:spacing w:before="100" w:beforeAutospacing="1" w:after="100" w:afterAutospacing="1"/>
        <w:ind w:left="360"/>
        <w:rPr>
          <w:szCs w:val="24"/>
        </w:rPr>
      </w:pPr>
      <w:r w:rsidRPr="00762E22">
        <w:rPr>
          <w:szCs w:val="24"/>
        </w:rPr>
        <w:t xml:space="preserve">12.  </w:t>
      </w:r>
      <w:r w:rsidR="006168DD" w:rsidRPr="00762E22">
        <w:rPr>
          <w:snapToGrid/>
          <w:szCs w:val="24"/>
          <w:u w:val="single"/>
        </w:rPr>
        <w:t>Estimates of Annualized Burden Hours and Costs</w:t>
      </w:r>
    </w:p>
    <w:p w:rsidR="005A6E30" w:rsidRDefault="00103B0A" w:rsidP="00A903D4">
      <w:pPr>
        <w:spacing w:before="100" w:beforeAutospacing="1" w:after="100" w:afterAutospacing="1"/>
        <w:ind w:left="360"/>
        <w:rPr>
          <w:szCs w:val="24"/>
        </w:rPr>
      </w:pPr>
      <w:r w:rsidRPr="00762E22">
        <w:rPr>
          <w:szCs w:val="24"/>
        </w:rPr>
        <w:t>ANNUAL BURDEN ESTIMATES</w:t>
      </w:r>
    </w:p>
    <w:tbl>
      <w:tblPr>
        <w:tblStyle w:val="TableGrid"/>
        <w:tblW w:w="0" w:type="auto"/>
        <w:tblLook w:val="04A0" w:firstRow="1" w:lastRow="0" w:firstColumn="1" w:lastColumn="0" w:noHBand="0" w:noVBand="1"/>
      </w:tblPr>
      <w:tblGrid>
        <w:gridCol w:w="2109"/>
        <w:gridCol w:w="2174"/>
        <w:gridCol w:w="1797"/>
        <w:gridCol w:w="1797"/>
        <w:gridCol w:w="1797"/>
      </w:tblGrid>
      <w:tr w:rsidR="009F2DC3" w:rsidTr="002C0E9F">
        <w:tc>
          <w:tcPr>
            <w:tcW w:w="2109" w:type="dxa"/>
          </w:tcPr>
          <w:p w:rsidR="009F2DC3" w:rsidRPr="007967FD" w:rsidRDefault="009F2DC3" w:rsidP="00930560">
            <w:pPr>
              <w:pStyle w:val="CommentText"/>
              <w:rPr>
                <w:b/>
                <w:sz w:val="24"/>
                <w:szCs w:val="24"/>
              </w:rPr>
            </w:pPr>
            <w:r w:rsidRPr="007967FD">
              <w:rPr>
                <w:b/>
                <w:sz w:val="24"/>
                <w:szCs w:val="24"/>
              </w:rPr>
              <w:t>Collection - Recordkeeping</w:t>
            </w:r>
          </w:p>
        </w:tc>
        <w:tc>
          <w:tcPr>
            <w:tcW w:w="2174" w:type="dxa"/>
          </w:tcPr>
          <w:p w:rsidR="009F2DC3" w:rsidRPr="007967FD" w:rsidRDefault="009F2DC3" w:rsidP="00930560">
            <w:pPr>
              <w:pStyle w:val="CommentText"/>
              <w:rPr>
                <w:b/>
                <w:sz w:val="24"/>
                <w:szCs w:val="24"/>
              </w:rPr>
            </w:pPr>
            <w:r w:rsidRPr="007967FD">
              <w:rPr>
                <w:b/>
                <w:sz w:val="24"/>
                <w:szCs w:val="24"/>
              </w:rPr>
              <w:t>Number of respondents</w:t>
            </w:r>
          </w:p>
        </w:tc>
        <w:tc>
          <w:tcPr>
            <w:tcW w:w="1797" w:type="dxa"/>
          </w:tcPr>
          <w:p w:rsidR="009F2DC3" w:rsidRPr="007967FD" w:rsidRDefault="009F2DC3" w:rsidP="00930560">
            <w:pPr>
              <w:pStyle w:val="CommentText"/>
              <w:rPr>
                <w:b/>
                <w:sz w:val="24"/>
                <w:szCs w:val="24"/>
              </w:rPr>
            </w:pPr>
            <w:r>
              <w:rPr>
                <w:b/>
                <w:sz w:val="24"/>
                <w:szCs w:val="24"/>
              </w:rPr>
              <w:t>Number of responses per respondent</w:t>
            </w:r>
          </w:p>
        </w:tc>
        <w:tc>
          <w:tcPr>
            <w:tcW w:w="1797" w:type="dxa"/>
          </w:tcPr>
          <w:p w:rsidR="009F2DC3" w:rsidRPr="007967FD" w:rsidRDefault="009F2DC3" w:rsidP="00930560">
            <w:pPr>
              <w:pStyle w:val="CommentText"/>
              <w:rPr>
                <w:b/>
                <w:sz w:val="24"/>
                <w:szCs w:val="24"/>
              </w:rPr>
            </w:pPr>
            <w:r>
              <w:rPr>
                <w:b/>
                <w:sz w:val="24"/>
                <w:szCs w:val="24"/>
              </w:rPr>
              <w:t>Average burden hours per response</w:t>
            </w:r>
          </w:p>
        </w:tc>
        <w:tc>
          <w:tcPr>
            <w:tcW w:w="1797" w:type="dxa"/>
          </w:tcPr>
          <w:p w:rsidR="009F2DC3" w:rsidRPr="007967FD" w:rsidRDefault="009F2DC3" w:rsidP="00930560">
            <w:pPr>
              <w:pStyle w:val="CommentText"/>
              <w:rPr>
                <w:b/>
                <w:sz w:val="24"/>
                <w:szCs w:val="24"/>
              </w:rPr>
            </w:pPr>
            <w:r w:rsidRPr="007967FD">
              <w:rPr>
                <w:b/>
                <w:sz w:val="24"/>
                <w:szCs w:val="24"/>
              </w:rPr>
              <w:t>Total burden hours</w:t>
            </w:r>
          </w:p>
        </w:tc>
      </w:tr>
      <w:tr w:rsidR="009F2DC3" w:rsidTr="002C0E9F">
        <w:tc>
          <w:tcPr>
            <w:tcW w:w="2109" w:type="dxa"/>
          </w:tcPr>
          <w:p w:rsidR="009F2DC3" w:rsidRDefault="009F2DC3" w:rsidP="00930560">
            <w:pPr>
              <w:pStyle w:val="CommentText"/>
              <w:rPr>
                <w:sz w:val="24"/>
                <w:szCs w:val="24"/>
              </w:rPr>
            </w:pPr>
            <w:r>
              <w:rPr>
                <w:sz w:val="24"/>
                <w:szCs w:val="24"/>
              </w:rPr>
              <w:t>Annual</w:t>
            </w:r>
          </w:p>
        </w:tc>
        <w:tc>
          <w:tcPr>
            <w:tcW w:w="2174" w:type="dxa"/>
          </w:tcPr>
          <w:p w:rsidR="009F2DC3" w:rsidRDefault="009F2DC3" w:rsidP="00930560">
            <w:pPr>
              <w:pStyle w:val="CommentText"/>
              <w:rPr>
                <w:sz w:val="24"/>
                <w:szCs w:val="24"/>
              </w:rPr>
            </w:pPr>
            <w:r>
              <w:rPr>
                <w:sz w:val="24"/>
                <w:szCs w:val="24"/>
              </w:rPr>
              <w:t>52</w:t>
            </w:r>
          </w:p>
        </w:tc>
        <w:tc>
          <w:tcPr>
            <w:tcW w:w="1797" w:type="dxa"/>
          </w:tcPr>
          <w:p w:rsidR="009F2DC3" w:rsidRPr="007967FD" w:rsidRDefault="009F2DC3" w:rsidP="007967FD">
            <w:pPr>
              <w:pStyle w:val="CommentText"/>
              <w:rPr>
                <w:sz w:val="24"/>
                <w:szCs w:val="24"/>
              </w:rPr>
            </w:pPr>
            <w:r>
              <w:rPr>
                <w:sz w:val="24"/>
                <w:szCs w:val="24"/>
              </w:rPr>
              <w:t>2</w:t>
            </w:r>
          </w:p>
        </w:tc>
        <w:tc>
          <w:tcPr>
            <w:tcW w:w="1797" w:type="dxa"/>
          </w:tcPr>
          <w:p w:rsidR="009F2DC3" w:rsidRPr="007967FD" w:rsidRDefault="009F2DC3" w:rsidP="007967FD">
            <w:pPr>
              <w:pStyle w:val="CommentText"/>
              <w:rPr>
                <w:sz w:val="24"/>
                <w:szCs w:val="24"/>
              </w:rPr>
            </w:pPr>
            <w:r>
              <w:rPr>
                <w:sz w:val="24"/>
                <w:szCs w:val="24"/>
              </w:rPr>
              <w:t>1,845.90</w:t>
            </w:r>
          </w:p>
        </w:tc>
        <w:tc>
          <w:tcPr>
            <w:tcW w:w="1797" w:type="dxa"/>
          </w:tcPr>
          <w:p w:rsidR="009F2DC3" w:rsidRPr="007967FD" w:rsidRDefault="009F2DC3" w:rsidP="007967FD">
            <w:pPr>
              <w:pStyle w:val="CommentText"/>
              <w:rPr>
                <w:sz w:val="24"/>
                <w:szCs w:val="24"/>
              </w:rPr>
            </w:pPr>
            <w:r w:rsidRPr="007967FD">
              <w:rPr>
                <w:sz w:val="24"/>
                <w:szCs w:val="24"/>
              </w:rPr>
              <w:t xml:space="preserve">191,973 </w:t>
            </w:r>
          </w:p>
        </w:tc>
      </w:tr>
      <w:tr w:rsidR="009F2DC3" w:rsidTr="002C0E9F">
        <w:trPr>
          <w:trHeight w:val="287"/>
        </w:trPr>
        <w:tc>
          <w:tcPr>
            <w:tcW w:w="2109" w:type="dxa"/>
          </w:tcPr>
          <w:p w:rsidR="009F2DC3" w:rsidRDefault="009F2DC3" w:rsidP="00930560">
            <w:pPr>
              <w:pStyle w:val="CommentText"/>
              <w:rPr>
                <w:sz w:val="24"/>
                <w:szCs w:val="24"/>
              </w:rPr>
            </w:pPr>
            <w:r>
              <w:rPr>
                <w:sz w:val="24"/>
                <w:szCs w:val="24"/>
              </w:rPr>
              <w:t>One-Time</w:t>
            </w:r>
          </w:p>
        </w:tc>
        <w:tc>
          <w:tcPr>
            <w:tcW w:w="2174" w:type="dxa"/>
          </w:tcPr>
          <w:p w:rsidR="009F2DC3" w:rsidRDefault="009F2DC3" w:rsidP="00930560">
            <w:pPr>
              <w:pStyle w:val="CommentText"/>
              <w:rPr>
                <w:sz w:val="24"/>
                <w:szCs w:val="24"/>
              </w:rPr>
            </w:pPr>
            <w:r>
              <w:rPr>
                <w:sz w:val="24"/>
                <w:szCs w:val="24"/>
              </w:rPr>
              <w:t>52</w:t>
            </w:r>
          </w:p>
        </w:tc>
        <w:tc>
          <w:tcPr>
            <w:tcW w:w="1797" w:type="dxa"/>
          </w:tcPr>
          <w:p w:rsidR="009F2DC3" w:rsidRPr="007967FD" w:rsidRDefault="009F2DC3" w:rsidP="007967FD">
            <w:pPr>
              <w:pStyle w:val="CommentText"/>
              <w:rPr>
                <w:sz w:val="24"/>
                <w:szCs w:val="24"/>
              </w:rPr>
            </w:pPr>
            <w:r>
              <w:rPr>
                <w:sz w:val="24"/>
                <w:szCs w:val="24"/>
              </w:rPr>
              <w:t>1</w:t>
            </w:r>
          </w:p>
        </w:tc>
        <w:tc>
          <w:tcPr>
            <w:tcW w:w="1797" w:type="dxa"/>
          </w:tcPr>
          <w:p w:rsidR="009F2DC3" w:rsidRPr="007967FD" w:rsidRDefault="009F2DC3" w:rsidP="007967FD">
            <w:pPr>
              <w:pStyle w:val="CommentText"/>
              <w:rPr>
                <w:sz w:val="24"/>
                <w:szCs w:val="24"/>
              </w:rPr>
            </w:pPr>
            <w:r>
              <w:rPr>
                <w:sz w:val="24"/>
                <w:szCs w:val="24"/>
              </w:rPr>
              <w:t>25.12</w:t>
            </w:r>
          </w:p>
        </w:tc>
        <w:tc>
          <w:tcPr>
            <w:tcW w:w="1797" w:type="dxa"/>
          </w:tcPr>
          <w:p w:rsidR="009F2DC3" w:rsidRPr="007967FD" w:rsidRDefault="009F2DC3" w:rsidP="007967FD">
            <w:pPr>
              <w:pStyle w:val="CommentText"/>
              <w:rPr>
                <w:sz w:val="24"/>
                <w:szCs w:val="24"/>
              </w:rPr>
            </w:pPr>
            <w:r w:rsidRPr="007967FD">
              <w:rPr>
                <w:sz w:val="24"/>
                <w:szCs w:val="24"/>
              </w:rPr>
              <w:t xml:space="preserve">1,306 </w:t>
            </w:r>
          </w:p>
        </w:tc>
      </w:tr>
      <w:tr w:rsidR="000D02A5" w:rsidTr="000D02A5">
        <w:trPr>
          <w:trHeight w:val="287"/>
        </w:trPr>
        <w:tc>
          <w:tcPr>
            <w:tcW w:w="2109" w:type="dxa"/>
          </w:tcPr>
          <w:p w:rsidR="000D02A5" w:rsidRDefault="000D02A5" w:rsidP="00930560">
            <w:pPr>
              <w:pStyle w:val="CommentText"/>
              <w:rPr>
                <w:sz w:val="24"/>
                <w:szCs w:val="24"/>
              </w:rPr>
            </w:pPr>
            <w:r>
              <w:rPr>
                <w:sz w:val="24"/>
                <w:szCs w:val="24"/>
              </w:rPr>
              <w:t>Total</w:t>
            </w:r>
          </w:p>
        </w:tc>
        <w:tc>
          <w:tcPr>
            <w:tcW w:w="2174" w:type="dxa"/>
            <w:shd w:val="clear" w:color="auto" w:fill="BFBFBF" w:themeFill="background1" w:themeFillShade="BF"/>
          </w:tcPr>
          <w:p w:rsidR="000D02A5" w:rsidRDefault="000D02A5" w:rsidP="00930560">
            <w:pPr>
              <w:pStyle w:val="CommentText"/>
              <w:rPr>
                <w:sz w:val="24"/>
                <w:szCs w:val="24"/>
              </w:rPr>
            </w:pPr>
          </w:p>
        </w:tc>
        <w:tc>
          <w:tcPr>
            <w:tcW w:w="1797" w:type="dxa"/>
            <w:shd w:val="clear" w:color="auto" w:fill="BFBFBF" w:themeFill="background1" w:themeFillShade="BF"/>
          </w:tcPr>
          <w:p w:rsidR="000D02A5" w:rsidRDefault="000D02A5" w:rsidP="007967FD">
            <w:pPr>
              <w:pStyle w:val="CommentText"/>
              <w:rPr>
                <w:sz w:val="24"/>
                <w:szCs w:val="24"/>
              </w:rPr>
            </w:pPr>
          </w:p>
        </w:tc>
        <w:tc>
          <w:tcPr>
            <w:tcW w:w="1797" w:type="dxa"/>
            <w:shd w:val="clear" w:color="auto" w:fill="BFBFBF" w:themeFill="background1" w:themeFillShade="BF"/>
          </w:tcPr>
          <w:p w:rsidR="000D02A5" w:rsidRDefault="000D02A5" w:rsidP="007967FD">
            <w:pPr>
              <w:pStyle w:val="CommentText"/>
              <w:rPr>
                <w:sz w:val="24"/>
                <w:szCs w:val="24"/>
              </w:rPr>
            </w:pPr>
          </w:p>
        </w:tc>
        <w:tc>
          <w:tcPr>
            <w:tcW w:w="1797" w:type="dxa"/>
          </w:tcPr>
          <w:p w:rsidR="000D02A5" w:rsidRPr="007967FD" w:rsidRDefault="000D02A5" w:rsidP="007967FD">
            <w:pPr>
              <w:pStyle w:val="CommentText"/>
              <w:rPr>
                <w:sz w:val="24"/>
                <w:szCs w:val="24"/>
              </w:rPr>
            </w:pPr>
            <w:r>
              <w:rPr>
                <w:sz w:val="24"/>
                <w:szCs w:val="24"/>
              </w:rPr>
              <w:t>193.279</w:t>
            </w:r>
          </w:p>
        </w:tc>
      </w:tr>
    </w:tbl>
    <w:p w:rsidR="005A6E30" w:rsidRDefault="005A6E30" w:rsidP="00930560">
      <w:pPr>
        <w:pStyle w:val="CommentText"/>
        <w:rPr>
          <w:sz w:val="24"/>
          <w:szCs w:val="24"/>
        </w:rPr>
      </w:pPr>
    </w:p>
    <w:tbl>
      <w:tblPr>
        <w:tblStyle w:val="TableGrid"/>
        <w:tblW w:w="0" w:type="auto"/>
        <w:tblLook w:val="04A0" w:firstRow="1" w:lastRow="0" w:firstColumn="1" w:lastColumn="0" w:noHBand="0" w:noVBand="1"/>
      </w:tblPr>
      <w:tblGrid>
        <w:gridCol w:w="2109"/>
        <w:gridCol w:w="2174"/>
        <w:gridCol w:w="1797"/>
        <w:gridCol w:w="1797"/>
        <w:gridCol w:w="1797"/>
      </w:tblGrid>
      <w:tr w:rsidR="009F2DC3" w:rsidTr="00904C67">
        <w:tc>
          <w:tcPr>
            <w:tcW w:w="2109" w:type="dxa"/>
          </w:tcPr>
          <w:p w:rsidR="009F2DC3" w:rsidRPr="007967FD" w:rsidRDefault="009F2DC3" w:rsidP="007967FD">
            <w:pPr>
              <w:pStyle w:val="CommentText"/>
              <w:rPr>
                <w:b/>
                <w:sz w:val="24"/>
                <w:szCs w:val="24"/>
              </w:rPr>
            </w:pPr>
            <w:r w:rsidRPr="007967FD">
              <w:rPr>
                <w:b/>
                <w:sz w:val="24"/>
                <w:szCs w:val="24"/>
              </w:rPr>
              <w:t xml:space="preserve">Collection - </w:t>
            </w:r>
            <w:r>
              <w:rPr>
                <w:b/>
                <w:sz w:val="24"/>
                <w:szCs w:val="24"/>
              </w:rPr>
              <w:t>Reporting</w:t>
            </w:r>
          </w:p>
        </w:tc>
        <w:tc>
          <w:tcPr>
            <w:tcW w:w="2174" w:type="dxa"/>
          </w:tcPr>
          <w:p w:rsidR="009F2DC3" w:rsidRPr="007967FD" w:rsidRDefault="009F2DC3" w:rsidP="00CF293C">
            <w:pPr>
              <w:pStyle w:val="CommentText"/>
              <w:rPr>
                <w:b/>
                <w:sz w:val="24"/>
                <w:szCs w:val="24"/>
              </w:rPr>
            </w:pPr>
            <w:r w:rsidRPr="007967FD">
              <w:rPr>
                <w:b/>
                <w:sz w:val="24"/>
                <w:szCs w:val="24"/>
              </w:rPr>
              <w:t>Number of respondents</w:t>
            </w:r>
          </w:p>
        </w:tc>
        <w:tc>
          <w:tcPr>
            <w:tcW w:w="1797" w:type="dxa"/>
          </w:tcPr>
          <w:p w:rsidR="009F2DC3" w:rsidRPr="007967FD" w:rsidRDefault="009F2DC3" w:rsidP="00CF293C">
            <w:pPr>
              <w:pStyle w:val="CommentText"/>
              <w:rPr>
                <w:b/>
                <w:sz w:val="24"/>
                <w:szCs w:val="24"/>
              </w:rPr>
            </w:pPr>
            <w:r>
              <w:rPr>
                <w:b/>
                <w:sz w:val="24"/>
                <w:szCs w:val="24"/>
              </w:rPr>
              <w:t>Number of responses per respondent</w:t>
            </w:r>
          </w:p>
        </w:tc>
        <w:tc>
          <w:tcPr>
            <w:tcW w:w="1797" w:type="dxa"/>
          </w:tcPr>
          <w:p w:rsidR="009F2DC3" w:rsidRPr="007967FD" w:rsidRDefault="009F2DC3" w:rsidP="00CF293C">
            <w:pPr>
              <w:pStyle w:val="CommentText"/>
              <w:rPr>
                <w:b/>
                <w:sz w:val="24"/>
                <w:szCs w:val="24"/>
              </w:rPr>
            </w:pPr>
            <w:r>
              <w:rPr>
                <w:b/>
                <w:sz w:val="24"/>
                <w:szCs w:val="24"/>
              </w:rPr>
              <w:t>Average burden hours per response</w:t>
            </w:r>
          </w:p>
        </w:tc>
        <w:tc>
          <w:tcPr>
            <w:tcW w:w="1797" w:type="dxa"/>
          </w:tcPr>
          <w:p w:rsidR="009F2DC3" w:rsidRPr="007967FD" w:rsidRDefault="009F2DC3" w:rsidP="00CF293C">
            <w:pPr>
              <w:pStyle w:val="CommentText"/>
              <w:rPr>
                <w:b/>
                <w:sz w:val="24"/>
                <w:szCs w:val="24"/>
              </w:rPr>
            </w:pPr>
            <w:r w:rsidRPr="007967FD">
              <w:rPr>
                <w:b/>
                <w:sz w:val="24"/>
                <w:szCs w:val="24"/>
              </w:rPr>
              <w:t>Total burden hours</w:t>
            </w:r>
          </w:p>
        </w:tc>
      </w:tr>
      <w:tr w:rsidR="009F2DC3" w:rsidTr="00904C67">
        <w:tc>
          <w:tcPr>
            <w:tcW w:w="2109" w:type="dxa"/>
          </w:tcPr>
          <w:p w:rsidR="009F2DC3" w:rsidRDefault="009F2DC3" w:rsidP="00CF293C">
            <w:pPr>
              <w:pStyle w:val="CommentText"/>
              <w:rPr>
                <w:sz w:val="24"/>
                <w:szCs w:val="24"/>
              </w:rPr>
            </w:pPr>
            <w:r>
              <w:rPr>
                <w:sz w:val="24"/>
                <w:szCs w:val="24"/>
              </w:rPr>
              <w:t>Annual</w:t>
            </w:r>
          </w:p>
        </w:tc>
        <w:tc>
          <w:tcPr>
            <w:tcW w:w="2174" w:type="dxa"/>
          </w:tcPr>
          <w:p w:rsidR="009F2DC3" w:rsidRDefault="009F2DC3" w:rsidP="00CF293C">
            <w:pPr>
              <w:pStyle w:val="CommentText"/>
              <w:rPr>
                <w:sz w:val="24"/>
                <w:szCs w:val="24"/>
              </w:rPr>
            </w:pPr>
            <w:r>
              <w:rPr>
                <w:sz w:val="24"/>
                <w:szCs w:val="24"/>
              </w:rPr>
              <w:t>52</w:t>
            </w:r>
          </w:p>
        </w:tc>
        <w:tc>
          <w:tcPr>
            <w:tcW w:w="1797" w:type="dxa"/>
          </w:tcPr>
          <w:p w:rsidR="009F2DC3" w:rsidRDefault="009F2DC3" w:rsidP="007967FD">
            <w:pPr>
              <w:pStyle w:val="CommentText"/>
              <w:rPr>
                <w:sz w:val="24"/>
                <w:szCs w:val="24"/>
              </w:rPr>
            </w:pPr>
            <w:r>
              <w:rPr>
                <w:sz w:val="24"/>
                <w:szCs w:val="24"/>
              </w:rPr>
              <w:t>2</w:t>
            </w:r>
          </w:p>
        </w:tc>
        <w:tc>
          <w:tcPr>
            <w:tcW w:w="1797" w:type="dxa"/>
          </w:tcPr>
          <w:p w:rsidR="009F2DC3" w:rsidRDefault="009F2DC3" w:rsidP="007967FD">
            <w:pPr>
              <w:pStyle w:val="CommentText"/>
              <w:rPr>
                <w:sz w:val="24"/>
                <w:szCs w:val="24"/>
              </w:rPr>
            </w:pPr>
            <w:r>
              <w:rPr>
                <w:sz w:val="24"/>
                <w:szCs w:val="24"/>
              </w:rPr>
              <w:t>3</w:t>
            </w:r>
          </w:p>
        </w:tc>
        <w:tc>
          <w:tcPr>
            <w:tcW w:w="1797" w:type="dxa"/>
          </w:tcPr>
          <w:p w:rsidR="009F2DC3" w:rsidRPr="007967FD" w:rsidRDefault="009F2DC3" w:rsidP="007967FD">
            <w:pPr>
              <w:pStyle w:val="CommentText"/>
              <w:rPr>
                <w:sz w:val="24"/>
                <w:szCs w:val="24"/>
              </w:rPr>
            </w:pPr>
            <w:r>
              <w:rPr>
                <w:sz w:val="24"/>
                <w:szCs w:val="24"/>
              </w:rPr>
              <w:t>312</w:t>
            </w:r>
            <w:r w:rsidRPr="007967FD">
              <w:rPr>
                <w:sz w:val="24"/>
                <w:szCs w:val="24"/>
              </w:rPr>
              <w:t xml:space="preserve"> </w:t>
            </w:r>
          </w:p>
        </w:tc>
      </w:tr>
      <w:tr w:rsidR="009F2DC3" w:rsidTr="00904C67">
        <w:trPr>
          <w:trHeight w:val="287"/>
        </w:trPr>
        <w:tc>
          <w:tcPr>
            <w:tcW w:w="2109" w:type="dxa"/>
          </w:tcPr>
          <w:p w:rsidR="009F2DC3" w:rsidRDefault="009F2DC3" w:rsidP="00CF293C">
            <w:pPr>
              <w:pStyle w:val="CommentText"/>
              <w:rPr>
                <w:sz w:val="24"/>
                <w:szCs w:val="24"/>
              </w:rPr>
            </w:pPr>
            <w:r>
              <w:rPr>
                <w:sz w:val="24"/>
                <w:szCs w:val="24"/>
              </w:rPr>
              <w:t>One-Time</w:t>
            </w:r>
          </w:p>
        </w:tc>
        <w:tc>
          <w:tcPr>
            <w:tcW w:w="2174" w:type="dxa"/>
          </w:tcPr>
          <w:p w:rsidR="009F2DC3" w:rsidRDefault="009F2DC3" w:rsidP="00CF293C">
            <w:pPr>
              <w:pStyle w:val="CommentText"/>
              <w:rPr>
                <w:sz w:val="24"/>
                <w:szCs w:val="24"/>
              </w:rPr>
            </w:pPr>
            <w:r>
              <w:rPr>
                <w:sz w:val="24"/>
                <w:szCs w:val="24"/>
              </w:rPr>
              <w:t>52</w:t>
            </w:r>
          </w:p>
        </w:tc>
        <w:tc>
          <w:tcPr>
            <w:tcW w:w="1797" w:type="dxa"/>
          </w:tcPr>
          <w:p w:rsidR="009F2DC3" w:rsidRDefault="009F2DC3" w:rsidP="00CF293C">
            <w:pPr>
              <w:pStyle w:val="CommentText"/>
              <w:rPr>
                <w:sz w:val="24"/>
                <w:szCs w:val="24"/>
              </w:rPr>
            </w:pPr>
            <w:r>
              <w:rPr>
                <w:sz w:val="24"/>
                <w:szCs w:val="24"/>
              </w:rPr>
              <w:t>1</w:t>
            </w:r>
          </w:p>
        </w:tc>
        <w:tc>
          <w:tcPr>
            <w:tcW w:w="1797" w:type="dxa"/>
          </w:tcPr>
          <w:p w:rsidR="009F2DC3" w:rsidRDefault="00B14C43" w:rsidP="00CF293C">
            <w:pPr>
              <w:pStyle w:val="CommentText"/>
              <w:rPr>
                <w:sz w:val="24"/>
                <w:szCs w:val="24"/>
              </w:rPr>
            </w:pPr>
            <w:r>
              <w:rPr>
                <w:sz w:val="24"/>
                <w:szCs w:val="24"/>
              </w:rPr>
              <w:t>6.35</w:t>
            </w:r>
          </w:p>
        </w:tc>
        <w:tc>
          <w:tcPr>
            <w:tcW w:w="1797" w:type="dxa"/>
          </w:tcPr>
          <w:p w:rsidR="009F2DC3" w:rsidRPr="007967FD" w:rsidRDefault="009F2DC3" w:rsidP="00CF293C">
            <w:pPr>
              <w:pStyle w:val="CommentText"/>
              <w:rPr>
                <w:sz w:val="24"/>
                <w:szCs w:val="24"/>
              </w:rPr>
            </w:pPr>
            <w:r>
              <w:rPr>
                <w:sz w:val="24"/>
                <w:szCs w:val="24"/>
              </w:rPr>
              <w:t>330</w:t>
            </w:r>
          </w:p>
        </w:tc>
      </w:tr>
      <w:tr w:rsidR="000D02A5" w:rsidTr="000D02A5">
        <w:trPr>
          <w:trHeight w:val="287"/>
        </w:trPr>
        <w:tc>
          <w:tcPr>
            <w:tcW w:w="2109" w:type="dxa"/>
          </w:tcPr>
          <w:p w:rsidR="000D02A5" w:rsidRDefault="000D02A5" w:rsidP="00CF293C">
            <w:pPr>
              <w:pStyle w:val="CommentText"/>
              <w:rPr>
                <w:sz w:val="24"/>
                <w:szCs w:val="24"/>
              </w:rPr>
            </w:pPr>
            <w:r>
              <w:rPr>
                <w:sz w:val="24"/>
                <w:szCs w:val="24"/>
              </w:rPr>
              <w:t xml:space="preserve">Total </w:t>
            </w:r>
          </w:p>
        </w:tc>
        <w:tc>
          <w:tcPr>
            <w:tcW w:w="2174" w:type="dxa"/>
            <w:shd w:val="clear" w:color="auto" w:fill="BFBFBF" w:themeFill="background1" w:themeFillShade="BF"/>
          </w:tcPr>
          <w:p w:rsidR="000D02A5" w:rsidRDefault="000D02A5" w:rsidP="00CF293C">
            <w:pPr>
              <w:pStyle w:val="CommentText"/>
              <w:rPr>
                <w:sz w:val="24"/>
                <w:szCs w:val="24"/>
              </w:rPr>
            </w:pPr>
          </w:p>
        </w:tc>
        <w:tc>
          <w:tcPr>
            <w:tcW w:w="1797" w:type="dxa"/>
            <w:shd w:val="clear" w:color="auto" w:fill="BFBFBF" w:themeFill="background1" w:themeFillShade="BF"/>
          </w:tcPr>
          <w:p w:rsidR="000D02A5" w:rsidRDefault="000D02A5" w:rsidP="00CF293C">
            <w:pPr>
              <w:pStyle w:val="CommentText"/>
              <w:rPr>
                <w:sz w:val="24"/>
                <w:szCs w:val="24"/>
              </w:rPr>
            </w:pPr>
          </w:p>
        </w:tc>
        <w:tc>
          <w:tcPr>
            <w:tcW w:w="1797" w:type="dxa"/>
            <w:shd w:val="clear" w:color="auto" w:fill="BFBFBF" w:themeFill="background1" w:themeFillShade="BF"/>
          </w:tcPr>
          <w:p w:rsidR="000D02A5" w:rsidRDefault="000D02A5" w:rsidP="00CF293C">
            <w:pPr>
              <w:pStyle w:val="CommentText"/>
              <w:rPr>
                <w:sz w:val="24"/>
                <w:szCs w:val="24"/>
              </w:rPr>
            </w:pPr>
          </w:p>
        </w:tc>
        <w:tc>
          <w:tcPr>
            <w:tcW w:w="1797" w:type="dxa"/>
          </w:tcPr>
          <w:p w:rsidR="000D02A5" w:rsidRDefault="000D02A5" w:rsidP="00CF293C">
            <w:pPr>
              <w:pStyle w:val="CommentText"/>
              <w:rPr>
                <w:sz w:val="24"/>
                <w:szCs w:val="24"/>
              </w:rPr>
            </w:pPr>
            <w:r>
              <w:rPr>
                <w:sz w:val="24"/>
                <w:szCs w:val="24"/>
              </w:rPr>
              <w:t>642</w:t>
            </w:r>
          </w:p>
        </w:tc>
      </w:tr>
    </w:tbl>
    <w:p w:rsidR="00F76C81" w:rsidRPr="00762E22" w:rsidRDefault="00F76C81" w:rsidP="00930560">
      <w:pPr>
        <w:pStyle w:val="CommentText"/>
        <w:rPr>
          <w:sz w:val="24"/>
          <w:szCs w:val="24"/>
        </w:rPr>
      </w:pPr>
    </w:p>
    <w:p w:rsidR="001B0970" w:rsidRPr="00762E22" w:rsidRDefault="001B0970" w:rsidP="001B0970">
      <w:pPr>
        <w:widowControl/>
        <w:autoSpaceDE w:val="0"/>
        <w:autoSpaceDN w:val="0"/>
        <w:adjustRightInd w:val="0"/>
        <w:spacing w:after="200"/>
        <w:rPr>
          <w:szCs w:val="24"/>
        </w:rPr>
      </w:pPr>
      <w:r w:rsidRPr="00762E22">
        <w:rPr>
          <w:szCs w:val="24"/>
        </w:rPr>
        <w:lastRenderedPageBreak/>
        <w:t xml:space="preserve">In estimating the burden, we included both one-time burden estimates and annual burden estimates.  The annual burden to the state title IV-E agency includes activities such as: searching data sources and gathering information, entering the information, extracting the information for AFCARS reporting, and transmitting the information to ACF.  The one-time burden for this </w:t>
      </w:r>
      <w:proofErr w:type="gramStart"/>
      <w:r w:rsidRPr="00762E22">
        <w:rPr>
          <w:szCs w:val="24"/>
        </w:rPr>
        <w:t>SNPRM,</w:t>
      </w:r>
      <w:proofErr w:type="gramEnd"/>
      <w:r w:rsidRPr="00762E22">
        <w:rPr>
          <w:szCs w:val="24"/>
        </w:rPr>
        <w:t xml:space="preserve"> includes activities to: develop or modify procedures and systems to collect, validate, and verify the information, adjust existing ways to comply with AFCARS requirements, and train personnel on the new AFCARS requirements of this SNPRM.</w:t>
      </w:r>
    </w:p>
    <w:p w:rsidR="001B0970" w:rsidRPr="00762E22" w:rsidRDefault="001B0970" w:rsidP="001B0970">
      <w:pPr>
        <w:widowControl/>
        <w:autoSpaceDE w:val="0"/>
        <w:autoSpaceDN w:val="0"/>
        <w:adjustRightInd w:val="0"/>
        <w:spacing w:after="200"/>
        <w:rPr>
          <w:szCs w:val="24"/>
        </w:rPr>
      </w:pPr>
      <w:r w:rsidRPr="00762E22">
        <w:rPr>
          <w:szCs w:val="24"/>
        </w:rPr>
        <w:t xml:space="preserve">In developing the burden estimate, we made several assumptions:  </w:t>
      </w:r>
    </w:p>
    <w:p w:rsidR="00781FD4" w:rsidRPr="00781FD4" w:rsidRDefault="00781FD4" w:rsidP="00781FD4">
      <w:pPr>
        <w:pStyle w:val="ListParagraph"/>
        <w:widowControl/>
        <w:numPr>
          <w:ilvl w:val="0"/>
          <w:numId w:val="23"/>
        </w:numPr>
        <w:autoSpaceDE w:val="0"/>
        <w:autoSpaceDN w:val="0"/>
        <w:adjustRightInd w:val="0"/>
        <w:rPr>
          <w:szCs w:val="24"/>
        </w:rPr>
      </w:pPr>
      <w:r w:rsidRPr="00781FD4">
        <w:rPr>
          <w:szCs w:val="24"/>
        </w:rPr>
        <w:t xml:space="preserve">First, ACF assumed that state title IV-E agencies may have access to most of the information for proposed data elements. ACF anticipated the information for these data elements are contained in the state title IV-E agency’s paper or electronic case files. ACF estimated that some of the data elements would only be in paper case files or narrative fields, thus not readily able to be extracted for AFCARS reporting, and would require revisions to the electronic case file so that the information can be extracted for AFCARS reporting. Some of these data elements concern collecting information on court findings and other activities taking place during court processes.   </w:t>
      </w:r>
    </w:p>
    <w:p w:rsidR="00781FD4" w:rsidRDefault="00781FD4" w:rsidP="00781FD4">
      <w:pPr>
        <w:pStyle w:val="ListParagraph"/>
        <w:widowControl/>
        <w:numPr>
          <w:ilvl w:val="0"/>
          <w:numId w:val="23"/>
        </w:numPr>
        <w:autoSpaceDE w:val="0"/>
        <w:autoSpaceDN w:val="0"/>
        <w:adjustRightInd w:val="0"/>
        <w:rPr>
          <w:szCs w:val="24"/>
        </w:rPr>
      </w:pPr>
      <w:r w:rsidRPr="00781FD4">
        <w:rPr>
          <w:snapToGrid/>
          <w:szCs w:val="24"/>
        </w:rPr>
        <w:t xml:space="preserve">Second, in order to determine the number of cases for which state title IV-E agencies will have to report the ICWA-related data elements, ACF estimated the out-of-home care reporting population using the most recent FY 2014 AFCARS data available submitted by state title IV-E agencies: 415,129 children were in foster care on September 30, 2014 and 264,746 children entered foster care during FY 2014. The state title IV-E agency will be required to report approximately 3 data elements for all children who are in the out-of-home care reporting population and approximately 24 data elements on children to whom the ICWA-related data elements apply. </w:t>
      </w:r>
      <w:r w:rsidRPr="00781FD4">
        <w:rPr>
          <w:szCs w:val="24"/>
        </w:rPr>
        <w:t>To estimate the number of children to whom the ICWA-related data elements apply, ACF used as a proxy those children whose race was reported as “American Indian or Alaska Native” in the most recent FY 2014 AFCARS data available. While not every child of this reported race category will be covered under ICWA, it is likely that the state title IV-E agency will have to explore whether these children may be Indian children as defined in ICWA. Thus, 5,960 children who entered foster care during FY 2014 were reported as American Indian or Alaska Native.</w:t>
      </w:r>
    </w:p>
    <w:p w:rsidR="00781FD4" w:rsidRDefault="00781FD4" w:rsidP="00781FD4">
      <w:pPr>
        <w:pStyle w:val="ListParagraph"/>
        <w:widowControl/>
        <w:numPr>
          <w:ilvl w:val="0"/>
          <w:numId w:val="23"/>
        </w:numPr>
        <w:autoSpaceDE w:val="0"/>
        <w:autoSpaceDN w:val="0"/>
        <w:adjustRightInd w:val="0"/>
        <w:rPr>
          <w:szCs w:val="24"/>
        </w:rPr>
      </w:pPr>
      <w:r w:rsidRPr="00781FD4">
        <w:rPr>
          <w:szCs w:val="24"/>
        </w:rPr>
        <w:t>Third, ACF assumed that there will be one-time costs to implement the requirements of this SNPRM and annual costs to collect, input, and report the information. The annual costs involve searching data, gathering the information that meet the requirements of this SNPRM, entering the information, and extracting and submitting the information for AFCARS reporting. The onetime costs mostly involve modifying procedures and systems to collect, validate and verify</w:t>
      </w:r>
      <w:r w:rsidRPr="00781FD4">
        <w:rPr>
          <w:snapToGrid/>
          <w:szCs w:val="24"/>
        </w:rPr>
        <w:t xml:space="preserve"> </w:t>
      </w:r>
      <w:r w:rsidRPr="00781FD4">
        <w:rPr>
          <w:szCs w:val="24"/>
        </w:rPr>
        <w:t>information, adjusting existing ways to comply with AFCARS; and training personnel on the new AFCARS requirements of this SNPRM.</w:t>
      </w:r>
    </w:p>
    <w:p w:rsidR="00781FD4" w:rsidRDefault="00781FD4" w:rsidP="00781FD4">
      <w:pPr>
        <w:pStyle w:val="ListParagraph"/>
        <w:widowControl/>
        <w:numPr>
          <w:ilvl w:val="0"/>
          <w:numId w:val="23"/>
        </w:numPr>
        <w:autoSpaceDE w:val="0"/>
        <w:autoSpaceDN w:val="0"/>
        <w:adjustRightInd w:val="0"/>
        <w:rPr>
          <w:szCs w:val="24"/>
        </w:rPr>
      </w:pPr>
      <w:r w:rsidRPr="00781FD4">
        <w:rPr>
          <w:szCs w:val="24"/>
        </w:rPr>
        <w:t>Fourth, ACF assumed that the one-time burden is similar to how long it would take to make revisions to a SACWIS to be able to meet the requirements of the SNPRM. Currently, 36 states have an operational SACWIS. ACF understands that 24 states opted to collect at least a minimal amount of ICWA-related information per the SACWIS Assessment Review Guide, but also recognize that most state title IV-E agencies will require some revisions to meet the requirements of this SNPRM. As more states build SACWIS, ACF anticipates it will lead to more efficiency in reporting and less cost and burden to the state agencies.</w:t>
      </w:r>
      <w:r>
        <w:rPr>
          <w:szCs w:val="24"/>
        </w:rPr>
        <w:t xml:space="preserve"> </w:t>
      </w:r>
    </w:p>
    <w:p w:rsidR="001B0970" w:rsidRPr="00781FD4" w:rsidRDefault="00781FD4" w:rsidP="00781FD4">
      <w:pPr>
        <w:pStyle w:val="ListParagraph"/>
        <w:widowControl/>
        <w:numPr>
          <w:ilvl w:val="0"/>
          <w:numId w:val="23"/>
        </w:numPr>
        <w:autoSpaceDE w:val="0"/>
        <w:autoSpaceDN w:val="0"/>
        <w:adjustRightInd w:val="0"/>
        <w:rPr>
          <w:szCs w:val="24"/>
        </w:rPr>
      </w:pPr>
      <w:r w:rsidRPr="00781FD4">
        <w:rPr>
          <w:szCs w:val="24"/>
        </w:rPr>
        <w:t xml:space="preserve">Finally, after reviewing the 2014 Bureau of Labor Statistics data to help determine the costs of the SNPRM, ACF assumed that there will be a mix of staff working to meet both the one-time </w:t>
      </w:r>
      <w:r w:rsidRPr="00781FD4">
        <w:rPr>
          <w:szCs w:val="24"/>
        </w:rPr>
        <w:lastRenderedPageBreak/>
        <w:t>and annual requirements of this SNPRM with the job role of Management Analyst (13-1111) with a mean hourly wage estimate of $43.68 and those with the job role of Social and Community Service Managers (11-9151) with a mean hourly wage estimate of $32.56. Thus, ACF averaged the two wages to come to an average labor rate of $38.12. In order to ensure we</w:t>
      </w:r>
      <w:r>
        <w:rPr>
          <w:szCs w:val="24"/>
        </w:rPr>
        <w:t xml:space="preserve"> </w:t>
      </w:r>
      <w:r w:rsidRPr="00781FD4">
        <w:rPr>
          <w:szCs w:val="24"/>
        </w:rPr>
        <w:t>took into account overhead costs associated with these labor costs, ACF doubled this rate.</w:t>
      </w:r>
    </w:p>
    <w:p w:rsidR="005135AC" w:rsidRPr="00762E22" w:rsidRDefault="005135AC" w:rsidP="009418ED">
      <w:pPr>
        <w:widowControl/>
        <w:autoSpaceDE w:val="0"/>
        <w:autoSpaceDN w:val="0"/>
        <w:adjustRightInd w:val="0"/>
        <w:spacing w:after="200"/>
        <w:rPr>
          <w:rFonts w:eastAsia="Calibri"/>
          <w:snapToGrid/>
          <w:color w:val="000000"/>
          <w:szCs w:val="24"/>
        </w:rPr>
      </w:pPr>
    </w:p>
    <w:p w:rsidR="00C325E9" w:rsidRPr="005A6E30" w:rsidRDefault="009418ED" w:rsidP="00C325E9">
      <w:pPr>
        <w:widowControl/>
        <w:autoSpaceDE w:val="0"/>
        <w:autoSpaceDN w:val="0"/>
        <w:adjustRightInd w:val="0"/>
        <w:rPr>
          <w:rFonts w:eastAsia="Calibri"/>
          <w:snapToGrid/>
          <w:szCs w:val="24"/>
        </w:rPr>
      </w:pPr>
      <w:r w:rsidRPr="00762E22">
        <w:rPr>
          <w:rFonts w:eastAsia="Calibri"/>
          <w:b/>
          <w:snapToGrid/>
          <w:szCs w:val="24"/>
        </w:rPr>
        <w:t>Annual Recordkeeping and Reporting Burden Estimate</w:t>
      </w:r>
      <w:r w:rsidRPr="00762E22">
        <w:rPr>
          <w:rFonts w:eastAsia="Calibri"/>
          <w:snapToGrid/>
          <w:szCs w:val="24"/>
        </w:rPr>
        <w:t xml:space="preserve">:  </w:t>
      </w:r>
      <w:r w:rsidRPr="00762E22">
        <w:rPr>
          <w:rFonts w:eastAsia="Calibri"/>
          <w:snapToGrid/>
          <w:color w:val="000000"/>
          <w:szCs w:val="24"/>
        </w:rPr>
        <w:t xml:space="preserve">We estimated the annual recordkeeping and reporting burden by multiplying the time spent on the recordkeeping and reporting activities described below by the number of children in foster care to arrive at the total recordkeeping hours.  </w:t>
      </w:r>
      <w:r w:rsidR="00C325E9" w:rsidRPr="00C325E9">
        <w:rPr>
          <w:rFonts w:eastAsia="Calibri"/>
          <w:snapToGrid/>
          <w:color w:val="000000"/>
          <w:szCs w:val="24"/>
        </w:rPr>
        <w:t>These estimates represent the work associated with the state title IV-E</w:t>
      </w:r>
      <w:r w:rsidR="00C325E9">
        <w:rPr>
          <w:rFonts w:eastAsia="Calibri"/>
          <w:snapToGrid/>
          <w:color w:val="000000"/>
          <w:szCs w:val="24"/>
        </w:rPr>
        <w:t xml:space="preserve"> </w:t>
      </w:r>
      <w:r w:rsidR="00C325E9" w:rsidRPr="00C325E9">
        <w:rPr>
          <w:rFonts w:eastAsia="Calibri"/>
          <w:snapToGrid/>
          <w:color w:val="000000"/>
          <w:szCs w:val="24"/>
        </w:rPr>
        <w:t>agency searching data sources and gathering information, entering the information, extracting the</w:t>
      </w:r>
      <w:r w:rsidR="00C325E9">
        <w:rPr>
          <w:rFonts w:eastAsia="Calibri"/>
          <w:snapToGrid/>
          <w:color w:val="000000"/>
          <w:szCs w:val="24"/>
        </w:rPr>
        <w:t xml:space="preserve"> </w:t>
      </w:r>
      <w:r w:rsidR="00C325E9" w:rsidRPr="00C325E9">
        <w:rPr>
          <w:rFonts w:eastAsia="Calibri"/>
          <w:snapToGrid/>
          <w:color w:val="000000"/>
          <w:szCs w:val="24"/>
        </w:rPr>
        <w:t>information for AFCARS reporting, and transmitting the information to ACF. These estimates</w:t>
      </w:r>
      <w:r w:rsidR="00C325E9">
        <w:rPr>
          <w:rFonts w:eastAsia="Calibri"/>
          <w:snapToGrid/>
          <w:color w:val="000000"/>
          <w:szCs w:val="24"/>
        </w:rPr>
        <w:t xml:space="preserve"> </w:t>
      </w:r>
      <w:r w:rsidR="00C325E9" w:rsidRPr="00C325E9">
        <w:rPr>
          <w:rFonts w:eastAsia="Calibri"/>
          <w:snapToGrid/>
          <w:color w:val="000000"/>
          <w:szCs w:val="24"/>
        </w:rPr>
        <w:t>are based on our assumptions, described above, on how much of the information proposed in this</w:t>
      </w:r>
      <w:r w:rsidR="00C325E9">
        <w:rPr>
          <w:rFonts w:eastAsia="Calibri"/>
          <w:snapToGrid/>
          <w:color w:val="000000"/>
          <w:szCs w:val="24"/>
        </w:rPr>
        <w:t xml:space="preserve"> </w:t>
      </w:r>
      <w:r w:rsidR="00C325E9" w:rsidRPr="00C325E9">
        <w:rPr>
          <w:rFonts w:eastAsia="Calibri"/>
          <w:snapToGrid/>
          <w:color w:val="000000"/>
          <w:szCs w:val="24"/>
        </w:rPr>
        <w:t>SNPRM state title IV-E agencies currently have in their electronic or paper case files or</w:t>
      </w:r>
      <w:r w:rsidR="00C325E9">
        <w:rPr>
          <w:rFonts w:eastAsia="Calibri"/>
          <w:snapToGrid/>
          <w:color w:val="000000"/>
          <w:szCs w:val="24"/>
        </w:rPr>
        <w:t xml:space="preserve"> </w:t>
      </w:r>
      <w:r w:rsidR="00C325E9" w:rsidRPr="00C325E9">
        <w:rPr>
          <w:rFonts w:eastAsia="Calibri"/>
          <w:snapToGrid/>
          <w:color w:val="000000"/>
          <w:szCs w:val="24"/>
        </w:rPr>
        <w:t>information system or have ready access to, while taking into account that some of the elements</w:t>
      </w:r>
      <w:r w:rsidR="00C325E9">
        <w:rPr>
          <w:rFonts w:eastAsia="Calibri"/>
          <w:snapToGrid/>
          <w:color w:val="000000"/>
          <w:szCs w:val="24"/>
        </w:rPr>
        <w:t xml:space="preserve"> </w:t>
      </w:r>
      <w:r w:rsidR="00C325E9" w:rsidRPr="00C325E9">
        <w:rPr>
          <w:rFonts w:eastAsia="Calibri"/>
          <w:snapToGrid/>
          <w:color w:val="000000"/>
          <w:szCs w:val="24"/>
        </w:rPr>
        <w:t>may require more effort to gather the information if it is not readily accessible.</w:t>
      </w:r>
    </w:p>
    <w:p w:rsidR="00C325E9" w:rsidRDefault="00C325E9" w:rsidP="00C325E9">
      <w:pPr>
        <w:pStyle w:val="ListParagraph"/>
        <w:widowControl/>
        <w:numPr>
          <w:ilvl w:val="0"/>
          <w:numId w:val="27"/>
        </w:numPr>
        <w:autoSpaceDE w:val="0"/>
        <w:autoSpaceDN w:val="0"/>
        <w:adjustRightInd w:val="0"/>
        <w:rPr>
          <w:rFonts w:eastAsia="Calibri"/>
          <w:snapToGrid/>
          <w:color w:val="000000"/>
          <w:szCs w:val="24"/>
        </w:rPr>
      </w:pPr>
      <w:r w:rsidRPr="00C325E9">
        <w:rPr>
          <w:rFonts w:eastAsia="Calibri"/>
          <w:snapToGrid/>
          <w:color w:val="000000"/>
          <w:szCs w:val="24"/>
        </w:rPr>
        <w:t xml:space="preserve">Gathering the information for and entering the ICWA-related data elements that apply to all children who enter foster care </w:t>
      </w:r>
    </w:p>
    <w:p w:rsidR="00C325E9" w:rsidRDefault="00C325E9" w:rsidP="00C325E9">
      <w:pPr>
        <w:pStyle w:val="ListParagraph"/>
        <w:widowControl/>
        <w:numPr>
          <w:ilvl w:val="0"/>
          <w:numId w:val="27"/>
        </w:numPr>
        <w:autoSpaceDE w:val="0"/>
        <w:autoSpaceDN w:val="0"/>
        <w:adjustRightInd w:val="0"/>
        <w:rPr>
          <w:rFonts w:eastAsia="Calibri"/>
          <w:snapToGrid/>
          <w:color w:val="000000"/>
          <w:szCs w:val="24"/>
        </w:rPr>
      </w:pPr>
      <w:r w:rsidRPr="00C325E9">
        <w:rPr>
          <w:rFonts w:eastAsia="Calibri"/>
          <w:snapToGrid/>
          <w:color w:val="000000"/>
          <w:szCs w:val="24"/>
        </w:rPr>
        <w:t>Gathering the information for and entering the ICWA-related data elements that apply to children in foster care who are covered by ICWA.</w:t>
      </w:r>
    </w:p>
    <w:p w:rsidR="00C325E9" w:rsidRPr="00C325E9" w:rsidRDefault="00C325E9" w:rsidP="00C325E9">
      <w:pPr>
        <w:pStyle w:val="ListParagraph"/>
        <w:widowControl/>
        <w:numPr>
          <w:ilvl w:val="0"/>
          <w:numId w:val="27"/>
        </w:numPr>
        <w:autoSpaceDE w:val="0"/>
        <w:autoSpaceDN w:val="0"/>
        <w:adjustRightInd w:val="0"/>
        <w:rPr>
          <w:rFonts w:eastAsia="Calibri"/>
          <w:snapToGrid/>
          <w:color w:val="000000"/>
          <w:szCs w:val="24"/>
        </w:rPr>
      </w:pPr>
      <w:r w:rsidRPr="00C325E9">
        <w:rPr>
          <w:rFonts w:eastAsia="Calibri"/>
          <w:snapToGrid/>
          <w:color w:val="000000"/>
          <w:szCs w:val="24"/>
        </w:rPr>
        <w:t>Extracting and submitting the information to ACF for AFCARS reporting on average will take 6 annual burden hours per state title IV-E agency.</w:t>
      </w:r>
    </w:p>
    <w:p w:rsidR="00C325E9" w:rsidRDefault="00C325E9" w:rsidP="00C325E9">
      <w:pPr>
        <w:widowControl/>
        <w:autoSpaceDE w:val="0"/>
        <w:autoSpaceDN w:val="0"/>
        <w:adjustRightInd w:val="0"/>
        <w:rPr>
          <w:rFonts w:eastAsia="Calibri"/>
          <w:snapToGrid/>
          <w:color w:val="000000"/>
          <w:szCs w:val="24"/>
        </w:rPr>
      </w:pPr>
    </w:p>
    <w:p w:rsidR="00073E59" w:rsidRDefault="009418ED" w:rsidP="00073E59">
      <w:pPr>
        <w:widowControl/>
        <w:autoSpaceDE w:val="0"/>
        <w:autoSpaceDN w:val="0"/>
        <w:adjustRightInd w:val="0"/>
        <w:rPr>
          <w:rFonts w:eastAsia="Calibri"/>
          <w:snapToGrid/>
          <w:color w:val="000000"/>
          <w:szCs w:val="24"/>
        </w:rPr>
      </w:pPr>
      <w:r w:rsidRPr="00762E22">
        <w:rPr>
          <w:rFonts w:eastAsia="Calibri"/>
          <w:b/>
          <w:snapToGrid/>
          <w:color w:val="000000"/>
          <w:szCs w:val="24"/>
        </w:rPr>
        <w:t>One-Time Burden Estimate</w:t>
      </w:r>
      <w:r w:rsidRPr="00762E22">
        <w:rPr>
          <w:rFonts w:eastAsia="Calibri"/>
          <w:snapToGrid/>
          <w:color w:val="000000"/>
          <w:szCs w:val="24"/>
        </w:rPr>
        <w:t>:</w:t>
      </w:r>
      <w:r w:rsidR="00073E59">
        <w:rPr>
          <w:rFonts w:eastAsia="Calibri"/>
          <w:snapToGrid/>
          <w:color w:val="000000"/>
          <w:szCs w:val="24"/>
        </w:rPr>
        <w:t xml:space="preserve"> </w:t>
      </w:r>
      <w:r w:rsidR="00073E59" w:rsidRPr="00073E59">
        <w:rPr>
          <w:rFonts w:eastAsia="Calibri"/>
          <w:snapToGrid/>
          <w:color w:val="000000"/>
          <w:szCs w:val="24"/>
        </w:rPr>
        <w:t>The one-time burden estimates represent the work associated with</w:t>
      </w:r>
      <w:r w:rsidR="00734C9C">
        <w:rPr>
          <w:rFonts w:eastAsia="Calibri"/>
          <w:snapToGrid/>
          <w:color w:val="000000"/>
          <w:szCs w:val="24"/>
        </w:rPr>
        <w:t xml:space="preserve"> </w:t>
      </w:r>
      <w:r w:rsidR="00073E59" w:rsidRPr="00073E59">
        <w:rPr>
          <w:rFonts w:eastAsia="Calibri"/>
          <w:snapToGrid/>
          <w:color w:val="000000"/>
          <w:szCs w:val="24"/>
        </w:rPr>
        <w:t>the activities described below. As stated above, ACF came to these estimates by using average</w:t>
      </w:r>
      <w:r w:rsidR="00734C9C">
        <w:rPr>
          <w:rFonts w:eastAsia="Calibri"/>
          <w:snapToGrid/>
          <w:color w:val="000000"/>
          <w:szCs w:val="24"/>
        </w:rPr>
        <w:t xml:space="preserve"> </w:t>
      </w:r>
      <w:r w:rsidR="00073E59" w:rsidRPr="00073E59">
        <w:rPr>
          <w:rFonts w:eastAsia="Calibri"/>
          <w:snapToGrid/>
          <w:color w:val="000000"/>
          <w:szCs w:val="24"/>
        </w:rPr>
        <w:t>estimates for revising a SACWIS, which is the best information available. It is also important to</w:t>
      </w:r>
      <w:r w:rsidR="00073E59">
        <w:rPr>
          <w:rFonts w:eastAsia="Calibri"/>
          <w:snapToGrid/>
          <w:color w:val="000000"/>
          <w:szCs w:val="24"/>
        </w:rPr>
        <w:t xml:space="preserve"> </w:t>
      </w:r>
      <w:r w:rsidR="00073E59" w:rsidRPr="00073E59">
        <w:rPr>
          <w:rFonts w:eastAsia="Calibri"/>
          <w:snapToGrid/>
          <w:color w:val="000000"/>
          <w:szCs w:val="24"/>
        </w:rPr>
        <w:t>note that states will have the option of updating their systems in a streamlined manner since ACF</w:t>
      </w:r>
      <w:r w:rsidR="00073E59">
        <w:rPr>
          <w:rFonts w:eastAsia="Calibri"/>
          <w:snapToGrid/>
          <w:color w:val="000000"/>
          <w:szCs w:val="24"/>
        </w:rPr>
        <w:t xml:space="preserve"> </w:t>
      </w:r>
      <w:r w:rsidR="00073E59" w:rsidRPr="00073E59">
        <w:rPr>
          <w:rFonts w:eastAsia="Calibri"/>
          <w:snapToGrid/>
          <w:color w:val="000000"/>
          <w:szCs w:val="24"/>
        </w:rPr>
        <w:t>plans to issue the final rules for new AFCARS regulations and for child welfare information</w:t>
      </w:r>
      <w:r w:rsidR="00734C9C">
        <w:rPr>
          <w:rFonts w:eastAsia="Calibri"/>
          <w:snapToGrid/>
          <w:color w:val="000000"/>
          <w:szCs w:val="24"/>
        </w:rPr>
        <w:t xml:space="preserve"> </w:t>
      </w:r>
      <w:r w:rsidR="00073E59" w:rsidRPr="00073E59">
        <w:rPr>
          <w:rFonts w:eastAsia="Calibri"/>
          <w:snapToGrid/>
          <w:color w:val="000000"/>
          <w:szCs w:val="24"/>
        </w:rPr>
        <w:t>systems.</w:t>
      </w:r>
    </w:p>
    <w:p w:rsidR="00073E59" w:rsidRDefault="00073E59" w:rsidP="00073E59">
      <w:pPr>
        <w:pStyle w:val="ListParagraph"/>
        <w:widowControl/>
        <w:numPr>
          <w:ilvl w:val="0"/>
          <w:numId w:val="28"/>
        </w:numPr>
        <w:autoSpaceDE w:val="0"/>
        <w:autoSpaceDN w:val="0"/>
        <w:adjustRightInd w:val="0"/>
        <w:rPr>
          <w:rFonts w:eastAsia="Calibri"/>
          <w:snapToGrid/>
          <w:color w:val="000000"/>
          <w:szCs w:val="24"/>
        </w:rPr>
      </w:pPr>
      <w:r w:rsidRPr="00073E59">
        <w:rPr>
          <w:rFonts w:eastAsia="Calibri"/>
          <w:snapToGrid/>
          <w:color w:val="000000"/>
          <w:szCs w:val="24"/>
        </w:rPr>
        <w:t>Modifying procedures and systems (including developing or acquiring technology) to collect, validate, verify, process, and report the information to ACF.</w:t>
      </w:r>
      <w:r>
        <w:rPr>
          <w:rFonts w:eastAsia="Calibri"/>
          <w:snapToGrid/>
          <w:color w:val="000000"/>
          <w:szCs w:val="24"/>
        </w:rPr>
        <w:t xml:space="preserve"> </w:t>
      </w:r>
    </w:p>
    <w:p w:rsidR="00073E59" w:rsidRDefault="00073E59" w:rsidP="00073E59">
      <w:pPr>
        <w:pStyle w:val="ListParagraph"/>
        <w:widowControl/>
        <w:numPr>
          <w:ilvl w:val="0"/>
          <w:numId w:val="28"/>
        </w:numPr>
        <w:autoSpaceDE w:val="0"/>
        <w:autoSpaceDN w:val="0"/>
        <w:adjustRightInd w:val="0"/>
        <w:rPr>
          <w:rFonts w:eastAsia="Calibri"/>
          <w:snapToGrid/>
          <w:color w:val="000000"/>
          <w:szCs w:val="24"/>
        </w:rPr>
      </w:pPr>
      <w:r w:rsidRPr="00073E59">
        <w:rPr>
          <w:rFonts w:eastAsia="Calibri"/>
          <w:snapToGrid/>
          <w:color w:val="000000"/>
          <w:szCs w:val="24"/>
        </w:rPr>
        <w:t>Adjustments to the existing ways to comply with AFCARS, developing technology and systems to collect and process data.</w:t>
      </w:r>
      <w:r>
        <w:rPr>
          <w:rFonts w:eastAsia="Calibri"/>
          <w:snapToGrid/>
          <w:color w:val="000000"/>
          <w:szCs w:val="24"/>
        </w:rPr>
        <w:t xml:space="preserve"> </w:t>
      </w:r>
    </w:p>
    <w:p w:rsidR="00073E59" w:rsidRDefault="00073E59" w:rsidP="00073E59">
      <w:pPr>
        <w:pStyle w:val="ListParagraph"/>
        <w:widowControl/>
        <w:numPr>
          <w:ilvl w:val="0"/>
          <w:numId w:val="28"/>
        </w:numPr>
        <w:autoSpaceDE w:val="0"/>
        <w:autoSpaceDN w:val="0"/>
        <w:adjustRightInd w:val="0"/>
        <w:rPr>
          <w:rFonts w:eastAsia="Calibri"/>
          <w:snapToGrid/>
          <w:color w:val="000000"/>
          <w:szCs w:val="24"/>
        </w:rPr>
      </w:pPr>
      <w:r w:rsidRPr="00073E59">
        <w:rPr>
          <w:rFonts w:eastAsia="Calibri"/>
          <w:snapToGrid/>
          <w:color w:val="000000"/>
          <w:szCs w:val="24"/>
        </w:rPr>
        <w:t>The administrative tasks associated with training personnel on the new AFCARS requirements of this SNPRM which include reviewing instructions, including training development and manuals.</w:t>
      </w:r>
    </w:p>
    <w:p w:rsidR="009418ED" w:rsidRPr="00073E59" w:rsidRDefault="00073E59" w:rsidP="00073E59">
      <w:pPr>
        <w:pStyle w:val="ListParagraph"/>
        <w:widowControl/>
        <w:numPr>
          <w:ilvl w:val="0"/>
          <w:numId w:val="28"/>
        </w:numPr>
        <w:autoSpaceDE w:val="0"/>
        <w:autoSpaceDN w:val="0"/>
        <w:adjustRightInd w:val="0"/>
        <w:rPr>
          <w:rFonts w:eastAsia="Calibri"/>
          <w:snapToGrid/>
          <w:color w:val="000000"/>
          <w:szCs w:val="24"/>
        </w:rPr>
      </w:pPr>
      <w:r w:rsidRPr="00073E59">
        <w:rPr>
          <w:rFonts w:eastAsia="Calibri"/>
          <w:snapToGrid/>
          <w:color w:val="000000"/>
          <w:szCs w:val="24"/>
        </w:rPr>
        <w:t>Training personnel on the new AFCARS requirements of this SNPRM.</w:t>
      </w:r>
    </w:p>
    <w:p w:rsidR="00073E59" w:rsidRDefault="00073E59" w:rsidP="00073E59">
      <w:pPr>
        <w:widowControl/>
        <w:autoSpaceDE w:val="0"/>
        <w:autoSpaceDN w:val="0"/>
        <w:adjustRightInd w:val="0"/>
        <w:rPr>
          <w:rFonts w:eastAsia="Calibri"/>
          <w:b/>
          <w:snapToGrid/>
          <w:color w:val="000000"/>
          <w:szCs w:val="24"/>
        </w:rPr>
      </w:pPr>
    </w:p>
    <w:p w:rsidR="00734C9C" w:rsidRPr="00734C9C" w:rsidRDefault="0010626C" w:rsidP="00734C9C">
      <w:pPr>
        <w:widowControl/>
        <w:autoSpaceDE w:val="0"/>
        <w:autoSpaceDN w:val="0"/>
        <w:adjustRightInd w:val="0"/>
        <w:rPr>
          <w:rFonts w:eastAsia="Calibri"/>
          <w:snapToGrid/>
          <w:color w:val="000000"/>
          <w:szCs w:val="24"/>
        </w:rPr>
      </w:pPr>
      <w:r w:rsidRPr="0010626C">
        <w:rPr>
          <w:rFonts w:eastAsia="Calibri"/>
          <w:b/>
          <w:snapToGrid/>
          <w:color w:val="000000"/>
          <w:szCs w:val="24"/>
        </w:rPr>
        <w:t>Total Burden Cost</w:t>
      </w:r>
      <w:r w:rsidRPr="0010626C">
        <w:rPr>
          <w:rFonts w:eastAsia="Calibri"/>
          <w:snapToGrid/>
          <w:color w:val="000000"/>
          <w:szCs w:val="24"/>
        </w:rPr>
        <w:t xml:space="preserve">: </w:t>
      </w:r>
      <w:r w:rsidR="00734C9C" w:rsidRPr="00734C9C">
        <w:rPr>
          <w:rFonts w:eastAsia="Calibri"/>
          <w:snapToGrid/>
          <w:color w:val="000000"/>
          <w:szCs w:val="24"/>
        </w:rPr>
        <w:t>ACF used a total cost and burden hour estimates to provide additional detail on projected</w:t>
      </w:r>
      <w:r w:rsidR="00734C9C">
        <w:rPr>
          <w:rFonts w:eastAsia="Calibri"/>
          <w:snapToGrid/>
          <w:color w:val="000000"/>
          <w:szCs w:val="24"/>
        </w:rPr>
        <w:t xml:space="preserve"> </w:t>
      </w:r>
      <w:r w:rsidR="00734C9C" w:rsidRPr="00734C9C">
        <w:rPr>
          <w:rFonts w:eastAsia="Calibri"/>
          <w:snapToGrid/>
          <w:color w:val="000000"/>
          <w:szCs w:val="24"/>
        </w:rPr>
        <w:t>average cost for each state title IV-E agency implementing the changes described in this</w:t>
      </w:r>
    </w:p>
    <w:p w:rsidR="0010626C" w:rsidRDefault="00734C9C" w:rsidP="00734C9C">
      <w:pPr>
        <w:widowControl/>
        <w:autoSpaceDE w:val="0"/>
        <w:autoSpaceDN w:val="0"/>
        <w:adjustRightInd w:val="0"/>
        <w:rPr>
          <w:rFonts w:eastAsia="Calibri"/>
          <w:snapToGrid/>
          <w:color w:val="000000"/>
          <w:szCs w:val="24"/>
        </w:rPr>
      </w:pPr>
      <w:proofErr w:type="gramStart"/>
      <w:r w:rsidRPr="00734C9C">
        <w:rPr>
          <w:rFonts w:eastAsia="Calibri"/>
          <w:snapToGrid/>
          <w:color w:val="000000"/>
          <w:szCs w:val="24"/>
        </w:rPr>
        <w:t>SNPRM.</w:t>
      </w:r>
      <w:proofErr w:type="gramEnd"/>
      <w:r w:rsidRPr="00734C9C">
        <w:rPr>
          <w:rFonts w:eastAsia="Calibri"/>
          <w:snapToGrid/>
          <w:color w:val="000000"/>
          <w:szCs w:val="24"/>
        </w:rPr>
        <w:t xml:space="preserve"> </w:t>
      </w:r>
      <w:r w:rsidR="00562FBA">
        <w:rPr>
          <w:rFonts w:eastAsia="Calibri"/>
          <w:snapToGrid/>
          <w:color w:val="000000"/>
          <w:szCs w:val="24"/>
        </w:rPr>
        <w:t xml:space="preserve"> </w:t>
      </w:r>
      <w:r w:rsidRPr="00734C9C">
        <w:rPr>
          <w:rFonts w:eastAsia="Calibri"/>
          <w:snapToGrid/>
          <w:color w:val="000000"/>
          <w:szCs w:val="24"/>
        </w:rPr>
        <w:t>Once the burden hours were determined, ACF developed an estimate of the associated</w:t>
      </w:r>
      <w:r w:rsidR="00562FBA">
        <w:rPr>
          <w:rFonts w:eastAsia="Calibri"/>
          <w:snapToGrid/>
          <w:color w:val="000000"/>
          <w:szCs w:val="24"/>
        </w:rPr>
        <w:t xml:space="preserve"> </w:t>
      </w:r>
      <w:r w:rsidRPr="00734C9C">
        <w:rPr>
          <w:rFonts w:eastAsia="Calibri"/>
          <w:snapToGrid/>
          <w:color w:val="000000"/>
          <w:szCs w:val="24"/>
        </w:rPr>
        <w:t xml:space="preserve">cost for state title IV-E agencies to conduct these activities, as applicable. </w:t>
      </w:r>
      <w:r w:rsidR="00562FBA">
        <w:rPr>
          <w:rFonts w:eastAsia="Calibri"/>
          <w:snapToGrid/>
          <w:color w:val="000000"/>
          <w:szCs w:val="24"/>
        </w:rPr>
        <w:t xml:space="preserve"> </w:t>
      </w:r>
      <w:r w:rsidRPr="00734C9C">
        <w:rPr>
          <w:rFonts w:eastAsia="Calibri"/>
          <w:snapToGrid/>
          <w:color w:val="000000"/>
          <w:szCs w:val="24"/>
        </w:rPr>
        <w:t>Based on our</w:t>
      </w:r>
      <w:r w:rsidR="00562FBA">
        <w:rPr>
          <w:rFonts w:eastAsia="Calibri"/>
          <w:snapToGrid/>
          <w:color w:val="000000"/>
          <w:szCs w:val="24"/>
        </w:rPr>
        <w:t xml:space="preserve"> </w:t>
      </w:r>
      <w:r w:rsidRPr="00734C9C">
        <w:rPr>
          <w:rFonts w:eastAsia="Calibri"/>
          <w:snapToGrid/>
          <w:color w:val="000000"/>
          <w:szCs w:val="24"/>
        </w:rPr>
        <w:t>assumptions above, ACF used an average labor rate of $38.12 and doubled this rate to account</w:t>
      </w:r>
      <w:r w:rsidR="00562FBA">
        <w:rPr>
          <w:rFonts w:eastAsia="Calibri"/>
          <w:snapToGrid/>
          <w:color w:val="000000"/>
          <w:szCs w:val="24"/>
        </w:rPr>
        <w:t xml:space="preserve"> </w:t>
      </w:r>
      <w:r w:rsidRPr="00734C9C">
        <w:rPr>
          <w:rFonts w:eastAsia="Calibri"/>
          <w:snapToGrid/>
          <w:color w:val="000000"/>
          <w:szCs w:val="24"/>
        </w:rPr>
        <w:t xml:space="preserve">for overhead costs ($76.24). </w:t>
      </w:r>
      <w:r w:rsidR="00562FBA">
        <w:rPr>
          <w:rFonts w:eastAsia="Calibri"/>
          <w:snapToGrid/>
          <w:color w:val="000000"/>
          <w:szCs w:val="24"/>
        </w:rPr>
        <w:t xml:space="preserve"> </w:t>
      </w:r>
      <w:r w:rsidRPr="00734C9C">
        <w:rPr>
          <w:rFonts w:eastAsia="Calibri"/>
          <w:snapToGrid/>
          <w:color w:val="000000"/>
          <w:szCs w:val="24"/>
        </w:rPr>
        <w:t>Federal reimbursement under title IV-E will be available for a portion of</w:t>
      </w:r>
      <w:r w:rsidR="00562FBA">
        <w:rPr>
          <w:rFonts w:eastAsia="Calibri"/>
          <w:snapToGrid/>
          <w:color w:val="000000"/>
          <w:szCs w:val="24"/>
        </w:rPr>
        <w:t xml:space="preserve"> </w:t>
      </w:r>
      <w:r w:rsidRPr="00734C9C">
        <w:rPr>
          <w:rFonts w:eastAsia="Calibri"/>
          <w:snapToGrid/>
          <w:color w:val="000000"/>
          <w:szCs w:val="24"/>
        </w:rPr>
        <w:t>the costs that title IV-E agencies will incur as a result of the revisions proposed in this rule,</w:t>
      </w:r>
      <w:r w:rsidR="00562FBA">
        <w:rPr>
          <w:rFonts w:eastAsia="Calibri"/>
          <w:snapToGrid/>
          <w:color w:val="000000"/>
          <w:szCs w:val="24"/>
        </w:rPr>
        <w:t xml:space="preserve"> </w:t>
      </w:r>
      <w:r w:rsidRPr="00734C9C">
        <w:rPr>
          <w:rFonts w:eastAsia="Calibri"/>
          <w:snapToGrid/>
          <w:color w:val="000000"/>
          <w:szCs w:val="24"/>
        </w:rPr>
        <w:t>depending on each agency’s cost allocation plan, information system, and other factors.</w:t>
      </w:r>
    </w:p>
    <w:p w:rsidR="00562FBA" w:rsidRDefault="00562FBA" w:rsidP="00562FBA">
      <w:pPr>
        <w:spacing w:before="100" w:beforeAutospacing="1" w:after="100" w:afterAutospacing="1"/>
        <w:rPr>
          <w:rFonts w:eastAsia="Calibri"/>
          <w:snapToGrid/>
          <w:color w:val="000000"/>
          <w:szCs w:val="24"/>
        </w:rPr>
      </w:pPr>
    </w:p>
    <w:p w:rsidR="00562FBA" w:rsidRDefault="00562FBA" w:rsidP="00562FBA">
      <w:pPr>
        <w:spacing w:before="100" w:beforeAutospacing="1" w:after="100" w:afterAutospacing="1"/>
        <w:rPr>
          <w:rFonts w:eastAsia="Calibri"/>
          <w:snapToGrid/>
          <w:color w:val="000000"/>
          <w:szCs w:val="24"/>
        </w:rPr>
      </w:pPr>
    </w:p>
    <w:p w:rsidR="00562FBA" w:rsidRDefault="00562FBA" w:rsidP="00562FBA">
      <w:pPr>
        <w:spacing w:before="100" w:beforeAutospacing="1" w:after="100" w:afterAutospacing="1"/>
        <w:rPr>
          <w:rFonts w:eastAsia="Calibri"/>
          <w:snapToGrid/>
          <w:color w:val="000000"/>
          <w:szCs w:val="24"/>
        </w:rPr>
      </w:pPr>
    </w:p>
    <w:p w:rsidR="00562FBA" w:rsidRDefault="00562FBA" w:rsidP="00562FBA">
      <w:pPr>
        <w:spacing w:before="100" w:beforeAutospacing="1" w:after="100" w:afterAutospacing="1"/>
        <w:rPr>
          <w:szCs w:val="24"/>
        </w:rPr>
      </w:pPr>
    </w:p>
    <w:tbl>
      <w:tblPr>
        <w:tblStyle w:val="TableGrid"/>
        <w:tblW w:w="0" w:type="auto"/>
        <w:tblLayout w:type="fixed"/>
        <w:tblLook w:val="04A0" w:firstRow="1" w:lastRow="0" w:firstColumn="1" w:lastColumn="0" w:noHBand="0" w:noVBand="1"/>
      </w:tblPr>
      <w:tblGrid>
        <w:gridCol w:w="1818"/>
        <w:gridCol w:w="1126"/>
        <w:gridCol w:w="1394"/>
        <w:gridCol w:w="1836"/>
        <w:gridCol w:w="1494"/>
        <w:gridCol w:w="2628"/>
      </w:tblGrid>
      <w:tr w:rsidR="0054776C" w:rsidTr="0054776C">
        <w:tc>
          <w:tcPr>
            <w:tcW w:w="1818" w:type="dxa"/>
          </w:tcPr>
          <w:p w:rsidR="0054776C" w:rsidRPr="007967FD" w:rsidRDefault="0054776C" w:rsidP="00F204BC">
            <w:pPr>
              <w:pStyle w:val="CommentText"/>
              <w:rPr>
                <w:b/>
                <w:sz w:val="24"/>
                <w:szCs w:val="24"/>
              </w:rPr>
            </w:pPr>
            <w:r w:rsidRPr="007967FD">
              <w:rPr>
                <w:b/>
                <w:sz w:val="24"/>
                <w:szCs w:val="24"/>
              </w:rPr>
              <w:t>Collection - Recordkeeping</w:t>
            </w:r>
          </w:p>
        </w:tc>
        <w:tc>
          <w:tcPr>
            <w:tcW w:w="1126" w:type="dxa"/>
          </w:tcPr>
          <w:p w:rsidR="0054776C" w:rsidRPr="007967FD" w:rsidRDefault="0054776C" w:rsidP="00F204BC">
            <w:pPr>
              <w:pStyle w:val="CommentText"/>
              <w:rPr>
                <w:b/>
                <w:sz w:val="24"/>
                <w:szCs w:val="24"/>
              </w:rPr>
            </w:pPr>
            <w:r w:rsidRPr="007967FD">
              <w:rPr>
                <w:b/>
                <w:sz w:val="24"/>
                <w:szCs w:val="24"/>
              </w:rPr>
              <w:t>Total burden hours</w:t>
            </w:r>
          </w:p>
        </w:tc>
        <w:tc>
          <w:tcPr>
            <w:tcW w:w="1394" w:type="dxa"/>
          </w:tcPr>
          <w:p w:rsidR="0054776C" w:rsidRPr="007967FD" w:rsidRDefault="0054776C" w:rsidP="00F204BC">
            <w:pPr>
              <w:pStyle w:val="CommentText"/>
              <w:rPr>
                <w:b/>
                <w:sz w:val="24"/>
                <w:szCs w:val="24"/>
              </w:rPr>
            </w:pPr>
            <w:r w:rsidRPr="00B41CE2">
              <w:rPr>
                <w:b/>
                <w:sz w:val="24"/>
                <w:szCs w:val="24"/>
              </w:rPr>
              <w:t>Average hourly labor rate</w:t>
            </w:r>
          </w:p>
        </w:tc>
        <w:tc>
          <w:tcPr>
            <w:tcW w:w="1836" w:type="dxa"/>
          </w:tcPr>
          <w:p w:rsidR="0054776C" w:rsidRPr="00B41CE2" w:rsidRDefault="0054776C" w:rsidP="00F204BC">
            <w:pPr>
              <w:pStyle w:val="CommentText"/>
              <w:rPr>
                <w:b/>
                <w:sz w:val="24"/>
                <w:szCs w:val="24"/>
              </w:rPr>
            </w:pPr>
            <w:r>
              <w:rPr>
                <w:b/>
                <w:sz w:val="24"/>
                <w:szCs w:val="24"/>
              </w:rPr>
              <w:t>Total cost</w:t>
            </w:r>
          </w:p>
        </w:tc>
        <w:tc>
          <w:tcPr>
            <w:tcW w:w="1494" w:type="dxa"/>
          </w:tcPr>
          <w:p w:rsidR="0054776C" w:rsidRPr="00B41CE2" w:rsidRDefault="0054776C" w:rsidP="00F204BC">
            <w:pPr>
              <w:pStyle w:val="CommentText"/>
              <w:rPr>
                <w:b/>
                <w:sz w:val="24"/>
                <w:szCs w:val="24"/>
              </w:rPr>
            </w:pPr>
            <w:r w:rsidRPr="007967FD">
              <w:rPr>
                <w:b/>
                <w:sz w:val="24"/>
                <w:szCs w:val="24"/>
              </w:rPr>
              <w:t>Number of respondents</w:t>
            </w:r>
          </w:p>
        </w:tc>
        <w:tc>
          <w:tcPr>
            <w:tcW w:w="2628" w:type="dxa"/>
          </w:tcPr>
          <w:p w:rsidR="0054776C" w:rsidRPr="00B41CE2" w:rsidRDefault="0054776C" w:rsidP="00F204BC">
            <w:pPr>
              <w:pStyle w:val="CommentText"/>
              <w:rPr>
                <w:b/>
                <w:sz w:val="24"/>
                <w:szCs w:val="24"/>
              </w:rPr>
            </w:pPr>
            <w:r w:rsidRPr="00B41CE2">
              <w:rPr>
                <w:b/>
                <w:sz w:val="24"/>
                <w:szCs w:val="24"/>
              </w:rPr>
              <w:t>Net average cost per respondent</w:t>
            </w:r>
          </w:p>
        </w:tc>
      </w:tr>
      <w:tr w:rsidR="0054776C" w:rsidTr="0054776C">
        <w:tc>
          <w:tcPr>
            <w:tcW w:w="1818" w:type="dxa"/>
          </w:tcPr>
          <w:p w:rsidR="0054776C" w:rsidRDefault="0054776C" w:rsidP="00F204BC">
            <w:pPr>
              <w:pStyle w:val="CommentText"/>
              <w:rPr>
                <w:sz w:val="24"/>
                <w:szCs w:val="24"/>
              </w:rPr>
            </w:pPr>
            <w:r>
              <w:rPr>
                <w:sz w:val="24"/>
                <w:szCs w:val="24"/>
              </w:rPr>
              <w:t>Annual</w:t>
            </w:r>
          </w:p>
        </w:tc>
        <w:tc>
          <w:tcPr>
            <w:tcW w:w="1126" w:type="dxa"/>
          </w:tcPr>
          <w:p w:rsidR="0054776C" w:rsidRPr="007967FD" w:rsidRDefault="0054776C" w:rsidP="00F204BC">
            <w:pPr>
              <w:pStyle w:val="CommentText"/>
              <w:rPr>
                <w:sz w:val="24"/>
                <w:szCs w:val="24"/>
              </w:rPr>
            </w:pPr>
            <w:r w:rsidRPr="007967FD">
              <w:rPr>
                <w:sz w:val="24"/>
                <w:szCs w:val="24"/>
              </w:rPr>
              <w:t xml:space="preserve">191,973 </w:t>
            </w:r>
          </w:p>
        </w:tc>
        <w:tc>
          <w:tcPr>
            <w:tcW w:w="1394" w:type="dxa"/>
          </w:tcPr>
          <w:p w:rsidR="0054776C" w:rsidRPr="007967FD" w:rsidRDefault="0054776C" w:rsidP="00F204BC">
            <w:pPr>
              <w:pStyle w:val="CommentText"/>
              <w:rPr>
                <w:sz w:val="24"/>
                <w:szCs w:val="24"/>
              </w:rPr>
            </w:pPr>
            <w:r w:rsidRPr="0054776C">
              <w:rPr>
                <w:sz w:val="24"/>
                <w:szCs w:val="24"/>
              </w:rPr>
              <w:t>$76.24</w:t>
            </w:r>
          </w:p>
        </w:tc>
        <w:tc>
          <w:tcPr>
            <w:tcW w:w="1836" w:type="dxa"/>
          </w:tcPr>
          <w:p w:rsidR="0054776C" w:rsidRPr="007967FD" w:rsidRDefault="0054776C" w:rsidP="00F204BC">
            <w:pPr>
              <w:pStyle w:val="CommentText"/>
              <w:rPr>
                <w:sz w:val="24"/>
                <w:szCs w:val="24"/>
              </w:rPr>
            </w:pPr>
            <w:r>
              <w:rPr>
                <w:sz w:val="24"/>
                <w:szCs w:val="24"/>
              </w:rPr>
              <w:t>$14,636,021.52</w:t>
            </w:r>
          </w:p>
        </w:tc>
        <w:tc>
          <w:tcPr>
            <w:tcW w:w="1494" w:type="dxa"/>
          </w:tcPr>
          <w:p w:rsidR="0054776C" w:rsidRDefault="0054776C" w:rsidP="00F204BC">
            <w:pPr>
              <w:pStyle w:val="CommentText"/>
              <w:rPr>
                <w:sz w:val="24"/>
                <w:szCs w:val="24"/>
              </w:rPr>
            </w:pPr>
            <w:r>
              <w:rPr>
                <w:sz w:val="24"/>
                <w:szCs w:val="24"/>
              </w:rPr>
              <w:t>52</w:t>
            </w:r>
          </w:p>
        </w:tc>
        <w:tc>
          <w:tcPr>
            <w:tcW w:w="2628" w:type="dxa"/>
          </w:tcPr>
          <w:p w:rsidR="0054776C" w:rsidRPr="007967FD" w:rsidRDefault="0054776C" w:rsidP="00F204BC">
            <w:pPr>
              <w:pStyle w:val="CommentText"/>
              <w:rPr>
                <w:sz w:val="24"/>
                <w:szCs w:val="24"/>
              </w:rPr>
            </w:pPr>
            <w:r>
              <w:rPr>
                <w:sz w:val="24"/>
                <w:szCs w:val="24"/>
              </w:rPr>
              <w:t>$281,461.95</w:t>
            </w:r>
          </w:p>
        </w:tc>
      </w:tr>
      <w:tr w:rsidR="0054776C" w:rsidTr="0054776C">
        <w:trPr>
          <w:trHeight w:val="287"/>
        </w:trPr>
        <w:tc>
          <w:tcPr>
            <w:tcW w:w="1818" w:type="dxa"/>
          </w:tcPr>
          <w:p w:rsidR="0054776C" w:rsidRDefault="0054776C" w:rsidP="00F204BC">
            <w:pPr>
              <w:pStyle w:val="CommentText"/>
              <w:rPr>
                <w:sz w:val="24"/>
                <w:szCs w:val="24"/>
              </w:rPr>
            </w:pPr>
            <w:r>
              <w:rPr>
                <w:sz w:val="24"/>
                <w:szCs w:val="24"/>
              </w:rPr>
              <w:t>One-Time</w:t>
            </w:r>
          </w:p>
        </w:tc>
        <w:tc>
          <w:tcPr>
            <w:tcW w:w="1126" w:type="dxa"/>
          </w:tcPr>
          <w:p w:rsidR="0054776C" w:rsidRPr="007967FD" w:rsidRDefault="0054776C" w:rsidP="00F204BC">
            <w:pPr>
              <w:pStyle w:val="CommentText"/>
              <w:rPr>
                <w:sz w:val="24"/>
                <w:szCs w:val="24"/>
              </w:rPr>
            </w:pPr>
            <w:r w:rsidRPr="007967FD">
              <w:rPr>
                <w:sz w:val="24"/>
                <w:szCs w:val="24"/>
              </w:rPr>
              <w:t xml:space="preserve">1,306 </w:t>
            </w:r>
          </w:p>
        </w:tc>
        <w:tc>
          <w:tcPr>
            <w:tcW w:w="1394" w:type="dxa"/>
          </w:tcPr>
          <w:p w:rsidR="0054776C" w:rsidRPr="007967FD" w:rsidRDefault="0054776C" w:rsidP="00F204BC">
            <w:pPr>
              <w:pStyle w:val="CommentText"/>
              <w:rPr>
                <w:sz w:val="24"/>
                <w:szCs w:val="24"/>
              </w:rPr>
            </w:pPr>
            <w:r w:rsidRPr="0054776C">
              <w:rPr>
                <w:sz w:val="24"/>
                <w:szCs w:val="24"/>
              </w:rPr>
              <w:t>$76.24</w:t>
            </w:r>
          </w:p>
        </w:tc>
        <w:tc>
          <w:tcPr>
            <w:tcW w:w="1836" w:type="dxa"/>
          </w:tcPr>
          <w:p w:rsidR="0054776C" w:rsidRPr="007967FD" w:rsidRDefault="0054776C" w:rsidP="00F204BC">
            <w:pPr>
              <w:pStyle w:val="CommentText"/>
              <w:rPr>
                <w:sz w:val="24"/>
                <w:szCs w:val="24"/>
              </w:rPr>
            </w:pPr>
            <w:r>
              <w:rPr>
                <w:sz w:val="24"/>
                <w:szCs w:val="24"/>
              </w:rPr>
              <w:t>$99,569.44</w:t>
            </w:r>
          </w:p>
        </w:tc>
        <w:tc>
          <w:tcPr>
            <w:tcW w:w="1494" w:type="dxa"/>
          </w:tcPr>
          <w:p w:rsidR="0054776C" w:rsidRPr="007967FD" w:rsidRDefault="0054776C" w:rsidP="00F204BC">
            <w:pPr>
              <w:pStyle w:val="CommentText"/>
              <w:rPr>
                <w:sz w:val="24"/>
                <w:szCs w:val="24"/>
              </w:rPr>
            </w:pPr>
            <w:r>
              <w:rPr>
                <w:sz w:val="24"/>
                <w:szCs w:val="24"/>
              </w:rPr>
              <w:t>52</w:t>
            </w:r>
          </w:p>
        </w:tc>
        <w:tc>
          <w:tcPr>
            <w:tcW w:w="2628" w:type="dxa"/>
          </w:tcPr>
          <w:p w:rsidR="0054776C" w:rsidRPr="007967FD" w:rsidRDefault="0054776C" w:rsidP="00F204BC">
            <w:pPr>
              <w:pStyle w:val="CommentText"/>
              <w:rPr>
                <w:sz w:val="24"/>
                <w:szCs w:val="24"/>
              </w:rPr>
            </w:pPr>
            <w:r>
              <w:rPr>
                <w:sz w:val="24"/>
                <w:szCs w:val="24"/>
              </w:rPr>
              <w:t>$1,914.79</w:t>
            </w:r>
          </w:p>
        </w:tc>
      </w:tr>
    </w:tbl>
    <w:p w:rsidR="00562FBA" w:rsidRDefault="00562FBA" w:rsidP="00562FBA">
      <w:pPr>
        <w:pStyle w:val="CommentText"/>
        <w:rPr>
          <w:sz w:val="24"/>
          <w:szCs w:val="24"/>
        </w:rPr>
      </w:pPr>
    </w:p>
    <w:tbl>
      <w:tblPr>
        <w:tblStyle w:val="TableGrid"/>
        <w:tblW w:w="10313" w:type="dxa"/>
        <w:tblLook w:val="04A0" w:firstRow="1" w:lastRow="0" w:firstColumn="1" w:lastColumn="0" w:noHBand="0" w:noVBand="1"/>
      </w:tblPr>
      <w:tblGrid>
        <w:gridCol w:w="1827"/>
        <w:gridCol w:w="1265"/>
        <w:gridCol w:w="1406"/>
        <w:gridCol w:w="2061"/>
        <w:gridCol w:w="1717"/>
        <w:gridCol w:w="2037"/>
      </w:tblGrid>
      <w:tr w:rsidR="0054776C" w:rsidTr="0054776C">
        <w:trPr>
          <w:trHeight w:val="618"/>
        </w:trPr>
        <w:tc>
          <w:tcPr>
            <w:tcW w:w="1827" w:type="dxa"/>
          </w:tcPr>
          <w:p w:rsidR="0054776C" w:rsidRPr="007967FD" w:rsidRDefault="0054776C" w:rsidP="00F204BC">
            <w:pPr>
              <w:pStyle w:val="CommentText"/>
              <w:rPr>
                <w:b/>
                <w:sz w:val="24"/>
                <w:szCs w:val="24"/>
              </w:rPr>
            </w:pPr>
            <w:r w:rsidRPr="007967FD">
              <w:rPr>
                <w:b/>
                <w:sz w:val="24"/>
                <w:szCs w:val="24"/>
              </w:rPr>
              <w:t xml:space="preserve">Collection - </w:t>
            </w:r>
            <w:r>
              <w:rPr>
                <w:b/>
                <w:sz w:val="24"/>
                <w:szCs w:val="24"/>
              </w:rPr>
              <w:t>Reporting</w:t>
            </w:r>
          </w:p>
        </w:tc>
        <w:tc>
          <w:tcPr>
            <w:tcW w:w="1265" w:type="dxa"/>
          </w:tcPr>
          <w:p w:rsidR="0054776C" w:rsidRPr="007967FD" w:rsidRDefault="0054776C" w:rsidP="00F204BC">
            <w:pPr>
              <w:pStyle w:val="CommentText"/>
              <w:rPr>
                <w:b/>
                <w:sz w:val="24"/>
                <w:szCs w:val="24"/>
              </w:rPr>
            </w:pPr>
            <w:r w:rsidRPr="007967FD">
              <w:rPr>
                <w:b/>
                <w:sz w:val="24"/>
                <w:szCs w:val="24"/>
              </w:rPr>
              <w:t>Total burden hours</w:t>
            </w:r>
          </w:p>
        </w:tc>
        <w:tc>
          <w:tcPr>
            <w:tcW w:w="1406" w:type="dxa"/>
          </w:tcPr>
          <w:p w:rsidR="0054776C" w:rsidRPr="007967FD" w:rsidRDefault="0054776C" w:rsidP="00F204BC">
            <w:pPr>
              <w:pStyle w:val="CommentText"/>
              <w:rPr>
                <w:b/>
                <w:sz w:val="24"/>
                <w:szCs w:val="24"/>
              </w:rPr>
            </w:pPr>
            <w:r w:rsidRPr="00B41CE2">
              <w:rPr>
                <w:b/>
                <w:sz w:val="24"/>
                <w:szCs w:val="24"/>
              </w:rPr>
              <w:t>Average hourly labor rate</w:t>
            </w:r>
          </w:p>
        </w:tc>
        <w:tc>
          <w:tcPr>
            <w:tcW w:w="2061" w:type="dxa"/>
          </w:tcPr>
          <w:p w:rsidR="0054776C" w:rsidRPr="00B41CE2" w:rsidRDefault="0054776C" w:rsidP="00F204BC">
            <w:pPr>
              <w:pStyle w:val="CommentText"/>
              <w:rPr>
                <w:b/>
                <w:sz w:val="24"/>
                <w:szCs w:val="24"/>
              </w:rPr>
            </w:pPr>
            <w:r>
              <w:rPr>
                <w:b/>
                <w:sz w:val="24"/>
                <w:szCs w:val="24"/>
              </w:rPr>
              <w:t>Total cost</w:t>
            </w:r>
          </w:p>
        </w:tc>
        <w:tc>
          <w:tcPr>
            <w:tcW w:w="1717" w:type="dxa"/>
          </w:tcPr>
          <w:p w:rsidR="0054776C" w:rsidRPr="00B41CE2" w:rsidRDefault="0054776C" w:rsidP="00F204BC">
            <w:pPr>
              <w:pStyle w:val="CommentText"/>
              <w:rPr>
                <w:b/>
                <w:sz w:val="24"/>
                <w:szCs w:val="24"/>
              </w:rPr>
            </w:pPr>
            <w:r w:rsidRPr="007967FD">
              <w:rPr>
                <w:b/>
                <w:sz w:val="24"/>
                <w:szCs w:val="24"/>
              </w:rPr>
              <w:t>Number of respondents</w:t>
            </w:r>
          </w:p>
        </w:tc>
        <w:tc>
          <w:tcPr>
            <w:tcW w:w="2037" w:type="dxa"/>
          </w:tcPr>
          <w:p w:rsidR="0054776C" w:rsidRPr="00B41CE2" w:rsidRDefault="0054776C" w:rsidP="00F204BC">
            <w:pPr>
              <w:pStyle w:val="CommentText"/>
              <w:rPr>
                <w:b/>
                <w:sz w:val="24"/>
                <w:szCs w:val="24"/>
              </w:rPr>
            </w:pPr>
            <w:r w:rsidRPr="00B41CE2">
              <w:rPr>
                <w:b/>
                <w:sz w:val="24"/>
                <w:szCs w:val="24"/>
              </w:rPr>
              <w:t>Net average cost per respondent</w:t>
            </w:r>
          </w:p>
        </w:tc>
      </w:tr>
      <w:tr w:rsidR="0054776C" w:rsidTr="0054776C">
        <w:trPr>
          <w:trHeight w:val="299"/>
        </w:trPr>
        <w:tc>
          <w:tcPr>
            <w:tcW w:w="1827" w:type="dxa"/>
          </w:tcPr>
          <w:p w:rsidR="0054776C" w:rsidRDefault="0054776C" w:rsidP="00F204BC">
            <w:pPr>
              <w:pStyle w:val="CommentText"/>
              <w:rPr>
                <w:sz w:val="24"/>
                <w:szCs w:val="24"/>
              </w:rPr>
            </w:pPr>
            <w:r>
              <w:rPr>
                <w:sz w:val="24"/>
                <w:szCs w:val="24"/>
              </w:rPr>
              <w:t>Annual</w:t>
            </w:r>
          </w:p>
        </w:tc>
        <w:tc>
          <w:tcPr>
            <w:tcW w:w="1265" w:type="dxa"/>
          </w:tcPr>
          <w:p w:rsidR="0054776C" w:rsidRPr="007967FD" w:rsidRDefault="00AE5733" w:rsidP="00F204BC">
            <w:pPr>
              <w:pStyle w:val="CommentText"/>
              <w:rPr>
                <w:sz w:val="24"/>
                <w:szCs w:val="24"/>
              </w:rPr>
            </w:pPr>
            <w:r>
              <w:rPr>
                <w:sz w:val="24"/>
                <w:szCs w:val="24"/>
              </w:rPr>
              <w:t>312</w:t>
            </w:r>
            <w:r w:rsidR="0054776C" w:rsidRPr="007967FD">
              <w:rPr>
                <w:sz w:val="24"/>
                <w:szCs w:val="24"/>
              </w:rPr>
              <w:t xml:space="preserve"> </w:t>
            </w:r>
          </w:p>
        </w:tc>
        <w:tc>
          <w:tcPr>
            <w:tcW w:w="1406" w:type="dxa"/>
          </w:tcPr>
          <w:p w:rsidR="0054776C" w:rsidRPr="007967FD" w:rsidRDefault="0054776C" w:rsidP="00F204BC">
            <w:pPr>
              <w:pStyle w:val="CommentText"/>
              <w:rPr>
                <w:sz w:val="24"/>
                <w:szCs w:val="24"/>
              </w:rPr>
            </w:pPr>
            <w:r w:rsidRPr="0054776C">
              <w:rPr>
                <w:sz w:val="24"/>
                <w:szCs w:val="24"/>
              </w:rPr>
              <w:t>$76.24</w:t>
            </w:r>
          </w:p>
        </w:tc>
        <w:tc>
          <w:tcPr>
            <w:tcW w:w="2061" w:type="dxa"/>
          </w:tcPr>
          <w:p w:rsidR="0054776C" w:rsidRPr="007967FD" w:rsidRDefault="0054776C" w:rsidP="00AE5733">
            <w:pPr>
              <w:pStyle w:val="CommentText"/>
              <w:rPr>
                <w:sz w:val="24"/>
                <w:szCs w:val="24"/>
              </w:rPr>
            </w:pPr>
            <w:r>
              <w:rPr>
                <w:sz w:val="24"/>
                <w:szCs w:val="24"/>
              </w:rPr>
              <w:t>$</w:t>
            </w:r>
            <w:r w:rsidR="00AE5733">
              <w:rPr>
                <w:sz w:val="24"/>
                <w:szCs w:val="24"/>
              </w:rPr>
              <w:t>23,786.88</w:t>
            </w:r>
          </w:p>
        </w:tc>
        <w:tc>
          <w:tcPr>
            <w:tcW w:w="1717" w:type="dxa"/>
          </w:tcPr>
          <w:p w:rsidR="0054776C" w:rsidRPr="007967FD" w:rsidRDefault="0054776C" w:rsidP="00F204BC">
            <w:pPr>
              <w:pStyle w:val="CommentText"/>
              <w:rPr>
                <w:sz w:val="24"/>
                <w:szCs w:val="24"/>
              </w:rPr>
            </w:pPr>
            <w:r>
              <w:rPr>
                <w:sz w:val="24"/>
                <w:szCs w:val="24"/>
              </w:rPr>
              <w:t>52</w:t>
            </w:r>
          </w:p>
        </w:tc>
        <w:tc>
          <w:tcPr>
            <w:tcW w:w="2037" w:type="dxa"/>
          </w:tcPr>
          <w:p w:rsidR="0054776C" w:rsidRPr="007967FD" w:rsidRDefault="0054776C" w:rsidP="00AE5733">
            <w:pPr>
              <w:pStyle w:val="CommentText"/>
              <w:rPr>
                <w:sz w:val="24"/>
                <w:szCs w:val="24"/>
              </w:rPr>
            </w:pPr>
            <w:r>
              <w:rPr>
                <w:sz w:val="24"/>
                <w:szCs w:val="24"/>
              </w:rPr>
              <w:t>$</w:t>
            </w:r>
            <w:r w:rsidR="00262475">
              <w:rPr>
                <w:sz w:val="24"/>
                <w:szCs w:val="24"/>
              </w:rPr>
              <w:t>457</w:t>
            </w:r>
          </w:p>
        </w:tc>
      </w:tr>
      <w:tr w:rsidR="0054776C" w:rsidTr="0054776C">
        <w:trPr>
          <w:trHeight w:val="321"/>
        </w:trPr>
        <w:tc>
          <w:tcPr>
            <w:tcW w:w="1827" w:type="dxa"/>
          </w:tcPr>
          <w:p w:rsidR="0054776C" w:rsidRDefault="0054776C" w:rsidP="00F204BC">
            <w:pPr>
              <w:pStyle w:val="CommentText"/>
              <w:rPr>
                <w:sz w:val="24"/>
                <w:szCs w:val="24"/>
              </w:rPr>
            </w:pPr>
            <w:r>
              <w:rPr>
                <w:sz w:val="24"/>
                <w:szCs w:val="24"/>
              </w:rPr>
              <w:t>One-Time</w:t>
            </w:r>
          </w:p>
        </w:tc>
        <w:tc>
          <w:tcPr>
            <w:tcW w:w="1265" w:type="dxa"/>
          </w:tcPr>
          <w:p w:rsidR="0054776C" w:rsidRPr="007967FD" w:rsidRDefault="00AE5733" w:rsidP="00F204BC">
            <w:pPr>
              <w:pStyle w:val="CommentText"/>
              <w:rPr>
                <w:sz w:val="24"/>
                <w:szCs w:val="24"/>
              </w:rPr>
            </w:pPr>
            <w:r>
              <w:rPr>
                <w:sz w:val="24"/>
                <w:szCs w:val="24"/>
              </w:rPr>
              <w:t>330</w:t>
            </w:r>
          </w:p>
        </w:tc>
        <w:tc>
          <w:tcPr>
            <w:tcW w:w="1406" w:type="dxa"/>
          </w:tcPr>
          <w:p w:rsidR="0054776C" w:rsidRPr="007967FD" w:rsidRDefault="0054776C" w:rsidP="00F204BC">
            <w:pPr>
              <w:pStyle w:val="CommentText"/>
              <w:rPr>
                <w:sz w:val="24"/>
                <w:szCs w:val="24"/>
              </w:rPr>
            </w:pPr>
            <w:r w:rsidRPr="0054776C">
              <w:rPr>
                <w:sz w:val="24"/>
                <w:szCs w:val="24"/>
              </w:rPr>
              <w:t>$76.24</w:t>
            </w:r>
          </w:p>
        </w:tc>
        <w:tc>
          <w:tcPr>
            <w:tcW w:w="2061" w:type="dxa"/>
          </w:tcPr>
          <w:p w:rsidR="00AE5733" w:rsidRPr="007967FD" w:rsidRDefault="00290FF8" w:rsidP="00AE5733">
            <w:pPr>
              <w:pStyle w:val="CommentText"/>
              <w:rPr>
                <w:sz w:val="24"/>
                <w:szCs w:val="24"/>
              </w:rPr>
            </w:pPr>
            <w:r>
              <w:rPr>
                <w:sz w:val="24"/>
                <w:szCs w:val="24"/>
              </w:rPr>
              <w:t>$</w:t>
            </w:r>
            <w:r w:rsidR="00AE5733">
              <w:rPr>
                <w:sz w:val="24"/>
                <w:szCs w:val="24"/>
              </w:rPr>
              <w:t>25,159.20</w:t>
            </w:r>
          </w:p>
        </w:tc>
        <w:tc>
          <w:tcPr>
            <w:tcW w:w="1717" w:type="dxa"/>
          </w:tcPr>
          <w:p w:rsidR="0054776C" w:rsidRPr="007967FD" w:rsidRDefault="0054776C" w:rsidP="00F204BC">
            <w:pPr>
              <w:pStyle w:val="CommentText"/>
              <w:rPr>
                <w:sz w:val="24"/>
                <w:szCs w:val="24"/>
              </w:rPr>
            </w:pPr>
            <w:r>
              <w:rPr>
                <w:sz w:val="24"/>
                <w:szCs w:val="24"/>
              </w:rPr>
              <w:t>52</w:t>
            </w:r>
          </w:p>
        </w:tc>
        <w:tc>
          <w:tcPr>
            <w:tcW w:w="2037" w:type="dxa"/>
          </w:tcPr>
          <w:p w:rsidR="0054776C" w:rsidRPr="007967FD" w:rsidRDefault="00290FF8" w:rsidP="00262475">
            <w:pPr>
              <w:pStyle w:val="CommentText"/>
              <w:rPr>
                <w:sz w:val="24"/>
                <w:szCs w:val="24"/>
              </w:rPr>
            </w:pPr>
            <w:r>
              <w:rPr>
                <w:sz w:val="24"/>
                <w:szCs w:val="24"/>
              </w:rPr>
              <w:t>$</w:t>
            </w:r>
            <w:r w:rsidR="00262475">
              <w:rPr>
                <w:sz w:val="24"/>
                <w:szCs w:val="24"/>
              </w:rPr>
              <w:t>483</w:t>
            </w:r>
          </w:p>
        </w:tc>
      </w:tr>
    </w:tbl>
    <w:p w:rsidR="00562FBA" w:rsidRPr="0010626C" w:rsidRDefault="00562FBA" w:rsidP="00734C9C">
      <w:pPr>
        <w:widowControl/>
        <w:autoSpaceDE w:val="0"/>
        <w:autoSpaceDN w:val="0"/>
        <w:adjustRightInd w:val="0"/>
        <w:rPr>
          <w:rFonts w:eastAsia="Calibri"/>
          <w:snapToGrid/>
          <w:color w:val="000000"/>
          <w:szCs w:val="24"/>
        </w:rPr>
      </w:pPr>
    </w:p>
    <w:p w:rsidR="0010626C" w:rsidRPr="0010626C" w:rsidRDefault="0010626C" w:rsidP="0010626C">
      <w:pPr>
        <w:widowControl/>
        <w:autoSpaceDE w:val="0"/>
        <w:autoSpaceDN w:val="0"/>
        <w:adjustRightInd w:val="0"/>
        <w:spacing w:after="200"/>
        <w:rPr>
          <w:rFonts w:eastAsia="Calibri"/>
          <w:snapToGrid/>
          <w:color w:val="000000"/>
          <w:szCs w:val="24"/>
        </w:rPr>
      </w:pPr>
    </w:p>
    <w:p w:rsidR="00566FB2" w:rsidRPr="00762E22" w:rsidRDefault="009418ED" w:rsidP="009418ED">
      <w:pPr>
        <w:widowControl/>
        <w:autoSpaceDE w:val="0"/>
        <w:autoSpaceDN w:val="0"/>
        <w:adjustRightInd w:val="0"/>
        <w:spacing w:after="200"/>
        <w:rPr>
          <w:szCs w:val="24"/>
        </w:rPr>
      </w:pPr>
      <w:r w:rsidRPr="00762E22">
        <w:rPr>
          <w:rFonts w:eastAsia="Calibri"/>
          <w:snapToGrid/>
          <w:color w:val="000000"/>
          <w:szCs w:val="24"/>
        </w:rPr>
        <w:t xml:space="preserve">In making the above estimates, we want to acknowledge: (1) we have used average figures for state title IV-E agencies of very different sizes and of which, some states may have larger populations of tribal children served than other states, (2) these are rough estimates of the burden because state title IV-E agencies have not been required previously to report ICWA-related information in AFCARS, and (3) as we have described, we have limited information to use in making these estimates.  </w:t>
      </w:r>
    </w:p>
    <w:p w:rsidR="0049254B" w:rsidRPr="00762E22" w:rsidRDefault="0049254B" w:rsidP="000F7541">
      <w:pPr>
        <w:pStyle w:val="PlainText"/>
        <w:spacing w:before="100" w:beforeAutospacing="1" w:after="100" w:afterAutospacing="1"/>
        <w:ind w:left="360"/>
        <w:rPr>
          <w:rFonts w:cs="Times New Roman"/>
          <w:sz w:val="24"/>
          <w:szCs w:val="24"/>
        </w:rPr>
      </w:pPr>
      <w:r w:rsidRPr="00762E22">
        <w:rPr>
          <w:rFonts w:cs="Times New Roman"/>
          <w:sz w:val="24"/>
          <w:szCs w:val="24"/>
        </w:rPr>
        <w:t xml:space="preserve">13.  </w:t>
      </w:r>
      <w:r w:rsidR="006168DD" w:rsidRPr="00762E22">
        <w:rPr>
          <w:rFonts w:cs="Times New Roman"/>
          <w:sz w:val="24"/>
          <w:szCs w:val="24"/>
          <w:u w:val="single"/>
        </w:rPr>
        <w:t>Estimates of Other Total Annual Cost Burden to Respondents and Record Keepers</w:t>
      </w:r>
      <w:r w:rsidRPr="00762E22">
        <w:rPr>
          <w:rFonts w:cs="Times New Roman"/>
          <w:sz w:val="24"/>
          <w:szCs w:val="24"/>
        </w:rPr>
        <w:tab/>
      </w:r>
    </w:p>
    <w:p w:rsidR="00103B0A" w:rsidRPr="00762E22" w:rsidRDefault="00103B0A" w:rsidP="00983F23">
      <w:pPr>
        <w:spacing w:before="100" w:beforeAutospacing="1" w:after="100" w:afterAutospacing="1"/>
        <w:rPr>
          <w:szCs w:val="24"/>
        </w:rPr>
      </w:pPr>
      <w:r w:rsidRPr="00762E22">
        <w:rPr>
          <w:szCs w:val="24"/>
        </w:rPr>
        <w:t>There are no AFCARS</w:t>
      </w:r>
      <w:r w:rsidR="00CD4AE8" w:rsidRPr="00762E22">
        <w:rPr>
          <w:szCs w:val="24"/>
        </w:rPr>
        <w:t>-</w:t>
      </w:r>
      <w:r w:rsidRPr="00762E22">
        <w:rPr>
          <w:szCs w:val="24"/>
        </w:rPr>
        <w:t xml:space="preserve">only data collection systems.  </w:t>
      </w:r>
      <w:r w:rsidR="00D60144" w:rsidRPr="00762E22">
        <w:rPr>
          <w:szCs w:val="24"/>
        </w:rPr>
        <w:t>States</w:t>
      </w:r>
      <w:r w:rsidR="00BA7F69" w:rsidRPr="00762E22">
        <w:rPr>
          <w:szCs w:val="24"/>
        </w:rPr>
        <w:t xml:space="preserve"> </w:t>
      </w:r>
      <w:r w:rsidR="00D60144" w:rsidRPr="00762E22">
        <w:rPr>
          <w:szCs w:val="24"/>
        </w:rPr>
        <w:t xml:space="preserve">utilize existing computer </w:t>
      </w:r>
      <w:r w:rsidR="003B79E2" w:rsidRPr="00762E22">
        <w:rPr>
          <w:szCs w:val="24"/>
        </w:rPr>
        <w:t xml:space="preserve">information </w:t>
      </w:r>
      <w:r w:rsidR="00D60144" w:rsidRPr="00762E22">
        <w:rPr>
          <w:szCs w:val="24"/>
        </w:rPr>
        <w:t>systems to record and collect information pertaining to the case work associated with children in foster care.  T</w:t>
      </w:r>
      <w:r w:rsidRPr="00762E22">
        <w:rPr>
          <w:szCs w:val="24"/>
        </w:rPr>
        <w:t>he cost of collecting and submitting data to AFCARS for States is subsumed under</w:t>
      </w:r>
      <w:r w:rsidR="00EC7D9E" w:rsidRPr="00762E22">
        <w:rPr>
          <w:szCs w:val="24"/>
        </w:rPr>
        <w:t xml:space="preserve"> the agency’s</w:t>
      </w:r>
      <w:r w:rsidRPr="00762E22">
        <w:rPr>
          <w:szCs w:val="24"/>
        </w:rPr>
        <w:t xml:space="preserve"> expenses for personnel.  </w:t>
      </w:r>
      <w:r w:rsidR="00146EE9" w:rsidRPr="00762E22">
        <w:rPr>
          <w:szCs w:val="24"/>
        </w:rPr>
        <w:t>Some</w:t>
      </w:r>
      <w:r w:rsidR="006B413B" w:rsidRPr="00762E22">
        <w:rPr>
          <w:szCs w:val="24"/>
        </w:rPr>
        <w:t xml:space="preserve"> of the costs that </w:t>
      </w:r>
      <w:r w:rsidR="00146EE9" w:rsidRPr="00762E22">
        <w:rPr>
          <w:szCs w:val="24"/>
        </w:rPr>
        <w:t xml:space="preserve">state </w:t>
      </w:r>
      <w:r w:rsidR="006B413B" w:rsidRPr="00762E22">
        <w:rPr>
          <w:szCs w:val="24"/>
        </w:rPr>
        <w:t xml:space="preserve">title IV-E agencies incur as a result of the revisions to AFCARS will be eligible for </w:t>
      </w:r>
      <w:r w:rsidR="00CD4AE8" w:rsidRPr="00762E22">
        <w:rPr>
          <w:szCs w:val="24"/>
        </w:rPr>
        <w:t>FFP</w:t>
      </w:r>
      <w:r w:rsidR="006B413B" w:rsidRPr="00762E22">
        <w:rPr>
          <w:szCs w:val="24"/>
        </w:rPr>
        <w:t xml:space="preserve">.  There will be initial costs associated with </w:t>
      </w:r>
      <w:r w:rsidR="003B79E2" w:rsidRPr="00762E22">
        <w:rPr>
          <w:szCs w:val="24"/>
        </w:rPr>
        <w:t xml:space="preserve">incorporating the proposed information into </w:t>
      </w:r>
      <w:r w:rsidR="0048278E" w:rsidRPr="00762E22">
        <w:rPr>
          <w:szCs w:val="24"/>
        </w:rPr>
        <w:t xml:space="preserve">the electronic case file, if not already there, and </w:t>
      </w:r>
      <w:r w:rsidR="006B413B" w:rsidRPr="00762E22">
        <w:rPr>
          <w:szCs w:val="24"/>
        </w:rPr>
        <w:t xml:space="preserve">a new program code to extract the data from </w:t>
      </w:r>
      <w:r w:rsidR="00146EE9" w:rsidRPr="00762E22">
        <w:rPr>
          <w:szCs w:val="24"/>
        </w:rPr>
        <w:t>s</w:t>
      </w:r>
      <w:r w:rsidR="006B413B" w:rsidRPr="00762E22">
        <w:rPr>
          <w:szCs w:val="24"/>
        </w:rPr>
        <w:t>tates’ information systems.  These costs will be one-time</w:t>
      </w:r>
      <w:r w:rsidR="000544F0" w:rsidRPr="00762E22">
        <w:rPr>
          <w:szCs w:val="24"/>
        </w:rPr>
        <w:t>.</w:t>
      </w:r>
      <w:r w:rsidR="006B413B" w:rsidRPr="00762E22">
        <w:rPr>
          <w:szCs w:val="24"/>
        </w:rPr>
        <w:t xml:space="preserve">  </w:t>
      </w:r>
      <w:r w:rsidR="009862D9" w:rsidRPr="00762E22">
        <w:rPr>
          <w:szCs w:val="24"/>
        </w:rPr>
        <w:t>There will be annual costs with collecting, entering, and reporting the information.</w:t>
      </w:r>
    </w:p>
    <w:p w:rsidR="00AC77DC" w:rsidRPr="00762E22" w:rsidRDefault="00B95FD0" w:rsidP="005A6E4F">
      <w:pPr>
        <w:spacing w:before="100" w:beforeAutospacing="1" w:after="100" w:afterAutospacing="1"/>
        <w:ind w:left="360"/>
        <w:rPr>
          <w:snapToGrid/>
          <w:szCs w:val="24"/>
        </w:rPr>
      </w:pPr>
      <w:r w:rsidRPr="00762E22">
        <w:rPr>
          <w:szCs w:val="24"/>
        </w:rPr>
        <w:t xml:space="preserve">14.  </w:t>
      </w:r>
      <w:r w:rsidR="00011D8C" w:rsidRPr="00762E22">
        <w:rPr>
          <w:snapToGrid/>
          <w:szCs w:val="24"/>
          <w:u w:val="single"/>
        </w:rPr>
        <w:t>Annualized Cost to the Federal Government</w:t>
      </w:r>
    </w:p>
    <w:p w:rsidR="00734C9C" w:rsidRDefault="00734C9C" w:rsidP="00734C9C">
      <w:pPr>
        <w:widowControl/>
        <w:autoSpaceDE w:val="0"/>
        <w:autoSpaceDN w:val="0"/>
        <w:adjustRightInd w:val="0"/>
        <w:rPr>
          <w:rFonts w:eastAsia="Calibri"/>
          <w:snapToGrid/>
          <w:color w:val="000000"/>
          <w:szCs w:val="24"/>
        </w:rPr>
      </w:pPr>
      <w:r w:rsidRPr="00734C9C">
        <w:rPr>
          <w:rFonts w:eastAsia="Calibri"/>
          <w:snapToGrid/>
          <w:color w:val="000000"/>
          <w:szCs w:val="24"/>
        </w:rPr>
        <w:t>Federal reimbursement under title IV-E will be available for a portion of</w:t>
      </w:r>
      <w:r>
        <w:rPr>
          <w:rFonts w:eastAsia="Calibri"/>
          <w:snapToGrid/>
          <w:color w:val="000000"/>
          <w:szCs w:val="24"/>
        </w:rPr>
        <w:t xml:space="preserve"> </w:t>
      </w:r>
      <w:r w:rsidRPr="00734C9C">
        <w:rPr>
          <w:rFonts w:eastAsia="Calibri"/>
          <w:snapToGrid/>
          <w:color w:val="000000"/>
          <w:szCs w:val="24"/>
        </w:rPr>
        <w:t>the costs that title IV-E agencies will incur as a result of the revisions proposed in this rule,</w:t>
      </w:r>
      <w:r>
        <w:rPr>
          <w:rFonts w:eastAsia="Calibri"/>
          <w:snapToGrid/>
          <w:color w:val="000000"/>
          <w:szCs w:val="24"/>
        </w:rPr>
        <w:t xml:space="preserve"> </w:t>
      </w:r>
      <w:r w:rsidRPr="00734C9C">
        <w:rPr>
          <w:rFonts w:eastAsia="Calibri"/>
          <w:snapToGrid/>
          <w:color w:val="000000"/>
          <w:szCs w:val="24"/>
        </w:rPr>
        <w:t>depending on each agency’s cost allocation plan, information system, and other factors.</w:t>
      </w:r>
      <w:r w:rsidR="005A6E4F">
        <w:rPr>
          <w:rFonts w:eastAsia="Calibri"/>
          <w:snapToGrid/>
          <w:color w:val="000000"/>
          <w:szCs w:val="24"/>
        </w:rPr>
        <w:t xml:space="preserve">  For this estimate, we used the 50% FFP rate.</w:t>
      </w:r>
    </w:p>
    <w:p w:rsidR="00290FF8" w:rsidRDefault="00290FF8" w:rsidP="00290FF8">
      <w:pPr>
        <w:spacing w:before="100" w:beforeAutospacing="1" w:after="100" w:afterAutospacing="1"/>
        <w:rPr>
          <w:szCs w:val="24"/>
        </w:rPr>
      </w:pPr>
    </w:p>
    <w:tbl>
      <w:tblPr>
        <w:tblStyle w:val="TableGrid"/>
        <w:tblW w:w="0" w:type="auto"/>
        <w:tblLayout w:type="fixed"/>
        <w:tblLook w:val="04A0" w:firstRow="1" w:lastRow="0" w:firstColumn="1" w:lastColumn="0" w:noHBand="0" w:noVBand="1"/>
      </w:tblPr>
      <w:tblGrid>
        <w:gridCol w:w="1818"/>
        <w:gridCol w:w="1126"/>
        <w:gridCol w:w="1394"/>
        <w:gridCol w:w="1836"/>
        <w:gridCol w:w="1494"/>
        <w:gridCol w:w="2628"/>
      </w:tblGrid>
      <w:tr w:rsidR="00290FF8" w:rsidTr="00F204BC">
        <w:tc>
          <w:tcPr>
            <w:tcW w:w="1818" w:type="dxa"/>
          </w:tcPr>
          <w:p w:rsidR="00290FF8" w:rsidRPr="007967FD" w:rsidRDefault="00290FF8" w:rsidP="00F204BC">
            <w:pPr>
              <w:pStyle w:val="CommentText"/>
              <w:rPr>
                <w:b/>
                <w:sz w:val="24"/>
                <w:szCs w:val="24"/>
              </w:rPr>
            </w:pPr>
            <w:r w:rsidRPr="007967FD">
              <w:rPr>
                <w:b/>
                <w:sz w:val="24"/>
                <w:szCs w:val="24"/>
              </w:rPr>
              <w:lastRenderedPageBreak/>
              <w:t>Collection - Recordkeeping</w:t>
            </w:r>
          </w:p>
        </w:tc>
        <w:tc>
          <w:tcPr>
            <w:tcW w:w="1126" w:type="dxa"/>
          </w:tcPr>
          <w:p w:rsidR="00290FF8" w:rsidRPr="007967FD" w:rsidRDefault="00290FF8" w:rsidP="00F204BC">
            <w:pPr>
              <w:pStyle w:val="CommentText"/>
              <w:rPr>
                <w:b/>
                <w:sz w:val="24"/>
                <w:szCs w:val="24"/>
              </w:rPr>
            </w:pPr>
            <w:r w:rsidRPr="007967FD">
              <w:rPr>
                <w:b/>
                <w:sz w:val="24"/>
                <w:szCs w:val="24"/>
              </w:rPr>
              <w:t>Total burden hours</w:t>
            </w:r>
          </w:p>
        </w:tc>
        <w:tc>
          <w:tcPr>
            <w:tcW w:w="1394" w:type="dxa"/>
          </w:tcPr>
          <w:p w:rsidR="00290FF8" w:rsidRPr="007967FD" w:rsidRDefault="00290FF8" w:rsidP="00F204BC">
            <w:pPr>
              <w:pStyle w:val="CommentText"/>
              <w:rPr>
                <w:b/>
                <w:sz w:val="24"/>
                <w:szCs w:val="24"/>
              </w:rPr>
            </w:pPr>
            <w:r w:rsidRPr="00B41CE2">
              <w:rPr>
                <w:b/>
                <w:sz w:val="24"/>
                <w:szCs w:val="24"/>
              </w:rPr>
              <w:t>Average hourly labor rate</w:t>
            </w:r>
          </w:p>
        </w:tc>
        <w:tc>
          <w:tcPr>
            <w:tcW w:w="1836" w:type="dxa"/>
          </w:tcPr>
          <w:p w:rsidR="00290FF8" w:rsidRPr="00B41CE2" w:rsidRDefault="00290FF8" w:rsidP="00F204BC">
            <w:pPr>
              <w:pStyle w:val="CommentText"/>
              <w:rPr>
                <w:b/>
                <w:sz w:val="24"/>
                <w:szCs w:val="24"/>
              </w:rPr>
            </w:pPr>
            <w:r>
              <w:rPr>
                <w:b/>
                <w:sz w:val="24"/>
                <w:szCs w:val="24"/>
              </w:rPr>
              <w:t>Total cost</w:t>
            </w:r>
          </w:p>
        </w:tc>
        <w:tc>
          <w:tcPr>
            <w:tcW w:w="1494" w:type="dxa"/>
          </w:tcPr>
          <w:p w:rsidR="00290FF8" w:rsidRPr="00B41CE2" w:rsidRDefault="00290FF8" w:rsidP="00F204BC">
            <w:pPr>
              <w:pStyle w:val="CommentText"/>
              <w:rPr>
                <w:b/>
                <w:sz w:val="24"/>
                <w:szCs w:val="24"/>
              </w:rPr>
            </w:pPr>
            <w:r w:rsidRPr="007967FD">
              <w:rPr>
                <w:b/>
                <w:sz w:val="24"/>
                <w:szCs w:val="24"/>
              </w:rPr>
              <w:t>Number of respondents</w:t>
            </w:r>
          </w:p>
        </w:tc>
        <w:tc>
          <w:tcPr>
            <w:tcW w:w="2628" w:type="dxa"/>
          </w:tcPr>
          <w:p w:rsidR="00290FF8" w:rsidRPr="00B41CE2" w:rsidRDefault="00290FF8" w:rsidP="00F204BC">
            <w:pPr>
              <w:pStyle w:val="CommentText"/>
              <w:rPr>
                <w:b/>
                <w:sz w:val="24"/>
                <w:szCs w:val="24"/>
              </w:rPr>
            </w:pPr>
            <w:r w:rsidRPr="00290FF8">
              <w:rPr>
                <w:b/>
                <w:sz w:val="24"/>
                <w:szCs w:val="24"/>
              </w:rPr>
              <w:t>Estimate Federal costs (50% FFP)</w:t>
            </w:r>
          </w:p>
        </w:tc>
      </w:tr>
      <w:tr w:rsidR="00290FF8" w:rsidTr="00F204BC">
        <w:tc>
          <w:tcPr>
            <w:tcW w:w="1818" w:type="dxa"/>
          </w:tcPr>
          <w:p w:rsidR="00290FF8" w:rsidRDefault="00290FF8" w:rsidP="00F204BC">
            <w:pPr>
              <w:pStyle w:val="CommentText"/>
              <w:rPr>
                <w:sz w:val="24"/>
                <w:szCs w:val="24"/>
              </w:rPr>
            </w:pPr>
            <w:r>
              <w:rPr>
                <w:sz w:val="24"/>
                <w:szCs w:val="24"/>
              </w:rPr>
              <w:t>Annual</w:t>
            </w:r>
          </w:p>
        </w:tc>
        <w:tc>
          <w:tcPr>
            <w:tcW w:w="1126" w:type="dxa"/>
          </w:tcPr>
          <w:p w:rsidR="00290FF8" w:rsidRPr="007967FD" w:rsidRDefault="00290FF8" w:rsidP="00F204BC">
            <w:pPr>
              <w:pStyle w:val="CommentText"/>
              <w:rPr>
                <w:sz w:val="24"/>
                <w:szCs w:val="24"/>
              </w:rPr>
            </w:pPr>
            <w:r w:rsidRPr="007967FD">
              <w:rPr>
                <w:sz w:val="24"/>
                <w:szCs w:val="24"/>
              </w:rPr>
              <w:t xml:space="preserve">191,973 </w:t>
            </w:r>
          </w:p>
        </w:tc>
        <w:tc>
          <w:tcPr>
            <w:tcW w:w="1394" w:type="dxa"/>
          </w:tcPr>
          <w:p w:rsidR="00290FF8" w:rsidRPr="007967FD" w:rsidRDefault="00290FF8" w:rsidP="00F204BC">
            <w:pPr>
              <w:pStyle w:val="CommentText"/>
              <w:rPr>
                <w:sz w:val="24"/>
                <w:szCs w:val="24"/>
              </w:rPr>
            </w:pPr>
            <w:r w:rsidRPr="0054776C">
              <w:rPr>
                <w:sz w:val="24"/>
                <w:szCs w:val="24"/>
              </w:rPr>
              <w:t>$76.24</w:t>
            </w:r>
          </w:p>
        </w:tc>
        <w:tc>
          <w:tcPr>
            <w:tcW w:w="1836" w:type="dxa"/>
          </w:tcPr>
          <w:p w:rsidR="00290FF8" w:rsidRPr="007967FD" w:rsidRDefault="00290FF8" w:rsidP="00F204BC">
            <w:pPr>
              <w:pStyle w:val="CommentText"/>
              <w:rPr>
                <w:sz w:val="24"/>
                <w:szCs w:val="24"/>
              </w:rPr>
            </w:pPr>
            <w:r>
              <w:rPr>
                <w:sz w:val="24"/>
                <w:szCs w:val="24"/>
              </w:rPr>
              <w:t>$14,636,021.52</w:t>
            </w:r>
          </w:p>
        </w:tc>
        <w:tc>
          <w:tcPr>
            <w:tcW w:w="1494" w:type="dxa"/>
          </w:tcPr>
          <w:p w:rsidR="00290FF8" w:rsidRDefault="00290FF8" w:rsidP="00F204BC">
            <w:pPr>
              <w:pStyle w:val="CommentText"/>
              <w:rPr>
                <w:sz w:val="24"/>
                <w:szCs w:val="24"/>
              </w:rPr>
            </w:pPr>
            <w:r>
              <w:rPr>
                <w:sz w:val="24"/>
                <w:szCs w:val="24"/>
              </w:rPr>
              <w:t>52</w:t>
            </w:r>
          </w:p>
        </w:tc>
        <w:tc>
          <w:tcPr>
            <w:tcW w:w="2628" w:type="dxa"/>
          </w:tcPr>
          <w:p w:rsidR="00290FF8" w:rsidRPr="007967FD" w:rsidRDefault="00290FF8" w:rsidP="00F204BC">
            <w:pPr>
              <w:pStyle w:val="CommentText"/>
              <w:rPr>
                <w:sz w:val="24"/>
                <w:szCs w:val="24"/>
              </w:rPr>
            </w:pPr>
            <w:r>
              <w:rPr>
                <w:sz w:val="24"/>
                <w:szCs w:val="24"/>
              </w:rPr>
              <w:t>$7,318,010</w:t>
            </w:r>
          </w:p>
        </w:tc>
      </w:tr>
      <w:tr w:rsidR="00290FF8" w:rsidTr="00F204BC">
        <w:trPr>
          <w:trHeight w:val="287"/>
        </w:trPr>
        <w:tc>
          <w:tcPr>
            <w:tcW w:w="1818" w:type="dxa"/>
          </w:tcPr>
          <w:p w:rsidR="00290FF8" w:rsidRDefault="00290FF8" w:rsidP="00F204BC">
            <w:pPr>
              <w:pStyle w:val="CommentText"/>
              <w:rPr>
                <w:sz w:val="24"/>
                <w:szCs w:val="24"/>
              </w:rPr>
            </w:pPr>
            <w:r>
              <w:rPr>
                <w:sz w:val="24"/>
                <w:szCs w:val="24"/>
              </w:rPr>
              <w:t>One-Time</w:t>
            </w:r>
          </w:p>
        </w:tc>
        <w:tc>
          <w:tcPr>
            <w:tcW w:w="1126" w:type="dxa"/>
          </w:tcPr>
          <w:p w:rsidR="00290FF8" w:rsidRPr="007967FD" w:rsidRDefault="00290FF8" w:rsidP="00F204BC">
            <w:pPr>
              <w:pStyle w:val="CommentText"/>
              <w:rPr>
                <w:sz w:val="24"/>
                <w:szCs w:val="24"/>
              </w:rPr>
            </w:pPr>
            <w:r w:rsidRPr="007967FD">
              <w:rPr>
                <w:sz w:val="24"/>
                <w:szCs w:val="24"/>
              </w:rPr>
              <w:t xml:space="preserve">1,306 </w:t>
            </w:r>
          </w:p>
        </w:tc>
        <w:tc>
          <w:tcPr>
            <w:tcW w:w="1394" w:type="dxa"/>
          </w:tcPr>
          <w:p w:rsidR="00290FF8" w:rsidRPr="007967FD" w:rsidRDefault="00290FF8" w:rsidP="00F204BC">
            <w:pPr>
              <w:pStyle w:val="CommentText"/>
              <w:rPr>
                <w:sz w:val="24"/>
                <w:szCs w:val="24"/>
              </w:rPr>
            </w:pPr>
            <w:r w:rsidRPr="0054776C">
              <w:rPr>
                <w:sz w:val="24"/>
                <w:szCs w:val="24"/>
              </w:rPr>
              <w:t>$76.24</w:t>
            </w:r>
          </w:p>
        </w:tc>
        <w:tc>
          <w:tcPr>
            <w:tcW w:w="1836" w:type="dxa"/>
          </w:tcPr>
          <w:p w:rsidR="00290FF8" w:rsidRPr="007967FD" w:rsidRDefault="00290FF8" w:rsidP="00F204BC">
            <w:pPr>
              <w:pStyle w:val="CommentText"/>
              <w:rPr>
                <w:sz w:val="24"/>
                <w:szCs w:val="24"/>
              </w:rPr>
            </w:pPr>
            <w:r>
              <w:rPr>
                <w:sz w:val="24"/>
                <w:szCs w:val="24"/>
              </w:rPr>
              <w:t>$99,569.44</w:t>
            </w:r>
          </w:p>
        </w:tc>
        <w:tc>
          <w:tcPr>
            <w:tcW w:w="1494" w:type="dxa"/>
          </w:tcPr>
          <w:p w:rsidR="00290FF8" w:rsidRPr="007967FD" w:rsidRDefault="00290FF8" w:rsidP="00F204BC">
            <w:pPr>
              <w:pStyle w:val="CommentText"/>
              <w:rPr>
                <w:sz w:val="24"/>
                <w:szCs w:val="24"/>
              </w:rPr>
            </w:pPr>
            <w:r>
              <w:rPr>
                <w:sz w:val="24"/>
                <w:szCs w:val="24"/>
              </w:rPr>
              <w:t>52</w:t>
            </w:r>
          </w:p>
        </w:tc>
        <w:tc>
          <w:tcPr>
            <w:tcW w:w="2628" w:type="dxa"/>
          </w:tcPr>
          <w:p w:rsidR="00290FF8" w:rsidRPr="007967FD" w:rsidRDefault="00290FF8" w:rsidP="00F204BC">
            <w:pPr>
              <w:pStyle w:val="CommentText"/>
              <w:rPr>
                <w:sz w:val="24"/>
                <w:szCs w:val="24"/>
              </w:rPr>
            </w:pPr>
            <w:r>
              <w:rPr>
                <w:sz w:val="24"/>
                <w:szCs w:val="24"/>
              </w:rPr>
              <w:t>$49,784</w:t>
            </w:r>
          </w:p>
        </w:tc>
      </w:tr>
      <w:tr w:rsidR="00D336BF" w:rsidTr="00D336BF">
        <w:trPr>
          <w:trHeight w:val="287"/>
        </w:trPr>
        <w:tc>
          <w:tcPr>
            <w:tcW w:w="1818" w:type="dxa"/>
          </w:tcPr>
          <w:p w:rsidR="00D336BF" w:rsidRDefault="00D336BF" w:rsidP="00F204BC">
            <w:pPr>
              <w:pStyle w:val="CommentText"/>
              <w:rPr>
                <w:sz w:val="24"/>
                <w:szCs w:val="24"/>
              </w:rPr>
            </w:pPr>
            <w:r>
              <w:rPr>
                <w:sz w:val="24"/>
                <w:szCs w:val="24"/>
              </w:rPr>
              <w:t xml:space="preserve">Total </w:t>
            </w:r>
          </w:p>
        </w:tc>
        <w:tc>
          <w:tcPr>
            <w:tcW w:w="1126" w:type="dxa"/>
            <w:shd w:val="clear" w:color="auto" w:fill="BFBFBF" w:themeFill="background1" w:themeFillShade="BF"/>
          </w:tcPr>
          <w:p w:rsidR="00D336BF" w:rsidRPr="007967FD" w:rsidRDefault="00D336BF" w:rsidP="00F204BC">
            <w:pPr>
              <w:pStyle w:val="CommentText"/>
              <w:rPr>
                <w:sz w:val="24"/>
                <w:szCs w:val="24"/>
              </w:rPr>
            </w:pPr>
          </w:p>
        </w:tc>
        <w:tc>
          <w:tcPr>
            <w:tcW w:w="1394" w:type="dxa"/>
            <w:shd w:val="clear" w:color="auto" w:fill="BFBFBF" w:themeFill="background1" w:themeFillShade="BF"/>
          </w:tcPr>
          <w:p w:rsidR="00D336BF" w:rsidRPr="0054776C" w:rsidRDefault="00D336BF" w:rsidP="00F204BC">
            <w:pPr>
              <w:pStyle w:val="CommentText"/>
              <w:rPr>
                <w:sz w:val="24"/>
                <w:szCs w:val="24"/>
              </w:rPr>
            </w:pPr>
          </w:p>
        </w:tc>
        <w:tc>
          <w:tcPr>
            <w:tcW w:w="1836" w:type="dxa"/>
            <w:shd w:val="clear" w:color="auto" w:fill="BFBFBF" w:themeFill="background1" w:themeFillShade="BF"/>
          </w:tcPr>
          <w:p w:rsidR="00D336BF" w:rsidRDefault="00D336BF" w:rsidP="00F204BC">
            <w:pPr>
              <w:pStyle w:val="CommentText"/>
              <w:rPr>
                <w:sz w:val="24"/>
                <w:szCs w:val="24"/>
              </w:rPr>
            </w:pPr>
          </w:p>
        </w:tc>
        <w:tc>
          <w:tcPr>
            <w:tcW w:w="1494" w:type="dxa"/>
            <w:shd w:val="clear" w:color="auto" w:fill="BFBFBF" w:themeFill="background1" w:themeFillShade="BF"/>
          </w:tcPr>
          <w:p w:rsidR="00D336BF" w:rsidRDefault="00D336BF" w:rsidP="00F204BC">
            <w:pPr>
              <w:pStyle w:val="CommentText"/>
              <w:rPr>
                <w:sz w:val="24"/>
                <w:szCs w:val="24"/>
              </w:rPr>
            </w:pPr>
          </w:p>
        </w:tc>
        <w:tc>
          <w:tcPr>
            <w:tcW w:w="2628" w:type="dxa"/>
          </w:tcPr>
          <w:p w:rsidR="00D336BF" w:rsidRDefault="00D336BF" w:rsidP="00F204BC">
            <w:pPr>
              <w:pStyle w:val="CommentText"/>
              <w:rPr>
                <w:sz w:val="24"/>
                <w:szCs w:val="24"/>
              </w:rPr>
            </w:pPr>
            <w:r>
              <w:rPr>
                <w:sz w:val="24"/>
                <w:szCs w:val="24"/>
              </w:rPr>
              <w:t>$7,367,794</w:t>
            </w:r>
          </w:p>
        </w:tc>
      </w:tr>
    </w:tbl>
    <w:p w:rsidR="00290FF8" w:rsidRDefault="00290FF8" w:rsidP="00B832A3">
      <w:pPr>
        <w:widowControl/>
        <w:rPr>
          <w:snapToGrid/>
          <w:color w:val="FF0000"/>
          <w:szCs w:val="24"/>
        </w:rPr>
      </w:pPr>
    </w:p>
    <w:p w:rsidR="00AE5733" w:rsidRDefault="00AE5733" w:rsidP="00B832A3">
      <w:pPr>
        <w:widowControl/>
        <w:rPr>
          <w:snapToGrid/>
          <w:color w:val="FF0000"/>
          <w:szCs w:val="24"/>
        </w:rPr>
      </w:pPr>
    </w:p>
    <w:tbl>
      <w:tblPr>
        <w:tblStyle w:val="TableGrid"/>
        <w:tblW w:w="10313" w:type="dxa"/>
        <w:tblLook w:val="04A0" w:firstRow="1" w:lastRow="0" w:firstColumn="1" w:lastColumn="0" w:noHBand="0" w:noVBand="1"/>
      </w:tblPr>
      <w:tblGrid>
        <w:gridCol w:w="1827"/>
        <w:gridCol w:w="1265"/>
        <w:gridCol w:w="1406"/>
        <w:gridCol w:w="2061"/>
        <w:gridCol w:w="1717"/>
        <w:gridCol w:w="2037"/>
      </w:tblGrid>
      <w:tr w:rsidR="00AE5733" w:rsidTr="000738B7">
        <w:trPr>
          <w:trHeight w:val="618"/>
        </w:trPr>
        <w:tc>
          <w:tcPr>
            <w:tcW w:w="1827" w:type="dxa"/>
          </w:tcPr>
          <w:p w:rsidR="00AE5733" w:rsidRPr="007967FD" w:rsidRDefault="00AE5733" w:rsidP="000738B7">
            <w:pPr>
              <w:pStyle w:val="CommentText"/>
              <w:rPr>
                <w:b/>
                <w:sz w:val="24"/>
                <w:szCs w:val="24"/>
              </w:rPr>
            </w:pPr>
            <w:r w:rsidRPr="007967FD">
              <w:rPr>
                <w:b/>
                <w:sz w:val="24"/>
                <w:szCs w:val="24"/>
              </w:rPr>
              <w:t xml:space="preserve">Collection - </w:t>
            </w:r>
            <w:r>
              <w:rPr>
                <w:b/>
                <w:sz w:val="24"/>
                <w:szCs w:val="24"/>
              </w:rPr>
              <w:t>Reporting</w:t>
            </w:r>
          </w:p>
        </w:tc>
        <w:tc>
          <w:tcPr>
            <w:tcW w:w="1265" w:type="dxa"/>
          </w:tcPr>
          <w:p w:rsidR="00AE5733" w:rsidRPr="007967FD" w:rsidRDefault="00AE5733" w:rsidP="000738B7">
            <w:pPr>
              <w:pStyle w:val="CommentText"/>
              <w:rPr>
                <w:b/>
                <w:sz w:val="24"/>
                <w:szCs w:val="24"/>
              </w:rPr>
            </w:pPr>
            <w:r w:rsidRPr="007967FD">
              <w:rPr>
                <w:b/>
                <w:sz w:val="24"/>
                <w:szCs w:val="24"/>
              </w:rPr>
              <w:t>Total burden hours</w:t>
            </w:r>
          </w:p>
        </w:tc>
        <w:tc>
          <w:tcPr>
            <w:tcW w:w="1406" w:type="dxa"/>
          </w:tcPr>
          <w:p w:rsidR="00AE5733" w:rsidRPr="007967FD" w:rsidRDefault="00AE5733" w:rsidP="000738B7">
            <w:pPr>
              <w:pStyle w:val="CommentText"/>
              <w:rPr>
                <w:b/>
                <w:sz w:val="24"/>
                <w:szCs w:val="24"/>
              </w:rPr>
            </w:pPr>
            <w:r w:rsidRPr="00B41CE2">
              <w:rPr>
                <w:b/>
                <w:sz w:val="24"/>
                <w:szCs w:val="24"/>
              </w:rPr>
              <w:t>Average hourly labor rate</w:t>
            </w:r>
          </w:p>
        </w:tc>
        <w:tc>
          <w:tcPr>
            <w:tcW w:w="2061" w:type="dxa"/>
          </w:tcPr>
          <w:p w:rsidR="00AE5733" w:rsidRPr="00B41CE2" w:rsidRDefault="00AE5733" w:rsidP="000738B7">
            <w:pPr>
              <w:pStyle w:val="CommentText"/>
              <w:rPr>
                <w:b/>
                <w:sz w:val="24"/>
                <w:szCs w:val="24"/>
              </w:rPr>
            </w:pPr>
            <w:r>
              <w:rPr>
                <w:b/>
                <w:sz w:val="24"/>
                <w:szCs w:val="24"/>
              </w:rPr>
              <w:t>Total cost</w:t>
            </w:r>
          </w:p>
        </w:tc>
        <w:tc>
          <w:tcPr>
            <w:tcW w:w="1717" w:type="dxa"/>
          </w:tcPr>
          <w:p w:rsidR="00AE5733" w:rsidRPr="00B41CE2" w:rsidRDefault="00AE5733" w:rsidP="000738B7">
            <w:pPr>
              <w:pStyle w:val="CommentText"/>
              <w:rPr>
                <w:b/>
                <w:sz w:val="24"/>
                <w:szCs w:val="24"/>
              </w:rPr>
            </w:pPr>
            <w:r w:rsidRPr="007967FD">
              <w:rPr>
                <w:b/>
                <w:sz w:val="24"/>
                <w:szCs w:val="24"/>
              </w:rPr>
              <w:t>Number of respondents</w:t>
            </w:r>
          </w:p>
        </w:tc>
        <w:tc>
          <w:tcPr>
            <w:tcW w:w="2037" w:type="dxa"/>
          </w:tcPr>
          <w:p w:rsidR="00AE5733" w:rsidRPr="00B41CE2" w:rsidRDefault="00B44920" w:rsidP="000738B7">
            <w:pPr>
              <w:pStyle w:val="CommentText"/>
              <w:rPr>
                <w:b/>
                <w:sz w:val="24"/>
                <w:szCs w:val="24"/>
              </w:rPr>
            </w:pPr>
            <w:r w:rsidRPr="00290FF8">
              <w:rPr>
                <w:b/>
                <w:sz w:val="24"/>
                <w:szCs w:val="24"/>
              </w:rPr>
              <w:t>Estimate Federal costs (50% FFP)</w:t>
            </w:r>
          </w:p>
        </w:tc>
      </w:tr>
      <w:tr w:rsidR="00AE5733" w:rsidTr="000738B7">
        <w:trPr>
          <w:trHeight w:val="299"/>
        </w:trPr>
        <w:tc>
          <w:tcPr>
            <w:tcW w:w="1827" w:type="dxa"/>
          </w:tcPr>
          <w:p w:rsidR="00AE5733" w:rsidRDefault="00AE5733" w:rsidP="000738B7">
            <w:pPr>
              <w:pStyle w:val="CommentText"/>
              <w:rPr>
                <w:sz w:val="24"/>
                <w:szCs w:val="24"/>
              </w:rPr>
            </w:pPr>
            <w:r>
              <w:rPr>
                <w:sz w:val="24"/>
                <w:szCs w:val="24"/>
              </w:rPr>
              <w:t>Annual</w:t>
            </w:r>
          </w:p>
        </w:tc>
        <w:tc>
          <w:tcPr>
            <w:tcW w:w="1265" w:type="dxa"/>
          </w:tcPr>
          <w:p w:rsidR="00AE5733" w:rsidRPr="007967FD" w:rsidRDefault="00AE5733" w:rsidP="000738B7">
            <w:pPr>
              <w:pStyle w:val="CommentText"/>
              <w:rPr>
                <w:sz w:val="24"/>
                <w:szCs w:val="24"/>
              </w:rPr>
            </w:pPr>
            <w:r>
              <w:rPr>
                <w:sz w:val="24"/>
                <w:szCs w:val="24"/>
              </w:rPr>
              <w:t>312</w:t>
            </w:r>
            <w:r w:rsidRPr="007967FD">
              <w:rPr>
                <w:sz w:val="24"/>
                <w:szCs w:val="24"/>
              </w:rPr>
              <w:t xml:space="preserve"> </w:t>
            </w:r>
          </w:p>
        </w:tc>
        <w:tc>
          <w:tcPr>
            <w:tcW w:w="1406" w:type="dxa"/>
          </w:tcPr>
          <w:p w:rsidR="00AE5733" w:rsidRPr="007967FD" w:rsidRDefault="00AE5733" w:rsidP="000738B7">
            <w:pPr>
              <w:pStyle w:val="CommentText"/>
              <w:rPr>
                <w:sz w:val="24"/>
                <w:szCs w:val="24"/>
              </w:rPr>
            </w:pPr>
            <w:r w:rsidRPr="0054776C">
              <w:rPr>
                <w:sz w:val="24"/>
                <w:szCs w:val="24"/>
              </w:rPr>
              <w:t>$76.24</w:t>
            </w:r>
          </w:p>
        </w:tc>
        <w:tc>
          <w:tcPr>
            <w:tcW w:w="2061" w:type="dxa"/>
          </w:tcPr>
          <w:p w:rsidR="00AE5733" w:rsidRPr="007967FD" w:rsidRDefault="00AE5733" w:rsidP="000738B7">
            <w:pPr>
              <w:pStyle w:val="CommentText"/>
              <w:rPr>
                <w:sz w:val="24"/>
                <w:szCs w:val="24"/>
              </w:rPr>
            </w:pPr>
            <w:r>
              <w:rPr>
                <w:sz w:val="24"/>
                <w:szCs w:val="24"/>
              </w:rPr>
              <w:t>$23,786.88</w:t>
            </w:r>
          </w:p>
        </w:tc>
        <w:tc>
          <w:tcPr>
            <w:tcW w:w="1717" w:type="dxa"/>
          </w:tcPr>
          <w:p w:rsidR="00AE5733" w:rsidRPr="007967FD" w:rsidRDefault="00AE5733" w:rsidP="000738B7">
            <w:pPr>
              <w:pStyle w:val="CommentText"/>
              <w:rPr>
                <w:sz w:val="24"/>
                <w:szCs w:val="24"/>
              </w:rPr>
            </w:pPr>
            <w:r>
              <w:rPr>
                <w:sz w:val="24"/>
                <w:szCs w:val="24"/>
              </w:rPr>
              <w:t>52</w:t>
            </w:r>
          </w:p>
        </w:tc>
        <w:tc>
          <w:tcPr>
            <w:tcW w:w="2037" w:type="dxa"/>
          </w:tcPr>
          <w:p w:rsidR="00AE5733" w:rsidRPr="007967FD" w:rsidRDefault="00AE5733" w:rsidP="00B44920">
            <w:pPr>
              <w:pStyle w:val="CommentText"/>
              <w:rPr>
                <w:sz w:val="24"/>
                <w:szCs w:val="24"/>
              </w:rPr>
            </w:pPr>
            <w:r>
              <w:rPr>
                <w:sz w:val="24"/>
                <w:szCs w:val="24"/>
              </w:rPr>
              <w:t>$</w:t>
            </w:r>
            <w:r w:rsidR="00B44920">
              <w:rPr>
                <w:sz w:val="24"/>
                <w:szCs w:val="24"/>
              </w:rPr>
              <w:t>11,893</w:t>
            </w:r>
          </w:p>
        </w:tc>
      </w:tr>
      <w:tr w:rsidR="00AE5733" w:rsidTr="000738B7">
        <w:trPr>
          <w:trHeight w:val="321"/>
        </w:trPr>
        <w:tc>
          <w:tcPr>
            <w:tcW w:w="1827" w:type="dxa"/>
          </w:tcPr>
          <w:p w:rsidR="00AE5733" w:rsidRDefault="00AE5733" w:rsidP="000738B7">
            <w:pPr>
              <w:pStyle w:val="CommentText"/>
              <w:rPr>
                <w:sz w:val="24"/>
                <w:szCs w:val="24"/>
              </w:rPr>
            </w:pPr>
            <w:r>
              <w:rPr>
                <w:sz w:val="24"/>
                <w:szCs w:val="24"/>
              </w:rPr>
              <w:t>One-Time</w:t>
            </w:r>
          </w:p>
        </w:tc>
        <w:tc>
          <w:tcPr>
            <w:tcW w:w="1265" w:type="dxa"/>
          </w:tcPr>
          <w:p w:rsidR="00AE5733" w:rsidRPr="007967FD" w:rsidRDefault="00AE5733" w:rsidP="000738B7">
            <w:pPr>
              <w:pStyle w:val="CommentText"/>
              <w:rPr>
                <w:sz w:val="24"/>
                <w:szCs w:val="24"/>
              </w:rPr>
            </w:pPr>
            <w:r>
              <w:rPr>
                <w:sz w:val="24"/>
                <w:szCs w:val="24"/>
              </w:rPr>
              <w:t>330</w:t>
            </w:r>
          </w:p>
        </w:tc>
        <w:tc>
          <w:tcPr>
            <w:tcW w:w="1406" w:type="dxa"/>
          </w:tcPr>
          <w:p w:rsidR="00AE5733" w:rsidRPr="007967FD" w:rsidRDefault="00AE5733" w:rsidP="000738B7">
            <w:pPr>
              <w:pStyle w:val="CommentText"/>
              <w:rPr>
                <w:sz w:val="24"/>
                <w:szCs w:val="24"/>
              </w:rPr>
            </w:pPr>
            <w:r w:rsidRPr="0054776C">
              <w:rPr>
                <w:sz w:val="24"/>
                <w:szCs w:val="24"/>
              </w:rPr>
              <w:t>$76.24</w:t>
            </w:r>
          </w:p>
        </w:tc>
        <w:tc>
          <w:tcPr>
            <w:tcW w:w="2061" w:type="dxa"/>
          </w:tcPr>
          <w:p w:rsidR="00AE5733" w:rsidRPr="007967FD" w:rsidRDefault="00AE5733" w:rsidP="000738B7">
            <w:pPr>
              <w:pStyle w:val="CommentText"/>
              <w:rPr>
                <w:sz w:val="24"/>
                <w:szCs w:val="24"/>
              </w:rPr>
            </w:pPr>
            <w:r>
              <w:rPr>
                <w:sz w:val="24"/>
                <w:szCs w:val="24"/>
              </w:rPr>
              <w:t>$25,159.20</w:t>
            </w:r>
          </w:p>
        </w:tc>
        <w:tc>
          <w:tcPr>
            <w:tcW w:w="1717" w:type="dxa"/>
          </w:tcPr>
          <w:p w:rsidR="00AE5733" w:rsidRPr="007967FD" w:rsidRDefault="00AE5733" w:rsidP="000738B7">
            <w:pPr>
              <w:pStyle w:val="CommentText"/>
              <w:rPr>
                <w:sz w:val="24"/>
                <w:szCs w:val="24"/>
              </w:rPr>
            </w:pPr>
            <w:r>
              <w:rPr>
                <w:sz w:val="24"/>
                <w:szCs w:val="24"/>
              </w:rPr>
              <w:t>52</w:t>
            </w:r>
          </w:p>
        </w:tc>
        <w:tc>
          <w:tcPr>
            <w:tcW w:w="2037" w:type="dxa"/>
          </w:tcPr>
          <w:p w:rsidR="00AE5733" w:rsidRPr="007967FD" w:rsidRDefault="00AE5733" w:rsidP="00B44920">
            <w:pPr>
              <w:pStyle w:val="CommentText"/>
              <w:rPr>
                <w:sz w:val="24"/>
                <w:szCs w:val="24"/>
              </w:rPr>
            </w:pPr>
            <w:r>
              <w:rPr>
                <w:sz w:val="24"/>
                <w:szCs w:val="24"/>
              </w:rPr>
              <w:t>$</w:t>
            </w:r>
            <w:r w:rsidR="00B44920">
              <w:rPr>
                <w:sz w:val="24"/>
                <w:szCs w:val="24"/>
              </w:rPr>
              <w:t>12,579</w:t>
            </w:r>
          </w:p>
        </w:tc>
      </w:tr>
      <w:tr w:rsidR="00AE5733" w:rsidTr="00AE5733">
        <w:trPr>
          <w:trHeight w:val="321"/>
        </w:trPr>
        <w:tc>
          <w:tcPr>
            <w:tcW w:w="1827" w:type="dxa"/>
          </w:tcPr>
          <w:p w:rsidR="00AE5733" w:rsidRDefault="00AE5733" w:rsidP="000738B7">
            <w:pPr>
              <w:pStyle w:val="CommentText"/>
              <w:rPr>
                <w:sz w:val="24"/>
                <w:szCs w:val="24"/>
              </w:rPr>
            </w:pPr>
            <w:r>
              <w:rPr>
                <w:sz w:val="24"/>
                <w:szCs w:val="24"/>
              </w:rPr>
              <w:t xml:space="preserve">Total </w:t>
            </w:r>
          </w:p>
        </w:tc>
        <w:tc>
          <w:tcPr>
            <w:tcW w:w="1265" w:type="dxa"/>
            <w:shd w:val="clear" w:color="auto" w:fill="BFBFBF" w:themeFill="background1" w:themeFillShade="BF"/>
          </w:tcPr>
          <w:p w:rsidR="00AE5733" w:rsidRDefault="00AE5733" w:rsidP="000738B7">
            <w:pPr>
              <w:pStyle w:val="CommentText"/>
              <w:rPr>
                <w:sz w:val="24"/>
                <w:szCs w:val="24"/>
              </w:rPr>
            </w:pPr>
          </w:p>
        </w:tc>
        <w:tc>
          <w:tcPr>
            <w:tcW w:w="1406" w:type="dxa"/>
            <w:shd w:val="clear" w:color="auto" w:fill="BFBFBF" w:themeFill="background1" w:themeFillShade="BF"/>
          </w:tcPr>
          <w:p w:rsidR="00AE5733" w:rsidRPr="0054776C" w:rsidRDefault="00AE5733" w:rsidP="000738B7">
            <w:pPr>
              <w:pStyle w:val="CommentText"/>
              <w:rPr>
                <w:sz w:val="24"/>
                <w:szCs w:val="24"/>
              </w:rPr>
            </w:pPr>
          </w:p>
        </w:tc>
        <w:tc>
          <w:tcPr>
            <w:tcW w:w="2061" w:type="dxa"/>
            <w:shd w:val="clear" w:color="auto" w:fill="BFBFBF" w:themeFill="background1" w:themeFillShade="BF"/>
          </w:tcPr>
          <w:p w:rsidR="00AE5733" w:rsidRDefault="00AE5733" w:rsidP="000738B7">
            <w:pPr>
              <w:pStyle w:val="CommentText"/>
              <w:rPr>
                <w:sz w:val="24"/>
                <w:szCs w:val="24"/>
              </w:rPr>
            </w:pPr>
          </w:p>
        </w:tc>
        <w:tc>
          <w:tcPr>
            <w:tcW w:w="1717" w:type="dxa"/>
            <w:shd w:val="clear" w:color="auto" w:fill="BFBFBF" w:themeFill="background1" w:themeFillShade="BF"/>
          </w:tcPr>
          <w:p w:rsidR="00AE5733" w:rsidRDefault="00AE5733" w:rsidP="000738B7">
            <w:pPr>
              <w:pStyle w:val="CommentText"/>
              <w:rPr>
                <w:sz w:val="24"/>
                <w:szCs w:val="24"/>
              </w:rPr>
            </w:pPr>
          </w:p>
        </w:tc>
        <w:tc>
          <w:tcPr>
            <w:tcW w:w="2037" w:type="dxa"/>
          </w:tcPr>
          <w:p w:rsidR="00AE5733" w:rsidRDefault="00AE5733" w:rsidP="00B44920">
            <w:pPr>
              <w:pStyle w:val="CommentText"/>
              <w:rPr>
                <w:sz w:val="24"/>
                <w:szCs w:val="24"/>
              </w:rPr>
            </w:pPr>
            <w:r>
              <w:rPr>
                <w:sz w:val="24"/>
                <w:szCs w:val="24"/>
              </w:rPr>
              <w:t>$</w:t>
            </w:r>
            <w:r w:rsidR="00B44920">
              <w:rPr>
                <w:sz w:val="24"/>
                <w:szCs w:val="24"/>
              </w:rPr>
              <w:t>24,472</w:t>
            </w:r>
          </w:p>
        </w:tc>
      </w:tr>
    </w:tbl>
    <w:p w:rsidR="00AE5733" w:rsidRPr="00762E22" w:rsidRDefault="00AE5733" w:rsidP="00B832A3">
      <w:pPr>
        <w:widowControl/>
        <w:rPr>
          <w:snapToGrid/>
          <w:color w:val="FF0000"/>
          <w:szCs w:val="24"/>
        </w:rPr>
      </w:pPr>
    </w:p>
    <w:p w:rsidR="00103B0A" w:rsidRPr="00762E22" w:rsidRDefault="00103B0A" w:rsidP="000F7541">
      <w:pPr>
        <w:spacing w:before="100" w:beforeAutospacing="1" w:after="100" w:afterAutospacing="1"/>
        <w:ind w:left="360"/>
        <w:rPr>
          <w:szCs w:val="24"/>
        </w:rPr>
      </w:pPr>
      <w:r w:rsidRPr="00762E22">
        <w:rPr>
          <w:szCs w:val="24"/>
        </w:rPr>
        <w:t xml:space="preserve">15.  </w:t>
      </w:r>
      <w:r w:rsidR="00113A6A" w:rsidRPr="00762E22">
        <w:rPr>
          <w:snapToGrid/>
          <w:szCs w:val="24"/>
          <w:u w:val="single"/>
        </w:rPr>
        <w:t>Explanation for Program Changes or Adjustments</w:t>
      </w:r>
    </w:p>
    <w:p w:rsidR="00103B0A" w:rsidRPr="00762E22" w:rsidRDefault="00CF1956" w:rsidP="00983F23">
      <w:pPr>
        <w:spacing w:before="100" w:beforeAutospacing="1" w:after="100" w:afterAutospacing="1"/>
        <w:rPr>
          <w:szCs w:val="24"/>
        </w:rPr>
      </w:pPr>
      <w:r w:rsidRPr="00762E22">
        <w:rPr>
          <w:szCs w:val="24"/>
        </w:rPr>
        <w:t xml:space="preserve">This </w:t>
      </w:r>
      <w:r w:rsidR="00F21EDB" w:rsidRPr="00762E22">
        <w:rPr>
          <w:szCs w:val="24"/>
        </w:rPr>
        <w:t>S</w:t>
      </w:r>
      <w:r w:rsidRPr="00762E22">
        <w:rPr>
          <w:szCs w:val="24"/>
        </w:rPr>
        <w:t xml:space="preserve">NPRM changes the collection requirements by adding </w:t>
      </w:r>
      <w:r w:rsidR="00F21EDB" w:rsidRPr="00762E22">
        <w:rPr>
          <w:szCs w:val="24"/>
        </w:rPr>
        <w:t>for the first time, ICWA-related data elements to AFCARS.  The</w:t>
      </w:r>
      <w:r w:rsidRPr="00762E22">
        <w:rPr>
          <w:szCs w:val="24"/>
        </w:rPr>
        <w:t xml:space="preserve"> burden hours </w:t>
      </w:r>
      <w:r w:rsidR="00F21EDB" w:rsidRPr="00762E22">
        <w:rPr>
          <w:szCs w:val="24"/>
        </w:rPr>
        <w:t xml:space="preserve">represent the burden associated with adding the new data elements proposed in the SNPRM </w:t>
      </w:r>
      <w:r w:rsidRPr="00762E22">
        <w:rPr>
          <w:szCs w:val="24"/>
        </w:rPr>
        <w:t>and may be an overestimate since we are unable to</w:t>
      </w:r>
      <w:r w:rsidR="001206C2" w:rsidRPr="00762E22">
        <w:rPr>
          <w:szCs w:val="24"/>
        </w:rPr>
        <w:t xml:space="preserve"> know exactly</w:t>
      </w:r>
      <w:r w:rsidRPr="00762E22">
        <w:rPr>
          <w:szCs w:val="24"/>
        </w:rPr>
        <w:t xml:space="preserve"> </w:t>
      </w:r>
      <w:r w:rsidR="001206C2" w:rsidRPr="00762E22">
        <w:rPr>
          <w:szCs w:val="24"/>
        </w:rPr>
        <w:t>what</w:t>
      </w:r>
      <w:r w:rsidRPr="00762E22">
        <w:rPr>
          <w:szCs w:val="24"/>
        </w:rPr>
        <w:t xml:space="preserve"> information </w:t>
      </w:r>
      <w:r w:rsidR="00F21EDB" w:rsidRPr="00762E22">
        <w:rPr>
          <w:szCs w:val="24"/>
        </w:rPr>
        <w:t xml:space="preserve">state </w:t>
      </w:r>
      <w:r w:rsidRPr="00762E22">
        <w:rPr>
          <w:szCs w:val="24"/>
        </w:rPr>
        <w:t xml:space="preserve">title IV-E agencies currently collect for their own purposes, but ACF proposes to collect for the first time under this </w:t>
      </w:r>
      <w:r w:rsidR="00F21EDB" w:rsidRPr="00762E22">
        <w:rPr>
          <w:szCs w:val="24"/>
        </w:rPr>
        <w:t>S</w:t>
      </w:r>
      <w:r w:rsidRPr="00762E22">
        <w:rPr>
          <w:szCs w:val="24"/>
        </w:rPr>
        <w:t xml:space="preserve">NPRM.  </w:t>
      </w:r>
      <w:r w:rsidR="009C5D2B" w:rsidRPr="00762E22">
        <w:rPr>
          <w:szCs w:val="24"/>
        </w:rPr>
        <w:t xml:space="preserve">The </w:t>
      </w:r>
      <w:r w:rsidR="00F21EDB" w:rsidRPr="00762E22">
        <w:rPr>
          <w:szCs w:val="24"/>
        </w:rPr>
        <w:t xml:space="preserve">supplemental </w:t>
      </w:r>
      <w:r w:rsidR="009C5D2B" w:rsidRPr="00762E22">
        <w:rPr>
          <w:szCs w:val="24"/>
        </w:rPr>
        <w:t xml:space="preserve">proposed regulation includes the addition of new information that may not be currently included in an agency’s </w:t>
      </w:r>
      <w:r w:rsidR="001206C2" w:rsidRPr="00762E22">
        <w:rPr>
          <w:szCs w:val="24"/>
        </w:rPr>
        <w:t>electronic case file</w:t>
      </w:r>
      <w:r w:rsidR="009C5D2B" w:rsidRPr="00762E22">
        <w:rPr>
          <w:szCs w:val="24"/>
        </w:rPr>
        <w:t xml:space="preserve">.  While agencies may collect the information in some format for their own purposes, the </w:t>
      </w:r>
      <w:r w:rsidR="00F21EDB" w:rsidRPr="00762E22">
        <w:rPr>
          <w:szCs w:val="24"/>
        </w:rPr>
        <w:t xml:space="preserve">supplemental </w:t>
      </w:r>
      <w:r w:rsidR="009C5D2B" w:rsidRPr="00762E22">
        <w:rPr>
          <w:szCs w:val="24"/>
        </w:rPr>
        <w:t xml:space="preserve">proposed regulation will require the automated collection and reporting of this information to the Federal government for the first time.    </w:t>
      </w:r>
    </w:p>
    <w:p w:rsidR="00103B0A" w:rsidRPr="00762E22" w:rsidRDefault="00103B0A" w:rsidP="000F7541">
      <w:pPr>
        <w:spacing w:before="100" w:beforeAutospacing="1" w:after="100" w:afterAutospacing="1"/>
        <w:ind w:left="360"/>
        <w:rPr>
          <w:szCs w:val="24"/>
        </w:rPr>
      </w:pPr>
      <w:r w:rsidRPr="00762E22">
        <w:rPr>
          <w:szCs w:val="24"/>
        </w:rPr>
        <w:t xml:space="preserve">16.  </w:t>
      </w:r>
      <w:r w:rsidR="00113A6A" w:rsidRPr="00762E22">
        <w:rPr>
          <w:snapToGrid/>
          <w:szCs w:val="24"/>
          <w:u w:val="single"/>
        </w:rPr>
        <w:t>Plans for Tabulation and Publication and Project Time Schedule</w:t>
      </w:r>
    </w:p>
    <w:p w:rsidR="00103B0A" w:rsidRPr="00762E22" w:rsidRDefault="00103B0A" w:rsidP="00983F23">
      <w:pPr>
        <w:spacing w:before="100" w:beforeAutospacing="1" w:after="100" w:afterAutospacing="1"/>
        <w:rPr>
          <w:szCs w:val="24"/>
        </w:rPr>
      </w:pPr>
      <w:r w:rsidRPr="00762E22">
        <w:rPr>
          <w:szCs w:val="24"/>
        </w:rPr>
        <w:t xml:space="preserve">There is no timetable or end date for the project, as collection of data will be ongoing.  </w:t>
      </w:r>
    </w:p>
    <w:p w:rsidR="00103B0A" w:rsidRPr="00762E22" w:rsidRDefault="00103B0A" w:rsidP="000F7541">
      <w:pPr>
        <w:spacing w:before="100" w:beforeAutospacing="1" w:after="100" w:afterAutospacing="1"/>
        <w:ind w:left="360"/>
        <w:rPr>
          <w:szCs w:val="24"/>
        </w:rPr>
      </w:pPr>
      <w:r w:rsidRPr="00762E22">
        <w:rPr>
          <w:szCs w:val="24"/>
        </w:rPr>
        <w:t xml:space="preserve">17.  </w:t>
      </w:r>
      <w:r w:rsidR="00113A6A" w:rsidRPr="00762E22">
        <w:rPr>
          <w:snapToGrid/>
          <w:szCs w:val="24"/>
          <w:u w:val="single"/>
        </w:rPr>
        <w:t>Reason(s) Display of OMB Expiration Date is Inappropriate</w:t>
      </w:r>
    </w:p>
    <w:p w:rsidR="00103B0A" w:rsidRPr="00762E22" w:rsidRDefault="00103B0A" w:rsidP="00983F23">
      <w:pPr>
        <w:spacing w:before="100" w:beforeAutospacing="1" w:after="100" w:afterAutospacing="1"/>
        <w:rPr>
          <w:szCs w:val="24"/>
        </w:rPr>
      </w:pPr>
      <w:r w:rsidRPr="00762E22">
        <w:rPr>
          <w:szCs w:val="24"/>
        </w:rPr>
        <w:t xml:space="preserve">The Department is requesting that the OMB number and expiration date not be displayed as there is no </w:t>
      </w:r>
      <w:r w:rsidR="0090108B" w:rsidRPr="00762E22">
        <w:rPr>
          <w:szCs w:val="24"/>
        </w:rPr>
        <w:t>forms that the state title IV-E agencies use</w:t>
      </w:r>
      <w:r w:rsidRPr="00762E22">
        <w:rPr>
          <w:szCs w:val="24"/>
        </w:rPr>
        <w:t xml:space="preserve"> to </w:t>
      </w:r>
      <w:r w:rsidR="00F02211" w:rsidRPr="00762E22">
        <w:rPr>
          <w:szCs w:val="24"/>
        </w:rPr>
        <w:t>submit AFCARS data.  All data are</w:t>
      </w:r>
      <w:r w:rsidRPr="00762E22">
        <w:rPr>
          <w:szCs w:val="24"/>
        </w:rPr>
        <w:t xml:space="preserve"> submitted electronically.  The OMB number is displayed at 45 CFR 1355.40.</w:t>
      </w:r>
    </w:p>
    <w:p w:rsidR="00103B0A" w:rsidRPr="00762E22" w:rsidRDefault="00103B0A" w:rsidP="000F7541">
      <w:pPr>
        <w:spacing w:before="100" w:beforeAutospacing="1" w:after="100" w:afterAutospacing="1"/>
        <w:ind w:left="360"/>
        <w:rPr>
          <w:szCs w:val="24"/>
        </w:rPr>
      </w:pPr>
      <w:r w:rsidRPr="00762E22">
        <w:rPr>
          <w:szCs w:val="24"/>
        </w:rPr>
        <w:t xml:space="preserve">18.  </w:t>
      </w:r>
      <w:r w:rsidR="00113A6A" w:rsidRPr="00762E22">
        <w:rPr>
          <w:snapToGrid/>
          <w:szCs w:val="24"/>
          <w:u w:val="single"/>
        </w:rPr>
        <w:t>Exceptions to Certification for Paperwork Reduction Act Submissions</w:t>
      </w:r>
    </w:p>
    <w:p w:rsidR="00103B0A" w:rsidRPr="00762E22" w:rsidRDefault="00103B0A" w:rsidP="00983F23">
      <w:pPr>
        <w:spacing w:before="100" w:beforeAutospacing="1" w:after="100" w:afterAutospacing="1"/>
        <w:rPr>
          <w:szCs w:val="24"/>
        </w:rPr>
      </w:pPr>
      <w:r w:rsidRPr="00762E22">
        <w:rPr>
          <w:szCs w:val="24"/>
        </w:rPr>
        <w:t>There are no exceptions to the certification statement.</w:t>
      </w:r>
    </w:p>
    <w:p w:rsidR="00113A6A" w:rsidRPr="00762E22" w:rsidRDefault="00113A6A" w:rsidP="000F7541">
      <w:pPr>
        <w:widowControl/>
        <w:spacing w:before="100" w:beforeAutospacing="1" w:after="100" w:afterAutospacing="1"/>
        <w:rPr>
          <w:snapToGrid/>
          <w:szCs w:val="24"/>
        </w:rPr>
      </w:pPr>
      <w:r w:rsidRPr="00762E22">
        <w:rPr>
          <w:szCs w:val="24"/>
        </w:rPr>
        <w:t xml:space="preserve">B.   </w:t>
      </w:r>
      <w:r w:rsidRPr="00762E22">
        <w:rPr>
          <w:b/>
          <w:bCs/>
          <w:snapToGrid/>
          <w:szCs w:val="24"/>
        </w:rPr>
        <w:t>Statistical Methods</w:t>
      </w:r>
      <w:r w:rsidRPr="00762E22">
        <w:rPr>
          <w:snapToGrid/>
          <w:szCs w:val="24"/>
        </w:rPr>
        <w:t xml:space="preserve"> </w:t>
      </w:r>
      <w:r w:rsidRPr="00762E22">
        <w:rPr>
          <w:b/>
          <w:bCs/>
          <w:snapToGrid/>
          <w:szCs w:val="24"/>
        </w:rPr>
        <w:t>(used for collection of information employing statistical methods)</w:t>
      </w:r>
    </w:p>
    <w:p w:rsidR="00103B0A" w:rsidRPr="00762E22" w:rsidRDefault="00103B0A" w:rsidP="000F7541">
      <w:pPr>
        <w:spacing w:before="100" w:beforeAutospacing="1" w:after="100" w:afterAutospacing="1"/>
        <w:rPr>
          <w:szCs w:val="24"/>
        </w:rPr>
      </w:pPr>
      <w:r w:rsidRPr="00762E22">
        <w:rPr>
          <w:szCs w:val="24"/>
        </w:rPr>
        <w:t xml:space="preserve">The information collected in AFCARS does not require the use of statistical methods. </w:t>
      </w:r>
    </w:p>
    <w:sectPr w:rsidR="00103B0A" w:rsidRPr="00762E22" w:rsidSect="009A690C">
      <w:footerReference w:type="even" r:id="rId13"/>
      <w:footerReference w:type="default" r:id="rId14"/>
      <w:endnotePr>
        <w:numFmt w:val="decimal"/>
      </w:endnotePr>
      <w:pgSz w:w="12240" w:h="15840" w:code="1"/>
      <w:pgMar w:top="1440" w:right="1080" w:bottom="1440" w:left="108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E3" w:rsidRDefault="006442E3">
      <w:r>
        <w:separator/>
      </w:r>
    </w:p>
  </w:endnote>
  <w:endnote w:type="continuationSeparator" w:id="0">
    <w:p w:rsidR="006442E3" w:rsidRDefault="0064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end"/>
    </w:r>
  </w:p>
  <w:p w:rsidR="00E122A1" w:rsidRDefault="00E12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separate"/>
    </w:r>
    <w:r w:rsidR="00ED39AD">
      <w:rPr>
        <w:rStyle w:val="PageNumber"/>
        <w:noProof/>
      </w:rPr>
      <w:t>8</w:t>
    </w:r>
    <w:r>
      <w:rPr>
        <w:rStyle w:val="PageNumber"/>
      </w:rPr>
      <w:fldChar w:fldCharType="end"/>
    </w:r>
  </w:p>
  <w:p w:rsidR="00E122A1" w:rsidRDefault="00E12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E3" w:rsidRDefault="006442E3">
      <w:r>
        <w:separator/>
      </w:r>
    </w:p>
  </w:footnote>
  <w:footnote w:type="continuationSeparator" w:id="0">
    <w:p w:rsidR="006442E3" w:rsidRDefault="00644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747"/>
    <w:multiLevelType w:val="hybridMultilevel"/>
    <w:tmpl w:val="E14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0157A"/>
    <w:multiLevelType w:val="hybridMultilevel"/>
    <w:tmpl w:val="48F0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F39"/>
    <w:multiLevelType w:val="hybridMultilevel"/>
    <w:tmpl w:val="0B96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2B38FA"/>
    <w:multiLevelType w:val="hybridMultilevel"/>
    <w:tmpl w:val="0DB4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27457"/>
    <w:multiLevelType w:val="hybridMultilevel"/>
    <w:tmpl w:val="AA4A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D53B3"/>
    <w:multiLevelType w:val="hybridMultilevel"/>
    <w:tmpl w:val="6F5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5285861"/>
    <w:multiLevelType w:val="hybridMultilevel"/>
    <w:tmpl w:val="7786C380"/>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563E0A"/>
    <w:multiLevelType w:val="hybridMultilevel"/>
    <w:tmpl w:val="AAC25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D32AD2"/>
    <w:multiLevelType w:val="hybridMultilevel"/>
    <w:tmpl w:val="F336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2E5645"/>
    <w:multiLevelType w:val="hybridMultilevel"/>
    <w:tmpl w:val="B3428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5B0F76"/>
    <w:multiLevelType w:val="hybridMultilevel"/>
    <w:tmpl w:val="A75C1A86"/>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D019CD"/>
    <w:multiLevelType w:val="hybridMultilevel"/>
    <w:tmpl w:val="0B16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65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1212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32546A"/>
    <w:multiLevelType w:val="hybridMultilevel"/>
    <w:tmpl w:val="7862CF06"/>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220031"/>
    <w:multiLevelType w:val="hybridMultilevel"/>
    <w:tmpl w:val="F584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A2723"/>
    <w:multiLevelType w:val="hybridMultilevel"/>
    <w:tmpl w:val="67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123C3"/>
    <w:multiLevelType w:val="hybridMultilevel"/>
    <w:tmpl w:val="483EC2BC"/>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E76E1C"/>
    <w:multiLevelType w:val="hybridMultilevel"/>
    <w:tmpl w:val="F5E02646"/>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E85249"/>
    <w:multiLevelType w:val="hybridMultilevel"/>
    <w:tmpl w:val="FB9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88461C"/>
    <w:multiLevelType w:val="hybridMultilevel"/>
    <w:tmpl w:val="C45E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5"/>
  </w:num>
  <w:num w:numId="4">
    <w:abstractNumId w:val="23"/>
  </w:num>
  <w:num w:numId="5">
    <w:abstractNumId w:val="12"/>
  </w:num>
  <w:num w:numId="6">
    <w:abstractNumId w:val="10"/>
  </w:num>
  <w:num w:numId="7">
    <w:abstractNumId w:val="24"/>
  </w:num>
  <w:num w:numId="8">
    <w:abstractNumId w:val="16"/>
  </w:num>
  <w:num w:numId="9">
    <w:abstractNumId w:val="7"/>
  </w:num>
  <w:num w:numId="10">
    <w:abstractNumId w:val="20"/>
  </w:num>
  <w:num w:numId="11">
    <w:abstractNumId w:val="9"/>
  </w:num>
  <w:num w:numId="12">
    <w:abstractNumId w:val="21"/>
  </w:num>
  <w:num w:numId="13">
    <w:abstractNumId w:val="8"/>
  </w:num>
  <w:num w:numId="14">
    <w:abstractNumId w:val="14"/>
  </w:num>
  <w:num w:numId="15">
    <w:abstractNumId w:val="22"/>
  </w:num>
  <w:num w:numId="16">
    <w:abstractNumId w:val="18"/>
  </w:num>
  <w:num w:numId="17">
    <w:abstractNumId w:val="13"/>
  </w:num>
  <w:num w:numId="18">
    <w:abstractNumId w:val="4"/>
  </w:num>
  <w:num w:numId="19">
    <w:abstractNumId w:val="26"/>
  </w:num>
  <w:num w:numId="20">
    <w:abstractNumId w:val="5"/>
  </w:num>
  <w:num w:numId="21">
    <w:abstractNumId w:val="2"/>
  </w:num>
  <w:num w:numId="22">
    <w:abstractNumId w:val="19"/>
  </w:num>
  <w:num w:numId="23">
    <w:abstractNumId w:val="0"/>
  </w:num>
  <w:num w:numId="24">
    <w:abstractNumId w:val="15"/>
  </w:num>
  <w:num w:numId="25">
    <w:abstractNumId w:val="6"/>
  </w:num>
  <w:num w:numId="26">
    <w:abstractNumId w:val="27"/>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0A"/>
    <w:rsid w:val="00001E10"/>
    <w:rsid w:val="000112AA"/>
    <w:rsid w:val="00011D8C"/>
    <w:rsid w:val="00012707"/>
    <w:rsid w:val="00024C1E"/>
    <w:rsid w:val="000250E5"/>
    <w:rsid w:val="000414A9"/>
    <w:rsid w:val="00041557"/>
    <w:rsid w:val="00045B0B"/>
    <w:rsid w:val="0005249E"/>
    <w:rsid w:val="000544F0"/>
    <w:rsid w:val="000716CC"/>
    <w:rsid w:val="0007230D"/>
    <w:rsid w:val="00073E59"/>
    <w:rsid w:val="000974B8"/>
    <w:rsid w:val="000B0DCD"/>
    <w:rsid w:val="000D02A5"/>
    <w:rsid w:val="000D2DB1"/>
    <w:rsid w:val="000D4572"/>
    <w:rsid w:val="000F7541"/>
    <w:rsid w:val="00102523"/>
    <w:rsid w:val="00103B0A"/>
    <w:rsid w:val="0010626C"/>
    <w:rsid w:val="00113A6A"/>
    <w:rsid w:val="00115A55"/>
    <w:rsid w:val="001206C2"/>
    <w:rsid w:val="0012468D"/>
    <w:rsid w:val="00127D56"/>
    <w:rsid w:val="001352EF"/>
    <w:rsid w:val="00146EE9"/>
    <w:rsid w:val="00157C4F"/>
    <w:rsid w:val="001656E2"/>
    <w:rsid w:val="001675E2"/>
    <w:rsid w:val="00177C27"/>
    <w:rsid w:val="00180AD2"/>
    <w:rsid w:val="001973B7"/>
    <w:rsid w:val="001A733C"/>
    <w:rsid w:val="001B0970"/>
    <w:rsid w:val="001B4D2D"/>
    <w:rsid w:val="001D2214"/>
    <w:rsid w:val="001D6EFE"/>
    <w:rsid w:val="0020233B"/>
    <w:rsid w:val="002114A4"/>
    <w:rsid w:val="002157C8"/>
    <w:rsid w:val="002401DF"/>
    <w:rsid w:val="002428D9"/>
    <w:rsid w:val="00246FE6"/>
    <w:rsid w:val="0025415F"/>
    <w:rsid w:val="00262475"/>
    <w:rsid w:val="00263066"/>
    <w:rsid w:val="002756AE"/>
    <w:rsid w:val="00290FF8"/>
    <w:rsid w:val="00291DDA"/>
    <w:rsid w:val="002930CD"/>
    <w:rsid w:val="002931F5"/>
    <w:rsid w:val="002C668D"/>
    <w:rsid w:val="002C76C3"/>
    <w:rsid w:val="002D0A25"/>
    <w:rsid w:val="002D3193"/>
    <w:rsid w:val="002D3F0E"/>
    <w:rsid w:val="002D4845"/>
    <w:rsid w:val="002E40E4"/>
    <w:rsid w:val="002F3AB5"/>
    <w:rsid w:val="003068B4"/>
    <w:rsid w:val="00307F0D"/>
    <w:rsid w:val="00334574"/>
    <w:rsid w:val="003401BE"/>
    <w:rsid w:val="00363D37"/>
    <w:rsid w:val="003916C7"/>
    <w:rsid w:val="003B0077"/>
    <w:rsid w:val="003B0FA0"/>
    <w:rsid w:val="003B191F"/>
    <w:rsid w:val="003B79E2"/>
    <w:rsid w:val="003D4095"/>
    <w:rsid w:val="003E40AE"/>
    <w:rsid w:val="003E448A"/>
    <w:rsid w:val="003F2BC1"/>
    <w:rsid w:val="00406DEB"/>
    <w:rsid w:val="00411021"/>
    <w:rsid w:val="00417CE0"/>
    <w:rsid w:val="00423ADB"/>
    <w:rsid w:val="00440BCE"/>
    <w:rsid w:val="0044244B"/>
    <w:rsid w:val="00455E63"/>
    <w:rsid w:val="00462E41"/>
    <w:rsid w:val="00471FB5"/>
    <w:rsid w:val="0048278E"/>
    <w:rsid w:val="004863E5"/>
    <w:rsid w:val="0048685D"/>
    <w:rsid w:val="0049254B"/>
    <w:rsid w:val="004A0C82"/>
    <w:rsid w:val="004A5289"/>
    <w:rsid w:val="004B3617"/>
    <w:rsid w:val="004E155E"/>
    <w:rsid w:val="00505071"/>
    <w:rsid w:val="005135AC"/>
    <w:rsid w:val="00522475"/>
    <w:rsid w:val="005232FB"/>
    <w:rsid w:val="00523913"/>
    <w:rsid w:val="005408F0"/>
    <w:rsid w:val="0054776C"/>
    <w:rsid w:val="00552AA1"/>
    <w:rsid w:val="00562FBA"/>
    <w:rsid w:val="00564B18"/>
    <w:rsid w:val="00566702"/>
    <w:rsid w:val="00566FB2"/>
    <w:rsid w:val="00581B1E"/>
    <w:rsid w:val="00584950"/>
    <w:rsid w:val="005854F4"/>
    <w:rsid w:val="0059039D"/>
    <w:rsid w:val="0059258C"/>
    <w:rsid w:val="005A0841"/>
    <w:rsid w:val="005A0CE0"/>
    <w:rsid w:val="005A6E30"/>
    <w:rsid w:val="005A6E4F"/>
    <w:rsid w:val="005B4DBC"/>
    <w:rsid w:val="005B6924"/>
    <w:rsid w:val="005B7007"/>
    <w:rsid w:val="005D012F"/>
    <w:rsid w:val="005D7055"/>
    <w:rsid w:val="005E19B5"/>
    <w:rsid w:val="005E51FD"/>
    <w:rsid w:val="005F0212"/>
    <w:rsid w:val="005F686C"/>
    <w:rsid w:val="0061033F"/>
    <w:rsid w:val="00611632"/>
    <w:rsid w:val="00616470"/>
    <w:rsid w:val="006168DD"/>
    <w:rsid w:val="00623C66"/>
    <w:rsid w:val="00631180"/>
    <w:rsid w:val="00634686"/>
    <w:rsid w:val="0064060F"/>
    <w:rsid w:val="006442E3"/>
    <w:rsid w:val="00647B48"/>
    <w:rsid w:val="00653959"/>
    <w:rsid w:val="00654712"/>
    <w:rsid w:val="00680D4B"/>
    <w:rsid w:val="00686DFA"/>
    <w:rsid w:val="00690457"/>
    <w:rsid w:val="00692593"/>
    <w:rsid w:val="00696A02"/>
    <w:rsid w:val="006B413B"/>
    <w:rsid w:val="006D51E6"/>
    <w:rsid w:val="006E43DF"/>
    <w:rsid w:val="006E6997"/>
    <w:rsid w:val="006F4138"/>
    <w:rsid w:val="006F4631"/>
    <w:rsid w:val="0071412D"/>
    <w:rsid w:val="007320AC"/>
    <w:rsid w:val="00734C9C"/>
    <w:rsid w:val="00762E22"/>
    <w:rsid w:val="00781FD4"/>
    <w:rsid w:val="00792242"/>
    <w:rsid w:val="00794459"/>
    <w:rsid w:val="007967FD"/>
    <w:rsid w:val="007A1A50"/>
    <w:rsid w:val="007A1E3A"/>
    <w:rsid w:val="007A7A1C"/>
    <w:rsid w:val="007D00DD"/>
    <w:rsid w:val="007D0668"/>
    <w:rsid w:val="007D4C91"/>
    <w:rsid w:val="007F0906"/>
    <w:rsid w:val="007F3F56"/>
    <w:rsid w:val="007F429E"/>
    <w:rsid w:val="008129BC"/>
    <w:rsid w:val="00814A83"/>
    <w:rsid w:val="00820D42"/>
    <w:rsid w:val="008230DF"/>
    <w:rsid w:val="00824A35"/>
    <w:rsid w:val="00836FFE"/>
    <w:rsid w:val="00855C9B"/>
    <w:rsid w:val="00872303"/>
    <w:rsid w:val="008753C2"/>
    <w:rsid w:val="00883C42"/>
    <w:rsid w:val="0088481F"/>
    <w:rsid w:val="008C11A1"/>
    <w:rsid w:val="008C29A8"/>
    <w:rsid w:val="008D0EAA"/>
    <w:rsid w:val="008D2C0E"/>
    <w:rsid w:val="008E71C0"/>
    <w:rsid w:val="008F0510"/>
    <w:rsid w:val="008F1923"/>
    <w:rsid w:val="00900880"/>
    <w:rsid w:val="00900CBC"/>
    <w:rsid w:val="0090108B"/>
    <w:rsid w:val="009216B0"/>
    <w:rsid w:val="00930560"/>
    <w:rsid w:val="0093177E"/>
    <w:rsid w:val="009418ED"/>
    <w:rsid w:val="009528B5"/>
    <w:rsid w:val="00957EAA"/>
    <w:rsid w:val="00983A81"/>
    <w:rsid w:val="00983CB3"/>
    <w:rsid w:val="00983F23"/>
    <w:rsid w:val="0098582E"/>
    <w:rsid w:val="009862D9"/>
    <w:rsid w:val="009A690C"/>
    <w:rsid w:val="009C0D89"/>
    <w:rsid w:val="009C30D5"/>
    <w:rsid w:val="009C3894"/>
    <w:rsid w:val="009C5D2B"/>
    <w:rsid w:val="009C6344"/>
    <w:rsid w:val="009E0D2D"/>
    <w:rsid w:val="009E6317"/>
    <w:rsid w:val="009F2DC3"/>
    <w:rsid w:val="009F38CC"/>
    <w:rsid w:val="009F59ED"/>
    <w:rsid w:val="00A001AC"/>
    <w:rsid w:val="00A0410E"/>
    <w:rsid w:val="00A10EEC"/>
    <w:rsid w:val="00A15354"/>
    <w:rsid w:val="00A275A2"/>
    <w:rsid w:val="00A3411D"/>
    <w:rsid w:val="00A472CE"/>
    <w:rsid w:val="00A566E6"/>
    <w:rsid w:val="00A64FF9"/>
    <w:rsid w:val="00A746D9"/>
    <w:rsid w:val="00A903D4"/>
    <w:rsid w:val="00A91D6F"/>
    <w:rsid w:val="00A9399C"/>
    <w:rsid w:val="00AB1C10"/>
    <w:rsid w:val="00AB3D3E"/>
    <w:rsid w:val="00AB4B95"/>
    <w:rsid w:val="00AC77DC"/>
    <w:rsid w:val="00AC7BBD"/>
    <w:rsid w:val="00AD4A44"/>
    <w:rsid w:val="00AE02FE"/>
    <w:rsid w:val="00AE2B02"/>
    <w:rsid w:val="00AE5733"/>
    <w:rsid w:val="00B0048C"/>
    <w:rsid w:val="00B14C43"/>
    <w:rsid w:val="00B16DF9"/>
    <w:rsid w:val="00B17359"/>
    <w:rsid w:val="00B26823"/>
    <w:rsid w:val="00B415D7"/>
    <w:rsid w:val="00B41CE2"/>
    <w:rsid w:val="00B44920"/>
    <w:rsid w:val="00B456B7"/>
    <w:rsid w:val="00B546EA"/>
    <w:rsid w:val="00B54E99"/>
    <w:rsid w:val="00B832A3"/>
    <w:rsid w:val="00B875C0"/>
    <w:rsid w:val="00B92B22"/>
    <w:rsid w:val="00B95FD0"/>
    <w:rsid w:val="00BA039E"/>
    <w:rsid w:val="00BA0C0C"/>
    <w:rsid w:val="00BA2DBC"/>
    <w:rsid w:val="00BA69AF"/>
    <w:rsid w:val="00BA6A89"/>
    <w:rsid w:val="00BA7F69"/>
    <w:rsid w:val="00BB6D30"/>
    <w:rsid w:val="00BB7A02"/>
    <w:rsid w:val="00BE19E5"/>
    <w:rsid w:val="00BE1CA8"/>
    <w:rsid w:val="00BE2C09"/>
    <w:rsid w:val="00C03845"/>
    <w:rsid w:val="00C0685F"/>
    <w:rsid w:val="00C10558"/>
    <w:rsid w:val="00C27A6B"/>
    <w:rsid w:val="00C30678"/>
    <w:rsid w:val="00C325E9"/>
    <w:rsid w:val="00C37B35"/>
    <w:rsid w:val="00C41861"/>
    <w:rsid w:val="00C62C29"/>
    <w:rsid w:val="00C7617F"/>
    <w:rsid w:val="00C77D63"/>
    <w:rsid w:val="00C820E0"/>
    <w:rsid w:val="00C833FD"/>
    <w:rsid w:val="00C86E0E"/>
    <w:rsid w:val="00C949DE"/>
    <w:rsid w:val="00CA6466"/>
    <w:rsid w:val="00CA71DB"/>
    <w:rsid w:val="00CC0554"/>
    <w:rsid w:val="00CD4AE8"/>
    <w:rsid w:val="00CD50B3"/>
    <w:rsid w:val="00CD7FA8"/>
    <w:rsid w:val="00CE4D74"/>
    <w:rsid w:val="00CF1956"/>
    <w:rsid w:val="00D121D1"/>
    <w:rsid w:val="00D151E8"/>
    <w:rsid w:val="00D20750"/>
    <w:rsid w:val="00D20C5F"/>
    <w:rsid w:val="00D21BBB"/>
    <w:rsid w:val="00D261D3"/>
    <w:rsid w:val="00D32FC4"/>
    <w:rsid w:val="00D336BF"/>
    <w:rsid w:val="00D41C25"/>
    <w:rsid w:val="00D454B0"/>
    <w:rsid w:val="00D45DD9"/>
    <w:rsid w:val="00D51632"/>
    <w:rsid w:val="00D60144"/>
    <w:rsid w:val="00D62FE6"/>
    <w:rsid w:val="00D675C8"/>
    <w:rsid w:val="00D71ED0"/>
    <w:rsid w:val="00D8544D"/>
    <w:rsid w:val="00D91CE7"/>
    <w:rsid w:val="00DB2C40"/>
    <w:rsid w:val="00DC61A6"/>
    <w:rsid w:val="00DD30C1"/>
    <w:rsid w:val="00DD577F"/>
    <w:rsid w:val="00DF53AA"/>
    <w:rsid w:val="00E00A64"/>
    <w:rsid w:val="00E0264F"/>
    <w:rsid w:val="00E122A1"/>
    <w:rsid w:val="00E15A43"/>
    <w:rsid w:val="00E245B8"/>
    <w:rsid w:val="00E45DDE"/>
    <w:rsid w:val="00E64803"/>
    <w:rsid w:val="00E70C63"/>
    <w:rsid w:val="00E81337"/>
    <w:rsid w:val="00EA3A7D"/>
    <w:rsid w:val="00EB321F"/>
    <w:rsid w:val="00EB623D"/>
    <w:rsid w:val="00EC7D9E"/>
    <w:rsid w:val="00ED1859"/>
    <w:rsid w:val="00ED3979"/>
    <w:rsid w:val="00ED39AD"/>
    <w:rsid w:val="00EE2277"/>
    <w:rsid w:val="00F02211"/>
    <w:rsid w:val="00F21EDB"/>
    <w:rsid w:val="00F2375A"/>
    <w:rsid w:val="00F37393"/>
    <w:rsid w:val="00F37A52"/>
    <w:rsid w:val="00F417F9"/>
    <w:rsid w:val="00F427A4"/>
    <w:rsid w:val="00F46962"/>
    <w:rsid w:val="00F50269"/>
    <w:rsid w:val="00F55D17"/>
    <w:rsid w:val="00F646EC"/>
    <w:rsid w:val="00F64DC7"/>
    <w:rsid w:val="00F67F58"/>
    <w:rsid w:val="00F76C81"/>
    <w:rsid w:val="00F82686"/>
    <w:rsid w:val="00F940C5"/>
    <w:rsid w:val="00F94442"/>
    <w:rsid w:val="00FA0332"/>
    <w:rsid w:val="00FA1C60"/>
    <w:rsid w:val="00FA78B3"/>
    <w:rsid w:val="00FC167D"/>
    <w:rsid w:val="00FE1379"/>
    <w:rsid w:val="00FE13BC"/>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 w:type="paragraph" w:styleId="BalloonText">
    <w:name w:val="Balloon Text"/>
    <w:basedOn w:val="Normal"/>
    <w:link w:val="BalloonTextChar"/>
    <w:semiHidden/>
    <w:unhideWhenUsed/>
    <w:rsid w:val="00F427A4"/>
    <w:rPr>
      <w:rFonts w:ascii="Tahoma" w:hAnsi="Tahoma" w:cs="Tahoma"/>
      <w:sz w:val="16"/>
      <w:szCs w:val="16"/>
    </w:rPr>
  </w:style>
  <w:style w:type="character" w:customStyle="1" w:styleId="BalloonTextChar">
    <w:name w:val="Balloon Text Char"/>
    <w:basedOn w:val="DefaultParagraphFont"/>
    <w:link w:val="BalloonText"/>
    <w:semiHidden/>
    <w:rsid w:val="00F427A4"/>
    <w:rPr>
      <w:rFonts w:ascii="Tahoma" w:hAnsi="Tahoma" w:cs="Tahoma"/>
      <w:snapToGrid w:val="0"/>
      <w:sz w:val="16"/>
      <w:szCs w:val="16"/>
    </w:rPr>
  </w:style>
  <w:style w:type="character" w:styleId="CommentReference">
    <w:name w:val="annotation reference"/>
    <w:basedOn w:val="DefaultParagraphFont"/>
    <w:semiHidden/>
    <w:unhideWhenUsed/>
    <w:rsid w:val="002428D9"/>
    <w:rPr>
      <w:sz w:val="16"/>
      <w:szCs w:val="16"/>
    </w:rPr>
  </w:style>
  <w:style w:type="paragraph" w:styleId="CommentText">
    <w:name w:val="annotation text"/>
    <w:basedOn w:val="Normal"/>
    <w:link w:val="CommentTextChar"/>
    <w:unhideWhenUsed/>
    <w:rsid w:val="002428D9"/>
    <w:rPr>
      <w:sz w:val="20"/>
    </w:rPr>
  </w:style>
  <w:style w:type="character" w:customStyle="1" w:styleId="CommentTextChar">
    <w:name w:val="Comment Text Char"/>
    <w:basedOn w:val="DefaultParagraphFont"/>
    <w:link w:val="CommentText"/>
    <w:rsid w:val="002428D9"/>
    <w:rPr>
      <w:snapToGrid w:val="0"/>
    </w:rPr>
  </w:style>
  <w:style w:type="paragraph" w:styleId="CommentSubject">
    <w:name w:val="annotation subject"/>
    <w:basedOn w:val="CommentText"/>
    <w:next w:val="CommentText"/>
    <w:link w:val="CommentSubjectChar"/>
    <w:semiHidden/>
    <w:unhideWhenUsed/>
    <w:rsid w:val="002428D9"/>
    <w:rPr>
      <w:b/>
      <w:bCs/>
    </w:rPr>
  </w:style>
  <w:style w:type="character" w:customStyle="1" w:styleId="CommentSubjectChar">
    <w:name w:val="Comment Subject Char"/>
    <w:basedOn w:val="CommentTextChar"/>
    <w:link w:val="CommentSubject"/>
    <w:semiHidden/>
    <w:rsid w:val="002428D9"/>
    <w:rPr>
      <w:b/>
      <w:bCs/>
      <w:snapToGrid w:val="0"/>
    </w:rPr>
  </w:style>
  <w:style w:type="paragraph" w:styleId="ListParagraph">
    <w:name w:val="List Paragraph"/>
    <w:basedOn w:val="Normal"/>
    <w:uiPriority w:val="34"/>
    <w:qFormat/>
    <w:rsid w:val="00814A83"/>
    <w:pPr>
      <w:ind w:left="720"/>
      <w:contextualSpacing/>
    </w:pPr>
  </w:style>
  <w:style w:type="paragraph" w:styleId="Revision">
    <w:name w:val="Revision"/>
    <w:hidden/>
    <w:uiPriority w:val="99"/>
    <w:semiHidden/>
    <w:rsid w:val="00045B0B"/>
    <w:rPr>
      <w:snapToGrid w:val="0"/>
      <w:sz w:val="24"/>
    </w:rPr>
  </w:style>
  <w:style w:type="table" w:styleId="TableGrid">
    <w:name w:val="Table Grid"/>
    <w:basedOn w:val="TableNormal"/>
    <w:uiPriority w:val="99"/>
    <w:rsid w:val="00566F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99"/>
    <w:rsid w:val="0069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41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 w:type="paragraph" w:styleId="BalloonText">
    <w:name w:val="Balloon Text"/>
    <w:basedOn w:val="Normal"/>
    <w:link w:val="BalloonTextChar"/>
    <w:semiHidden/>
    <w:unhideWhenUsed/>
    <w:rsid w:val="00F427A4"/>
    <w:rPr>
      <w:rFonts w:ascii="Tahoma" w:hAnsi="Tahoma" w:cs="Tahoma"/>
      <w:sz w:val="16"/>
      <w:szCs w:val="16"/>
    </w:rPr>
  </w:style>
  <w:style w:type="character" w:customStyle="1" w:styleId="BalloonTextChar">
    <w:name w:val="Balloon Text Char"/>
    <w:basedOn w:val="DefaultParagraphFont"/>
    <w:link w:val="BalloonText"/>
    <w:semiHidden/>
    <w:rsid w:val="00F427A4"/>
    <w:rPr>
      <w:rFonts w:ascii="Tahoma" w:hAnsi="Tahoma" w:cs="Tahoma"/>
      <w:snapToGrid w:val="0"/>
      <w:sz w:val="16"/>
      <w:szCs w:val="16"/>
    </w:rPr>
  </w:style>
  <w:style w:type="character" w:styleId="CommentReference">
    <w:name w:val="annotation reference"/>
    <w:basedOn w:val="DefaultParagraphFont"/>
    <w:semiHidden/>
    <w:unhideWhenUsed/>
    <w:rsid w:val="002428D9"/>
    <w:rPr>
      <w:sz w:val="16"/>
      <w:szCs w:val="16"/>
    </w:rPr>
  </w:style>
  <w:style w:type="paragraph" w:styleId="CommentText">
    <w:name w:val="annotation text"/>
    <w:basedOn w:val="Normal"/>
    <w:link w:val="CommentTextChar"/>
    <w:unhideWhenUsed/>
    <w:rsid w:val="002428D9"/>
    <w:rPr>
      <w:sz w:val="20"/>
    </w:rPr>
  </w:style>
  <w:style w:type="character" w:customStyle="1" w:styleId="CommentTextChar">
    <w:name w:val="Comment Text Char"/>
    <w:basedOn w:val="DefaultParagraphFont"/>
    <w:link w:val="CommentText"/>
    <w:rsid w:val="002428D9"/>
    <w:rPr>
      <w:snapToGrid w:val="0"/>
    </w:rPr>
  </w:style>
  <w:style w:type="paragraph" w:styleId="CommentSubject">
    <w:name w:val="annotation subject"/>
    <w:basedOn w:val="CommentText"/>
    <w:next w:val="CommentText"/>
    <w:link w:val="CommentSubjectChar"/>
    <w:semiHidden/>
    <w:unhideWhenUsed/>
    <w:rsid w:val="002428D9"/>
    <w:rPr>
      <w:b/>
      <w:bCs/>
    </w:rPr>
  </w:style>
  <w:style w:type="character" w:customStyle="1" w:styleId="CommentSubjectChar">
    <w:name w:val="Comment Subject Char"/>
    <w:basedOn w:val="CommentTextChar"/>
    <w:link w:val="CommentSubject"/>
    <w:semiHidden/>
    <w:rsid w:val="002428D9"/>
    <w:rPr>
      <w:b/>
      <w:bCs/>
      <w:snapToGrid w:val="0"/>
    </w:rPr>
  </w:style>
  <w:style w:type="paragraph" w:styleId="ListParagraph">
    <w:name w:val="List Paragraph"/>
    <w:basedOn w:val="Normal"/>
    <w:uiPriority w:val="34"/>
    <w:qFormat/>
    <w:rsid w:val="00814A83"/>
    <w:pPr>
      <w:ind w:left="720"/>
      <w:contextualSpacing/>
    </w:pPr>
  </w:style>
  <w:style w:type="paragraph" w:styleId="Revision">
    <w:name w:val="Revision"/>
    <w:hidden/>
    <w:uiPriority w:val="99"/>
    <w:semiHidden/>
    <w:rsid w:val="00045B0B"/>
    <w:rPr>
      <w:snapToGrid w:val="0"/>
      <w:sz w:val="24"/>
    </w:rPr>
  </w:style>
  <w:style w:type="table" w:styleId="TableGrid">
    <w:name w:val="Table Grid"/>
    <w:basedOn w:val="TableNormal"/>
    <w:uiPriority w:val="99"/>
    <w:rsid w:val="00566F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99"/>
    <w:rsid w:val="0069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41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phsa.org/content/NAPCWA/en/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ACYF-0017</ACF_x0020_Tracking_x0020_No_x002e_>
    <Description0 xmlns="e059a2d5-a4f8-4fd8-b836-4c9cf26100e7">AFCARS Renwal Supporting statement</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9B3C-4776-4711-9C1F-E972609C0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A7C23-9190-41B2-A464-957CA199645B}">
  <ds:schemaRefs>
    <ds:schemaRef ds:uri="http://schemas.microsoft.com/sharepoint/v3/contenttype/forms"/>
  </ds:schemaRefs>
</ds:datastoreItem>
</file>

<file path=customXml/itemProps3.xml><?xml version="1.0" encoding="utf-8"?>
<ds:datastoreItem xmlns:ds="http://schemas.openxmlformats.org/officeDocument/2006/customXml" ds:itemID="{DBA56ABD-9B96-4083-9B53-BBD7F2E6F376}">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605FEF44-B6A3-40C1-860D-91D3441A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Children's Bureau</dc:creator>
  <cp:lastModifiedBy>Windows User</cp:lastModifiedBy>
  <cp:revision>2</cp:revision>
  <cp:lastPrinted>2008-01-08T20:25:00Z</cp:lastPrinted>
  <dcterms:created xsi:type="dcterms:W3CDTF">2016-04-11T17:23:00Z</dcterms:created>
  <dcterms:modified xsi:type="dcterms:W3CDTF">2016-04-11T17:23:00Z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