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57A" w:rsidRPr="00B97F3D" w:rsidRDefault="0084357A">
      <w:pPr>
        <w:tabs>
          <w:tab w:val="center" w:pos="4860"/>
        </w:tabs>
        <w:suppressAutoHyphens/>
        <w:jc w:val="center"/>
        <w:rPr>
          <w:b/>
          <w:sz w:val="24"/>
          <w:szCs w:val="24"/>
        </w:rPr>
      </w:pPr>
      <w:r w:rsidRPr="00B97F3D">
        <w:rPr>
          <w:b/>
          <w:sz w:val="24"/>
          <w:szCs w:val="24"/>
        </w:rPr>
        <w:t>Supporting Statement for Forms SSA-7161-OCR-SM and SSA-7162-OCR-SM</w:t>
      </w:r>
    </w:p>
    <w:p w:rsidR="00A62FA1" w:rsidRPr="00B97F3D" w:rsidRDefault="0084357A" w:rsidP="00A62FA1">
      <w:pPr>
        <w:tabs>
          <w:tab w:val="center" w:pos="4860"/>
        </w:tabs>
        <w:suppressAutoHyphens/>
        <w:jc w:val="center"/>
        <w:rPr>
          <w:b/>
          <w:sz w:val="24"/>
          <w:szCs w:val="24"/>
        </w:rPr>
      </w:pPr>
      <w:r w:rsidRPr="00B97F3D">
        <w:rPr>
          <w:b/>
          <w:sz w:val="24"/>
          <w:szCs w:val="24"/>
        </w:rPr>
        <w:t xml:space="preserve">Report to </w:t>
      </w:r>
      <w:smartTag w:uri="urn:schemas-microsoft-com:office:smarttags" w:element="place">
        <w:smartTag w:uri="urn:schemas-microsoft-com:office:smarttags" w:element="country-region">
          <w:r w:rsidRPr="00B97F3D">
            <w:rPr>
              <w:b/>
              <w:sz w:val="24"/>
              <w:szCs w:val="24"/>
            </w:rPr>
            <w:t>United States</w:t>
          </w:r>
        </w:smartTag>
      </w:smartTag>
      <w:r w:rsidRPr="00B97F3D">
        <w:rPr>
          <w:b/>
          <w:sz w:val="24"/>
          <w:szCs w:val="24"/>
        </w:rPr>
        <w:t xml:space="preserve"> Social Security Administration by</w:t>
      </w:r>
      <w:r w:rsidR="003B65EE" w:rsidRPr="00B97F3D">
        <w:rPr>
          <w:b/>
          <w:sz w:val="24"/>
          <w:szCs w:val="24"/>
        </w:rPr>
        <w:t xml:space="preserve"> </w:t>
      </w:r>
      <w:r w:rsidRPr="00B97F3D">
        <w:rPr>
          <w:b/>
          <w:sz w:val="24"/>
          <w:szCs w:val="24"/>
        </w:rPr>
        <w:t xml:space="preserve">Person </w:t>
      </w:r>
    </w:p>
    <w:p w:rsidR="00A62FA1" w:rsidRPr="00B97F3D" w:rsidRDefault="0084357A" w:rsidP="00A62FA1">
      <w:pPr>
        <w:tabs>
          <w:tab w:val="center" w:pos="4860"/>
        </w:tabs>
        <w:suppressAutoHyphens/>
        <w:jc w:val="center"/>
        <w:rPr>
          <w:b/>
          <w:sz w:val="24"/>
          <w:szCs w:val="24"/>
        </w:rPr>
      </w:pPr>
      <w:r w:rsidRPr="00B97F3D">
        <w:rPr>
          <w:b/>
          <w:sz w:val="24"/>
          <w:szCs w:val="24"/>
        </w:rPr>
        <w:t>Receiving Benefits for a Child or for</w:t>
      </w:r>
      <w:r w:rsidR="003B65EE" w:rsidRPr="00B97F3D">
        <w:rPr>
          <w:b/>
          <w:sz w:val="24"/>
          <w:szCs w:val="24"/>
        </w:rPr>
        <w:t xml:space="preserve"> </w:t>
      </w:r>
      <w:r w:rsidRPr="00B97F3D">
        <w:rPr>
          <w:b/>
          <w:sz w:val="24"/>
          <w:szCs w:val="24"/>
        </w:rPr>
        <w:t>an Adult Unable to Handle Funds</w:t>
      </w:r>
      <w:proofErr w:type="gramStart"/>
      <w:r w:rsidRPr="00B97F3D">
        <w:rPr>
          <w:b/>
          <w:sz w:val="24"/>
          <w:szCs w:val="24"/>
        </w:rPr>
        <w:t>;</w:t>
      </w:r>
      <w:proofErr w:type="gramEnd"/>
      <w:r w:rsidR="003B65EE" w:rsidRPr="00B97F3D">
        <w:rPr>
          <w:b/>
          <w:sz w:val="24"/>
          <w:szCs w:val="24"/>
        </w:rPr>
        <w:t xml:space="preserve"> </w:t>
      </w:r>
    </w:p>
    <w:p w:rsidR="00CA1F1B" w:rsidRPr="00B97F3D" w:rsidRDefault="0084357A" w:rsidP="003B65EE">
      <w:pPr>
        <w:tabs>
          <w:tab w:val="center" w:pos="4860"/>
        </w:tabs>
        <w:suppressAutoHyphens/>
        <w:jc w:val="center"/>
        <w:rPr>
          <w:b/>
          <w:sz w:val="24"/>
          <w:szCs w:val="24"/>
        </w:rPr>
      </w:pPr>
      <w:r w:rsidRPr="00B97F3D">
        <w:rPr>
          <w:b/>
          <w:sz w:val="24"/>
          <w:szCs w:val="24"/>
        </w:rPr>
        <w:t xml:space="preserve">Report to </w:t>
      </w:r>
      <w:smartTag w:uri="urn:schemas-microsoft-com:office:smarttags" w:element="place">
        <w:smartTag w:uri="urn:schemas-microsoft-com:office:smarttags" w:element="country-region">
          <w:r w:rsidRPr="00B97F3D">
            <w:rPr>
              <w:b/>
              <w:sz w:val="24"/>
              <w:szCs w:val="24"/>
            </w:rPr>
            <w:t>United States</w:t>
          </w:r>
        </w:smartTag>
      </w:smartTag>
      <w:r w:rsidRPr="00B97F3D">
        <w:rPr>
          <w:b/>
          <w:sz w:val="24"/>
          <w:szCs w:val="24"/>
        </w:rPr>
        <w:t xml:space="preserve"> Social Security Administration</w:t>
      </w:r>
    </w:p>
    <w:p w:rsidR="00487E40" w:rsidRDefault="00DD5DE9" w:rsidP="00487E40">
      <w:pPr>
        <w:tabs>
          <w:tab w:val="left" w:pos="-720"/>
        </w:tabs>
        <w:suppressAutoHyphens/>
        <w:jc w:val="center"/>
        <w:rPr>
          <w:b/>
          <w:sz w:val="24"/>
          <w:szCs w:val="24"/>
        </w:rPr>
      </w:pPr>
      <w:r w:rsidRPr="00B97F3D">
        <w:rPr>
          <w:b/>
          <w:sz w:val="24"/>
          <w:szCs w:val="24"/>
        </w:rPr>
        <w:t>OMB No. 0960-0049</w:t>
      </w:r>
    </w:p>
    <w:p w:rsidR="00696ED7" w:rsidRDefault="00696ED7" w:rsidP="00487E40">
      <w:pPr>
        <w:tabs>
          <w:tab w:val="left" w:pos="-720"/>
        </w:tabs>
        <w:suppressAutoHyphens/>
        <w:jc w:val="center"/>
        <w:rPr>
          <w:b/>
          <w:sz w:val="24"/>
          <w:szCs w:val="24"/>
        </w:rPr>
      </w:pPr>
    </w:p>
    <w:p w:rsidR="00487E40" w:rsidRDefault="0084357A" w:rsidP="00487E40">
      <w:pPr>
        <w:pStyle w:val="ListParagraph"/>
        <w:numPr>
          <w:ilvl w:val="0"/>
          <w:numId w:val="20"/>
        </w:numPr>
        <w:tabs>
          <w:tab w:val="left" w:pos="-720"/>
        </w:tabs>
        <w:suppressAutoHyphens/>
        <w:rPr>
          <w:b/>
          <w:sz w:val="24"/>
          <w:szCs w:val="24"/>
        </w:rPr>
      </w:pPr>
      <w:r w:rsidRPr="00487E40">
        <w:rPr>
          <w:b/>
          <w:sz w:val="24"/>
          <w:szCs w:val="24"/>
        </w:rPr>
        <w:t>Justification</w:t>
      </w:r>
    </w:p>
    <w:p w:rsidR="00487E40" w:rsidRDefault="00487E40" w:rsidP="00487E40">
      <w:pPr>
        <w:tabs>
          <w:tab w:val="left" w:pos="-720"/>
        </w:tabs>
        <w:suppressAutoHyphens/>
        <w:ind w:left="720"/>
        <w:rPr>
          <w:b/>
          <w:sz w:val="24"/>
          <w:szCs w:val="24"/>
        </w:rPr>
      </w:pPr>
    </w:p>
    <w:p w:rsidR="008E0947" w:rsidRPr="008E0947" w:rsidRDefault="008E0947" w:rsidP="00DA5859">
      <w:pPr>
        <w:pStyle w:val="ListParagraph"/>
        <w:numPr>
          <w:ilvl w:val="0"/>
          <w:numId w:val="21"/>
        </w:numPr>
        <w:tabs>
          <w:tab w:val="left" w:pos="-720"/>
        </w:tabs>
        <w:suppressAutoHyphens/>
        <w:rPr>
          <w:b/>
          <w:sz w:val="24"/>
          <w:szCs w:val="24"/>
        </w:rPr>
      </w:pPr>
      <w:r w:rsidRPr="008E0947">
        <w:rPr>
          <w:b/>
          <w:sz w:val="24"/>
          <w:szCs w:val="24"/>
        </w:rPr>
        <w:t>Introduction/Authoring Laws and Regulations</w:t>
      </w:r>
      <w:r w:rsidRPr="008E0947">
        <w:rPr>
          <w:sz w:val="24"/>
          <w:szCs w:val="24"/>
        </w:rPr>
        <w:t xml:space="preserve"> </w:t>
      </w:r>
    </w:p>
    <w:p w:rsidR="00DA5859" w:rsidRPr="00DA5859" w:rsidRDefault="00DA5859" w:rsidP="008E0947">
      <w:pPr>
        <w:pStyle w:val="ListParagraph"/>
        <w:tabs>
          <w:tab w:val="left" w:pos="-720"/>
        </w:tabs>
        <w:suppressAutoHyphens/>
        <w:ind w:left="1080"/>
        <w:rPr>
          <w:b/>
          <w:sz w:val="24"/>
          <w:szCs w:val="24"/>
        </w:rPr>
      </w:pPr>
      <w:r w:rsidRPr="00DA5859">
        <w:rPr>
          <w:sz w:val="24"/>
          <w:szCs w:val="24"/>
        </w:rPr>
        <w:t>Section</w:t>
      </w:r>
      <w:r w:rsidRPr="00DA5859">
        <w:rPr>
          <w:i/>
          <w:sz w:val="24"/>
          <w:szCs w:val="24"/>
        </w:rPr>
        <w:t xml:space="preserve"> 203(c) </w:t>
      </w:r>
      <w:r w:rsidRPr="00DA5859">
        <w:rPr>
          <w:sz w:val="24"/>
          <w:szCs w:val="24"/>
        </w:rPr>
        <w:t>of the</w:t>
      </w:r>
      <w:r w:rsidRPr="00DA5859">
        <w:rPr>
          <w:i/>
          <w:sz w:val="24"/>
          <w:szCs w:val="24"/>
        </w:rPr>
        <w:t xml:space="preserve"> Social Security Act (Act)</w:t>
      </w:r>
      <w:r w:rsidRPr="00DA5859">
        <w:rPr>
          <w:sz w:val="24"/>
          <w:szCs w:val="24"/>
        </w:rPr>
        <w:t xml:space="preserve"> requires the Commissioner of Social Security </w:t>
      </w:r>
      <w:r w:rsidR="00970306" w:rsidRPr="00970306">
        <w:rPr>
          <w:sz w:val="24"/>
          <w:szCs w:val="24"/>
          <w:lang w:eastAsia="en-US"/>
        </w:rPr>
        <w:t>to make benefit</w:t>
      </w:r>
      <w:r w:rsidR="00970306" w:rsidRPr="00970306">
        <w:rPr>
          <w:sz w:val="24"/>
          <w:szCs w:val="24"/>
        </w:rPr>
        <w:t xml:space="preserve"> </w:t>
      </w:r>
      <w:r w:rsidR="00970306" w:rsidRPr="00970306">
        <w:rPr>
          <w:sz w:val="24"/>
          <w:szCs w:val="24"/>
          <w:lang w:eastAsia="en-US"/>
        </w:rPr>
        <w:t>deductions from the following</w:t>
      </w:r>
      <w:r w:rsidR="00970306" w:rsidRPr="00970306">
        <w:rPr>
          <w:sz w:val="24"/>
          <w:szCs w:val="24"/>
        </w:rPr>
        <w:t xml:space="preserve"> </w:t>
      </w:r>
      <w:r w:rsidR="00970306" w:rsidRPr="00970306">
        <w:rPr>
          <w:sz w:val="24"/>
          <w:szCs w:val="24"/>
          <w:lang w:eastAsia="en-US"/>
        </w:rPr>
        <w:t xml:space="preserve">categories: </w:t>
      </w:r>
      <w:r w:rsidR="00970306">
        <w:rPr>
          <w:sz w:val="24"/>
          <w:szCs w:val="24"/>
          <w:lang w:eastAsia="en-US"/>
        </w:rPr>
        <w:t xml:space="preserve"> </w:t>
      </w:r>
      <w:r w:rsidR="00970306" w:rsidRPr="00970306">
        <w:rPr>
          <w:sz w:val="24"/>
          <w:szCs w:val="24"/>
          <w:lang w:eastAsia="en-US"/>
        </w:rPr>
        <w:t>(1) Entitled individuals who</w:t>
      </w:r>
      <w:r w:rsidR="00970306" w:rsidRPr="00970306">
        <w:rPr>
          <w:sz w:val="24"/>
          <w:szCs w:val="24"/>
        </w:rPr>
        <w:t xml:space="preserve"> </w:t>
      </w:r>
      <w:r w:rsidR="00970306" w:rsidRPr="00970306">
        <w:rPr>
          <w:sz w:val="24"/>
          <w:szCs w:val="24"/>
          <w:lang w:eastAsia="en-US"/>
        </w:rPr>
        <w:t>engage in remunerative activity outside</w:t>
      </w:r>
      <w:r w:rsidR="00970306" w:rsidRPr="00970306">
        <w:rPr>
          <w:sz w:val="24"/>
          <w:szCs w:val="24"/>
        </w:rPr>
        <w:t xml:space="preserve"> </w:t>
      </w:r>
      <w:r w:rsidR="00970306" w:rsidRPr="00970306">
        <w:rPr>
          <w:sz w:val="24"/>
          <w:szCs w:val="24"/>
          <w:lang w:eastAsia="en-US"/>
        </w:rPr>
        <w:t>of the United States in excess of 45</w:t>
      </w:r>
      <w:r w:rsidR="00970306" w:rsidRPr="00970306">
        <w:rPr>
          <w:sz w:val="24"/>
          <w:szCs w:val="24"/>
        </w:rPr>
        <w:t xml:space="preserve"> </w:t>
      </w:r>
      <w:r w:rsidR="00970306" w:rsidRPr="00970306">
        <w:rPr>
          <w:sz w:val="24"/>
          <w:szCs w:val="24"/>
          <w:lang w:eastAsia="en-US"/>
        </w:rPr>
        <w:t>hours a month, and (2) beneficiaries</w:t>
      </w:r>
      <w:r w:rsidR="00970306" w:rsidRPr="00970306">
        <w:rPr>
          <w:sz w:val="24"/>
          <w:szCs w:val="24"/>
        </w:rPr>
        <w:t xml:space="preserve"> </w:t>
      </w:r>
      <w:r w:rsidR="00970306" w:rsidRPr="00970306">
        <w:rPr>
          <w:sz w:val="24"/>
          <w:szCs w:val="24"/>
          <w:lang w:eastAsia="en-US"/>
        </w:rPr>
        <w:t>who fail to have in their care the</w:t>
      </w:r>
      <w:r w:rsidR="00970306" w:rsidRPr="00970306">
        <w:rPr>
          <w:sz w:val="24"/>
          <w:szCs w:val="24"/>
        </w:rPr>
        <w:t xml:space="preserve"> </w:t>
      </w:r>
      <w:r w:rsidR="00970306" w:rsidRPr="00970306">
        <w:rPr>
          <w:sz w:val="24"/>
          <w:szCs w:val="24"/>
          <w:lang w:eastAsia="en-US"/>
        </w:rPr>
        <w:t>specified entitled child beneficiaries</w:t>
      </w:r>
      <w:r w:rsidRPr="00970306">
        <w:rPr>
          <w:sz w:val="24"/>
          <w:szCs w:val="24"/>
        </w:rPr>
        <w:t>.</w:t>
      </w:r>
      <w:r w:rsidRPr="00DA5859">
        <w:rPr>
          <w:sz w:val="24"/>
          <w:szCs w:val="24"/>
        </w:rPr>
        <w:t xml:space="preserve">  Section </w:t>
      </w:r>
      <w:r w:rsidRPr="00DA5859">
        <w:rPr>
          <w:i/>
          <w:sz w:val="24"/>
          <w:szCs w:val="24"/>
        </w:rPr>
        <w:t xml:space="preserve">203(g) </w:t>
      </w:r>
      <w:r w:rsidRPr="00DA5859">
        <w:rPr>
          <w:sz w:val="24"/>
          <w:szCs w:val="24"/>
        </w:rPr>
        <w:t>of the</w:t>
      </w:r>
      <w:r w:rsidRPr="00DA5859">
        <w:rPr>
          <w:i/>
          <w:sz w:val="24"/>
          <w:szCs w:val="24"/>
        </w:rPr>
        <w:t xml:space="preserve"> Act</w:t>
      </w:r>
      <w:r w:rsidRPr="00DA5859">
        <w:rPr>
          <w:sz w:val="24"/>
          <w:szCs w:val="24"/>
        </w:rPr>
        <w:t xml:space="preserve"> provides for the Commissioner to impose penalty deductions on benefits of individuals who fail to make timely reports of events, which are cause for deductions.  Section</w:t>
      </w:r>
      <w:r w:rsidRPr="00DA5859">
        <w:rPr>
          <w:i/>
          <w:sz w:val="24"/>
          <w:szCs w:val="24"/>
        </w:rPr>
        <w:t xml:space="preserve"> 205(a) </w:t>
      </w:r>
      <w:r w:rsidRPr="00DA5859">
        <w:rPr>
          <w:sz w:val="24"/>
          <w:szCs w:val="24"/>
        </w:rPr>
        <w:t>of the</w:t>
      </w:r>
      <w:r w:rsidRPr="00DA5859">
        <w:rPr>
          <w:i/>
          <w:sz w:val="24"/>
          <w:szCs w:val="24"/>
        </w:rPr>
        <w:t xml:space="preserve"> Act</w:t>
      </w:r>
      <w:r w:rsidRPr="00DA5859">
        <w:rPr>
          <w:sz w:val="24"/>
          <w:szCs w:val="24"/>
        </w:rPr>
        <w:t xml:space="preserve"> empowers the Commissioner to make rules and regulations</w:t>
      </w:r>
      <w:r>
        <w:rPr>
          <w:sz w:val="24"/>
          <w:szCs w:val="24"/>
        </w:rPr>
        <w:t>,</w:t>
      </w:r>
      <w:r w:rsidRPr="00DA5859">
        <w:rPr>
          <w:sz w:val="24"/>
          <w:szCs w:val="24"/>
        </w:rPr>
        <w:t xml:space="preserve"> and</w:t>
      </w:r>
      <w:r>
        <w:rPr>
          <w:sz w:val="24"/>
          <w:szCs w:val="24"/>
        </w:rPr>
        <w:t xml:space="preserve"> to</w:t>
      </w:r>
      <w:r w:rsidRPr="00DA5859">
        <w:rPr>
          <w:sz w:val="24"/>
          <w:szCs w:val="24"/>
        </w:rPr>
        <w:t xml:space="preserve"> determine an individual's continuing eligibility for benefits.  The U.S. District Court for the Western District of Oklahoma ordered the Commissioner to obtain universal, mandatory annual accountings from all representative payees </w:t>
      </w:r>
      <w:r w:rsidRPr="00DA5859">
        <w:rPr>
          <w:i/>
          <w:sz w:val="24"/>
          <w:szCs w:val="24"/>
          <w:u w:val="single"/>
        </w:rPr>
        <w:t>(Jordan v. Heckler, Civ-79-994-W)</w:t>
      </w:r>
      <w:r w:rsidRPr="00DA5859">
        <w:rPr>
          <w:i/>
          <w:sz w:val="24"/>
          <w:szCs w:val="24"/>
        </w:rPr>
        <w:t xml:space="preserve">.  </w:t>
      </w:r>
      <w:r w:rsidRPr="00DA5859">
        <w:rPr>
          <w:sz w:val="24"/>
          <w:szCs w:val="24"/>
        </w:rPr>
        <w:t>Sections</w:t>
      </w:r>
      <w:r w:rsidRPr="00DA5859">
        <w:rPr>
          <w:i/>
          <w:sz w:val="24"/>
          <w:szCs w:val="24"/>
        </w:rPr>
        <w:t xml:space="preserve"> 205(j) </w:t>
      </w:r>
      <w:r w:rsidRPr="00DA5859">
        <w:rPr>
          <w:sz w:val="24"/>
          <w:szCs w:val="24"/>
        </w:rPr>
        <w:t>and</w:t>
      </w:r>
      <w:r>
        <w:rPr>
          <w:i/>
          <w:sz w:val="24"/>
          <w:szCs w:val="24"/>
        </w:rPr>
        <w:t xml:space="preserve"> 1631(e</w:t>
      </w:r>
      <w:proofErr w:type="gramStart"/>
      <w:r>
        <w:rPr>
          <w:i/>
          <w:sz w:val="24"/>
          <w:szCs w:val="24"/>
        </w:rPr>
        <w:t>)(</w:t>
      </w:r>
      <w:proofErr w:type="gramEnd"/>
      <w:r>
        <w:rPr>
          <w:i/>
          <w:sz w:val="24"/>
          <w:szCs w:val="24"/>
        </w:rPr>
        <w:t>1)</w:t>
      </w:r>
      <w:r w:rsidRPr="00DA5859">
        <w:rPr>
          <w:i/>
          <w:sz w:val="24"/>
          <w:szCs w:val="24"/>
        </w:rPr>
        <w:t xml:space="preserve">(A) </w:t>
      </w:r>
      <w:r w:rsidRPr="00DA5859">
        <w:rPr>
          <w:snapToGrid w:val="0"/>
          <w:sz w:val="24"/>
          <w:szCs w:val="24"/>
          <w:lang w:eastAsia="en-US"/>
        </w:rPr>
        <w:t xml:space="preserve">establish the requirement for the agency to set up a monitoring system for representative payees. </w:t>
      </w:r>
      <w:r>
        <w:rPr>
          <w:snapToGrid w:val="0"/>
          <w:sz w:val="24"/>
          <w:szCs w:val="24"/>
          <w:lang w:eastAsia="en-US"/>
        </w:rPr>
        <w:t xml:space="preserve"> </w:t>
      </w:r>
      <w:r w:rsidRPr="00DA5859">
        <w:rPr>
          <w:snapToGrid w:val="0"/>
          <w:sz w:val="24"/>
          <w:szCs w:val="24"/>
          <w:lang w:eastAsia="en-US"/>
        </w:rPr>
        <w:t xml:space="preserve">Because of the above laws, </w:t>
      </w:r>
      <w:r>
        <w:rPr>
          <w:snapToGrid w:val="0"/>
          <w:sz w:val="24"/>
          <w:szCs w:val="24"/>
          <w:lang w:eastAsia="en-US"/>
        </w:rPr>
        <w:t>the Social Security Administration (SSA) uses F</w:t>
      </w:r>
      <w:r w:rsidRPr="00DA5859">
        <w:rPr>
          <w:snapToGrid w:val="0"/>
          <w:sz w:val="24"/>
          <w:szCs w:val="24"/>
          <w:lang w:eastAsia="en-US"/>
        </w:rPr>
        <w:t>orms SSA-7161-OCR-SM, Report to United States Social Security Administration by Person Receiving Benefits for a Child or for an Adult Unable to Handle Funds</w:t>
      </w:r>
      <w:r>
        <w:rPr>
          <w:snapToGrid w:val="0"/>
          <w:sz w:val="24"/>
          <w:szCs w:val="24"/>
          <w:lang w:eastAsia="en-US"/>
        </w:rPr>
        <w:t>,</w:t>
      </w:r>
      <w:r w:rsidRPr="00DA5859">
        <w:rPr>
          <w:snapToGrid w:val="0"/>
          <w:sz w:val="24"/>
          <w:szCs w:val="24"/>
          <w:lang w:eastAsia="en-US"/>
        </w:rPr>
        <w:t xml:space="preserve"> and SSA-7162-OCR-SM, Report to the United States Social Security Administration</w:t>
      </w:r>
      <w:r>
        <w:rPr>
          <w:snapToGrid w:val="0"/>
          <w:sz w:val="24"/>
          <w:szCs w:val="24"/>
          <w:lang w:eastAsia="en-US"/>
        </w:rPr>
        <w:t xml:space="preserve"> to collect the above information</w:t>
      </w:r>
      <w:r w:rsidRPr="00DA5859">
        <w:rPr>
          <w:snapToGrid w:val="0"/>
          <w:sz w:val="24"/>
          <w:szCs w:val="24"/>
          <w:lang w:eastAsia="en-US"/>
        </w:rPr>
        <w:t xml:space="preserve">.  </w:t>
      </w:r>
    </w:p>
    <w:p w:rsidR="00DA5859" w:rsidRPr="00DA5859" w:rsidRDefault="00DA5859" w:rsidP="00DA5859">
      <w:pPr>
        <w:pStyle w:val="ListParagraph"/>
        <w:tabs>
          <w:tab w:val="left" w:pos="-720"/>
        </w:tabs>
        <w:suppressAutoHyphens/>
        <w:ind w:left="1080"/>
        <w:rPr>
          <w:b/>
          <w:sz w:val="24"/>
          <w:szCs w:val="24"/>
        </w:rPr>
      </w:pPr>
    </w:p>
    <w:p w:rsidR="008E0947" w:rsidRPr="008E0947" w:rsidRDefault="008E0947" w:rsidP="00DA5859">
      <w:pPr>
        <w:pStyle w:val="ListParagraph"/>
        <w:numPr>
          <w:ilvl w:val="0"/>
          <w:numId w:val="21"/>
        </w:numPr>
        <w:tabs>
          <w:tab w:val="left" w:pos="-720"/>
        </w:tabs>
        <w:suppressAutoHyphens/>
        <w:rPr>
          <w:b/>
          <w:sz w:val="24"/>
          <w:szCs w:val="24"/>
        </w:rPr>
      </w:pPr>
      <w:r w:rsidRPr="008E0947">
        <w:rPr>
          <w:b/>
          <w:sz w:val="24"/>
          <w:szCs w:val="24"/>
        </w:rPr>
        <w:t>Description of Collection</w:t>
      </w:r>
      <w:r w:rsidRPr="008E0947">
        <w:rPr>
          <w:sz w:val="24"/>
          <w:szCs w:val="24"/>
        </w:rPr>
        <w:t xml:space="preserve"> </w:t>
      </w:r>
    </w:p>
    <w:p w:rsidR="00DA5859" w:rsidRPr="00970306" w:rsidRDefault="00970306" w:rsidP="008E0947">
      <w:pPr>
        <w:pStyle w:val="ListParagraph"/>
        <w:tabs>
          <w:tab w:val="left" w:pos="-720"/>
        </w:tabs>
        <w:suppressAutoHyphens/>
        <w:ind w:left="1080"/>
        <w:rPr>
          <w:b/>
          <w:sz w:val="24"/>
          <w:szCs w:val="24"/>
        </w:rPr>
      </w:pPr>
      <w:r w:rsidRPr="00970306">
        <w:rPr>
          <w:sz w:val="24"/>
          <w:szCs w:val="24"/>
          <w:lang w:eastAsia="en-US"/>
        </w:rPr>
        <w:t>SSA uses Forms SSA-7161-OCR-SM and SSA</w:t>
      </w:r>
      <w:r w:rsidRPr="00970306">
        <w:rPr>
          <w:sz w:val="24"/>
          <w:szCs w:val="24"/>
          <w:lang w:eastAsia="en-US"/>
        </w:rPr>
        <w:noBreakHyphen/>
        <w:t>7162-OCR-SM to:  (1) determine continuing</w:t>
      </w:r>
      <w:r w:rsidRPr="00970306">
        <w:rPr>
          <w:sz w:val="24"/>
          <w:szCs w:val="24"/>
        </w:rPr>
        <w:t xml:space="preserve"> </w:t>
      </w:r>
      <w:r w:rsidRPr="00970306">
        <w:rPr>
          <w:sz w:val="24"/>
          <w:szCs w:val="24"/>
          <w:lang w:eastAsia="en-US"/>
        </w:rPr>
        <w:t>entitlement to Social Security benefits;</w:t>
      </w:r>
      <w:r w:rsidRPr="00970306">
        <w:rPr>
          <w:sz w:val="24"/>
          <w:szCs w:val="24"/>
        </w:rPr>
        <w:t xml:space="preserve"> </w:t>
      </w:r>
      <w:r w:rsidRPr="00970306">
        <w:rPr>
          <w:sz w:val="24"/>
          <w:szCs w:val="24"/>
          <w:lang w:eastAsia="en-US"/>
        </w:rPr>
        <w:t>(2) correct benefit amounts for</w:t>
      </w:r>
      <w:r w:rsidRPr="00970306">
        <w:rPr>
          <w:sz w:val="24"/>
          <w:szCs w:val="24"/>
        </w:rPr>
        <w:t xml:space="preserve"> </w:t>
      </w:r>
      <w:r w:rsidRPr="00970306">
        <w:rPr>
          <w:sz w:val="24"/>
          <w:szCs w:val="24"/>
          <w:lang w:eastAsia="en-US"/>
        </w:rPr>
        <w:t>beneficiaries outside the United States;</w:t>
      </w:r>
      <w:r w:rsidRPr="00970306">
        <w:rPr>
          <w:sz w:val="24"/>
          <w:szCs w:val="24"/>
        </w:rPr>
        <w:t xml:space="preserve"> </w:t>
      </w:r>
      <w:r w:rsidRPr="00970306">
        <w:rPr>
          <w:sz w:val="24"/>
          <w:szCs w:val="24"/>
          <w:lang w:eastAsia="en-US"/>
        </w:rPr>
        <w:t>and (3) monitor the performance of</w:t>
      </w:r>
      <w:r w:rsidRPr="00970306">
        <w:rPr>
          <w:sz w:val="24"/>
          <w:szCs w:val="24"/>
        </w:rPr>
        <w:t xml:space="preserve"> </w:t>
      </w:r>
      <w:r w:rsidRPr="00970306">
        <w:rPr>
          <w:sz w:val="24"/>
          <w:szCs w:val="24"/>
          <w:lang w:eastAsia="en-US"/>
        </w:rPr>
        <w:t>representative payees outside the</w:t>
      </w:r>
      <w:r w:rsidRPr="00970306">
        <w:rPr>
          <w:sz w:val="24"/>
          <w:szCs w:val="24"/>
        </w:rPr>
        <w:t xml:space="preserve"> </w:t>
      </w:r>
      <w:r w:rsidRPr="00970306">
        <w:rPr>
          <w:sz w:val="24"/>
          <w:szCs w:val="24"/>
          <w:lang w:eastAsia="en-US"/>
        </w:rPr>
        <w:t>United States</w:t>
      </w:r>
      <w:r w:rsidR="00DA5859" w:rsidRPr="00970306">
        <w:rPr>
          <w:sz w:val="24"/>
          <w:szCs w:val="24"/>
        </w:rPr>
        <w:t>.  This collection is mandatory</w:t>
      </w:r>
      <w:r w:rsidRPr="00970306">
        <w:rPr>
          <w:sz w:val="24"/>
          <w:szCs w:val="24"/>
        </w:rPr>
        <w:t xml:space="preserve"> as an annual (or every other year, depending on the country of residence) review for fraud prevention.  In addition,</w:t>
      </w:r>
      <w:r w:rsidR="00DA5859" w:rsidRPr="00970306">
        <w:rPr>
          <w:sz w:val="24"/>
          <w:szCs w:val="24"/>
        </w:rPr>
        <w:t xml:space="preserve"> the results can affect benefits by increasing or decreasing payment amount or </w:t>
      </w:r>
      <w:r w:rsidRPr="00970306">
        <w:rPr>
          <w:sz w:val="24"/>
          <w:szCs w:val="24"/>
        </w:rPr>
        <w:t>by causing</w:t>
      </w:r>
      <w:r w:rsidR="00DA5859" w:rsidRPr="00970306">
        <w:rPr>
          <w:sz w:val="24"/>
          <w:szCs w:val="24"/>
        </w:rPr>
        <w:t xml:space="preserve"> SSA to suspend or terminate benefits.  SSA employees collect this information via paper form.  </w:t>
      </w:r>
      <w:r w:rsidRPr="00970306">
        <w:rPr>
          <w:sz w:val="24"/>
          <w:szCs w:val="24"/>
          <w:lang w:eastAsia="en-US"/>
        </w:rPr>
        <w:t>The respondents are individuals living outside the United</w:t>
      </w:r>
      <w:r w:rsidRPr="00970306">
        <w:rPr>
          <w:sz w:val="24"/>
          <w:szCs w:val="24"/>
        </w:rPr>
        <w:t xml:space="preserve"> </w:t>
      </w:r>
      <w:r w:rsidRPr="00970306">
        <w:rPr>
          <w:sz w:val="24"/>
          <w:szCs w:val="24"/>
          <w:lang w:eastAsia="en-US"/>
        </w:rPr>
        <w:t>States who are receiving benefits on</w:t>
      </w:r>
      <w:r w:rsidRPr="00970306">
        <w:rPr>
          <w:sz w:val="24"/>
          <w:szCs w:val="24"/>
        </w:rPr>
        <w:t xml:space="preserve"> </w:t>
      </w:r>
      <w:r w:rsidRPr="00970306">
        <w:rPr>
          <w:sz w:val="24"/>
          <w:szCs w:val="24"/>
          <w:lang w:eastAsia="en-US"/>
        </w:rPr>
        <w:t>their own (or on behalf of someone else) under</w:t>
      </w:r>
      <w:r w:rsidRPr="00970306">
        <w:rPr>
          <w:sz w:val="24"/>
          <w:szCs w:val="24"/>
        </w:rPr>
        <w:t xml:space="preserve"> </w:t>
      </w:r>
      <w:r w:rsidRPr="00970306">
        <w:rPr>
          <w:sz w:val="24"/>
          <w:szCs w:val="24"/>
          <w:lang w:eastAsia="en-US"/>
        </w:rPr>
        <w:t>Title II of the Act</w:t>
      </w:r>
      <w:r w:rsidRPr="00970306">
        <w:rPr>
          <w:rFonts w:eastAsia="Melior"/>
          <w:bCs/>
          <w:sz w:val="24"/>
          <w:szCs w:val="24"/>
        </w:rPr>
        <w:t>.</w:t>
      </w:r>
    </w:p>
    <w:p w:rsidR="00DA5859" w:rsidRPr="00DA5859" w:rsidRDefault="00DA5859" w:rsidP="00DA5859">
      <w:pPr>
        <w:tabs>
          <w:tab w:val="left" w:pos="-720"/>
        </w:tabs>
        <w:suppressAutoHyphens/>
        <w:rPr>
          <w:b/>
          <w:sz w:val="24"/>
          <w:szCs w:val="24"/>
        </w:rPr>
      </w:pPr>
    </w:p>
    <w:p w:rsidR="008E0947" w:rsidRPr="008E0947" w:rsidRDefault="008E0947" w:rsidP="00DA5859">
      <w:pPr>
        <w:pStyle w:val="ListParagraph"/>
        <w:numPr>
          <w:ilvl w:val="0"/>
          <w:numId w:val="21"/>
        </w:numPr>
        <w:tabs>
          <w:tab w:val="left" w:pos="-720"/>
        </w:tabs>
        <w:suppressAutoHyphens/>
        <w:rPr>
          <w:b/>
          <w:sz w:val="24"/>
          <w:szCs w:val="24"/>
        </w:rPr>
      </w:pPr>
      <w:r w:rsidRPr="008E0947">
        <w:rPr>
          <w:b/>
          <w:sz w:val="24"/>
          <w:szCs w:val="24"/>
        </w:rPr>
        <w:t>Use of Information Technology to Collect the Information</w:t>
      </w:r>
    </w:p>
    <w:p w:rsidR="00DA5859" w:rsidRPr="00DA5859" w:rsidRDefault="00DA5859" w:rsidP="008E0947">
      <w:pPr>
        <w:pStyle w:val="ListParagraph"/>
        <w:tabs>
          <w:tab w:val="left" w:pos="-720"/>
        </w:tabs>
        <w:suppressAutoHyphens/>
        <w:ind w:left="1080"/>
        <w:rPr>
          <w:b/>
          <w:sz w:val="24"/>
          <w:szCs w:val="24"/>
        </w:rPr>
      </w:pPr>
      <w:r>
        <w:rPr>
          <w:sz w:val="24"/>
          <w:szCs w:val="24"/>
        </w:rPr>
        <w:t xml:space="preserve">SSA mails the paper </w:t>
      </w:r>
      <w:r w:rsidRPr="00DA5859">
        <w:rPr>
          <w:sz w:val="24"/>
          <w:szCs w:val="24"/>
        </w:rPr>
        <w:t xml:space="preserve">Forms SSA-7161-OCR-SM and SSA-7162-OCR-SM to the beneficiaries or the representatives.  </w:t>
      </w:r>
      <w:r w:rsidR="006F39A1">
        <w:rPr>
          <w:sz w:val="24"/>
          <w:szCs w:val="24"/>
        </w:rPr>
        <w:t>We</w:t>
      </w:r>
      <w:r w:rsidRPr="00DA5859">
        <w:rPr>
          <w:sz w:val="24"/>
          <w:szCs w:val="24"/>
        </w:rPr>
        <w:t xml:space="preserve"> did not create an electronic version of form SSA-7161-OCR-SM and SSA-7162-OCR-SM under the agency’s Government Paperwork Elimination Act because of the high risk of potential fraud within the majority of the countries where these individuals reside</w:t>
      </w:r>
      <w:r w:rsidR="006F39A1">
        <w:rPr>
          <w:sz w:val="24"/>
          <w:szCs w:val="24"/>
        </w:rPr>
        <w:t>,</w:t>
      </w:r>
      <w:r w:rsidRPr="00DA5859">
        <w:rPr>
          <w:sz w:val="24"/>
          <w:szCs w:val="24"/>
        </w:rPr>
        <w:t xml:space="preserve"> and</w:t>
      </w:r>
      <w:r w:rsidR="006F39A1">
        <w:rPr>
          <w:sz w:val="24"/>
          <w:szCs w:val="24"/>
        </w:rPr>
        <w:t xml:space="preserve"> because of the risk for</w:t>
      </w:r>
      <w:r w:rsidRPr="00DA5859">
        <w:rPr>
          <w:sz w:val="24"/>
          <w:szCs w:val="24"/>
        </w:rPr>
        <w:t xml:space="preserve"> </w:t>
      </w:r>
      <w:r w:rsidRPr="00DA5859">
        <w:rPr>
          <w:sz w:val="24"/>
          <w:szCs w:val="24"/>
        </w:rPr>
        <w:lastRenderedPageBreak/>
        <w:t>abus</w:t>
      </w:r>
      <w:r w:rsidR="006F39A1">
        <w:rPr>
          <w:sz w:val="24"/>
          <w:szCs w:val="24"/>
        </w:rPr>
        <w:t>ing</w:t>
      </w:r>
      <w:r w:rsidRPr="00DA5859">
        <w:rPr>
          <w:sz w:val="24"/>
          <w:szCs w:val="24"/>
        </w:rPr>
        <w:t xml:space="preserve"> the system.  We continually complete vulnerability assessments to determine such fraud risks per country.</w:t>
      </w:r>
    </w:p>
    <w:p w:rsidR="00DA5859" w:rsidRPr="00DA5859" w:rsidRDefault="00DA5859" w:rsidP="00DA5859">
      <w:pPr>
        <w:pStyle w:val="ListParagraph"/>
        <w:rPr>
          <w:b/>
          <w:sz w:val="24"/>
          <w:szCs w:val="24"/>
        </w:rPr>
      </w:pPr>
    </w:p>
    <w:p w:rsidR="00DA5859" w:rsidRDefault="006F39A1" w:rsidP="00DA5859">
      <w:pPr>
        <w:pStyle w:val="ListParagraph"/>
        <w:tabs>
          <w:tab w:val="left" w:pos="-720"/>
        </w:tabs>
        <w:suppressAutoHyphens/>
        <w:ind w:left="1080"/>
        <w:rPr>
          <w:sz w:val="24"/>
          <w:szCs w:val="24"/>
        </w:rPr>
      </w:pPr>
      <w:r w:rsidRPr="006F39A1">
        <w:rPr>
          <w:sz w:val="24"/>
          <w:szCs w:val="24"/>
        </w:rPr>
        <w:t xml:space="preserve">The Foreign Enforcement Program (FEP) is one of the most important integrity measures we have at the Social Security Administration (SSA) to verify the existence and identity of beneficiaries living outside the United States. </w:t>
      </w:r>
      <w:r>
        <w:rPr>
          <w:sz w:val="24"/>
          <w:szCs w:val="24"/>
        </w:rPr>
        <w:t xml:space="preserve"> We make contacts</w:t>
      </w:r>
      <w:r w:rsidRPr="006F39A1">
        <w:rPr>
          <w:sz w:val="24"/>
          <w:szCs w:val="24"/>
        </w:rPr>
        <w:t xml:space="preserve"> annually or biennially using two Foreign Enforcement Questionnaires (FEQs), the SSA-7161-OCR-SM and the SSA-7162-OCR-SM. </w:t>
      </w:r>
      <w:r>
        <w:rPr>
          <w:sz w:val="24"/>
          <w:szCs w:val="24"/>
        </w:rPr>
        <w:t xml:space="preserve"> Through</w:t>
      </w:r>
      <w:r w:rsidRPr="006F39A1">
        <w:rPr>
          <w:sz w:val="24"/>
          <w:szCs w:val="24"/>
        </w:rPr>
        <w:t xml:space="preserve"> mailing and receipt of these questionnaires</w:t>
      </w:r>
      <w:r>
        <w:rPr>
          <w:sz w:val="24"/>
          <w:szCs w:val="24"/>
        </w:rPr>
        <w:t xml:space="preserve">, we ensure </w:t>
      </w:r>
      <w:r w:rsidRPr="006F39A1">
        <w:rPr>
          <w:sz w:val="24"/>
          <w:szCs w:val="24"/>
        </w:rPr>
        <w:t>our benefic</w:t>
      </w:r>
      <w:r>
        <w:rPr>
          <w:sz w:val="24"/>
          <w:szCs w:val="24"/>
        </w:rPr>
        <w:t>iaries in foreign countries receive</w:t>
      </w:r>
      <w:r w:rsidRPr="006F39A1">
        <w:rPr>
          <w:sz w:val="24"/>
          <w:szCs w:val="24"/>
        </w:rPr>
        <w:t xml:space="preserve"> SSA notices, a</w:t>
      </w:r>
      <w:r>
        <w:rPr>
          <w:sz w:val="24"/>
          <w:szCs w:val="24"/>
        </w:rPr>
        <w:t xml:space="preserve">nd other important information.  In addition, using these paper forms </w:t>
      </w:r>
      <w:r w:rsidRPr="006F39A1">
        <w:rPr>
          <w:sz w:val="24"/>
          <w:szCs w:val="24"/>
        </w:rPr>
        <w:t>allows SSA to obtain assurance of free access to our beneficiaries, which is integral to the soundness of the program.</w:t>
      </w:r>
    </w:p>
    <w:p w:rsidR="006F39A1" w:rsidRDefault="006F39A1" w:rsidP="00DA5859">
      <w:pPr>
        <w:pStyle w:val="ListParagraph"/>
        <w:tabs>
          <w:tab w:val="left" w:pos="-720"/>
        </w:tabs>
        <w:suppressAutoHyphens/>
        <w:ind w:left="1080"/>
        <w:rPr>
          <w:sz w:val="24"/>
          <w:szCs w:val="24"/>
        </w:rPr>
      </w:pPr>
    </w:p>
    <w:p w:rsidR="006F39A1" w:rsidRDefault="006F39A1" w:rsidP="006F39A1">
      <w:pPr>
        <w:pStyle w:val="ListParagraph"/>
        <w:tabs>
          <w:tab w:val="left" w:pos="-720"/>
        </w:tabs>
        <w:suppressAutoHyphens/>
        <w:ind w:left="1080"/>
        <w:rPr>
          <w:sz w:val="24"/>
          <w:szCs w:val="24"/>
        </w:rPr>
      </w:pPr>
      <w:r w:rsidRPr="00E8723E">
        <w:rPr>
          <w:sz w:val="24"/>
          <w:szCs w:val="24"/>
        </w:rPr>
        <w:t>To allow beneficiaries to complete the FEQs electronically online would sacrifice our only method of keeping track of the physical presence of beneficiaries</w:t>
      </w:r>
      <w:r>
        <w:rPr>
          <w:sz w:val="24"/>
          <w:szCs w:val="24"/>
        </w:rPr>
        <w:t>,</w:t>
      </w:r>
      <w:r w:rsidRPr="00E8723E">
        <w:rPr>
          <w:sz w:val="24"/>
          <w:szCs w:val="24"/>
        </w:rPr>
        <w:t xml:space="preserve"> and would put the integrity of the foreign Social Security program at risk.  Routine and wide circulation of the forms would undermine the review process and would initiate potential fraud and abuse of the system.  </w:t>
      </w:r>
      <w:r>
        <w:rPr>
          <w:sz w:val="24"/>
          <w:szCs w:val="24"/>
        </w:rPr>
        <w:t>In addition:</w:t>
      </w:r>
    </w:p>
    <w:p w:rsidR="006F39A1" w:rsidRDefault="006F39A1" w:rsidP="006F39A1">
      <w:pPr>
        <w:pStyle w:val="ListParagraph"/>
        <w:tabs>
          <w:tab w:val="left" w:pos="-720"/>
        </w:tabs>
        <w:suppressAutoHyphens/>
        <w:ind w:left="1080"/>
        <w:rPr>
          <w:sz w:val="24"/>
          <w:szCs w:val="24"/>
        </w:rPr>
      </w:pPr>
    </w:p>
    <w:p w:rsidR="006F39A1" w:rsidRPr="006F39A1" w:rsidRDefault="006F39A1" w:rsidP="006F39A1">
      <w:pPr>
        <w:pStyle w:val="ListParagraph"/>
        <w:numPr>
          <w:ilvl w:val="0"/>
          <w:numId w:val="22"/>
        </w:numPr>
        <w:tabs>
          <w:tab w:val="left" w:pos="-720"/>
        </w:tabs>
        <w:suppressAutoHyphens/>
        <w:rPr>
          <w:sz w:val="24"/>
          <w:szCs w:val="24"/>
        </w:rPr>
      </w:pPr>
      <w:r w:rsidRPr="00B97F3D">
        <w:rPr>
          <w:rFonts w:eastAsia="SimSun"/>
          <w:sz w:val="24"/>
          <w:szCs w:val="24"/>
        </w:rPr>
        <w:t>SSA currently minimizes the burden on the pub</w:t>
      </w:r>
      <w:r>
        <w:rPr>
          <w:rFonts w:eastAsia="SimSun"/>
          <w:sz w:val="24"/>
          <w:szCs w:val="24"/>
        </w:rPr>
        <w:t>lic by identifying the audience;</w:t>
      </w:r>
      <w:r w:rsidRPr="00B97F3D">
        <w:rPr>
          <w:rFonts w:eastAsia="SimSun"/>
          <w:sz w:val="24"/>
          <w:szCs w:val="24"/>
        </w:rPr>
        <w:t xml:space="preserve"> pre-addressing the outgoing and incoming mailers</w:t>
      </w:r>
      <w:proofErr w:type="gramStart"/>
      <w:r>
        <w:rPr>
          <w:rFonts w:eastAsia="SimSun"/>
          <w:sz w:val="24"/>
          <w:szCs w:val="24"/>
        </w:rPr>
        <w:t>;</w:t>
      </w:r>
      <w:proofErr w:type="gramEnd"/>
      <w:r w:rsidRPr="00B97F3D">
        <w:rPr>
          <w:rFonts w:eastAsia="SimSun"/>
          <w:sz w:val="24"/>
          <w:szCs w:val="24"/>
        </w:rPr>
        <w:t xml:space="preserve"> and offering check block responses. </w:t>
      </w:r>
    </w:p>
    <w:p w:rsidR="006F39A1" w:rsidRPr="006F39A1" w:rsidRDefault="006F39A1" w:rsidP="006F39A1">
      <w:pPr>
        <w:pStyle w:val="ListParagraph"/>
        <w:tabs>
          <w:tab w:val="left" w:pos="-720"/>
        </w:tabs>
        <w:suppressAutoHyphens/>
        <w:ind w:left="1800"/>
        <w:rPr>
          <w:sz w:val="24"/>
          <w:szCs w:val="24"/>
        </w:rPr>
      </w:pPr>
    </w:p>
    <w:p w:rsidR="006F39A1" w:rsidRPr="006F39A1" w:rsidRDefault="006F39A1" w:rsidP="006F39A1">
      <w:pPr>
        <w:pStyle w:val="ListParagraph"/>
        <w:numPr>
          <w:ilvl w:val="0"/>
          <w:numId w:val="22"/>
        </w:numPr>
        <w:tabs>
          <w:tab w:val="left" w:pos="-720"/>
        </w:tabs>
        <w:suppressAutoHyphens/>
        <w:rPr>
          <w:sz w:val="24"/>
          <w:szCs w:val="24"/>
        </w:rPr>
      </w:pPr>
      <w:r w:rsidRPr="006F39A1">
        <w:rPr>
          <w:rFonts w:eastAsia="SimSun"/>
          <w:sz w:val="24"/>
          <w:szCs w:val="24"/>
        </w:rPr>
        <w:t>The</w:t>
      </w:r>
      <w:r>
        <w:rPr>
          <w:rFonts w:eastAsia="SimSun"/>
          <w:sz w:val="24"/>
          <w:szCs w:val="24"/>
        </w:rPr>
        <w:t xml:space="preserve"> existing system for processing and </w:t>
      </w:r>
      <w:r w:rsidRPr="006F39A1">
        <w:rPr>
          <w:rFonts w:eastAsia="SimSun"/>
          <w:sz w:val="24"/>
          <w:szCs w:val="24"/>
        </w:rPr>
        <w:t xml:space="preserve">scanning the foreign enforcement forms uses pre-printed OCR paper forms and cannot accommodate forms independently printed, or electronically submitted by beneficiaries.   </w:t>
      </w:r>
    </w:p>
    <w:p w:rsidR="006F39A1" w:rsidRPr="006F39A1" w:rsidRDefault="006F39A1" w:rsidP="006F39A1">
      <w:pPr>
        <w:pStyle w:val="ListParagraph"/>
        <w:rPr>
          <w:rFonts w:eastAsia="SimSun"/>
          <w:sz w:val="24"/>
          <w:szCs w:val="24"/>
        </w:rPr>
      </w:pPr>
    </w:p>
    <w:p w:rsidR="006F39A1" w:rsidRPr="006F39A1" w:rsidRDefault="006F39A1" w:rsidP="006F39A1">
      <w:pPr>
        <w:pStyle w:val="ListParagraph"/>
        <w:numPr>
          <w:ilvl w:val="0"/>
          <w:numId w:val="22"/>
        </w:numPr>
        <w:tabs>
          <w:tab w:val="left" w:pos="-720"/>
        </w:tabs>
        <w:suppressAutoHyphens/>
        <w:rPr>
          <w:sz w:val="24"/>
          <w:szCs w:val="24"/>
        </w:rPr>
      </w:pPr>
      <w:r w:rsidRPr="006F39A1">
        <w:rPr>
          <w:rFonts w:eastAsia="SimSun"/>
          <w:sz w:val="24"/>
          <w:szCs w:val="24"/>
        </w:rPr>
        <w:t>We have no system in place to receive and process the information</w:t>
      </w:r>
      <w:r>
        <w:rPr>
          <w:rFonts w:eastAsia="SimSun"/>
          <w:sz w:val="24"/>
          <w:szCs w:val="24"/>
        </w:rPr>
        <w:t xml:space="preserve"> electronically.</w:t>
      </w:r>
    </w:p>
    <w:p w:rsidR="006F39A1" w:rsidRPr="006F39A1" w:rsidRDefault="006F39A1" w:rsidP="006F39A1">
      <w:pPr>
        <w:pStyle w:val="ListParagraph"/>
        <w:rPr>
          <w:sz w:val="24"/>
          <w:szCs w:val="24"/>
        </w:rPr>
      </w:pPr>
    </w:p>
    <w:p w:rsidR="006F39A1" w:rsidRPr="006F39A1" w:rsidRDefault="006F39A1" w:rsidP="006F39A1">
      <w:pPr>
        <w:tabs>
          <w:tab w:val="left" w:pos="-720"/>
        </w:tabs>
        <w:suppressAutoHyphens/>
        <w:ind w:left="1080"/>
        <w:rPr>
          <w:sz w:val="24"/>
          <w:szCs w:val="24"/>
        </w:rPr>
      </w:pPr>
      <w:r>
        <w:rPr>
          <w:sz w:val="24"/>
          <w:szCs w:val="24"/>
        </w:rPr>
        <w:t xml:space="preserve">Finally, we use the post-mark on the envelope for each completed form to ensure the respondents remain in countries with which we have </w:t>
      </w:r>
      <w:proofErr w:type="spellStart"/>
      <w:r>
        <w:rPr>
          <w:sz w:val="24"/>
          <w:szCs w:val="24"/>
        </w:rPr>
        <w:t>Totalization</w:t>
      </w:r>
      <w:proofErr w:type="spellEnd"/>
      <w:r>
        <w:rPr>
          <w:sz w:val="24"/>
          <w:szCs w:val="24"/>
        </w:rPr>
        <w:t xml:space="preserve"> agreements, allowing the respondents to continue to receive their benefits.  At this time, there is no way to track country of origin for electronic applications.  Until we have the means to do so, we cannot create electronic versions of these forms. </w:t>
      </w:r>
    </w:p>
    <w:p w:rsidR="00DA5859" w:rsidRDefault="00DA5859" w:rsidP="00DA5859">
      <w:pPr>
        <w:pStyle w:val="ListParagraph"/>
        <w:tabs>
          <w:tab w:val="left" w:pos="-720"/>
        </w:tabs>
        <w:suppressAutoHyphens/>
        <w:ind w:left="1080"/>
        <w:rPr>
          <w:b/>
          <w:sz w:val="24"/>
          <w:szCs w:val="24"/>
        </w:rPr>
      </w:pPr>
    </w:p>
    <w:p w:rsidR="008E0947" w:rsidRPr="008E0947" w:rsidRDefault="008E0947" w:rsidP="00487E40">
      <w:pPr>
        <w:pStyle w:val="ListParagraph"/>
        <w:numPr>
          <w:ilvl w:val="0"/>
          <w:numId w:val="21"/>
        </w:numPr>
        <w:tabs>
          <w:tab w:val="left" w:pos="-720"/>
        </w:tabs>
        <w:suppressAutoHyphens/>
        <w:rPr>
          <w:b/>
          <w:sz w:val="24"/>
          <w:szCs w:val="24"/>
        </w:rPr>
      </w:pPr>
      <w:r w:rsidRPr="008E0947">
        <w:rPr>
          <w:b/>
          <w:sz w:val="24"/>
          <w:szCs w:val="24"/>
        </w:rPr>
        <w:t>Why We Cannot Use Duplicate Information</w:t>
      </w:r>
    </w:p>
    <w:p w:rsidR="00487E40" w:rsidRPr="006F39A1" w:rsidRDefault="006F39A1" w:rsidP="008E0947">
      <w:pPr>
        <w:pStyle w:val="ListParagraph"/>
        <w:tabs>
          <w:tab w:val="left" w:pos="-720"/>
        </w:tabs>
        <w:suppressAutoHyphens/>
        <w:ind w:left="1080"/>
        <w:rPr>
          <w:b/>
          <w:sz w:val="24"/>
          <w:szCs w:val="24"/>
        </w:rPr>
      </w:pPr>
      <w:r w:rsidRPr="00B97F3D">
        <w:rPr>
          <w:sz w:val="24"/>
          <w:szCs w:val="24"/>
        </w:rPr>
        <w:t xml:space="preserve">The nature of the information </w:t>
      </w:r>
      <w:r>
        <w:rPr>
          <w:sz w:val="24"/>
          <w:szCs w:val="24"/>
        </w:rPr>
        <w:t xml:space="preserve">we collect </w:t>
      </w:r>
      <w:r w:rsidRPr="00B97F3D">
        <w:rPr>
          <w:sz w:val="24"/>
          <w:szCs w:val="24"/>
        </w:rPr>
        <w:t xml:space="preserve">and the manner in which </w:t>
      </w:r>
      <w:r>
        <w:rPr>
          <w:sz w:val="24"/>
          <w:szCs w:val="24"/>
        </w:rPr>
        <w:t xml:space="preserve">we </w:t>
      </w:r>
      <w:r w:rsidRPr="00B97F3D">
        <w:rPr>
          <w:sz w:val="24"/>
          <w:szCs w:val="24"/>
        </w:rPr>
        <w:t>collect</w:t>
      </w:r>
      <w:r>
        <w:rPr>
          <w:sz w:val="24"/>
          <w:szCs w:val="24"/>
        </w:rPr>
        <w:t xml:space="preserve"> it</w:t>
      </w:r>
      <w:r w:rsidRPr="00B97F3D">
        <w:rPr>
          <w:sz w:val="24"/>
          <w:szCs w:val="24"/>
        </w:rPr>
        <w:t xml:space="preserve"> preclude duplication.  </w:t>
      </w:r>
      <w:r>
        <w:rPr>
          <w:sz w:val="24"/>
          <w:szCs w:val="24"/>
        </w:rPr>
        <w:t>SSA does not use another instrument to obtain similar data.</w:t>
      </w:r>
    </w:p>
    <w:p w:rsidR="006F39A1" w:rsidRDefault="006F39A1" w:rsidP="006F39A1">
      <w:pPr>
        <w:pStyle w:val="ListParagraph"/>
        <w:tabs>
          <w:tab w:val="left" w:pos="-720"/>
        </w:tabs>
        <w:suppressAutoHyphens/>
        <w:ind w:left="1080"/>
        <w:rPr>
          <w:b/>
          <w:sz w:val="24"/>
          <w:szCs w:val="24"/>
        </w:rPr>
      </w:pPr>
    </w:p>
    <w:p w:rsidR="008E0947" w:rsidRPr="008E0947" w:rsidRDefault="008E0947" w:rsidP="00487E40">
      <w:pPr>
        <w:pStyle w:val="ListParagraph"/>
        <w:numPr>
          <w:ilvl w:val="0"/>
          <w:numId w:val="21"/>
        </w:numPr>
        <w:tabs>
          <w:tab w:val="left" w:pos="-720"/>
        </w:tabs>
        <w:suppressAutoHyphens/>
        <w:rPr>
          <w:b/>
          <w:sz w:val="32"/>
          <w:szCs w:val="24"/>
        </w:rPr>
      </w:pPr>
      <w:r w:rsidRPr="008E0947">
        <w:rPr>
          <w:b/>
          <w:sz w:val="24"/>
        </w:rPr>
        <w:t>Minimizing Burden on Small Respondents</w:t>
      </w:r>
    </w:p>
    <w:p w:rsidR="00487E40" w:rsidRPr="006F39A1" w:rsidRDefault="006F39A1" w:rsidP="008E0947">
      <w:pPr>
        <w:pStyle w:val="ListParagraph"/>
        <w:tabs>
          <w:tab w:val="left" w:pos="-720"/>
        </w:tabs>
        <w:suppressAutoHyphens/>
        <w:ind w:left="1080"/>
        <w:rPr>
          <w:b/>
          <w:sz w:val="24"/>
          <w:szCs w:val="24"/>
        </w:rPr>
      </w:pPr>
      <w:r w:rsidRPr="006F39A1">
        <w:rPr>
          <w:sz w:val="24"/>
          <w:szCs w:val="24"/>
        </w:rPr>
        <w:t>This collection does not affect small businesses or other small entities.</w:t>
      </w:r>
    </w:p>
    <w:p w:rsidR="006F39A1" w:rsidRPr="006F39A1" w:rsidRDefault="006F39A1" w:rsidP="006F39A1">
      <w:pPr>
        <w:tabs>
          <w:tab w:val="left" w:pos="-720"/>
        </w:tabs>
        <w:suppressAutoHyphens/>
        <w:rPr>
          <w:b/>
          <w:sz w:val="24"/>
          <w:szCs w:val="24"/>
        </w:rPr>
      </w:pPr>
    </w:p>
    <w:p w:rsidR="008E0947" w:rsidRPr="008E0947" w:rsidRDefault="008E0947" w:rsidP="00487E40">
      <w:pPr>
        <w:pStyle w:val="ListParagraph"/>
        <w:numPr>
          <w:ilvl w:val="0"/>
          <w:numId w:val="21"/>
        </w:numPr>
        <w:tabs>
          <w:tab w:val="left" w:pos="-720"/>
        </w:tabs>
        <w:suppressAutoHyphens/>
        <w:rPr>
          <w:b/>
          <w:sz w:val="32"/>
          <w:szCs w:val="24"/>
        </w:rPr>
      </w:pPr>
      <w:r w:rsidRPr="008E0947">
        <w:rPr>
          <w:b/>
          <w:sz w:val="24"/>
        </w:rPr>
        <w:t>Consequence of Not Collecting Information or Collecting it Less Frequently</w:t>
      </w:r>
    </w:p>
    <w:p w:rsidR="00487E40" w:rsidRPr="006F39A1" w:rsidRDefault="006F39A1" w:rsidP="008E0947">
      <w:pPr>
        <w:pStyle w:val="ListParagraph"/>
        <w:tabs>
          <w:tab w:val="left" w:pos="-720"/>
        </w:tabs>
        <w:suppressAutoHyphens/>
        <w:ind w:left="1080"/>
        <w:rPr>
          <w:b/>
          <w:sz w:val="24"/>
          <w:szCs w:val="24"/>
        </w:rPr>
      </w:pPr>
      <w:r>
        <w:rPr>
          <w:sz w:val="24"/>
          <w:szCs w:val="24"/>
        </w:rPr>
        <w:t xml:space="preserve">If we did not use Forms SSA-7161-OCR-SM and SSA-7162-OCR-SM, </w:t>
      </w:r>
      <w:r w:rsidR="00066A3C">
        <w:rPr>
          <w:sz w:val="24"/>
          <w:szCs w:val="24"/>
        </w:rPr>
        <w:t>we would not have the information we need for these beneficiaries</w:t>
      </w:r>
      <w:r w:rsidR="008E0947">
        <w:rPr>
          <w:sz w:val="24"/>
          <w:szCs w:val="24"/>
        </w:rPr>
        <w:t xml:space="preserve"> living outside of the U.S.</w:t>
      </w:r>
      <w:r w:rsidR="00066A3C">
        <w:rPr>
          <w:sz w:val="24"/>
          <w:szCs w:val="24"/>
        </w:rPr>
        <w:t xml:space="preserve">, which </w:t>
      </w:r>
      <w:r w:rsidR="00066A3C">
        <w:rPr>
          <w:sz w:val="24"/>
          <w:szCs w:val="24"/>
        </w:rPr>
        <w:lastRenderedPageBreak/>
        <w:t>may</w:t>
      </w:r>
      <w:r w:rsidRPr="00B97F3D">
        <w:rPr>
          <w:sz w:val="24"/>
          <w:szCs w:val="24"/>
        </w:rPr>
        <w:t xml:space="preserve"> result </w:t>
      </w:r>
      <w:r>
        <w:rPr>
          <w:sz w:val="24"/>
          <w:szCs w:val="24"/>
        </w:rPr>
        <w:t xml:space="preserve">in </w:t>
      </w:r>
      <w:r w:rsidR="00066A3C">
        <w:rPr>
          <w:sz w:val="24"/>
          <w:szCs w:val="24"/>
        </w:rPr>
        <w:t xml:space="preserve">SSA </w:t>
      </w:r>
      <w:r w:rsidRPr="00B97F3D">
        <w:rPr>
          <w:sz w:val="24"/>
          <w:szCs w:val="24"/>
        </w:rPr>
        <w:t xml:space="preserve">improper payments and overpayments.  </w:t>
      </w:r>
      <w:r w:rsidR="008E0947">
        <w:rPr>
          <w:sz w:val="24"/>
          <w:szCs w:val="24"/>
        </w:rPr>
        <w:t>In addition</w:t>
      </w:r>
      <w:r w:rsidRPr="00B97F3D">
        <w:rPr>
          <w:sz w:val="24"/>
          <w:szCs w:val="24"/>
        </w:rPr>
        <w:t xml:space="preserve">, </w:t>
      </w:r>
      <w:r>
        <w:rPr>
          <w:sz w:val="24"/>
          <w:szCs w:val="24"/>
        </w:rPr>
        <w:t xml:space="preserve">SSA cannot collect </w:t>
      </w:r>
      <w:r w:rsidRPr="00B97F3D">
        <w:rPr>
          <w:sz w:val="24"/>
          <w:szCs w:val="24"/>
        </w:rPr>
        <w:t>this information less frequently</w:t>
      </w:r>
      <w:r>
        <w:rPr>
          <w:sz w:val="24"/>
          <w:szCs w:val="24"/>
        </w:rPr>
        <w:t xml:space="preserve"> because the</w:t>
      </w:r>
      <w:r w:rsidRPr="00B97F3D">
        <w:rPr>
          <w:sz w:val="24"/>
          <w:szCs w:val="24"/>
        </w:rPr>
        <w:t xml:space="preserve"> </w:t>
      </w:r>
      <w:r>
        <w:rPr>
          <w:sz w:val="24"/>
          <w:szCs w:val="24"/>
        </w:rPr>
        <w:t xml:space="preserve">law mandates </w:t>
      </w:r>
      <w:r w:rsidRPr="00B97F3D">
        <w:rPr>
          <w:sz w:val="24"/>
          <w:szCs w:val="24"/>
        </w:rPr>
        <w:t>collection of the information on the SSA</w:t>
      </w:r>
      <w:r w:rsidRPr="00B97F3D">
        <w:rPr>
          <w:sz w:val="24"/>
          <w:szCs w:val="24"/>
        </w:rPr>
        <w:noBreakHyphen/>
        <w:t>7161</w:t>
      </w:r>
      <w:r w:rsidRPr="00B97F3D">
        <w:rPr>
          <w:sz w:val="24"/>
          <w:szCs w:val="24"/>
        </w:rPr>
        <w:noBreakHyphen/>
        <w:t xml:space="preserve">OCR-SM </w:t>
      </w:r>
      <w:r>
        <w:rPr>
          <w:sz w:val="24"/>
          <w:szCs w:val="24"/>
        </w:rPr>
        <w:t>annually</w:t>
      </w:r>
      <w:r w:rsidRPr="00B97F3D">
        <w:rPr>
          <w:sz w:val="24"/>
          <w:szCs w:val="24"/>
        </w:rPr>
        <w:t>.</w:t>
      </w:r>
      <w:r>
        <w:rPr>
          <w:sz w:val="24"/>
          <w:szCs w:val="24"/>
        </w:rPr>
        <w:t xml:space="preserve">  There are no technical or legal obstacles to burden reduction.</w:t>
      </w:r>
    </w:p>
    <w:p w:rsidR="006F39A1" w:rsidRPr="006F39A1" w:rsidRDefault="006F39A1" w:rsidP="006F39A1">
      <w:pPr>
        <w:tabs>
          <w:tab w:val="left" w:pos="-720"/>
        </w:tabs>
        <w:suppressAutoHyphens/>
        <w:rPr>
          <w:b/>
          <w:sz w:val="24"/>
          <w:szCs w:val="24"/>
        </w:rPr>
      </w:pPr>
    </w:p>
    <w:p w:rsidR="008E0947" w:rsidRPr="008E0947" w:rsidRDefault="008E0947" w:rsidP="00487E40">
      <w:pPr>
        <w:pStyle w:val="ListParagraph"/>
        <w:numPr>
          <w:ilvl w:val="0"/>
          <w:numId w:val="21"/>
        </w:numPr>
        <w:tabs>
          <w:tab w:val="left" w:pos="-720"/>
        </w:tabs>
        <w:suppressAutoHyphens/>
        <w:rPr>
          <w:b/>
          <w:sz w:val="32"/>
          <w:szCs w:val="24"/>
        </w:rPr>
      </w:pPr>
      <w:r w:rsidRPr="008E0947">
        <w:rPr>
          <w:b/>
          <w:sz w:val="24"/>
        </w:rPr>
        <w:t>Special Circumstances</w:t>
      </w:r>
    </w:p>
    <w:p w:rsidR="00487E40" w:rsidRPr="008E0947" w:rsidRDefault="008E0947" w:rsidP="008E0947">
      <w:pPr>
        <w:pStyle w:val="ListParagraph"/>
        <w:tabs>
          <w:tab w:val="left" w:pos="-720"/>
        </w:tabs>
        <w:suppressAutoHyphens/>
        <w:ind w:left="1080"/>
        <w:rPr>
          <w:b/>
          <w:sz w:val="24"/>
          <w:szCs w:val="24"/>
        </w:rPr>
      </w:pPr>
      <w:r w:rsidRPr="00B97F3D">
        <w:rPr>
          <w:sz w:val="24"/>
          <w:szCs w:val="24"/>
        </w:rPr>
        <w:t xml:space="preserve">There are no special circumstances that would cause </w:t>
      </w:r>
      <w:r>
        <w:rPr>
          <w:sz w:val="24"/>
          <w:szCs w:val="24"/>
        </w:rPr>
        <w:t xml:space="preserve">SSA to conduct </w:t>
      </w:r>
      <w:r w:rsidRPr="00B97F3D">
        <w:rPr>
          <w:sz w:val="24"/>
          <w:szCs w:val="24"/>
        </w:rPr>
        <w:t xml:space="preserve">this information collection in a manner </w:t>
      </w:r>
      <w:r>
        <w:rPr>
          <w:sz w:val="24"/>
          <w:szCs w:val="24"/>
        </w:rPr>
        <w:t>i</w:t>
      </w:r>
      <w:r w:rsidRPr="00B97F3D">
        <w:rPr>
          <w:sz w:val="24"/>
          <w:szCs w:val="24"/>
        </w:rPr>
        <w:t xml:space="preserve">nconsistent with </w:t>
      </w:r>
      <w:proofErr w:type="gramStart"/>
      <w:r w:rsidRPr="008E0947">
        <w:rPr>
          <w:i/>
          <w:sz w:val="24"/>
          <w:szCs w:val="24"/>
        </w:rPr>
        <w:t>5</w:t>
      </w:r>
      <w:proofErr w:type="gramEnd"/>
      <w:r w:rsidRPr="008E0947">
        <w:rPr>
          <w:i/>
          <w:sz w:val="24"/>
          <w:szCs w:val="24"/>
        </w:rPr>
        <w:t xml:space="preserve"> CFR 1320.5</w:t>
      </w:r>
      <w:r>
        <w:rPr>
          <w:sz w:val="24"/>
          <w:szCs w:val="24"/>
        </w:rPr>
        <w:t>.</w:t>
      </w:r>
    </w:p>
    <w:p w:rsidR="008E0947" w:rsidRPr="008E0947" w:rsidRDefault="008E0947" w:rsidP="008E0947">
      <w:pPr>
        <w:tabs>
          <w:tab w:val="left" w:pos="-720"/>
        </w:tabs>
        <w:suppressAutoHyphens/>
        <w:rPr>
          <w:b/>
          <w:sz w:val="24"/>
          <w:szCs w:val="24"/>
        </w:rPr>
      </w:pPr>
    </w:p>
    <w:p w:rsidR="008E0947" w:rsidRPr="008E0947" w:rsidRDefault="008E0947" w:rsidP="00487E40">
      <w:pPr>
        <w:pStyle w:val="ListParagraph"/>
        <w:numPr>
          <w:ilvl w:val="0"/>
          <w:numId w:val="21"/>
        </w:numPr>
        <w:tabs>
          <w:tab w:val="left" w:pos="-720"/>
        </w:tabs>
        <w:suppressAutoHyphens/>
        <w:rPr>
          <w:b/>
          <w:sz w:val="32"/>
          <w:szCs w:val="24"/>
        </w:rPr>
      </w:pPr>
      <w:r w:rsidRPr="008E0947">
        <w:rPr>
          <w:b/>
          <w:sz w:val="24"/>
        </w:rPr>
        <w:t>Solicitation of Public Comment and Other Consultations with the Public</w:t>
      </w:r>
    </w:p>
    <w:p w:rsidR="00487E40" w:rsidRPr="008E0947" w:rsidRDefault="008E0947" w:rsidP="008E0947">
      <w:pPr>
        <w:pStyle w:val="ListParagraph"/>
        <w:tabs>
          <w:tab w:val="left" w:pos="-720"/>
        </w:tabs>
        <w:suppressAutoHyphens/>
        <w:ind w:left="1080"/>
        <w:rPr>
          <w:b/>
          <w:sz w:val="24"/>
          <w:szCs w:val="24"/>
        </w:rPr>
      </w:pPr>
      <w:r w:rsidRPr="008E0947">
        <w:rPr>
          <w:sz w:val="24"/>
          <w:szCs w:val="24"/>
        </w:rPr>
        <w:t xml:space="preserve">The 60-day advance Federal Register Notice published on </w:t>
      </w:r>
      <w:r w:rsidR="00C873D6">
        <w:rPr>
          <w:sz w:val="24"/>
          <w:szCs w:val="24"/>
        </w:rPr>
        <w:t>April 25, 2016</w:t>
      </w:r>
      <w:r>
        <w:rPr>
          <w:sz w:val="24"/>
          <w:szCs w:val="24"/>
        </w:rPr>
        <w:t xml:space="preserve"> at 81</w:t>
      </w:r>
      <w:r w:rsidRPr="008E0947">
        <w:rPr>
          <w:sz w:val="24"/>
          <w:szCs w:val="24"/>
        </w:rPr>
        <w:t xml:space="preserve"> FR </w:t>
      </w:r>
      <w:r w:rsidR="00C873D6">
        <w:rPr>
          <w:sz w:val="24"/>
          <w:szCs w:val="24"/>
        </w:rPr>
        <w:t>24155</w:t>
      </w:r>
      <w:r w:rsidRPr="008E0947">
        <w:rPr>
          <w:sz w:val="24"/>
          <w:szCs w:val="24"/>
        </w:rPr>
        <w:t xml:space="preserve">, and we received no public comments.  SSA published the second Notice on </w:t>
      </w:r>
      <w:r w:rsidR="00C873D6">
        <w:rPr>
          <w:sz w:val="24"/>
          <w:szCs w:val="24"/>
        </w:rPr>
        <w:t>July 5, 2016</w:t>
      </w:r>
      <w:r>
        <w:rPr>
          <w:sz w:val="24"/>
          <w:szCs w:val="24"/>
        </w:rPr>
        <w:t>, at 81</w:t>
      </w:r>
      <w:r w:rsidRPr="008E0947">
        <w:rPr>
          <w:sz w:val="24"/>
          <w:szCs w:val="24"/>
        </w:rPr>
        <w:t xml:space="preserve"> FR </w:t>
      </w:r>
      <w:r w:rsidR="00C873D6">
        <w:rPr>
          <w:sz w:val="24"/>
          <w:szCs w:val="24"/>
        </w:rPr>
        <w:t>43691</w:t>
      </w:r>
      <w:r w:rsidRPr="008E0947">
        <w:rPr>
          <w:sz w:val="24"/>
          <w:szCs w:val="24"/>
        </w:rPr>
        <w:t>.  If we receive comments in response to the 30</w:t>
      </w:r>
      <w:r w:rsidRPr="008E0947">
        <w:rPr>
          <w:sz w:val="24"/>
          <w:szCs w:val="24"/>
        </w:rPr>
        <w:noBreakHyphen/>
        <w:t>day Notice, we will forward them to OMB.  We did not consult with the public in the revision of this form.</w:t>
      </w:r>
    </w:p>
    <w:p w:rsidR="008E0947" w:rsidRPr="008E0947" w:rsidRDefault="008E0947" w:rsidP="008E0947">
      <w:pPr>
        <w:tabs>
          <w:tab w:val="left" w:pos="-720"/>
        </w:tabs>
        <w:suppressAutoHyphens/>
        <w:rPr>
          <w:b/>
          <w:sz w:val="24"/>
          <w:szCs w:val="24"/>
        </w:rPr>
      </w:pPr>
    </w:p>
    <w:p w:rsidR="008E0947" w:rsidRPr="008E0947" w:rsidRDefault="008E0947" w:rsidP="00487E40">
      <w:pPr>
        <w:pStyle w:val="ListParagraph"/>
        <w:numPr>
          <w:ilvl w:val="0"/>
          <w:numId w:val="21"/>
        </w:numPr>
        <w:tabs>
          <w:tab w:val="left" w:pos="-720"/>
        </w:tabs>
        <w:suppressAutoHyphens/>
        <w:rPr>
          <w:b/>
          <w:sz w:val="24"/>
          <w:szCs w:val="24"/>
        </w:rPr>
      </w:pPr>
      <w:r w:rsidRPr="008E0947">
        <w:rPr>
          <w:b/>
          <w:sz w:val="24"/>
        </w:rPr>
        <w:t>Payment or Gifts to Respondents</w:t>
      </w:r>
    </w:p>
    <w:p w:rsidR="00487E40" w:rsidRPr="008E0947" w:rsidRDefault="008E0947" w:rsidP="008E0947">
      <w:pPr>
        <w:pStyle w:val="ListParagraph"/>
        <w:tabs>
          <w:tab w:val="left" w:pos="-720"/>
        </w:tabs>
        <w:suppressAutoHyphens/>
        <w:ind w:left="1080"/>
        <w:rPr>
          <w:b/>
          <w:sz w:val="24"/>
          <w:szCs w:val="24"/>
        </w:rPr>
      </w:pPr>
      <w:r w:rsidRPr="00B97F3D">
        <w:rPr>
          <w:sz w:val="24"/>
          <w:szCs w:val="24"/>
        </w:rPr>
        <w:t xml:space="preserve">SSA </w:t>
      </w:r>
      <w:r>
        <w:rPr>
          <w:sz w:val="24"/>
          <w:szCs w:val="24"/>
        </w:rPr>
        <w:t xml:space="preserve">does not provide </w:t>
      </w:r>
      <w:r w:rsidRPr="00B97F3D">
        <w:rPr>
          <w:sz w:val="24"/>
          <w:szCs w:val="24"/>
        </w:rPr>
        <w:t>payment</w:t>
      </w:r>
      <w:r>
        <w:rPr>
          <w:sz w:val="24"/>
          <w:szCs w:val="24"/>
        </w:rPr>
        <w:t>s</w:t>
      </w:r>
      <w:r w:rsidRPr="00B97F3D">
        <w:rPr>
          <w:sz w:val="24"/>
          <w:szCs w:val="24"/>
        </w:rPr>
        <w:t xml:space="preserve"> or gifts to the respondents</w:t>
      </w:r>
      <w:r>
        <w:rPr>
          <w:sz w:val="24"/>
          <w:szCs w:val="24"/>
        </w:rPr>
        <w:t>.</w:t>
      </w:r>
    </w:p>
    <w:p w:rsidR="008E0947" w:rsidRDefault="008E0947" w:rsidP="008E0947">
      <w:pPr>
        <w:pStyle w:val="ListParagraph"/>
        <w:tabs>
          <w:tab w:val="left" w:pos="-720"/>
        </w:tabs>
        <w:suppressAutoHyphens/>
        <w:ind w:left="1080"/>
        <w:rPr>
          <w:b/>
          <w:sz w:val="24"/>
          <w:szCs w:val="24"/>
        </w:rPr>
      </w:pPr>
    </w:p>
    <w:p w:rsidR="008E0947" w:rsidRPr="008E0947" w:rsidRDefault="008E0947" w:rsidP="00487E40">
      <w:pPr>
        <w:pStyle w:val="ListParagraph"/>
        <w:numPr>
          <w:ilvl w:val="0"/>
          <w:numId w:val="21"/>
        </w:numPr>
        <w:tabs>
          <w:tab w:val="left" w:pos="-720"/>
        </w:tabs>
        <w:suppressAutoHyphens/>
        <w:rPr>
          <w:b/>
          <w:sz w:val="24"/>
          <w:szCs w:val="24"/>
        </w:rPr>
      </w:pPr>
      <w:r w:rsidRPr="008E0947">
        <w:rPr>
          <w:b/>
          <w:sz w:val="24"/>
        </w:rPr>
        <w:t>Assurances of Confidentiality</w:t>
      </w:r>
      <w:r>
        <w:rPr>
          <w:sz w:val="24"/>
          <w:szCs w:val="24"/>
        </w:rPr>
        <w:t xml:space="preserve"> </w:t>
      </w:r>
    </w:p>
    <w:p w:rsidR="00487E40" w:rsidRPr="008E0947" w:rsidRDefault="008E0947" w:rsidP="008E0947">
      <w:pPr>
        <w:pStyle w:val="ListParagraph"/>
        <w:tabs>
          <w:tab w:val="left" w:pos="-720"/>
        </w:tabs>
        <w:suppressAutoHyphens/>
        <w:ind w:left="1080"/>
        <w:rPr>
          <w:b/>
          <w:sz w:val="24"/>
          <w:szCs w:val="24"/>
        </w:rPr>
      </w:pPr>
      <w:r>
        <w:rPr>
          <w:sz w:val="24"/>
          <w:szCs w:val="24"/>
        </w:rPr>
        <w:t>SSA protects and holds confid</w:t>
      </w:r>
      <w:r w:rsidRPr="00B97F3D">
        <w:rPr>
          <w:sz w:val="24"/>
          <w:szCs w:val="24"/>
        </w:rPr>
        <w:t xml:space="preserve">ential </w:t>
      </w:r>
      <w:r>
        <w:rPr>
          <w:sz w:val="24"/>
          <w:szCs w:val="24"/>
        </w:rPr>
        <w:t xml:space="preserve">the information it collects </w:t>
      </w:r>
      <w:r w:rsidRPr="00B97F3D">
        <w:rPr>
          <w:sz w:val="24"/>
          <w:szCs w:val="24"/>
        </w:rPr>
        <w:t xml:space="preserve">in accordance with </w:t>
      </w:r>
      <w:r w:rsidRPr="008E0947">
        <w:rPr>
          <w:i/>
          <w:sz w:val="24"/>
          <w:szCs w:val="24"/>
        </w:rPr>
        <w:t>42 U.S.C. 1306, 20 CFR 401</w:t>
      </w:r>
      <w:r w:rsidRPr="00B97F3D">
        <w:rPr>
          <w:sz w:val="24"/>
          <w:szCs w:val="24"/>
        </w:rPr>
        <w:t xml:space="preserve"> and </w:t>
      </w:r>
      <w:r w:rsidRPr="008E0947">
        <w:rPr>
          <w:i/>
          <w:sz w:val="24"/>
          <w:szCs w:val="24"/>
        </w:rPr>
        <w:t>402, 5 U.S.C. 552</w:t>
      </w:r>
      <w:r w:rsidRPr="00B97F3D">
        <w:rPr>
          <w:sz w:val="24"/>
          <w:szCs w:val="24"/>
        </w:rPr>
        <w:t xml:space="preserve"> (Freedom of Information Act), </w:t>
      </w:r>
      <w:r w:rsidRPr="008E0947">
        <w:rPr>
          <w:i/>
          <w:sz w:val="24"/>
          <w:szCs w:val="24"/>
        </w:rPr>
        <w:t>5 U.S.C. 552a</w:t>
      </w:r>
      <w:r w:rsidRPr="00B97F3D">
        <w:rPr>
          <w:sz w:val="24"/>
          <w:szCs w:val="24"/>
        </w:rPr>
        <w:t xml:space="preserve"> (Privacy Act of 1974) and OMB Circular No. A-130</w:t>
      </w:r>
      <w:r>
        <w:rPr>
          <w:sz w:val="24"/>
          <w:szCs w:val="24"/>
        </w:rPr>
        <w:t>.</w:t>
      </w:r>
    </w:p>
    <w:p w:rsidR="008E0947" w:rsidRPr="008E0947" w:rsidRDefault="008E0947" w:rsidP="008E0947">
      <w:pPr>
        <w:tabs>
          <w:tab w:val="left" w:pos="-720"/>
        </w:tabs>
        <w:suppressAutoHyphens/>
        <w:rPr>
          <w:b/>
          <w:sz w:val="24"/>
          <w:szCs w:val="24"/>
        </w:rPr>
      </w:pPr>
    </w:p>
    <w:p w:rsidR="008E0947" w:rsidRPr="008E0947" w:rsidRDefault="008E0947" w:rsidP="00487E40">
      <w:pPr>
        <w:pStyle w:val="ListParagraph"/>
        <w:numPr>
          <w:ilvl w:val="0"/>
          <w:numId w:val="21"/>
        </w:numPr>
        <w:tabs>
          <w:tab w:val="left" w:pos="-720"/>
        </w:tabs>
        <w:suppressAutoHyphens/>
        <w:rPr>
          <w:b/>
          <w:sz w:val="24"/>
          <w:szCs w:val="24"/>
        </w:rPr>
      </w:pPr>
      <w:r w:rsidRPr="008E0947">
        <w:rPr>
          <w:b/>
          <w:sz w:val="24"/>
        </w:rPr>
        <w:t>Justification for Sensitive Questions</w:t>
      </w:r>
      <w:r w:rsidRPr="008E0947">
        <w:rPr>
          <w:sz w:val="32"/>
          <w:szCs w:val="24"/>
        </w:rPr>
        <w:t xml:space="preserve"> </w:t>
      </w:r>
    </w:p>
    <w:p w:rsidR="00487E40" w:rsidRPr="008E0947" w:rsidRDefault="008E0947" w:rsidP="008E0947">
      <w:pPr>
        <w:pStyle w:val="ListParagraph"/>
        <w:tabs>
          <w:tab w:val="left" w:pos="-720"/>
        </w:tabs>
        <w:suppressAutoHyphens/>
        <w:ind w:left="1080"/>
        <w:rPr>
          <w:b/>
          <w:sz w:val="24"/>
          <w:szCs w:val="24"/>
        </w:rPr>
      </w:pPr>
      <w:r w:rsidRPr="00B97F3D">
        <w:rPr>
          <w:sz w:val="24"/>
          <w:szCs w:val="24"/>
        </w:rPr>
        <w:t xml:space="preserve">The information collection does not contain any questions of a sensitive </w:t>
      </w:r>
      <w:r>
        <w:rPr>
          <w:sz w:val="24"/>
          <w:szCs w:val="24"/>
        </w:rPr>
        <w:t>n</w:t>
      </w:r>
      <w:r w:rsidRPr="00B97F3D">
        <w:rPr>
          <w:sz w:val="24"/>
          <w:szCs w:val="24"/>
        </w:rPr>
        <w:t>ature</w:t>
      </w:r>
      <w:r>
        <w:rPr>
          <w:sz w:val="24"/>
          <w:szCs w:val="24"/>
        </w:rPr>
        <w:t>.</w:t>
      </w:r>
    </w:p>
    <w:p w:rsidR="008E0947" w:rsidRPr="008E0947" w:rsidRDefault="008E0947" w:rsidP="008E0947">
      <w:pPr>
        <w:tabs>
          <w:tab w:val="left" w:pos="-720"/>
        </w:tabs>
        <w:suppressAutoHyphens/>
        <w:rPr>
          <w:b/>
          <w:sz w:val="24"/>
          <w:szCs w:val="24"/>
        </w:rPr>
      </w:pPr>
    </w:p>
    <w:p w:rsidR="008E0947" w:rsidRPr="008E0947" w:rsidRDefault="008E0947" w:rsidP="00487E40">
      <w:pPr>
        <w:pStyle w:val="ListParagraph"/>
        <w:numPr>
          <w:ilvl w:val="0"/>
          <w:numId w:val="21"/>
        </w:numPr>
        <w:tabs>
          <w:tab w:val="left" w:pos="-720"/>
        </w:tabs>
        <w:suppressAutoHyphens/>
        <w:rPr>
          <w:b/>
          <w:sz w:val="24"/>
          <w:szCs w:val="24"/>
        </w:rPr>
      </w:pPr>
      <w:r w:rsidRPr="008E0947">
        <w:rPr>
          <w:b/>
          <w:sz w:val="24"/>
        </w:rPr>
        <w:t>Estimates of Public Reporting Burden</w:t>
      </w:r>
    </w:p>
    <w:p w:rsidR="00487E40" w:rsidRPr="008E0947" w:rsidRDefault="008E0947" w:rsidP="008E0947">
      <w:pPr>
        <w:pStyle w:val="ListParagraph"/>
        <w:tabs>
          <w:tab w:val="left" w:pos="-720"/>
        </w:tabs>
        <w:suppressAutoHyphens/>
        <w:ind w:left="1080"/>
        <w:rPr>
          <w:b/>
          <w:sz w:val="24"/>
          <w:szCs w:val="24"/>
        </w:rPr>
      </w:pPr>
      <w:r>
        <w:rPr>
          <w:sz w:val="24"/>
          <w:szCs w:val="24"/>
        </w:rPr>
        <w:t>The following chart shows the burden for the SSA-7161-OCR-SM and the SSA</w:t>
      </w:r>
      <w:r>
        <w:rPr>
          <w:sz w:val="24"/>
          <w:szCs w:val="24"/>
        </w:rPr>
        <w:noBreakHyphen/>
        <w:t>7162-OCR-SM:</w:t>
      </w:r>
    </w:p>
    <w:p w:rsidR="008E0947" w:rsidRPr="008E0947" w:rsidRDefault="008E0947" w:rsidP="008E0947">
      <w:pPr>
        <w:pStyle w:val="ListParagraph"/>
        <w:rPr>
          <w:b/>
          <w:sz w:val="24"/>
          <w:szCs w:val="24"/>
        </w:rPr>
      </w:pPr>
    </w:p>
    <w:tbl>
      <w:tblPr>
        <w:tblStyle w:val="TableGrid"/>
        <w:tblW w:w="0" w:type="auto"/>
        <w:tblInd w:w="1080" w:type="dxa"/>
        <w:tblLayout w:type="fixed"/>
        <w:tblLook w:val="04A0" w:firstRow="1" w:lastRow="0" w:firstColumn="1" w:lastColumn="0" w:noHBand="0" w:noVBand="1"/>
      </w:tblPr>
      <w:tblGrid>
        <w:gridCol w:w="2268"/>
        <w:gridCol w:w="1620"/>
        <w:gridCol w:w="1526"/>
        <w:gridCol w:w="1541"/>
        <w:gridCol w:w="1541"/>
      </w:tblGrid>
      <w:tr w:rsidR="008E0947" w:rsidTr="00696ED7">
        <w:tc>
          <w:tcPr>
            <w:tcW w:w="2268" w:type="dxa"/>
          </w:tcPr>
          <w:p w:rsidR="008E0947" w:rsidRDefault="008E0947" w:rsidP="008E0947">
            <w:pPr>
              <w:pStyle w:val="ListParagraph"/>
              <w:tabs>
                <w:tab w:val="left" w:pos="-720"/>
              </w:tabs>
              <w:suppressAutoHyphens/>
              <w:ind w:left="0"/>
              <w:rPr>
                <w:b/>
                <w:sz w:val="24"/>
                <w:szCs w:val="24"/>
              </w:rPr>
            </w:pPr>
            <w:r>
              <w:rPr>
                <w:b/>
                <w:sz w:val="24"/>
                <w:szCs w:val="24"/>
              </w:rPr>
              <w:t>Modality of Completion</w:t>
            </w:r>
          </w:p>
        </w:tc>
        <w:tc>
          <w:tcPr>
            <w:tcW w:w="1620" w:type="dxa"/>
          </w:tcPr>
          <w:p w:rsidR="008E0947" w:rsidRDefault="008E0947" w:rsidP="008E0947">
            <w:pPr>
              <w:pStyle w:val="ListParagraph"/>
              <w:tabs>
                <w:tab w:val="left" w:pos="-720"/>
              </w:tabs>
              <w:suppressAutoHyphens/>
              <w:ind w:left="0"/>
              <w:rPr>
                <w:b/>
                <w:sz w:val="24"/>
                <w:szCs w:val="24"/>
              </w:rPr>
            </w:pPr>
            <w:r>
              <w:rPr>
                <w:b/>
                <w:sz w:val="24"/>
                <w:szCs w:val="24"/>
              </w:rPr>
              <w:t>Number of Respondents</w:t>
            </w:r>
          </w:p>
        </w:tc>
        <w:tc>
          <w:tcPr>
            <w:tcW w:w="1526" w:type="dxa"/>
          </w:tcPr>
          <w:p w:rsidR="008E0947" w:rsidRDefault="008E0947" w:rsidP="008E0947">
            <w:pPr>
              <w:pStyle w:val="ListParagraph"/>
              <w:tabs>
                <w:tab w:val="left" w:pos="-720"/>
              </w:tabs>
              <w:suppressAutoHyphens/>
              <w:ind w:left="0"/>
              <w:rPr>
                <w:b/>
                <w:sz w:val="24"/>
                <w:szCs w:val="24"/>
              </w:rPr>
            </w:pPr>
            <w:r>
              <w:rPr>
                <w:b/>
                <w:sz w:val="24"/>
                <w:szCs w:val="24"/>
              </w:rPr>
              <w:t>Frequency of Response</w:t>
            </w:r>
          </w:p>
        </w:tc>
        <w:tc>
          <w:tcPr>
            <w:tcW w:w="1541" w:type="dxa"/>
          </w:tcPr>
          <w:p w:rsidR="008E0947" w:rsidRPr="008E0947" w:rsidRDefault="008E0947" w:rsidP="0024671F">
            <w:pPr>
              <w:pStyle w:val="ListParagraph"/>
              <w:tabs>
                <w:tab w:val="left" w:pos="1440"/>
              </w:tabs>
              <w:ind w:left="0"/>
              <w:rPr>
                <w:b/>
                <w:sz w:val="24"/>
                <w:szCs w:val="24"/>
              </w:rPr>
            </w:pPr>
            <w:r w:rsidRPr="008E0947">
              <w:rPr>
                <w:b/>
                <w:sz w:val="24"/>
                <w:szCs w:val="24"/>
              </w:rPr>
              <w:t>Average Burden Per Response (minutes)</w:t>
            </w:r>
          </w:p>
        </w:tc>
        <w:tc>
          <w:tcPr>
            <w:tcW w:w="1541" w:type="dxa"/>
          </w:tcPr>
          <w:p w:rsidR="008E0947" w:rsidRPr="008E0947" w:rsidRDefault="008E0947" w:rsidP="0024671F">
            <w:pPr>
              <w:pStyle w:val="ListParagraph"/>
              <w:tabs>
                <w:tab w:val="left" w:pos="1440"/>
              </w:tabs>
              <w:ind w:left="0"/>
              <w:rPr>
                <w:b/>
                <w:sz w:val="24"/>
                <w:szCs w:val="24"/>
              </w:rPr>
            </w:pPr>
            <w:r w:rsidRPr="008E0947">
              <w:rPr>
                <w:b/>
                <w:sz w:val="24"/>
                <w:szCs w:val="24"/>
              </w:rPr>
              <w:t>Estimated Total Annual Burden (hours)</w:t>
            </w:r>
          </w:p>
        </w:tc>
      </w:tr>
      <w:tr w:rsidR="008E0947" w:rsidTr="00696ED7">
        <w:tc>
          <w:tcPr>
            <w:tcW w:w="2268" w:type="dxa"/>
          </w:tcPr>
          <w:p w:rsidR="008E0947" w:rsidRPr="006D4C14" w:rsidRDefault="008E0947" w:rsidP="0024671F">
            <w:pPr>
              <w:pStyle w:val="HTMLPreformatted"/>
              <w:rPr>
                <w:rFonts w:ascii="Times New Roman" w:hAnsi="Times New Roman" w:cs="Times New Roman"/>
                <w:sz w:val="24"/>
                <w:szCs w:val="24"/>
              </w:rPr>
            </w:pPr>
            <w:r w:rsidRPr="006D4C14">
              <w:rPr>
                <w:rFonts w:ascii="Times New Roman" w:hAnsi="Times New Roman" w:cs="Times New Roman"/>
                <w:sz w:val="24"/>
                <w:szCs w:val="24"/>
              </w:rPr>
              <w:t>SSA-7161-OCR-SM</w:t>
            </w:r>
          </w:p>
        </w:tc>
        <w:tc>
          <w:tcPr>
            <w:tcW w:w="1620" w:type="dxa"/>
          </w:tcPr>
          <w:p w:rsidR="008E0947" w:rsidRPr="006D4C14" w:rsidRDefault="008E0947" w:rsidP="008E0947">
            <w:pPr>
              <w:pStyle w:val="HTMLPreformatted"/>
              <w:jc w:val="right"/>
              <w:rPr>
                <w:rFonts w:ascii="Times New Roman" w:hAnsi="Times New Roman" w:cs="Times New Roman"/>
                <w:sz w:val="24"/>
                <w:szCs w:val="24"/>
              </w:rPr>
            </w:pPr>
            <w:r w:rsidRPr="006D4C14">
              <w:rPr>
                <w:rFonts w:ascii="Times New Roman" w:hAnsi="Times New Roman" w:cs="Times New Roman"/>
                <w:sz w:val="24"/>
                <w:szCs w:val="24"/>
              </w:rPr>
              <w:t>42,176</w:t>
            </w:r>
          </w:p>
        </w:tc>
        <w:tc>
          <w:tcPr>
            <w:tcW w:w="1526" w:type="dxa"/>
          </w:tcPr>
          <w:p w:rsidR="008E0947" w:rsidRPr="006D4C14" w:rsidRDefault="008E0947" w:rsidP="008E0947">
            <w:pPr>
              <w:pStyle w:val="HTMLPreformatted"/>
              <w:jc w:val="right"/>
              <w:rPr>
                <w:rFonts w:ascii="Times New Roman" w:hAnsi="Times New Roman" w:cs="Times New Roman"/>
                <w:sz w:val="24"/>
                <w:szCs w:val="24"/>
              </w:rPr>
            </w:pPr>
            <w:r w:rsidRPr="006D4C14">
              <w:rPr>
                <w:rFonts w:ascii="Times New Roman" w:hAnsi="Times New Roman" w:cs="Times New Roman"/>
                <w:sz w:val="24"/>
                <w:szCs w:val="24"/>
              </w:rPr>
              <w:t>1</w:t>
            </w:r>
          </w:p>
        </w:tc>
        <w:tc>
          <w:tcPr>
            <w:tcW w:w="1541" w:type="dxa"/>
          </w:tcPr>
          <w:p w:rsidR="008E0947" w:rsidRPr="006D4C14" w:rsidRDefault="008E0947" w:rsidP="008E0947">
            <w:pPr>
              <w:pStyle w:val="HTMLPreformatted"/>
              <w:jc w:val="right"/>
              <w:rPr>
                <w:rFonts w:ascii="Times New Roman" w:hAnsi="Times New Roman" w:cs="Times New Roman"/>
                <w:sz w:val="24"/>
                <w:szCs w:val="24"/>
              </w:rPr>
            </w:pPr>
            <w:r w:rsidRPr="006D4C14">
              <w:rPr>
                <w:rFonts w:ascii="Times New Roman" w:hAnsi="Times New Roman" w:cs="Times New Roman"/>
                <w:sz w:val="24"/>
                <w:szCs w:val="24"/>
              </w:rPr>
              <w:t>15</w:t>
            </w:r>
          </w:p>
        </w:tc>
        <w:tc>
          <w:tcPr>
            <w:tcW w:w="1541" w:type="dxa"/>
          </w:tcPr>
          <w:p w:rsidR="008E0947" w:rsidRPr="006D4C14" w:rsidRDefault="008E0947" w:rsidP="008E0947">
            <w:pPr>
              <w:pStyle w:val="HTMLPreformatted"/>
              <w:jc w:val="right"/>
              <w:rPr>
                <w:rFonts w:ascii="Times New Roman" w:hAnsi="Times New Roman" w:cs="Times New Roman"/>
                <w:sz w:val="24"/>
                <w:szCs w:val="24"/>
              </w:rPr>
            </w:pPr>
            <w:r w:rsidRPr="006D4C14">
              <w:rPr>
                <w:rFonts w:ascii="Times New Roman" w:hAnsi="Times New Roman" w:cs="Times New Roman"/>
                <w:sz w:val="24"/>
                <w:szCs w:val="24"/>
              </w:rPr>
              <w:t>10,544</w:t>
            </w:r>
          </w:p>
        </w:tc>
      </w:tr>
      <w:tr w:rsidR="008E0947" w:rsidTr="00696ED7">
        <w:tc>
          <w:tcPr>
            <w:tcW w:w="2268" w:type="dxa"/>
          </w:tcPr>
          <w:p w:rsidR="008E0947" w:rsidRPr="006D4C14" w:rsidRDefault="008E0947" w:rsidP="0024671F">
            <w:pPr>
              <w:pStyle w:val="HTMLPreformatted"/>
              <w:rPr>
                <w:rFonts w:ascii="Times New Roman" w:hAnsi="Times New Roman" w:cs="Times New Roman"/>
                <w:sz w:val="24"/>
                <w:szCs w:val="24"/>
              </w:rPr>
            </w:pPr>
            <w:r w:rsidRPr="006D4C14">
              <w:rPr>
                <w:rFonts w:ascii="Times New Roman" w:hAnsi="Times New Roman" w:cs="Times New Roman"/>
                <w:sz w:val="24"/>
                <w:szCs w:val="24"/>
              </w:rPr>
              <w:t>SSA-7162-OCR-SM</w:t>
            </w:r>
          </w:p>
        </w:tc>
        <w:tc>
          <w:tcPr>
            <w:tcW w:w="1620" w:type="dxa"/>
          </w:tcPr>
          <w:p w:rsidR="008E0947" w:rsidRPr="006D4C14" w:rsidRDefault="008E0947" w:rsidP="008E0947">
            <w:pPr>
              <w:pStyle w:val="HTMLPreformatted"/>
              <w:jc w:val="right"/>
              <w:rPr>
                <w:rFonts w:ascii="Times New Roman" w:hAnsi="Times New Roman" w:cs="Times New Roman"/>
                <w:sz w:val="24"/>
                <w:szCs w:val="24"/>
              </w:rPr>
            </w:pPr>
            <w:r w:rsidRPr="006D4C14">
              <w:rPr>
                <w:rFonts w:ascii="Times New Roman" w:hAnsi="Times New Roman" w:cs="Times New Roman"/>
                <w:sz w:val="24"/>
                <w:szCs w:val="24"/>
              </w:rPr>
              <w:t>394,419</w:t>
            </w:r>
          </w:p>
        </w:tc>
        <w:tc>
          <w:tcPr>
            <w:tcW w:w="1526" w:type="dxa"/>
          </w:tcPr>
          <w:p w:rsidR="008E0947" w:rsidRPr="006D4C14" w:rsidRDefault="008E0947" w:rsidP="008E0947">
            <w:pPr>
              <w:pStyle w:val="HTMLPreformatted"/>
              <w:jc w:val="right"/>
              <w:rPr>
                <w:rFonts w:ascii="Times New Roman" w:hAnsi="Times New Roman" w:cs="Times New Roman"/>
                <w:sz w:val="24"/>
                <w:szCs w:val="24"/>
              </w:rPr>
            </w:pPr>
            <w:r w:rsidRPr="006D4C14">
              <w:rPr>
                <w:rFonts w:ascii="Times New Roman" w:hAnsi="Times New Roman" w:cs="Times New Roman"/>
                <w:sz w:val="24"/>
                <w:szCs w:val="24"/>
              </w:rPr>
              <w:t>1</w:t>
            </w:r>
          </w:p>
        </w:tc>
        <w:tc>
          <w:tcPr>
            <w:tcW w:w="1541" w:type="dxa"/>
          </w:tcPr>
          <w:p w:rsidR="008E0947" w:rsidRPr="006D4C14" w:rsidRDefault="008E0947" w:rsidP="008E0947">
            <w:pPr>
              <w:pStyle w:val="HTMLPreformatted"/>
              <w:jc w:val="right"/>
              <w:rPr>
                <w:rFonts w:ascii="Times New Roman" w:hAnsi="Times New Roman" w:cs="Times New Roman"/>
                <w:sz w:val="24"/>
                <w:szCs w:val="24"/>
              </w:rPr>
            </w:pPr>
            <w:r w:rsidRPr="006D4C14">
              <w:rPr>
                <w:rFonts w:ascii="Times New Roman" w:hAnsi="Times New Roman" w:cs="Times New Roman"/>
                <w:sz w:val="24"/>
                <w:szCs w:val="24"/>
              </w:rPr>
              <w:t>5</w:t>
            </w:r>
          </w:p>
        </w:tc>
        <w:tc>
          <w:tcPr>
            <w:tcW w:w="1541" w:type="dxa"/>
          </w:tcPr>
          <w:p w:rsidR="008E0947" w:rsidRPr="006D4C14" w:rsidRDefault="008E0947" w:rsidP="008E0947">
            <w:pPr>
              <w:pStyle w:val="HTMLPreformatted"/>
              <w:jc w:val="right"/>
              <w:rPr>
                <w:rFonts w:ascii="Times New Roman" w:hAnsi="Times New Roman" w:cs="Times New Roman"/>
                <w:sz w:val="24"/>
                <w:szCs w:val="24"/>
              </w:rPr>
            </w:pPr>
            <w:r w:rsidRPr="006D4C14">
              <w:rPr>
                <w:rFonts w:ascii="Times New Roman" w:hAnsi="Times New Roman" w:cs="Times New Roman"/>
                <w:sz w:val="24"/>
                <w:szCs w:val="24"/>
              </w:rPr>
              <w:t>32,868</w:t>
            </w:r>
          </w:p>
        </w:tc>
      </w:tr>
      <w:tr w:rsidR="008E0947" w:rsidTr="00696ED7">
        <w:tc>
          <w:tcPr>
            <w:tcW w:w="2268" w:type="dxa"/>
          </w:tcPr>
          <w:p w:rsidR="008E0947" w:rsidRPr="006D4C14" w:rsidRDefault="008E0947" w:rsidP="0024671F">
            <w:pPr>
              <w:pStyle w:val="HTMLPreformatted"/>
              <w:rPr>
                <w:rFonts w:ascii="Times New Roman" w:hAnsi="Times New Roman" w:cs="Times New Roman"/>
                <w:b/>
                <w:sz w:val="24"/>
                <w:szCs w:val="24"/>
              </w:rPr>
            </w:pPr>
            <w:r w:rsidRPr="006D4C14">
              <w:rPr>
                <w:rFonts w:ascii="Times New Roman" w:hAnsi="Times New Roman" w:cs="Times New Roman"/>
                <w:b/>
                <w:sz w:val="24"/>
                <w:szCs w:val="24"/>
              </w:rPr>
              <w:t>Totals</w:t>
            </w:r>
          </w:p>
        </w:tc>
        <w:tc>
          <w:tcPr>
            <w:tcW w:w="1620" w:type="dxa"/>
          </w:tcPr>
          <w:p w:rsidR="008E0947" w:rsidRPr="006D4C14" w:rsidRDefault="008E0947" w:rsidP="008E0947">
            <w:pPr>
              <w:pStyle w:val="HTMLPreformatted"/>
              <w:jc w:val="right"/>
              <w:rPr>
                <w:rFonts w:ascii="Times New Roman" w:hAnsi="Times New Roman" w:cs="Times New Roman"/>
                <w:b/>
                <w:sz w:val="24"/>
                <w:szCs w:val="24"/>
              </w:rPr>
            </w:pPr>
            <w:r w:rsidRPr="006D4C14">
              <w:rPr>
                <w:rFonts w:ascii="Times New Roman" w:hAnsi="Times New Roman" w:cs="Times New Roman"/>
                <w:b/>
                <w:sz w:val="24"/>
                <w:szCs w:val="24"/>
              </w:rPr>
              <w:t>436,595</w:t>
            </w:r>
          </w:p>
        </w:tc>
        <w:tc>
          <w:tcPr>
            <w:tcW w:w="1526" w:type="dxa"/>
          </w:tcPr>
          <w:p w:rsidR="008E0947" w:rsidRPr="006D4C14" w:rsidRDefault="008E0947" w:rsidP="008E0947">
            <w:pPr>
              <w:pStyle w:val="HTMLPreformatted"/>
              <w:jc w:val="right"/>
              <w:rPr>
                <w:rFonts w:ascii="Times New Roman" w:hAnsi="Times New Roman" w:cs="Times New Roman"/>
                <w:b/>
                <w:sz w:val="24"/>
                <w:szCs w:val="24"/>
              </w:rPr>
            </w:pPr>
          </w:p>
        </w:tc>
        <w:tc>
          <w:tcPr>
            <w:tcW w:w="1541" w:type="dxa"/>
          </w:tcPr>
          <w:p w:rsidR="008E0947" w:rsidRPr="006D4C14" w:rsidRDefault="008E0947" w:rsidP="008E0947">
            <w:pPr>
              <w:pStyle w:val="HTMLPreformatted"/>
              <w:jc w:val="right"/>
              <w:rPr>
                <w:rFonts w:ascii="Times New Roman" w:hAnsi="Times New Roman" w:cs="Times New Roman"/>
                <w:b/>
                <w:sz w:val="24"/>
                <w:szCs w:val="24"/>
              </w:rPr>
            </w:pPr>
          </w:p>
        </w:tc>
        <w:tc>
          <w:tcPr>
            <w:tcW w:w="1541" w:type="dxa"/>
          </w:tcPr>
          <w:p w:rsidR="008E0947" w:rsidRPr="006D4C14" w:rsidRDefault="008E0947" w:rsidP="008E0947">
            <w:pPr>
              <w:pStyle w:val="HTMLPreformatted"/>
              <w:jc w:val="right"/>
              <w:rPr>
                <w:rFonts w:ascii="Times New Roman" w:hAnsi="Times New Roman" w:cs="Times New Roman"/>
                <w:b/>
                <w:sz w:val="24"/>
                <w:szCs w:val="24"/>
              </w:rPr>
            </w:pPr>
            <w:r w:rsidRPr="006D4C14">
              <w:rPr>
                <w:rFonts w:ascii="Times New Roman" w:hAnsi="Times New Roman" w:cs="Times New Roman"/>
                <w:b/>
                <w:sz w:val="24"/>
                <w:szCs w:val="24"/>
              </w:rPr>
              <w:t>43,412</w:t>
            </w:r>
          </w:p>
        </w:tc>
      </w:tr>
    </w:tbl>
    <w:p w:rsidR="008E0947" w:rsidRDefault="008E0947" w:rsidP="008E0947">
      <w:pPr>
        <w:pStyle w:val="ListParagraph"/>
        <w:tabs>
          <w:tab w:val="left" w:pos="-720"/>
        </w:tabs>
        <w:suppressAutoHyphens/>
        <w:ind w:left="1080"/>
        <w:rPr>
          <w:b/>
          <w:sz w:val="24"/>
          <w:szCs w:val="24"/>
        </w:rPr>
      </w:pPr>
      <w:r w:rsidRPr="006D4C14">
        <w:rPr>
          <w:sz w:val="24"/>
          <w:szCs w:val="24"/>
        </w:rPr>
        <w:t xml:space="preserve">The total burden for this ICR is </w:t>
      </w:r>
      <w:r w:rsidRPr="006D4C14">
        <w:rPr>
          <w:b/>
          <w:sz w:val="24"/>
          <w:szCs w:val="24"/>
        </w:rPr>
        <w:t>43,412</w:t>
      </w:r>
      <w:r w:rsidRPr="006D4C14">
        <w:rPr>
          <w:sz w:val="24"/>
          <w:szCs w:val="24"/>
        </w:rPr>
        <w:t xml:space="preserve"> hours.  This figure represents burden hours, and we did not calculate a separate cost burden</w:t>
      </w:r>
      <w:r>
        <w:rPr>
          <w:sz w:val="24"/>
          <w:szCs w:val="24"/>
        </w:rPr>
        <w:t>.</w:t>
      </w:r>
    </w:p>
    <w:p w:rsidR="008E0947" w:rsidRDefault="008E0947" w:rsidP="008E0947">
      <w:pPr>
        <w:pStyle w:val="ListParagraph"/>
        <w:tabs>
          <w:tab w:val="left" w:pos="-720"/>
        </w:tabs>
        <w:suppressAutoHyphens/>
        <w:ind w:left="1080"/>
        <w:rPr>
          <w:b/>
          <w:sz w:val="24"/>
          <w:szCs w:val="24"/>
        </w:rPr>
      </w:pPr>
    </w:p>
    <w:p w:rsidR="008E0947" w:rsidRPr="008E0947" w:rsidRDefault="008E0947" w:rsidP="00487E40">
      <w:pPr>
        <w:pStyle w:val="ListParagraph"/>
        <w:numPr>
          <w:ilvl w:val="0"/>
          <w:numId w:val="21"/>
        </w:numPr>
        <w:tabs>
          <w:tab w:val="left" w:pos="-720"/>
        </w:tabs>
        <w:suppressAutoHyphens/>
        <w:rPr>
          <w:b/>
          <w:sz w:val="24"/>
          <w:szCs w:val="24"/>
        </w:rPr>
      </w:pPr>
      <w:r w:rsidRPr="007C0678">
        <w:rPr>
          <w:b/>
          <w:sz w:val="24"/>
        </w:rPr>
        <w:t>Annual</w:t>
      </w:r>
      <w:r w:rsidRPr="007C0678">
        <w:rPr>
          <w:sz w:val="24"/>
        </w:rPr>
        <w:t xml:space="preserve"> </w:t>
      </w:r>
      <w:r w:rsidRPr="007C0678">
        <w:rPr>
          <w:b/>
          <w:sz w:val="24"/>
        </w:rPr>
        <w:t>Cost to the Respondents (Other)</w:t>
      </w:r>
    </w:p>
    <w:p w:rsidR="00487E40" w:rsidRPr="008E0947" w:rsidRDefault="008E0947" w:rsidP="008E0947">
      <w:pPr>
        <w:pStyle w:val="ListParagraph"/>
        <w:tabs>
          <w:tab w:val="left" w:pos="-720"/>
        </w:tabs>
        <w:suppressAutoHyphens/>
        <w:ind w:left="1080"/>
        <w:rPr>
          <w:b/>
          <w:sz w:val="24"/>
          <w:szCs w:val="24"/>
        </w:rPr>
      </w:pPr>
      <w:r w:rsidRPr="00B97F3D">
        <w:rPr>
          <w:sz w:val="24"/>
          <w:szCs w:val="24"/>
        </w:rPr>
        <w:t>Th</w:t>
      </w:r>
      <w:r>
        <w:rPr>
          <w:sz w:val="24"/>
          <w:szCs w:val="24"/>
        </w:rPr>
        <w:t>is collection does not impose a known cost burden to the r</w:t>
      </w:r>
      <w:r w:rsidRPr="00B97F3D">
        <w:rPr>
          <w:sz w:val="24"/>
          <w:szCs w:val="24"/>
        </w:rPr>
        <w:t>espondents</w:t>
      </w:r>
      <w:r>
        <w:rPr>
          <w:sz w:val="24"/>
          <w:szCs w:val="24"/>
        </w:rPr>
        <w:t>.</w:t>
      </w:r>
    </w:p>
    <w:p w:rsidR="008E0947" w:rsidRDefault="008E0947" w:rsidP="008E0947">
      <w:pPr>
        <w:pStyle w:val="ListParagraph"/>
        <w:tabs>
          <w:tab w:val="left" w:pos="-720"/>
        </w:tabs>
        <w:suppressAutoHyphens/>
        <w:ind w:left="1080"/>
        <w:rPr>
          <w:b/>
          <w:sz w:val="24"/>
          <w:szCs w:val="24"/>
        </w:rPr>
      </w:pPr>
    </w:p>
    <w:p w:rsidR="00C873D6" w:rsidRDefault="00C873D6" w:rsidP="008E0947">
      <w:pPr>
        <w:pStyle w:val="ListParagraph"/>
        <w:tabs>
          <w:tab w:val="left" w:pos="-720"/>
        </w:tabs>
        <w:suppressAutoHyphens/>
        <w:ind w:left="1080"/>
        <w:rPr>
          <w:b/>
          <w:sz w:val="24"/>
          <w:szCs w:val="24"/>
        </w:rPr>
      </w:pPr>
    </w:p>
    <w:p w:rsidR="007C0678" w:rsidRPr="007C0678" w:rsidRDefault="007C0678" w:rsidP="00487E40">
      <w:pPr>
        <w:pStyle w:val="ListParagraph"/>
        <w:numPr>
          <w:ilvl w:val="0"/>
          <w:numId w:val="21"/>
        </w:numPr>
        <w:tabs>
          <w:tab w:val="left" w:pos="-720"/>
        </w:tabs>
        <w:suppressAutoHyphens/>
        <w:rPr>
          <w:b/>
          <w:sz w:val="24"/>
          <w:szCs w:val="24"/>
        </w:rPr>
      </w:pPr>
      <w:r w:rsidRPr="007C0678">
        <w:rPr>
          <w:b/>
          <w:sz w:val="24"/>
        </w:rPr>
        <w:lastRenderedPageBreak/>
        <w:t>Annual Cost To Federal Government</w:t>
      </w:r>
      <w:r w:rsidRPr="007C0678">
        <w:rPr>
          <w:sz w:val="32"/>
          <w:szCs w:val="24"/>
        </w:rPr>
        <w:t xml:space="preserve"> </w:t>
      </w:r>
    </w:p>
    <w:p w:rsidR="00487E40" w:rsidRPr="008E0947" w:rsidRDefault="008E0947" w:rsidP="007C0678">
      <w:pPr>
        <w:pStyle w:val="ListParagraph"/>
        <w:tabs>
          <w:tab w:val="left" w:pos="-720"/>
        </w:tabs>
        <w:suppressAutoHyphens/>
        <w:ind w:left="1080"/>
        <w:rPr>
          <w:b/>
          <w:sz w:val="24"/>
          <w:szCs w:val="24"/>
        </w:rPr>
      </w:pPr>
      <w:r w:rsidRPr="00CA25A2">
        <w:rPr>
          <w:sz w:val="24"/>
          <w:szCs w:val="24"/>
        </w:rPr>
        <w:t>The annual cost to the Federal Government is approximately $</w:t>
      </w:r>
      <w:r w:rsidRPr="00C873D6">
        <w:rPr>
          <w:sz w:val="24"/>
          <w:szCs w:val="24"/>
        </w:rPr>
        <w:t>78,900</w:t>
      </w:r>
      <w:r w:rsidRPr="00CA25A2">
        <w:rPr>
          <w:sz w:val="24"/>
          <w:szCs w:val="24"/>
        </w:rPr>
        <w:t>.  This estimate is a projection of the costs for printing and distributing the collection instrument and for collecting the information</w:t>
      </w:r>
      <w:r>
        <w:rPr>
          <w:sz w:val="24"/>
          <w:szCs w:val="24"/>
        </w:rPr>
        <w:t>.</w:t>
      </w:r>
    </w:p>
    <w:p w:rsidR="008E0947" w:rsidRPr="008E0947" w:rsidRDefault="008E0947" w:rsidP="008E0947">
      <w:pPr>
        <w:tabs>
          <w:tab w:val="left" w:pos="-720"/>
        </w:tabs>
        <w:suppressAutoHyphens/>
        <w:rPr>
          <w:b/>
          <w:sz w:val="24"/>
          <w:szCs w:val="24"/>
        </w:rPr>
      </w:pPr>
    </w:p>
    <w:p w:rsidR="007C0678" w:rsidRPr="007C0678" w:rsidRDefault="007C0678" w:rsidP="00487E40">
      <w:pPr>
        <w:pStyle w:val="ListParagraph"/>
        <w:numPr>
          <w:ilvl w:val="0"/>
          <w:numId w:val="21"/>
        </w:numPr>
        <w:tabs>
          <w:tab w:val="left" w:pos="-720"/>
        </w:tabs>
        <w:suppressAutoHyphens/>
        <w:rPr>
          <w:b/>
          <w:sz w:val="24"/>
          <w:szCs w:val="24"/>
        </w:rPr>
      </w:pPr>
      <w:r w:rsidRPr="007C0678">
        <w:rPr>
          <w:b/>
          <w:sz w:val="24"/>
        </w:rPr>
        <w:t>Program Changes or Adjustments to the Information Collection Request</w:t>
      </w:r>
      <w:r w:rsidRPr="00B97F3D">
        <w:rPr>
          <w:sz w:val="24"/>
          <w:szCs w:val="24"/>
        </w:rPr>
        <w:t xml:space="preserve"> </w:t>
      </w:r>
    </w:p>
    <w:p w:rsidR="00487E40" w:rsidRPr="008E0947" w:rsidRDefault="00AF4176" w:rsidP="007C0678">
      <w:pPr>
        <w:pStyle w:val="ListParagraph"/>
        <w:tabs>
          <w:tab w:val="left" w:pos="-720"/>
        </w:tabs>
        <w:suppressAutoHyphens/>
        <w:ind w:left="1080"/>
        <w:rPr>
          <w:b/>
          <w:sz w:val="24"/>
          <w:szCs w:val="24"/>
        </w:rPr>
      </w:pPr>
      <w:r w:rsidRPr="00AF4176">
        <w:rPr>
          <w:sz w:val="24"/>
          <w:szCs w:val="24"/>
        </w:rPr>
        <w:t>The respondents for SSA</w:t>
      </w:r>
      <w:r>
        <w:rPr>
          <w:sz w:val="24"/>
          <w:szCs w:val="24"/>
        </w:rPr>
        <w:noBreakHyphen/>
      </w:r>
      <w:r w:rsidRPr="00AF4176">
        <w:rPr>
          <w:sz w:val="24"/>
          <w:szCs w:val="24"/>
        </w:rPr>
        <w:t>7161</w:t>
      </w:r>
      <w:r>
        <w:rPr>
          <w:sz w:val="24"/>
          <w:szCs w:val="24"/>
        </w:rPr>
        <w:noBreakHyphen/>
      </w:r>
      <w:r w:rsidRPr="00AF4176">
        <w:rPr>
          <w:sz w:val="24"/>
          <w:szCs w:val="24"/>
        </w:rPr>
        <w:t>OCR-SM are representative payees</w:t>
      </w:r>
      <w:proofErr w:type="gramStart"/>
      <w:r w:rsidRPr="00AF4176">
        <w:rPr>
          <w:sz w:val="24"/>
          <w:szCs w:val="24"/>
        </w:rPr>
        <w:t>;</w:t>
      </w:r>
      <w:proofErr w:type="gramEnd"/>
      <w:r w:rsidRPr="00AF4176">
        <w:rPr>
          <w:sz w:val="24"/>
          <w:szCs w:val="24"/>
        </w:rPr>
        <w:t xml:space="preserve"> while the respondents for the SSA</w:t>
      </w:r>
      <w:r>
        <w:rPr>
          <w:sz w:val="24"/>
          <w:szCs w:val="24"/>
        </w:rPr>
        <w:noBreakHyphen/>
      </w:r>
      <w:r w:rsidRPr="00AF4176">
        <w:rPr>
          <w:sz w:val="24"/>
          <w:szCs w:val="24"/>
        </w:rPr>
        <w:t xml:space="preserve">7162-OCR-SM are the individual beneficiaries who do not require representative payees.  </w:t>
      </w:r>
      <w:r>
        <w:rPr>
          <w:sz w:val="24"/>
          <w:szCs w:val="24"/>
        </w:rPr>
        <w:t>W</w:t>
      </w:r>
      <w:r w:rsidRPr="00AF4176">
        <w:rPr>
          <w:sz w:val="24"/>
          <w:szCs w:val="24"/>
        </w:rPr>
        <w:t xml:space="preserve">e noted </w:t>
      </w:r>
      <w:r>
        <w:rPr>
          <w:sz w:val="24"/>
          <w:szCs w:val="24"/>
        </w:rPr>
        <w:t xml:space="preserve">a </w:t>
      </w:r>
      <w:r w:rsidRPr="00AF4176">
        <w:rPr>
          <w:sz w:val="24"/>
          <w:szCs w:val="24"/>
        </w:rPr>
        <w:t xml:space="preserve">slight decrease in responses from representative payees, </w:t>
      </w:r>
      <w:r>
        <w:rPr>
          <w:sz w:val="24"/>
          <w:szCs w:val="24"/>
        </w:rPr>
        <w:t xml:space="preserve">as per normal fluctuation in usage from year to year.  In addition, there was </w:t>
      </w:r>
      <w:r w:rsidRPr="00AF4176">
        <w:rPr>
          <w:sz w:val="24"/>
          <w:szCs w:val="24"/>
        </w:rPr>
        <w:t xml:space="preserve">an overall increase in </w:t>
      </w:r>
      <w:r>
        <w:rPr>
          <w:sz w:val="24"/>
          <w:szCs w:val="24"/>
        </w:rPr>
        <w:t>the reporting burden due to an increase in the beneficiary population living outside the U.S.</w:t>
      </w:r>
      <w:bookmarkStart w:id="0" w:name="_GoBack"/>
      <w:bookmarkEnd w:id="0"/>
    </w:p>
    <w:p w:rsidR="008E0947" w:rsidRPr="008E0947" w:rsidRDefault="008E0947" w:rsidP="008E0947">
      <w:pPr>
        <w:tabs>
          <w:tab w:val="left" w:pos="-720"/>
        </w:tabs>
        <w:suppressAutoHyphens/>
        <w:rPr>
          <w:b/>
          <w:sz w:val="24"/>
          <w:szCs w:val="24"/>
        </w:rPr>
      </w:pPr>
    </w:p>
    <w:p w:rsidR="007C0678" w:rsidRPr="007C0678" w:rsidRDefault="007C0678" w:rsidP="00487E40">
      <w:pPr>
        <w:pStyle w:val="ListParagraph"/>
        <w:numPr>
          <w:ilvl w:val="0"/>
          <w:numId w:val="21"/>
        </w:numPr>
        <w:tabs>
          <w:tab w:val="left" w:pos="-720"/>
        </w:tabs>
        <w:suppressAutoHyphens/>
        <w:rPr>
          <w:b/>
          <w:sz w:val="24"/>
          <w:szCs w:val="24"/>
        </w:rPr>
      </w:pPr>
      <w:r w:rsidRPr="007C0678">
        <w:rPr>
          <w:b/>
          <w:sz w:val="24"/>
        </w:rPr>
        <w:t>Plans for Publication Information Collection Results</w:t>
      </w:r>
      <w:r>
        <w:rPr>
          <w:sz w:val="24"/>
          <w:szCs w:val="24"/>
        </w:rPr>
        <w:t xml:space="preserve"> </w:t>
      </w:r>
    </w:p>
    <w:p w:rsidR="00487E40" w:rsidRPr="008E0947" w:rsidRDefault="008E0947" w:rsidP="007C0678">
      <w:pPr>
        <w:pStyle w:val="ListParagraph"/>
        <w:tabs>
          <w:tab w:val="left" w:pos="-720"/>
        </w:tabs>
        <w:suppressAutoHyphens/>
        <w:ind w:left="1080"/>
        <w:rPr>
          <w:b/>
          <w:sz w:val="24"/>
          <w:szCs w:val="24"/>
        </w:rPr>
      </w:pPr>
      <w:r>
        <w:rPr>
          <w:sz w:val="24"/>
          <w:szCs w:val="24"/>
        </w:rPr>
        <w:t>SSA will not publish t</w:t>
      </w:r>
      <w:r w:rsidRPr="00B97F3D">
        <w:rPr>
          <w:sz w:val="24"/>
          <w:szCs w:val="24"/>
        </w:rPr>
        <w:t>he results of the information collection</w:t>
      </w:r>
      <w:r>
        <w:rPr>
          <w:sz w:val="24"/>
          <w:szCs w:val="24"/>
        </w:rPr>
        <w:t>.</w:t>
      </w:r>
    </w:p>
    <w:p w:rsidR="008E0947" w:rsidRPr="008E0947" w:rsidRDefault="008E0947" w:rsidP="008E0947">
      <w:pPr>
        <w:tabs>
          <w:tab w:val="left" w:pos="-720"/>
        </w:tabs>
        <w:suppressAutoHyphens/>
        <w:rPr>
          <w:b/>
          <w:sz w:val="24"/>
          <w:szCs w:val="24"/>
        </w:rPr>
      </w:pPr>
    </w:p>
    <w:p w:rsidR="00487E40" w:rsidRPr="007C0678" w:rsidRDefault="007C0678" w:rsidP="00487E40">
      <w:pPr>
        <w:pStyle w:val="ListParagraph"/>
        <w:numPr>
          <w:ilvl w:val="0"/>
          <w:numId w:val="21"/>
        </w:numPr>
        <w:tabs>
          <w:tab w:val="left" w:pos="-720"/>
        </w:tabs>
        <w:suppressAutoHyphens/>
        <w:rPr>
          <w:b/>
          <w:sz w:val="24"/>
          <w:szCs w:val="24"/>
        </w:rPr>
      </w:pPr>
      <w:r w:rsidRPr="007C0678">
        <w:rPr>
          <w:b/>
          <w:sz w:val="24"/>
        </w:rPr>
        <w:t>Displaying the OMB Approval Expiration Date</w:t>
      </w:r>
    </w:p>
    <w:p w:rsidR="007C0678" w:rsidRPr="007C0678" w:rsidRDefault="007C0678" w:rsidP="007C0678">
      <w:pPr>
        <w:pStyle w:val="ListParagraph"/>
        <w:tabs>
          <w:tab w:val="left" w:pos="-720"/>
        </w:tabs>
        <w:suppressAutoHyphens/>
        <w:ind w:left="1080"/>
        <w:rPr>
          <w:b/>
          <w:sz w:val="24"/>
        </w:rPr>
      </w:pPr>
      <w:r w:rsidRPr="007C0678">
        <w:rPr>
          <w:bCs/>
          <w:iCs/>
          <w:sz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7C0678" w:rsidRDefault="007C0678" w:rsidP="007C0678">
      <w:pPr>
        <w:pStyle w:val="ListParagraph"/>
        <w:tabs>
          <w:tab w:val="left" w:pos="-720"/>
        </w:tabs>
        <w:suppressAutoHyphens/>
        <w:ind w:left="1080"/>
        <w:rPr>
          <w:b/>
          <w:sz w:val="24"/>
          <w:szCs w:val="24"/>
        </w:rPr>
      </w:pPr>
    </w:p>
    <w:p w:rsidR="00487E40" w:rsidRPr="007C0678" w:rsidRDefault="007C0678" w:rsidP="00487E40">
      <w:pPr>
        <w:pStyle w:val="ListParagraph"/>
        <w:numPr>
          <w:ilvl w:val="0"/>
          <w:numId w:val="21"/>
        </w:numPr>
        <w:tabs>
          <w:tab w:val="left" w:pos="-720"/>
        </w:tabs>
        <w:suppressAutoHyphens/>
        <w:rPr>
          <w:b/>
          <w:sz w:val="32"/>
          <w:szCs w:val="24"/>
        </w:rPr>
      </w:pPr>
      <w:r w:rsidRPr="007C0678">
        <w:rPr>
          <w:b/>
          <w:sz w:val="24"/>
        </w:rPr>
        <w:t>Exceptions to Certification Statement</w:t>
      </w:r>
    </w:p>
    <w:p w:rsidR="007C0678" w:rsidRPr="007C0678" w:rsidRDefault="007C0678" w:rsidP="007C0678">
      <w:pPr>
        <w:pStyle w:val="ListParagraph"/>
        <w:tabs>
          <w:tab w:val="left" w:pos="-720"/>
        </w:tabs>
        <w:suppressAutoHyphens/>
        <w:ind w:left="1080"/>
        <w:rPr>
          <w:b/>
          <w:sz w:val="32"/>
          <w:szCs w:val="24"/>
        </w:rPr>
      </w:pPr>
      <w:r w:rsidRPr="007C0678">
        <w:rPr>
          <w:sz w:val="24"/>
        </w:rPr>
        <w:t xml:space="preserve">SSA is not requesting an exception to the certification requirements at </w:t>
      </w:r>
      <w:r w:rsidRPr="007C0678">
        <w:rPr>
          <w:i/>
          <w:sz w:val="24"/>
        </w:rPr>
        <w:t>5 CFR 1320.9</w:t>
      </w:r>
      <w:r w:rsidRPr="007C0678">
        <w:rPr>
          <w:sz w:val="24"/>
        </w:rPr>
        <w:t xml:space="preserve"> and related provisions at </w:t>
      </w:r>
      <w:r w:rsidRPr="007C0678">
        <w:rPr>
          <w:i/>
          <w:sz w:val="24"/>
        </w:rPr>
        <w:t>5 CFR 1320.8(b</w:t>
      </w:r>
      <w:proofErr w:type="gramStart"/>
      <w:r w:rsidRPr="007C0678">
        <w:rPr>
          <w:i/>
          <w:sz w:val="24"/>
        </w:rPr>
        <w:t>)(</w:t>
      </w:r>
      <w:proofErr w:type="gramEnd"/>
      <w:r w:rsidRPr="007C0678">
        <w:rPr>
          <w:i/>
          <w:sz w:val="24"/>
        </w:rPr>
        <w:t>3)</w:t>
      </w:r>
      <w:r w:rsidRPr="007C0678">
        <w:rPr>
          <w:sz w:val="24"/>
        </w:rPr>
        <w:t>.</w:t>
      </w:r>
    </w:p>
    <w:p w:rsidR="00487E40" w:rsidRPr="00487E40" w:rsidRDefault="00487E40" w:rsidP="00487E40">
      <w:pPr>
        <w:tabs>
          <w:tab w:val="left" w:pos="-720"/>
        </w:tabs>
        <w:suppressAutoHyphens/>
        <w:ind w:left="720"/>
        <w:rPr>
          <w:b/>
          <w:sz w:val="24"/>
          <w:szCs w:val="24"/>
        </w:rPr>
      </w:pPr>
    </w:p>
    <w:p w:rsidR="00487E40" w:rsidRPr="007C0678" w:rsidRDefault="007C0678" w:rsidP="00487E40">
      <w:pPr>
        <w:pStyle w:val="ListParagraph"/>
        <w:numPr>
          <w:ilvl w:val="0"/>
          <w:numId w:val="20"/>
        </w:numPr>
        <w:tabs>
          <w:tab w:val="left" w:pos="-720"/>
        </w:tabs>
        <w:suppressAutoHyphens/>
        <w:rPr>
          <w:b/>
          <w:sz w:val="24"/>
          <w:szCs w:val="24"/>
        </w:rPr>
      </w:pPr>
      <w:r w:rsidRPr="007C0678">
        <w:rPr>
          <w:b/>
          <w:sz w:val="24"/>
          <w:u w:val="single"/>
        </w:rPr>
        <w:t>Collections of Information Employing Statistical Methods</w:t>
      </w:r>
    </w:p>
    <w:p w:rsidR="007C0678" w:rsidRDefault="007C0678" w:rsidP="007C0678">
      <w:pPr>
        <w:pStyle w:val="ListParagraph"/>
        <w:tabs>
          <w:tab w:val="left" w:pos="-720"/>
        </w:tabs>
        <w:suppressAutoHyphens/>
        <w:rPr>
          <w:b/>
          <w:sz w:val="24"/>
          <w:u w:val="single"/>
        </w:rPr>
      </w:pPr>
    </w:p>
    <w:p w:rsidR="007C0678" w:rsidRPr="007C0678" w:rsidRDefault="007C0678" w:rsidP="007C0678">
      <w:pPr>
        <w:pStyle w:val="ListParagraph"/>
        <w:tabs>
          <w:tab w:val="left" w:pos="-720"/>
        </w:tabs>
        <w:suppressAutoHyphens/>
        <w:rPr>
          <w:b/>
          <w:sz w:val="32"/>
          <w:szCs w:val="24"/>
        </w:rPr>
      </w:pPr>
      <w:r w:rsidRPr="007C0678">
        <w:rPr>
          <w:sz w:val="24"/>
        </w:rPr>
        <w:t>SSA does not use statistical methods for this information collection.</w:t>
      </w:r>
    </w:p>
    <w:p w:rsidR="0084357A" w:rsidRPr="00B97F3D" w:rsidRDefault="0084357A">
      <w:pPr>
        <w:pStyle w:val="BlockText"/>
        <w:tabs>
          <w:tab w:val="clear" w:pos="0"/>
          <w:tab w:val="clear" w:pos="720"/>
          <w:tab w:val="clear" w:pos="1170"/>
          <w:tab w:val="clear" w:pos="2160"/>
        </w:tabs>
        <w:ind w:left="0" w:firstLine="0"/>
      </w:pPr>
    </w:p>
    <w:p w:rsidR="0084357A" w:rsidRPr="00B97F3D" w:rsidRDefault="0084357A">
      <w:pPr>
        <w:suppressAutoHyphens/>
        <w:ind w:right="720"/>
        <w:rPr>
          <w:sz w:val="24"/>
          <w:szCs w:val="24"/>
        </w:rPr>
      </w:pPr>
    </w:p>
    <w:p w:rsidR="0084357A" w:rsidRPr="00B97F3D" w:rsidRDefault="0084357A">
      <w:pPr>
        <w:rPr>
          <w:sz w:val="24"/>
          <w:szCs w:val="24"/>
        </w:rPr>
      </w:pPr>
      <w:r w:rsidRPr="00B97F3D">
        <w:rPr>
          <w:sz w:val="24"/>
          <w:szCs w:val="24"/>
        </w:rPr>
        <w:tab/>
      </w:r>
    </w:p>
    <w:sectPr w:rsidR="0084357A" w:rsidRPr="00B97F3D" w:rsidSect="00DA5859">
      <w:footerReference w:type="even" r:id="rId7"/>
      <w:footerReference w:type="default" r:id="rId8"/>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D4F" w:rsidRDefault="004C2D4F">
      <w:r>
        <w:separator/>
      </w:r>
    </w:p>
  </w:endnote>
  <w:endnote w:type="continuationSeparator" w:id="0">
    <w:p w:rsidR="004C2D4F" w:rsidRDefault="004C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elior">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D45" w:rsidRDefault="00464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64D45" w:rsidRDefault="00464D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D45" w:rsidRDefault="00464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6435">
      <w:rPr>
        <w:rStyle w:val="PageNumber"/>
        <w:noProof/>
      </w:rPr>
      <w:t>4</w:t>
    </w:r>
    <w:r>
      <w:rPr>
        <w:rStyle w:val="PageNumber"/>
      </w:rPr>
      <w:fldChar w:fldCharType="end"/>
    </w:r>
  </w:p>
  <w:p w:rsidR="00464D45" w:rsidRDefault="00464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D4F" w:rsidRDefault="004C2D4F">
      <w:r>
        <w:separator/>
      </w:r>
    </w:p>
  </w:footnote>
  <w:footnote w:type="continuationSeparator" w:id="0">
    <w:p w:rsidR="004C2D4F" w:rsidRDefault="004C2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749F6"/>
    <w:multiLevelType w:val="hybridMultilevel"/>
    <w:tmpl w:val="425E7B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DC7D12"/>
    <w:multiLevelType w:val="hybridMultilevel"/>
    <w:tmpl w:val="BBD8FC4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EC00198"/>
    <w:multiLevelType w:val="hybridMultilevel"/>
    <w:tmpl w:val="5D18DF92"/>
    <w:lvl w:ilvl="0" w:tplc="AC9C5238">
      <w:start w:val="17"/>
      <w:numFmt w:val="decimal"/>
      <w:lvlText w:val="%1."/>
      <w:lvlJc w:val="left"/>
      <w:pPr>
        <w:tabs>
          <w:tab w:val="num" w:pos="1080"/>
        </w:tabs>
        <w:ind w:left="1080" w:hanging="360"/>
      </w:pPr>
      <w:rPr>
        <w:rFonts w:hint="default"/>
      </w:rPr>
    </w:lvl>
    <w:lvl w:ilvl="1" w:tplc="C26C4DDE" w:tentative="1">
      <w:start w:val="1"/>
      <w:numFmt w:val="lowerLetter"/>
      <w:lvlText w:val="%2."/>
      <w:lvlJc w:val="left"/>
      <w:pPr>
        <w:tabs>
          <w:tab w:val="num" w:pos="1800"/>
        </w:tabs>
        <w:ind w:left="1800" w:hanging="360"/>
      </w:pPr>
    </w:lvl>
    <w:lvl w:ilvl="2" w:tplc="9A64668C" w:tentative="1">
      <w:start w:val="1"/>
      <w:numFmt w:val="lowerRoman"/>
      <w:lvlText w:val="%3."/>
      <w:lvlJc w:val="right"/>
      <w:pPr>
        <w:tabs>
          <w:tab w:val="num" w:pos="2520"/>
        </w:tabs>
        <w:ind w:left="2520" w:hanging="180"/>
      </w:pPr>
    </w:lvl>
    <w:lvl w:ilvl="3" w:tplc="639A892C" w:tentative="1">
      <w:start w:val="1"/>
      <w:numFmt w:val="decimal"/>
      <w:lvlText w:val="%4."/>
      <w:lvlJc w:val="left"/>
      <w:pPr>
        <w:tabs>
          <w:tab w:val="num" w:pos="3240"/>
        </w:tabs>
        <w:ind w:left="3240" w:hanging="360"/>
      </w:pPr>
    </w:lvl>
    <w:lvl w:ilvl="4" w:tplc="DBC004C8" w:tentative="1">
      <w:start w:val="1"/>
      <w:numFmt w:val="lowerLetter"/>
      <w:lvlText w:val="%5."/>
      <w:lvlJc w:val="left"/>
      <w:pPr>
        <w:tabs>
          <w:tab w:val="num" w:pos="3960"/>
        </w:tabs>
        <w:ind w:left="3960" w:hanging="360"/>
      </w:pPr>
    </w:lvl>
    <w:lvl w:ilvl="5" w:tplc="F06E2F50" w:tentative="1">
      <w:start w:val="1"/>
      <w:numFmt w:val="lowerRoman"/>
      <w:lvlText w:val="%6."/>
      <w:lvlJc w:val="right"/>
      <w:pPr>
        <w:tabs>
          <w:tab w:val="num" w:pos="4680"/>
        </w:tabs>
        <w:ind w:left="4680" w:hanging="180"/>
      </w:pPr>
    </w:lvl>
    <w:lvl w:ilvl="6" w:tplc="5B9E1542" w:tentative="1">
      <w:start w:val="1"/>
      <w:numFmt w:val="decimal"/>
      <w:lvlText w:val="%7."/>
      <w:lvlJc w:val="left"/>
      <w:pPr>
        <w:tabs>
          <w:tab w:val="num" w:pos="5400"/>
        </w:tabs>
        <w:ind w:left="5400" w:hanging="360"/>
      </w:pPr>
    </w:lvl>
    <w:lvl w:ilvl="7" w:tplc="07A0D336" w:tentative="1">
      <w:start w:val="1"/>
      <w:numFmt w:val="lowerLetter"/>
      <w:lvlText w:val="%8."/>
      <w:lvlJc w:val="left"/>
      <w:pPr>
        <w:tabs>
          <w:tab w:val="num" w:pos="6120"/>
        </w:tabs>
        <w:ind w:left="6120" w:hanging="360"/>
      </w:pPr>
    </w:lvl>
    <w:lvl w:ilvl="8" w:tplc="563CAA8E" w:tentative="1">
      <w:start w:val="1"/>
      <w:numFmt w:val="lowerRoman"/>
      <w:lvlText w:val="%9."/>
      <w:lvlJc w:val="right"/>
      <w:pPr>
        <w:tabs>
          <w:tab w:val="num" w:pos="6840"/>
        </w:tabs>
        <w:ind w:left="6840" w:hanging="180"/>
      </w:pPr>
    </w:lvl>
  </w:abstractNum>
  <w:abstractNum w:abstractNumId="3" w15:restartNumberingAfterBreak="0">
    <w:nsid w:val="10AE1C97"/>
    <w:multiLevelType w:val="multilevel"/>
    <w:tmpl w:val="2CF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B3C8C"/>
    <w:multiLevelType w:val="hybridMultilevel"/>
    <w:tmpl w:val="A1BE5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F3E86"/>
    <w:multiLevelType w:val="hybridMultilevel"/>
    <w:tmpl w:val="AE36DB3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8BF7E02"/>
    <w:multiLevelType w:val="singleLevel"/>
    <w:tmpl w:val="E274165C"/>
    <w:lvl w:ilvl="0">
      <w:start w:val="10"/>
      <w:numFmt w:val="decimal"/>
      <w:lvlText w:val="%1."/>
      <w:lvlJc w:val="left"/>
      <w:pPr>
        <w:tabs>
          <w:tab w:val="num" w:pos="1080"/>
        </w:tabs>
        <w:ind w:left="1080" w:hanging="360"/>
      </w:pPr>
      <w:rPr>
        <w:rFonts w:hint="default"/>
      </w:rPr>
    </w:lvl>
  </w:abstractNum>
  <w:abstractNum w:abstractNumId="7" w15:restartNumberingAfterBreak="0">
    <w:nsid w:val="1F5C31B2"/>
    <w:multiLevelType w:val="singleLevel"/>
    <w:tmpl w:val="73FE50F0"/>
    <w:lvl w:ilvl="0">
      <w:start w:val="17"/>
      <w:numFmt w:val="decimal"/>
      <w:lvlText w:val="%1."/>
      <w:lvlJc w:val="left"/>
      <w:pPr>
        <w:tabs>
          <w:tab w:val="num" w:pos="1170"/>
        </w:tabs>
        <w:ind w:left="1170" w:hanging="390"/>
      </w:pPr>
      <w:rPr>
        <w:rFonts w:hint="default"/>
      </w:rPr>
    </w:lvl>
  </w:abstractNum>
  <w:abstractNum w:abstractNumId="8" w15:restartNumberingAfterBreak="0">
    <w:nsid w:val="269E3DC9"/>
    <w:multiLevelType w:val="multilevel"/>
    <w:tmpl w:val="2F88CE7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9" w15:restartNumberingAfterBreak="0">
    <w:nsid w:val="27814BDF"/>
    <w:multiLevelType w:val="singleLevel"/>
    <w:tmpl w:val="FCC4A84A"/>
    <w:lvl w:ilvl="0">
      <w:start w:val="14"/>
      <w:numFmt w:val="decimal"/>
      <w:lvlText w:val="%1."/>
      <w:lvlJc w:val="left"/>
      <w:pPr>
        <w:tabs>
          <w:tab w:val="num" w:pos="1200"/>
        </w:tabs>
        <w:ind w:left="1200" w:hanging="420"/>
      </w:pPr>
      <w:rPr>
        <w:rFonts w:hint="default"/>
      </w:rPr>
    </w:lvl>
  </w:abstractNum>
  <w:abstractNum w:abstractNumId="10" w15:restartNumberingAfterBreak="0">
    <w:nsid w:val="2F06246D"/>
    <w:multiLevelType w:val="singleLevel"/>
    <w:tmpl w:val="523EA090"/>
    <w:lvl w:ilvl="0">
      <w:start w:val="5"/>
      <w:numFmt w:val="decimal"/>
      <w:lvlText w:val="%1."/>
      <w:lvlJc w:val="left"/>
      <w:pPr>
        <w:tabs>
          <w:tab w:val="num" w:pos="1140"/>
        </w:tabs>
        <w:ind w:left="1140" w:hanging="420"/>
      </w:pPr>
      <w:rPr>
        <w:rFonts w:hint="default"/>
      </w:rPr>
    </w:lvl>
  </w:abstractNum>
  <w:abstractNum w:abstractNumId="11" w15:restartNumberingAfterBreak="0">
    <w:nsid w:val="31A36F27"/>
    <w:multiLevelType w:val="hybridMultilevel"/>
    <w:tmpl w:val="943EBA5A"/>
    <w:lvl w:ilvl="0" w:tplc="903A9142">
      <w:start w:val="5"/>
      <w:numFmt w:val="decimal"/>
      <w:lvlText w:val="%1."/>
      <w:lvlJc w:val="left"/>
      <w:pPr>
        <w:tabs>
          <w:tab w:val="num" w:pos="1080"/>
        </w:tabs>
        <w:ind w:left="1080" w:hanging="360"/>
      </w:pPr>
      <w:rPr>
        <w:rFonts w:hint="default"/>
      </w:rPr>
    </w:lvl>
    <w:lvl w:ilvl="1" w:tplc="FE00D642" w:tentative="1">
      <w:start w:val="1"/>
      <w:numFmt w:val="lowerLetter"/>
      <w:lvlText w:val="%2."/>
      <w:lvlJc w:val="left"/>
      <w:pPr>
        <w:tabs>
          <w:tab w:val="num" w:pos="1800"/>
        </w:tabs>
        <w:ind w:left="1800" w:hanging="360"/>
      </w:pPr>
    </w:lvl>
    <w:lvl w:ilvl="2" w:tplc="5B76277E" w:tentative="1">
      <w:start w:val="1"/>
      <w:numFmt w:val="lowerRoman"/>
      <w:lvlText w:val="%3."/>
      <w:lvlJc w:val="right"/>
      <w:pPr>
        <w:tabs>
          <w:tab w:val="num" w:pos="2520"/>
        </w:tabs>
        <w:ind w:left="2520" w:hanging="180"/>
      </w:pPr>
    </w:lvl>
    <w:lvl w:ilvl="3" w:tplc="8736AFE6" w:tentative="1">
      <w:start w:val="1"/>
      <w:numFmt w:val="decimal"/>
      <w:lvlText w:val="%4."/>
      <w:lvlJc w:val="left"/>
      <w:pPr>
        <w:tabs>
          <w:tab w:val="num" w:pos="3240"/>
        </w:tabs>
        <w:ind w:left="3240" w:hanging="360"/>
      </w:pPr>
    </w:lvl>
    <w:lvl w:ilvl="4" w:tplc="8D0802E6" w:tentative="1">
      <w:start w:val="1"/>
      <w:numFmt w:val="lowerLetter"/>
      <w:lvlText w:val="%5."/>
      <w:lvlJc w:val="left"/>
      <w:pPr>
        <w:tabs>
          <w:tab w:val="num" w:pos="3960"/>
        </w:tabs>
        <w:ind w:left="3960" w:hanging="360"/>
      </w:pPr>
    </w:lvl>
    <w:lvl w:ilvl="5" w:tplc="8C52CE82" w:tentative="1">
      <w:start w:val="1"/>
      <w:numFmt w:val="lowerRoman"/>
      <w:lvlText w:val="%6."/>
      <w:lvlJc w:val="right"/>
      <w:pPr>
        <w:tabs>
          <w:tab w:val="num" w:pos="4680"/>
        </w:tabs>
        <w:ind w:left="4680" w:hanging="180"/>
      </w:pPr>
    </w:lvl>
    <w:lvl w:ilvl="6" w:tplc="D8E8BEBA" w:tentative="1">
      <w:start w:val="1"/>
      <w:numFmt w:val="decimal"/>
      <w:lvlText w:val="%7."/>
      <w:lvlJc w:val="left"/>
      <w:pPr>
        <w:tabs>
          <w:tab w:val="num" w:pos="5400"/>
        </w:tabs>
        <w:ind w:left="5400" w:hanging="360"/>
      </w:pPr>
    </w:lvl>
    <w:lvl w:ilvl="7" w:tplc="593849BE" w:tentative="1">
      <w:start w:val="1"/>
      <w:numFmt w:val="lowerLetter"/>
      <w:lvlText w:val="%8."/>
      <w:lvlJc w:val="left"/>
      <w:pPr>
        <w:tabs>
          <w:tab w:val="num" w:pos="6120"/>
        </w:tabs>
        <w:ind w:left="6120" w:hanging="360"/>
      </w:pPr>
    </w:lvl>
    <w:lvl w:ilvl="8" w:tplc="69181998" w:tentative="1">
      <w:start w:val="1"/>
      <w:numFmt w:val="lowerRoman"/>
      <w:lvlText w:val="%9."/>
      <w:lvlJc w:val="right"/>
      <w:pPr>
        <w:tabs>
          <w:tab w:val="num" w:pos="6840"/>
        </w:tabs>
        <w:ind w:left="6840" w:hanging="180"/>
      </w:pPr>
    </w:lvl>
  </w:abstractNum>
  <w:abstractNum w:abstractNumId="12" w15:restartNumberingAfterBreak="0">
    <w:nsid w:val="34892B82"/>
    <w:multiLevelType w:val="hybridMultilevel"/>
    <w:tmpl w:val="B412C6E6"/>
    <w:lvl w:ilvl="0" w:tplc="1FD47AA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1E61E0"/>
    <w:multiLevelType w:val="multilevel"/>
    <w:tmpl w:val="1774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A83695"/>
    <w:multiLevelType w:val="hybridMultilevel"/>
    <w:tmpl w:val="816EF39C"/>
    <w:lvl w:ilvl="0" w:tplc="A7980A6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88D0198"/>
    <w:multiLevelType w:val="hybridMultilevel"/>
    <w:tmpl w:val="B65ECCE8"/>
    <w:lvl w:ilvl="0" w:tplc="A7980A6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427BBE"/>
    <w:multiLevelType w:val="hybridMultilevel"/>
    <w:tmpl w:val="EF0661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E5090"/>
    <w:multiLevelType w:val="singleLevel"/>
    <w:tmpl w:val="AFFE10FE"/>
    <w:lvl w:ilvl="0">
      <w:start w:val="5"/>
      <w:numFmt w:val="decimal"/>
      <w:lvlText w:val="%1."/>
      <w:lvlJc w:val="left"/>
      <w:pPr>
        <w:tabs>
          <w:tab w:val="num" w:pos="1080"/>
        </w:tabs>
        <w:ind w:left="1080" w:hanging="360"/>
      </w:pPr>
      <w:rPr>
        <w:rFonts w:hint="default"/>
      </w:rPr>
    </w:lvl>
  </w:abstractNum>
  <w:abstractNum w:abstractNumId="18" w15:restartNumberingAfterBreak="0">
    <w:nsid w:val="53925881"/>
    <w:multiLevelType w:val="singleLevel"/>
    <w:tmpl w:val="2782031C"/>
    <w:lvl w:ilvl="0">
      <w:start w:val="10"/>
      <w:numFmt w:val="decimal"/>
      <w:lvlText w:val="%1."/>
      <w:lvlJc w:val="left"/>
      <w:pPr>
        <w:tabs>
          <w:tab w:val="num" w:pos="1200"/>
        </w:tabs>
        <w:ind w:left="1200" w:hanging="480"/>
      </w:pPr>
      <w:rPr>
        <w:rFonts w:hint="default"/>
      </w:rPr>
    </w:lvl>
  </w:abstractNum>
  <w:abstractNum w:abstractNumId="19" w15:restartNumberingAfterBreak="0">
    <w:nsid w:val="54BE424A"/>
    <w:multiLevelType w:val="singleLevel"/>
    <w:tmpl w:val="8D9E51FE"/>
    <w:lvl w:ilvl="0">
      <w:start w:val="5"/>
      <w:numFmt w:val="decimal"/>
      <w:lvlText w:val="%1."/>
      <w:lvlJc w:val="left"/>
      <w:pPr>
        <w:tabs>
          <w:tab w:val="num" w:pos="1440"/>
        </w:tabs>
        <w:ind w:left="1440" w:hanging="720"/>
      </w:pPr>
      <w:rPr>
        <w:rFonts w:hint="default"/>
      </w:rPr>
    </w:lvl>
  </w:abstractNum>
  <w:abstractNum w:abstractNumId="20" w15:restartNumberingAfterBreak="0">
    <w:nsid w:val="58337796"/>
    <w:multiLevelType w:val="hybridMultilevel"/>
    <w:tmpl w:val="5BE6EDB0"/>
    <w:lvl w:ilvl="0" w:tplc="F864C5DA">
      <w:start w:val="17"/>
      <w:numFmt w:val="decimal"/>
      <w:lvlText w:val="%1."/>
      <w:lvlJc w:val="left"/>
      <w:pPr>
        <w:tabs>
          <w:tab w:val="num" w:pos="1800"/>
        </w:tabs>
        <w:ind w:left="1800" w:hanging="360"/>
      </w:pPr>
      <w:rPr>
        <w:rFonts w:hint="default"/>
      </w:rPr>
    </w:lvl>
    <w:lvl w:ilvl="1" w:tplc="E3EEA6CC" w:tentative="1">
      <w:start w:val="1"/>
      <w:numFmt w:val="lowerLetter"/>
      <w:lvlText w:val="%2."/>
      <w:lvlJc w:val="left"/>
      <w:pPr>
        <w:tabs>
          <w:tab w:val="num" w:pos="2520"/>
        </w:tabs>
        <w:ind w:left="2520" w:hanging="360"/>
      </w:pPr>
    </w:lvl>
    <w:lvl w:ilvl="2" w:tplc="614650CA" w:tentative="1">
      <w:start w:val="1"/>
      <w:numFmt w:val="lowerRoman"/>
      <w:lvlText w:val="%3."/>
      <w:lvlJc w:val="right"/>
      <w:pPr>
        <w:tabs>
          <w:tab w:val="num" w:pos="3240"/>
        </w:tabs>
        <w:ind w:left="3240" w:hanging="180"/>
      </w:pPr>
    </w:lvl>
    <w:lvl w:ilvl="3" w:tplc="B85290BA" w:tentative="1">
      <w:start w:val="1"/>
      <w:numFmt w:val="decimal"/>
      <w:lvlText w:val="%4."/>
      <w:lvlJc w:val="left"/>
      <w:pPr>
        <w:tabs>
          <w:tab w:val="num" w:pos="3960"/>
        </w:tabs>
        <w:ind w:left="3960" w:hanging="360"/>
      </w:pPr>
    </w:lvl>
    <w:lvl w:ilvl="4" w:tplc="B9D6C7E8" w:tentative="1">
      <w:start w:val="1"/>
      <w:numFmt w:val="lowerLetter"/>
      <w:lvlText w:val="%5."/>
      <w:lvlJc w:val="left"/>
      <w:pPr>
        <w:tabs>
          <w:tab w:val="num" w:pos="4680"/>
        </w:tabs>
        <w:ind w:left="4680" w:hanging="360"/>
      </w:pPr>
    </w:lvl>
    <w:lvl w:ilvl="5" w:tplc="CDAE005C" w:tentative="1">
      <w:start w:val="1"/>
      <w:numFmt w:val="lowerRoman"/>
      <w:lvlText w:val="%6."/>
      <w:lvlJc w:val="right"/>
      <w:pPr>
        <w:tabs>
          <w:tab w:val="num" w:pos="5400"/>
        </w:tabs>
        <w:ind w:left="5400" w:hanging="180"/>
      </w:pPr>
    </w:lvl>
    <w:lvl w:ilvl="6" w:tplc="12EA0690" w:tentative="1">
      <w:start w:val="1"/>
      <w:numFmt w:val="decimal"/>
      <w:lvlText w:val="%7."/>
      <w:lvlJc w:val="left"/>
      <w:pPr>
        <w:tabs>
          <w:tab w:val="num" w:pos="6120"/>
        </w:tabs>
        <w:ind w:left="6120" w:hanging="360"/>
      </w:pPr>
    </w:lvl>
    <w:lvl w:ilvl="7" w:tplc="445CF2DA" w:tentative="1">
      <w:start w:val="1"/>
      <w:numFmt w:val="lowerLetter"/>
      <w:lvlText w:val="%8."/>
      <w:lvlJc w:val="left"/>
      <w:pPr>
        <w:tabs>
          <w:tab w:val="num" w:pos="6840"/>
        </w:tabs>
        <w:ind w:left="6840" w:hanging="360"/>
      </w:pPr>
    </w:lvl>
    <w:lvl w:ilvl="8" w:tplc="4C0E0560" w:tentative="1">
      <w:start w:val="1"/>
      <w:numFmt w:val="lowerRoman"/>
      <w:lvlText w:val="%9."/>
      <w:lvlJc w:val="right"/>
      <w:pPr>
        <w:tabs>
          <w:tab w:val="num" w:pos="7560"/>
        </w:tabs>
        <w:ind w:left="7560" w:hanging="180"/>
      </w:pPr>
    </w:lvl>
  </w:abstractNum>
  <w:abstractNum w:abstractNumId="21" w15:restartNumberingAfterBreak="0">
    <w:nsid w:val="652F7990"/>
    <w:multiLevelType w:val="multilevel"/>
    <w:tmpl w:val="BAD2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9"/>
  </w:num>
  <w:num w:numId="3">
    <w:abstractNumId w:val="18"/>
  </w:num>
  <w:num w:numId="4">
    <w:abstractNumId w:val="6"/>
  </w:num>
  <w:num w:numId="5">
    <w:abstractNumId w:val="7"/>
  </w:num>
  <w:num w:numId="6">
    <w:abstractNumId w:val="17"/>
  </w:num>
  <w:num w:numId="7">
    <w:abstractNumId w:val="11"/>
  </w:num>
  <w:num w:numId="8">
    <w:abstractNumId w:val="20"/>
  </w:num>
  <w:num w:numId="9">
    <w:abstractNumId w:val="2"/>
  </w:num>
  <w:num w:numId="10">
    <w:abstractNumId w:val="19"/>
  </w:num>
  <w:num w:numId="11">
    <w:abstractNumId w:val="21"/>
  </w:num>
  <w:num w:numId="12">
    <w:abstractNumId w:val="8"/>
  </w:num>
  <w:num w:numId="13">
    <w:abstractNumId w:val="13"/>
  </w:num>
  <w:num w:numId="14">
    <w:abstractNumId w:val="3"/>
  </w:num>
  <w:num w:numId="15">
    <w:abstractNumId w:val="1"/>
  </w:num>
  <w:num w:numId="16">
    <w:abstractNumId w:val="5"/>
  </w:num>
  <w:num w:numId="17">
    <w:abstractNumId w:val="14"/>
  </w:num>
  <w:num w:numId="18">
    <w:abstractNumId w:val="15"/>
  </w:num>
  <w:num w:numId="19">
    <w:abstractNumId w:val="4"/>
  </w:num>
  <w:num w:numId="20">
    <w:abstractNumId w:val="16"/>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57A"/>
    <w:rsid w:val="00011D10"/>
    <w:rsid w:val="000129F7"/>
    <w:rsid w:val="00012B6C"/>
    <w:rsid w:val="000419AD"/>
    <w:rsid w:val="00066A3C"/>
    <w:rsid w:val="0007260C"/>
    <w:rsid w:val="00085FFB"/>
    <w:rsid w:val="000D7693"/>
    <w:rsid w:val="000E5ACE"/>
    <w:rsid w:val="000F79C3"/>
    <w:rsid w:val="00120DA9"/>
    <w:rsid w:val="00122E19"/>
    <w:rsid w:val="0015063D"/>
    <w:rsid w:val="0018601A"/>
    <w:rsid w:val="001B689A"/>
    <w:rsid w:val="001E7EC2"/>
    <w:rsid w:val="00215C36"/>
    <w:rsid w:val="00220ED8"/>
    <w:rsid w:val="0025498C"/>
    <w:rsid w:val="002A41F3"/>
    <w:rsid w:val="002D0100"/>
    <w:rsid w:val="002D605C"/>
    <w:rsid w:val="002F005F"/>
    <w:rsid w:val="003032D5"/>
    <w:rsid w:val="00333EAD"/>
    <w:rsid w:val="00336ABF"/>
    <w:rsid w:val="00352D66"/>
    <w:rsid w:val="00356A20"/>
    <w:rsid w:val="003A04D1"/>
    <w:rsid w:val="003A3876"/>
    <w:rsid w:val="003B65EE"/>
    <w:rsid w:val="003D150C"/>
    <w:rsid w:val="00406069"/>
    <w:rsid w:val="004119CD"/>
    <w:rsid w:val="0042390F"/>
    <w:rsid w:val="00436CA8"/>
    <w:rsid w:val="00464D45"/>
    <w:rsid w:val="004750C7"/>
    <w:rsid w:val="00487E40"/>
    <w:rsid w:val="004B7583"/>
    <w:rsid w:val="004B7BCB"/>
    <w:rsid w:val="004C2D4F"/>
    <w:rsid w:val="004C680C"/>
    <w:rsid w:val="00501377"/>
    <w:rsid w:val="00504A3A"/>
    <w:rsid w:val="00510014"/>
    <w:rsid w:val="005158BE"/>
    <w:rsid w:val="00517853"/>
    <w:rsid w:val="00533F99"/>
    <w:rsid w:val="00563277"/>
    <w:rsid w:val="005660E2"/>
    <w:rsid w:val="005809F1"/>
    <w:rsid w:val="00583F50"/>
    <w:rsid w:val="005B6DCB"/>
    <w:rsid w:val="005F2D14"/>
    <w:rsid w:val="005F6CE0"/>
    <w:rsid w:val="005F70C6"/>
    <w:rsid w:val="00607DB0"/>
    <w:rsid w:val="006730DB"/>
    <w:rsid w:val="00676B0A"/>
    <w:rsid w:val="00692820"/>
    <w:rsid w:val="00696ED7"/>
    <w:rsid w:val="006A4830"/>
    <w:rsid w:val="006B12CF"/>
    <w:rsid w:val="006D4C14"/>
    <w:rsid w:val="006F39A1"/>
    <w:rsid w:val="007208C2"/>
    <w:rsid w:val="0072614B"/>
    <w:rsid w:val="00727893"/>
    <w:rsid w:val="00776A26"/>
    <w:rsid w:val="0078078A"/>
    <w:rsid w:val="0079156E"/>
    <w:rsid w:val="00791767"/>
    <w:rsid w:val="00797134"/>
    <w:rsid w:val="007A61B1"/>
    <w:rsid w:val="007B5FF2"/>
    <w:rsid w:val="007C0678"/>
    <w:rsid w:val="007F196B"/>
    <w:rsid w:val="007F6F28"/>
    <w:rsid w:val="0084357A"/>
    <w:rsid w:val="00863E38"/>
    <w:rsid w:val="00893F8D"/>
    <w:rsid w:val="008C1643"/>
    <w:rsid w:val="008C519C"/>
    <w:rsid w:val="008E0947"/>
    <w:rsid w:val="008E1A92"/>
    <w:rsid w:val="009267B3"/>
    <w:rsid w:val="0094154A"/>
    <w:rsid w:val="009543D9"/>
    <w:rsid w:val="00970306"/>
    <w:rsid w:val="00995254"/>
    <w:rsid w:val="009A6C8E"/>
    <w:rsid w:val="009E0643"/>
    <w:rsid w:val="009F76AB"/>
    <w:rsid w:val="00A00EFF"/>
    <w:rsid w:val="00A01DE0"/>
    <w:rsid w:val="00A06409"/>
    <w:rsid w:val="00A17D7B"/>
    <w:rsid w:val="00A55960"/>
    <w:rsid w:val="00A6082E"/>
    <w:rsid w:val="00A62FA1"/>
    <w:rsid w:val="00A67A3B"/>
    <w:rsid w:val="00A75C26"/>
    <w:rsid w:val="00AD6F9D"/>
    <w:rsid w:val="00AF4176"/>
    <w:rsid w:val="00AF52AD"/>
    <w:rsid w:val="00B032A3"/>
    <w:rsid w:val="00B17E93"/>
    <w:rsid w:val="00B409FE"/>
    <w:rsid w:val="00B5450F"/>
    <w:rsid w:val="00B636C9"/>
    <w:rsid w:val="00B65E8E"/>
    <w:rsid w:val="00B97F3D"/>
    <w:rsid w:val="00BB065A"/>
    <w:rsid w:val="00BC1915"/>
    <w:rsid w:val="00BF21DB"/>
    <w:rsid w:val="00C043BE"/>
    <w:rsid w:val="00C1350C"/>
    <w:rsid w:val="00C35C0C"/>
    <w:rsid w:val="00C418AB"/>
    <w:rsid w:val="00C53590"/>
    <w:rsid w:val="00C63B7B"/>
    <w:rsid w:val="00C745A8"/>
    <w:rsid w:val="00C8268E"/>
    <w:rsid w:val="00C873D6"/>
    <w:rsid w:val="00CA1F1B"/>
    <w:rsid w:val="00CA25A2"/>
    <w:rsid w:val="00CC12CE"/>
    <w:rsid w:val="00CC790F"/>
    <w:rsid w:val="00CE45E8"/>
    <w:rsid w:val="00CF40AA"/>
    <w:rsid w:val="00CF5C61"/>
    <w:rsid w:val="00D02B23"/>
    <w:rsid w:val="00D0350F"/>
    <w:rsid w:val="00D06681"/>
    <w:rsid w:val="00D22F58"/>
    <w:rsid w:val="00D2364F"/>
    <w:rsid w:val="00D35487"/>
    <w:rsid w:val="00D53870"/>
    <w:rsid w:val="00D60799"/>
    <w:rsid w:val="00D71772"/>
    <w:rsid w:val="00D75E10"/>
    <w:rsid w:val="00DA2C49"/>
    <w:rsid w:val="00DA5859"/>
    <w:rsid w:val="00DB1AD6"/>
    <w:rsid w:val="00DB677D"/>
    <w:rsid w:val="00DB71FD"/>
    <w:rsid w:val="00DC19C4"/>
    <w:rsid w:val="00DD5DE9"/>
    <w:rsid w:val="00DE3615"/>
    <w:rsid w:val="00E1256C"/>
    <w:rsid w:val="00E15BFF"/>
    <w:rsid w:val="00E43CF1"/>
    <w:rsid w:val="00E4461D"/>
    <w:rsid w:val="00E633A8"/>
    <w:rsid w:val="00E65806"/>
    <w:rsid w:val="00E66DE0"/>
    <w:rsid w:val="00E8723E"/>
    <w:rsid w:val="00E94CE3"/>
    <w:rsid w:val="00EE5276"/>
    <w:rsid w:val="00F059B6"/>
    <w:rsid w:val="00F14A91"/>
    <w:rsid w:val="00F1557F"/>
    <w:rsid w:val="00F43771"/>
    <w:rsid w:val="00F545B8"/>
    <w:rsid w:val="00F76435"/>
    <w:rsid w:val="00F8662A"/>
    <w:rsid w:val="00FC764C"/>
    <w:rsid w:val="00FE52DF"/>
    <w:rsid w:val="00FE7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7F318DF7-C4C6-436D-A90E-57A33366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1">
    <w:name w:val="heading 1"/>
    <w:basedOn w:val="Normal"/>
    <w:next w:val="Normal"/>
    <w:qFormat/>
    <w:pPr>
      <w:keepNext/>
      <w:suppressAutoHyphens/>
      <w:jc w:val="right"/>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iCs/>
      <w:snapToGrid w:val="0"/>
      <w:sz w:val="24"/>
      <w:szCs w:val="24"/>
      <w:lang w:eastAsia="en-US"/>
    </w:rPr>
  </w:style>
  <w:style w:type="paragraph" w:styleId="BodyText2">
    <w:name w:val="Body Text 2"/>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sz w:val="24"/>
      <w:szCs w:val="24"/>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0"/>
        <w:tab w:val="left" w:pos="720"/>
        <w:tab w:val="left" w:pos="1170"/>
        <w:tab w:val="left" w:pos="2160"/>
      </w:tabs>
      <w:suppressAutoHyphens/>
      <w:ind w:left="1170" w:right="1170" w:hanging="1170"/>
    </w:pPr>
    <w:rPr>
      <w:sz w:val="24"/>
      <w:szCs w:val="24"/>
    </w:rPr>
  </w:style>
  <w:style w:type="paragraph" w:styleId="BodyTextIndent3">
    <w:name w:val="Body Text Indent 3"/>
    <w:basedOn w:val="Normal"/>
    <w:pPr>
      <w:widowControl w:val="0"/>
      <w:ind w:left="1440" w:hanging="720"/>
    </w:pPr>
    <w:rPr>
      <w:snapToGrid w:val="0"/>
      <w:sz w:val="24"/>
      <w:szCs w:val="24"/>
      <w:lang w:eastAsia="en-US"/>
    </w:rPr>
  </w:style>
  <w:style w:type="paragraph" w:styleId="BalloonText">
    <w:name w:val="Balloon Text"/>
    <w:basedOn w:val="Normal"/>
    <w:semiHidden/>
    <w:rsid w:val="001E7EC2"/>
    <w:rPr>
      <w:rFonts w:ascii="Tahoma" w:hAnsi="Tahoma" w:cs="Tahoma"/>
      <w:sz w:val="16"/>
      <w:szCs w:val="16"/>
    </w:rPr>
  </w:style>
  <w:style w:type="paragraph" w:styleId="HTMLPreformatted">
    <w:name w:val="HTML Preformatted"/>
    <w:basedOn w:val="Normal"/>
    <w:rsid w:val="00336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table" w:styleId="TableGrid">
    <w:name w:val="Table Grid"/>
    <w:basedOn w:val="TableNormal"/>
    <w:rsid w:val="00336AB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97134"/>
    <w:pPr>
      <w:shd w:val="clear" w:color="auto" w:fill="000080"/>
    </w:pPr>
    <w:rPr>
      <w:rFonts w:ascii="Tahoma" w:hAnsi="Tahoma" w:cs="Tahoma"/>
    </w:rPr>
  </w:style>
  <w:style w:type="paragraph" w:styleId="ListParagraph">
    <w:name w:val="List Paragraph"/>
    <w:basedOn w:val="Normal"/>
    <w:qFormat/>
    <w:rsid w:val="00487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8267">
      <w:bodyDiv w:val="1"/>
      <w:marLeft w:val="0"/>
      <w:marRight w:val="0"/>
      <w:marTop w:val="0"/>
      <w:marBottom w:val="0"/>
      <w:divBdr>
        <w:top w:val="none" w:sz="0" w:space="0" w:color="auto"/>
        <w:left w:val="none" w:sz="0" w:space="0" w:color="auto"/>
        <w:bottom w:val="none" w:sz="0" w:space="0" w:color="auto"/>
        <w:right w:val="none" w:sz="0" w:space="0" w:color="auto"/>
      </w:divBdr>
    </w:div>
    <w:div w:id="1150098090">
      <w:bodyDiv w:val="1"/>
      <w:marLeft w:val="0"/>
      <w:marRight w:val="0"/>
      <w:marTop w:val="0"/>
      <w:marBottom w:val="0"/>
      <w:divBdr>
        <w:top w:val="none" w:sz="0" w:space="0" w:color="auto"/>
        <w:left w:val="none" w:sz="0" w:space="0" w:color="auto"/>
        <w:bottom w:val="none" w:sz="0" w:space="0" w:color="auto"/>
        <w:right w:val="none" w:sz="0" w:space="0" w:color="auto"/>
      </w:divBdr>
      <w:divsChild>
        <w:div w:id="40641624">
          <w:marLeft w:val="0"/>
          <w:marRight w:val="0"/>
          <w:marTop w:val="0"/>
          <w:marBottom w:val="0"/>
          <w:divBdr>
            <w:top w:val="none" w:sz="0" w:space="0" w:color="auto"/>
            <w:left w:val="none" w:sz="0" w:space="0" w:color="auto"/>
            <w:bottom w:val="none" w:sz="0" w:space="0" w:color="auto"/>
            <w:right w:val="none" w:sz="0" w:space="0" w:color="auto"/>
          </w:divBdr>
        </w:div>
        <w:div w:id="1161114801">
          <w:marLeft w:val="0"/>
          <w:marRight w:val="0"/>
          <w:marTop w:val="0"/>
          <w:marBottom w:val="0"/>
          <w:divBdr>
            <w:top w:val="none" w:sz="0" w:space="0" w:color="auto"/>
            <w:left w:val="none" w:sz="0" w:space="0" w:color="auto"/>
            <w:bottom w:val="none" w:sz="0" w:space="0" w:color="auto"/>
            <w:right w:val="none" w:sz="0" w:space="0" w:color="auto"/>
          </w:divBdr>
        </w:div>
        <w:div w:id="1218972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March 2003</vt:lpstr>
    </vt:vector>
  </TitlesOfParts>
  <Company>Social Security Administration</Company>
  <LinksUpToDate>false</LinksUpToDate>
  <CharactersWithSpaces>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2003</dc:title>
  <dc:creator>104890</dc:creator>
  <cp:lastModifiedBy>Lowman, Eric</cp:lastModifiedBy>
  <cp:revision>3</cp:revision>
  <cp:lastPrinted>2008-06-18T18:22:00Z</cp:lastPrinted>
  <dcterms:created xsi:type="dcterms:W3CDTF">2016-07-29T23:48:00Z</dcterms:created>
  <dcterms:modified xsi:type="dcterms:W3CDTF">2016-10-14T12:52:00Z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