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E1D503" w14:textId="77777777" w:rsidR="001177FD" w:rsidRPr="0091795A" w:rsidRDefault="001177FD" w:rsidP="0091795A">
      <w:pPr>
        <w:pStyle w:val="Title"/>
      </w:pPr>
      <w:bookmarkStart w:id="0" w:name="_Toc410331594"/>
      <w:bookmarkStart w:id="1" w:name="_Toc410331700"/>
      <w:bookmarkStart w:id="2" w:name="_Toc429570389"/>
      <w:bookmarkStart w:id="3" w:name="_Toc431546795"/>
      <w:r w:rsidRPr="0091795A">
        <w:t>Supporting Statement B</w:t>
      </w:r>
    </w:p>
    <w:p w14:paraId="25B5A8FC" w14:textId="77777777" w:rsidR="00DA5D5D" w:rsidRPr="00405F14" w:rsidRDefault="00DA5D5D" w:rsidP="00405F14">
      <w:pPr>
        <w:pStyle w:val="Title"/>
      </w:pPr>
    </w:p>
    <w:p w14:paraId="45209DAB" w14:textId="77777777" w:rsidR="001177FD" w:rsidRPr="0091795A" w:rsidRDefault="001177FD" w:rsidP="0091795A">
      <w:pPr>
        <w:pStyle w:val="Title"/>
      </w:pPr>
      <w:r w:rsidRPr="0091795A">
        <w:t>Collections of Information Employing Statistical Methods</w:t>
      </w:r>
      <w:bookmarkEnd w:id="0"/>
      <w:bookmarkEnd w:id="1"/>
      <w:bookmarkEnd w:id="2"/>
      <w:bookmarkEnd w:id="3"/>
    </w:p>
    <w:p w14:paraId="0F4D85F6" w14:textId="2CB1B9D9" w:rsidR="001177FD" w:rsidRPr="0091795A" w:rsidRDefault="001177FD" w:rsidP="0091795A">
      <w:pPr>
        <w:pStyle w:val="Title"/>
      </w:pPr>
      <w:r w:rsidRPr="0091795A">
        <w:t>Evaluation of the Medicare Patient Intravenous Immunoglobulin Demonstration</w:t>
      </w:r>
    </w:p>
    <w:p w14:paraId="2C18E3DE" w14:textId="1AFA2CFA" w:rsidR="00297174" w:rsidRDefault="00297174" w:rsidP="00297174">
      <w:pPr>
        <w:pStyle w:val="BodyTextFirstIndent"/>
      </w:pPr>
      <w:r>
        <w:t>The Strengthening Medicare and Repaying Taxpayers Act of 2011 mandated that the Centers for Medicare &amp; Medicaid Services (CMS) implement a 3-year Demonstration project that introduced a bundled payment for the items and services used for in-home administration of intravenous immunoglobulin (IVIG) for Medicare beneficiaries diagnosed with primary immunodeficiency disease (PIDD). Prior to the Demonstration, Medicare only covered the costs of administering IVIG treatments in medical settings (such as hospitals and infusion clinics). CMS was also mandated to evaluate the extent to which participating in the in-home Demonstration improved access to care for beneficiaries wit</w:t>
      </w:r>
      <w:r w:rsidR="004A45D7">
        <w:t xml:space="preserve">h PIDD and </w:t>
      </w:r>
      <w:r w:rsidR="00ED4C5F">
        <w:t xml:space="preserve">to assess the market dynamics for </w:t>
      </w:r>
      <w:r w:rsidR="004A45D7">
        <w:t>immunoglobulin</w:t>
      </w:r>
      <w:r w:rsidR="00ED4C5F">
        <w:t>.</w:t>
      </w:r>
    </w:p>
    <w:p w14:paraId="51EA89A6" w14:textId="77777777" w:rsidR="00297174" w:rsidRDefault="00297174" w:rsidP="00297174">
      <w:pPr>
        <w:pStyle w:val="BodyTextFirstIndent"/>
      </w:pPr>
      <w:r>
        <w:t>Eligible Medicare beneficiaries—i.e., beneficiaries receiving IVIG or subcutaneous immunoglobulin (SCIG) for the treatment of PIDD—</w:t>
      </w:r>
      <w:r w:rsidR="00650304">
        <w:t xml:space="preserve">were able to </w:t>
      </w:r>
      <w:r>
        <w:t xml:space="preserve">enroll in the Demonstration by submitting an application, with signed consent from their treating physician. Applications for the IVIG Demonstration </w:t>
      </w:r>
      <w:r w:rsidR="00650304">
        <w:t xml:space="preserve">began in August of 2014 and </w:t>
      </w:r>
      <w:r>
        <w:t xml:space="preserve">continue to be accepted. As of September 2, 2016, there were 9,300 eligible beneficiaries, of whom 1,372 were enrolled in the Demonstration. </w:t>
      </w:r>
    </w:p>
    <w:p w14:paraId="2DAF8284" w14:textId="0A0665FF" w:rsidR="001177FD" w:rsidRDefault="00297174" w:rsidP="00297174">
      <w:pPr>
        <w:pStyle w:val="BodyTextFirstIndent"/>
      </w:pPr>
      <w:r>
        <w:t>To evaluate whether the in-home IVIG Demonstration has improved access to care, CMS plans to conduct a survey of Medicare beneficiaries eligible for the Demonstration (enrolled and unenrolled)</w:t>
      </w:r>
      <w:r w:rsidR="00ED4C5F">
        <w:t>.</w:t>
      </w:r>
      <w:r>
        <w:t xml:space="preserve"> </w:t>
      </w:r>
      <w:r w:rsidR="004A45D7">
        <w:t xml:space="preserve">CMS also plans to undertake a </w:t>
      </w:r>
      <w:r>
        <w:t>series of semi-structured interviews with physicians, nurses, other caregivers of PIDD patients, and with representatives of immunoglobulin suppliers, manufacturers, and PIDD patient advocacy groups</w:t>
      </w:r>
      <w:r w:rsidR="00ED4C5F">
        <w:t xml:space="preserve"> to assess </w:t>
      </w:r>
      <w:r w:rsidR="00230120">
        <w:t>immunoglobulin</w:t>
      </w:r>
      <w:r w:rsidR="004A45D7">
        <w:t xml:space="preserve"> </w:t>
      </w:r>
      <w:r w:rsidR="00ED4C5F">
        <w:t>market dynamics</w:t>
      </w:r>
      <w:r>
        <w:t>.</w:t>
      </w:r>
    </w:p>
    <w:p w14:paraId="412EDA4B" w14:textId="77777777" w:rsidR="00297174" w:rsidRDefault="00297174" w:rsidP="00247D06">
      <w:pPr>
        <w:pStyle w:val="Heading5"/>
        <w:numPr>
          <w:ilvl w:val="0"/>
          <w:numId w:val="0"/>
        </w:numPr>
        <w:ind w:left="720"/>
      </w:pPr>
      <w:r>
        <w:t>Survey</w:t>
      </w:r>
    </w:p>
    <w:p w14:paraId="3D794F01" w14:textId="77777777" w:rsidR="001177FD" w:rsidRDefault="00A13746" w:rsidP="00503112">
      <w:pPr>
        <w:pStyle w:val="BodyTextFirstIndent"/>
      </w:pPr>
      <w:r>
        <w:t xml:space="preserve">The primary objective of the </w:t>
      </w:r>
      <w:r w:rsidR="001177FD">
        <w:t xml:space="preserve">survey is to </w:t>
      </w:r>
      <w:r>
        <w:t xml:space="preserve">collect information on the </w:t>
      </w:r>
      <w:r w:rsidR="007611BF">
        <w:t>immunoglobulin</w:t>
      </w:r>
      <w:r w:rsidR="001177FD">
        <w:t xml:space="preserve"> treatment experiences of </w:t>
      </w:r>
      <w:r w:rsidR="007611BF">
        <w:t xml:space="preserve">Medicare beneficiaries enrolled in the Demonstration and those that are not enrolled. </w:t>
      </w:r>
      <w:r w:rsidR="00431EC1">
        <w:t xml:space="preserve">The survey contains questions on the following areas that comprise a beneficiary’s </w:t>
      </w:r>
      <w:r w:rsidR="007611BF">
        <w:t>immunoglobulin</w:t>
      </w:r>
      <w:r>
        <w:t xml:space="preserve"> treatment experience</w:t>
      </w:r>
      <w:r w:rsidR="001177FD">
        <w:t xml:space="preserve">: </w:t>
      </w:r>
    </w:p>
    <w:p w14:paraId="71D8B872" w14:textId="77777777" w:rsidR="001177FD" w:rsidRPr="00431EC1" w:rsidRDefault="001177FD" w:rsidP="00431EC1">
      <w:pPr>
        <w:pStyle w:val="ListBullet"/>
      </w:pPr>
      <w:r w:rsidRPr="00431EC1">
        <w:t xml:space="preserve">Difficulty finding a treatment provider. </w:t>
      </w:r>
    </w:p>
    <w:p w14:paraId="2228DA83" w14:textId="77777777" w:rsidR="001177FD" w:rsidRPr="00431EC1" w:rsidRDefault="001177FD" w:rsidP="00431EC1">
      <w:pPr>
        <w:pStyle w:val="ListBullet"/>
      </w:pPr>
      <w:r w:rsidRPr="00431EC1">
        <w:t xml:space="preserve">Difficulty obtaining the correct medication. </w:t>
      </w:r>
    </w:p>
    <w:p w14:paraId="1453990D" w14:textId="77777777" w:rsidR="001177FD" w:rsidRPr="00431EC1" w:rsidRDefault="001177FD" w:rsidP="00431EC1">
      <w:pPr>
        <w:pStyle w:val="ListBullet"/>
      </w:pPr>
      <w:r w:rsidRPr="00431EC1">
        <w:t xml:space="preserve">Missed treatments and reasons for missed treatments. </w:t>
      </w:r>
    </w:p>
    <w:p w14:paraId="662349CF" w14:textId="77777777" w:rsidR="001177FD" w:rsidRPr="00431EC1" w:rsidRDefault="001177FD" w:rsidP="00431EC1">
      <w:pPr>
        <w:pStyle w:val="ListBullet"/>
      </w:pPr>
      <w:r w:rsidRPr="00431EC1">
        <w:t>Travel time to receive treatment.</w:t>
      </w:r>
    </w:p>
    <w:p w14:paraId="72D36BFA" w14:textId="77777777" w:rsidR="001177FD" w:rsidRPr="00431EC1" w:rsidRDefault="001177FD" w:rsidP="00431EC1">
      <w:pPr>
        <w:pStyle w:val="ListBullet"/>
      </w:pPr>
      <w:r w:rsidRPr="00431EC1">
        <w:t xml:space="preserve">Treatment duration. </w:t>
      </w:r>
    </w:p>
    <w:p w14:paraId="33E25799" w14:textId="77777777" w:rsidR="001177FD" w:rsidRPr="00431EC1" w:rsidRDefault="001177FD" w:rsidP="00431EC1">
      <w:pPr>
        <w:pStyle w:val="ListBullet"/>
      </w:pPr>
      <w:r w:rsidRPr="00431EC1">
        <w:t xml:space="preserve">Waiting time for treatment. </w:t>
      </w:r>
    </w:p>
    <w:p w14:paraId="0D475324" w14:textId="77777777" w:rsidR="001177FD" w:rsidRPr="00431EC1" w:rsidRDefault="001177FD" w:rsidP="00431EC1">
      <w:pPr>
        <w:pStyle w:val="ListBullet"/>
      </w:pPr>
      <w:r w:rsidRPr="00431EC1">
        <w:t xml:space="preserve">Side effects of treatment. </w:t>
      </w:r>
    </w:p>
    <w:p w14:paraId="044D354B" w14:textId="77777777" w:rsidR="001177FD" w:rsidRPr="00431EC1" w:rsidRDefault="001177FD" w:rsidP="00431EC1">
      <w:pPr>
        <w:pStyle w:val="ListBullet"/>
      </w:pPr>
      <w:r w:rsidRPr="00431EC1">
        <w:t xml:space="preserve">Changes in dosage and reasons for such changes. </w:t>
      </w:r>
    </w:p>
    <w:p w14:paraId="21022DFA" w14:textId="77777777" w:rsidR="001177FD" w:rsidRPr="00431EC1" w:rsidRDefault="001177FD" w:rsidP="00431EC1">
      <w:pPr>
        <w:pStyle w:val="ListBullet"/>
      </w:pPr>
      <w:r w:rsidRPr="00431EC1">
        <w:t xml:space="preserve">Changes in mode of treatment (e.g., from intravenous to subcutaneous) and reasons for change. </w:t>
      </w:r>
    </w:p>
    <w:p w14:paraId="6BAA9E58" w14:textId="77777777" w:rsidR="001177FD" w:rsidRPr="00431EC1" w:rsidRDefault="001177FD" w:rsidP="00431EC1">
      <w:pPr>
        <w:pStyle w:val="ListBullet"/>
      </w:pPr>
      <w:r w:rsidRPr="00431EC1">
        <w:t xml:space="preserve">Self-assessment of overall health. </w:t>
      </w:r>
    </w:p>
    <w:p w14:paraId="0B897D99" w14:textId="77777777" w:rsidR="001177FD" w:rsidRPr="00431EC1" w:rsidRDefault="001177FD" w:rsidP="00431EC1">
      <w:pPr>
        <w:pStyle w:val="ListBullet"/>
      </w:pPr>
      <w:r w:rsidRPr="00431EC1">
        <w:t xml:space="preserve">Exposure to advice from non-physicians regarding whether to enroll in the </w:t>
      </w:r>
      <w:r w:rsidR="001F4804">
        <w:t>Demonstration</w:t>
      </w:r>
      <w:r w:rsidRPr="00431EC1">
        <w:t>.</w:t>
      </w:r>
    </w:p>
    <w:p w14:paraId="34A41227" w14:textId="77777777" w:rsidR="00247D06" w:rsidRDefault="00247D06" w:rsidP="00247D06">
      <w:pPr>
        <w:pStyle w:val="BodyTextFirstIndent"/>
      </w:pPr>
      <w:r>
        <w:t>In addition to the immunoglobulin treatment experiences of beneficiaries, the survey will also provide information on:</w:t>
      </w:r>
    </w:p>
    <w:p w14:paraId="15592528" w14:textId="77777777" w:rsidR="00247D06" w:rsidRDefault="00247D06" w:rsidP="00247D06">
      <w:pPr>
        <w:pStyle w:val="ListBullet"/>
      </w:pPr>
      <w:r>
        <w:lastRenderedPageBreak/>
        <w:t>Reasons for enrolling in the Demonstration.</w:t>
      </w:r>
    </w:p>
    <w:p w14:paraId="17F331D8" w14:textId="77777777" w:rsidR="00247D06" w:rsidRDefault="00247D06" w:rsidP="00247D06">
      <w:pPr>
        <w:pStyle w:val="ListBullet"/>
      </w:pPr>
      <w:r>
        <w:t>Reasons for not enrolling in the Demonstration.</w:t>
      </w:r>
    </w:p>
    <w:p w14:paraId="67CBFBCA" w14:textId="77777777" w:rsidR="00247D06" w:rsidRDefault="00247D06" w:rsidP="00247D06">
      <w:pPr>
        <w:pStyle w:val="ListBullet"/>
      </w:pPr>
      <w:r>
        <w:t>Reasons for not using the in-home benefit.</w:t>
      </w:r>
    </w:p>
    <w:p w14:paraId="178769CC" w14:textId="142100EA" w:rsidR="00247D06" w:rsidRDefault="00247D06" w:rsidP="00247D06">
      <w:pPr>
        <w:pStyle w:val="ListBullet"/>
      </w:pPr>
      <w:r>
        <w:t xml:space="preserve">General availability of </w:t>
      </w:r>
      <w:r w:rsidR="00356667">
        <w:t>immunoglobulin</w:t>
      </w:r>
      <w:r>
        <w:t xml:space="preserve"> (</w:t>
      </w:r>
      <w:r w:rsidR="00ED4C5F">
        <w:t xml:space="preserve">anecdotal </w:t>
      </w:r>
      <w:r>
        <w:t xml:space="preserve">shortages of </w:t>
      </w:r>
      <w:r w:rsidR="00356667">
        <w:t>immunoglobulin</w:t>
      </w:r>
      <w:r>
        <w:t xml:space="preserve"> </w:t>
      </w:r>
      <w:r w:rsidR="00464D9D">
        <w:t>were</w:t>
      </w:r>
      <w:r>
        <w:t xml:space="preserve"> </w:t>
      </w:r>
      <w:r w:rsidR="00ED4C5F">
        <w:t xml:space="preserve">reported </w:t>
      </w:r>
      <w:r>
        <w:t>in the past).</w:t>
      </w:r>
    </w:p>
    <w:p w14:paraId="40F282CA" w14:textId="77777777" w:rsidR="00247D06" w:rsidRDefault="00247D06" w:rsidP="00247D06">
      <w:pPr>
        <w:pStyle w:val="ListBullet"/>
      </w:pPr>
      <w:r>
        <w:t xml:space="preserve">Negative health effects arising from difficulties obtaining </w:t>
      </w:r>
      <w:r w:rsidR="00356667">
        <w:t>immunoglobulin</w:t>
      </w:r>
      <w:r>
        <w:t>.</w:t>
      </w:r>
    </w:p>
    <w:p w14:paraId="32904465" w14:textId="77777777" w:rsidR="00247D06" w:rsidRDefault="00247D06" w:rsidP="00247D06">
      <w:pPr>
        <w:pStyle w:val="ListBullet"/>
      </w:pPr>
      <w:r>
        <w:t>Reasons for apparent increases in the use SCIG.</w:t>
      </w:r>
    </w:p>
    <w:p w14:paraId="639C9554" w14:textId="77777777" w:rsidR="00247D06" w:rsidRDefault="00247D06" w:rsidP="00247D06">
      <w:pPr>
        <w:pStyle w:val="ListBullet"/>
      </w:pPr>
      <w:r>
        <w:t>Awareness of the availability of the Demonstration among eligible beneficiaries.</w:t>
      </w:r>
    </w:p>
    <w:p w14:paraId="0919B207" w14:textId="194D1F18" w:rsidR="0023307D" w:rsidRDefault="0023307D" w:rsidP="0023307D">
      <w:pPr>
        <w:pStyle w:val="BodyTextFirstIndent"/>
      </w:pPr>
      <w:r w:rsidRPr="003B69A1">
        <w:t xml:space="preserve">The </w:t>
      </w:r>
      <w:r w:rsidR="009A68B5">
        <w:t>primary</w:t>
      </w:r>
      <w:r w:rsidR="00CE1AB7">
        <w:t xml:space="preserve"> research hypothes</w:t>
      </w:r>
      <w:r w:rsidR="00ED4C5F">
        <w:t>i</w:t>
      </w:r>
      <w:r w:rsidRPr="003B69A1">
        <w:t>s of the survey</w:t>
      </w:r>
      <w:r w:rsidR="00ED4C5F">
        <w:t xml:space="preserve"> is </w:t>
      </w:r>
      <w:r w:rsidRPr="003B69A1">
        <w:t xml:space="preserve">that participation in the </w:t>
      </w:r>
      <w:r w:rsidR="001F4804" w:rsidRPr="0075698C">
        <w:t>Demonstration</w:t>
      </w:r>
      <w:r w:rsidRPr="0075698C">
        <w:t xml:space="preserve"> </w:t>
      </w:r>
      <w:r w:rsidR="00ED4C5F">
        <w:t>improve</w:t>
      </w:r>
      <w:r w:rsidR="004A45D7">
        <w:t>s</w:t>
      </w:r>
      <w:r w:rsidR="00ED4C5F">
        <w:t xml:space="preserve"> </w:t>
      </w:r>
      <w:r w:rsidRPr="0075698C">
        <w:t xml:space="preserve">the </w:t>
      </w:r>
      <w:r w:rsidR="00230120">
        <w:t>IVIG treatment</w:t>
      </w:r>
      <w:r w:rsidR="00ED4C5F">
        <w:t xml:space="preserve"> </w:t>
      </w:r>
      <w:r w:rsidRPr="0075698C">
        <w:t xml:space="preserve">experience </w:t>
      </w:r>
      <w:r w:rsidR="00230120">
        <w:t>(e.g.,</w:t>
      </w:r>
      <w:r w:rsidR="00230120" w:rsidRPr="001F4804">
        <w:t xml:space="preserve"> time spent traveling to and waiting for treatment, side effects, health issues, changes in treatment location, etc.)</w:t>
      </w:r>
      <w:r w:rsidR="00230120">
        <w:t xml:space="preserve"> </w:t>
      </w:r>
      <w:r w:rsidRPr="0075698C">
        <w:t xml:space="preserve">of </w:t>
      </w:r>
      <w:r w:rsidR="001F4804" w:rsidRPr="003B69A1">
        <w:t xml:space="preserve">enrollees </w:t>
      </w:r>
      <w:r w:rsidRPr="003B69A1">
        <w:t xml:space="preserve">compared to </w:t>
      </w:r>
      <w:r w:rsidR="005F3AD1" w:rsidRPr="003B69A1">
        <w:t>those not enrolled in the Demonstration</w:t>
      </w:r>
      <w:r>
        <w:t>.</w:t>
      </w:r>
      <w:r w:rsidR="001B4D85">
        <w:t xml:space="preserve"> </w:t>
      </w:r>
      <w:r w:rsidR="00230120">
        <w:t>T</w:t>
      </w:r>
      <w:r w:rsidR="00ED4C5F">
        <w:t xml:space="preserve">he study’s </w:t>
      </w:r>
      <w:r>
        <w:t>null hypotheses</w:t>
      </w:r>
      <w:r w:rsidR="00ED4C5F">
        <w:t xml:space="preserve"> </w:t>
      </w:r>
      <w:r w:rsidR="00464D9D">
        <w:t>are:</w:t>
      </w:r>
    </w:p>
    <w:p w14:paraId="50728A8C" w14:textId="1D4EDA9E" w:rsidR="0059142D" w:rsidRDefault="0059142D" w:rsidP="0059142D">
      <w:pPr>
        <w:pStyle w:val="BodyTextFirstIndent"/>
      </w:pPr>
      <w:r w:rsidRPr="00A2666E">
        <w:rPr>
          <w:i/>
        </w:rPr>
        <w:t xml:space="preserve">Null Hypothesis </w:t>
      </w:r>
      <w:r>
        <w:rPr>
          <w:i/>
        </w:rPr>
        <w:t>1</w:t>
      </w:r>
      <w:r>
        <w:t>: T</w:t>
      </w:r>
      <w:r w:rsidRPr="00490FBB">
        <w:t xml:space="preserve">he experiences of enrollees getting their </w:t>
      </w:r>
      <w:r w:rsidR="00230120">
        <w:t xml:space="preserve">IVIG </w:t>
      </w:r>
      <w:r w:rsidRPr="00490FBB">
        <w:t xml:space="preserve">treatments at home under the </w:t>
      </w:r>
      <w:r>
        <w:t xml:space="preserve">Demonstration </w:t>
      </w:r>
      <w:r w:rsidRPr="00490FBB">
        <w:t xml:space="preserve">are not </w:t>
      </w:r>
      <w:r>
        <w:t xml:space="preserve">statistically </w:t>
      </w:r>
      <w:r w:rsidRPr="00490FBB">
        <w:t xml:space="preserve">different </w:t>
      </w:r>
      <w:r>
        <w:t xml:space="preserve">than the experiences of those </w:t>
      </w:r>
      <w:r w:rsidRPr="00490FBB">
        <w:t>unenrolled</w:t>
      </w:r>
      <w:r>
        <w:t>.</w:t>
      </w:r>
      <w:r w:rsidRPr="00490FBB">
        <w:t xml:space="preserve"> </w:t>
      </w:r>
    </w:p>
    <w:p w14:paraId="39CF6958" w14:textId="28A72C51" w:rsidR="00431EC1" w:rsidRDefault="00431EC1" w:rsidP="00503112">
      <w:pPr>
        <w:pStyle w:val="BodyTextFirstIndent"/>
      </w:pPr>
      <w:r w:rsidRPr="00A2666E">
        <w:rPr>
          <w:i/>
        </w:rPr>
        <w:t xml:space="preserve">Null Hypothesis </w:t>
      </w:r>
      <w:r w:rsidR="0059142D">
        <w:rPr>
          <w:i/>
        </w:rPr>
        <w:t>2</w:t>
      </w:r>
      <w:r>
        <w:t xml:space="preserve">: </w:t>
      </w:r>
      <w:r w:rsidR="00490FBB">
        <w:t>T</w:t>
      </w:r>
      <w:r w:rsidR="00490FBB" w:rsidRPr="00490FBB">
        <w:t xml:space="preserve">he experiences of enrollees getting their </w:t>
      </w:r>
      <w:r w:rsidR="00230120">
        <w:t>IVIG</w:t>
      </w:r>
      <w:r w:rsidR="00230120" w:rsidRPr="00490FBB">
        <w:t xml:space="preserve"> </w:t>
      </w:r>
      <w:r w:rsidR="00490FBB" w:rsidRPr="00490FBB">
        <w:t xml:space="preserve">treatments at home under the </w:t>
      </w:r>
      <w:r w:rsidR="001F4804">
        <w:t>Demonstration</w:t>
      </w:r>
      <w:r w:rsidR="00490FBB">
        <w:t xml:space="preserve"> </w:t>
      </w:r>
      <w:r w:rsidR="00490FBB" w:rsidRPr="00490FBB">
        <w:t xml:space="preserve">are not </w:t>
      </w:r>
      <w:r w:rsidR="00490FBB">
        <w:t xml:space="preserve">statistically </w:t>
      </w:r>
      <w:r w:rsidR="00490FBB" w:rsidRPr="00490FBB">
        <w:t xml:space="preserve">different </w:t>
      </w:r>
      <w:r w:rsidR="00230120">
        <w:t xml:space="preserve">in comparison to </w:t>
      </w:r>
      <w:r w:rsidR="00490FBB">
        <w:t xml:space="preserve">their </w:t>
      </w:r>
      <w:r w:rsidR="00230120">
        <w:t xml:space="preserve">IVIG </w:t>
      </w:r>
      <w:r w:rsidR="00490FBB">
        <w:t>treatment experiences</w:t>
      </w:r>
      <w:r w:rsidR="00490FBB" w:rsidRPr="00490FBB">
        <w:t xml:space="preserve"> before the </w:t>
      </w:r>
      <w:r w:rsidR="00490FBB">
        <w:t>D</w:t>
      </w:r>
      <w:r w:rsidR="00490FBB" w:rsidRPr="00490FBB">
        <w:t>emonstration.</w:t>
      </w:r>
    </w:p>
    <w:p w14:paraId="2D35C2C9" w14:textId="77777777" w:rsidR="00247D06" w:rsidRDefault="00247D06" w:rsidP="00247D06">
      <w:pPr>
        <w:pStyle w:val="Heading5"/>
        <w:numPr>
          <w:ilvl w:val="0"/>
          <w:numId w:val="0"/>
        </w:numPr>
        <w:ind w:left="720"/>
      </w:pPr>
      <w:r>
        <w:t>Interviews</w:t>
      </w:r>
    </w:p>
    <w:p w14:paraId="027E63E1" w14:textId="0553CCA3" w:rsidR="00E60770" w:rsidRPr="00E60770" w:rsidRDefault="005E3108" w:rsidP="00E60770">
      <w:pPr>
        <w:pStyle w:val="BodyTextFirstIndent"/>
        <w:spacing w:before="0" w:after="0"/>
      </w:pPr>
      <w:bookmarkStart w:id="4" w:name="_Toc410331595"/>
      <w:bookmarkStart w:id="5" w:name="_Toc410331701"/>
      <w:bookmarkStart w:id="6" w:name="_Toc429570390"/>
      <w:bookmarkStart w:id="7" w:name="_Toc431546796"/>
      <w:bookmarkStart w:id="8" w:name="PotentialRespondentUniverseandSampling"/>
      <w:r w:rsidRPr="00E60770">
        <w:t xml:space="preserve">The overall purpose and use of </w:t>
      </w:r>
      <w:r w:rsidR="00E60770">
        <w:t>information using interviews</w:t>
      </w:r>
      <w:r w:rsidR="00E60770" w:rsidRPr="00E60770">
        <w:t xml:space="preserve"> with providers, nurses, informal caregivers and patient advocates is to provide their perspectives on the Demonstration program, including the advantages and disadvantages of different treatment options, perspectives on access, quality, cost, convenience, ease of use, safety, and health outcomes for beneficiaries using the services provided under the Demonstration. The purpose and use of interviews with manufacturers, distributors, large GPOs, and home infusion therapy companies is to assess changes to date in the current IVIG market</w:t>
      </w:r>
      <w:r w:rsidR="0059142D">
        <w:t xml:space="preserve"> dynamics</w:t>
      </w:r>
      <w:r w:rsidR="00E60770" w:rsidRPr="00E60770">
        <w:t xml:space="preserve">, including IVIG supply, distribution, demand, and access. </w:t>
      </w:r>
    </w:p>
    <w:p w14:paraId="45CA4D75" w14:textId="46BE7A4D" w:rsidR="005B3795" w:rsidRDefault="0059142D" w:rsidP="005B3795">
      <w:pPr>
        <w:pStyle w:val="BodyTextFirstIndent"/>
      </w:pPr>
      <w:r>
        <w:t xml:space="preserve">The study </w:t>
      </w:r>
      <w:r w:rsidR="005B3795" w:rsidRPr="00E60770">
        <w:t>protocols provide guidelines for conducting interviews in order to increase consistency and reliability of the findings. The semi-structured interview guides include</w:t>
      </w:r>
      <w:r w:rsidR="005B3795">
        <w:t xml:space="preserve"> a list of </w:t>
      </w:r>
      <w:r w:rsidR="005B3795" w:rsidRPr="007C54E3">
        <w:t xml:space="preserve">open-ended questions </w:t>
      </w:r>
      <w:r w:rsidR="005B3795">
        <w:t xml:space="preserve">that </w:t>
      </w:r>
      <w:r w:rsidR="005B3795" w:rsidRPr="007C54E3">
        <w:t xml:space="preserve">are asked </w:t>
      </w:r>
      <w:r w:rsidR="005B3795">
        <w:t>of</w:t>
      </w:r>
      <w:r w:rsidR="005B3795" w:rsidRPr="007C54E3">
        <w:t xml:space="preserve"> all interviewees</w:t>
      </w:r>
      <w:r w:rsidR="005B3795">
        <w:t xml:space="preserve">. Additional follow-up interview questions and probes </w:t>
      </w:r>
      <w:r>
        <w:t xml:space="preserve">will be </w:t>
      </w:r>
      <w:r w:rsidR="005B3795">
        <w:t xml:space="preserve">asked to clarify or to provide additional information based on the participants’ response. This </w:t>
      </w:r>
      <w:r w:rsidR="005B3795" w:rsidRPr="007C54E3">
        <w:t xml:space="preserve">approach facilitates </w:t>
      </w:r>
      <w:r w:rsidR="005B3795">
        <w:t>targeted interviews that c</w:t>
      </w:r>
      <w:r w:rsidR="005B3795" w:rsidRPr="007C54E3">
        <w:t>an be easily analyzed and compared</w:t>
      </w:r>
      <w:r w:rsidR="005B3795">
        <w:t xml:space="preserve"> across while allowing for new or unexpected information to be provided by participants, thereby retaining the flexibility needed to delve deeper into the respondents’ opinions. With an emergent and iterative design, our research is exploratory and we will continue to update our interview question probes to follow-up on any unexpected trends and insights. We will also validate findings and themes identified during early interviews in our later interviews through member checking, a method of </w:t>
      </w:r>
      <w:r w:rsidR="005B3795" w:rsidRPr="00B83872">
        <w:t xml:space="preserve">soliciting feedback about </w:t>
      </w:r>
      <w:r w:rsidR="005B3795">
        <w:t xml:space="preserve">particular </w:t>
      </w:r>
      <w:r w:rsidR="005B3795" w:rsidRPr="00B83872">
        <w:t>findings from other members of the groups participating in interviews</w:t>
      </w:r>
      <w:r w:rsidR="00713881">
        <w:t xml:space="preserve"> </w:t>
      </w:r>
      <w:sdt>
        <w:sdtPr>
          <w:id w:val="-960112309"/>
          <w:citation/>
        </w:sdtPr>
        <w:sdtEndPr/>
        <w:sdtContent>
          <w:r w:rsidR="00713881">
            <w:fldChar w:fldCharType="begin"/>
          </w:r>
          <w:r w:rsidR="00713881">
            <w:instrText xml:space="preserve"> CITATION Max05 \l 1033  \m Gro14</w:instrText>
          </w:r>
          <w:r w:rsidR="00713881">
            <w:fldChar w:fldCharType="separate"/>
          </w:r>
          <w:r w:rsidR="00464D9D">
            <w:rPr>
              <w:noProof/>
            </w:rPr>
            <w:t>(Maxwell, 2005; Grossoehme, 2014)</w:t>
          </w:r>
          <w:r w:rsidR="00713881">
            <w:fldChar w:fldCharType="end"/>
          </w:r>
        </w:sdtContent>
      </w:sdt>
      <w:r w:rsidR="005B3795">
        <w:t xml:space="preserve">. </w:t>
      </w:r>
    </w:p>
    <w:p w14:paraId="7D0A6D79" w14:textId="77777777" w:rsidR="005B3795" w:rsidRPr="00AD62EE" w:rsidRDefault="005B3795" w:rsidP="005E3108">
      <w:pPr>
        <w:pStyle w:val="BodyTextFirstIndent"/>
      </w:pPr>
    </w:p>
    <w:p w14:paraId="1416C85A" w14:textId="0A6A4286" w:rsidR="001177FD" w:rsidRDefault="001177FD" w:rsidP="0091795A">
      <w:pPr>
        <w:pStyle w:val="Heading1"/>
      </w:pPr>
      <w:r w:rsidRPr="00EE2F11">
        <w:lastRenderedPageBreak/>
        <w:t>Potential</w:t>
      </w:r>
      <w:r w:rsidRPr="008E143F">
        <w:t xml:space="preserve"> Respondent Universe and Sampling Method</w:t>
      </w:r>
      <w:bookmarkEnd w:id="4"/>
      <w:bookmarkEnd w:id="5"/>
      <w:bookmarkEnd w:id="6"/>
      <w:bookmarkEnd w:id="7"/>
    </w:p>
    <w:p w14:paraId="4910CEE1" w14:textId="77777777" w:rsidR="001177FD" w:rsidRPr="00FF0F45" w:rsidRDefault="001177FD" w:rsidP="0091795A">
      <w:pPr>
        <w:pStyle w:val="Heading2"/>
      </w:pPr>
      <w:bookmarkStart w:id="9" w:name="_Ref461535101"/>
      <w:bookmarkStart w:id="10" w:name="_Toc410331596"/>
      <w:bookmarkStart w:id="11" w:name="_Toc410331702"/>
      <w:bookmarkStart w:id="12" w:name="_Toc429570391"/>
      <w:bookmarkStart w:id="13" w:name="_Toc431546797"/>
      <w:bookmarkStart w:id="14" w:name="_Ref435092491"/>
      <w:bookmarkStart w:id="15" w:name="PotentialRespondentUniverse"/>
      <w:r w:rsidRPr="00FF0F45">
        <w:t>Potential Respondent Universe</w:t>
      </w:r>
      <w:bookmarkEnd w:id="9"/>
      <w:bookmarkEnd w:id="10"/>
      <w:bookmarkEnd w:id="11"/>
      <w:bookmarkEnd w:id="12"/>
      <w:bookmarkEnd w:id="13"/>
      <w:bookmarkEnd w:id="14"/>
    </w:p>
    <w:bookmarkEnd w:id="15"/>
    <w:p w14:paraId="24DD71B2" w14:textId="184D7A58" w:rsidR="00AD62EE" w:rsidRPr="00AD62EE" w:rsidRDefault="00AD62EE" w:rsidP="00AD62EE">
      <w:pPr>
        <w:pStyle w:val="Heading3"/>
      </w:pPr>
      <w:r>
        <w:t>Survey</w:t>
      </w:r>
    </w:p>
    <w:bookmarkEnd w:id="8"/>
    <w:p w14:paraId="5E5F78FA" w14:textId="5874DC0B" w:rsidR="001177FD" w:rsidRDefault="001177FD" w:rsidP="0091795A">
      <w:pPr>
        <w:pStyle w:val="BodyTextFirstIndent"/>
      </w:pPr>
      <w:r w:rsidRPr="00B627FA">
        <w:t xml:space="preserve">The universe for the survey </w:t>
      </w:r>
      <w:r w:rsidR="00830929">
        <w:t xml:space="preserve">is </w:t>
      </w:r>
      <w:r w:rsidRPr="00B627FA">
        <w:t xml:space="preserve">all Medicare </w:t>
      </w:r>
      <w:r w:rsidRPr="008E143F">
        <w:t>beneficiaries</w:t>
      </w:r>
      <w:r w:rsidRPr="00B627FA">
        <w:t xml:space="preserve"> with PIDD who are receiving </w:t>
      </w:r>
      <w:r w:rsidR="00830929">
        <w:t>immunoglobulin</w:t>
      </w:r>
      <w:r w:rsidRPr="00B627FA">
        <w:t xml:space="preserve"> </w:t>
      </w:r>
      <w:r>
        <w:t xml:space="preserve">(based on paid historical Medicare claims) defined by the specific codes shown in </w:t>
      </w:r>
      <w:r w:rsidRPr="00490DEA">
        <w:t xml:space="preserve">Appendix </w:t>
      </w:r>
      <w:r>
        <w:t>C</w:t>
      </w:r>
      <w:r w:rsidRPr="00B627FA">
        <w:t xml:space="preserve">. </w:t>
      </w:r>
      <w:r>
        <w:t>The universe is composed of:</w:t>
      </w:r>
    </w:p>
    <w:p w14:paraId="0FB0FB52" w14:textId="37218069" w:rsidR="001177FD" w:rsidRDefault="001177FD" w:rsidP="0091795A">
      <w:pPr>
        <w:pStyle w:val="ListBullet"/>
      </w:pPr>
      <w:r w:rsidRPr="0091795A">
        <w:rPr>
          <w:b/>
        </w:rPr>
        <w:t>Group 1</w:t>
      </w:r>
      <w:r>
        <w:t xml:space="preserve">: Those who have submitted an application to enroll in the </w:t>
      </w:r>
      <w:r w:rsidR="001F4804">
        <w:t>Demonstration</w:t>
      </w:r>
      <w:r>
        <w:t xml:space="preserve"> whose IG providers have submitted one or more claims</w:t>
      </w:r>
      <w:r>
        <w:rPr>
          <w:rStyle w:val="FootnoteReference"/>
        </w:rPr>
        <w:footnoteReference w:id="2"/>
      </w:r>
      <w:r>
        <w:t xml:space="preserve"> under the </w:t>
      </w:r>
      <w:r w:rsidR="001F4804">
        <w:t>Demonstration</w:t>
      </w:r>
      <w:r>
        <w:t xml:space="preserve"> (approximately 974 beneficiaries, as of September 2, 2016).</w:t>
      </w:r>
    </w:p>
    <w:p w14:paraId="13A62CDE" w14:textId="77777777" w:rsidR="00830929" w:rsidRDefault="00830929" w:rsidP="00830929">
      <w:pPr>
        <w:pStyle w:val="ListBullet"/>
      </w:pPr>
      <w:r w:rsidRPr="0091795A">
        <w:rPr>
          <w:b/>
        </w:rPr>
        <w:t>Group 2</w:t>
      </w:r>
      <w:r>
        <w:t xml:space="preserve">: Those who have not enrolled in the Demonstration (approximately </w:t>
      </w:r>
      <w:r w:rsidRPr="00847F41">
        <w:t>7,928</w:t>
      </w:r>
      <w:r>
        <w:t xml:space="preserve"> beneficiaries, as of September 2, 2016).</w:t>
      </w:r>
    </w:p>
    <w:p w14:paraId="6913FD57" w14:textId="606C7303" w:rsidR="001177FD" w:rsidRDefault="00356667" w:rsidP="0091795A">
      <w:pPr>
        <w:pStyle w:val="BodyTextFirstIndent"/>
      </w:pPr>
      <w:r>
        <w:t xml:space="preserve">Additionally, the universe includes 398 beneficiaries (as of September 2, 2016) </w:t>
      </w:r>
      <w:r w:rsidR="00BB07BE">
        <w:t xml:space="preserve">who have </w:t>
      </w:r>
      <w:r w:rsidR="001177FD">
        <w:t xml:space="preserve">enrolled in the </w:t>
      </w:r>
      <w:r w:rsidR="001F4804">
        <w:t>Demonstration</w:t>
      </w:r>
      <w:r w:rsidR="00BB07BE">
        <w:t>,</w:t>
      </w:r>
      <w:r w:rsidR="001177FD">
        <w:t xml:space="preserve"> but have not yet utilized the in-home benefit</w:t>
      </w:r>
      <w:r>
        <w:t xml:space="preserve"> (Group 3)</w:t>
      </w:r>
      <w:r w:rsidR="001177FD">
        <w:t>.</w:t>
      </w:r>
    </w:p>
    <w:p w14:paraId="3EEAD164" w14:textId="77777777" w:rsidR="00AD62EE" w:rsidRDefault="00AD62EE" w:rsidP="00AD62EE">
      <w:pPr>
        <w:pStyle w:val="Heading3"/>
      </w:pPr>
      <w:r>
        <w:t>Interviews</w:t>
      </w:r>
    </w:p>
    <w:p w14:paraId="516FBA8D" w14:textId="167612E9" w:rsidR="003C0E1A" w:rsidRDefault="003C0E1A" w:rsidP="003C0E1A">
      <w:pPr>
        <w:pStyle w:val="BodyTextFirstIndent"/>
      </w:pPr>
      <w:r>
        <w:t>The potential respondent universe includes physicians, nurses, caregivers</w:t>
      </w:r>
      <w:r w:rsidR="005E3108">
        <w:t xml:space="preserve"> </w:t>
      </w:r>
      <w:r w:rsidR="0059142D">
        <w:t xml:space="preserve">and </w:t>
      </w:r>
      <w:r w:rsidR="005E3108">
        <w:t>advocates for patients with PIDD receiving IVIG; and IVIG manufacturers, distributors, Group Purchasing Organizations (GPOs), and infusion companies</w:t>
      </w:r>
      <w:r>
        <w:t xml:space="preserve">. </w:t>
      </w:r>
      <w:r w:rsidR="005E3108">
        <w:t>To identify physicians, n</w:t>
      </w:r>
      <w:r>
        <w:t xml:space="preserve">urses, and caregivers for Medicare beneficiaries with PIDD receiving IVIG, we will </w:t>
      </w:r>
      <w:r w:rsidR="005E3108">
        <w:t>conduct</w:t>
      </w:r>
      <w:r>
        <w:t xml:space="preserve"> purposive and snowball convenience sampling to identify respondents in these groups</w:t>
      </w:r>
      <w:r w:rsidR="005E3108">
        <w:t>, initially based on recommendations of physicians</w:t>
      </w:r>
      <w:r>
        <w:t>.</w:t>
      </w:r>
    </w:p>
    <w:p w14:paraId="4654892A" w14:textId="53D566BB" w:rsidR="003C0E1A" w:rsidRDefault="003C0E1A" w:rsidP="003C0E1A">
      <w:pPr>
        <w:pStyle w:val="BodyTextFirstIndent"/>
      </w:pPr>
      <w:r>
        <w:t>For patient advocates, the universe is all patient advocacy groups who are focused on patients with PIDD. We will conduct purposive and convenience sampling to identify respondents in these groups.</w:t>
      </w:r>
    </w:p>
    <w:p w14:paraId="341EF736" w14:textId="1CF0887D" w:rsidR="003C0E1A" w:rsidRDefault="003C0E1A" w:rsidP="003C0E1A">
      <w:pPr>
        <w:pStyle w:val="BodyTextFirstIndent"/>
      </w:pPr>
      <w:r>
        <w:t xml:space="preserve">For interviews with manufacturers, distributors, Group Purchasing Organizations (GPOs), and infusion companies, the universe is all of the manufacturers and primary and secondary distributors of IVIG, the largest GPOs, and home infusion therapy companies. </w:t>
      </w:r>
      <w:r w:rsidR="005E3108">
        <w:t xml:space="preserve">We </w:t>
      </w:r>
      <w:r w:rsidR="00E62283">
        <w:t xml:space="preserve">will </w:t>
      </w:r>
      <w:r w:rsidR="005E3108">
        <w:t>conduct purposive and convenience sampling to identify respondents in these groups.</w:t>
      </w:r>
    </w:p>
    <w:p w14:paraId="22FE9C20" w14:textId="77777777" w:rsidR="001177FD" w:rsidRPr="00E13DAE" w:rsidRDefault="001177FD" w:rsidP="0091795A">
      <w:pPr>
        <w:pStyle w:val="Heading2"/>
      </w:pPr>
      <w:bookmarkStart w:id="16" w:name="_Toc410331597"/>
      <w:bookmarkStart w:id="17" w:name="_Toc410331703"/>
      <w:bookmarkStart w:id="18" w:name="_Toc429570392"/>
      <w:bookmarkStart w:id="19" w:name="_Toc431546798"/>
      <w:bookmarkStart w:id="20" w:name="_Ref461535010"/>
      <w:bookmarkStart w:id="21" w:name="SamplingMethod"/>
      <w:r w:rsidRPr="00E13DAE">
        <w:t>Sampling Method</w:t>
      </w:r>
      <w:bookmarkEnd w:id="16"/>
      <w:bookmarkEnd w:id="17"/>
      <w:bookmarkEnd w:id="18"/>
      <w:bookmarkEnd w:id="19"/>
      <w:bookmarkEnd w:id="20"/>
    </w:p>
    <w:p w14:paraId="1CB8325F" w14:textId="77777777" w:rsidR="001177FD" w:rsidRPr="00E13DAE" w:rsidRDefault="001177FD" w:rsidP="001177FD">
      <w:pPr>
        <w:pStyle w:val="Heading3"/>
      </w:pPr>
      <w:bookmarkStart w:id="22" w:name="SampleFrame"/>
      <w:bookmarkEnd w:id="21"/>
      <w:r w:rsidRPr="00E13DAE">
        <w:t xml:space="preserve">Sample </w:t>
      </w:r>
      <w:r w:rsidRPr="001177FD">
        <w:t>Frame</w:t>
      </w:r>
    </w:p>
    <w:bookmarkEnd w:id="22"/>
    <w:p w14:paraId="61712992" w14:textId="77777777" w:rsidR="00AD62EE" w:rsidRDefault="00AD62EE" w:rsidP="00AD62EE">
      <w:pPr>
        <w:pStyle w:val="Heading4"/>
      </w:pPr>
      <w:r>
        <w:t>Survey</w:t>
      </w:r>
    </w:p>
    <w:p w14:paraId="4D54B5AF" w14:textId="7F3987FD" w:rsidR="000100EF" w:rsidRDefault="001177FD" w:rsidP="000100EF">
      <w:pPr>
        <w:pStyle w:val="BodyTextFirstIndent"/>
      </w:pPr>
      <w:r w:rsidRPr="008B65D2">
        <w:t>The sample frame for the survey will be Medicare claims data for beneficiaries with PIDD who are receiving IVIG</w:t>
      </w:r>
      <w:r>
        <w:t xml:space="preserve">; </w:t>
      </w:r>
      <w:r w:rsidRPr="008B65D2">
        <w:t xml:space="preserve">including </w:t>
      </w:r>
      <w:r w:rsidR="001F4804">
        <w:t>Demonstration</w:t>
      </w:r>
      <w:r w:rsidRPr="008B65D2">
        <w:t xml:space="preserve"> participants</w:t>
      </w:r>
      <w:r w:rsidR="00BA7EA9">
        <w:t xml:space="preserve"> who used the in-home benefit (Group 1</w:t>
      </w:r>
      <w:r>
        <w:t>)</w:t>
      </w:r>
      <w:r w:rsidRPr="008B65D2">
        <w:t xml:space="preserve"> and non-participants</w:t>
      </w:r>
      <w:r w:rsidR="00BA7EA9">
        <w:t xml:space="preserve"> (Group 2</w:t>
      </w:r>
      <w:r w:rsidRPr="008B65D2">
        <w:t xml:space="preserve">). </w:t>
      </w:r>
      <w:r w:rsidR="00324287">
        <w:t>The frame will also include those Medicare beneficiaries who have enrolled in the Demonstration but did not use the in-home benefit (Group 3)</w:t>
      </w:r>
      <w:r w:rsidR="000100EF">
        <w:t>, which constitute 29 percent of those enrolled in the Demonstration (398 out of 1,327)</w:t>
      </w:r>
      <w:r w:rsidR="004879F8">
        <w:t>.</w:t>
      </w:r>
      <w:r w:rsidR="000100EF">
        <w:t xml:space="preserve"> The data collected from this group will yield pertinent information on the reasons for non-use, such as inability to find an in-home IVIG service provider.</w:t>
      </w:r>
    </w:p>
    <w:p w14:paraId="45CAC6C7" w14:textId="77777777" w:rsidR="001177FD" w:rsidRDefault="001177FD" w:rsidP="0091795A">
      <w:pPr>
        <w:pStyle w:val="BodyTextFirstIndent"/>
      </w:pPr>
      <w:r>
        <w:lastRenderedPageBreak/>
        <w:t>Survey respondents will self-identify which group they are a member of using the survey instructions and screening questions.</w:t>
      </w:r>
    </w:p>
    <w:p w14:paraId="0F388FB8" w14:textId="77777777" w:rsidR="00AD62EE" w:rsidRDefault="00AD62EE" w:rsidP="00AD62EE">
      <w:pPr>
        <w:pStyle w:val="Heading4"/>
      </w:pPr>
      <w:r>
        <w:t>Interviews</w:t>
      </w:r>
    </w:p>
    <w:p w14:paraId="07EE4E01" w14:textId="77777777" w:rsidR="003C0E1A" w:rsidRDefault="009B05BC" w:rsidP="003C0E1A">
      <w:pPr>
        <w:pStyle w:val="BodyTextFirstIndent"/>
      </w:pPr>
      <w:r>
        <w:t>For interviews</w:t>
      </w:r>
      <w:r w:rsidR="003C0E1A">
        <w:t xml:space="preserve">, we will conduct non-probability purposive sampling based on selection criteria. This sampling method provides advantages for gaining insights for this demonstration project due to 1) simplicity and ease of sampling, 2) capturing basic trends to support further research, 3) rapid data collection and analysis and, 4) low cost and ease of implementation. </w:t>
      </w:r>
    </w:p>
    <w:p w14:paraId="5C332CC4" w14:textId="2B90AD0D" w:rsidR="003C0E1A" w:rsidRDefault="00E62283" w:rsidP="003C0E1A">
      <w:pPr>
        <w:pStyle w:val="BodyTextFirstIndent"/>
      </w:pPr>
      <w:r>
        <w:t>We</w:t>
      </w:r>
      <w:r w:rsidR="003C0E1A">
        <w:t xml:space="preserve"> will </w:t>
      </w:r>
      <w:r>
        <w:t>use</w:t>
      </w:r>
      <w:r w:rsidR="003C0E1A">
        <w:t xml:space="preserve"> Medicare claims data to identify physicians who treat beneficiaries with PIDD who are receiving IVIG and either participating or not participating in the IVIG Demonstration. The criteria for selecting providers includes the volume of IV/SCIG administrations in a typical month, type of setting, geographic region, and urban/rural location to achieve maximum variation in the sample in order to provide a balanced and representative perspective of the program</w:t>
      </w:r>
      <w:r w:rsidR="00B40491">
        <w:t xml:space="preserve"> </w:t>
      </w:r>
      <w:sdt>
        <w:sdtPr>
          <w:id w:val="756566837"/>
          <w:citation/>
        </w:sdtPr>
        <w:sdtEndPr/>
        <w:sdtContent>
          <w:r w:rsidR="0060188B">
            <w:fldChar w:fldCharType="begin"/>
          </w:r>
          <w:r w:rsidR="00B40491">
            <w:instrText xml:space="preserve"> CITATION Har09 \l 1033 </w:instrText>
          </w:r>
          <w:r w:rsidR="0060188B">
            <w:fldChar w:fldCharType="separate"/>
          </w:r>
          <w:r w:rsidR="00464D9D">
            <w:rPr>
              <w:noProof/>
            </w:rPr>
            <w:t>(Harris, et al., 2009)</w:t>
          </w:r>
          <w:r w:rsidR="0060188B">
            <w:fldChar w:fldCharType="end"/>
          </w:r>
        </w:sdtContent>
      </w:sdt>
      <w:r w:rsidR="003C0E1A">
        <w:t xml:space="preserve">. </w:t>
      </w:r>
    </w:p>
    <w:p w14:paraId="32494215" w14:textId="70CF4B16" w:rsidR="003C0E1A" w:rsidRDefault="003C0E1A" w:rsidP="003C0E1A">
      <w:pPr>
        <w:pStyle w:val="BodyTextFirstIndent"/>
      </w:pPr>
      <w:r>
        <w:t>To identify nurse</w:t>
      </w:r>
      <w:r w:rsidR="0059142D">
        <w:t xml:space="preserve"> respondents</w:t>
      </w:r>
      <w:r>
        <w:t xml:space="preserve">, we will ask physicians and participating organizations during the physicians’ interviews to recommend </w:t>
      </w:r>
      <w:r w:rsidR="0059142D">
        <w:t>nurses</w:t>
      </w:r>
      <w:r>
        <w:t xml:space="preserve"> who are directly involved with the care of patients receiving IG. We </w:t>
      </w:r>
      <w:r w:rsidR="000E4E4B">
        <w:t xml:space="preserve">will </w:t>
      </w:r>
      <w:r>
        <w:t>also contact provider organizations identified in the claims data that were not selected for physician interviews to identify additional nurses to participate in the interviews if ne</w:t>
      </w:r>
      <w:r w:rsidR="000E4E4B">
        <w:t>eded</w:t>
      </w:r>
      <w:r w:rsidR="00230120">
        <w:t>.</w:t>
      </w:r>
      <w:r>
        <w:t xml:space="preserve"> Snowball sampling will be used to identify informal caregivers based on recommendat</w:t>
      </w:r>
      <w:r w:rsidR="000742EB">
        <w:t>ions from physicians and nurses.</w:t>
      </w:r>
    </w:p>
    <w:p w14:paraId="3F78E22A" w14:textId="4E7C1A4E" w:rsidR="003C0E1A" w:rsidRDefault="003C0E1A" w:rsidP="003C0E1A">
      <w:pPr>
        <w:pStyle w:val="BodyTextFirstIndent"/>
      </w:pPr>
      <w:r>
        <w:t>Caregivers of beneficiaries will be selected via purposive/snowball sampling who fit the inclusion criteria based on physician and nurse recommendations.</w:t>
      </w:r>
    </w:p>
    <w:p w14:paraId="1B894A7D" w14:textId="04C84525" w:rsidR="005E3108" w:rsidRDefault="005E3108" w:rsidP="003C0E1A">
      <w:pPr>
        <w:pStyle w:val="BodyTextFirstIndent"/>
      </w:pPr>
      <w:r>
        <w:t>P</w:t>
      </w:r>
      <w:r w:rsidRPr="00572F59">
        <w:t xml:space="preserve">atient advocates will be selected </w:t>
      </w:r>
      <w:r>
        <w:t>based on publicly available data and inquiries</w:t>
      </w:r>
      <w:r w:rsidRPr="00572F59">
        <w:t>.</w:t>
      </w:r>
    </w:p>
    <w:p w14:paraId="7CFB6018" w14:textId="517275AB" w:rsidR="00AD62EE" w:rsidRPr="00AD62EE" w:rsidRDefault="003C0E1A" w:rsidP="003C0E1A">
      <w:pPr>
        <w:pStyle w:val="BodyTextFirstIndent"/>
      </w:pPr>
      <w:r>
        <w:t xml:space="preserve">Medicare claims data will be used to identify </w:t>
      </w:r>
      <w:r w:rsidR="000E4E4B">
        <w:t xml:space="preserve">interviewees from </w:t>
      </w:r>
      <w:r>
        <w:t>home infusion companies</w:t>
      </w:r>
      <w:r w:rsidR="00464D9D">
        <w:t>.</w:t>
      </w:r>
      <w:r>
        <w:t xml:space="preserve"> </w:t>
      </w:r>
      <w:r w:rsidR="00E62283">
        <w:t xml:space="preserve">We will also </w:t>
      </w:r>
      <w:r w:rsidR="000E4E4B">
        <w:t xml:space="preserve">select interviewees from </w:t>
      </w:r>
      <w:r w:rsidR="00E62283">
        <w:t xml:space="preserve">a list of manufacturers and distributors who participated in the </w:t>
      </w:r>
      <w:r w:rsidR="000E4E4B">
        <w:t xml:space="preserve">2016 </w:t>
      </w:r>
      <w:r w:rsidR="00E62283">
        <w:t xml:space="preserve">IVIG Access Demonstration Webinar and </w:t>
      </w:r>
      <w:r>
        <w:t>the list of participating manufacturers and distributers from the previous ASPE report.</w:t>
      </w:r>
    </w:p>
    <w:p w14:paraId="52A26BE2" w14:textId="77777777" w:rsidR="001177FD" w:rsidRDefault="001177FD" w:rsidP="003B55AA">
      <w:pPr>
        <w:pStyle w:val="Heading3"/>
      </w:pPr>
      <w:bookmarkStart w:id="23" w:name="_Toc409601342"/>
      <w:bookmarkStart w:id="24" w:name="_Toc410331599"/>
      <w:bookmarkStart w:id="25" w:name="_Toc410331705"/>
      <w:bookmarkStart w:id="26" w:name="_Ref428174079"/>
      <w:bookmarkStart w:id="27" w:name="_Toc429570394"/>
      <w:bookmarkStart w:id="28" w:name="_Toc431546800"/>
      <w:bookmarkStart w:id="29" w:name="_Ref433608497"/>
      <w:bookmarkStart w:id="30" w:name="_Ref435092963"/>
      <w:bookmarkStart w:id="31" w:name="_Ref435093767"/>
      <w:bookmarkStart w:id="32" w:name="_Ref435093899"/>
      <w:bookmarkStart w:id="33" w:name="_Ref461535237"/>
      <w:bookmarkStart w:id="34" w:name="_Ref461535287"/>
      <w:bookmarkStart w:id="35" w:name="_Ref461535300"/>
      <w:bookmarkStart w:id="36" w:name="SampleAllocation"/>
      <w:r w:rsidRPr="00E13DAE">
        <w:t xml:space="preserve">Sample </w:t>
      </w:r>
      <w:r w:rsidRPr="001177FD">
        <w:t>Allocation</w:t>
      </w:r>
      <w:bookmarkEnd w:id="23"/>
      <w:bookmarkEnd w:id="24"/>
      <w:bookmarkEnd w:id="25"/>
      <w:bookmarkEnd w:id="26"/>
      <w:bookmarkEnd w:id="27"/>
      <w:bookmarkEnd w:id="28"/>
      <w:bookmarkEnd w:id="29"/>
      <w:bookmarkEnd w:id="30"/>
      <w:bookmarkEnd w:id="31"/>
      <w:bookmarkEnd w:id="32"/>
      <w:bookmarkEnd w:id="33"/>
      <w:bookmarkEnd w:id="34"/>
      <w:bookmarkEnd w:id="35"/>
    </w:p>
    <w:p w14:paraId="3C119DFC" w14:textId="3AEF4BDB" w:rsidR="00AD62EE" w:rsidRPr="00AD62EE" w:rsidRDefault="00AD62EE" w:rsidP="00AD62EE">
      <w:pPr>
        <w:pStyle w:val="Heading4"/>
      </w:pPr>
      <w:bookmarkStart w:id="37" w:name="_Ref462847740"/>
      <w:r>
        <w:t>Survey</w:t>
      </w:r>
      <w:bookmarkEnd w:id="37"/>
    </w:p>
    <w:bookmarkEnd w:id="36"/>
    <w:p w14:paraId="0AE6A112" w14:textId="093DEB4D" w:rsidR="001177FD" w:rsidRDefault="001609C4" w:rsidP="00503112">
      <w:pPr>
        <w:pStyle w:val="BodyTextFirstIndent"/>
      </w:pPr>
      <w:r>
        <w:t xml:space="preserve">All beneficiaries in Group 1 and Group 3 will be </w:t>
      </w:r>
      <w:r w:rsidR="000E4E4B">
        <w:t>targeted</w:t>
      </w:r>
      <w:r>
        <w:t xml:space="preserve"> for the survey. </w:t>
      </w:r>
      <w:r w:rsidR="000E4E4B">
        <w:t xml:space="preserve">A </w:t>
      </w:r>
      <w:r>
        <w:t xml:space="preserve">stratified random sample </w:t>
      </w:r>
      <w:r w:rsidR="000E4E4B">
        <w:t xml:space="preserve">of Group 2 beneficiaries will be targeted for the </w:t>
      </w:r>
      <w:r>
        <w:t>survey.</w:t>
      </w:r>
    </w:p>
    <w:p w14:paraId="4CBDDED2" w14:textId="55A7F687" w:rsidR="001177FD" w:rsidRDefault="0060188B" w:rsidP="00503112">
      <w:pPr>
        <w:pStyle w:val="BodyTextFirstIndent"/>
      </w:pPr>
      <w:r>
        <w:fldChar w:fldCharType="begin"/>
      </w:r>
      <w:r w:rsidR="001231B8">
        <w:instrText xml:space="preserve"> REF _Ref461535535 \h </w:instrText>
      </w:r>
      <w:r>
        <w:fldChar w:fldCharType="separate"/>
      </w:r>
      <w:r w:rsidR="00464D9D">
        <w:t xml:space="preserve">Table </w:t>
      </w:r>
      <w:r w:rsidR="00464D9D">
        <w:rPr>
          <w:noProof/>
        </w:rPr>
        <w:t>1</w:t>
      </w:r>
      <w:r>
        <w:fldChar w:fldCharType="end"/>
      </w:r>
      <w:r w:rsidR="001231B8">
        <w:t xml:space="preserve"> </w:t>
      </w:r>
      <w:r w:rsidR="001177FD" w:rsidRPr="0000569B">
        <w:t xml:space="preserve">shows the </w:t>
      </w:r>
      <w:r w:rsidR="001177FD">
        <w:t xml:space="preserve">total </w:t>
      </w:r>
      <w:r w:rsidR="001177FD" w:rsidRPr="0000569B">
        <w:t xml:space="preserve">number of beneficiaries, </w:t>
      </w:r>
      <w:r w:rsidR="001177FD">
        <w:t>sample size</w:t>
      </w:r>
      <w:r w:rsidR="001177FD" w:rsidRPr="0000569B">
        <w:t xml:space="preserve">, </w:t>
      </w:r>
      <w:r w:rsidR="001177FD">
        <w:t xml:space="preserve">expected </w:t>
      </w:r>
      <w:r w:rsidR="001177FD" w:rsidRPr="0000569B">
        <w:t>response rate</w:t>
      </w:r>
      <w:r w:rsidR="001177FD">
        <w:t xml:space="preserve">, and </w:t>
      </w:r>
      <w:r w:rsidR="001177FD" w:rsidRPr="0000569B">
        <w:t>number of completes</w:t>
      </w:r>
      <w:r w:rsidR="001177FD">
        <w:t xml:space="preserve"> for each survey estimation cell (i.e., Group 1, Group 2, and Group 3), and the derivation of these numbers is discussed</w:t>
      </w:r>
      <w:r w:rsidR="00640CE7">
        <w:t xml:space="preserve"> </w:t>
      </w:r>
      <w:r w:rsidR="001177FD">
        <w:t>below.</w:t>
      </w:r>
    </w:p>
    <w:p w14:paraId="2B19E95E" w14:textId="69DE3E30" w:rsidR="001177FD" w:rsidRDefault="001177FD" w:rsidP="001177FD">
      <w:pPr>
        <w:pStyle w:val="Caption"/>
        <w:spacing w:line="276" w:lineRule="auto"/>
      </w:pPr>
      <w:bookmarkStart w:id="38" w:name="_Ref461535535"/>
      <w:r>
        <w:t xml:space="preserve">Table </w:t>
      </w:r>
      <w:r w:rsidR="0060188B">
        <w:fldChar w:fldCharType="begin"/>
      </w:r>
      <w:r w:rsidR="00317143">
        <w:instrText xml:space="preserve"> SEQ Table \* ARABIC </w:instrText>
      </w:r>
      <w:r w:rsidR="0060188B">
        <w:fldChar w:fldCharType="separate"/>
      </w:r>
      <w:r w:rsidR="00464D9D">
        <w:rPr>
          <w:noProof/>
        </w:rPr>
        <w:t>1</w:t>
      </w:r>
      <w:r w:rsidR="0060188B">
        <w:rPr>
          <w:noProof/>
        </w:rPr>
        <w:fldChar w:fldCharType="end"/>
      </w:r>
      <w:bookmarkEnd w:id="38"/>
      <w:r>
        <w:t xml:space="preserve">: </w:t>
      </w:r>
      <w:r w:rsidRPr="006B0541">
        <w:t>Survey Universe</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4765"/>
        <w:gridCol w:w="1216"/>
        <w:gridCol w:w="1126"/>
        <w:gridCol w:w="1126"/>
        <w:gridCol w:w="1127"/>
      </w:tblGrid>
      <w:tr w:rsidR="001177FD" w:rsidRPr="0016504C" w14:paraId="7929F4C7" w14:textId="77777777" w:rsidTr="001609C4">
        <w:trPr>
          <w:cantSplit/>
          <w:tblHeader/>
          <w:jc w:val="center"/>
        </w:trPr>
        <w:tc>
          <w:tcPr>
            <w:tcW w:w="4765" w:type="dxa"/>
            <w:shd w:val="clear" w:color="000000" w:fill="DBE5F1" w:themeFill="accent1" w:themeFillTint="33"/>
            <w:vAlign w:val="bottom"/>
            <w:hideMark/>
          </w:tcPr>
          <w:p w14:paraId="1C1A9524" w14:textId="77777777" w:rsidR="001177FD" w:rsidRPr="0016504C" w:rsidRDefault="001609C4" w:rsidP="0042196F">
            <w:pPr>
              <w:rPr>
                <w:b/>
                <w:bCs/>
                <w:color w:val="000000"/>
                <w:sz w:val="20"/>
                <w:szCs w:val="20"/>
              </w:rPr>
            </w:pPr>
            <w:r w:rsidRPr="0016504C">
              <w:rPr>
                <w:b/>
                <w:bCs/>
                <w:color w:val="000000"/>
                <w:sz w:val="20"/>
                <w:szCs w:val="20"/>
              </w:rPr>
              <w:t>Respondent Group</w:t>
            </w:r>
          </w:p>
        </w:tc>
        <w:tc>
          <w:tcPr>
            <w:tcW w:w="1216" w:type="dxa"/>
            <w:shd w:val="clear" w:color="000000" w:fill="DBE5F1" w:themeFill="accent1" w:themeFillTint="33"/>
            <w:vAlign w:val="bottom"/>
            <w:hideMark/>
          </w:tcPr>
          <w:p w14:paraId="42D83F53" w14:textId="77777777" w:rsidR="001177FD" w:rsidRPr="0016504C" w:rsidRDefault="001609C4" w:rsidP="0042196F">
            <w:pPr>
              <w:jc w:val="center"/>
              <w:rPr>
                <w:b/>
                <w:bCs/>
                <w:color w:val="000000"/>
                <w:sz w:val="20"/>
                <w:szCs w:val="20"/>
              </w:rPr>
            </w:pPr>
            <w:r w:rsidRPr="0016504C">
              <w:rPr>
                <w:b/>
                <w:bCs/>
                <w:color w:val="000000"/>
                <w:sz w:val="20"/>
                <w:szCs w:val="20"/>
              </w:rPr>
              <w:t>Number of Beneficiaries</w:t>
            </w:r>
          </w:p>
        </w:tc>
        <w:tc>
          <w:tcPr>
            <w:tcW w:w="1126" w:type="dxa"/>
            <w:shd w:val="clear" w:color="000000" w:fill="DBE5F1" w:themeFill="accent1" w:themeFillTint="33"/>
            <w:vAlign w:val="bottom"/>
            <w:hideMark/>
          </w:tcPr>
          <w:p w14:paraId="7D02244C" w14:textId="77777777" w:rsidR="001177FD" w:rsidRPr="0016504C" w:rsidRDefault="001177FD" w:rsidP="0042196F">
            <w:pPr>
              <w:jc w:val="center"/>
              <w:rPr>
                <w:b/>
                <w:bCs/>
                <w:color w:val="000000"/>
                <w:sz w:val="20"/>
                <w:szCs w:val="20"/>
              </w:rPr>
            </w:pPr>
            <w:r w:rsidRPr="0016504C">
              <w:rPr>
                <w:b/>
                <w:bCs/>
                <w:color w:val="000000"/>
                <w:sz w:val="20"/>
                <w:szCs w:val="20"/>
              </w:rPr>
              <w:t xml:space="preserve">Sample Size </w:t>
            </w:r>
          </w:p>
        </w:tc>
        <w:tc>
          <w:tcPr>
            <w:tcW w:w="1126" w:type="dxa"/>
            <w:shd w:val="clear" w:color="000000" w:fill="DBE5F1" w:themeFill="accent1" w:themeFillTint="33"/>
            <w:vAlign w:val="bottom"/>
            <w:hideMark/>
          </w:tcPr>
          <w:p w14:paraId="56376CF2" w14:textId="77777777" w:rsidR="001177FD" w:rsidRPr="0016504C" w:rsidRDefault="001177FD" w:rsidP="0042196F">
            <w:pPr>
              <w:jc w:val="center"/>
              <w:rPr>
                <w:b/>
                <w:bCs/>
                <w:color w:val="000000"/>
                <w:sz w:val="20"/>
                <w:szCs w:val="20"/>
              </w:rPr>
            </w:pPr>
            <w:r w:rsidRPr="0016504C">
              <w:rPr>
                <w:b/>
                <w:bCs/>
                <w:color w:val="000000"/>
                <w:sz w:val="20"/>
                <w:szCs w:val="20"/>
              </w:rPr>
              <w:t xml:space="preserve">Number of Completes </w:t>
            </w:r>
          </w:p>
        </w:tc>
        <w:tc>
          <w:tcPr>
            <w:tcW w:w="1127" w:type="dxa"/>
            <w:shd w:val="clear" w:color="000000" w:fill="DBE5F1" w:themeFill="accent1" w:themeFillTint="33"/>
            <w:vAlign w:val="bottom"/>
            <w:hideMark/>
          </w:tcPr>
          <w:p w14:paraId="275B6B23" w14:textId="77777777" w:rsidR="001177FD" w:rsidRPr="0016504C" w:rsidRDefault="001177FD" w:rsidP="0042196F">
            <w:pPr>
              <w:jc w:val="center"/>
              <w:rPr>
                <w:b/>
                <w:bCs/>
                <w:color w:val="000000"/>
                <w:sz w:val="20"/>
                <w:szCs w:val="20"/>
              </w:rPr>
            </w:pPr>
            <w:r w:rsidRPr="0016504C">
              <w:rPr>
                <w:b/>
                <w:bCs/>
                <w:color w:val="000000"/>
                <w:sz w:val="20"/>
                <w:szCs w:val="20"/>
              </w:rPr>
              <w:t>Expected Response Rate</w:t>
            </w:r>
            <w:r w:rsidR="001609C4" w:rsidRPr="0016504C">
              <w:rPr>
                <w:b/>
                <w:bCs/>
                <w:color w:val="000000"/>
                <w:sz w:val="20"/>
                <w:szCs w:val="20"/>
              </w:rPr>
              <w:t xml:space="preserve"> [a]</w:t>
            </w:r>
          </w:p>
        </w:tc>
      </w:tr>
      <w:tr w:rsidR="001177FD" w:rsidRPr="0016504C" w14:paraId="1B76A6EB" w14:textId="77777777" w:rsidTr="0016504C">
        <w:trPr>
          <w:trHeight w:val="460"/>
          <w:jc w:val="center"/>
        </w:trPr>
        <w:tc>
          <w:tcPr>
            <w:tcW w:w="4765" w:type="dxa"/>
            <w:shd w:val="clear" w:color="auto" w:fill="auto"/>
            <w:vAlign w:val="center"/>
            <w:hideMark/>
          </w:tcPr>
          <w:p w14:paraId="59A0790B" w14:textId="23F97541" w:rsidR="001177FD" w:rsidRPr="0016504C" w:rsidRDefault="001177FD" w:rsidP="0042196F">
            <w:pPr>
              <w:rPr>
                <w:color w:val="000000"/>
                <w:sz w:val="20"/>
                <w:szCs w:val="20"/>
              </w:rPr>
            </w:pPr>
            <w:r w:rsidRPr="0016504C">
              <w:rPr>
                <w:color w:val="000000"/>
                <w:sz w:val="20"/>
                <w:szCs w:val="20"/>
              </w:rPr>
              <w:t xml:space="preserve">Group 1: </w:t>
            </w:r>
            <w:r w:rsidR="00BB07BE">
              <w:rPr>
                <w:color w:val="000000"/>
                <w:sz w:val="20"/>
                <w:szCs w:val="20"/>
              </w:rPr>
              <w:t>E</w:t>
            </w:r>
            <w:r w:rsidR="00BB07BE" w:rsidRPr="0016504C">
              <w:rPr>
                <w:color w:val="000000"/>
                <w:sz w:val="20"/>
                <w:szCs w:val="20"/>
              </w:rPr>
              <w:t xml:space="preserve">nrolled beneficiaries with one or more </w:t>
            </w:r>
            <w:r w:rsidR="00BB07BE">
              <w:rPr>
                <w:color w:val="000000"/>
                <w:sz w:val="20"/>
                <w:szCs w:val="20"/>
              </w:rPr>
              <w:t>D</w:t>
            </w:r>
            <w:r w:rsidR="00BB07BE" w:rsidRPr="0016504C">
              <w:rPr>
                <w:color w:val="000000"/>
                <w:sz w:val="20"/>
                <w:szCs w:val="20"/>
              </w:rPr>
              <w:t>emonstration claims</w:t>
            </w:r>
          </w:p>
        </w:tc>
        <w:tc>
          <w:tcPr>
            <w:tcW w:w="1216" w:type="dxa"/>
            <w:shd w:val="clear" w:color="auto" w:fill="auto"/>
            <w:vAlign w:val="center"/>
            <w:hideMark/>
          </w:tcPr>
          <w:p w14:paraId="7C50737C" w14:textId="77777777" w:rsidR="001177FD" w:rsidRPr="0016504C" w:rsidRDefault="001177FD" w:rsidP="0042196F">
            <w:pPr>
              <w:jc w:val="right"/>
              <w:rPr>
                <w:color w:val="000000"/>
                <w:sz w:val="20"/>
                <w:szCs w:val="20"/>
              </w:rPr>
            </w:pPr>
            <w:r w:rsidRPr="0016504C">
              <w:rPr>
                <w:color w:val="000000"/>
                <w:sz w:val="20"/>
                <w:szCs w:val="20"/>
              </w:rPr>
              <w:t>974</w:t>
            </w:r>
          </w:p>
        </w:tc>
        <w:tc>
          <w:tcPr>
            <w:tcW w:w="1126" w:type="dxa"/>
            <w:shd w:val="clear" w:color="auto" w:fill="auto"/>
            <w:vAlign w:val="center"/>
            <w:hideMark/>
          </w:tcPr>
          <w:p w14:paraId="356B49BE" w14:textId="77777777" w:rsidR="001177FD" w:rsidRPr="0016504C" w:rsidRDefault="001177FD" w:rsidP="0042196F">
            <w:pPr>
              <w:jc w:val="right"/>
              <w:rPr>
                <w:color w:val="000000"/>
                <w:sz w:val="20"/>
                <w:szCs w:val="20"/>
              </w:rPr>
            </w:pPr>
            <w:r w:rsidRPr="0016504C">
              <w:rPr>
                <w:color w:val="000000"/>
                <w:sz w:val="20"/>
                <w:szCs w:val="20"/>
              </w:rPr>
              <w:t>974</w:t>
            </w:r>
          </w:p>
        </w:tc>
        <w:tc>
          <w:tcPr>
            <w:tcW w:w="1126" w:type="dxa"/>
            <w:shd w:val="clear" w:color="auto" w:fill="auto"/>
            <w:vAlign w:val="center"/>
            <w:hideMark/>
          </w:tcPr>
          <w:p w14:paraId="6FF8D4DD" w14:textId="77777777" w:rsidR="001177FD" w:rsidRPr="0016504C" w:rsidRDefault="001177FD" w:rsidP="0042196F">
            <w:pPr>
              <w:jc w:val="right"/>
              <w:rPr>
                <w:color w:val="000000"/>
                <w:sz w:val="20"/>
                <w:szCs w:val="20"/>
              </w:rPr>
            </w:pPr>
            <w:r w:rsidRPr="0016504C">
              <w:rPr>
                <w:color w:val="000000"/>
                <w:sz w:val="20"/>
                <w:szCs w:val="20"/>
              </w:rPr>
              <w:t>390</w:t>
            </w:r>
          </w:p>
        </w:tc>
        <w:tc>
          <w:tcPr>
            <w:tcW w:w="1127" w:type="dxa"/>
            <w:shd w:val="clear" w:color="auto" w:fill="auto"/>
            <w:vAlign w:val="center"/>
            <w:hideMark/>
          </w:tcPr>
          <w:p w14:paraId="380B1021" w14:textId="77777777" w:rsidR="001177FD" w:rsidRPr="0016504C" w:rsidRDefault="001177FD" w:rsidP="0042196F">
            <w:pPr>
              <w:jc w:val="right"/>
              <w:rPr>
                <w:color w:val="000000"/>
                <w:sz w:val="20"/>
                <w:szCs w:val="20"/>
              </w:rPr>
            </w:pPr>
            <w:r w:rsidRPr="0016504C">
              <w:rPr>
                <w:color w:val="000000"/>
                <w:sz w:val="20"/>
                <w:szCs w:val="20"/>
              </w:rPr>
              <w:t>40%</w:t>
            </w:r>
          </w:p>
        </w:tc>
      </w:tr>
      <w:tr w:rsidR="001609C4" w:rsidRPr="0016504C" w14:paraId="462796CF" w14:textId="77777777" w:rsidTr="0016504C">
        <w:trPr>
          <w:trHeight w:val="460"/>
          <w:jc w:val="center"/>
        </w:trPr>
        <w:tc>
          <w:tcPr>
            <w:tcW w:w="4765" w:type="dxa"/>
            <w:shd w:val="clear" w:color="auto" w:fill="auto"/>
            <w:vAlign w:val="center"/>
            <w:hideMark/>
          </w:tcPr>
          <w:p w14:paraId="31EE528C" w14:textId="7F9F46F8" w:rsidR="001609C4" w:rsidRPr="0016504C" w:rsidRDefault="001609C4" w:rsidP="00650304">
            <w:pPr>
              <w:rPr>
                <w:color w:val="000000"/>
                <w:sz w:val="20"/>
                <w:szCs w:val="20"/>
              </w:rPr>
            </w:pPr>
            <w:r w:rsidRPr="0016504C">
              <w:rPr>
                <w:color w:val="000000"/>
                <w:sz w:val="20"/>
                <w:szCs w:val="20"/>
              </w:rPr>
              <w:t xml:space="preserve">Group 2: Non-enrolled </w:t>
            </w:r>
            <w:r w:rsidR="00BB07BE">
              <w:rPr>
                <w:color w:val="000000"/>
                <w:sz w:val="20"/>
                <w:szCs w:val="20"/>
              </w:rPr>
              <w:t>b</w:t>
            </w:r>
            <w:r w:rsidRPr="0016504C">
              <w:rPr>
                <w:color w:val="000000"/>
                <w:sz w:val="20"/>
                <w:szCs w:val="20"/>
              </w:rPr>
              <w:t>eneficiaries</w:t>
            </w:r>
          </w:p>
        </w:tc>
        <w:tc>
          <w:tcPr>
            <w:tcW w:w="1216" w:type="dxa"/>
            <w:shd w:val="clear" w:color="auto" w:fill="auto"/>
            <w:vAlign w:val="center"/>
            <w:hideMark/>
          </w:tcPr>
          <w:p w14:paraId="1EE1A226" w14:textId="77777777" w:rsidR="001609C4" w:rsidRPr="0016504C" w:rsidRDefault="001609C4" w:rsidP="00650304">
            <w:pPr>
              <w:jc w:val="right"/>
              <w:rPr>
                <w:color w:val="000000"/>
                <w:sz w:val="20"/>
                <w:szCs w:val="20"/>
              </w:rPr>
            </w:pPr>
            <w:r w:rsidRPr="0016504C">
              <w:rPr>
                <w:color w:val="000000"/>
                <w:sz w:val="20"/>
                <w:szCs w:val="20"/>
              </w:rPr>
              <w:t>7,928</w:t>
            </w:r>
          </w:p>
        </w:tc>
        <w:tc>
          <w:tcPr>
            <w:tcW w:w="1126" w:type="dxa"/>
            <w:shd w:val="clear" w:color="auto" w:fill="auto"/>
            <w:vAlign w:val="center"/>
            <w:hideMark/>
          </w:tcPr>
          <w:p w14:paraId="511644C0" w14:textId="77777777" w:rsidR="001609C4" w:rsidRPr="0016504C" w:rsidRDefault="001609C4" w:rsidP="00650304">
            <w:pPr>
              <w:jc w:val="right"/>
              <w:rPr>
                <w:color w:val="000000"/>
                <w:sz w:val="20"/>
                <w:szCs w:val="20"/>
              </w:rPr>
            </w:pPr>
            <w:r w:rsidRPr="0016504C">
              <w:rPr>
                <w:color w:val="000000"/>
                <w:sz w:val="20"/>
                <w:szCs w:val="20"/>
              </w:rPr>
              <w:t>1,398</w:t>
            </w:r>
          </w:p>
        </w:tc>
        <w:tc>
          <w:tcPr>
            <w:tcW w:w="1126" w:type="dxa"/>
            <w:shd w:val="clear" w:color="auto" w:fill="auto"/>
            <w:vAlign w:val="center"/>
            <w:hideMark/>
          </w:tcPr>
          <w:p w14:paraId="5E585563" w14:textId="77777777" w:rsidR="001609C4" w:rsidRPr="0016504C" w:rsidRDefault="001609C4" w:rsidP="00650304">
            <w:pPr>
              <w:jc w:val="right"/>
              <w:rPr>
                <w:color w:val="000000"/>
                <w:sz w:val="20"/>
                <w:szCs w:val="20"/>
              </w:rPr>
            </w:pPr>
            <w:r w:rsidRPr="0016504C">
              <w:rPr>
                <w:color w:val="000000"/>
                <w:sz w:val="20"/>
                <w:szCs w:val="20"/>
              </w:rPr>
              <w:t>559</w:t>
            </w:r>
          </w:p>
        </w:tc>
        <w:tc>
          <w:tcPr>
            <w:tcW w:w="1127" w:type="dxa"/>
            <w:shd w:val="clear" w:color="auto" w:fill="auto"/>
            <w:vAlign w:val="center"/>
            <w:hideMark/>
          </w:tcPr>
          <w:p w14:paraId="7DD0966C" w14:textId="77777777" w:rsidR="001609C4" w:rsidRPr="0016504C" w:rsidRDefault="001609C4" w:rsidP="00650304">
            <w:pPr>
              <w:jc w:val="right"/>
              <w:rPr>
                <w:color w:val="000000"/>
                <w:sz w:val="20"/>
                <w:szCs w:val="20"/>
              </w:rPr>
            </w:pPr>
            <w:r w:rsidRPr="0016504C">
              <w:rPr>
                <w:color w:val="000000"/>
                <w:sz w:val="20"/>
                <w:szCs w:val="20"/>
              </w:rPr>
              <w:t>40%</w:t>
            </w:r>
          </w:p>
        </w:tc>
      </w:tr>
      <w:tr w:rsidR="001177FD" w:rsidRPr="0016504C" w14:paraId="33BF4C43" w14:textId="77777777" w:rsidTr="0016504C">
        <w:trPr>
          <w:trHeight w:val="460"/>
          <w:jc w:val="center"/>
        </w:trPr>
        <w:tc>
          <w:tcPr>
            <w:tcW w:w="4765" w:type="dxa"/>
            <w:shd w:val="clear" w:color="auto" w:fill="auto"/>
            <w:vAlign w:val="center"/>
            <w:hideMark/>
          </w:tcPr>
          <w:p w14:paraId="77D15A7D" w14:textId="70AE8B5B" w:rsidR="001177FD" w:rsidRPr="0016504C" w:rsidRDefault="001609C4" w:rsidP="0042196F">
            <w:pPr>
              <w:rPr>
                <w:color w:val="000000"/>
                <w:sz w:val="20"/>
                <w:szCs w:val="20"/>
              </w:rPr>
            </w:pPr>
            <w:r w:rsidRPr="0016504C">
              <w:rPr>
                <w:color w:val="000000"/>
                <w:sz w:val="20"/>
                <w:szCs w:val="20"/>
              </w:rPr>
              <w:lastRenderedPageBreak/>
              <w:t>Group 3</w:t>
            </w:r>
            <w:r w:rsidR="001177FD" w:rsidRPr="0016504C">
              <w:rPr>
                <w:color w:val="000000"/>
                <w:sz w:val="20"/>
                <w:szCs w:val="20"/>
              </w:rPr>
              <w:t xml:space="preserve">: Enrolled </w:t>
            </w:r>
            <w:r w:rsidR="00BB07BE">
              <w:rPr>
                <w:color w:val="000000"/>
                <w:sz w:val="20"/>
                <w:szCs w:val="20"/>
              </w:rPr>
              <w:t>b</w:t>
            </w:r>
            <w:r w:rsidR="001177FD" w:rsidRPr="0016504C">
              <w:rPr>
                <w:color w:val="000000"/>
                <w:sz w:val="20"/>
                <w:szCs w:val="20"/>
              </w:rPr>
              <w:t xml:space="preserve">eneficiaries with no </w:t>
            </w:r>
            <w:r w:rsidRPr="0016504C">
              <w:rPr>
                <w:color w:val="000000"/>
                <w:sz w:val="20"/>
                <w:szCs w:val="20"/>
              </w:rPr>
              <w:t xml:space="preserve">Demonstration </w:t>
            </w:r>
            <w:r w:rsidR="00BB07BE">
              <w:rPr>
                <w:color w:val="000000"/>
                <w:sz w:val="20"/>
                <w:szCs w:val="20"/>
              </w:rPr>
              <w:t>c</w:t>
            </w:r>
            <w:r w:rsidR="001177FD" w:rsidRPr="0016504C">
              <w:rPr>
                <w:color w:val="000000"/>
                <w:sz w:val="20"/>
                <w:szCs w:val="20"/>
              </w:rPr>
              <w:t>laims</w:t>
            </w:r>
          </w:p>
        </w:tc>
        <w:tc>
          <w:tcPr>
            <w:tcW w:w="1216" w:type="dxa"/>
            <w:shd w:val="clear" w:color="auto" w:fill="auto"/>
            <w:vAlign w:val="center"/>
            <w:hideMark/>
          </w:tcPr>
          <w:p w14:paraId="35895EB4" w14:textId="77777777" w:rsidR="001177FD" w:rsidRPr="0016504C" w:rsidRDefault="001177FD" w:rsidP="0042196F">
            <w:pPr>
              <w:jc w:val="right"/>
              <w:rPr>
                <w:color w:val="000000"/>
                <w:sz w:val="20"/>
                <w:szCs w:val="20"/>
              </w:rPr>
            </w:pPr>
            <w:r w:rsidRPr="0016504C">
              <w:rPr>
                <w:color w:val="000000"/>
                <w:sz w:val="20"/>
                <w:szCs w:val="20"/>
              </w:rPr>
              <w:t>398</w:t>
            </w:r>
          </w:p>
        </w:tc>
        <w:tc>
          <w:tcPr>
            <w:tcW w:w="1126" w:type="dxa"/>
            <w:shd w:val="clear" w:color="auto" w:fill="auto"/>
            <w:vAlign w:val="center"/>
            <w:hideMark/>
          </w:tcPr>
          <w:p w14:paraId="7202EB71" w14:textId="77777777" w:rsidR="001177FD" w:rsidRPr="0016504C" w:rsidRDefault="001177FD" w:rsidP="0042196F">
            <w:pPr>
              <w:jc w:val="right"/>
              <w:rPr>
                <w:color w:val="000000"/>
                <w:sz w:val="20"/>
                <w:szCs w:val="20"/>
              </w:rPr>
            </w:pPr>
            <w:r w:rsidRPr="0016504C">
              <w:rPr>
                <w:color w:val="000000"/>
                <w:sz w:val="20"/>
                <w:szCs w:val="20"/>
              </w:rPr>
              <w:t>398</w:t>
            </w:r>
          </w:p>
        </w:tc>
        <w:tc>
          <w:tcPr>
            <w:tcW w:w="1126" w:type="dxa"/>
            <w:shd w:val="clear" w:color="auto" w:fill="auto"/>
            <w:vAlign w:val="center"/>
            <w:hideMark/>
          </w:tcPr>
          <w:p w14:paraId="750F35E6" w14:textId="77777777" w:rsidR="001177FD" w:rsidRPr="0016504C" w:rsidRDefault="001177FD" w:rsidP="0042196F">
            <w:pPr>
              <w:jc w:val="right"/>
              <w:rPr>
                <w:color w:val="000000"/>
                <w:sz w:val="20"/>
                <w:szCs w:val="20"/>
              </w:rPr>
            </w:pPr>
            <w:r w:rsidRPr="0016504C">
              <w:rPr>
                <w:color w:val="000000"/>
                <w:sz w:val="20"/>
                <w:szCs w:val="20"/>
              </w:rPr>
              <w:t>159</w:t>
            </w:r>
          </w:p>
        </w:tc>
        <w:tc>
          <w:tcPr>
            <w:tcW w:w="1127" w:type="dxa"/>
            <w:shd w:val="clear" w:color="auto" w:fill="auto"/>
            <w:vAlign w:val="center"/>
            <w:hideMark/>
          </w:tcPr>
          <w:p w14:paraId="6393AF77" w14:textId="77777777" w:rsidR="001177FD" w:rsidRPr="0016504C" w:rsidRDefault="001177FD" w:rsidP="0042196F">
            <w:pPr>
              <w:jc w:val="right"/>
              <w:rPr>
                <w:color w:val="000000"/>
                <w:sz w:val="20"/>
                <w:szCs w:val="20"/>
              </w:rPr>
            </w:pPr>
            <w:r w:rsidRPr="0016504C">
              <w:rPr>
                <w:color w:val="000000"/>
                <w:sz w:val="20"/>
                <w:szCs w:val="20"/>
              </w:rPr>
              <w:t>40%</w:t>
            </w:r>
          </w:p>
        </w:tc>
      </w:tr>
      <w:tr w:rsidR="001177FD" w:rsidRPr="0016504C" w14:paraId="2D8F3103" w14:textId="77777777" w:rsidTr="0016504C">
        <w:trPr>
          <w:jc w:val="center"/>
        </w:trPr>
        <w:tc>
          <w:tcPr>
            <w:tcW w:w="4765" w:type="dxa"/>
            <w:tcBorders>
              <w:bottom w:val="single" w:sz="4" w:space="0" w:color="auto"/>
            </w:tcBorders>
            <w:shd w:val="clear" w:color="auto" w:fill="auto"/>
            <w:vAlign w:val="center"/>
            <w:hideMark/>
          </w:tcPr>
          <w:p w14:paraId="4CDD6C9F" w14:textId="77777777" w:rsidR="001177FD" w:rsidRPr="0016504C" w:rsidRDefault="001609C4" w:rsidP="0042196F">
            <w:pPr>
              <w:rPr>
                <w:b/>
                <w:color w:val="000000"/>
                <w:sz w:val="20"/>
                <w:szCs w:val="20"/>
              </w:rPr>
            </w:pPr>
            <w:r w:rsidRPr="0016504C">
              <w:rPr>
                <w:b/>
                <w:color w:val="000000"/>
                <w:sz w:val="20"/>
                <w:szCs w:val="20"/>
              </w:rPr>
              <w:t>Total</w:t>
            </w:r>
          </w:p>
        </w:tc>
        <w:tc>
          <w:tcPr>
            <w:tcW w:w="1216" w:type="dxa"/>
            <w:tcBorders>
              <w:bottom w:val="single" w:sz="4" w:space="0" w:color="auto"/>
            </w:tcBorders>
            <w:shd w:val="clear" w:color="auto" w:fill="auto"/>
            <w:vAlign w:val="center"/>
            <w:hideMark/>
          </w:tcPr>
          <w:p w14:paraId="659CF823" w14:textId="77777777" w:rsidR="001177FD" w:rsidRPr="0016504C" w:rsidRDefault="001177FD" w:rsidP="0042196F">
            <w:pPr>
              <w:jc w:val="right"/>
              <w:rPr>
                <w:b/>
                <w:color w:val="000000"/>
                <w:sz w:val="20"/>
                <w:szCs w:val="20"/>
              </w:rPr>
            </w:pPr>
            <w:r w:rsidRPr="0016504C">
              <w:rPr>
                <w:b/>
                <w:color w:val="000000"/>
                <w:sz w:val="20"/>
                <w:szCs w:val="20"/>
              </w:rPr>
              <w:t>9,300</w:t>
            </w:r>
          </w:p>
        </w:tc>
        <w:tc>
          <w:tcPr>
            <w:tcW w:w="1126" w:type="dxa"/>
            <w:tcBorders>
              <w:bottom w:val="single" w:sz="4" w:space="0" w:color="auto"/>
            </w:tcBorders>
            <w:shd w:val="clear" w:color="auto" w:fill="auto"/>
            <w:vAlign w:val="center"/>
            <w:hideMark/>
          </w:tcPr>
          <w:p w14:paraId="51E83187" w14:textId="77777777" w:rsidR="001177FD" w:rsidRPr="0016504C" w:rsidRDefault="001177FD" w:rsidP="0042196F">
            <w:pPr>
              <w:jc w:val="right"/>
              <w:rPr>
                <w:b/>
                <w:color w:val="000000"/>
                <w:sz w:val="20"/>
                <w:szCs w:val="20"/>
              </w:rPr>
            </w:pPr>
            <w:r w:rsidRPr="0016504C">
              <w:rPr>
                <w:b/>
                <w:color w:val="000000"/>
                <w:sz w:val="20"/>
                <w:szCs w:val="20"/>
              </w:rPr>
              <w:t>2,770</w:t>
            </w:r>
          </w:p>
        </w:tc>
        <w:tc>
          <w:tcPr>
            <w:tcW w:w="1126" w:type="dxa"/>
            <w:tcBorders>
              <w:bottom w:val="single" w:sz="4" w:space="0" w:color="auto"/>
            </w:tcBorders>
            <w:shd w:val="clear" w:color="auto" w:fill="auto"/>
            <w:vAlign w:val="center"/>
            <w:hideMark/>
          </w:tcPr>
          <w:p w14:paraId="53C0E793" w14:textId="77777777" w:rsidR="001177FD" w:rsidRPr="0016504C" w:rsidRDefault="001177FD" w:rsidP="0042196F">
            <w:pPr>
              <w:jc w:val="right"/>
              <w:rPr>
                <w:b/>
                <w:color w:val="000000"/>
                <w:sz w:val="20"/>
                <w:szCs w:val="20"/>
              </w:rPr>
            </w:pPr>
            <w:r w:rsidRPr="0016504C">
              <w:rPr>
                <w:b/>
                <w:color w:val="000000"/>
                <w:sz w:val="20"/>
                <w:szCs w:val="20"/>
              </w:rPr>
              <w:t>1,108</w:t>
            </w:r>
          </w:p>
        </w:tc>
        <w:tc>
          <w:tcPr>
            <w:tcW w:w="1127" w:type="dxa"/>
            <w:tcBorders>
              <w:bottom w:val="single" w:sz="4" w:space="0" w:color="auto"/>
            </w:tcBorders>
            <w:shd w:val="clear" w:color="auto" w:fill="auto"/>
            <w:vAlign w:val="center"/>
            <w:hideMark/>
          </w:tcPr>
          <w:p w14:paraId="2A80E2F2" w14:textId="77777777" w:rsidR="001177FD" w:rsidRPr="0016504C" w:rsidRDefault="001177FD" w:rsidP="0042196F">
            <w:pPr>
              <w:jc w:val="right"/>
              <w:rPr>
                <w:b/>
                <w:color w:val="000000"/>
                <w:sz w:val="20"/>
                <w:szCs w:val="20"/>
              </w:rPr>
            </w:pPr>
            <w:r w:rsidRPr="0016504C">
              <w:rPr>
                <w:b/>
                <w:color w:val="000000"/>
                <w:sz w:val="20"/>
                <w:szCs w:val="20"/>
              </w:rPr>
              <w:t>40%</w:t>
            </w:r>
          </w:p>
        </w:tc>
      </w:tr>
      <w:tr w:rsidR="0016504C" w:rsidRPr="0016504C" w14:paraId="70AE963F" w14:textId="77777777" w:rsidTr="0016504C">
        <w:trPr>
          <w:jc w:val="center"/>
        </w:trPr>
        <w:tc>
          <w:tcPr>
            <w:tcW w:w="9360" w:type="dxa"/>
            <w:gridSpan w:val="5"/>
            <w:tcBorders>
              <w:left w:val="nil"/>
              <w:bottom w:val="nil"/>
              <w:right w:val="nil"/>
            </w:tcBorders>
            <w:shd w:val="clear" w:color="auto" w:fill="auto"/>
            <w:vAlign w:val="center"/>
          </w:tcPr>
          <w:p w14:paraId="6958046C" w14:textId="77777777" w:rsidR="0016504C" w:rsidRPr="0016504C" w:rsidRDefault="0016504C" w:rsidP="0016504C">
            <w:pPr>
              <w:rPr>
                <w:color w:val="000000"/>
                <w:sz w:val="20"/>
                <w:szCs w:val="20"/>
              </w:rPr>
            </w:pPr>
            <w:r w:rsidRPr="0016504C">
              <w:rPr>
                <w:color w:val="000000"/>
                <w:sz w:val="20"/>
                <w:szCs w:val="20"/>
              </w:rPr>
              <w:t xml:space="preserve">[a] Based on </w:t>
            </w:r>
            <w:r w:rsidRPr="0016504C">
              <w:rPr>
                <w:noProof/>
                <w:sz w:val="20"/>
                <w:szCs w:val="20"/>
              </w:rPr>
              <w:t>Klein, et al., 2011; Centers for Medicare and Medicaid Services, 2015; Amaya, et al., 2015; National Research Council, 2015; and Thorpe, et al., 2015.</w:t>
            </w:r>
          </w:p>
        </w:tc>
      </w:tr>
    </w:tbl>
    <w:p w14:paraId="74C6E81E" w14:textId="77777777" w:rsidR="001177FD" w:rsidRDefault="001177FD" w:rsidP="00066EBA">
      <w:pPr>
        <w:pStyle w:val="Heading5"/>
        <w:numPr>
          <w:ilvl w:val="0"/>
          <w:numId w:val="0"/>
        </w:numPr>
        <w:ind w:left="720"/>
      </w:pPr>
      <w:bookmarkStart w:id="39" w:name="_Ref461265346"/>
      <w:r w:rsidRPr="00EA0C40">
        <w:t>Sample</w:t>
      </w:r>
      <w:r>
        <w:t xml:space="preserve"> Allocation for </w:t>
      </w:r>
      <w:r w:rsidRPr="001177FD">
        <w:t>Groups</w:t>
      </w:r>
      <w:r>
        <w:t xml:space="preserve"> 1 and </w:t>
      </w:r>
      <w:bookmarkEnd w:id="39"/>
      <w:r w:rsidR="0016504C">
        <w:t>3</w:t>
      </w:r>
    </w:p>
    <w:p w14:paraId="0DC3C335" w14:textId="05284208" w:rsidR="001177FD" w:rsidRPr="0016504C" w:rsidRDefault="0016504C" w:rsidP="00503112">
      <w:pPr>
        <w:pStyle w:val="BodyTextFirstIndent"/>
      </w:pPr>
      <w:r w:rsidRPr="0016504C">
        <w:t>A</w:t>
      </w:r>
      <w:r w:rsidR="001177FD" w:rsidRPr="0016504C">
        <w:t>ll bene</w:t>
      </w:r>
      <w:r w:rsidRPr="0016504C">
        <w:t>ficiaries in Group 1 and Group 3</w:t>
      </w:r>
      <w:r w:rsidR="001177FD" w:rsidRPr="0016504C">
        <w:t xml:space="preserve"> will receive the survey. </w:t>
      </w:r>
    </w:p>
    <w:p w14:paraId="2A2488EB" w14:textId="7479CE65" w:rsidR="001177FD" w:rsidRDefault="001177FD" w:rsidP="00066EBA">
      <w:pPr>
        <w:pStyle w:val="Heading5"/>
        <w:numPr>
          <w:ilvl w:val="0"/>
          <w:numId w:val="0"/>
        </w:numPr>
        <w:ind w:left="720"/>
      </w:pPr>
      <w:bookmarkStart w:id="40" w:name="_Ref461265348"/>
      <w:r>
        <w:t xml:space="preserve">Sample </w:t>
      </w:r>
      <w:r w:rsidRPr="001177FD">
        <w:t>Allocation</w:t>
      </w:r>
      <w:r>
        <w:t xml:space="preserve"> for Group </w:t>
      </w:r>
      <w:bookmarkEnd w:id="40"/>
      <w:r w:rsidR="0016504C">
        <w:t>2</w:t>
      </w:r>
    </w:p>
    <w:p w14:paraId="56A56FD8" w14:textId="6A0D6BAF" w:rsidR="001177FD" w:rsidRDefault="0016504C" w:rsidP="0091795A">
      <w:pPr>
        <w:pStyle w:val="BodyTextFirstIndent"/>
      </w:pPr>
      <w:r w:rsidRPr="0016504C">
        <w:t>A</w:t>
      </w:r>
      <w:r w:rsidR="001177FD" w:rsidRPr="0016504C">
        <w:t xml:space="preserve"> </w:t>
      </w:r>
      <w:r w:rsidRPr="0016504C">
        <w:t>r</w:t>
      </w:r>
      <w:r w:rsidR="001177FD" w:rsidRPr="0016504C">
        <w:t xml:space="preserve">andom sample </w:t>
      </w:r>
      <w:r w:rsidRPr="0016504C">
        <w:t>stratified by geographic region will be used for Group 2</w:t>
      </w:r>
      <w:r>
        <w:t>. The Group 2</w:t>
      </w:r>
      <w:r w:rsidR="001177FD">
        <w:t xml:space="preserve"> sample will be sufficiently large to yield </w:t>
      </w:r>
      <w:r w:rsidR="001177FD" w:rsidRPr="00C1642D">
        <w:t xml:space="preserve">statistically valid estimates </w:t>
      </w:r>
      <w:r w:rsidR="001177FD">
        <w:t xml:space="preserve">of beneficiary experience </w:t>
      </w:r>
      <w:r w:rsidR="001177FD" w:rsidRPr="00C1642D">
        <w:t xml:space="preserve">with </w:t>
      </w:r>
      <w:r w:rsidR="001177FD">
        <w:t xml:space="preserve">+/- 4 percent margin of error, </w:t>
      </w:r>
      <w:r w:rsidR="001177FD" w:rsidRPr="00677B54">
        <w:rPr>
          <w:i/>
        </w:rPr>
        <w:t>e</w:t>
      </w:r>
      <w:r w:rsidR="001177FD">
        <w:t xml:space="preserve">, at a </w:t>
      </w:r>
      <w:r w:rsidR="001177FD" w:rsidRPr="00C1642D">
        <w:t>95</w:t>
      </w:r>
      <w:r w:rsidR="001177FD">
        <w:t xml:space="preserve"> percent confidence level (i.e., </w:t>
      </w:r>
      <w:r w:rsidR="001177FD" w:rsidRPr="00677B54">
        <w:rPr>
          <w:i/>
        </w:rPr>
        <w:sym w:font="Symbol" w:char="F061"/>
      </w:r>
      <w:r w:rsidR="001177FD">
        <w:t xml:space="preserve"> =5 percent). The</w:t>
      </w:r>
      <w:r>
        <w:t xml:space="preserve"> desired sample size for Group 2</w:t>
      </w:r>
      <w:r w:rsidR="001177FD">
        <w:t xml:space="preserve">, </w:t>
      </w:r>
      <w:r w:rsidR="001177FD" w:rsidRPr="00677B54">
        <w:rPr>
          <w:i/>
        </w:rPr>
        <w:t>n</w:t>
      </w:r>
      <w:r w:rsidR="001177FD" w:rsidRPr="00DF48A0">
        <w:rPr>
          <w:i/>
          <w:vertAlign w:val="subscript"/>
        </w:rPr>
        <w:t xml:space="preserve">Group </w:t>
      </w:r>
      <w:r>
        <w:rPr>
          <w:i/>
          <w:vertAlign w:val="subscript"/>
        </w:rPr>
        <w:t>2</w:t>
      </w:r>
      <w:r w:rsidR="001177FD">
        <w:t xml:space="preserve"> is calculated as </w:t>
      </w:r>
      <w:sdt>
        <w:sdtPr>
          <w:id w:val="7240014"/>
          <w:citation/>
        </w:sdtPr>
        <w:sdtEndPr/>
        <w:sdtContent>
          <w:r w:rsidR="0060188B">
            <w:fldChar w:fldCharType="begin"/>
          </w:r>
          <w:r w:rsidR="001177FD">
            <w:instrText xml:space="preserve"> CITATION Sta15 \l 1033 </w:instrText>
          </w:r>
          <w:r w:rsidR="0060188B">
            <w:fldChar w:fldCharType="separate"/>
          </w:r>
          <w:r w:rsidR="00464D9D">
            <w:rPr>
              <w:noProof/>
            </w:rPr>
            <w:t>(Stat Trek, 2015)</w:t>
          </w:r>
          <w:r w:rsidR="0060188B">
            <w:rPr>
              <w:noProof/>
            </w:rPr>
            <w:fldChar w:fldCharType="end"/>
          </w:r>
        </w:sdtContent>
      </w:sdt>
      <w:r w:rsidR="001177FD">
        <w:t>:</w:t>
      </w:r>
    </w:p>
    <w:bookmarkStart w:id="41" w:name="_Hlk433894646"/>
    <w:p w14:paraId="23C08E75" w14:textId="77777777" w:rsidR="001177FD" w:rsidRDefault="00066813" w:rsidP="00503112">
      <w:pPr>
        <w:pStyle w:val="BodyTextFirstIndent"/>
      </w:pPr>
      <m:oMathPara>
        <m:oMath>
          <m:sSub>
            <m:sSubPr>
              <m:ctrlPr>
                <w:rPr>
                  <w:rFonts w:ascii="Cambria Math" w:hAnsi="Cambria Math"/>
                </w:rPr>
              </m:ctrlPr>
            </m:sSubPr>
            <m:e>
              <m:r>
                <w:rPr>
                  <w:rFonts w:ascii="Cambria Math" w:hAnsi="Cambria Math"/>
                </w:rPr>
                <m:t>n</m:t>
              </m:r>
            </m:e>
            <m:sub>
              <m:r>
                <w:rPr>
                  <w:rFonts w:ascii="Cambria Math" w:hAnsi="Cambria Math"/>
                </w:rPr>
                <m:t>Group</m:t>
              </m:r>
              <m:r>
                <m:rPr>
                  <m:sty m:val="p"/>
                </m:rPr>
                <w:rPr>
                  <w:rFonts w:ascii="Cambria Math" w:hAnsi="Cambria Math"/>
                </w:rPr>
                <m:t xml:space="preserve"> 2</m:t>
              </m:r>
            </m:sub>
          </m:sSub>
          <m:r>
            <m:rPr>
              <m:sty m:val="p"/>
            </m:rPr>
            <w:rPr>
              <w:rFonts w:ascii="Cambria Math" w:hAnsi="Cambria Math"/>
            </w:rPr>
            <m:t xml:space="preserve">= </m:t>
          </m:r>
          <m:f>
            <m:fPr>
              <m:ctrlPr>
                <w:rPr>
                  <w:rFonts w:ascii="Cambria Math" w:hAnsi="Cambria Math"/>
                </w:rPr>
              </m:ctrlPr>
            </m:fPr>
            <m:num>
              <m:d>
                <m:dPr>
                  <m:ctrlPr>
                    <w:rPr>
                      <w:rFonts w:ascii="Cambria Math" w:hAnsi="Cambria Math"/>
                    </w:rPr>
                  </m:ctrlPr>
                </m:dPr>
                <m:e>
                  <m:sSubSup>
                    <m:sSubSupPr>
                      <m:ctrlPr>
                        <w:rPr>
                          <w:rFonts w:ascii="Cambria Math" w:hAnsi="Cambria Math"/>
                        </w:rPr>
                      </m:ctrlPr>
                    </m:sSubSupPr>
                    <m:e>
                      <m:r>
                        <w:rPr>
                          <w:rFonts w:ascii="Cambria Math" w:hAnsi="Cambria Math"/>
                        </w:rPr>
                        <m:t>z</m:t>
                      </m:r>
                    </m:e>
                    <m:sub>
                      <m:r>
                        <w:rPr>
                          <w:rFonts w:ascii="Cambria Math" w:hAnsi="Cambria Math"/>
                        </w:rPr>
                        <m:t>α</m:t>
                      </m:r>
                      <m:r>
                        <m:rPr>
                          <m:sty m:val="p"/>
                        </m:rPr>
                        <w:rPr>
                          <w:rFonts w:ascii="Cambria Math" w:hAnsi="Cambria Math"/>
                        </w:rPr>
                        <m:t>/2</m:t>
                      </m:r>
                    </m:sub>
                    <m:sup>
                      <m:r>
                        <m:rPr>
                          <m:sty m:val="p"/>
                        </m:rPr>
                        <w:rPr>
                          <w:rFonts w:ascii="Cambria Math" w:hAnsi="Cambria Math"/>
                        </w:rPr>
                        <m:t>2</m:t>
                      </m:r>
                    </m:sup>
                  </m:sSubSup>
                </m:e>
              </m:d>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Group</m:t>
                  </m:r>
                  <m:r>
                    <m:rPr>
                      <m:sty m:val="p"/>
                    </m:rPr>
                    <w:rPr>
                      <w:rFonts w:ascii="Cambria Math" w:hAnsi="Cambria Math"/>
                    </w:rPr>
                    <m:t xml:space="preserve"> 2</m:t>
                  </m:r>
                </m:sub>
              </m:sSub>
              <m:r>
                <m:rPr>
                  <m:sty m:val="p"/>
                </m:rPr>
                <w:rPr>
                  <w:rFonts w:ascii="Cambria Math" w:hAnsi="Cambria Math"/>
                </w:rPr>
                <m:t>)</m:t>
              </m:r>
              <m:d>
                <m:dPr>
                  <m:ctrlPr>
                    <w:rPr>
                      <w:rFonts w:ascii="Cambria Math" w:hAnsi="Cambria Math"/>
                    </w:rPr>
                  </m:ctrlPr>
                </m:dPr>
                <m:e>
                  <m:r>
                    <m:rPr>
                      <m:sty m:val="p"/>
                    </m:rPr>
                    <w:rPr>
                      <w:rFonts w:ascii="Cambria Math" w:hAnsi="Cambria Math"/>
                    </w:rPr>
                    <m:t>1-</m:t>
                  </m:r>
                  <m:sSub>
                    <m:sSubPr>
                      <m:ctrlPr>
                        <w:rPr>
                          <w:rFonts w:ascii="Cambria Math" w:hAnsi="Cambria Math"/>
                        </w:rPr>
                      </m:ctrlPr>
                    </m:sSubPr>
                    <m:e>
                      <m:r>
                        <w:rPr>
                          <w:rFonts w:ascii="Cambria Math" w:hAnsi="Cambria Math"/>
                        </w:rPr>
                        <m:t>p</m:t>
                      </m:r>
                    </m:e>
                    <m:sub>
                      <m:r>
                        <w:rPr>
                          <w:rFonts w:ascii="Cambria Math" w:hAnsi="Cambria Math"/>
                        </w:rPr>
                        <m:t>Group</m:t>
                      </m:r>
                      <m:r>
                        <m:rPr>
                          <m:sty m:val="p"/>
                        </m:rPr>
                        <w:rPr>
                          <w:rFonts w:ascii="Cambria Math" w:hAnsi="Cambria Math"/>
                        </w:rPr>
                        <m:t xml:space="preserve"> 2</m:t>
                      </m:r>
                    </m:sub>
                  </m:sSub>
                </m:e>
              </m:d>
              <m:r>
                <m:rPr>
                  <m:sty m:val="p"/>
                </m:rPr>
                <w:rPr>
                  <w:rFonts w:ascii="Cambria Math" w:hAnsi="Cambria Math"/>
                </w:rPr>
                <m:t>+</m:t>
              </m:r>
              <m:sSup>
                <m:sSupPr>
                  <m:ctrlPr>
                    <w:rPr>
                      <w:rFonts w:ascii="Cambria Math" w:hAnsi="Cambria Math"/>
                    </w:rPr>
                  </m:ctrlPr>
                </m:sSupPr>
                <m:e>
                  <m:r>
                    <w:rPr>
                      <w:rFonts w:ascii="Cambria Math" w:hAnsi="Cambria Math"/>
                    </w:rPr>
                    <m:t>e</m:t>
                  </m:r>
                </m:e>
                <m:sup>
                  <m:r>
                    <m:rPr>
                      <m:sty m:val="p"/>
                    </m:rPr>
                    <w:rPr>
                      <w:rFonts w:ascii="Cambria Math" w:hAnsi="Cambria Math"/>
                    </w:rPr>
                    <m:t>2</m:t>
                  </m:r>
                </m:sup>
              </m:sSup>
            </m:num>
            <m:den>
              <m:sSup>
                <m:sSupPr>
                  <m:ctrlPr>
                    <w:rPr>
                      <w:rFonts w:ascii="Cambria Math" w:hAnsi="Cambria Math"/>
                    </w:rPr>
                  </m:ctrlPr>
                </m:sSupPr>
                <m:e>
                  <m:r>
                    <w:rPr>
                      <w:rFonts w:ascii="Cambria Math" w:hAnsi="Cambria Math"/>
                    </w:rPr>
                    <m:t>e</m:t>
                  </m:r>
                </m:e>
                <m:sup>
                  <m:r>
                    <m:rPr>
                      <m:sty m:val="p"/>
                    </m:rPr>
                    <w:rPr>
                      <w:rFonts w:ascii="Cambria Math" w:hAnsi="Cambria Math"/>
                    </w:rPr>
                    <m:t>2</m:t>
                  </m:r>
                </m:sup>
              </m:sSup>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z</m:t>
                      </m:r>
                    </m:e>
                    <m:sub>
                      <m:r>
                        <w:rPr>
                          <w:rFonts w:ascii="Cambria Math" w:hAnsi="Cambria Math"/>
                        </w:rPr>
                        <m:t>α</m:t>
                      </m:r>
                      <m:r>
                        <m:rPr>
                          <m:sty m:val="p"/>
                        </m:rPr>
                        <w:rPr>
                          <w:rFonts w:ascii="Cambria Math" w:hAnsi="Cambria Math"/>
                        </w:rPr>
                        <m:t>/2</m:t>
                      </m:r>
                    </m:sub>
                    <m:sup>
                      <m:r>
                        <m:rPr>
                          <m:sty m:val="p"/>
                        </m:rPr>
                        <w:rPr>
                          <w:rFonts w:ascii="Cambria Math" w:hAnsi="Cambria Math"/>
                        </w:rPr>
                        <m:t>2</m:t>
                      </m:r>
                    </m:sup>
                  </m:sSubSup>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Group</m:t>
                      </m:r>
                      <m:r>
                        <m:rPr>
                          <m:sty m:val="p"/>
                        </m:rPr>
                        <w:rPr>
                          <w:rFonts w:ascii="Cambria Math" w:hAnsi="Cambria Math"/>
                        </w:rPr>
                        <m:t xml:space="preserve"> 2</m:t>
                      </m:r>
                    </m:sub>
                  </m:sSub>
                  <m:r>
                    <m:rPr>
                      <m:sty m:val="p"/>
                    </m:rPr>
                    <w:rPr>
                      <w:rFonts w:ascii="Cambria Math" w:hAnsi="Cambria Math"/>
                    </w:rPr>
                    <m:t>)(1-</m:t>
                  </m:r>
                  <m:sSub>
                    <m:sSubPr>
                      <m:ctrlPr>
                        <w:rPr>
                          <w:rFonts w:ascii="Cambria Math" w:hAnsi="Cambria Math"/>
                        </w:rPr>
                      </m:ctrlPr>
                    </m:sSubPr>
                    <m:e>
                      <m:r>
                        <w:rPr>
                          <w:rFonts w:ascii="Cambria Math" w:hAnsi="Cambria Math"/>
                        </w:rPr>
                        <m:t>p</m:t>
                      </m:r>
                    </m:e>
                    <m:sub>
                      <m:r>
                        <w:rPr>
                          <w:rFonts w:ascii="Cambria Math" w:hAnsi="Cambria Math"/>
                        </w:rPr>
                        <m:t>Group</m:t>
                      </m:r>
                      <m:r>
                        <m:rPr>
                          <m:sty m:val="p"/>
                        </m:rPr>
                        <w:rPr>
                          <w:rFonts w:ascii="Cambria Math" w:hAnsi="Cambria Math"/>
                        </w:rPr>
                        <m:t xml:space="preserve"> 2</m:t>
                      </m:r>
                    </m:sub>
                  </m:sSub>
                  <m:r>
                    <m:rPr>
                      <m:sty m:val="p"/>
                    </m:rPr>
                    <w:rPr>
                      <w:rFonts w:ascii="Cambria Math" w:hAnsi="Cambria Math"/>
                    </w:rPr>
                    <m:t>)</m:t>
                  </m:r>
                </m:num>
                <m:den>
                  <m:sSub>
                    <m:sSubPr>
                      <m:ctrlPr>
                        <w:rPr>
                          <w:rFonts w:ascii="Cambria Math" w:hAnsi="Cambria Math"/>
                        </w:rPr>
                      </m:ctrlPr>
                    </m:sSubPr>
                    <m:e>
                      <m:r>
                        <w:rPr>
                          <w:rFonts w:ascii="Cambria Math" w:hAnsi="Cambria Math"/>
                        </w:rPr>
                        <m:t>N</m:t>
                      </m:r>
                    </m:e>
                    <m:sub>
                      <m:r>
                        <w:rPr>
                          <w:rFonts w:ascii="Cambria Math" w:hAnsi="Cambria Math"/>
                        </w:rPr>
                        <m:t>Group</m:t>
                      </m:r>
                      <m:r>
                        <m:rPr>
                          <m:sty m:val="p"/>
                        </m:rPr>
                        <w:rPr>
                          <w:rFonts w:ascii="Cambria Math" w:hAnsi="Cambria Math"/>
                        </w:rPr>
                        <m:t xml:space="preserve"> 2</m:t>
                      </m:r>
                    </m:sub>
                  </m:sSub>
                </m:den>
              </m:f>
            </m:den>
          </m:f>
        </m:oMath>
      </m:oMathPara>
    </w:p>
    <w:bookmarkEnd w:id="41"/>
    <w:p w14:paraId="2D25E1F1" w14:textId="2339AA1F" w:rsidR="001177FD" w:rsidRDefault="001177FD" w:rsidP="0091795A">
      <w:pPr>
        <w:pStyle w:val="BodyText"/>
      </w:pPr>
      <w:r w:rsidRPr="00503112">
        <w:t>where</w:t>
      </w:r>
      <w:r>
        <w:t xml:space="preserve"> </w:t>
      </w:r>
      <w:r>
        <w:rPr>
          <w:i/>
        </w:rPr>
        <w:t>n</w:t>
      </w:r>
      <w:r w:rsidRPr="00677B54">
        <w:rPr>
          <w:i/>
          <w:vertAlign w:val="subscript"/>
        </w:rPr>
        <w:t xml:space="preserve">Group </w:t>
      </w:r>
      <w:r w:rsidR="0016504C">
        <w:rPr>
          <w:i/>
          <w:vertAlign w:val="subscript"/>
        </w:rPr>
        <w:t>2</w:t>
      </w:r>
      <w:r>
        <w:t xml:space="preserve"> is the desired sample size; </w:t>
      </w:r>
      <w:r w:rsidRPr="00677B54">
        <w:rPr>
          <w:i/>
        </w:rPr>
        <w:t>z</w:t>
      </w:r>
      <w:r>
        <w:t xml:space="preserve"> is the critical value (or z score) associated with the desired confidence level </w:t>
      </w:r>
      <w:r w:rsidRPr="00842A61">
        <w:rPr>
          <w:i/>
        </w:rPr>
        <w:t>α</w:t>
      </w:r>
      <w:r>
        <w:t xml:space="preserve">; </w:t>
      </w:r>
      <w:r>
        <w:rPr>
          <w:i/>
        </w:rPr>
        <w:t>e</w:t>
      </w:r>
      <w:r>
        <w:t xml:space="preserve"> is the margin of error; </w:t>
      </w:r>
      <w:r w:rsidRPr="0072667F">
        <w:rPr>
          <w:i/>
        </w:rPr>
        <w:t>p</w:t>
      </w:r>
      <w:r w:rsidRPr="00677B54">
        <w:rPr>
          <w:i/>
          <w:vertAlign w:val="subscript"/>
        </w:rPr>
        <w:t>Group 3</w:t>
      </w:r>
      <w:r>
        <w:t xml:space="preserve"> is the response distribution; and </w:t>
      </w:r>
      <w:r w:rsidRPr="0072667F">
        <w:rPr>
          <w:i/>
        </w:rPr>
        <w:t>N</w:t>
      </w:r>
      <w:r w:rsidRPr="00677B54">
        <w:rPr>
          <w:i/>
          <w:vertAlign w:val="subscript"/>
        </w:rPr>
        <w:t xml:space="preserve">Group </w:t>
      </w:r>
      <w:r w:rsidR="0016504C">
        <w:rPr>
          <w:i/>
          <w:vertAlign w:val="subscript"/>
        </w:rPr>
        <w:t>2</w:t>
      </w:r>
      <w:r w:rsidRPr="0072667F">
        <w:rPr>
          <w:i/>
        </w:rPr>
        <w:t xml:space="preserve"> </w:t>
      </w:r>
      <w:r>
        <w:t>is the population size.</w:t>
      </w:r>
    </w:p>
    <w:p w14:paraId="2159A050" w14:textId="608D48A6" w:rsidR="001177FD" w:rsidRDefault="001177FD" w:rsidP="0091795A">
      <w:pPr>
        <w:pStyle w:val="BodyTextFirstIndent"/>
      </w:pPr>
      <w:r>
        <w:rPr>
          <w:rFonts w:eastAsiaTheme="minorEastAsia"/>
        </w:rPr>
        <w:t>Assuming that the proportion o</w:t>
      </w:r>
      <w:r w:rsidR="0016504C">
        <w:rPr>
          <w:rFonts w:eastAsiaTheme="minorEastAsia"/>
        </w:rPr>
        <w:t>f those beneficiaries in Group 2</w:t>
      </w:r>
      <w:r>
        <w:rPr>
          <w:rFonts w:eastAsiaTheme="minorEastAsia"/>
        </w:rPr>
        <w:t xml:space="preserve"> that report having experienced IVIG access problems is</w:t>
      </w:r>
      <w:r>
        <w:t xml:space="preserve"> 50 percent (i.e., </w:t>
      </w:r>
      <w:r w:rsidRPr="00677B54">
        <w:rPr>
          <w:i/>
        </w:rPr>
        <w:t>p</w:t>
      </w:r>
      <w:r w:rsidRPr="00677B54">
        <w:rPr>
          <w:i/>
          <w:vertAlign w:val="subscript"/>
        </w:rPr>
        <w:t xml:space="preserve">Group </w:t>
      </w:r>
      <w:r w:rsidR="0016504C">
        <w:rPr>
          <w:i/>
          <w:vertAlign w:val="subscript"/>
        </w:rPr>
        <w:t>2</w:t>
      </w:r>
      <w:r>
        <w:t xml:space="preserve"> = 0.5),</w:t>
      </w:r>
      <w:r>
        <w:rPr>
          <w:rStyle w:val="FootnoteReference"/>
        </w:rPr>
        <w:footnoteReference w:id="3"/>
      </w:r>
      <w:r>
        <w:t xml:space="preserve"> the</w:t>
      </w:r>
      <w:r w:rsidR="0016504C">
        <w:t xml:space="preserve"> desired sample size for Group 2</w:t>
      </w:r>
      <w:r>
        <w:t xml:space="preserve"> based on the above equation and our statistical precision target is:</w:t>
      </w:r>
    </w:p>
    <w:p w14:paraId="0667D4AA" w14:textId="77777777" w:rsidR="001177FD" w:rsidRDefault="00066813" w:rsidP="001177FD">
      <w:pPr>
        <w:pStyle w:val="BodyTextFirstIndent"/>
        <w:spacing w:line="276" w:lineRule="auto"/>
      </w:pPr>
      <m:oMathPara>
        <m:oMath>
          <m:sSub>
            <m:sSubPr>
              <m:ctrlPr>
                <w:rPr>
                  <w:rFonts w:ascii="Cambria Math" w:hAnsi="Cambria Math"/>
                  <w:i/>
                </w:rPr>
              </m:ctrlPr>
            </m:sSubPr>
            <m:e>
              <m:r>
                <w:rPr>
                  <w:rFonts w:ascii="Cambria Math" w:hAnsi="Cambria Math"/>
                </w:rPr>
                <m:t>n</m:t>
              </m:r>
            </m:e>
            <m:sub>
              <m:r>
                <w:rPr>
                  <w:rFonts w:ascii="Cambria Math" w:hAnsi="Cambria Math"/>
                </w:rPr>
                <m:t>Group 2</m:t>
              </m:r>
            </m:sub>
          </m:sSub>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1.96</m:t>
                      </m:r>
                    </m:e>
                  </m:d>
                </m:e>
                <m:sup>
                  <m:r>
                    <w:rPr>
                      <w:rFonts w:ascii="Cambria Math" w:hAnsi="Cambria Math"/>
                    </w:rPr>
                    <m:t>2</m:t>
                  </m:r>
                </m:sup>
              </m:sSup>
              <m:r>
                <w:rPr>
                  <w:rFonts w:ascii="Cambria Math" w:hAnsi="Cambria Math"/>
                </w:rPr>
                <m:t>(0.50)</m:t>
              </m:r>
              <m:d>
                <m:dPr>
                  <m:ctrlPr>
                    <w:rPr>
                      <w:rFonts w:ascii="Cambria Math" w:hAnsi="Cambria Math"/>
                      <w:i/>
                    </w:rPr>
                  </m:ctrlPr>
                </m:dPr>
                <m:e>
                  <m:r>
                    <w:rPr>
                      <w:rFonts w:ascii="Cambria Math" w:hAnsi="Cambria Math"/>
                    </w:rPr>
                    <m:t>1- 0.50</m:t>
                  </m:r>
                </m:e>
              </m:d>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0.04</m:t>
                      </m:r>
                    </m:e>
                  </m:d>
                </m:e>
                <m:sup>
                  <m:r>
                    <w:rPr>
                      <w:rFonts w:ascii="Cambria Math" w:hAnsi="Cambria Math"/>
                    </w:rPr>
                    <m:t>2</m:t>
                  </m:r>
                </m:sup>
              </m:sSup>
            </m:num>
            <m:den>
              <m:sSup>
                <m:sSupPr>
                  <m:ctrlPr>
                    <w:rPr>
                      <w:rFonts w:ascii="Cambria Math" w:hAnsi="Cambria Math"/>
                      <w:i/>
                    </w:rPr>
                  </m:ctrlPr>
                </m:sSupPr>
                <m:e>
                  <m:d>
                    <m:dPr>
                      <m:ctrlPr>
                        <w:rPr>
                          <w:rFonts w:ascii="Cambria Math" w:hAnsi="Cambria Math"/>
                          <w:i/>
                        </w:rPr>
                      </m:ctrlPr>
                    </m:dPr>
                    <m:e>
                      <m:r>
                        <w:rPr>
                          <w:rFonts w:ascii="Cambria Math" w:hAnsi="Cambria Math"/>
                        </w:rPr>
                        <m:t>0.04</m:t>
                      </m:r>
                    </m:e>
                  </m:d>
                </m:e>
                <m:sup>
                  <m:r>
                    <w:rPr>
                      <w:rFonts w:ascii="Cambria Math" w:hAnsi="Cambria Math"/>
                    </w:rPr>
                    <m:t>2</m:t>
                  </m:r>
                </m:sup>
              </m:sSup>
              <m:r>
                <w:rPr>
                  <w:rFonts w:ascii="Cambria Math" w:hAnsi="Cambria Math"/>
                </w:rPr>
                <m:t>+</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1.96</m:t>
                          </m:r>
                        </m:e>
                      </m:d>
                    </m:e>
                    <m:sup>
                      <m:r>
                        <w:rPr>
                          <w:rFonts w:ascii="Cambria Math" w:hAnsi="Cambria Math"/>
                        </w:rPr>
                        <m:t>2</m:t>
                      </m:r>
                    </m:sup>
                  </m:sSup>
                  <m:r>
                    <w:rPr>
                      <w:rFonts w:ascii="Cambria Math" w:hAnsi="Cambria Math"/>
                    </w:rPr>
                    <m:t>(0.50)(1-0.50)</m:t>
                  </m:r>
                </m:num>
                <m:den>
                  <m:r>
                    <w:rPr>
                      <w:rFonts w:ascii="Cambria Math" w:hAnsi="Cambria Math"/>
                    </w:rPr>
                    <m:t>7,928</m:t>
                  </m:r>
                </m:den>
              </m:f>
            </m:den>
          </m:f>
          <m:r>
            <w:rPr>
              <w:rFonts w:ascii="Cambria Math" w:hAnsi="Cambria Math"/>
            </w:rPr>
            <m:t xml:space="preserve">= </m:t>
          </m:r>
          <m:f>
            <m:fPr>
              <m:ctrlPr>
                <w:rPr>
                  <w:rFonts w:ascii="Cambria Math" w:hAnsi="Cambria Math"/>
                  <w:i/>
                </w:rPr>
              </m:ctrlPr>
            </m:fPr>
            <m:num>
              <m:r>
                <w:rPr>
                  <w:rFonts w:ascii="Cambria Math" w:hAnsi="Cambria Math"/>
                </w:rPr>
                <m:t>0.9620</m:t>
              </m:r>
            </m:num>
            <m:den>
              <m:r>
                <w:rPr>
                  <w:rFonts w:ascii="Cambria Math" w:hAnsi="Cambria Math"/>
                </w:rPr>
                <m:t>0.00172114</m:t>
              </m:r>
            </m:den>
          </m:f>
          <m:r>
            <w:rPr>
              <w:rFonts w:ascii="Cambria Math" w:hAnsi="Cambria Math"/>
            </w:rPr>
            <m:t>=559</m:t>
          </m:r>
        </m:oMath>
      </m:oMathPara>
    </w:p>
    <w:p w14:paraId="585628B1" w14:textId="03298674" w:rsidR="001177FD" w:rsidRPr="00202005" w:rsidRDefault="001177FD" w:rsidP="0091795A">
      <w:pPr>
        <w:pStyle w:val="BodyTextFirstIndent"/>
      </w:pPr>
      <w:r>
        <w:t xml:space="preserve">Given that our expected response rate to the survey is 40 percent for all three groups, 559 completes requires a target sample of </w:t>
      </w:r>
      <w:r w:rsidRPr="00463B0A">
        <w:t>1,398</w:t>
      </w:r>
      <w:r>
        <w:t xml:space="preserve"> (= 559 ÷ 0.40) benefi</w:t>
      </w:r>
      <w:r w:rsidR="0016504C">
        <w:t>ciaries for the Group 2</w:t>
      </w:r>
      <w:r>
        <w:t xml:space="preserve"> survey estimation cell.</w:t>
      </w:r>
    </w:p>
    <w:p w14:paraId="7C63EB35" w14:textId="479EACB2" w:rsidR="001177FD" w:rsidRPr="0091795A" w:rsidRDefault="001177FD" w:rsidP="0091795A">
      <w:pPr>
        <w:pStyle w:val="Heading5"/>
        <w:numPr>
          <w:ilvl w:val="0"/>
          <w:numId w:val="0"/>
        </w:numPr>
        <w:ind w:left="720"/>
      </w:pPr>
      <w:bookmarkStart w:id="42" w:name="_Toc409601343"/>
      <w:bookmarkStart w:id="43" w:name="_Toc410331600"/>
      <w:bookmarkStart w:id="44" w:name="_Toc410331706"/>
      <w:bookmarkStart w:id="45" w:name="_Toc429570395"/>
      <w:bookmarkStart w:id="46" w:name="_Toc431546801"/>
      <w:bookmarkStart w:id="47" w:name="MinimumSampleSizeNeeded"/>
      <w:r w:rsidRPr="0091795A">
        <w:t>Minimum Sample Size Needed</w:t>
      </w:r>
      <w:bookmarkEnd w:id="42"/>
      <w:bookmarkEnd w:id="43"/>
      <w:bookmarkEnd w:id="44"/>
      <w:bookmarkEnd w:id="45"/>
      <w:bookmarkEnd w:id="46"/>
      <w:r w:rsidR="0016504C">
        <w:t xml:space="preserve"> for Group 2</w:t>
      </w:r>
    </w:p>
    <w:bookmarkEnd w:id="47"/>
    <w:p w14:paraId="20435973" w14:textId="1FD86028" w:rsidR="001177FD" w:rsidRDefault="001177FD" w:rsidP="0091795A">
      <w:pPr>
        <w:pStyle w:val="BodyTextFirstIndent"/>
      </w:pPr>
      <w:r>
        <w:t>While we plan to</w:t>
      </w:r>
      <w:r w:rsidR="0016504C">
        <w:t xml:space="preserve"> sample 1,398 members of Group 2</w:t>
      </w:r>
      <w:r>
        <w:t xml:space="preserve"> in order to achieve 559 completes, this section explores </w:t>
      </w:r>
      <w:r w:rsidRPr="00EB7E02">
        <w:t xml:space="preserve">the </w:t>
      </w:r>
      <w:r w:rsidRPr="0062429F">
        <w:rPr>
          <w:i/>
        </w:rPr>
        <w:t>minimum</w:t>
      </w:r>
      <w:r>
        <w:t xml:space="preserve"> sample size necessary to achieve a desired power and effect size for hypothesis testing. For most surveys, 80 percent power and 20 percent effect size are typical assumptions used for these calculations. Note that the minimum sample size calculation presented below is not relevant for those enrolled in the </w:t>
      </w:r>
      <w:r w:rsidR="001F4804">
        <w:t>Demonstration</w:t>
      </w:r>
      <w:r>
        <w:t xml:space="preserve">, i.e., those in Groups 1 and </w:t>
      </w:r>
      <w:r w:rsidR="0016504C">
        <w:t>3</w:t>
      </w:r>
      <w:r>
        <w:t xml:space="preserve">, because we plan to use a census approach rather than a sampling approach for those groups. </w:t>
      </w:r>
    </w:p>
    <w:p w14:paraId="52CB5ABB" w14:textId="3F4FA97B" w:rsidR="001177FD" w:rsidRDefault="0016504C" w:rsidP="0091795A">
      <w:pPr>
        <w:pStyle w:val="BodyTextFirstIndent"/>
      </w:pPr>
      <w:r>
        <w:lastRenderedPageBreak/>
        <w:t>For beneficiaries in Group 2</w:t>
      </w:r>
      <w:r w:rsidR="001177FD">
        <w:t xml:space="preserve">, let </w:t>
      </w:r>
      <w:r w:rsidR="001177FD" w:rsidRPr="00D150C9">
        <w:rPr>
          <w:i/>
        </w:rPr>
        <w:t>p</w:t>
      </w:r>
      <w:r w:rsidR="001177FD" w:rsidRPr="00D150C9">
        <w:rPr>
          <w:i/>
          <w:vertAlign w:val="subscript"/>
        </w:rPr>
        <w:t>i</w:t>
      </w:r>
      <w:r w:rsidR="001177FD">
        <w:t xml:space="preserve"> be the proportion of beneficiaries enrolled in the </w:t>
      </w:r>
      <w:r w:rsidR="001F4804">
        <w:t>Demonstration</w:t>
      </w:r>
      <w:r w:rsidR="001177FD">
        <w:t xml:space="preserve"> who indicate having experienced IVIG access problems in the survey. Further assume that </w:t>
      </w:r>
      <w:r w:rsidR="001177FD" w:rsidRPr="00D150C9">
        <w:rPr>
          <w:i/>
        </w:rPr>
        <w:t>p</w:t>
      </w:r>
      <w:r w:rsidR="001177FD" w:rsidRPr="00D150C9">
        <w:rPr>
          <w:i/>
          <w:vertAlign w:val="subscript"/>
        </w:rPr>
        <w:t>i</w:t>
      </w:r>
      <w:r w:rsidR="001177FD">
        <w:t xml:space="preserve"> = </w:t>
      </w:r>
      <w:r w:rsidR="001177FD" w:rsidRPr="00D150C9">
        <w:rPr>
          <w:i/>
        </w:rPr>
        <w:t>p</w:t>
      </w:r>
      <w:r w:rsidR="001177FD">
        <w:rPr>
          <w:i/>
          <w:vertAlign w:val="subscript"/>
        </w:rPr>
        <w:t xml:space="preserve">Group </w:t>
      </w:r>
      <w:r>
        <w:rPr>
          <w:i/>
          <w:vertAlign w:val="subscript"/>
        </w:rPr>
        <w:t>1</w:t>
      </w:r>
      <w:r w:rsidR="001177FD">
        <w:t xml:space="preserve"> = </w:t>
      </w:r>
      <w:r w:rsidR="001177FD" w:rsidRPr="00D150C9">
        <w:rPr>
          <w:i/>
        </w:rPr>
        <w:t>p</w:t>
      </w:r>
      <w:r w:rsidR="001177FD">
        <w:rPr>
          <w:i/>
          <w:vertAlign w:val="subscript"/>
        </w:rPr>
        <w:t xml:space="preserve">Group </w:t>
      </w:r>
      <w:r>
        <w:rPr>
          <w:i/>
          <w:vertAlign w:val="subscript"/>
        </w:rPr>
        <w:t>3</w:t>
      </w:r>
      <w:r w:rsidR="001177FD">
        <w:t xml:space="preserve"> for simplicity. Then the sample size needed to compare a proportion of beneficiaries not enrolled in the </w:t>
      </w:r>
      <w:r w:rsidR="001F4804">
        <w:t>Demonstration</w:t>
      </w:r>
      <w:r w:rsidR="001177FD">
        <w:t xml:space="preserve"> (</w:t>
      </w:r>
      <w:r w:rsidR="001177FD" w:rsidRPr="00D150C9">
        <w:rPr>
          <w:i/>
        </w:rPr>
        <w:t>n</w:t>
      </w:r>
      <w:r w:rsidR="001177FD">
        <w:rPr>
          <w:i/>
          <w:vertAlign w:val="subscript"/>
        </w:rPr>
        <w:t xml:space="preserve">Group </w:t>
      </w:r>
      <w:r>
        <w:rPr>
          <w:i/>
          <w:vertAlign w:val="subscript"/>
        </w:rPr>
        <w:t>2</w:t>
      </w:r>
      <w:r w:rsidR="001177FD">
        <w:t xml:space="preserve">) to </w:t>
      </w:r>
      <w:r w:rsidR="001177FD" w:rsidRPr="00D150C9">
        <w:rPr>
          <w:i/>
        </w:rPr>
        <w:t>p</w:t>
      </w:r>
      <w:r w:rsidR="001177FD" w:rsidRPr="00D150C9">
        <w:rPr>
          <w:i/>
          <w:vertAlign w:val="subscript"/>
        </w:rPr>
        <w:t>i</w:t>
      </w:r>
      <w:r w:rsidR="001177FD">
        <w:t xml:space="preserve"> will be given by</w:t>
      </w:r>
    </w:p>
    <w:p w14:paraId="5E649C7C" w14:textId="6E259AF0" w:rsidR="001177FD" w:rsidRPr="00B46673" w:rsidRDefault="00066813" w:rsidP="0091795A">
      <w:pPr>
        <w:pStyle w:val="BodyTextFirstIndent"/>
        <w:rPr>
          <w:rFonts w:ascii="Cambria Math" w:eastAsiaTheme="minorEastAsia" w:hAnsi="Cambria Math"/>
          <w:oMath/>
        </w:rPr>
      </w:pPr>
      <m:oMathPara>
        <m:oMath>
          <m:sSub>
            <m:sSubPr>
              <m:ctrlPr>
                <w:rPr>
                  <w:rFonts w:ascii="Cambria Math" w:hAnsi="Cambria Math"/>
                </w:rPr>
              </m:ctrlPr>
            </m:sSubPr>
            <m:e>
              <m:r>
                <w:rPr>
                  <w:rFonts w:ascii="Cambria Math" w:hAnsi="Cambria Math"/>
                </w:rPr>
                <m:t>n</m:t>
              </m:r>
            </m:e>
            <m:sub>
              <m:r>
                <w:rPr>
                  <w:rFonts w:ascii="Cambria Math" w:hAnsi="Cambria Math"/>
                </w:rPr>
                <m:t>Group</m:t>
              </m:r>
              <m:r>
                <m:rPr>
                  <m:sty m:val="p"/>
                </m:rPr>
                <w:rPr>
                  <w:rFonts w:ascii="Cambria Math" w:hAnsi="Cambria Math"/>
                </w:rPr>
                <m:t xml:space="preserve"> 2</m:t>
              </m:r>
            </m:sub>
          </m:sSub>
          <m:r>
            <w:rPr>
              <w:rFonts w:ascii="Cambria Math" w:hAnsi="Cambria Math"/>
            </w:rPr>
            <m:t xml:space="preserve">= </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Z</m:t>
                          </m:r>
                        </m:e>
                        <m:sub>
                          <m:r>
                            <w:rPr>
                              <w:rFonts w:ascii="Cambria Math" w:hAnsi="Cambria Math"/>
                            </w:rPr>
                            <m:t>1-∝/2</m:t>
                          </m:r>
                        </m:sub>
                      </m:sSub>
                      <m: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1-</m:t>
                          </m:r>
                          <m:r>
                            <w:rPr>
                              <w:rFonts w:ascii="Cambria Math" w:hAnsi="Cambria Math"/>
                            </w:rPr>
                            <m:t>β</m:t>
                          </m:r>
                        </m:sub>
                      </m:sSub>
                    </m:num>
                    <m:den>
                      <m:r>
                        <w:rPr>
                          <w:rFonts w:ascii="Cambria Math" w:hAnsi="Cambria Math"/>
                        </w:rPr>
                        <m:t>ES</m:t>
                      </m:r>
                    </m:den>
                  </m:f>
                </m:e>
              </m:d>
            </m:e>
            <m:sup>
              <m:r>
                <w:rPr>
                  <w:rFonts w:ascii="Cambria Math" w:hAnsi="Cambria Math"/>
                </w:rPr>
                <m:t>2</m:t>
              </m:r>
            </m:sup>
          </m:sSup>
        </m:oMath>
      </m:oMathPara>
    </w:p>
    <w:p w14:paraId="54D4381B" w14:textId="77777777" w:rsidR="001177FD" w:rsidRDefault="001177FD" w:rsidP="0091795A">
      <w:pPr>
        <w:pStyle w:val="BodyText"/>
        <w:rPr>
          <w:rFonts w:eastAsiaTheme="minorEastAsia"/>
        </w:rPr>
      </w:pPr>
      <w:r>
        <w:rPr>
          <w:rFonts w:eastAsiaTheme="minorEastAsia"/>
        </w:rPr>
        <w:t>where</w:t>
      </w:r>
    </w:p>
    <w:p w14:paraId="6C7955B2" w14:textId="77777777" w:rsidR="001177FD" w:rsidRDefault="001177FD" w:rsidP="00503112">
      <w:pPr>
        <w:pStyle w:val="BodyTextFirstIndent"/>
        <w:rPr>
          <w:rFonts w:eastAsiaTheme="minorEastAsia"/>
        </w:rPr>
      </w:pPr>
      <m:oMathPara>
        <m:oMath>
          <m:r>
            <w:rPr>
              <w:rFonts w:ascii="Cambria Math" w:hAnsi="Cambria Math"/>
            </w:rPr>
            <m:t>ES</m:t>
          </m:r>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Group</m:t>
                      </m:r>
                      <m:r>
                        <m:rPr>
                          <m:sty m:val="p"/>
                        </m:rPr>
                        <w:rPr>
                          <w:rFonts w:ascii="Cambria Math" w:hAnsi="Cambria Math"/>
                        </w:rPr>
                        <m:t xml:space="preserve"> 2</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e>
              </m:d>
            </m:num>
            <m:den>
              <m:rad>
                <m:radPr>
                  <m:degHide m:val="1"/>
                  <m:ctrlPr>
                    <w:rPr>
                      <w:rFonts w:ascii="Cambria Math" w:hAnsi="Cambria Math"/>
                    </w:rPr>
                  </m:ctrlPr>
                </m:radPr>
                <m:deg/>
                <m:e>
                  <m:sSub>
                    <m:sSubPr>
                      <m:ctrlPr>
                        <w:rPr>
                          <w:rFonts w:ascii="Cambria Math" w:hAnsi="Cambria Math"/>
                        </w:rPr>
                      </m:ctrlPr>
                    </m:sSubPr>
                    <m:e>
                      <m:r>
                        <w:rPr>
                          <w:rFonts w:ascii="Cambria Math" w:hAnsi="Cambria Math"/>
                        </w:rPr>
                        <m:t>p</m:t>
                      </m:r>
                    </m:e>
                    <m:sub>
                      <m:r>
                        <w:rPr>
                          <w:rFonts w:ascii="Cambria Math" w:hAnsi="Cambria Math"/>
                        </w:rPr>
                        <m:t>i</m:t>
                      </m:r>
                    </m:sub>
                  </m:sSub>
                  <m:d>
                    <m:dPr>
                      <m:ctrlPr>
                        <w:rPr>
                          <w:rFonts w:ascii="Cambria Math" w:hAnsi="Cambria Math"/>
                        </w:rPr>
                      </m:ctrlPr>
                    </m:dPr>
                    <m:e>
                      <m:r>
                        <m:rPr>
                          <m:sty m:val="p"/>
                        </m:rPr>
                        <w:rPr>
                          <w:rFonts w:ascii="Cambria Math" w:hAnsi="Cambria Math"/>
                        </w:rPr>
                        <m:t>1-</m:t>
                      </m:r>
                      <m:sSub>
                        <m:sSubPr>
                          <m:ctrlPr>
                            <w:rPr>
                              <w:rFonts w:ascii="Cambria Math" w:hAnsi="Cambria Math"/>
                            </w:rPr>
                          </m:ctrlPr>
                        </m:sSubPr>
                        <m:e>
                          <m:r>
                            <w:rPr>
                              <w:rFonts w:ascii="Cambria Math" w:hAnsi="Cambria Math"/>
                            </w:rPr>
                            <m:t>p</m:t>
                          </m:r>
                        </m:e>
                        <m:sub>
                          <m:r>
                            <w:rPr>
                              <w:rFonts w:ascii="Cambria Math" w:hAnsi="Cambria Math"/>
                            </w:rPr>
                            <m:t>i</m:t>
                          </m:r>
                        </m:sub>
                      </m:sSub>
                    </m:e>
                  </m:d>
                </m:e>
              </m:rad>
            </m:den>
          </m:f>
        </m:oMath>
      </m:oMathPara>
    </w:p>
    <w:p w14:paraId="05D99178" w14:textId="4A4362C4" w:rsidR="001177FD" w:rsidRDefault="001177FD" w:rsidP="0091795A">
      <w:pPr>
        <w:pStyle w:val="BodyText"/>
        <w:rPr>
          <w:rFonts w:eastAsiaTheme="minorEastAsia"/>
        </w:rPr>
      </w:pPr>
      <w:r>
        <w:rPr>
          <w:rFonts w:eastAsiaTheme="minorEastAsia"/>
        </w:rPr>
        <w:t xml:space="preserve">and </w:t>
      </w:r>
      <w:r w:rsidRPr="00D150C9">
        <w:rPr>
          <w:rFonts w:eastAsiaTheme="minorEastAsia"/>
          <w:i/>
        </w:rPr>
        <w:t>p</w:t>
      </w:r>
      <w:r>
        <w:rPr>
          <w:rFonts w:eastAsiaTheme="minorEastAsia"/>
          <w:i/>
          <w:vertAlign w:val="subscript"/>
        </w:rPr>
        <w:t xml:space="preserve">Group </w:t>
      </w:r>
      <w:r w:rsidR="0016504C">
        <w:rPr>
          <w:rFonts w:eastAsiaTheme="minorEastAsia"/>
          <w:i/>
          <w:vertAlign w:val="subscript"/>
        </w:rPr>
        <w:t>2</w:t>
      </w:r>
      <w:r>
        <w:rPr>
          <w:rFonts w:eastAsiaTheme="minorEastAsia"/>
        </w:rPr>
        <w:t xml:space="preserve"> is the proportion of beneficiaries not enrolled in the </w:t>
      </w:r>
      <w:r w:rsidR="001F4804">
        <w:rPr>
          <w:rFonts w:eastAsiaTheme="minorEastAsia"/>
        </w:rPr>
        <w:t>Demonstration</w:t>
      </w:r>
      <w:r>
        <w:rPr>
          <w:rFonts w:eastAsiaTheme="minorEastAsia"/>
        </w:rPr>
        <w:t xml:space="preserve"> who indicate having experienced IVIG access problems in the survey. If we assume that the proportion of those beneficia</w:t>
      </w:r>
      <w:r w:rsidR="0016504C">
        <w:rPr>
          <w:rFonts w:eastAsiaTheme="minorEastAsia"/>
        </w:rPr>
        <w:t>ries in both Group 1 and Group 3</w:t>
      </w:r>
      <w:r>
        <w:rPr>
          <w:rFonts w:eastAsiaTheme="minorEastAsia"/>
        </w:rPr>
        <w:t xml:space="preserve"> populations that report having experienced IVIG access problems is</w:t>
      </w:r>
    </w:p>
    <w:p w14:paraId="06AE4931" w14:textId="1630C449" w:rsidR="001177FD" w:rsidRDefault="00066813" w:rsidP="0091795A">
      <w:pPr>
        <w:pStyle w:val="BodyTextFirstIndent"/>
        <w:rPr>
          <w:rFonts w:eastAsiaTheme="minorEastAsia"/>
        </w:rPr>
      </w:pPr>
      <m:oMathPara>
        <m:oMath>
          <m:sSub>
            <m:sSubPr>
              <m:ctrlPr>
                <w:rPr>
                  <w:rFonts w:ascii="Cambria Math" w:hAnsi="Cambria Math"/>
                  <w:i/>
                </w:rPr>
              </m:ctrlPr>
            </m:sSubPr>
            <m:e>
              <m:r>
                <w:rPr>
                  <w:rFonts w:ascii="Cambria Math" w:hAnsi="Cambria Math"/>
                </w:rPr>
                <m:t>p</m:t>
              </m:r>
            </m:e>
            <m:sub>
              <m:r>
                <w:rPr>
                  <w:rFonts w:ascii="Cambria Math" w:hAnsi="Cambria Math"/>
                </w:rPr>
                <m:t>Group</m:t>
              </m:r>
              <m:r>
                <w:rPr>
                  <w:rFonts w:ascii="Cambria Math" w:hAnsi="Cambria Math"/>
                </w:rPr>
                <m:t xml:space="preserve"> 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Group</m:t>
              </m:r>
              <m:r>
                <w:rPr>
                  <w:rFonts w:ascii="Cambria Math" w:hAnsi="Cambria Math"/>
                </w:rPr>
                <m:t xml:space="preserve"> </m:t>
              </m:r>
              <m:r>
                <m:rPr>
                  <m:sty m:val="p"/>
                </m:rPr>
                <w:rPr>
                  <w:rFonts w:ascii="Cambria Math" w:hAnsi="Cambria Math"/>
                </w:rPr>
                <m:t>3</m:t>
              </m:r>
            </m:sub>
          </m:sSub>
          <m:r>
            <w:rPr>
              <w:rFonts w:ascii="Cambria Math" w:hAnsi="Cambria Math"/>
            </w:rPr>
            <m:t>=0.50</m:t>
          </m:r>
        </m:oMath>
      </m:oMathPara>
    </w:p>
    <w:p w14:paraId="673A90CD" w14:textId="67E6D825" w:rsidR="001177FD" w:rsidRDefault="001177FD" w:rsidP="0091795A">
      <w:pPr>
        <w:pStyle w:val="BodyTextFirstIndent"/>
        <w:rPr>
          <w:rFonts w:eastAsiaTheme="minorEastAsia"/>
        </w:rPr>
      </w:pPr>
      <w:r>
        <w:rPr>
          <w:rFonts w:eastAsiaTheme="minorEastAsia"/>
        </w:rPr>
        <w:t xml:space="preserve">A 20 percent effect size, </w:t>
      </w:r>
      <w:r w:rsidRPr="004533B1">
        <w:rPr>
          <w:rFonts w:eastAsiaTheme="minorEastAsia"/>
          <w:i/>
        </w:rPr>
        <w:t>ES</w:t>
      </w:r>
      <w:r>
        <w:rPr>
          <w:rFonts w:eastAsiaTheme="minorEastAsia"/>
        </w:rPr>
        <w:t xml:space="preserve"> = 0.20 (i.e., ability to detect a 20 percent difference in the proportion of beneficiaries experiencing IVIG access problems between the </w:t>
      </w:r>
      <w:r w:rsidRPr="00D13113">
        <w:rPr>
          <w:rFonts w:eastAsiaTheme="minorEastAsia"/>
        </w:rPr>
        <w:t>Group 2 and Group 3</w:t>
      </w:r>
      <w:r>
        <w:rPr>
          <w:rFonts w:eastAsiaTheme="minorEastAsia"/>
          <w:i/>
        </w:rPr>
        <w:t xml:space="preserve"> </w:t>
      </w:r>
      <w:r>
        <w:rPr>
          <w:rFonts w:eastAsiaTheme="minorEastAsia"/>
        </w:rPr>
        <w:t xml:space="preserve">populations or between the </w:t>
      </w:r>
      <w:r w:rsidRPr="00D13113">
        <w:rPr>
          <w:rFonts w:eastAsiaTheme="minorEastAsia"/>
        </w:rPr>
        <w:t xml:space="preserve">Group 1 and Group </w:t>
      </w:r>
      <w:r w:rsidR="0050573B">
        <w:rPr>
          <w:rFonts w:eastAsiaTheme="minorEastAsia"/>
        </w:rPr>
        <w:t>2</w:t>
      </w:r>
      <w:r>
        <w:rPr>
          <w:rFonts w:eastAsiaTheme="minorEastAsia"/>
          <w:i/>
        </w:rPr>
        <w:t xml:space="preserve"> </w:t>
      </w:r>
      <w:r>
        <w:rPr>
          <w:rFonts w:eastAsiaTheme="minorEastAsia"/>
        </w:rPr>
        <w:t>populations) implies:</w:t>
      </w:r>
    </w:p>
    <w:p w14:paraId="4CD1E48F" w14:textId="0926F02C" w:rsidR="001177FD" w:rsidRPr="00D13113" w:rsidRDefault="00C73057" w:rsidP="00503112">
      <w:pPr>
        <w:pStyle w:val="BodyTextFirstIndent"/>
        <w:rPr>
          <w:rFonts w:eastAsiaTheme="minorEastAsia"/>
        </w:rPr>
      </w:pPr>
      <m:oMathPara>
        <m:oMath>
          <m:r>
            <m:rPr>
              <m:sty m:val="p"/>
            </m:rPr>
            <w:rPr>
              <w:rFonts w:ascii="Cambria Math" w:hAnsi="Cambria Math"/>
            </w:rPr>
            <m:t>0.20=</m:t>
          </m:r>
          <m:f>
            <m:fPr>
              <m:ctrlPr>
                <w:rPr>
                  <w:rFonts w:ascii="Cambria Math" w:hAnsi="Cambria Math"/>
                </w:rPr>
              </m:ctrlPr>
            </m:fPr>
            <m:num>
              <m:d>
                <m:dPr>
                  <m:begChr m:val="|"/>
                  <m:endChr m:val="|"/>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Group</m:t>
                      </m:r>
                      <m:r>
                        <m:rPr>
                          <m:sty m:val="p"/>
                        </m:rPr>
                        <w:rPr>
                          <w:rFonts w:ascii="Cambria Math" w:hAnsi="Cambria Math"/>
                        </w:rPr>
                        <m:t xml:space="preserve"> 2</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e>
              </m:d>
            </m:num>
            <m:den>
              <m:rad>
                <m:radPr>
                  <m:degHide m:val="1"/>
                  <m:ctrlPr>
                    <w:rPr>
                      <w:rFonts w:ascii="Cambria Math" w:hAnsi="Cambria Math"/>
                    </w:rPr>
                  </m:ctrlPr>
                </m:radPr>
                <m:deg/>
                <m:e>
                  <m:sSub>
                    <m:sSubPr>
                      <m:ctrlPr>
                        <w:rPr>
                          <w:rFonts w:ascii="Cambria Math" w:hAnsi="Cambria Math"/>
                        </w:rPr>
                      </m:ctrlPr>
                    </m:sSubPr>
                    <m:e>
                      <m:r>
                        <w:rPr>
                          <w:rFonts w:ascii="Cambria Math" w:hAnsi="Cambria Math"/>
                        </w:rPr>
                        <m:t>p</m:t>
                      </m:r>
                    </m:e>
                    <m:sub>
                      <m:r>
                        <w:rPr>
                          <w:rFonts w:ascii="Cambria Math" w:hAnsi="Cambria Math"/>
                        </w:rPr>
                        <m:t>i</m:t>
                      </m:r>
                    </m:sub>
                  </m:sSub>
                  <m:d>
                    <m:dPr>
                      <m:ctrlPr>
                        <w:rPr>
                          <w:rFonts w:ascii="Cambria Math" w:hAnsi="Cambria Math"/>
                        </w:rPr>
                      </m:ctrlPr>
                    </m:dPr>
                    <m:e>
                      <m:r>
                        <m:rPr>
                          <m:sty m:val="p"/>
                        </m:rPr>
                        <w:rPr>
                          <w:rFonts w:ascii="Cambria Math" w:hAnsi="Cambria Math"/>
                        </w:rPr>
                        <m:t>1-</m:t>
                      </m:r>
                      <m:sSub>
                        <m:sSubPr>
                          <m:ctrlPr>
                            <w:rPr>
                              <w:rFonts w:ascii="Cambria Math" w:hAnsi="Cambria Math"/>
                            </w:rPr>
                          </m:ctrlPr>
                        </m:sSubPr>
                        <m:e>
                          <m:r>
                            <w:rPr>
                              <w:rFonts w:ascii="Cambria Math" w:hAnsi="Cambria Math"/>
                            </w:rPr>
                            <m:t>p</m:t>
                          </m:r>
                        </m:e>
                        <m:sub>
                          <m:r>
                            <w:rPr>
                              <w:rFonts w:ascii="Cambria Math" w:hAnsi="Cambria Math"/>
                            </w:rPr>
                            <m:t>i</m:t>
                          </m:r>
                        </m:sub>
                      </m:sSub>
                    </m:e>
                  </m:d>
                </m:e>
              </m:rad>
            </m:den>
          </m:f>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Group</m:t>
                      </m:r>
                      <m:r>
                        <m:rPr>
                          <m:sty m:val="p"/>
                        </m:rPr>
                        <w:rPr>
                          <w:rFonts w:ascii="Cambria Math" w:hAnsi="Cambria Math"/>
                        </w:rPr>
                        <m:t xml:space="preserve"> 2</m:t>
                      </m:r>
                    </m:sub>
                  </m:sSub>
                  <m:r>
                    <m:rPr>
                      <m:sty m:val="p"/>
                    </m:rPr>
                    <w:rPr>
                      <w:rFonts w:ascii="Cambria Math" w:hAnsi="Cambria Math"/>
                    </w:rPr>
                    <m:t>-0.50</m:t>
                  </m:r>
                </m:e>
              </m:d>
            </m:num>
            <m:den>
              <m:rad>
                <m:radPr>
                  <m:degHide m:val="1"/>
                  <m:ctrlPr>
                    <w:rPr>
                      <w:rFonts w:ascii="Cambria Math" w:hAnsi="Cambria Math"/>
                    </w:rPr>
                  </m:ctrlPr>
                </m:radPr>
                <m:deg/>
                <m:e>
                  <m:r>
                    <m:rPr>
                      <m:sty m:val="p"/>
                    </m:rPr>
                    <w:rPr>
                      <w:rFonts w:ascii="Cambria Math" w:hAnsi="Cambria Math"/>
                    </w:rPr>
                    <m:t>0.50</m:t>
                  </m:r>
                  <m:d>
                    <m:dPr>
                      <m:ctrlPr>
                        <w:rPr>
                          <w:rFonts w:ascii="Cambria Math" w:hAnsi="Cambria Math"/>
                        </w:rPr>
                      </m:ctrlPr>
                    </m:dPr>
                    <m:e>
                      <m:r>
                        <m:rPr>
                          <m:sty m:val="p"/>
                        </m:rPr>
                        <w:rPr>
                          <w:rFonts w:ascii="Cambria Math" w:hAnsi="Cambria Math"/>
                        </w:rPr>
                        <m:t>1-0.50</m:t>
                      </m:r>
                    </m:e>
                  </m:d>
                </m:e>
              </m:rad>
            </m:den>
          </m:f>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Group</m:t>
                      </m:r>
                      <m:r>
                        <m:rPr>
                          <m:sty m:val="p"/>
                        </m:rPr>
                        <w:rPr>
                          <w:rFonts w:ascii="Cambria Math" w:hAnsi="Cambria Math"/>
                        </w:rPr>
                        <m:t xml:space="preserve"> 2</m:t>
                      </m:r>
                    </m:sub>
                  </m:sSub>
                  <m:r>
                    <m:rPr>
                      <m:sty m:val="p"/>
                    </m:rPr>
                    <w:rPr>
                      <w:rFonts w:ascii="Cambria Math" w:hAnsi="Cambria Math"/>
                    </w:rPr>
                    <m:t>-0.50</m:t>
                  </m:r>
                </m:e>
              </m:d>
            </m:num>
            <m:den>
              <m:rad>
                <m:radPr>
                  <m:degHide m:val="1"/>
                  <m:ctrlPr>
                    <w:rPr>
                      <w:rFonts w:ascii="Cambria Math" w:hAnsi="Cambria Math"/>
                    </w:rPr>
                  </m:ctrlPr>
                </m:radPr>
                <m:deg/>
                <m:e>
                  <m:r>
                    <m:rPr>
                      <m:sty m:val="p"/>
                    </m:rPr>
                    <w:rPr>
                      <w:rFonts w:ascii="Cambria Math" w:hAnsi="Cambria Math"/>
                    </w:rPr>
                    <m:t>0.25</m:t>
                  </m:r>
                </m:e>
              </m:rad>
            </m:den>
          </m:f>
        </m:oMath>
      </m:oMathPara>
    </w:p>
    <w:p w14:paraId="2B3A24DB" w14:textId="77777777" w:rsidR="001177FD" w:rsidRPr="00D13113" w:rsidRDefault="00066813" w:rsidP="0091795A">
      <w:pPr>
        <w:pStyle w:val="BodyTextFirstIndent"/>
        <w:rPr>
          <w:rFonts w:eastAsiaTheme="minorEastAsia"/>
        </w:rPr>
      </w:pPr>
      <m:oMathPara>
        <m:oMath>
          <m:sSub>
            <m:sSubPr>
              <m:ctrlPr>
                <w:rPr>
                  <w:rFonts w:ascii="Cambria Math" w:hAnsi="Cambria Math"/>
                </w:rPr>
              </m:ctrlPr>
            </m:sSubPr>
            <m:e>
              <m:r>
                <w:rPr>
                  <w:rFonts w:ascii="Cambria Math" w:hAnsi="Cambria Math"/>
                </w:rPr>
                <m:t>p</m:t>
              </m:r>
            </m:e>
            <m:sub>
              <m:r>
                <w:rPr>
                  <w:rFonts w:ascii="Cambria Math" w:hAnsi="Cambria Math"/>
                </w:rPr>
                <m:t>Group</m:t>
              </m:r>
              <m:r>
                <m:rPr>
                  <m:sty m:val="p"/>
                </m:rPr>
                <w:rPr>
                  <w:rFonts w:ascii="Cambria Math" w:hAnsi="Cambria Math"/>
                </w:rPr>
                <m:t xml:space="preserve"> 2</m:t>
              </m:r>
            </m:sub>
          </m:sSub>
          <m:r>
            <w:rPr>
              <w:rFonts w:ascii="Cambria Math" w:hAnsi="Cambria Math"/>
            </w:rPr>
            <m:t>=0.20×0.50+0.50</m:t>
          </m:r>
        </m:oMath>
      </m:oMathPara>
    </w:p>
    <w:p w14:paraId="70A4B667" w14:textId="35D88F64" w:rsidR="001177FD" w:rsidRPr="00D13113" w:rsidRDefault="00066813" w:rsidP="0091795A">
      <w:pPr>
        <w:pStyle w:val="BodyTextFirstIndent"/>
        <w:rPr>
          <w:rFonts w:eastAsiaTheme="minorEastAsia"/>
        </w:rPr>
      </w:pPr>
      <m:oMathPara>
        <m:oMath>
          <m:sSub>
            <m:sSubPr>
              <m:ctrlPr>
                <w:rPr>
                  <w:rFonts w:ascii="Cambria Math" w:hAnsi="Cambria Math"/>
                </w:rPr>
              </m:ctrlPr>
            </m:sSubPr>
            <m:e>
              <m:r>
                <w:rPr>
                  <w:rFonts w:ascii="Cambria Math" w:hAnsi="Cambria Math"/>
                </w:rPr>
                <m:t>p</m:t>
              </m:r>
            </m:e>
            <m:sub>
              <m:r>
                <w:rPr>
                  <w:rFonts w:ascii="Cambria Math" w:hAnsi="Cambria Math"/>
                </w:rPr>
                <m:t>Group</m:t>
              </m:r>
              <m:r>
                <m:rPr>
                  <m:sty m:val="p"/>
                </m:rPr>
                <w:rPr>
                  <w:rFonts w:ascii="Cambria Math" w:hAnsi="Cambria Math"/>
                </w:rPr>
                <m:t xml:space="preserve"> 2</m:t>
              </m:r>
            </m:sub>
          </m:sSub>
          <m:r>
            <w:rPr>
              <w:rFonts w:ascii="Cambria Math" w:hAnsi="Cambria Math"/>
            </w:rPr>
            <m:t>=0.60</m:t>
          </m:r>
        </m:oMath>
      </m:oMathPara>
    </w:p>
    <w:p w14:paraId="79F68D3E" w14:textId="77777777" w:rsidR="001177FD" w:rsidRDefault="001177FD" w:rsidP="0091795A">
      <w:pPr>
        <w:pStyle w:val="BodyTextFirstIndent"/>
        <w:rPr>
          <w:rFonts w:eastAsiaTheme="minorEastAsia"/>
        </w:rPr>
      </w:pPr>
      <w:r>
        <w:rPr>
          <w:rFonts w:eastAsiaTheme="minorEastAsia"/>
        </w:rPr>
        <w:t xml:space="preserve">Given </w:t>
      </w:r>
    </w:p>
    <w:p w14:paraId="02957F3C" w14:textId="77777777" w:rsidR="001177FD" w:rsidRPr="00D13113" w:rsidRDefault="001177FD" w:rsidP="0091795A">
      <w:pPr>
        <w:pStyle w:val="BodyTextFirstIndent"/>
        <w:rPr>
          <w:rFonts w:eastAsiaTheme="minorEastAsia"/>
        </w:rPr>
      </w:pPr>
      <m:oMathPara>
        <m:oMath>
          <m:r>
            <w:rPr>
              <w:rFonts w:ascii="Cambria Math" w:hAnsi="Cambria Math"/>
            </w:rPr>
            <m:t>∝=0.05</m:t>
          </m:r>
        </m:oMath>
      </m:oMathPara>
    </w:p>
    <w:p w14:paraId="3C3ED014" w14:textId="77777777" w:rsidR="001177FD" w:rsidRPr="00D13113" w:rsidRDefault="001177FD" w:rsidP="0091795A">
      <w:pPr>
        <w:pStyle w:val="BodyTextFirstIndent"/>
        <w:rPr>
          <w:rFonts w:eastAsiaTheme="minorEastAsia"/>
        </w:rPr>
      </w:pPr>
      <m:oMathPara>
        <m:oMath>
          <m:r>
            <w:rPr>
              <w:rFonts w:ascii="Cambria Math" w:hAnsi="Cambria Math"/>
            </w:rPr>
            <m:t>β</m:t>
          </m:r>
          <m:r>
            <w:rPr>
              <w:rFonts w:ascii="Cambria Math" w:hAnsi="Cambria Math"/>
            </w:rPr>
            <m:t>=0.80</m:t>
          </m:r>
        </m:oMath>
      </m:oMathPara>
    </w:p>
    <w:p w14:paraId="50C15A58" w14:textId="3B692AD7" w:rsidR="001177FD" w:rsidRDefault="001177FD" w:rsidP="0091795A">
      <w:pPr>
        <w:pStyle w:val="BodyTextFirstIndent"/>
        <w:rPr>
          <w:rFonts w:eastAsiaTheme="minorEastAsia"/>
        </w:rPr>
      </w:pPr>
      <w:r>
        <w:rPr>
          <w:rFonts w:eastAsiaTheme="minorEastAsia"/>
        </w:rPr>
        <w:t xml:space="preserve">The required minimum sample size for the </w:t>
      </w:r>
      <w:r>
        <w:t>unenrolled beneficiary group (</w:t>
      </w:r>
      <w:r w:rsidR="0050573B">
        <w:t>Group 2</w:t>
      </w:r>
      <w:r>
        <w:t xml:space="preserve">) </w:t>
      </w:r>
      <w:r>
        <w:rPr>
          <w:rFonts w:eastAsiaTheme="minorEastAsia"/>
        </w:rPr>
        <w:t>will be</w:t>
      </w:r>
      <w:r>
        <w:rPr>
          <w:rStyle w:val="FootnoteReference"/>
          <w:rFonts w:eastAsiaTheme="minorEastAsia"/>
        </w:rPr>
        <w:footnoteReference w:id="4"/>
      </w:r>
    </w:p>
    <w:p w14:paraId="24B3D2F6" w14:textId="4C9D5C56" w:rsidR="001177FD" w:rsidRPr="00D13113" w:rsidRDefault="00066813" w:rsidP="0091795A">
      <w:pPr>
        <w:pStyle w:val="BodyTextFirstIndent"/>
        <w:rPr>
          <w:rFonts w:eastAsiaTheme="minorEastAsia"/>
        </w:rPr>
      </w:pPr>
      <m:oMathPara>
        <m:oMath>
          <m:sSub>
            <m:sSubPr>
              <m:ctrlPr>
                <w:rPr>
                  <w:rFonts w:ascii="Cambria Math" w:hAnsi="Cambria Math"/>
                </w:rPr>
              </m:ctrlPr>
            </m:sSubPr>
            <m:e>
              <m:r>
                <w:rPr>
                  <w:rFonts w:ascii="Cambria Math" w:hAnsi="Cambria Math"/>
                </w:rPr>
                <m:t>n</m:t>
              </m:r>
            </m:e>
            <m:sub>
              <m:r>
                <w:rPr>
                  <w:rFonts w:ascii="Cambria Math" w:hAnsi="Cambria Math"/>
                </w:rPr>
                <m:t>Group</m:t>
              </m:r>
              <m:r>
                <m:rPr>
                  <m:sty m:val="p"/>
                </m:rPr>
                <w:rPr>
                  <w:rFonts w:ascii="Cambria Math" w:hAnsi="Cambria Math"/>
                </w:rPr>
                <m:t xml:space="preserve"> 2</m:t>
              </m:r>
            </m:sub>
          </m:sSub>
          <m:r>
            <w:rPr>
              <w:rFonts w:ascii="Cambria Math" w:hAnsi="Cambria Math"/>
            </w:rPr>
            <m:t xml:space="preserve">= </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Z</m:t>
                          </m:r>
                        </m:e>
                        <m:sub>
                          <m:r>
                            <w:rPr>
                              <w:rFonts w:ascii="Cambria Math" w:hAnsi="Cambria Math"/>
                            </w:rPr>
                            <m:t>1-∝/2</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1-</m:t>
                          </m:r>
                          <m:r>
                            <w:rPr>
                              <w:rFonts w:ascii="Cambria Math" w:hAnsi="Cambria Math"/>
                            </w:rPr>
                            <m:t>β</m:t>
                          </m:r>
                        </m:sub>
                      </m:sSub>
                    </m:num>
                    <m:den>
                      <m:r>
                        <w:rPr>
                          <w:rFonts w:ascii="Cambria Math" w:hAnsi="Cambria Math"/>
                        </w:rPr>
                        <m:t>ES</m:t>
                      </m:r>
                    </m:den>
                  </m:f>
                </m:e>
              </m:d>
            </m:e>
            <m:sup>
              <m:r>
                <w:rPr>
                  <w:rFonts w:ascii="Cambria Math" w:hAnsi="Cambria Math"/>
                </w:rPr>
                <m:t>2</m:t>
              </m:r>
            </m:sup>
          </m:sSup>
          <m:r>
            <w:rPr>
              <w:rFonts w:ascii="Cambria Math" w:eastAsiaTheme="minorEastAsia"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eastAsiaTheme="minorEastAsia" w:hAnsi="Cambria Math"/>
                        </w:rPr>
                        <m:t>1.96+0.84</m:t>
                      </m:r>
                    </m:num>
                    <m:den>
                      <m:r>
                        <w:rPr>
                          <w:rFonts w:ascii="Cambria Math" w:eastAsiaTheme="minorEastAsia" w:hAnsi="Cambria Math"/>
                        </w:rPr>
                        <m:t>0.20</m:t>
                      </m:r>
                    </m:den>
                  </m:f>
                </m:e>
              </m:d>
            </m:e>
            <m:sup>
              <m:r>
                <w:rPr>
                  <w:rFonts w:ascii="Cambria Math" w:eastAsiaTheme="minorEastAsia" w:hAnsi="Cambria Math"/>
                </w:rPr>
                <m:t>2</m:t>
              </m:r>
            </m:sup>
          </m:sSup>
          <m:r>
            <w:rPr>
              <w:rFonts w:ascii="Cambria Math" w:eastAsiaTheme="minorEastAsia" w:hAnsi="Cambria Math"/>
            </w:rPr>
            <m:t>=194</m:t>
          </m:r>
        </m:oMath>
      </m:oMathPara>
    </w:p>
    <w:p w14:paraId="21B0FDE9" w14:textId="4932EC2D" w:rsidR="001177FD" w:rsidRDefault="001177FD" w:rsidP="0091795A">
      <w:pPr>
        <w:pStyle w:val="BodyTextFirstIndent"/>
      </w:pPr>
      <w:r>
        <w:rPr>
          <w:rFonts w:eastAsiaTheme="minorEastAsia"/>
        </w:rPr>
        <w:t>Note that different assumptions about the proportion of enrolled beneficiaries (i.e., groups experiencing IVIG access problems</w:t>
      </w:r>
      <w:r w:rsidR="00BB07BE">
        <w:rPr>
          <w:rFonts w:eastAsiaTheme="minorEastAsia"/>
        </w:rPr>
        <w:t>)</w:t>
      </w:r>
      <w:r>
        <w:rPr>
          <w:rFonts w:eastAsiaTheme="minorEastAsia"/>
        </w:rPr>
        <w:t xml:space="preserve"> will lead to different minimum sample size estimates for the un</w:t>
      </w:r>
      <w:r w:rsidR="0050573B">
        <w:rPr>
          <w:rFonts w:eastAsiaTheme="minorEastAsia"/>
        </w:rPr>
        <w:t>enrolled beneficiaries (Group 2</w:t>
      </w:r>
      <w:r>
        <w:rPr>
          <w:rFonts w:eastAsiaTheme="minorEastAsia"/>
        </w:rPr>
        <w:t>) even if the power, significance, and effect size figures are unchanged. Below (</w:t>
      </w:r>
      <w:r w:rsidR="00BB07BE">
        <w:fldChar w:fldCharType="begin"/>
      </w:r>
      <w:r w:rsidR="00BB07BE">
        <w:instrText xml:space="preserve"> REF _Ref435101528 \h  \* MERGEFORMAT </w:instrText>
      </w:r>
      <w:r w:rsidR="00BB07BE">
        <w:fldChar w:fldCharType="separate"/>
      </w:r>
      <w:r w:rsidR="00464D9D">
        <w:t>Table 2</w:t>
      </w:r>
      <w:r w:rsidR="00BB07BE">
        <w:fldChar w:fldCharType="end"/>
      </w:r>
      <w:r>
        <w:rPr>
          <w:rFonts w:eastAsiaTheme="minorEastAsia"/>
        </w:rPr>
        <w:t>) we present the power afforded by different sample sizes fo</w:t>
      </w:r>
      <w:r w:rsidR="0050573B">
        <w:rPr>
          <w:rFonts w:eastAsiaTheme="minorEastAsia"/>
        </w:rPr>
        <w:t>r the unenrolled group, Group 2</w:t>
      </w:r>
      <w:r>
        <w:rPr>
          <w:rFonts w:eastAsiaTheme="minorEastAsia"/>
        </w:rPr>
        <w:t xml:space="preserve">, at different effect size, </w:t>
      </w:r>
      <w:r w:rsidRPr="00D150C9">
        <w:rPr>
          <w:rFonts w:eastAsiaTheme="minorEastAsia"/>
          <w:i/>
        </w:rPr>
        <w:t>ES</w:t>
      </w:r>
      <w:r>
        <w:rPr>
          <w:rFonts w:eastAsiaTheme="minorEastAsia"/>
        </w:rPr>
        <w:t xml:space="preserve">, levels. </w:t>
      </w:r>
      <w:r>
        <w:t xml:space="preserve">Eighty percent power and 20 percent effect size are typical standards used in similar surveys, which imply a minimum sample size of 194 for this survey. However, our </w:t>
      </w:r>
      <w:r>
        <w:lastRenderedPageBreak/>
        <w:t>proposed sample size of 561 completes affords an effect size of 15 percent at 95 percent power, far exceeding these typical standards.</w:t>
      </w:r>
    </w:p>
    <w:p w14:paraId="1E09A59E" w14:textId="419B65A6" w:rsidR="001177FD" w:rsidRDefault="001177FD">
      <w:pPr>
        <w:pStyle w:val="Caption"/>
        <w:spacing w:line="276" w:lineRule="auto"/>
      </w:pPr>
      <w:bookmarkStart w:id="48" w:name="_Ref435101528"/>
      <w:r>
        <w:t xml:space="preserve">Table </w:t>
      </w:r>
      <w:r w:rsidR="0060188B">
        <w:fldChar w:fldCharType="begin"/>
      </w:r>
      <w:r w:rsidR="00317143">
        <w:instrText xml:space="preserve"> SEQ Table \* ARABIC </w:instrText>
      </w:r>
      <w:r w:rsidR="0060188B">
        <w:fldChar w:fldCharType="separate"/>
      </w:r>
      <w:r w:rsidR="00464D9D">
        <w:rPr>
          <w:noProof/>
        </w:rPr>
        <w:t>2</w:t>
      </w:r>
      <w:r w:rsidR="0060188B">
        <w:rPr>
          <w:noProof/>
        </w:rPr>
        <w:fldChar w:fldCharType="end"/>
      </w:r>
      <w:bookmarkEnd w:id="48"/>
      <w:r>
        <w:t xml:space="preserve">: </w:t>
      </w:r>
      <w:r w:rsidRPr="00CB425E">
        <w:t>Power Associated with Di</w:t>
      </w:r>
      <w:r w:rsidR="0050573B">
        <w:t>fferent Size Samples for Group 2</w:t>
      </w:r>
      <w:r w:rsidRPr="00CB425E">
        <w:t xml:space="preserve"> at Varying Effect Sizes (</w:t>
      </w:r>
      <w:r w:rsidRPr="006E3BB4">
        <w:rPr>
          <w:i/>
        </w:rPr>
        <w:t>ES</w:t>
      </w:r>
      <w:r w:rsidRPr="00CB425E">
        <w:t>)</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1177FD" w14:paraId="6ECD99BB" w14:textId="77777777" w:rsidTr="00B40925">
        <w:trPr>
          <w:cantSplit/>
          <w:tblHeader/>
        </w:trPr>
        <w:tc>
          <w:tcPr>
            <w:tcW w:w="1335" w:type="dxa"/>
            <w:vMerge w:val="restart"/>
            <w:shd w:val="clear" w:color="auto" w:fill="DBE5F1" w:themeFill="accent1" w:themeFillTint="33"/>
          </w:tcPr>
          <w:p w14:paraId="73236D4C" w14:textId="77777777" w:rsidR="001177FD" w:rsidRDefault="001177FD" w:rsidP="0091795A">
            <w:pPr>
              <w:jc w:val="center"/>
            </w:pPr>
            <w:r w:rsidRPr="001F6BDA">
              <w:rPr>
                <w:rFonts w:eastAsiaTheme="minorEastAsia"/>
                <w:b/>
              </w:rPr>
              <w:t>Sample Size [a]</w:t>
            </w:r>
          </w:p>
        </w:tc>
        <w:tc>
          <w:tcPr>
            <w:tcW w:w="8015" w:type="dxa"/>
            <w:gridSpan w:val="6"/>
            <w:shd w:val="clear" w:color="auto" w:fill="DBE5F1" w:themeFill="accent1" w:themeFillTint="33"/>
          </w:tcPr>
          <w:p w14:paraId="3124E0B7" w14:textId="77777777" w:rsidR="001177FD" w:rsidRPr="001F6BDA" w:rsidRDefault="001177FD" w:rsidP="0091795A">
            <w:pPr>
              <w:jc w:val="center"/>
              <w:rPr>
                <w:b/>
                <w:bCs/>
                <w:color w:val="000000"/>
              </w:rPr>
            </w:pPr>
            <w:r>
              <w:rPr>
                <w:b/>
                <w:bCs/>
                <w:color w:val="000000"/>
              </w:rPr>
              <w:t>Power</w:t>
            </w:r>
          </w:p>
        </w:tc>
      </w:tr>
      <w:tr w:rsidR="001177FD" w14:paraId="5A3EA940" w14:textId="77777777" w:rsidTr="00B40925">
        <w:trPr>
          <w:tblHeader/>
        </w:trPr>
        <w:tc>
          <w:tcPr>
            <w:tcW w:w="1335" w:type="dxa"/>
            <w:vMerge/>
            <w:shd w:val="clear" w:color="auto" w:fill="DBE5F1" w:themeFill="accent1" w:themeFillTint="33"/>
          </w:tcPr>
          <w:p w14:paraId="608F7F30" w14:textId="77777777" w:rsidR="001177FD" w:rsidRDefault="001177FD" w:rsidP="0091795A">
            <w:pPr>
              <w:jc w:val="center"/>
            </w:pPr>
          </w:p>
        </w:tc>
        <w:tc>
          <w:tcPr>
            <w:tcW w:w="1335" w:type="dxa"/>
            <w:shd w:val="clear" w:color="auto" w:fill="DBE5F1" w:themeFill="accent1" w:themeFillTint="33"/>
          </w:tcPr>
          <w:p w14:paraId="7C0F2FC6" w14:textId="77777777" w:rsidR="001177FD" w:rsidRPr="001F6BDA" w:rsidRDefault="001177FD" w:rsidP="0091795A">
            <w:pPr>
              <w:jc w:val="center"/>
              <w:rPr>
                <w:b/>
                <w:bCs/>
                <w:color w:val="000000"/>
              </w:rPr>
            </w:pPr>
            <w:r w:rsidRPr="001F6BDA">
              <w:rPr>
                <w:b/>
                <w:bCs/>
                <w:i/>
                <w:color w:val="000000"/>
              </w:rPr>
              <w:t>ES</w:t>
            </w:r>
            <w:r w:rsidRPr="001F6BDA">
              <w:rPr>
                <w:b/>
                <w:bCs/>
                <w:color w:val="000000"/>
              </w:rPr>
              <w:t xml:space="preserve"> = 10%</w:t>
            </w:r>
          </w:p>
        </w:tc>
        <w:tc>
          <w:tcPr>
            <w:tcW w:w="1336" w:type="dxa"/>
            <w:shd w:val="clear" w:color="auto" w:fill="DBE5F1" w:themeFill="accent1" w:themeFillTint="33"/>
          </w:tcPr>
          <w:p w14:paraId="6DA8A8E0" w14:textId="77777777" w:rsidR="001177FD" w:rsidRPr="001F6BDA" w:rsidRDefault="001177FD" w:rsidP="0091795A">
            <w:pPr>
              <w:jc w:val="center"/>
              <w:rPr>
                <w:b/>
                <w:bCs/>
                <w:color w:val="000000"/>
              </w:rPr>
            </w:pPr>
            <w:r w:rsidRPr="001F6BDA">
              <w:rPr>
                <w:b/>
                <w:bCs/>
                <w:i/>
                <w:color w:val="000000"/>
              </w:rPr>
              <w:t>ES</w:t>
            </w:r>
            <w:r w:rsidRPr="001F6BDA">
              <w:rPr>
                <w:b/>
                <w:bCs/>
                <w:color w:val="000000"/>
              </w:rPr>
              <w:t xml:space="preserve"> = 15%</w:t>
            </w:r>
          </w:p>
        </w:tc>
        <w:tc>
          <w:tcPr>
            <w:tcW w:w="1336" w:type="dxa"/>
            <w:shd w:val="clear" w:color="auto" w:fill="DBE5F1" w:themeFill="accent1" w:themeFillTint="33"/>
          </w:tcPr>
          <w:p w14:paraId="7A639394" w14:textId="77777777" w:rsidR="001177FD" w:rsidRPr="001F6BDA" w:rsidRDefault="001177FD" w:rsidP="0091795A">
            <w:pPr>
              <w:jc w:val="center"/>
              <w:rPr>
                <w:b/>
                <w:bCs/>
                <w:color w:val="000000"/>
              </w:rPr>
            </w:pPr>
            <w:r w:rsidRPr="001F6BDA">
              <w:rPr>
                <w:b/>
                <w:bCs/>
                <w:i/>
                <w:color w:val="000000"/>
              </w:rPr>
              <w:t>ES</w:t>
            </w:r>
            <w:r w:rsidRPr="001F6BDA">
              <w:rPr>
                <w:b/>
                <w:bCs/>
                <w:color w:val="000000"/>
              </w:rPr>
              <w:t xml:space="preserve"> = 20%</w:t>
            </w:r>
          </w:p>
        </w:tc>
        <w:tc>
          <w:tcPr>
            <w:tcW w:w="1336" w:type="dxa"/>
            <w:shd w:val="clear" w:color="auto" w:fill="DBE5F1" w:themeFill="accent1" w:themeFillTint="33"/>
          </w:tcPr>
          <w:p w14:paraId="59219EDB" w14:textId="77777777" w:rsidR="001177FD" w:rsidRPr="001F6BDA" w:rsidRDefault="001177FD" w:rsidP="0091795A">
            <w:pPr>
              <w:jc w:val="center"/>
              <w:rPr>
                <w:b/>
                <w:bCs/>
                <w:color w:val="000000"/>
              </w:rPr>
            </w:pPr>
            <w:r w:rsidRPr="001F6BDA">
              <w:rPr>
                <w:b/>
                <w:bCs/>
                <w:i/>
                <w:color w:val="000000"/>
              </w:rPr>
              <w:t>ES</w:t>
            </w:r>
            <w:r w:rsidRPr="001F6BDA">
              <w:rPr>
                <w:b/>
                <w:bCs/>
                <w:color w:val="000000"/>
              </w:rPr>
              <w:t xml:space="preserve"> = 25%</w:t>
            </w:r>
          </w:p>
        </w:tc>
        <w:tc>
          <w:tcPr>
            <w:tcW w:w="1336" w:type="dxa"/>
            <w:shd w:val="clear" w:color="auto" w:fill="DBE5F1" w:themeFill="accent1" w:themeFillTint="33"/>
          </w:tcPr>
          <w:p w14:paraId="79D82EC4" w14:textId="77777777" w:rsidR="001177FD" w:rsidRPr="001F6BDA" w:rsidRDefault="001177FD" w:rsidP="0091795A">
            <w:pPr>
              <w:jc w:val="center"/>
              <w:rPr>
                <w:b/>
                <w:bCs/>
                <w:color w:val="000000"/>
              </w:rPr>
            </w:pPr>
            <w:r w:rsidRPr="001F6BDA">
              <w:rPr>
                <w:b/>
                <w:bCs/>
                <w:i/>
                <w:color w:val="000000"/>
              </w:rPr>
              <w:t>ES</w:t>
            </w:r>
            <w:r w:rsidRPr="001F6BDA">
              <w:rPr>
                <w:b/>
                <w:bCs/>
                <w:color w:val="000000"/>
              </w:rPr>
              <w:t xml:space="preserve"> = 30%</w:t>
            </w:r>
          </w:p>
        </w:tc>
        <w:tc>
          <w:tcPr>
            <w:tcW w:w="1336" w:type="dxa"/>
            <w:shd w:val="clear" w:color="auto" w:fill="DBE5F1" w:themeFill="accent1" w:themeFillTint="33"/>
          </w:tcPr>
          <w:p w14:paraId="75871507" w14:textId="77777777" w:rsidR="001177FD" w:rsidRPr="001F6BDA" w:rsidRDefault="001177FD" w:rsidP="0091795A">
            <w:pPr>
              <w:jc w:val="center"/>
              <w:rPr>
                <w:b/>
                <w:bCs/>
                <w:color w:val="000000"/>
              </w:rPr>
            </w:pPr>
            <w:r w:rsidRPr="001F6BDA">
              <w:rPr>
                <w:b/>
                <w:bCs/>
                <w:i/>
                <w:color w:val="000000"/>
              </w:rPr>
              <w:t>ES</w:t>
            </w:r>
            <w:r w:rsidRPr="001F6BDA">
              <w:rPr>
                <w:b/>
                <w:bCs/>
                <w:color w:val="000000"/>
              </w:rPr>
              <w:t xml:space="preserve"> = 35%</w:t>
            </w:r>
          </w:p>
        </w:tc>
      </w:tr>
      <w:tr w:rsidR="001177FD" w14:paraId="3660D9F8" w14:textId="77777777" w:rsidTr="00B40925">
        <w:tc>
          <w:tcPr>
            <w:tcW w:w="1335" w:type="dxa"/>
          </w:tcPr>
          <w:p w14:paraId="30EFD1E5" w14:textId="77777777" w:rsidR="001177FD" w:rsidRPr="001F6BDA" w:rsidRDefault="001177FD" w:rsidP="0091795A">
            <w:pPr>
              <w:jc w:val="center"/>
              <w:rPr>
                <w:color w:val="000000"/>
              </w:rPr>
            </w:pPr>
            <w:r w:rsidRPr="001F6BDA">
              <w:rPr>
                <w:color w:val="000000"/>
              </w:rPr>
              <w:t>50</w:t>
            </w:r>
          </w:p>
        </w:tc>
        <w:tc>
          <w:tcPr>
            <w:tcW w:w="1335" w:type="dxa"/>
          </w:tcPr>
          <w:p w14:paraId="7B540944" w14:textId="77777777" w:rsidR="001177FD" w:rsidRPr="001F6BDA" w:rsidRDefault="001177FD" w:rsidP="0091795A">
            <w:pPr>
              <w:jc w:val="right"/>
              <w:rPr>
                <w:color w:val="000000"/>
              </w:rPr>
            </w:pPr>
            <w:r w:rsidRPr="001F6BDA">
              <w:rPr>
                <w:color w:val="000000"/>
              </w:rPr>
              <w:t>10%</w:t>
            </w:r>
          </w:p>
        </w:tc>
        <w:tc>
          <w:tcPr>
            <w:tcW w:w="1336" w:type="dxa"/>
          </w:tcPr>
          <w:p w14:paraId="61F4760E" w14:textId="77777777" w:rsidR="001177FD" w:rsidRPr="001F6BDA" w:rsidRDefault="001177FD" w:rsidP="0091795A">
            <w:pPr>
              <w:jc w:val="right"/>
              <w:rPr>
                <w:color w:val="000000"/>
              </w:rPr>
            </w:pPr>
            <w:r w:rsidRPr="001F6BDA">
              <w:rPr>
                <w:color w:val="000000"/>
              </w:rPr>
              <w:t>18%</w:t>
            </w:r>
          </w:p>
        </w:tc>
        <w:tc>
          <w:tcPr>
            <w:tcW w:w="1336" w:type="dxa"/>
          </w:tcPr>
          <w:p w14:paraId="7A61D6C4" w14:textId="77777777" w:rsidR="001177FD" w:rsidRPr="001F6BDA" w:rsidRDefault="001177FD" w:rsidP="0091795A">
            <w:pPr>
              <w:jc w:val="right"/>
              <w:rPr>
                <w:color w:val="000000"/>
              </w:rPr>
            </w:pPr>
            <w:r w:rsidRPr="001F6BDA">
              <w:rPr>
                <w:color w:val="000000"/>
              </w:rPr>
              <w:t>29%</w:t>
            </w:r>
          </w:p>
        </w:tc>
        <w:tc>
          <w:tcPr>
            <w:tcW w:w="1336" w:type="dxa"/>
          </w:tcPr>
          <w:p w14:paraId="16791BAF" w14:textId="77777777" w:rsidR="001177FD" w:rsidRPr="001F6BDA" w:rsidRDefault="001177FD" w:rsidP="0091795A">
            <w:pPr>
              <w:jc w:val="right"/>
              <w:rPr>
                <w:color w:val="000000"/>
              </w:rPr>
            </w:pPr>
            <w:r w:rsidRPr="001F6BDA">
              <w:rPr>
                <w:color w:val="000000"/>
              </w:rPr>
              <w:t>42%</w:t>
            </w:r>
          </w:p>
        </w:tc>
        <w:tc>
          <w:tcPr>
            <w:tcW w:w="1336" w:type="dxa"/>
          </w:tcPr>
          <w:p w14:paraId="3F27D36E" w14:textId="77777777" w:rsidR="001177FD" w:rsidRPr="001F6BDA" w:rsidRDefault="001177FD" w:rsidP="0091795A">
            <w:pPr>
              <w:jc w:val="right"/>
              <w:rPr>
                <w:color w:val="000000"/>
              </w:rPr>
            </w:pPr>
            <w:r w:rsidRPr="001F6BDA">
              <w:rPr>
                <w:color w:val="000000"/>
              </w:rPr>
              <w:t>57%</w:t>
            </w:r>
          </w:p>
        </w:tc>
        <w:tc>
          <w:tcPr>
            <w:tcW w:w="1336" w:type="dxa"/>
            <w:vAlign w:val="bottom"/>
          </w:tcPr>
          <w:p w14:paraId="75E6E80B" w14:textId="77777777" w:rsidR="001177FD" w:rsidRPr="001F6BDA" w:rsidRDefault="001177FD" w:rsidP="0091795A">
            <w:pPr>
              <w:jc w:val="right"/>
              <w:rPr>
                <w:color w:val="000000"/>
              </w:rPr>
            </w:pPr>
            <w:r w:rsidRPr="001F6BDA">
              <w:rPr>
                <w:color w:val="000000"/>
              </w:rPr>
              <w:t>71%</w:t>
            </w:r>
          </w:p>
        </w:tc>
      </w:tr>
      <w:tr w:rsidR="001177FD" w14:paraId="7867D907" w14:textId="77777777" w:rsidTr="00B40925">
        <w:tc>
          <w:tcPr>
            <w:tcW w:w="1335" w:type="dxa"/>
          </w:tcPr>
          <w:p w14:paraId="3C96CF31" w14:textId="77777777" w:rsidR="001177FD" w:rsidRPr="001F6BDA" w:rsidRDefault="001177FD" w:rsidP="0091795A">
            <w:pPr>
              <w:jc w:val="center"/>
              <w:rPr>
                <w:color w:val="000000"/>
              </w:rPr>
            </w:pPr>
            <w:r w:rsidRPr="001F6BDA">
              <w:rPr>
                <w:color w:val="000000"/>
              </w:rPr>
              <w:t>75</w:t>
            </w:r>
          </w:p>
        </w:tc>
        <w:tc>
          <w:tcPr>
            <w:tcW w:w="1335" w:type="dxa"/>
          </w:tcPr>
          <w:p w14:paraId="00976B50" w14:textId="77777777" w:rsidR="001177FD" w:rsidRPr="001F6BDA" w:rsidRDefault="001177FD" w:rsidP="0091795A">
            <w:pPr>
              <w:jc w:val="right"/>
              <w:rPr>
                <w:color w:val="000000"/>
              </w:rPr>
            </w:pPr>
            <w:r w:rsidRPr="001F6BDA">
              <w:rPr>
                <w:color w:val="000000"/>
              </w:rPr>
              <w:t>14%</w:t>
            </w:r>
          </w:p>
        </w:tc>
        <w:tc>
          <w:tcPr>
            <w:tcW w:w="1336" w:type="dxa"/>
          </w:tcPr>
          <w:p w14:paraId="4BFC8DBD" w14:textId="77777777" w:rsidR="001177FD" w:rsidRPr="001F6BDA" w:rsidRDefault="001177FD" w:rsidP="0091795A">
            <w:pPr>
              <w:jc w:val="right"/>
              <w:rPr>
                <w:color w:val="000000"/>
              </w:rPr>
            </w:pPr>
            <w:r w:rsidRPr="001F6BDA">
              <w:rPr>
                <w:color w:val="000000"/>
              </w:rPr>
              <w:t>25%</w:t>
            </w:r>
          </w:p>
        </w:tc>
        <w:tc>
          <w:tcPr>
            <w:tcW w:w="1336" w:type="dxa"/>
          </w:tcPr>
          <w:p w14:paraId="32D675E9" w14:textId="77777777" w:rsidR="001177FD" w:rsidRPr="001F6BDA" w:rsidRDefault="001177FD" w:rsidP="0091795A">
            <w:pPr>
              <w:jc w:val="right"/>
              <w:rPr>
                <w:color w:val="000000"/>
              </w:rPr>
            </w:pPr>
            <w:r w:rsidRPr="001F6BDA">
              <w:rPr>
                <w:color w:val="000000"/>
              </w:rPr>
              <w:t>41%</w:t>
            </w:r>
          </w:p>
        </w:tc>
        <w:tc>
          <w:tcPr>
            <w:tcW w:w="1336" w:type="dxa"/>
          </w:tcPr>
          <w:p w14:paraId="68764050" w14:textId="77777777" w:rsidR="001177FD" w:rsidRPr="001F6BDA" w:rsidRDefault="001177FD" w:rsidP="0091795A">
            <w:pPr>
              <w:jc w:val="right"/>
              <w:rPr>
                <w:color w:val="000000"/>
              </w:rPr>
            </w:pPr>
            <w:r w:rsidRPr="001F6BDA">
              <w:rPr>
                <w:color w:val="000000"/>
              </w:rPr>
              <w:t>58%</w:t>
            </w:r>
          </w:p>
        </w:tc>
        <w:tc>
          <w:tcPr>
            <w:tcW w:w="1336" w:type="dxa"/>
          </w:tcPr>
          <w:p w14:paraId="1B8E20A5" w14:textId="77777777" w:rsidR="001177FD" w:rsidRPr="001F6BDA" w:rsidRDefault="001177FD" w:rsidP="0091795A">
            <w:pPr>
              <w:jc w:val="right"/>
              <w:rPr>
                <w:color w:val="000000"/>
              </w:rPr>
            </w:pPr>
            <w:r w:rsidRPr="001F6BDA">
              <w:rPr>
                <w:color w:val="000000"/>
              </w:rPr>
              <w:t>75%</w:t>
            </w:r>
          </w:p>
        </w:tc>
        <w:tc>
          <w:tcPr>
            <w:tcW w:w="1336" w:type="dxa"/>
            <w:vAlign w:val="bottom"/>
          </w:tcPr>
          <w:p w14:paraId="36871CC7" w14:textId="77777777" w:rsidR="001177FD" w:rsidRPr="001F6BDA" w:rsidRDefault="001177FD" w:rsidP="0091795A">
            <w:pPr>
              <w:jc w:val="right"/>
              <w:rPr>
                <w:color w:val="000000"/>
              </w:rPr>
            </w:pPr>
            <w:r w:rsidRPr="001F6BDA">
              <w:rPr>
                <w:color w:val="000000"/>
              </w:rPr>
              <w:t>87%</w:t>
            </w:r>
          </w:p>
        </w:tc>
      </w:tr>
      <w:tr w:rsidR="001177FD" w14:paraId="220CA7B1" w14:textId="77777777" w:rsidTr="00B40925">
        <w:tc>
          <w:tcPr>
            <w:tcW w:w="1335" w:type="dxa"/>
          </w:tcPr>
          <w:p w14:paraId="42FDE079" w14:textId="77777777" w:rsidR="001177FD" w:rsidRPr="001F6BDA" w:rsidRDefault="001177FD" w:rsidP="0091795A">
            <w:pPr>
              <w:jc w:val="center"/>
              <w:rPr>
                <w:color w:val="000000"/>
              </w:rPr>
            </w:pPr>
            <w:r w:rsidRPr="001F6BDA">
              <w:rPr>
                <w:color w:val="000000"/>
              </w:rPr>
              <w:t>100</w:t>
            </w:r>
          </w:p>
        </w:tc>
        <w:tc>
          <w:tcPr>
            <w:tcW w:w="1335" w:type="dxa"/>
          </w:tcPr>
          <w:p w14:paraId="20995069" w14:textId="77777777" w:rsidR="001177FD" w:rsidRPr="001F6BDA" w:rsidRDefault="001177FD" w:rsidP="0091795A">
            <w:pPr>
              <w:jc w:val="right"/>
              <w:rPr>
                <w:color w:val="000000"/>
              </w:rPr>
            </w:pPr>
            <w:r w:rsidRPr="001F6BDA">
              <w:rPr>
                <w:color w:val="000000"/>
              </w:rPr>
              <w:t>17%</w:t>
            </w:r>
          </w:p>
        </w:tc>
        <w:tc>
          <w:tcPr>
            <w:tcW w:w="1336" w:type="dxa"/>
          </w:tcPr>
          <w:p w14:paraId="34AE8671" w14:textId="77777777" w:rsidR="001177FD" w:rsidRPr="001F6BDA" w:rsidRDefault="001177FD" w:rsidP="0091795A">
            <w:pPr>
              <w:jc w:val="right"/>
              <w:rPr>
                <w:color w:val="000000"/>
              </w:rPr>
            </w:pPr>
            <w:r w:rsidRPr="001F6BDA">
              <w:rPr>
                <w:color w:val="000000"/>
              </w:rPr>
              <w:t>32%</w:t>
            </w:r>
          </w:p>
        </w:tc>
        <w:tc>
          <w:tcPr>
            <w:tcW w:w="1336" w:type="dxa"/>
          </w:tcPr>
          <w:p w14:paraId="26685CAB" w14:textId="77777777" w:rsidR="001177FD" w:rsidRPr="001F6BDA" w:rsidRDefault="001177FD" w:rsidP="0091795A">
            <w:pPr>
              <w:jc w:val="right"/>
              <w:rPr>
                <w:color w:val="000000"/>
              </w:rPr>
            </w:pPr>
            <w:r w:rsidRPr="001F6BDA">
              <w:rPr>
                <w:color w:val="000000"/>
              </w:rPr>
              <w:t>52%</w:t>
            </w:r>
          </w:p>
        </w:tc>
        <w:tc>
          <w:tcPr>
            <w:tcW w:w="1336" w:type="dxa"/>
          </w:tcPr>
          <w:p w14:paraId="0CB7C7C4" w14:textId="77777777" w:rsidR="001177FD" w:rsidRPr="001F6BDA" w:rsidRDefault="001177FD" w:rsidP="0091795A">
            <w:pPr>
              <w:jc w:val="right"/>
              <w:rPr>
                <w:color w:val="000000"/>
              </w:rPr>
            </w:pPr>
            <w:r w:rsidRPr="001F6BDA">
              <w:rPr>
                <w:color w:val="000000"/>
              </w:rPr>
              <w:t>71%</w:t>
            </w:r>
          </w:p>
        </w:tc>
        <w:tc>
          <w:tcPr>
            <w:tcW w:w="1336" w:type="dxa"/>
          </w:tcPr>
          <w:p w14:paraId="01777429" w14:textId="77777777" w:rsidR="001177FD" w:rsidRPr="001F6BDA" w:rsidRDefault="001177FD" w:rsidP="0091795A">
            <w:pPr>
              <w:jc w:val="right"/>
              <w:rPr>
                <w:color w:val="000000"/>
              </w:rPr>
            </w:pPr>
            <w:r w:rsidRPr="001F6BDA">
              <w:rPr>
                <w:color w:val="000000"/>
              </w:rPr>
              <w:t>86%</w:t>
            </w:r>
          </w:p>
        </w:tc>
        <w:tc>
          <w:tcPr>
            <w:tcW w:w="1336" w:type="dxa"/>
            <w:vAlign w:val="bottom"/>
          </w:tcPr>
          <w:p w14:paraId="5EB00715" w14:textId="77777777" w:rsidR="001177FD" w:rsidRPr="001F6BDA" w:rsidRDefault="001177FD" w:rsidP="0091795A">
            <w:pPr>
              <w:jc w:val="right"/>
              <w:rPr>
                <w:color w:val="000000"/>
              </w:rPr>
            </w:pPr>
            <w:r w:rsidRPr="001F6BDA">
              <w:rPr>
                <w:color w:val="000000"/>
              </w:rPr>
              <w:t>95%</w:t>
            </w:r>
          </w:p>
        </w:tc>
      </w:tr>
      <w:tr w:rsidR="001177FD" w14:paraId="1C526FAC" w14:textId="77777777" w:rsidTr="00B40925">
        <w:tc>
          <w:tcPr>
            <w:tcW w:w="1335" w:type="dxa"/>
          </w:tcPr>
          <w:p w14:paraId="5A8A084B" w14:textId="77777777" w:rsidR="001177FD" w:rsidRPr="001F6BDA" w:rsidRDefault="001177FD" w:rsidP="0091795A">
            <w:pPr>
              <w:jc w:val="center"/>
              <w:rPr>
                <w:color w:val="000000"/>
              </w:rPr>
            </w:pPr>
            <w:r w:rsidRPr="001F6BDA">
              <w:rPr>
                <w:color w:val="000000"/>
              </w:rPr>
              <w:t>125</w:t>
            </w:r>
          </w:p>
        </w:tc>
        <w:tc>
          <w:tcPr>
            <w:tcW w:w="1335" w:type="dxa"/>
          </w:tcPr>
          <w:p w14:paraId="7C6CFAA9" w14:textId="77777777" w:rsidR="001177FD" w:rsidRPr="001F6BDA" w:rsidRDefault="001177FD" w:rsidP="0091795A">
            <w:pPr>
              <w:jc w:val="right"/>
              <w:rPr>
                <w:color w:val="000000"/>
              </w:rPr>
            </w:pPr>
            <w:r w:rsidRPr="001F6BDA">
              <w:rPr>
                <w:color w:val="000000"/>
              </w:rPr>
              <w:t>20%</w:t>
            </w:r>
          </w:p>
        </w:tc>
        <w:tc>
          <w:tcPr>
            <w:tcW w:w="1336" w:type="dxa"/>
          </w:tcPr>
          <w:p w14:paraId="7BD9284A" w14:textId="77777777" w:rsidR="001177FD" w:rsidRPr="001F6BDA" w:rsidRDefault="001177FD" w:rsidP="0091795A">
            <w:pPr>
              <w:jc w:val="right"/>
              <w:rPr>
                <w:color w:val="000000"/>
              </w:rPr>
            </w:pPr>
            <w:r w:rsidRPr="001F6BDA">
              <w:rPr>
                <w:color w:val="000000"/>
              </w:rPr>
              <w:t>39%</w:t>
            </w:r>
          </w:p>
        </w:tc>
        <w:tc>
          <w:tcPr>
            <w:tcW w:w="1336" w:type="dxa"/>
          </w:tcPr>
          <w:p w14:paraId="54EBABAC" w14:textId="77777777" w:rsidR="001177FD" w:rsidRPr="001F6BDA" w:rsidRDefault="001177FD" w:rsidP="0091795A">
            <w:pPr>
              <w:jc w:val="right"/>
              <w:rPr>
                <w:color w:val="000000"/>
              </w:rPr>
            </w:pPr>
            <w:r w:rsidRPr="001F6BDA">
              <w:rPr>
                <w:color w:val="000000"/>
              </w:rPr>
              <w:t>61%</w:t>
            </w:r>
          </w:p>
        </w:tc>
        <w:tc>
          <w:tcPr>
            <w:tcW w:w="1336" w:type="dxa"/>
          </w:tcPr>
          <w:p w14:paraId="7025CB02" w14:textId="77777777" w:rsidR="001177FD" w:rsidRPr="001F6BDA" w:rsidRDefault="001177FD" w:rsidP="0091795A">
            <w:pPr>
              <w:jc w:val="right"/>
              <w:rPr>
                <w:color w:val="000000"/>
              </w:rPr>
            </w:pPr>
            <w:r w:rsidRPr="001F6BDA">
              <w:rPr>
                <w:color w:val="000000"/>
              </w:rPr>
              <w:t>81%</w:t>
            </w:r>
          </w:p>
        </w:tc>
        <w:tc>
          <w:tcPr>
            <w:tcW w:w="1336" w:type="dxa"/>
          </w:tcPr>
          <w:p w14:paraId="74EA10A5" w14:textId="77777777" w:rsidR="001177FD" w:rsidRPr="001F6BDA" w:rsidRDefault="001177FD" w:rsidP="0091795A">
            <w:pPr>
              <w:jc w:val="right"/>
              <w:rPr>
                <w:color w:val="000000"/>
              </w:rPr>
            </w:pPr>
            <w:r w:rsidRPr="001F6BDA">
              <w:rPr>
                <w:color w:val="000000"/>
              </w:rPr>
              <w:t>93%</w:t>
            </w:r>
          </w:p>
        </w:tc>
        <w:tc>
          <w:tcPr>
            <w:tcW w:w="1336" w:type="dxa"/>
            <w:vAlign w:val="bottom"/>
          </w:tcPr>
          <w:p w14:paraId="528D9322" w14:textId="77777777" w:rsidR="001177FD" w:rsidRPr="001F6BDA" w:rsidRDefault="001177FD" w:rsidP="0091795A">
            <w:pPr>
              <w:jc w:val="right"/>
              <w:rPr>
                <w:color w:val="000000"/>
              </w:rPr>
            </w:pPr>
            <w:r w:rsidRPr="001F6BDA">
              <w:rPr>
                <w:color w:val="000000"/>
              </w:rPr>
              <w:t>98%</w:t>
            </w:r>
          </w:p>
        </w:tc>
      </w:tr>
      <w:tr w:rsidR="001177FD" w14:paraId="138C3352" w14:textId="77777777" w:rsidTr="00B40925">
        <w:tc>
          <w:tcPr>
            <w:tcW w:w="1335" w:type="dxa"/>
          </w:tcPr>
          <w:p w14:paraId="2192D7AD" w14:textId="77777777" w:rsidR="001177FD" w:rsidRPr="001F6BDA" w:rsidRDefault="001177FD" w:rsidP="0091795A">
            <w:pPr>
              <w:jc w:val="center"/>
              <w:rPr>
                <w:color w:val="000000"/>
              </w:rPr>
            </w:pPr>
            <w:r w:rsidRPr="001F6BDA">
              <w:rPr>
                <w:color w:val="000000"/>
              </w:rPr>
              <w:t>150</w:t>
            </w:r>
          </w:p>
        </w:tc>
        <w:tc>
          <w:tcPr>
            <w:tcW w:w="1335" w:type="dxa"/>
          </w:tcPr>
          <w:p w14:paraId="1968D88C" w14:textId="77777777" w:rsidR="001177FD" w:rsidRPr="001F6BDA" w:rsidRDefault="001177FD" w:rsidP="0091795A">
            <w:pPr>
              <w:jc w:val="right"/>
              <w:rPr>
                <w:color w:val="000000"/>
              </w:rPr>
            </w:pPr>
            <w:r w:rsidRPr="001F6BDA">
              <w:rPr>
                <w:color w:val="000000"/>
              </w:rPr>
              <w:t>23%</w:t>
            </w:r>
          </w:p>
        </w:tc>
        <w:tc>
          <w:tcPr>
            <w:tcW w:w="1336" w:type="dxa"/>
          </w:tcPr>
          <w:p w14:paraId="66483E63" w14:textId="77777777" w:rsidR="001177FD" w:rsidRPr="001F6BDA" w:rsidRDefault="001177FD" w:rsidP="0091795A">
            <w:pPr>
              <w:jc w:val="right"/>
              <w:rPr>
                <w:color w:val="000000"/>
              </w:rPr>
            </w:pPr>
            <w:r w:rsidRPr="001F6BDA">
              <w:rPr>
                <w:color w:val="000000"/>
              </w:rPr>
              <w:t>45%</w:t>
            </w:r>
          </w:p>
        </w:tc>
        <w:tc>
          <w:tcPr>
            <w:tcW w:w="1336" w:type="dxa"/>
          </w:tcPr>
          <w:p w14:paraId="7C8E3966" w14:textId="77777777" w:rsidR="001177FD" w:rsidRPr="001F6BDA" w:rsidRDefault="001177FD" w:rsidP="0091795A">
            <w:pPr>
              <w:jc w:val="right"/>
              <w:rPr>
                <w:color w:val="000000"/>
              </w:rPr>
            </w:pPr>
            <w:r w:rsidRPr="001F6BDA">
              <w:rPr>
                <w:color w:val="000000"/>
              </w:rPr>
              <w:t>69%</w:t>
            </w:r>
          </w:p>
        </w:tc>
        <w:tc>
          <w:tcPr>
            <w:tcW w:w="1336" w:type="dxa"/>
          </w:tcPr>
          <w:p w14:paraId="773CEB4C" w14:textId="77777777" w:rsidR="001177FD" w:rsidRPr="001F6BDA" w:rsidRDefault="001177FD" w:rsidP="0091795A">
            <w:pPr>
              <w:jc w:val="right"/>
              <w:rPr>
                <w:color w:val="000000"/>
              </w:rPr>
            </w:pPr>
            <w:r w:rsidRPr="001F6BDA">
              <w:rPr>
                <w:color w:val="000000"/>
              </w:rPr>
              <w:t>87%</w:t>
            </w:r>
          </w:p>
        </w:tc>
        <w:tc>
          <w:tcPr>
            <w:tcW w:w="1336" w:type="dxa"/>
          </w:tcPr>
          <w:p w14:paraId="771BBC84" w14:textId="77777777" w:rsidR="001177FD" w:rsidRPr="001F6BDA" w:rsidRDefault="001177FD" w:rsidP="0091795A">
            <w:pPr>
              <w:jc w:val="right"/>
              <w:rPr>
                <w:color w:val="000000"/>
              </w:rPr>
            </w:pPr>
            <w:r w:rsidRPr="001F6BDA">
              <w:rPr>
                <w:color w:val="000000"/>
              </w:rPr>
              <w:t>96%</w:t>
            </w:r>
          </w:p>
        </w:tc>
        <w:tc>
          <w:tcPr>
            <w:tcW w:w="1336" w:type="dxa"/>
            <w:vAlign w:val="bottom"/>
          </w:tcPr>
          <w:p w14:paraId="7E1C022B" w14:textId="77777777" w:rsidR="001177FD" w:rsidRPr="001F6BDA" w:rsidRDefault="001177FD" w:rsidP="0091795A">
            <w:pPr>
              <w:jc w:val="right"/>
              <w:rPr>
                <w:color w:val="000000"/>
              </w:rPr>
            </w:pPr>
            <w:r w:rsidRPr="001F6BDA">
              <w:rPr>
                <w:color w:val="000000"/>
              </w:rPr>
              <w:t>99%</w:t>
            </w:r>
          </w:p>
        </w:tc>
      </w:tr>
      <w:tr w:rsidR="001177FD" w14:paraId="16E0CCD5" w14:textId="77777777" w:rsidTr="00B40925">
        <w:tc>
          <w:tcPr>
            <w:tcW w:w="1335" w:type="dxa"/>
          </w:tcPr>
          <w:p w14:paraId="04998278" w14:textId="77777777" w:rsidR="001177FD" w:rsidRPr="001F6BDA" w:rsidRDefault="001177FD" w:rsidP="0091795A">
            <w:pPr>
              <w:jc w:val="center"/>
              <w:rPr>
                <w:color w:val="000000"/>
              </w:rPr>
            </w:pPr>
            <w:r w:rsidRPr="001F6BDA">
              <w:rPr>
                <w:color w:val="000000"/>
              </w:rPr>
              <w:t>175</w:t>
            </w:r>
          </w:p>
        </w:tc>
        <w:tc>
          <w:tcPr>
            <w:tcW w:w="1335" w:type="dxa"/>
          </w:tcPr>
          <w:p w14:paraId="102EF97B" w14:textId="77777777" w:rsidR="001177FD" w:rsidRPr="001F6BDA" w:rsidRDefault="001177FD" w:rsidP="0091795A">
            <w:pPr>
              <w:jc w:val="right"/>
              <w:rPr>
                <w:color w:val="000000"/>
              </w:rPr>
            </w:pPr>
            <w:r w:rsidRPr="001F6BDA">
              <w:rPr>
                <w:color w:val="000000"/>
              </w:rPr>
              <w:t>26%</w:t>
            </w:r>
          </w:p>
        </w:tc>
        <w:tc>
          <w:tcPr>
            <w:tcW w:w="1336" w:type="dxa"/>
          </w:tcPr>
          <w:p w14:paraId="7525ACE3" w14:textId="77777777" w:rsidR="001177FD" w:rsidRPr="001F6BDA" w:rsidRDefault="001177FD" w:rsidP="0091795A">
            <w:pPr>
              <w:jc w:val="right"/>
              <w:rPr>
                <w:color w:val="000000"/>
              </w:rPr>
            </w:pPr>
            <w:r w:rsidRPr="001F6BDA">
              <w:rPr>
                <w:color w:val="000000"/>
              </w:rPr>
              <w:t>51%</w:t>
            </w:r>
          </w:p>
        </w:tc>
        <w:tc>
          <w:tcPr>
            <w:tcW w:w="1336" w:type="dxa"/>
          </w:tcPr>
          <w:p w14:paraId="41666C10" w14:textId="77777777" w:rsidR="001177FD" w:rsidRPr="001F6BDA" w:rsidRDefault="001177FD" w:rsidP="0091795A">
            <w:pPr>
              <w:jc w:val="right"/>
              <w:rPr>
                <w:color w:val="000000"/>
              </w:rPr>
            </w:pPr>
            <w:r w:rsidRPr="001F6BDA">
              <w:rPr>
                <w:color w:val="000000"/>
              </w:rPr>
              <w:t>76%</w:t>
            </w:r>
          </w:p>
        </w:tc>
        <w:tc>
          <w:tcPr>
            <w:tcW w:w="1336" w:type="dxa"/>
          </w:tcPr>
          <w:p w14:paraId="114C755C" w14:textId="77777777" w:rsidR="001177FD" w:rsidRPr="001F6BDA" w:rsidRDefault="001177FD" w:rsidP="0091795A">
            <w:pPr>
              <w:jc w:val="right"/>
              <w:rPr>
                <w:color w:val="000000"/>
              </w:rPr>
            </w:pPr>
            <w:r w:rsidRPr="001F6BDA">
              <w:rPr>
                <w:color w:val="000000"/>
              </w:rPr>
              <w:t>92%</w:t>
            </w:r>
          </w:p>
        </w:tc>
        <w:tc>
          <w:tcPr>
            <w:tcW w:w="1336" w:type="dxa"/>
          </w:tcPr>
          <w:p w14:paraId="3D3F1234" w14:textId="77777777" w:rsidR="001177FD" w:rsidRPr="001F6BDA" w:rsidRDefault="001177FD" w:rsidP="0091795A">
            <w:pPr>
              <w:jc w:val="right"/>
              <w:rPr>
                <w:color w:val="000000"/>
              </w:rPr>
            </w:pPr>
            <w:r w:rsidRPr="001F6BDA">
              <w:rPr>
                <w:color w:val="000000"/>
              </w:rPr>
              <w:t>98%</w:t>
            </w:r>
          </w:p>
        </w:tc>
        <w:tc>
          <w:tcPr>
            <w:tcW w:w="1336" w:type="dxa"/>
          </w:tcPr>
          <w:p w14:paraId="37AA2F2E" w14:textId="77777777" w:rsidR="001177FD" w:rsidRPr="001F6BDA" w:rsidRDefault="001177FD" w:rsidP="0091795A">
            <w:pPr>
              <w:jc w:val="right"/>
              <w:rPr>
                <w:color w:val="000000"/>
              </w:rPr>
            </w:pPr>
            <w:r w:rsidRPr="001F6BDA">
              <w:rPr>
                <w:color w:val="000000"/>
              </w:rPr>
              <w:t>100%</w:t>
            </w:r>
          </w:p>
        </w:tc>
      </w:tr>
      <w:tr w:rsidR="001177FD" w:rsidRPr="00BE4993" w14:paraId="7065F8D6" w14:textId="77777777" w:rsidTr="00B40925">
        <w:tc>
          <w:tcPr>
            <w:tcW w:w="1335" w:type="dxa"/>
          </w:tcPr>
          <w:p w14:paraId="491EC80B" w14:textId="77777777" w:rsidR="001177FD" w:rsidRPr="00BE4993" w:rsidRDefault="001177FD" w:rsidP="0091795A">
            <w:pPr>
              <w:jc w:val="center"/>
              <w:rPr>
                <w:b/>
                <w:color w:val="000000"/>
              </w:rPr>
            </w:pPr>
            <w:r w:rsidRPr="00BE4993">
              <w:rPr>
                <w:b/>
                <w:color w:val="000000"/>
              </w:rPr>
              <w:t>194</w:t>
            </w:r>
            <w:r>
              <w:rPr>
                <w:b/>
                <w:color w:val="000000"/>
              </w:rPr>
              <w:t xml:space="preserve"> [b]</w:t>
            </w:r>
          </w:p>
        </w:tc>
        <w:tc>
          <w:tcPr>
            <w:tcW w:w="1335" w:type="dxa"/>
          </w:tcPr>
          <w:p w14:paraId="3CED1E78" w14:textId="77777777" w:rsidR="001177FD" w:rsidRPr="00BE4993" w:rsidRDefault="001177FD" w:rsidP="0091795A">
            <w:pPr>
              <w:jc w:val="right"/>
              <w:rPr>
                <w:b/>
                <w:color w:val="000000"/>
              </w:rPr>
            </w:pPr>
            <w:r w:rsidRPr="00BE4993">
              <w:rPr>
                <w:b/>
                <w:color w:val="000000"/>
              </w:rPr>
              <w:t>28%</w:t>
            </w:r>
          </w:p>
        </w:tc>
        <w:tc>
          <w:tcPr>
            <w:tcW w:w="1336" w:type="dxa"/>
          </w:tcPr>
          <w:p w14:paraId="6FB6BE94" w14:textId="77777777" w:rsidR="001177FD" w:rsidRPr="00BE4993" w:rsidRDefault="001177FD" w:rsidP="0091795A">
            <w:pPr>
              <w:jc w:val="right"/>
              <w:rPr>
                <w:b/>
                <w:color w:val="000000"/>
              </w:rPr>
            </w:pPr>
            <w:r w:rsidRPr="00BE4993">
              <w:rPr>
                <w:b/>
                <w:color w:val="000000"/>
              </w:rPr>
              <w:t>55%</w:t>
            </w:r>
          </w:p>
        </w:tc>
        <w:tc>
          <w:tcPr>
            <w:tcW w:w="1336" w:type="dxa"/>
          </w:tcPr>
          <w:p w14:paraId="50BA1D90" w14:textId="77777777" w:rsidR="001177FD" w:rsidRPr="00BE4993" w:rsidRDefault="001177FD" w:rsidP="0091795A">
            <w:pPr>
              <w:jc w:val="right"/>
              <w:rPr>
                <w:b/>
                <w:color w:val="000000"/>
              </w:rPr>
            </w:pPr>
            <w:r w:rsidRPr="00BE4993">
              <w:rPr>
                <w:b/>
                <w:color w:val="000000"/>
              </w:rPr>
              <w:t>80%</w:t>
            </w:r>
          </w:p>
        </w:tc>
        <w:tc>
          <w:tcPr>
            <w:tcW w:w="1336" w:type="dxa"/>
          </w:tcPr>
          <w:p w14:paraId="0F0D0970" w14:textId="77777777" w:rsidR="001177FD" w:rsidRPr="00BE4993" w:rsidRDefault="001177FD" w:rsidP="0091795A">
            <w:pPr>
              <w:jc w:val="right"/>
              <w:rPr>
                <w:b/>
                <w:color w:val="000000"/>
              </w:rPr>
            </w:pPr>
            <w:r w:rsidRPr="00BE4993">
              <w:rPr>
                <w:b/>
                <w:color w:val="000000"/>
              </w:rPr>
              <w:t>94%</w:t>
            </w:r>
          </w:p>
        </w:tc>
        <w:tc>
          <w:tcPr>
            <w:tcW w:w="1336" w:type="dxa"/>
          </w:tcPr>
          <w:p w14:paraId="022FC54A" w14:textId="77777777" w:rsidR="001177FD" w:rsidRPr="00BE4993" w:rsidRDefault="001177FD" w:rsidP="0091795A">
            <w:pPr>
              <w:jc w:val="right"/>
              <w:rPr>
                <w:b/>
                <w:color w:val="000000"/>
              </w:rPr>
            </w:pPr>
            <w:r w:rsidRPr="00BE4993">
              <w:rPr>
                <w:b/>
                <w:color w:val="000000"/>
              </w:rPr>
              <w:t>99%</w:t>
            </w:r>
          </w:p>
        </w:tc>
        <w:tc>
          <w:tcPr>
            <w:tcW w:w="1336" w:type="dxa"/>
          </w:tcPr>
          <w:p w14:paraId="7DB052D0" w14:textId="77777777" w:rsidR="001177FD" w:rsidRPr="00BE4993" w:rsidRDefault="001177FD" w:rsidP="0091795A">
            <w:pPr>
              <w:jc w:val="right"/>
              <w:rPr>
                <w:b/>
                <w:color w:val="000000"/>
              </w:rPr>
            </w:pPr>
            <w:r w:rsidRPr="00BE4993">
              <w:rPr>
                <w:b/>
                <w:color w:val="000000"/>
              </w:rPr>
              <w:t>100%</w:t>
            </w:r>
          </w:p>
        </w:tc>
      </w:tr>
      <w:tr w:rsidR="001177FD" w14:paraId="037D4EE0" w14:textId="77777777" w:rsidTr="00B40925">
        <w:tc>
          <w:tcPr>
            <w:tcW w:w="1335" w:type="dxa"/>
          </w:tcPr>
          <w:p w14:paraId="130823A7" w14:textId="77777777" w:rsidR="001177FD" w:rsidRPr="001F6BDA" w:rsidRDefault="001177FD" w:rsidP="0091795A">
            <w:pPr>
              <w:jc w:val="center"/>
              <w:rPr>
                <w:color w:val="000000"/>
              </w:rPr>
            </w:pPr>
            <w:r w:rsidRPr="001F6BDA">
              <w:rPr>
                <w:color w:val="000000"/>
              </w:rPr>
              <w:t>200</w:t>
            </w:r>
          </w:p>
        </w:tc>
        <w:tc>
          <w:tcPr>
            <w:tcW w:w="1335" w:type="dxa"/>
          </w:tcPr>
          <w:p w14:paraId="3A4C8586" w14:textId="77777777" w:rsidR="001177FD" w:rsidRPr="001F6BDA" w:rsidRDefault="001177FD" w:rsidP="0091795A">
            <w:pPr>
              <w:jc w:val="right"/>
              <w:rPr>
                <w:color w:val="000000"/>
              </w:rPr>
            </w:pPr>
            <w:r w:rsidRPr="001F6BDA">
              <w:rPr>
                <w:color w:val="000000"/>
              </w:rPr>
              <w:t>29%</w:t>
            </w:r>
          </w:p>
        </w:tc>
        <w:tc>
          <w:tcPr>
            <w:tcW w:w="1336" w:type="dxa"/>
          </w:tcPr>
          <w:p w14:paraId="24AB46F0" w14:textId="77777777" w:rsidR="001177FD" w:rsidRPr="001F6BDA" w:rsidRDefault="001177FD" w:rsidP="0091795A">
            <w:pPr>
              <w:jc w:val="right"/>
              <w:rPr>
                <w:color w:val="000000"/>
              </w:rPr>
            </w:pPr>
            <w:r w:rsidRPr="001F6BDA">
              <w:rPr>
                <w:color w:val="000000"/>
              </w:rPr>
              <w:t>56%</w:t>
            </w:r>
          </w:p>
        </w:tc>
        <w:tc>
          <w:tcPr>
            <w:tcW w:w="1336" w:type="dxa"/>
          </w:tcPr>
          <w:p w14:paraId="59CD362F" w14:textId="77777777" w:rsidR="001177FD" w:rsidRPr="001F6BDA" w:rsidRDefault="001177FD" w:rsidP="0091795A">
            <w:pPr>
              <w:jc w:val="right"/>
              <w:rPr>
                <w:color w:val="000000"/>
              </w:rPr>
            </w:pPr>
            <w:r w:rsidRPr="001F6BDA">
              <w:rPr>
                <w:color w:val="000000"/>
              </w:rPr>
              <w:t>81%</w:t>
            </w:r>
          </w:p>
        </w:tc>
        <w:tc>
          <w:tcPr>
            <w:tcW w:w="1336" w:type="dxa"/>
          </w:tcPr>
          <w:p w14:paraId="30A4907A" w14:textId="77777777" w:rsidR="001177FD" w:rsidRPr="001F6BDA" w:rsidRDefault="001177FD" w:rsidP="0091795A">
            <w:pPr>
              <w:jc w:val="right"/>
              <w:rPr>
                <w:color w:val="000000"/>
              </w:rPr>
            </w:pPr>
            <w:r w:rsidRPr="001F6BDA">
              <w:rPr>
                <w:color w:val="000000"/>
              </w:rPr>
              <w:t>95%</w:t>
            </w:r>
          </w:p>
        </w:tc>
        <w:tc>
          <w:tcPr>
            <w:tcW w:w="1336" w:type="dxa"/>
          </w:tcPr>
          <w:p w14:paraId="34476546" w14:textId="77777777" w:rsidR="001177FD" w:rsidRPr="001F6BDA" w:rsidRDefault="001177FD" w:rsidP="0091795A">
            <w:pPr>
              <w:jc w:val="right"/>
              <w:rPr>
                <w:color w:val="000000"/>
              </w:rPr>
            </w:pPr>
            <w:r w:rsidRPr="001F6BDA">
              <w:rPr>
                <w:color w:val="000000"/>
              </w:rPr>
              <w:t>99%</w:t>
            </w:r>
          </w:p>
        </w:tc>
        <w:tc>
          <w:tcPr>
            <w:tcW w:w="1336" w:type="dxa"/>
          </w:tcPr>
          <w:p w14:paraId="3204F6D0" w14:textId="77777777" w:rsidR="001177FD" w:rsidRPr="001F6BDA" w:rsidRDefault="001177FD" w:rsidP="0091795A">
            <w:pPr>
              <w:jc w:val="right"/>
              <w:rPr>
                <w:color w:val="000000"/>
              </w:rPr>
            </w:pPr>
            <w:r w:rsidRPr="001F6BDA">
              <w:rPr>
                <w:color w:val="000000"/>
              </w:rPr>
              <w:t>100%</w:t>
            </w:r>
          </w:p>
        </w:tc>
      </w:tr>
      <w:tr w:rsidR="001177FD" w14:paraId="288C7E81" w14:textId="77777777" w:rsidTr="00B40925">
        <w:tc>
          <w:tcPr>
            <w:tcW w:w="1335" w:type="dxa"/>
          </w:tcPr>
          <w:p w14:paraId="79479B86" w14:textId="77777777" w:rsidR="001177FD" w:rsidRPr="001F6BDA" w:rsidRDefault="001177FD" w:rsidP="0091795A">
            <w:pPr>
              <w:jc w:val="center"/>
              <w:rPr>
                <w:color w:val="000000"/>
              </w:rPr>
            </w:pPr>
            <w:r w:rsidRPr="001F6BDA">
              <w:rPr>
                <w:color w:val="000000"/>
              </w:rPr>
              <w:t>225</w:t>
            </w:r>
          </w:p>
        </w:tc>
        <w:tc>
          <w:tcPr>
            <w:tcW w:w="1335" w:type="dxa"/>
          </w:tcPr>
          <w:p w14:paraId="4B264DB4" w14:textId="77777777" w:rsidR="001177FD" w:rsidRPr="001F6BDA" w:rsidRDefault="001177FD" w:rsidP="0091795A">
            <w:pPr>
              <w:jc w:val="right"/>
              <w:rPr>
                <w:color w:val="000000"/>
              </w:rPr>
            </w:pPr>
            <w:r w:rsidRPr="001F6BDA">
              <w:rPr>
                <w:color w:val="000000"/>
              </w:rPr>
              <w:t>32%</w:t>
            </w:r>
          </w:p>
        </w:tc>
        <w:tc>
          <w:tcPr>
            <w:tcW w:w="1336" w:type="dxa"/>
          </w:tcPr>
          <w:p w14:paraId="177FCD22" w14:textId="77777777" w:rsidR="001177FD" w:rsidRPr="001F6BDA" w:rsidRDefault="001177FD" w:rsidP="0091795A">
            <w:pPr>
              <w:jc w:val="right"/>
              <w:rPr>
                <w:color w:val="000000"/>
              </w:rPr>
            </w:pPr>
            <w:r w:rsidRPr="001F6BDA">
              <w:rPr>
                <w:color w:val="000000"/>
              </w:rPr>
              <w:t>62%</w:t>
            </w:r>
          </w:p>
        </w:tc>
        <w:tc>
          <w:tcPr>
            <w:tcW w:w="1336" w:type="dxa"/>
          </w:tcPr>
          <w:p w14:paraId="1CED438E" w14:textId="77777777" w:rsidR="001177FD" w:rsidRPr="001F6BDA" w:rsidRDefault="001177FD" w:rsidP="0091795A">
            <w:pPr>
              <w:jc w:val="right"/>
              <w:rPr>
                <w:color w:val="000000"/>
              </w:rPr>
            </w:pPr>
            <w:r w:rsidRPr="001F6BDA">
              <w:rPr>
                <w:color w:val="000000"/>
              </w:rPr>
              <w:t>86%</w:t>
            </w:r>
          </w:p>
        </w:tc>
        <w:tc>
          <w:tcPr>
            <w:tcW w:w="1336" w:type="dxa"/>
          </w:tcPr>
          <w:p w14:paraId="55456CE3" w14:textId="77777777" w:rsidR="001177FD" w:rsidRPr="001F6BDA" w:rsidRDefault="001177FD" w:rsidP="0091795A">
            <w:pPr>
              <w:jc w:val="right"/>
              <w:rPr>
                <w:color w:val="000000"/>
              </w:rPr>
            </w:pPr>
            <w:r w:rsidRPr="001F6BDA">
              <w:rPr>
                <w:color w:val="000000"/>
              </w:rPr>
              <w:t>97%</w:t>
            </w:r>
          </w:p>
        </w:tc>
        <w:tc>
          <w:tcPr>
            <w:tcW w:w="1336" w:type="dxa"/>
          </w:tcPr>
          <w:p w14:paraId="636F132F" w14:textId="77777777" w:rsidR="001177FD" w:rsidRPr="001F6BDA" w:rsidRDefault="001177FD" w:rsidP="0091795A">
            <w:pPr>
              <w:jc w:val="right"/>
              <w:rPr>
                <w:color w:val="000000"/>
              </w:rPr>
            </w:pPr>
            <w:r w:rsidRPr="001F6BDA">
              <w:rPr>
                <w:color w:val="000000"/>
              </w:rPr>
              <w:t>100%</w:t>
            </w:r>
          </w:p>
        </w:tc>
        <w:tc>
          <w:tcPr>
            <w:tcW w:w="1336" w:type="dxa"/>
          </w:tcPr>
          <w:p w14:paraId="373FE04B" w14:textId="77777777" w:rsidR="001177FD" w:rsidRPr="001F6BDA" w:rsidRDefault="001177FD" w:rsidP="0091795A">
            <w:pPr>
              <w:jc w:val="right"/>
              <w:rPr>
                <w:color w:val="000000"/>
              </w:rPr>
            </w:pPr>
            <w:r w:rsidRPr="001F6BDA">
              <w:rPr>
                <w:color w:val="000000"/>
              </w:rPr>
              <w:t>100%</w:t>
            </w:r>
          </w:p>
        </w:tc>
      </w:tr>
      <w:tr w:rsidR="001177FD" w14:paraId="6F6F173E" w14:textId="77777777" w:rsidTr="00B40925">
        <w:tc>
          <w:tcPr>
            <w:tcW w:w="1335" w:type="dxa"/>
          </w:tcPr>
          <w:p w14:paraId="30DDEBDD" w14:textId="77777777" w:rsidR="001177FD" w:rsidRPr="001F6BDA" w:rsidRDefault="001177FD" w:rsidP="0091795A">
            <w:pPr>
              <w:jc w:val="center"/>
              <w:rPr>
                <w:color w:val="000000"/>
              </w:rPr>
            </w:pPr>
            <w:r w:rsidRPr="001F6BDA">
              <w:rPr>
                <w:color w:val="000000"/>
              </w:rPr>
              <w:t>250</w:t>
            </w:r>
          </w:p>
        </w:tc>
        <w:tc>
          <w:tcPr>
            <w:tcW w:w="1335" w:type="dxa"/>
          </w:tcPr>
          <w:p w14:paraId="4CAE3E53" w14:textId="77777777" w:rsidR="001177FD" w:rsidRPr="001F6BDA" w:rsidRDefault="001177FD" w:rsidP="0091795A">
            <w:pPr>
              <w:jc w:val="right"/>
              <w:rPr>
                <w:color w:val="000000"/>
              </w:rPr>
            </w:pPr>
            <w:r w:rsidRPr="001F6BDA">
              <w:rPr>
                <w:color w:val="000000"/>
              </w:rPr>
              <w:t>35%</w:t>
            </w:r>
          </w:p>
        </w:tc>
        <w:tc>
          <w:tcPr>
            <w:tcW w:w="1336" w:type="dxa"/>
          </w:tcPr>
          <w:p w14:paraId="5399C31A" w14:textId="77777777" w:rsidR="001177FD" w:rsidRPr="001F6BDA" w:rsidRDefault="001177FD" w:rsidP="0091795A">
            <w:pPr>
              <w:jc w:val="right"/>
              <w:rPr>
                <w:color w:val="000000"/>
              </w:rPr>
            </w:pPr>
            <w:r w:rsidRPr="001F6BDA">
              <w:rPr>
                <w:color w:val="000000"/>
              </w:rPr>
              <w:t>66%</w:t>
            </w:r>
          </w:p>
        </w:tc>
        <w:tc>
          <w:tcPr>
            <w:tcW w:w="1336" w:type="dxa"/>
          </w:tcPr>
          <w:p w14:paraId="4CDEAB30" w14:textId="77777777" w:rsidR="001177FD" w:rsidRPr="001F6BDA" w:rsidRDefault="001177FD" w:rsidP="0091795A">
            <w:pPr>
              <w:jc w:val="right"/>
              <w:rPr>
                <w:color w:val="000000"/>
              </w:rPr>
            </w:pPr>
            <w:r w:rsidRPr="001F6BDA">
              <w:rPr>
                <w:color w:val="000000"/>
              </w:rPr>
              <w:t>89%</w:t>
            </w:r>
          </w:p>
        </w:tc>
        <w:tc>
          <w:tcPr>
            <w:tcW w:w="1336" w:type="dxa"/>
          </w:tcPr>
          <w:p w14:paraId="155A3C1D" w14:textId="77777777" w:rsidR="001177FD" w:rsidRPr="001F6BDA" w:rsidRDefault="001177FD" w:rsidP="0091795A">
            <w:pPr>
              <w:jc w:val="right"/>
              <w:rPr>
                <w:color w:val="000000"/>
              </w:rPr>
            </w:pPr>
            <w:r w:rsidRPr="001F6BDA">
              <w:rPr>
                <w:color w:val="000000"/>
              </w:rPr>
              <w:t>98%</w:t>
            </w:r>
          </w:p>
        </w:tc>
        <w:tc>
          <w:tcPr>
            <w:tcW w:w="1336" w:type="dxa"/>
          </w:tcPr>
          <w:p w14:paraId="41C0D8AF" w14:textId="77777777" w:rsidR="001177FD" w:rsidRPr="001F6BDA" w:rsidRDefault="001177FD" w:rsidP="0091795A">
            <w:pPr>
              <w:jc w:val="right"/>
              <w:rPr>
                <w:color w:val="000000"/>
              </w:rPr>
            </w:pPr>
            <w:r w:rsidRPr="001F6BDA">
              <w:rPr>
                <w:color w:val="000000"/>
              </w:rPr>
              <w:t>100%</w:t>
            </w:r>
          </w:p>
        </w:tc>
        <w:tc>
          <w:tcPr>
            <w:tcW w:w="1336" w:type="dxa"/>
          </w:tcPr>
          <w:p w14:paraId="1E459B9A" w14:textId="77777777" w:rsidR="001177FD" w:rsidRPr="001F6BDA" w:rsidRDefault="001177FD" w:rsidP="0091795A">
            <w:pPr>
              <w:jc w:val="right"/>
              <w:rPr>
                <w:color w:val="000000"/>
              </w:rPr>
            </w:pPr>
            <w:r w:rsidRPr="001F6BDA">
              <w:rPr>
                <w:color w:val="000000"/>
              </w:rPr>
              <w:t>100%</w:t>
            </w:r>
          </w:p>
        </w:tc>
      </w:tr>
      <w:tr w:rsidR="001177FD" w14:paraId="27BDEE7B" w14:textId="77777777" w:rsidTr="00B40925">
        <w:tc>
          <w:tcPr>
            <w:tcW w:w="1335" w:type="dxa"/>
          </w:tcPr>
          <w:p w14:paraId="13DB9D7D" w14:textId="77777777" w:rsidR="001177FD" w:rsidRPr="001F6BDA" w:rsidRDefault="001177FD" w:rsidP="0091795A">
            <w:pPr>
              <w:jc w:val="center"/>
              <w:rPr>
                <w:color w:val="000000"/>
              </w:rPr>
            </w:pPr>
            <w:r w:rsidRPr="001F6BDA">
              <w:rPr>
                <w:color w:val="000000"/>
              </w:rPr>
              <w:t>275</w:t>
            </w:r>
          </w:p>
        </w:tc>
        <w:tc>
          <w:tcPr>
            <w:tcW w:w="1335" w:type="dxa"/>
          </w:tcPr>
          <w:p w14:paraId="6B35708A" w14:textId="77777777" w:rsidR="001177FD" w:rsidRPr="001F6BDA" w:rsidRDefault="001177FD" w:rsidP="0091795A">
            <w:pPr>
              <w:jc w:val="right"/>
              <w:rPr>
                <w:color w:val="000000"/>
              </w:rPr>
            </w:pPr>
            <w:r w:rsidRPr="001F6BDA">
              <w:rPr>
                <w:color w:val="000000"/>
              </w:rPr>
              <w:t>38%</w:t>
            </w:r>
          </w:p>
        </w:tc>
        <w:tc>
          <w:tcPr>
            <w:tcW w:w="1336" w:type="dxa"/>
          </w:tcPr>
          <w:p w14:paraId="7C2B5DCF" w14:textId="77777777" w:rsidR="001177FD" w:rsidRPr="001F6BDA" w:rsidRDefault="001177FD" w:rsidP="0091795A">
            <w:pPr>
              <w:jc w:val="right"/>
              <w:rPr>
                <w:color w:val="000000"/>
              </w:rPr>
            </w:pPr>
            <w:r w:rsidRPr="001F6BDA">
              <w:rPr>
                <w:color w:val="000000"/>
              </w:rPr>
              <w:t>70%</w:t>
            </w:r>
          </w:p>
        </w:tc>
        <w:tc>
          <w:tcPr>
            <w:tcW w:w="1336" w:type="dxa"/>
          </w:tcPr>
          <w:p w14:paraId="26BABBD2" w14:textId="77777777" w:rsidR="001177FD" w:rsidRPr="001F6BDA" w:rsidRDefault="001177FD" w:rsidP="0091795A">
            <w:pPr>
              <w:jc w:val="right"/>
              <w:rPr>
                <w:color w:val="000000"/>
              </w:rPr>
            </w:pPr>
            <w:r w:rsidRPr="001F6BDA">
              <w:rPr>
                <w:color w:val="000000"/>
              </w:rPr>
              <w:t>92%</w:t>
            </w:r>
          </w:p>
        </w:tc>
        <w:tc>
          <w:tcPr>
            <w:tcW w:w="1336" w:type="dxa"/>
          </w:tcPr>
          <w:p w14:paraId="64C4373C" w14:textId="77777777" w:rsidR="001177FD" w:rsidRPr="001F6BDA" w:rsidRDefault="001177FD" w:rsidP="0091795A">
            <w:pPr>
              <w:jc w:val="right"/>
              <w:rPr>
                <w:color w:val="000000"/>
              </w:rPr>
            </w:pPr>
            <w:r w:rsidRPr="001F6BDA">
              <w:rPr>
                <w:color w:val="000000"/>
              </w:rPr>
              <w:t>99%</w:t>
            </w:r>
          </w:p>
        </w:tc>
        <w:tc>
          <w:tcPr>
            <w:tcW w:w="1336" w:type="dxa"/>
          </w:tcPr>
          <w:p w14:paraId="5687F1BB" w14:textId="77777777" w:rsidR="001177FD" w:rsidRPr="001F6BDA" w:rsidRDefault="001177FD" w:rsidP="0091795A">
            <w:pPr>
              <w:jc w:val="right"/>
              <w:rPr>
                <w:color w:val="000000"/>
              </w:rPr>
            </w:pPr>
            <w:r w:rsidRPr="001F6BDA">
              <w:rPr>
                <w:color w:val="000000"/>
              </w:rPr>
              <w:t>100%</w:t>
            </w:r>
          </w:p>
        </w:tc>
        <w:tc>
          <w:tcPr>
            <w:tcW w:w="1336" w:type="dxa"/>
          </w:tcPr>
          <w:p w14:paraId="38517338" w14:textId="77777777" w:rsidR="001177FD" w:rsidRPr="001F6BDA" w:rsidRDefault="001177FD" w:rsidP="0091795A">
            <w:pPr>
              <w:jc w:val="right"/>
              <w:rPr>
                <w:color w:val="000000"/>
              </w:rPr>
            </w:pPr>
            <w:r w:rsidRPr="001F6BDA">
              <w:rPr>
                <w:color w:val="000000"/>
              </w:rPr>
              <w:t>100%</w:t>
            </w:r>
          </w:p>
        </w:tc>
      </w:tr>
      <w:tr w:rsidR="001177FD" w14:paraId="695471FB" w14:textId="77777777" w:rsidTr="00B40925">
        <w:tc>
          <w:tcPr>
            <w:tcW w:w="1335" w:type="dxa"/>
          </w:tcPr>
          <w:p w14:paraId="3C72B4EF" w14:textId="77777777" w:rsidR="001177FD" w:rsidRPr="001F6BDA" w:rsidRDefault="001177FD" w:rsidP="0091795A">
            <w:pPr>
              <w:jc w:val="center"/>
              <w:rPr>
                <w:color w:val="000000"/>
              </w:rPr>
            </w:pPr>
            <w:r w:rsidRPr="001F6BDA">
              <w:rPr>
                <w:color w:val="000000"/>
              </w:rPr>
              <w:t>300</w:t>
            </w:r>
          </w:p>
        </w:tc>
        <w:tc>
          <w:tcPr>
            <w:tcW w:w="1335" w:type="dxa"/>
          </w:tcPr>
          <w:p w14:paraId="1793FCE8" w14:textId="77777777" w:rsidR="001177FD" w:rsidRPr="001F6BDA" w:rsidRDefault="001177FD" w:rsidP="0091795A">
            <w:pPr>
              <w:jc w:val="right"/>
              <w:rPr>
                <w:color w:val="000000"/>
              </w:rPr>
            </w:pPr>
            <w:r w:rsidRPr="001F6BDA">
              <w:rPr>
                <w:color w:val="000000"/>
              </w:rPr>
              <w:t>41%</w:t>
            </w:r>
          </w:p>
        </w:tc>
        <w:tc>
          <w:tcPr>
            <w:tcW w:w="1336" w:type="dxa"/>
          </w:tcPr>
          <w:p w14:paraId="235A2015" w14:textId="77777777" w:rsidR="001177FD" w:rsidRPr="001F6BDA" w:rsidRDefault="001177FD" w:rsidP="0091795A">
            <w:pPr>
              <w:jc w:val="right"/>
              <w:rPr>
                <w:color w:val="000000"/>
              </w:rPr>
            </w:pPr>
            <w:r w:rsidRPr="001F6BDA">
              <w:rPr>
                <w:color w:val="000000"/>
              </w:rPr>
              <w:t>74%</w:t>
            </w:r>
          </w:p>
        </w:tc>
        <w:tc>
          <w:tcPr>
            <w:tcW w:w="1336" w:type="dxa"/>
          </w:tcPr>
          <w:p w14:paraId="538D8A43" w14:textId="77777777" w:rsidR="001177FD" w:rsidRPr="001F6BDA" w:rsidRDefault="001177FD" w:rsidP="0091795A">
            <w:pPr>
              <w:jc w:val="right"/>
              <w:rPr>
                <w:color w:val="000000"/>
              </w:rPr>
            </w:pPr>
            <w:r w:rsidRPr="001F6BDA">
              <w:rPr>
                <w:color w:val="000000"/>
              </w:rPr>
              <w:t>94%</w:t>
            </w:r>
          </w:p>
        </w:tc>
        <w:tc>
          <w:tcPr>
            <w:tcW w:w="1336" w:type="dxa"/>
          </w:tcPr>
          <w:p w14:paraId="77FE14DD" w14:textId="77777777" w:rsidR="001177FD" w:rsidRPr="001F6BDA" w:rsidRDefault="001177FD" w:rsidP="0091795A">
            <w:pPr>
              <w:jc w:val="right"/>
              <w:rPr>
                <w:color w:val="000000"/>
              </w:rPr>
            </w:pPr>
            <w:r w:rsidRPr="001F6BDA">
              <w:rPr>
                <w:color w:val="000000"/>
              </w:rPr>
              <w:t>99%</w:t>
            </w:r>
          </w:p>
        </w:tc>
        <w:tc>
          <w:tcPr>
            <w:tcW w:w="1336" w:type="dxa"/>
          </w:tcPr>
          <w:p w14:paraId="69734B08" w14:textId="77777777" w:rsidR="001177FD" w:rsidRPr="001F6BDA" w:rsidRDefault="001177FD" w:rsidP="0091795A">
            <w:pPr>
              <w:jc w:val="right"/>
              <w:rPr>
                <w:color w:val="000000"/>
              </w:rPr>
            </w:pPr>
            <w:r w:rsidRPr="001F6BDA">
              <w:rPr>
                <w:color w:val="000000"/>
              </w:rPr>
              <w:t>100%</w:t>
            </w:r>
          </w:p>
        </w:tc>
        <w:tc>
          <w:tcPr>
            <w:tcW w:w="1336" w:type="dxa"/>
          </w:tcPr>
          <w:p w14:paraId="07126FB7" w14:textId="77777777" w:rsidR="001177FD" w:rsidRPr="001F6BDA" w:rsidRDefault="001177FD" w:rsidP="0091795A">
            <w:pPr>
              <w:jc w:val="right"/>
              <w:rPr>
                <w:color w:val="000000"/>
              </w:rPr>
            </w:pPr>
            <w:r w:rsidRPr="001F6BDA">
              <w:rPr>
                <w:color w:val="000000"/>
              </w:rPr>
              <w:t>100%</w:t>
            </w:r>
          </w:p>
        </w:tc>
      </w:tr>
      <w:tr w:rsidR="001177FD" w14:paraId="5933BD8A" w14:textId="77777777" w:rsidTr="00B40925">
        <w:tc>
          <w:tcPr>
            <w:tcW w:w="1335" w:type="dxa"/>
          </w:tcPr>
          <w:p w14:paraId="67A5945B" w14:textId="77777777" w:rsidR="001177FD" w:rsidRPr="001F6BDA" w:rsidRDefault="001177FD" w:rsidP="0091795A">
            <w:pPr>
              <w:jc w:val="center"/>
              <w:rPr>
                <w:color w:val="000000"/>
              </w:rPr>
            </w:pPr>
            <w:r w:rsidRPr="001F6BDA">
              <w:rPr>
                <w:color w:val="000000"/>
              </w:rPr>
              <w:t>325</w:t>
            </w:r>
          </w:p>
        </w:tc>
        <w:tc>
          <w:tcPr>
            <w:tcW w:w="1335" w:type="dxa"/>
          </w:tcPr>
          <w:p w14:paraId="56394FA8" w14:textId="77777777" w:rsidR="001177FD" w:rsidRPr="001F6BDA" w:rsidRDefault="001177FD" w:rsidP="0091795A">
            <w:pPr>
              <w:jc w:val="right"/>
              <w:rPr>
                <w:color w:val="000000"/>
              </w:rPr>
            </w:pPr>
            <w:r w:rsidRPr="001F6BDA">
              <w:rPr>
                <w:color w:val="000000"/>
              </w:rPr>
              <w:t>44%</w:t>
            </w:r>
          </w:p>
        </w:tc>
        <w:tc>
          <w:tcPr>
            <w:tcW w:w="1336" w:type="dxa"/>
          </w:tcPr>
          <w:p w14:paraId="6FB1CFBF" w14:textId="77777777" w:rsidR="001177FD" w:rsidRPr="001F6BDA" w:rsidRDefault="001177FD" w:rsidP="0091795A">
            <w:pPr>
              <w:jc w:val="right"/>
              <w:rPr>
                <w:color w:val="000000"/>
              </w:rPr>
            </w:pPr>
            <w:r w:rsidRPr="001F6BDA">
              <w:rPr>
                <w:color w:val="000000"/>
              </w:rPr>
              <w:t>77%</w:t>
            </w:r>
          </w:p>
        </w:tc>
        <w:tc>
          <w:tcPr>
            <w:tcW w:w="1336" w:type="dxa"/>
          </w:tcPr>
          <w:p w14:paraId="137BCBEC" w14:textId="77777777" w:rsidR="001177FD" w:rsidRPr="001F6BDA" w:rsidRDefault="001177FD" w:rsidP="0091795A">
            <w:pPr>
              <w:jc w:val="right"/>
              <w:rPr>
                <w:color w:val="000000"/>
              </w:rPr>
            </w:pPr>
            <w:r w:rsidRPr="001F6BDA">
              <w:rPr>
                <w:color w:val="000000"/>
              </w:rPr>
              <w:t>95%</w:t>
            </w:r>
          </w:p>
        </w:tc>
        <w:tc>
          <w:tcPr>
            <w:tcW w:w="1336" w:type="dxa"/>
          </w:tcPr>
          <w:p w14:paraId="0F4AE831" w14:textId="77777777" w:rsidR="001177FD" w:rsidRPr="001F6BDA" w:rsidRDefault="001177FD" w:rsidP="0091795A">
            <w:pPr>
              <w:jc w:val="right"/>
              <w:rPr>
                <w:color w:val="000000"/>
              </w:rPr>
            </w:pPr>
            <w:r w:rsidRPr="001F6BDA">
              <w:rPr>
                <w:color w:val="000000"/>
              </w:rPr>
              <w:t>100%</w:t>
            </w:r>
          </w:p>
        </w:tc>
        <w:tc>
          <w:tcPr>
            <w:tcW w:w="1336" w:type="dxa"/>
          </w:tcPr>
          <w:p w14:paraId="47BA4FE8" w14:textId="77777777" w:rsidR="001177FD" w:rsidRPr="001F6BDA" w:rsidRDefault="001177FD" w:rsidP="0091795A">
            <w:pPr>
              <w:jc w:val="right"/>
              <w:rPr>
                <w:color w:val="000000"/>
              </w:rPr>
            </w:pPr>
            <w:r w:rsidRPr="001F6BDA">
              <w:rPr>
                <w:color w:val="000000"/>
              </w:rPr>
              <w:t>100%</w:t>
            </w:r>
          </w:p>
        </w:tc>
        <w:tc>
          <w:tcPr>
            <w:tcW w:w="1336" w:type="dxa"/>
          </w:tcPr>
          <w:p w14:paraId="51984249" w14:textId="77777777" w:rsidR="001177FD" w:rsidRPr="001F6BDA" w:rsidRDefault="001177FD" w:rsidP="0091795A">
            <w:pPr>
              <w:jc w:val="right"/>
              <w:rPr>
                <w:color w:val="000000"/>
              </w:rPr>
            </w:pPr>
            <w:r w:rsidRPr="001F6BDA">
              <w:rPr>
                <w:color w:val="000000"/>
              </w:rPr>
              <w:t>100%</w:t>
            </w:r>
          </w:p>
        </w:tc>
      </w:tr>
      <w:tr w:rsidR="001177FD" w14:paraId="5C527BF4" w14:textId="77777777" w:rsidTr="00B40925">
        <w:tc>
          <w:tcPr>
            <w:tcW w:w="1335" w:type="dxa"/>
          </w:tcPr>
          <w:p w14:paraId="30FB3ADD" w14:textId="77777777" w:rsidR="001177FD" w:rsidRPr="001F6BDA" w:rsidRDefault="001177FD" w:rsidP="0091795A">
            <w:pPr>
              <w:jc w:val="center"/>
              <w:rPr>
                <w:color w:val="000000"/>
              </w:rPr>
            </w:pPr>
            <w:r w:rsidRPr="001F6BDA">
              <w:rPr>
                <w:color w:val="000000"/>
              </w:rPr>
              <w:t>350</w:t>
            </w:r>
          </w:p>
        </w:tc>
        <w:tc>
          <w:tcPr>
            <w:tcW w:w="1335" w:type="dxa"/>
          </w:tcPr>
          <w:p w14:paraId="310E010F" w14:textId="77777777" w:rsidR="001177FD" w:rsidRPr="001F6BDA" w:rsidRDefault="001177FD" w:rsidP="0091795A">
            <w:pPr>
              <w:jc w:val="right"/>
              <w:rPr>
                <w:color w:val="000000"/>
              </w:rPr>
            </w:pPr>
            <w:r w:rsidRPr="001F6BDA">
              <w:rPr>
                <w:color w:val="000000"/>
              </w:rPr>
              <w:t>46%</w:t>
            </w:r>
          </w:p>
        </w:tc>
        <w:tc>
          <w:tcPr>
            <w:tcW w:w="1336" w:type="dxa"/>
          </w:tcPr>
          <w:p w14:paraId="014B6EF3" w14:textId="77777777" w:rsidR="001177FD" w:rsidRPr="001F6BDA" w:rsidRDefault="001177FD" w:rsidP="0091795A">
            <w:pPr>
              <w:jc w:val="right"/>
              <w:rPr>
                <w:color w:val="000000"/>
              </w:rPr>
            </w:pPr>
            <w:r w:rsidRPr="001F6BDA">
              <w:rPr>
                <w:color w:val="000000"/>
              </w:rPr>
              <w:t>80%</w:t>
            </w:r>
          </w:p>
        </w:tc>
        <w:tc>
          <w:tcPr>
            <w:tcW w:w="1336" w:type="dxa"/>
          </w:tcPr>
          <w:p w14:paraId="45EC133B" w14:textId="77777777" w:rsidR="001177FD" w:rsidRPr="001F6BDA" w:rsidRDefault="001177FD" w:rsidP="0091795A">
            <w:pPr>
              <w:jc w:val="right"/>
              <w:rPr>
                <w:color w:val="000000"/>
              </w:rPr>
            </w:pPr>
            <w:r w:rsidRPr="001F6BDA">
              <w:rPr>
                <w:color w:val="000000"/>
              </w:rPr>
              <w:t>97%</w:t>
            </w:r>
          </w:p>
        </w:tc>
        <w:tc>
          <w:tcPr>
            <w:tcW w:w="1336" w:type="dxa"/>
          </w:tcPr>
          <w:p w14:paraId="0CAA85B2" w14:textId="77777777" w:rsidR="001177FD" w:rsidRPr="001F6BDA" w:rsidRDefault="001177FD" w:rsidP="0091795A">
            <w:pPr>
              <w:jc w:val="right"/>
              <w:rPr>
                <w:color w:val="000000"/>
              </w:rPr>
            </w:pPr>
            <w:r w:rsidRPr="001F6BDA">
              <w:rPr>
                <w:color w:val="000000"/>
              </w:rPr>
              <w:t>100%</w:t>
            </w:r>
          </w:p>
        </w:tc>
        <w:tc>
          <w:tcPr>
            <w:tcW w:w="1336" w:type="dxa"/>
          </w:tcPr>
          <w:p w14:paraId="04D7B2A4" w14:textId="77777777" w:rsidR="001177FD" w:rsidRPr="001F6BDA" w:rsidRDefault="001177FD" w:rsidP="0091795A">
            <w:pPr>
              <w:jc w:val="right"/>
              <w:rPr>
                <w:color w:val="000000"/>
              </w:rPr>
            </w:pPr>
            <w:r w:rsidRPr="001F6BDA">
              <w:rPr>
                <w:color w:val="000000"/>
              </w:rPr>
              <w:t>100%</w:t>
            </w:r>
          </w:p>
        </w:tc>
        <w:tc>
          <w:tcPr>
            <w:tcW w:w="1336" w:type="dxa"/>
          </w:tcPr>
          <w:p w14:paraId="61ED0129" w14:textId="77777777" w:rsidR="001177FD" w:rsidRPr="001F6BDA" w:rsidRDefault="001177FD" w:rsidP="0091795A">
            <w:pPr>
              <w:jc w:val="right"/>
              <w:rPr>
                <w:color w:val="000000"/>
              </w:rPr>
            </w:pPr>
            <w:r w:rsidRPr="001F6BDA">
              <w:rPr>
                <w:color w:val="000000"/>
              </w:rPr>
              <w:t>100%</w:t>
            </w:r>
          </w:p>
        </w:tc>
      </w:tr>
      <w:tr w:rsidR="001177FD" w14:paraId="203128AC" w14:textId="77777777" w:rsidTr="00B40925">
        <w:tc>
          <w:tcPr>
            <w:tcW w:w="1335" w:type="dxa"/>
          </w:tcPr>
          <w:p w14:paraId="636A155B" w14:textId="77777777" w:rsidR="001177FD" w:rsidRPr="001F6BDA" w:rsidRDefault="001177FD" w:rsidP="0091795A">
            <w:pPr>
              <w:jc w:val="center"/>
              <w:rPr>
                <w:color w:val="000000"/>
              </w:rPr>
            </w:pPr>
            <w:r w:rsidRPr="001F6BDA">
              <w:rPr>
                <w:color w:val="000000"/>
              </w:rPr>
              <w:t>375</w:t>
            </w:r>
          </w:p>
        </w:tc>
        <w:tc>
          <w:tcPr>
            <w:tcW w:w="1335" w:type="dxa"/>
          </w:tcPr>
          <w:p w14:paraId="77C23C77" w14:textId="77777777" w:rsidR="001177FD" w:rsidRPr="001F6BDA" w:rsidRDefault="001177FD" w:rsidP="0091795A">
            <w:pPr>
              <w:jc w:val="right"/>
              <w:rPr>
                <w:color w:val="000000"/>
              </w:rPr>
            </w:pPr>
            <w:r w:rsidRPr="001F6BDA">
              <w:rPr>
                <w:color w:val="000000"/>
              </w:rPr>
              <w:t>49%</w:t>
            </w:r>
          </w:p>
        </w:tc>
        <w:tc>
          <w:tcPr>
            <w:tcW w:w="1336" w:type="dxa"/>
          </w:tcPr>
          <w:p w14:paraId="71969D75" w14:textId="77777777" w:rsidR="001177FD" w:rsidRPr="001F6BDA" w:rsidRDefault="001177FD" w:rsidP="0091795A">
            <w:pPr>
              <w:jc w:val="right"/>
              <w:rPr>
                <w:color w:val="000000"/>
              </w:rPr>
            </w:pPr>
            <w:r w:rsidRPr="001F6BDA">
              <w:rPr>
                <w:color w:val="000000"/>
              </w:rPr>
              <w:t>83%</w:t>
            </w:r>
          </w:p>
        </w:tc>
        <w:tc>
          <w:tcPr>
            <w:tcW w:w="1336" w:type="dxa"/>
          </w:tcPr>
          <w:p w14:paraId="3A239800" w14:textId="77777777" w:rsidR="001177FD" w:rsidRPr="001F6BDA" w:rsidRDefault="001177FD" w:rsidP="0091795A">
            <w:pPr>
              <w:jc w:val="right"/>
              <w:rPr>
                <w:color w:val="000000"/>
              </w:rPr>
            </w:pPr>
            <w:r w:rsidRPr="001F6BDA">
              <w:rPr>
                <w:color w:val="000000"/>
              </w:rPr>
              <w:t>97%</w:t>
            </w:r>
          </w:p>
        </w:tc>
        <w:tc>
          <w:tcPr>
            <w:tcW w:w="1336" w:type="dxa"/>
          </w:tcPr>
          <w:p w14:paraId="028B13A4" w14:textId="77777777" w:rsidR="001177FD" w:rsidRPr="001F6BDA" w:rsidRDefault="001177FD" w:rsidP="0091795A">
            <w:pPr>
              <w:jc w:val="right"/>
              <w:rPr>
                <w:color w:val="000000"/>
              </w:rPr>
            </w:pPr>
            <w:r w:rsidRPr="001F6BDA">
              <w:rPr>
                <w:color w:val="000000"/>
              </w:rPr>
              <w:t>100%</w:t>
            </w:r>
          </w:p>
        </w:tc>
        <w:tc>
          <w:tcPr>
            <w:tcW w:w="1336" w:type="dxa"/>
          </w:tcPr>
          <w:p w14:paraId="2C7D33AD" w14:textId="77777777" w:rsidR="001177FD" w:rsidRPr="001F6BDA" w:rsidRDefault="001177FD" w:rsidP="0091795A">
            <w:pPr>
              <w:jc w:val="right"/>
              <w:rPr>
                <w:color w:val="000000"/>
              </w:rPr>
            </w:pPr>
            <w:r w:rsidRPr="001F6BDA">
              <w:rPr>
                <w:color w:val="000000"/>
              </w:rPr>
              <w:t>100%</w:t>
            </w:r>
          </w:p>
        </w:tc>
        <w:tc>
          <w:tcPr>
            <w:tcW w:w="1336" w:type="dxa"/>
          </w:tcPr>
          <w:p w14:paraId="5A34370F" w14:textId="77777777" w:rsidR="001177FD" w:rsidRPr="001F6BDA" w:rsidRDefault="001177FD" w:rsidP="0091795A">
            <w:pPr>
              <w:jc w:val="right"/>
              <w:rPr>
                <w:color w:val="000000"/>
              </w:rPr>
            </w:pPr>
            <w:r w:rsidRPr="001F6BDA">
              <w:rPr>
                <w:color w:val="000000"/>
              </w:rPr>
              <w:t>100%</w:t>
            </w:r>
          </w:p>
        </w:tc>
      </w:tr>
      <w:tr w:rsidR="001177FD" w14:paraId="648A6951" w14:textId="77777777" w:rsidTr="00B40925">
        <w:tc>
          <w:tcPr>
            <w:tcW w:w="1335" w:type="dxa"/>
          </w:tcPr>
          <w:p w14:paraId="18F20961" w14:textId="77777777" w:rsidR="001177FD" w:rsidRPr="001F6BDA" w:rsidRDefault="001177FD" w:rsidP="0091795A">
            <w:pPr>
              <w:jc w:val="center"/>
              <w:rPr>
                <w:color w:val="000000"/>
              </w:rPr>
            </w:pPr>
            <w:r w:rsidRPr="001F6BDA">
              <w:rPr>
                <w:color w:val="000000"/>
              </w:rPr>
              <w:t>400</w:t>
            </w:r>
          </w:p>
        </w:tc>
        <w:tc>
          <w:tcPr>
            <w:tcW w:w="1335" w:type="dxa"/>
          </w:tcPr>
          <w:p w14:paraId="185E9F3D" w14:textId="77777777" w:rsidR="001177FD" w:rsidRPr="001F6BDA" w:rsidRDefault="001177FD" w:rsidP="0091795A">
            <w:pPr>
              <w:jc w:val="right"/>
              <w:rPr>
                <w:color w:val="000000"/>
              </w:rPr>
            </w:pPr>
            <w:r w:rsidRPr="001F6BDA">
              <w:rPr>
                <w:color w:val="000000"/>
              </w:rPr>
              <w:t>52%</w:t>
            </w:r>
          </w:p>
        </w:tc>
        <w:tc>
          <w:tcPr>
            <w:tcW w:w="1336" w:type="dxa"/>
          </w:tcPr>
          <w:p w14:paraId="010FA834" w14:textId="77777777" w:rsidR="001177FD" w:rsidRPr="001F6BDA" w:rsidRDefault="001177FD" w:rsidP="0091795A">
            <w:pPr>
              <w:jc w:val="right"/>
              <w:rPr>
                <w:color w:val="000000"/>
              </w:rPr>
            </w:pPr>
            <w:r w:rsidRPr="001F6BDA">
              <w:rPr>
                <w:color w:val="000000"/>
              </w:rPr>
              <w:t>85%</w:t>
            </w:r>
          </w:p>
        </w:tc>
        <w:tc>
          <w:tcPr>
            <w:tcW w:w="1336" w:type="dxa"/>
          </w:tcPr>
          <w:p w14:paraId="50B4797A" w14:textId="77777777" w:rsidR="001177FD" w:rsidRPr="001F6BDA" w:rsidRDefault="001177FD" w:rsidP="0091795A">
            <w:pPr>
              <w:jc w:val="right"/>
              <w:rPr>
                <w:color w:val="000000"/>
              </w:rPr>
            </w:pPr>
            <w:r w:rsidRPr="001F6BDA">
              <w:rPr>
                <w:color w:val="000000"/>
              </w:rPr>
              <w:t>98%</w:t>
            </w:r>
          </w:p>
        </w:tc>
        <w:tc>
          <w:tcPr>
            <w:tcW w:w="1336" w:type="dxa"/>
          </w:tcPr>
          <w:p w14:paraId="36A52C11" w14:textId="77777777" w:rsidR="001177FD" w:rsidRPr="001F6BDA" w:rsidRDefault="001177FD" w:rsidP="0091795A">
            <w:pPr>
              <w:jc w:val="right"/>
              <w:rPr>
                <w:color w:val="000000"/>
              </w:rPr>
            </w:pPr>
            <w:r w:rsidRPr="001F6BDA">
              <w:rPr>
                <w:color w:val="000000"/>
              </w:rPr>
              <w:t>100%</w:t>
            </w:r>
          </w:p>
        </w:tc>
        <w:tc>
          <w:tcPr>
            <w:tcW w:w="1336" w:type="dxa"/>
          </w:tcPr>
          <w:p w14:paraId="799858F2" w14:textId="77777777" w:rsidR="001177FD" w:rsidRPr="001F6BDA" w:rsidRDefault="001177FD" w:rsidP="0091795A">
            <w:pPr>
              <w:jc w:val="right"/>
              <w:rPr>
                <w:color w:val="000000"/>
              </w:rPr>
            </w:pPr>
            <w:r w:rsidRPr="001F6BDA">
              <w:rPr>
                <w:color w:val="000000"/>
              </w:rPr>
              <w:t>100%</w:t>
            </w:r>
          </w:p>
        </w:tc>
        <w:tc>
          <w:tcPr>
            <w:tcW w:w="1336" w:type="dxa"/>
          </w:tcPr>
          <w:p w14:paraId="649934C6" w14:textId="77777777" w:rsidR="001177FD" w:rsidRPr="001F6BDA" w:rsidRDefault="001177FD" w:rsidP="0091795A">
            <w:pPr>
              <w:jc w:val="right"/>
              <w:rPr>
                <w:color w:val="000000"/>
              </w:rPr>
            </w:pPr>
            <w:r w:rsidRPr="001F6BDA">
              <w:rPr>
                <w:color w:val="000000"/>
              </w:rPr>
              <w:t>100%</w:t>
            </w:r>
          </w:p>
        </w:tc>
      </w:tr>
      <w:tr w:rsidR="001177FD" w14:paraId="00A51E8A" w14:textId="77777777" w:rsidTr="00B40925">
        <w:tc>
          <w:tcPr>
            <w:tcW w:w="1335" w:type="dxa"/>
          </w:tcPr>
          <w:p w14:paraId="2CF73D04" w14:textId="77777777" w:rsidR="001177FD" w:rsidRPr="001F6BDA" w:rsidRDefault="001177FD" w:rsidP="0091795A">
            <w:pPr>
              <w:jc w:val="center"/>
              <w:rPr>
                <w:color w:val="000000"/>
              </w:rPr>
            </w:pPr>
            <w:r w:rsidRPr="001F6BDA">
              <w:rPr>
                <w:color w:val="000000"/>
              </w:rPr>
              <w:t>425</w:t>
            </w:r>
          </w:p>
        </w:tc>
        <w:tc>
          <w:tcPr>
            <w:tcW w:w="1335" w:type="dxa"/>
          </w:tcPr>
          <w:p w14:paraId="23EC8E35" w14:textId="77777777" w:rsidR="001177FD" w:rsidRPr="001F6BDA" w:rsidRDefault="001177FD" w:rsidP="0091795A">
            <w:pPr>
              <w:jc w:val="right"/>
              <w:rPr>
                <w:color w:val="000000"/>
              </w:rPr>
            </w:pPr>
            <w:r w:rsidRPr="001F6BDA">
              <w:rPr>
                <w:color w:val="000000"/>
              </w:rPr>
              <w:t>54%</w:t>
            </w:r>
          </w:p>
        </w:tc>
        <w:tc>
          <w:tcPr>
            <w:tcW w:w="1336" w:type="dxa"/>
          </w:tcPr>
          <w:p w14:paraId="4518533B" w14:textId="77777777" w:rsidR="001177FD" w:rsidRPr="001F6BDA" w:rsidRDefault="001177FD" w:rsidP="0091795A">
            <w:pPr>
              <w:jc w:val="right"/>
              <w:rPr>
                <w:color w:val="000000"/>
              </w:rPr>
            </w:pPr>
            <w:r w:rsidRPr="001F6BDA">
              <w:rPr>
                <w:color w:val="000000"/>
              </w:rPr>
              <w:t>87%</w:t>
            </w:r>
          </w:p>
        </w:tc>
        <w:tc>
          <w:tcPr>
            <w:tcW w:w="1336" w:type="dxa"/>
          </w:tcPr>
          <w:p w14:paraId="513DDF51" w14:textId="77777777" w:rsidR="001177FD" w:rsidRPr="001F6BDA" w:rsidRDefault="001177FD" w:rsidP="0091795A">
            <w:pPr>
              <w:jc w:val="right"/>
              <w:rPr>
                <w:color w:val="000000"/>
              </w:rPr>
            </w:pPr>
            <w:r w:rsidRPr="001F6BDA">
              <w:rPr>
                <w:color w:val="000000"/>
              </w:rPr>
              <w:t>99%</w:t>
            </w:r>
          </w:p>
        </w:tc>
        <w:tc>
          <w:tcPr>
            <w:tcW w:w="1336" w:type="dxa"/>
          </w:tcPr>
          <w:p w14:paraId="4DACFAF2" w14:textId="77777777" w:rsidR="001177FD" w:rsidRPr="001F6BDA" w:rsidRDefault="001177FD" w:rsidP="0091795A">
            <w:pPr>
              <w:jc w:val="right"/>
              <w:rPr>
                <w:color w:val="000000"/>
              </w:rPr>
            </w:pPr>
            <w:r w:rsidRPr="001F6BDA">
              <w:rPr>
                <w:color w:val="000000"/>
              </w:rPr>
              <w:t>100%</w:t>
            </w:r>
          </w:p>
        </w:tc>
        <w:tc>
          <w:tcPr>
            <w:tcW w:w="1336" w:type="dxa"/>
          </w:tcPr>
          <w:p w14:paraId="0023EB90" w14:textId="77777777" w:rsidR="001177FD" w:rsidRPr="001F6BDA" w:rsidRDefault="001177FD" w:rsidP="0091795A">
            <w:pPr>
              <w:jc w:val="right"/>
              <w:rPr>
                <w:color w:val="000000"/>
              </w:rPr>
            </w:pPr>
            <w:r w:rsidRPr="001F6BDA">
              <w:rPr>
                <w:color w:val="000000"/>
              </w:rPr>
              <w:t>100%</w:t>
            </w:r>
          </w:p>
        </w:tc>
        <w:tc>
          <w:tcPr>
            <w:tcW w:w="1336" w:type="dxa"/>
          </w:tcPr>
          <w:p w14:paraId="7D109806" w14:textId="77777777" w:rsidR="001177FD" w:rsidRPr="001F6BDA" w:rsidRDefault="001177FD" w:rsidP="0091795A">
            <w:pPr>
              <w:jc w:val="right"/>
              <w:rPr>
                <w:color w:val="000000"/>
              </w:rPr>
            </w:pPr>
            <w:r w:rsidRPr="001F6BDA">
              <w:rPr>
                <w:color w:val="000000"/>
              </w:rPr>
              <w:t>100%</w:t>
            </w:r>
          </w:p>
        </w:tc>
      </w:tr>
      <w:tr w:rsidR="001177FD" w14:paraId="2240B680" w14:textId="77777777" w:rsidTr="00B40925">
        <w:tc>
          <w:tcPr>
            <w:tcW w:w="1335" w:type="dxa"/>
          </w:tcPr>
          <w:p w14:paraId="5991357A" w14:textId="77777777" w:rsidR="001177FD" w:rsidRPr="001F6BDA" w:rsidRDefault="001177FD" w:rsidP="0091795A">
            <w:pPr>
              <w:jc w:val="center"/>
              <w:rPr>
                <w:color w:val="000000"/>
              </w:rPr>
            </w:pPr>
            <w:r w:rsidRPr="001F6BDA">
              <w:rPr>
                <w:color w:val="000000"/>
              </w:rPr>
              <w:t>450</w:t>
            </w:r>
          </w:p>
        </w:tc>
        <w:tc>
          <w:tcPr>
            <w:tcW w:w="1335" w:type="dxa"/>
          </w:tcPr>
          <w:p w14:paraId="32BD5CA5" w14:textId="77777777" w:rsidR="001177FD" w:rsidRPr="001F6BDA" w:rsidRDefault="001177FD" w:rsidP="0091795A">
            <w:pPr>
              <w:jc w:val="right"/>
              <w:rPr>
                <w:color w:val="000000"/>
              </w:rPr>
            </w:pPr>
            <w:r w:rsidRPr="001F6BDA">
              <w:rPr>
                <w:color w:val="000000"/>
              </w:rPr>
              <w:t>56%</w:t>
            </w:r>
          </w:p>
        </w:tc>
        <w:tc>
          <w:tcPr>
            <w:tcW w:w="1336" w:type="dxa"/>
          </w:tcPr>
          <w:p w14:paraId="2597E449" w14:textId="77777777" w:rsidR="001177FD" w:rsidRPr="001F6BDA" w:rsidRDefault="001177FD" w:rsidP="0091795A">
            <w:pPr>
              <w:jc w:val="right"/>
              <w:rPr>
                <w:color w:val="000000"/>
              </w:rPr>
            </w:pPr>
            <w:r w:rsidRPr="001F6BDA">
              <w:rPr>
                <w:color w:val="000000"/>
              </w:rPr>
              <w:t>89%</w:t>
            </w:r>
          </w:p>
        </w:tc>
        <w:tc>
          <w:tcPr>
            <w:tcW w:w="1336" w:type="dxa"/>
          </w:tcPr>
          <w:p w14:paraId="4F1D7CCA" w14:textId="77777777" w:rsidR="001177FD" w:rsidRPr="001F6BDA" w:rsidRDefault="001177FD" w:rsidP="0091795A">
            <w:pPr>
              <w:jc w:val="right"/>
              <w:rPr>
                <w:color w:val="000000"/>
              </w:rPr>
            </w:pPr>
            <w:r w:rsidRPr="001F6BDA">
              <w:rPr>
                <w:color w:val="000000"/>
              </w:rPr>
              <w:t>99%</w:t>
            </w:r>
          </w:p>
        </w:tc>
        <w:tc>
          <w:tcPr>
            <w:tcW w:w="1336" w:type="dxa"/>
          </w:tcPr>
          <w:p w14:paraId="39493B08" w14:textId="77777777" w:rsidR="001177FD" w:rsidRPr="001F6BDA" w:rsidRDefault="001177FD" w:rsidP="0091795A">
            <w:pPr>
              <w:jc w:val="right"/>
              <w:rPr>
                <w:color w:val="000000"/>
              </w:rPr>
            </w:pPr>
            <w:r w:rsidRPr="001F6BDA">
              <w:rPr>
                <w:color w:val="000000"/>
              </w:rPr>
              <w:t>100%</w:t>
            </w:r>
          </w:p>
        </w:tc>
        <w:tc>
          <w:tcPr>
            <w:tcW w:w="1336" w:type="dxa"/>
          </w:tcPr>
          <w:p w14:paraId="496A8017" w14:textId="77777777" w:rsidR="001177FD" w:rsidRPr="001F6BDA" w:rsidRDefault="001177FD" w:rsidP="0091795A">
            <w:pPr>
              <w:jc w:val="right"/>
              <w:rPr>
                <w:color w:val="000000"/>
              </w:rPr>
            </w:pPr>
            <w:r w:rsidRPr="001F6BDA">
              <w:rPr>
                <w:color w:val="000000"/>
              </w:rPr>
              <w:t>100%</w:t>
            </w:r>
          </w:p>
        </w:tc>
        <w:tc>
          <w:tcPr>
            <w:tcW w:w="1336" w:type="dxa"/>
          </w:tcPr>
          <w:p w14:paraId="15C0D890" w14:textId="77777777" w:rsidR="001177FD" w:rsidRPr="001F6BDA" w:rsidRDefault="001177FD" w:rsidP="0091795A">
            <w:pPr>
              <w:jc w:val="right"/>
              <w:rPr>
                <w:color w:val="000000"/>
              </w:rPr>
            </w:pPr>
            <w:r w:rsidRPr="001F6BDA">
              <w:rPr>
                <w:color w:val="000000"/>
              </w:rPr>
              <w:t>100%</w:t>
            </w:r>
          </w:p>
        </w:tc>
      </w:tr>
      <w:tr w:rsidR="001177FD" w14:paraId="70D08388" w14:textId="77777777" w:rsidTr="00B40925">
        <w:tc>
          <w:tcPr>
            <w:tcW w:w="1335" w:type="dxa"/>
          </w:tcPr>
          <w:p w14:paraId="27A60A18" w14:textId="77777777" w:rsidR="001177FD" w:rsidRPr="001F6BDA" w:rsidRDefault="001177FD" w:rsidP="0091795A">
            <w:pPr>
              <w:jc w:val="center"/>
              <w:rPr>
                <w:color w:val="000000"/>
              </w:rPr>
            </w:pPr>
            <w:r w:rsidRPr="001F6BDA">
              <w:rPr>
                <w:color w:val="000000"/>
              </w:rPr>
              <w:t>475</w:t>
            </w:r>
          </w:p>
        </w:tc>
        <w:tc>
          <w:tcPr>
            <w:tcW w:w="1335" w:type="dxa"/>
          </w:tcPr>
          <w:p w14:paraId="27DDFA09" w14:textId="77777777" w:rsidR="001177FD" w:rsidRPr="001F6BDA" w:rsidRDefault="001177FD" w:rsidP="0091795A">
            <w:pPr>
              <w:jc w:val="right"/>
              <w:rPr>
                <w:color w:val="000000"/>
              </w:rPr>
            </w:pPr>
            <w:r w:rsidRPr="001F6BDA">
              <w:rPr>
                <w:color w:val="000000"/>
              </w:rPr>
              <w:t>59%</w:t>
            </w:r>
          </w:p>
        </w:tc>
        <w:tc>
          <w:tcPr>
            <w:tcW w:w="1336" w:type="dxa"/>
          </w:tcPr>
          <w:p w14:paraId="09CDF168" w14:textId="77777777" w:rsidR="001177FD" w:rsidRPr="001F6BDA" w:rsidRDefault="001177FD" w:rsidP="0091795A">
            <w:pPr>
              <w:jc w:val="right"/>
              <w:rPr>
                <w:color w:val="000000"/>
              </w:rPr>
            </w:pPr>
            <w:r w:rsidRPr="001F6BDA">
              <w:rPr>
                <w:color w:val="000000"/>
              </w:rPr>
              <w:t>91%</w:t>
            </w:r>
          </w:p>
        </w:tc>
        <w:tc>
          <w:tcPr>
            <w:tcW w:w="1336" w:type="dxa"/>
          </w:tcPr>
          <w:p w14:paraId="3CB2D6DB" w14:textId="77777777" w:rsidR="001177FD" w:rsidRPr="001F6BDA" w:rsidRDefault="001177FD" w:rsidP="0091795A">
            <w:pPr>
              <w:jc w:val="right"/>
              <w:rPr>
                <w:color w:val="000000"/>
              </w:rPr>
            </w:pPr>
            <w:r w:rsidRPr="001F6BDA">
              <w:rPr>
                <w:color w:val="000000"/>
              </w:rPr>
              <w:t>99%</w:t>
            </w:r>
          </w:p>
        </w:tc>
        <w:tc>
          <w:tcPr>
            <w:tcW w:w="1336" w:type="dxa"/>
          </w:tcPr>
          <w:p w14:paraId="33E9729D" w14:textId="77777777" w:rsidR="001177FD" w:rsidRPr="001F6BDA" w:rsidRDefault="001177FD" w:rsidP="0091795A">
            <w:pPr>
              <w:jc w:val="right"/>
              <w:rPr>
                <w:color w:val="000000"/>
              </w:rPr>
            </w:pPr>
            <w:r w:rsidRPr="001F6BDA">
              <w:rPr>
                <w:color w:val="000000"/>
              </w:rPr>
              <w:t>100%</w:t>
            </w:r>
          </w:p>
        </w:tc>
        <w:tc>
          <w:tcPr>
            <w:tcW w:w="1336" w:type="dxa"/>
          </w:tcPr>
          <w:p w14:paraId="1DDECFD2" w14:textId="77777777" w:rsidR="001177FD" w:rsidRPr="001F6BDA" w:rsidRDefault="001177FD" w:rsidP="0091795A">
            <w:pPr>
              <w:jc w:val="right"/>
              <w:rPr>
                <w:color w:val="000000"/>
              </w:rPr>
            </w:pPr>
            <w:r w:rsidRPr="001F6BDA">
              <w:rPr>
                <w:color w:val="000000"/>
              </w:rPr>
              <w:t>100%</w:t>
            </w:r>
          </w:p>
        </w:tc>
        <w:tc>
          <w:tcPr>
            <w:tcW w:w="1336" w:type="dxa"/>
          </w:tcPr>
          <w:p w14:paraId="07D77C84" w14:textId="77777777" w:rsidR="001177FD" w:rsidRPr="001F6BDA" w:rsidRDefault="001177FD" w:rsidP="0091795A">
            <w:pPr>
              <w:jc w:val="right"/>
              <w:rPr>
                <w:color w:val="000000"/>
              </w:rPr>
            </w:pPr>
            <w:r w:rsidRPr="001F6BDA">
              <w:rPr>
                <w:color w:val="000000"/>
              </w:rPr>
              <w:t>100%</w:t>
            </w:r>
          </w:p>
        </w:tc>
      </w:tr>
      <w:tr w:rsidR="001177FD" w14:paraId="3DFD936D" w14:textId="77777777" w:rsidTr="00B40925">
        <w:tc>
          <w:tcPr>
            <w:tcW w:w="1335" w:type="dxa"/>
          </w:tcPr>
          <w:p w14:paraId="0A52DF5D" w14:textId="77777777" w:rsidR="001177FD" w:rsidRPr="001F6BDA" w:rsidRDefault="001177FD" w:rsidP="0091795A">
            <w:pPr>
              <w:jc w:val="center"/>
              <w:rPr>
                <w:color w:val="000000"/>
              </w:rPr>
            </w:pPr>
            <w:r w:rsidRPr="001F6BDA">
              <w:rPr>
                <w:color w:val="000000"/>
              </w:rPr>
              <w:t>500</w:t>
            </w:r>
          </w:p>
        </w:tc>
        <w:tc>
          <w:tcPr>
            <w:tcW w:w="1335" w:type="dxa"/>
          </w:tcPr>
          <w:p w14:paraId="284F9614" w14:textId="77777777" w:rsidR="001177FD" w:rsidRPr="001F6BDA" w:rsidRDefault="001177FD" w:rsidP="0091795A">
            <w:pPr>
              <w:jc w:val="right"/>
              <w:rPr>
                <w:color w:val="000000"/>
              </w:rPr>
            </w:pPr>
            <w:r w:rsidRPr="001F6BDA">
              <w:rPr>
                <w:color w:val="000000"/>
              </w:rPr>
              <w:t>61%</w:t>
            </w:r>
          </w:p>
        </w:tc>
        <w:tc>
          <w:tcPr>
            <w:tcW w:w="1336" w:type="dxa"/>
          </w:tcPr>
          <w:p w14:paraId="103D45F3" w14:textId="77777777" w:rsidR="001177FD" w:rsidRPr="001F6BDA" w:rsidRDefault="001177FD" w:rsidP="0091795A">
            <w:pPr>
              <w:jc w:val="right"/>
              <w:rPr>
                <w:color w:val="000000"/>
              </w:rPr>
            </w:pPr>
            <w:r w:rsidRPr="001F6BDA">
              <w:rPr>
                <w:color w:val="000000"/>
              </w:rPr>
              <w:t>92%</w:t>
            </w:r>
          </w:p>
        </w:tc>
        <w:tc>
          <w:tcPr>
            <w:tcW w:w="1336" w:type="dxa"/>
          </w:tcPr>
          <w:p w14:paraId="19B13619" w14:textId="77777777" w:rsidR="001177FD" w:rsidRPr="001F6BDA" w:rsidRDefault="001177FD" w:rsidP="0091795A">
            <w:pPr>
              <w:jc w:val="right"/>
              <w:rPr>
                <w:color w:val="000000"/>
              </w:rPr>
            </w:pPr>
            <w:r w:rsidRPr="001F6BDA">
              <w:rPr>
                <w:color w:val="000000"/>
              </w:rPr>
              <w:t>99%</w:t>
            </w:r>
          </w:p>
        </w:tc>
        <w:tc>
          <w:tcPr>
            <w:tcW w:w="1336" w:type="dxa"/>
          </w:tcPr>
          <w:p w14:paraId="3E75271D" w14:textId="77777777" w:rsidR="001177FD" w:rsidRPr="001F6BDA" w:rsidRDefault="001177FD" w:rsidP="0091795A">
            <w:pPr>
              <w:jc w:val="right"/>
              <w:rPr>
                <w:color w:val="000000"/>
              </w:rPr>
            </w:pPr>
            <w:r w:rsidRPr="001F6BDA">
              <w:rPr>
                <w:color w:val="000000"/>
              </w:rPr>
              <w:t>100%</w:t>
            </w:r>
          </w:p>
        </w:tc>
        <w:tc>
          <w:tcPr>
            <w:tcW w:w="1336" w:type="dxa"/>
          </w:tcPr>
          <w:p w14:paraId="2F6A48B2" w14:textId="77777777" w:rsidR="001177FD" w:rsidRPr="001F6BDA" w:rsidRDefault="001177FD" w:rsidP="0091795A">
            <w:pPr>
              <w:jc w:val="right"/>
              <w:rPr>
                <w:color w:val="000000"/>
              </w:rPr>
            </w:pPr>
            <w:r w:rsidRPr="001F6BDA">
              <w:rPr>
                <w:color w:val="000000"/>
              </w:rPr>
              <w:t>100%</w:t>
            </w:r>
          </w:p>
        </w:tc>
        <w:tc>
          <w:tcPr>
            <w:tcW w:w="1336" w:type="dxa"/>
          </w:tcPr>
          <w:p w14:paraId="1B73A13E" w14:textId="77777777" w:rsidR="001177FD" w:rsidRPr="001F6BDA" w:rsidRDefault="001177FD" w:rsidP="0091795A">
            <w:pPr>
              <w:jc w:val="right"/>
              <w:rPr>
                <w:color w:val="000000"/>
              </w:rPr>
            </w:pPr>
            <w:r w:rsidRPr="001F6BDA">
              <w:rPr>
                <w:color w:val="000000"/>
              </w:rPr>
              <w:t>100%</w:t>
            </w:r>
          </w:p>
        </w:tc>
      </w:tr>
      <w:tr w:rsidR="001177FD" w14:paraId="1389C185" w14:textId="77777777" w:rsidTr="00B40925">
        <w:tc>
          <w:tcPr>
            <w:tcW w:w="1335" w:type="dxa"/>
          </w:tcPr>
          <w:p w14:paraId="440D9683" w14:textId="77777777" w:rsidR="001177FD" w:rsidRPr="001F6BDA" w:rsidRDefault="001177FD" w:rsidP="0091795A">
            <w:pPr>
              <w:jc w:val="center"/>
              <w:rPr>
                <w:color w:val="000000"/>
              </w:rPr>
            </w:pPr>
            <w:r w:rsidRPr="001F6BDA">
              <w:rPr>
                <w:color w:val="000000"/>
              </w:rPr>
              <w:t>525</w:t>
            </w:r>
          </w:p>
        </w:tc>
        <w:tc>
          <w:tcPr>
            <w:tcW w:w="1335" w:type="dxa"/>
          </w:tcPr>
          <w:p w14:paraId="5853F83B" w14:textId="77777777" w:rsidR="001177FD" w:rsidRPr="001F6BDA" w:rsidRDefault="001177FD" w:rsidP="0091795A">
            <w:pPr>
              <w:jc w:val="right"/>
              <w:rPr>
                <w:color w:val="000000"/>
              </w:rPr>
            </w:pPr>
            <w:r w:rsidRPr="001F6BDA">
              <w:rPr>
                <w:color w:val="000000"/>
              </w:rPr>
              <w:t>63%</w:t>
            </w:r>
          </w:p>
        </w:tc>
        <w:tc>
          <w:tcPr>
            <w:tcW w:w="1336" w:type="dxa"/>
          </w:tcPr>
          <w:p w14:paraId="2866C4B4" w14:textId="77777777" w:rsidR="001177FD" w:rsidRPr="001F6BDA" w:rsidRDefault="001177FD" w:rsidP="0091795A">
            <w:pPr>
              <w:jc w:val="right"/>
              <w:rPr>
                <w:color w:val="000000"/>
              </w:rPr>
            </w:pPr>
            <w:r w:rsidRPr="001F6BDA">
              <w:rPr>
                <w:color w:val="000000"/>
              </w:rPr>
              <w:t>93%</w:t>
            </w:r>
          </w:p>
        </w:tc>
        <w:tc>
          <w:tcPr>
            <w:tcW w:w="1336" w:type="dxa"/>
          </w:tcPr>
          <w:p w14:paraId="0994FBFE" w14:textId="77777777" w:rsidR="001177FD" w:rsidRPr="001F6BDA" w:rsidRDefault="001177FD" w:rsidP="0091795A">
            <w:pPr>
              <w:jc w:val="right"/>
              <w:rPr>
                <w:color w:val="000000"/>
              </w:rPr>
            </w:pPr>
            <w:r w:rsidRPr="001F6BDA">
              <w:rPr>
                <w:color w:val="000000"/>
              </w:rPr>
              <w:t>100%</w:t>
            </w:r>
          </w:p>
        </w:tc>
        <w:tc>
          <w:tcPr>
            <w:tcW w:w="1336" w:type="dxa"/>
          </w:tcPr>
          <w:p w14:paraId="33940781" w14:textId="77777777" w:rsidR="001177FD" w:rsidRPr="001F6BDA" w:rsidRDefault="001177FD" w:rsidP="0091795A">
            <w:pPr>
              <w:jc w:val="right"/>
              <w:rPr>
                <w:color w:val="000000"/>
              </w:rPr>
            </w:pPr>
            <w:r w:rsidRPr="001F6BDA">
              <w:rPr>
                <w:color w:val="000000"/>
              </w:rPr>
              <w:t>100%</w:t>
            </w:r>
          </w:p>
        </w:tc>
        <w:tc>
          <w:tcPr>
            <w:tcW w:w="1336" w:type="dxa"/>
          </w:tcPr>
          <w:p w14:paraId="50F0BD99" w14:textId="77777777" w:rsidR="001177FD" w:rsidRPr="001F6BDA" w:rsidRDefault="001177FD" w:rsidP="0091795A">
            <w:pPr>
              <w:jc w:val="right"/>
              <w:rPr>
                <w:color w:val="000000"/>
              </w:rPr>
            </w:pPr>
            <w:r w:rsidRPr="001F6BDA">
              <w:rPr>
                <w:color w:val="000000"/>
              </w:rPr>
              <w:t>100%</w:t>
            </w:r>
          </w:p>
        </w:tc>
        <w:tc>
          <w:tcPr>
            <w:tcW w:w="1336" w:type="dxa"/>
          </w:tcPr>
          <w:p w14:paraId="3EA67957" w14:textId="77777777" w:rsidR="001177FD" w:rsidRPr="001F6BDA" w:rsidRDefault="001177FD" w:rsidP="0091795A">
            <w:pPr>
              <w:jc w:val="right"/>
              <w:rPr>
                <w:color w:val="000000"/>
              </w:rPr>
            </w:pPr>
            <w:r w:rsidRPr="001F6BDA">
              <w:rPr>
                <w:color w:val="000000"/>
              </w:rPr>
              <w:t>100%</w:t>
            </w:r>
          </w:p>
        </w:tc>
      </w:tr>
      <w:tr w:rsidR="001177FD" w14:paraId="74F365FB" w14:textId="77777777" w:rsidTr="00B40925">
        <w:tc>
          <w:tcPr>
            <w:tcW w:w="1335" w:type="dxa"/>
          </w:tcPr>
          <w:p w14:paraId="26D1C6A9" w14:textId="77777777" w:rsidR="001177FD" w:rsidRPr="001F6BDA" w:rsidRDefault="001177FD" w:rsidP="0091795A">
            <w:pPr>
              <w:jc w:val="center"/>
              <w:rPr>
                <w:color w:val="000000"/>
              </w:rPr>
            </w:pPr>
            <w:r w:rsidRPr="001F6BDA">
              <w:rPr>
                <w:color w:val="000000"/>
              </w:rPr>
              <w:t>550</w:t>
            </w:r>
          </w:p>
        </w:tc>
        <w:tc>
          <w:tcPr>
            <w:tcW w:w="1335" w:type="dxa"/>
          </w:tcPr>
          <w:p w14:paraId="58BF15D6" w14:textId="77777777" w:rsidR="001177FD" w:rsidRPr="001F6BDA" w:rsidRDefault="001177FD" w:rsidP="0091795A">
            <w:pPr>
              <w:jc w:val="right"/>
              <w:rPr>
                <w:color w:val="000000"/>
              </w:rPr>
            </w:pPr>
            <w:r w:rsidRPr="001F6BDA">
              <w:rPr>
                <w:color w:val="000000"/>
              </w:rPr>
              <w:t>65%</w:t>
            </w:r>
          </w:p>
        </w:tc>
        <w:tc>
          <w:tcPr>
            <w:tcW w:w="1336" w:type="dxa"/>
          </w:tcPr>
          <w:p w14:paraId="35B5A7C8" w14:textId="77777777" w:rsidR="001177FD" w:rsidRPr="001F6BDA" w:rsidRDefault="001177FD" w:rsidP="0091795A">
            <w:pPr>
              <w:jc w:val="right"/>
              <w:rPr>
                <w:color w:val="000000"/>
              </w:rPr>
            </w:pPr>
            <w:r w:rsidRPr="001F6BDA">
              <w:rPr>
                <w:color w:val="000000"/>
              </w:rPr>
              <w:t>94%</w:t>
            </w:r>
          </w:p>
        </w:tc>
        <w:tc>
          <w:tcPr>
            <w:tcW w:w="1336" w:type="dxa"/>
          </w:tcPr>
          <w:p w14:paraId="14F272DC" w14:textId="77777777" w:rsidR="001177FD" w:rsidRPr="001F6BDA" w:rsidRDefault="001177FD" w:rsidP="0091795A">
            <w:pPr>
              <w:jc w:val="right"/>
              <w:rPr>
                <w:color w:val="000000"/>
              </w:rPr>
            </w:pPr>
            <w:r w:rsidRPr="001F6BDA">
              <w:rPr>
                <w:color w:val="000000"/>
              </w:rPr>
              <w:t>100%</w:t>
            </w:r>
          </w:p>
        </w:tc>
        <w:tc>
          <w:tcPr>
            <w:tcW w:w="1336" w:type="dxa"/>
          </w:tcPr>
          <w:p w14:paraId="342D152D" w14:textId="77777777" w:rsidR="001177FD" w:rsidRPr="001F6BDA" w:rsidRDefault="001177FD" w:rsidP="0091795A">
            <w:pPr>
              <w:jc w:val="right"/>
              <w:rPr>
                <w:color w:val="000000"/>
              </w:rPr>
            </w:pPr>
            <w:r w:rsidRPr="001F6BDA">
              <w:rPr>
                <w:color w:val="000000"/>
              </w:rPr>
              <w:t>100%</w:t>
            </w:r>
          </w:p>
        </w:tc>
        <w:tc>
          <w:tcPr>
            <w:tcW w:w="1336" w:type="dxa"/>
          </w:tcPr>
          <w:p w14:paraId="40921C1D" w14:textId="77777777" w:rsidR="001177FD" w:rsidRPr="001F6BDA" w:rsidRDefault="001177FD" w:rsidP="0091795A">
            <w:pPr>
              <w:jc w:val="right"/>
              <w:rPr>
                <w:color w:val="000000"/>
              </w:rPr>
            </w:pPr>
            <w:r w:rsidRPr="001F6BDA">
              <w:rPr>
                <w:color w:val="000000"/>
              </w:rPr>
              <w:t>100%</w:t>
            </w:r>
          </w:p>
        </w:tc>
        <w:tc>
          <w:tcPr>
            <w:tcW w:w="1336" w:type="dxa"/>
          </w:tcPr>
          <w:p w14:paraId="404D6A4A" w14:textId="77777777" w:rsidR="001177FD" w:rsidRPr="001F6BDA" w:rsidRDefault="001177FD" w:rsidP="0091795A">
            <w:pPr>
              <w:jc w:val="right"/>
              <w:rPr>
                <w:color w:val="000000"/>
              </w:rPr>
            </w:pPr>
            <w:r w:rsidRPr="001F6BDA">
              <w:rPr>
                <w:color w:val="000000"/>
              </w:rPr>
              <w:t>100%</w:t>
            </w:r>
          </w:p>
        </w:tc>
      </w:tr>
      <w:tr w:rsidR="001177FD" w14:paraId="7F926923" w14:textId="77777777" w:rsidTr="00B40925">
        <w:tc>
          <w:tcPr>
            <w:tcW w:w="1335" w:type="dxa"/>
          </w:tcPr>
          <w:p w14:paraId="389C4ADD" w14:textId="77777777" w:rsidR="001177FD" w:rsidRPr="001F6BDA" w:rsidRDefault="001177FD" w:rsidP="0091795A">
            <w:pPr>
              <w:jc w:val="center"/>
              <w:rPr>
                <w:color w:val="000000"/>
              </w:rPr>
            </w:pPr>
            <w:r w:rsidRPr="001F6BDA">
              <w:rPr>
                <w:color w:val="000000"/>
              </w:rPr>
              <w:t>575</w:t>
            </w:r>
          </w:p>
        </w:tc>
        <w:tc>
          <w:tcPr>
            <w:tcW w:w="1335" w:type="dxa"/>
          </w:tcPr>
          <w:p w14:paraId="5EF0E3B7" w14:textId="77777777" w:rsidR="001177FD" w:rsidRPr="001F6BDA" w:rsidRDefault="001177FD" w:rsidP="0091795A">
            <w:pPr>
              <w:jc w:val="right"/>
              <w:rPr>
                <w:color w:val="000000"/>
              </w:rPr>
            </w:pPr>
            <w:r w:rsidRPr="001F6BDA">
              <w:rPr>
                <w:color w:val="000000"/>
              </w:rPr>
              <w:t>67%</w:t>
            </w:r>
          </w:p>
        </w:tc>
        <w:tc>
          <w:tcPr>
            <w:tcW w:w="1336" w:type="dxa"/>
          </w:tcPr>
          <w:p w14:paraId="5A5CBEBE" w14:textId="77777777" w:rsidR="001177FD" w:rsidRPr="001F6BDA" w:rsidRDefault="001177FD" w:rsidP="0091795A">
            <w:pPr>
              <w:jc w:val="right"/>
              <w:rPr>
                <w:color w:val="000000"/>
              </w:rPr>
            </w:pPr>
            <w:r w:rsidRPr="001F6BDA">
              <w:rPr>
                <w:color w:val="000000"/>
              </w:rPr>
              <w:t>95%</w:t>
            </w:r>
          </w:p>
        </w:tc>
        <w:tc>
          <w:tcPr>
            <w:tcW w:w="1336" w:type="dxa"/>
          </w:tcPr>
          <w:p w14:paraId="330E6201" w14:textId="77777777" w:rsidR="001177FD" w:rsidRPr="001F6BDA" w:rsidRDefault="001177FD" w:rsidP="0091795A">
            <w:pPr>
              <w:jc w:val="right"/>
              <w:rPr>
                <w:color w:val="000000"/>
              </w:rPr>
            </w:pPr>
            <w:r w:rsidRPr="001F6BDA">
              <w:rPr>
                <w:color w:val="000000"/>
              </w:rPr>
              <w:t>100%</w:t>
            </w:r>
          </w:p>
        </w:tc>
        <w:tc>
          <w:tcPr>
            <w:tcW w:w="1336" w:type="dxa"/>
          </w:tcPr>
          <w:p w14:paraId="49D2982E" w14:textId="77777777" w:rsidR="001177FD" w:rsidRPr="001F6BDA" w:rsidRDefault="001177FD" w:rsidP="0091795A">
            <w:pPr>
              <w:jc w:val="right"/>
              <w:rPr>
                <w:color w:val="000000"/>
              </w:rPr>
            </w:pPr>
            <w:r w:rsidRPr="001F6BDA">
              <w:rPr>
                <w:color w:val="000000"/>
              </w:rPr>
              <w:t>100%</w:t>
            </w:r>
          </w:p>
        </w:tc>
        <w:tc>
          <w:tcPr>
            <w:tcW w:w="1336" w:type="dxa"/>
          </w:tcPr>
          <w:p w14:paraId="2F24F20E" w14:textId="77777777" w:rsidR="001177FD" w:rsidRPr="001F6BDA" w:rsidRDefault="001177FD" w:rsidP="0091795A">
            <w:pPr>
              <w:jc w:val="right"/>
              <w:rPr>
                <w:color w:val="000000"/>
              </w:rPr>
            </w:pPr>
            <w:r w:rsidRPr="001F6BDA">
              <w:rPr>
                <w:color w:val="000000"/>
              </w:rPr>
              <w:t>100%</w:t>
            </w:r>
          </w:p>
        </w:tc>
        <w:tc>
          <w:tcPr>
            <w:tcW w:w="1336" w:type="dxa"/>
          </w:tcPr>
          <w:p w14:paraId="3766D8A8" w14:textId="77777777" w:rsidR="001177FD" w:rsidRPr="001F6BDA" w:rsidRDefault="001177FD" w:rsidP="0091795A">
            <w:pPr>
              <w:jc w:val="right"/>
              <w:rPr>
                <w:color w:val="000000"/>
              </w:rPr>
            </w:pPr>
            <w:r w:rsidRPr="001F6BDA">
              <w:rPr>
                <w:color w:val="000000"/>
              </w:rPr>
              <w:t>100%</w:t>
            </w:r>
          </w:p>
        </w:tc>
      </w:tr>
      <w:tr w:rsidR="001177FD" w14:paraId="4783654D" w14:textId="77777777" w:rsidTr="00B40925">
        <w:tc>
          <w:tcPr>
            <w:tcW w:w="1335" w:type="dxa"/>
          </w:tcPr>
          <w:p w14:paraId="2ED86830" w14:textId="77777777" w:rsidR="001177FD" w:rsidRPr="001F6BDA" w:rsidRDefault="001177FD" w:rsidP="0091795A">
            <w:pPr>
              <w:jc w:val="center"/>
              <w:rPr>
                <w:color w:val="000000"/>
              </w:rPr>
            </w:pPr>
            <w:r w:rsidRPr="001F6BDA">
              <w:rPr>
                <w:color w:val="000000"/>
              </w:rPr>
              <w:t>600</w:t>
            </w:r>
          </w:p>
        </w:tc>
        <w:tc>
          <w:tcPr>
            <w:tcW w:w="1335" w:type="dxa"/>
          </w:tcPr>
          <w:p w14:paraId="3F21D8AC" w14:textId="77777777" w:rsidR="001177FD" w:rsidRPr="001F6BDA" w:rsidRDefault="001177FD" w:rsidP="0091795A">
            <w:pPr>
              <w:jc w:val="right"/>
              <w:rPr>
                <w:color w:val="000000"/>
              </w:rPr>
            </w:pPr>
            <w:r w:rsidRPr="001F6BDA">
              <w:rPr>
                <w:color w:val="000000"/>
              </w:rPr>
              <w:t>69%</w:t>
            </w:r>
          </w:p>
        </w:tc>
        <w:tc>
          <w:tcPr>
            <w:tcW w:w="1336" w:type="dxa"/>
          </w:tcPr>
          <w:p w14:paraId="10821328" w14:textId="77777777" w:rsidR="001177FD" w:rsidRPr="001F6BDA" w:rsidRDefault="001177FD" w:rsidP="0091795A">
            <w:pPr>
              <w:jc w:val="right"/>
              <w:rPr>
                <w:color w:val="000000"/>
              </w:rPr>
            </w:pPr>
            <w:r w:rsidRPr="001F6BDA">
              <w:rPr>
                <w:color w:val="000000"/>
              </w:rPr>
              <w:t>96%</w:t>
            </w:r>
          </w:p>
        </w:tc>
        <w:tc>
          <w:tcPr>
            <w:tcW w:w="1336" w:type="dxa"/>
          </w:tcPr>
          <w:p w14:paraId="6925A2BF" w14:textId="77777777" w:rsidR="001177FD" w:rsidRPr="001F6BDA" w:rsidRDefault="001177FD" w:rsidP="0091795A">
            <w:pPr>
              <w:jc w:val="right"/>
              <w:rPr>
                <w:color w:val="000000"/>
              </w:rPr>
            </w:pPr>
            <w:r w:rsidRPr="001F6BDA">
              <w:rPr>
                <w:color w:val="000000"/>
              </w:rPr>
              <w:t>100%</w:t>
            </w:r>
          </w:p>
        </w:tc>
        <w:tc>
          <w:tcPr>
            <w:tcW w:w="1336" w:type="dxa"/>
          </w:tcPr>
          <w:p w14:paraId="63E16296" w14:textId="77777777" w:rsidR="001177FD" w:rsidRPr="001F6BDA" w:rsidRDefault="001177FD" w:rsidP="0091795A">
            <w:pPr>
              <w:jc w:val="right"/>
              <w:rPr>
                <w:color w:val="000000"/>
              </w:rPr>
            </w:pPr>
            <w:r w:rsidRPr="001F6BDA">
              <w:rPr>
                <w:color w:val="000000"/>
              </w:rPr>
              <w:t>100%</w:t>
            </w:r>
          </w:p>
        </w:tc>
        <w:tc>
          <w:tcPr>
            <w:tcW w:w="1336" w:type="dxa"/>
          </w:tcPr>
          <w:p w14:paraId="588FEF3B" w14:textId="77777777" w:rsidR="001177FD" w:rsidRPr="001F6BDA" w:rsidRDefault="001177FD" w:rsidP="0091795A">
            <w:pPr>
              <w:jc w:val="right"/>
              <w:rPr>
                <w:color w:val="000000"/>
              </w:rPr>
            </w:pPr>
            <w:r w:rsidRPr="001F6BDA">
              <w:rPr>
                <w:color w:val="000000"/>
              </w:rPr>
              <w:t>100%</w:t>
            </w:r>
          </w:p>
        </w:tc>
        <w:tc>
          <w:tcPr>
            <w:tcW w:w="1336" w:type="dxa"/>
          </w:tcPr>
          <w:p w14:paraId="24D98300" w14:textId="77777777" w:rsidR="001177FD" w:rsidRPr="001F6BDA" w:rsidRDefault="001177FD" w:rsidP="0091795A">
            <w:pPr>
              <w:jc w:val="right"/>
              <w:rPr>
                <w:color w:val="000000"/>
              </w:rPr>
            </w:pPr>
            <w:r w:rsidRPr="001F6BDA">
              <w:rPr>
                <w:color w:val="000000"/>
              </w:rPr>
              <w:t>100%</w:t>
            </w:r>
          </w:p>
        </w:tc>
      </w:tr>
      <w:tr w:rsidR="001177FD" w14:paraId="6AC6E6C5" w14:textId="77777777" w:rsidTr="00B40925">
        <w:tc>
          <w:tcPr>
            <w:tcW w:w="1335" w:type="dxa"/>
          </w:tcPr>
          <w:p w14:paraId="16D20DB2" w14:textId="77777777" w:rsidR="001177FD" w:rsidRPr="001F6BDA" w:rsidRDefault="001177FD" w:rsidP="0091795A">
            <w:pPr>
              <w:jc w:val="center"/>
              <w:rPr>
                <w:color w:val="000000"/>
              </w:rPr>
            </w:pPr>
            <w:r w:rsidRPr="001F6BDA">
              <w:rPr>
                <w:color w:val="000000"/>
              </w:rPr>
              <w:t>625</w:t>
            </w:r>
          </w:p>
        </w:tc>
        <w:tc>
          <w:tcPr>
            <w:tcW w:w="1335" w:type="dxa"/>
          </w:tcPr>
          <w:p w14:paraId="13642D86" w14:textId="77777777" w:rsidR="001177FD" w:rsidRPr="001F6BDA" w:rsidRDefault="001177FD" w:rsidP="0091795A">
            <w:pPr>
              <w:jc w:val="right"/>
              <w:rPr>
                <w:color w:val="000000"/>
              </w:rPr>
            </w:pPr>
            <w:r w:rsidRPr="001F6BDA">
              <w:rPr>
                <w:color w:val="000000"/>
              </w:rPr>
              <w:t>71%</w:t>
            </w:r>
          </w:p>
        </w:tc>
        <w:tc>
          <w:tcPr>
            <w:tcW w:w="1336" w:type="dxa"/>
          </w:tcPr>
          <w:p w14:paraId="05332894" w14:textId="77777777" w:rsidR="001177FD" w:rsidRPr="001F6BDA" w:rsidRDefault="001177FD" w:rsidP="0091795A">
            <w:pPr>
              <w:jc w:val="right"/>
              <w:rPr>
                <w:color w:val="000000"/>
              </w:rPr>
            </w:pPr>
            <w:r w:rsidRPr="001F6BDA">
              <w:rPr>
                <w:color w:val="000000"/>
              </w:rPr>
              <w:t>96%</w:t>
            </w:r>
          </w:p>
        </w:tc>
        <w:tc>
          <w:tcPr>
            <w:tcW w:w="1336" w:type="dxa"/>
          </w:tcPr>
          <w:p w14:paraId="16A86067" w14:textId="77777777" w:rsidR="001177FD" w:rsidRPr="001F6BDA" w:rsidRDefault="001177FD" w:rsidP="0091795A">
            <w:pPr>
              <w:jc w:val="right"/>
              <w:rPr>
                <w:color w:val="000000"/>
              </w:rPr>
            </w:pPr>
            <w:r w:rsidRPr="001F6BDA">
              <w:rPr>
                <w:color w:val="000000"/>
              </w:rPr>
              <w:t>100%</w:t>
            </w:r>
          </w:p>
        </w:tc>
        <w:tc>
          <w:tcPr>
            <w:tcW w:w="1336" w:type="dxa"/>
          </w:tcPr>
          <w:p w14:paraId="54871074" w14:textId="77777777" w:rsidR="001177FD" w:rsidRPr="001F6BDA" w:rsidRDefault="001177FD" w:rsidP="0091795A">
            <w:pPr>
              <w:jc w:val="right"/>
              <w:rPr>
                <w:color w:val="000000"/>
              </w:rPr>
            </w:pPr>
            <w:r w:rsidRPr="001F6BDA">
              <w:rPr>
                <w:color w:val="000000"/>
              </w:rPr>
              <w:t>100%</w:t>
            </w:r>
          </w:p>
        </w:tc>
        <w:tc>
          <w:tcPr>
            <w:tcW w:w="1336" w:type="dxa"/>
          </w:tcPr>
          <w:p w14:paraId="5C8F2574" w14:textId="77777777" w:rsidR="001177FD" w:rsidRPr="001F6BDA" w:rsidRDefault="001177FD" w:rsidP="0091795A">
            <w:pPr>
              <w:jc w:val="right"/>
              <w:rPr>
                <w:color w:val="000000"/>
              </w:rPr>
            </w:pPr>
            <w:r w:rsidRPr="001F6BDA">
              <w:rPr>
                <w:color w:val="000000"/>
              </w:rPr>
              <w:t>100%</w:t>
            </w:r>
          </w:p>
        </w:tc>
        <w:tc>
          <w:tcPr>
            <w:tcW w:w="1336" w:type="dxa"/>
          </w:tcPr>
          <w:p w14:paraId="7A9CC1E2" w14:textId="77777777" w:rsidR="001177FD" w:rsidRPr="001F6BDA" w:rsidRDefault="001177FD" w:rsidP="0091795A">
            <w:pPr>
              <w:jc w:val="right"/>
              <w:rPr>
                <w:color w:val="000000"/>
              </w:rPr>
            </w:pPr>
            <w:r w:rsidRPr="001F6BDA">
              <w:rPr>
                <w:color w:val="000000"/>
              </w:rPr>
              <w:t>100%</w:t>
            </w:r>
          </w:p>
        </w:tc>
      </w:tr>
      <w:tr w:rsidR="001177FD" w14:paraId="44791B99" w14:textId="77777777" w:rsidTr="00B40925">
        <w:tc>
          <w:tcPr>
            <w:tcW w:w="1335" w:type="dxa"/>
            <w:tcBorders>
              <w:bottom w:val="single" w:sz="4" w:space="0" w:color="auto"/>
            </w:tcBorders>
          </w:tcPr>
          <w:p w14:paraId="6B901484" w14:textId="77777777" w:rsidR="001177FD" w:rsidRPr="001F6BDA" w:rsidRDefault="001177FD" w:rsidP="0091795A">
            <w:pPr>
              <w:jc w:val="center"/>
              <w:rPr>
                <w:color w:val="000000"/>
              </w:rPr>
            </w:pPr>
            <w:r w:rsidRPr="001F6BDA">
              <w:rPr>
                <w:color w:val="000000"/>
              </w:rPr>
              <w:t>650</w:t>
            </w:r>
          </w:p>
        </w:tc>
        <w:tc>
          <w:tcPr>
            <w:tcW w:w="1335" w:type="dxa"/>
            <w:tcBorders>
              <w:bottom w:val="single" w:sz="4" w:space="0" w:color="auto"/>
            </w:tcBorders>
          </w:tcPr>
          <w:p w14:paraId="116FFD06" w14:textId="77777777" w:rsidR="001177FD" w:rsidRPr="001F6BDA" w:rsidRDefault="001177FD" w:rsidP="0091795A">
            <w:pPr>
              <w:jc w:val="right"/>
              <w:rPr>
                <w:color w:val="000000"/>
              </w:rPr>
            </w:pPr>
            <w:r w:rsidRPr="001F6BDA">
              <w:rPr>
                <w:color w:val="000000"/>
              </w:rPr>
              <w:t>72%</w:t>
            </w:r>
          </w:p>
        </w:tc>
        <w:tc>
          <w:tcPr>
            <w:tcW w:w="1336" w:type="dxa"/>
            <w:tcBorders>
              <w:bottom w:val="single" w:sz="4" w:space="0" w:color="auto"/>
            </w:tcBorders>
          </w:tcPr>
          <w:p w14:paraId="104A8668" w14:textId="77777777" w:rsidR="001177FD" w:rsidRPr="001F6BDA" w:rsidRDefault="001177FD" w:rsidP="0091795A">
            <w:pPr>
              <w:jc w:val="right"/>
              <w:rPr>
                <w:color w:val="000000"/>
              </w:rPr>
            </w:pPr>
            <w:r w:rsidRPr="001F6BDA">
              <w:rPr>
                <w:color w:val="000000"/>
              </w:rPr>
              <w:t>97%</w:t>
            </w:r>
          </w:p>
        </w:tc>
        <w:tc>
          <w:tcPr>
            <w:tcW w:w="1336" w:type="dxa"/>
            <w:tcBorders>
              <w:bottom w:val="single" w:sz="4" w:space="0" w:color="auto"/>
            </w:tcBorders>
          </w:tcPr>
          <w:p w14:paraId="1612F23D" w14:textId="77777777" w:rsidR="001177FD" w:rsidRPr="001F6BDA" w:rsidRDefault="001177FD" w:rsidP="0091795A">
            <w:pPr>
              <w:jc w:val="right"/>
              <w:rPr>
                <w:color w:val="000000"/>
              </w:rPr>
            </w:pPr>
            <w:r w:rsidRPr="001F6BDA">
              <w:rPr>
                <w:color w:val="000000"/>
              </w:rPr>
              <w:t>100%</w:t>
            </w:r>
          </w:p>
        </w:tc>
        <w:tc>
          <w:tcPr>
            <w:tcW w:w="1336" w:type="dxa"/>
            <w:tcBorders>
              <w:bottom w:val="single" w:sz="4" w:space="0" w:color="auto"/>
            </w:tcBorders>
          </w:tcPr>
          <w:p w14:paraId="6FE3D950" w14:textId="77777777" w:rsidR="001177FD" w:rsidRPr="001F6BDA" w:rsidRDefault="001177FD" w:rsidP="0091795A">
            <w:pPr>
              <w:jc w:val="right"/>
              <w:rPr>
                <w:color w:val="000000"/>
              </w:rPr>
            </w:pPr>
            <w:r w:rsidRPr="001F6BDA">
              <w:rPr>
                <w:color w:val="000000"/>
              </w:rPr>
              <w:t>100%</w:t>
            </w:r>
          </w:p>
        </w:tc>
        <w:tc>
          <w:tcPr>
            <w:tcW w:w="1336" w:type="dxa"/>
            <w:tcBorders>
              <w:bottom w:val="single" w:sz="4" w:space="0" w:color="auto"/>
            </w:tcBorders>
          </w:tcPr>
          <w:p w14:paraId="1314B306" w14:textId="77777777" w:rsidR="001177FD" w:rsidRPr="001F6BDA" w:rsidRDefault="001177FD" w:rsidP="0091795A">
            <w:pPr>
              <w:jc w:val="right"/>
              <w:rPr>
                <w:color w:val="000000"/>
              </w:rPr>
            </w:pPr>
            <w:r w:rsidRPr="001F6BDA">
              <w:rPr>
                <w:color w:val="000000"/>
              </w:rPr>
              <w:t>100%</w:t>
            </w:r>
          </w:p>
        </w:tc>
        <w:tc>
          <w:tcPr>
            <w:tcW w:w="1336" w:type="dxa"/>
            <w:tcBorders>
              <w:bottom w:val="single" w:sz="4" w:space="0" w:color="auto"/>
            </w:tcBorders>
          </w:tcPr>
          <w:p w14:paraId="1C24A275" w14:textId="77777777" w:rsidR="001177FD" w:rsidRPr="001F6BDA" w:rsidRDefault="001177FD" w:rsidP="0091795A">
            <w:pPr>
              <w:jc w:val="right"/>
              <w:rPr>
                <w:color w:val="000000"/>
              </w:rPr>
            </w:pPr>
            <w:r w:rsidRPr="001F6BDA">
              <w:rPr>
                <w:color w:val="000000"/>
              </w:rPr>
              <w:t>100%</w:t>
            </w:r>
          </w:p>
        </w:tc>
      </w:tr>
    </w:tbl>
    <w:p w14:paraId="7524A627" w14:textId="2749EF62" w:rsidR="001177FD" w:rsidRPr="0050573B" w:rsidRDefault="001177FD" w:rsidP="0091795A">
      <w:pPr>
        <w:rPr>
          <w:sz w:val="20"/>
        </w:rPr>
      </w:pPr>
      <w:r w:rsidRPr="0050573B">
        <w:rPr>
          <w:sz w:val="20"/>
        </w:rPr>
        <w:t xml:space="preserve">[a] This represents the sample size needed for the </w:t>
      </w:r>
      <w:r w:rsidR="0050573B">
        <w:rPr>
          <w:sz w:val="20"/>
          <w:szCs w:val="20"/>
        </w:rPr>
        <w:t>second</w:t>
      </w:r>
      <w:r w:rsidRPr="0050573B">
        <w:rPr>
          <w:sz w:val="20"/>
        </w:rPr>
        <w:t xml:space="preserve"> group, i.e., beneficiaries not enrolled in the </w:t>
      </w:r>
      <w:r w:rsidR="001F4804" w:rsidRPr="0050573B">
        <w:rPr>
          <w:sz w:val="20"/>
          <w:szCs w:val="20"/>
        </w:rPr>
        <w:t>Demonstration</w:t>
      </w:r>
      <w:r w:rsidRPr="0050573B">
        <w:rPr>
          <w:sz w:val="20"/>
        </w:rPr>
        <w:t>.</w:t>
      </w:r>
    </w:p>
    <w:p w14:paraId="1A0723C0" w14:textId="77777777" w:rsidR="001177FD" w:rsidRPr="0050573B" w:rsidRDefault="001177FD" w:rsidP="001177FD">
      <w:pPr>
        <w:spacing w:after="240"/>
        <w:rPr>
          <w:sz w:val="20"/>
          <w:szCs w:val="20"/>
        </w:rPr>
      </w:pPr>
      <w:r w:rsidRPr="0050573B">
        <w:rPr>
          <w:sz w:val="20"/>
          <w:szCs w:val="20"/>
        </w:rPr>
        <w:t>[b] This is the desired sample that would yield 80 percent power at a 20 percent effect size level, as noted in the earlier discussion.</w:t>
      </w:r>
    </w:p>
    <w:p w14:paraId="1EF340B6" w14:textId="77777777" w:rsidR="00AD62EE" w:rsidRDefault="00AD62EE" w:rsidP="00AD62EE">
      <w:pPr>
        <w:pStyle w:val="Heading4"/>
      </w:pPr>
      <w:bookmarkStart w:id="49" w:name="_Toc409601344"/>
      <w:bookmarkStart w:id="50" w:name="_Toc410331601"/>
      <w:bookmarkStart w:id="51" w:name="_Toc410331707"/>
      <w:bookmarkStart w:id="52" w:name="_Toc429570396"/>
      <w:bookmarkStart w:id="53" w:name="_Toc431546802"/>
      <w:bookmarkStart w:id="54" w:name="_Ref435092727"/>
      <w:bookmarkStart w:id="55" w:name="_Ref461535218"/>
      <w:bookmarkStart w:id="56" w:name="ExpectedResponseRate"/>
      <w:r>
        <w:t>Interviews</w:t>
      </w:r>
    </w:p>
    <w:p w14:paraId="7506564A" w14:textId="5CC826F0" w:rsidR="005B3795" w:rsidRPr="00060BF4" w:rsidRDefault="000B7A24" w:rsidP="005B3795">
      <w:pPr>
        <w:pStyle w:val="BodyTextFirstIndent"/>
      </w:pPr>
      <w:r w:rsidRPr="00610511">
        <w:t xml:space="preserve">A purposive sampling method will be used to identify </w:t>
      </w:r>
      <w:r w:rsidR="00610511">
        <w:t>participants for interviews</w:t>
      </w:r>
      <w:r w:rsidR="005B3795" w:rsidRPr="00610511">
        <w:t>. We propose potential sample sizes to provide a diverse cross-section of participants and to reach data saturation: when no new information, trends, codes, or themes are gained from additional interviews</w:t>
      </w:r>
      <w:r w:rsidR="008D5239">
        <w:t xml:space="preserve"> </w:t>
      </w:r>
      <w:sdt>
        <w:sdtPr>
          <w:id w:val="-1023170897"/>
          <w:citation/>
        </w:sdtPr>
        <w:sdtEndPr/>
        <w:sdtContent>
          <w:r w:rsidR="008D5239">
            <w:fldChar w:fldCharType="begin"/>
          </w:r>
          <w:r w:rsidR="008D5239">
            <w:instrText xml:space="preserve"> CITATION Fus15 \l 1033  \m Gue06</w:instrText>
          </w:r>
          <w:r w:rsidR="008D5239">
            <w:fldChar w:fldCharType="separate"/>
          </w:r>
          <w:r w:rsidR="00464D9D">
            <w:rPr>
              <w:noProof/>
            </w:rPr>
            <w:t>(Fusch &amp; Ness, 2015; Guest, et al., 2006)</w:t>
          </w:r>
          <w:r w:rsidR="008D5239">
            <w:fldChar w:fldCharType="end"/>
          </w:r>
        </w:sdtContent>
      </w:sdt>
      <w:r w:rsidR="005B3795" w:rsidRPr="00610511">
        <w:rPr>
          <w:color w:val="222222"/>
          <w:szCs w:val="22"/>
        </w:rPr>
        <w:t>.</w:t>
      </w:r>
      <w:r w:rsidR="005B3795" w:rsidRPr="00610511">
        <w:t xml:space="preserve"> We will oversample </w:t>
      </w:r>
      <w:r w:rsidR="007C7FEC">
        <w:t>caregivers</w:t>
      </w:r>
      <w:r w:rsidR="007C7FEC" w:rsidRPr="00610511">
        <w:t xml:space="preserve"> </w:t>
      </w:r>
      <w:r w:rsidR="005B3795" w:rsidRPr="00610511">
        <w:t xml:space="preserve">who are caring for beneficiaries who are participating in the Demonstration compared to </w:t>
      </w:r>
      <w:r w:rsidR="007C7FEC">
        <w:t>caregivers</w:t>
      </w:r>
      <w:r w:rsidR="007C7FEC" w:rsidRPr="00610511">
        <w:t xml:space="preserve"> </w:t>
      </w:r>
      <w:r w:rsidR="005B3795" w:rsidRPr="00610511">
        <w:t>who are caring for eligible beneficiaries who are not participating in the Demonstration at a rate of 2 to 1.</w:t>
      </w:r>
      <w:r w:rsidR="002E0980" w:rsidRPr="00610511">
        <w:t xml:space="preserve"> Maximum sample size for each group of parti</w:t>
      </w:r>
      <w:r w:rsidR="002E0980">
        <w:t xml:space="preserve">cipants is </w:t>
      </w:r>
      <w:r w:rsidR="00610511">
        <w:t>provided</w:t>
      </w:r>
      <w:r w:rsidR="002E0980">
        <w:t xml:space="preserve"> below:</w:t>
      </w:r>
    </w:p>
    <w:p w14:paraId="0F293C5D" w14:textId="77777777" w:rsidR="00AD62EE" w:rsidRDefault="005B3795" w:rsidP="005B3795">
      <w:pPr>
        <w:pStyle w:val="ListBullet"/>
      </w:pPr>
      <w:r w:rsidRPr="005B3795">
        <w:t xml:space="preserve">36 </w:t>
      </w:r>
      <w:r>
        <w:t>physicians</w:t>
      </w:r>
      <w:r w:rsidRPr="005B3795">
        <w:t xml:space="preserve">: 24 </w:t>
      </w:r>
      <w:r>
        <w:t>physicians treating</w:t>
      </w:r>
      <w:r w:rsidRPr="005B3795">
        <w:t xml:space="preserve"> beneficiaries participating </w:t>
      </w:r>
      <w:r>
        <w:t xml:space="preserve">in the Access Demonstration </w:t>
      </w:r>
      <w:r w:rsidRPr="005B3795">
        <w:t xml:space="preserve">and 12 </w:t>
      </w:r>
      <w:r>
        <w:t>physicians treating</w:t>
      </w:r>
      <w:r w:rsidRPr="005B3795">
        <w:t xml:space="preserve"> beneficiaries</w:t>
      </w:r>
      <w:r>
        <w:t xml:space="preserve"> with PIDD receiving IVIG</w:t>
      </w:r>
      <w:r w:rsidRPr="005B3795">
        <w:t xml:space="preserve"> </w:t>
      </w:r>
      <w:r w:rsidR="002E0980" w:rsidRPr="005B3795">
        <w:t>not participating</w:t>
      </w:r>
      <w:r w:rsidRPr="005B3795">
        <w:t xml:space="preserve"> in the Demonstration</w:t>
      </w:r>
      <w:r w:rsidR="000B7A24" w:rsidRPr="005B3795">
        <w:t>.</w:t>
      </w:r>
    </w:p>
    <w:p w14:paraId="3BFD696B" w14:textId="77777777" w:rsidR="005B3795" w:rsidRPr="005B3795" w:rsidRDefault="005B3795" w:rsidP="005B3795">
      <w:pPr>
        <w:pStyle w:val="ListBullet"/>
      </w:pPr>
      <w:r w:rsidRPr="005B3795">
        <w:t xml:space="preserve">60 nurses: 40 </w:t>
      </w:r>
      <w:r w:rsidR="002E0980">
        <w:t>nurses treating</w:t>
      </w:r>
      <w:r w:rsidRPr="005B3795">
        <w:t xml:space="preserve"> beneficiaries participating</w:t>
      </w:r>
      <w:r w:rsidR="002E0980">
        <w:t xml:space="preserve"> in the Access Demonstration</w:t>
      </w:r>
      <w:r w:rsidRPr="005B3795">
        <w:t xml:space="preserve"> and 20 </w:t>
      </w:r>
      <w:r w:rsidR="002E0980">
        <w:t xml:space="preserve">nurses </w:t>
      </w:r>
      <w:r w:rsidRPr="005B3795">
        <w:t xml:space="preserve">caring for beneficiaries </w:t>
      </w:r>
      <w:r w:rsidR="002E0980">
        <w:t xml:space="preserve">with PIDD receiving IVIG </w:t>
      </w:r>
      <w:r w:rsidRPr="005B3795">
        <w:t>not-participating in the Demonstration</w:t>
      </w:r>
    </w:p>
    <w:p w14:paraId="03C1F91A" w14:textId="77777777" w:rsidR="005B3795" w:rsidRPr="005B3795" w:rsidRDefault="005B3795" w:rsidP="005B3795">
      <w:pPr>
        <w:pStyle w:val="ListBullet"/>
      </w:pPr>
      <w:r w:rsidRPr="005B3795">
        <w:lastRenderedPageBreak/>
        <w:t xml:space="preserve">36 </w:t>
      </w:r>
      <w:r w:rsidR="002E0980">
        <w:t xml:space="preserve">informal </w:t>
      </w:r>
      <w:r w:rsidRPr="005B3795">
        <w:t xml:space="preserve">caregivers: 24 </w:t>
      </w:r>
      <w:r w:rsidR="002E0980">
        <w:t>caregivers providing</w:t>
      </w:r>
      <w:r w:rsidRPr="005B3795">
        <w:t xml:space="preserve"> care for beneficiaries who are participating </w:t>
      </w:r>
      <w:r w:rsidR="002E0980">
        <w:t xml:space="preserve">in the Access Demonstration </w:t>
      </w:r>
      <w:r w:rsidRPr="005B3795">
        <w:t>and 12</w:t>
      </w:r>
      <w:r w:rsidR="002E0980">
        <w:t xml:space="preserve"> caregivers</w:t>
      </w:r>
      <w:r w:rsidRPr="005B3795">
        <w:t xml:space="preserve"> </w:t>
      </w:r>
      <w:r w:rsidR="002E0980">
        <w:t>providing</w:t>
      </w:r>
      <w:r w:rsidRPr="005B3795">
        <w:t xml:space="preserve"> care for beneficiaries who are not-participating in the Demonstration</w:t>
      </w:r>
    </w:p>
    <w:p w14:paraId="437E1C02" w14:textId="77777777" w:rsidR="005B3795" w:rsidRPr="005B3795" w:rsidRDefault="005B3795" w:rsidP="005B3795">
      <w:pPr>
        <w:pStyle w:val="ListBullet"/>
      </w:pPr>
      <w:r w:rsidRPr="005B3795">
        <w:t>6 patient advocate representatives</w:t>
      </w:r>
    </w:p>
    <w:p w14:paraId="58055018" w14:textId="21B0E7A0" w:rsidR="005B3795" w:rsidRPr="00AD62EE" w:rsidRDefault="005B3795" w:rsidP="005B3795">
      <w:pPr>
        <w:pStyle w:val="ListBullet"/>
      </w:pPr>
      <w:r w:rsidRPr="005B3795">
        <w:t xml:space="preserve">33 </w:t>
      </w:r>
      <w:r w:rsidR="00DA0342">
        <w:t>manufacturers,</w:t>
      </w:r>
      <w:r w:rsidR="00DA0342" w:rsidRPr="005B3795" w:rsidDel="00DA0342">
        <w:t xml:space="preserve"> </w:t>
      </w:r>
      <w:r w:rsidR="00DA0342">
        <w:t>distributors, and/or providers</w:t>
      </w:r>
      <w:r w:rsidRPr="005B3795">
        <w:t>: 9 IVIG manufacturers, 9 primary or secondary distributors of IVIG, 9 of the largest GPOs, and 6 home infusion therapy companies</w:t>
      </w:r>
    </w:p>
    <w:p w14:paraId="5EDE7A9D" w14:textId="77777777" w:rsidR="001177FD" w:rsidRDefault="001177FD" w:rsidP="00816839">
      <w:pPr>
        <w:pStyle w:val="Heading3"/>
      </w:pPr>
      <w:r w:rsidRPr="00816839">
        <w:t>Expected</w:t>
      </w:r>
      <w:r w:rsidRPr="00E13DAE">
        <w:t xml:space="preserve"> Response Rate</w:t>
      </w:r>
      <w:bookmarkEnd w:id="49"/>
      <w:bookmarkEnd w:id="50"/>
      <w:bookmarkEnd w:id="51"/>
      <w:bookmarkEnd w:id="52"/>
      <w:bookmarkEnd w:id="53"/>
      <w:bookmarkEnd w:id="54"/>
      <w:bookmarkEnd w:id="55"/>
    </w:p>
    <w:p w14:paraId="1812C755" w14:textId="77777777" w:rsidR="00AD62EE" w:rsidRPr="00AD62EE" w:rsidRDefault="00AD62EE" w:rsidP="00AD62EE">
      <w:pPr>
        <w:pStyle w:val="Heading4"/>
      </w:pPr>
      <w:bookmarkStart w:id="57" w:name="_Ref462847435"/>
      <w:r>
        <w:t>Survey</w:t>
      </w:r>
      <w:bookmarkEnd w:id="57"/>
    </w:p>
    <w:bookmarkEnd w:id="56"/>
    <w:p w14:paraId="2375C9BE" w14:textId="34AEC033" w:rsidR="001177FD" w:rsidRDefault="001177FD" w:rsidP="0091795A">
      <w:pPr>
        <w:pStyle w:val="BodyTextFirstIndent"/>
      </w:pPr>
      <w:r w:rsidRPr="00BF0761">
        <w:t xml:space="preserve">To estimate respondents’ responsiveness to the survey, we </w:t>
      </w:r>
      <w:r>
        <w:t>examined</w:t>
      </w:r>
      <w:r w:rsidRPr="00BF0761">
        <w:t xml:space="preserve"> the rates of response to other surveys similar in length, mode(s) of administration, and population sampled. Although Medicare has not previously performed a survey of beneficiaries with PIDD, Medicare does administer the Medicare Consumer Assessment of Healthcare Providers and Systems (MCAHPS) Survey. This survey is directed at beneficiaries using Medicare fee-for-service, Medicare Advantage, and the Medicare Prescription Drug Plan. The MCAHPS is similar in length (13 </w:t>
      </w:r>
      <w:r>
        <w:t>pages</w:t>
      </w:r>
      <w:r w:rsidRPr="00BF0761">
        <w:t xml:space="preserve">), format, purpose, and target population to our current survey. </w:t>
      </w:r>
      <w:r>
        <w:t>The 2007 MCAHPS</w:t>
      </w:r>
      <w:r w:rsidRPr="00BF0761">
        <w:t xml:space="preserve"> report</w:t>
      </w:r>
      <w:r>
        <w:t>s</w:t>
      </w:r>
      <w:r w:rsidRPr="00BF0761">
        <w:t xml:space="preserve"> an overall response rate of 49 percent</w:t>
      </w:r>
      <w:sdt>
        <w:sdtPr>
          <w:id w:val="7240058"/>
          <w:citation/>
        </w:sdtPr>
        <w:sdtEndPr/>
        <w:sdtContent>
          <w:r w:rsidR="0060188B">
            <w:fldChar w:fldCharType="begin"/>
          </w:r>
          <w:r>
            <w:instrText xml:space="preserve"> CITATION Kle11 \l 1033 </w:instrText>
          </w:r>
          <w:r w:rsidR="0060188B">
            <w:fldChar w:fldCharType="separate"/>
          </w:r>
          <w:r w:rsidR="00464D9D">
            <w:rPr>
              <w:noProof/>
            </w:rPr>
            <w:t xml:space="preserve"> (Klein, et al., 2011)</w:t>
          </w:r>
          <w:r w:rsidR="0060188B">
            <w:rPr>
              <w:noProof/>
            </w:rPr>
            <w:fldChar w:fldCharType="end"/>
          </w:r>
        </w:sdtContent>
      </w:sdt>
      <w:r>
        <w:t xml:space="preserve">. </w:t>
      </w:r>
      <w:r w:rsidRPr="00BF0761">
        <w:t>In contrast,</w:t>
      </w:r>
      <w:r>
        <w:t xml:space="preserve"> the 2014 Hospital CAHPS survey, </w:t>
      </w:r>
      <w:r w:rsidRPr="00BF0761">
        <w:t>which includes, but is not limited to</w:t>
      </w:r>
      <w:r>
        <w:t xml:space="preserve">, Medicare beneficiaries, </w:t>
      </w:r>
      <w:r w:rsidRPr="00BF0761">
        <w:t>report</w:t>
      </w:r>
      <w:r>
        <w:t>s</w:t>
      </w:r>
      <w:r w:rsidRPr="00BF0761">
        <w:t xml:space="preserve"> a </w:t>
      </w:r>
      <w:r>
        <w:t>response rate of 30 percent</w:t>
      </w:r>
      <w:sdt>
        <w:sdtPr>
          <w:id w:val="7240017"/>
          <w:citation/>
        </w:sdtPr>
        <w:sdtEndPr/>
        <w:sdtContent>
          <w:r w:rsidR="0060188B">
            <w:fldChar w:fldCharType="begin"/>
          </w:r>
          <w:r>
            <w:instrText xml:space="preserve"> CITATION Cen15 \l 1033 </w:instrText>
          </w:r>
          <w:r w:rsidR="0060188B">
            <w:fldChar w:fldCharType="separate"/>
          </w:r>
          <w:r w:rsidR="00464D9D">
            <w:rPr>
              <w:noProof/>
            </w:rPr>
            <w:t xml:space="preserve"> (Centers for Medicare and Medicaid Services, 2015)</w:t>
          </w:r>
          <w:r w:rsidR="0060188B">
            <w:rPr>
              <w:noProof/>
            </w:rPr>
            <w:fldChar w:fldCharType="end"/>
          </w:r>
        </w:sdtContent>
      </w:sdt>
      <w:r w:rsidRPr="00BF0761">
        <w:t xml:space="preserve">. </w:t>
      </w:r>
      <w:r>
        <w:t xml:space="preserve">Based on: 1) these two reported response rates, 2) the consideration of </w:t>
      </w:r>
      <w:r w:rsidRPr="00BF0761">
        <w:t>the general downward trend in survey responsiveness over the last 10-15 years</w:t>
      </w:r>
      <w:r>
        <w:t xml:space="preserve"> </w:t>
      </w:r>
      <w:sdt>
        <w:sdtPr>
          <w:id w:val="7240056"/>
          <w:citation/>
        </w:sdtPr>
        <w:sdtEndPr/>
        <w:sdtContent>
          <w:r w:rsidR="0060188B">
            <w:fldChar w:fldCharType="begin"/>
          </w:r>
          <w:r>
            <w:instrText xml:space="preserve">CITATION Ama15 \m NRC15 \m Tho15 \l 1033 </w:instrText>
          </w:r>
          <w:r w:rsidR="0060188B">
            <w:fldChar w:fldCharType="separate"/>
          </w:r>
          <w:r w:rsidR="00464D9D">
            <w:rPr>
              <w:noProof/>
            </w:rPr>
            <w:t>(Amaya, et al., 2015; National Research Council, 2015; Thorpe, et al., 2015)</w:t>
          </w:r>
          <w:r w:rsidR="0060188B">
            <w:rPr>
              <w:noProof/>
            </w:rPr>
            <w:fldChar w:fldCharType="end"/>
          </w:r>
        </w:sdtContent>
      </w:sdt>
      <w:r>
        <w:t xml:space="preserve">, and 3) </w:t>
      </w:r>
      <w:r w:rsidRPr="00BF0761">
        <w:t>the possibility that beneficiaries with a chronic disease might be, on average, less likely to respond to a voluntary survey than the overall Medicare population (as sampled by MCAHPS)</w:t>
      </w:r>
      <w:r>
        <w:t xml:space="preserve">, we estimated the response rate to this survey at 40 percent (i.e., </w:t>
      </w:r>
      <w:r w:rsidR="002B3409">
        <w:t xml:space="preserve">the </w:t>
      </w:r>
      <w:r>
        <w:t>average of the two reported response rate estimates, 49 percent and 30 percent)</w:t>
      </w:r>
      <w:r w:rsidRPr="00BF0761">
        <w:t xml:space="preserve">. </w:t>
      </w:r>
    </w:p>
    <w:p w14:paraId="5D4B4154" w14:textId="77777777" w:rsidR="00AD62EE" w:rsidRDefault="00AD62EE" w:rsidP="00AD62EE">
      <w:pPr>
        <w:pStyle w:val="Heading4"/>
      </w:pPr>
      <w:r>
        <w:t>Interviews</w:t>
      </w:r>
    </w:p>
    <w:p w14:paraId="2B162363" w14:textId="23181977" w:rsidR="00AD62EE" w:rsidRPr="004C1A97" w:rsidRDefault="000B7A24" w:rsidP="00503112">
      <w:pPr>
        <w:pStyle w:val="BodyTextFirstIndent"/>
      </w:pPr>
      <w:r w:rsidRPr="000B7A24">
        <w:t>Based on prior research and experience conducting qualitative interviews with providers and nurses, response rates are estimated to be about 60</w:t>
      </w:r>
      <w:r>
        <w:t xml:space="preserve"> percent</w:t>
      </w:r>
      <w:r w:rsidRPr="000B7A24">
        <w:t xml:space="preserve"> </w:t>
      </w:r>
      <w:sdt>
        <w:sdtPr>
          <w:id w:val="-297684156"/>
          <w:citation/>
        </w:sdtPr>
        <w:sdtEndPr/>
        <w:sdtContent>
          <w:r w:rsidR="0060188B">
            <w:fldChar w:fldCharType="begin"/>
          </w:r>
          <w:r w:rsidR="00C74C3C">
            <w:instrText xml:space="preserve"> CITATION Pit14 \l 1033 </w:instrText>
          </w:r>
          <w:r w:rsidR="0060188B">
            <w:fldChar w:fldCharType="separate"/>
          </w:r>
          <w:r w:rsidR="00464D9D">
            <w:rPr>
              <w:noProof/>
            </w:rPr>
            <w:t>(Pit, et al., 2014)</w:t>
          </w:r>
          <w:r w:rsidR="0060188B">
            <w:fldChar w:fldCharType="end"/>
          </w:r>
        </w:sdtContent>
      </w:sdt>
      <w:r w:rsidRPr="000B7A24">
        <w:t>. Interviews with caregivers may have a lower response rate, ranging from 19-60</w:t>
      </w:r>
      <w:r>
        <w:t xml:space="preserve"> percent</w:t>
      </w:r>
      <w:r w:rsidRPr="000B7A24">
        <w:t xml:space="preserve"> </w:t>
      </w:r>
      <w:sdt>
        <w:sdtPr>
          <w:id w:val="-1628313308"/>
          <w:citation/>
        </w:sdtPr>
        <w:sdtEndPr/>
        <w:sdtContent>
          <w:r w:rsidR="0060188B">
            <w:fldChar w:fldCharType="begin"/>
          </w:r>
          <w:r w:rsidR="00B40491">
            <w:instrText xml:space="preserve"> CITATION Fow02 \l 1033  \m Seo16</w:instrText>
          </w:r>
          <w:r w:rsidR="0060188B">
            <w:fldChar w:fldCharType="separate"/>
          </w:r>
          <w:r w:rsidR="00464D9D">
            <w:rPr>
              <w:noProof/>
            </w:rPr>
            <w:t>(Fowler Jr., et al., 2002; Seow, et al., 2016)</w:t>
          </w:r>
          <w:r w:rsidR="0060188B">
            <w:fldChar w:fldCharType="end"/>
          </w:r>
        </w:sdtContent>
      </w:sdt>
      <w:r w:rsidRPr="000B7A24">
        <w:t>. We expect a high response rate from patient advocacy groups based on their investment in this topic and knowledge of the Demonstration. Based on previous interviews with manufacturers and distributors for the ASPE report, we expect a response rate of 100</w:t>
      </w:r>
      <w:r>
        <w:t xml:space="preserve"> percent</w:t>
      </w:r>
      <w:r w:rsidRPr="000B7A24">
        <w:t>.</w:t>
      </w:r>
    </w:p>
    <w:p w14:paraId="0B5847B6" w14:textId="77777777" w:rsidR="001177FD" w:rsidRPr="0091795A" w:rsidRDefault="001177FD" w:rsidP="0091795A">
      <w:pPr>
        <w:pStyle w:val="Heading1"/>
        <w:rPr>
          <w:caps/>
        </w:rPr>
      </w:pPr>
      <w:bookmarkStart w:id="58" w:name="_Toc410331602"/>
      <w:bookmarkStart w:id="59" w:name="_Toc410331708"/>
      <w:bookmarkStart w:id="60" w:name="_Toc429570397"/>
      <w:bookmarkStart w:id="61" w:name="_Toc431546803"/>
      <w:bookmarkStart w:id="62" w:name="ProceduresfortheCollectionofInformation"/>
      <w:r w:rsidRPr="00141AA9">
        <w:t xml:space="preserve">Procedures </w:t>
      </w:r>
      <w:r w:rsidRPr="00DA5D5D">
        <w:t>for</w:t>
      </w:r>
      <w:r w:rsidRPr="00141AA9">
        <w:t xml:space="preserve"> the Collection of Information</w:t>
      </w:r>
      <w:bookmarkEnd w:id="58"/>
      <w:bookmarkEnd w:id="59"/>
      <w:bookmarkEnd w:id="60"/>
      <w:bookmarkEnd w:id="61"/>
    </w:p>
    <w:p w14:paraId="54C3D42D" w14:textId="77777777" w:rsidR="001177FD" w:rsidRDefault="001177FD" w:rsidP="0091795A">
      <w:pPr>
        <w:pStyle w:val="Heading2"/>
      </w:pPr>
      <w:bookmarkStart w:id="63" w:name="_Toc410331603"/>
      <w:bookmarkStart w:id="64" w:name="_Toc410331709"/>
      <w:bookmarkStart w:id="65" w:name="_Toc429570398"/>
      <w:bookmarkStart w:id="66" w:name="_Toc431546804"/>
      <w:bookmarkStart w:id="67" w:name="_Ref435092535"/>
      <w:bookmarkStart w:id="68" w:name="_Ref461535042"/>
      <w:bookmarkStart w:id="69" w:name="_Ref461535189"/>
      <w:bookmarkStart w:id="70" w:name="StatisticalMethodologyforStratification"/>
      <w:bookmarkEnd w:id="62"/>
      <w:r w:rsidRPr="00141AA9">
        <w:t>Statistical Methodology for Stratification</w:t>
      </w:r>
      <w:bookmarkEnd w:id="63"/>
      <w:bookmarkEnd w:id="64"/>
      <w:bookmarkEnd w:id="65"/>
      <w:bookmarkEnd w:id="66"/>
      <w:bookmarkEnd w:id="67"/>
      <w:bookmarkEnd w:id="68"/>
      <w:bookmarkEnd w:id="69"/>
    </w:p>
    <w:p w14:paraId="77AFB1FD" w14:textId="185F9289" w:rsidR="00AD62EE" w:rsidRPr="00AD62EE" w:rsidRDefault="00AD62EE" w:rsidP="00AD62EE">
      <w:pPr>
        <w:pStyle w:val="Heading3"/>
      </w:pPr>
      <w:bookmarkStart w:id="71" w:name="_Ref462847466"/>
      <w:r>
        <w:t>Survey</w:t>
      </w:r>
      <w:bookmarkEnd w:id="71"/>
    </w:p>
    <w:bookmarkEnd w:id="70"/>
    <w:p w14:paraId="2A4C297A" w14:textId="487A75E6" w:rsidR="001177FD" w:rsidRDefault="005813A9" w:rsidP="00503112">
      <w:pPr>
        <w:pStyle w:val="BodyTextFirstIndent"/>
      </w:pPr>
      <w:r>
        <w:t>T</w:t>
      </w:r>
      <w:r w:rsidR="001177FD">
        <w:t>he survey will target all</w:t>
      </w:r>
      <w:r w:rsidR="0050573B">
        <w:t xml:space="preserve"> beneficiaries in Groups 1 and 3</w:t>
      </w:r>
      <w:r w:rsidR="001177FD">
        <w:t xml:space="preserve">. Hence, sample stratification is not relevant for </w:t>
      </w:r>
      <w:r w:rsidR="000742EB">
        <w:t>G</w:t>
      </w:r>
      <w:r>
        <w:t>roups 1 and 3</w:t>
      </w:r>
      <w:r w:rsidR="001177FD">
        <w:t xml:space="preserve">. </w:t>
      </w:r>
      <w:r>
        <w:t xml:space="preserve">A statistical method for stratification will be used for </w:t>
      </w:r>
      <w:r w:rsidR="0050573B">
        <w:t>Group 2</w:t>
      </w:r>
      <w:r>
        <w:t xml:space="preserve"> based on geographical regions.</w:t>
      </w:r>
    </w:p>
    <w:p w14:paraId="46DFFCD2" w14:textId="1EBC28A4" w:rsidR="001177FD" w:rsidRDefault="00CF3597" w:rsidP="0091795A">
      <w:pPr>
        <w:pStyle w:val="BodyTextFirstIndent"/>
      </w:pPr>
      <w:r>
        <w:t>W</w:t>
      </w:r>
      <w:r w:rsidR="001177FD" w:rsidRPr="00A52F73">
        <w:t xml:space="preserve">e </w:t>
      </w:r>
      <w:r>
        <w:t>will</w:t>
      </w:r>
      <w:r w:rsidR="001177FD" w:rsidRPr="00A52F73">
        <w:t xml:space="preserve"> conduct </w:t>
      </w:r>
      <w:r>
        <w:t xml:space="preserve">proportional </w:t>
      </w:r>
      <w:r w:rsidR="001177FD" w:rsidRPr="0091795A">
        <w:t xml:space="preserve">stratified random sampling among the ten </w:t>
      </w:r>
      <w:r w:rsidR="005813A9">
        <w:t>Health and Human Services (</w:t>
      </w:r>
      <w:r w:rsidR="001177FD" w:rsidRPr="0091795A">
        <w:t>HHS</w:t>
      </w:r>
      <w:r w:rsidR="005813A9">
        <w:t>)</w:t>
      </w:r>
      <w:r w:rsidR="001177FD" w:rsidRPr="0091795A">
        <w:t xml:space="preserve"> regions</w:t>
      </w:r>
      <w:r w:rsidR="001177FD" w:rsidRPr="00A52F73">
        <w:t xml:space="preserve"> </w:t>
      </w:r>
      <w:r w:rsidR="001177FD">
        <w:t xml:space="preserve">where </w:t>
      </w:r>
      <w:r w:rsidR="001177FD" w:rsidRPr="00A52F73">
        <w:t xml:space="preserve">beneficiaries </w:t>
      </w:r>
      <w:r w:rsidR="001177FD">
        <w:t>with PIDD reside.</w:t>
      </w:r>
      <w:r w:rsidR="001177FD" w:rsidRPr="00A52F73" w:rsidDel="004D2659">
        <w:t xml:space="preserve"> </w:t>
      </w:r>
    </w:p>
    <w:p w14:paraId="19F2D36A" w14:textId="77777777" w:rsidR="001177FD" w:rsidRPr="00806FF5" w:rsidRDefault="001177FD" w:rsidP="0091795A">
      <w:pPr>
        <w:pStyle w:val="ListBullet"/>
      </w:pPr>
      <w:r w:rsidRPr="00503112">
        <w:t>Region</w:t>
      </w:r>
      <w:r w:rsidRPr="00806FF5">
        <w:t xml:space="preserve"> I: Connecticut, Maine, Massachusetts, New Hampshire, Rhode Island, Vermont</w:t>
      </w:r>
    </w:p>
    <w:p w14:paraId="13A55C28" w14:textId="77777777" w:rsidR="001177FD" w:rsidRPr="00806FF5" w:rsidRDefault="001177FD" w:rsidP="0091795A">
      <w:pPr>
        <w:pStyle w:val="ListBullet"/>
      </w:pPr>
      <w:r w:rsidRPr="00806FF5">
        <w:lastRenderedPageBreak/>
        <w:t>Region II: New Jersey, New York, Puerto Rico, Virgin Islands</w:t>
      </w:r>
    </w:p>
    <w:p w14:paraId="49CD2B6B" w14:textId="77777777" w:rsidR="001177FD" w:rsidRPr="00806FF5" w:rsidRDefault="001177FD" w:rsidP="0091795A">
      <w:pPr>
        <w:pStyle w:val="ListBullet"/>
      </w:pPr>
      <w:r w:rsidRPr="00806FF5">
        <w:t>Region III: Delaware, District of Columbia, Maryland, Pennsylvania, Virginia, West Virginia</w:t>
      </w:r>
    </w:p>
    <w:p w14:paraId="5F078D3F" w14:textId="77777777" w:rsidR="001177FD" w:rsidRPr="00806FF5" w:rsidRDefault="001177FD" w:rsidP="0091795A">
      <w:pPr>
        <w:pStyle w:val="ListBullet"/>
      </w:pPr>
      <w:r w:rsidRPr="00806FF5">
        <w:t>Region IV: Alabama, Florida, Georgia, Kentucky, Mississippi, North Carolina, South Carolina, Tennessee</w:t>
      </w:r>
    </w:p>
    <w:p w14:paraId="3FC2A0E0" w14:textId="77777777" w:rsidR="001177FD" w:rsidRPr="00806FF5" w:rsidRDefault="001177FD" w:rsidP="0091795A">
      <w:pPr>
        <w:pStyle w:val="ListBullet"/>
      </w:pPr>
      <w:r w:rsidRPr="00806FF5">
        <w:t>Region V: Illinois, Indiana, Michigan, Minnesota, Ohio, Wisconsin</w:t>
      </w:r>
    </w:p>
    <w:p w14:paraId="28A275F0" w14:textId="77777777" w:rsidR="001177FD" w:rsidRPr="00806FF5" w:rsidRDefault="001177FD" w:rsidP="0091795A">
      <w:pPr>
        <w:pStyle w:val="ListBullet"/>
      </w:pPr>
      <w:r w:rsidRPr="00806FF5">
        <w:t>Region VI: Arkansas, Louisiana, New Mexico, Oklahoma, Texas</w:t>
      </w:r>
    </w:p>
    <w:p w14:paraId="7B933361" w14:textId="77777777" w:rsidR="001177FD" w:rsidRPr="00806FF5" w:rsidRDefault="001177FD" w:rsidP="0091795A">
      <w:pPr>
        <w:pStyle w:val="ListBullet"/>
      </w:pPr>
      <w:r w:rsidRPr="00806FF5">
        <w:t>Region VII: Iowa, Kansas, Missouri, Nebraska</w:t>
      </w:r>
    </w:p>
    <w:p w14:paraId="5926FD1C" w14:textId="77777777" w:rsidR="001177FD" w:rsidRPr="00806FF5" w:rsidRDefault="001177FD" w:rsidP="0091795A">
      <w:pPr>
        <w:pStyle w:val="ListBullet"/>
      </w:pPr>
      <w:r w:rsidRPr="00806FF5">
        <w:t>Region VIII: Colorado, Montana, North Dakota, South Dakota, Utah, Wyoming</w:t>
      </w:r>
    </w:p>
    <w:p w14:paraId="47C8F22A" w14:textId="77777777" w:rsidR="001177FD" w:rsidRPr="00806FF5" w:rsidRDefault="001177FD" w:rsidP="0091795A">
      <w:pPr>
        <w:pStyle w:val="ListBullet"/>
      </w:pPr>
      <w:r w:rsidRPr="00806FF5">
        <w:t>Region IX: Arizona, California, Hawaii, Nevada (American Samoa, Guam, Northern Mariana Islands, Trust Territory of the Pacific Islands)</w:t>
      </w:r>
    </w:p>
    <w:p w14:paraId="02FF0AAE" w14:textId="77777777" w:rsidR="001177FD" w:rsidRDefault="001177FD" w:rsidP="0091795A">
      <w:pPr>
        <w:pStyle w:val="ListBullet"/>
      </w:pPr>
      <w:r w:rsidRPr="00806FF5">
        <w:t>Regio</w:t>
      </w:r>
      <w:r>
        <w:t>n X: Alaska, Idaho, Oregon, Washington</w:t>
      </w:r>
    </w:p>
    <w:p w14:paraId="0D496B63" w14:textId="57D11BFA" w:rsidR="001177FD" w:rsidRDefault="001177FD" w:rsidP="0091795A">
      <w:pPr>
        <w:pStyle w:val="BodyTextFirstIndent"/>
      </w:pPr>
      <w:r>
        <w:t xml:space="preserve">The design reflects simple proportionate sampling </w:t>
      </w:r>
      <w:r w:rsidR="000742EB">
        <w:t xml:space="preserve">such that the </w:t>
      </w:r>
      <w:r w:rsidR="00CF3597">
        <w:t xml:space="preserve">sample </w:t>
      </w:r>
      <w:r w:rsidR="0050573B">
        <w:t>size of each Group 2</w:t>
      </w:r>
      <w:r>
        <w:t xml:space="preserve"> </w:t>
      </w:r>
      <w:r w:rsidR="00CF3597">
        <w:t xml:space="preserve">geographic region </w:t>
      </w:r>
      <w:r>
        <w:t xml:space="preserve">stratum </w:t>
      </w:r>
      <w:r w:rsidR="000742EB">
        <w:t xml:space="preserve">is proportional to the size of the universe </w:t>
      </w:r>
      <w:r w:rsidR="002C4FF6">
        <w:t xml:space="preserve">for that stratum. In other words, if a given geographic region stratum contains 20 percent of all unenrolled beneficiaries (Group 2) in the study universe, the sample size for that stratum will account for 20 percent of our overall sample size for Group 2. </w:t>
      </w:r>
      <w:r w:rsidR="00CF3597">
        <w:t xml:space="preserve">We will combine </w:t>
      </w:r>
      <w:r w:rsidR="002C4FF6">
        <w:t xml:space="preserve">those geographic </w:t>
      </w:r>
      <w:r w:rsidR="00CF3597">
        <w:t xml:space="preserve">regions </w:t>
      </w:r>
      <w:r w:rsidR="002C4FF6">
        <w:t xml:space="preserve">in which </w:t>
      </w:r>
      <w:r>
        <w:t xml:space="preserve">there </w:t>
      </w:r>
      <w:r w:rsidR="002B3409">
        <w:t>is</w:t>
      </w:r>
      <w:r>
        <w:t xml:space="preserve"> a</w:t>
      </w:r>
      <w:r w:rsidR="0050573B">
        <w:t>n insufficient number of Group 2</w:t>
      </w:r>
      <w:r>
        <w:t xml:space="preserve"> beneficiaries</w:t>
      </w:r>
      <w:r w:rsidR="00CF3597">
        <w:t>.</w:t>
      </w:r>
      <w:r>
        <w:t xml:space="preserve"> </w:t>
      </w:r>
    </w:p>
    <w:p w14:paraId="54A974F4" w14:textId="48FEC840" w:rsidR="001177FD" w:rsidRDefault="001177FD" w:rsidP="0091795A">
      <w:pPr>
        <w:pStyle w:val="BodyTextFirstIndent"/>
      </w:pPr>
      <w:r>
        <w:t xml:space="preserve">Assuming a response rate of 40 percent and a statistical precision target of +/- 4 percent margin of error at 95 percent confidence level, we will use stratified random sampling </w:t>
      </w:r>
      <w:r w:rsidR="00CD6195">
        <w:t xml:space="preserve">by geographic region </w:t>
      </w:r>
      <w:r>
        <w:t xml:space="preserve">to select 1,403 </w:t>
      </w:r>
      <w:r w:rsidRPr="002B4FD1">
        <w:t>beneficiaries</w:t>
      </w:r>
      <w:r w:rsidR="0050573B">
        <w:t xml:space="preserve"> </w:t>
      </w:r>
      <w:r w:rsidR="00CF3597">
        <w:t xml:space="preserve">for </w:t>
      </w:r>
      <w:r w:rsidR="0050573B">
        <w:t>Group 2</w:t>
      </w:r>
      <w:r>
        <w:t>.</w:t>
      </w:r>
    </w:p>
    <w:p w14:paraId="03F8AA1F" w14:textId="77777777" w:rsidR="00AD62EE" w:rsidRDefault="00AD62EE" w:rsidP="00AD62EE">
      <w:pPr>
        <w:pStyle w:val="Heading3"/>
      </w:pPr>
      <w:r>
        <w:t>Interviews</w:t>
      </w:r>
    </w:p>
    <w:p w14:paraId="75A32A9F" w14:textId="77777777" w:rsidR="00AD62EE" w:rsidRPr="004C1A97" w:rsidRDefault="000B7A24" w:rsidP="00AD62EE">
      <w:pPr>
        <w:pStyle w:val="BodyTextFirstIndent"/>
      </w:pPr>
      <w:r w:rsidRPr="000B7A24">
        <w:t>No statistical methodology for stratification nor sample selection</w:t>
      </w:r>
      <w:r>
        <w:t xml:space="preserve"> </w:t>
      </w:r>
      <w:r w:rsidRPr="000B7A24">
        <w:t>will be used</w:t>
      </w:r>
      <w:r>
        <w:t>.</w:t>
      </w:r>
    </w:p>
    <w:p w14:paraId="0FA6FAEB" w14:textId="77777777" w:rsidR="001177FD" w:rsidRDefault="001177FD" w:rsidP="0091795A">
      <w:pPr>
        <w:pStyle w:val="Heading2"/>
      </w:pPr>
      <w:bookmarkStart w:id="72" w:name="_Toc410331604"/>
      <w:bookmarkStart w:id="73" w:name="_Toc410331710"/>
      <w:bookmarkStart w:id="74" w:name="_Toc429570399"/>
      <w:bookmarkStart w:id="75" w:name="_Toc431546805"/>
      <w:bookmarkStart w:id="76" w:name="_Ref461535023"/>
      <w:bookmarkStart w:id="77" w:name="StatisticalMethodologyforSampleSelection"/>
      <w:r w:rsidRPr="00141AA9">
        <w:t>Statistical Methodology for Sample Selection</w:t>
      </w:r>
      <w:bookmarkEnd w:id="72"/>
      <w:bookmarkEnd w:id="73"/>
      <w:bookmarkEnd w:id="74"/>
      <w:bookmarkEnd w:id="75"/>
      <w:bookmarkEnd w:id="76"/>
    </w:p>
    <w:p w14:paraId="13F4C53E" w14:textId="4FC3A161" w:rsidR="00AD62EE" w:rsidRPr="00AD62EE" w:rsidRDefault="00AD62EE" w:rsidP="00AD62EE">
      <w:pPr>
        <w:pStyle w:val="Heading3"/>
      </w:pPr>
      <w:r>
        <w:t>Survey</w:t>
      </w:r>
    </w:p>
    <w:bookmarkEnd w:id="77"/>
    <w:p w14:paraId="303F9405" w14:textId="1F12EF37" w:rsidR="001177FD" w:rsidRDefault="00CF3597" w:rsidP="0091795A">
      <w:pPr>
        <w:pStyle w:val="BodyTextFirstIndent"/>
      </w:pPr>
      <w:r>
        <w:t>T</w:t>
      </w:r>
      <w:r w:rsidR="001177FD">
        <w:t>he survey will target all</w:t>
      </w:r>
      <w:r w:rsidR="0050573B">
        <w:t xml:space="preserve"> beneficiaries in Groups 1 and 3</w:t>
      </w:r>
      <w:r w:rsidR="001177FD">
        <w:t>. Hence, sample selection considerations are not relevant for these populations.</w:t>
      </w:r>
    </w:p>
    <w:p w14:paraId="121E5C03" w14:textId="6B4E84F2" w:rsidR="001177FD" w:rsidRDefault="001177FD" w:rsidP="0091795A">
      <w:pPr>
        <w:pStyle w:val="BodyTextFirstIndent"/>
      </w:pPr>
      <w:r w:rsidRPr="00060BF4">
        <w:t xml:space="preserve">The </w:t>
      </w:r>
      <w:r w:rsidR="0050573B">
        <w:t>statistical method for selecting Group 2</w:t>
      </w:r>
      <w:r>
        <w:t xml:space="preserve"> </w:t>
      </w:r>
      <w:r w:rsidRPr="00060BF4">
        <w:t xml:space="preserve">beneficiaries within each </w:t>
      </w:r>
      <w:r w:rsidR="00CF3597">
        <w:t xml:space="preserve">geographic region </w:t>
      </w:r>
      <w:r w:rsidRPr="00060BF4">
        <w:t xml:space="preserve">stratum will </w:t>
      </w:r>
      <w:r w:rsidR="0050573B">
        <w:t xml:space="preserve">involve </w:t>
      </w:r>
      <w:r w:rsidRPr="00060BF4">
        <w:t xml:space="preserve">assigning each beneficiary a random index number, using a random number generator. The beneficiaries in each stratum will then be arranged in ascending order according to their random index number. If </w:t>
      </w:r>
      <w:r w:rsidRPr="00677B54">
        <w:rPr>
          <w:i/>
        </w:rPr>
        <w:t>S</w:t>
      </w:r>
      <w:r>
        <w:rPr>
          <w:i/>
          <w:vertAlign w:val="subscript"/>
        </w:rPr>
        <w:t>j</w:t>
      </w:r>
      <w:r w:rsidRPr="00060BF4">
        <w:t xml:space="preserve"> is the size of the solicited sample in the </w:t>
      </w:r>
      <w:r>
        <w:rPr>
          <w:i/>
        </w:rPr>
        <w:t>j</w:t>
      </w:r>
      <w:r w:rsidRPr="00034BAA">
        <w:rPr>
          <w:i/>
          <w:vertAlign w:val="superscript"/>
        </w:rPr>
        <w:t>th</w:t>
      </w:r>
      <w:r w:rsidRPr="00034BAA">
        <w:rPr>
          <w:vertAlign w:val="superscript"/>
        </w:rPr>
        <w:t xml:space="preserve"> </w:t>
      </w:r>
      <w:r>
        <w:t>stratum</w:t>
      </w:r>
      <w:r w:rsidRPr="00060BF4">
        <w:t xml:space="preserve">, then those </w:t>
      </w:r>
      <w:r w:rsidRPr="001F2284">
        <w:rPr>
          <w:i/>
        </w:rPr>
        <w:t>S</w:t>
      </w:r>
      <w:r>
        <w:rPr>
          <w:i/>
          <w:vertAlign w:val="subscript"/>
        </w:rPr>
        <w:t>j</w:t>
      </w:r>
      <w:r w:rsidRPr="001F2284">
        <w:rPr>
          <w:i/>
        </w:rPr>
        <w:t xml:space="preserve"> </w:t>
      </w:r>
      <w:r w:rsidRPr="00060BF4">
        <w:t>beneficiaries with the smallest index numbers will be selected and included in the sample.</w:t>
      </w:r>
    </w:p>
    <w:p w14:paraId="31BC8A8D" w14:textId="77777777" w:rsidR="00AD62EE" w:rsidRDefault="00AD62EE" w:rsidP="00AD62EE">
      <w:pPr>
        <w:pStyle w:val="Heading3"/>
      </w:pPr>
      <w:r>
        <w:t>Interviews</w:t>
      </w:r>
    </w:p>
    <w:p w14:paraId="291C0430" w14:textId="77777777" w:rsidR="00AD62EE" w:rsidRPr="004C1A97" w:rsidRDefault="000B7A24" w:rsidP="00AD62EE">
      <w:pPr>
        <w:pStyle w:val="BodyTextFirstIndent"/>
      </w:pPr>
      <w:r w:rsidRPr="000B7A24">
        <w:t>No statistical methodology will</w:t>
      </w:r>
      <w:r w:rsidR="00C66F58">
        <w:t xml:space="preserve"> be</w:t>
      </w:r>
      <w:r w:rsidRPr="000B7A24">
        <w:t xml:space="preserve"> used for the sample selection for the interviews.</w:t>
      </w:r>
    </w:p>
    <w:p w14:paraId="32D96B6C" w14:textId="77777777" w:rsidR="001177FD" w:rsidRPr="00141AA9" w:rsidRDefault="001177FD" w:rsidP="0091795A">
      <w:pPr>
        <w:pStyle w:val="Heading2"/>
      </w:pPr>
      <w:bookmarkStart w:id="78" w:name="_Toc410331605"/>
      <w:bookmarkStart w:id="79" w:name="_Toc410331711"/>
      <w:bookmarkStart w:id="80" w:name="_Toc429570400"/>
      <w:bookmarkStart w:id="81" w:name="_Toc431546806"/>
      <w:bookmarkStart w:id="82" w:name="EstimationProcedure"/>
      <w:r w:rsidRPr="00816839">
        <w:lastRenderedPageBreak/>
        <w:t>Estimation</w:t>
      </w:r>
      <w:r w:rsidRPr="00141AA9">
        <w:t xml:space="preserve"> Procedure</w:t>
      </w:r>
      <w:bookmarkEnd w:id="78"/>
      <w:bookmarkEnd w:id="79"/>
      <w:bookmarkEnd w:id="80"/>
      <w:bookmarkEnd w:id="81"/>
    </w:p>
    <w:p w14:paraId="59FADABC" w14:textId="77777777" w:rsidR="001177FD" w:rsidRDefault="001177FD" w:rsidP="0091795A">
      <w:pPr>
        <w:pStyle w:val="Heading3"/>
        <w:keepLines/>
        <w:spacing w:line="276" w:lineRule="auto"/>
      </w:pPr>
      <w:bookmarkStart w:id="83" w:name="_Toc409601349"/>
      <w:bookmarkStart w:id="84" w:name="_Toc410331606"/>
      <w:bookmarkStart w:id="85" w:name="_Toc410331712"/>
      <w:bookmarkStart w:id="86" w:name="_Toc429570401"/>
      <w:bookmarkStart w:id="87" w:name="_Toc431546807"/>
      <w:bookmarkStart w:id="88" w:name="AnalyticMethods"/>
      <w:bookmarkEnd w:id="82"/>
      <w:r w:rsidRPr="00141AA9">
        <w:t>Analytic Methods</w:t>
      </w:r>
      <w:bookmarkEnd w:id="83"/>
      <w:bookmarkEnd w:id="84"/>
      <w:bookmarkEnd w:id="85"/>
      <w:bookmarkEnd w:id="86"/>
      <w:bookmarkEnd w:id="87"/>
    </w:p>
    <w:p w14:paraId="07A64999" w14:textId="77777777" w:rsidR="00AD62EE" w:rsidRPr="00AD62EE" w:rsidRDefault="00AD62EE" w:rsidP="00AD62EE">
      <w:pPr>
        <w:pStyle w:val="Heading4"/>
      </w:pPr>
      <w:r>
        <w:t>Survey</w:t>
      </w:r>
    </w:p>
    <w:bookmarkEnd w:id="88"/>
    <w:p w14:paraId="11622A42" w14:textId="77777777" w:rsidR="001177FD" w:rsidRDefault="001177FD" w:rsidP="0091795A">
      <w:pPr>
        <w:pStyle w:val="BodyTextFirstIndent"/>
      </w:pPr>
      <w:r>
        <w:t>Survey data will be collected and maintained using an online survey system (Qualtrics). Final survey data will be downloaded in comma-delimited format for data cleaning and analysis. We will perform data cleaning and descriptive analysis in SAS v.9, and text analysis (for those questions that require verbatim responses) in MS Excel.</w:t>
      </w:r>
      <w:r>
        <w:rPr>
          <w:rStyle w:val="FootnoteReference"/>
        </w:rPr>
        <w:footnoteReference w:id="5"/>
      </w:r>
    </w:p>
    <w:p w14:paraId="7DFBD7E0" w14:textId="36F29558" w:rsidR="001177FD" w:rsidRDefault="001177FD" w:rsidP="0091795A">
      <w:pPr>
        <w:pStyle w:val="BodyTextFirstIndent"/>
      </w:pPr>
      <w:r>
        <w:t>Using the survey algorithms in SAS v.9 (e.g., PROC SURVEYFREQ, PROC SURVEYMEANS, etc.), the data analysis to be conducted will involve:</w:t>
      </w:r>
    </w:p>
    <w:p w14:paraId="7373C33F" w14:textId="3E4F3B90" w:rsidR="00B03332" w:rsidRDefault="00B03332" w:rsidP="00B03332">
      <w:pPr>
        <w:pStyle w:val="ListBullet"/>
      </w:pPr>
      <w:r>
        <w:t>A non-response bias analysis using variables such as age, gender, HHS region, and dual eligibility status</w:t>
      </w:r>
      <w:r w:rsidR="00CF3597">
        <w:t xml:space="preserve"> </w:t>
      </w:r>
      <w:r>
        <w:t xml:space="preserve">to </w:t>
      </w:r>
      <w:r w:rsidR="00462631">
        <w:t xml:space="preserve">assess any </w:t>
      </w:r>
      <w:r>
        <w:t>non-response bias</w:t>
      </w:r>
      <w:r w:rsidR="00651350">
        <w:t xml:space="preserve"> (i.e., whether </w:t>
      </w:r>
      <w:r w:rsidR="00462631">
        <w:t xml:space="preserve">and how </w:t>
      </w:r>
      <w:r w:rsidR="00651350">
        <w:t>the non-respondents are di</w:t>
      </w:r>
      <w:r w:rsidR="000C6AE3">
        <w:t xml:space="preserve">fferent than </w:t>
      </w:r>
      <w:r w:rsidR="00462631">
        <w:t xml:space="preserve">the </w:t>
      </w:r>
      <w:r w:rsidR="000C6AE3">
        <w:t>respondents)</w:t>
      </w:r>
      <w:r w:rsidR="009D004A">
        <w:t>.</w:t>
      </w:r>
    </w:p>
    <w:p w14:paraId="5AFDF881" w14:textId="00ACE2B3" w:rsidR="00651350" w:rsidRDefault="006131AE" w:rsidP="00B03332">
      <w:pPr>
        <w:pStyle w:val="ListBullet"/>
      </w:pPr>
      <w:r>
        <w:t>For each respondent, c</w:t>
      </w:r>
      <w:r w:rsidR="001177FD">
        <w:t xml:space="preserve">omputation </w:t>
      </w:r>
      <w:r w:rsidR="00651350">
        <w:t>of:</w:t>
      </w:r>
      <w:r w:rsidR="001177FD">
        <w:t xml:space="preserve"> </w:t>
      </w:r>
    </w:p>
    <w:p w14:paraId="4E1D9281" w14:textId="0706DBFD" w:rsidR="00651350" w:rsidRDefault="00056C8E" w:rsidP="00651350">
      <w:pPr>
        <w:pStyle w:val="ListBullet2"/>
      </w:pPr>
      <w:r>
        <w:t xml:space="preserve">Simple weights </w:t>
      </w:r>
      <w:r w:rsidR="006131AE">
        <w:t xml:space="preserve">which are </w:t>
      </w:r>
      <w:r w:rsidR="001177FD" w:rsidRPr="00E10EDF">
        <w:t>the inverse of the selection probabil</w:t>
      </w:r>
      <w:r w:rsidR="00651350">
        <w:t xml:space="preserve">ity </w:t>
      </w:r>
      <w:r w:rsidR="001177FD" w:rsidRPr="00E10EDF">
        <w:t>multiplied by the probability of response</w:t>
      </w:r>
      <w:r w:rsidR="00651350">
        <w:t xml:space="preserve"> in the absence of non-response bias, or </w:t>
      </w:r>
    </w:p>
    <w:p w14:paraId="4195AB87" w14:textId="2779BE45" w:rsidR="001177FD" w:rsidRDefault="00651350" w:rsidP="0091795A">
      <w:pPr>
        <w:pStyle w:val="ListBullet2"/>
      </w:pPr>
      <w:r>
        <w:t>A</w:t>
      </w:r>
      <w:r w:rsidR="001177FD">
        <w:t xml:space="preserve">djusted </w:t>
      </w:r>
      <w:r w:rsidR="00056C8E">
        <w:t xml:space="preserve">weights that account for </w:t>
      </w:r>
      <w:r w:rsidR="001177FD">
        <w:t xml:space="preserve">non-response </w:t>
      </w:r>
      <w:r w:rsidR="004D6351">
        <w:t xml:space="preserve">bias </w:t>
      </w:r>
      <w:r>
        <w:t xml:space="preserve">using </w:t>
      </w:r>
      <w:r w:rsidR="00462631">
        <w:t xml:space="preserve">the </w:t>
      </w:r>
      <w:r>
        <w:t xml:space="preserve">variables age, gender, HHS region, and dual eligibility status, if determined to influence response </w:t>
      </w:r>
      <w:r w:rsidR="00462631">
        <w:t xml:space="preserve">based on the findings of </w:t>
      </w:r>
      <w:r>
        <w:t>the non-response bias analysis</w:t>
      </w:r>
      <w:r w:rsidR="002B3409">
        <w:t>.</w:t>
      </w:r>
    </w:p>
    <w:p w14:paraId="25E23D53" w14:textId="33DD913A" w:rsidR="001177FD" w:rsidRDefault="001177FD" w:rsidP="0091795A">
      <w:pPr>
        <w:pStyle w:val="ListBullet"/>
      </w:pPr>
      <w:r>
        <w:t xml:space="preserve">Tabulating weighted proportions and corresponding standard errors for each survey question </w:t>
      </w:r>
      <w:r w:rsidR="006131AE">
        <w:t xml:space="preserve">in </w:t>
      </w:r>
      <w:r>
        <w:t>group</w:t>
      </w:r>
      <w:r w:rsidR="006131AE">
        <w:t>s</w:t>
      </w:r>
      <w:r>
        <w:t xml:space="preserve"> </w:t>
      </w:r>
      <w:r w:rsidR="006131AE">
        <w:t xml:space="preserve">1, 2, and 3 </w:t>
      </w:r>
      <w:r>
        <w:t xml:space="preserve">(e.g., weighted proportion of respondents who </w:t>
      </w:r>
      <w:r w:rsidR="00462631">
        <w:t xml:space="preserve">responded </w:t>
      </w:r>
      <w:r>
        <w:t xml:space="preserve">“Yes,” “No,” or “Don’t Know” </w:t>
      </w:r>
      <w:r w:rsidR="00462631">
        <w:t xml:space="preserve">for </w:t>
      </w:r>
      <w:r w:rsidR="006131AE">
        <w:t xml:space="preserve">a given </w:t>
      </w:r>
      <w:r>
        <w:t xml:space="preserve">survey </w:t>
      </w:r>
      <w:r w:rsidR="00C4045C">
        <w:t>item</w:t>
      </w:r>
      <w:r w:rsidR="00462631">
        <w:t>)</w:t>
      </w:r>
      <w:r w:rsidR="002B3409">
        <w:t>.</w:t>
      </w:r>
    </w:p>
    <w:p w14:paraId="7357667A" w14:textId="58539CCA" w:rsidR="001177FD" w:rsidRDefault="00C4045C" w:rsidP="00B03332">
      <w:pPr>
        <w:pStyle w:val="ListBullet"/>
      </w:pPr>
      <w:r>
        <w:t>T</w:t>
      </w:r>
      <w:r w:rsidR="001177FD">
        <w:t xml:space="preserve">esting to see if there are statistically significant differences in responses to each survey </w:t>
      </w:r>
      <w:r>
        <w:t>item</w:t>
      </w:r>
      <w:r w:rsidR="006131AE">
        <w:t xml:space="preserve"> among </w:t>
      </w:r>
      <w:r w:rsidR="001177FD">
        <w:t>groups</w:t>
      </w:r>
      <w:r w:rsidR="0038536D">
        <w:t xml:space="preserve"> 1, 2 and 3</w:t>
      </w:r>
      <w:r w:rsidR="001177FD">
        <w:t>.</w:t>
      </w:r>
    </w:p>
    <w:p w14:paraId="7B03418A" w14:textId="77777777" w:rsidR="00AD62EE" w:rsidRDefault="00AD62EE" w:rsidP="00AD62EE">
      <w:pPr>
        <w:pStyle w:val="Heading4"/>
      </w:pPr>
      <w:r>
        <w:t>Interviews</w:t>
      </w:r>
    </w:p>
    <w:p w14:paraId="46F648A3" w14:textId="5B06EA44" w:rsidR="00AD62EE" w:rsidRPr="004C1A97" w:rsidRDefault="00E60770" w:rsidP="0091795A">
      <w:pPr>
        <w:pStyle w:val="BodyTextFirstIndent"/>
      </w:pPr>
      <w:r>
        <w:t>I</w:t>
      </w:r>
      <w:r w:rsidRPr="00A55F4C">
        <w:t>nterview</w:t>
      </w:r>
      <w:r>
        <w:t>s</w:t>
      </w:r>
      <w:r w:rsidRPr="00A55F4C">
        <w:t xml:space="preserve"> will be conducted </w:t>
      </w:r>
      <w:r>
        <w:t>by</w:t>
      </w:r>
      <w:r w:rsidRPr="00A55F4C">
        <w:t xml:space="preserve"> telephone</w:t>
      </w:r>
      <w:r>
        <w:t xml:space="preserve"> and</w:t>
      </w:r>
      <w:r w:rsidRPr="00A55F4C">
        <w:t xml:space="preserve"> digitally audio-recorded with the permission of the </w:t>
      </w:r>
      <w:r>
        <w:t>interviewee. Interviews will be conducted by an experienced facilitator and a note-taker to capture responses should the interviewee decline to be audio-taped. Audio-recordings will be transcribed and de-identified. W</w:t>
      </w:r>
      <w:r w:rsidR="000B7A24" w:rsidRPr="000B7A24">
        <w:t xml:space="preserve">e have developed a preliminary coding structure based on previous literature, patient surveys, and pilot tests of the interviews including conceptual, participant, relationship, and setting codes </w:t>
      </w:r>
      <w:sdt>
        <w:sdtPr>
          <w:id w:val="1848824410"/>
          <w:citation/>
        </w:sdtPr>
        <w:sdtEndPr/>
        <w:sdtContent>
          <w:r w:rsidR="0060188B">
            <w:fldChar w:fldCharType="begin"/>
          </w:r>
          <w:r w:rsidR="00356667">
            <w:instrText xml:space="preserve"> CITATION Bra07 \l 1033 </w:instrText>
          </w:r>
          <w:r w:rsidR="0060188B">
            <w:fldChar w:fldCharType="separate"/>
          </w:r>
          <w:r w:rsidR="00464D9D">
            <w:rPr>
              <w:noProof/>
            </w:rPr>
            <w:t>(Bradley, et al., 2007)</w:t>
          </w:r>
          <w:r w:rsidR="0060188B">
            <w:fldChar w:fldCharType="end"/>
          </w:r>
        </w:sdtContent>
      </w:sdt>
      <w:r w:rsidR="000B7A24" w:rsidRPr="000B7A24">
        <w:t>. Following the transcription of interviews, we will update our coding structure to reflect information collected during the interviews. Content and thematic analyses will be used to identify key findings and to make comparisons across interviewees’ responses. Our team will use NVivo, a computer software package, for qualitative data management and analysis. NVivo qualitative software allows our researchers to examine all of the text that is presented in the transcripts, to identify excerpts that contain content meaningful to the research questions, and – finally – to apply any number of appropriate code(s) to the excerpt. The themes uncovered via excerpting and coding become the framework that we use to understand how all themes and concepts are related to each other and to the overarching evaluation objectives.</w:t>
      </w:r>
    </w:p>
    <w:p w14:paraId="714D78A4" w14:textId="77777777" w:rsidR="001177FD" w:rsidRPr="001D254D" w:rsidRDefault="001177FD" w:rsidP="0091795A">
      <w:pPr>
        <w:pStyle w:val="Heading3"/>
        <w:keepLines/>
        <w:spacing w:line="276" w:lineRule="auto"/>
      </w:pPr>
      <w:bookmarkStart w:id="89" w:name="_Toc402798851"/>
      <w:bookmarkStart w:id="90" w:name="_Toc409601350"/>
      <w:bookmarkStart w:id="91" w:name="_Toc410331607"/>
      <w:bookmarkStart w:id="92" w:name="_Toc410331713"/>
      <w:bookmarkStart w:id="93" w:name="_Toc429570402"/>
      <w:bookmarkStart w:id="94" w:name="_Toc431546808"/>
      <w:bookmarkStart w:id="95" w:name="_Ref435093941"/>
      <w:bookmarkStart w:id="96" w:name="_Ref461535335"/>
      <w:bookmarkStart w:id="97" w:name="SimpleWeights"/>
      <w:r w:rsidRPr="001D254D">
        <w:lastRenderedPageBreak/>
        <w:t>Simple Weights</w:t>
      </w:r>
      <w:bookmarkEnd w:id="89"/>
      <w:bookmarkEnd w:id="90"/>
      <w:bookmarkEnd w:id="91"/>
      <w:bookmarkEnd w:id="92"/>
      <w:bookmarkEnd w:id="93"/>
      <w:bookmarkEnd w:id="94"/>
      <w:bookmarkEnd w:id="95"/>
      <w:bookmarkEnd w:id="96"/>
    </w:p>
    <w:p w14:paraId="441A2D34" w14:textId="77777777" w:rsidR="00AD62EE" w:rsidRDefault="00AD62EE" w:rsidP="00AD62EE">
      <w:pPr>
        <w:pStyle w:val="Heading4"/>
      </w:pPr>
      <w:bookmarkStart w:id="98" w:name="_Ref462847547"/>
      <w:bookmarkEnd w:id="97"/>
      <w:r>
        <w:t>Survey</w:t>
      </w:r>
      <w:bookmarkEnd w:id="98"/>
    </w:p>
    <w:p w14:paraId="3B450705" w14:textId="7A166ED3" w:rsidR="001177FD" w:rsidRPr="001241AE" w:rsidRDefault="001177FD" w:rsidP="0091795A">
      <w:pPr>
        <w:pStyle w:val="BodyTextFirstIndent"/>
      </w:pPr>
      <w:r>
        <w:t>Each respondent to the survey</w:t>
      </w:r>
      <w:r w:rsidRPr="00AB50C2">
        <w:t xml:space="preserve"> </w:t>
      </w:r>
      <w:r>
        <w:t>will be</w:t>
      </w:r>
      <w:r w:rsidRPr="00AB50C2">
        <w:t xml:space="preserve"> assigned a weight based on the inverse of the selection probabilit</w:t>
      </w:r>
      <w:r>
        <w:t>y</w:t>
      </w:r>
      <w:r w:rsidRPr="00AB50C2">
        <w:t xml:space="preserve"> of the</w:t>
      </w:r>
      <w:r>
        <w:t xml:space="preserve"> respondent’s</w:t>
      </w:r>
      <w:r w:rsidRPr="00AB50C2">
        <w:t xml:space="preserve"> corresponding stratum multiplied by the probability of response.</w:t>
      </w:r>
      <w:r>
        <w:t xml:space="preserve"> Below we discuss the method we will use in computing simple weights for respondents in each survey estimation cell (i.e., Group 1, Group 2, and Group 3) that account for probability of selection and response</w:t>
      </w:r>
      <w:r w:rsidR="002B3409">
        <w:t>,</w:t>
      </w:r>
      <w:r>
        <w:t xml:space="preserve"> but do not incorporate the possibility of non-response bias. </w:t>
      </w:r>
      <w:r w:rsidR="002B3409">
        <w:t>Thus</w:t>
      </w:r>
      <w:r>
        <w:t xml:space="preserve">, the derivation of these simple weights is based on the assumption that there are no significant differences </w:t>
      </w:r>
      <w:r w:rsidR="00056C8E">
        <w:t>with respect to such factors as dual eligibility status, age, race, original reason for enrolling in Medicare</w:t>
      </w:r>
      <w:r w:rsidR="009D004A">
        <w:t>,</w:t>
      </w:r>
      <w:r w:rsidR="00056C8E">
        <w:t xml:space="preserve"> between </w:t>
      </w:r>
      <w:r>
        <w:t xml:space="preserve">respondents and non-respondents to the survey in any of the survey estimation cells. Weights that deal with the possibility of non-response bias are discussed in Section </w:t>
      </w:r>
      <w:r w:rsidR="0060188B">
        <w:fldChar w:fldCharType="begin"/>
      </w:r>
      <w:r w:rsidR="00BF6EA1">
        <w:instrText xml:space="preserve"> REF _Ref406147819 \r \h </w:instrText>
      </w:r>
      <w:r w:rsidR="0060188B">
        <w:fldChar w:fldCharType="separate"/>
      </w:r>
      <w:r w:rsidR="00464D9D">
        <w:t>3.2</w:t>
      </w:r>
      <w:r w:rsidR="0060188B">
        <w:fldChar w:fldCharType="end"/>
      </w:r>
      <w:r>
        <w:t xml:space="preserve"> below.</w:t>
      </w:r>
    </w:p>
    <w:p w14:paraId="622B3091" w14:textId="77777777" w:rsidR="001177FD" w:rsidRDefault="001177FD" w:rsidP="0091795A">
      <w:pPr>
        <w:pStyle w:val="BodyTextFirstIndent"/>
      </w:pPr>
      <w:bookmarkStart w:id="99" w:name="_Toc402798852"/>
      <w:r>
        <w:t xml:space="preserve">For survey estimation cell, </w:t>
      </w:r>
      <w:r w:rsidRPr="00677B54">
        <w:rPr>
          <w:i/>
        </w:rPr>
        <w:t>i</w:t>
      </w:r>
      <w:r>
        <w:t xml:space="preserve"> (where </w:t>
      </w:r>
      <w:r w:rsidRPr="00677B54">
        <w:rPr>
          <w:i/>
        </w:rPr>
        <w:t>i</w:t>
      </w:r>
      <w:r>
        <w:t xml:space="preserve"> = Group 1, Group 2, and Group 3), t</w:t>
      </w:r>
      <w:r w:rsidRPr="00060BF4">
        <w:t xml:space="preserve">he probability of selection, </w:t>
      </w:r>
      <m:oMath>
        <m:sSubSup>
          <m:sSubSupPr>
            <m:ctrlPr>
              <w:rPr>
                <w:rFonts w:ascii="Cambria Math" w:hAnsi="Cambria Math"/>
                <w:i/>
              </w:rPr>
            </m:ctrlPr>
          </m:sSubSupPr>
          <m:e>
            <m:r>
              <w:rPr>
                <w:rFonts w:ascii="Cambria Math" w:hAnsi="Cambria Math"/>
              </w:rPr>
              <m:t>P</m:t>
            </m:r>
          </m:e>
          <m:sub>
            <m:r>
              <w:rPr>
                <w:rFonts w:ascii="Cambria Math" w:hAnsi="Cambria Math"/>
              </w:rPr>
              <m:t>S,j</m:t>
            </m:r>
          </m:sub>
          <m:sup>
            <m:r>
              <w:rPr>
                <w:rFonts w:ascii="Cambria Math" w:hAnsi="Cambria Math"/>
              </w:rPr>
              <m:t>i</m:t>
            </m:r>
          </m:sup>
        </m:sSubSup>
      </m:oMath>
      <w:r w:rsidRPr="00060BF4">
        <w:t xml:space="preserve">for the </w:t>
      </w:r>
      <w:r>
        <w:rPr>
          <w:i/>
        </w:rPr>
        <w:t>j</w:t>
      </w:r>
      <w:r w:rsidRPr="00034BAA">
        <w:rPr>
          <w:i/>
          <w:vertAlign w:val="superscript"/>
        </w:rPr>
        <w:t>th</w:t>
      </w:r>
      <w:r w:rsidRPr="00060BF4">
        <w:t xml:space="preserve"> geographic region is given by:</w:t>
      </w:r>
    </w:p>
    <w:p w14:paraId="2DF31E24" w14:textId="77777777" w:rsidR="001177FD" w:rsidRPr="00060BF4" w:rsidRDefault="00066813" w:rsidP="0091795A">
      <w:pPr>
        <w:pStyle w:val="BodyTextFirstIndent"/>
      </w:pPr>
      <m:oMathPara>
        <m:oMath>
          <m:sSubSup>
            <m:sSubSupPr>
              <m:ctrlPr>
                <w:rPr>
                  <w:rFonts w:ascii="Cambria Math" w:hAnsi="Cambria Math"/>
                  <w:i/>
                </w:rPr>
              </m:ctrlPr>
            </m:sSubSupPr>
            <m:e>
              <m:r>
                <w:rPr>
                  <w:rFonts w:ascii="Cambria Math" w:hAnsi="Cambria Math"/>
                </w:rPr>
                <m:t>P</m:t>
              </m:r>
            </m:e>
            <m:sub>
              <m:r>
                <w:rPr>
                  <w:rFonts w:ascii="Cambria Math" w:hAnsi="Cambria Math"/>
                </w:rPr>
                <m:t>S</m:t>
              </m:r>
              <m:r>
                <w:rPr>
                  <w:rFonts w:ascii="Cambria Math" w:hAnsi="Cambria Math"/>
                </w:rPr>
                <m:t>,</m:t>
              </m:r>
              <m:r>
                <w:rPr>
                  <w:rFonts w:ascii="Cambria Math" w:hAnsi="Cambria Math"/>
                </w:rPr>
                <m:t>j</m:t>
              </m:r>
            </m:sub>
            <m:sup>
              <m:r>
                <w:rPr>
                  <w:rFonts w:ascii="Cambria Math" w:hAnsi="Cambria Math"/>
                </w:rPr>
                <m:t>i</m:t>
              </m:r>
            </m:sup>
          </m:sSubSup>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S</m:t>
                  </m:r>
                </m:e>
                <m:sub>
                  <m:r>
                    <w:rPr>
                      <w:rFonts w:ascii="Cambria Math" w:hAnsi="Cambria Math"/>
                    </w:rPr>
                    <m:t>j</m:t>
                  </m:r>
                </m:sub>
                <m:sup>
                  <m:r>
                    <w:rPr>
                      <w:rFonts w:ascii="Cambria Math" w:hAnsi="Cambria Math"/>
                    </w:rPr>
                    <m:t>i</m:t>
                  </m:r>
                </m:sup>
              </m:sSubSup>
            </m:num>
            <m:den>
              <m:sSubSup>
                <m:sSubSupPr>
                  <m:ctrlPr>
                    <w:rPr>
                      <w:rFonts w:ascii="Cambria Math" w:hAnsi="Cambria Math"/>
                      <w:i/>
                    </w:rPr>
                  </m:ctrlPr>
                </m:sSubSupPr>
                <m:e>
                  <m:r>
                    <w:rPr>
                      <w:rFonts w:ascii="Cambria Math" w:hAnsi="Cambria Math"/>
                    </w:rPr>
                    <m:t>U</m:t>
                  </m:r>
                </m:e>
                <m:sub>
                  <m:r>
                    <w:rPr>
                      <w:rFonts w:ascii="Cambria Math" w:hAnsi="Cambria Math"/>
                    </w:rPr>
                    <m:t>j</m:t>
                  </m:r>
                </m:sub>
                <m:sup>
                  <m:r>
                    <w:rPr>
                      <w:rFonts w:ascii="Cambria Math" w:hAnsi="Cambria Math"/>
                    </w:rPr>
                    <m:t>i</m:t>
                  </m:r>
                </m:sup>
              </m:sSubSup>
            </m:den>
          </m:f>
        </m:oMath>
      </m:oMathPara>
    </w:p>
    <w:p w14:paraId="62D82165" w14:textId="49A69E5F" w:rsidR="001177FD" w:rsidRDefault="001177FD" w:rsidP="0091795A">
      <w:pPr>
        <w:pStyle w:val="BodyText"/>
      </w:pPr>
      <w:r w:rsidRPr="00503112">
        <w:t>where</w:t>
      </w:r>
      <w:r>
        <w:t xml:space="preserve"> </w:t>
      </w:r>
      <m:oMath>
        <m:sSubSup>
          <m:sSubSupPr>
            <m:ctrlPr>
              <w:rPr>
                <w:rFonts w:ascii="Cambria Math" w:hAnsi="Cambria Math"/>
                <w:i/>
                <w:szCs w:val="18"/>
              </w:rPr>
            </m:ctrlPr>
          </m:sSubSupPr>
          <m:e>
            <m:r>
              <w:rPr>
                <w:rFonts w:ascii="Cambria Math" w:hAnsi="Cambria Math"/>
              </w:rPr>
              <m:t>U</m:t>
            </m:r>
          </m:e>
          <m:sub>
            <m:r>
              <w:rPr>
                <w:rFonts w:ascii="Cambria Math" w:hAnsi="Cambria Math"/>
              </w:rPr>
              <m:t>j</m:t>
            </m:r>
          </m:sub>
          <m:sup>
            <m:r>
              <w:rPr>
                <w:rFonts w:ascii="Cambria Math" w:hAnsi="Cambria Math"/>
              </w:rPr>
              <m:t>i</m:t>
            </m:r>
          </m:sup>
        </m:sSubSup>
      </m:oMath>
      <w:r>
        <w:t xml:space="preserve"> is the number of beneficiaries in Group </w:t>
      </w:r>
      <w:r w:rsidRPr="00677B54">
        <w:rPr>
          <w:i/>
        </w:rPr>
        <w:t>i</w:t>
      </w:r>
      <w:r>
        <w:t xml:space="preserve"> and geographic region </w:t>
      </w:r>
      <w:r w:rsidRPr="00677B54">
        <w:rPr>
          <w:i/>
        </w:rPr>
        <w:t>j</w:t>
      </w:r>
      <w:r>
        <w:t xml:space="preserve">; </w:t>
      </w:r>
      <m:oMath>
        <m:sSubSup>
          <m:sSubSupPr>
            <m:ctrlPr>
              <w:rPr>
                <w:rFonts w:ascii="Cambria Math" w:hAnsi="Cambria Math"/>
                <w:i/>
                <w:szCs w:val="18"/>
              </w:rPr>
            </m:ctrlPr>
          </m:sSubSupPr>
          <m:e>
            <m:r>
              <w:rPr>
                <w:rFonts w:ascii="Cambria Math" w:hAnsi="Cambria Math"/>
              </w:rPr>
              <m:t>S</m:t>
            </m:r>
          </m:e>
          <m:sub>
            <m:r>
              <w:rPr>
                <w:rFonts w:ascii="Cambria Math" w:hAnsi="Cambria Math"/>
              </w:rPr>
              <m:t>j</m:t>
            </m:r>
          </m:sub>
          <m:sup>
            <m:r>
              <w:rPr>
                <w:rFonts w:ascii="Cambria Math" w:hAnsi="Cambria Math"/>
              </w:rPr>
              <m:t>i</m:t>
            </m:r>
          </m:sup>
        </m:sSubSup>
      </m:oMath>
      <w:r>
        <w:t xml:space="preserve"> is the size of the solicited sample in Group </w:t>
      </w:r>
      <w:r w:rsidRPr="007246FD">
        <w:rPr>
          <w:i/>
        </w:rPr>
        <w:t>i</w:t>
      </w:r>
      <w:r>
        <w:t xml:space="preserve"> and geographic region </w:t>
      </w:r>
      <w:r w:rsidRPr="00677B54">
        <w:rPr>
          <w:i/>
        </w:rPr>
        <w:t>j</w:t>
      </w:r>
      <w:r>
        <w:t>. Because we will select all</w:t>
      </w:r>
      <w:r w:rsidR="00C4045C">
        <w:t xml:space="preserve"> beneficiaries in Groups 1 and 3</w:t>
      </w:r>
      <w:r>
        <w:t xml:space="preserve"> for the survey, the size of the solicited sample in geographic region </w:t>
      </w:r>
      <w:r w:rsidRPr="0091795A">
        <w:rPr>
          <w:i/>
        </w:rPr>
        <w:t>j</w:t>
      </w:r>
      <w:r>
        <w:t xml:space="preserve"> will be equal to the number of beneficiaries in the same geographic region, i.e.:</w:t>
      </w:r>
    </w:p>
    <w:p w14:paraId="18860320" w14:textId="77777777" w:rsidR="001177FD" w:rsidRDefault="00066813" w:rsidP="0091795A">
      <w:pPr>
        <w:pStyle w:val="BodyTextFirstIndent"/>
      </w:pPr>
      <m:oMathPara>
        <m:oMath>
          <m:sSubSup>
            <m:sSubSupPr>
              <m:ctrlPr>
                <w:rPr>
                  <w:rFonts w:ascii="Cambria Math" w:hAnsi="Cambria Math"/>
                  <w:i/>
                </w:rPr>
              </m:ctrlPr>
            </m:sSubSupPr>
            <m:e>
              <m:r>
                <w:rPr>
                  <w:rFonts w:ascii="Cambria Math" w:hAnsi="Cambria Math"/>
                </w:rPr>
                <m:t>S</m:t>
              </m:r>
            </m:e>
            <m:sub>
              <m:r>
                <w:rPr>
                  <w:rFonts w:ascii="Cambria Math" w:hAnsi="Cambria Math"/>
                </w:rPr>
                <m:t>j</m:t>
              </m:r>
            </m:sub>
            <m:sup>
              <m:r>
                <w:rPr>
                  <w:rFonts w:ascii="Cambria Math" w:hAnsi="Cambria Math"/>
                </w:rPr>
                <m:t>i</m:t>
              </m:r>
            </m:sup>
          </m:sSubSup>
          <m:r>
            <w:rPr>
              <w:rFonts w:ascii="Cambria Math" w:hAnsi="Cambria Math"/>
            </w:rPr>
            <m:t>=</m:t>
          </m:r>
          <m:sSubSup>
            <m:sSubSupPr>
              <m:ctrlPr>
                <w:rPr>
                  <w:rFonts w:ascii="Cambria Math" w:hAnsi="Cambria Math"/>
                  <w:i/>
                </w:rPr>
              </m:ctrlPr>
            </m:sSubSupPr>
            <m:e>
              <m:r>
                <w:rPr>
                  <w:rFonts w:ascii="Cambria Math" w:hAnsi="Cambria Math"/>
                </w:rPr>
                <m:t>U</m:t>
              </m:r>
            </m:e>
            <m:sub>
              <m:r>
                <w:rPr>
                  <w:rFonts w:ascii="Cambria Math" w:hAnsi="Cambria Math"/>
                </w:rPr>
                <m:t>j</m:t>
              </m:r>
            </m:sub>
            <m:sup>
              <m:r>
                <w:rPr>
                  <w:rFonts w:ascii="Cambria Math" w:hAnsi="Cambria Math"/>
                </w:rPr>
                <m:t>i</m:t>
              </m:r>
            </m:sup>
          </m:sSubSup>
        </m:oMath>
      </m:oMathPara>
    </w:p>
    <w:p w14:paraId="68329786" w14:textId="181676F5" w:rsidR="001177FD" w:rsidRDefault="001177FD" w:rsidP="0091795A">
      <w:pPr>
        <w:pStyle w:val="BodyText"/>
      </w:pPr>
      <w:r>
        <w:t xml:space="preserve">for </w:t>
      </w:r>
      <w:r w:rsidRPr="00736479">
        <w:rPr>
          <w:i/>
        </w:rPr>
        <w:t>i</w:t>
      </w:r>
      <w:r w:rsidR="00C4045C">
        <w:t xml:space="preserve"> = Group 1 and Group 3</w:t>
      </w:r>
      <w:r>
        <w:t>. Therefore,</w:t>
      </w:r>
    </w:p>
    <w:p w14:paraId="77EBD2A8" w14:textId="5EA2D969" w:rsidR="001177FD" w:rsidRDefault="00066813" w:rsidP="0091795A">
      <w:pPr>
        <w:pStyle w:val="BodyText"/>
      </w:pPr>
      <m:oMathPara>
        <m:oMath>
          <m:sSubSup>
            <m:sSubSupPr>
              <m:ctrlPr>
                <w:rPr>
                  <w:rFonts w:ascii="Cambria Math" w:hAnsi="Cambria Math"/>
                  <w:i/>
                </w:rPr>
              </m:ctrlPr>
            </m:sSubSupPr>
            <m:e>
              <m:r>
                <w:rPr>
                  <w:rFonts w:ascii="Cambria Math" w:hAnsi="Cambria Math"/>
                </w:rPr>
                <m:t>P</m:t>
              </m:r>
            </m:e>
            <m:sub>
              <m:r>
                <w:rPr>
                  <w:rFonts w:ascii="Cambria Math" w:hAnsi="Cambria Math"/>
                </w:rPr>
                <m:t>S</m:t>
              </m:r>
              <m:r>
                <w:rPr>
                  <w:rFonts w:ascii="Cambria Math" w:hAnsi="Cambria Math"/>
                </w:rPr>
                <m:t>,</m:t>
              </m:r>
              <m:r>
                <w:rPr>
                  <w:rFonts w:ascii="Cambria Math" w:hAnsi="Cambria Math"/>
                </w:rPr>
                <m:t>j</m:t>
              </m:r>
            </m:sub>
            <m:sup>
              <m:r>
                <w:rPr>
                  <w:rFonts w:ascii="Cambria Math" w:hAnsi="Cambria Math"/>
                </w:rPr>
                <m:t>i</m:t>
              </m:r>
            </m:sup>
          </m:sSubSup>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1</m:t>
                    </m:r>
                  </m:e>
                  <m:e>
                    <m:r>
                      <w:rPr>
                        <w:rFonts w:ascii="Cambria Math" w:hAnsi="Cambria Math"/>
                      </w:rPr>
                      <m:t>i</m:t>
                    </m:r>
                    <m:r>
                      <w:rPr>
                        <w:rFonts w:ascii="Cambria Math" w:hAnsi="Cambria Math"/>
                      </w:rPr>
                      <m:t>=</m:t>
                    </m:r>
                    <m:r>
                      <m:rPr>
                        <m:nor/>
                      </m:rPr>
                      <m:t>Group 1</m:t>
                    </m:r>
                    <m:r>
                      <w:rPr>
                        <w:rFonts w:ascii="Cambria Math" w:hAnsi="Cambria Math"/>
                      </w:rPr>
                      <m:t xml:space="preserve"> </m:t>
                    </m:r>
                  </m:e>
                </m:mr>
                <m:mr>
                  <m:e>
                    <m:f>
                      <m:fPr>
                        <m:ctrlPr>
                          <w:rPr>
                            <w:rFonts w:ascii="Cambria Math" w:hAnsi="Cambria Math"/>
                            <w:szCs w:val="18"/>
                          </w:rPr>
                        </m:ctrlPr>
                      </m:fPr>
                      <m:num>
                        <m:sSubSup>
                          <m:sSubSupPr>
                            <m:ctrlPr>
                              <w:rPr>
                                <w:rFonts w:ascii="Cambria Math" w:hAnsi="Cambria Math"/>
                                <w:szCs w:val="18"/>
                              </w:rPr>
                            </m:ctrlPr>
                          </m:sSubSupPr>
                          <m:e>
                            <m:r>
                              <w:rPr>
                                <w:rFonts w:ascii="Cambria Math" w:hAnsi="Cambria Math"/>
                              </w:rPr>
                              <m:t>S</m:t>
                            </m:r>
                          </m:e>
                          <m:sub>
                            <m:r>
                              <w:rPr>
                                <w:rFonts w:ascii="Cambria Math" w:hAnsi="Cambria Math"/>
                              </w:rPr>
                              <m:t>j</m:t>
                            </m:r>
                          </m:sub>
                          <m:sup>
                            <m:r>
                              <w:rPr>
                                <w:rFonts w:ascii="Cambria Math" w:hAnsi="Cambria Math"/>
                              </w:rPr>
                              <m:t>i</m:t>
                            </m:r>
                          </m:sup>
                        </m:sSubSup>
                      </m:num>
                      <m:den>
                        <m:sSubSup>
                          <m:sSubSupPr>
                            <m:ctrlPr>
                              <w:rPr>
                                <w:rFonts w:ascii="Cambria Math" w:hAnsi="Cambria Math"/>
                                <w:szCs w:val="18"/>
                              </w:rPr>
                            </m:ctrlPr>
                          </m:sSubSupPr>
                          <m:e>
                            <m:r>
                              <w:rPr>
                                <w:rFonts w:ascii="Cambria Math" w:hAnsi="Cambria Math"/>
                              </w:rPr>
                              <m:t>U</m:t>
                            </m:r>
                          </m:e>
                          <m:sub>
                            <m:r>
                              <w:rPr>
                                <w:rFonts w:ascii="Cambria Math" w:hAnsi="Cambria Math"/>
                              </w:rPr>
                              <m:t>j</m:t>
                            </m:r>
                          </m:sub>
                          <m:sup>
                            <m:r>
                              <w:rPr>
                                <w:rFonts w:ascii="Cambria Math" w:hAnsi="Cambria Math"/>
                              </w:rPr>
                              <m:t>i</m:t>
                            </m:r>
                          </m:sup>
                        </m:sSubSup>
                      </m:den>
                    </m:f>
                    <m:ctrlPr>
                      <w:rPr>
                        <w:rFonts w:ascii="Cambria Math" w:hAnsi="Cambria Math"/>
                      </w:rPr>
                    </m:ctrlPr>
                  </m:e>
                  <m:e>
                    <m:r>
                      <w:rPr>
                        <w:rFonts w:ascii="Cambria Math" w:hAnsi="Cambria Math"/>
                      </w:rPr>
                      <m:t>i</m:t>
                    </m:r>
                    <m:r>
                      <w:rPr>
                        <w:rFonts w:ascii="Cambria Math" w:hAnsi="Cambria Math"/>
                      </w:rPr>
                      <m:t>=</m:t>
                    </m:r>
                    <m:r>
                      <m:rPr>
                        <m:nor/>
                      </m:rPr>
                      <m:t>Group 2</m:t>
                    </m:r>
                  </m:e>
                </m:mr>
                <m:mr>
                  <m:e>
                    <m:r>
                      <w:rPr>
                        <w:rFonts w:ascii="Cambria Math" w:hAnsi="Cambria Math"/>
                      </w:rPr>
                      <m:t>1</m:t>
                    </m:r>
                    <m:ctrlPr>
                      <w:rPr>
                        <w:rFonts w:ascii="Cambria Math" w:hAnsi="Cambria Math"/>
                      </w:rPr>
                    </m:ctrlPr>
                  </m:e>
                  <m:e>
                    <m:r>
                      <w:rPr>
                        <w:rFonts w:ascii="Cambria Math" w:hAnsi="Cambria Math"/>
                      </w:rPr>
                      <m:t>i</m:t>
                    </m:r>
                    <m:r>
                      <w:rPr>
                        <w:rFonts w:ascii="Cambria Math" w:hAnsi="Cambria Math"/>
                      </w:rPr>
                      <m:t>=</m:t>
                    </m:r>
                    <m:r>
                      <m:rPr>
                        <m:nor/>
                      </m:rPr>
                      <m:t>Group 3</m:t>
                    </m:r>
                  </m:e>
                </m:mr>
              </m:m>
            </m:e>
          </m:d>
        </m:oMath>
      </m:oMathPara>
    </w:p>
    <w:p w14:paraId="2CFD7536" w14:textId="77777777" w:rsidR="001177FD" w:rsidRDefault="001177FD" w:rsidP="0091795A">
      <w:pPr>
        <w:pStyle w:val="BodyTextFirstIndent"/>
      </w:pPr>
      <w:r w:rsidRPr="00503112">
        <w:t>Additionally</w:t>
      </w:r>
      <w:r w:rsidRPr="00060BF4">
        <w:t xml:space="preserve">, </w:t>
      </w:r>
      <w:r>
        <w:t xml:space="preserve">for survey estimation cell, </w:t>
      </w:r>
      <w:r>
        <w:rPr>
          <w:i/>
        </w:rPr>
        <w:t>i,</w:t>
      </w:r>
      <w:r>
        <w:t xml:space="preserve"> </w:t>
      </w:r>
      <w:r w:rsidRPr="00060BF4">
        <w:t xml:space="preserve">the probability of response, </w:t>
      </w:r>
      <m:oMath>
        <m:sSubSup>
          <m:sSubSupPr>
            <m:ctrlPr>
              <w:rPr>
                <w:rFonts w:ascii="Cambria Math" w:hAnsi="Cambria Math"/>
                <w:i/>
              </w:rPr>
            </m:ctrlPr>
          </m:sSubSupPr>
          <m:e>
            <m:r>
              <w:rPr>
                <w:rFonts w:ascii="Cambria Math" w:hAnsi="Cambria Math"/>
              </w:rPr>
              <m:t>P</m:t>
            </m:r>
          </m:e>
          <m:sub>
            <m:r>
              <w:rPr>
                <w:rFonts w:ascii="Cambria Math" w:hAnsi="Cambria Math"/>
              </w:rPr>
              <m:t>R,j</m:t>
            </m:r>
          </m:sub>
          <m:sup>
            <m:r>
              <w:rPr>
                <w:rFonts w:ascii="Cambria Math" w:hAnsi="Cambria Math"/>
              </w:rPr>
              <m:t>i</m:t>
            </m:r>
          </m:sup>
        </m:sSubSup>
      </m:oMath>
      <w:r>
        <w:t xml:space="preserve">, </w:t>
      </w:r>
      <w:r w:rsidRPr="00060BF4">
        <w:t xml:space="preserve">for the </w:t>
      </w:r>
      <w:r>
        <w:rPr>
          <w:i/>
        </w:rPr>
        <w:t>j</w:t>
      </w:r>
      <w:r w:rsidRPr="00034BAA">
        <w:rPr>
          <w:i/>
          <w:vertAlign w:val="superscript"/>
        </w:rPr>
        <w:t>th</w:t>
      </w:r>
      <w:r w:rsidRPr="00034BAA">
        <w:rPr>
          <w:i/>
        </w:rPr>
        <w:t xml:space="preserve"> </w:t>
      </w:r>
      <w:r w:rsidRPr="00060BF4">
        <w:t xml:space="preserve">geographic region can be calculated by dividing the solicited sample size in each stratum by the actual number of responses from </w:t>
      </w:r>
      <w:r>
        <w:t>the corresponding stratum, i.e.:</w:t>
      </w:r>
    </w:p>
    <w:p w14:paraId="12866DF7" w14:textId="77777777" w:rsidR="001177FD" w:rsidRPr="00060BF4" w:rsidRDefault="00066813" w:rsidP="0091795A">
      <w:pPr>
        <w:pStyle w:val="BodyTextFirstIndent"/>
      </w:pPr>
      <m:oMathPara>
        <m:oMath>
          <m:sSubSup>
            <m:sSubSupPr>
              <m:ctrlPr>
                <w:rPr>
                  <w:rFonts w:ascii="Cambria Math" w:hAnsi="Cambria Math"/>
                  <w:i/>
                </w:rPr>
              </m:ctrlPr>
            </m:sSubSupPr>
            <m:e>
              <m:r>
                <w:rPr>
                  <w:rFonts w:ascii="Cambria Math" w:hAnsi="Cambria Math"/>
                </w:rPr>
                <m:t>P</m:t>
              </m:r>
            </m:e>
            <m:sub>
              <m:r>
                <w:rPr>
                  <w:rFonts w:ascii="Cambria Math" w:hAnsi="Cambria Math"/>
                </w:rPr>
                <m:t>R</m:t>
              </m:r>
              <m:r>
                <w:rPr>
                  <w:rFonts w:ascii="Cambria Math" w:hAnsi="Cambria Math"/>
                </w:rPr>
                <m:t>,</m:t>
              </m:r>
              <m:r>
                <w:rPr>
                  <w:rFonts w:ascii="Cambria Math" w:hAnsi="Cambria Math"/>
                </w:rPr>
                <m:t>j</m:t>
              </m:r>
            </m:sub>
            <m:sup>
              <m:r>
                <w:rPr>
                  <w:rFonts w:ascii="Cambria Math" w:hAnsi="Cambria Math"/>
                </w:rPr>
                <m:t>i</m:t>
              </m:r>
            </m:sup>
          </m:sSubSup>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R</m:t>
                  </m:r>
                </m:e>
                <m:sub>
                  <m:r>
                    <w:rPr>
                      <w:rFonts w:ascii="Cambria Math" w:hAnsi="Cambria Math"/>
                    </w:rPr>
                    <m:t>j</m:t>
                  </m:r>
                </m:sub>
                <m:sup>
                  <m:r>
                    <w:rPr>
                      <w:rFonts w:ascii="Cambria Math" w:hAnsi="Cambria Math"/>
                    </w:rPr>
                    <m:t>i</m:t>
                  </m:r>
                </m:sup>
              </m:sSubSup>
            </m:num>
            <m:den>
              <m:sSubSup>
                <m:sSubSupPr>
                  <m:ctrlPr>
                    <w:rPr>
                      <w:rFonts w:ascii="Cambria Math" w:hAnsi="Cambria Math"/>
                      <w:i/>
                    </w:rPr>
                  </m:ctrlPr>
                </m:sSubSupPr>
                <m:e>
                  <m:r>
                    <w:rPr>
                      <w:rFonts w:ascii="Cambria Math" w:hAnsi="Cambria Math"/>
                    </w:rPr>
                    <m:t>S</m:t>
                  </m:r>
                </m:e>
                <m:sub>
                  <m:r>
                    <w:rPr>
                      <w:rFonts w:ascii="Cambria Math" w:hAnsi="Cambria Math"/>
                    </w:rPr>
                    <m:t>j</m:t>
                  </m:r>
                </m:sub>
                <m:sup>
                  <m:r>
                    <w:rPr>
                      <w:rFonts w:ascii="Cambria Math" w:hAnsi="Cambria Math"/>
                    </w:rPr>
                    <m:t>i</m:t>
                  </m:r>
                </m:sup>
              </m:sSubSup>
            </m:den>
          </m:f>
        </m:oMath>
      </m:oMathPara>
    </w:p>
    <w:p w14:paraId="4A354BEF" w14:textId="77777777" w:rsidR="001177FD" w:rsidRDefault="001177FD" w:rsidP="0091795A">
      <w:pPr>
        <w:pStyle w:val="BodyText"/>
      </w:pPr>
      <w:r>
        <w:t>w</w:t>
      </w:r>
      <w:r w:rsidRPr="0032341B">
        <w:t>here</w:t>
      </w:r>
      <w:r>
        <w:t xml:space="preserve"> </w:t>
      </w:r>
      <m:oMath>
        <m:sSubSup>
          <m:sSubSupPr>
            <m:ctrlPr>
              <w:rPr>
                <w:rFonts w:ascii="Cambria Math" w:hAnsi="Cambria Math"/>
                <w:i/>
                <w:szCs w:val="18"/>
              </w:rPr>
            </m:ctrlPr>
          </m:sSubSupPr>
          <m:e>
            <m:r>
              <w:rPr>
                <w:rFonts w:ascii="Cambria Math" w:hAnsi="Cambria Math"/>
              </w:rPr>
              <m:t>S</m:t>
            </m:r>
          </m:e>
          <m:sub>
            <m:r>
              <w:rPr>
                <w:rFonts w:ascii="Cambria Math" w:hAnsi="Cambria Math"/>
              </w:rPr>
              <m:t>j</m:t>
            </m:r>
          </m:sub>
          <m:sup>
            <m:r>
              <w:rPr>
                <w:rFonts w:ascii="Cambria Math" w:hAnsi="Cambria Math"/>
              </w:rPr>
              <m:t>i</m:t>
            </m:r>
          </m:sup>
        </m:sSubSup>
      </m:oMath>
      <w:r>
        <w:t xml:space="preserve"> is the s</w:t>
      </w:r>
      <w:r w:rsidRPr="00060BF4">
        <w:t xml:space="preserve">ize of the solicited sample </w:t>
      </w:r>
      <w:r>
        <w:t xml:space="preserve">in Group </w:t>
      </w:r>
      <w:r w:rsidRPr="00677B54">
        <w:rPr>
          <w:i/>
        </w:rPr>
        <w:t>i</w:t>
      </w:r>
      <w:r>
        <w:t xml:space="preserve"> and geographic region </w:t>
      </w:r>
      <w:r w:rsidRPr="00677B54">
        <w:rPr>
          <w:i/>
        </w:rPr>
        <w:t>j</w:t>
      </w:r>
      <w:r>
        <w:t xml:space="preserve">; </w:t>
      </w:r>
      <m:oMath>
        <m:sSubSup>
          <m:sSubSupPr>
            <m:ctrlPr>
              <w:rPr>
                <w:rFonts w:ascii="Cambria Math" w:hAnsi="Cambria Math"/>
                <w:i/>
                <w:szCs w:val="18"/>
              </w:rPr>
            </m:ctrlPr>
          </m:sSubSupPr>
          <m:e>
            <m:r>
              <w:rPr>
                <w:rFonts w:ascii="Cambria Math" w:hAnsi="Cambria Math"/>
              </w:rPr>
              <m:t>R</m:t>
            </m:r>
          </m:e>
          <m:sub>
            <m:r>
              <w:rPr>
                <w:rFonts w:ascii="Cambria Math" w:hAnsi="Cambria Math"/>
              </w:rPr>
              <m:t>j</m:t>
            </m:r>
          </m:sub>
          <m:sup>
            <m:r>
              <w:rPr>
                <w:rFonts w:ascii="Cambria Math" w:hAnsi="Cambria Math"/>
              </w:rPr>
              <m:t>i</m:t>
            </m:r>
          </m:sup>
        </m:sSubSup>
      </m:oMath>
      <w:r>
        <w:t xml:space="preserve"> is the a</w:t>
      </w:r>
      <w:r w:rsidRPr="00060BF4">
        <w:t xml:space="preserve">ctual (responded) sample </w:t>
      </w:r>
      <w:r>
        <w:t xml:space="preserve">in Group </w:t>
      </w:r>
      <w:r w:rsidRPr="007246FD">
        <w:rPr>
          <w:i/>
        </w:rPr>
        <w:t>i</w:t>
      </w:r>
      <w:r>
        <w:t xml:space="preserve"> and geographic region </w:t>
      </w:r>
      <w:r w:rsidRPr="00677B54">
        <w:rPr>
          <w:i/>
        </w:rPr>
        <w:t>j</w:t>
      </w:r>
      <w:r>
        <w:t xml:space="preserve">. Then the simple sample weights, </w:t>
      </w:r>
      <m:oMath>
        <m:sSubSup>
          <m:sSubSupPr>
            <m:ctrlPr>
              <w:rPr>
                <w:rFonts w:ascii="Cambria Math" w:hAnsi="Cambria Math"/>
                <w:i/>
                <w:szCs w:val="18"/>
              </w:rPr>
            </m:ctrlPr>
          </m:sSubSupPr>
          <m:e>
            <m:r>
              <w:rPr>
                <w:rFonts w:ascii="Cambria Math" w:hAnsi="Cambria Math"/>
              </w:rPr>
              <m:t>W</m:t>
            </m:r>
          </m:e>
          <m:sub>
            <m:r>
              <w:rPr>
                <w:rFonts w:ascii="Cambria Math" w:hAnsi="Cambria Math"/>
              </w:rPr>
              <m:t>j</m:t>
            </m:r>
          </m:sub>
          <m:sup>
            <m:r>
              <w:rPr>
                <w:rFonts w:ascii="Cambria Math" w:hAnsi="Cambria Math"/>
              </w:rPr>
              <m:t>i</m:t>
            </m:r>
          </m:sup>
        </m:sSubSup>
      </m:oMath>
      <w:r>
        <w:t xml:space="preserve"> for Group </w:t>
      </w:r>
      <w:r w:rsidRPr="00677B54">
        <w:rPr>
          <w:i/>
        </w:rPr>
        <w:t>i</w:t>
      </w:r>
      <w:r>
        <w:t xml:space="preserve"> and geographic region </w:t>
      </w:r>
      <w:r w:rsidRPr="00677B54">
        <w:rPr>
          <w:i/>
        </w:rPr>
        <w:t>j</w:t>
      </w:r>
      <w:r>
        <w:t xml:space="preserve"> are computed as:</w:t>
      </w:r>
    </w:p>
    <w:p w14:paraId="79AEFA4B" w14:textId="77777777" w:rsidR="001177FD" w:rsidRPr="00BA4C75" w:rsidRDefault="00066813" w:rsidP="0091795A">
      <w:pPr>
        <w:pStyle w:val="BodyText"/>
        <w:rPr>
          <w:b/>
        </w:rPr>
      </w:pPr>
      <m:oMathPara>
        <m:oMath>
          <m:sSubSup>
            <m:sSubSupPr>
              <m:ctrlPr>
                <w:rPr>
                  <w:rFonts w:ascii="Cambria Math" w:hAnsi="Cambria Math"/>
                  <w:i/>
                </w:rPr>
              </m:ctrlPr>
            </m:sSubSupPr>
            <m:e>
              <m:r>
                <w:rPr>
                  <w:rFonts w:ascii="Cambria Math" w:hAnsi="Cambria Math"/>
                </w:rPr>
                <m:t>W</m:t>
              </m:r>
            </m:e>
            <m:sub>
              <m:r>
                <w:rPr>
                  <w:rFonts w:ascii="Cambria Math" w:hAnsi="Cambria Math"/>
                </w:rPr>
                <m:t>j</m:t>
              </m:r>
            </m:sub>
            <m:sup>
              <m:r>
                <w:rPr>
                  <w:rFonts w:ascii="Cambria Math" w:hAnsi="Cambria Math"/>
                </w:rPr>
                <m:t>i</m:t>
              </m:r>
            </m:sup>
          </m:sSubSup>
          <m:r>
            <w:rPr>
              <w:rFonts w:ascii="Cambria Math" w:hAnsi="Cambria Math"/>
            </w:rPr>
            <m:t>=</m:t>
          </m:r>
          <m:f>
            <m:fPr>
              <m:ctrlPr>
                <w:rPr>
                  <w:rFonts w:ascii="Cambria Math" w:hAnsi="Cambria Math"/>
                  <w:i/>
                </w:rPr>
              </m:ctrlPr>
            </m:fPr>
            <m:num>
              <m:r>
                <w:rPr>
                  <w:rFonts w:ascii="Cambria Math" w:hAnsi="Cambria Math"/>
                </w:rPr>
                <m:t>1</m:t>
              </m:r>
            </m:num>
            <m:den>
              <m:sSubSup>
                <m:sSubSupPr>
                  <m:ctrlPr>
                    <w:rPr>
                      <w:rFonts w:ascii="Cambria Math" w:hAnsi="Cambria Math"/>
                      <w:i/>
                    </w:rPr>
                  </m:ctrlPr>
                </m:sSubSupPr>
                <m:e>
                  <m:r>
                    <w:rPr>
                      <w:rFonts w:ascii="Cambria Math" w:hAnsi="Cambria Math"/>
                    </w:rPr>
                    <m:t>P</m:t>
                  </m:r>
                </m:e>
                <m:sub>
                  <m:r>
                    <w:rPr>
                      <w:rFonts w:ascii="Cambria Math" w:hAnsi="Cambria Math"/>
                    </w:rPr>
                    <m:t>S</m:t>
                  </m:r>
                  <m:r>
                    <w:rPr>
                      <w:rFonts w:ascii="Cambria Math" w:hAnsi="Cambria Math"/>
                    </w:rPr>
                    <m:t>,</m:t>
                  </m:r>
                  <m:r>
                    <w:rPr>
                      <w:rFonts w:ascii="Cambria Math" w:hAnsi="Cambria Math"/>
                    </w:rPr>
                    <m:t>j</m:t>
                  </m:r>
                </m:sub>
                <m:sup>
                  <m:r>
                    <w:rPr>
                      <w:rFonts w:ascii="Cambria Math" w:hAnsi="Cambria Math"/>
                    </w:rPr>
                    <m:t>i</m:t>
                  </m:r>
                </m:sup>
              </m:sSubSup>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R</m:t>
                  </m:r>
                  <m:r>
                    <w:rPr>
                      <w:rFonts w:ascii="Cambria Math" w:hAnsi="Cambria Math"/>
                    </w:rPr>
                    <m:t>,</m:t>
                  </m:r>
                  <m:r>
                    <w:rPr>
                      <w:rFonts w:ascii="Cambria Math" w:hAnsi="Cambria Math"/>
                    </w:rPr>
                    <m:t>j</m:t>
                  </m:r>
                </m:sub>
                <m:sup>
                  <m:r>
                    <w:rPr>
                      <w:rFonts w:ascii="Cambria Math" w:hAnsi="Cambria Math"/>
                    </w:rPr>
                    <m:t>i</m:t>
                  </m:r>
                </m:sup>
              </m:sSubSup>
            </m:den>
          </m:f>
        </m:oMath>
      </m:oMathPara>
    </w:p>
    <w:p w14:paraId="48C513B8" w14:textId="287B6AC3" w:rsidR="001177FD" w:rsidRDefault="001177FD" w:rsidP="0091795A">
      <w:pPr>
        <w:pStyle w:val="BodyText"/>
      </w:pPr>
      <w:r>
        <w:t>where the terms are as defined abov</w:t>
      </w:r>
      <w:r w:rsidR="00C4045C">
        <w:t>e. Since for Group 1 and Group 3</w:t>
      </w:r>
      <w:r>
        <w:t>,</w:t>
      </w:r>
    </w:p>
    <w:p w14:paraId="4B925914" w14:textId="21BB779C" w:rsidR="001177FD" w:rsidRPr="00BA4C75" w:rsidRDefault="00066813" w:rsidP="0091795A">
      <w:pPr>
        <w:pStyle w:val="BodyText"/>
      </w:pPr>
      <m:oMathPara>
        <m:oMath>
          <m:sSubSup>
            <m:sSubSupPr>
              <m:ctrlPr>
                <w:rPr>
                  <w:rFonts w:ascii="Cambria Math" w:hAnsi="Cambria Math"/>
                  <w:i/>
                </w:rPr>
              </m:ctrlPr>
            </m:sSubSupPr>
            <m:e>
              <m:r>
                <w:rPr>
                  <w:rFonts w:ascii="Cambria Math" w:hAnsi="Cambria Math"/>
                </w:rPr>
                <m:t>P</m:t>
              </m:r>
            </m:e>
            <m:sub>
              <m:r>
                <w:rPr>
                  <w:rFonts w:ascii="Cambria Math" w:hAnsi="Cambria Math"/>
                </w:rPr>
                <m:t>S</m:t>
              </m:r>
              <m:r>
                <w:rPr>
                  <w:rFonts w:ascii="Cambria Math" w:hAnsi="Cambria Math"/>
                </w:rPr>
                <m:t>,</m:t>
              </m:r>
              <m:r>
                <w:rPr>
                  <w:rFonts w:ascii="Cambria Math" w:hAnsi="Cambria Math"/>
                </w:rPr>
                <m:t>j</m:t>
              </m:r>
            </m:sub>
            <m:sup>
              <m:r>
                <w:rPr>
                  <w:rFonts w:ascii="Cambria Math" w:hAnsi="Cambria Math"/>
                </w:rPr>
                <m:t>Group</m:t>
              </m:r>
              <m:r>
                <w:rPr>
                  <w:rFonts w:ascii="Cambria Math" w:hAnsi="Cambria Math"/>
                </w:rPr>
                <m:t xml:space="preserve"> 1</m:t>
              </m:r>
            </m:sup>
          </m:sSubSup>
          <m: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S</m:t>
              </m:r>
              <m:r>
                <m:rPr>
                  <m:sty m:val="p"/>
                </m:rPr>
                <w:rPr>
                  <w:rFonts w:ascii="Cambria Math" w:hAnsi="Cambria Math"/>
                </w:rPr>
                <m:t>,</m:t>
              </m:r>
              <m:r>
                <w:rPr>
                  <w:rFonts w:ascii="Cambria Math" w:hAnsi="Cambria Math"/>
                </w:rPr>
                <m:t>j</m:t>
              </m:r>
            </m:sub>
            <m:sup>
              <m:r>
                <w:rPr>
                  <w:rFonts w:ascii="Cambria Math" w:hAnsi="Cambria Math"/>
                </w:rPr>
                <m:t>Group</m:t>
              </m:r>
              <m:r>
                <m:rPr>
                  <m:sty m:val="p"/>
                </m:rPr>
                <w:rPr>
                  <w:rFonts w:ascii="Cambria Math" w:hAnsi="Cambria Math"/>
                </w:rPr>
                <m:t xml:space="preserve"> 3</m:t>
              </m:r>
            </m:sup>
          </m:sSubSup>
          <m:r>
            <w:rPr>
              <w:rFonts w:ascii="Cambria Math" w:hAnsi="Cambria Math"/>
            </w:rPr>
            <m:t>=1</m:t>
          </m:r>
        </m:oMath>
      </m:oMathPara>
    </w:p>
    <w:p w14:paraId="487028EF" w14:textId="77777777" w:rsidR="001177FD" w:rsidRDefault="001177FD" w:rsidP="0091795A">
      <w:pPr>
        <w:pStyle w:val="BodyText"/>
      </w:pPr>
      <w:r>
        <w:t>the simple weights for each survey estimation cell will be:</w:t>
      </w:r>
    </w:p>
    <w:p w14:paraId="11DF3C68" w14:textId="54444795" w:rsidR="001177FD" w:rsidRPr="00AD62EE" w:rsidRDefault="00066813" w:rsidP="0091795A">
      <w:pPr>
        <w:pStyle w:val="BodyText"/>
      </w:pPr>
      <m:oMathPara>
        <m:oMath>
          <m:sSubSup>
            <m:sSubSupPr>
              <m:ctrlPr>
                <w:rPr>
                  <w:rFonts w:ascii="Cambria Math" w:hAnsi="Cambria Math"/>
                  <w:i/>
                </w:rPr>
              </m:ctrlPr>
            </m:sSubSupPr>
            <m:e>
              <m:r>
                <w:rPr>
                  <w:rFonts w:ascii="Cambria Math" w:hAnsi="Cambria Math"/>
                </w:rPr>
                <m:t>W</m:t>
              </m:r>
            </m:e>
            <m:sub>
              <m:r>
                <w:rPr>
                  <w:rFonts w:ascii="Cambria Math" w:hAnsi="Cambria Math"/>
                </w:rPr>
                <m:t>j</m:t>
              </m:r>
            </m:sub>
            <m:sup>
              <m:r>
                <w:rPr>
                  <w:rFonts w:ascii="Cambria Math" w:hAnsi="Cambria Math"/>
                </w:rPr>
                <m:t>i</m:t>
              </m:r>
            </m:sup>
          </m:sSubSup>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f>
                      <m:fPr>
                        <m:ctrlPr>
                          <w:rPr>
                            <w:rFonts w:ascii="Cambria Math" w:hAnsi="Cambria Math"/>
                            <w:i/>
                          </w:rPr>
                        </m:ctrlPr>
                      </m:fPr>
                      <m:num>
                        <m:r>
                          <w:rPr>
                            <w:rFonts w:ascii="Cambria Math" w:hAnsi="Cambria Math"/>
                          </w:rPr>
                          <m:t>1</m:t>
                        </m:r>
                      </m:num>
                      <m:den>
                        <m:sSubSup>
                          <m:sSubSupPr>
                            <m:ctrlPr>
                              <w:rPr>
                                <w:rFonts w:ascii="Cambria Math" w:hAnsi="Cambria Math"/>
                                <w:i/>
                              </w:rPr>
                            </m:ctrlPr>
                          </m:sSubSupPr>
                          <m:e>
                            <m:r>
                              <w:rPr>
                                <w:rFonts w:ascii="Cambria Math" w:hAnsi="Cambria Math"/>
                              </w:rPr>
                              <m:t>P</m:t>
                            </m:r>
                          </m:e>
                          <m:sub>
                            <m:r>
                              <w:rPr>
                                <w:rFonts w:ascii="Cambria Math" w:hAnsi="Cambria Math"/>
                              </w:rPr>
                              <m:t>R</m:t>
                            </m:r>
                            <m:r>
                              <w:rPr>
                                <w:rFonts w:ascii="Cambria Math" w:hAnsi="Cambria Math"/>
                              </w:rPr>
                              <m:t>,</m:t>
                            </m:r>
                            <m:r>
                              <w:rPr>
                                <w:rFonts w:ascii="Cambria Math" w:hAnsi="Cambria Math"/>
                              </w:rPr>
                              <m:t>j</m:t>
                            </m:r>
                          </m:sub>
                          <m:sup>
                            <m:r>
                              <w:rPr>
                                <w:rFonts w:ascii="Cambria Math" w:hAnsi="Cambria Math"/>
                              </w:rPr>
                              <m:t>i</m:t>
                            </m:r>
                          </m:sup>
                        </m:sSubSup>
                      </m:den>
                    </m:f>
                  </m:e>
                  <m:e>
                    <m:r>
                      <w:rPr>
                        <w:rFonts w:ascii="Cambria Math" w:hAnsi="Cambria Math"/>
                      </w:rPr>
                      <m:t>i</m:t>
                    </m:r>
                    <m:r>
                      <w:rPr>
                        <w:rFonts w:ascii="Cambria Math" w:hAnsi="Cambria Math"/>
                      </w:rPr>
                      <m:t>=</m:t>
                    </m:r>
                    <m:r>
                      <m:rPr>
                        <m:nor/>
                      </m:rPr>
                      <m:t>Group 1</m:t>
                    </m:r>
                    <m:r>
                      <w:rPr>
                        <w:rFonts w:ascii="Cambria Math" w:hAnsi="Cambria Math"/>
                      </w:rPr>
                      <m:t xml:space="preserve"> </m:t>
                    </m:r>
                  </m:e>
                </m:mr>
                <m:mr>
                  <m:e>
                    <m:f>
                      <m:fPr>
                        <m:ctrlPr>
                          <w:rPr>
                            <w:rFonts w:ascii="Cambria Math" w:hAnsi="Cambria Math"/>
                            <w:szCs w:val="18"/>
                          </w:rPr>
                        </m:ctrlPr>
                      </m:fPr>
                      <m:num>
                        <m:r>
                          <m:rPr>
                            <m:sty m:val="p"/>
                          </m:rPr>
                          <w:rPr>
                            <w:rFonts w:ascii="Cambria Math" w:hAnsi="Cambria Math"/>
                            <w:szCs w:val="18"/>
                          </w:rPr>
                          <m:t>1</m:t>
                        </m:r>
                      </m:num>
                      <m:den>
                        <m:sSubSup>
                          <m:sSubSupPr>
                            <m:ctrlPr>
                              <w:rPr>
                                <w:rFonts w:ascii="Cambria Math" w:hAnsi="Cambria Math"/>
                                <w:szCs w:val="18"/>
                              </w:rPr>
                            </m:ctrlPr>
                          </m:sSubSupPr>
                          <m:e>
                            <m:r>
                              <w:rPr>
                                <w:rFonts w:ascii="Cambria Math" w:hAnsi="Cambria Math"/>
                              </w:rPr>
                              <m:t>P</m:t>
                            </m:r>
                          </m:e>
                          <m:sub>
                            <m:r>
                              <w:rPr>
                                <w:rFonts w:ascii="Cambria Math" w:hAnsi="Cambria Math"/>
                              </w:rPr>
                              <m:t>S</m:t>
                            </m:r>
                            <m:r>
                              <m:rPr>
                                <m:sty m:val="p"/>
                              </m:rPr>
                              <w:rPr>
                                <w:rFonts w:ascii="Cambria Math" w:hAnsi="Cambria Math"/>
                              </w:rPr>
                              <m:t>,</m:t>
                            </m:r>
                            <m:r>
                              <w:rPr>
                                <w:rFonts w:ascii="Cambria Math" w:hAnsi="Cambria Math"/>
                              </w:rPr>
                              <m:t>j</m:t>
                            </m:r>
                          </m:sub>
                          <m:sup>
                            <m:r>
                              <w:rPr>
                                <w:rFonts w:ascii="Cambria Math" w:hAnsi="Cambria Math"/>
                              </w:rPr>
                              <m:t>i</m:t>
                            </m:r>
                          </m:sup>
                        </m:sSubSup>
                        <m:r>
                          <m:rPr>
                            <m:sty m:val="p"/>
                          </m:rPr>
                          <w:rPr>
                            <w:rFonts w:ascii="Cambria Math" w:hAnsi="Cambria Math"/>
                            <w:szCs w:val="18"/>
                          </w:rPr>
                          <m:t>×</m:t>
                        </m:r>
                        <m:sSubSup>
                          <m:sSubSupPr>
                            <m:ctrlPr>
                              <w:rPr>
                                <w:rFonts w:ascii="Cambria Math" w:hAnsi="Cambria Math"/>
                                <w:szCs w:val="18"/>
                              </w:rPr>
                            </m:ctrlPr>
                          </m:sSubSupPr>
                          <m:e>
                            <m:r>
                              <w:rPr>
                                <w:rFonts w:ascii="Cambria Math" w:hAnsi="Cambria Math"/>
                              </w:rPr>
                              <m:t>P</m:t>
                            </m:r>
                          </m:e>
                          <m:sub>
                            <m:r>
                              <w:rPr>
                                <w:rFonts w:ascii="Cambria Math" w:hAnsi="Cambria Math"/>
                              </w:rPr>
                              <m:t>R</m:t>
                            </m:r>
                            <m:r>
                              <m:rPr>
                                <m:sty m:val="p"/>
                              </m:rPr>
                              <w:rPr>
                                <w:rFonts w:ascii="Cambria Math" w:hAnsi="Cambria Math"/>
                              </w:rPr>
                              <m:t>,</m:t>
                            </m:r>
                            <m:r>
                              <w:rPr>
                                <w:rFonts w:ascii="Cambria Math" w:hAnsi="Cambria Math"/>
                              </w:rPr>
                              <m:t>j</m:t>
                            </m:r>
                          </m:sub>
                          <m:sup>
                            <m:r>
                              <w:rPr>
                                <w:rFonts w:ascii="Cambria Math" w:hAnsi="Cambria Math"/>
                              </w:rPr>
                              <m:t>i</m:t>
                            </m:r>
                          </m:sup>
                        </m:sSubSup>
                      </m:den>
                    </m:f>
                  </m:e>
                  <m:e>
                    <m:r>
                      <w:rPr>
                        <w:rFonts w:ascii="Cambria Math" w:hAnsi="Cambria Math"/>
                      </w:rPr>
                      <m:t>i</m:t>
                    </m:r>
                    <m:r>
                      <w:rPr>
                        <w:rFonts w:ascii="Cambria Math" w:hAnsi="Cambria Math"/>
                      </w:rPr>
                      <m:t>=</m:t>
                    </m:r>
                    <m:r>
                      <m:rPr>
                        <m:nor/>
                      </m:rPr>
                      <m:t>Group 2</m:t>
                    </m:r>
                  </m:e>
                </m:mr>
                <m:mr>
                  <m:e>
                    <m:f>
                      <m:fPr>
                        <m:ctrlPr>
                          <w:rPr>
                            <w:rFonts w:ascii="Cambria Math" w:hAnsi="Cambria Math"/>
                            <w:i/>
                          </w:rPr>
                        </m:ctrlPr>
                      </m:fPr>
                      <m:num>
                        <m:r>
                          <w:rPr>
                            <w:rFonts w:ascii="Cambria Math" w:hAnsi="Cambria Math"/>
                          </w:rPr>
                          <m:t>1</m:t>
                        </m:r>
                      </m:num>
                      <m:den>
                        <m:sSubSup>
                          <m:sSubSupPr>
                            <m:ctrlPr>
                              <w:rPr>
                                <w:rFonts w:ascii="Cambria Math" w:hAnsi="Cambria Math"/>
                                <w:szCs w:val="18"/>
                              </w:rPr>
                            </m:ctrlPr>
                          </m:sSubSupPr>
                          <m:e>
                            <m:r>
                              <w:rPr>
                                <w:rFonts w:ascii="Cambria Math" w:hAnsi="Cambria Math"/>
                              </w:rPr>
                              <m:t>P</m:t>
                            </m:r>
                            <m:ctrlPr>
                              <w:rPr>
                                <w:rFonts w:ascii="Cambria Math" w:hAnsi="Cambria Math"/>
                                <w:i/>
                              </w:rPr>
                            </m:ctrlPr>
                          </m:e>
                          <m:sub>
                            <m:r>
                              <w:rPr>
                                <w:rFonts w:ascii="Cambria Math" w:hAnsi="Cambria Math"/>
                              </w:rPr>
                              <m:t>R</m:t>
                            </m:r>
                            <m:r>
                              <w:rPr>
                                <w:rFonts w:ascii="Cambria Math" w:hAnsi="Cambria Math"/>
                              </w:rPr>
                              <m:t>,</m:t>
                            </m:r>
                            <m:r>
                              <w:rPr>
                                <w:rFonts w:ascii="Cambria Math" w:hAnsi="Cambria Math"/>
                              </w:rPr>
                              <m:t>j</m:t>
                            </m:r>
                            <m:ctrlPr>
                              <w:rPr>
                                <w:rFonts w:ascii="Cambria Math" w:hAnsi="Cambria Math"/>
                                <w:i/>
                              </w:rPr>
                            </m:ctrlPr>
                          </m:sub>
                          <m:sup>
                            <m:r>
                              <w:rPr>
                                <w:rFonts w:ascii="Cambria Math" w:hAnsi="Cambria Math"/>
                              </w:rPr>
                              <m:t>i</m:t>
                            </m:r>
                            <m:ctrlPr>
                              <w:rPr>
                                <w:rFonts w:ascii="Cambria Math" w:hAnsi="Cambria Math"/>
                                <w:i/>
                              </w:rPr>
                            </m:ctrlPr>
                          </m:sup>
                        </m:sSubSup>
                      </m:den>
                    </m:f>
                  </m:e>
                  <m:e>
                    <m:r>
                      <w:rPr>
                        <w:rFonts w:ascii="Cambria Math" w:hAnsi="Cambria Math"/>
                      </w:rPr>
                      <m:t>i</m:t>
                    </m:r>
                    <m:r>
                      <w:rPr>
                        <w:rFonts w:ascii="Cambria Math" w:hAnsi="Cambria Math"/>
                      </w:rPr>
                      <m:t>=</m:t>
                    </m:r>
                    <m:r>
                      <m:rPr>
                        <m:nor/>
                      </m:rPr>
                      <m:t>Group 3</m:t>
                    </m:r>
                  </m:e>
                </m:mr>
              </m:m>
            </m:e>
          </m:d>
        </m:oMath>
      </m:oMathPara>
    </w:p>
    <w:p w14:paraId="3C1D249E" w14:textId="77777777" w:rsidR="00AD62EE" w:rsidRDefault="00AD62EE" w:rsidP="00AD62EE">
      <w:pPr>
        <w:pStyle w:val="Heading4"/>
      </w:pPr>
      <w:r>
        <w:t>Interviews</w:t>
      </w:r>
    </w:p>
    <w:p w14:paraId="45129C23" w14:textId="77777777" w:rsidR="00AD62EE" w:rsidRPr="004C1A97" w:rsidRDefault="000B7A24" w:rsidP="00AD62EE">
      <w:pPr>
        <w:pStyle w:val="BodyTextFirstIndent"/>
      </w:pPr>
      <w:r w:rsidRPr="000B7A24">
        <w:t>This does not apply to interviews</w:t>
      </w:r>
      <w:r>
        <w:t>.</w:t>
      </w:r>
    </w:p>
    <w:p w14:paraId="75FCC347" w14:textId="77777777" w:rsidR="001177FD" w:rsidRPr="001D254D" w:rsidRDefault="001177FD" w:rsidP="0091795A">
      <w:pPr>
        <w:pStyle w:val="Heading3"/>
      </w:pPr>
      <w:bookmarkStart w:id="100" w:name="_Toc409601351"/>
      <w:bookmarkStart w:id="101" w:name="_Toc410331608"/>
      <w:bookmarkStart w:id="102" w:name="_Toc410331714"/>
      <w:bookmarkStart w:id="103" w:name="_Toc429570403"/>
      <w:bookmarkStart w:id="104" w:name="_Toc431546809"/>
      <w:bookmarkStart w:id="105" w:name="DegreeofAccuracyNeededforthePurpose"/>
      <w:bookmarkEnd w:id="99"/>
      <w:r w:rsidRPr="00094E91">
        <w:t>Degree</w:t>
      </w:r>
      <w:r w:rsidRPr="001D254D">
        <w:t xml:space="preserve"> of Accuracy Needed for the Purpose Described in the Justification</w:t>
      </w:r>
      <w:bookmarkEnd w:id="100"/>
      <w:bookmarkEnd w:id="101"/>
      <w:bookmarkEnd w:id="102"/>
      <w:bookmarkEnd w:id="103"/>
      <w:bookmarkEnd w:id="104"/>
    </w:p>
    <w:bookmarkEnd w:id="105"/>
    <w:p w14:paraId="7CDC6F74" w14:textId="77777777" w:rsidR="00AD62EE" w:rsidRDefault="00AD62EE" w:rsidP="00AD62EE">
      <w:pPr>
        <w:pStyle w:val="Heading4"/>
      </w:pPr>
      <w:r>
        <w:t>Survey</w:t>
      </w:r>
    </w:p>
    <w:p w14:paraId="2FACAE4D" w14:textId="77777777" w:rsidR="001177FD" w:rsidRDefault="001177FD" w:rsidP="0091795A">
      <w:pPr>
        <w:pStyle w:val="BodyTextFirstIndent"/>
      </w:pPr>
      <w:r w:rsidRPr="00323C1B">
        <w:t>The accuracy required of the respondents poses no special demands on them. All data being requested can be readily supplied by respondents</w:t>
      </w:r>
      <w:r>
        <w:t xml:space="preserve">. The sample size was calculated to enable us to generate weighted sample estimates of proportions of interest in each group in the +/- 4 percent range of the true proportion with 95 percent confidence (i.e., </w:t>
      </w:r>
      <w:r w:rsidRPr="006E3BB4">
        <w:rPr>
          <w:i/>
        </w:rPr>
        <w:t>α</w:t>
      </w:r>
      <w:r>
        <w:t xml:space="preserve"> = 5 percent).</w:t>
      </w:r>
    </w:p>
    <w:p w14:paraId="0EA78EE0" w14:textId="77777777" w:rsidR="00AD62EE" w:rsidRDefault="00AD62EE" w:rsidP="00AD62EE">
      <w:pPr>
        <w:pStyle w:val="Heading4"/>
      </w:pPr>
      <w:r>
        <w:t>Interviews</w:t>
      </w:r>
    </w:p>
    <w:p w14:paraId="4D20E51E" w14:textId="77777777" w:rsidR="00AD62EE" w:rsidRPr="004C1A97" w:rsidRDefault="000B7A24" w:rsidP="00AD62EE">
      <w:pPr>
        <w:pStyle w:val="BodyTextFirstIndent"/>
      </w:pPr>
      <w:r w:rsidRPr="000B7A24">
        <w:t>The accuracy required of the respondents poses no special demands on their behalf. All data being requested can be readily supplied by respondents.</w:t>
      </w:r>
    </w:p>
    <w:p w14:paraId="02027D27" w14:textId="77777777" w:rsidR="001177FD" w:rsidRDefault="001177FD" w:rsidP="0091795A">
      <w:pPr>
        <w:pStyle w:val="Heading2"/>
      </w:pPr>
      <w:bookmarkStart w:id="106" w:name="_Toc410331609"/>
      <w:bookmarkStart w:id="107" w:name="_Toc410331715"/>
      <w:bookmarkStart w:id="108" w:name="_Toc429570404"/>
      <w:bookmarkStart w:id="109" w:name="_Toc431546810"/>
      <w:bookmarkStart w:id="110" w:name="UnusualProblemsRequiringSpecializedSampl"/>
      <w:r w:rsidRPr="001D254D">
        <w:t>Unusual Problems Requiring Specialized Sampling Procedures</w:t>
      </w:r>
      <w:bookmarkEnd w:id="106"/>
      <w:bookmarkEnd w:id="107"/>
      <w:bookmarkEnd w:id="108"/>
      <w:bookmarkEnd w:id="109"/>
    </w:p>
    <w:p w14:paraId="3487FF0F" w14:textId="77777777" w:rsidR="00AD62EE" w:rsidRPr="00AD62EE" w:rsidRDefault="00AD62EE" w:rsidP="00AD62EE">
      <w:pPr>
        <w:pStyle w:val="Heading3"/>
      </w:pPr>
      <w:r>
        <w:t>Survey</w:t>
      </w:r>
    </w:p>
    <w:bookmarkEnd w:id="110"/>
    <w:p w14:paraId="6050BDA3" w14:textId="77777777" w:rsidR="001177FD" w:rsidRDefault="001177FD" w:rsidP="00503112">
      <w:pPr>
        <w:pStyle w:val="BodyTextFirstIndent"/>
      </w:pPr>
      <w:r w:rsidRPr="00503112">
        <w:t>There</w:t>
      </w:r>
      <w:r>
        <w:t xml:space="preserve"> are no unusual problems anticipated.</w:t>
      </w:r>
    </w:p>
    <w:p w14:paraId="1488093C" w14:textId="77777777" w:rsidR="00AD62EE" w:rsidRDefault="00AD62EE" w:rsidP="00FF0F45">
      <w:pPr>
        <w:pStyle w:val="Heading3"/>
      </w:pPr>
      <w:r>
        <w:t>Interviews</w:t>
      </w:r>
    </w:p>
    <w:p w14:paraId="41D6EF4E" w14:textId="77777777" w:rsidR="00FF0F45" w:rsidRPr="004C1A97" w:rsidRDefault="000B7A24" w:rsidP="0091795A">
      <w:pPr>
        <w:pStyle w:val="BodyTextFirstIndent"/>
      </w:pPr>
      <w:r w:rsidRPr="000B7A24">
        <w:t>There are no unusual problems anticipated.</w:t>
      </w:r>
    </w:p>
    <w:p w14:paraId="6DA75920" w14:textId="77777777" w:rsidR="001177FD" w:rsidRDefault="001177FD" w:rsidP="0091795A">
      <w:pPr>
        <w:pStyle w:val="Heading2"/>
      </w:pPr>
      <w:bookmarkStart w:id="111" w:name="_Toc410331610"/>
      <w:bookmarkStart w:id="112" w:name="_Toc410331716"/>
      <w:bookmarkStart w:id="113" w:name="_Toc429570405"/>
      <w:bookmarkStart w:id="114" w:name="_Toc431546811"/>
      <w:bookmarkStart w:id="115" w:name="UseofPeriodicDataCollectionCycles"/>
      <w:r w:rsidRPr="001D254D">
        <w:t xml:space="preserve">Use of Periodic (Less Frequent than Annual) Data Collection Cycles to Reduce </w:t>
      </w:r>
      <w:r w:rsidRPr="00094E91">
        <w:t>Burden</w:t>
      </w:r>
      <w:bookmarkEnd w:id="111"/>
      <w:bookmarkEnd w:id="112"/>
      <w:bookmarkEnd w:id="113"/>
      <w:bookmarkEnd w:id="114"/>
    </w:p>
    <w:p w14:paraId="48132001" w14:textId="77777777" w:rsidR="00FF0F45" w:rsidRPr="00FF0F45" w:rsidRDefault="00FF0F45" w:rsidP="00FF0F45">
      <w:pPr>
        <w:pStyle w:val="Heading3"/>
      </w:pPr>
      <w:r>
        <w:t>Survey</w:t>
      </w:r>
    </w:p>
    <w:bookmarkEnd w:id="115"/>
    <w:p w14:paraId="20BF981D" w14:textId="77777777" w:rsidR="001177FD" w:rsidRDefault="001177FD" w:rsidP="0091795A">
      <w:pPr>
        <w:pStyle w:val="BodyTextFirstIndent"/>
      </w:pPr>
      <w:r w:rsidRPr="00503112">
        <w:t>This</w:t>
      </w:r>
      <w:r>
        <w:t xml:space="preserve"> is a one-time data collection, which will minimize the burden on survey respondents.</w:t>
      </w:r>
    </w:p>
    <w:p w14:paraId="713B4A87" w14:textId="77777777" w:rsidR="00FF0F45" w:rsidRDefault="00FF0F45" w:rsidP="00FF0F45">
      <w:pPr>
        <w:pStyle w:val="Heading3"/>
      </w:pPr>
      <w:r>
        <w:t>Interviews</w:t>
      </w:r>
    </w:p>
    <w:p w14:paraId="0AA70D84" w14:textId="77777777" w:rsidR="00FF0F45" w:rsidRPr="004C1A97" w:rsidRDefault="000B7A24" w:rsidP="00FF0F45">
      <w:pPr>
        <w:pStyle w:val="BodyTextFirstIndent"/>
      </w:pPr>
      <w:r w:rsidRPr="000B7A24">
        <w:t xml:space="preserve">This is a one-time data collection, which will minimize the burden on </w:t>
      </w:r>
      <w:r>
        <w:t>interviewees</w:t>
      </w:r>
      <w:r w:rsidRPr="000B7A24">
        <w:t>.</w:t>
      </w:r>
    </w:p>
    <w:p w14:paraId="45BE26CB" w14:textId="77777777" w:rsidR="001177FD" w:rsidRPr="0091795A" w:rsidRDefault="001177FD" w:rsidP="0091795A">
      <w:pPr>
        <w:pStyle w:val="Heading1"/>
      </w:pPr>
      <w:bookmarkStart w:id="116" w:name="_Ref406145797"/>
      <w:bookmarkStart w:id="117" w:name="_Toc410331611"/>
      <w:bookmarkStart w:id="118" w:name="_Toc410331717"/>
      <w:bookmarkStart w:id="119" w:name="_Toc429570406"/>
      <w:bookmarkStart w:id="120" w:name="_Toc431546812"/>
      <w:r w:rsidRPr="0091795A">
        <w:lastRenderedPageBreak/>
        <w:t>Methods to Maximize Response Rates and Deal with Issues of Non-Response</w:t>
      </w:r>
      <w:bookmarkEnd w:id="116"/>
      <w:bookmarkEnd w:id="117"/>
      <w:bookmarkEnd w:id="118"/>
      <w:bookmarkEnd w:id="119"/>
      <w:bookmarkEnd w:id="120"/>
    </w:p>
    <w:p w14:paraId="2AE3092C" w14:textId="77777777" w:rsidR="001177FD" w:rsidRDefault="001177FD" w:rsidP="0091795A">
      <w:pPr>
        <w:pStyle w:val="Heading2"/>
      </w:pPr>
      <w:bookmarkStart w:id="121" w:name="_Ref406145782"/>
      <w:bookmarkStart w:id="122" w:name="_Toc410331612"/>
      <w:bookmarkStart w:id="123" w:name="_Toc410331718"/>
      <w:bookmarkStart w:id="124" w:name="_Toc429570407"/>
      <w:bookmarkStart w:id="125" w:name="_Toc431546813"/>
      <w:bookmarkStart w:id="126" w:name="MethodstoMaximizeResponseRates"/>
      <w:r w:rsidRPr="001D254D">
        <w:t>Methods to Maximize Response Rates</w:t>
      </w:r>
      <w:bookmarkEnd w:id="121"/>
      <w:bookmarkEnd w:id="122"/>
      <w:bookmarkEnd w:id="123"/>
      <w:bookmarkEnd w:id="124"/>
      <w:bookmarkEnd w:id="125"/>
    </w:p>
    <w:p w14:paraId="62E3A523" w14:textId="77777777" w:rsidR="00FF0F45" w:rsidRPr="00FF0F45" w:rsidRDefault="00FF0F45" w:rsidP="00FF0F45">
      <w:pPr>
        <w:pStyle w:val="Heading3"/>
      </w:pPr>
      <w:r>
        <w:t>Survey</w:t>
      </w:r>
    </w:p>
    <w:bookmarkEnd w:id="126"/>
    <w:p w14:paraId="52432CD8" w14:textId="17E8A580" w:rsidR="00297174" w:rsidRDefault="00297174" w:rsidP="00503112">
      <w:pPr>
        <w:pStyle w:val="BodyTextFirstIndent"/>
      </w:pPr>
      <w:r w:rsidRPr="00297174">
        <w:t>The survey will be implemented both by mail and on line. Survey respondents will receive a pre-notification letter from CMS describing the survey and providing each respondent with the URL of the online survey and their unique username and password. A week later, respondents who have not submitted an online survey will receive the full survey package</w:t>
      </w:r>
      <w:r>
        <w:t xml:space="preserve"> (see </w:t>
      </w:r>
      <w:r w:rsidR="0060188B">
        <w:fldChar w:fldCharType="begin"/>
      </w:r>
      <w:r>
        <w:instrText xml:space="preserve"> REF _Ref435095703 \h </w:instrText>
      </w:r>
      <w:r w:rsidR="0060188B">
        <w:fldChar w:fldCharType="separate"/>
      </w:r>
      <w:r w:rsidR="00464D9D">
        <w:t xml:space="preserve">Table </w:t>
      </w:r>
      <w:r w:rsidR="00464D9D">
        <w:rPr>
          <w:noProof/>
        </w:rPr>
        <w:t>3</w:t>
      </w:r>
      <w:r w:rsidR="0060188B">
        <w:fldChar w:fldCharType="end"/>
      </w:r>
      <w:r>
        <w:t>)</w:t>
      </w:r>
      <w:r w:rsidRPr="00297174">
        <w:t>. This package will include a cover letter from CMS, a</w:t>
      </w:r>
      <w:r w:rsidR="0065651A">
        <w:t xml:space="preserve"> </w:t>
      </w:r>
      <w:r w:rsidRPr="00297174">
        <w:t xml:space="preserve">stamped </w:t>
      </w:r>
      <w:r w:rsidR="0065651A">
        <w:t>return envelope</w:t>
      </w:r>
      <w:r w:rsidRPr="00297174">
        <w:t>, and two survey booklets—one survey for enrollees and one for non-enrollees. Online participation will again be encouraged.</w:t>
      </w:r>
    </w:p>
    <w:p w14:paraId="761C4158" w14:textId="701F3080" w:rsidR="001177FD" w:rsidRDefault="001177FD">
      <w:pPr>
        <w:pStyle w:val="Caption"/>
        <w:spacing w:line="276" w:lineRule="auto"/>
      </w:pPr>
      <w:bookmarkStart w:id="127" w:name="_Ref435095703"/>
      <w:r>
        <w:t xml:space="preserve">Table </w:t>
      </w:r>
      <w:r w:rsidR="0060188B">
        <w:fldChar w:fldCharType="begin"/>
      </w:r>
      <w:r w:rsidR="00317143">
        <w:instrText xml:space="preserve"> SEQ Table \* ARABIC </w:instrText>
      </w:r>
      <w:r w:rsidR="0060188B">
        <w:fldChar w:fldCharType="separate"/>
      </w:r>
      <w:r w:rsidR="00464D9D">
        <w:rPr>
          <w:noProof/>
        </w:rPr>
        <w:t>3</w:t>
      </w:r>
      <w:r w:rsidR="0060188B">
        <w:rPr>
          <w:noProof/>
        </w:rPr>
        <w:fldChar w:fldCharType="end"/>
      </w:r>
      <w:bookmarkEnd w:id="127"/>
      <w:r>
        <w:t xml:space="preserve">: </w:t>
      </w:r>
      <w:r w:rsidRPr="00CC70B2">
        <w:t>Overview of Data Collection Steps to Maximize Response Rates</w:t>
      </w:r>
    </w:p>
    <w:tbl>
      <w:tblPr>
        <w:tblW w:w="9360" w:type="dxa"/>
        <w:jc w:val="center"/>
        <w:tblLook w:val="04A0" w:firstRow="1" w:lastRow="0" w:firstColumn="1" w:lastColumn="0" w:noHBand="0" w:noVBand="1"/>
      </w:tblPr>
      <w:tblGrid>
        <w:gridCol w:w="1885"/>
        <w:gridCol w:w="7475"/>
      </w:tblGrid>
      <w:tr w:rsidR="001177FD" w:rsidRPr="00734F4C" w14:paraId="3C937C6D" w14:textId="77777777" w:rsidTr="00B40925">
        <w:trPr>
          <w:cantSplit/>
          <w:tblHeader/>
          <w:jc w:val="center"/>
        </w:trPr>
        <w:tc>
          <w:tcPr>
            <w:tcW w:w="1885" w:type="dxa"/>
            <w:tcBorders>
              <w:top w:val="single" w:sz="4" w:space="0" w:color="auto"/>
              <w:left w:val="single" w:sz="4" w:space="0" w:color="auto"/>
              <w:bottom w:val="single" w:sz="4" w:space="0" w:color="auto"/>
              <w:right w:val="single" w:sz="4" w:space="0" w:color="auto"/>
            </w:tcBorders>
            <w:shd w:val="clear" w:color="000000" w:fill="DBE5F1" w:themeFill="accent1" w:themeFillTint="33"/>
          </w:tcPr>
          <w:p w14:paraId="3503B5DF" w14:textId="77777777" w:rsidR="001177FD" w:rsidRPr="00734F4C" w:rsidRDefault="001177FD" w:rsidP="0091795A">
            <w:pPr>
              <w:rPr>
                <w:b/>
                <w:sz w:val="20"/>
              </w:rPr>
            </w:pPr>
            <w:r w:rsidRPr="00734F4C">
              <w:rPr>
                <w:b/>
                <w:sz w:val="20"/>
              </w:rPr>
              <w:t>Contact</w:t>
            </w:r>
          </w:p>
        </w:tc>
        <w:tc>
          <w:tcPr>
            <w:tcW w:w="7475" w:type="dxa"/>
            <w:tcBorders>
              <w:top w:val="single" w:sz="4" w:space="0" w:color="auto"/>
              <w:left w:val="nil"/>
              <w:bottom w:val="single" w:sz="4" w:space="0" w:color="auto"/>
              <w:right w:val="single" w:sz="4" w:space="0" w:color="auto"/>
            </w:tcBorders>
            <w:shd w:val="clear" w:color="000000" w:fill="DBE5F1" w:themeFill="accent1" w:themeFillTint="33"/>
          </w:tcPr>
          <w:p w14:paraId="6A64EAE0" w14:textId="77777777" w:rsidR="001177FD" w:rsidRPr="00734F4C" w:rsidRDefault="001177FD" w:rsidP="0091795A">
            <w:pPr>
              <w:rPr>
                <w:b/>
                <w:sz w:val="20"/>
              </w:rPr>
            </w:pPr>
            <w:r w:rsidRPr="00734F4C">
              <w:rPr>
                <w:b/>
                <w:sz w:val="20"/>
              </w:rPr>
              <w:t>Contact Type (Date)</w:t>
            </w:r>
          </w:p>
        </w:tc>
      </w:tr>
      <w:tr w:rsidR="001177FD" w:rsidRPr="00734F4C" w14:paraId="6839EED6" w14:textId="77777777" w:rsidTr="00B40925">
        <w:trPr>
          <w:jc w:val="center"/>
        </w:trPr>
        <w:tc>
          <w:tcPr>
            <w:tcW w:w="1885" w:type="dxa"/>
            <w:tcBorders>
              <w:top w:val="nil"/>
              <w:left w:val="single" w:sz="4" w:space="0" w:color="auto"/>
              <w:bottom w:val="single" w:sz="4" w:space="0" w:color="auto"/>
              <w:right w:val="single" w:sz="4" w:space="0" w:color="auto"/>
            </w:tcBorders>
            <w:shd w:val="clear" w:color="auto" w:fill="auto"/>
            <w:vAlign w:val="center"/>
          </w:tcPr>
          <w:p w14:paraId="01192E67" w14:textId="77777777" w:rsidR="001177FD" w:rsidRPr="00734F4C" w:rsidRDefault="001177FD" w:rsidP="0091795A">
            <w:pPr>
              <w:rPr>
                <w:sz w:val="20"/>
              </w:rPr>
            </w:pPr>
            <w:r w:rsidRPr="00734F4C">
              <w:rPr>
                <w:sz w:val="20"/>
              </w:rPr>
              <w:t>Initial Contact</w:t>
            </w:r>
          </w:p>
        </w:tc>
        <w:tc>
          <w:tcPr>
            <w:tcW w:w="7475" w:type="dxa"/>
            <w:tcBorders>
              <w:top w:val="nil"/>
              <w:left w:val="nil"/>
              <w:bottom w:val="single" w:sz="4" w:space="0" w:color="auto"/>
              <w:right w:val="single" w:sz="4" w:space="0" w:color="auto"/>
            </w:tcBorders>
            <w:shd w:val="clear" w:color="auto" w:fill="auto"/>
            <w:vAlign w:val="center"/>
          </w:tcPr>
          <w:p w14:paraId="3E15DFDD" w14:textId="77777777" w:rsidR="001177FD" w:rsidRPr="00734F4C" w:rsidRDefault="001177FD" w:rsidP="0091795A">
            <w:pPr>
              <w:rPr>
                <w:sz w:val="20"/>
              </w:rPr>
            </w:pPr>
            <w:r w:rsidRPr="00734F4C">
              <w:rPr>
                <w:sz w:val="20"/>
              </w:rPr>
              <w:t>Mail / Survey Cover Letter (i.e., pre-notification letter) / Survey Link / Incentive</w:t>
            </w:r>
          </w:p>
        </w:tc>
      </w:tr>
      <w:tr w:rsidR="001177FD" w:rsidRPr="00734F4C" w14:paraId="72120B3D" w14:textId="77777777" w:rsidTr="00B40925">
        <w:trPr>
          <w:jc w:val="center"/>
        </w:trPr>
        <w:tc>
          <w:tcPr>
            <w:tcW w:w="1885" w:type="dxa"/>
            <w:tcBorders>
              <w:top w:val="nil"/>
              <w:left w:val="single" w:sz="4" w:space="0" w:color="auto"/>
              <w:bottom w:val="single" w:sz="4" w:space="0" w:color="auto"/>
              <w:right w:val="single" w:sz="4" w:space="0" w:color="auto"/>
            </w:tcBorders>
            <w:shd w:val="clear" w:color="auto" w:fill="auto"/>
            <w:vAlign w:val="center"/>
          </w:tcPr>
          <w:p w14:paraId="118C6CF9" w14:textId="77777777" w:rsidR="001177FD" w:rsidRPr="00734F4C" w:rsidRDefault="001177FD" w:rsidP="0091795A">
            <w:pPr>
              <w:rPr>
                <w:sz w:val="20"/>
              </w:rPr>
            </w:pPr>
            <w:r w:rsidRPr="00734F4C">
              <w:rPr>
                <w:sz w:val="20"/>
              </w:rPr>
              <w:t>First Reminder</w:t>
            </w:r>
          </w:p>
        </w:tc>
        <w:tc>
          <w:tcPr>
            <w:tcW w:w="7475" w:type="dxa"/>
            <w:tcBorders>
              <w:top w:val="nil"/>
              <w:left w:val="nil"/>
              <w:bottom w:val="single" w:sz="4" w:space="0" w:color="auto"/>
              <w:right w:val="single" w:sz="4" w:space="0" w:color="auto"/>
            </w:tcBorders>
            <w:shd w:val="clear" w:color="auto" w:fill="auto"/>
            <w:vAlign w:val="center"/>
          </w:tcPr>
          <w:p w14:paraId="533D4F24" w14:textId="77777777" w:rsidR="001177FD" w:rsidRPr="00734F4C" w:rsidRDefault="001177FD" w:rsidP="0091795A">
            <w:pPr>
              <w:rPr>
                <w:sz w:val="20"/>
              </w:rPr>
            </w:pPr>
            <w:r w:rsidRPr="00734F4C">
              <w:rPr>
                <w:sz w:val="20"/>
              </w:rPr>
              <w:t>Mail / Survey Reminder Cover Letter / Survey Hardcopy / Survey Link (1-2 weeks after initial mailing)</w:t>
            </w:r>
          </w:p>
        </w:tc>
      </w:tr>
      <w:tr w:rsidR="001177FD" w:rsidRPr="00734F4C" w14:paraId="58F971B9" w14:textId="77777777" w:rsidTr="00B40925">
        <w:trPr>
          <w:jc w:val="center"/>
        </w:trPr>
        <w:tc>
          <w:tcPr>
            <w:tcW w:w="1885" w:type="dxa"/>
            <w:tcBorders>
              <w:top w:val="nil"/>
              <w:left w:val="single" w:sz="4" w:space="0" w:color="auto"/>
              <w:bottom w:val="single" w:sz="4" w:space="0" w:color="auto"/>
              <w:right w:val="single" w:sz="4" w:space="0" w:color="auto"/>
            </w:tcBorders>
            <w:shd w:val="clear" w:color="auto" w:fill="auto"/>
            <w:vAlign w:val="center"/>
          </w:tcPr>
          <w:p w14:paraId="39462A55" w14:textId="77777777" w:rsidR="001177FD" w:rsidRPr="00734F4C" w:rsidRDefault="001177FD" w:rsidP="0091795A">
            <w:pPr>
              <w:rPr>
                <w:sz w:val="20"/>
              </w:rPr>
            </w:pPr>
            <w:r w:rsidRPr="00734F4C">
              <w:rPr>
                <w:sz w:val="20"/>
              </w:rPr>
              <w:t>Second Reminder</w:t>
            </w:r>
          </w:p>
        </w:tc>
        <w:tc>
          <w:tcPr>
            <w:tcW w:w="7475" w:type="dxa"/>
            <w:tcBorders>
              <w:top w:val="nil"/>
              <w:left w:val="nil"/>
              <w:bottom w:val="single" w:sz="4" w:space="0" w:color="auto"/>
              <w:right w:val="single" w:sz="4" w:space="0" w:color="auto"/>
            </w:tcBorders>
            <w:shd w:val="clear" w:color="auto" w:fill="auto"/>
            <w:vAlign w:val="center"/>
          </w:tcPr>
          <w:p w14:paraId="53D2CC6E" w14:textId="77777777" w:rsidR="001177FD" w:rsidRPr="00734F4C" w:rsidRDefault="001177FD" w:rsidP="0091795A">
            <w:pPr>
              <w:rPr>
                <w:sz w:val="20"/>
              </w:rPr>
            </w:pPr>
            <w:r w:rsidRPr="00734F4C">
              <w:rPr>
                <w:sz w:val="20"/>
              </w:rPr>
              <w:t>Postcard / Survey Link (1-2 weeks after first reminder)</w:t>
            </w:r>
          </w:p>
        </w:tc>
      </w:tr>
      <w:tr w:rsidR="001177FD" w:rsidRPr="00734F4C" w14:paraId="589F4C66" w14:textId="77777777" w:rsidTr="00B40925">
        <w:trPr>
          <w:jc w:val="center"/>
        </w:trPr>
        <w:tc>
          <w:tcPr>
            <w:tcW w:w="1885" w:type="dxa"/>
            <w:tcBorders>
              <w:top w:val="nil"/>
              <w:left w:val="single" w:sz="4" w:space="0" w:color="auto"/>
              <w:bottom w:val="single" w:sz="4" w:space="0" w:color="auto"/>
              <w:right w:val="single" w:sz="4" w:space="0" w:color="auto"/>
            </w:tcBorders>
            <w:shd w:val="clear" w:color="auto" w:fill="auto"/>
            <w:vAlign w:val="center"/>
          </w:tcPr>
          <w:p w14:paraId="748CB745" w14:textId="77777777" w:rsidR="001177FD" w:rsidRPr="00734F4C" w:rsidRDefault="001177FD" w:rsidP="0091795A">
            <w:pPr>
              <w:rPr>
                <w:sz w:val="20"/>
              </w:rPr>
            </w:pPr>
            <w:r w:rsidRPr="00734F4C">
              <w:rPr>
                <w:sz w:val="20"/>
              </w:rPr>
              <w:t>Third Reminder</w:t>
            </w:r>
          </w:p>
        </w:tc>
        <w:tc>
          <w:tcPr>
            <w:tcW w:w="7475" w:type="dxa"/>
            <w:tcBorders>
              <w:top w:val="nil"/>
              <w:left w:val="nil"/>
              <w:bottom w:val="single" w:sz="4" w:space="0" w:color="auto"/>
              <w:right w:val="single" w:sz="4" w:space="0" w:color="auto"/>
            </w:tcBorders>
            <w:shd w:val="clear" w:color="auto" w:fill="auto"/>
            <w:vAlign w:val="center"/>
          </w:tcPr>
          <w:p w14:paraId="555FD5F0" w14:textId="77777777" w:rsidR="001177FD" w:rsidRPr="00734F4C" w:rsidRDefault="001177FD" w:rsidP="0091795A">
            <w:pPr>
              <w:rPr>
                <w:sz w:val="20"/>
              </w:rPr>
            </w:pPr>
            <w:r w:rsidRPr="00734F4C">
              <w:rPr>
                <w:sz w:val="20"/>
              </w:rPr>
              <w:t>Mail / Survey Reminder Cover Letter / Survey Hardcopy / Survey Link (1-2 weeks after second reminder)</w:t>
            </w:r>
          </w:p>
        </w:tc>
      </w:tr>
      <w:tr w:rsidR="001177FD" w:rsidRPr="00734F4C" w14:paraId="0911F530" w14:textId="77777777" w:rsidTr="00B40925">
        <w:trPr>
          <w:jc w:val="center"/>
        </w:trPr>
        <w:tc>
          <w:tcPr>
            <w:tcW w:w="1885" w:type="dxa"/>
            <w:tcBorders>
              <w:top w:val="nil"/>
              <w:left w:val="single" w:sz="4" w:space="0" w:color="auto"/>
              <w:bottom w:val="single" w:sz="4" w:space="0" w:color="auto"/>
              <w:right w:val="single" w:sz="4" w:space="0" w:color="auto"/>
            </w:tcBorders>
            <w:shd w:val="clear" w:color="auto" w:fill="auto"/>
            <w:vAlign w:val="center"/>
          </w:tcPr>
          <w:p w14:paraId="7242DAB0" w14:textId="77777777" w:rsidR="001177FD" w:rsidRPr="00734F4C" w:rsidRDefault="001177FD" w:rsidP="0091795A">
            <w:pPr>
              <w:rPr>
                <w:sz w:val="20"/>
              </w:rPr>
            </w:pPr>
            <w:r w:rsidRPr="00734F4C">
              <w:rPr>
                <w:sz w:val="20"/>
              </w:rPr>
              <w:t>Fourth Reminder</w:t>
            </w:r>
          </w:p>
        </w:tc>
        <w:tc>
          <w:tcPr>
            <w:tcW w:w="7475" w:type="dxa"/>
            <w:tcBorders>
              <w:top w:val="nil"/>
              <w:left w:val="nil"/>
              <w:bottom w:val="single" w:sz="4" w:space="0" w:color="auto"/>
              <w:right w:val="single" w:sz="4" w:space="0" w:color="auto"/>
            </w:tcBorders>
            <w:shd w:val="clear" w:color="auto" w:fill="auto"/>
            <w:vAlign w:val="center"/>
          </w:tcPr>
          <w:p w14:paraId="09CC98E3" w14:textId="77777777" w:rsidR="001177FD" w:rsidRPr="00734F4C" w:rsidRDefault="001177FD" w:rsidP="0091795A">
            <w:pPr>
              <w:rPr>
                <w:sz w:val="20"/>
              </w:rPr>
            </w:pPr>
            <w:r w:rsidRPr="00734F4C">
              <w:rPr>
                <w:sz w:val="20"/>
              </w:rPr>
              <w:t xml:space="preserve">Reminder phone call </w:t>
            </w:r>
            <w:r w:rsidR="00371CCC">
              <w:rPr>
                <w:sz w:val="20"/>
              </w:rPr>
              <w:t xml:space="preserve">with an option to complete the survey via phone </w:t>
            </w:r>
            <w:r w:rsidRPr="00734F4C">
              <w:rPr>
                <w:sz w:val="20"/>
              </w:rPr>
              <w:t>(1-2 weeks after third reminder)</w:t>
            </w:r>
          </w:p>
        </w:tc>
      </w:tr>
    </w:tbl>
    <w:p w14:paraId="10F7F92C" w14:textId="661F4AEE" w:rsidR="007611BF" w:rsidRDefault="00BB07BE" w:rsidP="007611BF">
      <w:pPr>
        <w:pStyle w:val="BodyTextFirstIndent"/>
      </w:pPr>
      <w:r>
        <w:fldChar w:fldCharType="begin"/>
      </w:r>
      <w:r>
        <w:instrText xml:space="preserve"> REF _Ref435095703 \h  \* MERGEFORMAT </w:instrText>
      </w:r>
      <w:r>
        <w:fldChar w:fldCharType="separate"/>
      </w:r>
      <w:r w:rsidR="00464D9D">
        <w:t>Table 3</w:t>
      </w:r>
      <w:r>
        <w:fldChar w:fldCharType="end"/>
      </w:r>
      <w:r w:rsidR="000E4E4B">
        <w:t xml:space="preserve"> </w:t>
      </w:r>
      <w:r w:rsidR="00713881">
        <w:t>illustrates</w:t>
      </w:r>
      <w:r w:rsidR="007611BF">
        <w:t xml:space="preserve"> th</w:t>
      </w:r>
      <w:r w:rsidR="00713881">
        <w:t>e</w:t>
      </w:r>
      <w:r w:rsidR="007611BF">
        <w:t xml:space="preserve"> multiple </w:t>
      </w:r>
      <w:r w:rsidR="000E4E4B">
        <w:t>strateg</w:t>
      </w:r>
      <w:r w:rsidR="00713881">
        <w:t xml:space="preserve">ies we will employ </w:t>
      </w:r>
      <w:r w:rsidR="007611BF">
        <w:t xml:space="preserve">to </w:t>
      </w:r>
      <w:r w:rsidR="007611BF" w:rsidRPr="00C36BAB">
        <w:t>maximize response rates</w:t>
      </w:r>
      <w:r w:rsidR="007611BF">
        <w:t xml:space="preserve">, including multiple contacts (i.e., an initial contact and several reminders), pre-notification letters, the availability of a Spanish-language survey, multiple modes of administration, and incentives. </w:t>
      </w:r>
      <w:r w:rsidR="0065651A">
        <w:t xml:space="preserve">Text of the </w:t>
      </w:r>
      <w:r w:rsidR="007611BF">
        <w:t xml:space="preserve">notifications and reminders are provided in the Appendix B. </w:t>
      </w:r>
    </w:p>
    <w:p w14:paraId="7D6BB176" w14:textId="32BD7B35" w:rsidR="007611BF" w:rsidRPr="00C4045C" w:rsidRDefault="007611BF" w:rsidP="002679F9">
      <w:pPr>
        <w:pStyle w:val="BodyTextFirstIndent"/>
      </w:pPr>
      <w:r w:rsidRPr="0062145C">
        <w:rPr>
          <w:i/>
        </w:rPr>
        <w:t>Simplification of survey into two forms</w:t>
      </w:r>
      <w:r>
        <w:t>:</w:t>
      </w:r>
      <w:r w:rsidRPr="00C4045C">
        <w:t xml:space="preserve"> To </w:t>
      </w:r>
      <w:r>
        <w:t xml:space="preserve">minimize </w:t>
      </w:r>
      <w:r w:rsidRPr="00C4045C">
        <w:t xml:space="preserve">non-response </w:t>
      </w:r>
      <w:r w:rsidR="00B31D12">
        <w:t xml:space="preserve">rates we </w:t>
      </w:r>
      <w:r w:rsidRPr="00C4045C">
        <w:t xml:space="preserve">will include two separate survey booklets in each mailed survey package—one booklet for enrollees and one for non-enrollees. </w:t>
      </w:r>
    </w:p>
    <w:p w14:paraId="2783EDB0" w14:textId="3CF771D3" w:rsidR="00286EBA" w:rsidRPr="00B627FA" w:rsidRDefault="00286EBA" w:rsidP="0091795A">
      <w:pPr>
        <w:pStyle w:val="BodyTextFirstIndent"/>
      </w:pPr>
      <w:r w:rsidRPr="00B627FA">
        <w:rPr>
          <w:i/>
          <w:iCs/>
        </w:rPr>
        <w:t>Multiple contacts</w:t>
      </w:r>
      <w:r w:rsidR="0065651A">
        <w:rPr>
          <w:i/>
          <w:iCs/>
        </w:rPr>
        <w:t>.</w:t>
      </w:r>
      <w:r w:rsidRPr="0091795A">
        <w:rPr>
          <w:i/>
        </w:rPr>
        <w:t xml:space="preserve"> </w:t>
      </w:r>
      <w:r>
        <w:t xml:space="preserve">In this data collection, we plan to follow the </w:t>
      </w:r>
      <w:r w:rsidRPr="00A07440">
        <w:t>Dillman</w:t>
      </w:r>
      <w:r>
        <w:t xml:space="preserve"> Total Design survey method </w:t>
      </w:r>
      <w:sdt>
        <w:sdtPr>
          <w:id w:val="7240033"/>
          <w:citation/>
        </w:sdtPr>
        <w:sdtEndPr/>
        <w:sdtContent>
          <w:r w:rsidR="0060188B">
            <w:fldChar w:fldCharType="begin"/>
          </w:r>
          <w:r>
            <w:instrText xml:space="preserve"> CITATION Dil \l 1033  </w:instrText>
          </w:r>
          <w:r w:rsidR="0060188B">
            <w:fldChar w:fldCharType="separate"/>
          </w:r>
          <w:r w:rsidR="00464D9D">
            <w:rPr>
              <w:noProof/>
            </w:rPr>
            <w:t>(Dillman, et al., 2014)</w:t>
          </w:r>
          <w:r w:rsidR="0060188B">
            <w:fldChar w:fldCharType="end"/>
          </w:r>
        </w:sdtContent>
      </w:sdt>
      <w:r>
        <w:t xml:space="preserve">, which emphasizes multiple contacts </w:t>
      </w:r>
      <w:r w:rsidRPr="00B627FA">
        <w:t xml:space="preserve">with members of the sample </w:t>
      </w:r>
      <w:r>
        <w:t>as being</w:t>
      </w:r>
      <w:r w:rsidRPr="00B627FA">
        <w:t xml:space="preserve"> one of the most successful techniques to increase response rates. This technique is now considered standard methodology for any survey. </w:t>
      </w:r>
      <w:r>
        <w:t xml:space="preserve">In this survey, we will use </w:t>
      </w:r>
      <w:r w:rsidRPr="00B627FA">
        <w:t>a pre-notification message</w:t>
      </w:r>
      <w:r>
        <w:t xml:space="preserve">, which also includes the survey link, </w:t>
      </w:r>
      <w:r w:rsidRPr="00B627FA">
        <w:t>followed by a copy of the survey with a cover message (a reminder sent to all respondents shortly after they receive the copy of the survey), followed</w:t>
      </w:r>
      <w:r>
        <w:t>,</w:t>
      </w:r>
      <w:r w:rsidRPr="00B627FA">
        <w:t xml:space="preserve"> finally</w:t>
      </w:r>
      <w:r>
        <w:t>,</w:t>
      </w:r>
      <w:r w:rsidRPr="00B627FA">
        <w:t xml:space="preserve"> by one or more contacts with non-respondents using </w:t>
      </w:r>
      <w:r>
        <w:t xml:space="preserve">a </w:t>
      </w:r>
      <w:r w:rsidRPr="00B627FA">
        <w:t xml:space="preserve">combination of messages </w:t>
      </w:r>
      <w:r>
        <w:t xml:space="preserve">(post card) </w:t>
      </w:r>
      <w:r w:rsidRPr="00B627FA">
        <w:t xml:space="preserve">and </w:t>
      </w:r>
      <w:r>
        <w:t xml:space="preserve">complete </w:t>
      </w:r>
      <w:r w:rsidRPr="00B627FA">
        <w:t>survey</w:t>
      </w:r>
      <w:r>
        <w:t xml:space="preserve"> packages</w:t>
      </w:r>
      <w:r w:rsidRPr="00B627FA">
        <w:t xml:space="preserve">. </w:t>
      </w:r>
      <w:r>
        <w:t>Phone calls to non-responsive beneficiaries will only be made as a fourth reminder, four to eight weeks after the initial contact</w:t>
      </w:r>
      <w:r w:rsidR="00B31D12">
        <w:t>.</w:t>
      </w:r>
    </w:p>
    <w:p w14:paraId="0B42400C" w14:textId="20D61E4B" w:rsidR="001177FD" w:rsidRDefault="001177FD" w:rsidP="0091795A">
      <w:pPr>
        <w:pStyle w:val="BodyTextFirstIndent"/>
      </w:pPr>
      <w:r w:rsidRPr="00B627FA">
        <w:rPr>
          <w:i/>
          <w:iCs/>
        </w:rPr>
        <w:t>Pre-notification letters/emails</w:t>
      </w:r>
      <w:r w:rsidRPr="00B627FA">
        <w:t xml:space="preserve"> that provide more information on the study increase respondent confidence in the validity and the importance of the study resulting in higher response rates.</w:t>
      </w:r>
      <w:r>
        <w:t xml:space="preserve"> </w:t>
      </w:r>
      <w:r w:rsidR="00845F98">
        <w:t>As such</w:t>
      </w:r>
      <w:r w:rsidR="003550D3">
        <w:t xml:space="preserve">, </w:t>
      </w:r>
      <w:r w:rsidR="00845F98">
        <w:t xml:space="preserve">we will send out </w:t>
      </w:r>
      <w:r>
        <w:t>pre-notification letter</w:t>
      </w:r>
      <w:r w:rsidR="00845F98">
        <w:t>s</w:t>
      </w:r>
      <w:r>
        <w:t xml:space="preserve"> </w:t>
      </w:r>
      <w:r w:rsidR="00845F98">
        <w:t xml:space="preserve">as part of </w:t>
      </w:r>
      <w:r>
        <w:t>this data collection</w:t>
      </w:r>
      <w:r w:rsidR="00845F98">
        <w:t xml:space="preserve"> effort</w:t>
      </w:r>
      <w:r>
        <w:t>.</w:t>
      </w:r>
    </w:p>
    <w:p w14:paraId="079FCE4D" w14:textId="5154E076" w:rsidR="001177FD" w:rsidRPr="00612281" w:rsidRDefault="001177FD" w:rsidP="0091795A">
      <w:pPr>
        <w:pStyle w:val="BodyTextFirstIndent"/>
      </w:pPr>
      <w:r w:rsidRPr="005776CC">
        <w:rPr>
          <w:i/>
        </w:rPr>
        <w:t>Translation availability</w:t>
      </w:r>
      <w:r w:rsidR="0065651A">
        <w:t>.</w:t>
      </w:r>
      <w:r>
        <w:t xml:space="preserve"> </w:t>
      </w:r>
      <w:r w:rsidRPr="00EA30C2">
        <w:t>The survey package</w:t>
      </w:r>
      <w:r>
        <w:t xml:space="preserve"> and accompanying mailings</w:t>
      </w:r>
      <w:r w:rsidRPr="00EA30C2">
        <w:t xml:space="preserve"> will include </w:t>
      </w:r>
      <w:r>
        <w:t>text</w:t>
      </w:r>
      <w:r w:rsidRPr="00EA30C2">
        <w:t xml:space="preserve"> in Spanish </w:t>
      </w:r>
      <w:r>
        <w:t>that provides</w:t>
      </w:r>
      <w:r w:rsidRPr="00EA30C2">
        <w:t xml:space="preserve"> the phone number to request a Spanish version of the letter and survey.</w:t>
      </w:r>
    </w:p>
    <w:p w14:paraId="18BA0D75" w14:textId="4033F811" w:rsidR="001177FD" w:rsidRDefault="001177FD" w:rsidP="0091795A">
      <w:pPr>
        <w:pStyle w:val="BodyTextFirstIndent"/>
      </w:pPr>
      <w:r w:rsidRPr="00B627FA">
        <w:rPr>
          <w:i/>
          <w:iCs/>
        </w:rPr>
        <w:lastRenderedPageBreak/>
        <w:t>Multiple mode administration</w:t>
      </w:r>
      <w:r w:rsidRPr="00B627FA">
        <w:t xml:space="preserve"> (phone and mail, mail and Web, etc</w:t>
      </w:r>
      <w:r>
        <w:t>.</w:t>
      </w:r>
      <w:r w:rsidRPr="00B627FA">
        <w:t xml:space="preserve">) of a survey has been shown to increase response rates </w:t>
      </w:r>
      <w:sdt>
        <w:sdtPr>
          <w:id w:val="7240038"/>
          <w:citation/>
        </w:sdtPr>
        <w:sdtEndPr/>
        <w:sdtContent>
          <w:r w:rsidR="0060188B">
            <w:fldChar w:fldCharType="begin"/>
          </w:r>
          <w:r>
            <w:instrText xml:space="preserve"> CITATION Dil \l 1033 </w:instrText>
          </w:r>
          <w:r w:rsidR="0060188B">
            <w:fldChar w:fldCharType="separate"/>
          </w:r>
          <w:r w:rsidR="00464D9D">
            <w:rPr>
              <w:noProof/>
            </w:rPr>
            <w:t>(Dillman, et al., 2014)</w:t>
          </w:r>
          <w:r w:rsidR="0060188B">
            <w:fldChar w:fldCharType="end"/>
          </w:r>
        </w:sdtContent>
      </w:sdt>
      <w:r w:rsidRPr="00B627FA">
        <w:t xml:space="preserve">. Additionally, the use of multiple modes can also reduce </w:t>
      </w:r>
      <w:r>
        <w:t>non-response</w:t>
      </w:r>
      <w:r w:rsidRPr="00B627FA">
        <w:t xml:space="preserve"> error and data collection costs.</w:t>
      </w:r>
      <w:r>
        <w:t xml:space="preserve"> In this survey, respondents will be offered the option of </w:t>
      </w:r>
      <w:r w:rsidR="00845F98">
        <w:t xml:space="preserve">completing </w:t>
      </w:r>
      <w:r>
        <w:t xml:space="preserve">the survey on-line. </w:t>
      </w:r>
    </w:p>
    <w:p w14:paraId="34A2FECC" w14:textId="2542941D" w:rsidR="001177FD" w:rsidRPr="00B627FA" w:rsidRDefault="001177FD" w:rsidP="0091795A">
      <w:pPr>
        <w:pStyle w:val="BodyTextFirstIndent"/>
        <w:rPr>
          <w:szCs w:val="22"/>
        </w:rPr>
      </w:pPr>
      <w:r w:rsidRPr="001F2284">
        <w:rPr>
          <w:i/>
          <w:szCs w:val="22"/>
        </w:rPr>
        <w:t>Incentives</w:t>
      </w:r>
      <w:r w:rsidR="0065651A">
        <w:rPr>
          <w:i/>
          <w:szCs w:val="22"/>
        </w:rPr>
        <w:t>.</w:t>
      </w:r>
      <w:r w:rsidR="00286EBA" w:rsidRPr="0091795A">
        <w:rPr>
          <w:i/>
        </w:rPr>
        <w:t xml:space="preserve"> </w:t>
      </w:r>
      <w:r>
        <w:t>All survey respondents will receive a $2 cash incentive enclosed in the survey package as a means to increase their likelihood of response. Although some earlier studies reported ambiguous results from enclosing small, noncontingent (i.e., the incentive is not contingent on participation) cash incentives with mailed surveys, more recent studies and meta-analyses have refined this view</w:t>
      </w:r>
      <w:r w:rsidRPr="00AD2DD0">
        <w:t xml:space="preserve">. </w:t>
      </w:r>
      <w:r w:rsidR="00B25470" w:rsidRPr="00AD2DD0">
        <w:t xml:space="preserve">Mercer et al. </w:t>
      </w:r>
      <w:sdt>
        <w:sdtPr>
          <w:id w:val="-1195532374"/>
          <w:citation/>
        </w:sdtPr>
        <w:sdtEndPr/>
        <w:sdtContent>
          <w:r w:rsidR="00B25470" w:rsidRPr="00094F1C">
            <w:fldChar w:fldCharType="begin"/>
          </w:r>
          <w:r w:rsidR="00B25470" w:rsidRPr="00AD2DD0">
            <w:instrText xml:space="preserve">CITATION Mer15 \n  \l 1033 </w:instrText>
          </w:r>
          <w:r w:rsidR="00B25470" w:rsidRPr="00094F1C">
            <w:fldChar w:fldCharType="separate"/>
          </w:r>
          <w:r w:rsidR="00464D9D">
            <w:rPr>
              <w:noProof/>
            </w:rPr>
            <w:t>(2015)</w:t>
          </w:r>
          <w:r w:rsidR="00B25470" w:rsidRPr="00094F1C">
            <w:fldChar w:fldCharType="end"/>
          </w:r>
        </w:sdtContent>
      </w:sdt>
      <w:r w:rsidRPr="00AD2DD0">
        <w:t xml:space="preserve"> analyzed results from over 40 studies and reported that surveys with a $2 noncontingent incentive resulted in a 10 percent higher response rate than those with no incentive. Parsons and Manierre (2014), in their study of incentives, response rates, and nonresponse bias, referenced Millar and Dillman (2011), who found that a mailed survey notification with a $2 incentive elevated response rates to a web survey among college students from 21.2 percent (notification without incentive) to 38.2 percent. Parsons and Manierre further stated: “</w:t>
      </w:r>
      <w:r w:rsidRPr="00AD2DD0">
        <w:rPr>
          <w:rFonts w:eastAsia="Arial Unicode MS"/>
          <w:color w:val="000000"/>
          <w:spacing w:val="-5"/>
        </w:rPr>
        <w:t xml:space="preserve">Overall, the research in this area suggests that unconditional incentives reduce nonresponse bias.” Gneezy and Rey-Biel </w:t>
      </w:r>
      <w:sdt>
        <w:sdtPr>
          <w:rPr>
            <w:rFonts w:eastAsia="Arial Unicode MS"/>
            <w:color w:val="000000"/>
            <w:spacing w:val="-5"/>
          </w:rPr>
          <w:id w:val="1722940402"/>
          <w:citation/>
        </w:sdtPr>
        <w:sdtEndPr/>
        <w:sdtContent>
          <w:r w:rsidR="001B5931">
            <w:rPr>
              <w:rFonts w:eastAsia="Arial Unicode MS"/>
              <w:color w:val="000000"/>
              <w:spacing w:val="-5"/>
            </w:rPr>
            <w:fldChar w:fldCharType="begin"/>
          </w:r>
          <w:r w:rsidR="001B5931">
            <w:rPr>
              <w:rFonts w:eastAsia="Arial Unicode MS"/>
              <w:color w:val="000000"/>
              <w:spacing w:val="-5"/>
            </w:rPr>
            <w:instrText xml:space="preserve">CITATION Gne14 \n  \t  \l 1033 </w:instrText>
          </w:r>
          <w:r w:rsidR="001B5931">
            <w:rPr>
              <w:rFonts w:eastAsia="Arial Unicode MS"/>
              <w:color w:val="000000"/>
              <w:spacing w:val="-5"/>
            </w:rPr>
            <w:fldChar w:fldCharType="separate"/>
          </w:r>
          <w:r w:rsidR="00464D9D" w:rsidRPr="00464D9D">
            <w:rPr>
              <w:rFonts w:eastAsia="Arial Unicode MS"/>
              <w:noProof/>
              <w:color w:val="000000"/>
              <w:spacing w:val="-5"/>
            </w:rPr>
            <w:t>(2014)</w:t>
          </w:r>
          <w:r w:rsidR="001B5931">
            <w:rPr>
              <w:rFonts w:eastAsia="Arial Unicode MS"/>
              <w:color w:val="000000"/>
              <w:spacing w:val="-5"/>
            </w:rPr>
            <w:fldChar w:fldCharType="end"/>
          </w:r>
        </w:sdtContent>
      </w:sdt>
      <w:r w:rsidRPr="00AD2DD0">
        <w:rPr>
          <w:rFonts w:eastAsia="Arial Unicode MS"/>
          <w:color w:val="000000"/>
          <w:spacing w:val="-5"/>
        </w:rPr>
        <w:t xml:space="preserve"> assessed the</w:t>
      </w:r>
      <w:r>
        <w:rPr>
          <w:rFonts w:eastAsia="Arial Unicode MS"/>
          <w:color w:val="000000"/>
          <w:spacing w:val="-5"/>
        </w:rPr>
        <w:t xml:space="preserve"> impact of incentives in increments from zero to $30 and found that a $1 incentive doubled the response rate obtained without incentive (i.e., a 100 percent increase), and that a $2 incentive increased the no-incentive rate by over 140 percent. </w:t>
      </w:r>
    </w:p>
    <w:p w14:paraId="6C15A1E9" w14:textId="0638E465" w:rsidR="001177FD" w:rsidRDefault="001177FD" w:rsidP="0091795A">
      <w:pPr>
        <w:pStyle w:val="BodyTextFirstIndent"/>
      </w:pPr>
      <w:r w:rsidRPr="00503112">
        <w:t>Since</w:t>
      </w:r>
      <w:r w:rsidRPr="00B627FA">
        <w:t xml:space="preserve"> widely</w:t>
      </w:r>
      <w:r>
        <w:t xml:space="preserve"> </w:t>
      </w:r>
      <w:r w:rsidRPr="00B627FA">
        <w:t>accepted data collection techniques</w:t>
      </w:r>
      <w:r>
        <w:t xml:space="preserve"> </w:t>
      </w:r>
      <w:r w:rsidR="00286EBA">
        <w:t>are</w:t>
      </w:r>
      <w:r>
        <w:t xml:space="preserve"> being used </w:t>
      </w:r>
      <w:r w:rsidRPr="00B627FA">
        <w:t xml:space="preserve">and substantial resources </w:t>
      </w:r>
      <w:r>
        <w:t xml:space="preserve">are being devoted </w:t>
      </w:r>
      <w:r w:rsidRPr="00B627FA">
        <w:t xml:space="preserve">to minimize </w:t>
      </w:r>
      <w:r>
        <w:t>non-response</w:t>
      </w:r>
      <w:r w:rsidRPr="00B627FA">
        <w:t>, we expect the response rate to this survey to be comparable or better than that achieved for surveys of similar size and scope.</w:t>
      </w:r>
    </w:p>
    <w:p w14:paraId="14F164A1" w14:textId="77777777" w:rsidR="00FF0F45" w:rsidRDefault="00FF0F45" w:rsidP="00FF0F45">
      <w:pPr>
        <w:pStyle w:val="Heading3"/>
      </w:pPr>
      <w:r>
        <w:t>Interviews</w:t>
      </w:r>
    </w:p>
    <w:p w14:paraId="0BAE2712" w14:textId="1A59CAF4" w:rsidR="00FF0F45" w:rsidRPr="004C1A97" w:rsidRDefault="000B7A24" w:rsidP="00FF0F45">
      <w:pPr>
        <w:pStyle w:val="BodyTextFirstIndent"/>
      </w:pPr>
      <w:r w:rsidRPr="000B7A24">
        <w:t>To maximize response rates</w:t>
      </w:r>
      <w:r w:rsidR="009250A4">
        <w:t xml:space="preserve"> of interviews,</w:t>
      </w:r>
      <w:r w:rsidRPr="000B7A24">
        <w:t xml:space="preserve"> </w:t>
      </w:r>
      <w:r w:rsidR="00C66F58">
        <w:t>w</w:t>
      </w:r>
      <w:r w:rsidRPr="000B7A24">
        <w:t xml:space="preserve">e will conduct pre-notification phone calls and schedule </w:t>
      </w:r>
      <w:r w:rsidR="006D568B">
        <w:t xml:space="preserve">interviews at times that are convenient to participants, including </w:t>
      </w:r>
      <w:r w:rsidRPr="000B7A24">
        <w:t>early morning or evening phone interviews</w:t>
      </w:r>
      <w:r>
        <w:t>.</w:t>
      </w:r>
      <w:r w:rsidRPr="000B7A24">
        <w:t xml:space="preserve"> </w:t>
      </w:r>
      <w:r w:rsidR="00C66F58">
        <w:t>Additionally, we will use</w:t>
      </w:r>
      <w:r w:rsidRPr="000B7A24">
        <w:t xml:space="preserve"> multiple contacts to recruit and follow-up with participants </w:t>
      </w:r>
      <w:sdt>
        <w:sdtPr>
          <w:id w:val="2005460154"/>
          <w:citation/>
        </w:sdtPr>
        <w:sdtEndPr/>
        <w:sdtContent>
          <w:r w:rsidR="0060188B">
            <w:fldChar w:fldCharType="begin"/>
          </w:r>
          <w:r w:rsidR="00BA59B7">
            <w:instrText xml:space="preserve">CITATION Pit14 \m Van \l 1033 </w:instrText>
          </w:r>
          <w:r w:rsidR="0060188B">
            <w:fldChar w:fldCharType="separate"/>
          </w:r>
          <w:r w:rsidR="00464D9D">
            <w:rPr>
              <w:noProof/>
            </w:rPr>
            <w:t>(Pit, et al., 2014; VanGeest &amp; Johnson, 2011)</w:t>
          </w:r>
          <w:r w:rsidR="0060188B">
            <w:fldChar w:fldCharType="end"/>
          </w:r>
        </w:sdtContent>
      </w:sdt>
      <w:r w:rsidRPr="000B7A24">
        <w:t>.</w:t>
      </w:r>
    </w:p>
    <w:p w14:paraId="331D81F5" w14:textId="77777777" w:rsidR="001177FD" w:rsidRDefault="001177FD" w:rsidP="0091795A">
      <w:pPr>
        <w:pStyle w:val="Heading2"/>
      </w:pPr>
      <w:bookmarkStart w:id="128" w:name="_Ref406147819"/>
      <w:bookmarkStart w:id="129" w:name="_Toc410331613"/>
      <w:bookmarkStart w:id="130" w:name="_Toc410331719"/>
      <w:bookmarkStart w:id="131" w:name="_Toc429570408"/>
      <w:bookmarkStart w:id="132" w:name="_Toc431546814"/>
      <w:bookmarkStart w:id="133" w:name="MethodstoDealwithIssuesofNon_Response"/>
      <w:r w:rsidRPr="00796FE4">
        <w:t>Methods to Deal with Issues of Non-Response</w:t>
      </w:r>
      <w:bookmarkEnd w:id="128"/>
      <w:bookmarkEnd w:id="129"/>
      <w:bookmarkEnd w:id="130"/>
      <w:bookmarkEnd w:id="131"/>
      <w:bookmarkEnd w:id="132"/>
    </w:p>
    <w:p w14:paraId="0E0F521F" w14:textId="77777777" w:rsidR="00FF0F45" w:rsidRPr="00FF0F45" w:rsidRDefault="00FF0F45" w:rsidP="00FF0F45">
      <w:pPr>
        <w:pStyle w:val="Heading3"/>
      </w:pPr>
      <w:bookmarkStart w:id="134" w:name="_Ref462847610"/>
      <w:r>
        <w:t>Survey</w:t>
      </w:r>
      <w:bookmarkEnd w:id="134"/>
    </w:p>
    <w:p w14:paraId="5BA21F5C" w14:textId="10384FA1" w:rsidR="002F7992" w:rsidRDefault="00056C8E" w:rsidP="003550D3">
      <w:pPr>
        <w:pStyle w:val="BodyTextFirstIndent"/>
      </w:pPr>
      <w:bookmarkStart w:id="135" w:name="_Toc410331616"/>
      <w:bookmarkStart w:id="136" w:name="_Toc410331722"/>
      <w:bookmarkEnd w:id="133"/>
      <w:r>
        <w:t>Potential r</w:t>
      </w:r>
      <w:r w:rsidRPr="00FC43CF">
        <w:t>easons for non</w:t>
      </w:r>
      <w:r>
        <w:t>-</w:t>
      </w:r>
      <w:r w:rsidRPr="00FC43CF">
        <w:t xml:space="preserve">response </w:t>
      </w:r>
      <w:r>
        <w:t xml:space="preserve">include </w:t>
      </w:r>
      <w:r w:rsidRPr="00FC43CF">
        <w:t xml:space="preserve">refusal, </w:t>
      </w:r>
      <w:r>
        <w:t xml:space="preserve">health status, language barrier, </w:t>
      </w:r>
      <w:r w:rsidRPr="00FC43CF">
        <w:t>and other circumstances, as well as the inability to contact the respondent.</w:t>
      </w:r>
      <w:r>
        <w:t xml:space="preserve"> </w:t>
      </w:r>
      <w:r w:rsidR="001177FD">
        <w:t>After the survey has been conducted, w</w:t>
      </w:r>
      <w:r w:rsidR="001177FD" w:rsidRPr="00DE70BD">
        <w:t xml:space="preserve">e will </w:t>
      </w:r>
      <w:r w:rsidR="001177FD">
        <w:t>perform</w:t>
      </w:r>
      <w:r w:rsidR="001177FD" w:rsidRPr="00DE70BD">
        <w:t xml:space="preserve"> an analysis of non</w:t>
      </w:r>
      <w:r w:rsidR="003550D3">
        <w:t>-</w:t>
      </w:r>
      <w:r w:rsidR="001177FD" w:rsidRPr="00DE70BD">
        <w:t xml:space="preserve">response bias in the survey </w:t>
      </w:r>
      <w:r w:rsidR="001177FD" w:rsidRPr="00503112">
        <w:t>estimates</w:t>
      </w:r>
      <w:r w:rsidR="00845F98">
        <w:t>. I</w:t>
      </w:r>
      <w:r>
        <w:t>f non-response bias is detected,</w:t>
      </w:r>
      <w:r w:rsidR="001177FD">
        <w:t xml:space="preserve"> </w:t>
      </w:r>
      <w:r w:rsidR="00845F98">
        <w:t xml:space="preserve">we will </w:t>
      </w:r>
      <w:r w:rsidR="001177FD">
        <w:t xml:space="preserve">create </w:t>
      </w:r>
      <w:r w:rsidR="00080FCB">
        <w:t xml:space="preserve">adjusted </w:t>
      </w:r>
      <w:r w:rsidR="001177FD">
        <w:t>weights</w:t>
      </w:r>
      <w:r w:rsidR="00845F98">
        <w:t xml:space="preserve"> based on</w:t>
      </w:r>
      <w:r w:rsidR="003550D3">
        <w:t xml:space="preserve"> age, gender, race, HHS region, dual eligibility, original reason for Medicare, and Medicare Advantage enrollment.</w:t>
      </w:r>
    </w:p>
    <w:p w14:paraId="7CCE38FD" w14:textId="3B254674" w:rsidR="001177FD" w:rsidRDefault="001177FD" w:rsidP="0091795A">
      <w:pPr>
        <w:pStyle w:val="BodyTextFirstIndent"/>
      </w:pPr>
      <w:r w:rsidRPr="00DE70BD">
        <w:t xml:space="preserve">Using standard procedures, we will first construct a logistic model of the propensity for survey completion based on </w:t>
      </w:r>
      <w:r w:rsidR="002F7992">
        <w:t xml:space="preserve">the following exogenous variables available for each target respondent </w:t>
      </w:r>
      <w:sdt>
        <w:sdtPr>
          <w:id w:val="761266705"/>
          <w:citation/>
        </w:sdtPr>
        <w:sdtEndPr/>
        <w:sdtContent>
          <w:r w:rsidR="0060188B">
            <w:fldChar w:fldCharType="begin"/>
          </w:r>
          <w:r>
            <w:instrText xml:space="preserve"> CITATION Loh99 \l 1033  \m Kat06</w:instrText>
          </w:r>
          <w:r w:rsidR="0060188B">
            <w:fldChar w:fldCharType="separate"/>
          </w:r>
          <w:r w:rsidR="00464D9D">
            <w:rPr>
              <w:noProof/>
            </w:rPr>
            <w:t>(Lohr, 1999; Abraham, et al., 2006)</w:t>
          </w:r>
          <w:r w:rsidR="0060188B">
            <w:fldChar w:fldCharType="end"/>
          </w:r>
        </w:sdtContent>
      </w:sdt>
      <w:r w:rsidR="002F7992">
        <w:t>:</w:t>
      </w:r>
      <w:r w:rsidRPr="00DE70BD">
        <w:t xml:space="preserve"> </w:t>
      </w:r>
    </w:p>
    <w:p w14:paraId="0E6D37ED" w14:textId="69499207" w:rsidR="001177FD" w:rsidRDefault="001177FD" w:rsidP="002F7992">
      <w:pPr>
        <w:pStyle w:val="ListBullet"/>
      </w:pPr>
      <w:r>
        <w:t>Age</w:t>
      </w:r>
      <w:r w:rsidR="002F7992">
        <w:t>,</w:t>
      </w:r>
    </w:p>
    <w:p w14:paraId="0F0735E0" w14:textId="0CFDBC73" w:rsidR="001177FD" w:rsidRDefault="001177FD" w:rsidP="009850B5">
      <w:pPr>
        <w:pStyle w:val="ListBullet"/>
      </w:pPr>
      <w:r>
        <w:t>Gender</w:t>
      </w:r>
      <w:r w:rsidR="002F7992">
        <w:t>,</w:t>
      </w:r>
    </w:p>
    <w:p w14:paraId="22AA7D63" w14:textId="00281CDB" w:rsidR="001177FD" w:rsidRDefault="001177FD" w:rsidP="009850B5">
      <w:pPr>
        <w:pStyle w:val="ListBullet"/>
      </w:pPr>
      <w:r>
        <w:t>Race</w:t>
      </w:r>
      <w:r w:rsidR="002F7992">
        <w:t>,</w:t>
      </w:r>
    </w:p>
    <w:p w14:paraId="0198FC7C" w14:textId="042E9A18" w:rsidR="001177FD" w:rsidRDefault="001177FD" w:rsidP="009850B5">
      <w:pPr>
        <w:pStyle w:val="ListBullet"/>
      </w:pPr>
      <w:r>
        <w:t xml:space="preserve">HHS region </w:t>
      </w:r>
    </w:p>
    <w:p w14:paraId="651AD964" w14:textId="313D1C77" w:rsidR="001177FD" w:rsidRDefault="001177FD" w:rsidP="009850B5">
      <w:pPr>
        <w:pStyle w:val="ListBullet"/>
      </w:pPr>
      <w:r>
        <w:t>Dual eligibility</w:t>
      </w:r>
      <w:r w:rsidR="002F7992">
        <w:t>,</w:t>
      </w:r>
    </w:p>
    <w:p w14:paraId="5212C1F2" w14:textId="4A00E2E5" w:rsidR="001177FD" w:rsidRDefault="00A577F2" w:rsidP="009850B5">
      <w:pPr>
        <w:pStyle w:val="ListBullet"/>
      </w:pPr>
      <w:r>
        <w:t xml:space="preserve">Original </w:t>
      </w:r>
      <w:r w:rsidR="002F7992">
        <w:t>r</w:t>
      </w:r>
      <w:r w:rsidR="001177FD">
        <w:t>eason for Medicare (aged, disabled, ESRD, combination)</w:t>
      </w:r>
      <w:r w:rsidR="002F7992">
        <w:t>, and</w:t>
      </w:r>
    </w:p>
    <w:p w14:paraId="34A74671" w14:textId="77777777" w:rsidR="001177FD" w:rsidRDefault="001177FD" w:rsidP="009850B5">
      <w:pPr>
        <w:pStyle w:val="ListBullet"/>
      </w:pPr>
      <w:r>
        <w:lastRenderedPageBreak/>
        <w:t>Medicare Advantage Enrollment (on a monthly basis).</w:t>
      </w:r>
    </w:p>
    <w:p w14:paraId="10463B9D" w14:textId="77777777" w:rsidR="001177FD" w:rsidRDefault="001177FD" w:rsidP="0091795A">
      <w:pPr>
        <w:pStyle w:val="BodyTextFirstIndent"/>
      </w:pPr>
      <w:r>
        <w:t xml:space="preserve">The general form of the logistic function (omitting the group superscripts for simplicity) is expressed as, </w:t>
      </w:r>
    </w:p>
    <w:p w14:paraId="7169B25A" w14:textId="77777777" w:rsidR="001177FD" w:rsidRPr="00812AE7" w:rsidRDefault="00066813" w:rsidP="0091795A">
      <w:pPr>
        <w:pStyle w:val="BodyTextFirstIndent"/>
      </w:pPr>
      <m:oMathPara>
        <m:oMath>
          <m:sSub>
            <m:sSubPr>
              <m:ctrlPr>
                <w:rPr>
                  <w:rFonts w:ascii="Cambria Math" w:hAnsi="Cambria Math"/>
                  <w:i/>
                </w:rPr>
              </m:ctrlPr>
            </m:sSubPr>
            <m:e>
              <m:r>
                <w:rPr>
                  <w:rFonts w:ascii="Cambria Math" w:hAnsi="Cambria Math"/>
                </w:rPr>
                <m:t>P</m:t>
              </m:r>
            </m:e>
            <m:sub>
              <m:r>
                <w:rPr>
                  <w:rFonts w:ascii="Cambria Math" w:hAnsi="Cambria Math"/>
                </w:rPr>
                <m:t>R</m:t>
              </m:r>
            </m:sub>
          </m:sSub>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xβ</m:t>
                  </m:r>
                </m:sup>
              </m:sSup>
            </m:num>
            <m:den>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e</m:t>
                      </m:r>
                    </m:e>
                    <m:sup>
                      <m:r>
                        <w:rPr>
                          <w:rFonts w:ascii="Cambria Math" w:hAnsi="Cambria Math"/>
                        </w:rPr>
                        <m:t>xβ</m:t>
                      </m:r>
                    </m:sup>
                  </m:sSup>
                </m:e>
              </m:d>
            </m:den>
          </m:f>
          <m:r>
            <w:rPr>
              <w:rFonts w:ascii="Cambria Math" w:hAnsi="Cambria Math"/>
            </w:rPr>
            <m:t>=</m:t>
          </m:r>
          <m:f>
            <m:fPr>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e</m:t>
                      </m:r>
                    </m:e>
                    <m:sup>
                      <m:r>
                        <w:rPr>
                          <w:rFonts w:ascii="Cambria Math" w:hAnsi="Cambria Math"/>
                        </w:rPr>
                        <m:t>-</m:t>
                      </m:r>
                      <m:r>
                        <w:rPr>
                          <w:rFonts w:ascii="Cambria Math" w:hAnsi="Cambria Math"/>
                        </w:rPr>
                        <m:t>xβ</m:t>
                      </m:r>
                    </m:sup>
                  </m:sSup>
                </m:e>
              </m:d>
            </m:den>
          </m:f>
        </m:oMath>
      </m:oMathPara>
    </w:p>
    <w:p w14:paraId="7EEC08FF" w14:textId="436304BE" w:rsidR="001177FD" w:rsidRDefault="001177FD" w:rsidP="0091795A">
      <w:pPr>
        <w:pStyle w:val="BodyText"/>
      </w:pPr>
      <w:r w:rsidRPr="00812AE7">
        <w:t xml:space="preserve">where </w:t>
      </w:r>
      <m:oMath>
        <m:sSub>
          <m:sSubPr>
            <m:ctrlPr>
              <w:rPr>
                <w:rFonts w:ascii="Cambria Math" w:hAnsi="Cambria Math"/>
                <w:i/>
                <w:szCs w:val="18"/>
              </w:rPr>
            </m:ctrlPr>
          </m:sSubPr>
          <m:e>
            <m:r>
              <w:rPr>
                <w:rFonts w:ascii="Cambria Math" w:hAnsi="Cambria Math"/>
              </w:rPr>
              <m:t>P</m:t>
            </m:r>
          </m:e>
          <m:sub>
            <m:r>
              <w:rPr>
                <w:rFonts w:ascii="Cambria Math" w:hAnsi="Cambria Math"/>
              </w:rPr>
              <m:t>R</m:t>
            </m:r>
          </m:sub>
        </m:sSub>
      </m:oMath>
      <w:r w:rsidRPr="00812AE7">
        <w:t xml:space="preserve"> in this context is the probability of a respondent completing the survey and </w:t>
      </w:r>
      <w:r w:rsidRPr="002E2106">
        <w:rPr>
          <w:i/>
        </w:rPr>
        <w:t>x</w:t>
      </w:r>
      <w:r w:rsidRPr="00812AE7">
        <w:t xml:space="preserve"> and </w:t>
      </w:r>
      <w:r w:rsidRPr="002E2106">
        <w:rPr>
          <w:i/>
        </w:rPr>
        <w:t>β</w:t>
      </w:r>
      <w:r w:rsidRPr="00812AE7">
        <w:t xml:space="preserve"> are the vectors of explanatory variables </w:t>
      </w:r>
      <w:r w:rsidR="002F7992">
        <w:t xml:space="preserve">(e.g., age, gender, race, HHS region and location, dual eligibility status, etc.) </w:t>
      </w:r>
      <w:r w:rsidRPr="00812AE7">
        <w:t xml:space="preserve">and their respective coefficients. Given </w:t>
      </w:r>
      <w:r>
        <w:t>the above equation</w:t>
      </w:r>
      <w:r w:rsidRPr="00812AE7">
        <w:t>, the probability of survey nonresponse can be written as,</w:t>
      </w:r>
    </w:p>
    <w:p w14:paraId="40222AD4" w14:textId="77777777" w:rsidR="001177FD" w:rsidRPr="00812AE7" w:rsidRDefault="00066813" w:rsidP="0091795A">
      <w:pPr>
        <w:pStyle w:val="BodyText"/>
      </w:pPr>
      <m:oMathPara>
        <m:oMath>
          <m:sSub>
            <m:sSubPr>
              <m:ctrlPr>
                <w:rPr>
                  <w:rFonts w:ascii="Cambria Math" w:hAnsi="Cambria Math"/>
                  <w:i/>
                </w:rPr>
              </m:ctrlPr>
            </m:sSubPr>
            <m:e>
              <m:r>
                <w:rPr>
                  <w:rFonts w:ascii="Cambria Math" w:hAnsi="Cambria Math"/>
                </w:rPr>
                <m:t>1-</m:t>
              </m:r>
              <m:r>
                <w:rPr>
                  <w:rFonts w:ascii="Cambria Math" w:hAnsi="Cambria Math"/>
                </w:rPr>
                <m:t>P</m:t>
              </m:r>
            </m:e>
            <m:sub>
              <m:r>
                <w:rPr>
                  <w:rFonts w:ascii="Cambria Math" w:hAnsi="Cambria Math"/>
                </w:rPr>
                <m:t>R</m:t>
              </m:r>
            </m:sub>
          </m:sSub>
          <m:r>
            <w:rPr>
              <w:rFonts w:ascii="Cambria Math" w:hAnsi="Cambria Math"/>
            </w:rPr>
            <m:t>=1-</m:t>
          </m:r>
          <m:f>
            <m:fPr>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e</m:t>
                      </m:r>
                    </m:e>
                    <m:sup>
                      <m:r>
                        <w:rPr>
                          <w:rFonts w:ascii="Cambria Math" w:hAnsi="Cambria Math"/>
                        </w:rPr>
                        <m:t>-</m:t>
                      </m:r>
                      <m:r>
                        <w:rPr>
                          <w:rFonts w:ascii="Cambria Math" w:hAnsi="Cambria Math"/>
                        </w:rPr>
                        <m:t>xβ</m:t>
                      </m:r>
                    </m:sup>
                  </m:sSup>
                </m:e>
              </m:d>
            </m:den>
          </m:f>
          <m:r>
            <w:rPr>
              <w:rFonts w:ascii="Cambria Math" w:hAnsi="Cambria Math"/>
            </w:rPr>
            <m:t>=</m:t>
          </m:r>
          <m:f>
            <m:fPr>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e</m:t>
                      </m:r>
                    </m:e>
                    <m:sup>
                      <m:r>
                        <w:rPr>
                          <w:rFonts w:ascii="Cambria Math" w:hAnsi="Cambria Math"/>
                        </w:rPr>
                        <m:t>xβ</m:t>
                      </m:r>
                    </m:sup>
                  </m:sSup>
                </m:e>
              </m:d>
            </m:den>
          </m:f>
        </m:oMath>
      </m:oMathPara>
    </w:p>
    <w:p w14:paraId="79D1DB28" w14:textId="77777777" w:rsidR="001177FD" w:rsidRDefault="001177FD" w:rsidP="0091795A">
      <w:pPr>
        <w:pStyle w:val="BodyTextFirstIndent"/>
      </w:pPr>
      <w:r w:rsidRPr="00812AE7">
        <w:t>The odds of a positive survey response are, therefore,</w:t>
      </w:r>
    </w:p>
    <w:p w14:paraId="02D18D10" w14:textId="77777777" w:rsidR="001177FD" w:rsidRPr="00812AE7" w:rsidRDefault="00066813" w:rsidP="0091795A">
      <w:pPr>
        <w:pStyle w:val="BodyTextFirstIndent"/>
      </w:pPr>
      <m:oMathPara>
        <m:oMath>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R</m:t>
                      </m:r>
                    </m:sub>
                  </m:sSub>
                </m:num>
                <m:den>
                  <m:sSub>
                    <m:sSubPr>
                      <m:ctrlPr>
                        <w:rPr>
                          <w:rFonts w:ascii="Cambria Math" w:hAnsi="Cambria Math"/>
                          <w:i/>
                        </w:rPr>
                      </m:ctrlPr>
                    </m:sSubPr>
                    <m:e>
                      <m:r>
                        <w:rPr>
                          <w:rFonts w:ascii="Cambria Math" w:hAnsi="Cambria Math"/>
                        </w:rPr>
                        <m:t>1-</m:t>
                      </m:r>
                      <m:r>
                        <w:rPr>
                          <w:rFonts w:ascii="Cambria Math" w:hAnsi="Cambria Math"/>
                        </w:rPr>
                        <m:t>P</m:t>
                      </m:r>
                    </m:e>
                    <m:sub>
                      <m:r>
                        <w:rPr>
                          <w:rFonts w:ascii="Cambria Math" w:hAnsi="Cambria Math"/>
                        </w:rPr>
                        <m:t>R</m:t>
                      </m:r>
                    </m:sub>
                  </m:sSub>
                </m:den>
              </m:f>
            </m:e>
          </m:d>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xβ</m:t>
              </m:r>
            </m:sup>
          </m:sSup>
        </m:oMath>
      </m:oMathPara>
    </w:p>
    <w:p w14:paraId="3C1D5848" w14:textId="77777777" w:rsidR="001177FD" w:rsidRDefault="001177FD" w:rsidP="0091795A">
      <w:pPr>
        <w:pStyle w:val="BodyTextFirstIndent"/>
      </w:pPr>
      <w:r w:rsidRPr="00812AE7">
        <w:t xml:space="preserve">Taking the natural log of both sides, </w:t>
      </w:r>
      <w:r>
        <w:t xml:space="preserve">the above </w:t>
      </w:r>
      <w:r w:rsidRPr="00812AE7">
        <w:t>equation becomes,</w:t>
      </w:r>
    </w:p>
    <w:p w14:paraId="4CD0A836" w14:textId="77777777" w:rsidR="001177FD" w:rsidRPr="00812AE7" w:rsidRDefault="001177FD" w:rsidP="0091795A">
      <w:pPr>
        <w:pStyle w:val="BodyTextFirstIndent"/>
      </w:pPr>
      <m:oMathPara>
        <m:oMath>
          <m:r>
            <w:rPr>
              <w:rFonts w:ascii="Cambria Math" w:hAnsi="Cambria Math"/>
            </w:rPr>
            <m:t>ln</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R</m:t>
                      </m:r>
                    </m:sub>
                  </m:sSub>
                </m:num>
                <m:den>
                  <m:sSub>
                    <m:sSubPr>
                      <m:ctrlPr>
                        <w:rPr>
                          <w:rFonts w:ascii="Cambria Math" w:hAnsi="Cambria Math"/>
                          <w:i/>
                        </w:rPr>
                      </m:ctrlPr>
                    </m:sSubPr>
                    <m:e>
                      <m:r>
                        <w:rPr>
                          <w:rFonts w:ascii="Cambria Math" w:hAnsi="Cambria Math"/>
                        </w:rPr>
                        <m:t>1-</m:t>
                      </m:r>
                      <m:r>
                        <w:rPr>
                          <w:rFonts w:ascii="Cambria Math" w:hAnsi="Cambria Math"/>
                        </w:rPr>
                        <m:t>P</m:t>
                      </m:r>
                    </m:e>
                    <m:sub>
                      <m:r>
                        <w:rPr>
                          <w:rFonts w:ascii="Cambria Math" w:hAnsi="Cambria Math"/>
                        </w:rPr>
                        <m:t>R</m:t>
                      </m:r>
                    </m:sub>
                  </m:sSub>
                </m:den>
              </m:f>
            </m:e>
          </m:d>
          <m:r>
            <w:rPr>
              <w:rFonts w:ascii="Cambria Math" w:hAnsi="Cambria Math"/>
            </w:rPr>
            <m:t>=</m:t>
          </m:r>
          <m:r>
            <w:rPr>
              <w:rFonts w:ascii="Cambria Math" w:hAnsi="Cambria Math"/>
            </w:rPr>
            <m:t>xβ</m:t>
          </m:r>
        </m:oMath>
      </m:oMathPara>
    </w:p>
    <w:p w14:paraId="7BD1F93A" w14:textId="77777777" w:rsidR="001177FD" w:rsidRDefault="001177FD" w:rsidP="0091795A">
      <w:pPr>
        <w:pStyle w:val="BodyTextFirstIndent"/>
      </w:pPr>
      <w:r w:rsidRPr="00812AE7">
        <w:t>For the purposes of nonresponse analysis for this survey, the logit model to be estimated can be specified as,</w:t>
      </w:r>
    </w:p>
    <w:p w14:paraId="41532F90" w14:textId="77777777" w:rsidR="001177FD" w:rsidRPr="00812AE7" w:rsidRDefault="001177FD" w:rsidP="0091795A">
      <w:pPr>
        <w:pStyle w:val="BodyTextFirstIndent"/>
      </w:pPr>
      <m:oMathPara>
        <m:oMath>
          <m:r>
            <w:rPr>
              <w:rFonts w:ascii="Cambria Math" w:hAnsi="Cambria Math"/>
            </w:rPr>
            <m:t>ln</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R</m:t>
                      </m:r>
                      <m:r>
                        <w:rPr>
                          <w:rFonts w:ascii="Cambria Math" w:hAnsi="Cambria Math"/>
                        </w:rPr>
                        <m:t>,</m:t>
                      </m:r>
                      <m:r>
                        <w:rPr>
                          <w:rFonts w:ascii="Cambria Math" w:hAnsi="Cambria Math"/>
                        </w:rPr>
                        <m:t>k</m:t>
                      </m:r>
                    </m:sub>
                  </m:sSub>
                </m:num>
                <m:den>
                  <m:sSub>
                    <m:sSubPr>
                      <m:ctrlPr>
                        <w:rPr>
                          <w:rFonts w:ascii="Cambria Math" w:hAnsi="Cambria Math"/>
                          <w:i/>
                        </w:rPr>
                      </m:ctrlPr>
                    </m:sSubPr>
                    <m:e>
                      <m:r>
                        <w:rPr>
                          <w:rFonts w:ascii="Cambria Math" w:hAnsi="Cambria Math"/>
                        </w:rPr>
                        <m:t>1-</m:t>
                      </m:r>
                      <m:r>
                        <w:rPr>
                          <w:rFonts w:ascii="Cambria Math" w:hAnsi="Cambria Math"/>
                        </w:rPr>
                        <m:t>P</m:t>
                      </m:r>
                    </m:e>
                    <m:sub>
                      <m:r>
                        <w:rPr>
                          <w:rFonts w:ascii="Cambria Math" w:hAnsi="Cambria Math"/>
                        </w:rPr>
                        <m:t>R</m:t>
                      </m:r>
                      <m:r>
                        <w:rPr>
                          <w:rFonts w:ascii="Cambria Math" w:hAnsi="Cambria Math"/>
                        </w:rPr>
                        <m:t>,</m:t>
                      </m:r>
                      <m:r>
                        <w:rPr>
                          <w:rFonts w:ascii="Cambria Math" w:hAnsi="Cambria Math"/>
                        </w:rPr>
                        <m:t>k</m:t>
                      </m:r>
                    </m:sub>
                  </m:sSub>
                </m:den>
              </m:f>
            </m:e>
          </m:d>
          <m:r>
            <w:rPr>
              <w:rFonts w:ascii="Cambria Math" w:hAnsi="Cambria Math"/>
            </w:rPr>
            <m:t>=</m:t>
          </m:r>
          <m:r>
            <w:rPr>
              <w:rFonts w:ascii="Cambria Math" w:hAnsi="Cambria Math"/>
            </w:rPr>
            <m:t>a</m:t>
          </m:r>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1</m:t>
              </m:r>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2</m:t>
              </m:r>
            </m:sub>
          </m:sSub>
          <m:sSub>
            <m:sSubPr>
              <m:ctrlPr>
                <w:rPr>
                  <w:rFonts w:ascii="Cambria Math" w:hAnsi="Cambria Math"/>
                  <w:i/>
                </w:rPr>
              </m:ctrlPr>
            </m:sSubPr>
            <m:e>
              <m:r>
                <w:rPr>
                  <w:rFonts w:ascii="Cambria Math" w:hAnsi="Cambria Math"/>
                </w:rPr>
                <m:t>x</m:t>
              </m:r>
            </m:e>
            <m:sub>
              <m:r>
                <w:rPr>
                  <w:rFonts w:ascii="Cambria Math" w:hAnsi="Cambria Math"/>
                </w:rPr>
                <m:t>2</m:t>
              </m:r>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n</m:t>
              </m:r>
            </m:sub>
          </m:sSub>
          <m:sSub>
            <m:sSubPr>
              <m:ctrlPr>
                <w:rPr>
                  <w:rFonts w:ascii="Cambria Math" w:hAnsi="Cambria Math"/>
                  <w:i/>
                </w:rPr>
              </m:ctrlPr>
            </m:sSubPr>
            <m:e>
              <m:r>
                <w:rPr>
                  <w:rFonts w:ascii="Cambria Math" w:hAnsi="Cambria Math"/>
                </w:rPr>
                <m:t>x</m:t>
              </m:r>
            </m:e>
            <m:sub>
              <m:r>
                <w:rPr>
                  <w:rFonts w:ascii="Cambria Math" w:hAnsi="Cambria Math"/>
                </w:rPr>
                <m:t>nk</m:t>
              </m:r>
            </m:sub>
          </m:sSub>
          <m:r>
            <w:rPr>
              <w:rFonts w:ascii="Cambria Math" w:hAnsi="Cambria Math"/>
            </w:rPr>
            <m:t>+</m:t>
          </m:r>
          <m:sSub>
            <m:sSubPr>
              <m:ctrlPr>
                <w:rPr>
                  <w:rFonts w:ascii="Cambria Math" w:hAnsi="Cambria Math"/>
                  <w:i/>
                </w:rPr>
              </m:ctrlPr>
            </m:sSubPr>
            <m:e>
              <m:r>
                <w:rPr>
                  <w:rFonts w:ascii="Cambria Math" w:hAnsi="Cambria Math"/>
                </w:rPr>
                <m:t>ϵ</m:t>
              </m:r>
            </m:e>
            <m:sub>
              <m:r>
                <w:rPr>
                  <w:rFonts w:ascii="Cambria Math" w:hAnsi="Cambria Math"/>
                </w:rPr>
                <m:t>k</m:t>
              </m:r>
            </m:sub>
          </m:sSub>
        </m:oMath>
      </m:oMathPara>
    </w:p>
    <w:p w14:paraId="2F548D24" w14:textId="200CAB55" w:rsidR="001177FD" w:rsidRPr="00812AE7" w:rsidRDefault="001177FD" w:rsidP="0091795A">
      <w:pPr>
        <w:pStyle w:val="BodyText"/>
      </w:pPr>
      <w:r w:rsidRPr="00CC1B5C">
        <w:t>where</w:t>
      </w:r>
      <w:r w:rsidRPr="00812AE7">
        <w:t xml:space="preserve"> </w:t>
      </w:r>
      <m:oMath>
        <m:sSub>
          <m:sSubPr>
            <m:ctrlPr>
              <w:rPr>
                <w:rFonts w:ascii="Cambria Math" w:hAnsi="Cambria Math"/>
                <w:i/>
                <w:szCs w:val="18"/>
              </w:rPr>
            </m:ctrlPr>
          </m:sSubPr>
          <m:e>
            <m:r>
              <w:rPr>
                <w:rFonts w:ascii="Cambria Math" w:hAnsi="Cambria Math"/>
              </w:rPr>
              <m:t>P</m:t>
            </m:r>
          </m:e>
          <m:sub>
            <m:r>
              <w:rPr>
                <w:rFonts w:ascii="Cambria Math" w:hAnsi="Cambria Math"/>
              </w:rPr>
              <m:t>R,k</m:t>
            </m:r>
          </m:sub>
        </m:sSub>
      </m:oMath>
      <w:r w:rsidRPr="00812AE7">
        <w:t xml:space="preserve"> is probability of response for target respondent </w:t>
      </w:r>
      <w:r w:rsidRPr="002E2106">
        <w:rPr>
          <w:i/>
        </w:rPr>
        <w:t>k</w:t>
      </w:r>
      <w:r w:rsidRPr="00812AE7">
        <w:t xml:space="preserve">; </w:t>
      </w:r>
      <w:r w:rsidRPr="002E2106">
        <w:rPr>
          <w:i/>
        </w:rPr>
        <w:t>a</w:t>
      </w:r>
      <w:r w:rsidRPr="00812AE7">
        <w:t xml:space="preserve"> is the intercept term; </w:t>
      </w:r>
      <w:r w:rsidRPr="002E2106">
        <w:rPr>
          <w:i/>
        </w:rPr>
        <w:t>b</w:t>
      </w:r>
      <w:r w:rsidRPr="002E2106">
        <w:rPr>
          <w:i/>
          <w:vertAlign w:val="subscript"/>
        </w:rPr>
        <w:t>i</w:t>
      </w:r>
      <w:r w:rsidRPr="00812AE7">
        <w:t xml:space="preserve"> are the associated coefficient vectors for explanatory variables</w:t>
      </w:r>
      <w:r w:rsidR="002F7992">
        <w:t xml:space="preserve"> (e.g., age, gender, race, HHS region and location, dual eligibility status, etc.)</w:t>
      </w:r>
      <w:r w:rsidRPr="00812AE7">
        <w:t xml:space="preserve">; </w:t>
      </w:r>
      <m:oMath>
        <m:sSub>
          <m:sSubPr>
            <m:ctrlPr>
              <w:rPr>
                <w:rFonts w:ascii="Cambria Math" w:hAnsi="Cambria Math"/>
                <w:i/>
                <w:szCs w:val="18"/>
              </w:rPr>
            </m:ctrlPr>
          </m:sSubPr>
          <m:e>
            <m:r>
              <w:rPr>
                <w:rFonts w:ascii="Cambria Math" w:hAnsi="Cambria Math"/>
              </w:rPr>
              <m:t>ϵ</m:t>
            </m:r>
          </m:e>
          <m:sub>
            <m:r>
              <w:rPr>
                <w:rFonts w:ascii="Cambria Math" w:hAnsi="Cambria Math"/>
              </w:rPr>
              <m:t>k</m:t>
            </m:r>
          </m:sub>
        </m:sSub>
      </m:oMath>
      <w:r>
        <w:t xml:space="preserve"> </w:t>
      </w:r>
      <w:r w:rsidRPr="00812AE7">
        <w:t>is the error term; and</w:t>
      </w:r>
      <w:r>
        <w:t xml:space="preserve"> </w:t>
      </w:r>
      <m:oMath>
        <m:sSub>
          <m:sSubPr>
            <m:ctrlPr>
              <w:rPr>
                <w:rFonts w:ascii="Cambria Math" w:hAnsi="Cambria Math"/>
                <w:i/>
                <w:szCs w:val="18"/>
              </w:rPr>
            </m:ctrlPr>
          </m:sSubPr>
          <m:e>
            <m:r>
              <w:rPr>
                <w:rFonts w:ascii="Cambria Math" w:hAnsi="Cambria Math"/>
              </w:rPr>
              <m:t>x</m:t>
            </m:r>
          </m:e>
          <m:sub>
            <m:r>
              <w:rPr>
                <w:rFonts w:ascii="Cambria Math" w:hAnsi="Cambria Math"/>
              </w:rPr>
              <m:t>i</m:t>
            </m:r>
          </m:sub>
        </m:sSub>
      </m:oMath>
      <w:r>
        <w:t xml:space="preserve"> </w:t>
      </w:r>
      <w:r w:rsidRPr="00812AE7">
        <w:t xml:space="preserve">are vectors of dichotomous dummy variables from the sampling frame corresponding to target respondent </w:t>
      </w:r>
      <w:r w:rsidRPr="00346780">
        <w:rPr>
          <w:i/>
        </w:rPr>
        <w:t>k</w:t>
      </w:r>
      <w:r w:rsidRPr="00812AE7">
        <w:t>.</w:t>
      </w:r>
    </w:p>
    <w:p w14:paraId="59B77225" w14:textId="30B45AC5" w:rsidR="001177FD" w:rsidRDefault="001177FD" w:rsidP="0091795A">
      <w:pPr>
        <w:pStyle w:val="BodyTextFirstIndent"/>
      </w:pPr>
      <w:r>
        <w:t xml:space="preserve">Using maximum likelihood methods, we will estimate the above logistic relationship for target respondents and </w:t>
      </w:r>
      <w:r w:rsidR="002F7992">
        <w:t xml:space="preserve">determine which, if any, estimated coefficients, are statistically significant. If none of the coefficient estimates are statistically significant, no adjustments to weights would be necessary as this would indicate lack of non-response bias. On the other hand, if some or all coefficient estimates are found to be </w:t>
      </w:r>
      <w:r>
        <w:t>significantly related to the probability of responding to the survey</w:t>
      </w:r>
      <w:r w:rsidR="00C17F7D">
        <w:t>, then it will be necessary to</w:t>
      </w:r>
      <w:r>
        <w:t xml:space="preserve"> </w:t>
      </w:r>
      <w:r w:rsidR="00C17F7D">
        <w:t xml:space="preserve">adjust </w:t>
      </w:r>
      <w:r w:rsidR="00944ED1">
        <w:t xml:space="preserve">the weights for non-response. </w:t>
      </w:r>
    </w:p>
    <w:p w14:paraId="6DA2EE00" w14:textId="338BC4B2" w:rsidR="001177FD" w:rsidRDefault="001177FD" w:rsidP="0091795A">
      <w:pPr>
        <w:pStyle w:val="BodyTextFirstIndent"/>
      </w:pPr>
      <w:r w:rsidRPr="00CC1B5C">
        <w:t>Given</w:t>
      </w:r>
      <w:r>
        <w:t xml:space="preserve"> the </w:t>
      </w:r>
      <w:r w:rsidR="00944ED1">
        <w:t xml:space="preserve">above </w:t>
      </w:r>
      <w:r>
        <w:t xml:space="preserve">regression model, the predicted probability of a positive survey response for a given potential respondent </w:t>
      </w:r>
      <w:r w:rsidRPr="00DD3C79">
        <w:t>k</w:t>
      </w:r>
      <w:r>
        <w:t xml:space="preserve"> will be calculated as:</w:t>
      </w:r>
    </w:p>
    <w:p w14:paraId="1E9159CF" w14:textId="77777777" w:rsidR="001177FD" w:rsidRDefault="00066813" w:rsidP="0091795A">
      <w:pPr>
        <w:pStyle w:val="BodyTextFirstIndent"/>
      </w:pPr>
      <m:oMathPara>
        <m:oMath>
          <m:acc>
            <m:accPr>
              <m:ctrlPr>
                <w:rPr>
                  <w:rFonts w:ascii="Cambria Math" w:hAnsi="Cambria Math"/>
                  <w:i/>
                </w:rPr>
              </m:ctrlPr>
            </m:accPr>
            <m:e>
              <m:sSub>
                <m:sSubPr>
                  <m:ctrlPr>
                    <w:rPr>
                      <w:rFonts w:ascii="Cambria Math" w:hAnsi="Cambria Math"/>
                      <w:i/>
                    </w:rPr>
                  </m:ctrlPr>
                </m:sSubPr>
                <m:e>
                  <m:r>
                    <w:rPr>
                      <w:rFonts w:ascii="Cambria Math" w:hAnsi="Cambria Math"/>
                    </w:rPr>
                    <m:t>P</m:t>
                  </m:r>
                </m:e>
                <m:sub>
                  <m:r>
                    <w:rPr>
                      <w:rFonts w:ascii="Cambria Math" w:hAnsi="Cambria Math"/>
                    </w:rPr>
                    <m:t>R</m:t>
                  </m:r>
                  <m:r>
                    <w:rPr>
                      <w:rFonts w:ascii="Cambria Math" w:hAnsi="Cambria Math"/>
                    </w:rPr>
                    <m:t>,</m:t>
                  </m:r>
                  <m:r>
                    <w:rPr>
                      <w:rFonts w:ascii="Cambria Math" w:hAnsi="Cambria Math"/>
                    </w:rPr>
                    <m:t>k</m:t>
                  </m:r>
                </m:sub>
              </m:sSub>
            </m:e>
          </m:acc>
          <m:r>
            <w:rPr>
              <w:rFonts w:ascii="Cambria Math" w:hAnsi="Cambria Math"/>
            </w:rPr>
            <m:t>=</m:t>
          </m:r>
          <m:f>
            <m:fPr>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e</m:t>
                      </m:r>
                    </m:e>
                    <m:sup>
                      <m:r>
                        <w:rPr>
                          <w:rFonts w:ascii="Cambria Math" w:hAnsi="Cambria Math"/>
                        </w:rPr>
                        <m:t>-</m:t>
                      </m:r>
                      <m:d>
                        <m:dPr>
                          <m:ctrlPr>
                            <w:rPr>
                              <w:rFonts w:ascii="Cambria Math" w:hAnsi="Cambria Math"/>
                              <w:i/>
                            </w:rPr>
                          </m:ctrlPr>
                        </m:dPr>
                        <m:e>
                          <m:acc>
                            <m:accPr>
                              <m:ctrlPr>
                                <w:rPr>
                                  <w:rFonts w:ascii="Cambria Math" w:hAnsi="Cambria Math"/>
                                  <w:i/>
                                </w:rPr>
                              </m:ctrlPr>
                            </m:accPr>
                            <m:e>
                              <m:r>
                                <w:rPr>
                                  <w:rFonts w:ascii="Cambria Math" w:hAnsi="Cambria Math"/>
                                </w:rPr>
                                <m:t>a</m:t>
                              </m:r>
                            </m:e>
                          </m:acc>
                          <m:r>
                            <w:rPr>
                              <w:rFonts w:ascii="Cambria Math" w:hAnsi="Cambria Math"/>
                            </w:rPr>
                            <m:t>+</m:t>
                          </m:r>
                          <m:acc>
                            <m:accPr>
                              <m:ctrlPr>
                                <w:rPr>
                                  <w:rFonts w:ascii="Cambria Math" w:hAnsi="Cambria Math"/>
                                  <w:i/>
                                </w:rPr>
                              </m:ctrlPr>
                            </m:accPr>
                            <m:e>
                              <m:sSub>
                                <m:sSubPr>
                                  <m:ctrlPr>
                                    <w:rPr>
                                      <w:rFonts w:ascii="Cambria Math" w:hAnsi="Cambria Math"/>
                                      <w:i/>
                                    </w:rPr>
                                  </m:ctrlPr>
                                </m:sSubPr>
                                <m:e>
                                  <m:r>
                                    <w:rPr>
                                      <w:rFonts w:ascii="Cambria Math" w:hAnsi="Cambria Math"/>
                                    </w:rPr>
                                    <m:t>b</m:t>
                                  </m:r>
                                </m:e>
                                <m:sub>
                                  <m:r>
                                    <w:rPr>
                                      <w:rFonts w:ascii="Cambria Math" w:hAnsi="Cambria Math"/>
                                    </w:rPr>
                                    <m:t>1</m:t>
                                  </m:r>
                                </m:sub>
                              </m:sSub>
                            </m:e>
                          </m:acc>
                          <m:sSub>
                            <m:sSubPr>
                              <m:ctrlPr>
                                <w:rPr>
                                  <w:rFonts w:ascii="Cambria Math" w:hAnsi="Cambria Math"/>
                                  <w:i/>
                                </w:rPr>
                              </m:ctrlPr>
                            </m:sSubPr>
                            <m:e>
                              <m:r>
                                <w:rPr>
                                  <w:rFonts w:ascii="Cambria Math" w:hAnsi="Cambria Math"/>
                                </w:rPr>
                                <m:t>x</m:t>
                              </m:r>
                            </m:e>
                            <m:sub>
                              <m:r>
                                <w:rPr>
                                  <w:rFonts w:ascii="Cambria Math" w:hAnsi="Cambria Math"/>
                                </w:rPr>
                                <m:t>1</m:t>
                              </m:r>
                              <m:r>
                                <w:rPr>
                                  <w:rFonts w:ascii="Cambria Math" w:hAnsi="Cambria Math"/>
                                </w:rPr>
                                <m:t>k</m:t>
                              </m:r>
                            </m:sub>
                          </m:sSub>
                          <m:r>
                            <w:rPr>
                              <w:rFonts w:ascii="Cambria Math" w:hAnsi="Cambria Math"/>
                            </w:rPr>
                            <m:t>+</m:t>
                          </m:r>
                          <m:acc>
                            <m:accPr>
                              <m:ctrlPr>
                                <w:rPr>
                                  <w:rFonts w:ascii="Cambria Math" w:hAnsi="Cambria Math"/>
                                  <w:i/>
                                </w:rPr>
                              </m:ctrlPr>
                            </m:accPr>
                            <m:e>
                              <m:sSub>
                                <m:sSubPr>
                                  <m:ctrlPr>
                                    <w:rPr>
                                      <w:rFonts w:ascii="Cambria Math" w:hAnsi="Cambria Math"/>
                                      <w:i/>
                                    </w:rPr>
                                  </m:ctrlPr>
                                </m:sSubPr>
                                <m:e>
                                  <m:r>
                                    <w:rPr>
                                      <w:rFonts w:ascii="Cambria Math" w:hAnsi="Cambria Math"/>
                                    </w:rPr>
                                    <m:t>b</m:t>
                                  </m:r>
                                </m:e>
                                <m:sub>
                                  <m:r>
                                    <w:rPr>
                                      <w:rFonts w:ascii="Cambria Math" w:hAnsi="Cambria Math"/>
                                    </w:rPr>
                                    <m:t>2</m:t>
                                  </m:r>
                                </m:sub>
                              </m:sSub>
                            </m:e>
                          </m:acc>
                          <m:sSub>
                            <m:sSubPr>
                              <m:ctrlPr>
                                <w:rPr>
                                  <w:rFonts w:ascii="Cambria Math" w:hAnsi="Cambria Math"/>
                                  <w:i/>
                                </w:rPr>
                              </m:ctrlPr>
                            </m:sSubPr>
                            <m:e>
                              <m:r>
                                <w:rPr>
                                  <w:rFonts w:ascii="Cambria Math" w:hAnsi="Cambria Math"/>
                                </w:rPr>
                                <m:t>x</m:t>
                              </m:r>
                            </m:e>
                            <m:sub>
                              <m:r>
                                <w:rPr>
                                  <w:rFonts w:ascii="Cambria Math" w:hAnsi="Cambria Math"/>
                                </w:rPr>
                                <m:t>2</m:t>
                              </m:r>
                              <m:r>
                                <w:rPr>
                                  <w:rFonts w:ascii="Cambria Math" w:hAnsi="Cambria Math"/>
                                </w:rPr>
                                <m:t>k</m:t>
                              </m:r>
                            </m:sub>
                          </m:sSub>
                          <m:r>
                            <w:rPr>
                              <w:rFonts w:ascii="Cambria Math" w:hAnsi="Cambria Math"/>
                            </w:rPr>
                            <m:t>+…+</m:t>
                          </m:r>
                          <m:acc>
                            <m:accPr>
                              <m:ctrlPr>
                                <w:rPr>
                                  <w:rFonts w:ascii="Cambria Math" w:hAnsi="Cambria Math"/>
                                  <w:i/>
                                </w:rPr>
                              </m:ctrlPr>
                            </m:accPr>
                            <m:e>
                              <m:sSub>
                                <m:sSubPr>
                                  <m:ctrlPr>
                                    <w:rPr>
                                      <w:rFonts w:ascii="Cambria Math" w:hAnsi="Cambria Math"/>
                                      <w:i/>
                                    </w:rPr>
                                  </m:ctrlPr>
                                </m:sSubPr>
                                <m:e>
                                  <m:r>
                                    <w:rPr>
                                      <w:rFonts w:ascii="Cambria Math" w:hAnsi="Cambria Math"/>
                                    </w:rPr>
                                    <m:t>b</m:t>
                                  </m:r>
                                </m:e>
                                <m:sub>
                                  <m:r>
                                    <w:rPr>
                                      <w:rFonts w:ascii="Cambria Math" w:hAnsi="Cambria Math"/>
                                    </w:rPr>
                                    <m:t>n</m:t>
                                  </m:r>
                                </m:sub>
                              </m:sSub>
                            </m:e>
                          </m:acc>
                          <m:sSub>
                            <m:sSubPr>
                              <m:ctrlPr>
                                <w:rPr>
                                  <w:rFonts w:ascii="Cambria Math" w:hAnsi="Cambria Math"/>
                                  <w:i/>
                                </w:rPr>
                              </m:ctrlPr>
                            </m:sSubPr>
                            <m:e>
                              <m:r>
                                <w:rPr>
                                  <w:rFonts w:ascii="Cambria Math" w:hAnsi="Cambria Math"/>
                                </w:rPr>
                                <m:t>x</m:t>
                              </m:r>
                            </m:e>
                            <m:sub>
                              <m:r>
                                <w:rPr>
                                  <w:rFonts w:ascii="Cambria Math" w:hAnsi="Cambria Math"/>
                                </w:rPr>
                                <m:t>nk</m:t>
                              </m:r>
                            </m:sub>
                          </m:sSub>
                        </m:e>
                      </m:d>
                    </m:sup>
                  </m:sSup>
                </m:e>
              </m:d>
            </m:den>
          </m:f>
        </m:oMath>
      </m:oMathPara>
    </w:p>
    <w:p w14:paraId="492F0B94" w14:textId="77777777" w:rsidR="001177FD" w:rsidRDefault="001177FD" w:rsidP="0091795A">
      <w:pPr>
        <w:pStyle w:val="BodyTextFirstIndent"/>
      </w:pPr>
      <w:r w:rsidRPr="00CC1B5C">
        <w:lastRenderedPageBreak/>
        <w:t>We</w:t>
      </w:r>
      <w:r w:rsidRPr="00812AE7">
        <w:t xml:space="preserve"> will then use these predicted probability estimates to recalculate the nonresponse bias adjusted weight to be applied to each respondent’s responses. The nonresponse adjusted weights can be expressed as follows:</w:t>
      </w:r>
    </w:p>
    <w:p w14:paraId="2CDBFB24" w14:textId="77777777" w:rsidR="001177FD" w:rsidRPr="00812AE7" w:rsidRDefault="00066813" w:rsidP="0091795A">
      <w:pPr>
        <w:pStyle w:val="BodyTextFirstIndent"/>
      </w:pPr>
      <m:oMathPara>
        <m:oMath>
          <m:acc>
            <m:accPr>
              <m:ctrlPr>
                <w:rPr>
                  <w:rFonts w:ascii="Cambria Math" w:hAnsi="Cambria Math"/>
                  <w:i/>
                </w:rPr>
              </m:ctrlPr>
            </m:accPr>
            <m:e>
              <m:acc>
                <m:accPr>
                  <m:ctrlPr>
                    <w:rPr>
                      <w:rFonts w:ascii="Cambria Math" w:hAnsi="Cambria Math"/>
                      <w:i/>
                    </w:rPr>
                  </m:ctrlPr>
                </m:accPr>
                <m:e>
                  <m:sSub>
                    <m:sSubPr>
                      <m:ctrlPr>
                        <w:rPr>
                          <w:rFonts w:ascii="Cambria Math" w:hAnsi="Cambria Math"/>
                          <w:i/>
                        </w:rPr>
                      </m:ctrlPr>
                    </m:sSubPr>
                    <m:e>
                      <m:r>
                        <w:rPr>
                          <w:rFonts w:ascii="Cambria Math" w:hAnsi="Cambria Math"/>
                        </w:rPr>
                        <m:t>W</m:t>
                      </m:r>
                    </m:e>
                    <m:sub>
                      <m:r>
                        <w:rPr>
                          <w:rFonts w:ascii="Cambria Math" w:hAnsi="Cambria Math"/>
                        </w:rPr>
                        <m:t>jk</m:t>
                      </m:r>
                    </m:sub>
                  </m:sSub>
                </m:e>
              </m:acc>
            </m:e>
          </m:acc>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j</m:t>
              </m:r>
            </m:sub>
          </m:sSub>
          <m:d>
            <m:dPr>
              <m:ctrlPr>
                <w:rPr>
                  <w:rFonts w:ascii="Cambria Math" w:hAnsi="Cambria Math"/>
                  <w:i/>
                </w:rPr>
              </m:ctrlPr>
            </m:dPr>
            <m:e>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P</m:t>
                      </m:r>
                    </m:e>
                    <m:sub>
                      <m:r>
                        <w:rPr>
                          <w:rFonts w:ascii="Cambria Math" w:hAnsi="Cambria Math"/>
                        </w:rPr>
                        <m:t>S</m:t>
                      </m:r>
                      <m:r>
                        <w:rPr>
                          <w:rFonts w:ascii="Cambria Math" w:hAnsi="Cambria Math"/>
                        </w:rPr>
                        <m:t>,</m:t>
                      </m:r>
                      <m:r>
                        <w:rPr>
                          <w:rFonts w:ascii="Cambria Math" w:hAnsi="Cambria Math"/>
                        </w:rPr>
                        <m:t>j</m:t>
                      </m:r>
                    </m:sub>
                  </m:sSub>
                  <m:r>
                    <w:rPr>
                      <w:rFonts w:ascii="Cambria Math" w:hAnsi="Cambria Math"/>
                    </w:rPr>
                    <m:t>×</m:t>
                  </m:r>
                  <m:acc>
                    <m:accPr>
                      <m:ctrlPr>
                        <w:rPr>
                          <w:rFonts w:ascii="Cambria Math" w:hAnsi="Cambria Math"/>
                          <w:i/>
                        </w:rPr>
                      </m:ctrlPr>
                    </m:accPr>
                    <m:e>
                      <m:sSub>
                        <m:sSubPr>
                          <m:ctrlPr>
                            <w:rPr>
                              <w:rFonts w:ascii="Cambria Math" w:hAnsi="Cambria Math"/>
                              <w:i/>
                            </w:rPr>
                          </m:ctrlPr>
                        </m:sSubPr>
                        <m:e>
                          <m:r>
                            <w:rPr>
                              <w:rFonts w:ascii="Cambria Math" w:hAnsi="Cambria Math"/>
                            </w:rPr>
                            <m:t>P</m:t>
                          </m:r>
                        </m:e>
                        <m:sub>
                          <m:r>
                            <w:rPr>
                              <w:rFonts w:ascii="Cambria Math" w:hAnsi="Cambria Math"/>
                            </w:rPr>
                            <m:t>R</m:t>
                          </m:r>
                          <m:r>
                            <w:rPr>
                              <w:rFonts w:ascii="Cambria Math" w:hAnsi="Cambria Math"/>
                            </w:rPr>
                            <m:t>,</m:t>
                          </m:r>
                          <m:r>
                            <w:rPr>
                              <w:rFonts w:ascii="Cambria Math" w:hAnsi="Cambria Math"/>
                            </w:rPr>
                            <m:t>j</m:t>
                          </m:r>
                        </m:sub>
                      </m:sSub>
                    </m:e>
                  </m:acc>
                </m:den>
              </m:f>
            </m:e>
          </m:d>
        </m:oMath>
      </m:oMathPara>
    </w:p>
    <w:p w14:paraId="0E3E6DC5" w14:textId="77777777" w:rsidR="001177FD" w:rsidRDefault="001177FD" w:rsidP="0091795A">
      <w:pPr>
        <w:pStyle w:val="BodyText"/>
      </w:pPr>
      <w:r w:rsidRPr="00CC1B5C">
        <w:t>where</w:t>
      </w:r>
      <w:r w:rsidRPr="00812AE7">
        <w:t xml:space="preserve"> </w:t>
      </w:r>
      <m:oMath>
        <m:acc>
          <m:accPr>
            <m:ctrlPr>
              <w:rPr>
                <w:rFonts w:ascii="Cambria Math" w:hAnsi="Cambria Math"/>
                <w:i/>
                <w:szCs w:val="18"/>
              </w:rPr>
            </m:ctrlPr>
          </m:accPr>
          <m:e>
            <m:acc>
              <m:accPr>
                <m:ctrlPr>
                  <w:rPr>
                    <w:rFonts w:ascii="Cambria Math" w:hAnsi="Cambria Math"/>
                    <w:i/>
                    <w:szCs w:val="18"/>
                  </w:rPr>
                </m:ctrlPr>
              </m:accPr>
              <m:e>
                <m:sSub>
                  <m:sSubPr>
                    <m:ctrlPr>
                      <w:rPr>
                        <w:rFonts w:ascii="Cambria Math" w:hAnsi="Cambria Math"/>
                        <w:i/>
                        <w:szCs w:val="18"/>
                      </w:rPr>
                    </m:ctrlPr>
                  </m:sSubPr>
                  <m:e>
                    <m:r>
                      <w:rPr>
                        <w:rFonts w:ascii="Cambria Math" w:hAnsi="Cambria Math"/>
                      </w:rPr>
                      <m:t>W</m:t>
                    </m:r>
                  </m:e>
                  <m:sub>
                    <m:r>
                      <w:rPr>
                        <w:rFonts w:ascii="Cambria Math" w:hAnsi="Cambria Math"/>
                      </w:rPr>
                      <m:t>jk</m:t>
                    </m:r>
                  </m:sub>
                </m:sSub>
              </m:e>
            </m:acc>
          </m:e>
        </m:acc>
      </m:oMath>
      <w:r w:rsidRPr="00812AE7">
        <w:t xml:space="preserve"> is the adjusted weight for respondent </w:t>
      </w:r>
      <w:r w:rsidRPr="00346780">
        <w:rPr>
          <w:i/>
        </w:rPr>
        <w:t>k</w:t>
      </w:r>
      <w:r w:rsidRPr="00812AE7">
        <w:t xml:space="preserve"> in geographic region </w:t>
      </w:r>
      <w:r w:rsidRPr="00346780">
        <w:rPr>
          <w:i/>
        </w:rPr>
        <w:t>j</w:t>
      </w:r>
      <w:r w:rsidRPr="00812AE7">
        <w:t>;</w:t>
      </w:r>
      <w:r>
        <w:t xml:space="preserve"> </w:t>
      </w:r>
      <m:oMath>
        <m:acc>
          <m:accPr>
            <m:ctrlPr>
              <w:rPr>
                <w:rFonts w:ascii="Cambria Math" w:hAnsi="Cambria Math"/>
                <w:i/>
                <w:szCs w:val="18"/>
              </w:rPr>
            </m:ctrlPr>
          </m:accPr>
          <m:e>
            <m:sSub>
              <m:sSubPr>
                <m:ctrlPr>
                  <w:rPr>
                    <w:rFonts w:ascii="Cambria Math" w:hAnsi="Cambria Math"/>
                    <w:i/>
                    <w:szCs w:val="18"/>
                  </w:rPr>
                </m:ctrlPr>
              </m:sSubPr>
              <m:e>
                <m:r>
                  <w:rPr>
                    <w:rFonts w:ascii="Cambria Math" w:hAnsi="Cambria Math"/>
                  </w:rPr>
                  <m:t>P</m:t>
                </m:r>
              </m:e>
              <m:sub>
                <m:r>
                  <w:rPr>
                    <w:rFonts w:ascii="Cambria Math" w:hAnsi="Cambria Math"/>
                  </w:rPr>
                  <m:t>R,j</m:t>
                </m:r>
              </m:sub>
            </m:sSub>
          </m:e>
        </m:acc>
      </m:oMath>
      <w:r w:rsidRPr="00812AE7">
        <w:t xml:space="preserve"> is the estimated response probability for a respondent derived from the logistic regression, and </w:t>
      </w:r>
      <m:oMath>
        <m:sSub>
          <m:sSubPr>
            <m:ctrlPr>
              <w:rPr>
                <w:rFonts w:ascii="Cambria Math" w:hAnsi="Cambria Math"/>
                <w:i/>
                <w:szCs w:val="18"/>
              </w:rPr>
            </m:ctrlPr>
          </m:sSubPr>
          <m:e>
            <m:r>
              <w:rPr>
                <w:rFonts w:ascii="Cambria Math" w:hAnsi="Cambria Math"/>
              </w:rPr>
              <m:t>α</m:t>
            </m:r>
          </m:e>
          <m:sub>
            <m:r>
              <w:rPr>
                <w:rFonts w:ascii="Cambria Math" w:hAnsi="Cambria Math"/>
              </w:rPr>
              <m:t>j</m:t>
            </m:r>
          </m:sub>
        </m:sSub>
      </m:oMath>
      <w:r w:rsidRPr="00812AE7">
        <w:t xml:space="preserve"> is the normalization factor. These factors are calculated to normalize the estimated response probabilities so that the set of nonresponse adjusted weights have the following property for each stratum within a given estimation group:</w:t>
      </w:r>
    </w:p>
    <w:p w14:paraId="0C05E24E" w14:textId="77777777" w:rsidR="001177FD" w:rsidRDefault="00066813" w:rsidP="0091795A">
      <w:pPr>
        <w:pStyle w:val="BodyText"/>
      </w:pPr>
      <m:oMathPara>
        <m:oMath>
          <m:sSub>
            <m:sSubPr>
              <m:ctrlPr>
                <w:rPr>
                  <w:rFonts w:ascii="Cambria Math" w:hAnsi="Cambria Math"/>
                  <w:i/>
                </w:rPr>
              </m:ctrlPr>
            </m:sSubPr>
            <m:e>
              <m:r>
                <w:rPr>
                  <w:rFonts w:ascii="Cambria Math" w:hAnsi="Cambria Math"/>
                </w:rPr>
                <m:t>U</m:t>
              </m:r>
            </m:e>
            <m:sub>
              <m:r>
                <w:rPr>
                  <w:rFonts w:ascii="Cambria Math" w:hAnsi="Cambria Math"/>
                </w:rPr>
                <m:t>j</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k</m:t>
              </m:r>
            </m:sub>
            <m:sup/>
            <m:e>
              <m:acc>
                <m:accPr>
                  <m:ctrlPr>
                    <w:rPr>
                      <w:rFonts w:ascii="Cambria Math" w:hAnsi="Cambria Math"/>
                      <w:i/>
                    </w:rPr>
                  </m:ctrlPr>
                </m:accPr>
                <m:e>
                  <m:acc>
                    <m:accPr>
                      <m:ctrlPr>
                        <w:rPr>
                          <w:rFonts w:ascii="Cambria Math" w:hAnsi="Cambria Math"/>
                          <w:i/>
                        </w:rPr>
                      </m:ctrlPr>
                    </m:accPr>
                    <m:e>
                      <m:sSub>
                        <m:sSubPr>
                          <m:ctrlPr>
                            <w:rPr>
                              <w:rFonts w:ascii="Cambria Math" w:hAnsi="Cambria Math"/>
                              <w:i/>
                            </w:rPr>
                          </m:ctrlPr>
                        </m:sSubPr>
                        <m:e>
                          <m:r>
                            <w:rPr>
                              <w:rFonts w:ascii="Cambria Math" w:hAnsi="Cambria Math"/>
                            </w:rPr>
                            <m:t>W</m:t>
                          </m:r>
                        </m:e>
                        <m:sub>
                          <m:r>
                            <w:rPr>
                              <w:rFonts w:ascii="Cambria Math" w:hAnsi="Cambria Math"/>
                            </w:rPr>
                            <m:t>jk</m:t>
                          </m:r>
                        </m:sub>
                      </m:sSub>
                    </m:e>
                  </m:acc>
                </m:e>
              </m:acc>
              <m:sSub>
                <m:sSubPr>
                  <m:ctrlPr>
                    <w:rPr>
                      <w:rFonts w:ascii="Cambria Math" w:hAnsi="Cambria Math"/>
                      <w:i/>
                    </w:rPr>
                  </m:ctrlPr>
                </m:sSubPr>
                <m:e>
                  <m:r>
                    <w:rPr>
                      <w:rFonts w:ascii="Cambria Math" w:hAnsi="Cambria Math"/>
                    </w:rPr>
                    <m:t>R</m:t>
                  </m:r>
                </m:e>
                <m:sub>
                  <m:r>
                    <w:rPr>
                      <w:rFonts w:ascii="Cambria Math" w:hAnsi="Cambria Math"/>
                    </w:rPr>
                    <m:t>jk</m:t>
                  </m:r>
                </m:sub>
              </m:sSub>
            </m:e>
          </m:nary>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j</m:t>
              </m:r>
            </m:sub>
          </m:sSub>
          <m:nary>
            <m:naryPr>
              <m:chr m:val="∑"/>
              <m:limLoc m:val="undOvr"/>
              <m:supHide m:val="1"/>
              <m:ctrlPr>
                <w:rPr>
                  <w:rFonts w:ascii="Cambria Math" w:hAnsi="Cambria Math"/>
                  <w:i/>
                </w:rPr>
              </m:ctrlPr>
            </m:naryPr>
            <m:sub>
              <m:r>
                <w:rPr>
                  <w:rFonts w:ascii="Cambria Math" w:hAnsi="Cambria Math"/>
                </w:rPr>
                <m:t>k</m:t>
              </m:r>
            </m:sub>
            <m:sup/>
            <m:e>
              <m:d>
                <m:dPr>
                  <m:ctrlPr>
                    <w:rPr>
                      <w:rFonts w:ascii="Cambria Math" w:hAnsi="Cambria Math"/>
                      <w:i/>
                    </w:rPr>
                  </m:ctrlPr>
                </m:dPr>
                <m:e>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P</m:t>
                          </m:r>
                        </m:e>
                        <m:sub>
                          <m:r>
                            <w:rPr>
                              <w:rFonts w:ascii="Cambria Math" w:hAnsi="Cambria Math"/>
                            </w:rPr>
                            <m:t>S</m:t>
                          </m:r>
                          <m:r>
                            <w:rPr>
                              <w:rFonts w:ascii="Cambria Math" w:hAnsi="Cambria Math"/>
                            </w:rPr>
                            <m:t>,</m:t>
                          </m:r>
                          <m:r>
                            <w:rPr>
                              <w:rFonts w:ascii="Cambria Math" w:hAnsi="Cambria Math"/>
                            </w:rPr>
                            <m:t>j</m:t>
                          </m:r>
                        </m:sub>
                      </m:sSub>
                      <m:r>
                        <w:rPr>
                          <w:rFonts w:ascii="Cambria Math" w:hAnsi="Cambria Math"/>
                        </w:rPr>
                        <m:t>×</m:t>
                      </m:r>
                      <m:acc>
                        <m:accPr>
                          <m:ctrlPr>
                            <w:rPr>
                              <w:rFonts w:ascii="Cambria Math" w:hAnsi="Cambria Math"/>
                              <w:i/>
                            </w:rPr>
                          </m:ctrlPr>
                        </m:accPr>
                        <m:e>
                          <m:sSub>
                            <m:sSubPr>
                              <m:ctrlPr>
                                <w:rPr>
                                  <w:rFonts w:ascii="Cambria Math" w:hAnsi="Cambria Math"/>
                                  <w:i/>
                                </w:rPr>
                              </m:ctrlPr>
                            </m:sSubPr>
                            <m:e>
                              <m:r>
                                <w:rPr>
                                  <w:rFonts w:ascii="Cambria Math" w:hAnsi="Cambria Math"/>
                                </w:rPr>
                                <m:t>P</m:t>
                              </m:r>
                            </m:e>
                            <m:sub>
                              <m:r>
                                <w:rPr>
                                  <w:rFonts w:ascii="Cambria Math" w:hAnsi="Cambria Math"/>
                                </w:rPr>
                                <m:t>R</m:t>
                              </m:r>
                              <m:r>
                                <w:rPr>
                                  <w:rFonts w:ascii="Cambria Math" w:hAnsi="Cambria Math"/>
                                </w:rPr>
                                <m:t>,</m:t>
                              </m:r>
                              <m:r>
                                <w:rPr>
                                  <w:rFonts w:ascii="Cambria Math" w:hAnsi="Cambria Math"/>
                                </w:rPr>
                                <m:t>j</m:t>
                              </m:r>
                            </m:sub>
                          </m:sSub>
                        </m:e>
                      </m:acc>
                    </m:den>
                  </m:f>
                </m:e>
              </m:d>
            </m:e>
          </m:nary>
          <m:sSub>
            <m:sSubPr>
              <m:ctrlPr>
                <w:rPr>
                  <w:rFonts w:ascii="Cambria Math" w:hAnsi="Cambria Math"/>
                  <w:i/>
                </w:rPr>
              </m:ctrlPr>
            </m:sSubPr>
            <m:e>
              <m:r>
                <w:rPr>
                  <w:rFonts w:ascii="Cambria Math" w:hAnsi="Cambria Math"/>
                </w:rPr>
                <m:t>R</m:t>
              </m:r>
            </m:e>
            <m:sub>
              <m:r>
                <w:rPr>
                  <w:rFonts w:ascii="Cambria Math" w:hAnsi="Cambria Math"/>
                </w:rPr>
                <m:t>jk</m:t>
              </m:r>
            </m:sub>
          </m:sSub>
        </m:oMath>
      </m:oMathPara>
    </w:p>
    <w:p w14:paraId="58C7859A" w14:textId="21970173" w:rsidR="001177FD" w:rsidRDefault="001177FD" w:rsidP="0091795A">
      <w:pPr>
        <w:pStyle w:val="BodyText"/>
      </w:pPr>
      <w:r w:rsidRPr="00812AE7">
        <w:t xml:space="preserve">where </w:t>
      </w:r>
      <w:r w:rsidRPr="00261C4E">
        <w:rPr>
          <w:i/>
        </w:rPr>
        <w:t>k</w:t>
      </w:r>
      <w:r w:rsidRPr="00812AE7">
        <w:t xml:space="preserve"> is summed over all respondents in stratum </w:t>
      </w:r>
      <w:r w:rsidRPr="00261C4E">
        <w:rPr>
          <w:i/>
        </w:rPr>
        <w:t>j</w:t>
      </w:r>
      <w:r w:rsidRPr="00812AE7">
        <w:t xml:space="preserve"> </w:t>
      </w:r>
      <w:r>
        <w:t>within a given survey estimation cell (i.e., Group 1, Group 2, and Group3).</w:t>
      </w:r>
    </w:p>
    <w:p w14:paraId="391F529F" w14:textId="5B9CDE5B" w:rsidR="003550D3" w:rsidRDefault="003550D3" w:rsidP="003550D3">
      <w:pPr>
        <w:pStyle w:val="BodyTextFirstIndent"/>
      </w:pPr>
      <w:r>
        <w:t xml:space="preserve">Depending on the results of the above analysis, </w:t>
      </w:r>
      <w:r w:rsidR="009D004A">
        <w:t xml:space="preserve">we </w:t>
      </w:r>
      <w:r>
        <w:t xml:space="preserve">will also </w:t>
      </w:r>
      <w:r w:rsidR="009D004A">
        <w:t xml:space="preserve">consider using the </w:t>
      </w:r>
      <w:r>
        <w:t xml:space="preserve">multivariate regression-based imputation </w:t>
      </w:r>
      <w:r w:rsidR="009D004A">
        <w:t xml:space="preserve">approach, </w:t>
      </w:r>
      <w:r>
        <w:t>to impute estimated values for non-respondents</w:t>
      </w:r>
      <w:r w:rsidR="009D004A">
        <w:t xml:space="preserve"> to address non response bias.</w:t>
      </w:r>
    </w:p>
    <w:p w14:paraId="795D58C8" w14:textId="77777777" w:rsidR="00FF0F45" w:rsidRDefault="00FF0F45" w:rsidP="00FF0F45">
      <w:pPr>
        <w:pStyle w:val="Heading3"/>
      </w:pPr>
      <w:r>
        <w:t>Interviews</w:t>
      </w:r>
    </w:p>
    <w:p w14:paraId="0D23E9D2" w14:textId="47F0416F" w:rsidR="00FF0F45" w:rsidRPr="004C1A97" w:rsidRDefault="000B7A24" w:rsidP="00FF0F45">
      <w:pPr>
        <w:pStyle w:val="BodyTextFirstIndent"/>
      </w:pPr>
      <w:r w:rsidRPr="000B7A24">
        <w:t>We will kee</w:t>
      </w:r>
      <w:r>
        <w:t>p the phone interviews</w:t>
      </w:r>
      <w:r w:rsidR="00845951">
        <w:t xml:space="preserve"> brief </w:t>
      </w:r>
      <w:r w:rsidR="00845F98">
        <w:t xml:space="preserve">to minimize </w:t>
      </w:r>
      <w:r w:rsidRPr="000B7A24">
        <w:t>non-response.</w:t>
      </w:r>
      <w:r w:rsidR="009250A4">
        <w:t xml:space="preserve"> </w:t>
      </w:r>
      <w:r w:rsidR="009250A4">
        <w:rPr>
          <w:rFonts w:eastAsiaTheme="minorHAnsi"/>
          <w:color w:val="000000"/>
        </w:rPr>
        <w:t xml:space="preserve">We will monitor response rates of all of the </w:t>
      </w:r>
      <w:r w:rsidR="00DA0342">
        <w:rPr>
          <w:rFonts w:eastAsiaTheme="minorHAnsi"/>
          <w:color w:val="000000"/>
        </w:rPr>
        <w:t xml:space="preserve">interview </w:t>
      </w:r>
      <w:r w:rsidR="009250A4">
        <w:rPr>
          <w:rFonts w:eastAsiaTheme="minorHAnsi"/>
          <w:color w:val="000000"/>
        </w:rPr>
        <w:t>groups and assess the diversity of the sample according to our pre-determined selection criteria. We will continue to follow-up with groups of participants as needed to improve response rates. Additional methods to deal with non-response are not applicable.</w:t>
      </w:r>
    </w:p>
    <w:p w14:paraId="35CDC5D4" w14:textId="77777777" w:rsidR="001177FD" w:rsidRDefault="001177FD" w:rsidP="0091795A">
      <w:pPr>
        <w:pStyle w:val="Heading2"/>
      </w:pPr>
      <w:bookmarkStart w:id="137" w:name="_Toc429570410"/>
      <w:bookmarkStart w:id="138" w:name="_Toc431546816"/>
      <w:bookmarkStart w:id="139" w:name="GeneralizingtotheUniverseStudied"/>
      <w:r w:rsidRPr="00094E91">
        <w:t>Generalizing</w:t>
      </w:r>
      <w:r w:rsidRPr="0073378A">
        <w:t xml:space="preserve"> to the Universe Studied</w:t>
      </w:r>
      <w:bookmarkEnd w:id="135"/>
      <w:bookmarkEnd w:id="136"/>
      <w:bookmarkEnd w:id="137"/>
      <w:bookmarkEnd w:id="138"/>
    </w:p>
    <w:p w14:paraId="322B13C2" w14:textId="77777777" w:rsidR="00FF0F45" w:rsidRPr="00FF0F45" w:rsidRDefault="00FF0F45" w:rsidP="00FF0F45">
      <w:pPr>
        <w:pStyle w:val="Heading3"/>
      </w:pPr>
      <w:r>
        <w:t>Survey</w:t>
      </w:r>
    </w:p>
    <w:bookmarkEnd w:id="139"/>
    <w:p w14:paraId="39A1C6BA" w14:textId="25D199FA" w:rsidR="001177FD" w:rsidRDefault="001177FD" w:rsidP="0091795A">
      <w:pPr>
        <w:pStyle w:val="BodyTextFirstIndent"/>
      </w:pPr>
      <w:r w:rsidRPr="00CC1B5C">
        <w:t>Because</w:t>
      </w:r>
      <w:r>
        <w:t xml:space="preserve"> we will </w:t>
      </w:r>
      <w:r w:rsidR="009850B5">
        <w:t>target</w:t>
      </w:r>
      <w:r>
        <w:t xml:space="preserve"> all of the</w:t>
      </w:r>
      <w:r w:rsidR="009850B5">
        <w:t xml:space="preserve"> beneficiaries in Groups 1 and 3</w:t>
      </w:r>
      <w:r>
        <w:t xml:space="preserve"> and a </w:t>
      </w:r>
      <w:r w:rsidR="009850B5">
        <w:t xml:space="preserve">stratified </w:t>
      </w:r>
      <w:r>
        <w:t>random sa</w:t>
      </w:r>
      <w:r w:rsidR="009850B5">
        <w:t>mple of beneficiaries in Group 2</w:t>
      </w:r>
      <w:r>
        <w:t xml:space="preserve">, we expect that the information collected will yield reliable data that can be </w:t>
      </w:r>
      <w:r w:rsidRPr="00291289">
        <w:t>generalized to the universe studied</w:t>
      </w:r>
      <w:r w:rsidRPr="00E87178">
        <w:t xml:space="preserve">. </w:t>
      </w:r>
    </w:p>
    <w:p w14:paraId="0E51B1D4" w14:textId="77777777" w:rsidR="00FF0F45" w:rsidRDefault="00FF0F45" w:rsidP="00FF0F45">
      <w:pPr>
        <w:pStyle w:val="Heading3"/>
      </w:pPr>
      <w:r>
        <w:t>Interviews</w:t>
      </w:r>
    </w:p>
    <w:p w14:paraId="6F1FC6D6" w14:textId="0B72C3AC" w:rsidR="00FF0F45" w:rsidRPr="004C1A97" w:rsidRDefault="009250A4" w:rsidP="00FF0F45">
      <w:pPr>
        <w:pStyle w:val="BodyTextFirstIndent"/>
      </w:pPr>
      <w:r>
        <w:t>Purposive convenience sampling limits generalizing to the universe, so p</w:t>
      </w:r>
      <w:r w:rsidR="000B7A24" w:rsidRPr="000B7A24">
        <w:t xml:space="preserve">urposely selecting </w:t>
      </w:r>
      <w:r>
        <w:t>participants</w:t>
      </w:r>
      <w:r w:rsidR="000B7A24" w:rsidRPr="000B7A24">
        <w:t xml:space="preserve"> to provide maximum variation in key characteristics will help improve the generalizability of the findings. Although the goal of qualitative interviews is not statistical generalizability, we expect the results will provide valuable insights to supplement the beneficiary survey and secondary data analyses of Medicare claims data. There is a point of diminishing return to a qualitative sample—as the study goes on, more data does not necessarily lead to more information. This is because one occurrence of a piece of data, or a code, is all that is necessary to ensure that it becomes part of the analysis framework. Frequencies are rarely important in qualitative research, as one occurrence of the data is potentially as useful as many in understan</w:t>
      </w:r>
      <w:r w:rsidR="009C5C43">
        <w:t>ding the process behind a topic</w:t>
      </w:r>
      <w:r w:rsidR="000B7A24" w:rsidRPr="000B7A24">
        <w:t xml:space="preserve"> </w:t>
      </w:r>
      <w:sdt>
        <w:sdtPr>
          <w:id w:val="-592091052"/>
          <w:citation/>
        </w:sdtPr>
        <w:sdtEndPr/>
        <w:sdtContent>
          <w:r w:rsidR="0060188B">
            <w:fldChar w:fldCharType="begin"/>
          </w:r>
          <w:r w:rsidR="009C5C43">
            <w:instrText xml:space="preserve"> CITATION Pol10 \l 1033 </w:instrText>
          </w:r>
          <w:r w:rsidR="0060188B">
            <w:fldChar w:fldCharType="separate"/>
          </w:r>
          <w:r w:rsidR="00464D9D">
            <w:rPr>
              <w:noProof/>
            </w:rPr>
            <w:t>(Polit &amp; Beck, 2010)</w:t>
          </w:r>
          <w:r w:rsidR="0060188B">
            <w:fldChar w:fldCharType="end"/>
          </w:r>
        </w:sdtContent>
      </w:sdt>
      <w:r w:rsidR="009C5C43">
        <w:t>.</w:t>
      </w:r>
      <w:r w:rsidR="000B7A24" w:rsidRPr="000B7A24">
        <w:t xml:space="preserve"> We will continue interviews until we reach a point of saturation, which will indicate that when the collection of new data does not shed any further light on the issues under investigation </w:t>
      </w:r>
      <w:sdt>
        <w:sdtPr>
          <w:id w:val="1333487317"/>
          <w:citation/>
        </w:sdtPr>
        <w:sdtEndPr/>
        <w:sdtContent>
          <w:r w:rsidR="0060188B">
            <w:fldChar w:fldCharType="begin"/>
          </w:r>
          <w:r w:rsidR="00B40491">
            <w:instrText xml:space="preserve"> CITATION Gre09 \l 1033 </w:instrText>
          </w:r>
          <w:r w:rsidR="0060188B">
            <w:fldChar w:fldCharType="separate"/>
          </w:r>
          <w:r w:rsidR="00464D9D">
            <w:rPr>
              <w:noProof/>
            </w:rPr>
            <w:t>(Green &amp; Thorogood, 2009)</w:t>
          </w:r>
          <w:r w:rsidR="0060188B">
            <w:fldChar w:fldCharType="end"/>
          </w:r>
        </w:sdtContent>
      </w:sdt>
      <w:r w:rsidR="000B7A24" w:rsidRPr="000B7A24">
        <w:t>.</w:t>
      </w:r>
    </w:p>
    <w:p w14:paraId="311C021E" w14:textId="77777777" w:rsidR="001177FD" w:rsidRDefault="001177FD" w:rsidP="0091795A">
      <w:pPr>
        <w:pStyle w:val="Heading1"/>
      </w:pPr>
      <w:bookmarkStart w:id="140" w:name="_Ref406148914"/>
      <w:bookmarkStart w:id="141" w:name="_Toc410331617"/>
      <w:bookmarkStart w:id="142" w:name="_Toc410331723"/>
      <w:bookmarkStart w:id="143" w:name="_Toc429570411"/>
      <w:bookmarkStart w:id="144" w:name="_Toc431546817"/>
      <w:bookmarkStart w:id="145" w:name="TestofProceduresorMethods"/>
      <w:r w:rsidRPr="00094E91">
        <w:lastRenderedPageBreak/>
        <w:t>Test</w:t>
      </w:r>
      <w:r w:rsidRPr="0073378A">
        <w:t xml:space="preserve"> of Procedures or Methods</w:t>
      </w:r>
      <w:bookmarkEnd w:id="140"/>
      <w:bookmarkEnd w:id="141"/>
      <w:bookmarkEnd w:id="142"/>
      <w:bookmarkEnd w:id="143"/>
      <w:bookmarkEnd w:id="144"/>
    </w:p>
    <w:p w14:paraId="1A8A14D7" w14:textId="77777777" w:rsidR="00FF0F45" w:rsidRPr="00FF0F45" w:rsidRDefault="00FF0F45" w:rsidP="00FF0F45">
      <w:pPr>
        <w:pStyle w:val="Heading2"/>
      </w:pPr>
      <w:r>
        <w:t>Survey</w:t>
      </w:r>
    </w:p>
    <w:bookmarkEnd w:id="145"/>
    <w:p w14:paraId="3E4E2AB6" w14:textId="750CCA4F" w:rsidR="001177FD" w:rsidRDefault="001177FD" w:rsidP="0091795A">
      <w:pPr>
        <w:pStyle w:val="BodyTextFirstIndent"/>
      </w:pPr>
      <w:r>
        <w:t xml:space="preserve">As part of developing the mail and online survey instruments, the project team has conducted cognitive testing to </w:t>
      </w:r>
      <w:r w:rsidR="0001551E">
        <w:t>get initial feedback on</w:t>
      </w:r>
      <w:r w:rsidR="0001551E" w:rsidRPr="00AE46ED">
        <w:t xml:space="preserve"> </w:t>
      </w:r>
      <w:r w:rsidRPr="00AE46ED">
        <w:t xml:space="preserve">respondents’ understanding of questions, consistency in interpreting questions and response options, ability to recall necessary information, how well the items reflect the measurement domains, and the flow of the </w:t>
      </w:r>
      <w:r>
        <w:t>survey tools and interviews.</w:t>
      </w:r>
      <w:r w:rsidRPr="00AE46ED">
        <w:t xml:space="preserve"> </w:t>
      </w:r>
    </w:p>
    <w:p w14:paraId="57C96135" w14:textId="355945C3" w:rsidR="001177FD" w:rsidRDefault="001177FD" w:rsidP="0091795A">
      <w:pPr>
        <w:pStyle w:val="BodyTextFirstIndent"/>
      </w:pPr>
      <w:r w:rsidRPr="00AE46ED">
        <w:rPr>
          <w:szCs w:val="24"/>
        </w:rPr>
        <w:t xml:space="preserve">We </w:t>
      </w:r>
      <w:r>
        <w:rPr>
          <w:szCs w:val="24"/>
        </w:rPr>
        <w:t xml:space="preserve">first </w:t>
      </w:r>
      <w:r w:rsidR="00B25470">
        <w:rPr>
          <w:szCs w:val="24"/>
        </w:rPr>
        <w:t>beta-tested</w:t>
      </w:r>
      <w:r>
        <w:t xml:space="preserve"> the survey instruments with two contractor employees. Employees were provided with fictional “bios” providing made-up medical information consistent with the respondent universe, and were asked to refer to these bios when answering the survey items. This procedure more closely approximated the time that an actual respondent might require to complete the survey. </w:t>
      </w:r>
      <w:r w:rsidRPr="00045545">
        <w:rPr>
          <w:szCs w:val="24"/>
        </w:rPr>
        <w:t>On average</w:t>
      </w:r>
      <w:r>
        <w:rPr>
          <w:szCs w:val="24"/>
        </w:rPr>
        <w:t>, they required less than 30 minutes to complete the survey. For burden estimates, we assume that</w:t>
      </w:r>
      <w:r w:rsidRPr="00045545">
        <w:rPr>
          <w:szCs w:val="24"/>
        </w:rPr>
        <w:t xml:space="preserve"> the survey will require </w:t>
      </w:r>
      <w:r>
        <w:rPr>
          <w:szCs w:val="24"/>
        </w:rPr>
        <w:t>30</w:t>
      </w:r>
      <w:r w:rsidRPr="00045545">
        <w:rPr>
          <w:szCs w:val="24"/>
        </w:rPr>
        <w:t xml:space="preserve"> minutes to complete</w:t>
      </w:r>
      <w:r>
        <w:rPr>
          <w:szCs w:val="24"/>
        </w:rPr>
        <w:t>, whether in paper or online form.</w:t>
      </w:r>
      <w:r>
        <w:t xml:space="preserve"> </w:t>
      </w:r>
    </w:p>
    <w:p w14:paraId="63A306F8" w14:textId="3CD624E1" w:rsidR="001177FD" w:rsidRDefault="001177FD" w:rsidP="0091795A">
      <w:pPr>
        <w:pStyle w:val="BodyTextFirstIndent"/>
      </w:pPr>
      <w:r w:rsidRPr="00AE46ED">
        <w:rPr>
          <w:szCs w:val="24"/>
        </w:rPr>
        <w:t>We</w:t>
      </w:r>
      <w:r>
        <w:rPr>
          <w:szCs w:val="24"/>
        </w:rPr>
        <w:t xml:space="preserve"> additionally </w:t>
      </w:r>
      <w:r w:rsidRPr="00AE46ED">
        <w:rPr>
          <w:szCs w:val="24"/>
        </w:rPr>
        <w:t xml:space="preserve">conducted </w:t>
      </w:r>
      <w:r>
        <w:t xml:space="preserve">cognitive testing of the beneficiary surveys with up to nine members of the universe studied (Medicare beneficiaries with PIDD who receive IG, including both those enrolled and not enrolled in the </w:t>
      </w:r>
      <w:r w:rsidR="001F4804">
        <w:t>Demonstration</w:t>
      </w:r>
      <w:r>
        <w:t xml:space="preserve">). </w:t>
      </w:r>
      <w:r>
        <w:rPr>
          <w:szCs w:val="24"/>
        </w:rPr>
        <w:t>In these interviews, respondents provided valuable feedback on how to improve question wording, simplify skip patterns, and otherwise make the elements of the survey package more interpretable. Based on respondent feedback during cognitive testing, we</w:t>
      </w:r>
      <w:r>
        <w:t xml:space="preserve"> revised the survey to improve the questions – make them easier to comprehend and reduce the complexity </w:t>
      </w:r>
      <w:bookmarkStart w:id="146" w:name="_GoBack"/>
      <w:bookmarkEnd w:id="146"/>
      <w:r>
        <w:t xml:space="preserve">of skip patterns. </w:t>
      </w:r>
      <w:r w:rsidRPr="00BE0BC7">
        <w:t xml:space="preserve"> </w:t>
      </w:r>
    </w:p>
    <w:p w14:paraId="004F3456" w14:textId="77777777" w:rsidR="00FF0F45" w:rsidRDefault="00FF0F45" w:rsidP="00FF0F45">
      <w:pPr>
        <w:pStyle w:val="Heading2"/>
      </w:pPr>
      <w:r>
        <w:t>Interviews</w:t>
      </w:r>
    </w:p>
    <w:p w14:paraId="79976B5B" w14:textId="2CF3829D" w:rsidR="00FF0F45" w:rsidRPr="004C1A97" w:rsidRDefault="000B7A24" w:rsidP="00FF0F45">
      <w:pPr>
        <w:pStyle w:val="BodyTextFirstIndent"/>
      </w:pPr>
      <w:r w:rsidRPr="000B7A24">
        <w:t xml:space="preserve">We modified previous used data collection instruments for the ASPE 2007 study based on </w:t>
      </w:r>
      <w:r w:rsidR="00E60770">
        <w:t xml:space="preserve">an </w:t>
      </w:r>
      <w:r w:rsidRPr="000B7A24">
        <w:t>updated literature</w:t>
      </w:r>
      <w:r w:rsidR="00E60770">
        <w:t xml:space="preserve"> review</w:t>
      </w:r>
      <w:r w:rsidRPr="000B7A24">
        <w:t xml:space="preserve">. </w:t>
      </w:r>
      <w:r w:rsidR="0017705E">
        <w:t>The</w:t>
      </w:r>
      <w:r w:rsidRPr="000B7A24">
        <w:t xml:space="preserve"> content validity of the interview guides was pilot tested using two physicians and two nurses knowledgeable of IVIG and SCIG treatment. </w:t>
      </w:r>
      <w:r w:rsidR="00BE666F">
        <w:t>Furthermore, we</w:t>
      </w:r>
      <w:r w:rsidRPr="000B7A24">
        <w:t xml:space="preserve"> conducted pilot tests of the interviews with a physician, nurse, and informal caregiver (a total of three participants) for interview timing, flow, structure, and clarity of questions and responses. We made revisions based on these pilot-tests to minimize burden and improve utility of the interview guides.</w:t>
      </w:r>
    </w:p>
    <w:p w14:paraId="40FE7107" w14:textId="77777777" w:rsidR="001177FD" w:rsidRPr="0073378A" w:rsidRDefault="001177FD" w:rsidP="0091795A">
      <w:pPr>
        <w:pStyle w:val="Heading1"/>
      </w:pPr>
      <w:bookmarkStart w:id="147" w:name="IndividualsConsultedonStatisticalAspects"/>
      <w:r w:rsidRPr="00094E91">
        <w:t>Individuals</w:t>
      </w:r>
      <w:r>
        <w:t xml:space="preserve"> Consulted on Statistical Aspects o</w:t>
      </w:r>
      <w:r w:rsidRPr="0073378A">
        <w:t>f Design</w:t>
      </w:r>
    </w:p>
    <w:bookmarkEnd w:id="147"/>
    <w:p w14:paraId="7C430237" w14:textId="7E5199CF" w:rsidR="001177FD" w:rsidRDefault="0060188B" w:rsidP="0091795A">
      <w:pPr>
        <w:pStyle w:val="BodyTextFirstIndent"/>
      </w:pPr>
      <w:r>
        <w:fldChar w:fldCharType="begin"/>
      </w:r>
      <w:r w:rsidR="001177FD" w:rsidRPr="00CC1B5C">
        <w:instrText xml:space="preserve"> REF _Ref435096034 \h  \* MERGEFORMAT </w:instrText>
      </w:r>
      <w:r>
        <w:fldChar w:fldCharType="separate"/>
      </w:r>
      <w:r w:rsidR="00464D9D">
        <w:t xml:space="preserve">Table </w:t>
      </w:r>
      <w:r w:rsidR="00464D9D">
        <w:rPr>
          <w:noProof/>
        </w:rPr>
        <w:t>4</w:t>
      </w:r>
      <w:r>
        <w:fldChar w:fldCharType="end"/>
      </w:r>
      <w:r w:rsidR="001177FD">
        <w:t xml:space="preserve"> </w:t>
      </w:r>
      <w:r w:rsidR="001177FD" w:rsidRPr="00E77634">
        <w:t>below provide</w:t>
      </w:r>
      <w:r w:rsidR="001177FD">
        <w:t>s</w:t>
      </w:r>
      <w:r w:rsidR="001177FD" w:rsidRPr="00E77634">
        <w:t xml:space="preserve"> the names, affiliation, and contact information for those consulted on the statistical aspects of the design and who will collect or analyze the information.</w:t>
      </w:r>
    </w:p>
    <w:p w14:paraId="31B8EEAB" w14:textId="28DDAB2D" w:rsidR="001177FD" w:rsidRDefault="001177FD">
      <w:pPr>
        <w:pStyle w:val="Caption"/>
        <w:spacing w:line="276" w:lineRule="auto"/>
      </w:pPr>
      <w:bookmarkStart w:id="148" w:name="_Ref435096034"/>
      <w:r>
        <w:t xml:space="preserve">Table </w:t>
      </w:r>
      <w:r w:rsidR="0060188B">
        <w:fldChar w:fldCharType="begin"/>
      </w:r>
      <w:r w:rsidR="00317143">
        <w:instrText xml:space="preserve"> SEQ Table \* ARABIC </w:instrText>
      </w:r>
      <w:r w:rsidR="0060188B">
        <w:fldChar w:fldCharType="separate"/>
      </w:r>
      <w:r w:rsidR="00464D9D">
        <w:rPr>
          <w:noProof/>
        </w:rPr>
        <w:t>4</w:t>
      </w:r>
      <w:r w:rsidR="0060188B">
        <w:rPr>
          <w:noProof/>
        </w:rPr>
        <w:fldChar w:fldCharType="end"/>
      </w:r>
      <w:bookmarkEnd w:id="148"/>
      <w:r>
        <w:t xml:space="preserve">: </w:t>
      </w:r>
      <w:r w:rsidRPr="008700D5">
        <w:t>Individuals Consulted on Statistical Aspects and Performing Data Collection &amp; Analysis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3763"/>
        <w:gridCol w:w="2182"/>
      </w:tblGrid>
      <w:tr w:rsidR="001177FD" w:rsidRPr="00734F4C" w14:paraId="5FC6FE34" w14:textId="77777777" w:rsidTr="0091795A">
        <w:trPr>
          <w:cantSplit/>
          <w:tblHeader/>
          <w:jc w:val="center"/>
        </w:trPr>
        <w:tc>
          <w:tcPr>
            <w:tcW w:w="3415" w:type="dxa"/>
            <w:shd w:val="clear" w:color="000000" w:fill="DBE5F1" w:themeFill="accent1" w:themeFillTint="33"/>
            <w:vAlign w:val="center"/>
            <w:hideMark/>
          </w:tcPr>
          <w:p w14:paraId="1EA8E52C" w14:textId="77777777" w:rsidR="001177FD" w:rsidRPr="00734F4C" w:rsidRDefault="001177FD" w:rsidP="0091795A">
            <w:pPr>
              <w:rPr>
                <w:b/>
                <w:sz w:val="20"/>
              </w:rPr>
            </w:pPr>
            <w:r w:rsidRPr="00734F4C">
              <w:rPr>
                <w:b/>
                <w:sz w:val="20"/>
              </w:rPr>
              <w:t>Name</w:t>
            </w:r>
          </w:p>
        </w:tc>
        <w:tc>
          <w:tcPr>
            <w:tcW w:w="3763" w:type="dxa"/>
            <w:shd w:val="clear" w:color="000000" w:fill="DBE5F1" w:themeFill="accent1" w:themeFillTint="33"/>
            <w:vAlign w:val="center"/>
            <w:hideMark/>
          </w:tcPr>
          <w:p w14:paraId="506C94A9" w14:textId="77777777" w:rsidR="001177FD" w:rsidRPr="00734F4C" w:rsidRDefault="001177FD" w:rsidP="0091795A">
            <w:pPr>
              <w:rPr>
                <w:b/>
                <w:sz w:val="20"/>
              </w:rPr>
            </w:pPr>
            <w:r w:rsidRPr="00734F4C">
              <w:rPr>
                <w:b/>
                <w:sz w:val="20"/>
              </w:rPr>
              <w:t>Affiliation</w:t>
            </w:r>
          </w:p>
        </w:tc>
        <w:tc>
          <w:tcPr>
            <w:tcW w:w="0" w:type="auto"/>
            <w:shd w:val="clear" w:color="000000" w:fill="DBE5F1" w:themeFill="accent1" w:themeFillTint="33"/>
            <w:vAlign w:val="center"/>
            <w:hideMark/>
          </w:tcPr>
          <w:p w14:paraId="709002C4" w14:textId="77777777" w:rsidR="001177FD" w:rsidRPr="00734F4C" w:rsidRDefault="001177FD" w:rsidP="0091795A">
            <w:pPr>
              <w:rPr>
                <w:b/>
                <w:sz w:val="20"/>
              </w:rPr>
            </w:pPr>
            <w:r w:rsidRPr="00734F4C">
              <w:rPr>
                <w:b/>
                <w:sz w:val="20"/>
              </w:rPr>
              <w:t>Contact Information</w:t>
            </w:r>
          </w:p>
        </w:tc>
      </w:tr>
      <w:tr w:rsidR="001177FD" w:rsidRPr="00734F4C" w14:paraId="280D4167" w14:textId="77777777" w:rsidTr="0091795A">
        <w:trPr>
          <w:jc w:val="center"/>
        </w:trPr>
        <w:tc>
          <w:tcPr>
            <w:tcW w:w="3415" w:type="dxa"/>
            <w:shd w:val="clear" w:color="auto" w:fill="auto"/>
            <w:hideMark/>
          </w:tcPr>
          <w:p w14:paraId="70130B65" w14:textId="77777777" w:rsidR="001177FD" w:rsidRPr="00734F4C" w:rsidRDefault="001177FD" w:rsidP="0091795A">
            <w:pPr>
              <w:rPr>
                <w:sz w:val="20"/>
              </w:rPr>
            </w:pPr>
            <w:r w:rsidRPr="00734F4C">
              <w:rPr>
                <w:sz w:val="20"/>
              </w:rPr>
              <w:t>Allen Dobson, Ph.D.</w:t>
            </w:r>
          </w:p>
        </w:tc>
        <w:tc>
          <w:tcPr>
            <w:tcW w:w="3763" w:type="dxa"/>
            <w:shd w:val="clear" w:color="auto" w:fill="auto"/>
            <w:hideMark/>
          </w:tcPr>
          <w:p w14:paraId="25A92139" w14:textId="77777777" w:rsidR="001177FD" w:rsidRPr="00734F4C" w:rsidRDefault="001177FD" w:rsidP="0091795A">
            <w:pPr>
              <w:rPr>
                <w:sz w:val="20"/>
              </w:rPr>
            </w:pPr>
            <w:r w:rsidRPr="00734F4C">
              <w:rPr>
                <w:sz w:val="20"/>
              </w:rPr>
              <w:t>Dobson DaVanzo &amp; Associates, LLC</w:t>
            </w:r>
            <w:r w:rsidRPr="00734F4C">
              <w:rPr>
                <w:sz w:val="20"/>
              </w:rPr>
              <w:t> </w:t>
            </w:r>
          </w:p>
        </w:tc>
        <w:tc>
          <w:tcPr>
            <w:tcW w:w="0" w:type="auto"/>
            <w:shd w:val="clear" w:color="auto" w:fill="auto"/>
            <w:hideMark/>
          </w:tcPr>
          <w:p w14:paraId="646C412D" w14:textId="77777777" w:rsidR="001177FD" w:rsidRPr="00734F4C" w:rsidRDefault="001177FD" w:rsidP="0091795A">
            <w:pPr>
              <w:rPr>
                <w:sz w:val="20"/>
              </w:rPr>
            </w:pPr>
            <w:r w:rsidRPr="00734F4C">
              <w:rPr>
                <w:sz w:val="20"/>
              </w:rPr>
              <w:t>703-260-1762</w:t>
            </w:r>
          </w:p>
        </w:tc>
      </w:tr>
      <w:tr w:rsidR="001177FD" w:rsidRPr="00734F4C" w14:paraId="19EC2C09" w14:textId="77777777" w:rsidTr="0091795A">
        <w:trPr>
          <w:jc w:val="center"/>
        </w:trPr>
        <w:tc>
          <w:tcPr>
            <w:tcW w:w="3415" w:type="dxa"/>
            <w:shd w:val="clear" w:color="auto" w:fill="auto"/>
            <w:hideMark/>
          </w:tcPr>
          <w:p w14:paraId="1F92CF08" w14:textId="77777777" w:rsidR="001177FD" w:rsidRPr="00734F4C" w:rsidRDefault="001177FD" w:rsidP="0091795A">
            <w:pPr>
              <w:rPr>
                <w:sz w:val="20"/>
              </w:rPr>
            </w:pPr>
            <w:r w:rsidRPr="00734F4C">
              <w:rPr>
                <w:sz w:val="20"/>
              </w:rPr>
              <w:t>Joan DaVanzo, Ph.D., M.S.W.</w:t>
            </w:r>
          </w:p>
        </w:tc>
        <w:tc>
          <w:tcPr>
            <w:tcW w:w="3763" w:type="dxa"/>
            <w:shd w:val="clear" w:color="auto" w:fill="auto"/>
            <w:hideMark/>
          </w:tcPr>
          <w:p w14:paraId="5E1D2BBD" w14:textId="77777777" w:rsidR="001177FD" w:rsidRPr="00734F4C" w:rsidRDefault="001177FD" w:rsidP="0091795A">
            <w:pPr>
              <w:rPr>
                <w:sz w:val="20"/>
              </w:rPr>
            </w:pPr>
            <w:r w:rsidRPr="00734F4C">
              <w:rPr>
                <w:sz w:val="20"/>
              </w:rPr>
              <w:t>Dobson DaVanzo &amp; Associates, LLC</w:t>
            </w:r>
            <w:r w:rsidRPr="00734F4C">
              <w:rPr>
                <w:sz w:val="20"/>
              </w:rPr>
              <w:t> </w:t>
            </w:r>
          </w:p>
        </w:tc>
        <w:tc>
          <w:tcPr>
            <w:tcW w:w="0" w:type="auto"/>
            <w:shd w:val="clear" w:color="auto" w:fill="auto"/>
            <w:hideMark/>
          </w:tcPr>
          <w:p w14:paraId="2023D697" w14:textId="77777777" w:rsidR="001177FD" w:rsidRPr="00734F4C" w:rsidRDefault="001177FD" w:rsidP="0091795A">
            <w:pPr>
              <w:rPr>
                <w:sz w:val="20"/>
              </w:rPr>
            </w:pPr>
            <w:r w:rsidRPr="00734F4C">
              <w:rPr>
                <w:sz w:val="20"/>
              </w:rPr>
              <w:t xml:space="preserve">703-260-1761 </w:t>
            </w:r>
          </w:p>
        </w:tc>
      </w:tr>
      <w:tr w:rsidR="001177FD" w:rsidRPr="00734F4C" w14:paraId="141008A9" w14:textId="77777777" w:rsidTr="0091795A">
        <w:trPr>
          <w:jc w:val="center"/>
        </w:trPr>
        <w:tc>
          <w:tcPr>
            <w:tcW w:w="3415" w:type="dxa"/>
            <w:shd w:val="clear" w:color="auto" w:fill="auto"/>
            <w:hideMark/>
          </w:tcPr>
          <w:p w14:paraId="14620C32" w14:textId="77777777" w:rsidR="001177FD" w:rsidRPr="00734F4C" w:rsidRDefault="001177FD" w:rsidP="0091795A">
            <w:pPr>
              <w:rPr>
                <w:sz w:val="20"/>
              </w:rPr>
            </w:pPr>
            <w:r w:rsidRPr="00734F4C">
              <w:rPr>
                <w:sz w:val="20"/>
              </w:rPr>
              <w:t>Audrey El-Gamil</w:t>
            </w:r>
          </w:p>
        </w:tc>
        <w:tc>
          <w:tcPr>
            <w:tcW w:w="3763" w:type="dxa"/>
            <w:shd w:val="clear" w:color="auto" w:fill="auto"/>
            <w:hideMark/>
          </w:tcPr>
          <w:p w14:paraId="107A931D" w14:textId="77777777" w:rsidR="001177FD" w:rsidRPr="00734F4C" w:rsidRDefault="001177FD" w:rsidP="0091795A">
            <w:pPr>
              <w:rPr>
                <w:sz w:val="20"/>
              </w:rPr>
            </w:pPr>
            <w:r w:rsidRPr="00734F4C">
              <w:rPr>
                <w:sz w:val="20"/>
              </w:rPr>
              <w:t>Dobson DaVanzo &amp; Associates, LLC</w:t>
            </w:r>
            <w:r w:rsidRPr="00734F4C">
              <w:rPr>
                <w:sz w:val="20"/>
              </w:rPr>
              <w:t> </w:t>
            </w:r>
          </w:p>
        </w:tc>
        <w:tc>
          <w:tcPr>
            <w:tcW w:w="0" w:type="auto"/>
            <w:shd w:val="clear" w:color="auto" w:fill="auto"/>
            <w:hideMark/>
          </w:tcPr>
          <w:p w14:paraId="496A74CF" w14:textId="77777777" w:rsidR="001177FD" w:rsidRPr="00734F4C" w:rsidRDefault="001177FD" w:rsidP="0091795A">
            <w:pPr>
              <w:rPr>
                <w:sz w:val="20"/>
              </w:rPr>
            </w:pPr>
            <w:r w:rsidRPr="00734F4C">
              <w:rPr>
                <w:sz w:val="20"/>
              </w:rPr>
              <w:t>703-260-1764</w:t>
            </w:r>
          </w:p>
        </w:tc>
      </w:tr>
      <w:tr w:rsidR="001177FD" w:rsidRPr="00734F4C" w14:paraId="39FEE88A" w14:textId="77777777" w:rsidTr="0091795A">
        <w:trPr>
          <w:jc w:val="center"/>
        </w:trPr>
        <w:tc>
          <w:tcPr>
            <w:tcW w:w="3415" w:type="dxa"/>
            <w:shd w:val="clear" w:color="auto" w:fill="auto"/>
            <w:hideMark/>
          </w:tcPr>
          <w:p w14:paraId="4628FE9B" w14:textId="77777777" w:rsidR="001177FD" w:rsidRPr="00734F4C" w:rsidRDefault="001177FD" w:rsidP="0091795A">
            <w:pPr>
              <w:rPr>
                <w:sz w:val="20"/>
              </w:rPr>
            </w:pPr>
            <w:r w:rsidRPr="00734F4C">
              <w:rPr>
                <w:sz w:val="20"/>
              </w:rPr>
              <w:t>Alexandra Collins</w:t>
            </w:r>
          </w:p>
        </w:tc>
        <w:tc>
          <w:tcPr>
            <w:tcW w:w="3763" w:type="dxa"/>
            <w:shd w:val="clear" w:color="auto" w:fill="auto"/>
            <w:hideMark/>
          </w:tcPr>
          <w:p w14:paraId="2DBC5787" w14:textId="77777777" w:rsidR="001177FD" w:rsidRPr="00734F4C" w:rsidRDefault="001177FD" w:rsidP="0091795A">
            <w:pPr>
              <w:rPr>
                <w:sz w:val="20"/>
              </w:rPr>
            </w:pPr>
            <w:r w:rsidRPr="00734F4C">
              <w:rPr>
                <w:sz w:val="20"/>
              </w:rPr>
              <w:t>Dobson DaVanzo &amp; Associates, LLC</w:t>
            </w:r>
          </w:p>
        </w:tc>
        <w:tc>
          <w:tcPr>
            <w:tcW w:w="0" w:type="auto"/>
            <w:shd w:val="clear" w:color="auto" w:fill="auto"/>
            <w:hideMark/>
          </w:tcPr>
          <w:p w14:paraId="2D769A01" w14:textId="77777777" w:rsidR="001177FD" w:rsidRPr="00734F4C" w:rsidRDefault="001177FD" w:rsidP="0091795A">
            <w:pPr>
              <w:rPr>
                <w:sz w:val="20"/>
              </w:rPr>
            </w:pPr>
            <w:r w:rsidRPr="00734F4C">
              <w:rPr>
                <w:sz w:val="20"/>
              </w:rPr>
              <w:t>703-722-8948</w:t>
            </w:r>
          </w:p>
        </w:tc>
      </w:tr>
      <w:tr w:rsidR="001177FD" w:rsidRPr="00734F4C" w14:paraId="765E878D" w14:textId="77777777" w:rsidTr="0091795A">
        <w:trPr>
          <w:jc w:val="center"/>
        </w:trPr>
        <w:tc>
          <w:tcPr>
            <w:tcW w:w="3415" w:type="dxa"/>
            <w:shd w:val="clear" w:color="auto" w:fill="auto"/>
            <w:hideMark/>
          </w:tcPr>
          <w:p w14:paraId="032BB740" w14:textId="77777777" w:rsidR="001177FD" w:rsidRPr="00734F4C" w:rsidRDefault="001177FD" w:rsidP="0091795A">
            <w:pPr>
              <w:rPr>
                <w:sz w:val="20"/>
              </w:rPr>
            </w:pPr>
            <w:r w:rsidRPr="00734F4C">
              <w:rPr>
                <w:sz w:val="20"/>
              </w:rPr>
              <w:t>Nikolay Manolov</w:t>
            </w:r>
          </w:p>
        </w:tc>
        <w:tc>
          <w:tcPr>
            <w:tcW w:w="3763" w:type="dxa"/>
            <w:shd w:val="clear" w:color="auto" w:fill="auto"/>
            <w:hideMark/>
          </w:tcPr>
          <w:p w14:paraId="3F21BFCF" w14:textId="77777777" w:rsidR="001177FD" w:rsidRPr="00734F4C" w:rsidRDefault="001177FD" w:rsidP="0091795A">
            <w:pPr>
              <w:rPr>
                <w:sz w:val="20"/>
              </w:rPr>
            </w:pPr>
            <w:r w:rsidRPr="00734F4C">
              <w:rPr>
                <w:sz w:val="20"/>
              </w:rPr>
              <w:t>Dobson DaVanzo &amp; Associates, LLC</w:t>
            </w:r>
          </w:p>
        </w:tc>
        <w:tc>
          <w:tcPr>
            <w:tcW w:w="0" w:type="auto"/>
            <w:shd w:val="clear" w:color="auto" w:fill="auto"/>
            <w:hideMark/>
          </w:tcPr>
          <w:p w14:paraId="0CC82C77" w14:textId="77777777" w:rsidR="001177FD" w:rsidRPr="00734F4C" w:rsidRDefault="001177FD" w:rsidP="0091795A">
            <w:pPr>
              <w:rPr>
                <w:sz w:val="20"/>
              </w:rPr>
            </w:pPr>
            <w:r w:rsidRPr="00734F4C">
              <w:rPr>
                <w:sz w:val="20"/>
              </w:rPr>
              <w:t>703-260-1768</w:t>
            </w:r>
          </w:p>
        </w:tc>
      </w:tr>
      <w:tr w:rsidR="001177FD" w:rsidRPr="00734F4C" w14:paraId="2FE371A4" w14:textId="77777777" w:rsidTr="0091795A">
        <w:trPr>
          <w:jc w:val="center"/>
        </w:trPr>
        <w:tc>
          <w:tcPr>
            <w:tcW w:w="3415" w:type="dxa"/>
            <w:shd w:val="clear" w:color="auto" w:fill="auto"/>
            <w:hideMark/>
          </w:tcPr>
          <w:p w14:paraId="23832083" w14:textId="77777777" w:rsidR="001177FD" w:rsidRPr="00734F4C" w:rsidRDefault="001177FD" w:rsidP="0091795A">
            <w:pPr>
              <w:rPr>
                <w:sz w:val="20"/>
              </w:rPr>
            </w:pPr>
            <w:r w:rsidRPr="00734F4C">
              <w:rPr>
                <w:sz w:val="20"/>
              </w:rPr>
              <w:t>Aylin Sertkaya, Ph.D.</w:t>
            </w:r>
          </w:p>
        </w:tc>
        <w:tc>
          <w:tcPr>
            <w:tcW w:w="3763" w:type="dxa"/>
            <w:shd w:val="clear" w:color="auto" w:fill="auto"/>
            <w:hideMark/>
          </w:tcPr>
          <w:p w14:paraId="788317D4" w14:textId="77777777" w:rsidR="001177FD" w:rsidRPr="00734F4C" w:rsidRDefault="001177FD" w:rsidP="0091795A">
            <w:pPr>
              <w:rPr>
                <w:sz w:val="20"/>
              </w:rPr>
            </w:pPr>
            <w:r w:rsidRPr="00734F4C">
              <w:rPr>
                <w:sz w:val="20"/>
              </w:rPr>
              <w:t>Eastern Research Group, Inc.</w:t>
            </w:r>
          </w:p>
        </w:tc>
        <w:tc>
          <w:tcPr>
            <w:tcW w:w="0" w:type="auto"/>
            <w:shd w:val="clear" w:color="auto" w:fill="auto"/>
            <w:hideMark/>
          </w:tcPr>
          <w:p w14:paraId="583622D7" w14:textId="77777777" w:rsidR="001177FD" w:rsidRPr="00734F4C" w:rsidRDefault="001177FD" w:rsidP="0091795A">
            <w:pPr>
              <w:rPr>
                <w:sz w:val="20"/>
              </w:rPr>
            </w:pPr>
            <w:r w:rsidRPr="00734F4C">
              <w:rPr>
                <w:sz w:val="20"/>
              </w:rPr>
              <w:t>781-674-7227</w:t>
            </w:r>
          </w:p>
        </w:tc>
      </w:tr>
      <w:tr w:rsidR="001177FD" w:rsidRPr="00734F4C" w14:paraId="586DBD50" w14:textId="77777777" w:rsidTr="0091795A">
        <w:trPr>
          <w:jc w:val="center"/>
        </w:trPr>
        <w:tc>
          <w:tcPr>
            <w:tcW w:w="3415" w:type="dxa"/>
            <w:shd w:val="clear" w:color="auto" w:fill="auto"/>
            <w:hideMark/>
          </w:tcPr>
          <w:p w14:paraId="438B6AC2" w14:textId="77777777" w:rsidR="001177FD" w:rsidRPr="00734F4C" w:rsidRDefault="001177FD" w:rsidP="0091795A">
            <w:pPr>
              <w:rPr>
                <w:sz w:val="20"/>
              </w:rPr>
            </w:pPr>
            <w:r w:rsidRPr="00734F4C">
              <w:rPr>
                <w:sz w:val="20"/>
              </w:rPr>
              <w:t>Carlie Knope</w:t>
            </w:r>
          </w:p>
        </w:tc>
        <w:tc>
          <w:tcPr>
            <w:tcW w:w="3763" w:type="dxa"/>
            <w:shd w:val="clear" w:color="auto" w:fill="auto"/>
            <w:hideMark/>
          </w:tcPr>
          <w:p w14:paraId="568B6792" w14:textId="77777777" w:rsidR="001177FD" w:rsidRPr="00734F4C" w:rsidRDefault="001177FD" w:rsidP="0091795A">
            <w:pPr>
              <w:rPr>
                <w:sz w:val="20"/>
              </w:rPr>
            </w:pPr>
            <w:r w:rsidRPr="00734F4C">
              <w:rPr>
                <w:sz w:val="20"/>
              </w:rPr>
              <w:t>Eastern Research Group, Inc.</w:t>
            </w:r>
          </w:p>
        </w:tc>
        <w:tc>
          <w:tcPr>
            <w:tcW w:w="0" w:type="auto"/>
            <w:shd w:val="clear" w:color="auto" w:fill="auto"/>
            <w:hideMark/>
          </w:tcPr>
          <w:p w14:paraId="3D1136BD" w14:textId="77777777" w:rsidR="001177FD" w:rsidRPr="00734F4C" w:rsidRDefault="001177FD" w:rsidP="0091795A">
            <w:pPr>
              <w:rPr>
                <w:sz w:val="20"/>
              </w:rPr>
            </w:pPr>
            <w:r w:rsidRPr="00734F4C">
              <w:rPr>
                <w:sz w:val="20"/>
              </w:rPr>
              <w:t>781-674-7343</w:t>
            </w:r>
          </w:p>
        </w:tc>
      </w:tr>
      <w:tr w:rsidR="001177FD" w:rsidRPr="00734F4C" w14:paraId="7FDC1040" w14:textId="77777777" w:rsidTr="0091795A">
        <w:trPr>
          <w:jc w:val="center"/>
        </w:trPr>
        <w:tc>
          <w:tcPr>
            <w:tcW w:w="3415" w:type="dxa"/>
            <w:shd w:val="clear" w:color="auto" w:fill="auto"/>
            <w:hideMark/>
          </w:tcPr>
          <w:p w14:paraId="050478F0" w14:textId="77777777" w:rsidR="001177FD" w:rsidRPr="00734F4C" w:rsidRDefault="001177FD" w:rsidP="0091795A">
            <w:pPr>
              <w:rPr>
                <w:sz w:val="20"/>
              </w:rPr>
            </w:pPr>
            <w:r w:rsidRPr="00734F4C">
              <w:rPr>
                <w:sz w:val="20"/>
              </w:rPr>
              <w:t>Andreas Lord</w:t>
            </w:r>
          </w:p>
        </w:tc>
        <w:tc>
          <w:tcPr>
            <w:tcW w:w="3763" w:type="dxa"/>
            <w:shd w:val="clear" w:color="auto" w:fill="auto"/>
            <w:hideMark/>
          </w:tcPr>
          <w:p w14:paraId="17A03E9F" w14:textId="77777777" w:rsidR="001177FD" w:rsidRPr="00734F4C" w:rsidRDefault="001177FD" w:rsidP="0091795A">
            <w:pPr>
              <w:rPr>
                <w:sz w:val="20"/>
              </w:rPr>
            </w:pPr>
            <w:r w:rsidRPr="00734F4C">
              <w:rPr>
                <w:sz w:val="20"/>
              </w:rPr>
              <w:t>Eastern Research Group, Inc.</w:t>
            </w:r>
          </w:p>
        </w:tc>
        <w:tc>
          <w:tcPr>
            <w:tcW w:w="0" w:type="auto"/>
            <w:shd w:val="clear" w:color="auto" w:fill="auto"/>
            <w:hideMark/>
          </w:tcPr>
          <w:p w14:paraId="798F0C69" w14:textId="77777777" w:rsidR="001177FD" w:rsidRPr="00734F4C" w:rsidRDefault="001177FD" w:rsidP="0091795A">
            <w:pPr>
              <w:rPr>
                <w:sz w:val="20"/>
              </w:rPr>
            </w:pPr>
            <w:r w:rsidRPr="00734F4C">
              <w:rPr>
                <w:sz w:val="20"/>
              </w:rPr>
              <w:t>781-674-7381</w:t>
            </w:r>
          </w:p>
        </w:tc>
      </w:tr>
      <w:tr w:rsidR="001177FD" w:rsidRPr="00734F4C" w14:paraId="4627DC9A" w14:textId="77777777" w:rsidTr="0091795A">
        <w:trPr>
          <w:jc w:val="center"/>
        </w:trPr>
        <w:tc>
          <w:tcPr>
            <w:tcW w:w="3415" w:type="dxa"/>
            <w:shd w:val="clear" w:color="auto" w:fill="auto"/>
            <w:hideMark/>
          </w:tcPr>
          <w:p w14:paraId="38686E0C" w14:textId="77777777" w:rsidR="001177FD" w:rsidRPr="00734F4C" w:rsidRDefault="001177FD" w:rsidP="0091795A">
            <w:pPr>
              <w:rPr>
                <w:sz w:val="20"/>
              </w:rPr>
            </w:pPr>
            <w:r w:rsidRPr="00734F4C">
              <w:rPr>
                <w:sz w:val="20"/>
              </w:rPr>
              <w:t>Elyse Levine, Ph.D.</w:t>
            </w:r>
          </w:p>
        </w:tc>
        <w:tc>
          <w:tcPr>
            <w:tcW w:w="3763" w:type="dxa"/>
            <w:shd w:val="clear" w:color="auto" w:fill="auto"/>
            <w:hideMark/>
          </w:tcPr>
          <w:p w14:paraId="19529382" w14:textId="77777777" w:rsidR="001177FD" w:rsidRPr="00734F4C" w:rsidRDefault="001177FD" w:rsidP="0091795A">
            <w:pPr>
              <w:rPr>
                <w:sz w:val="20"/>
              </w:rPr>
            </w:pPr>
            <w:r w:rsidRPr="00734F4C">
              <w:rPr>
                <w:sz w:val="20"/>
              </w:rPr>
              <w:t>Booz Allen Hamilton</w:t>
            </w:r>
          </w:p>
        </w:tc>
        <w:tc>
          <w:tcPr>
            <w:tcW w:w="0" w:type="auto"/>
            <w:shd w:val="clear" w:color="auto" w:fill="auto"/>
            <w:hideMark/>
          </w:tcPr>
          <w:p w14:paraId="0FF1B134" w14:textId="77777777" w:rsidR="001177FD" w:rsidRPr="00734F4C" w:rsidRDefault="001177FD" w:rsidP="0091795A">
            <w:pPr>
              <w:rPr>
                <w:sz w:val="20"/>
              </w:rPr>
            </w:pPr>
            <w:r w:rsidRPr="00734F4C">
              <w:rPr>
                <w:sz w:val="20"/>
              </w:rPr>
              <w:t>240-453-5387</w:t>
            </w:r>
          </w:p>
        </w:tc>
      </w:tr>
      <w:tr w:rsidR="001177FD" w:rsidRPr="00734F4C" w14:paraId="48E5BE63" w14:textId="77777777" w:rsidTr="0091795A">
        <w:trPr>
          <w:jc w:val="center"/>
        </w:trPr>
        <w:tc>
          <w:tcPr>
            <w:tcW w:w="3415" w:type="dxa"/>
            <w:shd w:val="clear" w:color="auto" w:fill="auto"/>
            <w:hideMark/>
          </w:tcPr>
          <w:p w14:paraId="0246C914" w14:textId="77777777" w:rsidR="001177FD" w:rsidRPr="00734F4C" w:rsidRDefault="001177FD" w:rsidP="0091795A">
            <w:pPr>
              <w:rPr>
                <w:sz w:val="20"/>
              </w:rPr>
            </w:pPr>
            <w:r w:rsidRPr="00734F4C">
              <w:rPr>
                <w:sz w:val="20"/>
              </w:rPr>
              <w:t>Anna Ettinger, Ph.D.</w:t>
            </w:r>
            <w:r w:rsidR="00E60770">
              <w:rPr>
                <w:sz w:val="20"/>
              </w:rPr>
              <w:t>, M.S.W., M.P.H.</w:t>
            </w:r>
          </w:p>
        </w:tc>
        <w:tc>
          <w:tcPr>
            <w:tcW w:w="3763" w:type="dxa"/>
            <w:shd w:val="clear" w:color="auto" w:fill="auto"/>
            <w:hideMark/>
          </w:tcPr>
          <w:p w14:paraId="709CC287" w14:textId="77777777" w:rsidR="001177FD" w:rsidRPr="00734F4C" w:rsidRDefault="001177FD" w:rsidP="0091795A">
            <w:pPr>
              <w:rPr>
                <w:sz w:val="20"/>
              </w:rPr>
            </w:pPr>
            <w:r w:rsidRPr="00734F4C">
              <w:rPr>
                <w:sz w:val="20"/>
              </w:rPr>
              <w:t>Booz Allen Hamilton</w:t>
            </w:r>
          </w:p>
        </w:tc>
        <w:tc>
          <w:tcPr>
            <w:tcW w:w="0" w:type="auto"/>
            <w:shd w:val="clear" w:color="auto" w:fill="auto"/>
            <w:hideMark/>
          </w:tcPr>
          <w:p w14:paraId="48DFB313" w14:textId="77777777" w:rsidR="001177FD" w:rsidRPr="00734F4C" w:rsidRDefault="001177FD" w:rsidP="0091795A">
            <w:pPr>
              <w:rPr>
                <w:sz w:val="20"/>
              </w:rPr>
            </w:pPr>
            <w:r w:rsidRPr="00734F4C">
              <w:rPr>
                <w:sz w:val="20"/>
              </w:rPr>
              <w:t>814-404-9315</w:t>
            </w:r>
          </w:p>
        </w:tc>
      </w:tr>
      <w:tr w:rsidR="001177FD" w:rsidRPr="00734F4C" w14:paraId="13508DB2" w14:textId="77777777" w:rsidTr="0091795A">
        <w:trPr>
          <w:jc w:val="center"/>
        </w:trPr>
        <w:tc>
          <w:tcPr>
            <w:tcW w:w="3415" w:type="dxa"/>
            <w:shd w:val="clear" w:color="auto" w:fill="auto"/>
            <w:hideMark/>
          </w:tcPr>
          <w:p w14:paraId="30C5B7AE" w14:textId="77777777" w:rsidR="001177FD" w:rsidRPr="00734F4C" w:rsidRDefault="001177FD" w:rsidP="0091795A">
            <w:pPr>
              <w:rPr>
                <w:sz w:val="20"/>
              </w:rPr>
            </w:pPr>
            <w:r w:rsidRPr="00734F4C">
              <w:rPr>
                <w:sz w:val="20"/>
              </w:rPr>
              <w:t>Dimitrios Koutsonanos, M.D.</w:t>
            </w:r>
          </w:p>
        </w:tc>
        <w:tc>
          <w:tcPr>
            <w:tcW w:w="3763" w:type="dxa"/>
            <w:shd w:val="clear" w:color="auto" w:fill="auto"/>
            <w:hideMark/>
          </w:tcPr>
          <w:p w14:paraId="2C244E47" w14:textId="77777777" w:rsidR="001177FD" w:rsidRPr="00734F4C" w:rsidRDefault="001177FD" w:rsidP="0091795A">
            <w:pPr>
              <w:rPr>
                <w:sz w:val="20"/>
              </w:rPr>
            </w:pPr>
            <w:r w:rsidRPr="00734F4C">
              <w:rPr>
                <w:sz w:val="20"/>
              </w:rPr>
              <w:t>Booz Allen Hamilton</w:t>
            </w:r>
          </w:p>
        </w:tc>
        <w:tc>
          <w:tcPr>
            <w:tcW w:w="0" w:type="auto"/>
            <w:shd w:val="clear" w:color="auto" w:fill="auto"/>
            <w:hideMark/>
          </w:tcPr>
          <w:p w14:paraId="07DBB8E3" w14:textId="77777777" w:rsidR="001177FD" w:rsidRPr="00734F4C" w:rsidRDefault="001177FD" w:rsidP="0091795A">
            <w:pPr>
              <w:rPr>
                <w:sz w:val="20"/>
              </w:rPr>
            </w:pPr>
            <w:r w:rsidRPr="00734F4C">
              <w:rPr>
                <w:sz w:val="20"/>
              </w:rPr>
              <w:t>404-589-5181</w:t>
            </w:r>
          </w:p>
        </w:tc>
      </w:tr>
      <w:tr w:rsidR="001177FD" w:rsidRPr="00734F4C" w14:paraId="16CA8C62" w14:textId="77777777" w:rsidTr="0091795A">
        <w:trPr>
          <w:jc w:val="center"/>
        </w:trPr>
        <w:tc>
          <w:tcPr>
            <w:tcW w:w="3415" w:type="dxa"/>
            <w:shd w:val="clear" w:color="auto" w:fill="auto"/>
            <w:hideMark/>
          </w:tcPr>
          <w:p w14:paraId="1458A61B" w14:textId="77777777" w:rsidR="001177FD" w:rsidRPr="00734F4C" w:rsidRDefault="001177FD" w:rsidP="0091795A">
            <w:pPr>
              <w:rPr>
                <w:sz w:val="20"/>
              </w:rPr>
            </w:pPr>
            <w:r w:rsidRPr="00734F4C">
              <w:rPr>
                <w:sz w:val="20"/>
              </w:rPr>
              <w:t>Ada-Helen Volentine, Ph.D.</w:t>
            </w:r>
          </w:p>
        </w:tc>
        <w:tc>
          <w:tcPr>
            <w:tcW w:w="3763" w:type="dxa"/>
            <w:shd w:val="clear" w:color="auto" w:fill="auto"/>
            <w:hideMark/>
          </w:tcPr>
          <w:p w14:paraId="27E91561" w14:textId="77777777" w:rsidR="001177FD" w:rsidRPr="00734F4C" w:rsidRDefault="001177FD" w:rsidP="0091795A">
            <w:pPr>
              <w:rPr>
                <w:sz w:val="20"/>
              </w:rPr>
            </w:pPr>
            <w:r w:rsidRPr="00734F4C">
              <w:rPr>
                <w:sz w:val="20"/>
              </w:rPr>
              <w:t>Booz Allen Hamilton</w:t>
            </w:r>
          </w:p>
        </w:tc>
        <w:tc>
          <w:tcPr>
            <w:tcW w:w="0" w:type="auto"/>
            <w:shd w:val="clear" w:color="auto" w:fill="auto"/>
            <w:hideMark/>
          </w:tcPr>
          <w:p w14:paraId="33E5ED3A" w14:textId="77777777" w:rsidR="001177FD" w:rsidRPr="00734F4C" w:rsidRDefault="001177FD" w:rsidP="0091795A">
            <w:pPr>
              <w:rPr>
                <w:sz w:val="20"/>
              </w:rPr>
            </w:pPr>
            <w:r w:rsidRPr="00734F4C">
              <w:rPr>
                <w:sz w:val="20"/>
              </w:rPr>
              <w:t>434-995-2045</w:t>
            </w:r>
          </w:p>
        </w:tc>
      </w:tr>
    </w:tbl>
    <w:p w14:paraId="73785BEC" w14:textId="176AE152" w:rsidR="001177FD" w:rsidRPr="002F4A39" w:rsidRDefault="00BB07BE" w:rsidP="0091795A">
      <w:pPr>
        <w:pStyle w:val="BodyTextFirstIndent"/>
      </w:pPr>
      <w:r>
        <w:lastRenderedPageBreak/>
        <w:fldChar w:fldCharType="begin"/>
      </w:r>
      <w:r>
        <w:instrText xml:space="preserve"> REF _Ref435096043 \h  \* MERGEFORMAT </w:instrText>
      </w:r>
      <w:r>
        <w:fldChar w:fldCharType="separate"/>
      </w:r>
      <w:r w:rsidR="00464D9D">
        <w:t>Table 5</w:t>
      </w:r>
      <w:r>
        <w:fldChar w:fldCharType="end"/>
      </w:r>
      <w:r w:rsidR="001177FD" w:rsidRPr="002F4A39">
        <w:t xml:space="preserve"> shows the name of CMS staff who advised on design.</w:t>
      </w:r>
    </w:p>
    <w:p w14:paraId="6B6B6225" w14:textId="54BD5D7C" w:rsidR="001177FD" w:rsidRDefault="001177FD">
      <w:pPr>
        <w:pStyle w:val="Caption"/>
        <w:spacing w:line="276" w:lineRule="auto"/>
      </w:pPr>
      <w:bookmarkStart w:id="149" w:name="_Ref435096043"/>
      <w:r>
        <w:t xml:space="preserve">Table </w:t>
      </w:r>
      <w:r w:rsidR="0060188B">
        <w:fldChar w:fldCharType="begin"/>
      </w:r>
      <w:r w:rsidR="00317143">
        <w:instrText xml:space="preserve"> SEQ Table \* ARABIC </w:instrText>
      </w:r>
      <w:r w:rsidR="0060188B">
        <w:fldChar w:fldCharType="separate"/>
      </w:r>
      <w:r w:rsidR="00464D9D">
        <w:rPr>
          <w:noProof/>
        </w:rPr>
        <w:t>5</w:t>
      </w:r>
      <w:r w:rsidR="0060188B">
        <w:rPr>
          <w:noProof/>
        </w:rPr>
        <w:fldChar w:fldCharType="end"/>
      </w:r>
      <w:bookmarkEnd w:id="149"/>
      <w:r>
        <w:t xml:space="preserve">: </w:t>
      </w:r>
      <w:r w:rsidRPr="00082114">
        <w:t xml:space="preserve">CMS Staff </w:t>
      </w:r>
      <w:r>
        <w:t xml:space="preserve">who </w:t>
      </w:r>
      <w:r w:rsidR="009D004A" w:rsidRPr="00082114">
        <w:t>advised</w:t>
      </w:r>
      <w:r w:rsidRPr="00082114">
        <w:t xml:space="preserve"> on Design</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3870"/>
        <w:gridCol w:w="2345"/>
      </w:tblGrid>
      <w:tr w:rsidR="001177FD" w:rsidRPr="00734F4C" w14:paraId="58F663BE" w14:textId="77777777" w:rsidTr="00B40925">
        <w:trPr>
          <w:cantSplit/>
          <w:tblHeader/>
          <w:jc w:val="center"/>
        </w:trPr>
        <w:tc>
          <w:tcPr>
            <w:tcW w:w="3145" w:type="dxa"/>
            <w:shd w:val="clear" w:color="000000" w:fill="DBE5F1" w:themeFill="accent1" w:themeFillTint="33"/>
            <w:vAlign w:val="center"/>
            <w:hideMark/>
          </w:tcPr>
          <w:p w14:paraId="11A1178F" w14:textId="77777777" w:rsidR="001177FD" w:rsidRPr="00734F4C" w:rsidRDefault="001177FD" w:rsidP="0091795A">
            <w:pPr>
              <w:rPr>
                <w:b/>
                <w:sz w:val="20"/>
              </w:rPr>
            </w:pPr>
            <w:r w:rsidRPr="00734F4C">
              <w:rPr>
                <w:b/>
                <w:sz w:val="20"/>
              </w:rPr>
              <w:t>Name</w:t>
            </w:r>
          </w:p>
        </w:tc>
        <w:tc>
          <w:tcPr>
            <w:tcW w:w="3870" w:type="dxa"/>
            <w:shd w:val="clear" w:color="000000" w:fill="DBE5F1" w:themeFill="accent1" w:themeFillTint="33"/>
            <w:vAlign w:val="center"/>
            <w:hideMark/>
          </w:tcPr>
          <w:p w14:paraId="6C119500" w14:textId="77777777" w:rsidR="001177FD" w:rsidRPr="00734F4C" w:rsidRDefault="001177FD" w:rsidP="0091795A">
            <w:pPr>
              <w:rPr>
                <w:b/>
                <w:sz w:val="20"/>
              </w:rPr>
            </w:pPr>
            <w:r w:rsidRPr="00734F4C">
              <w:rPr>
                <w:b/>
                <w:sz w:val="20"/>
              </w:rPr>
              <w:t>Affiliation</w:t>
            </w:r>
          </w:p>
        </w:tc>
        <w:tc>
          <w:tcPr>
            <w:tcW w:w="2345" w:type="dxa"/>
            <w:shd w:val="clear" w:color="000000" w:fill="DBE5F1" w:themeFill="accent1" w:themeFillTint="33"/>
            <w:vAlign w:val="center"/>
            <w:hideMark/>
          </w:tcPr>
          <w:p w14:paraId="798E08D9" w14:textId="77777777" w:rsidR="001177FD" w:rsidRPr="00734F4C" w:rsidRDefault="001177FD" w:rsidP="0091795A">
            <w:pPr>
              <w:rPr>
                <w:b/>
                <w:sz w:val="20"/>
              </w:rPr>
            </w:pPr>
            <w:r w:rsidRPr="00734F4C">
              <w:rPr>
                <w:b/>
                <w:sz w:val="20"/>
              </w:rPr>
              <w:t>Contact Information</w:t>
            </w:r>
          </w:p>
        </w:tc>
      </w:tr>
      <w:tr w:rsidR="001177FD" w:rsidRPr="00734F4C" w14:paraId="326BB03C" w14:textId="77777777" w:rsidTr="00B40925">
        <w:trPr>
          <w:jc w:val="center"/>
        </w:trPr>
        <w:tc>
          <w:tcPr>
            <w:tcW w:w="3145" w:type="dxa"/>
            <w:shd w:val="clear" w:color="auto" w:fill="auto"/>
            <w:hideMark/>
          </w:tcPr>
          <w:p w14:paraId="7F5D540D" w14:textId="77777777" w:rsidR="001177FD" w:rsidRPr="00734F4C" w:rsidRDefault="001177FD" w:rsidP="0091795A">
            <w:pPr>
              <w:rPr>
                <w:sz w:val="20"/>
              </w:rPr>
            </w:pPr>
            <w:r w:rsidRPr="00734F4C">
              <w:rPr>
                <w:sz w:val="20"/>
              </w:rPr>
              <w:t>Pauline Karikari-Martin, PhD, MPH, MSN</w:t>
            </w:r>
          </w:p>
        </w:tc>
        <w:tc>
          <w:tcPr>
            <w:tcW w:w="3870" w:type="dxa"/>
            <w:shd w:val="clear" w:color="auto" w:fill="auto"/>
            <w:hideMark/>
          </w:tcPr>
          <w:p w14:paraId="3A6E635F" w14:textId="77777777" w:rsidR="001177FD" w:rsidRPr="00734F4C" w:rsidRDefault="001177FD" w:rsidP="0091795A">
            <w:pPr>
              <w:rPr>
                <w:sz w:val="20"/>
              </w:rPr>
            </w:pPr>
            <w:r w:rsidRPr="00734F4C">
              <w:rPr>
                <w:sz w:val="20"/>
              </w:rPr>
              <w:t>Center for Medicare and Medicaid Innovation</w:t>
            </w:r>
          </w:p>
        </w:tc>
        <w:tc>
          <w:tcPr>
            <w:tcW w:w="2345" w:type="dxa"/>
            <w:shd w:val="clear" w:color="auto" w:fill="auto"/>
            <w:hideMark/>
          </w:tcPr>
          <w:p w14:paraId="37E6F5AD" w14:textId="77777777" w:rsidR="001177FD" w:rsidRPr="00734F4C" w:rsidRDefault="001177FD" w:rsidP="0091795A">
            <w:pPr>
              <w:rPr>
                <w:sz w:val="20"/>
              </w:rPr>
            </w:pPr>
            <w:r w:rsidRPr="00734F4C">
              <w:rPr>
                <w:sz w:val="20"/>
              </w:rPr>
              <w:t>410-786-1040</w:t>
            </w:r>
          </w:p>
        </w:tc>
      </w:tr>
    </w:tbl>
    <w:p w14:paraId="6854C516" w14:textId="77777777" w:rsidR="001177FD" w:rsidRDefault="001177FD" w:rsidP="001177FD">
      <w:pPr>
        <w:spacing w:line="276" w:lineRule="auto"/>
      </w:pPr>
    </w:p>
    <w:p w14:paraId="1719CE49" w14:textId="77777777" w:rsidR="001177FD" w:rsidRDefault="001177FD">
      <w:pPr>
        <w:spacing w:after="160" w:line="259" w:lineRule="auto"/>
      </w:pPr>
      <w:r>
        <w:br w:type="page"/>
      </w:r>
    </w:p>
    <w:p w14:paraId="540B9292" w14:textId="77777777" w:rsidR="001177FD" w:rsidRPr="0091795A" w:rsidRDefault="001177FD" w:rsidP="0091795A">
      <w:pPr>
        <w:pStyle w:val="Heading1"/>
        <w:rPr>
          <w:caps/>
        </w:rPr>
      </w:pPr>
      <w:bookmarkStart w:id="150" w:name="References"/>
      <w:r w:rsidRPr="00094E91">
        <w:lastRenderedPageBreak/>
        <w:t>References</w:t>
      </w:r>
    </w:p>
    <w:bookmarkEnd w:id="150" w:displacedByCustomXml="next"/>
    <w:sdt>
      <w:sdtPr>
        <w:id w:val="7240024"/>
        <w:docPartObj>
          <w:docPartGallery w:val="Bibliographies"/>
          <w:docPartUnique/>
        </w:docPartObj>
      </w:sdtPr>
      <w:sdtEndPr/>
      <w:sdtContent>
        <w:sdt>
          <w:sdtPr>
            <w:id w:val="111145805"/>
            <w:bibliography/>
          </w:sdtPr>
          <w:sdtEndPr/>
          <w:sdtContent>
            <w:p w14:paraId="0AB05B79" w14:textId="2509E3B0" w:rsidR="00464D9D" w:rsidRDefault="0060188B" w:rsidP="0091795A">
              <w:pPr>
                <w:pStyle w:val="Bibliography"/>
                <w:rPr>
                  <w:noProof/>
                  <w:sz w:val="24"/>
                </w:rPr>
              </w:pPr>
              <w:r w:rsidRPr="00CC1B5C">
                <w:fldChar w:fldCharType="begin"/>
              </w:r>
              <w:r w:rsidR="001177FD" w:rsidRPr="00CC1B5C">
                <w:instrText xml:space="preserve"> BIBLIOGRAPHY </w:instrText>
              </w:r>
              <w:r w:rsidRPr="00CC1B5C">
                <w:fldChar w:fldCharType="separate"/>
              </w:r>
              <w:r w:rsidR="00464D9D">
                <w:rPr>
                  <w:noProof/>
                </w:rPr>
                <w:t xml:space="preserve">Abraham, K. G., Maitland, A. &amp; Bianchi, S. M., 2006. Nonresponse in the American Time Use Survey: Who Is Missing from the Data and How Much Does It Matter?. </w:t>
              </w:r>
              <w:r w:rsidR="00464D9D">
                <w:rPr>
                  <w:i/>
                  <w:iCs/>
                  <w:noProof/>
                </w:rPr>
                <w:t xml:space="preserve">Public Opinion Quarterly, </w:t>
              </w:r>
              <w:r w:rsidR="00464D9D">
                <w:rPr>
                  <w:noProof/>
                </w:rPr>
                <w:t>70(5), pp. 676-703.</w:t>
              </w:r>
            </w:p>
            <w:p w14:paraId="2AB1F152" w14:textId="6CC72CEB" w:rsidR="00464D9D" w:rsidRDefault="00464D9D" w:rsidP="0091795A">
              <w:pPr>
                <w:pStyle w:val="Bibliography"/>
                <w:rPr>
                  <w:noProof/>
                </w:rPr>
              </w:pPr>
              <w:r>
                <w:rPr>
                  <w:noProof/>
                </w:rPr>
                <w:t xml:space="preserve">Amaya, A. F., Leclere, K. C. &amp; Liao, Y., 2015. Where to start: An evaluation of primary data-collection modes in an address-based sampling design. </w:t>
              </w:r>
              <w:r>
                <w:rPr>
                  <w:i/>
                  <w:iCs/>
                  <w:noProof/>
                </w:rPr>
                <w:t xml:space="preserve">Public Opinion Quarterly, </w:t>
              </w:r>
              <w:r>
                <w:rPr>
                  <w:noProof/>
                </w:rPr>
                <w:t>79(2), pp. 420-442.</w:t>
              </w:r>
            </w:p>
            <w:p w14:paraId="0783B1C1" w14:textId="77777777" w:rsidR="00464D9D" w:rsidRDefault="00464D9D" w:rsidP="00464D9D">
              <w:pPr>
                <w:pStyle w:val="Bibliography"/>
                <w:rPr>
                  <w:noProof/>
                </w:rPr>
              </w:pPr>
              <w:r>
                <w:rPr>
                  <w:noProof/>
                </w:rPr>
                <w:t xml:space="preserve">Bradley, E., Curry, L. &amp; Devers, K., 2007. Qualitative data analysis for health services research: Developing taxonomy, themes, and theory. </w:t>
              </w:r>
              <w:r>
                <w:rPr>
                  <w:i/>
                  <w:iCs/>
                  <w:noProof/>
                </w:rPr>
                <w:t xml:space="preserve">Health Services Research, </w:t>
              </w:r>
              <w:r>
                <w:rPr>
                  <w:noProof/>
                </w:rPr>
                <w:t>42(4), pp. 1758-1772.</w:t>
              </w:r>
            </w:p>
            <w:p w14:paraId="62470038" w14:textId="2487CD58" w:rsidR="00464D9D" w:rsidRDefault="00464D9D" w:rsidP="0091795A">
              <w:pPr>
                <w:pStyle w:val="Bibliography"/>
                <w:rPr>
                  <w:noProof/>
                </w:rPr>
              </w:pPr>
              <w:r>
                <w:rPr>
                  <w:noProof/>
                </w:rPr>
                <w:t xml:space="preserve">Centers for Medicare and Medicaid Services, 2015. </w:t>
              </w:r>
              <w:r>
                <w:rPr>
                  <w:i/>
                  <w:iCs/>
                  <w:noProof/>
                </w:rPr>
                <w:t xml:space="preserve">Summary of HCAHPS survey results: January 2014 to December 2014 discharges. </w:t>
              </w:r>
              <w:r>
                <w:rPr>
                  <w:noProof/>
                </w:rPr>
                <w:t xml:space="preserve">[Online] </w:t>
              </w:r>
              <w:r>
                <w:rPr>
                  <w:noProof/>
                </w:rPr>
                <w:br/>
                <w:t xml:space="preserve">Available at: </w:t>
              </w:r>
              <w:r>
                <w:rPr>
                  <w:noProof/>
                  <w:u w:val="single"/>
                </w:rPr>
                <w:t>http://www.hcahpsonline.org/Files/October_2015_Summary_Analyses_Survey_Results.pdf</w:t>
              </w:r>
            </w:p>
            <w:p w14:paraId="58E04CA5" w14:textId="30542F39" w:rsidR="00464D9D" w:rsidRDefault="00464D9D" w:rsidP="0091795A">
              <w:pPr>
                <w:pStyle w:val="Bibliography"/>
                <w:rPr>
                  <w:noProof/>
                </w:rPr>
              </w:pPr>
              <w:r>
                <w:rPr>
                  <w:noProof/>
                </w:rPr>
                <w:t xml:space="preserve">Cochran, W., 1977. </w:t>
              </w:r>
              <w:r>
                <w:rPr>
                  <w:i/>
                  <w:iCs/>
                  <w:noProof/>
                </w:rPr>
                <w:t xml:space="preserve">Sampling techniques. </w:t>
              </w:r>
              <w:r>
                <w:rPr>
                  <w:noProof/>
                </w:rPr>
                <w:t>New York: Wiley.</w:t>
              </w:r>
            </w:p>
            <w:p w14:paraId="2FE929CA" w14:textId="77777777" w:rsidR="00464D9D" w:rsidRDefault="00464D9D" w:rsidP="00464D9D">
              <w:pPr>
                <w:pStyle w:val="Bibliography"/>
                <w:rPr>
                  <w:noProof/>
                </w:rPr>
              </w:pPr>
              <w:r>
                <w:rPr>
                  <w:noProof/>
                </w:rPr>
                <w:t xml:space="preserve">Creswell, J., 2007. </w:t>
              </w:r>
              <w:r>
                <w:rPr>
                  <w:i/>
                  <w:iCs/>
                  <w:noProof/>
                </w:rPr>
                <w:t xml:space="preserve">Qualitative Inquiry and Research Design: Choosing Among Five Approaches. </w:t>
              </w:r>
              <w:r>
                <w:rPr>
                  <w:noProof/>
                </w:rPr>
                <w:t>Thousand Oaks, CA: Sage.</w:t>
              </w:r>
            </w:p>
            <w:p w14:paraId="1EF4E7AD" w14:textId="0382BEE2" w:rsidR="00464D9D" w:rsidRDefault="00464D9D" w:rsidP="0091795A">
              <w:pPr>
                <w:pStyle w:val="Bibliography"/>
                <w:rPr>
                  <w:noProof/>
                </w:rPr>
              </w:pPr>
              <w:r>
                <w:rPr>
                  <w:noProof/>
                </w:rPr>
                <w:t xml:space="preserve">Dillman, D., Smith, J. &amp; and Christian, L., 2014. </w:t>
              </w:r>
              <w:r>
                <w:rPr>
                  <w:i/>
                  <w:iCs/>
                  <w:noProof/>
                </w:rPr>
                <w:t xml:space="preserve">Internet, phone, mail, and mixed-mode surveys: The tailored design method. </w:t>
              </w:r>
              <w:r>
                <w:rPr>
                  <w:noProof/>
                </w:rPr>
                <w:t>New York: Wiley.</w:t>
              </w:r>
            </w:p>
            <w:p w14:paraId="3468A1A7" w14:textId="77777777" w:rsidR="00464D9D" w:rsidRDefault="00464D9D" w:rsidP="00464D9D">
              <w:pPr>
                <w:pStyle w:val="Bibliography"/>
                <w:rPr>
                  <w:noProof/>
                </w:rPr>
              </w:pPr>
              <w:r>
                <w:rPr>
                  <w:noProof/>
                </w:rPr>
                <w:t xml:space="preserve">Fowler Jr., F. et al., 2002. Using telephone interviews to reduce nonresponse bias to mail surveys of health plan members. </w:t>
              </w:r>
              <w:r>
                <w:rPr>
                  <w:i/>
                  <w:iCs/>
                  <w:noProof/>
                </w:rPr>
                <w:t xml:space="preserve">Medical Care, </w:t>
              </w:r>
              <w:r>
                <w:rPr>
                  <w:noProof/>
                </w:rPr>
                <w:t>40(3), pp. 190-200.</w:t>
              </w:r>
            </w:p>
            <w:p w14:paraId="2D0E5A49" w14:textId="77777777" w:rsidR="00464D9D" w:rsidRDefault="00464D9D" w:rsidP="00464D9D">
              <w:pPr>
                <w:pStyle w:val="Bibliography"/>
                <w:rPr>
                  <w:noProof/>
                </w:rPr>
              </w:pPr>
              <w:r>
                <w:rPr>
                  <w:noProof/>
                </w:rPr>
                <w:t xml:space="preserve">Fusch, P. &amp; Ness, L., 2015. Are we there yet? Data saturation in qualitative research. </w:t>
              </w:r>
              <w:r>
                <w:rPr>
                  <w:i/>
                  <w:iCs/>
                  <w:noProof/>
                </w:rPr>
                <w:t xml:space="preserve">The Qualitative Report, </w:t>
              </w:r>
              <w:r>
                <w:rPr>
                  <w:noProof/>
                </w:rPr>
                <w:t>20(9), pp. 1408-1416.</w:t>
              </w:r>
            </w:p>
            <w:p w14:paraId="1AAA7B76" w14:textId="584FEC80" w:rsidR="00464D9D" w:rsidRDefault="00464D9D" w:rsidP="0091795A">
              <w:pPr>
                <w:pStyle w:val="Bibliography"/>
                <w:rPr>
                  <w:noProof/>
                </w:rPr>
              </w:pPr>
              <w:r>
                <w:rPr>
                  <w:noProof/>
                </w:rPr>
                <w:t xml:space="preserve">Gneezy, U. &amp; Rey-Biel, P., 2014. On the relative efficiency of performance pay and noncontingent incentives. </w:t>
              </w:r>
              <w:r>
                <w:rPr>
                  <w:i/>
                  <w:iCs/>
                  <w:noProof/>
                </w:rPr>
                <w:t xml:space="preserve">Journal of the European Economic Association, </w:t>
              </w:r>
              <w:r>
                <w:rPr>
                  <w:noProof/>
                </w:rPr>
                <w:t>12(1), pp. 62-72.</w:t>
              </w:r>
            </w:p>
            <w:p w14:paraId="194F28A6" w14:textId="77777777" w:rsidR="00464D9D" w:rsidRDefault="00464D9D" w:rsidP="00464D9D">
              <w:pPr>
                <w:pStyle w:val="Bibliography"/>
                <w:rPr>
                  <w:noProof/>
                </w:rPr>
              </w:pPr>
              <w:r>
                <w:rPr>
                  <w:noProof/>
                </w:rPr>
                <w:t xml:space="preserve">Green, J. &amp; Thorogood, N., 2009. </w:t>
              </w:r>
              <w:r>
                <w:rPr>
                  <w:i/>
                  <w:iCs/>
                  <w:noProof/>
                </w:rPr>
                <w:t xml:space="preserve">Qualitative Methods for Health Research. </w:t>
              </w:r>
              <w:r>
                <w:rPr>
                  <w:noProof/>
                </w:rPr>
                <w:t>2nd ed. Thousand Oaks, CA: Sage.</w:t>
              </w:r>
            </w:p>
            <w:p w14:paraId="0CD7266C" w14:textId="77777777" w:rsidR="00464D9D" w:rsidRDefault="00464D9D" w:rsidP="00464D9D">
              <w:pPr>
                <w:pStyle w:val="Bibliography"/>
                <w:rPr>
                  <w:noProof/>
                </w:rPr>
              </w:pPr>
              <w:r>
                <w:rPr>
                  <w:noProof/>
                </w:rPr>
                <w:t xml:space="preserve">Grossoehme, D., 2014. Overview of qualitative research. </w:t>
              </w:r>
              <w:r>
                <w:rPr>
                  <w:i/>
                  <w:iCs/>
                  <w:noProof/>
                </w:rPr>
                <w:t xml:space="preserve">Journal of Health Care Chaplaincy, </w:t>
              </w:r>
              <w:r>
                <w:rPr>
                  <w:noProof/>
                </w:rPr>
                <w:t>20(3), pp. 109-122.</w:t>
              </w:r>
            </w:p>
            <w:p w14:paraId="34E9C6F7" w14:textId="77777777" w:rsidR="00464D9D" w:rsidRDefault="00464D9D" w:rsidP="00464D9D">
              <w:pPr>
                <w:pStyle w:val="Bibliography"/>
                <w:rPr>
                  <w:noProof/>
                </w:rPr>
              </w:pPr>
              <w:r>
                <w:rPr>
                  <w:noProof/>
                </w:rPr>
                <w:t xml:space="preserve">Guest, G., Bunce, A. &amp; Johnson, L., 2006. HOw many interviews are enough? An experiment with data saturation and variability. </w:t>
              </w:r>
              <w:r>
                <w:rPr>
                  <w:i/>
                  <w:iCs/>
                  <w:noProof/>
                </w:rPr>
                <w:t xml:space="preserve">Field Methods, </w:t>
              </w:r>
              <w:r>
                <w:rPr>
                  <w:noProof/>
                </w:rPr>
                <w:t>18(1), pp. 59-82.</w:t>
              </w:r>
            </w:p>
            <w:p w14:paraId="0782C162" w14:textId="77777777" w:rsidR="00464D9D" w:rsidRDefault="00464D9D" w:rsidP="00464D9D">
              <w:pPr>
                <w:pStyle w:val="Bibliography"/>
                <w:rPr>
                  <w:noProof/>
                </w:rPr>
              </w:pPr>
              <w:r>
                <w:rPr>
                  <w:noProof/>
                </w:rPr>
                <w:t xml:space="preserve">Harris, J. et al., 2009. An introduction to qualitative research for food and nutrition professionals. </w:t>
              </w:r>
              <w:r>
                <w:rPr>
                  <w:i/>
                  <w:iCs/>
                  <w:noProof/>
                </w:rPr>
                <w:t xml:space="preserve">Journal of the American Dietetic Association, </w:t>
              </w:r>
              <w:r>
                <w:rPr>
                  <w:noProof/>
                </w:rPr>
                <w:t>109(1), pp. 80-90.</w:t>
              </w:r>
            </w:p>
            <w:p w14:paraId="3E41834D" w14:textId="757D4D3F" w:rsidR="00464D9D" w:rsidRDefault="00464D9D" w:rsidP="0091795A">
              <w:pPr>
                <w:pStyle w:val="Bibliography"/>
                <w:rPr>
                  <w:noProof/>
                </w:rPr>
              </w:pPr>
              <w:r>
                <w:rPr>
                  <w:noProof/>
                </w:rPr>
                <w:t xml:space="preserve">Klein, D. et al., 2011. Understanding nonresponse to the 2007 Medicare CAHPS survey. </w:t>
              </w:r>
              <w:r>
                <w:rPr>
                  <w:i/>
                  <w:iCs/>
                  <w:noProof/>
                </w:rPr>
                <w:t xml:space="preserve">The Gerontologist, </w:t>
              </w:r>
              <w:r>
                <w:rPr>
                  <w:noProof/>
                </w:rPr>
                <w:t>Issue First published online June 23, 2011.</w:t>
              </w:r>
            </w:p>
            <w:p w14:paraId="7256EB60" w14:textId="35C5C031" w:rsidR="00464D9D" w:rsidRDefault="00464D9D" w:rsidP="0091795A">
              <w:pPr>
                <w:pStyle w:val="Bibliography"/>
                <w:rPr>
                  <w:noProof/>
                </w:rPr>
              </w:pPr>
              <w:r>
                <w:rPr>
                  <w:noProof/>
                </w:rPr>
                <w:t xml:space="preserve">Lohr, S., 1999. </w:t>
              </w:r>
              <w:r>
                <w:rPr>
                  <w:i/>
                  <w:iCs/>
                  <w:noProof/>
                </w:rPr>
                <w:t xml:space="preserve">Sampling design and analysis. </w:t>
              </w:r>
              <w:r>
                <w:rPr>
                  <w:noProof/>
                </w:rPr>
                <w:t>Pacific Grove: Duxburgy Press.</w:t>
              </w:r>
            </w:p>
            <w:p w14:paraId="0B90A9E1" w14:textId="77777777" w:rsidR="00464D9D" w:rsidRDefault="00464D9D" w:rsidP="00464D9D">
              <w:pPr>
                <w:pStyle w:val="Bibliography"/>
                <w:rPr>
                  <w:noProof/>
                </w:rPr>
              </w:pPr>
              <w:r>
                <w:rPr>
                  <w:noProof/>
                </w:rPr>
                <w:lastRenderedPageBreak/>
                <w:t xml:space="preserve">Maxwell, J., 2005. </w:t>
              </w:r>
              <w:r>
                <w:rPr>
                  <w:i/>
                  <w:iCs/>
                  <w:noProof/>
                </w:rPr>
                <w:t xml:space="preserve">Qualitative Research Design: An INteractive Approach. </w:t>
              </w:r>
              <w:r>
                <w:rPr>
                  <w:noProof/>
                </w:rPr>
                <w:t>2nd ed. Thousand Oaks, CA: Sage.</w:t>
              </w:r>
            </w:p>
            <w:p w14:paraId="47D1D4B6" w14:textId="0B753EDB" w:rsidR="00464D9D" w:rsidRDefault="00464D9D" w:rsidP="0091795A">
              <w:pPr>
                <w:pStyle w:val="Bibliography"/>
                <w:rPr>
                  <w:noProof/>
                </w:rPr>
              </w:pPr>
              <w:r>
                <w:rPr>
                  <w:noProof/>
                </w:rPr>
                <w:t xml:space="preserve">Mercer, A., Caparoso, A., Cantor, D. &amp; Townsend, R., 2015. How much gets you how much? Monetary incentives and response rates in household surveys. </w:t>
              </w:r>
              <w:r>
                <w:rPr>
                  <w:i/>
                  <w:iCs/>
                  <w:noProof/>
                </w:rPr>
                <w:t xml:space="preserve">Public Opinion Quarterly, </w:t>
              </w:r>
              <w:r>
                <w:rPr>
                  <w:noProof/>
                </w:rPr>
                <w:t>79(1), pp. 105-129.</w:t>
              </w:r>
            </w:p>
            <w:p w14:paraId="57DA17E4" w14:textId="064422E0" w:rsidR="00464D9D" w:rsidRDefault="00464D9D" w:rsidP="0091795A">
              <w:pPr>
                <w:pStyle w:val="Bibliography"/>
                <w:rPr>
                  <w:noProof/>
                </w:rPr>
              </w:pPr>
              <w:r>
                <w:rPr>
                  <w:noProof/>
                </w:rPr>
                <w:t xml:space="preserve">Millar, M. M. &amp; Dillman, D. A., 2011. Improving Response to Web and Mixed-mode Surveys. </w:t>
              </w:r>
              <w:r>
                <w:rPr>
                  <w:i/>
                  <w:iCs/>
                  <w:noProof/>
                </w:rPr>
                <w:t xml:space="preserve">Public Opinion Quarterly, </w:t>
              </w:r>
              <w:r>
                <w:rPr>
                  <w:noProof/>
                </w:rPr>
                <w:t>Volume 75, pp. 249-269.</w:t>
              </w:r>
            </w:p>
            <w:p w14:paraId="64D3747F" w14:textId="6C6CEDBE" w:rsidR="00464D9D" w:rsidRDefault="00464D9D" w:rsidP="0091795A">
              <w:pPr>
                <w:pStyle w:val="Bibliography"/>
                <w:rPr>
                  <w:noProof/>
                </w:rPr>
              </w:pPr>
              <w:r>
                <w:rPr>
                  <w:noProof/>
                </w:rPr>
                <w:t xml:space="preserve">National Research Council, 2015. </w:t>
              </w:r>
              <w:r>
                <w:rPr>
                  <w:i/>
                  <w:iCs/>
                  <w:noProof/>
                </w:rPr>
                <w:t xml:space="preserve">Nonresponse in social science surveys: A research agenda. Committee on National Statistics, Division on Behavioral and Social Sciences and Education, Panel on a Research Agenda for the Future of Social Science Data Collection. </w:t>
              </w:r>
              <w:r>
                <w:rPr>
                  <w:noProof/>
                </w:rPr>
                <w:t>Washington, D.C.: National Academies Press.</w:t>
              </w:r>
            </w:p>
            <w:p w14:paraId="1F2910D8" w14:textId="2D8E9E98" w:rsidR="00464D9D" w:rsidRDefault="00464D9D" w:rsidP="0091795A">
              <w:pPr>
                <w:pStyle w:val="Bibliography"/>
                <w:rPr>
                  <w:noProof/>
                </w:rPr>
              </w:pPr>
              <w:r>
                <w:rPr>
                  <w:noProof/>
                </w:rPr>
                <w:t xml:space="preserve">Parsons, N. &amp; Manierre, M., 2014. Investigating the relationship among prepaid token incentives, response rates, and nonresponse bias in a web survey. </w:t>
              </w:r>
              <w:r>
                <w:rPr>
                  <w:i/>
                  <w:iCs/>
                  <w:noProof/>
                </w:rPr>
                <w:t xml:space="preserve">Field Methods, </w:t>
              </w:r>
              <w:r>
                <w:rPr>
                  <w:noProof/>
                </w:rPr>
                <w:t>26(2), pp. 191-204.</w:t>
              </w:r>
            </w:p>
            <w:p w14:paraId="0577E6BE" w14:textId="77777777" w:rsidR="00464D9D" w:rsidRDefault="00464D9D" w:rsidP="00464D9D">
              <w:pPr>
                <w:pStyle w:val="Bibliography"/>
                <w:rPr>
                  <w:noProof/>
                </w:rPr>
              </w:pPr>
              <w:r>
                <w:rPr>
                  <w:noProof/>
                </w:rPr>
                <w:t xml:space="preserve">Pit, S., Vo, T. &amp; Pyakurel, S., 2014. The effectiveness of recruitment strategies on general practitioner's survey response rates - a systematic review. </w:t>
              </w:r>
              <w:r>
                <w:rPr>
                  <w:i/>
                  <w:iCs/>
                  <w:noProof/>
                </w:rPr>
                <w:t xml:space="preserve">BMC Medical Research Methodology, </w:t>
              </w:r>
              <w:r>
                <w:rPr>
                  <w:noProof/>
                </w:rPr>
                <w:t>14(1).</w:t>
              </w:r>
            </w:p>
            <w:p w14:paraId="63DBCA4F" w14:textId="77777777" w:rsidR="00464D9D" w:rsidRDefault="00464D9D" w:rsidP="00464D9D">
              <w:pPr>
                <w:pStyle w:val="Bibliography"/>
                <w:rPr>
                  <w:noProof/>
                </w:rPr>
              </w:pPr>
              <w:r>
                <w:rPr>
                  <w:noProof/>
                </w:rPr>
                <w:t xml:space="preserve">Polit, D. &amp; Beck, C., 2010. Generalization in quantitative and qualitative research: Myths and strategies. </w:t>
              </w:r>
              <w:r>
                <w:rPr>
                  <w:i/>
                  <w:iCs/>
                  <w:noProof/>
                </w:rPr>
                <w:t xml:space="preserve">International Journal of Nursing Studies, </w:t>
              </w:r>
              <w:r>
                <w:rPr>
                  <w:noProof/>
                </w:rPr>
                <w:t>47(11), pp. 1451-1458.</w:t>
              </w:r>
            </w:p>
            <w:p w14:paraId="01ED16E3" w14:textId="77777777" w:rsidR="00464D9D" w:rsidRDefault="00464D9D" w:rsidP="00464D9D">
              <w:pPr>
                <w:pStyle w:val="Bibliography"/>
                <w:rPr>
                  <w:noProof/>
                </w:rPr>
              </w:pPr>
              <w:r>
                <w:rPr>
                  <w:noProof/>
                </w:rPr>
                <w:t xml:space="preserve">Seow, H. et al., 2016. The Caregiver Voice survey: A pilot study surveying bereaved caregivers to measure the caregiver and patient experience at end of life. </w:t>
              </w:r>
              <w:r>
                <w:rPr>
                  <w:i/>
                  <w:iCs/>
                  <w:noProof/>
                </w:rPr>
                <w:t>Journal of Palliative Medicine.</w:t>
              </w:r>
            </w:p>
            <w:p w14:paraId="7F93C24D" w14:textId="7F69477B" w:rsidR="00464D9D" w:rsidRDefault="00464D9D" w:rsidP="0091795A">
              <w:pPr>
                <w:pStyle w:val="Bibliography"/>
                <w:rPr>
                  <w:noProof/>
                </w:rPr>
              </w:pPr>
              <w:r>
                <w:rPr>
                  <w:noProof/>
                </w:rPr>
                <w:t xml:space="preserve">Stat Trek, 2015. </w:t>
              </w:r>
              <w:r>
                <w:rPr>
                  <w:i/>
                  <w:iCs/>
                  <w:noProof/>
                </w:rPr>
                <w:t xml:space="preserve">Sample Size: Simple Random Samples. </w:t>
              </w:r>
              <w:r>
                <w:rPr>
                  <w:noProof/>
                </w:rPr>
                <w:t xml:space="preserve">[Online] </w:t>
              </w:r>
              <w:r>
                <w:rPr>
                  <w:noProof/>
                </w:rPr>
                <w:br/>
                <w:t xml:space="preserve">Available at: </w:t>
              </w:r>
              <w:r>
                <w:rPr>
                  <w:noProof/>
                  <w:u w:val="single"/>
                </w:rPr>
                <w:t>http://stattrek.com/sample-size/simple-random-sample.aspx</w:t>
              </w:r>
            </w:p>
            <w:p w14:paraId="6291FAE2" w14:textId="77777777" w:rsidR="00464D9D" w:rsidRDefault="00464D9D" w:rsidP="00464D9D">
              <w:pPr>
                <w:pStyle w:val="Bibliography"/>
                <w:rPr>
                  <w:noProof/>
                </w:rPr>
              </w:pPr>
              <w:r>
                <w:rPr>
                  <w:noProof/>
                </w:rPr>
                <w:t xml:space="preserve">The National Alliance for Caregiving (NAC) &amp; the AARP Public Policy Institute, 2015. </w:t>
              </w:r>
              <w:r>
                <w:rPr>
                  <w:i/>
                  <w:iCs/>
                  <w:noProof/>
                </w:rPr>
                <w:t xml:space="preserve">Caregiving in the U.S. 2015: Appendix A Detailed Methodology. </w:t>
              </w:r>
              <w:r>
                <w:rPr>
                  <w:noProof/>
                </w:rPr>
                <w:t xml:space="preserve">[Online] </w:t>
              </w:r>
              <w:r>
                <w:rPr>
                  <w:noProof/>
                </w:rPr>
                <w:br/>
                <w:t xml:space="preserve">Available at: </w:t>
              </w:r>
              <w:r>
                <w:rPr>
                  <w:noProof/>
                  <w:u w:val="single"/>
                </w:rPr>
                <w:t>http://www.caregiving.org/data/04methodology.pdf</w:t>
              </w:r>
              <w:r>
                <w:rPr>
                  <w:noProof/>
                </w:rPr>
                <w:br/>
                <w:t>[Accessed 18 September 2016].</w:t>
              </w:r>
            </w:p>
            <w:p w14:paraId="1552AB10" w14:textId="10B07660" w:rsidR="00464D9D" w:rsidRDefault="00464D9D" w:rsidP="00464D9D">
              <w:pPr>
                <w:pStyle w:val="Bibliography"/>
                <w:rPr>
                  <w:noProof/>
                </w:rPr>
              </w:pPr>
              <w:r>
                <w:rPr>
                  <w:noProof/>
                </w:rPr>
                <w:t xml:space="preserve">Thorpe, L. et al., 2015. Rationale, Design and Respondent Characteristics of the 2013–2014 New York City Health and Nutrition Examination Survey (NYC HANES 2013–2014). </w:t>
              </w:r>
              <w:r>
                <w:rPr>
                  <w:i/>
                  <w:iCs/>
                  <w:noProof/>
                </w:rPr>
                <w:t xml:space="preserve">Preventive Medicine Reports, </w:t>
              </w:r>
              <w:r>
                <w:rPr>
                  <w:noProof/>
                </w:rPr>
                <w:t>2015(2), p. 580–585.</w:t>
              </w:r>
            </w:p>
            <w:p w14:paraId="1F793B10" w14:textId="77777777" w:rsidR="00464D9D" w:rsidRDefault="00464D9D" w:rsidP="00464D9D">
              <w:pPr>
                <w:pStyle w:val="Bibliography"/>
                <w:rPr>
                  <w:noProof/>
                </w:rPr>
              </w:pPr>
              <w:r>
                <w:rPr>
                  <w:noProof/>
                </w:rPr>
                <w:t xml:space="preserve">VanGeest, J. &amp; Johnson, T., 2011. Surveying nurses: Identifying strategies to improve participation. </w:t>
              </w:r>
              <w:r>
                <w:rPr>
                  <w:i/>
                  <w:iCs/>
                  <w:noProof/>
                </w:rPr>
                <w:t xml:space="preserve">Evaluation &amp; the Health Professions, </w:t>
              </w:r>
              <w:r>
                <w:rPr>
                  <w:noProof/>
                </w:rPr>
                <w:t>Issue 0163278711399572.</w:t>
              </w:r>
            </w:p>
            <w:p w14:paraId="5ED37B00" w14:textId="64E2D23C" w:rsidR="001177FD" w:rsidRPr="00CC1B5C" w:rsidRDefault="0060188B" w:rsidP="0091795A">
              <w:pPr>
                <w:pStyle w:val="Bibliography"/>
              </w:pPr>
              <w:r w:rsidRPr="00CC1B5C">
                <w:fldChar w:fldCharType="end"/>
              </w:r>
            </w:p>
          </w:sdtContent>
        </w:sdt>
      </w:sdtContent>
    </w:sdt>
    <w:sectPr w:rsidR="001177FD" w:rsidRPr="00CC1B5C" w:rsidSect="0091795A">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E14CD1" w14:textId="77777777" w:rsidR="00066813" w:rsidRDefault="00066813" w:rsidP="001177FD">
      <w:r>
        <w:separator/>
      </w:r>
    </w:p>
  </w:endnote>
  <w:endnote w:type="continuationSeparator" w:id="0">
    <w:p w14:paraId="48C342EA" w14:textId="77777777" w:rsidR="00066813" w:rsidRDefault="00066813" w:rsidP="001177FD">
      <w:r>
        <w:continuationSeparator/>
      </w:r>
    </w:p>
  </w:endnote>
  <w:endnote w:type="continuationNotice" w:id="1">
    <w:p w14:paraId="20D2B990" w14:textId="77777777" w:rsidR="00066813" w:rsidRDefault="000668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hruti">
    <w:panose1 w:val="020B0502040204020203"/>
    <w:charset w:val="00"/>
    <w:family w:val="swiss"/>
    <w:pitch w:val="variable"/>
    <w:sig w:usb0="0004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0240899"/>
      <w:docPartObj>
        <w:docPartGallery w:val="Page Numbers (Bottom of Page)"/>
        <w:docPartUnique/>
      </w:docPartObj>
    </w:sdtPr>
    <w:sdtEndPr/>
    <w:sdtContent>
      <w:p w14:paraId="138BEE80" w14:textId="577DCB9D" w:rsidR="00BA69EB" w:rsidRDefault="00BA69EB" w:rsidP="00650304">
        <w:pPr>
          <w:pStyle w:val="Footer"/>
          <w:jc w:val="right"/>
        </w:pPr>
        <w:r w:rsidRPr="0091795A">
          <w:t>Statement B-</w:t>
        </w:r>
        <w:r w:rsidRPr="0091795A">
          <w:fldChar w:fldCharType="begin"/>
        </w:r>
        <w:r>
          <w:instrText xml:space="preserve"> PAGE   \* MERGEFORMAT </w:instrText>
        </w:r>
        <w:r w:rsidRPr="0091795A">
          <w:fldChar w:fldCharType="separate"/>
        </w:r>
        <w:r w:rsidR="0091795A">
          <w:rPr>
            <w:noProof/>
          </w:rPr>
          <w:t>19</w:t>
        </w:r>
        <w:r w:rsidRPr="0091795A">
          <w:fldChar w:fldCharType="end"/>
        </w:r>
      </w:p>
    </w:sdtContent>
  </w:sdt>
  <w:p w14:paraId="7A495174" w14:textId="77777777" w:rsidR="00BA69EB" w:rsidRPr="0091795A" w:rsidRDefault="00BA69EB" w:rsidP="009179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0ABA6" w14:textId="77777777" w:rsidR="00066813" w:rsidRDefault="00066813" w:rsidP="001177FD">
      <w:r>
        <w:separator/>
      </w:r>
    </w:p>
  </w:footnote>
  <w:footnote w:type="continuationSeparator" w:id="0">
    <w:p w14:paraId="097D94B0" w14:textId="77777777" w:rsidR="00066813" w:rsidRDefault="00066813" w:rsidP="001177FD">
      <w:r>
        <w:continuationSeparator/>
      </w:r>
    </w:p>
  </w:footnote>
  <w:footnote w:type="continuationNotice" w:id="1">
    <w:p w14:paraId="5AC731A3" w14:textId="77777777" w:rsidR="00066813" w:rsidRDefault="00066813"/>
  </w:footnote>
  <w:footnote w:id="2">
    <w:p w14:paraId="2278E1B7" w14:textId="77777777" w:rsidR="00BA69EB" w:rsidRDefault="00BA69EB" w:rsidP="001177FD">
      <w:pPr>
        <w:pStyle w:val="FootnoteText"/>
      </w:pPr>
      <w:r>
        <w:rPr>
          <w:rStyle w:val="FootnoteReference"/>
        </w:rPr>
        <w:footnoteRef/>
      </w:r>
      <w:r>
        <w:t xml:space="preserve"> A total of </w:t>
      </w:r>
      <w:r w:rsidRPr="008C4DF1">
        <w:t>12</w:t>
      </w:r>
      <w:r>
        <w:t>,</w:t>
      </w:r>
      <w:r w:rsidRPr="008C4DF1">
        <w:t>932</w:t>
      </w:r>
      <w:r>
        <w:t xml:space="preserve"> claims had been submitted for IVIG provided to these beneficiaries under the Demonstration as of September 2, 2016.</w:t>
      </w:r>
    </w:p>
  </w:footnote>
  <w:footnote w:id="3">
    <w:p w14:paraId="1277F097" w14:textId="77777777" w:rsidR="00BA69EB" w:rsidRDefault="00BA69EB" w:rsidP="001177FD">
      <w:pPr>
        <w:pStyle w:val="FootnoteText"/>
      </w:pPr>
      <w:r>
        <w:rPr>
          <w:rStyle w:val="FootnoteReference"/>
        </w:rPr>
        <w:footnoteRef/>
      </w:r>
      <w:r>
        <w:t xml:space="preserve"> The assumption yields the maximum sample size estimate.</w:t>
      </w:r>
    </w:p>
  </w:footnote>
  <w:footnote w:id="4">
    <w:p w14:paraId="1E5592CB" w14:textId="77777777" w:rsidR="00BA69EB" w:rsidRDefault="00BA69EB" w:rsidP="001177FD">
      <w:pPr>
        <w:pStyle w:val="FootnoteText"/>
      </w:pPr>
      <w:r>
        <w:rPr>
          <w:rStyle w:val="FootnoteReference"/>
        </w:rPr>
        <w:footnoteRef/>
      </w:r>
      <w:r>
        <w:t xml:space="preserve"> Note that the actual calculations are based on unrounded numbers.</w:t>
      </w:r>
    </w:p>
  </w:footnote>
  <w:footnote w:id="5">
    <w:p w14:paraId="53ED4997" w14:textId="77777777" w:rsidR="00BA69EB" w:rsidRDefault="00BA69EB">
      <w:pPr>
        <w:pStyle w:val="FootnoteText"/>
      </w:pPr>
      <w:r>
        <w:rPr>
          <w:rStyle w:val="FootnoteReference"/>
        </w:rPr>
        <w:footnoteRef/>
      </w:r>
      <w:r>
        <w:t xml:space="preserve"> Text analysis will involve a review and analysis of the verbatim responses to those questions that include an “Other – Please Specify” response category.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04523FE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A9F0DFBA"/>
    <w:lvl w:ilvl="0">
      <w:start w:val="1"/>
      <w:numFmt w:val="bullet"/>
      <w:pStyle w:val="ListBullet2"/>
      <w:lvlText w:val="-"/>
      <w:lvlJc w:val="left"/>
      <w:pPr>
        <w:tabs>
          <w:tab w:val="num" w:pos="1440"/>
        </w:tabs>
        <w:ind w:left="1440" w:hanging="360"/>
      </w:pPr>
      <w:rPr>
        <w:rFonts w:ascii="Times New Roman" w:hAnsi="Times New Roman" w:cs="Times New Roman" w:hint="default"/>
      </w:rPr>
    </w:lvl>
  </w:abstractNum>
  <w:abstractNum w:abstractNumId="2" w15:restartNumberingAfterBreak="0">
    <w:nsid w:val="FFFFFF88"/>
    <w:multiLevelType w:val="singleLevel"/>
    <w:tmpl w:val="DC064BF2"/>
    <w:lvl w:ilvl="0">
      <w:start w:val="1"/>
      <w:numFmt w:val="decimal"/>
      <w:pStyle w:val="ListNumber"/>
      <w:lvlText w:val="%1."/>
      <w:lvlJc w:val="left"/>
      <w:pPr>
        <w:tabs>
          <w:tab w:val="num" w:pos="-270"/>
        </w:tabs>
        <w:ind w:left="450" w:hanging="360"/>
      </w:pPr>
      <w:rPr>
        <w:rFonts w:ascii="Times New Roman" w:hAnsi="Times New Roman" w:hint="default"/>
        <w:b w:val="0"/>
        <w:i w:val="0"/>
        <w:sz w:val="22"/>
        <w:szCs w:val="24"/>
      </w:rPr>
    </w:lvl>
  </w:abstractNum>
  <w:abstractNum w:abstractNumId="3" w15:restartNumberingAfterBreak="0">
    <w:nsid w:val="FFFFFF89"/>
    <w:multiLevelType w:val="singleLevel"/>
    <w:tmpl w:val="58C01A9A"/>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77F513B"/>
    <w:multiLevelType w:val="hybridMultilevel"/>
    <w:tmpl w:val="225697A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9FF2D21"/>
    <w:multiLevelType w:val="hybridMultilevel"/>
    <w:tmpl w:val="B9AEE5A6"/>
    <w:lvl w:ilvl="0" w:tplc="BB68131A">
      <w:start w:val="1"/>
      <w:numFmt w:val="lowerLetter"/>
      <w:pStyle w:val="WorksheetLettered11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09C68F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1495B4A"/>
    <w:multiLevelType w:val="hybridMultilevel"/>
    <w:tmpl w:val="0A325F62"/>
    <w:lvl w:ilvl="0" w:tplc="9AC633EA">
      <w:start w:val="1"/>
      <w:numFmt w:val="decimal"/>
      <w:pStyle w:val="Workshee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8C34F4"/>
    <w:multiLevelType w:val="hybridMultilevel"/>
    <w:tmpl w:val="D3AADAB0"/>
    <w:lvl w:ilvl="0" w:tplc="854C25C6">
      <w:start w:val="1"/>
      <w:numFmt w:val="lowerLetter"/>
      <w:pStyle w:val="ListNumber2"/>
      <w:lvlText w:val="%1."/>
      <w:lvlJc w:val="left"/>
      <w:pPr>
        <w:ind w:left="1080" w:hanging="360"/>
      </w:pPr>
    </w:lvl>
    <w:lvl w:ilvl="1" w:tplc="6840BAA0">
      <w:start w:val="1"/>
      <w:numFmt w:val="lowerLetter"/>
      <w:lvlText w:val="%2."/>
      <w:lvlJc w:val="left"/>
      <w:pPr>
        <w:ind w:left="1800" w:hanging="360"/>
      </w:pPr>
    </w:lvl>
    <w:lvl w:ilvl="2" w:tplc="0CB86544">
      <w:start w:val="1"/>
      <w:numFmt w:val="lowerRoman"/>
      <w:lvlText w:val="%3."/>
      <w:lvlJc w:val="right"/>
      <w:pPr>
        <w:ind w:left="2520" w:hanging="180"/>
      </w:pPr>
    </w:lvl>
    <w:lvl w:ilvl="3" w:tplc="420AF62C" w:tentative="1">
      <w:start w:val="1"/>
      <w:numFmt w:val="decimal"/>
      <w:lvlText w:val="%4."/>
      <w:lvlJc w:val="left"/>
      <w:pPr>
        <w:ind w:left="3240" w:hanging="360"/>
      </w:pPr>
    </w:lvl>
    <w:lvl w:ilvl="4" w:tplc="B5FC0C1E" w:tentative="1">
      <w:start w:val="1"/>
      <w:numFmt w:val="lowerLetter"/>
      <w:lvlText w:val="%5."/>
      <w:lvlJc w:val="left"/>
      <w:pPr>
        <w:ind w:left="3960" w:hanging="360"/>
      </w:pPr>
    </w:lvl>
    <w:lvl w:ilvl="5" w:tplc="365E2AEC" w:tentative="1">
      <w:start w:val="1"/>
      <w:numFmt w:val="lowerRoman"/>
      <w:lvlText w:val="%6."/>
      <w:lvlJc w:val="right"/>
      <w:pPr>
        <w:ind w:left="4680" w:hanging="180"/>
      </w:pPr>
    </w:lvl>
    <w:lvl w:ilvl="6" w:tplc="2A067F40" w:tentative="1">
      <w:start w:val="1"/>
      <w:numFmt w:val="decimal"/>
      <w:lvlText w:val="%7."/>
      <w:lvlJc w:val="left"/>
      <w:pPr>
        <w:ind w:left="5400" w:hanging="360"/>
      </w:pPr>
    </w:lvl>
    <w:lvl w:ilvl="7" w:tplc="23CCCC54" w:tentative="1">
      <w:start w:val="1"/>
      <w:numFmt w:val="lowerLetter"/>
      <w:lvlText w:val="%8."/>
      <w:lvlJc w:val="left"/>
      <w:pPr>
        <w:ind w:left="6120" w:hanging="360"/>
      </w:pPr>
    </w:lvl>
    <w:lvl w:ilvl="8" w:tplc="3B00C860" w:tentative="1">
      <w:start w:val="1"/>
      <w:numFmt w:val="lowerRoman"/>
      <w:lvlText w:val="%9."/>
      <w:lvlJc w:val="right"/>
      <w:pPr>
        <w:ind w:left="6840" w:hanging="180"/>
      </w:pPr>
    </w:lvl>
  </w:abstractNum>
  <w:abstractNum w:abstractNumId="9" w15:restartNumberingAfterBreak="0">
    <w:nsid w:val="15355486"/>
    <w:multiLevelType w:val="multilevel"/>
    <w:tmpl w:val="1E10B4A0"/>
    <w:lvl w:ilvl="0">
      <w:start w:val="1"/>
      <w:numFmt w:val="decimal"/>
      <w:lvlText w:val="%1."/>
      <w:lvlJc w:val="left"/>
      <w:pPr>
        <w:ind w:left="360" w:hanging="360"/>
      </w:pPr>
      <w:rPr>
        <w:rFonts w:hint="default"/>
        <w:u w:val="words"/>
      </w:rPr>
    </w:lvl>
    <w:lvl w:ilvl="1">
      <w:start w:val="1"/>
      <w:numFmt w:val="decimal"/>
      <w:pStyle w:val="Interview1"/>
      <w:lvlText w:val="%2."/>
      <w:lvlJc w:val="left"/>
      <w:pPr>
        <w:ind w:left="630" w:hanging="360"/>
      </w:pPr>
      <w:rPr>
        <w:rFonts w:hint="default"/>
        <w:u w:val="none"/>
      </w:rPr>
    </w:lvl>
    <w:lvl w:ilvl="2">
      <w:start w:val="1"/>
      <w:numFmt w:val="decimal"/>
      <w:lvlText w:val="%2.%3."/>
      <w:lvlJc w:val="left"/>
      <w:pPr>
        <w:ind w:left="1620" w:hanging="360"/>
      </w:pPr>
      <w:rPr>
        <w:rFonts w:hint="default"/>
        <w:u w:val="none"/>
      </w:rPr>
    </w:lvl>
    <w:lvl w:ilvl="3">
      <w:start w:val="1"/>
      <w:numFmt w:val="decimal"/>
      <w:lvlText w:val="%1.%2.%3.%4."/>
      <w:lvlJc w:val="left"/>
      <w:pPr>
        <w:ind w:left="1440" w:hanging="360"/>
      </w:pPr>
      <w:rPr>
        <w:rFonts w:hint="default"/>
      </w:rPr>
    </w:lvl>
    <w:lvl w:ilvl="4">
      <w:start w:val="18"/>
      <w:numFmt w:val="upperLetter"/>
      <w:lvlRestart w:val="0"/>
      <w:suff w:val="space"/>
      <w:lvlText w:val="%5EFERENCES"/>
      <w:lvlJc w:val="center"/>
      <w:pPr>
        <w:ind w:left="0" w:firstLine="288"/>
      </w:pPr>
      <w:rPr>
        <w:rFonts w:hint="default"/>
      </w:rPr>
    </w:lvl>
    <w:lvl w:ilvl="5">
      <w:start w:val="1"/>
      <w:numFmt w:val="upperLetter"/>
      <w:lvlRestart w:val="0"/>
      <w:suff w:val="space"/>
      <w:lvlText w:val="APPENDIX %6."/>
      <w:lvlJc w:val="center"/>
      <w:pPr>
        <w:ind w:left="0" w:firstLine="288"/>
      </w:pPr>
      <w:rPr>
        <w:rFonts w:hint="default"/>
      </w:rPr>
    </w:lvl>
    <w:lvl w:ilvl="6">
      <w:start w:val="1"/>
      <w:numFmt w:val="decimal"/>
      <w:lvlText w:val="%6.%7."/>
      <w:lvlJc w:val="left"/>
      <w:pPr>
        <w:ind w:left="720" w:hanging="360"/>
      </w:pPr>
      <w:rPr>
        <w:rFonts w:hint="default"/>
      </w:rPr>
    </w:lvl>
    <w:lvl w:ilvl="7">
      <w:start w:val="5"/>
      <w:numFmt w:val="upperLetter"/>
      <w:lvlRestart w:val="0"/>
      <w:suff w:val="space"/>
      <w:lvlText w:val="%8XECUTIVE SUMMARY"/>
      <w:lvlJc w:val="center"/>
      <w:pPr>
        <w:ind w:left="0" w:firstLine="0"/>
      </w:pPr>
      <w:rPr>
        <w:rFonts w:hint="default"/>
      </w:rPr>
    </w:lvl>
    <w:lvl w:ilvl="8">
      <w:start w:val="1"/>
      <w:numFmt w:val="decimal"/>
      <w:lvlText w:val="%8.%9."/>
      <w:lvlJc w:val="left"/>
      <w:pPr>
        <w:ind w:left="720" w:hanging="360"/>
      </w:pPr>
      <w:rPr>
        <w:rFonts w:hint="default"/>
      </w:rPr>
    </w:lvl>
  </w:abstractNum>
  <w:abstractNum w:abstractNumId="10" w15:restartNumberingAfterBreak="0">
    <w:nsid w:val="1A9F7B78"/>
    <w:multiLevelType w:val="multilevel"/>
    <w:tmpl w:val="55A89078"/>
    <w:lvl w:ilvl="0">
      <w:start w:val="1"/>
      <w:numFmt w:val="lowerLetter"/>
      <w:lvlText w:val="(%1)"/>
      <w:lvlJc w:val="left"/>
      <w:pPr>
        <w:ind w:left="720" w:hanging="360"/>
      </w:pPr>
      <w:rPr>
        <w:rFonts w:hint="default"/>
      </w:rPr>
    </w:lvl>
    <w:lvl w:ilvl="1">
      <w:start w:val="1"/>
      <w:numFmt w:val="lowerRoman"/>
      <w:pStyle w:val="ListLetter2"/>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247D1388"/>
    <w:multiLevelType w:val="hybridMultilevel"/>
    <w:tmpl w:val="8EC46760"/>
    <w:lvl w:ilvl="0" w:tplc="64801988">
      <w:start w:val="1"/>
      <w:numFmt w:val="bullet"/>
      <w:pStyle w:val="RoundBullet"/>
      <w:lvlText w:val=""/>
      <w:lvlJc w:val="left"/>
      <w:pPr>
        <w:ind w:left="720" w:hanging="360"/>
      </w:pPr>
      <w:rPr>
        <w:rFonts w:ascii="Symbol" w:hAnsi="Symbol" w:cs="Symbol"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8A62B3"/>
    <w:multiLevelType w:val="multilevel"/>
    <w:tmpl w:val="C91A8C76"/>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333118CB"/>
    <w:multiLevelType w:val="multilevel"/>
    <w:tmpl w:val="55A89078"/>
    <w:lvl w:ilvl="0">
      <w:start w:val="1"/>
      <w:numFmt w:val="lowerLetter"/>
      <w:pStyle w:val="List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38CC1A19"/>
    <w:multiLevelType w:val="multilevel"/>
    <w:tmpl w:val="D31EB99A"/>
    <w:styleLink w:val="Style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ascii="Cambria" w:hAnsi="Cambria"/>
        <w:b/>
        <w:i w:val="0"/>
        <w:sz w:val="22"/>
      </w:rPr>
    </w:lvl>
    <w:lvl w:ilvl="3">
      <w:start w:val="1"/>
      <w:numFmt w:val="decimal"/>
      <w:lvlText w:val="%1.%2.%3.%4"/>
      <w:lvlJc w:val="left"/>
      <w:pPr>
        <w:ind w:left="864" w:hanging="864"/>
      </w:pPr>
      <w:rPr>
        <w:rFonts w:ascii="Cambria" w:hAnsi="Cambria"/>
        <w:b/>
        <w:i w:val="0"/>
        <w:caps w:val="0"/>
        <w:smallCaps w:val="0"/>
        <w:strike w:val="0"/>
        <w:dstrike w:val="0"/>
        <w:vanish w:val="0"/>
        <w:color w:val="auto"/>
        <w:spacing w:val="0"/>
        <w:w w:val="100"/>
        <w:kern w:val="0"/>
        <w:position w:val="0"/>
        <w:sz w:val="22"/>
        <w:vertAlign w:val="base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A752F69"/>
    <w:multiLevelType w:val="hybridMultilevel"/>
    <w:tmpl w:val="51021018"/>
    <w:lvl w:ilvl="0" w:tplc="B614CE68">
      <w:start w:val="1"/>
      <w:numFmt w:val="lowerRoman"/>
      <w:pStyle w:val="ListNumber3"/>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886495"/>
    <w:multiLevelType w:val="multilevel"/>
    <w:tmpl w:val="C572196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ascii="Cambria" w:hAnsi="Cambria"/>
        <w:b/>
        <w:i w:val="0"/>
        <w:sz w:val="22"/>
      </w:rPr>
    </w:lvl>
    <w:lvl w:ilvl="3">
      <w:start w:val="1"/>
      <w:numFmt w:val="decimal"/>
      <w:pStyle w:val="Heading4"/>
      <w:lvlText w:val="%1.%2.%3.%4"/>
      <w:lvlJc w:val="left"/>
      <w:pPr>
        <w:ind w:left="864" w:hanging="864"/>
      </w:pPr>
      <w:rPr>
        <w:rFonts w:ascii="Cambria" w:hAnsi="Cambria"/>
        <w:b/>
        <w:i w:val="0"/>
        <w:caps w:val="0"/>
        <w:smallCaps w:val="0"/>
        <w:strike w:val="0"/>
        <w:dstrike w:val="0"/>
        <w:vanish w:val="0"/>
        <w:color w:val="auto"/>
        <w:spacing w:val="0"/>
        <w:w w:val="100"/>
        <w:kern w:val="0"/>
        <w:position w:val="0"/>
        <w:sz w:val="22"/>
        <w:vertAlign w:val="baseline"/>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5C130DA1"/>
    <w:multiLevelType w:val="hybridMultilevel"/>
    <w:tmpl w:val="2E04D28E"/>
    <w:lvl w:ilvl="0" w:tplc="32240CC6">
      <w:start w:val="1"/>
      <w:numFmt w:val="bullet"/>
      <w:lvlText w:val=""/>
      <w:lvlJc w:val="left"/>
      <w:pPr>
        <w:ind w:left="1080" w:hanging="360"/>
      </w:pPr>
      <w:rPr>
        <w:rFonts w:ascii="Wingdings" w:hAnsi="Wingdings" w:hint="default"/>
        <w:color w:val="auto"/>
        <w:sz w:val="22"/>
      </w:rPr>
    </w:lvl>
    <w:lvl w:ilvl="1" w:tplc="29DA04A2" w:tentative="1">
      <w:start w:val="1"/>
      <w:numFmt w:val="bullet"/>
      <w:lvlText w:val="o"/>
      <w:lvlJc w:val="left"/>
      <w:pPr>
        <w:ind w:left="1800" w:hanging="360"/>
      </w:pPr>
      <w:rPr>
        <w:rFonts w:ascii="Courier New" w:hAnsi="Courier New" w:cs="Courier New" w:hint="default"/>
      </w:rPr>
    </w:lvl>
    <w:lvl w:ilvl="2" w:tplc="28DAB710" w:tentative="1">
      <w:start w:val="1"/>
      <w:numFmt w:val="bullet"/>
      <w:lvlText w:val=""/>
      <w:lvlJc w:val="left"/>
      <w:pPr>
        <w:ind w:left="2520" w:hanging="360"/>
      </w:pPr>
      <w:rPr>
        <w:rFonts w:ascii="Wingdings" w:hAnsi="Wingdings" w:hint="default"/>
      </w:rPr>
    </w:lvl>
    <w:lvl w:ilvl="3" w:tplc="596CF5B8" w:tentative="1">
      <w:start w:val="1"/>
      <w:numFmt w:val="bullet"/>
      <w:lvlText w:val=""/>
      <w:lvlJc w:val="left"/>
      <w:pPr>
        <w:ind w:left="3240" w:hanging="360"/>
      </w:pPr>
      <w:rPr>
        <w:rFonts w:ascii="Symbol" w:hAnsi="Symbol" w:hint="default"/>
      </w:rPr>
    </w:lvl>
    <w:lvl w:ilvl="4" w:tplc="507C3E90" w:tentative="1">
      <w:start w:val="1"/>
      <w:numFmt w:val="bullet"/>
      <w:lvlText w:val="o"/>
      <w:lvlJc w:val="left"/>
      <w:pPr>
        <w:ind w:left="3960" w:hanging="360"/>
      </w:pPr>
      <w:rPr>
        <w:rFonts w:ascii="Courier New" w:hAnsi="Courier New" w:cs="Courier New" w:hint="default"/>
      </w:rPr>
    </w:lvl>
    <w:lvl w:ilvl="5" w:tplc="81422E98" w:tentative="1">
      <w:start w:val="1"/>
      <w:numFmt w:val="bullet"/>
      <w:lvlText w:val=""/>
      <w:lvlJc w:val="left"/>
      <w:pPr>
        <w:ind w:left="4680" w:hanging="360"/>
      </w:pPr>
      <w:rPr>
        <w:rFonts w:ascii="Wingdings" w:hAnsi="Wingdings" w:hint="default"/>
      </w:rPr>
    </w:lvl>
    <w:lvl w:ilvl="6" w:tplc="DEC23874" w:tentative="1">
      <w:start w:val="1"/>
      <w:numFmt w:val="bullet"/>
      <w:lvlText w:val=""/>
      <w:lvlJc w:val="left"/>
      <w:pPr>
        <w:ind w:left="5400" w:hanging="360"/>
      </w:pPr>
      <w:rPr>
        <w:rFonts w:ascii="Symbol" w:hAnsi="Symbol" w:hint="default"/>
      </w:rPr>
    </w:lvl>
    <w:lvl w:ilvl="7" w:tplc="06A64BE0" w:tentative="1">
      <w:start w:val="1"/>
      <w:numFmt w:val="bullet"/>
      <w:lvlText w:val="o"/>
      <w:lvlJc w:val="left"/>
      <w:pPr>
        <w:ind w:left="6120" w:hanging="360"/>
      </w:pPr>
      <w:rPr>
        <w:rFonts w:ascii="Courier New" w:hAnsi="Courier New" w:cs="Courier New" w:hint="default"/>
      </w:rPr>
    </w:lvl>
    <w:lvl w:ilvl="8" w:tplc="431A8B4A" w:tentative="1">
      <w:start w:val="1"/>
      <w:numFmt w:val="bullet"/>
      <w:lvlText w:val=""/>
      <w:lvlJc w:val="left"/>
      <w:pPr>
        <w:ind w:left="6840" w:hanging="360"/>
      </w:pPr>
      <w:rPr>
        <w:rFonts w:ascii="Wingdings" w:hAnsi="Wingdings" w:hint="default"/>
      </w:rPr>
    </w:lvl>
  </w:abstractNum>
  <w:abstractNum w:abstractNumId="18" w15:restartNumberingAfterBreak="0">
    <w:nsid w:val="67F16649"/>
    <w:multiLevelType w:val="hybridMultilevel"/>
    <w:tmpl w:val="B9A6C7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621FA8"/>
    <w:multiLevelType w:val="hybridMultilevel"/>
    <w:tmpl w:val="776A8914"/>
    <w:lvl w:ilvl="0" w:tplc="2E0E3DD0">
      <w:start w:val="1"/>
      <w:numFmt w:val="decimal"/>
      <w:pStyle w:val="ListNumberSurvey"/>
      <w:lvlText w:val="%1."/>
      <w:lvlJc w:val="left"/>
      <w:pPr>
        <w:ind w:left="720" w:hanging="360"/>
      </w:pPr>
      <w:rPr>
        <w:rFonts w:ascii="Times New Roman" w:hAnsi="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lvlOverride w:ilvl="0">
      <w:lvl w:ilvl="0">
        <w:start w:val="1"/>
        <w:numFmt w:val="decimal"/>
        <w:pStyle w:val="Heading1"/>
        <w:lvlText w:val="%1"/>
        <w:lvlJc w:val="left"/>
        <w:pPr>
          <w:ind w:left="432"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1.%2.%3"/>
        <w:lvlJc w:val="left"/>
        <w:pPr>
          <w:ind w:left="720" w:hanging="720"/>
        </w:pPr>
      </w:lvl>
    </w:lvlOverride>
    <w:lvlOverride w:ilvl="3">
      <w:lvl w:ilvl="3">
        <w:start w:val="1"/>
        <w:numFmt w:val="decimal"/>
        <w:pStyle w:val="Heading4"/>
        <w:lvlText w:val="%1.%2.%3.%4"/>
        <w:lvlJc w:val="left"/>
        <w:pPr>
          <w:ind w:left="864" w:hanging="864"/>
        </w:pPr>
      </w:lvl>
    </w:lvlOverride>
    <w:lvlOverride w:ilvl="4">
      <w:lvl w:ilvl="4">
        <w:start w:val="1"/>
        <w:numFmt w:val="decimal"/>
        <w:pStyle w:val="Heading5"/>
        <w:lvlText w:val="%1.%2.%3.%4.%5"/>
        <w:lvlJc w:val="left"/>
        <w:pPr>
          <w:ind w:left="100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2">
    <w:abstractNumId w:val="1"/>
  </w:num>
  <w:num w:numId="3">
    <w:abstractNumId w:val="19"/>
  </w:num>
  <w:num w:numId="4">
    <w:abstractNumId w:val="2"/>
  </w:num>
  <w:num w:numId="5">
    <w:abstractNumId w:val="13"/>
  </w:num>
  <w:num w:numId="6">
    <w:abstractNumId w:val="10"/>
  </w:num>
  <w:num w:numId="7">
    <w:abstractNumId w:val="8"/>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8"/>
    </w:lvlOverride>
    <w:lvlOverride w:ilvl="5">
      <w:startOverride w:val="1"/>
    </w:lvlOverride>
    <w:lvlOverride w:ilvl="6">
      <w:startOverride w:val="1"/>
    </w:lvlOverride>
    <w:lvlOverride w:ilvl="7">
      <w:startOverride w:val="5"/>
    </w:lvlOverride>
    <w:lvlOverride w:ilvl="8">
      <w:startOverride w:val="1"/>
    </w:lvlOverride>
  </w:num>
  <w:num w:numId="9">
    <w:abstractNumId w:val="5"/>
  </w:num>
  <w:num w:numId="10">
    <w:abstractNumId w:val="7"/>
  </w:num>
  <w:num w:numId="11">
    <w:abstractNumId w:val="15"/>
  </w:num>
  <w:num w:numId="12">
    <w:abstractNumId w:val="0"/>
  </w:num>
  <w:num w:numId="13">
    <w:abstractNumId w:val="11"/>
  </w:num>
  <w:num w:numId="14">
    <w:abstractNumId w:val="14"/>
  </w:num>
  <w:num w:numId="15">
    <w:abstractNumId w:val="12"/>
  </w:num>
  <w:num w:numId="16">
    <w:abstractNumId w:val="3"/>
  </w:num>
  <w:num w:numId="17">
    <w:abstractNumId w:val="3"/>
  </w:num>
  <w:num w:numId="18">
    <w:abstractNumId w:val="3"/>
  </w:num>
  <w:num w:numId="19">
    <w:abstractNumId w:val="16"/>
    <w:lvlOverride w:ilvl="0">
      <w:lvl w:ilvl="0">
        <w:start w:val="1"/>
        <w:numFmt w:val="decimal"/>
        <w:pStyle w:val="Heading1"/>
        <w:lvlText w:val="%1"/>
        <w:lvlJc w:val="left"/>
        <w:pPr>
          <w:ind w:left="432"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1.%2.%3"/>
        <w:lvlJc w:val="left"/>
        <w:pPr>
          <w:ind w:left="720" w:hanging="720"/>
        </w:pPr>
      </w:lvl>
    </w:lvlOverride>
    <w:lvlOverride w:ilvl="3">
      <w:lvl w:ilvl="3">
        <w:start w:val="1"/>
        <w:numFmt w:val="decimal"/>
        <w:pStyle w:val="Heading4"/>
        <w:lvlText w:val="%1.%2.%3.%4"/>
        <w:lvlJc w:val="left"/>
        <w:pPr>
          <w:ind w:left="864" w:hanging="864"/>
        </w:pPr>
      </w:lvl>
    </w:lvlOverride>
    <w:lvlOverride w:ilvl="4">
      <w:lvl w:ilvl="4">
        <w:start w:val="1"/>
        <w:numFmt w:val="decimal"/>
        <w:pStyle w:val="Heading5"/>
        <w:lvlText w:val="%1.%2.%3.%4.%5"/>
        <w:lvlJc w:val="left"/>
        <w:pPr>
          <w:ind w:left="100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20">
    <w:abstractNumId w:val="16"/>
    <w:lvlOverride w:ilvl="0">
      <w:lvl w:ilvl="0">
        <w:start w:val="1"/>
        <w:numFmt w:val="decimal"/>
        <w:pStyle w:val="Heading1"/>
        <w:lvlText w:val="%1"/>
        <w:lvlJc w:val="left"/>
        <w:pPr>
          <w:ind w:left="432"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1.%2.%3"/>
        <w:lvlJc w:val="left"/>
        <w:pPr>
          <w:ind w:left="720" w:hanging="720"/>
        </w:pPr>
      </w:lvl>
    </w:lvlOverride>
    <w:lvlOverride w:ilvl="3">
      <w:lvl w:ilvl="3">
        <w:start w:val="1"/>
        <w:numFmt w:val="decimal"/>
        <w:pStyle w:val="Heading4"/>
        <w:lvlText w:val="%1.%2.%3.%4"/>
        <w:lvlJc w:val="left"/>
        <w:pPr>
          <w:ind w:left="864" w:hanging="864"/>
        </w:pPr>
      </w:lvl>
    </w:lvlOverride>
    <w:lvlOverride w:ilvl="4">
      <w:lvl w:ilvl="4">
        <w:start w:val="1"/>
        <w:numFmt w:val="decimal"/>
        <w:pStyle w:val="Heading5"/>
        <w:lvlText w:val="%1.%2.%3.%4.%5"/>
        <w:lvlJc w:val="left"/>
        <w:pPr>
          <w:ind w:left="100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21">
    <w:abstractNumId w:val="3"/>
  </w:num>
  <w:num w:numId="22">
    <w:abstractNumId w:val="3"/>
  </w:num>
  <w:num w:numId="23">
    <w:abstractNumId w:val="3"/>
  </w:num>
  <w:num w:numId="24">
    <w:abstractNumId w:val="18"/>
  </w:num>
  <w:num w:numId="25">
    <w:abstractNumId w:val="17"/>
  </w:num>
  <w:num w:numId="26">
    <w:abstractNumId w:val="4"/>
  </w:num>
  <w:num w:numId="27">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7FD"/>
    <w:rsid w:val="000077EB"/>
    <w:rsid w:val="000100EF"/>
    <w:rsid w:val="00012CDF"/>
    <w:rsid w:val="0001551E"/>
    <w:rsid w:val="00015D2F"/>
    <w:rsid w:val="000163AB"/>
    <w:rsid w:val="0002376F"/>
    <w:rsid w:val="00025698"/>
    <w:rsid w:val="000265D3"/>
    <w:rsid w:val="00026AA9"/>
    <w:rsid w:val="00026F94"/>
    <w:rsid w:val="00027D16"/>
    <w:rsid w:val="00033BD0"/>
    <w:rsid w:val="00033BE9"/>
    <w:rsid w:val="000360A2"/>
    <w:rsid w:val="000365B1"/>
    <w:rsid w:val="000405E3"/>
    <w:rsid w:val="00040DAA"/>
    <w:rsid w:val="00041347"/>
    <w:rsid w:val="00045CBA"/>
    <w:rsid w:val="00053E38"/>
    <w:rsid w:val="000568CC"/>
    <w:rsid w:val="00056C8E"/>
    <w:rsid w:val="0005750A"/>
    <w:rsid w:val="000626A0"/>
    <w:rsid w:val="000660EF"/>
    <w:rsid w:val="00066813"/>
    <w:rsid w:val="00066EBA"/>
    <w:rsid w:val="00073343"/>
    <w:rsid w:val="000742EB"/>
    <w:rsid w:val="0007553A"/>
    <w:rsid w:val="00076921"/>
    <w:rsid w:val="000772CA"/>
    <w:rsid w:val="00080FCB"/>
    <w:rsid w:val="0008298A"/>
    <w:rsid w:val="00083F6B"/>
    <w:rsid w:val="000848BA"/>
    <w:rsid w:val="00091AE7"/>
    <w:rsid w:val="00092C6B"/>
    <w:rsid w:val="000938C7"/>
    <w:rsid w:val="00094E91"/>
    <w:rsid w:val="00094F1C"/>
    <w:rsid w:val="000951B5"/>
    <w:rsid w:val="00096AB6"/>
    <w:rsid w:val="000A0C01"/>
    <w:rsid w:val="000A4B3B"/>
    <w:rsid w:val="000A63FA"/>
    <w:rsid w:val="000A6A39"/>
    <w:rsid w:val="000B0EAA"/>
    <w:rsid w:val="000B4562"/>
    <w:rsid w:val="000B6F43"/>
    <w:rsid w:val="000B7A24"/>
    <w:rsid w:val="000C23BF"/>
    <w:rsid w:val="000C27FB"/>
    <w:rsid w:val="000C2AC4"/>
    <w:rsid w:val="000C3887"/>
    <w:rsid w:val="000C6AE3"/>
    <w:rsid w:val="000D20F6"/>
    <w:rsid w:val="000D3500"/>
    <w:rsid w:val="000D5985"/>
    <w:rsid w:val="000E1CA0"/>
    <w:rsid w:val="000E34E6"/>
    <w:rsid w:val="000E4E4B"/>
    <w:rsid w:val="000E5202"/>
    <w:rsid w:val="000E6906"/>
    <w:rsid w:val="000F0713"/>
    <w:rsid w:val="000F0A90"/>
    <w:rsid w:val="000F1C65"/>
    <w:rsid w:val="000F775B"/>
    <w:rsid w:val="001031C0"/>
    <w:rsid w:val="001060A6"/>
    <w:rsid w:val="00110552"/>
    <w:rsid w:val="001116F6"/>
    <w:rsid w:val="00111C21"/>
    <w:rsid w:val="001121E6"/>
    <w:rsid w:val="00114478"/>
    <w:rsid w:val="00115A24"/>
    <w:rsid w:val="0011730C"/>
    <w:rsid w:val="001177FD"/>
    <w:rsid w:val="00120165"/>
    <w:rsid w:val="00120F14"/>
    <w:rsid w:val="00122086"/>
    <w:rsid w:val="001231B8"/>
    <w:rsid w:val="0012651F"/>
    <w:rsid w:val="00127A39"/>
    <w:rsid w:val="001327CB"/>
    <w:rsid w:val="001371C2"/>
    <w:rsid w:val="00141AA9"/>
    <w:rsid w:val="001459A0"/>
    <w:rsid w:val="001460D4"/>
    <w:rsid w:val="00146339"/>
    <w:rsid w:val="00146DB7"/>
    <w:rsid w:val="001508F1"/>
    <w:rsid w:val="00150EEB"/>
    <w:rsid w:val="00155D85"/>
    <w:rsid w:val="00156724"/>
    <w:rsid w:val="0015700F"/>
    <w:rsid w:val="00157A6D"/>
    <w:rsid w:val="00160680"/>
    <w:rsid w:val="001609C4"/>
    <w:rsid w:val="00162879"/>
    <w:rsid w:val="00164B6B"/>
    <w:rsid w:val="0016504C"/>
    <w:rsid w:val="001709F4"/>
    <w:rsid w:val="001710D0"/>
    <w:rsid w:val="00171A4D"/>
    <w:rsid w:val="00171A56"/>
    <w:rsid w:val="00171E8C"/>
    <w:rsid w:val="00174866"/>
    <w:rsid w:val="0017705E"/>
    <w:rsid w:val="00177A10"/>
    <w:rsid w:val="00177A67"/>
    <w:rsid w:val="001808D6"/>
    <w:rsid w:val="00182B1A"/>
    <w:rsid w:val="001849CF"/>
    <w:rsid w:val="001902FF"/>
    <w:rsid w:val="00190B15"/>
    <w:rsid w:val="00192CBB"/>
    <w:rsid w:val="001952AF"/>
    <w:rsid w:val="001968BB"/>
    <w:rsid w:val="001B0511"/>
    <w:rsid w:val="001B122E"/>
    <w:rsid w:val="001B1FD2"/>
    <w:rsid w:val="001B4D85"/>
    <w:rsid w:val="001B5931"/>
    <w:rsid w:val="001C0ADC"/>
    <w:rsid w:val="001C1CD7"/>
    <w:rsid w:val="001C21AD"/>
    <w:rsid w:val="001C2A4B"/>
    <w:rsid w:val="001C48CB"/>
    <w:rsid w:val="001D254D"/>
    <w:rsid w:val="001D353D"/>
    <w:rsid w:val="001D5526"/>
    <w:rsid w:val="001E019A"/>
    <w:rsid w:val="001E4A97"/>
    <w:rsid w:val="001E4AE9"/>
    <w:rsid w:val="001F3C3D"/>
    <w:rsid w:val="001F4804"/>
    <w:rsid w:val="00200FF5"/>
    <w:rsid w:val="00204000"/>
    <w:rsid w:val="0020582A"/>
    <w:rsid w:val="002112FC"/>
    <w:rsid w:val="00211585"/>
    <w:rsid w:val="0021437A"/>
    <w:rsid w:val="002154E1"/>
    <w:rsid w:val="00215BB1"/>
    <w:rsid w:val="00230120"/>
    <w:rsid w:val="0023307D"/>
    <w:rsid w:val="0023651C"/>
    <w:rsid w:val="00237971"/>
    <w:rsid w:val="002420E1"/>
    <w:rsid w:val="002425E3"/>
    <w:rsid w:val="00247D06"/>
    <w:rsid w:val="00250299"/>
    <w:rsid w:val="00251593"/>
    <w:rsid w:val="00261C4E"/>
    <w:rsid w:val="00262FBA"/>
    <w:rsid w:val="00263792"/>
    <w:rsid w:val="00264079"/>
    <w:rsid w:val="00265B56"/>
    <w:rsid w:val="002679F9"/>
    <w:rsid w:val="0027218B"/>
    <w:rsid w:val="00273A96"/>
    <w:rsid w:val="00274BE5"/>
    <w:rsid w:val="00276517"/>
    <w:rsid w:val="002813FF"/>
    <w:rsid w:val="00281F46"/>
    <w:rsid w:val="002830A1"/>
    <w:rsid w:val="002833AB"/>
    <w:rsid w:val="00284DEF"/>
    <w:rsid w:val="00285F20"/>
    <w:rsid w:val="00286EBA"/>
    <w:rsid w:val="00287B4F"/>
    <w:rsid w:val="00290A49"/>
    <w:rsid w:val="00290EF2"/>
    <w:rsid w:val="00291D1D"/>
    <w:rsid w:val="0029521E"/>
    <w:rsid w:val="00296D74"/>
    <w:rsid w:val="00297174"/>
    <w:rsid w:val="00297957"/>
    <w:rsid w:val="002A0762"/>
    <w:rsid w:val="002A1630"/>
    <w:rsid w:val="002A5AC1"/>
    <w:rsid w:val="002A66B9"/>
    <w:rsid w:val="002A68C8"/>
    <w:rsid w:val="002A6CAB"/>
    <w:rsid w:val="002A6CB8"/>
    <w:rsid w:val="002A79D4"/>
    <w:rsid w:val="002B3409"/>
    <w:rsid w:val="002B4FD1"/>
    <w:rsid w:val="002B59FD"/>
    <w:rsid w:val="002C0212"/>
    <w:rsid w:val="002C0AB2"/>
    <w:rsid w:val="002C4FF6"/>
    <w:rsid w:val="002D0868"/>
    <w:rsid w:val="002D308F"/>
    <w:rsid w:val="002E0980"/>
    <w:rsid w:val="002E122F"/>
    <w:rsid w:val="002E2106"/>
    <w:rsid w:val="002E5C45"/>
    <w:rsid w:val="002E6D1A"/>
    <w:rsid w:val="002E6EBC"/>
    <w:rsid w:val="002E755A"/>
    <w:rsid w:val="002E7727"/>
    <w:rsid w:val="002F1FB9"/>
    <w:rsid w:val="002F6C6B"/>
    <w:rsid w:val="002F7992"/>
    <w:rsid w:val="00300948"/>
    <w:rsid w:val="0030592D"/>
    <w:rsid w:val="00306864"/>
    <w:rsid w:val="003068F5"/>
    <w:rsid w:val="00306BA0"/>
    <w:rsid w:val="00306F2F"/>
    <w:rsid w:val="00310B76"/>
    <w:rsid w:val="00310CD5"/>
    <w:rsid w:val="00310FFE"/>
    <w:rsid w:val="00313904"/>
    <w:rsid w:val="00317143"/>
    <w:rsid w:val="0032015C"/>
    <w:rsid w:val="00320375"/>
    <w:rsid w:val="003206F3"/>
    <w:rsid w:val="00323AC9"/>
    <w:rsid w:val="00324287"/>
    <w:rsid w:val="00325C07"/>
    <w:rsid w:val="00326214"/>
    <w:rsid w:val="003269F0"/>
    <w:rsid w:val="003452FD"/>
    <w:rsid w:val="00346780"/>
    <w:rsid w:val="003550D3"/>
    <w:rsid w:val="00355E2E"/>
    <w:rsid w:val="00356667"/>
    <w:rsid w:val="00356B90"/>
    <w:rsid w:val="00357488"/>
    <w:rsid w:val="00357669"/>
    <w:rsid w:val="003610E8"/>
    <w:rsid w:val="00362474"/>
    <w:rsid w:val="00363A74"/>
    <w:rsid w:val="00370CA2"/>
    <w:rsid w:val="00371CCC"/>
    <w:rsid w:val="003759A3"/>
    <w:rsid w:val="003764A4"/>
    <w:rsid w:val="003772A4"/>
    <w:rsid w:val="003778EA"/>
    <w:rsid w:val="0038264F"/>
    <w:rsid w:val="0038265C"/>
    <w:rsid w:val="0038452B"/>
    <w:rsid w:val="0038536D"/>
    <w:rsid w:val="00386BA9"/>
    <w:rsid w:val="0038737E"/>
    <w:rsid w:val="00390055"/>
    <w:rsid w:val="00390600"/>
    <w:rsid w:val="003911BE"/>
    <w:rsid w:val="00396A40"/>
    <w:rsid w:val="0039719E"/>
    <w:rsid w:val="003A440A"/>
    <w:rsid w:val="003B1488"/>
    <w:rsid w:val="003B1834"/>
    <w:rsid w:val="003B284D"/>
    <w:rsid w:val="003B55AA"/>
    <w:rsid w:val="003B5998"/>
    <w:rsid w:val="003B69A1"/>
    <w:rsid w:val="003C0737"/>
    <w:rsid w:val="003C075B"/>
    <w:rsid w:val="003C0980"/>
    <w:rsid w:val="003C0E1A"/>
    <w:rsid w:val="003C1109"/>
    <w:rsid w:val="003C419C"/>
    <w:rsid w:val="003D2D3F"/>
    <w:rsid w:val="003D3198"/>
    <w:rsid w:val="003E0628"/>
    <w:rsid w:val="003E22C5"/>
    <w:rsid w:val="003E43E0"/>
    <w:rsid w:val="003E5F00"/>
    <w:rsid w:val="003F0341"/>
    <w:rsid w:val="003F094F"/>
    <w:rsid w:val="00400B6F"/>
    <w:rsid w:val="0040388B"/>
    <w:rsid w:val="00403B8B"/>
    <w:rsid w:val="00404513"/>
    <w:rsid w:val="00404DA8"/>
    <w:rsid w:val="00404FFD"/>
    <w:rsid w:val="00405F14"/>
    <w:rsid w:val="00413CC1"/>
    <w:rsid w:val="00413EF3"/>
    <w:rsid w:val="004213D8"/>
    <w:rsid w:val="0042196F"/>
    <w:rsid w:val="00430F21"/>
    <w:rsid w:val="00431EC1"/>
    <w:rsid w:val="004335B3"/>
    <w:rsid w:val="004349FD"/>
    <w:rsid w:val="00435056"/>
    <w:rsid w:val="00437E9E"/>
    <w:rsid w:val="004430E8"/>
    <w:rsid w:val="00443659"/>
    <w:rsid w:val="00446121"/>
    <w:rsid w:val="00447E2D"/>
    <w:rsid w:val="004561EC"/>
    <w:rsid w:val="00456DD0"/>
    <w:rsid w:val="00457804"/>
    <w:rsid w:val="00462631"/>
    <w:rsid w:val="00462F23"/>
    <w:rsid w:val="00464D9D"/>
    <w:rsid w:val="00471EFF"/>
    <w:rsid w:val="00473CFD"/>
    <w:rsid w:val="00476209"/>
    <w:rsid w:val="00477F85"/>
    <w:rsid w:val="0048119D"/>
    <w:rsid w:val="004879F8"/>
    <w:rsid w:val="00487CDC"/>
    <w:rsid w:val="00490457"/>
    <w:rsid w:val="00490DEA"/>
    <w:rsid w:val="00490FBB"/>
    <w:rsid w:val="004933E0"/>
    <w:rsid w:val="00494CFF"/>
    <w:rsid w:val="004967B6"/>
    <w:rsid w:val="00496CBF"/>
    <w:rsid w:val="004A11AC"/>
    <w:rsid w:val="004A45D7"/>
    <w:rsid w:val="004B07F2"/>
    <w:rsid w:val="004B129F"/>
    <w:rsid w:val="004B1A21"/>
    <w:rsid w:val="004B3318"/>
    <w:rsid w:val="004B7DAE"/>
    <w:rsid w:val="004C0008"/>
    <w:rsid w:val="004C07C2"/>
    <w:rsid w:val="004C266E"/>
    <w:rsid w:val="004C5D72"/>
    <w:rsid w:val="004D5ADA"/>
    <w:rsid w:val="004D6351"/>
    <w:rsid w:val="004D6456"/>
    <w:rsid w:val="004D69F3"/>
    <w:rsid w:val="004E1020"/>
    <w:rsid w:val="004E27DF"/>
    <w:rsid w:val="004E7C56"/>
    <w:rsid w:val="004F3FD3"/>
    <w:rsid w:val="00501970"/>
    <w:rsid w:val="00502530"/>
    <w:rsid w:val="00503112"/>
    <w:rsid w:val="0050573B"/>
    <w:rsid w:val="00512200"/>
    <w:rsid w:val="00515492"/>
    <w:rsid w:val="00515673"/>
    <w:rsid w:val="005165EB"/>
    <w:rsid w:val="00532F7F"/>
    <w:rsid w:val="00533E01"/>
    <w:rsid w:val="00545156"/>
    <w:rsid w:val="00545518"/>
    <w:rsid w:val="00552504"/>
    <w:rsid w:val="005541A7"/>
    <w:rsid w:val="0055472A"/>
    <w:rsid w:val="00555401"/>
    <w:rsid w:val="00573EE8"/>
    <w:rsid w:val="00576389"/>
    <w:rsid w:val="00577A72"/>
    <w:rsid w:val="00577F9E"/>
    <w:rsid w:val="005813A9"/>
    <w:rsid w:val="005836C6"/>
    <w:rsid w:val="005849E4"/>
    <w:rsid w:val="0059142D"/>
    <w:rsid w:val="00591721"/>
    <w:rsid w:val="00591FCC"/>
    <w:rsid w:val="00592316"/>
    <w:rsid w:val="00593E18"/>
    <w:rsid w:val="0059551A"/>
    <w:rsid w:val="0059697E"/>
    <w:rsid w:val="00596AA5"/>
    <w:rsid w:val="005A07C8"/>
    <w:rsid w:val="005A20C0"/>
    <w:rsid w:val="005A2308"/>
    <w:rsid w:val="005A4013"/>
    <w:rsid w:val="005A51A1"/>
    <w:rsid w:val="005A733B"/>
    <w:rsid w:val="005B1B6A"/>
    <w:rsid w:val="005B2025"/>
    <w:rsid w:val="005B3795"/>
    <w:rsid w:val="005B48CA"/>
    <w:rsid w:val="005B5D13"/>
    <w:rsid w:val="005C3DF2"/>
    <w:rsid w:val="005C476C"/>
    <w:rsid w:val="005D37EF"/>
    <w:rsid w:val="005D46D5"/>
    <w:rsid w:val="005D541B"/>
    <w:rsid w:val="005E3108"/>
    <w:rsid w:val="005E48FD"/>
    <w:rsid w:val="005E5E8D"/>
    <w:rsid w:val="005E5FFE"/>
    <w:rsid w:val="005F06D2"/>
    <w:rsid w:val="005F0E39"/>
    <w:rsid w:val="005F268E"/>
    <w:rsid w:val="005F2907"/>
    <w:rsid w:val="005F3AD1"/>
    <w:rsid w:val="005F533B"/>
    <w:rsid w:val="005F79FE"/>
    <w:rsid w:val="006012E3"/>
    <w:rsid w:val="0060188B"/>
    <w:rsid w:val="006018F3"/>
    <w:rsid w:val="00602FC3"/>
    <w:rsid w:val="00610511"/>
    <w:rsid w:val="00612888"/>
    <w:rsid w:val="006131AE"/>
    <w:rsid w:val="00614AD8"/>
    <w:rsid w:val="00614F60"/>
    <w:rsid w:val="006157FB"/>
    <w:rsid w:val="00617F5B"/>
    <w:rsid w:val="0062145C"/>
    <w:rsid w:val="0062373B"/>
    <w:rsid w:val="00623DD0"/>
    <w:rsid w:val="00633A29"/>
    <w:rsid w:val="00634C84"/>
    <w:rsid w:val="00636BCF"/>
    <w:rsid w:val="006404E2"/>
    <w:rsid w:val="00640CE7"/>
    <w:rsid w:val="00643307"/>
    <w:rsid w:val="006460AD"/>
    <w:rsid w:val="00650304"/>
    <w:rsid w:val="00651350"/>
    <w:rsid w:val="0065159B"/>
    <w:rsid w:val="00652054"/>
    <w:rsid w:val="006524DF"/>
    <w:rsid w:val="006546D1"/>
    <w:rsid w:val="00656046"/>
    <w:rsid w:val="0065651A"/>
    <w:rsid w:val="00657764"/>
    <w:rsid w:val="006612C7"/>
    <w:rsid w:val="00661A8B"/>
    <w:rsid w:val="0066336D"/>
    <w:rsid w:val="0067069D"/>
    <w:rsid w:val="00670E8F"/>
    <w:rsid w:val="006713C1"/>
    <w:rsid w:val="0067494E"/>
    <w:rsid w:val="00674C51"/>
    <w:rsid w:val="00675AA4"/>
    <w:rsid w:val="00676823"/>
    <w:rsid w:val="00677053"/>
    <w:rsid w:val="00677490"/>
    <w:rsid w:val="00694BBB"/>
    <w:rsid w:val="00697E3C"/>
    <w:rsid w:val="006B1A1D"/>
    <w:rsid w:val="006B3F7C"/>
    <w:rsid w:val="006C2FF2"/>
    <w:rsid w:val="006C4484"/>
    <w:rsid w:val="006C712D"/>
    <w:rsid w:val="006D18F0"/>
    <w:rsid w:val="006D2EBF"/>
    <w:rsid w:val="006D3776"/>
    <w:rsid w:val="006D5614"/>
    <w:rsid w:val="006D568B"/>
    <w:rsid w:val="006D7C00"/>
    <w:rsid w:val="006E2A2A"/>
    <w:rsid w:val="006E3BB4"/>
    <w:rsid w:val="006E3E70"/>
    <w:rsid w:val="006E4965"/>
    <w:rsid w:val="006F330E"/>
    <w:rsid w:val="006F4E6B"/>
    <w:rsid w:val="006F5CFE"/>
    <w:rsid w:val="006F5D29"/>
    <w:rsid w:val="006F6503"/>
    <w:rsid w:val="00703227"/>
    <w:rsid w:val="007049C5"/>
    <w:rsid w:val="00710484"/>
    <w:rsid w:val="00712DAF"/>
    <w:rsid w:val="00713881"/>
    <w:rsid w:val="00717421"/>
    <w:rsid w:val="007204E4"/>
    <w:rsid w:val="00721774"/>
    <w:rsid w:val="007217BA"/>
    <w:rsid w:val="00726F57"/>
    <w:rsid w:val="0073378A"/>
    <w:rsid w:val="00733ABC"/>
    <w:rsid w:val="00733B0D"/>
    <w:rsid w:val="00733F55"/>
    <w:rsid w:val="007340BB"/>
    <w:rsid w:val="00734F4C"/>
    <w:rsid w:val="00736479"/>
    <w:rsid w:val="0074216A"/>
    <w:rsid w:val="0074453D"/>
    <w:rsid w:val="00747137"/>
    <w:rsid w:val="00751C87"/>
    <w:rsid w:val="00751EAB"/>
    <w:rsid w:val="00753466"/>
    <w:rsid w:val="00753781"/>
    <w:rsid w:val="0075590E"/>
    <w:rsid w:val="0075698C"/>
    <w:rsid w:val="007611BF"/>
    <w:rsid w:val="0077307F"/>
    <w:rsid w:val="0077371A"/>
    <w:rsid w:val="007766BF"/>
    <w:rsid w:val="00780284"/>
    <w:rsid w:val="00783278"/>
    <w:rsid w:val="007855B1"/>
    <w:rsid w:val="00796111"/>
    <w:rsid w:val="00796FE4"/>
    <w:rsid w:val="007A3EA2"/>
    <w:rsid w:val="007A4B6B"/>
    <w:rsid w:val="007A7437"/>
    <w:rsid w:val="007B0962"/>
    <w:rsid w:val="007B735C"/>
    <w:rsid w:val="007C221E"/>
    <w:rsid w:val="007C7756"/>
    <w:rsid w:val="007C7FEC"/>
    <w:rsid w:val="007D15DE"/>
    <w:rsid w:val="007D17AA"/>
    <w:rsid w:val="007D1F95"/>
    <w:rsid w:val="007D289D"/>
    <w:rsid w:val="007E4D7B"/>
    <w:rsid w:val="007E6808"/>
    <w:rsid w:val="007E75A2"/>
    <w:rsid w:val="007F173C"/>
    <w:rsid w:val="007F5ECD"/>
    <w:rsid w:val="007F7100"/>
    <w:rsid w:val="007F7AE4"/>
    <w:rsid w:val="00801AC0"/>
    <w:rsid w:val="00801C9A"/>
    <w:rsid w:val="00804180"/>
    <w:rsid w:val="00807215"/>
    <w:rsid w:val="00813F5C"/>
    <w:rsid w:val="008150EE"/>
    <w:rsid w:val="00816839"/>
    <w:rsid w:val="00816B6C"/>
    <w:rsid w:val="00820CB7"/>
    <w:rsid w:val="0082116E"/>
    <w:rsid w:val="00821325"/>
    <w:rsid w:val="008225EC"/>
    <w:rsid w:val="00827150"/>
    <w:rsid w:val="00830415"/>
    <w:rsid w:val="00830929"/>
    <w:rsid w:val="008334E6"/>
    <w:rsid w:val="008358B5"/>
    <w:rsid w:val="00840AF1"/>
    <w:rsid w:val="00840B41"/>
    <w:rsid w:val="00842A61"/>
    <w:rsid w:val="0084417D"/>
    <w:rsid w:val="00844D07"/>
    <w:rsid w:val="00845951"/>
    <w:rsid w:val="008459F8"/>
    <w:rsid w:val="00845F98"/>
    <w:rsid w:val="00850C48"/>
    <w:rsid w:val="0085708F"/>
    <w:rsid w:val="00860024"/>
    <w:rsid w:val="00863D66"/>
    <w:rsid w:val="008658CB"/>
    <w:rsid w:val="0087020F"/>
    <w:rsid w:val="008736AA"/>
    <w:rsid w:val="00876983"/>
    <w:rsid w:val="00877844"/>
    <w:rsid w:val="00880A49"/>
    <w:rsid w:val="00883042"/>
    <w:rsid w:val="0088458C"/>
    <w:rsid w:val="00885143"/>
    <w:rsid w:val="00890A3D"/>
    <w:rsid w:val="008914A6"/>
    <w:rsid w:val="008966CA"/>
    <w:rsid w:val="008A0F56"/>
    <w:rsid w:val="008A22C0"/>
    <w:rsid w:val="008A2B61"/>
    <w:rsid w:val="008A65FB"/>
    <w:rsid w:val="008A6DD7"/>
    <w:rsid w:val="008B414A"/>
    <w:rsid w:val="008B60FF"/>
    <w:rsid w:val="008C4171"/>
    <w:rsid w:val="008D38E4"/>
    <w:rsid w:val="008D5239"/>
    <w:rsid w:val="008D55A4"/>
    <w:rsid w:val="008E3731"/>
    <w:rsid w:val="008E75CD"/>
    <w:rsid w:val="008F0083"/>
    <w:rsid w:val="008F15C4"/>
    <w:rsid w:val="0090394A"/>
    <w:rsid w:val="00911897"/>
    <w:rsid w:val="00913152"/>
    <w:rsid w:val="00916B38"/>
    <w:rsid w:val="0091795A"/>
    <w:rsid w:val="00920874"/>
    <w:rsid w:val="00922F14"/>
    <w:rsid w:val="00923595"/>
    <w:rsid w:val="00924650"/>
    <w:rsid w:val="009250A4"/>
    <w:rsid w:val="0092581F"/>
    <w:rsid w:val="00933A25"/>
    <w:rsid w:val="009403BC"/>
    <w:rsid w:val="0094245A"/>
    <w:rsid w:val="00942AE7"/>
    <w:rsid w:val="00944ED1"/>
    <w:rsid w:val="00946B58"/>
    <w:rsid w:val="00954D04"/>
    <w:rsid w:val="00957EC1"/>
    <w:rsid w:val="00967B43"/>
    <w:rsid w:val="00967DF0"/>
    <w:rsid w:val="00970A7E"/>
    <w:rsid w:val="00970F81"/>
    <w:rsid w:val="00971ACF"/>
    <w:rsid w:val="00973B17"/>
    <w:rsid w:val="009774A0"/>
    <w:rsid w:val="009801E2"/>
    <w:rsid w:val="00982A98"/>
    <w:rsid w:val="009850B5"/>
    <w:rsid w:val="00985A6D"/>
    <w:rsid w:val="00987126"/>
    <w:rsid w:val="00992CFB"/>
    <w:rsid w:val="00992D3E"/>
    <w:rsid w:val="00996CD1"/>
    <w:rsid w:val="009A07C7"/>
    <w:rsid w:val="009A1F5F"/>
    <w:rsid w:val="009A68B5"/>
    <w:rsid w:val="009A73B9"/>
    <w:rsid w:val="009B05BC"/>
    <w:rsid w:val="009B0FCE"/>
    <w:rsid w:val="009B6DDF"/>
    <w:rsid w:val="009C0369"/>
    <w:rsid w:val="009C2C9F"/>
    <w:rsid w:val="009C3AC4"/>
    <w:rsid w:val="009C5260"/>
    <w:rsid w:val="009C5C43"/>
    <w:rsid w:val="009C7DCD"/>
    <w:rsid w:val="009D004A"/>
    <w:rsid w:val="009D0463"/>
    <w:rsid w:val="009D3507"/>
    <w:rsid w:val="009D3797"/>
    <w:rsid w:val="009D483F"/>
    <w:rsid w:val="009D5D23"/>
    <w:rsid w:val="009D600F"/>
    <w:rsid w:val="009D697D"/>
    <w:rsid w:val="009D7516"/>
    <w:rsid w:val="009D75D4"/>
    <w:rsid w:val="009D7E5A"/>
    <w:rsid w:val="009E2779"/>
    <w:rsid w:val="009E393A"/>
    <w:rsid w:val="009E5015"/>
    <w:rsid w:val="009E5865"/>
    <w:rsid w:val="009E5CE3"/>
    <w:rsid w:val="009F0E2A"/>
    <w:rsid w:val="009F221C"/>
    <w:rsid w:val="009F6C14"/>
    <w:rsid w:val="00A013AF"/>
    <w:rsid w:val="00A01A90"/>
    <w:rsid w:val="00A0387A"/>
    <w:rsid w:val="00A04540"/>
    <w:rsid w:val="00A10C82"/>
    <w:rsid w:val="00A13746"/>
    <w:rsid w:val="00A15D5F"/>
    <w:rsid w:val="00A206F7"/>
    <w:rsid w:val="00A262F7"/>
    <w:rsid w:val="00A2666E"/>
    <w:rsid w:val="00A303CF"/>
    <w:rsid w:val="00A31303"/>
    <w:rsid w:val="00A35202"/>
    <w:rsid w:val="00A432C7"/>
    <w:rsid w:val="00A50FB8"/>
    <w:rsid w:val="00A57498"/>
    <w:rsid w:val="00A577F2"/>
    <w:rsid w:val="00A605AB"/>
    <w:rsid w:val="00A62A76"/>
    <w:rsid w:val="00A64ABE"/>
    <w:rsid w:val="00A70360"/>
    <w:rsid w:val="00A74514"/>
    <w:rsid w:val="00A81633"/>
    <w:rsid w:val="00A816C6"/>
    <w:rsid w:val="00A82C8A"/>
    <w:rsid w:val="00A82F12"/>
    <w:rsid w:val="00A83E7C"/>
    <w:rsid w:val="00A86861"/>
    <w:rsid w:val="00A95C43"/>
    <w:rsid w:val="00A97823"/>
    <w:rsid w:val="00AA4C94"/>
    <w:rsid w:val="00AA506A"/>
    <w:rsid w:val="00AA5870"/>
    <w:rsid w:val="00AA589C"/>
    <w:rsid w:val="00AA5C97"/>
    <w:rsid w:val="00AA6BDB"/>
    <w:rsid w:val="00AB1416"/>
    <w:rsid w:val="00AB4BA7"/>
    <w:rsid w:val="00AC65EA"/>
    <w:rsid w:val="00AD2DD0"/>
    <w:rsid w:val="00AD39B8"/>
    <w:rsid w:val="00AD5F9C"/>
    <w:rsid w:val="00AD62EE"/>
    <w:rsid w:val="00AD64D2"/>
    <w:rsid w:val="00AD67FC"/>
    <w:rsid w:val="00AE3212"/>
    <w:rsid w:val="00AE48FE"/>
    <w:rsid w:val="00AE4FCA"/>
    <w:rsid w:val="00AF5AAA"/>
    <w:rsid w:val="00AF755B"/>
    <w:rsid w:val="00B02819"/>
    <w:rsid w:val="00B03332"/>
    <w:rsid w:val="00B06394"/>
    <w:rsid w:val="00B06434"/>
    <w:rsid w:val="00B06A9C"/>
    <w:rsid w:val="00B06D19"/>
    <w:rsid w:val="00B12021"/>
    <w:rsid w:val="00B1340E"/>
    <w:rsid w:val="00B13426"/>
    <w:rsid w:val="00B137CF"/>
    <w:rsid w:val="00B1772B"/>
    <w:rsid w:val="00B1784E"/>
    <w:rsid w:val="00B23A75"/>
    <w:rsid w:val="00B23DF9"/>
    <w:rsid w:val="00B25470"/>
    <w:rsid w:val="00B25E83"/>
    <w:rsid w:val="00B31D12"/>
    <w:rsid w:val="00B3350F"/>
    <w:rsid w:val="00B33EB8"/>
    <w:rsid w:val="00B3668F"/>
    <w:rsid w:val="00B40491"/>
    <w:rsid w:val="00B40925"/>
    <w:rsid w:val="00B420D1"/>
    <w:rsid w:val="00B4240F"/>
    <w:rsid w:val="00B42DC7"/>
    <w:rsid w:val="00B43DE8"/>
    <w:rsid w:val="00B43E98"/>
    <w:rsid w:val="00B51575"/>
    <w:rsid w:val="00B52746"/>
    <w:rsid w:val="00B60FBB"/>
    <w:rsid w:val="00B67E13"/>
    <w:rsid w:val="00B72B6C"/>
    <w:rsid w:val="00B77879"/>
    <w:rsid w:val="00B8505C"/>
    <w:rsid w:val="00B913D6"/>
    <w:rsid w:val="00B9178E"/>
    <w:rsid w:val="00B956BA"/>
    <w:rsid w:val="00B961BF"/>
    <w:rsid w:val="00B96FCE"/>
    <w:rsid w:val="00BA4C75"/>
    <w:rsid w:val="00BA4F49"/>
    <w:rsid w:val="00BA59B7"/>
    <w:rsid w:val="00BA5D94"/>
    <w:rsid w:val="00BA64CE"/>
    <w:rsid w:val="00BA69EB"/>
    <w:rsid w:val="00BA7EA9"/>
    <w:rsid w:val="00BB0577"/>
    <w:rsid w:val="00BB07BE"/>
    <w:rsid w:val="00BB0B6A"/>
    <w:rsid w:val="00BB2BF3"/>
    <w:rsid w:val="00BB6479"/>
    <w:rsid w:val="00BC2632"/>
    <w:rsid w:val="00BC304D"/>
    <w:rsid w:val="00BC49CE"/>
    <w:rsid w:val="00BC4EF6"/>
    <w:rsid w:val="00BD44DF"/>
    <w:rsid w:val="00BE01D4"/>
    <w:rsid w:val="00BE4993"/>
    <w:rsid w:val="00BE602B"/>
    <w:rsid w:val="00BE6075"/>
    <w:rsid w:val="00BE6233"/>
    <w:rsid w:val="00BE666F"/>
    <w:rsid w:val="00BE668C"/>
    <w:rsid w:val="00BE7B32"/>
    <w:rsid w:val="00BF14E3"/>
    <w:rsid w:val="00BF36EE"/>
    <w:rsid w:val="00BF3D3C"/>
    <w:rsid w:val="00BF4579"/>
    <w:rsid w:val="00BF5EDE"/>
    <w:rsid w:val="00BF6EA1"/>
    <w:rsid w:val="00BF6EBB"/>
    <w:rsid w:val="00C0228C"/>
    <w:rsid w:val="00C02CFE"/>
    <w:rsid w:val="00C044AB"/>
    <w:rsid w:val="00C05014"/>
    <w:rsid w:val="00C05EA8"/>
    <w:rsid w:val="00C14520"/>
    <w:rsid w:val="00C17F7D"/>
    <w:rsid w:val="00C20AE2"/>
    <w:rsid w:val="00C2175A"/>
    <w:rsid w:val="00C23F8F"/>
    <w:rsid w:val="00C26647"/>
    <w:rsid w:val="00C34936"/>
    <w:rsid w:val="00C372A9"/>
    <w:rsid w:val="00C37629"/>
    <w:rsid w:val="00C37F59"/>
    <w:rsid w:val="00C4045C"/>
    <w:rsid w:val="00C42482"/>
    <w:rsid w:val="00C42DFB"/>
    <w:rsid w:val="00C44F6D"/>
    <w:rsid w:val="00C50619"/>
    <w:rsid w:val="00C555BE"/>
    <w:rsid w:val="00C574BA"/>
    <w:rsid w:val="00C66F58"/>
    <w:rsid w:val="00C71219"/>
    <w:rsid w:val="00C72300"/>
    <w:rsid w:val="00C73057"/>
    <w:rsid w:val="00C74C3C"/>
    <w:rsid w:val="00C830CF"/>
    <w:rsid w:val="00C85AA6"/>
    <w:rsid w:val="00C87663"/>
    <w:rsid w:val="00C91CDA"/>
    <w:rsid w:val="00C92550"/>
    <w:rsid w:val="00C93362"/>
    <w:rsid w:val="00C93677"/>
    <w:rsid w:val="00C960EA"/>
    <w:rsid w:val="00CA08EF"/>
    <w:rsid w:val="00CA27C9"/>
    <w:rsid w:val="00CA3620"/>
    <w:rsid w:val="00CA409E"/>
    <w:rsid w:val="00CA4D4F"/>
    <w:rsid w:val="00CA55FE"/>
    <w:rsid w:val="00CA6FED"/>
    <w:rsid w:val="00CB70F1"/>
    <w:rsid w:val="00CC0748"/>
    <w:rsid w:val="00CC1B5C"/>
    <w:rsid w:val="00CC241E"/>
    <w:rsid w:val="00CC71E4"/>
    <w:rsid w:val="00CD2417"/>
    <w:rsid w:val="00CD6195"/>
    <w:rsid w:val="00CD7A76"/>
    <w:rsid w:val="00CD7CD4"/>
    <w:rsid w:val="00CE0EDD"/>
    <w:rsid w:val="00CE1AB7"/>
    <w:rsid w:val="00CE3E0E"/>
    <w:rsid w:val="00CF1D9E"/>
    <w:rsid w:val="00CF1FF6"/>
    <w:rsid w:val="00CF3597"/>
    <w:rsid w:val="00CF4E43"/>
    <w:rsid w:val="00D03579"/>
    <w:rsid w:val="00D03FFA"/>
    <w:rsid w:val="00D05D86"/>
    <w:rsid w:val="00D065FF"/>
    <w:rsid w:val="00D07BA9"/>
    <w:rsid w:val="00D1072F"/>
    <w:rsid w:val="00D117A0"/>
    <w:rsid w:val="00D13113"/>
    <w:rsid w:val="00D21B59"/>
    <w:rsid w:val="00D27DB7"/>
    <w:rsid w:val="00D339B1"/>
    <w:rsid w:val="00D34D7B"/>
    <w:rsid w:val="00D4179E"/>
    <w:rsid w:val="00D42E3D"/>
    <w:rsid w:val="00D43F85"/>
    <w:rsid w:val="00D4701B"/>
    <w:rsid w:val="00D509C9"/>
    <w:rsid w:val="00D53016"/>
    <w:rsid w:val="00D564FE"/>
    <w:rsid w:val="00D6176F"/>
    <w:rsid w:val="00D65384"/>
    <w:rsid w:val="00D654CA"/>
    <w:rsid w:val="00D65F79"/>
    <w:rsid w:val="00D665DF"/>
    <w:rsid w:val="00D74D9E"/>
    <w:rsid w:val="00D7793A"/>
    <w:rsid w:val="00D80E7E"/>
    <w:rsid w:val="00D823A8"/>
    <w:rsid w:val="00D829D9"/>
    <w:rsid w:val="00D90598"/>
    <w:rsid w:val="00D9104D"/>
    <w:rsid w:val="00D92B5A"/>
    <w:rsid w:val="00D940F5"/>
    <w:rsid w:val="00D9793F"/>
    <w:rsid w:val="00DA0342"/>
    <w:rsid w:val="00DA4A7C"/>
    <w:rsid w:val="00DA5527"/>
    <w:rsid w:val="00DA5D5D"/>
    <w:rsid w:val="00DA65A9"/>
    <w:rsid w:val="00DA7676"/>
    <w:rsid w:val="00DB3C79"/>
    <w:rsid w:val="00DB5807"/>
    <w:rsid w:val="00DB670A"/>
    <w:rsid w:val="00DB7265"/>
    <w:rsid w:val="00DC043E"/>
    <w:rsid w:val="00DC32E5"/>
    <w:rsid w:val="00DC4DE1"/>
    <w:rsid w:val="00DC58E2"/>
    <w:rsid w:val="00DC69B0"/>
    <w:rsid w:val="00DD2A78"/>
    <w:rsid w:val="00DD2BE9"/>
    <w:rsid w:val="00DD3AF7"/>
    <w:rsid w:val="00DD44B0"/>
    <w:rsid w:val="00DE3377"/>
    <w:rsid w:val="00DE3B72"/>
    <w:rsid w:val="00DE3D96"/>
    <w:rsid w:val="00DE6C0E"/>
    <w:rsid w:val="00DF3462"/>
    <w:rsid w:val="00DF48A0"/>
    <w:rsid w:val="00DF4B38"/>
    <w:rsid w:val="00DF6834"/>
    <w:rsid w:val="00E02762"/>
    <w:rsid w:val="00E02912"/>
    <w:rsid w:val="00E079BD"/>
    <w:rsid w:val="00E13DAE"/>
    <w:rsid w:val="00E14F9F"/>
    <w:rsid w:val="00E1593E"/>
    <w:rsid w:val="00E16468"/>
    <w:rsid w:val="00E211A8"/>
    <w:rsid w:val="00E26260"/>
    <w:rsid w:val="00E26620"/>
    <w:rsid w:val="00E314D2"/>
    <w:rsid w:val="00E31DCB"/>
    <w:rsid w:val="00E465B6"/>
    <w:rsid w:val="00E507CE"/>
    <w:rsid w:val="00E519A7"/>
    <w:rsid w:val="00E53BA5"/>
    <w:rsid w:val="00E54EDA"/>
    <w:rsid w:val="00E56330"/>
    <w:rsid w:val="00E56908"/>
    <w:rsid w:val="00E60394"/>
    <w:rsid w:val="00E60770"/>
    <w:rsid w:val="00E609AD"/>
    <w:rsid w:val="00E61DD5"/>
    <w:rsid w:val="00E62283"/>
    <w:rsid w:val="00E6260F"/>
    <w:rsid w:val="00E64499"/>
    <w:rsid w:val="00E6612B"/>
    <w:rsid w:val="00E67A22"/>
    <w:rsid w:val="00E71286"/>
    <w:rsid w:val="00E71884"/>
    <w:rsid w:val="00E73CBC"/>
    <w:rsid w:val="00E81C20"/>
    <w:rsid w:val="00E8372A"/>
    <w:rsid w:val="00E90EB7"/>
    <w:rsid w:val="00E92079"/>
    <w:rsid w:val="00E92B95"/>
    <w:rsid w:val="00E93450"/>
    <w:rsid w:val="00EA0642"/>
    <w:rsid w:val="00EA0C40"/>
    <w:rsid w:val="00EA1FC7"/>
    <w:rsid w:val="00EA2814"/>
    <w:rsid w:val="00EA311D"/>
    <w:rsid w:val="00EA44E7"/>
    <w:rsid w:val="00EA450E"/>
    <w:rsid w:val="00EB0224"/>
    <w:rsid w:val="00EB0EB5"/>
    <w:rsid w:val="00EB60E6"/>
    <w:rsid w:val="00EC0170"/>
    <w:rsid w:val="00EC43D6"/>
    <w:rsid w:val="00ED4C5F"/>
    <w:rsid w:val="00ED4E8A"/>
    <w:rsid w:val="00EE1688"/>
    <w:rsid w:val="00EE2F11"/>
    <w:rsid w:val="00EE5361"/>
    <w:rsid w:val="00EF1011"/>
    <w:rsid w:val="00EF252B"/>
    <w:rsid w:val="00EF2749"/>
    <w:rsid w:val="00EF3C19"/>
    <w:rsid w:val="00EF4801"/>
    <w:rsid w:val="00EF5D41"/>
    <w:rsid w:val="00EF68D1"/>
    <w:rsid w:val="00F006EF"/>
    <w:rsid w:val="00F0111A"/>
    <w:rsid w:val="00F0244E"/>
    <w:rsid w:val="00F15599"/>
    <w:rsid w:val="00F15612"/>
    <w:rsid w:val="00F207B8"/>
    <w:rsid w:val="00F216A2"/>
    <w:rsid w:val="00F22EF7"/>
    <w:rsid w:val="00F25D29"/>
    <w:rsid w:val="00F30769"/>
    <w:rsid w:val="00F30B98"/>
    <w:rsid w:val="00F31D17"/>
    <w:rsid w:val="00F36055"/>
    <w:rsid w:val="00F44272"/>
    <w:rsid w:val="00F4735D"/>
    <w:rsid w:val="00F62560"/>
    <w:rsid w:val="00F67F38"/>
    <w:rsid w:val="00F70182"/>
    <w:rsid w:val="00F703B1"/>
    <w:rsid w:val="00F722DA"/>
    <w:rsid w:val="00F72ED4"/>
    <w:rsid w:val="00F7349A"/>
    <w:rsid w:val="00F75043"/>
    <w:rsid w:val="00F764CC"/>
    <w:rsid w:val="00F76C9F"/>
    <w:rsid w:val="00F8032D"/>
    <w:rsid w:val="00F82208"/>
    <w:rsid w:val="00F83A93"/>
    <w:rsid w:val="00F87475"/>
    <w:rsid w:val="00F90EA6"/>
    <w:rsid w:val="00F91FC7"/>
    <w:rsid w:val="00F950DF"/>
    <w:rsid w:val="00F95DC0"/>
    <w:rsid w:val="00FA004D"/>
    <w:rsid w:val="00FA25C6"/>
    <w:rsid w:val="00FA25C9"/>
    <w:rsid w:val="00FA5086"/>
    <w:rsid w:val="00FA5E2D"/>
    <w:rsid w:val="00FA77D1"/>
    <w:rsid w:val="00FB097C"/>
    <w:rsid w:val="00FB0AFD"/>
    <w:rsid w:val="00FB0F47"/>
    <w:rsid w:val="00FB1A8D"/>
    <w:rsid w:val="00FB3608"/>
    <w:rsid w:val="00FC1201"/>
    <w:rsid w:val="00FC2FE3"/>
    <w:rsid w:val="00FC3892"/>
    <w:rsid w:val="00FC3FC3"/>
    <w:rsid w:val="00FC66F6"/>
    <w:rsid w:val="00FC7807"/>
    <w:rsid w:val="00FD0146"/>
    <w:rsid w:val="00FD08D6"/>
    <w:rsid w:val="00FD1BED"/>
    <w:rsid w:val="00FD4130"/>
    <w:rsid w:val="00FE24FE"/>
    <w:rsid w:val="00FE3A65"/>
    <w:rsid w:val="00FE3F3D"/>
    <w:rsid w:val="00FE4301"/>
    <w:rsid w:val="00FE6B12"/>
    <w:rsid w:val="00FE6CF7"/>
    <w:rsid w:val="00FF0F45"/>
    <w:rsid w:val="00FF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5E94E"/>
  <w15:docId w15:val="{51DCD81B-A34A-4A4A-AC97-9CB3F26AE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9EB"/>
  </w:style>
  <w:style w:type="paragraph" w:styleId="Heading1">
    <w:name w:val="heading 1"/>
    <w:next w:val="BodyTextFirstIndent"/>
    <w:link w:val="Heading1Char"/>
    <w:autoRedefine/>
    <w:uiPriority w:val="9"/>
    <w:qFormat/>
    <w:rsid w:val="00BA69EB"/>
    <w:pPr>
      <w:keepNext/>
      <w:numPr>
        <w:numId w:val="1"/>
      </w:numPr>
      <w:spacing w:before="240" w:after="240"/>
      <w:ind w:left="720" w:hanging="720"/>
      <w:outlineLvl w:val="0"/>
    </w:pPr>
    <w:rPr>
      <w:rFonts w:ascii="Arial" w:hAnsi="Arial"/>
      <w:b/>
      <w:bCs/>
      <w:sz w:val="26"/>
      <w:szCs w:val="24"/>
    </w:rPr>
  </w:style>
  <w:style w:type="paragraph" w:styleId="Heading2">
    <w:name w:val="heading 2"/>
    <w:next w:val="BodyTextFirstIndent"/>
    <w:link w:val="Heading2Char"/>
    <w:autoRedefine/>
    <w:qFormat/>
    <w:rsid w:val="00BA69EB"/>
    <w:pPr>
      <w:keepNext/>
      <w:numPr>
        <w:ilvl w:val="1"/>
        <w:numId w:val="1"/>
      </w:numPr>
      <w:spacing w:before="240" w:after="240"/>
      <w:ind w:left="720" w:hanging="720"/>
      <w:outlineLvl w:val="1"/>
    </w:pPr>
    <w:rPr>
      <w:rFonts w:ascii="Arial" w:hAnsi="Arial" w:cs="Arial"/>
      <w:b/>
      <w:bCs/>
      <w:szCs w:val="24"/>
    </w:rPr>
  </w:style>
  <w:style w:type="paragraph" w:styleId="Heading3">
    <w:name w:val="heading 3"/>
    <w:next w:val="BodyTextFirstIndent"/>
    <w:link w:val="Heading3Char"/>
    <w:qFormat/>
    <w:rsid w:val="00BA69EB"/>
    <w:pPr>
      <w:keepNext/>
      <w:numPr>
        <w:ilvl w:val="2"/>
        <w:numId w:val="1"/>
      </w:numPr>
      <w:spacing w:before="240" w:after="240"/>
      <w:ind w:left="1440"/>
      <w:outlineLvl w:val="2"/>
    </w:pPr>
    <w:rPr>
      <w:rFonts w:ascii="Arial" w:hAnsi="Arial" w:cs="Arial"/>
      <w:b/>
      <w:bCs/>
    </w:rPr>
  </w:style>
  <w:style w:type="paragraph" w:styleId="Heading4">
    <w:name w:val="heading 4"/>
    <w:next w:val="BodyTextFirstIndent"/>
    <w:link w:val="Heading4Char"/>
    <w:qFormat/>
    <w:rsid w:val="00BA69EB"/>
    <w:pPr>
      <w:keepNext/>
      <w:numPr>
        <w:ilvl w:val="3"/>
        <w:numId w:val="1"/>
      </w:numPr>
      <w:spacing w:before="240" w:after="240"/>
      <w:ind w:left="1584"/>
      <w:outlineLvl w:val="3"/>
    </w:pPr>
    <w:rPr>
      <w:rFonts w:ascii="Arial" w:hAnsi="Arial" w:cs="Arial"/>
      <w:b/>
      <w:i/>
      <w:szCs w:val="32"/>
    </w:rPr>
  </w:style>
  <w:style w:type="paragraph" w:styleId="Heading5">
    <w:name w:val="heading 5"/>
    <w:next w:val="Sources"/>
    <w:link w:val="Heading5Char"/>
    <w:qFormat/>
    <w:rsid w:val="00BA69EB"/>
    <w:pPr>
      <w:numPr>
        <w:ilvl w:val="4"/>
        <w:numId w:val="1"/>
      </w:numPr>
      <w:spacing w:before="240" w:after="240"/>
      <w:outlineLvl w:val="4"/>
    </w:pPr>
    <w:rPr>
      <w:rFonts w:ascii="Arial" w:hAnsi="Arial"/>
      <w:i/>
      <w:szCs w:val="24"/>
    </w:rPr>
  </w:style>
  <w:style w:type="paragraph" w:styleId="Heading6">
    <w:name w:val="heading 6"/>
    <w:next w:val="BodyTextFirstIndent"/>
    <w:link w:val="Heading6Char"/>
    <w:autoRedefine/>
    <w:qFormat/>
    <w:rsid w:val="00BA69EB"/>
    <w:pPr>
      <w:numPr>
        <w:ilvl w:val="5"/>
        <w:numId w:val="1"/>
      </w:numPr>
      <w:spacing w:after="240"/>
      <w:outlineLvl w:val="5"/>
    </w:pPr>
    <w:rPr>
      <w:rFonts w:ascii="Times New Roman Bold" w:hAnsi="Times New Roman Bold"/>
      <w:b/>
      <w:bCs/>
      <w:caps/>
      <w:sz w:val="28"/>
      <w:szCs w:val="28"/>
    </w:rPr>
  </w:style>
  <w:style w:type="paragraph" w:styleId="Heading7">
    <w:name w:val="heading 7"/>
    <w:next w:val="BodyTextFirstIndent"/>
    <w:link w:val="Heading7Char"/>
    <w:qFormat/>
    <w:rsid w:val="00BA69EB"/>
    <w:pPr>
      <w:keepNext/>
      <w:numPr>
        <w:ilvl w:val="6"/>
        <w:numId w:val="1"/>
      </w:numPr>
      <w:spacing w:after="240"/>
      <w:outlineLvl w:val="6"/>
    </w:pPr>
    <w:rPr>
      <w:rFonts w:ascii="Times New Roman Bold" w:hAnsi="Times New Roman Bold" w:cs="Arial"/>
      <w:b/>
      <w:bCs/>
      <w:caps/>
      <w:sz w:val="24"/>
      <w:szCs w:val="24"/>
    </w:rPr>
  </w:style>
  <w:style w:type="paragraph" w:styleId="Heading8">
    <w:name w:val="heading 8"/>
    <w:next w:val="BodyTextFirstIndent"/>
    <w:link w:val="Heading8Char"/>
    <w:qFormat/>
    <w:rsid w:val="00BA69EB"/>
    <w:pPr>
      <w:numPr>
        <w:ilvl w:val="7"/>
        <w:numId w:val="1"/>
      </w:numPr>
      <w:jc w:val="center"/>
      <w:outlineLvl w:val="7"/>
    </w:pPr>
    <w:rPr>
      <w:rFonts w:ascii="Times New Roman Bold" w:hAnsi="Times New Roman Bold"/>
      <w:b/>
      <w:caps/>
      <w:sz w:val="28"/>
      <w:szCs w:val="24"/>
    </w:rPr>
  </w:style>
  <w:style w:type="paragraph" w:styleId="Heading9">
    <w:name w:val="heading 9"/>
    <w:next w:val="BodyTextFirstIndent"/>
    <w:link w:val="Heading9Char"/>
    <w:qFormat/>
    <w:rsid w:val="00BA69EB"/>
    <w:pPr>
      <w:numPr>
        <w:ilvl w:val="8"/>
        <w:numId w:val="1"/>
      </w:numPr>
      <w:spacing w:after="240"/>
      <w:outlineLvl w:val="8"/>
    </w:pPr>
    <w:rPr>
      <w:rFonts w:ascii="Times New Roman Bold" w:hAnsi="Times New Roman Bold"/>
      <w:b/>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s">
    <w:name w:val="Sources"/>
    <w:qFormat/>
    <w:rsid w:val="00BA69EB"/>
    <w:pPr>
      <w:spacing w:after="240"/>
      <w:ind w:left="720" w:hanging="720"/>
    </w:pPr>
  </w:style>
  <w:style w:type="character" w:customStyle="1" w:styleId="Heading1Char">
    <w:name w:val="Heading 1 Char"/>
    <w:basedOn w:val="DefaultParagraphFont"/>
    <w:link w:val="Heading1"/>
    <w:uiPriority w:val="9"/>
    <w:rsid w:val="00066EBA"/>
    <w:rPr>
      <w:rFonts w:ascii="Arial" w:hAnsi="Arial"/>
      <w:b/>
      <w:bCs/>
      <w:sz w:val="26"/>
      <w:szCs w:val="24"/>
    </w:rPr>
  </w:style>
  <w:style w:type="paragraph" w:styleId="BodyText">
    <w:name w:val="Body Text"/>
    <w:basedOn w:val="Normal"/>
    <w:link w:val="BodyTextChar"/>
    <w:unhideWhenUsed/>
    <w:rsid w:val="00BA69EB"/>
    <w:pPr>
      <w:spacing w:after="120"/>
    </w:pPr>
  </w:style>
  <w:style w:type="character" w:customStyle="1" w:styleId="BodyTextChar">
    <w:name w:val="Body Text Char"/>
    <w:basedOn w:val="DefaultParagraphFont"/>
    <w:link w:val="BodyText"/>
    <w:rsid w:val="008150EE"/>
  </w:style>
  <w:style w:type="paragraph" w:styleId="BodyTextFirstIndent">
    <w:name w:val="Body Text First Indent"/>
    <w:basedOn w:val="BodyText"/>
    <w:link w:val="BodyTextFirstIndentChar"/>
    <w:qFormat/>
    <w:rsid w:val="00BA69EB"/>
    <w:pPr>
      <w:spacing w:before="240" w:after="240"/>
      <w:ind w:firstLine="720"/>
    </w:pPr>
    <w:rPr>
      <w:szCs w:val="18"/>
    </w:rPr>
  </w:style>
  <w:style w:type="character" w:customStyle="1" w:styleId="BodyTextFirstIndentChar">
    <w:name w:val="Body Text First Indent Char"/>
    <w:basedOn w:val="BodyTextChar"/>
    <w:link w:val="BodyTextFirstIndent"/>
    <w:rsid w:val="00B40925"/>
    <w:rPr>
      <w:szCs w:val="18"/>
    </w:rPr>
  </w:style>
  <w:style w:type="character" w:customStyle="1" w:styleId="Heading2Char">
    <w:name w:val="Heading 2 Char"/>
    <w:basedOn w:val="DefaultParagraphFont"/>
    <w:link w:val="Heading2"/>
    <w:rsid w:val="00066EBA"/>
    <w:rPr>
      <w:rFonts w:ascii="Arial" w:hAnsi="Arial" w:cs="Arial"/>
      <w:b/>
      <w:bCs/>
      <w:szCs w:val="24"/>
    </w:rPr>
  </w:style>
  <w:style w:type="character" w:customStyle="1" w:styleId="Heading3Char">
    <w:name w:val="Heading 3 Char"/>
    <w:basedOn w:val="DefaultParagraphFont"/>
    <w:link w:val="Heading3"/>
    <w:rsid w:val="00C66F58"/>
    <w:rPr>
      <w:rFonts w:ascii="Arial" w:hAnsi="Arial" w:cs="Arial"/>
      <w:b/>
      <w:bCs/>
    </w:rPr>
  </w:style>
  <w:style w:type="character" w:customStyle="1" w:styleId="Heading4Char">
    <w:name w:val="Heading 4 Char"/>
    <w:basedOn w:val="DefaultParagraphFont"/>
    <w:link w:val="Heading4"/>
    <w:rsid w:val="00066EBA"/>
    <w:rPr>
      <w:rFonts w:ascii="Arial" w:hAnsi="Arial" w:cs="Arial"/>
      <w:b/>
      <w:i/>
      <w:szCs w:val="32"/>
    </w:rPr>
  </w:style>
  <w:style w:type="character" w:customStyle="1" w:styleId="Heading5Char">
    <w:name w:val="Heading 5 Char"/>
    <w:basedOn w:val="DefaultParagraphFont"/>
    <w:link w:val="Heading5"/>
    <w:rsid w:val="00066EBA"/>
    <w:rPr>
      <w:rFonts w:ascii="Arial" w:hAnsi="Arial"/>
      <w:i/>
      <w:szCs w:val="24"/>
    </w:rPr>
  </w:style>
  <w:style w:type="character" w:customStyle="1" w:styleId="Heading6Char">
    <w:name w:val="Heading 6 Char"/>
    <w:basedOn w:val="DefaultParagraphFont"/>
    <w:link w:val="Heading6"/>
    <w:rsid w:val="0038264F"/>
    <w:rPr>
      <w:rFonts w:ascii="Times New Roman Bold" w:hAnsi="Times New Roman Bold"/>
      <w:b/>
      <w:bCs/>
      <w:caps/>
      <w:sz w:val="28"/>
      <w:szCs w:val="28"/>
    </w:rPr>
  </w:style>
  <w:style w:type="character" w:customStyle="1" w:styleId="Heading7Char">
    <w:name w:val="Heading 7 Char"/>
    <w:basedOn w:val="DefaultParagraphFont"/>
    <w:link w:val="Heading7"/>
    <w:rsid w:val="0038264F"/>
    <w:rPr>
      <w:rFonts w:ascii="Times New Roman Bold" w:hAnsi="Times New Roman Bold" w:cs="Arial"/>
      <w:b/>
      <w:bCs/>
      <w:caps/>
      <w:sz w:val="24"/>
      <w:szCs w:val="24"/>
    </w:rPr>
  </w:style>
  <w:style w:type="character" w:customStyle="1" w:styleId="Heading8Char">
    <w:name w:val="Heading 8 Char"/>
    <w:basedOn w:val="DefaultParagraphFont"/>
    <w:link w:val="Heading8"/>
    <w:rsid w:val="0038264F"/>
    <w:rPr>
      <w:rFonts w:ascii="Times New Roman Bold" w:hAnsi="Times New Roman Bold"/>
      <w:b/>
      <w:caps/>
      <w:sz w:val="28"/>
      <w:szCs w:val="24"/>
    </w:rPr>
  </w:style>
  <w:style w:type="character" w:customStyle="1" w:styleId="Heading9Char">
    <w:name w:val="Heading 9 Char"/>
    <w:basedOn w:val="DefaultParagraphFont"/>
    <w:link w:val="Heading9"/>
    <w:rsid w:val="0038264F"/>
    <w:rPr>
      <w:rFonts w:ascii="Times New Roman Bold" w:hAnsi="Times New Roman Bold"/>
      <w:b/>
      <w:smallCaps/>
      <w:sz w:val="24"/>
      <w:szCs w:val="24"/>
    </w:rPr>
  </w:style>
  <w:style w:type="paragraph" w:styleId="Caption">
    <w:name w:val="caption"/>
    <w:basedOn w:val="Normal"/>
    <w:next w:val="Normal"/>
    <w:autoRedefine/>
    <w:uiPriority w:val="35"/>
    <w:qFormat/>
    <w:rsid w:val="00BA69EB"/>
    <w:pPr>
      <w:keepNext/>
    </w:pPr>
    <w:rPr>
      <w:b/>
    </w:rPr>
  </w:style>
  <w:style w:type="paragraph" w:styleId="ListBullet">
    <w:name w:val="List Bullet"/>
    <w:aliases w:val="Survey Bullet"/>
    <w:basedOn w:val="Normal"/>
    <w:unhideWhenUsed/>
    <w:qFormat/>
    <w:rsid w:val="00BA69EB"/>
    <w:pPr>
      <w:numPr>
        <w:numId w:val="16"/>
      </w:numPr>
      <w:ind w:left="1080"/>
      <w:contextualSpacing/>
    </w:pPr>
  </w:style>
  <w:style w:type="paragraph" w:styleId="ListBullet2">
    <w:name w:val="List Bullet 2"/>
    <w:basedOn w:val="Normal"/>
    <w:qFormat/>
    <w:rsid w:val="00BA69EB"/>
    <w:pPr>
      <w:numPr>
        <w:numId w:val="2"/>
      </w:numPr>
      <w:contextualSpacing/>
    </w:pPr>
    <w:rPr>
      <w:szCs w:val="24"/>
    </w:rPr>
  </w:style>
  <w:style w:type="paragraph" w:styleId="Title">
    <w:name w:val="Title"/>
    <w:link w:val="TitleChar"/>
    <w:qFormat/>
    <w:rsid w:val="00BA69EB"/>
    <w:pPr>
      <w:jc w:val="center"/>
      <w:outlineLvl w:val="0"/>
    </w:pPr>
    <w:rPr>
      <w:rFonts w:ascii="Arial" w:hAnsi="Arial" w:cs="Arial"/>
      <w:b/>
      <w:bCs/>
      <w:kern w:val="28"/>
      <w:sz w:val="28"/>
      <w:szCs w:val="32"/>
    </w:rPr>
  </w:style>
  <w:style w:type="character" w:customStyle="1" w:styleId="TitleChar">
    <w:name w:val="Title Char"/>
    <w:basedOn w:val="DefaultParagraphFont"/>
    <w:link w:val="Title"/>
    <w:rsid w:val="00DA5D5D"/>
    <w:rPr>
      <w:rFonts w:ascii="Arial" w:hAnsi="Arial" w:cs="Arial"/>
      <w:b/>
      <w:bCs/>
      <w:kern w:val="28"/>
      <w:sz w:val="28"/>
      <w:szCs w:val="32"/>
    </w:rPr>
  </w:style>
  <w:style w:type="paragraph" w:styleId="TOCHeading">
    <w:name w:val="TOC Heading"/>
    <w:basedOn w:val="Heading1"/>
    <w:next w:val="Normal"/>
    <w:uiPriority w:val="39"/>
    <w:unhideWhenUsed/>
    <w:qFormat/>
    <w:rsid w:val="00BA69EB"/>
    <w:pPr>
      <w:keepLines/>
      <w:numPr>
        <w:numId w:val="0"/>
      </w:numPr>
      <w:spacing w:after="0" w:line="276" w:lineRule="auto"/>
      <w:outlineLvl w:val="9"/>
    </w:pPr>
    <w:rPr>
      <w:rFonts w:ascii="Cambria" w:hAnsi="Cambria"/>
      <w:caps/>
      <w:color w:val="365F91"/>
    </w:rPr>
  </w:style>
  <w:style w:type="paragraph" w:styleId="CommentText">
    <w:name w:val="annotation text"/>
    <w:basedOn w:val="Normal"/>
    <w:link w:val="CommentTextChar"/>
    <w:uiPriority w:val="99"/>
    <w:rsid w:val="00BA69EB"/>
    <w:pPr>
      <w:widowControl w:val="0"/>
      <w:autoSpaceDE w:val="0"/>
      <w:autoSpaceDN w:val="0"/>
      <w:adjustRightInd w:val="0"/>
    </w:pPr>
    <w:rPr>
      <w:sz w:val="20"/>
    </w:rPr>
  </w:style>
  <w:style w:type="character" w:customStyle="1" w:styleId="CommentTextChar">
    <w:name w:val="Comment Text Char"/>
    <w:basedOn w:val="DefaultParagraphFont"/>
    <w:link w:val="CommentText"/>
    <w:uiPriority w:val="99"/>
    <w:rsid w:val="001177FD"/>
    <w:rPr>
      <w:sz w:val="20"/>
    </w:rPr>
  </w:style>
  <w:style w:type="character" w:styleId="CommentReference">
    <w:name w:val="annotation reference"/>
    <w:basedOn w:val="DefaultParagraphFont"/>
    <w:rsid w:val="001177FD"/>
    <w:rPr>
      <w:sz w:val="16"/>
      <w:szCs w:val="16"/>
    </w:rPr>
  </w:style>
  <w:style w:type="paragraph" w:styleId="BalloonText">
    <w:name w:val="Balloon Text"/>
    <w:basedOn w:val="Normal"/>
    <w:link w:val="BalloonTextChar"/>
    <w:unhideWhenUsed/>
    <w:rsid w:val="00BA69EB"/>
    <w:rPr>
      <w:rFonts w:ascii="Segoe UI" w:hAnsi="Segoe UI" w:cs="Segoe UI"/>
      <w:sz w:val="18"/>
      <w:szCs w:val="18"/>
    </w:rPr>
  </w:style>
  <w:style w:type="character" w:customStyle="1" w:styleId="BalloonTextChar">
    <w:name w:val="Balloon Text Char"/>
    <w:basedOn w:val="DefaultParagraphFont"/>
    <w:link w:val="BalloonText"/>
    <w:rsid w:val="001177FD"/>
    <w:rPr>
      <w:rFonts w:ascii="Segoe UI" w:hAnsi="Segoe UI" w:cs="Segoe UI"/>
      <w:sz w:val="18"/>
      <w:szCs w:val="18"/>
    </w:rPr>
  </w:style>
  <w:style w:type="paragraph" w:styleId="FootnoteText">
    <w:name w:val="footnote text"/>
    <w:basedOn w:val="Normal"/>
    <w:link w:val="FootnoteTextChar"/>
    <w:uiPriority w:val="99"/>
    <w:rsid w:val="00BA69EB"/>
    <w:pPr>
      <w:widowControl w:val="0"/>
      <w:autoSpaceDE w:val="0"/>
      <w:autoSpaceDN w:val="0"/>
      <w:adjustRightInd w:val="0"/>
    </w:pPr>
    <w:rPr>
      <w:sz w:val="20"/>
    </w:rPr>
  </w:style>
  <w:style w:type="character" w:customStyle="1" w:styleId="FootnoteTextChar">
    <w:name w:val="Footnote Text Char"/>
    <w:basedOn w:val="DefaultParagraphFont"/>
    <w:link w:val="FootnoteText"/>
    <w:uiPriority w:val="99"/>
    <w:rsid w:val="00502530"/>
    <w:rPr>
      <w:sz w:val="20"/>
    </w:rPr>
  </w:style>
  <w:style w:type="character" w:styleId="FootnoteReference">
    <w:name w:val="footnote reference"/>
    <w:basedOn w:val="DefaultParagraphFont"/>
    <w:uiPriority w:val="99"/>
    <w:rsid w:val="001177FD"/>
    <w:rPr>
      <w:vertAlign w:val="superscript"/>
    </w:rPr>
  </w:style>
  <w:style w:type="paragraph" w:customStyle="1" w:styleId="ListNumberSurvey">
    <w:name w:val="List Number Survey"/>
    <w:qFormat/>
    <w:rsid w:val="00BA69EB"/>
    <w:pPr>
      <w:numPr>
        <w:numId w:val="3"/>
      </w:numPr>
      <w:spacing w:before="240" w:after="240"/>
    </w:pPr>
    <w:rPr>
      <w:szCs w:val="24"/>
    </w:rPr>
  </w:style>
  <w:style w:type="character" w:styleId="Hyperlink">
    <w:name w:val="Hyperlink"/>
    <w:basedOn w:val="DefaultParagraphFont"/>
    <w:uiPriority w:val="99"/>
    <w:rsid w:val="001177FD"/>
    <w:rPr>
      <w:color w:val="0000FF"/>
      <w:u w:val="single"/>
    </w:rPr>
  </w:style>
  <w:style w:type="paragraph" w:styleId="TOC1">
    <w:name w:val="toc 1"/>
    <w:basedOn w:val="Normal"/>
    <w:next w:val="Normal"/>
    <w:autoRedefine/>
    <w:uiPriority w:val="39"/>
    <w:rsid w:val="00BA69EB"/>
    <w:pPr>
      <w:widowControl w:val="0"/>
      <w:tabs>
        <w:tab w:val="right" w:leader="dot" w:pos="9350"/>
      </w:tabs>
      <w:autoSpaceDE w:val="0"/>
      <w:autoSpaceDN w:val="0"/>
      <w:adjustRightInd w:val="0"/>
      <w:spacing w:before="120" w:after="120"/>
    </w:pPr>
    <w:rPr>
      <w:b/>
      <w:bCs/>
      <w:caps/>
      <w:noProof/>
      <w:sz w:val="28"/>
      <w:szCs w:val="24"/>
    </w:rPr>
  </w:style>
  <w:style w:type="paragraph" w:styleId="TOC2">
    <w:name w:val="toc 2"/>
    <w:basedOn w:val="Normal"/>
    <w:next w:val="Normal"/>
    <w:autoRedefine/>
    <w:uiPriority w:val="39"/>
    <w:rsid w:val="00BA69EB"/>
    <w:pPr>
      <w:widowControl w:val="0"/>
      <w:tabs>
        <w:tab w:val="left" w:pos="960"/>
        <w:tab w:val="right" w:leader="dot" w:pos="9350"/>
      </w:tabs>
      <w:autoSpaceDE w:val="0"/>
      <w:autoSpaceDN w:val="0"/>
      <w:adjustRightInd w:val="0"/>
      <w:ind w:left="990" w:right="1440" w:hanging="540"/>
    </w:pPr>
    <w:rPr>
      <w:rFonts w:cs="Arial"/>
      <w:smallCaps/>
      <w:noProof/>
      <w:szCs w:val="24"/>
    </w:rPr>
  </w:style>
  <w:style w:type="paragraph" w:styleId="TOC3">
    <w:name w:val="toc 3"/>
    <w:basedOn w:val="Normal"/>
    <w:next w:val="Normal"/>
    <w:autoRedefine/>
    <w:uiPriority w:val="39"/>
    <w:rsid w:val="00BA69EB"/>
    <w:pPr>
      <w:widowControl w:val="0"/>
      <w:autoSpaceDE w:val="0"/>
      <w:autoSpaceDN w:val="0"/>
      <w:adjustRightInd w:val="0"/>
      <w:ind w:left="480"/>
    </w:pPr>
    <w:rPr>
      <w:i/>
      <w:iCs/>
      <w:szCs w:val="24"/>
    </w:rPr>
  </w:style>
  <w:style w:type="character" w:styleId="PageNumber">
    <w:name w:val="page number"/>
    <w:basedOn w:val="DefaultParagraphFont"/>
    <w:rsid w:val="001177FD"/>
    <w:rPr>
      <w:rFonts w:ascii="Times New Roman" w:hAnsi="Times New Roman"/>
      <w:sz w:val="22"/>
    </w:rPr>
  </w:style>
  <w:style w:type="paragraph" w:styleId="Footer">
    <w:name w:val="footer"/>
    <w:basedOn w:val="Normal"/>
    <w:link w:val="FooterChar"/>
    <w:uiPriority w:val="99"/>
    <w:rsid w:val="00BA69EB"/>
    <w:pPr>
      <w:widowControl w:val="0"/>
      <w:tabs>
        <w:tab w:val="center" w:pos="4320"/>
        <w:tab w:val="right" w:pos="8640"/>
      </w:tabs>
      <w:autoSpaceDE w:val="0"/>
      <w:autoSpaceDN w:val="0"/>
      <w:adjustRightInd w:val="0"/>
    </w:pPr>
    <w:rPr>
      <w:rFonts w:ascii="Arial" w:hAnsi="Arial"/>
      <w:sz w:val="20"/>
      <w:szCs w:val="24"/>
    </w:rPr>
  </w:style>
  <w:style w:type="character" w:customStyle="1" w:styleId="FooterChar">
    <w:name w:val="Footer Char"/>
    <w:basedOn w:val="DefaultParagraphFont"/>
    <w:link w:val="Footer"/>
    <w:uiPriority w:val="99"/>
    <w:rsid w:val="001177FD"/>
    <w:rPr>
      <w:rFonts w:ascii="Arial" w:hAnsi="Arial"/>
      <w:sz w:val="20"/>
      <w:szCs w:val="24"/>
    </w:rPr>
  </w:style>
  <w:style w:type="paragraph" w:styleId="Header">
    <w:name w:val="header"/>
    <w:basedOn w:val="Normal"/>
    <w:link w:val="HeaderChar"/>
    <w:uiPriority w:val="99"/>
    <w:rsid w:val="00BA69EB"/>
    <w:pPr>
      <w:widowControl w:val="0"/>
      <w:autoSpaceDE w:val="0"/>
      <w:autoSpaceDN w:val="0"/>
      <w:adjustRightInd w:val="0"/>
      <w:jc w:val="right"/>
    </w:pPr>
    <w:rPr>
      <w:rFonts w:ascii="Arial" w:hAnsi="Arial"/>
      <w:smallCaps/>
      <w:sz w:val="20"/>
    </w:rPr>
  </w:style>
  <w:style w:type="character" w:customStyle="1" w:styleId="HeaderChar">
    <w:name w:val="Header Char"/>
    <w:basedOn w:val="DefaultParagraphFont"/>
    <w:link w:val="Header"/>
    <w:uiPriority w:val="99"/>
    <w:rsid w:val="001177FD"/>
    <w:rPr>
      <w:rFonts w:ascii="Arial" w:hAnsi="Arial"/>
      <w:smallCaps/>
      <w:sz w:val="20"/>
    </w:rPr>
  </w:style>
  <w:style w:type="paragraph" w:customStyle="1" w:styleId="TableText">
    <w:name w:val="Table Text"/>
    <w:basedOn w:val="FootnoteText"/>
    <w:qFormat/>
    <w:rsid w:val="00BA69EB"/>
  </w:style>
  <w:style w:type="paragraph" w:styleId="TOC4">
    <w:name w:val="toc 4"/>
    <w:basedOn w:val="Normal"/>
    <w:next w:val="Normal"/>
    <w:autoRedefine/>
    <w:uiPriority w:val="39"/>
    <w:rsid w:val="00BA69EB"/>
    <w:pPr>
      <w:widowControl w:val="0"/>
      <w:autoSpaceDE w:val="0"/>
      <w:autoSpaceDN w:val="0"/>
      <w:adjustRightInd w:val="0"/>
      <w:ind w:left="720"/>
    </w:pPr>
    <w:rPr>
      <w:i/>
      <w:szCs w:val="21"/>
    </w:rPr>
  </w:style>
  <w:style w:type="paragraph" w:styleId="TOC5">
    <w:name w:val="toc 5"/>
    <w:basedOn w:val="Normal"/>
    <w:next w:val="Normal"/>
    <w:autoRedefine/>
    <w:uiPriority w:val="39"/>
    <w:rsid w:val="00BA69EB"/>
    <w:pPr>
      <w:widowControl w:val="0"/>
      <w:autoSpaceDE w:val="0"/>
      <w:autoSpaceDN w:val="0"/>
      <w:adjustRightInd w:val="0"/>
      <w:ind w:left="960"/>
    </w:pPr>
    <w:rPr>
      <w:szCs w:val="21"/>
    </w:rPr>
  </w:style>
  <w:style w:type="paragraph" w:styleId="TOC6">
    <w:name w:val="toc 6"/>
    <w:basedOn w:val="Normal"/>
    <w:next w:val="Normal"/>
    <w:autoRedefine/>
    <w:uiPriority w:val="39"/>
    <w:rsid w:val="00BA69EB"/>
    <w:pPr>
      <w:widowControl w:val="0"/>
      <w:autoSpaceDE w:val="0"/>
      <w:autoSpaceDN w:val="0"/>
      <w:adjustRightInd w:val="0"/>
      <w:ind w:left="1200"/>
    </w:pPr>
    <w:rPr>
      <w:szCs w:val="21"/>
    </w:rPr>
  </w:style>
  <w:style w:type="paragraph" w:styleId="TOC7">
    <w:name w:val="toc 7"/>
    <w:basedOn w:val="Normal"/>
    <w:next w:val="Normal"/>
    <w:autoRedefine/>
    <w:uiPriority w:val="39"/>
    <w:rsid w:val="00BA69EB"/>
    <w:pPr>
      <w:widowControl w:val="0"/>
      <w:autoSpaceDE w:val="0"/>
      <w:autoSpaceDN w:val="0"/>
      <w:adjustRightInd w:val="0"/>
      <w:ind w:left="1440"/>
    </w:pPr>
    <w:rPr>
      <w:szCs w:val="21"/>
    </w:rPr>
  </w:style>
  <w:style w:type="paragraph" w:styleId="TOC8">
    <w:name w:val="toc 8"/>
    <w:basedOn w:val="Normal"/>
    <w:next w:val="Normal"/>
    <w:autoRedefine/>
    <w:uiPriority w:val="39"/>
    <w:rsid w:val="00BA69EB"/>
    <w:pPr>
      <w:widowControl w:val="0"/>
      <w:autoSpaceDE w:val="0"/>
      <w:autoSpaceDN w:val="0"/>
      <w:adjustRightInd w:val="0"/>
      <w:ind w:left="1680"/>
    </w:pPr>
    <w:rPr>
      <w:szCs w:val="21"/>
    </w:rPr>
  </w:style>
  <w:style w:type="paragraph" w:styleId="TOC9">
    <w:name w:val="toc 9"/>
    <w:basedOn w:val="Normal"/>
    <w:next w:val="Normal"/>
    <w:autoRedefine/>
    <w:uiPriority w:val="39"/>
    <w:rsid w:val="00BA69EB"/>
    <w:pPr>
      <w:widowControl w:val="0"/>
      <w:autoSpaceDE w:val="0"/>
      <w:autoSpaceDN w:val="0"/>
      <w:adjustRightInd w:val="0"/>
      <w:ind w:left="1920"/>
    </w:pPr>
    <w:rPr>
      <w:szCs w:val="21"/>
    </w:rPr>
  </w:style>
  <w:style w:type="paragraph" w:customStyle="1" w:styleId="CP">
    <w:name w:val="CP"/>
    <w:rsid w:val="00BA69EB"/>
    <w:pPr>
      <w:jc w:val="right"/>
    </w:pPr>
    <w:rPr>
      <w:rFonts w:ascii="Arial" w:hAnsi="Arial"/>
      <w:b/>
      <w:smallCaps/>
      <w:sz w:val="24"/>
      <w:lang w:eastAsia="zh-TW"/>
    </w:rPr>
  </w:style>
  <w:style w:type="paragraph" w:styleId="TableofFigures">
    <w:name w:val="table of figures"/>
    <w:basedOn w:val="Normal"/>
    <w:next w:val="Normal"/>
    <w:semiHidden/>
    <w:rsid w:val="00BA69EB"/>
    <w:pPr>
      <w:widowControl w:val="0"/>
      <w:autoSpaceDE w:val="0"/>
      <w:autoSpaceDN w:val="0"/>
      <w:adjustRightInd w:val="0"/>
      <w:ind w:left="480" w:hanging="480"/>
    </w:pPr>
    <w:rPr>
      <w:b/>
      <w:bCs/>
      <w:szCs w:val="24"/>
    </w:rPr>
  </w:style>
  <w:style w:type="paragraph" w:styleId="CommentSubject">
    <w:name w:val="annotation subject"/>
    <w:basedOn w:val="CommentText"/>
    <w:next w:val="CommentText"/>
    <w:link w:val="CommentSubjectChar"/>
    <w:semiHidden/>
    <w:rsid w:val="001177FD"/>
    <w:pPr>
      <w:autoSpaceDE/>
      <w:autoSpaceDN/>
      <w:adjustRightInd/>
    </w:pPr>
    <w:rPr>
      <w:b/>
      <w:bCs/>
    </w:rPr>
  </w:style>
  <w:style w:type="character" w:customStyle="1" w:styleId="CommentSubjectChar">
    <w:name w:val="Comment Subject Char"/>
    <w:basedOn w:val="CommentTextChar"/>
    <w:link w:val="CommentSubject"/>
    <w:semiHidden/>
    <w:rsid w:val="001177FD"/>
    <w:rPr>
      <w:b/>
      <w:bCs/>
      <w:sz w:val="20"/>
    </w:rPr>
  </w:style>
  <w:style w:type="paragraph" w:styleId="BodyTextIndent2">
    <w:name w:val="Body Text Indent 2"/>
    <w:basedOn w:val="Normal"/>
    <w:link w:val="BodyTextIndent2Char"/>
    <w:rsid w:val="00BA69EB"/>
    <w:pPr>
      <w:widowControl w:val="0"/>
      <w:autoSpaceDE w:val="0"/>
      <w:autoSpaceDN w:val="0"/>
      <w:adjustRightInd w:val="0"/>
      <w:spacing w:after="120" w:line="480" w:lineRule="auto"/>
      <w:ind w:left="360"/>
    </w:pPr>
    <w:rPr>
      <w:szCs w:val="24"/>
    </w:rPr>
  </w:style>
  <w:style w:type="character" w:customStyle="1" w:styleId="BodyTextIndent2Char">
    <w:name w:val="Body Text Indent 2 Char"/>
    <w:basedOn w:val="DefaultParagraphFont"/>
    <w:link w:val="BodyTextIndent2"/>
    <w:rsid w:val="001177FD"/>
    <w:rPr>
      <w:szCs w:val="24"/>
    </w:rPr>
  </w:style>
  <w:style w:type="paragraph" w:styleId="ListNumber">
    <w:name w:val="List Number"/>
    <w:basedOn w:val="Normal"/>
    <w:uiPriority w:val="99"/>
    <w:rsid w:val="00BA69EB"/>
    <w:pPr>
      <w:widowControl w:val="0"/>
      <w:numPr>
        <w:numId w:val="4"/>
      </w:numPr>
      <w:autoSpaceDE w:val="0"/>
      <w:autoSpaceDN w:val="0"/>
      <w:adjustRightInd w:val="0"/>
      <w:spacing w:after="240"/>
    </w:pPr>
    <w:rPr>
      <w:szCs w:val="24"/>
    </w:rPr>
  </w:style>
  <w:style w:type="paragraph" w:styleId="ListContinue">
    <w:name w:val="List Continue"/>
    <w:basedOn w:val="Normal"/>
    <w:rsid w:val="00BA69EB"/>
    <w:pPr>
      <w:widowControl w:val="0"/>
      <w:autoSpaceDE w:val="0"/>
      <w:autoSpaceDN w:val="0"/>
      <w:adjustRightInd w:val="0"/>
      <w:spacing w:before="100" w:beforeAutospacing="1" w:after="100" w:afterAutospacing="1"/>
      <w:ind w:left="1080"/>
    </w:pPr>
    <w:rPr>
      <w:szCs w:val="24"/>
    </w:rPr>
  </w:style>
  <w:style w:type="paragraph" w:styleId="BodyText2">
    <w:name w:val="Body Text 2"/>
    <w:basedOn w:val="Normal"/>
    <w:link w:val="BodyText2Char"/>
    <w:autoRedefine/>
    <w:rsid w:val="00BA69EB"/>
    <w:pPr>
      <w:widowControl w:val="0"/>
      <w:autoSpaceDE w:val="0"/>
      <w:autoSpaceDN w:val="0"/>
      <w:adjustRightInd w:val="0"/>
      <w:spacing w:after="240"/>
      <w:ind w:left="720" w:hanging="720"/>
    </w:pPr>
    <w:rPr>
      <w:szCs w:val="24"/>
    </w:rPr>
  </w:style>
  <w:style w:type="character" w:customStyle="1" w:styleId="BodyText2Char">
    <w:name w:val="Body Text 2 Char"/>
    <w:basedOn w:val="DefaultParagraphFont"/>
    <w:link w:val="BodyText2"/>
    <w:rsid w:val="001177FD"/>
    <w:rPr>
      <w:szCs w:val="24"/>
    </w:rPr>
  </w:style>
  <w:style w:type="table" w:styleId="TableGrid">
    <w:name w:val="Table Grid"/>
    <w:basedOn w:val="TableNormal"/>
    <w:uiPriority w:val="39"/>
    <w:rsid w:val="001177FD"/>
    <w:rPr>
      <w:sz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rceCaption">
    <w:name w:val="Source Caption"/>
    <w:rsid w:val="00BA69EB"/>
    <w:rPr>
      <w:sz w:val="20"/>
      <w:lang w:eastAsia="zh-TW"/>
    </w:rPr>
  </w:style>
  <w:style w:type="character" w:styleId="FollowedHyperlink">
    <w:name w:val="FollowedHyperlink"/>
    <w:basedOn w:val="DefaultParagraphFont"/>
    <w:rsid w:val="001177FD"/>
    <w:rPr>
      <w:color w:val="800080"/>
      <w:u w:val="single"/>
    </w:rPr>
  </w:style>
  <w:style w:type="paragraph" w:styleId="ListParagraph">
    <w:name w:val="List Paragraph"/>
    <w:aliases w:val="List Paragraph Survey"/>
    <w:link w:val="ListParagraphChar"/>
    <w:uiPriority w:val="99"/>
    <w:qFormat/>
    <w:rsid w:val="00BA69EB"/>
    <w:pPr>
      <w:ind w:left="720"/>
    </w:pPr>
    <w:rPr>
      <w:szCs w:val="24"/>
    </w:rPr>
  </w:style>
  <w:style w:type="paragraph" w:customStyle="1" w:styleId="ListLetter">
    <w:name w:val="List Letter"/>
    <w:qFormat/>
    <w:rsid w:val="00BA69EB"/>
    <w:pPr>
      <w:numPr>
        <w:numId w:val="5"/>
      </w:numPr>
      <w:spacing w:after="240"/>
    </w:pPr>
    <w:rPr>
      <w:szCs w:val="18"/>
    </w:rPr>
  </w:style>
  <w:style w:type="paragraph" w:customStyle="1" w:styleId="ListLetter2">
    <w:name w:val="List Letter 2"/>
    <w:qFormat/>
    <w:rsid w:val="00BA69EB"/>
    <w:pPr>
      <w:numPr>
        <w:ilvl w:val="1"/>
        <w:numId w:val="6"/>
      </w:numPr>
      <w:spacing w:after="240"/>
    </w:pPr>
    <w:rPr>
      <w:szCs w:val="18"/>
    </w:rPr>
  </w:style>
  <w:style w:type="paragraph" w:customStyle="1" w:styleId="Default">
    <w:name w:val="Default"/>
    <w:rsid w:val="00BA69EB"/>
    <w:pPr>
      <w:autoSpaceDE w:val="0"/>
      <w:autoSpaceDN w:val="0"/>
      <w:adjustRightInd w:val="0"/>
    </w:pPr>
    <w:rPr>
      <w:color w:val="000000"/>
      <w:sz w:val="24"/>
      <w:szCs w:val="24"/>
      <w:lang w:eastAsia="zh-TW"/>
    </w:rPr>
  </w:style>
  <w:style w:type="table" w:styleId="MediumGrid1-Accent5">
    <w:name w:val="Medium Grid 1 Accent 5"/>
    <w:basedOn w:val="TableNormal"/>
    <w:uiPriority w:val="67"/>
    <w:rsid w:val="001177FD"/>
    <w:rPr>
      <w:rFonts w:ascii="Calibri" w:eastAsia="Calibri" w:hAnsi="Calibri"/>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ListNumber2">
    <w:name w:val="List Number 2"/>
    <w:uiPriority w:val="99"/>
    <w:unhideWhenUsed/>
    <w:rsid w:val="00BA69EB"/>
    <w:pPr>
      <w:keepNext/>
      <w:numPr>
        <w:numId w:val="7"/>
      </w:numPr>
      <w:spacing w:after="240"/>
    </w:pPr>
  </w:style>
  <w:style w:type="paragraph" w:styleId="DocumentMap">
    <w:name w:val="Document Map"/>
    <w:basedOn w:val="Normal"/>
    <w:link w:val="DocumentMapChar"/>
    <w:rsid w:val="00BA69EB"/>
    <w:pPr>
      <w:widowControl w:val="0"/>
      <w:autoSpaceDE w:val="0"/>
      <w:autoSpaceDN w:val="0"/>
      <w:adjustRightInd w:val="0"/>
    </w:pPr>
    <w:rPr>
      <w:rFonts w:ascii="Tahoma" w:hAnsi="Tahoma" w:cs="Tahoma"/>
      <w:sz w:val="16"/>
      <w:szCs w:val="16"/>
    </w:rPr>
  </w:style>
  <w:style w:type="character" w:customStyle="1" w:styleId="DocumentMapChar">
    <w:name w:val="Document Map Char"/>
    <w:basedOn w:val="DefaultParagraphFont"/>
    <w:link w:val="DocumentMap"/>
    <w:rsid w:val="001177FD"/>
    <w:rPr>
      <w:rFonts w:ascii="Tahoma" w:hAnsi="Tahoma" w:cs="Tahoma"/>
      <w:sz w:val="16"/>
      <w:szCs w:val="16"/>
    </w:rPr>
  </w:style>
  <w:style w:type="character" w:customStyle="1" w:styleId="ListParagraphChar">
    <w:name w:val="List Paragraph Char"/>
    <w:aliases w:val="List Paragraph Survey Char"/>
    <w:basedOn w:val="DefaultParagraphFont"/>
    <w:link w:val="ListParagraph"/>
    <w:uiPriority w:val="99"/>
    <w:locked/>
    <w:rsid w:val="001177FD"/>
    <w:rPr>
      <w:szCs w:val="24"/>
    </w:rPr>
  </w:style>
  <w:style w:type="paragraph" w:styleId="Revision">
    <w:name w:val="Revision"/>
    <w:hidden/>
    <w:uiPriority w:val="99"/>
    <w:semiHidden/>
    <w:rsid w:val="00BA69EB"/>
    <w:rPr>
      <w:szCs w:val="24"/>
    </w:rPr>
  </w:style>
  <w:style w:type="paragraph" w:customStyle="1" w:styleId="coltext">
    <w:name w:val="col text"/>
    <w:aliases w:val="9 col text,ct"/>
    <w:basedOn w:val="Normal"/>
    <w:rsid w:val="00BA69EB"/>
    <w:pPr>
      <w:tabs>
        <w:tab w:val="left" w:pos="259"/>
      </w:tabs>
      <w:spacing w:before="80" w:after="80"/>
    </w:pPr>
    <w:rPr>
      <w:rFonts w:ascii="Book Antiqua" w:hAnsi="Book Antiqua"/>
      <w:sz w:val="24"/>
    </w:rPr>
  </w:style>
  <w:style w:type="paragraph" w:customStyle="1" w:styleId="RoundBullet">
    <w:name w:val="Round Bullet"/>
    <w:qFormat/>
    <w:rsid w:val="00BA69EB"/>
    <w:pPr>
      <w:numPr>
        <w:numId w:val="13"/>
      </w:numPr>
    </w:pPr>
  </w:style>
  <w:style w:type="paragraph" w:customStyle="1" w:styleId="Sectiontitle-second">
    <w:name w:val="Section title-second"/>
    <w:basedOn w:val="Normal"/>
    <w:qFormat/>
    <w:rsid w:val="00BA69EB"/>
    <w:pPr>
      <w:pBdr>
        <w:bottom w:val="single" w:sz="18" w:space="1" w:color="92D050"/>
      </w:pBdr>
      <w:spacing w:after="160" w:line="259" w:lineRule="auto"/>
      <w:ind w:right="-3125"/>
      <w:jc w:val="right"/>
    </w:pPr>
    <w:rPr>
      <w:rFonts w:ascii="Calibri" w:hAnsi="Calibri"/>
      <w:i/>
      <w:color w:val="000066"/>
      <w:sz w:val="48"/>
      <w:szCs w:val="48"/>
      <w:lang w:eastAsia="zh-TW"/>
    </w:rPr>
  </w:style>
  <w:style w:type="paragraph" w:customStyle="1" w:styleId="RecipientAddress">
    <w:name w:val="Recipient Address"/>
    <w:basedOn w:val="NoSpacing"/>
    <w:uiPriority w:val="3"/>
    <w:qFormat/>
    <w:rsid w:val="001177FD"/>
    <w:pPr>
      <w:widowControl/>
      <w:autoSpaceDE/>
      <w:autoSpaceDN/>
      <w:adjustRightInd/>
      <w:spacing w:after="480"/>
      <w:contextualSpacing/>
    </w:pPr>
    <w:rPr>
      <w:rFonts w:asciiTheme="minorHAnsi" w:eastAsiaTheme="minorHAnsi" w:hAnsiTheme="minorHAnsi" w:cstheme="minorHAnsi"/>
      <w:color w:val="000000" w:themeColor="text1"/>
      <w:sz w:val="20"/>
      <w:szCs w:val="20"/>
      <w:lang w:eastAsia="ja-JP" w:bidi="he-IL"/>
    </w:rPr>
  </w:style>
  <w:style w:type="paragraph" w:styleId="NoSpacing">
    <w:name w:val="No Spacing"/>
    <w:uiPriority w:val="1"/>
    <w:qFormat/>
    <w:rsid w:val="00BA69EB"/>
    <w:pPr>
      <w:widowControl w:val="0"/>
      <w:autoSpaceDE w:val="0"/>
      <w:autoSpaceDN w:val="0"/>
      <w:adjustRightInd w:val="0"/>
    </w:pPr>
    <w:rPr>
      <w:szCs w:val="24"/>
    </w:rPr>
  </w:style>
  <w:style w:type="paragraph" w:customStyle="1" w:styleId="SurveySection">
    <w:name w:val="Survey Section"/>
    <w:qFormat/>
    <w:rsid w:val="00BA69EB"/>
    <w:pPr>
      <w:spacing w:before="240" w:after="240"/>
      <w:jc w:val="center"/>
    </w:pPr>
    <w:rPr>
      <w:b/>
      <w:szCs w:val="24"/>
    </w:rPr>
  </w:style>
  <w:style w:type="paragraph" w:customStyle="1" w:styleId="FormTitle">
    <w:name w:val="Form Title"/>
    <w:rsid w:val="00BA69EB"/>
    <w:pPr>
      <w:jc w:val="center"/>
    </w:pPr>
    <w:rPr>
      <w:rFonts w:ascii="Arial" w:hAnsi="Arial" w:cs="Arial"/>
      <w:b/>
      <w:sz w:val="26"/>
      <w:szCs w:val="26"/>
    </w:rPr>
  </w:style>
  <w:style w:type="paragraph" w:customStyle="1" w:styleId="MockHeading1">
    <w:name w:val="Mock Heading 1"/>
    <w:qFormat/>
    <w:rsid w:val="00BA69EB"/>
    <w:pPr>
      <w:spacing w:before="240" w:after="240"/>
      <w:jc w:val="center"/>
    </w:pPr>
    <w:rPr>
      <w:rFonts w:ascii="Arial" w:hAnsi="Arial" w:cs="Arial"/>
      <w:b/>
      <w:sz w:val="26"/>
      <w:szCs w:val="26"/>
    </w:rPr>
  </w:style>
  <w:style w:type="paragraph" w:customStyle="1" w:styleId="Interview1">
    <w:name w:val="Interview 1"/>
    <w:qFormat/>
    <w:rsid w:val="00BA69EB"/>
    <w:pPr>
      <w:numPr>
        <w:ilvl w:val="1"/>
        <w:numId w:val="8"/>
      </w:numPr>
      <w:spacing w:after="240"/>
      <w:ind w:left="634"/>
    </w:pPr>
    <w:rPr>
      <w:bCs/>
      <w:szCs w:val="24"/>
      <w:u w:val="single"/>
    </w:rPr>
  </w:style>
  <w:style w:type="paragraph" w:customStyle="1" w:styleId="Worksheet">
    <w:name w:val="Worksheet"/>
    <w:qFormat/>
    <w:rsid w:val="00BA69EB"/>
    <w:rPr>
      <w:rFonts w:ascii="Shruti" w:hAnsi="Shruti" w:cs="Arial"/>
      <w:bCs/>
      <w:sz w:val="16"/>
      <w:szCs w:val="26"/>
    </w:rPr>
  </w:style>
  <w:style w:type="paragraph" w:customStyle="1" w:styleId="WorksheetNumbered">
    <w:name w:val="Worksheet Numbered"/>
    <w:qFormat/>
    <w:rsid w:val="00BA69EB"/>
    <w:pPr>
      <w:numPr>
        <w:numId w:val="10"/>
      </w:numPr>
    </w:pPr>
    <w:rPr>
      <w:rFonts w:ascii="Shruti" w:hAnsi="Shruti" w:cs="Arial"/>
      <w:b/>
      <w:bCs/>
      <w:sz w:val="16"/>
      <w:szCs w:val="26"/>
    </w:rPr>
  </w:style>
  <w:style w:type="paragraph" w:customStyle="1" w:styleId="WorksheetLettered113">
    <w:name w:val="Worksheet Lettered + 1.13"/>
    <w:qFormat/>
    <w:rsid w:val="00BA69EB"/>
    <w:pPr>
      <w:numPr>
        <w:numId w:val="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contextualSpacing/>
    </w:pPr>
    <w:rPr>
      <w:rFonts w:ascii="Shruti" w:hAnsi="Shruti" w:cs="Shruti"/>
      <w:sz w:val="16"/>
      <w:szCs w:val="16"/>
    </w:rPr>
  </w:style>
  <w:style w:type="paragraph" w:customStyle="1" w:styleId="Worksheet113">
    <w:name w:val="Worksheet + 1.13"/>
    <w:basedOn w:val="Normal"/>
    <w:qFormat/>
    <w:rsid w:val="00BA69EB"/>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spacing w:line="272" w:lineRule="auto"/>
    </w:pPr>
    <w:rPr>
      <w:rFonts w:ascii="Shruti" w:hAnsi="Shruti" w:cs="Shruti"/>
      <w:sz w:val="16"/>
      <w:szCs w:val="16"/>
    </w:rPr>
  </w:style>
  <w:style w:type="character" w:styleId="Strong">
    <w:name w:val="Strong"/>
    <w:basedOn w:val="DefaultParagraphFont"/>
    <w:uiPriority w:val="22"/>
    <w:rsid w:val="001177FD"/>
    <w:rPr>
      <w:b/>
      <w:bCs/>
    </w:rPr>
  </w:style>
  <w:style w:type="paragraph" w:styleId="ListNumber3">
    <w:name w:val="List Number 3"/>
    <w:unhideWhenUsed/>
    <w:rsid w:val="00BA69EB"/>
    <w:pPr>
      <w:numPr>
        <w:numId w:val="11"/>
      </w:numPr>
      <w:spacing w:after="240"/>
      <w:ind w:left="1440"/>
    </w:pPr>
    <w:rPr>
      <w:szCs w:val="24"/>
    </w:rPr>
  </w:style>
  <w:style w:type="paragraph" w:customStyle="1" w:styleId="CaretakerXA">
    <w:name w:val="Caretaker XA"/>
    <w:qFormat/>
    <w:rsid w:val="00BA69EB"/>
    <w:pPr>
      <w:spacing w:after="240"/>
      <w:ind w:left="1080"/>
    </w:pPr>
    <w:rPr>
      <w:szCs w:val="24"/>
    </w:rPr>
  </w:style>
  <w:style w:type="paragraph" w:customStyle="1" w:styleId="BodyText1">
    <w:name w:val="Body Text1"/>
    <w:basedOn w:val="Normal"/>
    <w:link w:val="bodytextChar0"/>
    <w:rsid w:val="00BA69EB"/>
    <w:pPr>
      <w:spacing w:after="120" w:line="360" w:lineRule="auto"/>
      <w:ind w:firstLine="720"/>
    </w:pPr>
    <w:rPr>
      <w:rFonts w:eastAsia="MS Mincho"/>
      <w:sz w:val="24"/>
    </w:rPr>
  </w:style>
  <w:style w:type="character" w:customStyle="1" w:styleId="bodytextChar0">
    <w:name w:val="body text Char"/>
    <w:link w:val="BodyText1"/>
    <w:rsid w:val="001177FD"/>
    <w:rPr>
      <w:rFonts w:eastAsia="MS Mincho"/>
      <w:sz w:val="24"/>
    </w:rPr>
  </w:style>
  <w:style w:type="paragraph" w:customStyle="1" w:styleId="TableHeaders">
    <w:name w:val="Table Headers"/>
    <w:basedOn w:val="Normal"/>
    <w:qFormat/>
    <w:rsid w:val="00BA69EB"/>
    <w:pPr>
      <w:keepNext/>
      <w:spacing w:before="80" w:after="80"/>
      <w:jc w:val="center"/>
    </w:pPr>
    <w:rPr>
      <w:rFonts w:ascii="Times New Roman Bold" w:hAnsi="Times New Roman Bold"/>
      <w:b/>
      <w:sz w:val="21"/>
      <w:szCs w:val="24"/>
    </w:rPr>
  </w:style>
  <w:style w:type="paragraph" w:customStyle="1" w:styleId="TableTitle">
    <w:name w:val="Table Title"/>
    <w:basedOn w:val="Caption"/>
    <w:rsid w:val="00BA69EB"/>
    <w:pPr>
      <w:keepLines/>
      <w:spacing w:before="240" w:after="240"/>
      <w:ind w:left="1080" w:hanging="1080"/>
    </w:pPr>
    <w:rPr>
      <w:sz w:val="24"/>
      <w:szCs w:val="20"/>
    </w:rPr>
  </w:style>
  <w:style w:type="paragraph" w:styleId="ListBullet3">
    <w:name w:val="List Bullet 3"/>
    <w:basedOn w:val="Normal"/>
    <w:unhideWhenUsed/>
    <w:rsid w:val="00BA69EB"/>
    <w:pPr>
      <w:widowControl w:val="0"/>
      <w:numPr>
        <w:numId w:val="12"/>
      </w:numPr>
      <w:autoSpaceDE w:val="0"/>
      <w:autoSpaceDN w:val="0"/>
      <w:adjustRightInd w:val="0"/>
      <w:spacing w:after="120"/>
    </w:pPr>
    <w:rPr>
      <w:szCs w:val="24"/>
    </w:rPr>
  </w:style>
  <w:style w:type="character" w:styleId="PlaceholderText">
    <w:name w:val="Placeholder Text"/>
    <w:basedOn w:val="DefaultParagraphFont"/>
    <w:uiPriority w:val="99"/>
    <w:semiHidden/>
    <w:rsid w:val="001177FD"/>
    <w:rPr>
      <w:color w:val="808080"/>
    </w:rPr>
  </w:style>
  <w:style w:type="paragraph" w:styleId="Bibliography">
    <w:name w:val="Bibliography"/>
    <w:basedOn w:val="Normal"/>
    <w:next w:val="Normal"/>
    <w:uiPriority w:val="37"/>
    <w:unhideWhenUsed/>
    <w:rsid w:val="00BA69EB"/>
    <w:pPr>
      <w:widowControl w:val="0"/>
      <w:autoSpaceDE w:val="0"/>
      <w:autoSpaceDN w:val="0"/>
      <w:adjustRightInd w:val="0"/>
      <w:spacing w:before="240" w:after="240"/>
      <w:ind w:left="720" w:hanging="720"/>
    </w:pPr>
    <w:rPr>
      <w:szCs w:val="24"/>
    </w:rPr>
  </w:style>
  <w:style w:type="numbering" w:customStyle="1" w:styleId="Style1">
    <w:name w:val="Style1"/>
    <w:uiPriority w:val="99"/>
    <w:rsid w:val="001177FD"/>
    <w:pPr>
      <w:numPr>
        <w:numId w:val="15"/>
      </w:numPr>
    </w:pPr>
  </w:style>
  <w:style w:type="numbering" w:customStyle="1" w:styleId="Style2">
    <w:name w:val="Style2"/>
    <w:uiPriority w:val="99"/>
    <w:rsid w:val="001177FD"/>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64152">
      <w:bodyDiv w:val="1"/>
      <w:marLeft w:val="0"/>
      <w:marRight w:val="0"/>
      <w:marTop w:val="0"/>
      <w:marBottom w:val="0"/>
      <w:divBdr>
        <w:top w:val="none" w:sz="0" w:space="0" w:color="auto"/>
        <w:left w:val="none" w:sz="0" w:space="0" w:color="auto"/>
        <w:bottom w:val="none" w:sz="0" w:space="0" w:color="auto"/>
        <w:right w:val="none" w:sz="0" w:space="0" w:color="auto"/>
      </w:divBdr>
    </w:div>
    <w:div w:id="17705078">
      <w:bodyDiv w:val="1"/>
      <w:marLeft w:val="0"/>
      <w:marRight w:val="0"/>
      <w:marTop w:val="0"/>
      <w:marBottom w:val="0"/>
      <w:divBdr>
        <w:top w:val="none" w:sz="0" w:space="0" w:color="auto"/>
        <w:left w:val="none" w:sz="0" w:space="0" w:color="auto"/>
        <w:bottom w:val="none" w:sz="0" w:space="0" w:color="auto"/>
        <w:right w:val="none" w:sz="0" w:space="0" w:color="auto"/>
      </w:divBdr>
    </w:div>
    <w:div w:id="20789345">
      <w:bodyDiv w:val="1"/>
      <w:marLeft w:val="0"/>
      <w:marRight w:val="0"/>
      <w:marTop w:val="0"/>
      <w:marBottom w:val="0"/>
      <w:divBdr>
        <w:top w:val="none" w:sz="0" w:space="0" w:color="auto"/>
        <w:left w:val="none" w:sz="0" w:space="0" w:color="auto"/>
        <w:bottom w:val="none" w:sz="0" w:space="0" w:color="auto"/>
        <w:right w:val="none" w:sz="0" w:space="0" w:color="auto"/>
      </w:divBdr>
    </w:div>
    <w:div w:id="44716127">
      <w:bodyDiv w:val="1"/>
      <w:marLeft w:val="0"/>
      <w:marRight w:val="0"/>
      <w:marTop w:val="0"/>
      <w:marBottom w:val="0"/>
      <w:divBdr>
        <w:top w:val="none" w:sz="0" w:space="0" w:color="auto"/>
        <w:left w:val="none" w:sz="0" w:space="0" w:color="auto"/>
        <w:bottom w:val="none" w:sz="0" w:space="0" w:color="auto"/>
        <w:right w:val="none" w:sz="0" w:space="0" w:color="auto"/>
      </w:divBdr>
    </w:div>
    <w:div w:id="56586973">
      <w:bodyDiv w:val="1"/>
      <w:marLeft w:val="0"/>
      <w:marRight w:val="0"/>
      <w:marTop w:val="0"/>
      <w:marBottom w:val="0"/>
      <w:divBdr>
        <w:top w:val="none" w:sz="0" w:space="0" w:color="auto"/>
        <w:left w:val="none" w:sz="0" w:space="0" w:color="auto"/>
        <w:bottom w:val="none" w:sz="0" w:space="0" w:color="auto"/>
        <w:right w:val="none" w:sz="0" w:space="0" w:color="auto"/>
      </w:divBdr>
    </w:div>
    <w:div w:id="64494904">
      <w:bodyDiv w:val="1"/>
      <w:marLeft w:val="0"/>
      <w:marRight w:val="0"/>
      <w:marTop w:val="0"/>
      <w:marBottom w:val="0"/>
      <w:divBdr>
        <w:top w:val="none" w:sz="0" w:space="0" w:color="auto"/>
        <w:left w:val="none" w:sz="0" w:space="0" w:color="auto"/>
        <w:bottom w:val="none" w:sz="0" w:space="0" w:color="auto"/>
        <w:right w:val="none" w:sz="0" w:space="0" w:color="auto"/>
      </w:divBdr>
    </w:div>
    <w:div w:id="70012047">
      <w:bodyDiv w:val="1"/>
      <w:marLeft w:val="0"/>
      <w:marRight w:val="0"/>
      <w:marTop w:val="0"/>
      <w:marBottom w:val="0"/>
      <w:divBdr>
        <w:top w:val="none" w:sz="0" w:space="0" w:color="auto"/>
        <w:left w:val="none" w:sz="0" w:space="0" w:color="auto"/>
        <w:bottom w:val="none" w:sz="0" w:space="0" w:color="auto"/>
        <w:right w:val="none" w:sz="0" w:space="0" w:color="auto"/>
      </w:divBdr>
    </w:div>
    <w:div w:id="74282597">
      <w:bodyDiv w:val="1"/>
      <w:marLeft w:val="0"/>
      <w:marRight w:val="0"/>
      <w:marTop w:val="0"/>
      <w:marBottom w:val="0"/>
      <w:divBdr>
        <w:top w:val="none" w:sz="0" w:space="0" w:color="auto"/>
        <w:left w:val="none" w:sz="0" w:space="0" w:color="auto"/>
        <w:bottom w:val="none" w:sz="0" w:space="0" w:color="auto"/>
        <w:right w:val="none" w:sz="0" w:space="0" w:color="auto"/>
      </w:divBdr>
    </w:div>
    <w:div w:id="75590475">
      <w:bodyDiv w:val="1"/>
      <w:marLeft w:val="0"/>
      <w:marRight w:val="0"/>
      <w:marTop w:val="0"/>
      <w:marBottom w:val="0"/>
      <w:divBdr>
        <w:top w:val="none" w:sz="0" w:space="0" w:color="auto"/>
        <w:left w:val="none" w:sz="0" w:space="0" w:color="auto"/>
        <w:bottom w:val="none" w:sz="0" w:space="0" w:color="auto"/>
        <w:right w:val="none" w:sz="0" w:space="0" w:color="auto"/>
      </w:divBdr>
    </w:div>
    <w:div w:id="76100875">
      <w:bodyDiv w:val="1"/>
      <w:marLeft w:val="0"/>
      <w:marRight w:val="0"/>
      <w:marTop w:val="0"/>
      <w:marBottom w:val="0"/>
      <w:divBdr>
        <w:top w:val="none" w:sz="0" w:space="0" w:color="auto"/>
        <w:left w:val="none" w:sz="0" w:space="0" w:color="auto"/>
        <w:bottom w:val="none" w:sz="0" w:space="0" w:color="auto"/>
        <w:right w:val="none" w:sz="0" w:space="0" w:color="auto"/>
      </w:divBdr>
    </w:div>
    <w:div w:id="81488259">
      <w:bodyDiv w:val="1"/>
      <w:marLeft w:val="0"/>
      <w:marRight w:val="0"/>
      <w:marTop w:val="0"/>
      <w:marBottom w:val="0"/>
      <w:divBdr>
        <w:top w:val="none" w:sz="0" w:space="0" w:color="auto"/>
        <w:left w:val="none" w:sz="0" w:space="0" w:color="auto"/>
        <w:bottom w:val="none" w:sz="0" w:space="0" w:color="auto"/>
        <w:right w:val="none" w:sz="0" w:space="0" w:color="auto"/>
      </w:divBdr>
    </w:div>
    <w:div w:id="92824469">
      <w:bodyDiv w:val="1"/>
      <w:marLeft w:val="0"/>
      <w:marRight w:val="0"/>
      <w:marTop w:val="0"/>
      <w:marBottom w:val="0"/>
      <w:divBdr>
        <w:top w:val="none" w:sz="0" w:space="0" w:color="auto"/>
        <w:left w:val="none" w:sz="0" w:space="0" w:color="auto"/>
        <w:bottom w:val="none" w:sz="0" w:space="0" w:color="auto"/>
        <w:right w:val="none" w:sz="0" w:space="0" w:color="auto"/>
      </w:divBdr>
    </w:div>
    <w:div w:id="101804679">
      <w:bodyDiv w:val="1"/>
      <w:marLeft w:val="0"/>
      <w:marRight w:val="0"/>
      <w:marTop w:val="0"/>
      <w:marBottom w:val="0"/>
      <w:divBdr>
        <w:top w:val="none" w:sz="0" w:space="0" w:color="auto"/>
        <w:left w:val="none" w:sz="0" w:space="0" w:color="auto"/>
        <w:bottom w:val="none" w:sz="0" w:space="0" w:color="auto"/>
        <w:right w:val="none" w:sz="0" w:space="0" w:color="auto"/>
      </w:divBdr>
    </w:div>
    <w:div w:id="107821228">
      <w:bodyDiv w:val="1"/>
      <w:marLeft w:val="0"/>
      <w:marRight w:val="0"/>
      <w:marTop w:val="0"/>
      <w:marBottom w:val="0"/>
      <w:divBdr>
        <w:top w:val="none" w:sz="0" w:space="0" w:color="auto"/>
        <w:left w:val="none" w:sz="0" w:space="0" w:color="auto"/>
        <w:bottom w:val="none" w:sz="0" w:space="0" w:color="auto"/>
        <w:right w:val="none" w:sz="0" w:space="0" w:color="auto"/>
      </w:divBdr>
    </w:div>
    <w:div w:id="112872179">
      <w:bodyDiv w:val="1"/>
      <w:marLeft w:val="0"/>
      <w:marRight w:val="0"/>
      <w:marTop w:val="0"/>
      <w:marBottom w:val="0"/>
      <w:divBdr>
        <w:top w:val="none" w:sz="0" w:space="0" w:color="auto"/>
        <w:left w:val="none" w:sz="0" w:space="0" w:color="auto"/>
        <w:bottom w:val="none" w:sz="0" w:space="0" w:color="auto"/>
        <w:right w:val="none" w:sz="0" w:space="0" w:color="auto"/>
      </w:divBdr>
    </w:div>
    <w:div w:id="116219995">
      <w:bodyDiv w:val="1"/>
      <w:marLeft w:val="0"/>
      <w:marRight w:val="0"/>
      <w:marTop w:val="0"/>
      <w:marBottom w:val="0"/>
      <w:divBdr>
        <w:top w:val="none" w:sz="0" w:space="0" w:color="auto"/>
        <w:left w:val="none" w:sz="0" w:space="0" w:color="auto"/>
        <w:bottom w:val="none" w:sz="0" w:space="0" w:color="auto"/>
        <w:right w:val="none" w:sz="0" w:space="0" w:color="auto"/>
      </w:divBdr>
    </w:div>
    <w:div w:id="122582621">
      <w:bodyDiv w:val="1"/>
      <w:marLeft w:val="0"/>
      <w:marRight w:val="0"/>
      <w:marTop w:val="0"/>
      <w:marBottom w:val="0"/>
      <w:divBdr>
        <w:top w:val="none" w:sz="0" w:space="0" w:color="auto"/>
        <w:left w:val="none" w:sz="0" w:space="0" w:color="auto"/>
        <w:bottom w:val="none" w:sz="0" w:space="0" w:color="auto"/>
        <w:right w:val="none" w:sz="0" w:space="0" w:color="auto"/>
      </w:divBdr>
    </w:div>
    <w:div w:id="123278576">
      <w:bodyDiv w:val="1"/>
      <w:marLeft w:val="0"/>
      <w:marRight w:val="0"/>
      <w:marTop w:val="0"/>
      <w:marBottom w:val="0"/>
      <w:divBdr>
        <w:top w:val="none" w:sz="0" w:space="0" w:color="auto"/>
        <w:left w:val="none" w:sz="0" w:space="0" w:color="auto"/>
        <w:bottom w:val="none" w:sz="0" w:space="0" w:color="auto"/>
        <w:right w:val="none" w:sz="0" w:space="0" w:color="auto"/>
      </w:divBdr>
    </w:div>
    <w:div w:id="124321888">
      <w:bodyDiv w:val="1"/>
      <w:marLeft w:val="0"/>
      <w:marRight w:val="0"/>
      <w:marTop w:val="0"/>
      <w:marBottom w:val="0"/>
      <w:divBdr>
        <w:top w:val="none" w:sz="0" w:space="0" w:color="auto"/>
        <w:left w:val="none" w:sz="0" w:space="0" w:color="auto"/>
        <w:bottom w:val="none" w:sz="0" w:space="0" w:color="auto"/>
        <w:right w:val="none" w:sz="0" w:space="0" w:color="auto"/>
      </w:divBdr>
    </w:div>
    <w:div w:id="131480401">
      <w:bodyDiv w:val="1"/>
      <w:marLeft w:val="0"/>
      <w:marRight w:val="0"/>
      <w:marTop w:val="0"/>
      <w:marBottom w:val="0"/>
      <w:divBdr>
        <w:top w:val="none" w:sz="0" w:space="0" w:color="auto"/>
        <w:left w:val="none" w:sz="0" w:space="0" w:color="auto"/>
        <w:bottom w:val="none" w:sz="0" w:space="0" w:color="auto"/>
        <w:right w:val="none" w:sz="0" w:space="0" w:color="auto"/>
      </w:divBdr>
    </w:div>
    <w:div w:id="150875632">
      <w:bodyDiv w:val="1"/>
      <w:marLeft w:val="0"/>
      <w:marRight w:val="0"/>
      <w:marTop w:val="0"/>
      <w:marBottom w:val="0"/>
      <w:divBdr>
        <w:top w:val="none" w:sz="0" w:space="0" w:color="auto"/>
        <w:left w:val="none" w:sz="0" w:space="0" w:color="auto"/>
        <w:bottom w:val="none" w:sz="0" w:space="0" w:color="auto"/>
        <w:right w:val="none" w:sz="0" w:space="0" w:color="auto"/>
      </w:divBdr>
    </w:div>
    <w:div w:id="153685327">
      <w:bodyDiv w:val="1"/>
      <w:marLeft w:val="0"/>
      <w:marRight w:val="0"/>
      <w:marTop w:val="0"/>
      <w:marBottom w:val="0"/>
      <w:divBdr>
        <w:top w:val="none" w:sz="0" w:space="0" w:color="auto"/>
        <w:left w:val="none" w:sz="0" w:space="0" w:color="auto"/>
        <w:bottom w:val="none" w:sz="0" w:space="0" w:color="auto"/>
        <w:right w:val="none" w:sz="0" w:space="0" w:color="auto"/>
      </w:divBdr>
    </w:div>
    <w:div w:id="157692423">
      <w:bodyDiv w:val="1"/>
      <w:marLeft w:val="0"/>
      <w:marRight w:val="0"/>
      <w:marTop w:val="0"/>
      <w:marBottom w:val="0"/>
      <w:divBdr>
        <w:top w:val="none" w:sz="0" w:space="0" w:color="auto"/>
        <w:left w:val="none" w:sz="0" w:space="0" w:color="auto"/>
        <w:bottom w:val="none" w:sz="0" w:space="0" w:color="auto"/>
        <w:right w:val="none" w:sz="0" w:space="0" w:color="auto"/>
      </w:divBdr>
    </w:div>
    <w:div w:id="164789546">
      <w:bodyDiv w:val="1"/>
      <w:marLeft w:val="0"/>
      <w:marRight w:val="0"/>
      <w:marTop w:val="0"/>
      <w:marBottom w:val="0"/>
      <w:divBdr>
        <w:top w:val="none" w:sz="0" w:space="0" w:color="auto"/>
        <w:left w:val="none" w:sz="0" w:space="0" w:color="auto"/>
        <w:bottom w:val="none" w:sz="0" w:space="0" w:color="auto"/>
        <w:right w:val="none" w:sz="0" w:space="0" w:color="auto"/>
      </w:divBdr>
    </w:div>
    <w:div w:id="165752351">
      <w:bodyDiv w:val="1"/>
      <w:marLeft w:val="0"/>
      <w:marRight w:val="0"/>
      <w:marTop w:val="0"/>
      <w:marBottom w:val="0"/>
      <w:divBdr>
        <w:top w:val="none" w:sz="0" w:space="0" w:color="auto"/>
        <w:left w:val="none" w:sz="0" w:space="0" w:color="auto"/>
        <w:bottom w:val="none" w:sz="0" w:space="0" w:color="auto"/>
        <w:right w:val="none" w:sz="0" w:space="0" w:color="auto"/>
      </w:divBdr>
    </w:div>
    <w:div w:id="173307827">
      <w:bodyDiv w:val="1"/>
      <w:marLeft w:val="0"/>
      <w:marRight w:val="0"/>
      <w:marTop w:val="0"/>
      <w:marBottom w:val="0"/>
      <w:divBdr>
        <w:top w:val="none" w:sz="0" w:space="0" w:color="auto"/>
        <w:left w:val="none" w:sz="0" w:space="0" w:color="auto"/>
        <w:bottom w:val="none" w:sz="0" w:space="0" w:color="auto"/>
        <w:right w:val="none" w:sz="0" w:space="0" w:color="auto"/>
      </w:divBdr>
    </w:div>
    <w:div w:id="181434495">
      <w:bodyDiv w:val="1"/>
      <w:marLeft w:val="0"/>
      <w:marRight w:val="0"/>
      <w:marTop w:val="0"/>
      <w:marBottom w:val="0"/>
      <w:divBdr>
        <w:top w:val="none" w:sz="0" w:space="0" w:color="auto"/>
        <w:left w:val="none" w:sz="0" w:space="0" w:color="auto"/>
        <w:bottom w:val="none" w:sz="0" w:space="0" w:color="auto"/>
        <w:right w:val="none" w:sz="0" w:space="0" w:color="auto"/>
      </w:divBdr>
    </w:div>
    <w:div w:id="181668077">
      <w:bodyDiv w:val="1"/>
      <w:marLeft w:val="0"/>
      <w:marRight w:val="0"/>
      <w:marTop w:val="0"/>
      <w:marBottom w:val="0"/>
      <w:divBdr>
        <w:top w:val="none" w:sz="0" w:space="0" w:color="auto"/>
        <w:left w:val="none" w:sz="0" w:space="0" w:color="auto"/>
        <w:bottom w:val="none" w:sz="0" w:space="0" w:color="auto"/>
        <w:right w:val="none" w:sz="0" w:space="0" w:color="auto"/>
      </w:divBdr>
    </w:div>
    <w:div w:id="208999162">
      <w:bodyDiv w:val="1"/>
      <w:marLeft w:val="0"/>
      <w:marRight w:val="0"/>
      <w:marTop w:val="0"/>
      <w:marBottom w:val="0"/>
      <w:divBdr>
        <w:top w:val="none" w:sz="0" w:space="0" w:color="auto"/>
        <w:left w:val="none" w:sz="0" w:space="0" w:color="auto"/>
        <w:bottom w:val="none" w:sz="0" w:space="0" w:color="auto"/>
        <w:right w:val="none" w:sz="0" w:space="0" w:color="auto"/>
      </w:divBdr>
    </w:div>
    <w:div w:id="239337728">
      <w:bodyDiv w:val="1"/>
      <w:marLeft w:val="0"/>
      <w:marRight w:val="0"/>
      <w:marTop w:val="0"/>
      <w:marBottom w:val="0"/>
      <w:divBdr>
        <w:top w:val="none" w:sz="0" w:space="0" w:color="auto"/>
        <w:left w:val="none" w:sz="0" w:space="0" w:color="auto"/>
        <w:bottom w:val="none" w:sz="0" w:space="0" w:color="auto"/>
        <w:right w:val="none" w:sz="0" w:space="0" w:color="auto"/>
      </w:divBdr>
    </w:div>
    <w:div w:id="264652297">
      <w:bodyDiv w:val="1"/>
      <w:marLeft w:val="0"/>
      <w:marRight w:val="0"/>
      <w:marTop w:val="0"/>
      <w:marBottom w:val="0"/>
      <w:divBdr>
        <w:top w:val="none" w:sz="0" w:space="0" w:color="auto"/>
        <w:left w:val="none" w:sz="0" w:space="0" w:color="auto"/>
        <w:bottom w:val="none" w:sz="0" w:space="0" w:color="auto"/>
        <w:right w:val="none" w:sz="0" w:space="0" w:color="auto"/>
      </w:divBdr>
    </w:div>
    <w:div w:id="269363372">
      <w:bodyDiv w:val="1"/>
      <w:marLeft w:val="0"/>
      <w:marRight w:val="0"/>
      <w:marTop w:val="0"/>
      <w:marBottom w:val="0"/>
      <w:divBdr>
        <w:top w:val="none" w:sz="0" w:space="0" w:color="auto"/>
        <w:left w:val="none" w:sz="0" w:space="0" w:color="auto"/>
        <w:bottom w:val="none" w:sz="0" w:space="0" w:color="auto"/>
        <w:right w:val="none" w:sz="0" w:space="0" w:color="auto"/>
      </w:divBdr>
    </w:div>
    <w:div w:id="293754232">
      <w:bodyDiv w:val="1"/>
      <w:marLeft w:val="0"/>
      <w:marRight w:val="0"/>
      <w:marTop w:val="0"/>
      <w:marBottom w:val="0"/>
      <w:divBdr>
        <w:top w:val="none" w:sz="0" w:space="0" w:color="auto"/>
        <w:left w:val="none" w:sz="0" w:space="0" w:color="auto"/>
        <w:bottom w:val="none" w:sz="0" w:space="0" w:color="auto"/>
        <w:right w:val="none" w:sz="0" w:space="0" w:color="auto"/>
      </w:divBdr>
    </w:div>
    <w:div w:id="346836986">
      <w:bodyDiv w:val="1"/>
      <w:marLeft w:val="0"/>
      <w:marRight w:val="0"/>
      <w:marTop w:val="0"/>
      <w:marBottom w:val="0"/>
      <w:divBdr>
        <w:top w:val="none" w:sz="0" w:space="0" w:color="auto"/>
        <w:left w:val="none" w:sz="0" w:space="0" w:color="auto"/>
        <w:bottom w:val="none" w:sz="0" w:space="0" w:color="auto"/>
        <w:right w:val="none" w:sz="0" w:space="0" w:color="auto"/>
      </w:divBdr>
    </w:div>
    <w:div w:id="347487358">
      <w:bodyDiv w:val="1"/>
      <w:marLeft w:val="0"/>
      <w:marRight w:val="0"/>
      <w:marTop w:val="0"/>
      <w:marBottom w:val="0"/>
      <w:divBdr>
        <w:top w:val="none" w:sz="0" w:space="0" w:color="auto"/>
        <w:left w:val="none" w:sz="0" w:space="0" w:color="auto"/>
        <w:bottom w:val="none" w:sz="0" w:space="0" w:color="auto"/>
        <w:right w:val="none" w:sz="0" w:space="0" w:color="auto"/>
      </w:divBdr>
    </w:div>
    <w:div w:id="363360384">
      <w:bodyDiv w:val="1"/>
      <w:marLeft w:val="0"/>
      <w:marRight w:val="0"/>
      <w:marTop w:val="0"/>
      <w:marBottom w:val="0"/>
      <w:divBdr>
        <w:top w:val="none" w:sz="0" w:space="0" w:color="auto"/>
        <w:left w:val="none" w:sz="0" w:space="0" w:color="auto"/>
        <w:bottom w:val="none" w:sz="0" w:space="0" w:color="auto"/>
        <w:right w:val="none" w:sz="0" w:space="0" w:color="auto"/>
      </w:divBdr>
    </w:div>
    <w:div w:id="376585507">
      <w:bodyDiv w:val="1"/>
      <w:marLeft w:val="0"/>
      <w:marRight w:val="0"/>
      <w:marTop w:val="0"/>
      <w:marBottom w:val="0"/>
      <w:divBdr>
        <w:top w:val="none" w:sz="0" w:space="0" w:color="auto"/>
        <w:left w:val="none" w:sz="0" w:space="0" w:color="auto"/>
        <w:bottom w:val="none" w:sz="0" w:space="0" w:color="auto"/>
        <w:right w:val="none" w:sz="0" w:space="0" w:color="auto"/>
      </w:divBdr>
    </w:div>
    <w:div w:id="395130025">
      <w:bodyDiv w:val="1"/>
      <w:marLeft w:val="0"/>
      <w:marRight w:val="0"/>
      <w:marTop w:val="0"/>
      <w:marBottom w:val="0"/>
      <w:divBdr>
        <w:top w:val="none" w:sz="0" w:space="0" w:color="auto"/>
        <w:left w:val="none" w:sz="0" w:space="0" w:color="auto"/>
        <w:bottom w:val="none" w:sz="0" w:space="0" w:color="auto"/>
        <w:right w:val="none" w:sz="0" w:space="0" w:color="auto"/>
      </w:divBdr>
    </w:div>
    <w:div w:id="404451582">
      <w:bodyDiv w:val="1"/>
      <w:marLeft w:val="0"/>
      <w:marRight w:val="0"/>
      <w:marTop w:val="0"/>
      <w:marBottom w:val="0"/>
      <w:divBdr>
        <w:top w:val="none" w:sz="0" w:space="0" w:color="auto"/>
        <w:left w:val="none" w:sz="0" w:space="0" w:color="auto"/>
        <w:bottom w:val="none" w:sz="0" w:space="0" w:color="auto"/>
        <w:right w:val="none" w:sz="0" w:space="0" w:color="auto"/>
      </w:divBdr>
    </w:div>
    <w:div w:id="423574156">
      <w:bodyDiv w:val="1"/>
      <w:marLeft w:val="0"/>
      <w:marRight w:val="0"/>
      <w:marTop w:val="0"/>
      <w:marBottom w:val="0"/>
      <w:divBdr>
        <w:top w:val="none" w:sz="0" w:space="0" w:color="auto"/>
        <w:left w:val="none" w:sz="0" w:space="0" w:color="auto"/>
        <w:bottom w:val="none" w:sz="0" w:space="0" w:color="auto"/>
        <w:right w:val="none" w:sz="0" w:space="0" w:color="auto"/>
      </w:divBdr>
    </w:div>
    <w:div w:id="425543869">
      <w:bodyDiv w:val="1"/>
      <w:marLeft w:val="0"/>
      <w:marRight w:val="0"/>
      <w:marTop w:val="0"/>
      <w:marBottom w:val="0"/>
      <w:divBdr>
        <w:top w:val="none" w:sz="0" w:space="0" w:color="auto"/>
        <w:left w:val="none" w:sz="0" w:space="0" w:color="auto"/>
        <w:bottom w:val="none" w:sz="0" w:space="0" w:color="auto"/>
        <w:right w:val="none" w:sz="0" w:space="0" w:color="auto"/>
      </w:divBdr>
    </w:div>
    <w:div w:id="476536025">
      <w:bodyDiv w:val="1"/>
      <w:marLeft w:val="0"/>
      <w:marRight w:val="0"/>
      <w:marTop w:val="0"/>
      <w:marBottom w:val="0"/>
      <w:divBdr>
        <w:top w:val="none" w:sz="0" w:space="0" w:color="auto"/>
        <w:left w:val="none" w:sz="0" w:space="0" w:color="auto"/>
        <w:bottom w:val="none" w:sz="0" w:space="0" w:color="auto"/>
        <w:right w:val="none" w:sz="0" w:space="0" w:color="auto"/>
      </w:divBdr>
    </w:div>
    <w:div w:id="477498526">
      <w:bodyDiv w:val="1"/>
      <w:marLeft w:val="0"/>
      <w:marRight w:val="0"/>
      <w:marTop w:val="0"/>
      <w:marBottom w:val="0"/>
      <w:divBdr>
        <w:top w:val="none" w:sz="0" w:space="0" w:color="auto"/>
        <w:left w:val="none" w:sz="0" w:space="0" w:color="auto"/>
        <w:bottom w:val="none" w:sz="0" w:space="0" w:color="auto"/>
        <w:right w:val="none" w:sz="0" w:space="0" w:color="auto"/>
      </w:divBdr>
    </w:div>
    <w:div w:id="481315355">
      <w:bodyDiv w:val="1"/>
      <w:marLeft w:val="0"/>
      <w:marRight w:val="0"/>
      <w:marTop w:val="0"/>
      <w:marBottom w:val="0"/>
      <w:divBdr>
        <w:top w:val="none" w:sz="0" w:space="0" w:color="auto"/>
        <w:left w:val="none" w:sz="0" w:space="0" w:color="auto"/>
        <w:bottom w:val="none" w:sz="0" w:space="0" w:color="auto"/>
        <w:right w:val="none" w:sz="0" w:space="0" w:color="auto"/>
      </w:divBdr>
    </w:div>
    <w:div w:id="520048230">
      <w:bodyDiv w:val="1"/>
      <w:marLeft w:val="0"/>
      <w:marRight w:val="0"/>
      <w:marTop w:val="0"/>
      <w:marBottom w:val="0"/>
      <w:divBdr>
        <w:top w:val="none" w:sz="0" w:space="0" w:color="auto"/>
        <w:left w:val="none" w:sz="0" w:space="0" w:color="auto"/>
        <w:bottom w:val="none" w:sz="0" w:space="0" w:color="auto"/>
        <w:right w:val="none" w:sz="0" w:space="0" w:color="auto"/>
      </w:divBdr>
    </w:div>
    <w:div w:id="523253267">
      <w:bodyDiv w:val="1"/>
      <w:marLeft w:val="0"/>
      <w:marRight w:val="0"/>
      <w:marTop w:val="0"/>
      <w:marBottom w:val="0"/>
      <w:divBdr>
        <w:top w:val="none" w:sz="0" w:space="0" w:color="auto"/>
        <w:left w:val="none" w:sz="0" w:space="0" w:color="auto"/>
        <w:bottom w:val="none" w:sz="0" w:space="0" w:color="auto"/>
        <w:right w:val="none" w:sz="0" w:space="0" w:color="auto"/>
      </w:divBdr>
    </w:div>
    <w:div w:id="532111127">
      <w:bodyDiv w:val="1"/>
      <w:marLeft w:val="0"/>
      <w:marRight w:val="0"/>
      <w:marTop w:val="0"/>
      <w:marBottom w:val="0"/>
      <w:divBdr>
        <w:top w:val="none" w:sz="0" w:space="0" w:color="auto"/>
        <w:left w:val="none" w:sz="0" w:space="0" w:color="auto"/>
        <w:bottom w:val="none" w:sz="0" w:space="0" w:color="auto"/>
        <w:right w:val="none" w:sz="0" w:space="0" w:color="auto"/>
      </w:divBdr>
    </w:div>
    <w:div w:id="534657714">
      <w:bodyDiv w:val="1"/>
      <w:marLeft w:val="0"/>
      <w:marRight w:val="0"/>
      <w:marTop w:val="0"/>
      <w:marBottom w:val="0"/>
      <w:divBdr>
        <w:top w:val="none" w:sz="0" w:space="0" w:color="auto"/>
        <w:left w:val="none" w:sz="0" w:space="0" w:color="auto"/>
        <w:bottom w:val="none" w:sz="0" w:space="0" w:color="auto"/>
        <w:right w:val="none" w:sz="0" w:space="0" w:color="auto"/>
      </w:divBdr>
    </w:div>
    <w:div w:id="537083407">
      <w:bodyDiv w:val="1"/>
      <w:marLeft w:val="0"/>
      <w:marRight w:val="0"/>
      <w:marTop w:val="0"/>
      <w:marBottom w:val="0"/>
      <w:divBdr>
        <w:top w:val="none" w:sz="0" w:space="0" w:color="auto"/>
        <w:left w:val="none" w:sz="0" w:space="0" w:color="auto"/>
        <w:bottom w:val="none" w:sz="0" w:space="0" w:color="auto"/>
        <w:right w:val="none" w:sz="0" w:space="0" w:color="auto"/>
      </w:divBdr>
    </w:div>
    <w:div w:id="537743055">
      <w:bodyDiv w:val="1"/>
      <w:marLeft w:val="0"/>
      <w:marRight w:val="0"/>
      <w:marTop w:val="0"/>
      <w:marBottom w:val="0"/>
      <w:divBdr>
        <w:top w:val="none" w:sz="0" w:space="0" w:color="auto"/>
        <w:left w:val="none" w:sz="0" w:space="0" w:color="auto"/>
        <w:bottom w:val="none" w:sz="0" w:space="0" w:color="auto"/>
        <w:right w:val="none" w:sz="0" w:space="0" w:color="auto"/>
      </w:divBdr>
    </w:div>
    <w:div w:id="547186584">
      <w:bodyDiv w:val="1"/>
      <w:marLeft w:val="0"/>
      <w:marRight w:val="0"/>
      <w:marTop w:val="0"/>
      <w:marBottom w:val="0"/>
      <w:divBdr>
        <w:top w:val="none" w:sz="0" w:space="0" w:color="auto"/>
        <w:left w:val="none" w:sz="0" w:space="0" w:color="auto"/>
        <w:bottom w:val="none" w:sz="0" w:space="0" w:color="auto"/>
        <w:right w:val="none" w:sz="0" w:space="0" w:color="auto"/>
      </w:divBdr>
    </w:div>
    <w:div w:id="559485237">
      <w:bodyDiv w:val="1"/>
      <w:marLeft w:val="0"/>
      <w:marRight w:val="0"/>
      <w:marTop w:val="0"/>
      <w:marBottom w:val="0"/>
      <w:divBdr>
        <w:top w:val="none" w:sz="0" w:space="0" w:color="auto"/>
        <w:left w:val="none" w:sz="0" w:space="0" w:color="auto"/>
        <w:bottom w:val="none" w:sz="0" w:space="0" w:color="auto"/>
        <w:right w:val="none" w:sz="0" w:space="0" w:color="auto"/>
      </w:divBdr>
    </w:div>
    <w:div w:id="581839668">
      <w:bodyDiv w:val="1"/>
      <w:marLeft w:val="0"/>
      <w:marRight w:val="0"/>
      <w:marTop w:val="0"/>
      <w:marBottom w:val="0"/>
      <w:divBdr>
        <w:top w:val="none" w:sz="0" w:space="0" w:color="auto"/>
        <w:left w:val="none" w:sz="0" w:space="0" w:color="auto"/>
        <w:bottom w:val="none" w:sz="0" w:space="0" w:color="auto"/>
        <w:right w:val="none" w:sz="0" w:space="0" w:color="auto"/>
      </w:divBdr>
    </w:div>
    <w:div w:id="601376012">
      <w:bodyDiv w:val="1"/>
      <w:marLeft w:val="0"/>
      <w:marRight w:val="0"/>
      <w:marTop w:val="0"/>
      <w:marBottom w:val="0"/>
      <w:divBdr>
        <w:top w:val="none" w:sz="0" w:space="0" w:color="auto"/>
        <w:left w:val="none" w:sz="0" w:space="0" w:color="auto"/>
        <w:bottom w:val="none" w:sz="0" w:space="0" w:color="auto"/>
        <w:right w:val="none" w:sz="0" w:space="0" w:color="auto"/>
      </w:divBdr>
    </w:div>
    <w:div w:id="603657474">
      <w:bodyDiv w:val="1"/>
      <w:marLeft w:val="0"/>
      <w:marRight w:val="0"/>
      <w:marTop w:val="0"/>
      <w:marBottom w:val="0"/>
      <w:divBdr>
        <w:top w:val="none" w:sz="0" w:space="0" w:color="auto"/>
        <w:left w:val="none" w:sz="0" w:space="0" w:color="auto"/>
        <w:bottom w:val="none" w:sz="0" w:space="0" w:color="auto"/>
        <w:right w:val="none" w:sz="0" w:space="0" w:color="auto"/>
      </w:divBdr>
    </w:div>
    <w:div w:id="604266159">
      <w:bodyDiv w:val="1"/>
      <w:marLeft w:val="0"/>
      <w:marRight w:val="0"/>
      <w:marTop w:val="0"/>
      <w:marBottom w:val="0"/>
      <w:divBdr>
        <w:top w:val="none" w:sz="0" w:space="0" w:color="auto"/>
        <w:left w:val="none" w:sz="0" w:space="0" w:color="auto"/>
        <w:bottom w:val="none" w:sz="0" w:space="0" w:color="auto"/>
        <w:right w:val="none" w:sz="0" w:space="0" w:color="auto"/>
      </w:divBdr>
    </w:div>
    <w:div w:id="607393852">
      <w:bodyDiv w:val="1"/>
      <w:marLeft w:val="0"/>
      <w:marRight w:val="0"/>
      <w:marTop w:val="0"/>
      <w:marBottom w:val="0"/>
      <w:divBdr>
        <w:top w:val="none" w:sz="0" w:space="0" w:color="auto"/>
        <w:left w:val="none" w:sz="0" w:space="0" w:color="auto"/>
        <w:bottom w:val="none" w:sz="0" w:space="0" w:color="auto"/>
        <w:right w:val="none" w:sz="0" w:space="0" w:color="auto"/>
      </w:divBdr>
    </w:div>
    <w:div w:id="617375288">
      <w:bodyDiv w:val="1"/>
      <w:marLeft w:val="0"/>
      <w:marRight w:val="0"/>
      <w:marTop w:val="0"/>
      <w:marBottom w:val="0"/>
      <w:divBdr>
        <w:top w:val="none" w:sz="0" w:space="0" w:color="auto"/>
        <w:left w:val="none" w:sz="0" w:space="0" w:color="auto"/>
        <w:bottom w:val="none" w:sz="0" w:space="0" w:color="auto"/>
        <w:right w:val="none" w:sz="0" w:space="0" w:color="auto"/>
      </w:divBdr>
    </w:div>
    <w:div w:id="618417100">
      <w:bodyDiv w:val="1"/>
      <w:marLeft w:val="0"/>
      <w:marRight w:val="0"/>
      <w:marTop w:val="0"/>
      <w:marBottom w:val="0"/>
      <w:divBdr>
        <w:top w:val="none" w:sz="0" w:space="0" w:color="auto"/>
        <w:left w:val="none" w:sz="0" w:space="0" w:color="auto"/>
        <w:bottom w:val="none" w:sz="0" w:space="0" w:color="auto"/>
        <w:right w:val="none" w:sz="0" w:space="0" w:color="auto"/>
      </w:divBdr>
    </w:div>
    <w:div w:id="623389013">
      <w:bodyDiv w:val="1"/>
      <w:marLeft w:val="0"/>
      <w:marRight w:val="0"/>
      <w:marTop w:val="0"/>
      <w:marBottom w:val="0"/>
      <w:divBdr>
        <w:top w:val="none" w:sz="0" w:space="0" w:color="auto"/>
        <w:left w:val="none" w:sz="0" w:space="0" w:color="auto"/>
        <w:bottom w:val="none" w:sz="0" w:space="0" w:color="auto"/>
        <w:right w:val="none" w:sz="0" w:space="0" w:color="auto"/>
      </w:divBdr>
    </w:div>
    <w:div w:id="634410556">
      <w:bodyDiv w:val="1"/>
      <w:marLeft w:val="0"/>
      <w:marRight w:val="0"/>
      <w:marTop w:val="0"/>
      <w:marBottom w:val="0"/>
      <w:divBdr>
        <w:top w:val="none" w:sz="0" w:space="0" w:color="auto"/>
        <w:left w:val="none" w:sz="0" w:space="0" w:color="auto"/>
        <w:bottom w:val="none" w:sz="0" w:space="0" w:color="auto"/>
        <w:right w:val="none" w:sz="0" w:space="0" w:color="auto"/>
      </w:divBdr>
    </w:div>
    <w:div w:id="661008526">
      <w:bodyDiv w:val="1"/>
      <w:marLeft w:val="0"/>
      <w:marRight w:val="0"/>
      <w:marTop w:val="0"/>
      <w:marBottom w:val="0"/>
      <w:divBdr>
        <w:top w:val="none" w:sz="0" w:space="0" w:color="auto"/>
        <w:left w:val="none" w:sz="0" w:space="0" w:color="auto"/>
        <w:bottom w:val="none" w:sz="0" w:space="0" w:color="auto"/>
        <w:right w:val="none" w:sz="0" w:space="0" w:color="auto"/>
      </w:divBdr>
    </w:div>
    <w:div w:id="681510223">
      <w:bodyDiv w:val="1"/>
      <w:marLeft w:val="0"/>
      <w:marRight w:val="0"/>
      <w:marTop w:val="0"/>
      <w:marBottom w:val="0"/>
      <w:divBdr>
        <w:top w:val="none" w:sz="0" w:space="0" w:color="auto"/>
        <w:left w:val="none" w:sz="0" w:space="0" w:color="auto"/>
        <w:bottom w:val="none" w:sz="0" w:space="0" w:color="auto"/>
        <w:right w:val="none" w:sz="0" w:space="0" w:color="auto"/>
      </w:divBdr>
    </w:div>
    <w:div w:id="691493910">
      <w:bodyDiv w:val="1"/>
      <w:marLeft w:val="0"/>
      <w:marRight w:val="0"/>
      <w:marTop w:val="0"/>
      <w:marBottom w:val="0"/>
      <w:divBdr>
        <w:top w:val="none" w:sz="0" w:space="0" w:color="auto"/>
        <w:left w:val="none" w:sz="0" w:space="0" w:color="auto"/>
        <w:bottom w:val="none" w:sz="0" w:space="0" w:color="auto"/>
        <w:right w:val="none" w:sz="0" w:space="0" w:color="auto"/>
      </w:divBdr>
    </w:div>
    <w:div w:id="692920602">
      <w:bodyDiv w:val="1"/>
      <w:marLeft w:val="0"/>
      <w:marRight w:val="0"/>
      <w:marTop w:val="0"/>
      <w:marBottom w:val="0"/>
      <w:divBdr>
        <w:top w:val="none" w:sz="0" w:space="0" w:color="auto"/>
        <w:left w:val="none" w:sz="0" w:space="0" w:color="auto"/>
        <w:bottom w:val="none" w:sz="0" w:space="0" w:color="auto"/>
        <w:right w:val="none" w:sz="0" w:space="0" w:color="auto"/>
      </w:divBdr>
    </w:div>
    <w:div w:id="693699125">
      <w:bodyDiv w:val="1"/>
      <w:marLeft w:val="0"/>
      <w:marRight w:val="0"/>
      <w:marTop w:val="0"/>
      <w:marBottom w:val="0"/>
      <w:divBdr>
        <w:top w:val="none" w:sz="0" w:space="0" w:color="auto"/>
        <w:left w:val="none" w:sz="0" w:space="0" w:color="auto"/>
        <w:bottom w:val="none" w:sz="0" w:space="0" w:color="auto"/>
        <w:right w:val="none" w:sz="0" w:space="0" w:color="auto"/>
      </w:divBdr>
    </w:div>
    <w:div w:id="694888501">
      <w:bodyDiv w:val="1"/>
      <w:marLeft w:val="0"/>
      <w:marRight w:val="0"/>
      <w:marTop w:val="0"/>
      <w:marBottom w:val="0"/>
      <w:divBdr>
        <w:top w:val="none" w:sz="0" w:space="0" w:color="auto"/>
        <w:left w:val="none" w:sz="0" w:space="0" w:color="auto"/>
        <w:bottom w:val="none" w:sz="0" w:space="0" w:color="auto"/>
        <w:right w:val="none" w:sz="0" w:space="0" w:color="auto"/>
      </w:divBdr>
    </w:div>
    <w:div w:id="716272331">
      <w:bodyDiv w:val="1"/>
      <w:marLeft w:val="0"/>
      <w:marRight w:val="0"/>
      <w:marTop w:val="0"/>
      <w:marBottom w:val="0"/>
      <w:divBdr>
        <w:top w:val="none" w:sz="0" w:space="0" w:color="auto"/>
        <w:left w:val="none" w:sz="0" w:space="0" w:color="auto"/>
        <w:bottom w:val="none" w:sz="0" w:space="0" w:color="auto"/>
        <w:right w:val="none" w:sz="0" w:space="0" w:color="auto"/>
      </w:divBdr>
    </w:div>
    <w:div w:id="720713833">
      <w:bodyDiv w:val="1"/>
      <w:marLeft w:val="0"/>
      <w:marRight w:val="0"/>
      <w:marTop w:val="0"/>
      <w:marBottom w:val="0"/>
      <w:divBdr>
        <w:top w:val="none" w:sz="0" w:space="0" w:color="auto"/>
        <w:left w:val="none" w:sz="0" w:space="0" w:color="auto"/>
        <w:bottom w:val="none" w:sz="0" w:space="0" w:color="auto"/>
        <w:right w:val="none" w:sz="0" w:space="0" w:color="auto"/>
      </w:divBdr>
    </w:div>
    <w:div w:id="754011877">
      <w:bodyDiv w:val="1"/>
      <w:marLeft w:val="0"/>
      <w:marRight w:val="0"/>
      <w:marTop w:val="0"/>
      <w:marBottom w:val="0"/>
      <w:divBdr>
        <w:top w:val="none" w:sz="0" w:space="0" w:color="auto"/>
        <w:left w:val="none" w:sz="0" w:space="0" w:color="auto"/>
        <w:bottom w:val="none" w:sz="0" w:space="0" w:color="auto"/>
        <w:right w:val="none" w:sz="0" w:space="0" w:color="auto"/>
      </w:divBdr>
    </w:div>
    <w:div w:id="758254325">
      <w:bodyDiv w:val="1"/>
      <w:marLeft w:val="0"/>
      <w:marRight w:val="0"/>
      <w:marTop w:val="0"/>
      <w:marBottom w:val="0"/>
      <w:divBdr>
        <w:top w:val="none" w:sz="0" w:space="0" w:color="auto"/>
        <w:left w:val="none" w:sz="0" w:space="0" w:color="auto"/>
        <w:bottom w:val="none" w:sz="0" w:space="0" w:color="auto"/>
        <w:right w:val="none" w:sz="0" w:space="0" w:color="auto"/>
      </w:divBdr>
    </w:div>
    <w:div w:id="760832409">
      <w:bodyDiv w:val="1"/>
      <w:marLeft w:val="0"/>
      <w:marRight w:val="0"/>
      <w:marTop w:val="0"/>
      <w:marBottom w:val="0"/>
      <w:divBdr>
        <w:top w:val="none" w:sz="0" w:space="0" w:color="auto"/>
        <w:left w:val="none" w:sz="0" w:space="0" w:color="auto"/>
        <w:bottom w:val="none" w:sz="0" w:space="0" w:color="auto"/>
        <w:right w:val="none" w:sz="0" w:space="0" w:color="auto"/>
      </w:divBdr>
    </w:div>
    <w:div w:id="763456953">
      <w:bodyDiv w:val="1"/>
      <w:marLeft w:val="0"/>
      <w:marRight w:val="0"/>
      <w:marTop w:val="0"/>
      <w:marBottom w:val="0"/>
      <w:divBdr>
        <w:top w:val="none" w:sz="0" w:space="0" w:color="auto"/>
        <w:left w:val="none" w:sz="0" w:space="0" w:color="auto"/>
        <w:bottom w:val="none" w:sz="0" w:space="0" w:color="auto"/>
        <w:right w:val="none" w:sz="0" w:space="0" w:color="auto"/>
      </w:divBdr>
    </w:div>
    <w:div w:id="774901890">
      <w:bodyDiv w:val="1"/>
      <w:marLeft w:val="0"/>
      <w:marRight w:val="0"/>
      <w:marTop w:val="0"/>
      <w:marBottom w:val="0"/>
      <w:divBdr>
        <w:top w:val="none" w:sz="0" w:space="0" w:color="auto"/>
        <w:left w:val="none" w:sz="0" w:space="0" w:color="auto"/>
        <w:bottom w:val="none" w:sz="0" w:space="0" w:color="auto"/>
        <w:right w:val="none" w:sz="0" w:space="0" w:color="auto"/>
      </w:divBdr>
    </w:div>
    <w:div w:id="775951961">
      <w:bodyDiv w:val="1"/>
      <w:marLeft w:val="0"/>
      <w:marRight w:val="0"/>
      <w:marTop w:val="0"/>
      <w:marBottom w:val="0"/>
      <w:divBdr>
        <w:top w:val="none" w:sz="0" w:space="0" w:color="auto"/>
        <w:left w:val="none" w:sz="0" w:space="0" w:color="auto"/>
        <w:bottom w:val="none" w:sz="0" w:space="0" w:color="auto"/>
        <w:right w:val="none" w:sz="0" w:space="0" w:color="auto"/>
      </w:divBdr>
    </w:div>
    <w:div w:id="786658822">
      <w:bodyDiv w:val="1"/>
      <w:marLeft w:val="0"/>
      <w:marRight w:val="0"/>
      <w:marTop w:val="0"/>
      <w:marBottom w:val="0"/>
      <w:divBdr>
        <w:top w:val="none" w:sz="0" w:space="0" w:color="auto"/>
        <w:left w:val="none" w:sz="0" w:space="0" w:color="auto"/>
        <w:bottom w:val="none" w:sz="0" w:space="0" w:color="auto"/>
        <w:right w:val="none" w:sz="0" w:space="0" w:color="auto"/>
      </w:divBdr>
    </w:div>
    <w:div w:id="797800943">
      <w:bodyDiv w:val="1"/>
      <w:marLeft w:val="0"/>
      <w:marRight w:val="0"/>
      <w:marTop w:val="0"/>
      <w:marBottom w:val="0"/>
      <w:divBdr>
        <w:top w:val="none" w:sz="0" w:space="0" w:color="auto"/>
        <w:left w:val="none" w:sz="0" w:space="0" w:color="auto"/>
        <w:bottom w:val="none" w:sz="0" w:space="0" w:color="auto"/>
        <w:right w:val="none" w:sz="0" w:space="0" w:color="auto"/>
      </w:divBdr>
    </w:div>
    <w:div w:id="813642935">
      <w:bodyDiv w:val="1"/>
      <w:marLeft w:val="0"/>
      <w:marRight w:val="0"/>
      <w:marTop w:val="0"/>
      <w:marBottom w:val="0"/>
      <w:divBdr>
        <w:top w:val="none" w:sz="0" w:space="0" w:color="auto"/>
        <w:left w:val="none" w:sz="0" w:space="0" w:color="auto"/>
        <w:bottom w:val="none" w:sz="0" w:space="0" w:color="auto"/>
        <w:right w:val="none" w:sz="0" w:space="0" w:color="auto"/>
      </w:divBdr>
    </w:div>
    <w:div w:id="832338522">
      <w:bodyDiv w:val="1"/>
      <w:marLeft w:val="0"/>
      <w:marRight w:val="0"/>
      <w:marTop w:val="0"/>
      <w:marBottom w:val="0"/>
      <w:divBdr>
        <w:top w:val="none" w:sz="0" w:space="0" w:color="auto"/>
        <w:left w:val="none" w:sz="0" w:space="0" w:color="auto"/>
        <w:bottom w:val="none" w:sz="0" w:space="0" w:color="auto"/>
        <w:right w:val="none" w:sz="0" w:space="0" w:color="auto"/>
      </w:divBdr>
    </w:div>
    <w:div w:id="839387520">
      <w:bodyDiv w:val="1"/>
      <w:marLeft w:val="0"/>
      <w:marRight w:val="0"/>
      <w:marTop w:val="0"/>
      <w:marBottom w:val="0"/>
      <w:divBdr>
        <w:top w:val="none" w:sz="0" w:space="0" w:color="auto"/>
        <w:left w:val="none" w:sz="0" w:space="0" w:color="auto"/>
        <w:bottom w:val="none" w:sz="0" w:space="0" w:color="auto"/>
        <w:right w:val="none" w:sz="0" w:space="0" w:color="auto"/>
      </w:divBdr>
    </w:div>
    <w:div w:id="843087631">
      <w:bodyDiv w:val="1"/>
      <w:marLeft w:val="0"/>
      <w:marRight w:val="0"/>
      <w:marTop w:val="0"/>
      <w:marBottom w:val="0"/>
      <w:divBdr>
        <w:top w:val="none" w:sz="0" w:space="0" w:color="auto"/>
        <w:left w:val="none" w:sz="0" w:space="0" w:color="auto"/>
        <w:bottom w:val="none" w:sz="0" w:space="0" w:color="auto"/>
        <w:right w:val="none" w:sz="0" w:space="0" w:color="auto"/>
      </w:divBdr>
    </w:div>
    <w:div w:id="845486875">
      <w:bodyDiv w:val="1"/>
      <w:marLeft w:val="0"/>
      <w:marRight w:val="0"/>
      <w:marTop w:val="0"/>
      <w:marBottom w:val="0"/>
      <w:divBdr>
        <w:top w:val="none" w:sz="0" w:space="0" w:color="auto"/>
        <w:left w:val="none" w:sz="0" w:space="0" w:color="auto"/>
        <w:bottom w:val="none" w:sz="0" w:space="0" w:color="auto"/>
        <w:right w:val="none" w:sz="0" w:space="0" w:color="auto"/>
      </w:divBdr>
    </w:div>
    <w:div w:id="847451521">
      <w:bodyDiv w:val="1"/>
      <w:marLeft w:val="0"/>
      <w:marRight w:val="0"/>
      <w:marTop w:val="0"/>
      <w:marBottom w:val="0"/>
      <w:divBdr>
        <w:top w:val="none" w:sz="0" w:space="0" w:color="auto"/>
        <w:left w:val="none" w:sz="0" w:space="0" w:color="auto"/>
        <w:bottom w:val="none" w:sz="0" w:space="0" w:color="auto"/>
        <w:right w:val="none" w:sz="0" w:space="0" w:color="auto"/>
      </w:divBdr>
    </w:div>
    <w:div w:id="847599495">
      <w:bodyDiv w:val="1"/>
      <w:marLeft w:val="0"/>
      <w:marRight w:val="0"/>
      <w:marTop w:val="0"/>
      <w:marBottom w:val="0"/>
      <w:divBdr>
        <w:top w:val="none" w:sz="0" w:space="0" w:color="auto"/>
        <w:left w:val="none" w:sz="0" w:space="0" w:color="auto"/>
        <w:bottom w:val="none" w:sz="0" w:space="0" w:color="auto"/>
        <w:right w:val="none" w:sz="0" w:space="0" w:color="auto"/>
      </w:divBdr>
    </w:div>
    <w:div w:id="860900422">
      <w:bodyDiv w:val="1"/>
      <w:marLeft w:val="0"/>
      <w:marRight w:val="0"/>
      <w:marTop w:val="0"/>
      <w:marBottom w:val="0"/>
      <w:divBdr>
        <w:top w:val="none" w:sz="0" w:space="0" w:color="auto"/>
        <w:left w:val="none" w:sz="0" w:space="0" w:color="auto"/>
        <w:bottom w:val="none" w:sz="0" w:space="0" w:color="auto"/>
        <w:right w:val="none" w:sz="0" w:space="0" w:color="auto"/>
      </w:divBdr>
    </w:div>
    <w:div w:id="879703141">
      <w:bodyDiv w:val="1"/>
      <w:marLeft w:val="0"/>
      <w:marRight w:val="0"/>
      <w:marTop w:val="0"/>
      <w:marBottom w:val="0"/>
      <w:divBdr>
        <w:top w:val="none" w:sz="0" w:space="0" w:color="auto"/>
        <w:left w:val="none" w:sz="0" w:space="0" w:color="auto"/>
        <w:bottom w:val="none" w:sz="0" w:space="0" w:color="auto"/>
        <w:right w:val="none" w:sz="0" w:space="0" w:color="auto"/>
      </w:divBdr>
    </w:div>
    <w:div w:id="886991271">
      <w:bodyDiv w:val="1"/>
      <w:marLeft w:val="0"/>
      <w:marRight w:val="0"/>
      <w:marTop w:val="0"/>
      <w:marBottom w:val="0"/>
      <w:divBdr>
        <w:top w:val="none" w:sz="0" w:space="0" w:color="auto"/>
        <w:left w:val="none" w:sz="0" w:space="0" w:color="auto"/>
        <w:bottom w:val="none" w:sz="0" w:space="0" w:color="auto"/>
        <w:right w:val="none" w:sz="0" w:space="0" w:color="auto"/>
      </w:divBdr>
    </w:div>
    <w:div w:id="898443105">
      <w:bodyDiv w:val="1"/>
      <w:marLeft w:val="0"/>
      <w:marRight w:val="0"/>
      <w:marTop w:val="0"/>
      <w:marBottom w:val="0"/>
      <w:divBdr>
        <w:top w:val="none" w:sz="0" w:space="0" w:color="auto"/>
        <w:left w:val="none" w:sz="0" w:space="0" w:color="auto"/>
        <w:bottom w:val="none" w:sz="0" w:space="0" w:color="auto"/>
        <w:right w:val="none" w:sz="0" w:space="0" w:color="auto"/>
      </w:divBdr>
    </w:div>
    <w:div w:id="900288746">
      <w:bodyDiv w:val="1"/>
      <w:marLeft w:val="0"/>
      <w:marRight w:val="0"/>
      <w:marTop w:val="0"/>
      <w:marBottom w:val="0"/>
      <w:divBdr>
        <w:top w:val="none" w:sz="0" w:space="0" w:color="auto"/>
        <w:left w:val="none" w:sz="0" w:space="0" w:color="auto"/>
        <w:bottom w:val="none" w:sz="0" w:space="0" w:color="auto"/>
        <w:right w:val="none" w:sz="0" w:space="0" w:color="auto"/>
      </w:divBdr>
    </w:div>
    <w:div w:id="918291533">
      <w:bodyDiv w:val="1"/>
      <w:marLeft w:val="0"/>
      <w:marRight w:val="0"/>
      <w:marTop w:val="0"/>
      <w:marBottom w:val="0"/>
      <w:divBdr>
        <w:top w:val="none" w:sz="0" w:space="0" w:color="auto"/>
        <w:left w:val="none" w:sz="0" w:space="0" w:color="auto"/>
        <w:bottom w:val="none" w:sz="0" w:space="0" w:color="auto"/>
        <w:right w:val="none" w:sz="0" w:space="0" w:color="auto"/>
      </w:divBdr>
    </w:div>
    <w:div w:id="940530928">
      <w:bodyDiv w:val="1"/>
      <w:marLeft w:val="0"/>
      <w:marRight w:val="0"/>
      <w:marTop w:val="0"/>
      <w:marBottom w:val="0"/>
      <w:divBdr>
        <w:top w:val="none" w:sz="0" w:space="0" w:color="auto"/>
        <w:left w:val="none" w:sz="0" w:space="0" w:color="auto"/>
        <w:bottom w:val="none" w:sz="0" w:space="0" w:color="auto"/>
        <w:right w:val="none" w:sz="0" w:space="0" w:color="auto"/>
      </w:divBdr>
    </w:div>
    <w:div w:id="941692939">
      <w:bodyDiv w:val="1"/>
      <w:marLeft w:val="0"/>
      <w:marRight w:val="0"/>
      <w:marTop w:val="0"/>
      <w:marBottom w:val="0"/>
      <w:divBdr>
        <w:top w:val="none" w:sz="0" w:space="0" w:color="auto"/>
        <w:left w:val="none" w:sz="0" w:space="0" w:color="auto"/>
        <w:bottom w:val="none" w:sz="0" w:space="0" w:color="auto"/>
        <w:right w:val="none" w:sz="0" w:space="0" w:color="auto"/>
      </w:divBdr>
    </w:div>
    <w:div w:id="942305945">
      <w:bodyDiv w:val="1"/>
      <w:marLeft w:val="0"/>
      <w:marRight w:val="0"/>
      <w:marTop w:val="0"/>
      <w:marBottom w:val="0"/>
      <w:divBdr>
        <w:top w:val="none" w:sz="0" w:space="0" w:color="auto"/>
        <w:left w:val="none" w:sz="0" w:space="0" w:color="auto"/>
        <w:bottom w:val="none" w:sz="0" w:space="0" w:color="auto"/>
        <w:right w:val="none" w:sz="0" w:space="0" w:color="auto"/>
      </w:divBdr>
    </w:div>
    <w:div w:id="949355307">
      <w:bodyDiv w:val="1"/>
      <w:marLeft w:val="0"/>
      <w:marRight w:val="0"/>
      <w:marTop w:val="0"/>
      <w:marBottom w:val="0"/>
      <w:divBdr>
        <w:top w:val="none" w:sz="0" w:space="0" w:color="auto"/>
        <w:left w:val="none" w:sz="0" w:space="0" w:color="auto"/>
        <w:bottom w:val="none" w:sz="0" w:space="0" w:color="auto"/>
        <w:right w:val="none" w:sz="0" w:space="0" w:color="auto"/>
      </w:divBdr>
    </w:div>
    <w:div w:id="955332773">
      <w:bodyDiv w:val="1"/>
      <w:marLeft w:val="0"/>
      <w:marRight w:val="0"/>
      <w:marTop w:val="0"/>
      <w:marBottom w:val="0"/>
      <w:divBdr>
        <w:top w:val="none" w:sz="0" w:space="0" w:color="auto"/>
        <w:left w:val="none" w:sz="0" w:space="0" w:color="auto"/>
        <w:bottom w:val="none" w:sz="0" w:space="0" w:color="auto"/>
        <w:right w:val="none" w:sz="0" w:space="0" w:color="auto"/>
      </w:divBdr>
    </w:div>
    <w:div w:id="960965089">
      <w:bodyDiv w:val="1"/>
      <w:marLeft w:val="0"/>
      <w:marRight w:val="0"/>
      <w:marTop w:val="0"/>
      <w:marBottom w:val="0"/>
      <w:divBdr>
        <w:top w:val="none" w:sz="0" w:space="0" w:color="auto"/>
        <w:left w:val="none" w:sz="0" w:space="0" w:color="auto"/>
        <w:bottom w:val="none" w:sz="0" w:space="0" w:color="auto"/>
        <w:right w:val="none" w:sz="0" w:space="0" w:color="auto"/>
      </w:divBdr>
    </w:div>
    <w:div w:id="971789195">
      <w:bodyDiv w:val="1"/>
      <w:marLeft w:val="0"/>
      <w:marRight w:val="0"/>
      <w:marTop w:val="0"/>
      <w:marBottom w:val="0"/>
      <w:divBdr>
        <w:top w:val="none" w:sz="0" w:space="0" w:color="auto"/>
        <w:left w:val="none" w:sz="0" w:space="0" w:color="auto"/>
        <w:bottom w:val="none" w:sz="0" w:space="0" w:color="auto"/>
        <w:right w:val="none" w:sz="0" w:space="0" w:color="auto"/>
      </w:divBdr>
    </w:div>
    <w:div w:id="973675548">
      <w:bodyDiv w:val="1"/>
      <w:marLeft w:val="0"/>
      <w:marRight w:val="0"/>
      <w:marTop w:val="0"/>
      <w:marBottom w:val="0"/>
      <w:divBdr>
        <w:top w:val="none" w:sz="0" w:space="0" w:color="auto"/>
        <w:left w:val="none" w:sz="0" w:space="0" w:color="auto"/>
        <w:bottom w:val="none" w:sz="0" w:space="0" w:color="auto"/>
        <w:right w:val="none" w:sz="0" w:space="0" w:color="auto"/>
      </w:divBdr>
    </w:div>
    <w:div w:id="983049400">
      <w:bodyDiv w:val="1"/>
      <w:marLeft w:val="0"/>
      <w:marRight w:val="0"/>
      <w:marTop w:val="0"/>
      <w:marBottom w:val="0"/>
      <w:divBdr>
        <w:top w:val="none" w:sz="0" w:space="0" w:color="auto"/>
        <w:left w:val="none" w:sz="0" w:space="0" w:color="auto"/>
        <w:bottom w:val="none" w:sz="0" w:space="0" w:color="auto"/>
        <w:right w:val="none" w:sz="0" w:space="0" w:color="auto"/>
      </w:divBdr>
    </w:div>
    <w:div w:id="1010597145">
      <w:bodyDiv w:val="1"/>
      <w:marLeft w:val="0"/>
      <w:marRight w:val="0"/>
      <w:marTop w:val="0"/>
      <w:marBottom w:val="0"/>
      <w:divBdr>
        <w:top w:val="none" w:sz="0" w:space="0" w:color="auto"/>
        <w:left w:val="none" w:sz="0" w:space="0" w:color="auto"/>
        <w:bottom w:val="none" w:sz="0" w:space="0" w:color="auto"/>
        <w:right w:val="none" w:sz="0" w:space="0" w:color="auto"/>
      </w:divBdr>
    </w:div>
    <w:div w:id="1012954120">
      <w:bodyDiv w:val="1"/>
      <w:marLeft w:val="0"/>
      <w:marRight w:val="0"/>
      <w:marTop w:val="0"/>
      <w:marBottom w:val="0"/>
      <w:divBdr>
        <w:top w:val="none" w:sz="0" w:space="0" w:color="auto"/>
        <w:left w:val="none" w:sz="0" w:space="0" w:color="auto"/>
        <w:bottom w:val="none" w:sz="0" w:space="0" w:color="auto"/>
        <w:right w:val="none" w:sz="0" w:space="0" w:color="auto"/>
      </w:divBdr>
    </w:div>
    <w:div w:id="1018433689">
      <w:bodyDiv w:val="1"/>
      <w:marLeft w:val="0"/>
      <w:marRight w:val="0"/>
      <w:marTop w:val="0"/>
      <w:marBottom w:val="0"/>
      <w:divBdr>
        <w:top w:val="none" w:sz="0" w:space="0" w:color="auto"/>
        <w:left w:val="none" w:sz="0" w:space="0" w:color="auto"/>
        <w:bottom w:val="none" w:sz="0" w:space="0" w:color="auto"/>
        <w:right w:val="none" w:sz="0" w:space="0" w:color="auto"/>
      </w:divBdr>
    </w:div>
    <w:div w:id="1022511698">
      <w:bodyDiv w:val="1"/>
      <w:marLeft w:val="0"/>
      <w:marRight w:val="0"/>
      <w:marTop w:val="0"/>
      <w:marBottom w:val="0"/>
      <w:divBdr>
        <w:top w:val="none" w:sz="0" w:space="0" w:color="auto"/>
        <w:left w:val="none" w:sz="0" w:space="0" w:color="auto"/>
        <w:bottom w:val="none" w:sz="0" w:space="0" w:color="auto"/>
        <w:right w:val="none" w:sz="0" w:space="0" w:color="auto"/>
      </w:divBdr>
    </w:div>
    <w:div w:id="1031105691">
      <w:bodyDiv w:val="1"/>
      <w:marLeft w:val="0"/>
      <w:marRight w:val="0"/>
      <w:marTop w:val="0"/>
      <w:marBottom w:val="0"/>
      <w:divBdr>
        <w:top w:val="none" w:sz="0" w:space="0" w:color="auto"/>
        <w:left w:val="none" w:sz="0" w:space="0" w:color="auto"/>
        <w:bottom w:val="none" w:sz="0" w:space="0" w:color="auto"/>
        <w:right w:val="none" w:sz="0" w:space="0" w:color="auto"/>
      </w:divBdr>
    </w:div>
    <w:div w:id="1036663408">
      <w:bodyDiv w:val="1"/>
      <w:marLeft w:val="0"/>
      <w:marRight w:val="0"/>
      <w:marTop w:val="0"/>
      <w:marBottom w:val="0"/>
      <w:divBdr>
        <w:top w:val="none" w:sz="0" w:space="0" w:color="auto"/>
        <w:left w:val="none" w:sz="0" w:space="0" w:color="auto"/>
        <w:bottom w:val="none" w:sz="0" w:space="0" w:color="auto"/>
        <w:right w:val="none" w:sz="0" w:space="0" w:color="auto"/>
      </w:divBdr>
    </w:div>
    <w:div w:id="1040664872">
      <w:bodyDiv w:val="1"/>
      <w:marLeft w:val="0"/>
      <w:marRight w:val="0"/>
      <w:marTop w:val="0"/>
      <w:marBottom w:val="0"/>
      <w:divBdr>
        <w:top w:val="none" w:sz="0" w:space="0" w:color="auto"/>
        <w:left w:val="none" w:sz="0" w:space="0" w:color="auto"/>
        <w:bottom w:val="none" w:sz="0" w:space="0" w:color="auto"/>
        <w:right w:val="none" w:sz="0" w:space="0" w:color="auto"/>
      </w:divBdr>
    </w:div>
    <w:div w:id="1042941982">
      <w:bodyDiv w:val="1"/>
      <w:marLeft w:val="0"/>
      <w:marRight w:val="0"/>
      <w:marTop w:val="0"/>
      <w:marBottom w:val="0"/>
      <w:divBdr>
        <w:top w:val="none" w:sz="0" w:space="0" w:color="auto"/>
        <w:left w:val="none" w:sz="0" w:space="0" w:color="auto"/>
        <w:bottom w:val="none" w:sz="0" w:space="0" w:color="auto"/>
        <w:right w:val="none" w:sz="0" w:space="0" w:color="auto"/>
      </w:divBdr>
    </w:div>
    <w:div w:id="1053622776">
      <w:bodyDiv w:val="1"/>
      <w:marLeft w:val="0"/>
      <w:marRight w:val="0"/>
      <w:marTop w:val="0"/>
      <w:marBottom w:val="0"/>
      <w:divBdr>
        <w:top w:val="none" w:sz="0" w:space="0" w:color="auto"/>
        <w:left w:val="none" w:sz="0" w:space="0" w:color="auto"/>
        <w:bottom w:val="none" w:sz="0" w:space="0" w:color="auto"/>
        <w:right w:val="none" w:sz="0" w:space="0" w:color="auto"/>
      </w:divBdr>
    </w:div>
    <w:div w:id="1068109354">
      <w:bodyDiv w:val="1"/>
      <w:marLeft w:val="0"/>
      <w:marRight w:val="0"/>
      <w:marTop w:val="0"/>
      <w:marBottom w:val="0"/>
      <w:divBdr>
        <w:top w:val="none" w:sz="0" w:space="0" w:color="auto"/>
        <w:left w:val="none" w:sz="0" w:space="0" w:color="auto"/>
        <w:bottom w:val="none" w:sz="0" w:space="0" w:color="auto"/>
        <w:right w:val="none" w:sz="0" w:space="0" w:color="auto"/>
      </w:divBdr>
    </w:div>
    <w:div w:id="1070426140">
      <w:bodyDiv w:val="1"/>
      <w:marLeft w:val="0"/>
      <w:marRight w:val="0"/>
      <w:marTop w:val="0"/>
      <w:marBottom w:val="0"/>
      <w:divBdr>
        <w:top w:val="none" w:sz="0" w:space="0" w:color="auto"/>
        <w:left w:val="none" w:sz="0" w:space="0" w:color="auto"/>
        <w:bottom w:val="none" w:sz="0" w:space="0" w:color="auto"/>
        <w:right w:val="none" w:sz="0" w:space="0" w:color="auto"/>
      </w:divBdr>
    </w:div>
    <w:div w:id="1072893998">
      <w:bodyDiv w:val="1"/>
      <w:marLeft w:val="0"/>
      <w:marRight w:val="0"/>
      <w:marTop w:val="0"/>
      <w:marBottom w:val="0"/>
      <w:divBdr>
        <w:top w:val="none" w:sz="0" w:space="0" w:color="auto"/>
        <w:left w:val="none" w:sz="0" w:space="0" w:color="auto"/>
        <w:bottom w:val="none" w:sz="0" w:space="0" w:color="auto"/>
        <w:right w:val="none" w:sz="0" w:space="0" w:color="auto"/>
      </w:divBdr>
    </w:div>
    <w:div w:id="1090157034">
      <w:bodyDiv w:val="1"/>
      <w:marLeft w:val="0"/>
      <w:marRight w:val="0"/>
      <w:marTop w:val="0"/>
      <w:marBottom w:val="0"/>
      <w:divBdr>
        <w:top w:val="none" w:sz="0" w:space="0" w:color="auto"/>
        <w:left w:val="none" w:sz="0" w:space="0" w:color="auto"/>
        <w:bottom w:val="none" w:sz="0" w:space="0" w:color="auto"/>
        <w:right w:val="none" w:sz="0" w:space="0" w:color="auto"/>
      </w:divBdr>
    </w:div>
    <w:div w:id="1100224751">
      <w:bodyDiv w:val="1"/>
      <w:marLeft w:val="0"/>
      <w:marRight w:val="0"/>
      <w:marTop w:val="0"/>
      <w:marBottom w:val="0"/>
      <w:divBdr>
        <w:top w:val="none" w:sz="0" w:space="0" w:color="auto"/>
        <w:left w:val="none" w:sz="0" w:space="0" w:color="auto"/>
        <w:bottom w:val="none" w:sz="0" w:space="0" w:color="auto"/>
        <w:right w:val="none" w:sz="0" w:space="0" w:color="auto"/>
      </w:divBdr>
    </w:div>
    <w:div w:id="1114642170">
      <w:bodyDiv w:val="1"/>
      <w:marLeft w:val="0"/>
      <w:marRight w:val="0"/>
      <w:marTop w:val="0"/>
      <w:marBottom w:val="0"/>
      <w:divBdr>
        <w:top w:val="none" w:sz="0" w:space="0" w:color="auto"/>
        <w:left w:val="none" w:sz="0" w:space="0" w:color="auto"/>
        <w:bottom w:val="none" w:sz="0" w:space="0" w:color="auto"/>
        <w:right w:val="none" w:sz="0" w:space="0" w:color="auto"/>
      </w:divBdr>
    </w:div>
    <w:div w:id="1124159640">
      <w:bodyDiv w:val="1"/>
      <w:marLeft w:val="0"/>
      <w:marRight w:val="0"/>
      <w:marTop w:val="0"/>
      <w:marBottom w:val="0"/>
      <w:divBdr>
        <w:top w:val="none" w:sz="0" w:space="0" w:color="auto"/>
        <w:left w:val="none" w:sz="0" w:space="0" w:color="auto"/>
        <w:bottom w:val="none" w:sz="0" w:space="0" w:color="auto"/>
        <w:right w:val="none" w:sz="0" w:space="0" w:color="auto"/>
      </w:divBdr>
    </w:div>
    <w:div w:id="1125390371">
      <w:bodyDiv w:val="1"/>
      <w:marLeft w:val="0"/>
      <w:marRight w:val="0"/>
      <w:marTop w:val="0"/>
      <w:marBottom w:val="0"/>
      <w:divBdr>
        <w:top w:val="none" w:sz="0" w:space="0" w:color="auto"/>
        <w:left w:val="none" w:sz="0" w:space="0" w:color="auto"/>
        <w:bottom w:val="none" w:sz="0" w:space="0" w:color="auto"/>
        <w:right w:val="none" w:sz="0" w:space="0" w:color="auto"/>
      </w:divBdr>
    </w:div>
    <w:div w:id="1147745230">
      <w:bodyDiv w:val="1"/>
      <w:marLeft w:val="0"/>
      <w:marRight w:val="0"/>
      <w:marTop w:val="0"/>
      <w:marBottom w:val="0"/>
      <w:divBdr>
        <w:top w:val="none" w:sz="0" w:space="0" w:color="auto"/>
        <w:left w:val="none" w:sz="0" w:space="0" w:color="auto"/>
        <w:bottom w:val="none" w:sz="0" w:space="0" w:color="auto"/>
        <w:right w:val="none" w:sz="0" w:space="0" w:color="auto"/>
      </w:divBdr>
    </w:div>
    <w:div w:id="1157838362">
      <w:bodyDiv w:val="1"/>
      <w:marLeft w:val="0"/>
      <w:marRight w:val="0"/>
      <w:marTop w:val="0"/>
      <w:marBottom w:val="0"/>
      <w:divBdr>
        <w:top w:val="none" w:sz="0" w:space="0" w:color="auto"/>
        <w:left w:val="none" w:sz="0" w:space="0" w:color="auto"/>
        <w:bottom w:val="none" w:sz="0" w:space="0" w:color="auto"/>
        <w:right w:val="none" w:sz="0" w:space="0" w:color="auto"/>
      </w:divBdr>
    </w:div>
    <w:div w:id="1171138224">
      <w:bodyDiv w:val="1"/>
      <w:marLeft w:val="0"/>
      <w:marRight w:val="0"/>
      <w:marTop w:val="0"/>
      <w:marBottom w:val="0"/>
      <w:divBdr>
        <w:top w:val="none" w:sz="0" w:space="0" w:color="auto"/>
        <w:left w:val="none" w:sz="0" w:space="0" w:color="auto"/>
        <w:bottom w:val="none" w:sz="0" w:space="0" w:color="auto"/>
        <w:right w:val="none" w:sz="0" w:space="0" w:color="auto"/>
      </w:divBdr>
    </w:div>
    <w:div w:id="1176117995">
      <w:bodyDiv w:val="1"/>
      <w:marLeft w:val="0"/>
      <w:marRight w:val="0"/>
      <w:marTop w:val="0"/>
      <w:marBottom w:val="0"/>
      <w:divBdr>
        <w:top w:val="none" w:sz="0" w:space="0" w:color="auto"/>
        <w:left w:val="none" w:sz="0" w:space="0" w:color="auto"/>
        <w:bottom w:val="none" w:sz="0" w:space="0" w:color="auto"/>
        <w:right w:val="none" w:sz="0" w:space="0" w:color="auto"/>
      </w:divBdr>
    </w:div>
    <w:div w:id="1176724632">
      <w:bodyDiv w:val="1"/>
      <w:marLeft w:val="0"/>
      <w:marRight w:val="0"/>
      <w:marTop w:val="0"/>
      <w:marBottom w:val="0"/>
      <w:divBdr>
        <w:top w:val="none" w:sz="0" w:space="0" w:color="auto"/>
        <w:left w:val="none" w:sz="0" w:space="0" w:color="auto"/>
        <w:bottom w:val="none" w:sz="0" w:space="0" w:color="auto"/>
        <w:right w:val="none" w:sz="0" w:space="0" w:color="auto"/>
      </w:divBdr>
    </w:div>
    <w:div w:id="1190950302">
      <w:bodyDiv w:val="1"/>
      <w:marLeft w:val="0"/>
      <w:marRight w:val="0"/>
      <w:marTop w:val="0"/>
      <w:marBottom w:val="0"/>
      <w:divBdr>
        <w:top w:val="none" w:sz="0" w:space="0" w:color="auto"/>
        <w:left w:val="none" w:sz="0" w:space="0" w:color="auto"/>
        <w:bottom w:val="none" w:sz="0" w:space="0" w:color="auto"/>
        <w:right w:val="none" w:sz="0" w:space="0" w:color="auto"/>
      </w:divBdr>
    </w:div>
    <w:div w:id="1192763717">
      <w:bodyDiv w:val="1"/>
      <w:marLeft w:val="0"/>
      <w:marRight w:val="0"/>
      <w:marTop w:val="0"/>
      <w:marBottom w:val="0"/>
      <w:divBdr>
        <w:top w:val="none" w:sz="0" w:space="0" w:color="auto"/>
        <w:left w:val="none" w:sz="0" w:space="0" w:color="auto"/>
        <w:bottom w:val="none" w:sz="0" w:space="0" w:color="auto"/>
        <w:right w:val="none" w:sz="0" w:space="0" w:color="auto"/>
      </w:divBdr>
    </w:div>
    <w:div w:id="1222404514">
      <w:bodyDiv w:val="1"/>
      <w:marLeft w:val="0"/>
      <w:marRight w:val="0"/>
      <w:marTop w:val="0"/>
      <w:marBottom w:val="0"/>
      <w:divBdr>
        <w:top w:val="none" w:sz="0" w:space="0" w:color="auto"/>
        <w:left w:val="none" w:sz="0" w:space="0" w:color="auto"/>
        <w:bottom w:val="none" w:sz="0" w:space="0" w:color="auto"/>
        <w:right w:val="none" w:sz="0" w:space="0" w:color="auto"/>
      </w:divBdr>
    </w:div>
    <w:div w:id="1231621081">
      <w:bodyDiv w:val="1"/>
      <w:marLeft w:val="0"/>
      <w:marRight w:val="0"/>
      <w:marTop w:val="0"/>
      <w:marBottom w:val="0"/>
      <w:divBdr>
        <w:top w:val="none" w:sz="0" w:space="0" w:color="auto"/>
        <w:left w:val="none" w:sz="0" w:space="0" w:color="auto"/>
        <w:bottom w:val="none" w:sz="0" w:space="0" w:color="auto"/>
        <w:right w:val="none" w:sz="0" w:space="0" w:color="auto"/>
      </w:divBdr>
    </w:div>
    <w:div w:id="1236012074">
      <w:bodyDiv w:val="1"/>
      <w:marLeft w:val="0"/>
      <w:marRight w:val="0"/>
      <w:marTop w:val="0"/>
      <w:marBottom w:val="0"/>
      <w:divBdr>
        <w:top w:val="none" w:sz="0" w:space="0" w:color="auto"/>
        <w:left w:val="none" w:sz="0" w:space="0" w:color="auto"/>
        <w:bottom w:val="none" w:sz="0" w:space="0" w:color="auto"/>
        <w:right w:val="none" w:sz="0" w:space="0" w:color="auto"/>
      </w:divBdr>
    </w:div>
    <w:div w:id="1239361984">
      <w:bodyDiv w:val="1"/>
      <w:marLeft w:val="0"/>
      <w:marRight w:val="0"/>
      <w:marTop w:val="0"/>
      <w:marBottom w:val="0"/>
      <w:divBdr>
        <w:top w:val="none" w:sz="0" w:space="0" w:color="auto"/>
        <w:left w:val="none" w:sz="0" w:space="0" w:color="auto"/>
        <w:bottom w:val="none" w:sz="0" w:space="0" w:color="auto"/>
        <w:right w:val="none" w:sz="0" w:space="0" w:color="auto"/>
      </w:divBdr>
    </w:div>
    <w:div w:id="1244022914">
      <w:bodyDiv w:val="1"/>
      <w:marLeft w:val="0"/>
      <w:marRight w:val="0"/>
      <w:marTop w:val="0"/>
      <w:marBottom w:val="0"/>
      <w:divBdr>
        <w:top w:val="none" w:sz="0" w:space="0" w:color="auto"/>
        <w:left w:val="none" w:sz="0" w:space="0" w:color="auto"/>
        <w:bottom w:val="none" w:sz="0" w:space="0" w:color="auto"/>
        <w:right w:val="none" w:sz="0" w:space="0" w:color="auto"/>
      </w:divBdr>
    </w:div>
    <w:div w:id="1244871576">
      <w:bodyDiv w:val="1"/>
      <w:marLeft w:val="0"/>
      <w:marRight w:val="0"/>
      <w:marTop w:val="0"/>
      <w:marBottom w:val="0"/>
      <w:divBdr>
        <w:top w:val="none" w:sz="0" w:space="0" w:color="auto"/>
        <w:left w:val="none" w:sz="0" w:space="0" w:color="auto"/>
        <w:bottom w:val="none" w:sz="0" w:space="0" w:color="auto"/>
        <w:right w:val="none" w:sz="0" w:space="0" w:color="auto"/>
      </w:divBdr>
    </w:div>
    <w:div w:id="1255015376">
      <w:bodyDiv w:val="1"/>
      <w:marLeft w:val="0"/>
      <w:marRight w:val="0"/>
      <w:marTop w:val="0"/>
      <w:marBottom w:val="0"/>
      <w:divBdr>
        <w:top w:val="none" w:sz="0" w:space="0" w:color="auto"/>
        <w:left w:val="none" w:sz="0" w:space="0" w:color="auto"/>
        <w:bottom w:val="none" w:sz="0" w:space="0" w:color="auto"/>
        <w:right w:val="none" w:sz="0" w:space="0" w:color="auto"/>
      </w:divBdr>
    </w:div>
    <w:div w:id="1257903841">
      <w:bodyDiv w:val="1"/>
      <w:marLeft w:val="0"/>
      <w:marRight w:val="0"/>
      <w:marTop w:val="0"/>
      <w:marBottom w:val="0"/>
      <w:divBdr>
        <w:top w:val="none" w:sz="0" w:space="0" w:color="auto"/>
        <w:left w:val="none" w:sz="0" w:space="0" w:color="auto"/>
        <w:bottom w:val="none" w:sz="0" w:space="0" w:color="auto"/>
        <w:right w:val="none" w:sz="0" w:space="0" w:color="auto"/>
      </w:divBdr>
    </w:div>
    <w:div w:id="1279071828">
      <w:bodyDiv w:val="1"/>
      <w:marLeft w:val="0"/>
      <w:marRight w:val="0"/>
      <w:marTop w:val="0"/>
      <w:marBottom w:val="0"/>
      <w:divBdr>
        <w:top w:val="none" w:sz="0" w:space="0" w:color="auto"/>
        <w:left w:val="none" w:sz="0" w:space="0" w:color="auto"/>
        <w:bottom w:val="none" w:sz="0" w:space="0" w:color="auto"/>
        <w:right w:val="none" w:sz="0" w:space="0" w:color="auto"/>
      </w:divBdr>
    </w:div>
    <w:div w:id="1282496832">
      <w:bodyDiv w:val="1"/>
      <w:marLeft w:val="0"/>
      <w:marRight w:val="0"/>
      <w:marTop w:val="0"/>
      <w:marBottom w:val="0"/>
      <w:divBdr>
        <w:top w:val="none" w:sz="0" w:space="0" w:color="auto"/>
        <w:left w:val="none" w:sz="0" w:space="0" w:color="auto"/>
        <w:bottom w:val="none" w:sz="0" w:space="0" w:color="auto"/>
        <w:right w:val="none" w:sz="0" w:space="0" w:color="auto"/>
      </w:divBdr>
    </w:div>
    <w:div w:id="1283999788">
      <w:bodyDiv w:val="1"/>
      <w:marLeft w:val="0"/>
      <w:marRight w:val="0"/>
      <w:marTop w:val="0"/>
      <w:marBottom w:val="0"/>
      <w:divBdr>
        <w:top w:val="none" w:sz="0" w:space="0" w:color="auto"/>
        <w:left w:val="none" w:sz="0" w:space="0" w:color="auto"/>
        <w:bottom w:val="none" w:sz="0" w:space="0" w:color="auto"/>
        <w:right w:val="none" w:sz="0" w:space="0" w:color="auto"/>
      </w:divBdr>
    </w:div>
    <w:div w:id="1289896695">
      <w:bodyDiv w:val="1"/>
      <w:marLeft w:val="0"/>
      <w:marRight w:val="0"/>
      <w:marTop w:val="0"/>
      <w:marBottom w:val="0"/>
      <w:divBdr>
        <w:top w:val="none" w:sz="0" w:space="0" w:color="auto"/>
        <w:left w:val="none" w:sz="0" w:space="0" w:color="auto"/>
        <w:bottom w:val="none" w:sz="0" w:space="0" w:color="auto"/>
        <w:right w:val="none" w:sz="0" w:space="0" w:color="auto"/>
      </w:divBdr>
    </w:div>
    <w:div w:id="1305044131">
      <w:bodyDiv w:val="1"/>
      <w:marLeft w:val="0"/>
      <w:marRight w:val="0"/>
      <w:marTop w:val="0"/>
      <w:marBottom w:val="0"/>
      <w:divBdr>
        <w:top w:val="none" w:sz="0" w:space="0" w:color="auto"/>
        <w:left w:val="none" w:sz="0" w:space="0" w:color="auto"/>
        <w:bottom w:val="none" w:sz="0" w:space="0" w:color="auto"/>
        <w:right w:val="none" w:sz="0" w:space="0" w:color="auto"/>
      </w:divBdr>
    </w:div>
    <w:div w:id="1307976279">
      <w:bodyDiv w:val="1"/>
      <w:marLeft w:val="0"/>
      <w:marRight w:val="0"/>
      <w:marTop w:val="0"/>
      <w:marBottom w:val="0"/>
      <w:divBdr>
        <w:top w:val="none" w:sz="0" w:space="0" w:color="auto"/>
        <w:left w:val="none" w:sz="0" w:space="0" w:color="auto"/>
        <w:bottom w:val="none" w:sz="0" w:space="0" w:color="auto"/>
        <w:right w:val="none" w:sz="0" w:space="0" w:color="auto"/>
      </w:divBdr>
    </w:div>
    <w:div w:id="1341542834">
      <w:bodyDiv w:val="1"/>
      <w:marLeft w:val="0"/>
      <w:marRight w:val="0"/>
      <w:marTop w:val="0"/>
      <w:marBottom w:val="0"/>
      <w:divBdr>
        <w:top w:val="none" w:sz="0" w:space="0" w:color="auto"/>
        <w:left w:val="none" w:sz="0" w:space="0" w:color="auto"/>
        <w:bottom w:val="none" w:sz="0" w:space="0" w:color="auto"/>
        <w:right w:val="none" w:sz="0" w:space="0" w:color="auto"/>
      </w:divBdr>
    </w:div>
    <w:div w:id="1350328737">
      <w:bodyDiv w:val="1"/>
      <w:marLeft w:val="0"/>
      <w:marRight w:val="0"/>
      <w:marTop w:val="0"/>
      <w:marBottom w:val="0"/>
      <w:divBdr>
        <w:top w:val="none" w:sz="0" w:space="0" w:color="auto"/>
        <w:left w:val="none" w:sz="0" w:space="0" w:color="auto"/>
        <w:bottom w:val="none" w:sz="0" w:space="0" w:color="auto"/>
        <w:right w:val="none" w:sz="0" w:space="0" w:color="auto"/>
      </w:divBdr>
    </w:div>
    <w:div w:id="1356346110">
      <w:bodyDiv w:val="1"/>
      <w:marLeft w:val="0"/>
      <w:marRight w:val="0"/>
      <w:marTop w:val="0"/>
      <w:marBottom w:val="0"/>
      <w:divBdr>
        <w:top w:val="none" w:sz="0" w:space="0" w:color="auto"/>
        <w:left w:val="none" w:sz="0" w:space="0" w:color="auto"/>
        <w:bottom w:val="none" w:sz="0" w:space="0" w:color="auto"/>
        <w:right w:val="none" w:sz="0" w:space="0" w:color="auto"/>
      </w:divBdr>
    </w:div>
    <w:div w:id="1373384915">
      <w:bodyDiv w:val="1"/>
      <w:marLeft w:val="0"/>
      <w:marRight w:val="0"/>
      <w:marTop w:val="0"/>
      <w:marBottom w:val="0"/>
      <w:divBdr>
        <w:top w:val="none" w:sz="0" w:space="0" w:color="auto"/>
        <w:left w:val="none" w:sz="0" w:space="0" w:color="auto"/>
        <w:bottom w:val="none" w:sz="0" w:space="0" w:color="auto"/>
        <w:right w:val="none" w:sz="0" w:space="0" w:color="auto"/>
      </w:divBdr>
    </w:div>
    <w:div w:id="1377386621">
      <w:bodyDiv w:val="1"/>
      <w:marLeft w:val="0"/>
      <w:marRight w:val="0"/>
      <w:marTop w:val="0"/>
      <w:marBottom w:val="0"/>
      <w:divBdr>
        <w:top w:val="none" w:sz="0" w:space="0" w:color="auto"/>
        <w:left w:val="none" w:sz="0" w:space="0" w:color="auto"/>
        <w:bottom w:val="none" w:sz="0" w:space="0" w:color="auto"/>
        <w:right w:val="none" w:sz="0" w:space="0" w:color="auto"/>
      </w:divBdr>
    </w:div>
    <w:div w:id="1381247423">
      <w:bodyDiv w:val="1"/>
      <w:marLeft w:val="0"/>
      <w:marRight w:val="0"/>
      <w:marTop w:val="0"/>
      <w:marBottom w:val="0"/>
      <w:divBdr>
        <w:top w:val="none" w:sz="0" w:space="0" w:color="auto"/>
        <w:left w:val="none" w:sz="0" w:space="0" w:color="auto"/>
        <w:bottom w:val="none" w:sz="0" w:space="0" w:color="auto"/>
        <w:right w:val="none" w:sz="0" w:space="0" w:color="auto"/>
      </w:divBdr>
    </w:div>
    <w:div w:id="1392997307">
      <w:bodyDiv w:val="1"/>
      <w:marLeft w:val="0"/>
      <w:marRight w:val="0"/>
      <w:marTop w:val="0"/>
      <w:marBottom w:val="0"/>
      <w:divBdr>
        <w:top w:val="none" w:sz="0" w:space="0" w:color="auto"/>
        <w:left w:val="none" w:sz="0" w:space="0" w:color="auto"/>
        <w:bottom w:val="none" w:sz="0" w:space="0" w:color="auto"/>
        <w:right w:val="none" w:sz="0" w:space="0" w:color="auto"/>
      </w:divBdr>
    </w:div>
    <w:div w:id="1394356831">
      <w:bodyDiv w:val="1"/>
      <w:marLeft w:val="0"/>
      <w:marRight w:val="0"/>
      <w:marTop w:val="0"/>
      <w:marBottom w:val="0"/>
      <w:divBdr>
        <w:top w:val="none" w:sz="0" w:space="0" w:color="auto"/>
        <w:left w:val="none" w:sz="0" w:space="0" w:color="auto"/>
        <w:bottom w:val="none" w:sz="0" w:space="0" w:color="auto"/>
        <w:right w:val="none" w:sz="0" w:space="0" w:color="auto"/>
      </w:divBdr>
    </w:div>
    <w:div w:id="1402412348">
      <w:bodyDiv w:val="1"/>
      <w:marLeft w:val="0"/>
      <w:marRight w:val="0"/>
      <w:marTop w:val="0"/>
      <w:marBottom w:val="0"/>
      <w:divBdr>
        <w:top w:val="none" w:sz="0" w:space="0" w:color="auto"/>
        <w:left w:val="none" w:sz="0" w:space="0" w:color="auto"/>
        <w:bottom w:val="none" w:sz="0" w:space="0" w:color="auto"/>
        <w:right w:val="none" w:sz="0" w:space="0" w:color="auto"/>
      </w:divBdr>
    </w:div>
    <w:div w:id="1403261867">
      <w:bodyDiv w:val="1"/>
      <w:marLeft w:val="0"/>
      <w:marRight w:val="0"/>
      <w:marTop w:val="0"/>
      <w:marBottom w:val="0"/>
      <w:divBdr>
        <w:top w:val="none" w:sz="0" w:space="0" w:color="auto"/>
        <w:left w:val="none" w:sz="0" w:space="0" w:color="auto"/>
        <w:bottom w:val="none" w:sz="0" w:space="0" w:color="auto"/>
        <w:right w:val="none" w:sz="0" w:space="0" w:color="auto"/>
      </w:divBdr>
    </w:div>
    <w:div w:id="1407264900">
      <w:bodyDiv w:val="1"/>
      <w:marLeft w:val="0"/>
      <w:marRight w:val="0"/>
      <w:marTop w:val="0"/>
      <w:marBottom w:val="0"/>
      <w:divBdr>
        <w:top w:val="none" w:sz="0" w:space="0" w:color="auto"/>
        <w:left w:val="none" w:sz="0" w:space="0" w:color="auto"/>
        <w:bottom w:val="none" w:sz="0" w:space="0" w:color="auto"/>
        <w:right w:val="none" w:sz="0" w:space="0" w:color="auto"/>
      </w:divBdr>
    </w:div>
    <w:div w:id="1410342741">
      <w:bodyDiv w:val="1"/>
      <w:marLeft w:val="0"/>
      <w:marRight w:val="0"/>
      <w:marTop w:val="0"/>
      <w:marBottom w:val="0"/>
      <w:divBdr>
        <w:top w:val="none" w:sz="0" w:space="0" w:color="auto"/>
        <w:left w:val="none" w:sz="0" w:space="0" w:color="auto"/>
        <w:bottom w:val="none" w:sz="0" w:space="0" w:color="auto"/>
        <w:right w:val="none" w:sz="0" w:space="0" w:color="auto"/>
      </w:divBdr>
    </w:div>
    <w:div w:id="1411776871">
      <w:bodyDiv w:val="1"/>
      <w:marLeft w:val="0"/>
      <w:marRight w:val="0"/>
      <w:marTop w:val="0"/>
      <w:marBottom w:val="0"/>
      <w:divBdr>
        <w:top w:val="none" w:sz="0" w:space="0" w:color="auto"/>
        <w:left w:val="none" w:sz="0" w:space="0" w:color="auto"/>
        <w:bottom w:val="none" w:sz="0" w:space="0" w:color="auto"/>
        <w:right w:val="none" w:sz="0" w:space="0" w:color="auto"/>
      </w:divBdr>
    </w:div>
    <w:div w:id="1419323415">
      <w:bodyDiv w:val="1"/>
      <w:marLeft w:val="0"/>
      <w:marRight w:val="0"/>
      <w:marTop w:val="0"/>
      <w:marBottom w:val="0"/>
      <w:divBdr>
        <w:top w:val="none" w:sz="0" w:space="0" w:color="auto"/>
        <w:left w:val="none" w:sz="0" w:space="0" w:color="auto"/>
        <w:bottom w:val="none" w:sz="0" w:space="0" w:color="auto"/>
        <w:right w:val="none" w:sz="0" w:space="0" w:color="auto"/>
      </w:divBdr>
    </w:div>
    <w:div w:id="1419597862">
      <w:bodyDiv w:val="1"/>
      <w:marLeft w:val="0"/>
      <w:marRight w:val="0"/>
      <w:marTop w:val="0"/>
      <w:marBottom w:val="0"/>
      <w:divBdr>
        <w:top w:val="none" w:sz="0" w:space="0" w:color="auto"/>
        <w:left w:val="none" w:sz="0" w:space="0" w:color="auto"/>
        <w:bottom w:val="none" w:sz="0" w:space="0" w:color="auto"/>
        <w:right w:val="none" w:sz="0" w:space="0" w:color="auto"/>
      </w:divBdr>
    </w:div>
    <w:div w:id="1441418149">
      <w:bodyDiv w:val="1"/>
      <w:marLeft w:val="0"/>
      <w:marRight w:val="0"/>
      <w:marTop w:val="0"/>
      <w:marBottom w:val="0"/>
      <w:divBdr>
        <w:top w:val="none" w:sz="0" w:space="0" w:color="auto"/>
        <w:left w:val="none" w:sz="0" w:space="0" w:color="auto"/>
        <w:bottom w:val="none" w:sz="0" w:space="0" w:color="auto"/>
        <w:right w:val="none" w:sz="0" w:space="0" w:color="auto"/>
      </w:divBdr>
    </w:div>
    <w:div w:id="1461266376">
      <w:bodyDiv w:val="1"/>
      <w:marLeft w:val="0"/>
      <w:marRight w:val="0"/>
      <w:marTop w:val="0"/>
      <w:marBottom w:val="0"/>
      <w:divBdr>
        <w:top w:val="none" w:sz="0" w:space="0" w:color="auto"/>
        <w:left w:val="none" w:sz="0" w:space="0" w:color="auto"/>
        <w:bottom w:val="none" w:sz="0" w:space="0" w:color="auto"/>
        <w:right w:val="none" w:sz="0" w:space="0" w:color="auto"/>
      </w:divBdr>
    </w:div>
    <w:div w:id="1461999383">
      <w:bodyDiv w:val="1"/>
      <w:marLeft w:val="0"/>
      <w:marRight w:val="0"/>
      <w:marTop w:val="0"/>
      <w:marBottom w:val="0"/>
      <w:divBdr>
        <w:top w:val="none" w:sz="0" w:space="0" w:color="auto"/>
        <w:left w:val="none" w:sz="0" w:space="0" w:color="auto"/>
        <w:bottom w:val="none" w:sz="0" w:space="0" w:color="auto"/>
        <w:right w:val="none" w:sz="0" w:space="0" w:color="auto"/>
      </w:divBdr>
    </w:div>
    <w:div w:id="1482041830">
      <w:bodyDiv w:val="1"/>
      <w:marLeft w:val="0"/>
      <w:marRight w:val="0"/>
      <w:marTop w:val="0"/>
      <w:marBottom w:val="0"/>
      <w:divBdr>
        <w:top w:val="none" w:sz="0" w:space="0" w:color="auto"/>
        <w:left w:val="none" w:sz="0" w:space="0" w:color="auto"/>
        <w:bottom w:val="none" w:sz="0" w:space="0" w:color="auto"/>
        <w:right w:val="none" w:sz="0" w:space="0" w:color="auto"/>
      </w:divBdr>
    </w:div>
    <w:div w:id="1492285936">
      <w:bodyDiv w:val="1"/>
      <w:marLeft w:val="0"/>
      <w:marRight w:val="0"/>
      <w:marTop w:val="0"/>
      <w:marBottom w:val="0"/>
      <w:divBdr>
        <w:top w:val="none" w:sz="0" w:space="0" w:color="auto"/>
        <w:left w:val="none" w:sz="0" w:space="0" w:color="auto"/>
        <w:bottom w:val="none" w:sz="0" w:space="0" w:color="auto"/>
        <w:right w:val="none" w:sz="0" w:space="0" w:color="auto"/>
      </w:divBdr>
    </w:div>
    <w:div w:id="1500271586">
      <w:bodyDiv w:val="1"/>
      <w:marLeft w:val="0"/>
      <w:marRight w:val="0"/>
      <w:marTop w:val="0"/>
      <w:marBottom w:val="0"/>
      <w:divBdr>
        <w:top w:val="none" w:sz="0" w:space="0" w:color="auto"/>
        <w:left w:val="none" w:sz="0" w:space="0" w:color="auto"/>
        <w:bottom w:val="none" w:sz="0" w:space="0" w:color="auto"/>
        <w:right w:val="none" w:sz="0" w:space="0" w:color="auto"/>
      </w:divBdr>
    </w:div>
    <w:div w:id="1501122540">
      <w:bodyDiv w:val="1"/>
      <w:marLeft w:val="0"/>
      <w:marRight w:val="0"/>
      <w:marTop w:val="0"/>
      <w:marBottom w:val="0"/>
      <w:divBdr>
        <w:top w:val="none" w:sz="0" w:space="0" w:color="auto"/>
        <w:left w:val="none" w:sz="0" w:space="0" w:color="auto"/>
        <w:bottom w:val="none" w:sz="0" w:space="0" w:color="auto"/>
        <w:right w:val="none" w:sz="0" w:space="0" w:color="auto"/>
      </w:divBdr>
    </w:div>
    <w:div w:id="1502162704">
      <w:bodyDiv w:val="1"/>
      <w:marLeft w:val="0"/>
      <w:marRight w:val="0"/>
      <w:marTop w:val="0"/>
      <w:marBottom w:val="0"/>
      <w:divBdr>
        <w:top w:val="none" w:sz="0" w:space="0" w:color="auto"/>
        <w:left w:val="none" w:sz="0" w:space="0" w:color="auto"/>
        <w:bottom w:val="none" w:sz="0" w:space="0" w:color="auto"/>
        <w:right w:val="none" w:sz="0" w:space="0" w:color="auto"/>
      </w:divBdr>
    </w:div>
    <w:div w:id="1504199067">
      <w:bodyDiv w:val="1"/>
      <w:marLeft w:val="0"/>
      <w:marRight w:val="0"/>
      <w:marTop w:val="0"/>
      <w:marBottom w:val="0"/>
      <w:divBdr>
        <w:top w:val="none" w:sz="0" w:space="0" w:color="auto"/>
        <w:left w:val="none" w:sz="0" w:space="0" w:color="auto"/>
        <w:bottom w:val="none" w:sz="0" w:space="0" w:color="auto"/>
        <w:right w:val="none" w:sz="0" w:space="0" w:color="auto"/>
      </w:divBdr>
    </w:div>
    <w:div w:id="1507552126">
      <w:bodyDiv w:val="1"/>
      <w:marLeft w:val="0"/>
      <w:marRight w:val="0"/>
      <w:marTop w:val="0"/>
      <w:marBottom w:val="0"/>
      <w:divBdr>
        <w:top w:val="none" w:sz="0" w:space="0" w:color="auto"/>
        <w:left w:val="none" w:sz="0" w:space="0" w:color="auto"/>
        <w:bottom w:val="none" w:sz="0" w:space="0" w:color="auto"/>
        <w:right w:val="none" w:sz="0" w:space="0" w:color="auto"/>
      </w:divBdr>
    </w:div>
    <w:div w:id="1510025090">
      <w:bodyDiv w:val="1"/>
      <w:marLeft w:val="0"/>
      <w:marRight w:val="0"/>
      <w:marTop w:val="0"/>
      <w:marBottom w:val="0"/>
      <w:divBdr>
        <w:top w:val="none" w:sz="0" w:space="0" w:color="auto"/>
        <w:left w:val="none" w:sz="0" w:space="0" w:color="auto"/>
        <w:bottom w:val="none" w:sz="0" w:space="0" w:color="auto"/>
        <w:right w:val="none" w:sz="0" w:space="0" w:color="auto"/>
      </w:divBdr>
    </w:div>
    <w:div w:id="1512603020">
      <w:bodyDiv w:val="1"/>
      <w:marLeft w:val="0"/>
      <w:marRight w:val="0"/>
      <w:marTop w:val="0"/>
      <w:marBottom w:val="0"/>
      <w:divBdr>
        <w:top w:val="none" w:sz="0" w:space="0" w:color="auto"/>
        <w:left w:val="none" w:sz="0" w:space="0" w:color="auto"/>
        <w:bottom w:val="none" w:sz="0" w:space="0" w:color="auto"/>
        <w:right w:val="none" w:sz="0" w:space="0" w:color="auto"/>
      </w:divBdr>
    </w:div>
    <w:div w:id="1526015741">
      <w:bodyDiv w:val="1"/>
      <w:marLeft w:val="0"/>
      <w:marRight w:val="0"/>
      <w:marTop w:val="0"/>
      <w:marBottom w:val="0"/>
      <w:divBdr>
        <w:top w:val="none" w:sz="0" w:space="0" w:color="auto"/>
        <w:left w:val="none" w:sz="0" w:space="0" w:color="auto"/>
        <w:bottom w:val="none" w:sz="0" w:space="0" w:color="auto"/>
        <w:right w:val="none" w:sz="0" w:space="0" w:color="auto"/>
      </w:divBdr>
    </w:div>
    <w:div w:id="1531524919">
      <w:bodyDiv w:val="1"/>
      <w:marLeft w:val="0"/>
      <w:marRight w:val="0"/>
      <w:marTop w:val="0"/>
      <w:marBottom w:val="0"/>
      <w:divBdr>
        <w:top w:val="none" w:sz="0" w:space="0" w:color="auto"/>
        <w:left w:val="none" w:sz="0" w:space="0" w:color="auto"/>
        <w:bottom w:val="none" w:sz="0" w:space="0" w:color="auto"/>
        <w:right w:val="none" w:sz="0" w:space="0" w:color="auto"/>
      </w:divBdr>
    </w:div>
    <w:div w:id="1541354718">
      <w:bodyDiv w:val="1"/>
      <w:marLeft w:val="0"/>
      <w:marRight w:val="0"/>
      <w:marTop w:val="0"/>
      <w:marBottom w:val="0"/>
      <w:divBdr>
        <w:top w:val="none" w:sz="0" w:space="0" w:color="auto"/>
        <w:left w:val="none" w:sz="0" w:space="0" w:color="auto"/>
        <w:bottom w:val="none" w:sz="0" w:space="0" w:color="auto"/>
        <w:right w:val="none" w:sz="0" w:space="0" w:color="auto"/>
      </w:divBdr>
    </w:div>
    <w:div w:id="1551571989">
      <w:bodyDiv w:val="1"/>
      <w:marLeft w:val="0"/>
      <w:marRight w:val="0"/>
      <w:marTop w:val="0"/>
      <w:marBottom w:val="0"/>
      <w:divBdr>
        <w:top w:val="none" w:sz="0" w:space="0" w:color="auto"/>
        <w:left w:val="none" w:sz="0" w:space="0" w:color="auto"/>
        <w:bottom w:val="none" w:sz="0" w:space="0" w:color="auto"/>
        <w:right w:val="none" w:sz="0" w:space="0" w:color="auto"/>
      </w:divBdr>
    </w:div>
    <w:div w:id="1554778366">
      <w:bodyDiv w:val="1"/>
      <w:marLeft w:val="0"/>
      <w:marRight w:val="0"/>
      <w:marTop w:val="0"/>
      <w:marBottom w:val="0"/>
      <w:divBdr>
        <w:top w:val="none" w:sz="0" w:space="0" w:color="auto"/>
        <w:left w:val="none" w:sz="0" w:space="0" w:color="auto"/>
        <w:bottom w:val="none" w:sz="0" w:space="0" w:color="auto"/>
        <w:right w:val="none" w:sz="0" w:space="0" w:color="auto"/>
      </w:divBdr>
    </w:div>
    <w:div w:id="1596786701">
      <w:bodyDiv w:val="1"/>
      <w:marLeft w:val="0"/>
      <w:marRight w:val="0"/>
      <w:marTop w:val="0"/>
      <w:marBottom w:val="0"/>
      <w:divBdr>
        <w:top w:val="none" w:sz="0" w:space="0" w:color="auto"/>
        <w:left w:val="none" w:sz="0" w:space="0" w:color="auto"/>
        <w:bottom w:val="none" w:sz="0" w:space="0" w:color="auto"/>
        <w:right w:val="none" w:sz="0" w:space="0" w:color="auto"/>
      </w:divBdr>
    </w:div>
    <w:div w:id="1598440074">
      <w:bodyDiv w:val="1"/>
      <w:marLeft w:val="0"/>
      <w:marRight w:val="0"/>
      <w:marTop w:val="0"/>
      <w:marBottom w:val="0"/>
      <w:divBdr>
        <w:top w:val="none" w:sz="0" w:space="0" w:color="auto"/>
        <w:left w:val="none" w:sz="0" w:space="0" w:color="auto"/>
        <w:bottom w:val="none" w:sz="0" w:space="0" w:color="auto"/>
        <w:right w:val="none" w:sz="0" w:space="0" w:color="auto"/>
      </w:divBdr>
    </w:div>
    <w:div w:id="1604455167">
      <w:bodyDiv w:val="1"/>
      <w:marLeft w:val="0"/>
      <w:marRight w:val="0"/>
      <w:marTop w:val="0"/>
      <w:marBottom w:val="0"/>
      <w:divBdr>
        <w:top w:val="none" w:sz="0" w:space="0" w:color="auto"/>
        <w:left w:val="none" w:sz="0" w:space="0" w:color="auto"/>
        <w:bottom w:val="none" w:sz="0" w:space="0" w:color="auto"/>
        <w:right w:val="none" w:sz="0" w:space="0" w:color="auto"/>
      </w:divBdr>
    </w:div>
    <w:div w:id="1604458465">
      <w:bodyDiv w:val="1"/>
      <w:marLeft w:val="0"/>
      <w:marRight w:val="0"/>
      <w:marTop w:val="0"/>
      <w:marBottom w:val="0"/>
      <w:divBdr>
        <w:top w:val="none" w:sz="0" w:space="0" w:color="auto"/>
        <w:left w:val="none" w:sz="0" w:space="0" w:color="auto"/>
        <w:bottom w:val="none" w:sz="0" w:space="0" w:color="auto"/>
        <w:right w:val="none" w:sz="0" w:space="0" w:color="auto"/>
      </w:divBdr>
    </w:div>
    <w:div w:id="1651984575">
      <w:bodyDiv w:val="1"/>
      <w:marLeft w:val="0"/>
      <w:marRight w:val="0"/>
      <w:marTop w:val="0"/>
      <w:marBottom w:val="0"/>
      <w:divBdr>
        <w:top w:val="none" w:sz="0" w:space="0" w:color="auto"/>
        <w:left w:val="none" w:sz="0" w:space="0" w:color="auto"/>
        <w:bottom w:val="none" w:sz="0" w:space="0" w:color="auto"/>
        <w:right w:val="none" w:sz="0" w:space="0" w:color="auto"/>
      </w:divBdr>
    </w:div>
    <w:div w:id="1673144321">
      <w:bodyDiv w:val="1"/>
      <w:marLeft w:val="0"/>
      <w:marRight w:val="0"/>
      <w:marTop w:val="0"/>
      <w:marBottom w:val="0"/>
      <w:divBdr>
        <w:top w:val="none" w:sz="0" w:space="0" w:color="auto"/>
        <w:left w:val="none" w:sz="0" w:space="0" w:color="auto"/>
        <w:bottom w:val="none" w:sz="0" w:space="0" w:color="auto"/>
        <w:right w:val="none" w:sz="0" w:space="0" w:color="auto"/>
      </w:divBdr>
    </w:div>
    <w:div w:id="1690983318">
      <w:bodyDiv w:val="1"/>
      <w:marLeft w:val="0"/>
      <w:marRight w:val="0"/>
      <w:marTop w:val="0"/>
      <w:marBottom w:val="0"/>
      <w:divBdr>
        <w:top w:val="none" w:sz="0" w:space="0" w:color="auto"/>
        <w:left w:val="none" w:sz="0" w:space="0" w:color="auto"/>
        <w:bottom w:val="none" w:sz="0" w:space="0" w:color="auto"/>
        <w:right w:val="none" w:sz="0" w:space="0" w:color="auto"/>
      </w:divBdr>
    </w:div>
    <w:div w:id="1699351862">
      <w:bodyDiv w:val="1"/>
      <w:marLeft w:val="0"/>
      <w:marRight w:val="0"/>
      <w:marTop w:val="0"/>
      <w:marBottom w:val="0"/>
      <w:divBdr>
        <w:top w:val="none" w:sz="0" w:space="0" w:color="auto"/>
        <w:left w:val="none" w:sz="0" w:space="0" w:color="auto"/>
        <w:bottom w:val="none" w:sz="0" w:space="0" w:color="auto"/>
        <w:right w:val="none" w:sz="0" w:space="0" w:color="auto"/>
      </w:divBdr>
    </w:div>
    <w:div w:id="1710452503">
      <w:bodyDiv w:val="1"/>
      <w:marLeft w:val="0"/>
      <w:marRight w:val="0"/>
      <w:marTop w:val="0"/>
      <w:marBottom w:val="0"/>
      <w:divBdr>
        <w:top w:val="none" w:sz="0" w:space="0" w:color="auto"/>
        <w:left w:val="none" w:sz="0" w:space="0" w:color="auto"/>
        <w:bottom w:val="none" w:sz="0" w:space="0" w:color="auto"/>
        <w:right w:val="none" w:sz="0" w:space="0" w:color="auto"/>
      </w:divBdr>
    </w:div>
    <w:div w:id="1715738462">
      <w:bodyDiv w:val="1"/>
      <w:marLeft w:val="0"/>
      <w:marRight w:val="0"/>
      <w:marTop w:val="0"/>
      <w:marBottom w:val="0"/>
      <w:divBdr>
        <w:top w:val="none" w:sz="0" w:space="0" w:color="auto"/>
        <w:left w:val="none" w:sz="0" w:space="0" w:color="auto"/>
        <w:bottom w:val="none" w:sz="0" w:space="0" w:color="auto"/>
        <w:right w:val="none" w:sz="0" w:space="0" w:color="auto"/>
      </w:divBdr>
    </w:div>
    <w:div w:id="1720321700">
      <w:bodyDiv w:val="1"/>
      <w:marLeft w:val="0"/>
      <w:marRight w:val="0"/>
      <w:marTop w:val="0"/>
      <w:marBottom w:val="0"/>
      <w:divBdr>
        <w:top w:val="none" w:sz="0" w:space="0" w:color="auto"/>
        <w:left w:val="none" w:sz="0" w:space="0" w:color="auto"/>
        <w:bottom w:val="none" w:sz="0" w:space="0" w:color="auto"/>
        <w:right w:val="none" w:sz="0" w:space="0" w:color="auto"/>
      </w:divBdr>
    </w:div>
    <w:div w:id="1723821508">
      <w:bodyDiv w:val="1"/>
      <w:marLeft w:val="0"/>
      <w:marRight w:val="0"/>
      <w:marTop w:val="0"/>
      <w:marBottom w:val="0"/>
      <w:divBdr>
        <w:top w:val="none" w:sz="0" w:space="0" w:color="auto"/>
        <w:left w:val="none" w:sz="0" w:space="0" w:color="auto"/>
        <w:bottom w:val="none" w:sz="0" w:space="0" w:color="auto"/>
        <w:right w:val="none" w:sz="0" w:space="0" w:color="auto"/>
      </w:divBdr>
    </w:div>
    <w:div w:id="1727484023">
      <w:bodyDiv w:val="1"/>
      <w:marLeft w:val="0"/>
      <w:marRight w:val="0"/>
      <w:marTop w:val="0"/>
      <w:marBottom w:val="0"/>
      <w:divBdr>
        <w:top w:val="none" w:sz="0" w:space="0" w:color="auto"/>
        <w:left w:val="none" w:sz="0" w:space="0" w:color="auto"/>
        <w:bottom w:val="none" w:sz="0" w:space="0" w:color="auto"/>
        <w:right w:val="none" w:sz="0" w:space="0" w:color="auto"/>
      </w:divBdr>
    </w:div>
    <w:div w:id="1733918124">
      <w:bodyDiv w:val="1"/>
      <w:marLeft w:val="0"/>
      <w:marRight w:val="0"/>
      <w:marTop w:val="0"/>
      <w:marBottom w:val="0"/>
      <w:divBdr>
        <w:top w:val="none" w:sz="0" w:space="0" w:color="auto"/>
        <w:left w:val="none" w:sz="0" w:space="0" w:color="auto"/>
        <w:bottom w:val="none" w:sz="0" w:space="0" w:color="auto"/>
        <w:right w:val="none" w:sz="0" w:space="0" w:color="auto"/>
      </w:divBdr>
    </w:div>
    <w:div w:id="1754156656">
      <w:bodyDiv w:val="1"/>
      <w:marLeft w:val="0"/>
      <w:marRight w:val="0"/>
      <w:marTop w:val="0"/>
      <w:marBottom w:val="0"/>
      <w:divBdr>
        <w:top w:val="none" w:sz="0" w:space="0" w:color="auto"/>
        <w:left w:val="none" w:sz="0" w:space="0" w:color="auto"/>
        <w:bottom w:val="none" w:sz="0" w:space="0" w:color="auto"/>
        <w:right w:val="none" w:sz="0" w:space="0" w:color="auto"/>
      </w:divBdr>
    </w:div>
    <w:div w:id="1761096177">
      <w:bodyDiv w:val="1"/>
      <w:marLeft w:val="0"/>
      <w:marRight w:val="0"/>
      <w:marTop w:val="0"/>
      <w:marBottom w:val="0"/>
      <w:divBdr>
        <w:top w:val="none" w:sz="0" w:space="0" w:color="auto"/>
        <w:left w:val="none" w:sz="0" w:space="0" w:color="auto"/>
        <w:bottom w:val="none" w:sz="0" w:space="0" w:color="auto"/>
        <w:right w:val="none" w:sz="0" w:space="0" w:color="auto"/>
      </w:divBdr>
    </w:div>
    <w:div w:id="1761634695">
      <w:bodyDiv w:val="1"/>
      <w:marLeft w:val="0"/>
      <w:marRight w:val="0"/>
      <w:marTop w:val="0"/>
      <w:marBottom w:val="0"/>
      <w:divBdr>
        <w:top w:val="none" w:sz="0" w:space="0" w:color="auto"/>
        <w:left w:val="none" w:sz="0" w:space="0" w:color="auto"/>
        <w:bottom w:val="none" w:sz="0" w:space="0" w:color="auto"/>
        <w:right w:val="none" w:sz="0" w:space="0" w:color="auto"/>
      </w:divBdr>
    </w:div>
    <w:div w:id="1764842464">
      <w:bodyDiv w:val="1"/>
      <w:marLeft w:val="0"/>
      <w:marRight w:val="0"/>
      <w:marTop w:val="0"/>
      <w:marBottom w:val="0"/>
      <w:divBdr>
        <w:top w:val="none" w:sz="0" w:space="0" w:color="auto"/>
        <w:left w:val="none" w:sz="0" w:space="0" w:color="auto"/>
        <w:bottom w:val="none" w:sz="0" w:space="0" w:color="auto"/>
        <w:right w:val="none" w:sz="0" w:space="0" w:color="auto"/>
      </w:divBdr>
    </w:div>
    <w:div w:id="1765301798">
      <w:bodyDiv w:val="1"/>
      <w:marLeft w:val="0"/>
      <w:marRight w:val="0"/>
      <w:marTop w:val="0"/>
      <w:marBottom w:val="0"/>
      <w:divBdr>
        <w:top w:val="none" w:sz="0" w:space="0" w:color="auto"/>
        <w:left w:val="none" w:sz="0" w:space="0" w:color="auto"/>
        <w:bottom w:val="none" w:sz="0" w:space="0" w:color="auto"/>
        <w:right w:val="none" w:sz="0" w:space="0" w:color="auto"/>
      </w:divBdr>
    </w:div>
    <w:div w:id="1767729812">
      <w:bodyDiv w:val="1"/>
      <w:marLeft w:val="0"/>
      <w:marRight w:val="0"/>
      <w:marTop w:val="0"/>
      <w:marBottom w:val="0"/>
      <w:divBdr>
        <w:top w:val="none" w:sz="0" w:space="0" w:color="auto"/>
        <w:left w:val="none" w:sz="0" w:space="0" w:color="auto"/>
        <w:bottom w:val="none" w:sz="0" w:space="0" w:color="auto"/>
        <w:right w:val="none" w:sz="0" w:space="0" w:color="auto"/>
      </w:divBdr>
    </w:div>
    <w:div w:id="1787776433">
      <w:bodyDiv w:val="1"/>
      <w:marLeft w:val="0"/>
      <w:marRight w:val="0"/>
      <w:marTop w:val="0"/>
      <w:marBottom w:val="0"/>
      <w:divBdr>
        <w:top w:val="none" w:sz="0" w:space="0" w:color="auto"/>
        <w:left w:val="none" w:sz="0" w:space="0" w:color="auto"/>
        <w:bottom w:val="none" w:sz="0" w:space="0" w:color="auto"/>
        <w:right w:val="none" w:sz="0" w:space="0" w:color="auto"/>
      </w:divBdr>
    </w:div>
    <w:div w:id="1797603822">
      <w:bodyDiv w:val="1"/>
      <w:marLeft w:val="0"/>
      <w:marRight w:val="0"/>
      <w:marTop w:val="0"/>
      <w:marBottom w:val="0"/>
      <w:divBdr>
        <w:top w:val="none" w:sz="0" w:space="0" w:color="auto"/>
        <w:left w:val="none" w:sz="0" w:space="0" w:color="auto"/>
        <w:bottom w:val="none" w:sz="0" w:space="0" w:color="auto"/>
        <w:right w:val="none" w:sz="0" w:space="0" w:color="auto"/>
      </w:divBdr>
    </w:div>
    <w:div w:id="1800688273">
      <w:bodyDiv w:val="1"/>
      <w:marLeft w:val="0"/>
      <w:marRight w:val="0"/>
      <w:marTop w:val="0"/>
      <w:marBottom w:val="0"/>
      <w:divBdr>
        <w:top w:val="none" w:sz="0" w:space="0" w:color="auto"/>
        <w:left w:val="none" w:sz="0" w:space="0" w:color="auto"/>
        <w:bottom w:val="none" w:sz="0" w:space="0" w:color="auto"/>
        <w:right w:val="none" w:sz="0" w:space="0" w:color="auto"/>
      </w:divBdr>
    </w:div>
    <w:div w:id="1802386210">
      <w:bodyDiv w:val="1"/>
      <w:marLeft w:val="0"/>
      <w:marRight w:val="0"/>
      <w:marTop w:val="0"/>
      <w:marBottom w:val="0"/>
      <w:divBdr>
        <w:top w:val="none" w:sz="0" w:space="0" w:color="auto"/>
        <w:left w:val="none" w:sz="0" w:space="0" w:color="auto"/>
        <w:bottom w:val="none" w:sz="0" w:space="0" w:color="auto"/>
        <w:right w:val="none" w:sz="0" w:space="0" w:color="auto"/>
      </w:divBdr>
    </w:div>
    <w:div w:id="1807309161">
      <w:bodyDiv w:val="1"/>
      <w:marLeft w:val="0"/>
      <w:marRight w:val="0"/>
      <w:marTop w:val="0"/>
      <w:marBottom w:val="0"/>
      <w:divBdr>
        <w:top w:val="none" w:sz="0" w:space="0" w:color="auto"/>
        <w:left w:val="none" w:sz="0" w:space="0" w:color="auto"/>
        <w:bottom w:val="none" w:sz="0" w:space="0" w:color="auto"/>
        <w:right w:val="none" w:sz="0" w:space="0" w:color="auto"/>
      </w:divBdr>
    </w:div>
    <w:div w:id="1807773423">
      <w:bodyDiv w:val="1"/>
      <w:marLeft w:val="0"/>
      <w:marRight w:val="0"/>
      <w:marTop w:val="0"/>
      <w:marBottom w:val="0"/>
      <w:divBdr>
        <w:top w:val="none" w:sz="0" w:space="0" w:color="auto"/>
        <w:left w:val="none" w:sz="0" w:space="0" w:color="auto"/>
        <w:bottom w:val="none" w:sz="0" w:space="0" w:color="auto"/>
        <w:right w:val="none" w:sz="0" w:space="0" w:color="auto"/>
      </w:divBdr>
    </w:div>
    <w:div w:id="1841234832">
      <w:bodyDiv w:val="1"/>
      <w:marLeft w:val="0"/>
      <w:marRight w:val="0"/>
      <w:marTop w:val="0"/>
      <w:marBottom w:val="0"/>
      <w:divBdr>
        <w:top w:val="none" w:sz="0" w:space="0" w:color="auto"/>
        <w:left w:val="none" w:sz="0" w:space="0" w:color="auto"/>
        <w:bottom w:val="none" w:sz="0" w:space="0" w:color="auto"/>
        <w:right w:val="none" w:sz="0" w:space="0" w:color="auto"/>
      </w:divBdr>
    </w:div>
    <w:div w:id="1843663659">
      <w:bodyDiv w:val="1"/>
      <w:marLeft w:val="0"/>
      <w:marRight w:val="0"/>
      <w:marTop w:val="0"/>
      <w:marBottom w:val="0"/>
      <w:divBdr>
        <w:top w:val="none" w:sz="0" w:space="0" w:color="auto"/>
        <w:left w:val="none" w:sz="0" w:space="0" w:color="auto"/>
        <w:bottom w:val="none" w:sz="0" w:space="0" w:color="auto"/>
        <w:right w:val="none" w:sz="0" w:space="0" w:color="auto"/>
      </w:divBdr>
    </w:div>
    <w:div w:id="1852648145">
      <w:bodyDiv w:val="1"/>
      <w:marLeft w:val="0"/>
      <w:marRight w:val="0"/>
      <w:marTop w:val="0"/>
      <w:marBottom w:val="0"/>
      <w:divBdr>
        <w:top w:val="none" w:sz="0" w:space="0" w:color="auto"/>
        <w:left w:val="none" w:sz="0" w:space="0" w:color="auto"/>
        <w:bottom w:val="none" w:sz="0" w:space="0" w:color="auto"/>
        <w:right w:val="none" w:sz="0" w:space="0" w:color="auto"/>
      </w:divBdr>
    </w:div>
    <w:div w:id="1868562991">
      <w:bodyDiv w:val="1"/>
      <w:marLeft w:val="0"/>
      <w:marRight w:val="0"/>
      <w:marTop w:val="0"/>
      <w:marBottom w:val="0"/>
      <w:divBdr>
        <w:top w:val="none" w:sz="0" w:space="0" w:color="auto"/>
        <w:left w:val="none" w:sz="0" w:space="0" w:color="auto"/>
        <w:bottom w:val="none" w:sz="0" w:space="0" w:color="auto"/>
        <w:right w:val="none" w:sz="0" w:space="0" w:color="auto"/>
      </w:divBdr>
    </w:div>
    <w:div w:id="1873110509">
      <w:bodyDiv w:val="1"/>
      <w:marLeft w:val="0"/>
      <w:marRight w:val="0"/>
      <w:marTop w:val="0"/>
      <w:marBottom w:val="0"/>
      <w:divBdr>
        <w:top w:val="none" w:sz="0" w:space="0" w:color="auto"/>
        <w:left w:val="none" w:sz="0" w:space="0" w:color="auto"/>
        <w:bottom w:val="none" w:sz="0" w:space="0" w:color="auto"/>
        <w:right w:val="none" w:sz="0" w:space="0" w:color="auto"/>
      </w:divBdr>
    </w:div>
    <w:div w:id="1885100390">
      <w:bodyDiv w:val="1"/>
      <w:marLeft w:val="0"/>
      <w:marRight w:val="0"/>
      <w:marTop w:val="0"/>
      <w:marBottom w:val="0"/>
      <w:divBdr>
        <w:top w:val="none" w:sz="0" w:space="0" w:color="auto"/>
        <w:left w:val="none" w:sz="0" w:space="0" w:color="auto"/>
        <w:bottom w:val="none" w:sz="0" w:space="0" w:color="auto"/>
        <w:right w:val="none" w:sz="0" w:space="0" w:color="auto"/>
      </w:divBdr>
    </w:div>
    <w:div w:id="1908106030">
      <w:bodyDiv w:val="1"/>
      <w:marLeft w:val="0"/>
      <w:marRight w:val="0"/>
      <w:marTop w:val="0"/>
      <w:marBottom w:val="0"/>
      <w:divBdr>
        <w:top w:val="none" w:sz="0" w:space="0" w:color="auto"/>
        <w:left w:val="none" w:sz="0" w:space="0" w:color="auto"/>
        <w:bottom w:val="none" w:sz="0" w:space="0" w:color="auto"/>
        <w:right w:val="none" w:sz="0" w:space="0" w:color="auto"/>
      </w:divBdr>
    </w:div>
    <w:div w:id="1912226226">
      <w:bodyDiv w:val="1"/>
      <w:marLeft w:val="0"/>
      <w:marRight w:val="0"/>
      <w:marTop w:val="0"/>
      <w:marBottom w:val="0"/>
      <w:divBdr>
        <w:top w:val="none" w:sz="0" w:space="0" w:color="auto"/>
        <w:left w:val="none" w:sz="0" w:space="0" w:color="auto"/>
        <w:bottom w:val="none" w:sz="0" w:space="0" w:color="auto"/>
        <w:right w:val="none" w:sz="0" w:space="0" w:color="auto"/>
      </w:divBdr>
    </w:div>
    <w:div w:id="1918785376">
      <w:bodyDiv w:val="1"/>
      <w:marLeft w:val="0"/>
      <w:marRight w:val="0"/>
      <w:marTop w:val="0"/>
      <w:marBottom w:val="0"/>
      <w:divBdr>
        <w:top w:val="none" w:sz="0" w:space="0" w:color="auto"/>
        <w:left w:val="none" w:sz="0" w:space="0" w:color="auto"/>
        <w:bottom w:val="none" w:sz="0" w:space="0" w:color="auto"/>
        <w:right w:val="none" w:sz="0" w:space="0" w:color="auto"/>
      </w:divBdr>
    </w:div>
    <w:div w:id="1958559262">
      <w:bodyDiv w:val="1"/>
      <w:marLeft w:val="0"/>
      <w:marRight w:val="0"/>
      <w:marTop w:val="0"/>
      <w:marBottom w:val="0"/>
      <w:divBdr>
        <w:top w:val="none" w:sz="0" w:space="0" w:color="auto"/>
        <w:left w:val="none" w:sz="0" w:space="0" w:color="auto"/>
        <w:bottom w:val="none" w:sz="0" w:space="0" w:color="auto"/>
        <w:right w:val="none" w:sz="0" w:space="0" w:color="auto"/>
      </w:divBdr>
    </w:div>
    <w:div w:id="1963000176">
      <w:bodyDiv w:val="1"/>
      <w:marLeft w:val="0"/>
      <w:marRight w:val="0"/>
      <w:marTop w:val="0"/>
      <w:marBottom w:val="0"/>
      <w:divBdr>
        <w:top w:val="none" w:sz="0" w:space="0" w:color="auto"/>
        <w:left w:val="none" w:sz="0" w:space="0" w:color="auto"/>
        <w:bottom w:val="none" w:sz="0" w:space="0" w:color="auto"/>
        <w:right w:val="none" w:sz="0" w:space="0" w:color="auto"/>
      </w:divBdr>
    </w:div>
    <w:div w:id="1986817247">
      <w:bodyDiv w:val="1"/>
      <w:marLeft w:val="0"/>
      <w:marRight w:val="0"/>
      <w:marTop w:val="0"/>
      <w:marBottom w:val="0"/>
      <w:divBdr>
        <w:top w:val="none" w:sz="0" w:space="0" w:color="auto"/>
        <w:left w:val="none" w:sz="0" w:space="0" w:color="auto"/>
        <w:bottom w:val="none" w:sz="0" w:space="0" w:color="auto"/>
        <w:right w:val="none" w:sz="0" w:space="0" w:color="auto"/>
      </w:divBdr>
    </w:div>
    <w:div w:id="1988590732">
      <w:bodyDiv w:val="1"/>
      <w:marLeft w:val="0"/>
      <w:marRight w:val="0"/>
      <w:marTop w:val="0"/>
      <w:marBottom w:val="0"/>
      <w:divBdr>
        <w:top w:val="none" w:sz="0" w:space="0" w:color="auto"/>
        <w:left w:val="none" w:sz="0" w:space="0" w:color="auto"/>
        <w:bottom w:val="none" w:sz="0" w:space="0" w:color="auto"/>
        <w:right w:val="none" w:sz="0" w:space="0" w:color="auto"/>
      </w:divBdr>
    </w:div>
    <w:div w:id="1995600323">
      <w:bodyDiv w:val="1"/>
      <w:marLeft w:val="0"/>
      <w:marRight w:val="0"/>
      <w:marTop w:val="0"/>
      <w:marBottom w:val="0"/>
      <w:divBdr>
        <w:top w:val="none" w:sz="0" w:space="0" w:color="auto"/>
        <w:left w:val="none" w:sz="0" w:space="0" w:color="auto"/>
        <w:bottom w:val="none" w:sz="0" w:space="0" w:color="auto"/>
        <w:right w:val="none" w:sz="0" w:space="0" w:color="auto"/>
      </w:divBdr>
    </w:div>
    <w:div w:id="2000618963">
      <w:bodyDiv w:val="1"/>
      <w:marLeft w:val="0"/>
      <w:marRight w:val="0"/>
      <w:marTop w:val="0"/>
      <w:marBottom w:val="0"/>
      <w:divBdr>
        <w:top w:val="none" w:sz="0" w:space="0" w:color="auto"/>
        <w:left w:val="none" w:sz="0" w:space="0" w:color="auto"/>
        <w:bottom w:val="none" w:sz="0" w:space="0" w:color="auto"/>
        <w:right w:val="none" w:sz="0" w:space="0" w:color="auto"/>
      </w:divBdr>
    </w:div>
    <w:div w:id="2021661040">
      <w:bodyDiv w:val="1"/>
      <w:marLeft w:val="0"/>
      <w:marRight w:val="0"/>
      <w:marTop w:val="0"/>
      <w:marBottom w:val="0"/>
      <w:divBdr>
        <w:top w:val="none" w:sz="0" w:space="0" w:color="auto"/>
        <w:left w:val="none" w:sz="0" w:space="0" w:color="auto"/>
        <w:bottom w:val="none" w:sz="0" w:space="0" w:color="auto"/>
        <w:right w:val="none" w:sz="0" w:space="0" w:color="auto"/>
      </w:divBdr>
    </w:div>
    <w:div w:id="2044666707">
      <w:bodyDiv w:val="1"/>
      <w:marLeft w:val="0"/>
      <w:marRight w:val="0"/>
      <w:marTop w:val="0"/>
      <w:marBottom w:val="0"/>
      <w:divBdr>
        <w:top w:val="none" w:sz="0" w:space="0" w:color="auto"/>
        <w:left w:val="none" w:sz="0" w:space="0" w:color="auto"/>
        <w:bottom w:val="none" w:sz="0" w:space="0" w:color="auto"/>
        <w:right w:val="none" w:sz="0" w:space="0" w:color="auto"/>
      </w:divBdr>
    </w:div>
    <w:div w:id="2048602180">
      <w:bodyDiv w:val="1"/>
      <w:marLeft w:val="0"/>
      <w:marRight w:val="0"/>
      <w:marTop w:val="0"/>
      <w:marBottom w:val="0"/>
      <w:divBdr>
        <w:top w:val="none" w:sz="0" w:space="0" w:color="auto"/>
        <w:left w:val="none" w:sz="0" w:space="0" w:color="auto"/>
        <w:bottom w:val="none" w:sz="0" w:space="0" w:color="auto"/>
        <w:right w:val="none" w:sz="0" w:space="0" w:color="auto"/>
      </w:divBdr>
    </w:div>
    <w:div w:id="2055233228">
      <w:bodyDiv w:val="1"/>
      <w:marLeft w:val="0"/>
      <w:marRight w:val="0"/>
      <w:marTop w:val="0"/>
      <w:marBottom w:val="0"/>
      <w:divBdr>
        <w:top w:val="none" w:sz="0" w:space="0" w:color="auto"/>
        <w:left w:val="none" w:sz="0" w:space="0" w:color="auto"/>
        <w:bottom w:val="none" w:sz="0" w:space="0" w:color="auto"/>
        <w:right w:val="none" w:sz="0" w:space="0" w:color="auto"/>
      </w:divBdr>
    </w:div>
    <w:div w:id="2062363786">
      <w:bodyDiv w:val="1"/>
      <w:marLeft w:val="0"/>
      <w:marRight w:val="0"/>
      <w:marTop w:val="0"/>
      <w:marBottom w:val="0"/>
      <w:divBdr>
        <w:top w:val="none" w:sz="0" w:space="0" w:color="auto"/>
        <w:left w:val="none" w:sz="0" w:space="0" w:color="auto"/>
        <w:bottom w:val="none" w:sz="0" w:space="0" w:color="auto"/>
        <w:right w:val="none" w:sz="0" w:space="0" w:color="auto"/>
      </w:divBdr>
    </w:div>
    <w:div w:id="2071421022">
      <w:bodyDiv w:val="1"/>
      <w:marLeft w:val="0"/>
      <w:marRight w:val="0"/>
      <w:marTop w:val="0"/>
      <w:marBottom w:val="0"/>
      <w:divBdr>
        <w:top w:val="none" w:sz="0" w:space="0" w:color="auto"/>
        <w:left w:val="none" w:sz="0" w:space="0" w:color="auto"/>
        <w:bottom w:val="none" w:sz="0" w:space="0" w:color="auto"/>
        <w:right w:val="none" w:sz="0" w:space="0" w:color="auto"/>
      </w:divBdr>
    </w:div>
    <w:div w:id="2083093822">
      <w:bodyDiv w:val="1"/>
      <w:marLeft w:val="0"/>
      <w:marRight w:val="0"/>
      <w:marTop w:val="0"/>
      <w:marBottom w:val="0"/>
      <w:divBdr>
        <w:top w:val="none" w:sz="0" w:space="0" w:color="auto"/>
        <w:left w:val="none" w:sz="0" w:space="0" w:color="auto"/>
        <w:bottom w:val="none" w:sz="0" w:space="0" w:color="auto"/>
        <w:right w:val="none" w:sz="0" w:space="0" w:color="auto"/>
      </w:divBdr>
    </w:div>
    <w:div w:id="2085370733">
      <w:bodyDiv w:val="1"/>
      <w:marLeft w:val="0"/>
      <w:marRight w:val="0"/>
      <w:marTop w:val="0"/>
      <w:marBottom w:val="0"/>
      <w:divBdr>
        <w:top w:val="none" w:sz="0" w:space="0" w:color="auto"/>
        <w:left w:val="none" w:sz="0" w:space="0" w:color="auto"/>
        <w:bottom w:val="none" w:sz="0" w:space="0" w:color="auto"/>
        <w:right w:val="none" w:sz="0" w:space="0" w:color="auto"/>
      </w:divBdr>
    </w:div>
    <w:div w:id="2094282082">
      <w:bodyDiv w:val="1"/>
      <w:marLeft w:val="0"/>
      <w:marRight w:val="0"/>
      <w:marTop w:val="0"/>
      <w:marBottom w:val="0"/>
      <w:divBdr>
        <w:top w:val="none" w:sz="0" w:space="0" w:color="auto"/>
        <w:left w:val="none" w:sz="0" w:space="0" w:color="auto"/>
        <w:bottom w:val="none" w:sz="0" w:space="0" w:color="auto"/>
        <w:right w:val="none" w:sz="0" w:space="0" w:color="auto"/>
      </w:divBdr>
    </w:div>
    <w:div w:id="2117674193">
      <w:bodyDiv w:val="1"/>
      <w:marLeft w:val="0"/>
      <w:marRight w:val="0"/>
      <w:marTop w:val="0"/>
      <w:marBottom w:val="0"/>
      <w:divBdr>
        <w:top w:val="none" w:sz="0" w:space="0" w:color="auto"/>
        <w:left w:val="none" w:sz="0" w:space="0" w:color="auto"/>
        <w:bottom w:val="none" w:sz="0" w:space="0" w:color="auto"/>
        <w:right w:val="none" w:sz="0" w:space="0" w:color="auto"/>
      </w:divBdr>
    </w:div>
    <w:div w:id="2118061650">
      <w:bodyDiv w:val="1"/>
      <w:marLeft w:val="0"/>
      <w:marRight w:val="0"/>
      <w:marTop w:val="0"/>
      <w:marBottom w:val="0"/>
      <w:divBdr>
        <w:top w:val="none" w:sz="0" w:space="0" w:color="auto"/>
        <w:left w:val="none" w:sz="0" w:space="0" w:color="auto"/>
        <w:bottom w:val="none" w:sz="0" w:space="0" w:color="auto"/>
        <w:right w:val="none" w:sz="0" w:space="0" w:color="auto"/>
      </w:divBdr>
    </w:div>
    <w:div w:id="213379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Sta15</b:Tag>
    <b:SourceType>InternetSite</b:SourceType>
    <b:Guid>{3866B0D6-2AA9-456E-946B-383F0A3D82E2}</b:Guid>
    <b:Author>
      <b:Author>
        <b:Corporate>Stat Trek</b:Corporate>
      </b:Author>
    </b:Author>
    <b:Title>Sample Size: Simple Random Samples</b:Title>
    <b:Year>2015</b:Year>
    <b:Month>October</b:Month>
    <b:Day>29</b:Day>
    <b:URL>http://stattrek.com/sample-size/simple-random-sample.aspx</b:URL>
    <b:RefOrder>4</b:RefOrder>
  </b:Source>
  <b:Source>
    <b:Tag>Kle11</b:Tag>
    <b:SourceType>JournalArticle</b:SourceType>
    <b:Guid>{4F2BA930-8B88-4DAC-9BCD-2D6282A64131}</b:Guid>
    <b:Author>
      <b:Author>
        <b:NameList>
          <b:Person>
            <b:Last>Klein</b:Last>
            <b:First>D.J.</b:First>
          </b:Person>
          <b:Person>
            <b:Last>Elliott</b:Last>
            <b:First>M.N.</b:First>
          </b:Person>
          <b:Person>
            <b:Last>Haviland</b:Last>
            <b:First>A.M.</b:First>
          </b:Person>
          <b:Person>
            <b:Last>Saliba</b:Last>
            <b:First>D.</b:First>
          </b:Person>
          <b:Person>
            <b:Last>Burkhart</b:Last>
            <b:First>Q.</b:First>
          </b:Person>
          <b:Person>
            <b:Last>Edwards</b:Last>
            <b:First>C.</b:First>
          </b:Person>
          <b:Person>
            <b:Last>Zaslavsky</b:Last>
            <b:First>A.M.</b:First>
          </b:Person>
        </b:NameList>
      </b:Author>
    </b:Author>
    <b:Title>Understanding nonresponse to the 2007 Medicare CAHPS survey</b:Title>
    <b:JournalName>The Gerontologist</b:JournalName>
    <b:Year>2011</b:Year>
    <b:Issue>First published online June 23, 2011</b:Issue>
    <b:DOI>10.1093/geront/gnr04</b:DOI>
    <b:RefOrder>7</b:RefOrder>
  </b:Source>
  <b:Source>
    <b:Tag>Cen15</b:Tag>
    <b:SourceType>DocumentFromInternetSite</b:SourceType>
    <b:Guid>{D65DA60D-E870-4955-9EC2-EDCA55DC91DE}</b:Guid>
    <b:Author>
      <b:Author>
        <b:Corporate>Centers for Medicare and Medicaid Services</b:Corporate>
      </b:Author>
    </b:Author>
    <b:Title> Summary of HCAHPS survey results: January 2014 to December 2014 discharges</b:Title>
    <b:Year>2015</b:Year>
    <b:Month>October</b:Month>
    <b:Day>29</b:Day>
    <b:URL>http://www.hcahpsonline.org/Files/October_2015_Summary_Analyses_Survey_Results.pdf</b:URL>
    <b:RefOrder>8</b:RefOrder>
  </b:Source>
  <b:Source>
    <b:Tag>Ama15</b:Tag>
    <b:SourceType>JournalArticle</b:SourceType>
    <b:Guid>{CEF56417-46C4-4C1A-8218-83A51EBCDDFD}</b:Guid>
    <b:Author>
      <b:Author>
        <b:NameList>
          <b:Person>
            <b:Last>Amaya</b:Last>
            <b:First>A.,</b:First>
            <b:Middle>F.</b:Middle>
          </b:Person>
          <b:Person>
            <b:Last>Leclere</b:Last>
            <b:First>K.</b:First>
            <b:Middle>Carris</b:Middle>
          </b:Person>
          <b:Person>
            <b:Last>Liao</b:Last>
            <b:First>Y.</b:First>
          </b:Person>
        </b:NameList>
      </b:Author>
    </b:Author>
    <b:Title>Where to start: An evaluation of primary data-collection modes in an address-based sampling design</b:Title>
    <b:Year>2015</b:Year>
    <b:JournalName>Public Opinion Quarterly</b:JournalName>
    <b:Pages>420-442</b:Pages>
    <b:Volume>79</b:Volume>
    <b:Issue>2</b:Issue>
    <b:DOI>10.1093/poq/nfv01</b:DOI>
    <b:RefOrder>9</b:RefOrder>
  </b:Source>
  <b:Source>
    <b:Tag>NRC15</b:Tag>
    <b:SourceType>Book</b:SourceType>
    <b:Guid>{7E2E8037-F5C5-4BE6-A4CC-18F12947EFB8}</b:Guid>
    <b:Author>
      <b:Author>
        <b:Corporate>National Research Council</b:Corporate>
      </b:Author>
    </b:Author>
    <b:Title>Nonresponse in social science surveys: A research agenda. Committee on National Statistics, Division on Behavioral and Social Sciences and Education, Panel on a Research Agenda for the Future of Social Science Data Collection</b:Title>
    <b:Year>2015</b:Year>
    <b:City>Washington, D.C.</b:City>
    <b:Publisher>National Academies Press</b:Publisher>
    <b:RefOrder>10</b:RefOrder>
  </b:Source>
  <b:Source>
    <b:Tag>Tho15</b:Tag>
    <b:SourceType>JournalArticle</b:SourceType>
    <b:Guid>{C573C609-B9EE-4084-9B1F-2A72242A3CB7}</b:Guid>
    <b:Author>
      <b:Author>
        <b:NameList>
          <b:Person>
            <b:Last>Thorpe</b:Last>
            <b:First>L.E.</b:First>
          </b:Person>
          <b:Person>
            <b:Last>Greene</b:Last>
            <b:First>C.</b:First>
          </b:Person>
          <b:Person>
            <b:Last>Freeman</b:Last>
            <b:First>A.</b:First>
          </b:Person>
          <b:Person>
            <b:Last>Snell</b:Last>
            <b:First>E.</b:First>
          </b:Person>
          <b:Person>
            <b:Last>Rodriguez-Lopeza</b:Last>
            <b:First>J.S.</b:First>
          </b:Person>
          <b:Person>
            <b:Last>Frankel</b:Last>
            <b:First>M.</b:First>
          </b:Person>
          <b:Person>
            <b:Last>M.</b:Last>
          </b:Person>
          <b:Person>
            <b:Last>Punsalang Jr.</b:Last>
            <b:First>A.</b:First>
          </b:Person>
          <b:Person>
            <b:Last>Chernov</b:Last>
            <b:First>C.</b:First>
          </b:Person>
          <b:Person>
            <b:Last>Lurie</b:Last>
            <b:First>E.</b:First>
          </b:Person>
          <b:Person>
            <b:Last>Friedman</b:Last>
            <b:First>M.</b:First>
          </b:Person>
          <b:Person>
            <b:Last>Koppaka</b:Last>
            <b:First>R.</b:First>
          </b:Person>
          <b:Person>
            <b:Last>Perlman</b:Last>
            <b:First>S.E.</b:First>
          </b:Person>
        </b:NameList>
      </b:Author>
    </b:Author>
    <b:Title>Rationale, Design and Respondent Characteristics of the 2013–2014 New York City Health and Nutrition Examination Survey (NYC HANES 2013–2014)</b:Title>
    <b:Year>2015</b:Year>
    <b:JournalName>Preventive Medicine Reports</b:JournalName>
    <b:Pages>580–585</b:Pages>
    <b:Volume>2015</b:Volume>
    <b:Issue>2</b:Issue>
    <b:DOI>doi:10.1016/j.pmedr.2015.06.019</b:DOI>
    <b:RefOrder>11</b:RefOrder>
  </b:Source>
  <b:Source>
    <b:Tag>Loh99</b:Tag>
    <b:SourceType>Book</b:SourceType>
    <b:Guid>{542116B1-7576-4D0B-B498-78AEB14837E7}</b:Guid>
    <b:Author>
      <b:Author>
        <b:NameList>
          <b:Person>
            <b:Last>Lohr</b:Last>
            <b:First>S.</b:First>
          </b:Person>
        </b:NameList>
      </b:Author>
    </b:Author>
    <b:Title>Sampling design and analysis</b:Title>
    <b:Year>1999</b:Year>
    <b:City>Pacific Grove</b:City>
    <b:Publisher>Duxburgy Press</b:Publisher>
    <b:RefOrder>15</b:RefOrder>
  </b:Source>
  <b:Source>
    <b:Tag>Coc77</b:Tag>
    <b:SourceType>Book</b:SourceType>
    <b:Guid>{7F6DD1B1-2C91-446D-86C0-2EC824B04442}</b:Guid>
    <b:Author>
      <b:Author>
        <b:NameList>
          <b:Person>
            <b:Last>Cochran</b:Last>
            <b:First>W.</b:First>
          </b:Person>
        </b:NameList>
      </b:Author>
    </b:Author>
    <b:Title>Sampling techniques</b:Title>
    <b:Year>1977</b:Year>
    <b:City>New York</b:City>
    <b:Publisher>Wiley</b:Publisher>
    <b:RefOrder>16</b:RefOrder>
  </b:Source>
  <b:Source>
    <b:Tag>Dil</b:Tag>
    <b:SourceType>Book</b:SourceType>
    <b:Guid>{4D0C2E53-6EF9-4334-A3AC-1DA766EE1CA7}</b:Guid>
    <b:Author>
      <b:Author>
        <b:NameList>
          <b:Person>
            <b:Last>Dillman</b:Last>
            <b:First>D.A.</b:First>
          </b:Person>
          <b:Person>
            <b:Last>Smith</b:Last>
            <b:First>J.D.</b:First>
          </b:Person>
          <b:Person>
            <b:Last>and Christian</b:Last>
            <b:First>L.M.</b:First>
          </b:Person>
        </b:NameList>
      </b:Author>
    </b:Author>
    <b:Title>Internet, phone, mail, and mixed-mode surveys: The tailored design method</b:Title>
    <b:Year>2014</b:Year>
    <b:City>New York</b:City>
    <b:Publisher>Wiley</b:Publisher>
    <b:RefOrder>18</b:RefOrder>
  </b:Source>
  <b:Source>
    <b:Tag>Kat06</b:Tag>
    <b:SourceType>JournalArticle</b:SourceType>
    <b:Guid>{5AB823F1-0994-463A-AA46-64AF718E3D9B}</b:Guid>
    <b:Author>
      <b:Author>
        <b:NameList>
          <b:Person>
            <b:Last>Abraham</b:Last>
            <b:First>Katharine</b:First>
            <b:Middle>G.</b:Middle>
          </b:Person>
          <b:Person>
            <b:Last>Maitland</b:Last>
            <b:First>Aaron</b:First>
          </b:Person>
          <b:Person>
            <b:Last>Bianchi</b:Last>
            <b:First>Suzanne</b:First>
            <b:Middle>M.</b:Middle>
          </b:Person>
        </b:NameList>
      </b:Author>
    </b:Author>
    <b:Title>Nonresponse in the American Time Use Survey: Who Is Missing from the Data and How Much Does It Matter?</b:Title>
    <b:JournalName>Public Opinion Quarterly</b:JournalName>
    <b:Year>2006</b:Year>
    <b:Pages>676-703</b:Pages>
    <b:Volume>70</b:Volume>
    <b:Issue>5</b:Issue>
    <b:RefOrder>22</b:RefOrder>
  </b:Source>
  <b:Source>
    <b:Tag>Mer15</b:Tag>
    <b:SourceType>JournalArticle</b:SourceType>
    <b:Guid>{A6AF25E7-3FE7-4866-AC25-A20C1F60C6C1}</b:Guid>
    <b:Author>
      <b:Author>
        <b:NameList>
          <b:Person>
            <b:Last>Mercer</b:Last>
            <b:First>A.</b:First>
          </b:Person>
          <b:Person>
            <b:Last>Caparoso</b:Last>
            <b:First>A.</b:First>
          </b:Person>
          <b:Person>
            <b:Last>Cantor</b:Last>
            <b:First>D.</b:First>
          </b:Person>
          <b:Person>
            <b:Last>Townsend</b:Last>
            <b:First>R.</b:First>
          </b:Person>
        </b:NameList>
      </b:Author>
    </b:Author>
    <b:Title>How much gets you how much? Monetary incentives and response rates in household surveys</b:Title>
    <b:Year>2015</b:Year>
    <b:JournalName>Public Opinion Quarterly</b:JournalName>
    <b:Pages>105-129</b:Pages>
    <b:Volume>79</b:Volume>
    <b:Issue>1</b:Issue>
    <b:RefOrder>19</b:RefOrder>
  </b:Source>
  <b:Source>
    <b:Tag>Par13</b:Tag>
    <b:SourceType>JournalArticle</b:SourceType>
    <b:Guid>{E67F67DE-BB9D-4573-8056-4AA3721FE357}</b:Guid>
    <b:Author>
      <b:Author>
        <b:NameList>
          <b:Person>
            <b:Last>Parsons</b:Last>
            <b:First>N.</b:First>
          </b:Person>
          <b:Person>
            <b:Last>Manierre</b:Last>
            <b:First>M.</b:First>
          </b:Person>
        </b:NameList>
      </b:Author>
    </b:Author>
    <b:Title>Investigating the relationship among prepaid token incentives, response rates, and nonresponse bias in a web survey</b:Title>
    <b:JournalName>Field Methods</b:JournalName>
    <b:Year>2014</b:Year>
    <b:Pages>191-204</b:Pages>
    <b:Volume>26</b:Volume>
    <b:Issue>2</b:Issue>
    <b:RefOrder>25</b:RefOrder>
  </b:Source>
  <b:Source>
    <b:Tag>Gne14</b:Tag>
    <b:SourceType>JournalArticle</b:SourceType>
    <b:Guid>{5A2DDEAE-9934-4A5F-B3AD-D94BC55731A9}</b:Guid>
    <b:Author>
      <b:Author>
        <b:NameList>
          <b:Person>
            <b:Last>Gneezy</b:Last>
            <b:First>U.</b:First>
          </b:Person>
          <b:Person>
            <b:Last>Rey-Biel</b:Last>
            <b:First>P.</b:First>
          </b:Person>
        </b:NameList>
      </b:Author>
    </b:Author>
    <b:Title>On the relative efficiency of performance pay and noncontingent incentives</b:Title>
    <b:JournalName>Journal of the European Economic Association</b:JournalName>
    <b:Year>2014</b:Year>
    <b:Pages>62-72</b:Pages>
    <b:Volume>12</b:Volume>
    <b:Issue>1</b:Issue>
    <b:RefOrder>20</b:RefOrder>
  </b:Source>
  <b:Source>
    <b:Tag>Mil11</b:Tag>
    <b:SourceType>JournalArticle</b:SourceType>
    <b:Guid>{521370CE-FBED-4C23-A31F-1898844A5939}</b:Guid>
    <b:Title>Improving Response to Web and Mixed-mode Surveys</b:Title>
    <b:Year>2011</b:Year>
    <b:Author>
      <b:Author>
        <b:NameList>
          <b:Person>
            <b:Last>Millar</b:Last>
            <b:First>M.</b:First>
            <b:Middle>M.</b:Middle>
          </b:Person>
          <b:Person>
            <b:Last>Dillman</b:Last>
            <b:First>D.</b:First>
            <b:Middle>A.</b:Middle>
          </b:Person>
        </b:NameList>
      </b:Author>
    </b:Author>
    <b:JournalName>Public Opinion Quarterly</b:JournalName>
    <b:Pages>249-269</b:Pages>
    <b:Volume>75</b:Volume>
    <b:RefOrder>26</b:RefOrder>
  </b:Source>
  <b:Source>
    <b:Tag>Bra07</b:Tag>
    <b:SourceType>JournalArticle</b:SourceType>
    <b:Guid>{3BC2163B-2677-4C52-A385-80C52FF0B23F}</b:Guid>
    <b:Title>Qualitative data analysis for health services research: Developing taxonomy, themes, and theory</b:Title>
    <b:Year>2007</b:Year>
    <b:Author>
      <b:Author>
        <b:NameList>
          <b:Person>
            <b:Last>Bradley</b:Last>
            <b:First>EH</b:First>
          </b:Person>
          <b:Person>
            <b:Last>Curry</b:Last>
            <b:First>LA</b:First>
          </b:Person>
          <b:Person>
            <b:Last>Devers</b:Last>
            <b:First>KJ</b:First>
          </b:Person>
        </b:NameList>
      </b:Author>
    </b:Author>
    <b:JournalName>Health Services Research</b:JournalName>
    <b:Pages>1758-1772</b:Pages>
    <b:Volume>42</b:Volume>
    <b:Issue>4</b:Issue>
    <b:RefOrder>17</b:RefOrder>
  </b:Source>
  <b:Source>
    <b:Tag>Fow02</b:Tag>
    <b:SourceType>JournalArticle</b:SourceType>
    <b:Guid>{C29A0948-BA24-4224-A645-CB6F07754670}</b:Guid>
    <b:Author>
      <b:Author>
        <b:NameList>
          <b:Person>
            <b:Last>Fowler Jr.</b:Last>
            <b:First>FJ</b:First>
          </b:Person>
          <b:Person>
            <b:Last>Gallagher</b:Last>
            <b:First>PM</b:First>
          </b:Person>
          <b:Person>
            <b:Last>Stringfellow</b:Last>
            <b:First>VL</b:First>
          </b:Person>
          <b:Person>
            <b:Last>Zaslavsky</b:Last>
            <b:First>AM</b:First>
          </b:Person>
          <b:Person>
            <b:Last>Thompson</b:Last>
            <b:First>JW</b:First>
          </b:Person>
          <b:Person>
            <b:Last>Cleary</b:Last>
            <b:First>PD</b:First>
          </b:Person>
        </b:NameList>
      </b:Author>
    </b:Author>
    <b:Title>Using telephone interviews to reduce nonresponse bias to mail surveys of health plan members</b:Title>
    <b:JournalName>Medical Care</b:JournalName>
    <b:Year>2002</b:Year>
    <b:Pages>190-200</b:Pages>
    <b:Volume>40</b:Volume>
    <b:Issue>3</b:Issue>
    <b:RefOrder>13</b:RefOrder>
  </b:Source>
  <b:Source>
    <b:Tag>Seo16</b:Tag>
    <b:SourceType>JournalArticle</b:SourceType>
    <b:Guid>{35A03656-CAE4-4D51-9CDA-05349265F99A}</b:Guid>
    <b:Author>
      <b:Author>
        <b:NameList>
          <b:Person>
            <b:Last>Seow</b:Last>
            <b:First>H</b:First>
          </b:Person>
          <b:Person>
            <b:Last>Bainbridge</b:Last>
            <b:First>D</b:First>
          </b:Person>
          <b:Person>
            <b:Last>Bryant</b:Last>
            <b:First>D</b:First>
          </b:Person>
          <b:Person>
            <b:Last>Guthrie</b:Last>
            <b:First>D</b:First>
          </b:Person>
          <b:Person>
            <b:Last>Urowitz</b:Last>
            <b:First>S</b:First>
          </b:Person>
          <b:Person>
            <b:Last>Zwicker</b:Last>
            <b:First>V</b:First>
          </b:Person>
          <b:Person>
            <b:Last>Marshall</b:Last>
            <b:First>D</b:First>
          </b:Person>
        </b:NameList>
      </b:Author>
    </b:Author>
    <b:Title>The Caregiver Voice survey: A pilot study surveying bereaved caregivers to measure the caregiver and patient experience at end of life</b:Title>
    <b:JournalName>Journal of Palliative Medicine</b:JournalName>
    <b:Year>2016</b:Year>
    <b:RefOrder>14</b:RefOrder>
  </b:Source>
  <b:Source>
    <b:Tag>Gre09</b:Tag>
    <b:SourceType>Book</b:SourceType>
    <b:Guid>{4BF69772-493D-4F7A-8837-92787D4D6C37}</b:Guid>
    <b:Title>Qualitative Methods for Health Research</b:Title>
    <b:Year>2009</b:Year>
    <b:Author>
      <b:Author>
        <b:NameList>
          <b:Person>
            <b:Last>Green</b:Last>
            <b:First>J</b:First>
          </b:Person>
          <b:Person>
            <b:Last>Thorogood</b:Last>
            <b:First>N</b:First>
          </b:Person>
        </b:NameList>
      </b:Author>
    </b:Author>
    <b:City>Thousand Oaks, CA</b:City>
    <b:Publisher>Sage</b:Publisher>
    <b:Edition>2nd</b:Edition>
    <b:RefOrder>24</b:RefOrder>
  </b:Source>
  <b:Source>
    <b:Tag>Har09</b:Tag>
    <b:SourceType>JournalArticle</b:SourceType>
    <b:Guid>{DFA38C1D-E3FD-43B7-86D2-2D12F8D85F27}</b:Guid>
    <b:Title>An introduction to qualitative research for food and nutrition professionals</b:Title>
    <b:Year>2009</b:Year>
    <b:Author>
      <b:Author>
        <b:NameList>
          <b:Person>
            <b:Last>Harris</b:Last>
            <b:First>JE</b:First>
          </b:Person>
          <b:Person>
            <b:Last>Gleason</b:Last>
            <b:First>PM</b:First>
          </b:Person>
          <b:Person>
            <b:Last>Boushey</b:Last>
            <b:First>C</b:First>
          </b:Person>
          <b:Person>
            <b:Last>Beto</b:Last>
            <b:First>JA</b:First>
          </b:Person>
          <b:Person>
            <b:Last>Bruemmer</b:Last>
            <b:First>B</b:First>
          </b:Person>
        </b:NameList>
      </b:Author>
    </b:Author>
    <b:JournalName>Journal of the American Dietetic Association</b:JournalName>
    <b:Pages>80-90</b:Pages>
    <b:Volume>109</b:Volume>
    <b:Issue>1</b:Issue>
    <b:RefOrder>3</b:RefOrder>
  </b:Source>
  <b:Source>
    <b:Tag>Pol10</b:Tag>
    <b:SourceType>JournalArticle</b:SourceType>
    <b:Guid>{569D8D7A-1225-4D48-AF7F-75F96BC14FC1}</b:Guid>
    <b:Author>
      <b:Author>
        <b:NameList>
          <b:Person>
            <b:Last>Polit</b:Last>
            <b:First>DF</b:First>
          </b:Person>
          <b:Person>
            <b:Last>Beck</b:Last>
            <b:First>CT</b:First>
          </b:Person>
        </b:NameList>
      </b:Author>
    </b:Author>
    <b:Title>Generalization in quantitative and qualitative research: Myths and strategies</b:Title>
    <b:JournalName>International Journal of Nursing Studies</b:JournalName>
    <b:Year>2010</b:Year>
    <b:Pages>1451-1458</b:Pages>
    <b:Volume>47</b:Volume>
    <b:Issue>11</b:Issue>
    <b:RefOrder>23</b:RefOrder>
  </b:Source>
  <b:Source>
    <b:Tag>Pit14</b:Tag>
    <b:SourceType>JournalArticle</b:SourceType>
    <b:Guid>{09326A69-D586-4877-96AF-2CACF844A443}</b:Guid>
    <b:Author>
      <b:Author>
        <b:NameList>
          <b:Person>
            <b:Last>Pit</b:Last>
            <b:First>SW</b:First>
          </b:Person>
          <b:Person>
            <b:Last>Vo</b:Last>
            <b:First>T</b:First>
          </b:Person>
          <b:Person>
            <b:Last>Pyakurel</b:Last>
            <b:First>S</b:First>
          </b:Person>
        </b:NameList>
      </b:Author>
    </b:Author>
    <b:Title>The effectiveness of recruitment strategies on general practitioner's survey response rates - a systematic review</b:Title>
    <b:JournalName>BMC Medical Research Methodology</b:JournalName>
    <b:Year>2014</b:Year>
    <b:Volume>14</b:Volume>
    <b:Issue>1</b:Issue>
    <b:RefOrder>12</b:RefOrder>
  </b:Source>
  <b:Source>
    <b:Tag>Van</b:Tag>
    <b:SourceType>JournalArticle</b:SourceType>
    <b:Guid>{C1ACEDCA-80AE-493B-859B-623C42B9220E}</b:Guid>
    <b:Author>
      <b:Author>
        <b:NameList>
          <b:Person>
            <b:Last>VanGeest</b:Last>
            <b:First>J</b:First>
          </b:Person>
          <b:Person>
            <b:Last>Johnson</b:Last>
            <b:First>TP</b:First>
          </b:Person>
        </b:NameList>
      </b:Author>
    </b:Author>
    <b:Title>Surveying nurses: Identifying strategies to improve participation</b:Title>
    <b:JournalName>Evaluation &amp; the Health Professions</b:JournalName>
    <b:Issue>0163278711399572</b:Issue>
    <b:Year>2011</b:Year>
    <b:RefOrder>21</b:RefOrder>
  </b:Source>
  <b:Source>
    <b:Tag>Cre07</b:Tag>
    <b:SourceType>Book</b:SourceType>
    <b:Guid>{F1F78D09-A3EF-4B4E-9A82-743ABE9B0132}</b:Guid>
    <b:Title>Qualitative Inquiry and Research Design: Choosing Among Five Approaches</b:Title>
    <b:Year>2007</b:Year>
    <b:Author>
      <b:Author>
        <b:NameList>
          <b:Person>
            <b:Last>Creswell</b:Last>
            <b:First>JW</b:First>
          </b:Person>
        </b:NameList>
      </b:Author>
    </b:Author>
    <b:City>Thousand Oaks, CA</b:City>
    <b:Publisher>Sage</b:Publisher>
    <b:RefOrder>27</b:RefOrder>
  </b:Source>
  <b:Source>
    <b:Tag>Fus15</b:Tag>
    <b:SourceType>JournalArticle</b:SourceType>
    <b:Guid>{213D9AC1-9E9A-450D-B612-A6F15DEBEAFD}</b:Guid>
    <b:Title>Are we there yet? Data saturation in qualitative research</b:Title>
    <b:Year>2015</b:Year>
    <b:Author>
      <b:Author>
        <b:NameList>
          <b:Person>
            <b:Last>Fusch</b:Last>
            <b:First>PI</b:First>
          </b:Person>
          <b:Person>
            <b:Last>Ness</b:Last>
            <b:First>LR</b:First>
          </b:Person>
        </b:NameList>
      </b:Author>
    </b:Author>
    <b:JournalName>The Qualitative Report</b:JournalName>
    <b:Pages>1408-1416</b:Pages>
    <b:Volume>20</b:Volume>
    <b:Issue>9</b:Issue>
    <b:RefOrder>5</b:RefOrder>
  </b:Source>
  <b:Source>
    <b:Tag>Gro14</b:Tag>
    <b:SourceType>JournalArticle</b:SourceType>
    <b:Guid>{E0FDCFF4-DB9B-4114-BC98-9F13FA2B2D2B}</b:Guid>
    <b:Author>
      <b:Author>
        <b:NameList>
          <b:Person>
            <b:Last>Grossoehme</b:Last>
            <b:First>DH</b:First>
          </b:Person>
        </b:NameList>
      </b:Author>
    </b:Author>
    <b:Title>Overview of qualitative research</b:Title>
    <b:JournalName>Journal of Health Care Chaplaincy</b:JournalName>
    <b:Year>2014</b:Year>
    <b:Pages>109-122</b:Pages>
    <b:Volume>20</b:Volume>
    <b:Issue>3</b:Issue>
    <b:RefOrder>2</b:RefOrder>
  </b:Source>
  <b:Source>
    <b:Tag>Gue06</b:Tag>
    <b:SourceType>JournalArticle</b:SourceType>
    <b:Guid>{A902D279-CCAE-457E-9916-AC3808E4934A}</b:Guid>
    <b:Author>
      <b:Author>
        <b:NameList>
          <b:Person>
            <b:Last>Guest</b:Last>
            <b:First>G</b:First>
          </b:Person>
          <b:Person>
            <b:Last>Bunce</b:Last>
            <b:First>A</b:First>
          </b:Person>
          <b:Person>
            <b:Last>Johnson</b:Last>
            <b:First>L</b:First>
          </b:Person>
        </b:NameList>
      </b:Author>
    </b:Author>
    <b:Title>HOw many interviews are enough? An experiment with data saturation and variability</b:Title>
    <b:JournalName>Field Methods</b:JournalName>
    <b:Year>2006</b:Year>
    <b:Pages>59-82</b:Pages>
    <b:Volume>18</b:Volume>
    <b:Issue>1</b:Issue>
    <b:RefOrder>6</b:RefOrder>
  </b:Source>
  <b:Source>
    <b:Tag>Max05</b:Tag>
    <b:SourceType>Book</b:SourceType>
    <b:Guid>{CC6AC014-360C-49B6-8366-CBCAA3954006}</b:Guid>
    <b:Title>Qualitative Research Design: An INteractive Approach</b:Title>
    <b:Year>2005</b:Year>
    <b:Author>
      <b:Author>
        <b:NameList>
          <b:Person>
            <b:Last>Maxwell</b:Last>
            <b:First>JA</b:First>
          </b:Person>
        </b:NameList>
      </b:Author>
    </b:Author>
    <b:City>Thousand Oaks, CA</b:City>
    <b:Publisher>Sage</b:Publisher>
    <b:Edition>2nd</b:Edition>
    <b:RefOrder>1</b:RefOrder>
  </b:Source>
  <b:Source>
    <b:Tag>The15</b:Tag>
    <b:SourceType>DocumentFromInternetSite</b:SourceType>
    <b:Guid>{6BCBEA5D-F731-4390-9C70-4CA831E1011D}</b:Guid>
    <b:Title>Caregiving in the U.S. 2015: Appendix A Detailed Methodology</b:Title>
    <b:Year>2015</b:Year>
    <b:Author>
      <b:Author>
        <b:Corporate>The National Alliance for Caregiving (NAC) &amp; the AARP Public Policy Institute</b:Corporate>
      </b:Author>
    </b:Author>
    <b:Month>June</b:Month>
    <b:YearAccessed>2016</b:YearAccessed>
    <b:MonthAccessed>September</b:MonthAccessed>
    <b:DayAccessed>18</b:DayAccessed>
    <b:URL>http://www.caregiving.org/data/04methodology.pdf</b:URL>
    <b:RefOrder>28</b:RefOrder>
  </b:Source>
</b:Sources>
</file>

<file path=customXml/itemProps1.xml><?xml version="1.0" encoding="utf-8"?>
<ds:datastoreItem xmlns:ds="http://schemas.openxmlformats.org/officeDocument/2006/customXml" ds:itemID="{4FF7F6FC-0EE3-4304-A368-6F24EB28B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7518</Words>
  <Characters>42854</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ERG</Company>
  <LinksUpToDate>false</LinksUpToDate>
  <CharactersWithSpaces>50272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Carlie Knope</dc:creator>
  <cp:lastModifiedBy>WILLIAM PARHAM</cp:lastModifiedBy>
  <cp:revision>2</cp:revision>
  <cp:lastPrinted>2016-10-07T13:03:00Z</cp:lastPrinted>
  <dcterms:created xsi:type="dcterms:W3CDTF">2016-10-21T14:16:00Z</dcterms:created>
  <dcterms:modified xsi:type="dcterms:W3CDTF">2016-10-21T14:16:00Z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1143450062</vt:i4>
  </property>
  <property fmtid="{D5CDD505-2E9C-101B-9397-08002B2CF9AE}" pid="4" name="_EmailSubject">
    <vt:lpwstr>Catching Up    CMS-10600</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8" name="_PreviousAdHocReviewCycleID">
    <vt:i4>-324408155</vt:i4>
  </property>
</Properties>
</file>